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7.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8.xml" ContentType="application/vnd.openxmlformats-officedocument.wordprocessingml.footer+xml"/>
  <Override PartName="/word/header17.xml" ContentType="application/vnd.openxmlformats-officedocument.wordprocessingml.header+xml"/>
  <Override PartName="/word/footer9.xml" ContentType="application/vnd.openxmlformats-officedocument.wordprocessingml.footer+xml"/>
  <Override PartName="/word/header18.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9.xml" ContentType="application/vnd.openxmlformats-officedocument.wordprocessingml.header+xml"/>
  <Override PartName="/word/footer12.xml" ContentType="application/vnd.openxmlformats-officedocument.wordprocessingml.footer+xml"/>
  <Override PartName="/word/header20.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21.xml" ContentType="application/vnd.openxmlformats-officedocument.wordprocessingml.header+xml"/>
  <Override PartName="/word/footer15.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25.xml" ContentType="application/vnd.openxmlformats-officedocument.wordprocessingml.header+xml"/>
  <Override PartName="/word/footer18.xml" ContentType="application/vnd.openxmlformats-officedocument.wordprocessingml.footer+xml"/>
  <Override PartName="/word/header26.xml" ContentType="application/vnd.openxmlformats-officedocument.wordprocessingml.header+xml"/>
  <Override PartName="/word/footer19.xml" ContentType="application/vnd.openxmlformats-officedocument.wordprocessingml.footer+xml"/>
  <Override PartName="/word/header27.xml" ContentType="application/vnd.openxmlformats-officedocument.wordprocessingml.header+xml"/>
  <Override PartName="/word/footer20.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header30.xml" ContentType="application/vnd.openxmlformats-officedocument.wordprocessingml.header+xml"/>
  <Override PartName="/word/footer2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282CB2" w14:textId="2C52A0BD" w:rsidR="000D75D0" w:rsidRDefault="005306EF">
      <w:pPr>
        <w:rPr>
          <w:rStyle w:val="Hyperlink"/>
          <w:rFonts w:cs="Arial"/>
          <w:b/>
          <w:bCs/>
          <w:caps/>
          <w:noProof/>
          <w:color w:val="1F4E79" w:themeColor="accent1" w:themeShade="80"/>
          <w:kern w:val="20"/>
          <w:sz w:val="20"/>
          <w:szCs w:val="24"/>
          <w:u w:val="none"/>
        </w:rPr>
        <w:sectPr w:rsidR="000D75D0" w:rsidSect="000D75D0">
          <w:headerReference w:type="even" r:id="rId8"/>
          <w:headerReference w:type="default" r:id="rId9"/>
          <w:footerReference w:type="even" r:id="rId10"/>
          <w:footerReference w:type="default" r:id="rId11"/>
          <w:headerReference w:type="first" r:id="rId12"/>
          <w:footerReference w:type="first" r:id="rId13"/>
          <w:pgSz w:w="11906" w:h="16838" w:code="9"/>
          <w:pgMar w:top="0" w:right="0" w:bottom="0" w:left="0" w:header="0" w:footer="0" w:gutter="0"/>
          <w:cols w:space="708"/>
          <w:docGrid w:linePitch="360"/>
        </w:sectPr>
      </w:pPr>
      <w:bookmarkStart w:id="0" w:name="_Toc46770859"/>
      <w:bookmarkStart w:id="1" w:name="_Toc46507419"/>
      <w:bookmarkStart w:id="2" w:name="_Toc45113433"/>
      <w:bookmarkStart w:id="3" w:name="_Toc44694687"/>
      <w:r w:rsidRPr="005306EF">
        <w:rPr>
          <w:rStyle w:val="Hyperlink"/>
          <w:rFonts w:cs="Arial"/>
          <w:b/>
          <w:bCs/>
          <w:caps/>
          <w:noProof/>
          <w:color w:val="1F4E79" w:themeColor="accent1" w:themeShade="80"/>
          <w:kern w:val="20"/>
          <w:sz w:val="20"/>
          <w:szCs w:val="24"/>
          <w:u w:val="none"/>
          <w:lang w:eastAsia="pt-BR"/>
        </w:rPr>
        <w:drawing>
          <wp:inline distT="0" distB="0" distL="0" distR="0" wp14:anchorId="78ED4634" wp14:editId="4CD219EF">
            <wp:extent cx="7542502" cy="10658293"/>
            <wp:effectExtent l="0" t="0" r="1905" b="0"/>
            <wp:docPr id="105" name="Imagem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7571187" cy="10698828"/>
                    </a:xfrm>
                    <a:prstGeom prst="rect">
                      <a:avLst/>
                    </a:prstGeom>
                  </pic:spPr>
                </pic:pic>
              </a:graphicData>
            </a:graphic>
          </wp:inline>
        </w:drawing>
      </w:r>
    </w:p>
    <w:sdt>
      <w:sdtPr>
        <w:rPr>
          <w:rStyle w:val="Hyperlink"/>
          <w:rFonts w:eastAsiaTheme="minorHAnsi" w:cs="Arial"/>
          <w:b/>
          <w:bCs/>
          <w:caps/>
          <w:noProof/>
          <w:color w:val="1F4E79" w:themeColor="accent1" w:themeShade="80"/>
          <w:spacing w:val="0"/>
          <w:kern w:val="20"/>
          <w:sz w:val="20"/>
          <w:szCs w:val="24"/>
          <w:u w:val="none"/>
          <w:lang w:eastAsia="en-US"/>
        </w:rPr>
        <w:id w:val="1128744166"/>
        <w:docPartObj>
          <w:docPartGallery w:val="Table of Contents"/>
          <w:docPartUnique/>
        </w:docPartObj>
      </w:sdtPr>
      <w:sdtEndPr>
        <w:rPr>
          <w:rStyle w:val="Hyperlink"/>
          <w:b w:val="0"/>
          <w:bCs w:val="0"/>
          <w:caps w:val="0"/>
          <w:kern w:val="0"/>
          <w:sz w:val="18"/>
          <w:szCs w:val="18"/>
          <w:lang w:val="en-US"/>
        </w:rPr>
      </w:sdtEndPr>
      <w:sdtContent>
        <w:bookmarkEnd w:id="3" w:displacedByCustomXml="next"/>
        <w:bookmarkEnd w:id="2" w:displacedByCustomXml="next"/>
        <w:bookmarkEnd w:id="1" w:displacedByCustomXml="next"/>
        <w:bookmarkEnd w:id="0" w:displacedByCustomXml="next"/>
        <w:sdt>
          <w:sdtPr>
            <w:rPr>
              <w:rFonts w:eastAsiaTheme="minorEastAsia" w:cs="Arial"/>
              <w:b/>
              <w:bCs/>
              <w:caps/>
              <w:noProof/>
              <w:color w:val="1F4E79" w:themeColor="accent1" w:themeShade="80"/>
              <w:spacing w:val="0"/>
              <w:u w:val="single"/>
              <w:lang w:eastAsia="en-US"/>
            </w:rPr>
            <w:id w:val="-1836369859"/>
            <w:docPartObj>
              <w:docPartGallery w:val="Table of Contents"/>
              <w:docPartUnique/>
            </w:docPartObj>
          </w:sdtPr>
          <w:sdtEndPr>
            <w:rPr>
              <w:rFonts w:eastAsiaTheme="minorHAnsi"/>
              <w:color w:val="1F4E79"/>
            </w:rPr>
          </w:sdtEndPr>
          <w:sdtContent>
            <w:p w14:paraId="5EEADB20" w14:textId="473992C1" w:rsidR="003C725C" w:rsidRPr="00E00752" w:rsidRDefault="003C725C" w:rsidP="003C725C">
              <w:pPr>
                <w:pStyle w:val="05-Textonormal"/>
                <w:spacing w:before="0" w:after="0"/>
                <w:rPr>
                  <w:rFonts w:eastAsiaTheme="minorEastAsia" w:cs="Arial"/>
                  <w:b/>
                  <w:bCs/>
                  <w:caps/>
                  <w:noProof/>
                  <w:color w:val="1F4E79"/>
                </w:rPr>
              </w:pPr>
            </w:p>
            <w:p w14:paraId="72E5398E" w14:textId="625FF2B2" w:rsidR="003C725C" w:rsidRPr="00E00752" w:rsidRDefault="003C725C" w:rsidP="003C725C">
              <w:pPr>
                <w:pStyle w:val="05-Textonormal1"/>
                <w:jc w:val="center"/>
                <w:rPr>
                  <w:rStyle w:val="Hyperlink"/>
                  <w:rFonts w:eastAsiaTheme="minorHAnsi" w:cs="Arial"/>
                  <w:b/>
                  <w:bCs/>
                  <w:caps/>
                  <w:noProof/>
                  <w:color w:val="1F4E79" w:themeColor="accent1" w:themeShade="80"/>
                  <w:spacing w:val="0"/>
                  <w:u w:val="none"/>
                  <w:lang w:eastAsia="en-US"/>
                </w:rPr>
              </w:pPr>
              <w:r>
                <w:rPr>
                  <w:rStyle w:val="Hyperlink"/>
                  <w:rFonts w:eastAsiaTheme="minorHAnsi" w:cs="Arial"/>
                  <w:b/>
                  <w:bCs/>
                  <w:caps/>
                  <w:noProof/>
                  <w:color w:val="1F4E79" w:themeColor="accent1" w:themeShade="80"/>
                  <w:spacing w:val="0"/>
                  <w:u w:val="none"/>
                  <w:lang w:eastAsia="en-US"/>
                </w:rPr>
                <w:t>i</w:t>
              </w:r>
              <w:r w:rsidRPr="00E00752">
                <w:rPr>
                  <w:rStyle w:val="Hyperlink"/>
                  <w:rFonts w:eastAsiaTheme="minorHAnsi" w:cs="Arial"/>
                  <w:b/>
                  <w:bCs/>
                  <w:caps/>
                  <w:noProof/>
                  <w:color w:val="1F4E79" w:themeColor="accent1" w:themeShade="80"/>
                  <w:spacing w:val="0"/>
                  <w:u w:val="none"/>
                  <w:lang w:eastAsia="en-US"/>
                </w:rPr>
                <w:t>ND</w:t>
              </w:r>
              <w:r>
                <w:rPr>
                  <w:rStyle w:val="Hyperlink"/>
                  <w:rFonts w:eastAsiaTheme="minorHAnsi" w:cs="Arial"/>
                  <w:b/>
                  <w:bCs/>
                  <w:caps/>
                  <w:noProof/>
                  <w:color w:val="1F4E79" w:themeColor="accent1" w:themeShade="80"/>
                  <w:spacing w:val="0"/>
                  <w:u w:val="none"/>
                  <w:lang w:eastAsia="en-US"/>
                </w:rPr>
                <w:t>ex</w:t>
              </w:r>
            </w:p>
            <w:p w14:paraId="22180DFE" w14:textId="02403C55" w:rsidR="00882B41" w:rsidRDefault="00882B41">
              <w:pPr>
                <w:pStyle w:val="Sumrio1"/>
                <w:rPr>
                  <w:rFonts w:asciiTheme="minorHAnsi" w:eastAsiaTheme="minorEastAsia" w:hAnsiTheme="minorHAnsi" w:cstheme="minorBidi"/>
                  <w:b w:val="0"/>
                  <w:bCs w:val="0"/>
                  <w:caps w:val="0"/>
                  <w:color w:val="auto"/>
                  <w:sz w:val="22"/>
                  <w:szCs w:val="22"/>
                  <w:lang w:eastAsia="pt-BR"/>
                </w:rPr>
              </w:pPr>
              <w:r w:rsidRPr="00E21275">
                <w:rPr>
                  <w:lang w:val="en-US"/>
                </w:rPr>
                <w:t>MANAGEMENT COMMENTS ON PERFORMACE</w:t>
              </w:r>
              <w:r>
                <w:rPr>
                  <w:webHidden/>
                </w:rPr>
                <w:tab/>
              </w:r>
              <w:r w:rsidR="00607BBF">
                <w:rPr>
                  <w:webHidden/>
                </w:rPr>
                <w:t>1</w:t>
              </w:r>
            </w:p>
            <w:p w14:paraId="0FDD8C0A" w14:textId="682AC384" w:rsidR="00882B41" w:rsidRDefault="00882B41">
              <w:pPr>
                <w:pStyle w:val="Sumrio1"/>
                <w:rPr>
                  <w:rFonts w:asciiTheme="minorHAnsi" w:eastAsiaTheme="minorEastAsia" w:hAnsiTheme="minorHAnsi" w:cstheme="minorBidi"/>
                  <w:b w:val="0"/>
                  <w:bCs w:val="0"/>
                  <w:caps w:val="0"/>
                  <w:color w:val="auto"/>
                  <w:sz w:val="22"/>
                  <w:szCs w:val="22"/>
                  <w:lang w:eastAsia="pt-BR"/>
                </w:rPr>
              </w:pPr>
              <w:r w:rsidRPr="00E21275">
                <w:t>STATEMENT OF INCOME</w:t>
              </w:r>
              <w:r>
                <w:rPr>
                  <w:webHidden/>
                </w:rPr>
                <w:tab/>
              </w:r>
              <w:r w:rsidR="00607BBF">
                <w:rPr>
                  <w:webHidden/>
                </w:rPr>
                <w:t>2</w:t>
              </w:r>
            </w:p>
            <w:p w14:paraId="4152090A" w14:textId="1B482EF9" w:rsidR="00882B41" w:rsidRDefault="00882B41">
              <w:pPr>
                <w:pStyle w:val="Sumrio1"/>
                <w:rPr>
                  <w:rFonts w:asciiTheme="minorHAnsi" w:eastAsiaTheme="minorEastAsia" w:hAnsiTheme="minorHAnsi" w:cstheme="minorBidi"/>
                  <w:b w:val="0"/>
                  <w:bCs w:val="0"/>
                  <w:caps w:val="0"/>
                  <w:color w:val="auto"/>
                  <w:sz w:val="22"/>
                  <w:szCs w:val="22"/>
                  <w:lang w:eastAsia="pt-BR"/>
                </w:rPr>
              </w:pPr>
              <w:r w:rsidRPr="00E21275">
                <w:t>STATEMENT OF COMPREHENSIVE INCOME</w:t>
              </w:r>
              <w:r>
                <w:rPr>
                  <w:webHidden/>
                </w:rPr>
                <w:tab/>
              </w:r>
              <w:r w:rsidR="00607BBF">
                <w:rPr>
                  <w:webHidden/>
                </w:rPr>
                <w:t>3</w:t>
              </w:r>
            </w:p>
            <w:p w14:paraId="0331A153" w14:textId="1F6BF23A" w:rsidR="00882B41" w:rsidRDefault="00882B41">
              <w:pPr>
                <w:pStyle w:val="Sumrio1"/>
                <w:rPr>
                  <w:rFonts w:asciiTheme="minorHAnsi" w:eastAsiaTheme="minorEastAsia" w:hAnsiTheme="minorHAnsi" w:cstheme="minorBidi"/>
                  <w:b w:val="0"/>
                  <w:bCs w:val="0"/>
                  <w:caps w:val="0"/>
                  <w:color w:val="auto"/>
                  <w:sz w:val="22"/>
                  <w:szCs w:val="22"/>
                  <w:lang w:eastAsia="pt-BR"/>
                </w:rPr>
              </w:pPr>
              <w:r w:rsidRPr="00E21275">
                <w:t>BALANCE SHEET</w:t>
              </w:r>
              <w:r>
                <w:rPr>
                  <w:webHidden/>
                </w:rPr>
                <w:tab/>
              </w:r>
              <w:r w:rsidR="00607BBF">
                <w:rPr>
                  <w:webHidden/>
                </w:rPr>
                <w:t>4</w:t>
              </w:r>
            </w:p>
            <w:p w14:paraId="220694B7" w14:textId="1C15CADF" w:rsidR="00882B41" w:rsidRDefault="00882B41">
              <w:pPr>
                <w:pStyle w:val="Sumrio1"/>
                <w:rPr>
                  <w:rFonts w:asciiTheme="minorHAnsi" w:eastAsiaTheme="minorEastAsia" w:hAnsiTheme="minorHAnsi" w:cstheme="minorBidi"/>
                  <w:b w:val="0"/>
                  <w:bCs w:val="0"/>
                  <w:caps w:val="0"/>
                  <w:color w:val="auto"/>
                  <w:sz w:val="22"/>
                  <w:szCs w:val="22"/>
                  <w:lang w:eastAsia="pt-BR"/>
                </w:rPr>
              </w:pPr>
              <w:r w:rsidRPr="00E21275">
                <w:t>STATEMENT OF CASH FLOWS</w:t>
              </w:r>
              <w:r>
                <w:rPr>
                  <w:webHidden/>
                </w:rPr>
                <w:tab/>
              </w:r>
              <w:r w:rsidR="00607BBF">
                <w:rPr>
                  <w:webHidden/>
                </w:rPr>
                <w:t>5</w:t>
              </w:r>
            </w:p>
            <w:p w14:paraId="718406B9" w14:textId="4425CA43" w:rsidR="00882B41" w:rsidRDefault="00882B41">
              <w:pPr>
                <w:pStyle w:val="Sumrio1"/>
                <w:rPr>
                  <w:rFonts w:asciiTheme="minorHAnsi" w:eastAsiaTheme="minorEastAsia" w:hAnsiTheme="minorHAnsi" w:cstheme="minorBidi"/>
                  <w:b w:val="0"/>
                  <w:bCs w:val="0"/>
                  <w:caps w:val="0"/>
                  <w:color w:val="auto"/>
                  <w:sz w:val="22"/>
                  <w:szCs w:val="22"/>
                  <w:lang w:eastAsia="pt-BR"/>
                </w:rPr>
              </w:pPr>
              <w:r w:rsidRPr="00E21275">
                <w:t>STATEMENT OF CHANGES IN EQUITY</w:t>
              </w:r>
              <w:r>
                <w:rPr>
                  <w:webHidden/>
                </w:rPr>
                <w:tab/>
              </w:r>
              <w:r w:rsidR="00607BBF">
                <w:rPr>
                  <w:webHidden/>
                </w:rPr>
                <w:t>6</w:t>
              </w:r>
            </w:p>
            <w:p w14:paraId="7102DAAB" w14:textId="6367EFBE" w:rsidR="00882B41" w:rsidRDefault="00882B41">
              <w:pPr>
                <w:pStyle w:val="Sumrio1"/>
                <w:rPr>
                  <w:rFonts w:asciiTheme="minorHAnsi" w:eastAsiaTheme="minorEastAsia" w:hAnsiTheme="minorHAnsi" w:cstheme="minorBidi"/>
                  <w:b w:val="0"/>
                  <w:bCs w:val="0"/>
                  <w:caps w:val="0"/>
                  <w:color w:val="auto"/>
                  <w:sz w:val="22"/>
                  <w:szCs w:val="22"/>
                  <w:lang w:eastAsia="pt-BR"/>
                </w:rPr>
              </w:pPr>
              <w:r w:rsidRPr="00E21275">
                <w:t>STATEMENT OF VALUE ADDED</w:t>
              </w:r>
              <w:r>
                <w:rPr>
                  <w:webHidden/>
                </w:rPr>
                <w:tab/>
              </w:r>
              <w:r w:rsidR="00607BBF">
                <w:rPr>
                  <w:webHidden/>
                </w:rPr>
                <w:t>7</w:t>
              </w:r>
            </w:p>
            <w:p w14:paraId="158BCEE1" w14:textId="60862F61" w:rsidR="00882B41" w:rsidRDefault="00882B41">
              <w:pPr>
                <w:pStyle w:val="Sumrio1"/>
                <w:rPr>
                  <w:rFonts w:asciiTheme="minorHAnsi" w:eastAsiaTheme="minorEastAsia" w:hAnsiTheme="minorHAnsi" w:cstheme="minorBidi"/>
                  <w:b w:val="0"/>
                  <w:bCs w:val="0"/>
                  <w:caps w:val="0"/>
                  <w:color w:val="auto"/>
                  <w:sz w:val="22"/>
                  <w:szCs w:val="22"/>
                  <w:lang w:eastAsia="pt-BR"/>
                </w:rPr>
              </w:pPr>
              <w:r w:rsidRPr="00E21275">
                <w:t>EXPLANATORY NOTES TO THE FINANCIAL STATEMENTS</w:t>
              </w:r>
              <w:r>
                <w:rPr>
                  <w:webHidden/>
                </w:rPr>
                <w:tab/>
              </w:r>
              <w:r w:rsidR="00607BBF">
                <w:rPr>
                  <w:webHidden/>
                </w:rPr>
                <w:t>8</w:t>
              </w:r>
            </w:p>
            <w:p w14:paraId="2F8C51D9" w14:textId="1035631F" w:rsidR="00882B41" w:rsidRDefault="00882B41">
              <w:pPr>
                <w:pStyle w:val="Sumrio1"/>
                <w:rPr>
                  <w:rFonts w:asciiTheme="minorHAnsi" w:eastAsiaTheme="minorEastAsia" w:hAnsiTheme="minorHAnsi" w:cstheme="minorBidi"/>
                  <w:b w:val="0"/>
                  <w:bCs w:val="0"/>
                  <w:caps w:val="0"/>
                  <w:color w:val="auto"/>
                  <w:sz w:val="22"/>
                  <w:szCs w:val="22"/>
                  <w:lang w:eastAsia="pt-BR"/>
                </w:rPr>
              </w:pPr>
              <w:r w:rsidRPr="00E21275">
                <w:t>1 - OPERATIONAL CONTEXT</w:t>
              </w:r>
              <w:r>
                <w:rPr>
                  <w:webHidden/>
                </w:rPr>
                <w:tab/>
              </w:r>
              <w:r w:rsidR="00607BBF">
                <w:rPr>
                  <w:webHidden/>
                </w:rPr>
                <w:t>8</w:t>
              </w:r>
            </w:p>
            <w:p w14:paraId="352CCFF1" w14:textId="369A682E" w:rsidR="00882B41" w:rsidRDefault="00882B41">
              <w:pPr>
                <w:pStyle w:val="Sumrio1"/>
                <w:rPr>
                  <w:rFonts w:asciiTheme="minorHAnsi" w:eastAsiaTheme="minorEastAsia" w:hAnsiTheme="minorHAnsi" w:cstheme="minorBidi"/>
                  <w:b w:val="0"/>
                  <w:bCs w:val="0"/>
                  <w:caps w:val="0"/>
                  <w:color w:val="auto"/>
                  <w:sz w:val="22"/>
                  <w:szCs w:val="22"/>
                  <w:lang w:eastAsia="pt-BR"/>
                </w:rPr>
              </w:pPr>
              <w:r w:rsidRPr="00E21275">
                <w:rPr>
                  <w:lang w:val="en-US"/>
                </w:rPr>
                <w:t>2 – ACQUISITIONS, DISPOSALS AND CORPORATE RESTRUCTURINGS</w:t>
              </w:r>
              <w:r>
                <w:rPr>
                  <w:webHidden/>
                </w:rPr>
                <w:tab/>
              </w:r>
              <w:r w:rsidR="00607BBF">
                <w:rPr>
                  <w:webHidden/>
                </w:rPr>
                <w:t>9</w:t>
              </w:r>
            </w:p>
            <w:p w14:paraId="13322FCA" w14:textId="7C183EB2" w:rsidR="00882B41" w:rsidRDefault="00882B41">
              <w:pPr>
                <w:pStyle w:val="Sumrio1"/>
                <w:rPr>
                  <w:rFonts w:asciiTheme="minorHAnsi" w:eastAsiaTheme="minorEastAsia" w:hAnsiTheme="minorHAnsi" w:cstheme="minorBidi"/>
                  <w:b w:val="0"/>
                  <w:bCs w:val="0"/>
                  <w:caps w:val="0"/>
                  <w:color w:val="auto"/>
                  <w:sz w:val="22"/>
                  <w:szCs w:val="22"/>
                  <w:lang w:eastAsia="pt-BR"/>
                </w:rPr>
              </w:pPr>
              <w:r w:rsidRPr="00E21275">
                <w:t>3 – PRESENTATION OF INTERIM FINANCIAL STATEMENTS</w:t>
              </w:r>
              <w:r>
                <w:rPr>
                  <w:webHidden/>
                </w:rPr>
                <w:tab/>
              </w:r>
              <w:r w:rsidR="00607BBF">
                <w:rPr>
                  <w:webHidden/>
                </w:rPr>
                <w:t>10</w:t>
              </w:r>
            </w:p>
            <w:p w14:paraId="076006B1" w14:textId="1DC5BF67" w:rsidR="00882B41" w:rsidRDefault="00882B41">
              <w:pPr>
                <w:pStyle w:val="Sumrio1"/>
                <w:rPr>
                  <w:rFonts w:asciiTheme="minorHAnsi" w:eastAsiaTheme="minorEastAsia" w:hAnsiTheme="minorHAnsi" w:cstheme="minorBidi"/>
                  <w:b w:val="0"/>
                  <w:bCs w:val="0"/>
                  <w:caps w:val="0"/>
                  <w:color w:val="auto"/>
                  <w:sz w:val="22"/>
                  <w:szCs w:val="22"/>
                  <w:lang w:eastAsia="pt-BR"/>
                </w:rPr>
              </w:pPr>
              <w:r w:rsidRPr="00E21275">
                <w:t>4 – DESCRIPTION OF KEY ACCOUNTING POLICIES</w:t>
              </w:r>
              <w:r>
                <w:rPr>
                  <w:webHidden/>
                </w:rPr>
                <w:tab/>
              </w:r>
              <w:r w:rsidR="00607BBF">
                <w:rPr>
                  <w:webHidden/>
                </w:rPr>
                <w:t>18</w:t>
              </w:r>
            </w:p>
            <w:p w14:paraId="09ED7185" w14:textId="6BF3FB68" w:rsidR="00882B41" w:rsidRDefault="00882B41">
              <w:pPr>
                <w:pStyle w:val="Sumrio1"/>
                <w:rPr>
                  <w:rFonts w:asciiTheme="minorHAnsi" w:eastAsiaTheme="minorEastAsia" w:hAnsiTheme="minorHAnsi" w:cstheme="minorBidi"/>
                  <w:b w:val="0"/>
                  <w:bCs w:val="0"/>
                  <w:caps w:val="0"/>
                  <w:color w:val="auto"/>
                  <w:sz w:val="22"/>
                  <w:szCs w:val="22"/>
                  <w:lang w:eastAsia="pt-BR"/>
                </w:rPr>
              </w:pPr>
              <w:r w:rsidRPr="00E21275">
                <w:rPr>
                  <w:lang w:val="en-US"/>
                </w:rPr>
                <w:t>5 – RISK MANAGEMENT</w:t>
              </w:r>
              <w:r>
                <w:rPr>
                  <w:webHidden/>
                </w:rPr>
                <w:tab/>
              </w:r>
              <w:r w:rsidR="00607BBF">
                <w:rPr>
                  <w:webHidden/>
                </w:rPr>
                <w:t>23</w:t>
              </w:r>
            </w:p>
            <w:p w14:paraId="7528BE26" w14:textId="7DEACFF3" w:rsidR="00882B41" w:rsidRDefault="00882B41">
              <w:pPr>
                <w:pStyle w:val="Sumrio1"/>
                <w:rPr>
                  <w:rFonts w:asciiTheme="minorHAnsi" w:eastAsiaTheme="minorEastAsia" w:hAnsiTheme="minorHAnsi" w:cstheme="minorBidi"/>
                  <w:b w:val="0"/>
                  <w:bCs w:val="0"/>
                  <w:caps w:val="0"/>
                  <w:color w:val="auto"/>
                  <w:sz w:val="22"/>
                  <w:szCs w:val="22"/>
                  <w:lang w:eastAsia="pt-BR"/>
                </w:rPr>
              </w:pPr>
              <w:r w:rsidRPr="00E21275">
                <w:t>6 – SEGMENT INFORMATION</w:t>
              </w:r>
              <w:r>
                <w:rPr>
                  <w:webHidden/>
                </w:rPr>
                <w:tab/>
              </w:r>
              <w:r w:rsidR="00607BBF">
                <w:rPr>
                  <w:webHidden/>
                </w:rPr>
                <w:t>27</w:t>
              </w:r>
            </w:p>
            <w:p w14:paraId="3713B8E8" w14:textId="79B5B32C" w:rsidR="00882B41" w:rsidRDefault="00882B41">
              <w:pPr>
                <w:pStyle w:val="Sumrio1"/>
                <w:rPr>
                  <w:rFonts w:asciiTheme="minorHAnsi" w:eastAsiaTheme="minorEastAsia" w:hAnsiTheme="minorHAnsi" w:cstheme="minorBidi"/>
                  <w:b w:val="0"/>
                  <w:bCs w:val="0"/>
                  <w:caps w:val="0"/>
                  <w:color w:val="auto"/>
                  <w:sz w:val="22"/>
                  <w:szCs w:val="22"/>
                  <w:lang w:eastAsia="pt-BR"/>
                </w:rPr>
              </w:pPr>
              <w:r w:rsidRPr="00E21275">
                <w:t>7 - INVESTMENTS IN ASSOCIATES</w:t>
              </w:r>
              <w:r>
                <w:rPr>
                  <w:webHidden/>
                </w:rPr>
                <w:tab/>
              </w:r>
              <w:r w:rsidR="00607BBF">
                <w:rPr>
                  <w:webHidden/>
                </w:rPr>
                <w:t>30</w:t>
              </w:r>
            </w:p>
            <w:p w14:paraId="0AA974ED" w14:textId="7DB071C7" w:rsidR="00882B41" w:rsidRDefault="00882B41">
              <w:pPr>
                <w:pStyle w:val="Sumrio1"/>
                <w:rPr>
                  <w:rFonts w:asciiTheme="minorHAnsi" w:eastAsiaTheme="minorEastAsia" w:hAnsiTheme="minorHAnsi" w:cstheme="minorBidi"/>
                  <w:b w:val="0"/>
                  <w:bCs w:val="0"/>
                  <w:caps w:val="0"/>
                  <w:color w:val="auto"/>
                  <w:sz w:val="22"/>
                  <w:szCs w:val="22"/>
                  <w:lang w:eastAsia="pt-BR"/>
                </w:rPr>
              </w:pPr>
              <w:r w:rsidRPr="00E21275">
                <w:t>8 – COMMISSIONS INCOME</w:t>
              </w:r>
              <w:r>
                <w:rPr>
                  <w:webHidden/>
                </w:rPr>
                <w:tab/>
              </w:r>
              <w:r w:rsidR="00607BBF">
                <w:rPr>
                  <w:webHidden/>
                </w:rPr>
                <w:t>44</w:t>
              </w:r>
            </w:p>
            <w:p w14:paraId="21F75701" w14:textId="4915D5E2" w:rsidR="00882B41" w:rsidRDefault="00882B41">
              <w:pPr>
                <w:pStyle w:val="Sumrio1"/>
                <w:rPr>
                  <w:rFonts w:asciiTheme="minorHAnsi" w:eastAsiaTheme="minorEastAsia" w:hAnsiTheme="minorHAnsi" w:cstheme="minorBidi"/>
                  <w:b w:val="0"/>
                  <w:bCs w:val="0"/>
                  <w:caps w:val="0"/>
                  <w:color w:val="auto"/>
                  <w:sz w:val="22"/>
                  <w:szCs w:val="22"/>
                  <w:lang w:eastAsia="pt-BR"/>
                </w:rPr>
              </w:pPr>
              <w:r w:rsidRPr="00E21275">
                <w:t>9 – COSTS OF SERVICES PROVIDED</w:t>
              </w:r>
              <w:r>
                <w:rPr>
                  <w:webHidden/>
                </w:rPr>
                <w:tab/>
              </w:r>
              <w:r w:rsidR="00607BBF">
                <w:rPr>
                  <w:webHidden/>
                </w:rPr>
                <w:t>44</w:t>
              </w:r>
            </w:p>
            <w:p w14:paraId="28D18FF7" w14:textId="20B70687" w:rsidR="00882B41" w:rsidRDefault="00882B41">
              <w:pPr>
                <w:pStyle w:val="Sumrio1"/>
                <w:rPr>
                  <w:rFonts w:asciiTheme="minorHAnsi" w:eastAsiaTheme="minorEastAsia" w:hAnsiTheme="minorHAnsi" w:cstheme="minorBidi"/>
                  <w:b w:val="0"/>
                  <w:bCs w:val="0"/>
                  <w:caps w:val="0"/>
                  <w:color w:val="auto"/>
                  <w:sz w:val="22"/>
                  <w:szCs w:val="22"/>
                  <w:lang w:eastAsia="pt-BR"/>
                </w:rPr>
              </w:pPr>
              <w:r w:rsidRPr="00E21275">
                <w:t>10 – PERSONNEL EXPENSES</w:t>
              </w:r>
              <w:r>
                <w:rPr>
                  <w:webHidden/>
                </w:rPr>
                <w:tab/>
              </w:r>
              <w:r w:rsidR="00607BBF">
                <w:rPr>
                  <w:webHidden/>
                </w:rPr>
                <w:t>44</w:t>
              </w:r>
            </w:p>
            <w:p w14:paraId="0A8CBEF7" w14:textId="4ABEC922" w:rsidR="00882B41" w:rsidRDefault="00882B41">
              <w:pPr>
                <w:pStyle w:val="Sumrio1"/>
                <w:rPr>
                  <w:rFonts w:asciiTheme="minorHAnsi" w:eastAsiaTheme="minorEastAsia" w:hAnsiTheme="minorHAnsi" w:cstheme="minorBidi"/>
                  <w:b w:val="0"/>
                  <w:bCs w:val="0"/>
                  <w:caps w:val="0"/>
                  <w:color w:val="auto"/>
                  <w:sz w:val="22"/>
                  <w:szCs w:val="22"/>
                  <w:lang w:eastAsia="pt-BR"/>
                </w:rPr>
              </w:pPr>
              <w:r w:rsidRPr="00E21275">
                <w:t>11 – ADMINISTRATIVE EXPENSES AND SALES</w:t>
              </w:r>
              <w:r>
                <w:rPr>
                  <w:webHidden/>
                </w:rPr>
                <w:tab/>
              </w:r>
              <w:r w:rsidR="00607BBF">
                <w:rPr>
                  <w:webHidden/>
                </w:rPr>
                <w:t>45</w:t>
              </w:r>
            </w:p>
            <w:p w14:paraId="5486C11A" w14:textId="778D4641" w:rsidR="00882B41" w:rsidRDefault="00882B41">
              <w:pPr>
                <w:pStyle w:val="Sumrio1"/>
                <w:rPr>
                  <w:rFonts w:asciiTheme="minorHAnsi" w:eastAsiaTheme="minorEastAsia" w:hAnsiTheme="minorHAnsi" w:cstheme="minorBidi"/>
                  <w:b w:val="0"/>
                  <w:bCs w:val="0"/>
                  <w:caps w:val="0"/>
                  <w:color w:val="auto"/>
                  <w:sz w:val="22"/>
                  <w:szCs w:val="22"/>
                  <w:lang w:eastAsia="pt-BR"/>
                </w:rPr>
              </w:pPr>
              <w:r w:rsidRPr="00E21275">
                <w:t>12 – TAXES</w:t>
              </w:r>
              <w:r>
                <w:rPr>
                  <w:webHidden/>
                </w:rPr>
                <w:tab/>
              </w:r>
              <w:r w:rsidR="00607BBF">
                <w:rPr>
                  <w:webHidden/>
                </w:rPr>
                <w:t>45</w:t>
              </w:r>
            </w:p>
            <w:p w14:paraId="50AAE533" w14:textId="4D60CF85" w:rsidR="00882B41" w:rsidRDefault="00882B41">
              <w:pPr>
                <w:pStyle w:val="Sumrio1"/>
                <w:rPr>
                  <w:rFonts w:asciiTheme="minorHAnsi" w:eastAsiaTheme="minorEastAsia" w:hAnsiTheme="minorHAnsi" w:cstheme="minorBidi"/>
                  <w:b w:val="0"/>
                  <w:bCs w:val="0"/>
                  <w:caps w:val="0"/>
                  <w:color w:val="auto"/>
                  <w:sz w:val="22"/>
                  <w:szCs w:val="22"/>
                  <w:lang w:eastAsia="pt-BR"/>
                </w:rPr>
              </w:pPr>
              <w:r w:rsidRPr="00E21275">
                <w:t>13 – OTHER INCOME AND EXPENSE</w:t>
              </w:r>
              <w:r>
                <w:rPr>
                  <w:webHidden/>
                </w:rPr>
                <w:tab/>
              </w:r>
              <w:r w:rsidR="00607BBF">
                <w:rPr>
                  <w:webHidden/>
                </w:rPr>
                <w:t>48</w:t>
              </w:r>
            </w:p>
            <w:p w14:paraId="4727BECD" w14:textId="4931DE32" w:rsidR="00882B41" w:rsidRDefault="00882B41">
              <w:pPr>
                <w:pStyle w:val="Sumrio1"/>
                <w:rPr>
                  <w:rFonts w:asciiTheme="minorHAnsi" w:eastAsiaTheme="minorEastAsia" w:hAnsiTheme="minorHAnsi" w:cstheme="minorBidi"/>
                  <w:b w:val="0"/>
                  <w:bCs w:val="0"/>
                  <w:caps w:val="0"/>
                  <w:color w:val="auto"/>
                  <w:sz w:val="22"/>
                  <w:szCs w:val="22"/>
                  <w:lang w:eastAsia="pt-BR"/>
                </w:rPr>
              </w:pPr>
              <w:r w:rsidRPr="00E21275">
                <w:t>14 – FINANCIAL RESULT</w:t>
              </w:r>
              <w:r>
                <w:rPr>
                  <w:webHidden/>
                </w:rPr>
                <w:tab/>
              </w:r>
              <w:r w:rsidR="00607BBF">
                <w:rPr>
                  <w:webHidden/>
                </w:rPr>
                <w:t>49</w:t>
              </w:r>
            </w:p>
            <w:p w14:paraId="5ACFA02E" w14:textId="49610C45" w:rsidR="00882B41" w:rsidRDefault="00882B41">
              <w:pPr>
                <w:pStyle w:val="Sumrio1"/>
                <w:rPr>
                  <w:rFonts w:asciiTheme="minorHAnsi" w:eastAsiaTheme="minorEastAsia" w:hAnsiTheme="minorHAnsi" w:cstheme="minorBidi"/>
                  <w:b w:val="0"/>
                  <w:bCs w:val="0"/>
                  <w:caps w:val="0"/>
                  <w:color w:val="auto"/>
                  <w:sz w:val="22"/>
                  <w:szCs w:val="22"/>
                  <w:lang w:eastAsia="pt-BR"/>
                </w:rPr>
              </w:pPr>
              <w:r w:rsidRPr="00E21275">
                <w:t>15 – CASH AND CASH EQUIVALENTS</w:t>
              </w:r>
              <w:r>
                <w:rPr>
                  <w:webHidden/>
                </w:rPr>
                <w:tab/>
              </w:r>
              <w:r w:rsidR="00607BBF">
                <w:rPr>
                  <w:webHidden/>
                </w:rPr>
                <w:t>50</w:t>
              </w:r>
            </w:p>
            <w:p w14:paraId="6A40D927" w14:textId="6CFD4A69" w:rsidR="00882B41" w:rsidRDefault="00882B41">
              <w:pPr>
                <w:pStyle w:val="Sumrio1"/>
                <w:rPr>
                  <w:rFonts w:asciiTheme="minorHAnsi" w:eastAsiaTheme="minorEastAsia" w:hAnsiTheme="minorHAnsi" w:cstheme="minorBidi"/>
                  <w:b w:val="0"/>
                  <w:bCs w:val="0"/>
                  <w:caps w:val="0"/>
                  <w:color w:val="auto"/>
                  <w:sz w:val="22"/>
                  <w:szCs w:val="22"/>
                  <w:lang w:eastAsia="pt-BR"/>
                </w:rPr>
              </w:pPr>
              <w:r w:rsidRPr="00E21275">
                <w:t>16 – FINANCIAL INSTRUMENTS</w:t>
              </w:r>
              <w:r>
                <w:rPr>
                  <w:webHidden/>
                </w:rPr>
                <w:tab/>
              </w:r>
              <w:r w:rsidR="00607BBF">
                <w:rPr>
                  <w:webHidden/>
                </w:rPr>
                <w:t>50</w:t>
              </w:r>
            </w:p>
            <w:p w14:paraId="54D7A234" w14:textId="683202DC" w:rsidR="00882B41" w:rsidRDefault="00882B41">
              <w:pPr>
                <w:pStyle w:val="Sumrio1"/>
                <w:rPr>
                  <w:rFonts w:asciiTheme="minorHAnsi" w:eastAsiaTheme="minorEastAsia" w:hAnsiTheme="minorHAnsi" w:cstheme="minorBidi"/>
                  <w:b w:val="0"/>
                  <w:bCs w:val="0"/>
                  <w:caps w:val="0"/>
                  <w:color w:val="auto"/>
                  <w:sz w:val="22"/>
                  <w:szCs w:val="22"/>
                  <w:lang w:eastAsia="pt-BR"/>
                </w:rPr>
              </w:pPr>
              <w:r w:rsidRPr="00E21275">
                <w:t>17 – DIVIDENDS / INTEREST ON EQUITY CAPITAL RECEIVABLE</w:t>
              </w:r>
              <w:r>
                <w:rPr>
                  <w:webHidden/>
                </w:rPr>
                <w:tab/>
              </w:r>
              <w:r w:rsidR="00607BBF">
                <w:rPr>
                  <w:webHidden/>
                </w:rPr>
                <w:t>51</w:t>
              </w:r>
            </w:p>
            <w:p w14:paraId="6F769A73" w14:textId="6B8D1EA9" w:rsidR="00882B41" w:rsidRDefault="00882B41">
              <w:pPr>
                <w:pStyle w:val="Sumrio1"/>
                <w:rPr>
                  <w:rFonts w:asciiTheme="minorHAnsi" w:eastAsiaTheme="minorEastAsia" w:hAnsiTheme="minorHAnsi" w:cstheme="minorBidi"/>
                  <w:b w:val="0"/>
                  <w:bCs w:val="0"/>
                  <w:caps w:val="0"/>
                  <w:color w:val="auto"/>
                  <w:sz w:val="22"/>
                  <w:szCs w:val="22"/>
                  <w:lang w:eastAsia="pt-BR"/>
                </w:rPr>
              </w:pPr>
              <w:r w:rsidRPr="00E21275">
                <w:t>18 – COMMISSIONS RECEIVABLE</w:t>
              </w:r>
              <w:r>
                <w:rPr>
                  <w:webHidden/>
                </w:rPr>
                <w:tab/>
              </w:r>
              <w:r w:rsidR="00607BBF">
                <w:rPr>
                  <w:webHidden/>
                </w:rPr>
                <w:t>51</w:t>
              </w:r>
            </w:p>
            <w:p w14:paraId="34102DC2" w14:textId="4A34C419" w:rsidR="00882B41" w:rsidRDefault="00882B41">
              <w:pPr>
                <w:pStyle w:val="Sumrio1"/>
                <w:rPr>
                  <w:rFonts w:asciiTheme="minorHAnsi" w:eastAsiaTheme="minorEastAsia" w:hAnsiTheme="minorHAnsi" w:cstheme="minorBidi"/>
                  <w:b w:val="0"/>
                  <w:bCs w:val="0"/>
                  <w:caps w:val="0"/>
                  <w:color w:val="auto"/>
                  <w:sz w:val="22"/>
                  <w:szCs w:val="22"/>
                  <w:lang w:eastAsia="pt-BR"/>
                </w:rPr>
              </w:pPr>
              <w:r w:rsidRPr="00E21275">
                <w:t>19 – INTANGIBLE ASSET</w:t>
              </w:r>
              <w:r>
                <w:rPr>
                  <w:webHidden/>
                </w:rPr>
                <w:tab/>
              </w:r>
              <w:r w:rsidR="00607BBF">
                <w:rPr>
                  <w:webHidden/>
                </w:rPr>
                <w:t>52</w:t>
              </w:r>
            </w:p>
            <w:p w14:paraId="6BB8283E" w14:textId="6D33F813" w:rsidR="00882B41" w:rsidRDefault="00882B41">
              <w:pPr>
                <w:pStyle w:val="Sumrio1"/>
                <w:rPr>
                  <w:rFonts w:asciiTheme="minorHAnsi" w:eastAsiaTheme="minorEastAsia" w:hAnsiTheme="minorHAnsi" w:cstheme="minorBidi"/>
                  <w:b w:val="0"/>
                  <w:bCs w:val="0"/>
                  <w:caps w:val="0"/>
                  <w:color w:val="auto"/>
                  <w:sz w:val="22"/>
                  <w:szCs w:val="22"/>
                  <w:lang w:eastAsia="pt-BR"/>
                </w:rPr>
              </w:pPr>
              <w:r w:rsidRPr="00E21275">
                <w:t>20 – OTHER ASSETS</w:t>
              </w:r>
              <w:r>
                <w:rPr>
                  <w:webHidden/>
                </w:rPr>
                <w:tab/>
              </w:r>
              <w:r w:rsidR="00607BBF">
                <w:rPr>
                  <w:webHidden/>
                </w:rPr>
                <w:t>52</w:t>
              </w:r>
            </w:p>
            <w:p w14:paraId="12ECB847" w14:textId="10820208" w:rsidR="00882B41" w:rsidRDefault="00882B41">
              <w:pPr>
                <w:pStyle w:val="Sumrio1"/>
                <w:rPr>
                  <w:rFonts w:asciiTheme="minorHAnsi" w:eastAsiaTheme="minorEastAsia" w:hAnsiTheme="minorHAnsi" w:cstheme="minorBidi"/>
                  <w:b w:val="0"/>
                  <w:bCs w:val="0"/>
                  <w:caps w:val="0"/>
                  <w:color w:val="auto"/>
                  <w:sz w:val="22"/>
                  <w:szCs w:val="22"/>
                  <w:lang w:eastAsia="pt-BR"/>
                </w:rPr>
              </w:pPr>
              <w:r w:rsidRPr="00E21275">
                <w:rPr>
                  <w:lang w:val="en-US"/>
                </w:rPr>
                <w:t>21 – CORPORATE AND STATUTORY OBLIGATIONS</w:t>
              </w:r>
              <w:r>
                <w:rPr>
                  <w:webHidden/>
                </w:rPr>
                <w:tab/>
              </w:r>
              <w:r w:rsidR="00607BBF">
                <w:rPr>
                  <w:webHidden/>
                </w:rPr>
                <w:t>52</w:t>
              </w:r>
            </w:p>
            <w:p w14:paraId="1E66490C" w14:textId="4B18F330" w:rsidR="00882B41" w:rsidRDefault="00882B41">
              <w:pPr>
                <w:pStyle w:val="Sumrio1"/>
                <w:rPr>
                  <w:rFonts w:asciiTheme="minorHAnsi" w:eastAsiaTheme="minorEastAsia" w:hAnsiTheme="minorHAnsi" w:cstheme="minorBidi"/>
                  <w:b w:val="0"/>
                  <w:bCs w:val="0"/>
                  <w:caps w:val="0"/>
                  <w:color w:val="auto"/>
                  <w:sz w:val="22"/>
                  <w:szCs w:val="22"/>
                  <w:lang w:eastAsia="pt-BR"/>
                </w:rPr>
              </w:pPr>
              <w:r w:rsidRPr="00E21275">
                <w:rPr>
                  <w:lang w:val="en-US"/>
                </w:rPr>
                <w:t>22 – PROVISIONS AND CONTINGENT LIABILITIES</w:t>
              </w:r>
              <w:r>
                <w:rPr>
                  <w:webHidden/>
                </w:rPr>
                <w:tab/>
              </w:r>
              <w:r w:rsidR="00607BBF">
                <w:rPr>
                  <w:webHidden/>
                </w:rPr>
                <w:t>53</w:t>
              </w:r>
            </w:p>
            <w:p w14:paraId="550D0F40" w14:textId="1AAF12E0" w:rsidR="00882B41" w:rsidRDefault="00882B41">
              <w:pPr>
                <w:pStyle w:val="Sumrio1"/>
                <w:rPr>
                  <w:rFonts w:asciiTheme="minorHAnsi" w:eastAsiaTheme="minorEastAsia" w:hAnsiTheme="minorHAnsi" w:cstheme="minorBidi"/>
                  <w:b w:val="0"/>
                  <w:bCs w:val="0"/>
                  <w:caps w:val="0"/>
                  <w:color w:val="auto"/>
                  <w:sz w:val="22"/>
                  <w:szCs w:val="22"/>
                  <w:lang w:eastAsia="pt-BR"/>
                </w:rPr>
              </w:pPr>
              <w:r w:rsidRPr="00E21275">
                <w:t>23 – UNEARDED COMMISSIONS</w:t>
              </w:r>
              <w:r>
                <w:rPr>
                  <w:webHidden/>
                </w:rPr>
                <w:tab/>
              </w:r>
              <w:r w:rsidR="00607BBF">
                <w:rPr>
                  <w:webHidden/>
                </w:rPr>
                <w:t>55</w:t>
              </w:r>
            </w:p>
            <w:p w14:paraId="710EE56F" w14:textId="11741712" w:rsidR="00882B41" w:rsidRDefault="00882B41">
              <w:pPr>
                <w:pStyle w:val="Sumrio1"/>
                <w:rPr>
                  <w:rFonts w:asciiTheme="minorHAnsi" w:eastAsiaTheme="minorEastAsia" w:hAnsiTheme="minorHAnsi" w:cstheme="minorBidi"/>
                  <w:b w:val="0"/>
                  <w:bCs w:val="0"/>
                  <w:caps w:val="0"/>
                  <w:color w:val="auto"/>
                  <w:sz w:val="22"/>
                  <w:szCs w:val="22"/>
                  <w:lang w:eastAsia="pt-BR"/>
                </w:rPr>
              </w:pPr>
              <w:r w:rsidRPr="00E21275">
                <w:t>24 – OTHER LIABILITIES</w:t>
              </w:r>
              <w:r>
                <w:rPr>
                  <w:webHidden/>
                </w:rPr>
                <w:tab/>
              </w:r>
              <w:r w:rsidR="00607BBF">
                <w:rPr>
                  <w:webHidden/>
                </w:rPr>
                <w:t>56</w:t>
              </w:r>
            </w:p>
            <w:p w14:paraId="6384D5B3" w14:textId="07A85705" w:rsidR="00882B41" w:rsidRDefault="00882B41">
              <w:pPr>
                <w:pStyle w:val="Sumrio1"/>
                <w:rPr>
                  <w:rFonts w:asciiTheme="minorHAnsi" w:eastAsiaTheme="minorEastAsia" w:hAnsiTheme="minorHAnsi" w:cstheme="minorBidi"/>
                  <w:b w:val="0"/>
                  <w:bCs w:val="0"/>
                  <w:caps w:val="0"/>
                  <w:color w:val="auto"/>
                  <w:sz w:val="22"/>
                  <w:szCs w:val="22"/>
                  <w:lang w:eastAsia="pt-BR"/>
                </w:rPr>
              </w:pPr>
              <w:r w:rsidRPr="00E21275">
                <w:rPr>
                  <w:lang w:val="en-US"/>
                </w:rPr>
                <w:t>25 – EQUITY</w:t>
              </w:r>
              <w:r>
                <w:rPr>
                  <w:webHidden/>
                </w:rPr>
                <w:tab/>
              </w:r>
              <w:r w:rsidR="00607BBF">
                <w:rPr>
                  <w:webHidden/>
                </w:rPr>
                <w:t>56</w:t>
              </w:r>
            </w:p>
            <w:p w14:paraId="7A070FF6" w14:textId="2975D341" w:rsidR="00882B41" w:rsidRDefault="00882B41">
              <w:pPr>
                <w:pStyle w:val="Sumrio1"/>
                <w:rPr>
                  <w:rFonts w:asciiTheme="minorHAnsi" w:eastAsiaTheme="minorEastAsia" w:hAnsiTheme="minorHAnsi" w:cstheme="minorBidi"/>
                  <w:b w:val="0"/>
                  <w:bCs w:val="0"/>
                  <w:caps w:val="0"/>
                  <w:color w:val="auto"/>
                  <w:sz w:val="22"/>
                  <w:szCs w:val="22"/>
                  <w:lang w:eastAsia="pt-BR"/>
                </w:rPr>
              </w:pPr>
              <w:r w:rsidRPr="00E21275">
                <w:t>26 – RELATED PARTY TRANSACTIONS</w:t>
              </w:r>
              <w:r>
                <w:rPr>
                  <w:webHidden/>
                </w:rPr>
                <w:tab/>
              </w:r>
              <w:r w:rsidR="00607BBF">
                <w:rPr>
                  <w:webHidden/>
                </w:rPr>
                <w:t>59</w:t>
              </w:r>
            </w:p>
            <w:p w14:paraId="7BFC4BB2" w14:textId="3CA30B6A" w:rsidR="00882B41" w:rsidRDefault="00882B41">
              <w:pPr>
                <w:pStyle w:val="Sumrio1"/>
                <w:rPr>
                  <w:rFonts w:asciiTheme="minorHAnsi" w:eastAsiaTheme="minorEastAsia" w:hAnsiTheme="minorHAnsi" w:cstheme="minorBidi"/>
                  <w:b w:val="0"/>
                  <w:bCs w:val="0"/>
                  <w:caps w:val="0"/>
                  <w:color w:val="auto"/>
                  <w:sz w:val="22"/>
                  <w:szCs w:val="22"/>
                  <w:lang w:eastAsia="pt-BR"/>
                </w:rPr>
              </w:pPr>
              <w:r w:rsidRPr="00E21275">
                <w:rPr>
                  <w:lang w:val="en-US"/>
                </w:rPr>
                <w:t>27 - EVENTS AFTER THE REPORTING PERIOD</w:t>
              </w:r>
              <w:r>
                <w:rPr>
                  <w:webHidden/>
                </w:rPr>
                <w:tab/>
              </w:r>
              <w:r w:rsidR="00607BBF">
                <w:rPr>
                  <w:webHidden/>
                </w:rPr>
                <w:t>62</w:t>
              </w:r>
            </w:p>
            <w:p w14:paraId="091C57AC" w14:textId="69DDEFAA" w:rsidR="00E921F9" w:rsidRDefault="00E921F9" w:rsidP="00FC4475">
              <w:pPr>
                <w:pStyle w:val="Sumrio1"/>
                <w:rPr>
                  <w:lang w:eastAsia="pt-BR"/>
                </w:rPr>
              </w:pPr>
            </w:p>
            <w:p w14:paraId="6D213385" w14:textId="7F5F6115" w:rsidR="00FC4475" w:rsidRPr="00FC4475" w:rsidRDefault="00FC4475" w:rsidP="00FC4475">
              <w:pPr>
                <w:pStyle w:val="Sumrio1"/>
                <w:rPr>
                  <w:caps w:val="0"/>
                  <w:color w:val="1F4E79" w:themeColor="accent1" w:themeShade="80"/>
                  <w:lang w:val="en-US"/>
                </w:rPr>
              </w:pPr>
              <w:r w:rsidRPr="00FC4475">
                <w:rPr>
                  <w:caps w:val="0"/>
                  <w:color w:val="1F4E79" w:themeColor="accent1" w:themeShade="80"/>
                  <w:lang w:val="en-US"/>
                </w:rPr>
                <w:t>REPORT OF INDEPENDENT AUDITORS FOR FINANCIAL STATEMENTS</w:t>
              </w:r>
            </w:p>
            <w:p w14:paraId="44C7F8D1" w14:textId="77777777" w:rsidR="00FC4475" w:rsidRPr="00FC4475" w:rsidRDefault="00FC4475" w:rsidP="00FC4475">
              <w:pPr>
                <w:pStyle w:val="Sumrio1"/>
                <w:rPr>
                  <w:caps w:val="0"/>
                  <w:color w:val="1F4E79" w:themeColor="accent1" w:themeShade="80"/>
                  <w:lang w:val="en-US"/>
                </w:rPr>
              </w:pPr>
              <w:r w:rsidRPr="00FC4475">
                <w:rPr>
                  <w:caps w:val="0"/>
                  <w:color w:val="1F4E79" w:themeColor="accent1" w:themeShade="80"/>
                  <w:lang w:val="en-US"/>
                </w:rPr>
                <w:t>DECLARATION OF THE MEMBERS OF THE EXECUTIVE BOARD ABOUT THE FINANCIAL STATEMENTS</w:t>
              </w:r>
            </w:p>
            <w:p w14:paraId="46A14783" w14:textId="77777777" w:rsidR="00FC4475" w:rsidRPr="00FC4475" w:rsidRDefault="00FC4475" w:rsidP="00FC4475">
              <w:pPr>
                <w:pStyle w:val="Sumrio1"/>
                <w:rPr>
                  <w:caps w:val="0"/>
                  <w:color w:val="1F4E79" w:themeColor="accent1" w:themeShade="80"/>
                  <w:lang w:val="en-US"/>
                </w:rPr>
              </w:pPr>
              <w:r w:rsidRPr="00FC4475">
                <w:rPr>
                  <w:caps w:val="0"/>
                  <w:color w:val="1F4E79" w:themeColor="accent1" w:themeShade="80"/>
                  <w:lang w:val="en-US"/>
                </w:rPr>
                <w:t>STATEMENT OF THE MEMBERS OF THE EXECUTIVE BOARD ON THE REPORT OF THE INDEPENDENT AUDITORS</w:t>
              </w:r>
            </w:p>
            <w:p w14:paraId="704DE7D3" w14:textId="63B85891" w:rsidR="003C725C" w:rsidRPr="00FC4475" w:rsidRDefault="00FC4475" w:rsidP="001A2EC3">
              <w:pPr>
                <w:pStyle w:val="Sumrio1"/>
                <w:rPr>
                  <w:caps w:val="0"/>
                  <w:color w:val="1F4E79" w:themeColor="accent1" w:themeShade="80"/>
                  <w:lang w:val="en-US"/>
                </w:rPr>
              </w:pPr>
              <w:r w:rsidRPr="00FC4475">
                <w:rPr>
                  <w:caps w:val="0"/>
                  <w:color w:val="1F4E79" w:themeColor="accent1" w:themeShade="80"/>
                  <w:lang w:val="en-US"/>
                </w:rPr>
                <w:t>MEMBERS OF THE MANAGEMENT BODIES</w:t>
              </w:r>
            </w:p>
          </w:sdtContent>
        </w:sdt>
      </w:sdtContent>
    </w:sdt>
    <w:p w14:paraId="2C6E771A" w14:textId="77777777" w:rsidR="00572AC0" w:rsidRPr="00C72009" w:rsidRDefault="00572AC0" w:rsidP="00F0356E">
      <w:pPr>
        <w:pStyle w:val="Body"/>
        <w:spacing w:after="120" w:line="240" w:lineRule="auto"/>
        <w:jc w:val="left"/>
        <w:rPr>
          <w:rFonts w:cs="Arial"/>
          <w:lang w:val="en-US" w:eastAsia="pt-BR"/>
        </w:rPr>
      </w:pPr>
    </w:p>
    <w:p w14:paraId="62D805EC" w14:textId="45BDCC38" w:rsidR="00F530C9" w:rsidRDefault="00F530C9">
      <w:pPr>
        <w:rPr>
          <w:rFonts w:cs="Arial"/>
          <w:lang w:val="en-US" w:eastAsia="pt-BR"/>
        </w:rPr>
      </w:pPr>
      <w:r>
        <w:rPr>
          <w:rFonts w:cs="Arial"/>
          <w:lang w:val="en-US" w:eastAsia="pt-BR"/>
        </w:rPr>
        <w:br w:type="page"/>
      </w:r>
    </w:p>
    <w:p w14:paraId="1D50675F" w14:textId="77777777" w:rsidR="00F81992" w:rsidRPr="00C72009" w:rsidRDefault="00F81992" w:rsidP="002D71EB">
      <w:pPr>
        <w:tabs>
          <w:tab w:val="left" w:pos="6495"/>
        </w:tabs>
        <w:rPr>
          <w:rFonts w:cs="Arial"/>
          <w:lang w:val="en-US" w:eastAsia="pt-BR"/>
        </w:rPr>
        <w:sectPr w:rsidR="00F81992" w:rsidRPr="00C72009" w:rsidSect="00F81992">
          <w:headerReference w:type="default" r:id="rId15"/>
          <w:pgSz w:w="11906" w:h="16838" w:code="9"/>
          <w:pgMar w:top="1134" w:right="1134" w:bottom="851" w:left="1134" w:header="851" w:footer="284" w:gutter="0"/>
          <w:cols w:space="708"/>
          <w:docGrid w:linePitch="360"/>
        </w:sectPr>
      </w:pPr>
    </w:p>
    <w:p w14:paraId="501253EA" w14:textId="78C85A71" w:rsidR="005D05B7" w:rsidRPr="00D3472F" w:rsidRDefault="0042368D" w:rsidP="009D4210">
      <w:pPr>
        <w:pStyle w:val="02-TtulodeNota"/>
        <w:rPr>
          <w:color w:val="1F4E79" w:themeColor="accent1" w:themeShade="80"/>
          <w:lang w:val="en-US"/>
        </w:rPr>
      </w:pPr>
      <w:bookmarkStart w:id="4" w:name="_Toc110438594"/>
      <w:bookmarkStart w:id="5" w:name="_Toc141966671"/>
      <w:r w:rsidRPr="00D3472F">
        <w:rPr>
          <w:color w:val="1F4E79" w:themeColor="accent1" w:themeShade="80"/>
          <w:lang w:val="en-US"/>
        </w:rPr>
        <w:lastRenderedPageBreak/>
        <w:t>MANAGEMENT COMMENTS ON PERFORMACE</w:t>
      </w:r>
      <w:bookmarkEnd w:id="4"/>
      <w:bookmarkEnd w:id="5"/>
      <w:r w:rsidRPr="00D3472F">
        <w:rPr>
          <w:color w:val="1F4E79" w:themeColor="accent1" w:themeShade="80"/>
          <w:lang w:val="en-US"/>
        </w:rPr>
        <w:t xml:space="preserve"> </w:t>
      </w:r>
    </w:p>
    <w:p w14:paraId="0B89D9D7" w14:textId="77777777" w:rsidR="002136C7" w:rsidRDefault="002136C7" w:rsidP="002136C7">
      <w:pPr>
        <w:pStyle w:val="03-SubttulodeNota"/>
        <w:spacing w:line="276" w:lineRule="auto"/>
        <w:rPr>
          <w:color w:val="1F4E79" w:themeColor="accent1" w:themeShade="80"/>
          <w:lang w:val="en-US"/>
        </w:rPr>
      </w:pPr>
    </w:p>
    <w:p w14:paraId="2CBFBB3D" w14:textId="1AC17A9F" w:rsidR="002136C7" w:rsidRPr="00C4378C" w:rsidRDefault="002136C7" w:rsidP="002136C7">
      <w:pPr>
        <w:pStyle w:val="03-SubttulodeNota"/>
        <w:spacing w:line="276" w:lineRule="auto"/>
        <w:rPr>
          <w:color w:val="1F4E79" w:themeColor="accent1" w:themeShade="80"/>
          <w:lang w:val="en-US"/>
        </w:rPr>
      </w:pPr>
      <w:r w:rsidRPr="00C4378C">
        <w:rPr>
          <w:color w:val="1F4E79" w:themeColor="accent1" w:themeShade="80"/>
          <w:lang w:val="en-US"/>
        </w:rPr>
        <w:t>Dear Shareholders,</w:t>
      </w:r>
    </w:p>
    <w:p w14:paraId="527ED46C" w14:textId="77777777" w:rsidR="002136C7" w:rsidRPr="00C4378C" w:rsidRDefault="002136C7" w:rsidP="002136C7">
      <w:pPr>
        <w:spacing w:after="0" w:line="240" w:lineRule="auto"/>
        <w:jc w:val="both"/>
        <w:rPr>
          <w:rFonts w:eastAsia="Times New Roman" w:cs="Arial"/>
          <w:sz w:val="20"/>
          <w:szCs w:val="20"/>
          <w:lang w:val="en-US" w:eastAsia="pt-BR"/>
        </w:rPr>
      </w:pPr>
    </w:p>
    <w:p w14:paraId="66A81517" w14:textId="77777777" w:rsidR="002136C7" w:rsidRPr="002136C7" w:rsidRDefault="002136C7" w:rsidP="002136C7">
      <w:pPr>
        <w:spacing w:before="100" w:after="100"/>
        <w:jc w:val="both"/>
        <w:rPr>
          <w:rFonts w:eastAsia="Times New Roman" w:cs="Arial"/>
          <w:color w:val="000000" w:themeColor="text1"/>
          <w:szCs w:val="18"/>
          <w:lang w:val="en-US" w:eastAsia="pt-BR"/>
        </w:rPr>
      </w:pPr>
      <w:r w:rsidRPr="002136C7">
        <w:rPr>
          <w:rFonts w:eastAsia="Times New Roman" w:cs="Arial"/>
          <w:color w:val="000000" w:themeColor="text1"/>
          <w:szCs w:val="18"/>
          <w:lang w:val="en-US" w:eastAsia="pt-BR"/>
        </w:rPr>
        <w:t xml:space="preserve">In the second quarter of 2023, BB Seguridade Participações S.A. (“BB Seguridade” or “Company”) reported net income of R$1,892 million (+25.8% YoY). </w:t>
      </w:r>
    </w:p>
    <w:p w14:paraId="593DF5BC" w14:textId="77777777" w:rsidR="002136C7" w:rsidRPr="002136C7" w:rsidRDefault="002136C7" w:rsidP="002136C7">
      <w:pPr>
        <w:spacing w:before="100" w:after="100"/>
        <w:jc w:val="both"/>
        <w:rPr>
          <w:rFonts w:eastAsia="Times New Roman" w:cs="Arial"/>
          <w:color w:val="000000" w:themeColor="text1"/>
          <w:szCs w:val="18"/>
          <w:lang w:val="en-US" w:eastAsia="pt-BR"/>
        </w:rPr>
      </w:pPr>
      <w:r w:rsidRPr="002136C7">
        <w:rPr>
          <w:rFonts w:eastAsia="Times New Roman" w:cs="Arial"/>
          <w:color w:val="000000" w:themeColor="text1"/>
          <w:szCs w:val="18"/>
          <w:lang w:val="en-US" w:eastAsia="pt-BR"/>
        </w:rPr>
        <w:t xml:space="preserve">The main highlights explaining the R$388.4 million increase of net income as compared to the 2Q22 were: </w:t>
      </w:r>
    </w:p>
    <w:p w14:paraId="39091A18" w14:textId="77777777" w:rsidR="002136C7" w:rsidRPr="002136C7" w:rsidRDefault="002136C7" w:rsidP="00882B41">
      <w:pPr>
        <w:pStyle w:val="PargrafodaLista"/>
        <w:numPr>
          <w:ilvl w:val="0"/>
          <w:numId w:val="37"/>
        </w:numPr>
        <w:spacing w:before="100" w:after="100"/>
        <w:ind w:left="426" w:hanging="284"/>
        <w:jc w:val="both"/>
        <w:rPr>
          <w:rFonts w:ascii="Arial" w:eastAsia="Times New Roman" w:hAnsi="Arial" w:cs="Arial"/>
          <w:color w:val="000000" w:themeColor="text1"/>
          <w:sz w:val="18"/>
          <w:szCs w:val="18"/>
          <w:lang w:val="en-US" w:eastAsia="pt-BR"/>
        </w:rPr>
      </w:pPr>
      <w:r w:rsidRPr="002136C7">
        <w:rPr>
          <w:rFonts w:ascii="Arial" w:eastAsia="Times New Roman" w:hAnsi="Arial" w:cs="Arial"/>
          <w:b/>
          <w:bCs/>
          <w:color w:val="000000" w:themeColor="text1"/>
          <w:sz w:val="18"/>
          <w:szCs w:val="18"/>
          <w:lang w:val="en-US" w:eastAsia="pt-BR"/>
        </w:rPr>
        <w:t>Brasilseg (+R$210.5 million):</w:t>
      </w:r>
      <w:r w:rsidRPr="002136C7">
        <w:rPr>
          <w:rFonts w:ascii="Arial" w:eastAsia="Times New Roman" w:hAnsi="Arial" w:cs="Arial"/>
          <w:color w:val="000000" w:themeColor="text1"/>
          <w:sz w:val="18"/>
          <w:szCs w:val="18"/>
          <w:lang w:val="en-US" w:eastAsia="pt-BR"/>
        </w:rPr>
        <w:t xml:space="preserve"> propelled by the growth of insurance margin and, to a lesser extent, the increase of financial results; </w:t>
      </w:r>
    </w:p>
    <w:p w14:paraId="2D3ADAAB" w14:textId="77777777" w:rsidR="002136C7" w:rsidRPr="002136C7" w:rsidRDefault="002136C7" w:rsidP="00882B41">
      <w:pPr>
        <w:pStyle w:val="PargrafodaLista"/>
        <w:numPr>
          <w:ilvl w:val="0"/>
          <w:numId w:val="37"/>
        </w:numPr>
        <w:spacing w:before="100" w:after="100"/>
        <w:ind w:left="426" w:hanging="284"/>
        <w:jc w:val="both"/>
        <w:rPr>
          <w:rFonts w:ascii="Arial" w:eastAsia="Times New Roman" w:hAnsi="Arial" w:cs="Arial"/>
          <w:color w:val="000000" w:themeColor="text1"/>
          <w:sz w:val="18"/>
          <w:szCs w:val="18"/>
          <w:lang w:val="en-US" w:eastAsia="pt-BR"/>
        </w:rPr>
      </w:pPr>
      <w:r w:rsidRPr="002136C7">
        <w:rPr>
          <w:rFonts w:ascii="Arial" w:eastAsia="Times New Roman" w:hAnsi="Arial" w:cs="Arial"/>
          <w:b/>
          <w:bCs/>
          <w:color w:val="000000" w:themeColor="text1"/>
          <w:sz w:val="18"/>
          <w:szCs w:val="18"/>
          <w:lang w:val="en-US" w:eastAsia="pt-BR"/>
        </w:rPr>
        <w:t xml:space="preserve">Brasilprev (+R$84.0 million): </w:t>
      </w:r>
      <w:r w:rsidRPr="002136C7">
        <w:rPr>
          <w:rFonts w:ascii="Arial" w:eastAsia="Times New Roman" w:hAnsi="Arial" w:cs="Arial"/>
          <w:color w:val="000000" w:themeColor="text1"/>
          <w:sz w:val="18"/>
          <w:szCs w:val="18"/>
          <w:lang w:val="en-US" w:eastAsia="pt-BR"/>
        </w:rPr>
        <w:t>due to the increase of insurance margin, partially offset by lower financial results; and</w:t>
      </w:r>
    </w:p>
    <w:p w14:paraId="45E3A4B1" w14:textId="77777777" w:rsidR="002136C7" w:rsidRPr="002136C7" w:rsidRDefault="002136C7" w:rsidP="00882B41">
      <w:pPr>
        <w:pStyle w:val="PargrafodaLista"/>
        <w:numPr>
          <w:ilvl w:val="0"/>
          <w:numId w:val="37"/>
        </w:numPr>
        <w:spacing w:before="100" w:after="100"/>
        <w:ind w:left="426" w:hanging="284"/>
        <w:jc w:val="both"/>
        <w:rPr>
          <w:rFonts w:ascii="Arial" w:eastAsia="Times New Roman" w:hAnsi="Arial" w:cs="Arial"/>
          <w:color w:val="000000" w:themeColor="text1"/>
          <w:sz w:val="18"/>
          <w:szCs w:val="18"/>
          <w:lang w:val="en-US" w:eastAsia="pt-BR"/>
        </w:rPr>
      </w:pPr>
      <w:r w:rsidRPr="002136C7">
        <w:rPr>
          <w:rFonts w:ascii="Arial" w:eastAsia="Times New Roman" w:hAnsi="Arial" w:cs="Arial"/>
          <w:b/>
          <w:bCs/>
          <w:color w:val="000000" w:themeColor="text1"/>
          <w:sz w:val="18"/>
          <w:szCs w:val="18"/>
          <w:lang w:val="en-US" w:eastAsia="pt-BR"/>
        </w:rPr>
        <w:t>BB Corretora (+R$75.0 million):</w:t>
      </w:r>
      <w:r w:rsidRPr="002136C7">
        <w:rPr>
          <w:rFonts w:ascii="Arial" w:eastAsia="Times New Roman" w:hAnsi="Arial" w:cs="Arial"/>
          <w:color w:val="000000" w:themeColor="text1"/>
          <w:sz w:val="18"/>
          <w:szCs w:val="18"/>
          <w:lang w:val="en-US" w:eastAsia="pt-BR"/>
        </w:rPr>
        <w:t xml:space="preserve"> sustained by the evolution of brokerage revenues and, to a lesser extent, the higher financial results;</w:t>
      </w:r>
    </w:p>
    <w:p w14:paraId="4931FA95" w14:textId="77777777" w:rsidR="002136C7" w:rsidRPr="002136C7" w:rsidRDefault="002136C7" w:rsidP="002136C7">
      <w:pPr>
        <w:spacing w:before="100" w:after="100"/>
        <w:jc w:val="both"/>
        <w:rPr>
          <w:rFonts w:cs="Arial"/>
          <w:szCs w:val="18"/>
          <w:lang w:val="en-US"/>
        </w:rPr>
      </w:pPr>
      <w:r w:rsidRPr="002136C7">
        <w:rPr>
          <w:rFonts w:cs="Arial"/>
          <w:szCs w:val="18"/>
          <w:lang w:val="en-US"/>
        </w:rPr>
        <w:t>The negative balance of holding’s other revenues and expenses improved R$525,000 (-9.7%), mostly driven by:</w:t>
      </w:r>
    </w:p>
    <w:p w14:paraId="1D670FA1" w14:textId="77777777" w:rsidR="002136C7" w:rsidRPr="002136C7" w:rsidRDefault="002136C7" w:rsidP="00882B41">
      <w:pPr>
        <w:pStyle w:val="PargrafodaLista"/>
        <w:numPr>
          <w:ilvl w:val="0"/>
          <w:numId w:val="37"/>
        </w:numPr>
        <w:spacing w:before="100" w:after="100"/>
        <w:ind w:left="426" w:hanging="284"/>
        <w:jc w:val="both"/>
        <w:rPr>
          <w:rFonts w:ascii="Arial" w:eastAsia="Times New Roman" w:hAnsi="Arial" w:cs="Arial"/>
          <w:color w:val="000000" w:themeColor="text1"/>
          <w:sz w:val="18"/>
          <w:szCs w:val="18"/>
          <w:lang w:val="en-US" w:eastAsia="pt-BR"/>
        </w:rPr>
      </w:pPr>
      <w:r w:rsidRPr="002136C7">
        <w:rPr>
          <w:rFonts w:ascii="Arial" w:eastAsia="Times New Roman" w:hAnsi="Arial" w:cs="Arial"/>
          <w:color w:val="000000" w:themeColor="text1"/>
          <w:sz w:val="18"/>
          <w:szCs w:val="18"/>
          <w:lang w:val="en-US" w:eastAsia="pt-BR"/>
        </w:rPr>
        <w:t>the lower personnel expenses, after changes in the percentages of costs allocation to the holdings and BB Corretora;</w:t>
      </w:r>
    </w:p>
    <w:p w14:paraId="15CF63BD" w14:textId="77777777" w:rsidR="002136C7" w:rsidRPr="002136C7" w:rsidRDefault="002136C7" w:rsidP="00882B41">
      <w:pPr>
        <w:pStyle w:val="PargrafodaLista"/>
        <w:numPr>
          <w:ilvl w:val="0"/>
          <w:numId w:val="37"/>
        </w:numPr>
        <w:spacing w:before="100" w:after="100"/>
        <w:ind w:left="426" w:hanging="284"/>
        <w:jc w:val="both"/>
        <w:rPr>
          <w:rFonts w:ascii="Arial" w:eastAsia="Times New Roman" w:hAnsi="Arial" w:cs="Arial"/>
          <w:color w:val="000000" w:themeColor="text1"/>
          <w:sz w:val="18"/>
          <w:szCs w:val="18"/>
          <w:lang w:val="en-US" w:eastAsia="pt-BR"/>
        </w:rPr>
      </w:pPr>
      <w:r w:rsidRPr="002136C7">
        <w:rPr>
          <w:rFonts w:ascii="Arial" w:eastAsia="Times New Roman" w:hAnsi="Arial" w:cs="Arial"/>
          <w:color w:val="000000" w:themeColor="text1"/>
          <w:sz w:val="18"/>
          <w:szCs w:val="18"/>
          <w:lang w:val="en-US" w:eastAsia="pt-BR"/>
        </w:rPr>
        <w:t>the drop in administrative expenses, with the decrease of communication costs, as the shareholder’s income statements related to FY2022 were sent digitally, avoiding posting expenses. In 2Q22, these costs reached R$518,000; and</w:t>
      </w:r>
    </w:p>
    <w:p w14:paraId="503211BE" w14:textId="77777777" w:rsidR="002136C7" w:rsidRPr="002136C7" w:rsidRDefault="002136C7" w:rsidP="00882B41">
      <w:pPr>
        <w:pStyle w:val="PargrafodaLista"/>
        <w:numPr>
          <w:ilvl w:val="0"/>
          <w:numId w:val="37"/>
        </w:numPr>
        <w:spacing w:before="100" w:after="100"/>
        <w:ind w:left="426" w:hanging="284"/>
        <w:jc w:val="both"/>
        <w:rPr>
          <w:rFonts w:ascii="Arial" w:eastAsia="Times New Roman" w:hAnsi="Arial" w:cs="Arial"/>
          <w:color w:val="000000" w:themeColor="text1"/>
          <w:sz w:val="18"/>
          <w:szCs w:val="18"/>
          <w:lang w:val="en-US" w:eastAsia="pt-BR"/>
        </w:rPr>
      </w:pPr>
      <w:r w:rsidRPr="002136C7">
        <w:rPr>
          <w:rFonts w:ascii="Arial" w:eastAsia="Times New Roman" w:hAnsi="Arial" w:cs="Arial"/>
          <w:color w:val="000000" w:themeColor="text1"/>
          <w:sz w:val="18"/>
          <w:szCs w:val="18"/>
          <w:lang w:val="en-US" w:eastAsia="pt-BR"/>
        </w:rPr>
        <w:t>the higher volume of revenues from the ADR Level I program, accounted in “other operating income and expenses”, due to the increase in the number of ADRs issued as compared to the 2Q22.</w:t>
      </w:r>
    </w:p>
    <w:p w14:paraId="2BDF75D3" w14:textId="77777777" w:rsidR="002136C7" w:rsidRPr="002136C7" w:rsidRDefault="002136C7" w:rsidP="002136C7">
      <w:pPr>
        <w:spacing w:before="100" w:after="100"/>
        <w:jc w:val="both"/>
        <w:rPr>
          <w:rFonts w:cs="Arial"/>
          <w:szCs w:val="18"/>
          <w:lang w:val="en-US"/>
        </w:rPr>
      </w:pPr>
      <w:r w:rsidRPr="002136C7">
        <w:rPr>
          <w:rFonts w:cs="Arial"/>
          <w:szCs w:val="18"/>
          <w:lang w:val="en-US"/>
        </w:rPr>
        <w:t>On the other hand, the aforementioned effects were partially offset by higher tax expenses on holding’s financial revenues.</w:t>
      </w:r>
    </w:p>
    <w:p w14:paraId="36B7E44A" w14:textId="77777777" w:rsidR="002136C7" w:rsidRPr="002136C7" w:rsidRDefault="002136C7" w:rsidP="002136C7">
      <w:pPr>
        <w:spacing w:before="100" w:after="100"/>
        <w:jc w:val="both"/>
        <w:rPr>
          <w:rFonts w:cs="Arial"/>
          <w:szCs w:val="18"/>
          <w:lang w:val="en-US"/>
        </w:rPr>
      </w:pPr>
      <w:r w:rsidRPr="002136C7">
        <w:rPr>
          <w:rFonts w:cs="Arial"/>
          <w:szCs w:val="18"/>
          <w:lang w:val="en-US"/>
        </w:rPr>
        <w:t>The financial results were up 147.9%, justified by the expansion of the average balance of financial investments and the higher average Selic rate.</w:t>
      </w:r>
    </w:p>
    <w:p w14:paraId="47BDAD0B" w14:textId="77777777" w:rsidR="002136C7" w:rsidRPr="002136C7" w:rsidRDefault="002136C7" w:rsidP="002136C7">
      <w:pPr>
        <w:spacing w:before="100" w:after="100"/>
        <w:jc w:val="both"/>
        <w:rPr>
          <w:rFonts w:cs="Arial"/>
          <w:szCs w:val="18"/>
          <w:lang w:val="en-US"/>
        </w:rPr>
      </w:pPr>
      <w:r w:rsidRPr="002136C7">
        <w:rPr>
          <w:rFonts w:cs="Arial"/>
          <w:szCs w:val="18"/>
          <w:lang w:val="en-US"/>
        </w:rPr>
        <w:t>For more information about BB Seguridade’s performance, including the managerial analysis of its investees, please refer to the MD&amp;A, available at www.bbseguridaderi.com.br/en, section Financial Information, option Results Center.</w:t>
      </w:r>
    </w:p>
    <w:p w14:paraId="52A467BF" w14:textId="77777777" w:rsidR="002136C7" w:rsidRDefault="002136C7" w:rsidP="002136C7">
      <w:pPr>
        <w:rPr>
          <w:highlight w:val="yellow"/>
          <w:lang w:val="en-US"/>
        </w:rPr>
      </w:pPr>
    </w:p>
    <w:p w14:paraId="1B7C864D" w14:textId="77777777" w:rsidR="00A64F1A" w:rsidRDefault="00A64F1A" w:rsidP="005D05B7">
      <w:pPr>
        <w:jc w:val="both"/>
        <w:rPr>
          <w:rFonts w:cs="Arial"/>
          <w:sz w:val="20"/>
          <w:szCs w:val="20"/>
          <w:lang w:val="en-US" w:eastAsia="pt-BR"/>
        </w:rPr>
        <w:sectPr w:rsidR="00A64F1A" w:rsidSect="00A64F1A">
          <w:headerReference w:type="even" r:id="rId16"/>
          <w:headerReference w:type="default" r:id="rId17"/>
          <w:footerReference w:type="even" r:id="rId18"/>
          <w:footerReference w:type="default" r:id="rId19"/>
          <w:headerReference w:type="first" r:id="rId20"/>
          <w:footerReference w:type="first" r:id="rId21"/>
          <w:type w:val="oddPage"/>
          <w:pgSz w:w="11906" w:h="16838" w:code="9"/>
          <w:pgMar w:top="1134" w:right="1134" w:bottom="851" w:left="1134" w:header="851" w:footer="284" w:gutter="0"/>
          <w:pgNumType w:start="1"/>
          <w:cols w:space="708"/>
          <w:docGrid w:linePitch="360"/>
        </w:sectPr>
      </w:pPr>
    </w:p>
    <w:p w14:paraId="1328BA6B" w14:textId="05940B27" w:rsidR="005D05B7" w:rsidRDefault="005D05B7" w:rsidP="00A64F1A">
      <w:pPr>
        <w:pStyle w:val="01-Textonormal"/>
        <w:rPr>
          <w:lang w:val="en-US"/>
        </w:rPr>
      </w:pPr>
    </w:p>
    <w:p w14:paraId="5082D098" w14:textId="6C5A0359" w:rsidR="008B7E19" w:rsidRPr="002F1512" w:rsidRDefault="008B7E19" w:rsidP="00A64F1A">
      <w:pPr>
        <w:pStyle w:val="02-TtulodeNota"/>
        <w:rPr>
          <w:bCs/>
          <w:color w:val="1F4E79" w:themeColor="accent1" w:themeShade="80"/>
          <w:lang w:val="en-US"/>
        </w:rPr>
      </w:pPr>
      <w:bookmarkStart w:id="6" w:name="_Toc141966672"/>
      <w:r w:rsidRPr="002F1512">
        <w:rPr>
          <w:color w:val="1F4E79" w:themeColor="accent1" w:themeShade="80"/>
          <w:lang w:val="en-US"/>
        </w:rPr>
        <w:t>STATEMENT OF INCOME</w:t>
      </w:r>
      <w:bookmarkEnd w:id="6"/>
    </w:p>
    <w:p w14:paraId="45893DDF" w14:textId="77777777" w:rsidR="008B7E19" w:rsidRPr="002F1512" w:rsidRDefault="008B7E19" w:rsidP="008B7E19">
      <w:pPr>
        <w:pStyle w:val="06-Rmil"/>
        <w:rPr>
          <w:sz w:val="12"/>
          <w:szCs w:val="12"/>
          <w:lang w:val="en-US"/>
        </w:rPr>
      </w:pPr>
      <w:r w:rsidRPr="002F1512">
        <w:rPr>
          <w:lang w:val="en-US"/>
        </w:rPr>
        <w:t>R$ thousand (except earnings per share)</w:t>
      </w:r>
    </w:p>
    <w:tbl>
      <w:tblPr>
        <w:tblStyle w:val="TabeladeLista6Colorida-nfase5"/>
        <w:tblW w:w="14859" w:type="dxa"/>
        <w:jc w:val="center"/>
        <w:tblLayout w:type="fixed"/>
        <w:tblLook w:val="04A0" w:firstRow="1" w:lastRow="0" w:firstColumn="1" w:lastColumn="0" w:noHBand="0" w:noVBand="1"/>
      </w:tblPr>
      <w:tblGrid>
        <w:gridCol w:w="2841"/>
        <w:gridCol w:w="720"/>
        <w:gridCol w:w="1444"/>
        <w:gridCol w:w="1104"/>
        <w:gridCol w:w="1444"/>
        <w:gridCol w:w="1454"/>
        <w:gridCol w:w="253"/>
        <w:gridCol w:w="1310"/>
        <w:gridCol w:w="1196"/>
        <w:gridCol w:w="1474"/>
        <w:gridCol w:w="1619"/>
      </w:tblGrid>
      <w:tr w:rsidR="008B7E19" w14:paraId="15BC5D20" w14:textId="77777777" w:rsidTr="008B7E19">
        <w:trPr>
          <w:cnfStyle w:val="100000000000" w:firstRow="1" w:lastRow="0" w:firstColumn="0" w:lastColumn="0" w:oddVBand="0" w:evenVBand="0" w:oddHBand="0" w:evenHBand="0" w:firstRowFirstColumn="0" w:firstRowLastColumn="0" w:lastRowFirstColumn="0" w:lastRowLastColumn="0"/>
          <w:trHeight w:hRule="exact" w:val="283"/>
          <w:jc w:val="center"/>
        </w:trPr>
        <w:tc>
          <w:tcPr>
            <w:cnfStyle w:val="001000000000" w:firstRow="0" w:lastRow="0" w:firstColumn="1" w:lastColumn="0" w:oddVBand="0" w:evenVBand="0" w:oddHBand="0" w:evenHBand="0" w:firstRowFirstColumn="0" w:firstRowLastColumn="0" w:lastRowFirstColumn="0" w:lastRowLastColumn="0"/>
            <w:tcW w:w="2841" w:type="dxa"/>
            <w:tcBorders>
              <w:top w:val="single" w:sz="2" w:space="0" w:color="1F4E79" w:themeColor="accent1" w:themeShade="80"/>
              <w:bottom w:val="nil"/>
            </w:tcBorders>
            <w:shd w:val="clear" w:color="auto" w:fill="auto"/>
            <w:vAlign w:val="center"/>
          </w:tcPr>
          <w:p w14:paraId="3D176802" w14:textId="77777777" w:rsidR="008B7E19" w:rsidRPr="0038283D" w:rsidRDefault="008B7E19" w:rsidP="008B7E19">
            <w:pPr>
              <w:jc w:val="center"/>
              <w:rPr>
                <w:rFonts w:cs="Arial"/>
                <w:b w:val="0"/>
                <w:szCs w:val="18"/>
                <w:lang w:val="en-US"/>
              </w:rPr>
            </w:pPr>
          </w:p>
        </w:tc>
        <w:tc>
          <w:tcPr>
            <w:tcW w:w="720" w:type="dxa"/>
            <w:tcBorders>
              <w:top w:val="single" w:sz="2" w:space="0" w:color="1F4E79" w:themeColor="accent1" w:themeShade="80"/>
              <w:bottom w:val="nil"/>
            </w:tcBorders>
            <w:shd w:val="clear" w:color="auto" w:fill="auto"/>
            <w:vAlign w:val="center"/>
          </w:tcPr>
          <w:p w14:paraId="45FDDFF4" w14:textId="77777777" w:rsidR="008B7E19" w:rsidRPr="0038283D" w:rsidRDefault="008B7E19" w:rsidP="008B7E19">
            <w:pPr>
              <w:jc w:val="center"/>
              <w:cnfStyle w:val="100000000000" w:firstRow="1" w:lastRow="0" w:firstColumn="0" w:lastColumn="0" w:oddVBand="0" w:evenVBand="0" w:oddHBand="0" w:evenHBand="0" w:firstRowFirstColumn="0" w:firstRowLastColumn="0" w:lastRowFirstColumn="0" w:lastRowLastColumn="0"/>
              <w:rPr>
                <w:rFonts w:cs="Arial"/>
                <w:b w:val="0"/>
                <w:szCs w:val="18"/>
                <w:lang w:val="en-US"/>
              </w:rPr>
            </w:pPr>
          </w:p>
        </w:tc>
        <w:tc>
          <w:tcPr>
            <w:tcW w:w="5446" w:type="dxa"/>
            <w:gridSpan w:val="4"/>
            <w:tcBorders>
              <w:top w:val="single" w:sz="2" w:space="0" w:color="1F4E79" w:themeColor="accent1" w:themeShade="80"/>
              <w:bottom w:val="single" w:sz="2" w:space="0" w:color="1F4E79" w:themeColor="accent1" w:themeShade="80"/>
            </w:tcBorders>
            <w:shd w:val="clear" w:color="auto" w:fill="auto"/>
            <w:vAlign w:val="center"/>
          </w:tcPr>
          <w:p w14:paraId="37857B91" w14:textId="77777777" w:rsidR="008B7E19" w:rsidRPr="001D6BE8" w:rsidRDefault="008B7E19" w:rsidP="008B7E19">
            <w:pPr>
              <w:jc w:val="center"/>
              <w:cnfStyle w:val="100000000000" w:firstRow="1" w:lastRow="0" w:firstColumn="0" w:lastColumn="0" w:oddVBand="0" w:evenVBand="0" w:oddHBand="0" w:evenHBand="0" w:firstRowFirstColumn="0" w:firstRowLastColumn="0" w:lastRowFirstColumn="0" w:lastRowLastColumn="0"/>
              <w:rPr>
                <w:rFonts w:cs="Arial"/>
                <w:bCs w:val="0"/>
                <w:szCs w:val="18"/>
              </w:rPr>
            </w:pPr>
            <w:r w:rsidRPr="009768B6">
              <w:rPr>
                <w:rFonts w:cs="Arial"/>
                <w:sz w:val="14"/>
                <w:szCs w:val="18"/>
              </w:rPr>
              <w:t>Parent</w:t>
            </w:r>
          </w:p>
        </w:tc>
        <w:tc>
          <w:tcPr>
            <w:tcW w:w="253" w:type="dxa"/>
            <w:tcBorders>
              <w:top w:val="single" w:sz="2" w:space="0" w:color="1F4E79" w:themeColor="accent1" w:themeShade="80"/>
              <w:bottom w:val="nil"/>
            </w:tcBorders>
            <w:shd w:val="clear" w:color="auto" w:fill="auto"/>
            <w:vAlign w:val="center"/>
          </w:tcPr>
          <w:p w14:paraId="16E2410C" w14:textId="77777777" w:rsidR="008B7E19" w:rsidRPr="0038031F" w:rsidRDefault="008B7E19" w:rsidP="008B7E19">
            <w:pPr>
              <w:jc w:val="center"/>
              <w:cnfStyle w:val="100000000000" w:firstRow="1" w:lastRow="0" w:firstColumn="0" w:lastColumn="0" w:oddVBand="0" w:evenVBand="0" w:oddHBand="0" w:evenHBand="0" w:firstRowFirstColumn="0" w:firstRowLastColumn="0" w:lastRowFirstColumn="0" w:lastRowLastColumn="0"/>
              <w:rPr>
                <w:rFonts w:cs="Arial"/>
                <w:b w:val="0"/>
                <w:bCs w:val="0"/>
                <w:szCs w:val="18"/>
              </w:rPr>
            </w:pPr>
          </w:p>
        </w:tc>
        <w:tc>
          <w:tcPr>
            <w:tcW w:w="5598" w:type="dxa"/>
            <w:gridSpan w:val="4"/>
            <w:tcBorders>
              <w:top w:val="single" w:sz="2" w:space="0" w:color="1F4E79" w:themeColor="accent1" w:themeShade="80"/>
              <w:bottom w:val="single" w:sz="2" w:space="0" w:color="1F4E79" w:themeColor="accent1" w:themeShade="80"/>
            </w:tcBorders>
            <w:vAlign w:val="center"/>
          </w:tcPr>
          <w:p w14:paraId="00E614E6" w14:textId="77777777" w:rsidR="008B7E19" w:rsidRPr="0038031F" w:rsidRDefault="008B7E19" w:rsidP="008B7E19">
            <w:pPr>
              <w:jc w:val="center"/>
              <w:cnfStyle w:val="100000000000" w:firstRow="1" w:lastRow="0" w:firstColumn="0" w:lastColumn="0" w:oddVBand="0" w:evenVBand="0" w:oddHBand="0" w:evenHBand="0" w:firstRowFirstColumn="0" w:firstRowLastColumn="0" w:lastRowFirstColumn="0" w:lastRowLastColumn="0"/>
              <w:rPr>
                <w:rFonts w:cs="Arial"/>
                <w:szCs w:val="18"/>
              </w:rPr>
            </w:pPr>
            <w:r w:rsidRPr="009768B6">
              <w:rPr>
                <w:rFonts w:cs="Arial"/>
                <w:sz w:val="14"/>
                <w:szCs w:val="18"/>
              </w:rPr>
              <w:t>Consolidated</w:t>
            </w:r>
          </w:p>
        </w:tc>
      </w:tr>
      <w:tr w:rsidR="008B7E19" w:rsidRPr="001D6BE8" w14:paraId="3CA1AF55" w14:textId="77777777" w:rsidTr="008B7E19">
        <w:trPr>
          <w:cnfStyle w:val="000000100000" w:firstRow="0" w:lastRow="0" w:firstColumn="0" w:lastColumn="0" w:oddVBand="0" w:evenVBand="0" w:oddHBand="1" w:evenHBand="0" w:firstRowFirstColumn="0" w:firstRowLastColumn="0" w:lastRowFirstColumn="0" w:lastRowLastColumn="0"/>
          <w:trHeight w:hRule="exact" w:val="485"/>
          <w:jc w:val="center"/>
        </w:trPr>
        <w:tc>
          <w:tcPr>
            <w:cnfStyle w:val="001000000000" w:firstRow="0" w:lastRow="0" w:firstColumn="1" w:lastColumn="0" w:oddVBand="0" w:evenVBand="0" w:oddHBand="0" w:evenHBand="0" w:firstRowFirstColumn="0" w:firstRowLastColumn="0" w:lastRowFirstColumn="0" w:lastRowLastColumn="0"/>
            <w:tcW w:w="2841" w:type="dxa"/>
            <w:tcBorders>
              <w:top w:val="nil"/>
              <w:bottom w:val="single" w:sz="2" w:space="0" w:color="1F4E79" w:themeColor="accent1" w:themeShade="80"/>
            </w:tcBorders>
            <w:shd w:val="clear" w:color="auto" w:fill="auto"/>
            <w:vAlign w:val="center"/>
          </w:tcPr>
          <w:p w14:paraId="764D567C" w14:textId="77777777" w:rsidR="008B7E19" w:rsidRPr="001D6BE8" w:rsidRDefault="008B7E19" w:rsidP="008B7E19">
            <w:pPr>
              <w:pStyle w:val="08-Tabelageral"/>
              <w:jc w:val="left"/>
              <w:rPr>
                <w:rFonts w:cs="Arial"/>
                <w:b w:val="0"/>
              </w:rPr>
            </w:pPr>
          </w:p>
        </w:tc>
        <w:tc>
          <w:tcPr>
            <w:tcW w:w="720" w:type="dxa"/>
            <w:tcBorders>
              <w:top w:val="nil"/>
              <w:bottom w:val="single" w:sz="2" w:space="0" w:color="1F4E79" w:themeColor="accent1" w:themeShade="80"/>
            </w:tcBorders>
            <w:shd w:val="clear" w:color="auto" w:fill="auto"/>
            <w:vAlign w:val="center"/>
          </w:tcPr>
          <w:p w14:paraId="0FFBD1CB" w14:textId="77777777" w:rsidR="008B7E19" w:rsidRPr="001D6BE8"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b/>
              </w:rPr>
            </w:pPr>
            <w:r>
              <w:rPr>
                <w:rFonts w:cs="Arial"/>
                <w:b/>
              </w:rPr>
              <w:t>Note</w:t>
            </w:r>
          </w:p>
        </w:tc>
        <w:tc>
          <w:tcPr>
            <w:tcW w:w="1444" w:type="dxa"/>
            <w:tcBorders>
              <w:top w:val="single" w:sz="2" w:space="0" w:color="1F4E79" w:themeColor="accent1" w:themeShade="80"/>
              <w:bottom w:val="single" w:sz="2" w:space="0" w:color="1F4E79" w:themeColor="accent1" w:themeShade="80"/>
            </w:tcBorders>
            <w:shd w:val="clear" w:color="auto" w:fill="auto"/>
            <w:vAlign w:val="center"/>
          </w:tcPr>
          <w:p w14:paraId="4AAC027B" w14:textId="77777777" w:rsidR="008B7E19" w:rsidRPr="00CF21E0" w:rsidRDefault="008B7E19" w:rsidP="008B7E19">
            <w:pPr>
              <w:pStyle w:val="08-Tabelageral"/>
              <w:jc w:val="center"/>
              <w:cnfStyle w:val="000000100000" w:firstRow="0" w:lastRow="0" w:firstColumn="0" w:lastColumn="0" w:oddVBand="0" w:evenVBand="0" w:oddHBand="1" w:evenHBand="0" w:firstRowFirstColumn="0" w:firstRowLastColumn="0" w:lastRowFirstColumn="0" w:lastRowLastColumn="0"/>
              <w:rPr>
                <w:rFonts w:cs="Arial"/>
                <w:b/>
                <w:bCs/>
                <w:szCs w:val="14"/>
              </w:rPr>
            </w:pPr>
            <w:r>
              <w:rPr>
                <w:rFonts w:cs="Arial"/>
                <w:b/>
                <w:bCs/>
                <w:szCs w:val="14"/>
              </w:rPr>
              <w:t>2</w:t>
            </w:r>
            <w:r>
              <w:rPr>
                <w:rFonts w:cs="Arial"/>
                <w:b/>
                <w:bCs/>
                <w:szCs w:val="14"/>
                <w:vertAlign w:val="superscript"/>
              </w:rPr>
              <w:t>nd</w:t>
            </w:r>
            <w:r w:rsidRPr="003E392D">
              <w:rPr>
                <w:rFonts w:cs="Arial"/>
                <w:b/>
                <w:bCs/>
                <w:szCs w:val="14"/>
              </w:rPr>
              <w:t xml:space="preserve"> Quarter 202</w:t>
            </w:r>
            <w:r>
              <w:rPr>
                <w:rFonts w:cs="Arial"/>
                <w:b/>
                <w:bCs/>
                <w:szCs w:val="14"/>
              </w:rPr>
              <w:t>3</w:t>
            </w:r>
          </w:p>
        </w:tc>
        <w:tc>
          <w:tcPr>
            <w:tcW w:w="1104" w:type="dxa"/>
            <w:tcBorders>
              <w:top w:val="single" w:sz="2" w:space="0" w:color="1F4E79" w:themeColor="accent1" w:themeShade="80"/>
              <w:bottom w:val="single" w:sz="2" w:space="0" w:color="1F4E79" w:themeColor="accent1" w:themeShade="80"/>
            </w:tcBorders>
            <w:shd w:val="clear" w:color="auto" w:fill="auto"/>
            <w:vAlign w:val="center"/>
          </w:tcPr>
          <w:p w14:paraId="43E80931" w14:textId="77777777" w:rsidR="008B7E19" w:rsidRPr="00CF21E0" w:rsidRDefault="008B7E19" w:rsidP="008B7E19">
            <w:pPr>
              <w:pStyle w:val="08-Tabelageral"/>
              <w:jc w:val="center"/>
              <w:cnfStyle w:val="000000100000" w:firstRow="0" w:lastRow="0" w:firstColumn="0" w:lastColumn="0" w:oddVBand="0" w:evenVBand="0" w:oddHBand="1" w:evenHBand="0" w:firstRowFirstColumn="0" w:firstRowLastColumn="0" w:lastRowFirstColumn="0" w:lastRowLastColumn="0"/>
              <w:rPr>
                <w:rFonts w:cs="Arial"/>
                <w:b/>
                <w:bCs/>
                <w:szCs w:val="14"/>
              </w:rPr>
            </w:pPr>
            <w:r w:rsidRPr="003E392D">
              <w:rPr>
                <w:rFonts w:cs="Arial"/>
                <w:b/>
                <w:bCs/>
                <w:szCs w:val="14"/>
              </w:rPr>
              <w:t>1</w:t>
            </w:r>
            <w:r w:rsidRPr="003E392D">
              <w:rPr>
                <w:rFonts w:cs="Arial"/>
                <w:b/>
                <w:bCs/>
                <w:szCs w:val="14"/>
                <w:vertAlign w:val="superscript"/>
              </w:rPr>
              <w:t>st</w:t>
            </w:r>
            <w:r w:rsidRPr="003E392D">
              <w:rPr>
                <w:rFonts w:cs="Arial"/>
                <w:b/>
                <w:bCs/>
                <w:szCs w:val="14"/>
              </w:rPr>
              <w:t xml:space="preserve"> Half 202</w:t>
            </w:r>
            <w:r>
              <w:rPr>
                <w:rFonts w:cs="Arial"/>
                <w:b/>
                <w:bCs/>
                <w:szCs w:val="14"/>
              </w:rPr>
              <w:t>3</w:t>
            </w:r>
          </w:p>
        </w:tc>
        <w:tc>
          <w:tcPr>
            <w:tcW w:w="1444" w:type="dxa"/>
            <w:tcBorders>
              <w:top w:val="single" w:sz="2" w:space="0" w:color="1F4E79" w:themeColor="accent1" w:themeShade="80"/>
              <w:bottom w:val="single" w:sz="2" w:space="0" w:color="1F4E79" w:themeColor="accent1" w:themeShade="80"/>
            </w:tcBorders>
            <w:shd w:val="clear" w:color="auto" w:fill="auto"/>
            <w:vAlign w:val="center"/>
          </w:tcPr>
          <w:p w14:paraId="37B574D8" w14:textId="77777777" w:rsidR="008B7E19" w:rsidRDefault="008B7E19" w:rsidP="008B7E19">
            <w:pPr>
              <w:pStyle w:val="08-Tabelageral"/>
              <w:jc w:val="center"/>
              <w:cnfStyle w:val="000000100000" w:firstRow="0" w:lastRow="0" w:firstColumn="0" w:lastColumn="0" w:oddVBand="0" w:evenVBand="0" w:oddHBand="1" w:evenHBand="0" w:firstRowFirstColumn="0" w:firstRowLastColumn="0" w:lastRowFirstColumn="0" w:lastRowLastColumn="0"/>
              <w:rPr>
                <w:rFonts w:cs="Arial"/>
                <w:b/>
                <w:bCs/>
                <w:szCs w:val="14"/>
              </w:rPr>
            </w:pPr>
            <w:r>
              <w:rPr>
                <w:rFonts w:cs="Arial"/>
                <w:b/>
                <w:bCs/>
                <w:szCs w:val="14"/>
              </w:rPr>
              <w:t>2</w:t>
            </w:r>
            <w:r>
              <w:rPr>
                <w:rFonts w:cs="Arial"/>
                <w:b/>
                <w:bCs/>
                <w:szCs w:val="14"/>
                <w:vertAlign w:val="superscript"/>
              </w:rPr>
              <w:t>nd</w:t>
            </w:r>
            <w:r w:rsidRPr="003E392D">
              <w:rPr>
                <w:rFonts w:cs="Arial"/>
                <w:b/>
                <w:bCs/>
                <w:szCs w:val="14"/>
              </w:rPr>
              <w:t xml:space="preserve"> Quarter 202</w:t>
            </w:r>
            <w:r>
              <w:rPr>
                <w:rFonts w:cs="Arial"/>
                <w:b/>
                <w:bCs/>
                <w:szCs w:val="14"/>
              </w:rPr>
              <w:t>2</w:t>
            </w:r>
          </w:p>
          <w:p w14:paraId="4750465B" w14:textId="77777777" w:rsidR="008B7E19" w:rsidRPr="00CF21E0" w:rsidRDefault="008B7E19" w:rsidP="008B7E19">
            <w:pPr>
              <w:pStyle w:val="08-Tabelageral"/>
              <w:jc w:val="center"/>
              <w:cnfStyle w:val="000000100000" w:firstRow="0" w:lastRow="0" w:firstColumn="0" w:lastColumn="0" w:oddVBand="0" w:evenVBand="0" w:oddHBand="1" w:evenHBand="0" w:firstRowFirstColumn="0" w:firstRowLastColumn="0" w:lastRowFirstColumn="0" w:lastRowLastColumn="0"/>
              <w:rPr>
                <w:rFonts w:cs="Arial"/>
                <w:b/>
                <w:bCs/>
                <w:szCs w:val="14"/>
              </w:rPr>
            </w:pPr>
            <w:r w:rsidRPr="00BE2D21">
              <w:rPr>
                <w:rFonts w:cs="Arial"/>
                <w:b/>
                <w:bCs/>
                <w:szCs w:val="14"/>
              </w:rPr>
              <w:t>Restated balances</w:t>
            </w:r>
          </w:p>
        </w:tc>
        <w:tc>
          <w:tcPr>
            <w:tcW w:w="1454" w:type="dxa"/>
            <w:tcBorders>
              <w:top w:val="single" w:sz="2" w:space="0" w:color="1F4E79" w:themeColor="accent1" w:themeShade="80"/>
              <w:bottom w:val="single" w:sz="2" w:space="0" w:color="1F4E79" w:themeColor="accent1" w:themeShade="80"/>
            </w:tcBorders>
            <w:shd w:val="clear" w:color="auto" w:fill="auto"/>
            <w:vAlign w:val="center"/>
          </w:tcPr>
          <w:p w14:paraId="6DA7DA43" w14:textId="77777777" w:rsidR="008B7E19" w:rsidRDefault="008B7E19" w:rsidP="008B7E19">
            <w:pPr>
              <w:pStyle w:val="08-Tabelageral"/>
              <w:jc w:val="center"/>
              <w:cnfStyle w:val="000000100000" w:firstRow="0" w:lastRow="0" w:firstColumn="0" w:lastColumn="0" w:oddVBand="0" w:evenVBand="0" w:oddHBand="1" w:evenHBand="0" w:firstRowFirstColumn="0" w:firstRowLastColumn="0" w:lastRowFirstColumn="0" w:lastRowLastColumn="0"/>
              <w:rPr>
                <w:rFonts w:cs="Arial"/>
                <w:b/>
                <w:bCs/>
                <w:szCs w:val="14"/>
              </w:rPr>
            </w:pPr>
            <w:r w:rsidRPr="003E392D">
              <w:rPr>
                <w:rFonts w:cs="Arial"/>
                <w:b/>
                <w:bCs/>
                <w:szCs w:val="14"/>
              </w:rPr>
              <w:t>1</w:t>
            </w:r>
            <w:r w:rsidRPr="003E392D">
              <w:rPr>
                <w:rFonts w:cs="Arial"/>
                <w:b/>
                <w:bCs/>
                <w:szCs w:val="14"/>
                <w:vertAlign w:val="superscript"/>
              </w:rPr>
              <w:t>st</w:t>
            </w:r>
            <w:r w:rsidRPr="003E392D">
              <w:rPr>
                <w:rFonts w:cs="Arial"/>
                <w:b/>
                <w:bCs/>
                <w:szCs w:val="14"/>
              </w:rPr>
              <w:t xml:space="preserve"> Half 202</w:t>
            </w:r>
            <w:r>
              <w:rPr>
                <w:rFonts w:cs="Arial"/>
                <w:b/>
                <w:bCs/>
                <w:szCs w:val="14"/>
              </w:rPr>
              <w:t>2</w:t>
            </w:r>
          </w:p>
          <w:p w14:paraId="5B6D27EF" w14:textId="77777777" w:rsidR="008B7E19" w:rsidRPr="00CF21E0" w:rsidRDefault="008B7E19" w:rsidP="008B7E19">
            <w:pPr>
              <w:pStyle w:val="08-Tabelageral"/>
              <w:jc w:val="center"/>
              <w:cnfStyle w:val="000000100000" w:firstRow="0" w:lastRow="0" w:firstColumn="0" w:lastColumn="0" w:oddVBand="0" w:evenVBand="0" w:oddHBand="1" w:evenHBand="0" w:firstRowFirstColumn="0" w:firstRowLastColumn="0" w:lastRowFirstColumn="0" w:lastRowLastColumn="0"/>
              <w:rPr>
                <w:rFonts w:cs="Arial"/>
                <w:b/>
                <w:bCs/>
                <w:szCs w:val="14"/>
              </w:rPr>
            </w:pPr>
            <w:r w:rsidRPr="00BE2D21">
              <w:rPr>
                <w:rFonts w:cs="Arial"/>
                <w:b/>
                <w:bCs/>
                <w:szCs w:val="14"/>
              </w:rPr>
              <w:t>Restated balances</w:t>
            </w:r>
          </w:p>
        </w:tc>
        <w:tc>
          <w:tcPr>
            <w:tcW w:w="253" w:type="dxa"/>
            <w:tcBorders>
              <w:top w:val="nil"/>
              <w:bottom w:val="nil"/>
            </w:tcBorders>
            <w:shd w:val="clear" w:color="auto" w:fill="auto"/>
            <w:vAlign w:val="center"/>
          </w:tcPr>
          <w:p w14:paraId="05A1F5BD" w14:textId="77777777" w:rsidR="008B7E19" w:rsidRPr="001D6BE8" w:rsidRDefault="008B7E19" w:rsidP="008B7E19">
            <w:pPr>
              <w:pStyle w:val="08-Tabelageral"/>
              <w:ind w:left="34"/>
              <w:jc w:val="center"/>
              <w:cnfStyle w:val="000000100000" w:firstRow="0" w:lastRow="0" w:firstColumn="0" w:lastColumn="0" w:oddVBand="0" w:evenVBand="0" w:oddHBand="1" w:evenHBand="0" w:firstRowFirstColumn="0" w:firstRowLastColumn="0" w:lastRowFirstColumn="0" w:lastRowLastColumn="0"/>
              <w:rPr>
                <w:rFonts w:cs="Arial"/>
                <w:b/>
              </w:rPr>
            </w:pPr>
          </w:p>
        </w:tc>
        <w:tc>
          <w:tcPr>
            <w:tcW w:w="1310" w:type="dxa"/>
            <w:tcBorders>
              <w:top w:val="single" w:sz="2" w:space="0" w:color="1F4E79" w:themeColor="accent1" w:themeShade="80"/>
              <w:bottom w:val="single" w:sz="2" w:space="0" w:color="1F4E79" w:themeColor="accent1" w:themeShade="80"/>
            </w:tcBorders>
            <w:shd w:val="clear" w:color="auto" w:fill="auto"/>
            <w:vAlign w:val="center"/>
          </w:tcPr>
          <w:p w14:paraId="315CF514" w14:textId="77777777" w:rsidR="008B7E19" w:rsidRPr="00CF21E0" w:rsidRDefault="008B7E19" w:rsidP="008B7E19">
            <w:pPr>
              <w:pStyle w:val="08-Tabelageral"/>
              <w:jc w:val="center"/>
              <w:cnfStyle w:val="000000100000" w:firstRow="0" w:lastRow="0" w:firstColumn="0" w:lastColumn="0" w:oddVBand="0" w:evenVBand="0" w:oddHBand="1" w:evenHBand="0" w:firstRowFirstColumn="0" w:firstRowLastColumn="0" w:lastRowFirstColumn="0" w:lastRowLastColumn="0"/>
              <w:rPr>
                <w:rFonts w:cs="Arial"/>
                <w:b/>
                <w:bCs/>
                <w:szCs w:val="14"/>
              </w:rPr>
            </w:pPr>
            <w:r>
              <w:rPr>
                <w:rFonts w:cs="Arial"/>
                <w:b/>
                <w:bCs/>
                <w:szCs w:val="14"/>
              </w:rPr>
              <w:t>2</w:t>
            </w:r>
            <w:r>
              <w:rPr>
                <w:rFonts w:cs="Arial"/>
                <w:b/>
                <w:bCs/>
                <w:szCs w:val="14"/>
                <w:vertAlign w:val="superscript"/>
              </w:rPr>
              <w:t>nd</w:t>
            </w:r>
            <w:r w:rsidRPr="003E392D">
              <w:rPr>
                <w:rFonts w:cs="Arial"/>
                <w:b/>
                <w:bCs/>
                <w:szCs w:val="14"/>
              </w:rPr>
              <w:t xml:space="preserve"> Quarter 202</w:t>
            </w:r>
            <w:r>
              <w:rPr>
                <w:rFonts w:cs="Arial"/>
                <w:b/>
                <w:bCs/>
                <w:szCs w:val="14"/>
              </w:rPr>
              <w:t>3</w:t>
            </w:r>
          </w:p>
        </w:tc>
        <w:tc>
          <w:tcPr>
            <w:tcW w:w="1196" w:type="dxa"/>
            <w:tcBorders>
              <w:top w:val="single" w:sz="2" w:space="0" w:color="1F4E79" w:themeColor="accent1" w:themeShade="80"/>
              <w:bottom w:val="single" w:sz="2" w:space="0" w:color="1F4E79" w:themeColor="accent1" w:themeShade="80"/>
            </w:tcBorders>
            <w:shd w:val="clear" w:color="auto" w:fill="auto"/>
            <w:vAlign w:val="center"/>
          </w:tcPr>
          <w:p w14:paraId="5632DA8E" w14:textId="77777777" w:rsidR="008B7E19" w:rsidRPr="00CF21E0" w:rsidRDefault="008B7E19" w:rsidP="008B7E19">
            <w:pPr>
              <w:pStyle w:val="08-Tabelageral"/>
              <w:jc w:val="center"/>
              <w:cnfStyle w:val="000000100000" w:firstRow="0" w:lastRow="0" w:firstColumn="0" w:lastColumn="0" w:oddVBand="0" w:evenVBand="0" w:oddHBand="1" w:evenHBand="0" w:firstRowFirstColumn="0" w:firstRowLastColumn="0" w:lastRowFirstColumn="0" w:lastRowLastColumn="0"/>
              <w:rPr>
                <w:rFonts w:cs="Arial"/>
                <w:b/>
                <w:bCs/>
                <w:szCs w:val="14"/>
              </w:rPr>
            </w:pPr>
            <w:r w:rsidRPr="003E392D">
              <w:rPr>
                <w:rFonts w:cs="Arial"/>
                <w:b/>
                <w:bCs/>
                <w:szCs w:val="14"/>
              </w:rPr>
              <w:t>1</w:t>
            </w:r>
            <w:r w:rsidRPr="003E392D">
              <w:rPr>
                <w:rFonts w:cs="Arial"/>
                <w:b/>
                <w:bCs/>
                <w:szCs w:val="14"/>
                <w:vertAlign w:val="superscript"/>
              </w:rPr>
              <w:t>st</w:t>
            </w:r>
            <w:r w:rsidRPr="003E392D">
              <w:rPr>
                <w:rFonts w:cs="Arial"/>
                <w:b/>
                <w:bCs/>
                <w:szCs w:val="14"/>
              </w:rPr>
              <w:t xml:space="preserve"> Half 202</w:t>
            </w:r>
            <w:r>
              <w:rPr>
                <w:rFonts w:cs="Arial"/>
                <w:b/>
                <w:bCs/>
                <w:szCs w:val="14"/>
              </w:rPr>
              <w:t>3</w:t>
            </w:r>
          </w:p>
        </w:tc>
        <w:tc>
          <w:tcPr>
            <w:tcW w:w="1474" w:type="dxa"/>
            <w:tcBorders>
              <w:top w:val="single" w:sz="2" w:space="0" w:color="1F4E79" w:themeColor="accent1" w:themeShade="80"/>
              <w:bottom w:val="single" w:sz="2" w:space="0" w:color="1F4E79" w:themeColor="accent1" w:themeShade="80"/>
            </w:tcBorders>
            <w:shd w:val="clear" w:color="auto" w:fill="auto"/>
            <w:vAlign w:val="center"/>
          </w:tcPr>
          <w:p w14:paraId="77F74EB4" w14:textId="77777777" w:rsidR="008B7E19" w:rsidRDefault="008B7E19" w:rsidP="008B7E19">
            <w:pPr>
              <w:pStyle w:val="08-Tabelageral"/>
              <w:jc w:val="center"/>
              <w:cnfStyle w:val="000000100000" w:firstRow="0" w:lastRow="0" w:firstColumn="0" w:lastColumn="0" w:oddVBand="0" w:evenVBand="0" w:oddHBand="1" w:evenHBand="0" w:firstRowFirstColumn="0" w:firstRowLastColumn="0" w:lastRowFirstColumn="0" w:lastRowLastColumn="0"/>
              <w:rPr>
                <w:rFonts w:cs="Arial"/>
                <w:b/>
                <w:bCs/>
                <w:szCs w:val="14"/>
              </w:rPr>
            </w:pPr>
            <w:r>
              <w:rPr>
                <w:rFonts w:cs="Arial"/>
                <w:b/>
                <w:bCs/>
                <w:szCs w:val="14"/>
              </w:rPr>
              <w:t>2</w:t>
            </w:r>
            <w:r>
              <w:rPr>
                <w:rFonts w:cs="Arial"/>
                <w:b/>
                <w:bCs/>
                <w:szCs w:val="14"/>
                <w:vertAlign w:val="superscript"/>
              </w:rPr>
              <w:t>nd</w:t>
            </w:r>
            <w:r w:rsidRPr="003E392D">
              <w:rPr>
                <w:rFonts w:cs="Arial"/>
                <w:b/>
                <w:bCs/>
                <w:szCs w:val="14"/>
              </w:rPr>
              <w:t xml:space="preserve"> Quarter 202</w:t>
            </w:r>
            <w:r>
              <w:rPr>
                <w:rFonts w:cs="Arial"/>
                <w:b/>
                <w:bCs/>
                <w:szCs w:val="14"/>
              </w:rPr>
              <w:t>2</w:t>
            </w:r>
          </w:p>
          <w:p w14:paraId="6593366A" w14:textId="77777777" w:rsidR="008B7E19" w:rsidRPr="00C04909" w:rsidRDefault="008B7E19" w:rsidP="008B7E19">
            <w:pPr>
              <w:pStyle w:val="08-Tabelageral"/>
              <w:jc w:val="center"/>
              <w:cnfStyle w:val="000000100000" w:firstRow="0" w:lastRow="0" w:firstColumn="0" w:lastColumn="0" w:oddVBand="0" w:evenVBand="0" w:oddHBand="1" w:evenHBand="0" w:firstRowFirstColumn="0" w:firstRowLastColumn="0" w:lastRowFirstColumn="0" w:lastRowLastColumn="0"/>
              <w:rPr>
                <w:rFonts w:cs="Arial"/>
                <w:b/>
                <w:bCs/>
                <w:szCs w:val="14"/>
              </w:rPr>
            </w:pPr>
            <w:r>
              <w:rPr>
                <w:rFonts w:cs="Arial"/>
                <w:b/>
              </w:rPr>
              <w:t>Restated balances</w:t>
            </w:r>
          </w:p>
        </w:tc>
        <w:tc>
          <w:tcPr>
            <w:tcW w:w="1619" w:type="dxa"/>
            <w:tcBorders>
              <w:top w:val="single" w:sz="2" w:space="0" w:color="1F4E79" w:themeColor="accent1" w:themeShade="80"/>
              <w:bottom w:val="single" w:sz="2" w:space="0" w:color="1F4E79" w:themeColor="accent1" w:themeShade="80"/>
            </w:tcBorders>
            <w:shd w:val="clear" w:color="auto" w:fill="auto"/>
            <w:vAlign w:val="center"/>
          </w:tcPr>
          <w:p w14:paraId="5B9B776B" w14:textId="77777777" w:rsidR="008B7E19" w:rsidRDefault="008B7E19" w:rsidP="008B7E19">
            <w:pPr>
              <w:pStyle w:val="08-Tabelageral"/>
              <w:jc w:val="center"/>
              <w:cnfStyle w:val="000000100000" w:firstRow="0" w:lastRow="0" w:firstColumn="0" w:lastColumn="0" w:oddVBand="0" w:evenVBand="0" w:oddHBand="1" w:evenHBand="0" w:firstRowFirstColumn="0" w:firstRowLastColumn="0" w:lastRowFirstColumn="0" w:lastRowLastColumn="0"/>
              <w:rPr>
                <w:rFonts w:cs="Arial"/>
                <w:b/>
                <w:bCs/>
                <w:szCs w:val="14"/>
              </w:rPr>
            </w:pPr>
            <w:r w:rsidRPr="003E392D">
              <w:rPr>
                <w:rFonts w:cs="Arial"/>
                <w:b/>
                <w:bCs/>
                <w:szCs w:val="14"/>
              </w:rPr>
              <w:t>1</w:t>
            </w:r>
            <w:r w:rsidRPr="003E392D">
              <w:rPr>
                <w:rFonts w:cs="Arial"/>
                <w:b/>
                <w:bCs/>
                <w:szCs w:val="14"/>
                <w:vertAlign w:val="superscript"/>
              </w:rPr>
              <w:t>st</w:t>
            </w:r>
            <w:r w:rsidRPr="003E392D">
              <w:rPr>
                <w:rFonts w:cs="Arial"/>
                <w:b/>
                <w:bCs/>
                <w:szCs w:val="14"/>
              </w:rPr>
              <w:t xml:space="preserve"> Half 202</w:t>
            </w:r>
            <w:r>
              <w:rPr>
                <w:rFonts w:cs="Arial"/>
                <w:b/>
                <w:bCs/>
                <w:szCs w:val="14"/>
              </w:rPr>
              <w:t>2</w:t>
            </w:r>
          </w:p>
          <w:p w14:paraId="764127D3" w14:textId="77777777" w:rsidR="008B7E19" w:rsidRPr="00CF21E0" w:rsidRDefault="008B7E19" w:rsidP="008B7E19">
            <w:pPr>
              <w:pStyle w:val="08-Tabelageral"/>
              <w:jc w:val="center"/>
              <w:cnfStyle w:val="000000100000" w:firstRow="0" w:lastRow="0" w:firstColumn="0" w:lastColumn="0" w:oddVBand="0" w:evenVBand="0" w:oddHBand="1" w:evenHBand="0" w:firstRowFirstColumn="0" w:firstRowLastColumn="0" w:lastRowFirstColumn="0" w:lastRowLastColumn="0"/>
              <w:rPr>
                <w:rFonts w:cs="Arial"/>
                <w:b/>
                <w:bCs/>
                <w:szCs w:val="14"/>
              </w:rPr>
            </w:pPr>
            <w:r w:rsidRPr="00BE2D21">
              <w:rPr>
                <w:rFonts w:cs="Arial"/>
                <w:b/>
                <w:bCs/>
                <w:szCs w:val="14"/>
              </w:rPr>
              <w:t>Restated balances</w:t>
            </w:r>
          </w:p>
        </w:tc>
      </w:tr>
      <w:tr w:rsidR="008B7E19" w:rsidRPr="001D6BE8" w14:paraId="305AA3AB" w14:textId="77777777" w:rsidTr="008B7E19">
        <w:trPr>
          <w:trHeight w:hRule="exact" w:val="238"/>
          <w:jc w:val="center"/>
        </w:trPr>
        <w:tc>
          <w:tcPr>
            <w:cnfStyle w:val="001000000000" w:firstRow="0" w:lastRow="0" w:firstColumn="1" w:lastColumn="0" w:oddVBand="0" w:evenVBand="0" w:oddHBand="0" w:evenHBand="0" w:firstRowFirstColumn="0" w:firstRowLastColumn="0" w:lastRowFirstColumn="0" w:lastRowLastColumn="0"/>
            <w:tcW w:w="2841" w:type="dxa"/>
            <w:tcBorders>
              <w:top w:val="single" w:sz="2" w:space="0" w:color="1F4E79" w:themeColor="accent1" w:themeShade="80"/>
              <w:bottom w:val="nil"/>
            </w:tcBorders>
            <w:shd w:val="clear" w:color="auto" w:fill="auto"/>
            <w:vAlign w:val="center"/>
          </w:tcPr>
          <w:p w14:paraId="21D01617" w14:textId="77777777" w:rsidR="008B7E19" w:rsidRPr="00C806B0" w:rsidRDefault="008B7E19" w:rsidP="008B7E19">
            <w:pPr>
              <w:pStyle w:val="08-Tabelageral"/>
              <w:jc w:val="left"/>
              <w:rPr>
                <w:rFonts w:cs="Arial"/>
                <w:bCs w:val="0"/>
                <w:szCs w:val="14"/>
              </w:rPr>
            </w:pPr>
            <w:r w:rsidRPr="00C20080">
              <w:rPr>
                <w:rFonts w:cs="Arial"/>
                <w:szCs w:val="14"/>
              </w:rPr>
              <w:t>Operating Income</w:t>
            </w:r>
          </w:p>
        </w:tc>
        <w:tc>
          <w:tcPr>
            <w:tcW w:w="720" w:type="dxa"/>
            <w:tcBorders>
              <w:top w:val="single" w:sz="2" w:space="0" w:color="1F4E79" w:themeColor="accent1" w:themeShade="80"/>
              <w:bottom w:val="nil"/>
            </w:tcBorders>
            <w:shd w:val="clear" w:color="auto" w:fill="auto"/>
            <w:vAlign w:val="center"/>
          </w:tcPr>
          <w:p w14:paraId="46EC2B66" w14:textId="77777777" w:rsidR="008B7E19" w:rsidRPr="00C806B0" w:rsidRDefault="008B7E19" w:rsidP="008B7E19">
            <w:pPr>
              <w:pStyle w:val="08-Tabelageral"/>
              <w:jc w:val="center"/>
              <w:cnfStyle w:val="000000000000" w:firstRow="0" w:lastRow="0" w:firstColumn="0" w:lastColumn="0" w:oddVBand="0" w:evenVBand="0" w:oddHBand="0" w:evenHBand="0" w:firstRowFirstColumn="0" w:firstRowLastColumn="0" w:lastRowFirstColumn="0" w:lastRowLastColumn="0"/>
              <w:rPr>
                <w:rFonts w:cs="Arial"/>
                <w:szCs w:val="14"/>
              </w:rPr>
            </w:pPr>
          </w:p>
        </w:tc>
        <w:tc>
          <w:tcPr>
            <w:tcW w:w="1444" w:type="dxa"/>
            <w:tcBorders>
              <w:top w:val="nil"/>
              <w:left w:val="nil"/>
              <w:bottom w:val="nil"/>
              <w:right w:val="nil"/>
            </w:tcBorders>
            <w:shd w:val="clear" w:color="auto" w:fill="auto"/>
            <w:vAlign w:val="center"/>
          </w:tcPr>
          <w:p w14:paraId="6D49C6FD" w14:textId="77777777" w:rsidR="008B7E19" w:rsidRPr="00522098"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b/>
                <w:bCs/>
                <w:color w:val="000000"/>
                <w:szCs w:val="14"/>
              </w:rPr>
            </w:pPr>
            <w:r>
              <w:rPr>
                <w:rFonts w:cs="Arial"/>
                <w:b/>
                <w:bCs/>
                <w:color w:val="000000"/>
                <w:szCs w:val="14"/>
              </w:rPr>
              <w:t>1,886,878</w:t>
            </w:r>
          </w:p>
        </w:tc>
        <w:tc>
          <w:tcPr>
            <w:tcW w:w="1104" w:type="dxa"/>
            <w:tcBorders>
              <w:top w:val="nil"/>
              <w:left w:val="nil"/>
              <w:bottom w:val="nil"/>
              <w:right w:val="nil"/>
            </w:tcBorders>
            <w:shd w:val="clear" w:color="auto" w:fill="auto"/>
            <w:vAlign w:val="center"/>
          </w:tcPr>
          <w:p w14:paraId="4263B712" w14:textId="77777777" w:rsidR="008B7E19" w:rsidRPr="00522098"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b/>
                <w:bCs/>
                <w:color w:val="000000"/>
                <w:szCs w:val="14"/>
              </w:rPr>
            </w:pPr>
            <w:r>
              <w:rPr>
                <w:rFonts w:cs="Arial"/>
                <w:b/>
                <w:bCs/>
                <w:color w:val="000000"/>
                <w:szCs w:val="14"/>
              </w:rPr>
              <w:t>3,722,987</w:t>
            </w:r>
          </w:p>
        </w:tc>
        <w:tc>
          <w:tcPr>
            <w:tcW w:w="1444" w:type="dxa"/>
            <w:tcBorders>
              <w:top w:val="nil"/>
              <w:left w:val="nil"/>
              <w:bottom w:val="nil"/>
              <w:right w:val="nil"/>
            </w:tcBorders>
            <w:shd w:val="clear" w:color="auto" w:fill="auto"/>
            <w:vAlign w:val="center"/>
          </w:tcPr>
          <w:p w14:paraId="0672FB65" w14:textId="77777777" w:rsidR="008B7E19" w:rsidRPr="009027F2"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b/>
                <w:bCs/>
                <w:color w:val="000000"/>
                <w:szCs w:val="14"/>
              </w:rPr>
            </w:pPr>
            <w:r w:rsidRPr="000F6C32">
              <w:rPr>
                <w:rFonts w:cs="Arial"/>
                <w:b/>
                <w:bCs/>
                <w:color w:val="000000"/>
                <w:szCs w:val="14"/>
              </w:rPr>
              <w:t>1</w:t>
            </w:r>
            <w:r>
              <w:rPr>
                <w:rFonts w:cs="Arial"/>
                <w:b/>
                <w:bCs/>
                <w:color w:val="000000"/>
                <w:szCs w:val="14"/>
              </w:rPr>
              <w:t>,</w:t>
            </w:r>
            <w:r w:rsidRPr="000F6C32">
              <w:rPr>
                <w:rFonts w:cs="Arial"/>
                <w:b/>
                <w:bCs/>
                <w:color w:val="000000"/>
                <w:szCs w:val="14"/>
              </w:rPr>
              <w:t>504</w:t>
            </w:r>
            <w:r>
              <w:rPr>
                <w:rFonts w:cs="Arial"/>
                <w:b/>
                <w:bCs/>
                <w:color w:val="000000"/>
                <w:szCs w:val="14"/>
              </w:rPr>
              <w:t>,</w:t>
            </w:r>
            <w:r w:rsidRPr="000F6C32">
              <w:rPr>
                <w:rFonts w:cs="Arial"/>
                <w:b/>
                <w:bCs/>
                <w:color w:val="000000"/>
                <w:szCs w:val="14"/>
              </w:rPr>
              <w:t>744</w:t>
            </w:r>
          </w:p>
        </w:tc>
        <w:tc>
          <w:tcPr>
            <w:tcW w:w="1454" w:type="dxa"/>
            <w:tcBorders>
              <w:top w:val="nil"/>
              <w:left w:val="nil"/>
              <w:bottom w:val="nil"/>
              <w:right w:val="nil"/>
            </w:tcBorders>
            <w:shd w:val="clear" w:color="auto" w:fill="auto"/>
            <w:vAlign w:val="center"/>
          </w:tcPr>
          <w:p w14:paraId="0422FA9B" w14:textId="77777777" w:rsidR="008B7E19" w:rsidRPr="009027F2"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b/>
                <w:bCs/>
                <w:color w:val="000000"/>
                <w:szCs w:val="14"/>
              </w:rPr>
            </w:pPr>
            <w:r w:rsidRPr="000F6C32">
              <w:rPr>
                <w:rFonts w:cs="Arial"/>
                <w:b/>
                <w:bCs/>
                <w:color w:val="000000"/>
                <w:szCs w:val="14"/>
              </w:rPr>
              <w:t>2</w:t>
            </w:r>
            <w:r>
              <w:rPr>
                <w:rFonts w:cs="Arial"/>
                <w:b/>
                <w:bCs/>
                <w:color w:val="000000"/>
                <w:szCs w:val="14"/>
              </w:rPr>
              <w:t>,</w:t>
            </w:r>
            <w:r w:rsidRPr="000F6C32">
              <w:rPr>
                <w:rFonts w:cs="Arial"/>
                <w:b/>
                <w:bCs/>
                <w:color w:val="000000"/>
                <w:szCs w:val="14"/>
              </w:rPr>
              <w:t>713</w:t>
            </w:r>
            <w:r>
              <w:rPr>
                <w:rFonts w:cs="Arial"/>
                <w:b/>
                <w:bCs/>
                <w:color w:val="000000"/>
                <w:szCs w:val="14"/>
              </w:rPr>
              <w:t>,</w:t>
            </w:r>
            <w:r w:rsidRPr="000F6C32">
              <w:rPr>
                <w:rFonts w:cs="Arial"/>
                <w:b/>
                <w:bCs/>
                <w:color w:val="000000"/>
                <w:szCs w:val="14"/>
              </w:rPr>
              <w:t>914</w:t>
            </w:r>
          </w:p>
        </w:tc>
        <w:tc>
          <w:tcPr>
            <w:tcW w:w="253" w:type="dxa"/>
            <w:tcBorders>
              <w:top w:val="nil"/>
              <w:left w:val="nil"/>
              <w:bottom w:val="nil"/>
              <w:right w:val="nil"/>
            </w:tcBorders>
            <w:shd w:val="clear" w:color="auto" w:fill="auto"/>
            <w:vAlign w:val="center"/>
          </w:tcPr>
          <w:p w14:paraId="4CF4C687" w14:textId="77777777" w:rsidR="008B7E19" w:rsidRPr="00520137"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b/>
                <w:bCs/>
              </w:rPr>
            </w:pPr>
          </w:p>
        </w:tc>
        <w:tc>
          <w:tcPr>
            <w:tcW w:w="1310" w:type="dxa"/>
            <w:tcBorders>
              <w:top w:val="nil"/>
              <w:left w:val="nil"/>
              <w:bottom w:val="nil"/>
              <w:right w:val="nil"/>
            </w:tcBorders>
            <w:shd w:val="clear" w:color="auto" w:fill="auto"/>
            <w:vAlign w:val="center"/>
          </w:tcPr>
          <w:p w14:paraId="6571080D" w14:textId="77777777" w:rsidR="008B7E19" w:rsidRPr="00522098"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b/>
                <w:bCs/>
                <w:color w:val="000000"/>
                <w:szCs w:val="14"/>
              </w:rPr>
            </w:pPr>
            <w:r>
              <w:rPr>
                <w:rFonts w:cs="Arial"/>
                <w:b/>
                <w:bCs/>
                <w:color w:val="000000"/>
                <w:szCs w:val="14"/>
              </w:rPr>
              <w:t>2,216,183</w:t>
            </w:r>
          </w:p>
        </w:tc>
        <w:tc>
          <w:tcPr>
            <w:tcW w:w="1196" w:type="dxa"/>
            <w:tcBorders>
              <w:top w:val="nil"/>
              <w:left w:val="nil"/>
              <w:bottom w:val="nil"/>
              <w:right w:val="nil"/>
            </w:tcBorders>
            <w:shd w:val="clear" w:color="auto" w:fill="auto"/>
            <w:vAlign w:val="center"/>
          </w:tcPr>
          <w:p w14:paraId="3C4EC0DA" w14:textId="77777777" w:rsidR="008B7E19" w:rsidRPr="00522098"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b/>
                <w:bCs/>
                <w:color w:val="000000"/>
                <w:szCs w:val="14"/>
              </w:rPr>
            </w:pPr>
            <w:r>
              <w:rPr>
                <w:rFonts w:cs="Arial"/>
                <w:b/>
                <w:bCs/>
                <w:color w:val="000000"/>
                <w:szCs w:val="14"/>
              </w:rPr>
              <w:t>4,409,481</w:t>
            </w:r>
          </w:p>
        </w:tc>
        <w:tc>
          <w:tcPr>
            <w:tcW w:w="1474" w:type="dxa"/>
            <w:tcBorders>
              <w:top w:val="nil"/>
              <w:left w:val="nil"/>
              <w:bottom w:val="nil"/>
              <w:right w:val="nil"/>
            </w:tcBorders>
            <w:shd w:val="clear" w:color="auto" w:fill="auto"/>
            <w:vAlign w:val="center"/>
          </w:tcPr>
          <w:p w14:paraId="344934C7" w14:textId="77777777" w:rsidR="008B7E19" w:rsidRPr="00520137"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b/>
                <w:bCs/>
              </w:rPr>
            </w:pPr>
            <w:r w:rsidRPr="000F6C32">
              <w:rPr>
                <w:rFonts w:cs="Arial"/>
                <w:b/>
                <w:bCs/>
                <w:color w:val="000000"/>
                <w:szCs w:val="14"/>
              </w:rPr>
              <w:t>1</w:t>
            </w:r>
            <w:r>
              <w:rPr>
                <w:rFonts w:cs="Arial"/>
                <w:b/>
                <w:bCs/>
                <w:color w:val="000000"/>
                <w:szCs w:val="14"/>
              </w:rPr>
              <w:t>,</w:t>
            </w:r>
            <w:r w:rsidRPr="000F6C32">
              <w:rPr>
                <w:rFonts w:cs="Arial"/>
                <w:b/>
                <w:bCs/>
                <w:color w:val="000000"/>
                <w:szCs w:val="14"/>
              </w:rPr>
              <w:t>814</w:t>
            </w:r>
            <w:r>
              <w:rPr>
                <w:rFonts w:cs="Arial"/>
                <w:b/>
                <w:bCs/>
                <w:color w:val="000000"/>
                <w:szCs w:val="14"/>
              </w:rPr>
              <w:t>,</w:t>
            </w:r>
            <w:r w:rsidRPr="000F6C32">
              <w:rPr>
                <w:rFonts w:cs="Arial"/>
                <w:b/>
                <w:bCs/>
                <w:color w:val="000000"/>
                <w:szCs w:val="14"/>
              </w:rPr>
              <w:t>021</w:t>
            </w:r>
          </w:p>
        </w:tc>
        <w:tc>
          <w:tcPr>
            <w:tcW w:w="1619" w:type="dxa"/>
            <w:tcBorders>
              <w:top w:val="nil"/>
              <w:left w:val="nil"/>
              <w:bottom w:val="nil"/>
              <w:right w:val="nil"/>
            </w:tcBorders>
            <w:shd w:val="clear" w:color="auto" w:fill="auto"/>
            <w:vAlign w:val="center"/>
          </w:tcPr>
          <w:p w14:paraId="777A7801" w14:textId="77777777" w:rsidR="008B7E19"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b/>
                <w:bCs/>
                <w:color w:val="000000"/>
                <w:szCs w:val="14"/>
              </w:rPr>
            </w:pPr>
            <w:r w:rsidRPr="000F6C32">
              <w:rPr>
                <w:rFonts w:cs="Arial"/>
                <w:b/>
                <w:bCs/>
                <w:color w:val="000000"/>
                <w:szCs w:val="14"/>
              </w:rPr>
              <w:t>3</w:t>
            </w:r>
            <w:r>
              <w:rPr>
                <w:rFonts w:cs="Arial"/>
                <w:b/>
                <w:bCs/>
                <w:color w:val="000000"/>
                <w:szCs w:val="14"/>
              </w:rPr>
              <w:t>,</w:t>
            </w:r>
            <w:r w:rsidRPr="000F6C32">
              <w:rPr>
                <w:rFonts w:cs="Arial"/>
                <w:b/>
                <w:bCs/>
                <w:color w:val="000000"/>
                <w:szCs w:val="14"/>
              </w:rPr>
              <w:t>355</w:t>
            </w:r>
            <w:r>
              <w:rPr>
                <w:rFonts w:cs="Arial"/>
                <w:b/>
                <w:bCs/>
                <w:color w:val="000000"/>
                <w:szCs w:val="14"/>
              </w:rPr>
              <w:t>,</w:t>
            </w:r>
            <w:r w:rsidRPr="000F6C32">
              <w:rPr>
                <w:rFonts w:cs="Arial"/>
                <w:b/>
                <w:bCs/>
                <w:color w:val="000000"/>
                <w:szCs w:val="14"/>
              </w:rPr>
              <w:t>415</w:t>
            </w:r>
          </w:p>
        </w:tc>
      </w:tr>
      <w:tr w:rsidR="008B7E19" w:rsidRPr="001D6BE8" w14:paraId="2EB9AC60" w14:textId="77777777" w:rsidTr="008B7E19">
        <w:trPr>
          <w:cnfStyle w:val="000000100000" w:firstRow="0" w:lastRow="0" w:firstColumn="0" w:lastColumn="0" w:oddVBand="0" w:evenVBand="0" w:oddHBand="1" w:evenHBand="0" w:firstRowFirstColumn="0" w:firstRowLastColumn="0" w:lastRowFirstColumn="0" w:lastRowLastColumn="0"/>
          <w:trHeight w:hRule="exact" w:val="188"/>
          <w:jc w:val="center"/>
        </w:trPr>
        <w:tc>
          <w:tcPr>
            <w:cnfStyle w:val="001000000000" w:firstRow="0" w:lastRow="0" w:firstColumn="1" w:lastColumn="0" w:oddVBand="0" w:evenVBand="0" w:oddHBand="0" w:evenHBand="0" w:firstRowFirstColumn="0" w:firstRowLastColumn="0" w:lastRowFirstColumn="0" w:lastRowLastColumn="0"/>
            <w:tcW w:w="2841" w:type="dxa"/>
            <w:tcBorders>
              <w:top w:val="nil"/>
              <w:bottom w:val="nil"/>
            </w:tcBorders>
            <w:shd w:val="clear" w:color="auto" w:fill="auto"/>
            <w:vAlign w:val="center"/>
          </w:tcPr>
          <w:p w14:paraId="2045A0C7" w14:textId="77777777" w:rsidR="008B7E19" w:rsidRPr="00C806B0" w:rsidRDefault="008B7E19" w:rsidP="008B7E19">
            <w:pPr>
              <w:pStyle w:val="08-Tabelageral"/>
              <w:ind w:left="113"/>
              <w:jc w:val="left"/>
              <w:rPr>
                <w:rFonts w:cs="Arial"/>
                <w:b w:val="0"/>
                <w:szCs w:val="14"/>
              </w:rPr>
            </w:pPr>
            <w:r w:rsidRPr="00C20080">
              <w:rPr>
                <w:rFonts w:cs="Arial"/>
                <w:b w:val="0"/>
                <w:szCs w:val="14"/>
              </w:rPr>
              <w:t>Equity income</w:t>
            </w:r>
          </w:p>
        </w:tc>
        <w:tc>
          <w:tcPr>
            <w:tcW w:w="720" w:type="dxa"/>
            <w:tcBorders>
              <w:top w:val="nil"/>
              <w:bottom w:val="nil"/>
            </w:tcBorders>
            <w:shd w:val="clear" w:color="auto" w:fill="auto"/>
            <w:vAlign w:val="center"/>
          </w:tcPr>
          <w:p w14:paraId="2A35BAFA" w14:textId="77777777" w:rsidR="008B7E19" w:rsidRPr="00C806B0" w:rsidRDefault="008B7E19" w:rsidP="008B7E19">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r w:rsidRPr="00823355">
              <w:t>[7.b]</w:t>
            </w:r>
          </w:p>
        </w:tc>
        <w:tc>
          <w:tcPr>
            <w:tcW w:w="1444" w:type="dxa"/>
            <w:tcBorders>
              <w:top w:val="nil"/>
              <w:left w:val="nil"/>
              <w:bottom w:val="nil"/>
              <w:right w:val="nil"/>
            </w:tcBorders>
            <w:shd w:val="clear" w:color="auto" w:fill="auto"/>
            <w:vAlign w:val="center"/>
          </w:tcPr>
          <w:p w14:paraId="6A52C3A3" w14:textId="77777777" w:rsidR="008B7E19" w:rsidRPr="00522098"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r>
              <w:rPr>
                <w:rFonts w:cs="Arial"/>
                <w:color w:val="000000"/>
                <w:szCs w:val="14"/>
              </w:rPr>
              <w:t>1,886,878</w:t>
            </w:r>
          </w:p>
        </w:tc>
        <w:tc>
          <w:tcPr>
            <w:tcW w:w="1104" w:type="dxa"/>
            <w:tcBorders>
              <w:top w:val="nil"/>
              <w:left w:val="nil"/>
              <w:bottom w:val="nil"/>
              <w:right w:val="nil"/>
            </w:tcBorders>
            <w:shd w:val="clear" w:color="auto" w:fill="auto"/>
            <w:vAlign w:val="center"/>
          </w:tcPr>
          <w:p w14:paraId="0428349C" w14:textId="77777777" w:rsidR="008B7E19" w:rsidRPr="00522098"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r w:rsidRPr="00972355">
              <w:rPr>
                <w:rFonts w:cs="Arial"/>
                <w:color w:val="000000"/>
                <w:szCs w:val="14"/>
              </w:rPr>
              <w:t>3</w:t>
            </w:r>
            <w:r>
              <w:rPr>
                <w:rFonts w:cs="Arial"/>
                <w:color w:val="000000"/>
                <w:szCs w:val="14"/>
              </w:rPr>
              <w:t>,</w:t>
            </w:r>
            <w:r w:rsidRPr="00972355">
              <w:rPr>
                <w:rFonts w:cs="Arial"/>
                <w:color w:val="000000"/>
                <w:szCs w:val="14"/>
              </w:rPr>
              <w:t>722</w:t>
            </w:r>
            <w:r>
              <w:rPr>
                <w:rFonts w:cs="Arial"/>
                <w:color w:val="000000"/>
                <w:szCs w:val="14"/>
              </w:rPr>
              <w:t>,</w:t>
            </w:r>
            <w:r w:rsidRPr="00972355">
              <w:rPr>
                <w:rFonts w:cs="Arial"/>
                <w:color w:val="000000"/>
                <w:szCs w:val="14"/>
              </w:rPr>
              <w:t>987</w:t>
            </w:r>
          </w:p>
        </w:tc>
        <w:tc>
          <w:tcPr>
            <w:tcW w:w="1444" w:type="dxa"/>
            <w:tcBorders>
              <w:top w:val="nil"/>
              <w:left w:val="nil"/>
              <w:bottom w:val="nil"/>
              <w:right w:val="nil"/>
            </w:tcBorders>
            <w:shd w:val="clear" w:color="auto" w:fill="auto"/>
            <w:vAlign w:val="center"/>
          </w:tcPr>
          <w:p w14:paraId="157709D5" w14:textId="77777777" w:rsidR="008B7E19" w:rsidRPr="009027F2"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r w:rsidRPr="000F6C32">
              <w:rPr>
                <w:rFonts w:cs="Arial"/>
                <w:color w:val="000000"/>
                <w:szCs w:val="14"/>
              </w:rPr>
              <w:t>1</w:t>
            </w:r>
            <w:r>
              <w:rPr>
                <w:rFonts w:cs="Arial"/>
                <w:color w:val="000000"/>
                <w:szCs w:val="14"/>
              </w:rPr>
              <w:t>,</w:t>
            </w:r>
            <w:r w:rsidRPr="000F6C32">
              <w:rPr>
                <w:rFonts w:cs="Arial"/>
                <w:color w:val="000000"/>
                <w:szCs w:val="14"/>
              </w:rPr>
              <w:t>504</w:t>
            </w:r>
            <w:r>
              <w:rPr>
                <w:rFonts w:cs="Arial"/>
                <w:color w:val="000000"/>
                <w:szCs w:val="14"/>
              </w:rPr>
              <w:t>,</w:t>
            </w:r>
            <w:r w:rsidRPr="000F6C32">
              <w:rPr>
                <w:rFonts w:cs="Arial"/>
                <w:color w:val="000000"/>
                <w:szCs w:val="14"/>
              </w:rPr>
              <w:t>744</w:t>
            </w:r>
          </w:p>
        </w:tc>
        <w:tc>
          <w:tcPr>
            <w:tcW w:w="1454" w:type="dxa"/>
            <w:tcBorders>
              <w:top w:val="nil"/>
              <w:left w:val="nil"/>
              <w:bottom w:val="nil"/>
              <w:right w:val="nil"/>
            </w:tcBorders>
            <w:shd w:val="clear" w:color="auto" w:fill="auto"/>
            <w:vAlign w:val="center"/>
          </w:tcPr>
          <w:p w14:paraId="12C0FCF5" w14:textId="77777777" w:rsidR="008B7E19" w:rsidRPr="009027F2"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r w:rsidRPr="000F6C32">
              <w:rPr>
                <w:rFonts w:cs="Arial"/>
                <w:color w:val="000000"/>
                <w:szCs w:val="14"/>
              </w:rPr>
              <w:t>2</w:t>
            </w:r>
            <w:r>
              <w:rPr>
                <w:rFonts w:cs="Arial"/>
                <w:color w:val="000000"/>
                <w:szCs w:val="14"/>
              </w:rPr>
              <w:t>,</w:t>
            </w:r>
            <w:r w:rsidRPr="000F6C32">
              <w:rPr>
                <w:rFonts w:cs="Arial"/>
                <w:color w:val="000000"/>
                <w:szCs w:val="14"/>
              </w:rPr>
              <w:t>713</w:t>
            </w:r>
            <w:r>
              <w:rPr>
                <w:rFonts w:cs="Arial"/>
                <w:color w:val="000000"/>
                <w:szCs w:val="14"/>
              </w:rPr>
              <w:t>,</w:t>
            </w:r>
            <w:r w:rsidRPr="000F6C32">
              <w:rPr>
                <w:rFonts w:cs="Arial"/>
                <w:color w:val="000000"/>
                <w:szCs w:val="14"/>
              </w:rPr>
              <w:t>914</w:t>
            </w:r>
          </w:p>
        </w:tc>
        <w:tc>
          <w:tcPr>
            <w:tcW w:w="253" w:type="dxa"/>
            <w:tcBorders>
              <w:top w:val="nil"/>
              <w:left w:val="nil"/>
              <w:bottom w:val="nil"/>
              <w:right w:val="nil"/>
            </w:tcBorders>
            <w:shd w:val="clear" w:color="auto" w:fill="auto"/>
            <w:vAlign w:val="center"/>
          </w:tcPr>
          <w:p w14:paraId="10B50EE9" w14:textId="77777777" w:rsidR="008B7E19" w:rsidRPr="00C806B0" w:rsidRDefault="008B7E19" w:rsidP="008B7E19">
            <w:pPr>
              <w:pStyle w:val="08-Tabelageral"/>
              <w:cnfStyle w:val="000000100000" w:firstRow="0" w:lastRow="0" w:firstColumn="0" w:lastColumn="0" w:oddVBand="0" w:evenVBand="0" w:oddHBand="1" w:evenHBand="0" w:firstRowFirstColumn="0" w:firstRowLastColumn="0" w:lastRowFirstColumn="0" w:lastRowLastColumn="0"/>
            </w:pPr>
            <w:r>
              <w:rPr>
                <w:rFonts w:cs="Arial"/>
                <w:color w:val="000000"/>
                <w:szCs w:val="14"/>
              </w:rPr>
              <w:t> </w:t>
            </w:r>
          </w:p>
        </w:tc>
        <w:tc>
          <w:tcPr>
            <w:tcW w:w="1310" w:type="dxa"/>
            <w:tcBorders>
              <w:top w:val="nil"/>
              <w:left w:val="nil"/>
              <w:bottom w:val="nil"/>
              <w:right w:val="nil"/>
            </w:tcBorders>
            <w:shd w:val="clear" w:color="auto" w:fill="auto"/>
            <w:vAlign w:val="center"/>
          </w:tcPr>
          <w:p w14:paraId="0D09B433" w14:textId="77777777" w:rsidR="008B7E19" w:rsidRPr="00522098"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r>
              <w:rPr>
                <w:rFonts w:cs="Arial"/>
                <w:color w:val="000000"/>
                <w:szCs w:val="14"/>
              </w:rPr>
              <w:t>1,160,720</w:t>
            </w:r>
          </w:p>
        </w:tc>
        <w:tc>
          <w:tcPr>
            <w:tcW w:w="1196" w:type="dxa"/>
            <w:tcBorders>
              <w:top w:val="nil"/>
              <w:left w:val="nil"/>
              <w:bottom w:val="nil"/>
              <w:right w:val="nil"/>
            </w:tcBorders>
            <w:shd w:val="clear" w:color="auto" w:fill="auto"/>
            <w:vAlign w:val="center"/>
          </w:tcPr>
          <w:p w14:paraId="4852BACE" w14:textId="77777777" w:rsidR="008B7E19" w:rsidRPr="00522098"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r>
              <w:rPr>
                <w:rFonts w:cs="Arial"/>
                <w:color w:val="000000"/>
                <w:szCs w:val="14"/>
              </w:rPr>
              <w:t>2,285,751</w:t>
            </w:r>
          </w:p>
        </w:tc>
        <w:tc>
          <w:tcPr>
            <w:tcW w:w="1474" w:type="dxa"/>
            <w:tcBorders>
              <w:top w:val="nil"/>
              <w:left w:val="nil"/>
              <w:bottom w:val="nil"/>
              <w:right w:val="nil"/>
            </w:tcBorders>
            <w:shd w:val="clear" w:color="auto" w:fill="auto"/>
            <w:vAlign w:val="center"/>
          </w:tcPr>
          <w:p w14:paraId="28D5461B" w14:textId="77777777" w:rsidR="008B7E19" w:rsidRPr="00C806B0" w:rsidRDefault="008B7E19" w:rsidP="008B7E19">
            <w:pPr>
              <w:pStyle w:val="08-Tabelageral"/>
              <w:cnfStyle w:val="000000100000" w:firstRow="0" w:lastRow="0" w:firstColumn="0" w:lastColumn="0" w:oddVBand="0" w:evenVBand="0" w:oddHBand="1" w:evenHBand="0" w:firstRowFirstColumn="0" w:firstRowLastColumn="0" w:lastRowFirstColumn="0" w:lastRowLastColumn="0"/>
            </w:pPr>
            <w:r w:rsidRPr="000F6C32">
              <w:rPr>
                <w:rFonts w:cs="Arial"/>
                <w:color w:val="000000"/>
                <w:szCs w:val="14"/>
              </w:rPr>
              <w:t>864</w:t>
            </w:r>
            <w:r>
              <w:rPr>
                <w:rFonts w:cs="Arial"/>
                <w:color w:val="000000"/>
                <w:szCs w:val="14"/>
              </w:rPr>
              <w:t>,</w:t>
            </w:r>
            <w:r w:rsidRPr="000F6C32">
              <w:rPr>
                <w:rFonts w:cs="Arial"/>
                <w:color w:val="000000"/>
                <w:szCs w:val="14"/>
              </w:rPr>
              <w:t>739</w:t>
            </w:r>
          </w:p>
        </w:tc>
        <w:tc>
          <w:tcPr>
            <w:tcW w:w="1619" w:type="dxa"/>
            <w:tcBorders>
              <w:top w:val="nil"/>
              <w:left w:val="nil"/>
              <w:bottom w:val="nil"/>
              <w:right w:val="nil"/>
            </w:tcBorders>
            <w:shd w:val="clear" w:color="auto" w:fill="auto"/>
            <w:vAlign w:val="center"/>
          </w:tcPr>
          <w:p w14:paraId="18EF4869" w14:textId="77777777" w:rsidR="008B7E19"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r w:rsidRPr="000F6C32">
              <w:rPr>
                <w:rFonts w:cs="Arial"/>
                <w:color w:val="000000"/>
                <w:szCs w:val="14"/>
              </w:rPr>
              <w:t>1</w:t>
            </w:r>
            <w:r>
              <w:rPr>
                <w:rFonts w:cs="Arial"/>
                <w:color w:val="000000"/>
                <w:szCs w:val="14"/>
              </w:rPr>
              <w:t>,</w:t>
            </w:r>
            <w:r w:rsidRPr="000F6C32">
              <w:rPr>
                <w:rFonts w:cs="Arial"/>
                <w:color w:val="000000"/>
                <w:szCs w:val="14"/>
              </w:rPr>
              <w:t>500</w:t>
            </w:r>
            <w:r>
              <w:rPr>
                <w:rFonts w:cs="Arial"/>
                <w:color w:val="000000"/>
                <w:szCs w:val="14"/>
              </w:rPr>
              <w:t>,</w:t>
            </w:r>
            <w:r w:rsidRPr="000F6C32">
              <w:rPr>
                <w:rFonts w:cs="Arial"/>
                <w:color w:val="000000"/>
                <w:szCs w:val="14"/>
              </w:rPr>
              <w:t>108</w:t>
            </w:r>
          </w:p>
        </w:tc>
      </w:tr>
      <w:tr w:rsidR="008B7E19" w:rsidRPr="001D6BE8" w14:paraId="312D2F4D" w14:textId="77777777" w:rsidTr="008B7E19">
        <w:trPr>
          <w:trHeight w:hRule="exact" w:val="238"/>
          <w:jc w:val="center"/>
        </w:trPr>
        <w:tc>
          <w:tcPr>
            <w:cnfStyle w:val="001000000000" w:firstRow="0" w:lastRow="0" w:firstColumn="1" w:lastColumn="0" w:oddVBand="0" w:evenVBand="0" w:oddHBand="0" w:evenHBand="0" w:firstRowFirstColumn="0" w:firstRowLastColumn="0" w:lastRowFirstColumn="0" w:lastRowLastColumn="0"/>
            <w:tcW w:w="2841" w:type="dxa"/>
            <w:tcBorders>
              <w:top w:val="nil"/>
              <w:bottom w:val="nil"/>
            </w:tcBorders>
            <w:shd w:val="clear" w:color="auto" w:fill="auto"/>
            <w:vAlign w:val="center"/>
          </w:tcPr>
          <w:p w14:paraId="2416BC9D" w14:textId="77777777" w:rsidR="008B7E19" w:rsidRPr="00C806B0" w:rsidRDefault="008B7E19" w:rsidP="008B7E19">
            <w:pPr>
              <w:pStyle w:val="08-Tabelageral"/>
              <w:ind w:left="113"/>
              <w:jc w:val="left"/>
              <w:rPr>
                <w:rFonts w:cs="Arial"/>
                <w:b w:val="0"/>
                <w:szCs w:val="14"/>
              </w:rPr>
            </w:pPr>
            <w:r w:rsidRPr="00C20080">
              <w:rPr>
                <w:rFonts w:cs="Arial"/>
                <w:b w:val="0"/>
                <w:szCs w:val="14"/>
              </w:rPr>
              <w:t>Net commissions income</w:t>
            </w:r>
          </w:p>
        </w:tc>
        <w:tc>
          <w:tcPr>
            <w:tcW w:w="720" w:type="dxa"/>
            <w:tcBorders>
              <w:top w:val="nil"/>
              <w:bottom w:val="nil"/>
            </w:tcBorders>
            <w:shd w:val="clear" w:color="auto" w:fill="auto"/>
            <w:vAlign w:val="center"/>
          </w:tcPr>
          <w:p w14:paraId="174E8F6E" w14:textId="77777777" w:rsidR="008B7E19" w:rsidRPr="00C806B0" w:rsidRDefault="008B7E19" w:rsidP="008B7E19">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rPr>
            </w:pPr>
            <w:r w:rsidRPr="00823355">
              <w:t>[8]</w:t>
            </w:r>
          </w:p>
        </w:tc>
        <w:tc>
          <w:tcPr>
            <w:tcW w:w="1444" w:type="dxa"/>
            <w:tcBorders>
              <w:top w:val="nil"/>
              <w:left w:val="nil"/>
              <w:bottom w:val="nil"/>
              <w:right w:val="nil"/>
            </w:tcBorders>
            <w:shd w:val="clear" w:color="auto" w:fill="auto"/>
            <w:vAlign w:val="center"/>
          </w:tcPr>
          <w:p w14:paraId="3BE131DF" w14:textId="77777777" w:rsidR="008B7E19"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color w:val="000000"/>
                <w:szCs w:val="14"/>
              </w:rPr>
            </w:pPr>
            <w:r>
              <w:rPr>
                <w:rFonts w:cs="Arial"/>
                <w:color w:val="000000"/>
                <w:szCs w:val="14"/>
              </w:rPr>
              <w:t>--</w:t>
            </w:r>
          </w:p>
        </w:tc>
        <w:tc>
          <w:tcPr>
            <w:tcW w:w="1104" w:type="dxa"/>
            <w:tcBorders>
              <w:top w:val="nil"/>
              <w:left w:val="nil"/>
              <w:bottom w:val="nil"/>
              <w:right w:val="nil"/>
            </w:tcBorders>
            <w:shd w:val="clear" w:color="auto" w:fill="auto"/>
            <w:vAlign w:val="center"/>
          </w:tcPr>
          <w:p w14:paraId="494319B8" w14:textId="77777777" w:rsidR="008B7E19"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color w:val="000000"/>
                <w:szCs w:val="14"/>
              </w:rPr>
            </w:pPr>
            <w:r>
              <w:rPr>
                <w:rFonts w:cs="Arial"/>
                <w:color w:val="000000"/>
                <w:szCs w:val="14"/>
              </w:rPr>
              <w:t>--</w:t>
            </w:r>
          </w:p>
        </w:tc>
        <w:tc>
          <w:tcPr>
            <w:tcW w:w="1444" w:type="dxa"/>
            <w:tcBorders>
              <w:top w:val="nil"/>
              <w:left w:val="nil"/>
              <w:bottom w:val="nil"/>
              <w:right w:val="nil"/>
            </w:tcBorders>
            <w:shd w:val="clear" w:color="auto" w:fill="auto"/>
            <w:vAlign w:val="center"/>
          </w:tcPr>
          <w:p w14:paraId="2E3E7C4A" w14:textId="77777777" w:rsidR="008B7E19" w:rsidRPr="009027F2"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color w:val="000000"/>
                <w:szCs w:val="14"/>
              </w:rPr>
            </w:pPr>
            <w:r>
              <w:rPr>
                <w:rFonts w:cs="Arial"/>
                <w:color w:val="000000"/>
                <w:szCs w:val="14"/>
              </w:rPr>
              <w:t>--</w:t>
            </w:r>
          </w:p>
        </w:tc>
        <w:tc>
          <w:tcPr>
            <w:tcW w:w="1454" w:type="dxa"/>
            <w:tcBorders>
              <w:top w:val="nil"/>
              <w:left w:val="nil"/>
              <w:bottom w:val="nil"/>
              <w:right w:val="nil"/>
            </w:tcBorders>
            <w:shd w:val="clear" w:color="auto" w:fill="auto"/>
            <w:vAlign w:val="center"/>
          </w:tcPr>
          <w:p w14:paraId="2E32F18F" w14:textId="77777777" w:rsidR="008B7E19" w:rsidRPr="009027F2"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color w:val="000000"/>
                <w:szCs w:val="14"/>
              </w:rPr>
            </w:pPr>
            <w:r>
              <w:rPr>
                <w:rFonts w:cs="Arial"/>
                <w:color w:val="000000"/>
                <w:szCs w:val="14"/>
              </w:rPr>
              <w:t>--</w:t>
            </w:r>
          </w:p>
        </w:tc>
        <w:tc>
          <w:tcPr>
            <w:tcW w:w="253" w:type="dxa"/>
            <w:tcBorders>
              <w:top w:val="nil"/>
              <w:left w:val="nil"/>
              <w:bottom w:val="nil"/>
              <w:right w:val="nil"/>
            </w:tcBorders>
            <w:shd w:val="clear" w:color="auto" w:fill="auto"/>
            <w:vAlign w:val="center"/>
          </w:tcPr>
          <w:p w14:paraId="7369CA25" w14:textId="77777777" w:rsidR="008B7E19" w:rsidRPr="00C806B0" w:rsidRDefault="008B7E19" w:rsidP="008B7E19">
            <w:pPr>
              <w:pStyle w:val="08-Tabelageral"/>
              <w:cnfStyle w:val="000000000000" w:firstRow="0" w:lastRow="0" w:firstColumn="0" w:lastColumn="0" w:oddVBand="0" w:evenVBand="0" w:oddHBand="0" w:evenHBand="0" w:firstRowFirstColumn="0" w:firstRowLastColumn="0" w:lastRowFirstColumn="0" w:lastRowLastColumn="0"/>
            </w:pPr>
          </w:p>
        </w:tc>
        <w:tc>
          <w:tcPr>
            <w:tcW w:w="1310" w:type="dxa"/>
            <w:tcBorders>
              <w:top w:val="nil"/>
              <w:left w:val="nil"/>
              <w:bottom w:val="nil"/>
              <w:right w:val="nil"/>
            </w:tcBorders>
            <w:shd w:val="clear" w:color="auto" w:fill="auto"/>
            <w:vAlign w:val="center"/>
          </w:tcPr>
          <w:p w14:paraId="3C7CED6B" w14:textId="77777777" w:rsidR="008B7E19"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color w:val="000000"/>
                <w:szCs w:val="14"/>
              </w:rPr>
            </w:pPr>
            <w:r>
              <w:rPr>
                <w:rFonts w:cs="Arial"/>
                <w:color w:val="000000"/>
                <w:szCs w:val="14"/>
              </w:rPr>
              <w:t>1,055,463</w:t>
            </w:r>
          </w:p>
        </w:tc>
        <w:tc>
          <w:tcPr>
            <w:tcW w:w="1196" w:type="dxa"/>
            <w:tcBorders>
              <w:top w:val="nil"/>
              <w:left w:val="nil"/>
              <w:bottom w:val="nil"/>
              <w:right w:val="nil"/>
            </w:tcBorders>
            <w:shd w:val="clear" w:color="auto" w:fill="auto"/>
            <w:vAlign w:val="center"/>
          </w:tcPr>
          <w:p w14:paraId="1FAD0501" w14:textId="77777777" w:rsidR="008B7E19"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color w:val="000000"/>
                <w:szCs w:val="14"/>
              </w:rPr>
            </w:pPr>
            <w:r>
              <w:rPr>
                <w:rFonts w:cs="Arial"/>
                <w:color w:val="000000"/>
                <w:szCs w:val="14"/>
              </w:rPr>
              <w:t>2,123,730</w:t>
            </w:r>
          </w:p>
        </w:tc>
        <w:tc>
          <w:tcPr>
            <w:tcW w:w="1474" w:type="dxa"/>
            <w:tcBorders>
              <w:top w:val="nil"/>
              <w:left w:val="nil"/>
              <w:bottom w:val="nil"/>
              <w:right w:val="nil"/>
            </w:tcBorders>
            <w:shd w:val="clear" w:color="auto" w:fill="auto"/>
            <w:vAlign w:val="center"/>
          </w:tcPr>
          <w:p w14:paraId="4BA5B6C1" w14:textId="77777777" w:rsidR="008B7E19" w:rsidRPr="00C806B0" w:rsidRDefault="008B7E19" w:rsidP="008B7E19">
            <w:pPr>
              <w:pStyle w:val="08-Tabelageral"/>
              <w:cnfStyle w:val="000000000000" w:firstRow="0" w:lastRow="0" w:firstColumn="0" w:lastColumn="0" w:oddVBand="0" w:evenVBand="0" w:oddHBand="0" w:evenHBand="0" w:firstRowFirstColumn="0" w:firstRowLastColumn="0" w:lastRowFirstColumn="0" w:lastRowLastColumn="0"/>
            </w:pPr>
            <w:r>
              <w:rPr>
                <w:rFonts w:cs="Arial"/>
                <w:color w:val="000000"/>
                <w:szCs w:val="14"/>
              </w:rPr>
              <w:t>949,282</w:t>
            </w:r>
          </w:p>
        </w:tc>
        <w:tc>
          <w:tcPr>
            <w:tcW w:w="1619" w:type="dxa"/>
            <w:tcBorders>
              <w:top w:val="nil"/>
              <w:left w:val="nil"/>
              <w:bottom w:val="nil"/>
              <w:right w:val="nil"/>
            </w:tcBorders>
            <w:shd w:val="clear" w:color="auto" w:fill="auto"/>
            <w:vAlign w:val="center"/>
          </w:tcPr>
          <w:p w14:paraId="2F60D737" w14:textId="77777777" w:rsidR="008B7E19"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color w:val="000000"/>
                <w:szCs w:val="14"/>
              </w:rPr>
            </w:pPr>
            <w:r>
              <w:rPr>
                <w:rFonts w:cs="Arial"/>
                <w:color w:val="000000"/>
                <w:szCs w:val="14"/>
              </w:rPr>
              <w:t>1,855,307</w:t>
            </w:r>
          </w:p>
        </w:tc>
      </w:tr>
      <w:tr w:rsidR="008B7E19" w:rsidRPr="003E7906" w14:paraId="38228116" w14:textId="77777777" w:rsidTr="008B7E19">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2841" w:type="dxa"/>
            <w:tcBorders>
              <w:top w:val="nil"/>
              <w:bottom w:val="nil"/>
            </w:tcBorders>
            <w:shd w:val="clear" w:color="auto" w:fill="auto"/>
            <w:vAlign w:val="center"/>
          </w:tcPr>
          <w:p w14:paraId="2D7C5A0A" w14:textId="77777777" w:rsidR="008B7E19" w:rsidRPr="009C4D96" w:rsidRDefault="008B7E19" w:rsidP="008B7E19">
            <w:pPr>
              <w:pStyle w:val="08-Tabelageral"/>
              <w:jc w:val="left"/>
              <w:rPr>
                <w:rFonts w:cs="Arial"/>
                <w:bCs w:val="0"/>
                <w:szCs w:val="14"/>
              </w:rPr>
            </w:pPr>
            <w:r w:rsidRPr="009C4D96">
              <w:rPr>
                <w:rFonts w:cs="Arial"/>
                <w:szCs w:val="14"/>
              </w:rPr>
              <w:t xml:space="preserve">Cost </w:t>
            </w:r>
            <w:r>
              <w:rPr>
                <w:rFonts w:cs="Arial"/>
                <w:szCs w:val="14"/>
              </w:rPr>
              <w:t>o</w:t>
            </w:r>
            <w:r w:rsidRPr="009C4D96">
              <w:rPr>
                <w:rFonts w:cs="Arial"/>
                <w:szCs w:val="14"/>
              </w:rPr>
              <w:t>f Services Provided</w:t>
            </w:r>
          </w:p>
        </w:tc>
        <w:tc>
          <w:tcPr>
            <w:tcW w:w="720" w:type="dxa"/>
            <w:tcBorders>
              <w:top w:val="nil"/>
              <w:bottom w:val="nil"/>
            </w:tcBorders>
            <w:shd w:val="clear" w:color="auto" w:fill="auto"/>
            <w:vAlign w:val="center"/>
          </w:tcPr>
          <w:p w14:paraId="16970CE6" w14:textId="77777777" w:rsidR="008B7E19" w:rsidRPr="00520137"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520137">
              <w:rPr>
                <w:b/>
                <w:bCs/>
              </w:rPr>
              <w:t>[9]</w:t>
            </w:r>
          </w:p>
        </w:tc>
        <w:tc>
          <w:tcPr>
            <w:tcW w:w="1444" w:type="dxa"/>
            <w:tcBorders>
              <w:top w:val="nil"/>
              <w:left w:val="nil"/>
              <w:bottom w:val="nil"/>
              <w:right w:val="nil"/>
            </w:tcBorders>
            <w:shd w:val="clear" w:color="auto" w:fill="auto"/>
            <w:vAlign w:val="center"/>
          </w:tcPr>
          <w:p w14:paraId="3BD6902C" w14:textId="77777777" w:rsidR="008B7E19"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r>
              <w:rPr>
                <w:rFonts w:cs="Arial"/>
                <w:b/>
                <w:bCs/>
                <w:color w:val="000000"/>
                <w:szCs w:val="14"/>
              </w:rPr>
              <w:t>--</w:t>
            </w:r>
          </w:p>
        </w:tc>
        <w:tc>
          <w:tcPr>
            <w:tcW w:w="1104" w:type="dxa"/>
            <w:tcBorders>
              <w:top w:val="nil"/>
              <w:left w:val="nil"/>
              <w:bottom w:val="nil"/>
              <w:right w:val="nil"/>
            </w:tcBorders>
            <w:shd w:val="clear" w:color="auto" w:fill="auto"/>
            <w:vAlign w:val="center"/>
          </w:tcPr>
          <w:p w14:paraId="3165BFCD" w14:textId="77777777" w:rsidR="008B7E19"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r>
              <w:rPr>
                <w:rFonts w:cs="Arial"/>
                <w:b/>
                <w:bCs/>
                <w:color w:val="000000"/>
                <w:szCs w:val="14"/>
              </w:rPr>
              <w:t>--</w:t>
            </w:r>
          </w:p>
        </w:tc>
        <w:tc>
          <w:tcPr>
            <w:tcW w:w="1444" w:type="dxa"/>
            <w:tcBorders>
              <w:top w:val="nil"/>
              <w:left w:val="nil"/>
              <w:bottom w:val="nil"/>
              <w:right w:val="nil"/>
            </w:tcBorders>
            <w:shd w:val="clear" w:color="auto" w:fill="auto"/>
            <w:vAlign w:val="center"/>
          </w:tcPr>
          <w:p w14:paraId="277BF0D1" w14:textId="77777777" w:rsidR="008B7E19" w:rsidRPr="009027F2"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r>
              <w:rPr>
                <w:rFonts w:cs="Arial"/>
                <w:b/>
                <w:bCs/>
                <w:color w:val="000000"/>
                <w:szCs w:val="14"/>
              </w:rPr>
              <w:t>--</w:t>
            </w:r>
          </w:p>
        </w:tc>
        <w:tc>
          <w:tcPr>
            <w:tcW w:w="1454" w:type="dxa"/>
            <w:tcBorders>
              <w:top w:val="nil"/>
              <w:left w:val="nil"/>
              <w:bottom w:val="nil"/>
              <w:right w:val="nil"/>
            </w:tcBorders>
            <w:shd w:val="clear" w:color="auto" w:fill="auto"/>
            <w:vAlign w:val="center"/>
          </w:tcPr>
          <w:p w14:paraId="58D2577E" w14:textId="77777777" w:rsidR="008B7E19" w:rsidRPr="009027F2"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r>
              <w:rPr>
                <w:rFonts w:cs="Arial"/>
                <w:b/>
                <w:bCs/>
                <w:color w:val="000000"/>
                <w:szCs w:val="14"/>
              </w:rPr>
              <w:t>--</w:t>
            </w:r>
          </w:p>
        </w:tc>
        <w:tc>
          <w:tcPr>
            <w:tcW w:w="253" w:type="dxa"/>
            <w:tcBorders>
              <w:top w:val="nil"/>
              <w:left w:val="nil"/>
              <w:bottom w:val="nil"/>
              <w:right w:val="nil"/>
            </w:tcBorders>
            <w:shd w:val="clear" w:color="auto" w:fill="auto"/>
            <w:vAlign w:val="center"/>
          </w:tcPr>
          <w:p w14:paraId="18736740" w14:textId="77777777" w:rsidR="008B7E19" w:rsidRPr="00520137"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b/>
                <w:bCs/>
              </w:rPr>
            </w:pPr>
            <w:r>
              <w:rPr>
                <w:rFonts w:cs="Arial"/>
                <w:b/>
                <w:bCs/>
                <w:color w:val="000000"/>
                <w:szCs w:val="14"/>
              </w:rPr>
              <w:t> </w:t>
            </w:r>
          </w:p>
        </w:tc>
        <w:tc>
          <w:tcPr>
            <w:tcW w:w="1310" w:type="dxa"/>
            <w:tcBorders>
              <w:top w:val="nil"/>
              <w:left w:val="nil"/>
              <w:bottom w:val="nil"/>
              <w:right w:val="nil"/>
            </w:tcBorders>
            <w:shd w:val="clear" w:color="auto" w:fill="auto"/>
            <w:vAlign w:val="center"/>
          </w:tcPr>
          <w:p w14:paraId="1E4CBA00" w14:textId="77777777" w:rsidR="008B7E19"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r>
              <w:rPr>
                <w:rFonts w:cs="Arial"/>
                <w:b/>
                <w:bCs/>
                <w:color w:val="000000"/>
                <w:szCs w:val="14"/>
              </w:rPr>
              <w:t>(50,139)</w:t>
            </w:r>
          </w:p>
        </w:tc>
        <w:tc>
          <w:tcPr>
            <w:tcW w:w="1196" w:type="dxa"/>
            <w:tcBorders>
              <w:top w:val="nil"/>
              <w:left w:val="nil"/>
              <w:bottom w:val="nil"/>
              <w:right w:val="nil"/>
            </w:tcBorders>
            <w:shd w:val="clear" w:color="auto" w:fill="auto"/>
            <w:vAlign w:val="center"/>
          </w:tcPr>
          <w:p w14:paraId="00884AE0" w14:textId="77777777" w:rsidR="008B7E19"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r>
              <w:rPr>
                <w:rFonts w:cs="Arial"/>
                <w:b/>
                <w:bCs/>
                <w:color w:val="000000"/>
                <w:szCs w:val="14"/>
              </w:rPr>
              <w:t>(100,861)</w:t>
            </w:r>
          </w:p>
        </w:tc>
        <w:tc>
          <w:tcPr>
            <w:tcW w:w="1474" w:type="dxa"/>
            <w:tcBorders>
              <w:top w:val="nil"/>
              <w:left w:val="nil"/>
              <w:bottom w:val="nil"/>
              <w:right w:val="nil"/>
            </w:tcBorders>
            <w:shd w:val="clear" w:color="auto" w:fill="auto"/>
            <w:vAlign w:val="center"/>
          </w:tcPr>
          <w:p w14:paraId="07AD21AF" w14:textId="77777777" w:rsidR="008B7E19" w:rsidRPr="00520137"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b/>
                <w:bCs/>
              </w:rPr>
            </w:pPr>
            <w:r>
              <w:rPr>
                <w:rFonts w:cs="Arial"/>
                <w:b/>
                <w:bCs/>
                <w:color w:val="000000"/>
                <w:szCs w:val="14"/>
              </w:rPr>
              <w:t>(53,763)</w:t>
            </w:r>
          </w:p>
        </w:tc>
        <w:tc>
          <w:tcPr>
            <w:tcW w:w="1619" w:type="dxa"/>
            <w:tcBorders>
              <w:top w:val="nil"/>
              <w:left w:val="nil"/>
              <w:bottom w:val="nil"/>
              <w:right w:val="nil"/>
            </w:tcBorders>
            <w:shd w:val="clear" w:color="auto" w:fill="auto"/>
            <w:vAlign w:val="center"/>
          </w:tcPr>
          <w:p w14:paraId="17F1F3CB" w14:textId="77777777" w:rsidR="008B7E19"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r>
              <w:rPr>
                <w:rFonts w:cs="Arial"/>
                <w:b/>
                <w:bCs/>
                <w:color w:val="000000"/>
                <w:szCs w:val="14"/>
              </w:rPr>
              <w:t>(101,800)</w:t>
            </w:r>
          </w:p>
        </w:tc>
      </w:tr>
      <w:tr w:rsidR="008B7E19" w:rsidRPr="001D6BE8" w14:paraId="56CB3CEE" w14:textId="77777777" w:rsidTr="008B7E19">
        <w:trPr>
          <w:trHeight w:hRule="exact" w:val="238"/>
          <w:jc w:val="center"/>
        </w:trPr>
        <w:tc>
          <w:tcPr>
            <w:cnfStyle w:val="001000000000" w:firstRow="0" w:lastRow="0" w:firstColumn="1" w:lastColumn="0" w:oddVBand="0" w:evenVBand="0" w:oddHBand="0" w:evenHBand="0" w:firstRowFirstColumn="0" w:firstRowLastColumn="0" w:lastRowFirstColumn="0" w:lastRowLastColumn="0"/>
            <w:tcW w:w="2841" w:type="dxa"/>
            <w:tcBorders>
              <w:top w:val="nil"/>
              <w:bottom w:val="nil"/>
            </w:tcBorders>
            <w:shd w:val="clear" w:color="auto" w:fill="auto"/>
            <w:vAlign w:val="center"/>
          </w:tcPr>
          <w:p w14:paraId="1EBEEC05" w14:textId="77777777" w:rsidR="008B7E19" w:rsidRPr="007E526D" w:rsidRDefault="008B7E19" w:rsidP="008B7E19">
            <w:pPr>
              <w:pStyle w:val="08-Tabelageral"/>
              <w:jc w:val="left"/>
              <w:rPr>
                <w:rFonts w:cs="Arial"/>
                <w:szCs w:val="14"/>
              </w:rPr>
            </w:pPr>
            <w:r w:rsidRPr="00C20080">
              <w:rPr>
                <w:rFonts w:cs="Arial"/>
                <w:szCs w:val="14"/>
              </w:rPr>
              <w:t>Gross Profit</w:t>
            </w:r>
          </w:p>
        </w:tc>
        <w:tc>
          <w:tcPr>
            <w:tcW w:w="720" w:type="dxa"/>
            <w:tcBorders>
              <w:top w:val="nil"/>
              <w:bottom w:val="nil"/>
            </w:tcBorders>
            <w:shd w:val="clear" w:color="auto" w:fill="auto"/>
            <w:vAlign w:val="center"/>
          </w:tcPr>
          <w:p w14:paraId="1D712E78" w14:textId="77777777" w:rsidR="008B7E19" w:rsidRPr="00520137"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b/>
                <w:bCs/>
                <w:szCs w:val="14"/>
              </w:rPr>
            </w:pPr>
          </w:p>
        </w:tc>
        <w:tc>
          <w:tcPr>
            <w:tcW w:w="1444" w:type="dxa"/>
            <w:tcBorders>
              <w:top w:val="nil"/>
              <w:left w:val="nil"/>
              <w:bottom w:val="nil"/>
              <w:right w:val="nil"/>
            </w:tcBorders>
            <w:shd w:val="clear" w:color="auto" w:fill="auto"/>
            <w:vAlign w:val="center"/>
          </w:tcPr>
          <w:p w14:paraId="1A108358" w14:textId="77777777" w:rsidR="008B7E19" w:rsidRPr="00522098"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b/>
                <w:bCs/>
                <w:color w:val="000000"/>
                <w:szCs w:val="14"/>
              </w:rPr>
            </w:pPr>
            <w:r>
              <w:rPr>
                <w:rFonts w:cs="Arial"/>
                <w:b/>
                <w:bCs/>
                <w:color w:val="000000"/>
                <w:szCs w:val="14"/>
              </w:rPr>
              <w:t>1,886,878</w:t>
            </w:r>
          </w:p>
        </w:tc>
        <w:tc>
          <w:tcPr>
            <w:tcW w:w="1104" w:type="dxa"/>
            <w:tcBorders>
              <w:top w:val="nil"/>
              <w:left w:val="nil"/>
              <w:bottom w:val="nil"/>
              <w:right w:val="nil"/>
            </w:tcBorders>
            <w:shd w:val="clear" w:color="auto" w:fill="auto"/>
            <w:vAlign w:val="center"/>
          </w:tcPr>
          <w:p w14:paraId="068B80F8" w14:textId="77777777" w:rsidR="008B7E19" w:rsidRPr="00522098"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b/>
                <w:bCs/>
                <w:color w:val="000000"/>
                <w:szCs w:val="14"/>
              </w:rPr>
            </w:pPr>
            <w:r>
              <w:rPr>
                <w:rFonts w:cs="Arial"/>
                <w:b/>
                <w:bCs/>
                <w:color w:val="000000"/>
                <w:szCs w:val="14"/>
              </w:rPr>
              <w:t>3,722,987</w:t>
            </w:r>
          </w:p>
        </w:tc>
        <w:tc>
          <w:tcPr>
            <w:tcW w:w="1444" w:type="dxa"/>
            <w:tcBorders>
              <w:top w:val="nil"/>
              <w:left w:val="nil"/>
              <w:bottom w:val="nil"/>
              <w:right w:val="nil"/>
            </w:tcBorders>
            <w:shd w:val="clear" w:color="auto" w:fill="auto"/>
            <w:vAlign w:val="center"/>
          </w:tcPr>
          <w:p w14:paraId="30DF4DD6" w14:textId="77777777" w:rsidR="008B7E19" w:rsidRPr="009027F2"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b/>
                <w:bCs/>
                <w:color w:val="000000"/>
                <w:szCs w:val="14"/>
              </w:rPr>
            </w:pPr>
            <w:r w:rsidRPr="000F6C32">
              <w:rPr>
                <w:rFonts w:cs="Arial"/>
                <w:b/>
                <w:bCs/>
                <w:color w:val="000000"/>
                <w:szCs w:val="14"/>
              </w:rPr>
              <w:t>1</w:t>
            </w:r>
            <w:r>
              <w:rPr>
                <w:rFonts w:cs="Arial"/>
                <w:b/>
                <w:bCs/>
                <w:color w:val="000000"/>
                <w:szCs w:val="14"/>
              </w:rPr>
              <w:t>,</w:t>
            </w:r>
            <w:r w:rsidRPr="000F6C32">
              <w:rPr>
                <w:rFonts w:cs="Arial"/>
                <w:b/>
                <w:bCs/>
                <w:color w:val="000000"/>
                <w:szCs w:val="14"/>
              </w:rPr>
              <w:t>504</w:t>
            </w:r>
            <w:r>
              <w:rPr>
                <w:rFonts w:cs="Arial"/>
                <w:b/>
                <w:bCs/>
                <w:color w:val="000000"/>
                <w:szCs w:val="14"/>
              </w:rPr>
              <w:t>,</w:t>
            </w:r>
            <w:r w:rsidRPr="000F6C32">
              <w:rPr>
                <w:rFonts w:cs="Arial"/>
                <w:b/>
                <w:bCs/>
                <w:color w:val="000000"/>
                <w:szCs w:val="14"/>
              </w:rPr>
              <w:t>744</w:t>
            </w:r>
          </w:p>
        </w:tc>
        <w:tc>
          <w:tcPr>
            <w:tcW w:w="1454" w:type="dxa"/>
            <w:tcBorders>
              <w:top w:val="nil"/>
              <w:left w:val="nil"/>
              <w:bottom w:val="nil"/>
              <w:right w:val="nil"/>
            </w:tcBorders>
            <w:shd w:val="clear" w:color="auto" w:fill="auto"/>
            <w:vAlign w:val="center"/>
          </w:tcPr>
          <w:p w14:paraId="01B9D6E0" w14:textId="77777777" w:rsidR="008B7E19" w:rsidRPr="009027F2"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b/>
                <w:bCs/>
                <w:color w:val="000000"/>
                <w:szCs w:val="14"/>
              </w:rPr>
            </w:pPr>
            <w:r w:rsidRPr="000F6C32">
              <w:rPr>
                <w:rFonts w:cs="Arial"/>
                <w:b/>
                <w:bCs/>
                <w:color w:val="000000"/>
                <w:szCs w:val="14"/>
              </w:rPr>
              <w:t>2</w:t>
            </w:r>
            <w:r>
              <w:rPr>
                <w:rFonts w:cs="Arial"/>
                <w:b/>
                <w:bCs/>
                <w:color w:val="000000"/>
                <w:szCs w:val="14"/>
              </w:rPr>
              <w:t>,</w:t>
            </w:r>
            <w:r w:rsidRPr="000F6C32">
              <w:rPr>
                <w:rFonts w:cs="Arial"/>
                <w:b/>
                <w:bCs/>
                <w:color w:val="000000"/>
                <w:szCs w:val="14"/>
              </w:rPr>
              <w:t>713</w:t>
            </w:r>
            <w:r>
              <w:rPr>
                <w:rFonts w:cs="Arial"/>
                <w:b/>
                <w:bCs/>
                <w:color w:val="000000"/>
                <w:szCs w:val="14"/>
              </w:rPr>
              <w:t>,</w:t>
            </w:r>
            <w:r w:rsidRPr="000F6C32">
              <w:rPr>
                <w:rFonts w:cs="Arial"/>
                <w:b/>
                <w:bCs/>
                <w:color w:val="000000"/>
                <w:szCs w:val="14"/>
              </w:rPr>
              <w:t>914</w:t>
            </w:r>
          </w:p>
        </w:tc>
        <w:tc>
          <w:tcPr>
            <w:tcW w:w="253" w:type="dxa"/>
            <w:tcBorders>
              <w:top w:val="nil"/>
              <w:left w:val="nil"/>
              <w:bottom w:val="nil"/>
              <w:right w:val="nil"/>
            </w:tcBorders>
            <w:shd w:val="clear" w:color="auto" w:fill="auto"/>
            <w:vAlign w:val="center"/>
          </w:tcPr>
          <w:p w14:paraId="5174F177" w14:textId="77777777" w:rsidR="008B7E19" w:rsidRPr="00520137"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b/>
                <w:bCs/>
              </w:rPr>
            </w:pPr>
          </w:p>
        </w:tc>
        <w:tc>
          <w:tcPr>
            <w:tcW w:w="1310" w:type="dxa"/>
            <w:tcBorders>
              <w:top w:val="nil"/>
              <w:left w:val="nil"/>
              <w:bottom w:val="nil"/>
              <w:right w:val="nil"/>
            </w:tcBorders>
            <w:shd w:val="clear" w:color="auto" w:fill="auto"/>
            <w:vAlign w:val="center"/>
          </w:tcPr>
          <w:p w14:paraId="0E6054E0" w14:textId="77777777" w:rsidR="008B7E19" w:rsidRPr="00522098"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b/>
                <w:bCs/>
                <w:color w:val="000000"/>
                <w:szCs w:val="14"/>
              </w:rPr>
            </w:pPr>
            <w:r>
              <w:rPr>
                <w:rFonts w:cs="Arial"/>
                <w:b/>
                <w:bCs/>
                <w:color w:val="000000"/>
                <w:szCs w:val="14"/>
              </w:rPr>
              <w:t>2,166,044</w:t>
            </w:r>
          </w:p>
        </w:tc>
        <w:tc>
          <w:tcPr>
            <w:tcW w:w="1196" w:type="dxa"/>
            <w:tcBorders>
              <w:top w:val="nil"/>
              <w:left w:val="nil"/>
              <w:bottom w:val="nil"/>
              <w:right w:val="nil"/>
            </w:tcBorders>
            <w:shd w:val="clear" w:color="auto" w:fill="auto"/>
            <w:vAlign w:val="center"/>
          </w:tcPr>
          <w:p w14:paraId="20A4DC69" w14:textId="77777777" w:rsidR="008B7E19" w:rsidRPr="00522098"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b/>
                <w:bCs/>
                <w:color w:val="000000"/>
                <w:szCs w:val="14"/>
              </w:rPr>
            </w:pPr>
            <w:r>
              <w:rPr>
                <w:rFonts w:cs="Arial"/>
                <w:b/>
                <w:bCs/>
                <w:color w:val="000000"/>
                <w:szCs w:val="14"/>
              </w:rPr>
              <w:t>4,308,620</w:t>
            </w:r>
          </w:p>
        </w:tc>
        <w:tc>
          <w:tcPr>
            <w:tcW w:w="1474" w:type="dxa"/>
            <w:tcBorders>
              <w:top w:val="nil"/>
              <w:left w:val="nil"/>
              <w:bottom w:val="nil"/>
              <w:right w:val="nil"/>
            </w:tcBorders>
            <w:shd w:val="clear" w:color="auto" w:fill="auto"/>
            <w:vAlign w:val="center"/>
          </w:tcPr>
          <w:p w14:paraId="6FA8631C" w14:textId="77777777" w:rsidR="008B7E19" w:rsidRPr="00520137"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b/>
                <w:bCs/>
              </w:rPr>
            </w:pPr>
            <w:r>
              <w:rPr>
                <w:rFonts w:cs="Arial"/>
                <w:b/>
                <w:bCs/>
                <w:color w:val="000000"/>
                <w:szCs w:val="14"/>
              </w:rPr>
              <w:t>1,760,258</w:t>
            </w:r>
          </w:p>
        </w:tc>
        <w:tc>
          <w:tcPr>
            <w:tcW w:w="1619" w:type="dxa"/>
            <w:tcBorders>
              <w:top w:val="nil"/>
              <w:left w:val="nil"/>
              <w:bottom w:val="nil"/>
              <w:right w:val="nil"/>
            </w:tcBorders>
            <w:shd w:val="clear" w:color="auto" w:fill="auto"/>
            <w:vAlign w:val="center"/>
          </w:tcPr>
          <w:p w14:paraId="29EF2781" w14:textId="77777777" w:rsidR="008B7E19"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b/>
                <w:bCs/>
                <w:color w:val="000000"/>
                <w:szCs w:val="14"/>
              </w:rPr>
            </w:pPr>
            <w:r>
              <w:rPr>
                <w:rFonts w:cs="Arial"/>
                <w:b/>
                <w:bCs/>
                <w:color w:val="000000"/>
                <w:szCs w:val="14"/>
              </w:rPr>
              <w:t>3,253,615</w:t>
            </w:r>
          </w:p>
        </w:tc>
      </w:tr>
      <w:tr w:rsidR="008B7E19" w:rsidRPr="001D6BE8" w14:paraId="72B41E81" w14:textId="77777777" w:rsidTr="008B7E19">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2841" w:type="dxa"/>
            <w:tcBorders>
              <w:top w:val="nil"/>
              <w:bottom w:val="nil"/>
            </w:tcBorders>
            <w:shd w:val="clear" w:color="auto" w:fill="auto"/>
            <w:vAlign w:val="center"/>
          </w:tcPr>
          <w:p w14:paraId="4DED51B9" w14:textId="77777777" w:rsidR="008B7E19" w:rsidRPr="00C806B0" w:rsidRDefault="008B7E19" w:rsidP="008B7E19">
            <w:pPr>
              <w:pStyle w:val="08-Tabelageral"/>
              <w:jc w:val="left"/>
              <w:rPr>
                <w:rFonts w:cs="Arial"/>
                <w:bCs w:val="0"/>
                <w:szCs w:val="14"/>
              </w:rPr>
            </w:pPr>
            <w:r w:rsidRPr="00C20080">
              <w:rPr>
                <w:rFonts w:cs="Arial"/>
                <w:szCs w:val="14"/>
              </w:rPr>
              <w:t xml:space="preserve">Other Income </w:t>
            </w:r>
            <w:r>
              <w:rPr>
                <w:rFonts w:cs="Arial"/>
                <w:szCs w:val="14"/>
              </w:rPr>
              <w:t>a</w:t>
            </w:r>
            <w:r w:rsidRPr="00C20080">
              <w:rPr>
                <w:rFonts w:cs="Arial"/>
                <w:szCs w:val="14"/>
              </w:rPr>
              <w:t>nd Expenses</w:t>
            </w:r>
          </w:p>
        </w:tc>
        <w:tc>
          <w:tcPr>
            <w:tcW w:w="720" w:type="dxa"/>
            <w:tcBorders>
              <w:top w:val="nil"/>
              <w:bottom w:val="nil"/>
            </w:tcBorders>
            <w:shd w:val="clear" w:color="auto" w:fill="auto"/>
            <w:vAlign w:val="center"/>
          </w:tcPr>
          <w:p w14:paraId="24650930" w14:textId="77777777" w:rsidR="008B7E19" w:rsidRPr="00520137"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p>
        </w:tc>
        <w:tc>
          <w:tcPr>
            <w:tcW w:w="1444" w:type="dxa"/>
            <w:tcBorders>
              <w:top w:val="nil"/>
              <w:left w:val="nil"/>
              <w:bottom w:val="nil"/>
              <w:right w:val="nil"/>
            </w:tcBorders>
            <w:shd w:val="clear" w:color="auto" w:fill="auto"/>
            <w:vAlign w:val="center"/>
          </w:tcPr>
          <w:p w14:paraId="531E4E41" w14:textId="77777777" w:rsidR="008B7E19" w:rsidRPr="00522098"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r>
              <w:rPr>
                <w:rFonts w:cs="Arial"/>
                <w:b/>
                <w:bCs/>
                <w:color w:val="000000"/>
                <w:szCs w:val="14"/>
              </w:rPr>
              <w:t>(4,874)</w:t>
            </w:r>
          </w:p>
        </w:tc>
        <w:tc>
          <w:tcPr>
            <w:tcW w:w="1104" w:type="dxa"/>
            <w:tcBorders>
              <w:top w:val="nil"/>
              <w:left w:val="nil"/>
              <w:bottom w:val="nil"/>
              <w:right w:val="nil"/>
            </w:tcBorders>
            <w:shd w:val="clear" w:color="auto" w:fill="auto"/>
            <w:vAlign w:val="center"/>
          </w:tcPr>
          <w:p w14:paraId="4CACE8F5" w14:textId="0F1DE250" w:rsidR="008B7E19" w:rsidRPr="00522098" w:rsidRDefault="008B7E19" w:rsidP="000A114C">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r>
              <w:rPr>
                <w:rFonts w:cs="Arial"/>
                <w:b/>
                <w:bCs/>
                <w:color w:val="000000"/>
                <w:szCs w:val="14"/>
              </w:rPr>
              <w:t>(10,33</w:t>
            </w:r>
            <w:r w:rsidR="000A114C">
              <w:rPr>
                <w:rFonts w:cs="Arial"/>
                <w:b/>
                <w:bCs/>
                <w:color w:val="000000"/>
                <w:szCs w:val="14"/>
              </w:rPr>
              <w:t>6</w:t>
            </w:r>
            <w:r>
              <w:rPr>
                <w:rFonts w:cs="Arial"/>
                <w:b/>
                <w:bCs/>
                <w:color w:val="000000"/>
                <w:szCs w:val="14"/>
              </w:rPr>
              <w:t>)</w:t>
            </w:r>
          </w:p>
        </w:tc>
        <w:tc>
          <w:tcPr>
            <w:tcW w:w="1444" w:type="dxa"/>
            <w:tcBorders>
              <w:top w:val="nil"/>
              <w:left w:val="nil"/>
              <w:bottom w:val="nil"/>
              <w:right w:val="nil"/>
            </w:tcBorders>
            <w:shd w:val="clear" w:color="auto" w:fill="auto"/>
            <w:vAlign w:val="center"/>
          </w:tcPr>
          <w:p w14:paraId="2071D493" w14:textId="77777777" w:rsidR="008B7E19" w:rsidRPr="009027F2"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r>
              <w:rPr>
                <w:rFonts w:cs="Arial"/>
                <w:b/>
                <w:bCs/>
                <w:color w:val="000000"/>
                <w:szCs w:val="14"/>
              </w:rPr>
              <w:t>(5,399)</w:t>
            </w:r>
          </w:p>
        </w:tc>
        <w:tc>
          <w:tcPr>
            <w:tcW w:w="1454" w:type="dxa"/>
            <w:tcBorders>
              <w:top w:val="nil"/>
              <w:left w:val="nil"/>
              <w:bottom w:val="nil"/>
              <w:right w:val="nil"/>
            </w:tcBorders>
            <w:shd w:val="clear" w:color="auto" w:fill="auto"/>
            <w:vAlign w:val="center"/>
          </w:tcPr>
          <w:p w14:paraId="49F4CF83" w14:textId="77777777" w:rsidR="008B7E19" w:rsidRPr="009027F2"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r>
              <w:rPr>
                <w:rFonts w:cs="Arial"/>
                <w:b/>
                <w:bCs/>
                <w:color w:val="000000"/>
                <w:szCs w:val="14"/>
              </w:rPr>
              <w:t>(8,508)</w:t>
            </w:r>
          </w:p>
        </w:tc>
        <w:tc>
          <w:tcPr>
            <w:tcW w:w="253" w:type="dxa"/>
            <w:tcBorders>
              <w:top w:val="nil"/>
              <w:left w:val="nil"/>
              <w:bottom w:val="nil"/>
              <w:right w:val="nil"/>
            </w:tcBorders>
            <w:shd w:val="clear" w:color="auto" w:fill="auto"/>
            <w:vAlign w:val="center"/>
          </w:tcPr>
          <w:p w14:paraId="4FC9B2B3" w14:textId="77777777" w:rsidR="008B7E19" w:rsidRPr="00520137"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b/>
                <w:bCs/>
              </w:rPr>
            </w:pPr>
            <w:r>
              <w:rPr>
                <w:rFonts w:cs="Arial"/>
                <w:b/>
                <w:bCs/>
                <w:color w:val="000000"/>
                <w:szCs w:val="14"/>
              </w:rPr>
              <w:t> </w:t>
            </w:r>
          </w:p>
        </w:tc>
        <w:tc>
          <w:tcPr>
            <w:tcW w:w="1310" w:type="dxa"/>
            <w:tcBorders>
              <w:top w:val="nil"/>
              <w:left w:val="nil"/>
              <w:bottom w:val="nil"/>
              <w:right w:val="nil"/>
            </w:tcBorders>
            <w:shd w:val="clear" w:color="auto" w:fill="auto"/>
            <w:vAlign w:val="center"/>
          </w:tcPr>
          <w:p w14:paraId="07D95C44" w14:textId="77777777" w:rsidR="008B7E19"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r>
              <w:rPr>
                <w:rFonts w:cs="Arial"/>
                <w:b/>
                <w:bCs/>
                <w:color w:val="000000"/>
                <w:szCs w:val="14"/>
              </w:rPr>
              <w:t>(50,352)</w:t>
            </w:r>
          </w:p>
        </w:tc>
        <w:tc>
          <w:tcPr>
            <w:tcW w:w="1196" w:type="dxa"/>
            <w:tcBorders>
              <w:top w:val="nil"/>
              <w:left w:val="nil"/>
              <w:bottom w:val="nil"/>
              <w:right w:val="nil"/>
            </w:tcBorders>
            <w:shd w:val="clear" w:color="auto" w:fill="auto"/>
            <w:vAlign w:val="center"/>
          </w:tcPr>
          <w:p w14:paraId="38B54B02" w14:textId="77777777" w:rsidR="008B7E19"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r>
              <w:rPr>
                <w:rFonts w:cs="Arial"/>
                <w:b/>
                <w:bCs/>
                <w:color w:val="000000"/>
                <w:szCs w:val="14"/>
              </w:rPr>
              <w:t>(89,866)</w:t>
            </w:r>
          </w:p>
        </w:tc>
        <w:tc>
          <w:tcPr>
            <w:tcW w:w="1474" w:type="dxa"/>
            <w:tcBorders>
              <w:top w:val="nil"/>
              <w:left w:val="nil"/>
              <w:bottom w:val="nil"/>
              <w:right w:val="nil"/>
            </w:tcBorders>
            <w:shd w:val="clear" w:color="auto" w:fill="auto"/>
            <w:vAlign w:val="center"/>
          </w:tcPr>
          <w:p w14:paraId="1E0B6F4F" w14:textId="77777777" w:rsidR="008B7E19" w:rsidRPr="00520137"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b/>
                <w:bCs/>
              </w:rPr>
            </w:pPr>
            <w:r>
              <w:rPr>
                <w:rFonts w:cs="Arial"/>
                <w:b/>
                <w:bCs/>
                <w:color w:val="000000"/>
                <w:szCs w:val="14"/>
              </w:rPr>
              <w:t>(46,007)</w:t>
            </w:r>
          </w:p>
        </w:tc>
        <w:tc>
          <w:tcPr>
            <w:tcW w:w="1619" w:type="dxa"/>
            <w:tcBorders>
              <w:top w:val="nil"/>
              <w:left w:val="nil"/>
              <w:bottom w:val="nil"/>
              <w:right w:val="nil"/>
            </w:tcBorders>
            <w:shd w:val="clear" w:color="auto" w:fill="auto"/>
            <w:vAlign w:val="center"/>
          </w:tcPr>
          <w:p w14:paraId="37B9EC89" w14:textId="77777777" w:rsidR="008B7E19"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r>
              <w:rPr>
                <w:rFonts w:cs="Arial"/>
                <w:b/>
                <w:bCs/>
                <w:color w:val="000000"/>
                <w:szCs w:val="14"/>
              </w:rPr>
              <w:t>(88,669)</w:t>
            </w:r>
          </w:p>
        </w:tc>
      </w:tr>
      <w:tr w:rsidR="008B7E19" w:rsidRPr="001D6BE8" w14:paraId="42FA8C8B" w14:textId="77777777" w:rsidTr="008B7E19">
        <w:trPr>
          <w:trHeight w:hRule="exact" w:val="238"/>
          <w:jc w:val="center"/>
        </w:trPr>
        <w:tc>
          <w:tcPr>
            <w:cnfStyle w:val="001000000000" w:firstRow="0" w:lastRow="0" w:firstColumn="1" w:lastColumn="0" w:oddVBand="0" w:evenVBand="0" w:oddHBand="0" w:evenHBand="0" w:firstRowFirstColumn="0" w:firstRowLastColumn="0" w:lastRowFirstColumn="0" w:lastRowLastColumn="0"/>
            <w:tcW w:w="2841" w:type="dxa"/>
            <w:tcBorders>
              <w:top w:val="nil"/>
              <w:bottom w:val="nil"/>
            </w:tcBorders>
            <w:shd w:val="clear" w:color="auto" w:fill="auto"/>
            <w:vAlign w:val="center"/>
          </w:tcPr>
          <w:p w14:paraId="030339CC" w14:textId="77777777" w:rsidR="008B7E19" w:rsidRPr="00C806B0" w:rsidRDefault="008B7E19" w:rsidP="008B7E19">
            <w:pPr>
              <w:pStyle w:val="08-Tabelageral"/>
              <w:ind w:left="113"/>
              <w:jc w:val="left"/>
              <w:rPr>
                <w:rFonts w:cs="Arial"/>
                <w:b w:val="0"/>
                <w:szCs w:val="14"/>
              </w:rPr>
            </w:pPr>
            <w:r w:rsidRPr="00C20080">
              <w:rPr>
                <w:b w:val="0"/>
              </w:rPr>
              <w:t>Personnel expenses</w:t>
            </w:r>
          </w:p>
        </w:tc>
        <w:tc>
          <w:tcPr>
            <w:tcW w:w="720" w:type="dxa"/>
            <w:tcBorders>
              <w:top w:val="nil"/>
              <w:bottom w:val="nil"/>
            </w:tcBorders>
            <w:shd w:val="clear" w:color="auto" w:fill="auto"/>
            <w:vAlign w:val="center"/>
          </w:tcPr>
          <w:p w14:paraId="2DCCEF33" w14:textId="77777777" w:rsidR="008B7E19" w:rsidRPr="008121B0" w:rsidRDefault="008B7E19" w:rsidP="008B7E19">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rPr>
            </w:pPr>
            <w:r w:rsidRPr="00823355">
              <w:t>[10]</w:t>
            </w:r>
          </w:p>
        </w:tc>
        <w:tc>
          <w:tcPr>
            <w:tcW w:w="1444" w:type="dxa"/>
            <w:tcBorders>
              <w:top w:val="nil"/>
              <w:left w:val="nil"/>
              <w:bottom w:val="nil"/>
              <w:right w:val="nil"/>
            </w:tcBorders>
            <w:shd w:val="clear" w:color="auto" w:fill="auto"/>
            <w:vAlign w:val="center"/>
          </w:tcPr>
          <w:p w14:paraId="2A0131D3" w14:textId="77777777" w:rsidR="008B7E19"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color w:val="000000"/>
                <w:szCs w:val="14"/>
              </w:rPr>
            </w:pPr>
            <w:r>
              <w:rPr>
                <w:rFonts w:cs="Arial"/>
                <w:color w:val="000000"/>
                <w:szCs w:val="14"/>
              </w:rPr>
              <w:t>(3,207)</w:t>
            </w:r>
          </w:p>
        </w:tc>
        <w:tc>
          <w:tcPr>
            <w:tcW w:w="1104" w:type="dxa"/>
            <w:tcBorders>
              <w:top w:val="nil"/>
              <w:left w:val="nil"/>
              <w:bottom w:val="nil"/>
              <w:right w:val="nil"/>
            </w:tcBorders>
            <w:shd w:val="clear" w:color="auto" w:fill="auto"/>
            <w:vAlign w:val="center"/>
          </w:tcPr>
          <w:p w14:paraId="0AE14246" w14:textId="77777777" w:rsidR="008B7E19"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color w:val="000000"/>
                <w:szCs w:val="14"/>
              </w:rPr>
            </w:pPr>
            <w:r>
              <w:rPr>
                <w:rFonts w:cs="Arial"/>
                <w:color w:val="000000"/>
                <w:szCs w:val="14"/>
              </w:rPr>
              <w:t>(6,847)</w:t>
            </w:r>
          </w:p>
        </w:tc>
        <w:tc>
          <w:tcPr>
            <w:tcW w:w="1444" w:type="dxa"/>
            <w:tcBorders>
              <w:top w:val="nil"/>
              <w:left w:val="nil"/>
              <w:bottom w:val="nil"/>
              <w:right w:val="nil"/>
            </w:tcBorders>
            <w:shd w:val="clear" w:color="auto" w:fill="auto"/>
            <w:vAlign w:val="center"/>
          </w:tcPr>
          <w:p w14:paraId="7EB82A01" w14:textId="77777777" w:rsidR="008B7E19" w:rsidRPr="009027F2"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color w:val="000000"/>
                <w:szCs w:val="14"/>
              </w:rPr>
            </w:pPr>
            <w:r>
              <w:rPr>
                <w:rFonts w:cs="Arial"/>
                <w:color w:val="000000"/>
                <w:szCs w:val="14"/>
              </w:rPr>
              <w:t>(3,611)</w:t>
            </w:r>
          </w:p>
        </w:tc>
        <w:tc>
          <w:tcPr>
            <w:tcW w:w="1454" w:type="dxa"/>
            <w:tcBorders>
              <w:top w:val="nil"/>
              <w:left w:val="nil"/>
              <w:bottom w:val="nil"/>
              <w:right w:val="nil"/>
            </w:tcBorders>
            <w:shd w:val="clear" w:color="auto" w:fill="auto"/>
            <w:vAlign w:val="center"/>
          </w:tcPr>
          <w:p w14:paraId="7A305980" w14:textId="77777777" w:rsidR="008B7E19" w:rsidRPr="009027F2"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color w:val="000000"/>
                <w:szCs w:val="14"/>
              </w:rPr>
            </w:pPr>
            <w:r>
              <w:rPr>
                <w:rFonts w:cs="Arial"/>
                <w:color w:val="000000"/>
                <w:szCs w:val="14"/>
              </w:rPr>
              <w:t>(6,917)</w:t>
            </w:r>
          </w:p>
        </w:tc>
        <w:tc>
          <w:tcPr>
            <w:tcW w:w="253" w:type="dxa"/>
            <w:tcBorders>
              <w:top w:val="nil"/>
              <w:left w:val="nil"/>
              <w:bottom w:val="nil"/>
              <w:right w:val="nil"/>
            </w:tcBorders>
            <w:shd w:val="clear" w:color="auto" w:fill="auto"/>
            <w:vAlign w:val="center"/>
          </w:tcPr>
          <w:p w14:paraId="2BE68E7E" w14:textId="77777777" w:rsidR="008B7E19" w:rsidRPr="00C806B0" w:rsidRDefault="008B7E19" w:rsidP="008B7E19">
            <w:pPr>
              <w:pStyle w:val="08-Tabelageral"/>
              <w:cnfStyle w:val="000000000000" w:firstRow="0" w:lastRow="0" w:firstColumn="0" w:lastColumn="0" w:oddVBand="0" w:evenVBand="0" w:oddHBand="0" w:evenHBand="0" w:firstRowFirstColumn="0" w:firstRowLastColumn="0" w:lastRowFirstColumn="0" w:lastRowLastColumn="0"/>
            </w:pPr>
          </w:p>
        </w:tc>
        <w:tc>
          <w:tcPr>
            <w:tcW w:w="1310" w:type="dxa"/>
            <w:tcBorders>
              <w:top w:val="nil"/>
              <w:left w:val="nil"/>
              <w:bottom w:val="nil"/>
              <w:right w:val="nil"/>
            </w:tcBorders>
            <w:shd w:val="clear" w:color="auto" w:fill="auto"/>
            <w:vAlign w:val="center"/>
          </w:tcPr>
          <w:p w14:paraId="46F54F84" w14:textId="77777777" w:rsidR="008B7E19"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color w:val="000000"/>
                <w:szCs w:val="14"/>
              </w:rPr>
            </w:pPr>
            <w:r>
              <w:rPr>
                <w:rFonts w:cs="Arial"/>
                <w:color w:val="000000"/>
                <w:szCs w:val="14"/>
              </w:rPr>
              <w:t>(21,896)</w:t>
            </w:r>
          </w:p>
        </w:tc>
        <w:tc>
          <w:tcPr>
            <w:tcW w:w="1196" w:type="dxa"/>
            <w:tcBorders>
              <w:top w:val="nil"/>
              <w:left w:val="nil"/>
              <w:bottom w:val="nil"/>
              <w:right w:val="nil"/>
            </w:tcBorders>
            <w:shd w:val="clear" w:color="auto" w:fill="auto"/>
            <w:vAlign w:val="center"/>
          </w:tcPr>
          <w:p w14:paraId="4BF84954" w14:textId="77777777" w:rsidR="008B7E19"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color w:val="000000"/>
                <w:szCs w:val="14"/>
              </w:rPr>
            </w:pPr>
            <w:r>
              <w:rPr>
                <w:rFonts w:cs="Arial"/>
                <w:color w:val="000000"/>
                <w:szCs w:val="14"/>
              </w:rPr>
              <w:t>(41,458)</w:t>
            </w:r>
          </w:p>
        </w:tc>
        <w:tc>
          <w:tcPr>
            <w:tcW w:w="1474" w:type="dxa"/>
            <w:tcBorders>
              <w:top w:val="nil"/>
              <w:left w:val="nil"/>
              <w:bottom w:val="nil"/>
              <w:right w:val="nil"/>
            </w:tcBorders>
            <w:shd w:val="clear" w:color="auto" w:fill="auto"/>
            <w:vAlign w:val="center"/>
          </w:tcPr>
          <w:p w14:paraId="0F21F535" w14:textId="77777777" w:rsidR="008B7E19" w:rsidRPr="00C806B0" w:rsidRDefault="008B7E19" w:rsidP="008B7E19">
            <w:pPr>
              <w:pStyle w:val="08-Tabelageral"/>
              <w:cnfStyle w:val="000000000000" w:firstRow="0" w:lastRow="0" w:firstColumn="0" w:lastColumn="0" w:oddVBand="0" w:evenVBand="0" w:oddHBand="0" w:evenHBand="0" w:firstRowFirstColumn="0" w:firstRowLastColumn="0" w:lastRowFirstColumn="0" w:lastRowLastColumn="0"/>
            </w:pPr>
            <w:r>
              <w:rPr>
                <w:rFonts w:cs="Arial"/>
                <w:color w:val="000000"/>
                <w:szCs w:val="14"/>
              </w:rPr>
              <w:t>(17,548)</w:t>
            </w:r>
          </w:p>
        </w:tc>
        <w:tc>
          <w:tcPr>
            <w:tcW w:w="1619" w:type="dxa"/>
            <w:tcBorders>
              <w:top w:val="nil"/>
              <w:left w:val="nil"/>
              <w:bottom w:val="nil"/>
              <w:right w:val="nil"/>
            </w:tcBorders>
            <w:shd w:val="clear" w:color="auto" w:fill="auto"/>
            <w:vAlign w:val="center"/>
          </w:tcPr>
          <w:p w14:paraId="24C8B5FE" w14:textId="77777777" w:rsidR="008B7E19"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color w:val="000000"/>
                <w:szCs w:val="14"/>
              </w:rPr>
            </w:pPr>
            <w:r>
              <w:rPr>
                <w:rFonts w:cs="Arial"/>
                <w:color w:val="000000"/>
                <w:szCs w:val="14"/>
              </w:rPr>
              <w:t>(33,938)</w:t>
            </w:r>
          </w:p>
        </w:tc>
      </w:tr>
      <w:tr w:rsidR="008B7E19" w:rsidRPr="001D6BE8" w14:paraId="26912A6F" w14:textId="77777777" w:rsidTr="008B7E19">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2841" w:type="dxa"/>
            <w:tcBorders>
              <w:top w:val="nil"/>
              <w:bottom w:val="nil"/>
            </w:tcBorders>
            <w:shd w:val="clear" w:color="auto" w:fill="auto"/>
            <w:vAlign w:val="center"/>
          </w:tcPr>
          <w:p w14:paraId="20EE7DF9" w14:textId="77777777" w:rsidR="008B7E19" w:rsidRPr="00C806B0" w:rsidRDefault="008B7E19" w:rsidP="008B7E19">
            <w:pPr>
              <w:pStyle w:val="08-Tabelageral"/>
              <w:ind w:left="113"/>
              <w:jc w:val="left"/>
              <w:rPr>
                <w:rFonts w:cs="Arial"/>
                <w:b w:val="0"/>
                <w:szCs w:val="14"/>
              </w:rPr>
            </w:pPr>
            <w:r w:rsidRPr="00BA0FFD">
              <w:rPr>
                <w:b w:val="0"/>
              </w:rPr>
              <w:t>Administrative</w:t>
            </w:r>
            <w:r>
              <w:rPr>
                <w:b w:val="0"/>
              </w:rPr>
              <w:t>s</w:t>
            </w:r>
            <w:r w:rsidRPr="00BA0FFD">
              <w:rPr>
                <w:b w:val="0"/>
              </w:rPr>
              <w:t xml:space="preserve"> </w:t>
            </w:r>
            <w:r>
              <w:rPr>
                <w:b w:val="0"/>
              </w:rPr>
              <w:t xml:space="preserve">and sales </w:t>
            </w:r>
            <w:r w:rsidRPr="00BA0FFD">
              <w:rPr>
                <w:b w:val="0"/>
              </w:rPr>
              <w:t>expenses</w:t>
            </w:r>
          </w:p>
        </w:tc>
        <w:tc>
          <w:tcPr>
            <w:tcW w:w="720" w:type="dxa"/>
            <w:tcBorders>
              <w:top w:val="nil"/>
              <w:bottom w:val="nil"/>
            </w:tcBorders>
            <w:shd w:val="clear" w:color="auto" w:fill="auto"/>
            <w:vAlign w:val="center"/>
          </w:tcPr>
          <w:p w14:paraId="78638C40" w14:textId="77777777" w:rsidR="008B7E19" w:rsidRPr="008121B0" w:rsidRDefault="008B7E19" w:rsidP="008B7E19">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r w:rsidRPr="00823355">
              <w:t>[11]</w:t>
            </w:r>
          </w:p>
        </w:tc>
        <w:tc>
          <w:tcPr>
            <w:tcW w:w="1444" w:type="dxa"/>
            <w:tcBorders>
              <w:top w:val="nil"/>
              <w:left w:val="nil"/>
              <w:bottom w:val="nil"/>
              <w:right w:val="nil"/>
            </w:tcBorders>
            <w:shd w:val="clear" w:color="auto" w:fill="auto"/>
            <w:vAlign w:val="center"/>
          </w:tcPr>
          <w:p w14:paraId="1E086871" w14:textId="77777777" w:rsidR="008B7E19"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r>
              <w:rPr>
                <w:rFonts w:cs="Arial"/>
                <w:color w:val="000000"/>
                <w:szCs w:val="14"/>
              </w:rPr>
              <w:t>(1,163)</w:t>
            </w:r>
          </w:p>
        </w:tc>
        <w:tc>
          <w:tcPr>
            <w:tcW w:w="1104" w:type="dxa"/>
            <w:tcBorders>
              <w:top w:val="nil"/>
              <w:left w:val="nil"/>
              <w:bottom w:val="nil"/>
              <w:right w:val="nil"/>
            </w:tcBorders>
            <w:shd w:val="clear" w:color="auto" w:fill="auto"/>
            <w:vAlign w:val="center"/>
          </w:tcPr>
          <w:p w14:paraId="439B6DD3" w14:textId="77777777" w:rsidR="008B7E19"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r>
              <w:rPr>
                <w:rFonts w:cs="Arial"/>
                <w:color w:val="000000"/>
                <w:szCs w:val="14"/>
              </w:rPr>
              <w:t>(1,884)</w:t>
            </w:r>
          </w:p>
        </w:tc>
        <w:tc>
          <w:tcPr>
            <w:tcW w:w="1444" w:type="dxa"/>
            <w:tcBorders>
              <w:top w:val="nil"/>
              <w:left w:val="nil"/>
              <w:bottom w:val="nil"/>
              <w:right w:val="nil"/>
            </w:tcBorders>
            <w:shd w:val="clear" w:color="auto" w:fill="auto"/>
            <w:vAlign w:val="center"/>
          </w:tcPr>
          <w:p w14:paraId="3CD10906" w14:textId="77777777" w:rsidR="008B7E19" w:rsidRPr="009027F2"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r>
              <w:rPr>
                <w:rFonts w:cs="Arial"/>
                <w:color w:val="000000"/>
                <w:szCs w:val="14"/>
              </w:rPr>
              <w:t>(1,506)</w:t>
            </w:r>
          </w:p>
        </w:tc>
        <w:tc>
          <w:tcPr>
            <w:tcW w:w="1454" w:type="dxa"/>
            <w:tcBorders>
              <w:top w:val="nil"/>
              <w:left w:val="nil"/>
              <w:bottom w:val="nil"/>
              <w:right w:val="nil"/>
            </w:tcBorders>
            <w:shd w:val="clear" w:color="auto" w:fill="auto"/>
            <w:vAlign w:val="center"/>
          </w:tcPr>
          <w:p w14:paraId="3A540F0F" w14:textId="77777777" w:rsidR="008B7E19" w:rsidRPr="009027F2"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r>
              <w:rPr>
                <w:rFonts w:cs="Arial"/>
                <w:color w:val="000000"/>
                <w:szCs w:val="14"/>
              </w:rPr>
              <w:t>(2,138)</w:t>
            </w:r>
          </w:p>
        </w:tc>
        <w:tc>
          <w:tcPr>
            <w:tcW w:w="253" w:type="dxa"/>
            <w:tcBorders>
              <w:top w:val="nil"/>
              <w:left w:val="nil"/>
              <w:bottom w:val="nil"/>
              <w:right w:val="nil"/>
            </w:tcBorders>
            <w:shd w:val="clear" w:color="auto" w:fill="auto"/>
            <w:vAlign w:val="center"/>
          </w:tcPr>
          <w:p w14:paraId="45D29129" w14:textId="77777777" w:rsidR="008B7E19" w:rsidRPr="00C806B0" w:rsidRDefault="008B7E19" w:rsidP="008B7E19">
            <w:pPr>
              <w:pStyle w:val="08-Tabelageral"/>
              <w:cnfStyle w:val="000000100000" w:firstRow="0" w:lastRow="0" w:firstColumn="0" w:lastColumn="0" w:oddVBand="0" w:evenVBand="0" w:oddHBand="1" w:evenHBand="0" w:firstRowFirstColumn="0" w:firstRowLastColumn="0" w:lastRowFirstColumn="0" w:lastRowLastColumn="0"/>
            </w:pPr>
            <w:r>
              <w:rPr>
                <w:rFonts w:cs="Arial"/>
                <w:color w:val="000000"/>
                <w:szCs w:val="14"/>
              </w:rPr>
              <w:t> </w:t>
            </w:r>
          </w:p>
        </w:tc>
        <w:tc>
          <w:tcPr>
            <w:tcW w:w="1310" w:type="dxa"/>
            <w:tcBorders>
              <w:top w:val="nil"/>
              <w:left w:val="nil"/>
              <w:bottom w:val="nil"/>
              <w:right w:val="nil"/>
            </w:tcBorders>
            <w:shd w:val="clear" w:color="auto" w:fill="auto"/>
            <w:vAlign w:val="center"/>
          </w:tcPr>
          <w:p w14:paraId="3A179C26" w14:textId="77777777" w:rsidR="008B7E19"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r>
              <w:rPr>
                <w:rFonts w:cs="Arial"/>
                <w:color w:val="000000"/>
                <w:szCs w:val="14"/>
              </w:rPr>
              <w:t>(13,013)</w:t>
            </w:r>
          </w:p>
        </w:tc>
        <w:tc>
          <w:tcPr>
            <w:tcW w:w="1196" w:type="dxa"/>
            <w:tcBorders>
              <w:top w:val="nil"/>
              <w:left w:val="nil"/>
              <w:bottom w:val="nil"/>
              <w:right w:val="nil"/>
            </w:tcBorders>
            <w:shd w:val="clear" w:color="auto" w:fill="auto"/>
            <w:vAlign w:val="center"/>
          </w:tcPr>
          <w:p w14:paraId="36CE37DF" w14:textId="77777777" w:rsidR="008B7E19"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r>
              <w:rPr>
                <w:rFonts w:cs="Arial"/>
                <w:color w:val="000000"/>
                <w:szCs w:val="14"/>
              </w:rPr>
              <w:t>(22,042)</w:t>
            </w:r>
          </w:p>
        </w:tc>
        <w:tc>
          <w:tcPr>
            <w:tcW w:w="1474" w:type="dxa"/>
            <w:tcBorders>
              <w:top w:val="nil"/>
              <w:left w:val="nil"/>
              <w:bottom w:val="nil"/>
              <w:right w:val="nil"/>
            </w:tcBorders>
            <w:shd w:val="clear" w:color="auto" w:fill="auto"/>
            <w:vAlign w:val="center"/>
          </w:tcPr>
          <w:p w14:paraId="2042263A" w14:textId="77777777" w:rsidR="008B7E19" w:rsidRPr="00C806B0" w:rsidRDefault="008B7E19" w:rsidP="008B7E19">
            <w:pPr>
              <w:pStyle w:val="08-Tabelageral"/>
              <w:cnfStyle w:val="000000100000" w:firstRow="0" w:lastRow="0" w:firstColumn="0" w:lastColumn="0" w:oddVBand="0" w:evenVBand="0" w:oddHBand="1" w:evenHBand="0" w:firstRowFirstColumn="0" w:firstRowLastColumn="0" w:lastRowFirstColumn="0" w:lastRowLastColumn="0"/>
            </w:pPr>
            <w:r>
              <w:rPr>
                <w:rFonts w:cs="Arial"/>
                <w:color w:val="000000"/>
                <w:szCs w:val="14"/>
              </w:rPr>
              <w:t>(7,622)</w:t>
            </w:r>
          </w:p>
        </w:tc>
        <w:tc>
          <w:tcPr>
            <w:tcW w:w="1619" w:type="dxa"/>
            <w:tcBorders>
              <w:top w:val="nil"/>
              <w:left w:val="nil"/>
              <w:bottom w:val="nil"/>
              <w:right w:val="nil"/>
            </w:tcBorders>
            <w:shd w:val="clear" w:color="auto" w:fill="auto"/>
            <w:vAlign w:val="center"/>
          </w:tcPr>
          <w:p w14:paraId="24C14C19" w14:textId="77777777" w:rsidR="008B7E19"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r>
              <w:rPr>
                <w:rFonts w:cs="Arial"/>
                <w:color w:val="000000"/>
                <w:szCs w:val="14"/>
              </w:rPr>
              <w:t>(13,500)</w:t>
            </w:r>
          </w:p>
        </w:tc>
      </w:tr>
      <w:tr w:rsidR="008B7E19" w:rsidRPr="001D6BE8" w14:paraId="349BFA3C" w14:textId="77777777" w:rsidTr="008B7E19">
        <w:trPr>
          <w:trHeight w:hRule="exact" w:val="238"/>
          <w:jc w:val="center"/>
        </w:trPr>
        <w:tc>
          <w:tcPr>
            <w:cnfStyle w:val="001000000000" w:firstRow="0" w:lastRow="0" w:firstColumn="1" w:lastColumn="0" w:oddVBand="0" w:evenVBand="0" w:oddHBand="0" w:evenHBand="0" w:firstRowFirstColumn="0" w:firstRowLastColumn="0" w:lastRowFirstColumn="0" w:lastRowLastColumn="0"/>
            <w:tcW w:w="2841" w:type="dxa"/>
            <w:tcBorders>
              <w:top w:val="nil"/>
              <w:bottom w:val="nil"/>
            </w:tcBorders>
            <w:shd w:val="clear" w:color="auto" w:fill="auto"/>
            <w:vAlign w:val="center"/>
          </w:tcPr>
          <w:p w14:paraId="2A15A583" w14:textId="77777777" w:rsidR="008B7E19" w:rsidRPr="00C806B0" w:rsidRDefault="008B7E19" w:rsidP="008B7E19">
            <w:pPr>
              <w:pStyle w:val="08-Tabelageral"/>
              <w:ind w:left="113"/>
              <w:jc w:val="left"/>
              <w:rPr>
                <w:rFonts w:cs="Arial"/>
                <w:b w:val="0"/>
                <w:szCs w:val="14"/>
              </w:rPr>
            </w:pPr>
            <w:r w:rsidRPr="00BA0FFD">
              <w:rPr>
                <w:b w:val="0"/>
              </w:rPr>
              <w:t>Tax expenses</w:t>
            </w:r>
          </w:p>
        </w:tc>
        <w:tc>
          <w:tcPr>
            <w:tcW w:w="720" w:type="dxa"/>
            <w:tcBorders>
              <w:top w:val="nil"/>
              <w:bottom w:val="nil"/>
            </w:tcBorders>
            <w:shd w:val="clear" w:color="auto" w:fill="auto"/>
            <w:vAlign w:val="center"/>
          </w:tcPr>
          <w:p w14:paraId="1B7B6D7B" w14:textId="77777777" w:rsidR="008B7E19" w:rsidRPr="008121B0" w:rsidRDefault="008B7E19" w:rsidP="008B7E19">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rPr>
            </w:pPr>
            <w:r w:rsidRPr="00823355">
              <w:t>[12.c]</w:t>
            </w:r>
          </w:p>
        </w:tc>
        <w:tc>
          <w:tcPr>
            <w:tcW w:w="1444" w:type="dxa"/>
            <w:tcBorders>
              <w:top w:val="nil"/>
              <w:left w:val="nil"/>
              <w:bottom w:val="nil"/>
              <w:right w:val="nil"/>
            </w:tcBorders>
            <w:shd w:val="clear" w:color="auto" w:fill="auto"/>
            <w:vAlign w:val="center"/>
          </w:tcPr>
          <w:p w14:paraId="6923C7D2" w14:textId="77777777" w:rsidR="008B7E19"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color w:val="000000"/>
                <w:szCs w:val="14"/>
              </w:rPr>
            </w:pPr>
            <w:r>
              <w:rPr>
                <w:rFonts w:cs="Arial"/>
                <w:color w:val="000000"/>
                <w:szCs w:val="14"/>
              </w:rPr>
              <w:t>(625)</w:t>
            </w:r>
          </w:p>
        </w:tc>
        <w:tc>
          <w:tcPr>
            <w:tcW w:w="1104" w:type="dxa"/>
            <w:tcBorders>
              <w:top w:val="nil"/>
              <w:left w:val="nil"/>
              <w:bottom w:val="nil"/>
              <w:right w:val="nil"/>
            </w:tcBorders>
            <w:shd w:val="clear" w:color="auto" w:fill="auto"/>
            <w:vAlign w:val="center"/>
          </w:tcPr>
          <w:p w14:paraId="1CB5AFB6" w14:textId="77777777" w:rsidR="008B7E19"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color w:val="000000"/>
                <w:szCs w:val="14"/>
              </w:rPr>
            </w:pPr>
            <w:r>
              <w:rPr>
                <w:rFonts w:cs="Arial"/>
                <w:color w:val="000000"/>
                <w:szCs w:val="14"/>
              </w:rPr>
              <w:t>(4,705)</w:t>
            </w:r>
          </w:p>
        </w:tc>
        <w:tc>
          <w:tcPr>
            <w:tcW w:w="1444" w:type="dxa"/>
            <w:tcBorders>
              <w:top w:val="nil"/>
              <w:left w:val="nil"/>
              <w:bottom w:val="nil"/>
              <w:right w:val="nil"/>
            </w:tcBorders>
            <w:shd w:val="clear" w:color="auto" w:fill="auto"/>
            <w:vAlign w:val="center"/>
          </w:tcPr>
          <w:p w14:paraId="0122AC97" w14:textId="77777777" w:rsidR="008B7E19" w:rsidRPr="009027F2"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color w:val="000000"/>
                <w:szCs w:val="14"/>
              </w:rPr>
            </w:pPr>
            <w:r>
              <w:rPr>
                <w:rFonts w:cs="Arial"/>
                <w:color w:val="000000"/>
                <w:szCs w:val="14"/>
              </w:rPr>
              <w:t>(301)</w:t>
            </w:r>
          </w:p>
        </w:tc>
        <w:tc>
          <w:tcPr>
            <w:tcW w:w="1454" w:type="dxa"/>
            <w:tcBorders>
              <w:top w:val="nil"/>
              <w:left w:val="nil"/>
              <w:bottom w:val="nil"/>
              <w:right w:val="nil"/>
            </w:tcBorders>
            <w:shd w:val="clear" w:color="auto" w:fill="auto"/>
            <w:vAlign w:val="center"/>
          </w:tcPr>
          <w:p w14:paraId="2A43DDAC" w14:textId="77777777" w:rsidR="008B7E19" w:rsidRPr="009027F2"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color w:val="000000"/>
                <w:szCs w:val="14"/>
              </w:rPr>
            </w:pPr>
            <w:r>
              <w:rPr>
                <w:rFonts w:cs="Arial"/>
                <w:color w:val="000000"/>
                <w:szCs w:val="14"/>
              </w:rPr>
              <w:t>(1,931)</w:t>
            </w:r>
          </w:p>
        </w:tc>
        <w:tc>
          <w:tcPr>
            <w:tcW w:w="253" w:type="dxa"/>
            <w:tcBorders>
              <w:top w:val="nil"/>
              <w:left w:val="nil"/>
              <w:bottom w:val="nil"/>
              <w:right w:val="nil"/>
            </w:tcBorders>
            <w:shd w:val="clear" w:color="auto" w:fill="auto"/>
            <w:vAlign w:val="center"/>
          </w:tcPr>
          <w:p w14:paraId="089BC789" w14:textId="77777777" w:rsidR="008B7E19" w:rsidRPr="00C806B0" w:rsidRDefault="008B7E19" w:rsidP="008B7E19">
            <w:pPr>
              <w:pStyle w:val="08-Tabelageral"/>
              <w:cnfStyle w:val="000000000000" w:firstRow="0" w:lastRow="0" w:firstColumn="0" w:lastColumn="0" w:oddVBand="0" w:evenVBand="0" w:oddHBand="0" w:evenHBand="0" w:firstRowFirstColumn="0" w:firstRowLastColumn="0" w:lastRowFirstColumn="0" w:lastRowLastColumn="0"/>
            </w:pPr>
          </w:p>
        </w:tc>
        <w:tc>
          <w:tcPr>
            <w:tcW w:w="1310" w:type="dxa"/>
            <w:tcBorders>
              <w:top w:val="nil"/>
              <w:left w:val="nil"/>
              <w:bottom w:val="nil"/>
              <w:right w:val="nil"/>
            </w:tcBorders>
            <w:shd w:val="clear" w:color="auto" w:fill="auto"/>
            <w:vAlign w:val="center"/>
          </w:tcPr>
          <w:p w14:paraId="5B428CA6" w14:textId="77777777" w:rsidR="008B7E19"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color w:val="000000"/>
                <w:szCs w:val="14"/>
              </w:rPr>
            </w:pPr>
            <w:r>
              <w:rPr>
                <w:rFonts w:cs="Arial"/>
                <w:color w:val="000000"/>
                <w:szCs w:val="14"/>
              </w:rPr>
              <w:t>(7,163)</w:t>
            </w:r>
          </w:p>
        </w:tc>
        <w:tc>
          <w:tcPr>
            <w:tcW w:w="1196" w:type="dxa"/>
            <w:tcBorders>
              <w:top w:val="nil"/>
              <w:left w:val="nil"/>
              <w:bottom w:val="nil"/>
              <w:right w:val="nil"/>
            </w:tcBorders>
            <w:shd w:val="clear" w:color="auto" w:fill="auto"/>
            <w:vAlign w:val="center"/>
          </w:tcPr>
          <w:p w14:paraId="231AB581" w14:textId="77777777" w:rsidR="008B7E19"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color w:val="000000"/>
                <w:szCs w:val="14"/>
              </w:rPr>
            </w:pPr>
            <w:r>
              <w:rPr>
                <w:rFonts w:cs="Arial"/>
                <w:color w:val="000000"/>
                <w:szCs w:val="14"/>
              </w:rPr>
              <w:t>(19,269)</w:t>
            </w:r>
          </w:p>
        </w:tc>
        <w:tc>
          <w:tcPr>
            <w:tcW w:w="1474" w:type="dxa"/>
            <w:tcBorders>
              <w:top w:val="nil"/>
              <w:left w:val="nil"/>
              <w:bottom w:val="nil"/>
              <w:right w:val="nil"/>
            </w:tcBorders>
            <w:shd w:val="clear" w:color="auto" w:fill="auto"/>
            <w:vAlign w:val="center"/>
          </w:tcPr>
          <w:p w14:paraId="52B1D4F4" w14:textId="77777777" w:rsidR="008B7E19" w:rsidRPr="00C806B0" w:rsidRDefault="008B7E19" w:rsidP="008B7E19">
            <w:pPr>
              <w:pStyle w:val="08-Tabelageral"/>
              <w:cnfStyle w:val="000000000000" w:firstRow="0" w:lastRow="0" w:firstColumn="0" w:lastColumn="0" w:oddVBand="0" w:evenVBand="0" w:oddHBand="0" w:evenHBand="0" w:firstRowFirstColumn="0" w:firstRowLastColumn="0" w:lastRowFirstColumn="0" w:lastRowLastColumn="0"/>
            </w:pPr>
            <w:r>
              <w:rPr>
                <w:rFonts w:cs="Arial"/>
                <w:color w:val="000000"/>
                <w:szCs w:val="14"/>
              </w:rPr>
              <w:t>(5,570)</w:t>
            </w:r>
          </w:p>
        </w:tc>
        <w:tc>
          <w:tcPr>
            <w:tcW w:w="1619" w:type="dxa"/>
            <w:tcBorders>
              <w:top w:val="nil"/>
              <w:left w:val="nil"/>
              <w:bottom w:val="nil"/>
              <w:right w:val="nil"/>
            </w:tcBorders>
            <w:shd w:val="clear" w:color="auto" w:fill="auto"/>
            <w:vAlign w:val="center"/>
          </w:tcPr>
          <w:p w14:paraId="0B436C3C" w14:textId="77777777" w:rsidR="008B7E19"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color w:val="000000"/>
                <w:szCs w:val="14"/>
              </w:rPr>
            </w:pPr>
            <w:r>
              <w:rPr>
                <w:rFonts w:cs="Arial"/>
                <w:color w:val="000000"/>
                <w:szCs w:val="14"/>
              </w:rPr>
              <w:t>(10,887)</w:t>
            </w:r>
          </w:p>
        </w:tc>
      </w:tr>
      <w:tr w:rsidR="008B7E19" w:rsidRPr="001D6BE8" w14:paraId="5266E286" w14:textId="77777777" w:rsidTr="008B7E19">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2841" w:type="dxa"/>
            <w:tcBorders>
              <w:top w:val="nil"/>
              <w:bottom w:val="nil"/>
            </w:tcBorders>
            <w:shd w:val="clear" w:color="auto" w:fill="auto"/>
            <w:vAlign w:val="center"/>
          </w:tcPr>
          <w:p w14:paraId="5EDBB1BA" w14:textId="77777777" w:rsidR="008B7E19" w:rsidRPr="00AB64D8" w:rsidRDefault="008B7E19" w:rsidP="008B7E19">
            <w:pPr>
              <w:pStyle w:val="08-Tabelageral"/>
              <w:ind w:left="113"/>
              <w:jc w:val="left"/>
              <w:rPr>
                <w:rFonts w:cs="Arial"/>
                <w:b w:val="0"/>
                <w:bCs w:val="0"/>
                <w:szCs w:val="14"/>
                <w:lang w:val="en-US"/>
              </w:rPr>
            </w:pPr>
            <w:r>
              <w:rPr>
                <w:rFonts w:cs="Arial"/>
                <w:b w:val="0"/>
                <w:bCs w:val="0"/>
                <w:szCs w:val="14"/>
                <w:lang w:val="en-US"/>
              </w:rPr>
              <w:t>P</w:t>
            </w:r>
            <w:r w:rsidRPr="00AB64D8">
              <w:rPr>
                <w:rFonts w:cs="Arial"/>
                <w:b w:val="0"/>
                <w:bCs w:val="0"/>
                <w:szCs w:val="14"/>
                <w:lang w:val="en-US"/>
              </w:rPr>
              <w:t>rovision for brokerage to</w:t>
            </w:r>
            <w:r w:rsidRPr="00CE5126">
              <w:rPr>
                <w:lang w:val="en-US"/>
              </w:rPr>
              <w:t xml:space="preserve"> </w:t>
            </w:r>
            <w:r w:rsidRPr="00AB64D8">
              <w:rPr>
                <w:rFonts w:cs="Arial"/>
                <w:b w:val="0"/>
                <w:bCs w:val="0"/>
                <w:szCs w:val="14"/>
                <w:lang w:val="en-US"/>
              </w:rPr>
              <w:t>returned</w:t>
            </w:r>
          </w:p>
          <w:p w14:paraId="2D3E15EC" w14:textId="77777777" w:rsidR="008B7E19" w:rsidRPr="00AB64D8" w:rsidRDefault="008B7E19" w:rsidP="008B7E19">
            <w:pPr>
              <w:pStyle w:val="08-Tabelageral"/>
              <w:ind w:left="113"/>
              <w:jc w:val="left"/>
              <w:rPr>
                <w:highlight w:val="yellow"/>
                <w:lang w:val="en-US"/>
              </w:rPr>
            </w:pPr>
            <w:r w:rsidRPr="00AB64D8">
              <w:rPr>
                <w:rFonts w:cs="Arial"/>
                <w:b w:val="0"/>
                <w:bCs w:val="0"/>
                <w:szCs w:val="14"/>
                <w:lang w:val="en-US"/>
              </w:rPr>
              <w:t>returned</w:t>
            </w:r>
          </w:p>
        </w:tc>
        <w:tc>
          <w:tcPr>
            <w:tcW w:w="720" w:type="dxa"/>
            <w:tcBorders>
              <w:top w:val="nil"/>
              <w:bottom w:val="nil"/>
            </w:tcBorders>
            <w:shd w:val="clear" w:color="auto" w:fill="auto"/>
            <w:vAlign w:val="center"/>
          </w:tcPr>
          <w:p w14:paraId="41DBC10C" w14:textId="77777777" w:rsidR="008B7E19" w:rsidRPr="00CE5126" w:rsidRDefault="008B7E19" w:rsidP="008B7E19">
            <w:pPr>
              <w:pStyle w:val="08-Tabelageral"/>
              <w:ind w:left="113"/>
              <w:cnfStyle w:val="000000100000" w:firstRow="0" w:lastRow="0" w:firstColumn="0" w:lastColumn="0" w:oddVBand="0" w:evenVBand="0" w:oddHBand="1" w:evenHBand="0" w:firstRowFirstColumn="0" w:firstRowLastColumn="0" w:lastRowFirstColumn="0" w:lastRowLastColumn="0"/>
            </w:pPr>
            <w:r w:rsidRPr="00CE5126">
              <w:rPr>
                <w:rFonts w:cs="Arial"/>
                <w:szCs w:val="14"/>
              </w:rPr>
              <w:t>[13]</w:t>
            </w:r>
          </w:p>
        </w:tc>
        <w:tc>
          <w:tcPr>
            <w:tcW w:w="1444" w:type="dxa"/>
            <w:tcBorders>
              <w:top w:val="nil"/>
              <w:left w:val="nil"/>
              <w:bottom w:val="nil"/>
              <w:right w:val="nil"/>
            </w:tcBorders>
            <w:shd w:val="clear" w:color="auto" w:fill="auto"/>
            <w:vAlign w:val="center"/>
          </w:tcPr>
          <w:p w14:paraId="2689B9AF" w14:textId="77777777" w:rsidR="008B7E19"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r>
              <w:rPr>
                <w:rFonts w:cs="Arial"/>
                <w:color w:val="000000"/>
                <w:szCs w:val="14"/>
              </w:rPr>
              <w:t>--</w:t>
            </w:r>
          </w:p>
        </w:tc>
        <w:tc>
          <w:tcPr>
            <w:tcW w:w="1104" w:type="dxa"/>
            <w:tcBorders>
              <w:top w:val="nil"/>
              <w:left w:val="nil"/>
              <w:bottom w:val="nil"/>
              <w:right w:val="nil"/>
            </w:tcBorders>
            <w:shd w:val="clear" w:color="auto" w:fill="auto"/>
            <w:vAlign w:val="center"/>
          </w:tcPr>
          <w:p w14:paraId="0CA53DA1" w14:textId="77777777" w:rsidR="008B7E19"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r>
              <w:rPr>
                <w:rFonts w:cs="Arial"/>
                <w:color w:val="000000"/>
                <w:szCs w:val="14"/>
              </w:rPr>
              <w:t>--</w:t>
            </w:r>
          </w:p>
        </w:tc>
        <w:tc>
          <w:tcPr>
            <w:tcW w:w="1444" w:type="dxa"/>
            <w:tcBorders>
              <w:top w:val="nil"/>
              <w:left w:val="nil"/>
              <w:bottom w:val="nil"/>
              <w:right w:val="nil"/>
            </w:tcBorders>
            <w:shd w:val="clear" w:color="auto" w:fill="auto"/>
            <w:vAlign w:val="center"/>
          </w:tcPr>
          <w:p w14:paraId="3A39EECE" w14:textId="77777777" w:rsidR="008B7E19" w:rsidRPr="00CE5126"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r>
              <w:rPr>
                <w:rFonts w:cs="Arial"/>
                <w:color w:val="000000"/>
                <w:szCs w:val="14"/>
              </w:rPr>
              <w:t>--</w:t>
            </w:r>
          </w:p>
        </w:tc>
        <w:tc>
          <w:tcPr>
            <w:tcW w:w="1454" w:type="dxa"/>
            <w:tcBorders>
              <w:top w:val="nil"/>
              <w:left w:val="nil"/>
              <w:bottom w:val="nil"/>
              <w:right w:val="nil"/>
            </w:tcBorders>
            <w:shd w:val="clear" w:color="auto" w:fill="auto"/>
            <w:vAlign w:val="center"/>
          </w:tcPr>
          <w:p w14:paraId="5B8B19D8" w14:textId="77777777" w:rsidR="008B7E19" w:rsidRPr="00CE5126"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r>
              <w:rPr>
                <w:rFonts w:cs="Arial"/>
                <w:color w:val="000000"/>
                <w:szCs w:val="14"/>
              </w:rPr>
              <w:t>--</w:t>
            </w:r>
          </w:p>
        </w:tc>
        <w:tc>
          <w:tcPr>
            <w:tcW w:w="253" w:type="dxa"/>
            <w:tcBorders>
              <w:top w:val="nil"/>
              <w:left w:val="nil"/>
              <w:bottom w:val="nil"/>
              <w:right w:val="nil"/>
            </w:tcBorders>
            <w:shd w:val="clear" w:color="auto" w:fill="auto"/>
            <w:vAlign w:val="center"/>
          </w:tcPr>
          <w:p w14:paraId="026B587A" w14:textId="77777777" w:rsidR="008B7E19" w:rsidRPr="00CE5126" w:rsidRDefault="008B7E19" w:rsidP="008B7E19">
            <w:pPr>
              <w:pStyle w:val="08-Tabelageral"/>
              <w:cnfStyle w:val="000000100000" w:firstRow="0" w:lastRow="0" w:firstColumn="0" w:lastColumn="0" w:oddVBand="0" w:evenVBand="0" w:oddHBand="1" w:evenHBand="0" w:firstRowFirstColumn="0" w:firstRowLastColumn="0" w:lastRowFirstColumn="0" w:lastRowLastColumn="0"/>
            </w:pPr>
            <w:r>
              <w:rPr>
                <w:rFonts w:cs="Arial"/>
                <w:color w:val="000000"/>
                <w:szCs w:val="14"/>
              </w:rPr>
              <w:t> </w:t>
            </w:r>
          </w:p>
        </w:tc>
        <w:tc>
          <w:tcPr>
            <w:tcW w:w="1310" w:type="dxa"/>
            <w:tcBorders>
              <w:top w:val="nil"/>
              <w:left w:val="nil"/>
              <w:bottom w:val="nil"/>
              <w:right w:val="nil"/>
            </w:tcBorders>
            <w:shd w:val="clear" w:color="auto" w:fill="auto"/>
            <w:vAlign w:val="center"/>
          </w:tcPr>
          <w:p w14:paraId="6B2DEE19" w14:textId="77777777" w:rsidR="008B7E19" w:rsidRDefault="008B7E19" w:rsidP="008B7E19">
            <w:pPr>
              <w:pStyle w:val="08-Tabelageral"/>
              <w:cnfStyle w:val="000000100000" w:firstRow="0" w:lastRow="0" w:firstColumn="0" w:lastColumn="0" w:oddVBand="0" w:evenVBand="0" w:oddHBand="1" w:evenHBand="0" w:firstRowFirstColumn="0" w:firstRowLastColumn="0" w:lastRowFirstColumn="0" w:lastRowLastColumn="0"/>
            </w:pPr>
            <w:r>
              <w:rPr>
                <w:rFonts w:cs="Arial"/>
                <w:color w:val="000000"/>
                <w:szCs w:val="14"/>
              </w:rPr>
              <w:t>--</w:t>
            </w:r>
          </w:p>
        </w:tc>
        <w:tc>
          <w:tcPr>
            <w:tcW w:w="1196" w:type="dxa"/>
            <w:tcBorders>
              <w:top w:val="nil"/>
              <w:left w:val="nil"/>
              <w:bottom w:val="nil"/>
              <w:right w:val="nil"/>
            </w:tcBorders>
            <w:shd w:val="clear" w:color="auto" w:fill="auto"/>
            <w:vAlign w:val="center"/>
          </w:tcPr>
          <w:p w14:paraId="5C14349C" w14:textId="77777777" w:rsidR="008B7E19" w:rsidRDefault="008B7E19" w:rsidP="008B7E19">
            <w:pPr>
              <w:pStyle w:val="08-Tabelageral"/>
              <w:cnfStyle w:val="000000100000" w:firstRow="0" w:lastRow="0" w:firstColumn="0" w:lastColumn="0" w:oddVBand="0" w:evenVBand="0" w:oddHBand="1" w:evenHBand="0" w:firstRowFirstColumn="0" w:firstRowLastColumn="0" w:lastRowFirstColumn="0" w:lastRowLastColumn="0"/>
            </w:pPr>
            <w:r>
              <w:rPr>
                <w:rFonts w:cs="Arial"/>
                <w:color w:val="000000"/>
                <w:szCs w:val="14"/>
              </w:rPr>
              <w:t>--</w:t>
            </w:r>
          </w:p>
        </w:tc>
        <w:tc>
          <w:tcPr>
            <w:tcW w:w="1474" w:type="dxa"/>
            <w:tcBorders>
              <w:top w:val="nil"/>
              <w:left w:val="nil"/>
              <w:bottom w:val="nil"/>
              <w:right w:val="nil"/>
            </w:tcBorders>
            <w:shd w:val="clear" w:color="auto" w:fill="auto"/>
            <w:vAlign w:val="center"/>
          </w:tcPr>
          <w:p w14:paraId="0E333B70" w14:textId="77777777" w:rsidR="008B7E19" w:rsidRPr="00CE5126" w:rsidRDefault="008B7E19" w:rsidP="008B7E19">
            <w:pPr>
              <w:pStyle w:val="08-Tabelageral"/>
              <w:cnfStyle w:val="000000100000" w:firstRow="0" w:lastRow="0" w:firstColumn="0" w:lastColumn="0" w:oddVBand="0" w:evenVBand="0" w:oddHBand="1" w:evenHBand="0" w:firstRowFirstColumn="0" w:firstRowLastColumn="0" w:lastRowFirstColumn="0" w:lastRowLastColumn="0"/>
            </w:pPr>
            <w:r>
              <w:rPr>
                <w:rFonts w:cs="Arial"/>
                <w:color w:val="000000"/>
                <w:szCs w:val="14"/>
              </w:rPr>
              <w:t>(9,824)</w:t>
            </w:r>
          </w:p>
        </w:tc>
        <w:tc>
          <w:tcPr>
            <w:tcW w:w="1619" w:type="dxa"/>
            <w:tcBorders>
              <w:top w:val="nil"/>
              <w:left w:val="nil"/>
              <w:bottom w:val="nil"/>
              <w:right w:val="nil"/>
            </w:tcBorders>
            <w:shd w:val="clear" w:color="auto" w:fill="auto"/>
            <w:vAlign w:val="center"/>
          </w:tcPr>
          <w:p w14:paraId="5E7BE757" w14:textId="77777777" w:rsidR="008B7E19" w:rsidRPr="00CE5126"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r>
              <w:rPr>
                <w:rFonts w:cs="Arial"/>
                <w:color w:val="000000"/>
                <w:szCs w:val="14"/>
              </w:rPr>
              <w:t>(19,648)</w:t>
            </w:r>
          </w:p>
        </w:tc>
      </w:tr>
      <w:tr w:rsidR="008B7E19" w:rsidRPr="001D6BE8" w14:paraId="4BF4C8B6" w14:textId="77777777" w:rsidTr="008B7E19">
        <w:trPr>
          <w:trHeight w:hRule="exact" w:val="238"/>
          <w:jc w:val="center"/>
        </w:trPr>
        <w:tc>
          <w:tcPr>
            <w:cnfStyle w:val="001000000000" w:firstRow="0" w:lastRow="0" w:firstColumn="1" w:lastColumn="0" w:oddVBand="0" w:evenVBand="0" w:oddHBand="0" w:evenHBand="0" w:firstRowFirstColumn="0" w:firstRowLastColumn="0" w:lastRowFirstColumn="0" w:lastRowLastColumn="0"/>
            <w:tcW w:w="2841" w:type="dxa"/>
            <w:tcBorders>
              <w:top w:val="nil"/>
              <w:bottom w:val="nil"/>
            </w:tcBorders>
            <w:shd w:val="clear" w:color="auto" w:fill="auto"/>
            <w:vAlign w:val="center"/>
          </w:tcPr>
          <w:p w14:paraId="500D1A6D" w14:textId="77777777" w:rsidR="008B7E19" w:rsidRPr="00C806B0" w:rsidRDefault="008B7E19" w:rsidP="008B7E19">
            <w:pPr>
              <w:pStyle w:val="08-Tabelageral"/>
              <w:ind w:left="113"/>
              <w:jc w:val="left"/>
              <w:rPr>
                <w:rFonts w:cs="Arial"/>
                <w:b w:val="0"/>
                <w:szCs w:val="14"/>
              </w:rPr>
            </w:pPr>
            <w:r w:rsidRPr="00BA0FFD">
              <w:rPr>
                <w:b w:val="0"/>
              </w:rPr>
              <w:t>Other</w:t>
            </w:r>
          </w:p>
        </w:tc>
        <w:tc>
          <w:tcPr>
            <w:tcW w:w="720" w:type="dxa"/>
            <w:tcBorders>
              <w:top w:val="nil"/>
              <w:bottom w:val="nil"/>
            </w:tcBorders>
            <w:shd w:val="clear" w:color="auto" w:fill="auto"/>
            <w:vAlign w:val="center"/>
          </w:tcPr>
          <w:p w14:paraId="21BBA915" w14:textId="77777777" w:rsidR="008B7E19" w:rsidRPr="008121B0" w:rsidRDefault="008B7E19" w:rsidP="008B7E19">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rPr>
            </w:pPr>
            <w:r w:rsidRPr="00823355">
              <w:t>[13]</w:t>
            </w:r>
          </w:p>
        </w:tc>
        <w:tc>
          <w:tcPr>
            <w:tcW w:w="1444" w:type="dxa"/>
            <w:tcBorders>
              <w:top w:val="nil"/>
              <w:left w:val="nil"/>
              <w:bottom w:val="nil"/>
              <w:right w:val="nil"/>
            </w:tcBorders>
            <w:shd w:val="clear" w:color="auto" w:fill="auto"/>
            <w:vAlign w:val="center"/>
          </w:tcPr>
          <w:p w14:paraId="37524A2B" w14:textId="77777777" w:rsidR="008B7E19" w:rsidRPr="00522098" w:rsidRDefault="008B7E19" w:rsidP="008B7E19">
            <w:pPr>
              <w:pStyle w:val="08-Tabelageral"/>
              <w:cnfStyle w:val="000000000000" w:firstRow="0" w:lastRow="0" w:firstColumn="0" w:lastColumn="0" w:oddVBand="0" w:evenVBand="0" w:oddHBand="0" w:evenHBand="0" w:firstRowFirstColumn="0" w:firstRowLastColumn="0" w:lastRowFirstColumn="0" w:lastRowLastColumn="0"/>
            </w:pPr>
            <w:r>
              <w:rPr>
                <w:rFonts w:cs="Arial"/>
                <w:color w:val="000000"/>
                <w:szCs w:val="14"/>
              </w:rPr>
              <w:t>121</w:t>
            </w:r>
          </w:p>
        </w:tc>
        <w:tc>
          <w:tcPr>
            <w:tcW w:w="1104" w:type="dxa"/>
            <w:tcBorders>
              <w:top w:val="nil"/>
              <w:left w:val="nil"/>
              <w:bottom w:val="nil"/>
              <w:right w:val="nil"/>
            </w:tcBorders>
            <w:shd w:val="clear" w:color="auto" w:fill="auto"/>
            <w:vAlign w:val="center"/>
          </w:tcPr>
          <w:p w14:paraId="6AF42EA8" w14:textId="77777777" w:rsidR="008B7E19" w:rsidRPr="00522098" w:rsidRDefault="008B7E19" w:rsidP="008B7E19">
            <w:pPr>
              <w:pStyle w:val="08-Tabelageral"/>
              <w:cnfStyle w:val="000000000000" w:firstRow="0" w:lastRow="0" w:firstColumn="0" w:lastColumn="0" w:oddVBand="0" w:evenVBand="0" w:oddHBand="0" w:evenHBand="0" w:firstRowFirstColumn="0" w:firstRowLastColumn="0" w:lastRowFirstColumn="0" w:lastRowLastColumn="0"/>
            </w:pPr>
            <w:r w:rsidRPr="00972355">
              <w:rPr>
                <w:rFonts w:cs="Arial"/>
                <w:color w:val="000000"/>
                <w:szCs w:val="14"/>
              </w:rPr>
              <w:t>3</w:t>
            </w:r>
            <w:r>
              <w:rPr>
                <w:rFonts w:cs="Arial"/>
                <w:color w:val="000000"/>
                <w:szCs w:val="14"/>
              </w:rPr>
              <w:t>,</w:t>
            </w:r>
            <w:r w:rsidRPr="00972355">
              <w:rPr>
                <w:rFonts w:cs="Arial"/>
                <w:color w:val="000000"/>
                <w:szCs w:val="14"/>
              </w:rPr>
              <w:t>100</w:t>
            </w:r>
          </w:p>
        </w:tc>
        <w:tc>
          <w:tcPr>
            <w:tcW w:w="1444" w:type="dxa"/>
            <w:tcBorders>
              <w:top w:val="nil"/>
              <w:left w:val="nil"/>
              <w:bottom w:val="nil"/>
              <w:right w:val="nil"/>
            </w:tcBorders>
            <w:shd w:val="clear" w:color="auto" w:fill="auto"/>
            <w:vAlign w:val="center"/>
          </w:tcPr>
          <w:p w14:paraId="34AED779" w14:textId="77777777" w:rsidR="008B7E19" w:rsidRPr="009027F2"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color w:val="000000"/>
                <w:szCs w:val="14"/>
              </w:rPr>
            </w:pPr>
            <w:r w:rsidRPr="00972355">
              <w:rPr>
                <w:rFonts w:cs="Arial"/>
                <w:color w:val="000000"/>
                <w:szCs w:val="14"/>
              </w:rPr>
              <w:t>19</w:t>
            </w:r>
          </w:p>
        </w:tc>
        <w:tc>
          <w:tcPr>
            <w:tcW w:w="1454" w:type="dxa"/>
            <w:tcBorders>
              <w:top w:val="nil"/>
              <w:left w:val="nil"/>
              <w:bottom w:val="nil"/>
              <w:right w:val="nil"/>
            </w:tcBorders>
            <w:shd w:val="clear" w:color="auto" w:fill="auto"/>
            <w:vAlign w:val="center"/>
          </w:tcPr>
          <w:p w14:paraId="328CFAED" w14:textId="77777777" w:rsidR="008B7E19" w:rsidRPr="009027F2"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color w:val="000000"/>
                <w:szCs w:val="14"/>
              </w:rPr>
            </w:pPr>
            <w:r>
              <w:rPr>
                <w:rFonts w:cs="Arial"/>
                <w:color w:val="000000"/>
                <w:szCs w:val="14"/>
              </w:rPr>
              <w:t>2,478</w:t>
            </w:r>
          </w:p>
        </w:tc>
        <w:tc>
          <w:tcPr>
            <w:tcW w:w="253" w:type="dxa"/>
            <w:tcBorders>
              <w:top w:val="nil"/>
              <w:left w:val="nil"/>
              <w:bottom w:val="nil"/>
              <w:right w:val="nil"/>
            </w:tcBorders>
            <w:shd w:val="clear" w:color="auto" w:fill="auto"/>
            <w:vAlign w:val="center"/>
          </w:tcPr>
          <w:p w14:paraId="658311E3" w14:textId="77777777" w:rsidR="008B7E19" w:rsidRPr="00C806B0" w:rsidRDefault="008B7E19" w:rsidP="008B7E19">
            <w:pPr>
              <w:pStyle w:val="08-Tabelageral"/>
              <w:cnfStyle w:val="000000000000" w:firstRow="0" w:lastRow="0" w:firstColumn="0" w:lastColumn="0" w:oddVBand="0" w:evenVBand="0" w:oddHBand="0" w:evenHBand="0" w:firstRowFirstColumn="0" w:firstRowLastColumn="0" w:lastRowFirstColumn="0" w:lastRowLastColumn="0"/>
            </w:pPr>
            <w:r>
              <w:rPr>
                <w:rFonts w:cs="Arial"/>
                <w:color w:val="000000"/>
                <w:szCs w:val="14"/>
              </w:rPr>
              <w:t> </w:t>
            </w:r>
          </w:p>
        </w:tc>
        <w:tc>
          <w:tcPr>
            <w:tcW w:w="1310" w:type="dxa"/>
            <w:tcBorders>
              <w:top w:val="nil"/>
              <w:left w:val="nil"/>
              <w:bottom w:val="nil"/>
              <w:right w:val="nil"/>
            </w:tcBorders>
            <w:shd w:val="clear" w:color="auto" w:fill="auto"/>
            <w:vAlign w:val="center"/>
          </w:tcPr>
          <w:p w14:paraId="70522FB7" w14:textId="77777777" w:rsidR="008B7E19" w:rsidRPr="0012177F" w:rsidRDefault="008B7E19" w:rsidP="008B7E19">
            <w:pPr>
              <w:pStyle w:val="08-Tabelageral"/>
              <w:cnfStyle w:val="000000000000" w:firstRow="0" w:lastRow="0" w:firstColumn="0" w:lastColumn="0" w:oddVBand="0" w:evenVBand="0" w:oddHBand="0" w:evenHBand="0" w:firstRowFirstColumn="0" w:firstRowLastColumn="0" w:lastRowFirstColumn="0" w:lastRowLastColumn="0"/>
            </w:pPr>
            <w:r>
              <w:rPr>
                <w:rFonts w:cs="Arial"/>
                <w:color w:val="000000"/>
                <w:szCs w:val="14"/>
              </w:rPr>
              <w:t>(8,280)</w:t>
            </w:r>
          </w:p>
        </w:tc>
        <w:tc>
          <w:tcPr>
            <w:tcW w:w="1196" w:type="dxa"/>
            <w:tcBorders>
              <w:top w:val="nil"/>
              <w:left w:val="nil"/>
              <w:bottom w:val="nil"/>
              <w:right w:val="nil"/>
            </w:tcBorders>
            <w:shd w:val="clear" w:color="auto" w:fill="auto"/>
            <w:vAlign w:val="center"/>
          </w:tcPr>
          <w:p w14:paraId="1BFD8228" w14:textId="77777777" w:rsidR="008B7E19" w:rsidRPr="0012177F" w:rsidRDefault="008B7E19" w:rsidP="008B7E19">
            <w:pPr>
              <w:pStyle w:val="08-Tabelageral"/>
              <w:cnfStyle w:val="000000000000" w:firstRow="0" w:lastRow="0" w:firstColumn="0" w:lastColumn="0" w:oddVBand="0" w:evenVBand="0" w:oddHBand="0" w:evenHBand="0" w:firstRowFirstColumn="0" w:firstRowLastColumn="0" w:lastRowFirstColumn="0" w:lastRowLastColumn="0"/>
            </w:pPr>
            <w:r>
              <w:rPr>
                <w:rFonts w:cs="Arial"/>
                <w:color w:val="000000"/>
                <w:szCs w:val="14"/>
              </w:rPr>
              <w:t>(7,097)</w:t>
            </w:r>
          </w:p>
        </w:tc>
        <w:tc>
          <w:tcPr>
            <w:tcW w:w="1474" w:type="dxa"/>
            <w:tcBorders>
              <w:top w:val="nil"/>
              <w:left w:val="nil"/>
              <w:bottom w:val="nil"/>
              <w:right w:val="nil"/>
            </w:tcBorders>
            <w:shd w:val="clear" w:color="auto" w:fill="auto"/>
            <w:vAlign w:val="center"/>
          </w:tcPr>
          <w:p w14:paraId="677709FA" w14:textId="77777777" w:rsidR="008B7E19" w:rsidRPr="00C806B0" w:rsidRDefault="008B7E19" w:rsidP="008B7E19">
            <w:pPr>
              <w:pStyle w:val="08-Tabelageral"/>
              <w:cnfStyle w:val="000000000000" w:firstRow="0" w:lastRow="0" w:firstColumn="0" w:lastColumn="0" w:oddVBand="0" w:evenVBand="0" w:oddHBand="0" w:evenHBand="0" w:firstRowFirstColumn="0" w:firstRowLastColumn="0" w:lastRowFirstColumn="0" w:lastRowLastColumn="0"/>
            </w:pPr>
            <w:r>
              <w:rPr>
                <w:rFonts w:cs="Arial"/>
                <w:color w:val="000000"/>
                <w:szCs w:val="14"/>
              </w:rPr>
              <w:t>(5,433)</w:t>
            </w:r>
          </w:p>
        </w:tc>
        <w:tc>
          <w:tcPr>
            <w:tcW w:w="1619" w:type="dxa"/>
            <w:tcBorders>
              <w:top w:val="nil"/>
              <w:left w:val="nil"/>
              <w:bottom w:val="nil"/>
              <w:right w:val="nil"/>
            </w:tcBorders>
            <w:shd w:val="clear" w:color="auto" w:fill="auto"/>
            <w:vAlign w:val="center"/>
          </w:tcPr>
          <w:p w14:paraId="5CC6A6AB" w14:textId="77777777" w:rsidR="008B7E19"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color w:val="000000"/>
                <w:szCs w:val="14"/>
              </w:rPr>
            </w:pPr>
            <w:r>
              <w:rPr>
                <w:rFonts w:cs="Arial"/>
                <w:color w:val="000000"/>
                <w:szCs w:val="14"/>
              </w:rPr>
              <w:t>(10,696)</w:t>
            </w:r>
          </w:p>
        </w:tc>
      </w:tr>
      <w:tr w:rsidR="008B7E19" w:rsidRPr="001D6BE8" w14:paraId="3F1AF98A" w14:textId="77777777" w:rsidTr="008B7E19">
        <w:trPr>
          <w:cnfStyle w:val="000000100000" w:firstRow="0" w:lastRow="0" w:firstColumn="0" w:lastColumn="0" w:oddVBand="0" w:evenVBand="0" w:oddHBand="1" w:evenHBand="0" w:firstRowFirstColumn="0" w:firstRowLastColumn="0" w:lastRowFirstColumn="0" w:lastRowLastColumn="0"/>
          <w:trHeight w:hRule="exact" w:val="397"/>
          <w:jc w:val="center"/>
        </w:trPr>
        <w:tc>
          <w:tcPr>
            <w:cnfStyle w:val="001000000000" w:firstRow="0" w:lastRow="0" w:firstColumn="1" w:lastColumn="0" w:oddVBand="0" w:evenVBand="0" w:oddHBand="0" w:evenHBand="0" w:firstRowFirstColumn="0" w:firstRowLastColumn="0" w:lastRowFirstColumn="0" w:lastRowLastColumn="0"/>
            <w:tcW w:w="2841" w:type="dxa"/>
            <w:tcBorders>
              <w:top w:val="nil"/>
              <w:bottom w:val="nil"/>
            </w:tcBorders>
            <w:shd w:val="clear" w:color="auto" w:fill="auto"/>
            <w:vAlign w:val="center"/>
          </w:tcPr>
          <w:p w14:paraId="08C4B8C0" w14:textId="77777777" w:rsidR="008B7E19" w:rsidRPr="0038283D" w:rsidRDefault="008B7E19" w:rsidP="008B7E19">
            <w:pPr>
              <w:pStyle w:val="08-Tabelageral"/>
              <w:jc w:val="left"/>
              <w:rPr>
                <w:rFonts w:cs="Arial"/>
                <w:szCs w:val="14"/>
                <w:lang w:val="en-US"/>
              </w:rPr>
            </w:pPr>
            <w:r w:rsidRPr="00BD6C7E">
              <w:rPr>
                <w:rFonts w:cs="Arial"/>
                <w:szCs w:val="14"/>
                <w:lang w:val="en-US"/>
              </w:rPr>
              <w:t xml:space="preserve">Income Before Financial Revenue </w:t>
            </w:r>
            <w:r>
              <w:rPr>
                <w:rFonts w:cs="Arial"/>
                <w:szCs w:val="14"/>
                <w:lang w:val="en-US"/>
              </w:rPr>
              <w:t>a</w:t>
            </w:r>
            <w:r w:rsidRPr="00BD6C7E">
              <w:rPr>
                <w:rFonts w:cs="Arial"/>
                <w:szCs w:val="14"/>
                <w:lang w:val="en-US"/>
              </w:rPr>
              <w:t>nd Expenses</w:t>
            </w:r>
          </w:p>
        </w:tc>
        <w:tc>
          <w:tcPr>
            <w:tcW w:w="720" w:type="dxa"/>
            <w:tcBorders>
              <w:top w:val="nil"/>
              <w:bottom w:val="nil"/>
            </w:tcBorders>
            <w:shd w:val="clear" w:color="auto" w:fill="auto"/>
            <w:vAlign w:val="center"/>
          </w:tcPr>
          <w:p w14:paraId="7DF04DED" w14:textId="77777777" w:rsidR="008B7E19" w:rsidRPr="0038283D"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lang w:val="en-US"/>
              </w:rPr>
            </w:pPr>
          </w:p>
        </w:tc>
        <w:tc>
          <w:tcPr>
            <w:tcW w:w="1444" w:type="dxa"/>
            <w:tcBorders>
              <w:top w:val="nil"/>
              <w:left w:val="nil"/>
              <w:bottom w:val="nil"/>
              <w:right w:val="nil"/>
            </w:tcBorders>
            <w:shd w:val="clear" w:color="auto" w:fill="auto"/>
            <w:vAlign w:val="center"/>
          </w:tcPr>
          <w:p w14:paraId="06EA7570" w14:textId="77777777" w:rsidR="008B7E19" w:rsidRPr="00414B70"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lang w:val="en-US"/>
              </w:rPr>
            </w:pPr>
            <w:r>
              <w:rPr>
                <w:rFonts w:cs="Arial"/>
                <w:b/>
                <w:bCs/>
                <w:color w:val="000000"/>
                <w:szCs w:val="14"/>
              </w:rPr>
              <w:t>1,882,004</w:t>
            </w:r>
          </w:p>
        </w:tc>
        <w:tc>
          <w:tcPr>
            <w:tcW w:w="1104" w:type="dxa"/>
            <w:tcBorders>
              <w:top w:val="nil"/>
              <w:left w:val="nil"/>
              <w:bottom w:val="nil"/>
              <w:right w:val="nil"/>
            </w:tcBorders>
            <w:shd w:val="clear" w:color="auto" w:fill="auto"/>
            <w:vAlign w:val="center"/>
          </w:tcPr>
          <w:p w14:paraId="6BA7F25F" w14:textId="77777777" w:rsidR="008B7E19" w:rsidRPr="00414B70"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lang w:val="en-US"/>
              </w:rPr>
            </w:pPr>
            <w:r>
              <w:rPr>
                <w:rFonts w:cs="Arial"/>
                <w:b/>
                <w:bCs/>
                <w:color w:val="000000"/>
                <w:szCs w:val="14"/>
              </w:rPr>
              <w:t>3,712,651</w:t>
            </w:r>
          </w:p>
        </w:tc>
        <w:tc>
          <w:tcPr>
            <w:tcW w:w="1444" w:type="dxa"/>
            <w:tcBorders>
              <w:top w:val="nil"/>
              <w:left w:val="nil"/>
              <w:bottom w:val="nil"/>
              <w:right w:val="nil"/>
            </w:tcBorders>
            <w:shd w:val="clear" w:color="auto" w:fill="auto"/>
            <w:vAlign w:val="center"/>
          </w:tcPr>
          <w:p w14:paraId="250A188E" w14:textId="77777777" w:rsidR="008B7E19" w:rsidRPr="009027F2"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r w:rsidRPr="000F6C32">
              <w:rPr>
                <w:rFonts w:cs="Arial"/>
                <w:b/>
                <w:bCs/>
                <w:color w:val="000000"/>
                <w:szCs w:val="14"/>
              </w:rPr>
              <w:t>1</w:t>
            </w:r>
            <w:r>
              <w:rPr>
                <w:rFonts w:cs="Arial"/>
                <w:b/>
                <w:bCs/>
                <w:color w:val="000000"/>
                <w:szCs w:val="14"/>
              </w:rPr>
              <w:t>,</w:t>
            </w:r>
            <w:r w:rsidRPr="000F6C32">
              <w:rPr>
                <w:rFonts w:cs="Arial"/>
                <w:b/>
                <w:bCs/>
                <w:color w:val="000000"/>
                <w:szCs w:val="14"/>
              </w:rPr>
              <w:t>499</w:t>
            </w:r>
            <w:r>
              <w:rPr>
                <w:rFonts w:cs="Arial"/>
                <w:b/>
                <w:bCs/>
                <w:color w:val="000000"/>
                <w:szCs w:val="14"/>
              </w:rPr>
              <w:t>,</w:t>
            </w:r>
            <w:r w:rsidRPr="000F6C32">
              <w:rPr>
                <w:rFonts w:cs="Arial"/>
                <w:b/>
                <w:bCs/>
                <w:color w:val="000000"/>
                <w:szCs w:val="14"/>
              </w:rPr>
              <w:t>345</w:t>
            </w:r>
          </w:p>
        </w:tc>
        <w:tc>
          <w:tcPr>
            <w:tcW w:w="1454" w:type="dxa"/>
            <w:tcBorders>
              <w:top w:val="nil"/>
              <w:left w:val="nil"/>
              <w:bottom w:val="nil"/>
              <w:right w:val="nil"/>
            </w:tcBorders>
            <w:shd w:val="clear" w:color="auto" w:fill="auto"/>
            <w:vAlign w:val="center"/>
          </w:tcPr>
          <w:p w14:paraId="0F5CC4C0" w14:textId="77777777" w:rsidR="008B7E19" w:rsidRPr="009027F2"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r w:rsidRPr="000F6C32">
              <w:rPr>
                <w:rFonts w:cs="Arial"/>
                <w:b/>
                <w:bCs/>
                <w:color w:val="000000"/>
                <w:szCs w:val="14"/>
              </w:rPr>
              <w:t>2</w:t>
            </w:r>
            <w:r>
              <w:rPr>
                <w:rFonts w:cs="Arial"/>
                <w:b/>
                <w:bCs/>
                <w:color w:val="000000"/>
                <w:szCs w:val="14"/>
              </w:rPr>
              <w:t>,</w:t>
            </w:r>
            <w:r w:rsidRPr="000F6C32">
              <w:rPr>
                <w:rFonts w:cs="Arial"/>
                <w:b/>
                <w:bCs/>
                <w:color w:val="000000"/>
                <w:szCs w:val="14"/>
              </w:rPr>
              <w:t>705</w:t>
            </w:r>
            <w:r>
              <w:rPr>
                <w:rFonts w:cs="Arial"/>
                <w:b/>
                <w:bCs/>
                <w:color w:val="000000"/>
                <w:szCs w:val="14"/>
              </w:rPr>
              <w:t>,</w:t>
            </w:r>
            <w:r w:rsidRPr="000F6C32">
              <w:rPr>
                <w:rFonts w:cs="Arial"/>
                <w:b/>
                <w:bCs/>
                <w:color w:val="000000"/>
                <w:szCs w:val="14"/>
              </w:rPr>
              <w:t>406</w:t>
            </w:r>
          </w:p>
        </w:tc>
        <w:tc>
          <w:tcPr>
            <w:tcW w:w="253" w:type="dxa"/>
            <w:tcBorders>
              <w:top w:val="nil"/>
              <w:left w:val="nil"/>
              <w:bottom w:val="nil"/>
              <w:right w:val="nil"/>
            </w:tcBorders>
            <w:shd w:val="clear" w:color="auto" w:fill="auto"/>
            <w:vAlign w:val="center"/>
          </w:tcPr>
          <w:p w14:paraId="74F49FF6" w14:textId="77777777" w:rsidR="008B7E19" w:rsidRPr="00520137"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b/>
                <w:bCs/>
              </w:rPr>
            </w:pPr>
          </w:p>
        </w:tc>
        <w:tc>
          <w:tcPr>
            <w:tcW w:w="1310" w:type="dxa"/>
            <w:tcBorders>
              <w:top w:val="nil"/>
              <w:left w:val="nil"/>
              <w:bottom w:val="nil"/>
              <w:right w:val="nil"/>
            </w:tcBorders>
            <w:shd w:val="clear" w:color="auto" w:fill="auto"/>
            <w:vAlign w:val="center"/>
          </w:tcPr>
          <w:p w14:paraId="67A992A1" w14:textId="77777777" w:rsidR="008B7E19" w:rsidRPr="00522098"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r>
              <w:rPr>
                <w:rFonts w:cs="Arial"/>
                <w:b/>
                <w:bCs/>
                <w:color w:val="000000"/>
                <w:szCs w:val="14"/>
              </w:rPr>
              <w:t>2,115,692</w:t>
            </w:r>
          </w:p>
        </w:tc>
        <w:tc>
          <w:tcPr>
            <w:tcW w:w="1196" w:type="dxa"/>
            <w:tcBorders>
              <w:top w:val="nil"/>
              <w:left w:val="nil"/>
              <w:bottom w:val="nil"/>
              <w:right w:val="nil"/>
            </w:tcBorders>
            <w:shd w:val="clear" w:color="auto" w:fill="auto"/>
            <w:vAlign w:val="center"/>
          </w:tcPr>
          <w:p w14:paraId="6F6B2AD6" w14:textId="77777777" w:rsidR="008B7E19" w:rsidRPr="00522098"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r>
              <w:rPr>
                <w:rFonts w:cs="Arial"/>
                <w:b/>
                <w:bCs/>
                <w:color w:val="000000"/>
                <w:szCs w:val="14"/>
              </w:rPr>
              <w:t>4,218,754</w:t>
            </w:r>
          </w:p>
        </w:tc>
        <w:tc>
          <w:tcPr>
            <w:tcW w:w="1474" w:type="dxa"/>
            <w:tcBorders>
              <w:top w:val="nil"/>
              <w:left w:val="nil"/>
              <w:bottom w:val="nil"/>
              <w:right w:val="nil"/>
            </w:tcBorders>
            <w:shd w:val="clear" w:color="auto" w:fill="auto"/>
            <w:vAlign w:val="center"/>
          </w:tcPr>
          <w:p w14:paraId="7D5759B6" w14:textId="77777777" w:rsidR="008B7E19" w:rsidRPr="00520137"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b/>
                <w:bCs/>
              </w:rPr>
            </w:pPr>
            <w:r>
              <w:rPr>
                <w:rFonts w:cs="Arial"/>
                <w:b/>
                <w:bCs/>
                <w:color w:val="000000"/>
                <w:szCs w:val="14"/>
              </w:rPr>
              <w:t>1,714,251</w:t>
            </w:r>
          </w:p>
        </w:tc>
        <w:tc>
          <w:tcPr>
            <w:tcW w:w="1619" w:type="dxa"/>
            <w:tcBorders>
              <w:top w:val="nil"/>
              <w:left w:val="nil"/>
              <w:bottom w:val="nil"/>
              <w:right w:val="nil"/>
            </w:tcBorders>
            <w:shd w:val="clear" w:color="auto" w:fill="auto"/>
            <w:vAlign w:val="center"/>
          </w:tcPr>
          <w:p w14:paraId="1B1992A1" w14:textId="77777777" w:rsidR="008B7E19"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r>
              <w:rPr>
                <w:rFonts w:cs="Arial"/>
                <w:b/>
                <w:bCs/>
                <w:color w:val="000000"/>
                <w:szCs w:val="14"/>
              </w:rPr>
              <w:t>3,164,946</w:t>
            </w:r>
          </w:p>
        </w:tc>
      </w:tr>
      <w:tr w:rsidR="008B7E19" w:rsidRPr="001D6BE8" w14:paraId="7FF5E551" w14:textId="77777777" w:rsidTr="008B7E19">
        <w:trPr>
          <w:trHeight w:hRule="exact" w:val="238"/>
          <w:jc w:val="center"/>
        </w:trPr>
        <w:tc>
          <w:tcPr>
            <w:cnfStyle w:val="001000000000" w:firstRow="0" w:lastRow="0" w:firstColumn="1" w:lastColumn="0" w:oddVBand="0" w:evenVBand="0" w:oddHBand="0" w:evenHBand="0" w:firstRowFirstColumn="0" w:firstRowLastColumn="0" w:lastRowFirstColumn="0" w:lastRowLastColumn="0"/>
            <w:tcW w:w="2841" w:type="dxa"/>
            <w:tcBorders>
              <w:top w:val="nil"/>
              <w:bottom w:val="nil"/>
            </w:tcBorders>
            <w:shd w:val="clear" w:color="auto" w:fill="auto"/>
            <w:vAlign w:val="center"/>
          </w:tcPr>
          <w:p w14:paraId="08E3EED0" w14:textId="77777777" w:rsidR="008B7E19" w:rsidRPr="00C806B0" w:rsidRDefault="008B7E19" w:rsidP="008B7E19">
            <w:pPr>
              <w:pStyle w:val="08-Tabelageral"/>
              <w:jc w:val="left"/>
              <w:rPr>
                <w:rFonts w:cs="Arial"/>
                <w:szCs w:val="14"/>
              </w:rPr>
            </w:pPr>
            <w:r w:rsidRPr="00C87262">
              <w:rPr>
                <w:rFonts w:cs="Arial"/>
                <w:szCs w:val="14"/>
              </w:rPr>
              <w:t>Financial Result</w:t>
            </w:r>
          </w:p>
        </w:tc>
        <w:tc>
          <w:tcPr>
            <w:tcW w:w="720" w:type="dxa"/>
            <w:tcBorders>
              <w:top w:val="nil"/>
              <w:bottom w:val="nil"/>
            </w:tcBorders>
            <w:shd w:val="clear" w:color="auto" w:fill="auto"/>
            <w:vAlign w:val="center"/>
          </w:tcPr>
          <w:p w14:paraId="2B4D6693" w14:textId="77777777" w:rsidR="008B7E19" w:rsidRPr="00520137"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b/>
                <w:bCs/>
                <w:szCs w:val="14"/>
              </w:rPr>
            </w:pPr>
            <w:r w:rsidRPr="00520137">
              <w:rPr>
                <w:b/>
                <w:bCs/>
              </w:rPr>
              <w:t>[14]</w:t>
            </w:r>
          </w:p>
        </w:tc>
        <w:tc>
          <w:tcPr>
            <w:tcW w:w="1444" w:type="dxa"/>
            <w:tcBorders>
              <w:top w:val="nil"/>
              <w:left w:val="nil"/>
              <w:bottom w:val="nil"/>
              <w:right w:val="nil"/>
            </w:tcBorders>
            <w:shd w:val="clear" w:color="auto" w:fill="auto"/>
            <w:vAlign w:val="center"/>
          </w:tcPr>
          <w:p w14:paraId="5364D40B" w14:textId="77777777" w:rsidR="008B7E19"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b/>
                <w:bCs/>
                <w:color w:val="000000"/>
                <w:szCs w:val="14"/>
              </w:rPr>
            </w:pPr>
            <w:r>
              <w:rPr>
                <w:rFonts w:cs="Arial"/>
                <w:b/>
                <w:bCs/>
                <w:color w:val="000000"/>
                <w:szCs w:val="14"/>
              </w:rPr>
              <w:t>10,402</w:t>
            </w:r>
          </w:p>
        </w:tc>
        <w:tc>
          <w:tcPr>
            <w:tcW w:w="1104" w:type="dxa"/>
            <w:tcBorders>
              <w:top w:val="nil"/>
              <w:left w:val="nil"/>
              <w:bottom w:val="nil"/>
              <w:right w:val="nil"/>
            </w:tcBorders>
            <w:shd w:val="clear" w:color="auto" w:fill="auto"/>
            <w:vAlign w:val="center"/>
          </w:tcPr>
          <w:p w14:paraId="5E277E24" w14:textId="77777777" w:rsidR="008B7E19"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b/>
                <w:bCs/>
                <w:color w:val="000000"/>
                <w:szCs w:val="14"/>
              </w:rPr>
            </w:pPr>
            <w:r>
              <w:rPr>
                <w:rFonts w:cs="Arial"/>
                <w:b/>
                <w:bCs/>
                <w:color w:val="000000"/>
                <w:szCs w:val="14"/>
              </w:rPr>
              <w:t>12,714</w:t>
            </w:r>
          </w:p>
        </w:tc>
        <w:tc>
          <w:tcPr>
            <w:tcW w:w="1444" w:type="dxa"/>
            <w:tcBorders>
              <w:top w:val="nil"/>
              <w:left w:val="nil"/>
              <w:bottom w:val="nil"/>
              <w:right w:val="nil"/>
            </w:tcBorders>
            <w:shd w:val="clear" w:color="auto" w:fill="auto"/>
            <w:vAlign w:val="center"/>
          </w:tcPr>
          <w:p w14:paraId="2C1F043F" w14:textId="77777777" w:rsidR="008B7E19" w:rsidRPr="009027F2"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b/>
                <w:bCs/>
                <w:color w:val="000000"/>
                <w:szCs w:val="14"/>
              </w:rPr>
            </w:pPr>
            <w:r>
              <w:rPr>
                <w:rFonts w:cs="Arial"/>
                <w:b/>
                <w:bCs/>
                <w:color w:val="000000"/>
                <w:szCs w:val="14"/>
              </w:rPr>
              <w:t>4,196</w:t>
            </w:r>
          </w:p>
        </w:tc>
        <w:tc>
          <w:tcPr>
            <w:tcW w:w="1454" w:type="dxa"/>
            <w:tcBorders>
              <w:top w:val="nil"/>
              <w:left w:val="nil"/>
              <w:bottom w:val="nil"/>
              <w:right w:val="nil"/>
            </w:tcBorders>
            <w:shd w:val="clear" w:color="auto" w:fill="auto"/>
            <w:vAlign w:val="center"/>
          </w:tcPr>
          <w:p w14:paraId="3CF29E35" w14:textId="77777777" w:rsidR="008B7E19" w:rsidRPr="009027F2"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b/>
                <w:bCs/>
                <w:color w:val="000000"/>
                <w:szCs w:val="14"/>
              </w:rPr>
            </w:pPr>
            <w:r>
              <w:rPr>
                <w:rFonts w:cs="Arial"/>
                <w:b/>
                <w:bCs/>
                <w:color w:val="000000"/>
                <w:szCs w:val="14"/>
              </w:rPr>
              <w:t>7,838</w:t>
            </w:r>
          </w:p>
        </w:tc>
        <w:tc>
          <w:tcPr>
            <w:tcW w:w="253" w:type="dxa"/>
            <w:tcBorders>
              <w:top w:val="nil"/>
              <w:left w:val="nil"/>
              <w:bottom w:val="nil"/>
              <w:right w:val="nil"/>
            </w:tcBorders>
            <w:shd w:val="clear" w:color="auto" w:fill="auto"/>
            <w:vAlign w:val="center"/>
          </w:tcPr>
          <w:p w14:paraId="42AC2F5F" w14:textId="77777777" w:rsidR="008B7E19" w:rsidRPr="00520137"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b/>
                <w:bCs/>
              </w:rPr>
            </w:pPr>
            <w:r>
              <w:rPr>
                <w:rFonts w:cs="Arial"/>
                <w:b/>
                <w:bCs/>
                <w:color w:val="000000"/>
                <w:szCs w:val="14"/>
              </w:rPr>
              <w:t> </w:t>
            </w:r>
          </w:p>
        </w:tc>
        <w:tc>
          <w:tcPr>
            <w:tcW w:w="1310" w:type="dxa"/>
            <w:tcBorders>
              <w:top w:val="nil"/>
              <w:left w:val="nil"/>
              <w:bottom w:val="nil"/>
              <w:right w:val="nil"/>
            </w:tcBorders>
            <w:shd w:val="clear" w:color="auto" w:fill="auto"/>
            <w:vAlign w:val="center"/>
          </w:tcPr>
          <w:p w14:paraId="62A21A5D" w14:textId="77777777" w:rsidR="008B7E19"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b/>
                <w:bCs/>
                <w:color w:val="000000"/>
                <w:szCs w:val="14"/>
              </w:rPr>
            </w:pPr>
            <w:r>
              <w:rPr>
                <w:rFonts w:cs="Arial"/>
                <w:b/>
                <w:bCs/>
                <w:color w:val="000000"/>
                <w:szCs w:val="14"/>
              </w:rPr>
              <w:t>150,304</w:t>
            </w:r>
          </w:p>
        </w:tc>
        <w:tc>
          <w:tcPr>
            <w:tcW w:w="1196" w:type="dxa"/>
            <w:tcBorders>
              <w:top w:val="nil"/>
              <w:left w:val="nil"/>
              <w:bottom w:val="nil"/>
              <w:right w:val="nil"/>
            </w:tcBorders>
            <w:shd w:val="clear" w:color="auto" w:fill="auto"/>
            <w:vAlign w:val="center"/>
          </w:tcPr>
          <w:p w14:paraId="7FDA4D3B" w14:textId="77777777" w:rsidR="008B7E19"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b/>
                <w:bCs/>
                <w:color w:val="000000"/>
                <w:szCs w:val="14"/>
              </w:rPr>
            </w:pPr>
            <w:r>
              <w:rPr>
                <w:rFonts w:cs="Arial"/>
                <w:b/>
                <w:bCs/>
                <w:color w:val="000000"/>
                <w:szCs w:val="14"/>
              </w:rPr>
              <w:t>246,502</w:t>
            </w:r>
          </w:p>
        </w:tc>
        <w:tc>
          <w:tcPr>
            <w:tcW w:w="1474" w:type="dxa"/>
            <w:tcBorders>
              <w:top w:val="nil"/>
              <w:left w:val="nil"/>
              <w:bottom w:val="nil"/>
              <w:right w:val="nil"/>
            </w:tcBorders>
            <w:shd w:val="clear" w:color="auto" w:fill="auto"/>
            <w:vAlign w:val="center"/>
          </w:tcPr>
          <w:p w14:paraId="74D1BC67" w14:textId="77777777" w:rsidR="008B7E19" w:rsidRPr="00520137"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b/>
                <w:bCs/>
              </w:rPr>
            </w:pPr>
            <w:r>
              <w:rPr>
                <w:rFonts w:cs="Arial"/>
                <w:b/>
                <w:bCs/>
                <w:color w:val="000000"/>
                <w:szCs w:val="14"/>
              </w:rPr>
              <w:t>117,775</w:t>
            </w:r>
          </w:p>
        </w:tc>
        <w:tc>
          <w:tcPr>
            <w:tcW w:w="1619" w:type="dxa"/>
            <w:tcBorders>
              <w:top w:val="nil"/>
              <w:left w:val="nil"/>
              <w:bottom w:val="nil"/>
              <w:right w:val="nil"/>
            </w:tcBorders>
            <w:shd w:val="clear" w:color="auto" w:fill="auto"/>
            <w:vAlign w:val="center"/>
          </w:tcPr>
          <w:p w14:paraId="2D35B1E2" w14:textId="77777777" w:rsidR="008B7E19"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b/>
                <w:bCs/>
                <w:color w:val="000000"/>
                <w:szCs w:val="14"/>
              </w:rPr>
            </w:pPr>
            <w:r>
              <w:rPr>
                <w:rFonts w:cs="Arial"/>
                <w:b/>
                <w:bCs/>
                <w:color w:val="000000"/>
                <w:szCs w:val="14"/>
              </w:rPr>
              <w:t>175,917</w:t>
            </w:r>
          </w:p>
        </w:tc>
      </w:tr>
      <w:tr w:rsidR="008B7E19" w:rsidRPr="001D6BE8" w14:paraId="74B5C96F" w14:textId="77777777" w:rsidTr="008B7E19">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2841" w:type="dxa"/>
            <w:tcBorders>
              <w:top w:val="nil"/>
              <w:bottom w:val="nil"/>
            </w:tcBorders>
            <w:shd w:val="clear" w:color="auto" w:fill="auto"/>
            <w:vAlign w:val="center"/>
          </w:tcPr>
          <w:p w14:paraId="176B59CD" w14:textId="77777777" w:rsidR="008B7E19" w:rsidRPr="00C806B0" w:rsidRDefault="008B7E19" w:rsidP="008B7E19">
            <w:pPr>
              <w:pStyle w:val="08-Tabelageral"/>
              <w:ind w:left="113"/>
              <w:jc w:val="left"/>
              <w:rPr>
                <w:rFonts w:cs="Arial"/>
                <w:b w:val="0"/>
                <w:szCs w:val="14"/>
              </w:rPr>
            </w:pPr>
            <w:r w:rsidRPr="00C87262">
              <w:rPr>
                <w:rFonts w:cs="Arial"/>
                <w:b w:val="0"/>
                <w:szCs w:val="14"/>
              </w:rPr>
              <w:t>Financial revenue</w:t>
            </w:r>
          </w:p>
        </w:tc>
        <w:tc>
          <w:tcPr>
            <w:tcW w:w="720" w:type="dxa"/>
            <w:tcBorders>
              <w:top w:val="nil"/>
              <w:bottom w:val="nil"/>
            </w:tcBorders>
            <w:shd w:val="clear" w:color="auto" w:fill="auto"/>
            <w:vAlign w:val="center"/>
          </w:tcPr>
          <w:p w14:paraId="0C60CD3D" w14:textId="77777777" w:rsidR="008B7E19" w:rsidRPr="008121B0" w:rsidRDefault="008B7E19" w:rsidP="008B7E19">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p>
        </w:tc>
        <w:tc>
          <w:tcPr>
            <w:tcW w:w="1444" w:type="dxa"/>
            <w:tcBorders>
              <w:top w:val="nil"/>
              <w:left w:val="nil"/>
              <w:bottom w:val="nil"/>
              <w:right w:val="nil"/>
            </w:tcBorders>
            <w:shd w:val="clear" w:color="auto" w:fill="auto"/>
            <w:vAlign w:val="center"/>
          </w:tcPr>
          <w:p w14:paraId="78AE66BD" w14:textId="77777777" w:rsidR="008B7E19"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r>
              <w:rPr>
                <w:rFonts w:cs="Arial"/>
                <w:color w:val="000000"/>
                <w:szCs w:val="14"/>
              </w:rPr>
              <w:t>11,438</w:t>
            </w:r>
          </w:p>
        </w:tc>
        <w:tc>
          <w:tcPr>
            <w:tcW w:w="1104" w:type="dxa"/>
            <w:tcBorders>
              <w:top w:val="nil"/>
              <w:left w:val="nil"/>
              <w:bottom w:val="nil"/>
              <w:right w:val="nil"/>
            </w:tcBorders>
            <w:shd w:val="clear" w:color="auto" w:fill="auto"/>
            <w:vAlign w:val="center"/>
          </w:tcPr>
          <w:p w14:paraId="55A848BC" w14:textId="77777777" w:rsidR="008B7E19"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r>
              <w:rPr>
                <w:rFonts w:cs="Arial"/>
                <w:color w:val="000000"/>
                <w:szCs w:val="14"/>
              </w:rPr>
              <w:t>93,261</w:t>
            </w:r>
          </w:p>
        </w:tc>
        <w:tc>
          <w:tcPr>
            <w:tcW w:w="1444" w:type="dxa"/>
            <w:tcBorders>
              <w:top w:val="nil"/>
              <w:left w:val="nil"/>
              <w:bottom w:val="nil"/>
              <w:right w:val="nil"/>
            </w:tcBorders>
            <w:shd w:val="clear" w:color="auto" w:fill="auto"/>
            <w:vAlign w:val="center"/>
          </w:tcPr>
          <w:p w14:paraId="33FB39AD" w14:textId="77777777" w:rsidR="008B7E19" w:rsidRPr="009027F2"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r>
              <w:rPr>
                <w:rFonts w:cs="Arial"/>
                <w:color w:val="000000"/>
                <w:szCs w:val="14"/>
              </w:rPr>
              <w:t>4,968</w:t>
            </w:r>
          </w:p>
        </w:tc>
        <w:tc>
          <w:tcPr>
            <w:tcW w:w="1454" w:type="dxa"/>
            <w:tcBorders>
              <w:top w:val="nil"/>
              <w:left w:val="nil"/>
              <w:bottom w:val="nil"/>
              <w:right w:val="nil"/>
            </w:tcBorders>
            <w:shd w:val="clear" w:color="auto" w:fill="auto"/>
            <w:vAlign w:val="center"/>
          </w:tcPr>
          <w:p w14:paraId="47E07278" w14:textId="77777777" w:rsidR="008B7E19" w:rsidRPr="009027F2"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r>
              <w:rPr>
                <w:rFonts w:cs="Arial"/>
                <w:color w:val="000000"/>
                <w:szCs w:val="14"/>
              </w:rPr>
              <w:t>35,195</w:t>
            </w:r>
          </w:p>
        </w:tc>
        <w:tc>
          <w:tcPr>
            <w:tcW w:w="253" w:type="dxa"/>
            <w:tcBorders>
              <w:top w:val="nil"/>
              <w:left w:val="nil"/>
              <w:bottom w:val="nil"/>
              <w:right w:val="nil"/>
            </w:tcBorders>
            <w:shd w:val="clear" w:color="auto" w:fill="auto"/>
            <w:vAlign w:val="center"/>
          </w:tcPr>
          <w:p w14:paraId="08945085" w14:textId="77777777" w:rsidR="008B7E19" w:rsidRPr="00C806B0" w:rsidRDefault="008B7E19" w:rsidP="008B7E19">
            <w:pPr>
              <w:pStyle w:val="08-Tabelageral"/>
              <w:cnfStyle w:val="000000100000" w:firstRow="0" w:lastRow="0" w:firstColumn="0" w:lastColumn="0" w:oddVBand="0" w:evenVBand="0" w:oddHBand="1" w:evenHBand="0" w:firstRowFirstColumn="0" w:firstRowLastColumn="0" w:lastRowFirstColumn="0" w:lastRowLastColumn="0"/>
            </w:pPr>
          </w:p>
        </w:tc>
        <w:tc>
          <w:tcPr>
            <w:tcW w:w="1310" w:type="dxa"/>
            <w:tcBorders>
              <w:top w:val="nil"/>
              <w:left w:val="nil"/>
              <w:bottom w:val="nil"/>
              <w:right w:val="nil"/>
            </w:tcBorders>
            <w:shd w:val="clear" w:color="auto" w:fill="auto"/>
            <w:vAlign w:val="center"/>
          </w:tcPr>
          <w:p w14:paraId="3CE1B983" w14:textId="77777777" w:rsidR="008B7E19"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r>
              <w:rPr>
                <w:rFonts w:cs="Arial"/>
                <w:color w:val="000000"/>
                <w:szCs w:val="14"/>
              </w:rPr>
              <w:t>151,435</w:t>
            </w:r>
          </w:p>
        </w:tc>
        <w:tc>
          <w:tcPr>
            <w:tcW w:w="1196" w:type="dxa"/>
            <w:tcBorders>
              <w:top w:val="nil"/>
              <w:left w:val="nil"/>
              <w:bottom w:val="nil"/>
              <w:right w:val="nil"/>
            </w:tcBorders>
            <w:shd w:val="clear" w:color="auto" w:fill="auto"/>
            <w:vAlign w:val="center"/>
          </w:tcPr>
          <w:p w14:paraId="3A969D19" w14:textId="77777777" w:rsidR="008B7E19"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r>
              <w:rPr>
                <w:rFonts w:cs="Arial"/>
                <w:color w:val="000000"/>
                <w:szCs w:val="14"/>
              </w:rPr>
              <w:t>327,230</w:t>
            </w:r>
          </w:p>
        </w:tc>
        <w:tc>
          <w:tcPr>
            <w:tcW w:w="1474" w:type="dxa"/>
            <w:tcBorders>
              <w:top w:val="nil"/>
              <w:left w:val="nil"/>
              <w:bottom w:val="nil"/>
              <w:right w:val="nil"/>
            </w:tcBorders>
            <w:shd w:val="clear" w:color="auto" w:fill="auto"/>
            <w:vAlign w:val="center"/>
          </w:tcPr>
          <w:p w14:paraId="3F159F00" w14:textId="77777777" w:rsidR="008B7E19" w:rsidRPr="00C806B0" w:rsidRDefault="008B7E19" w:rsidP="008B7E19">
            <w:pPr>
              <w:pStyle w:val="08-Tabelageral"/>
              <w:cnfStyle w:val="000000100000" w:firstRow="0" w:lastRow="0" w:firstColumn="0" w:lastColumn="0" w:oddVBand="0" w:evenVBand="0" w:oddHBand="1" w:evenHBand="0" w:firstRowFirstColumn="0" w:firstRowLastColumn="0" w:lastRowFirstColumn="0" w:lastRowLastColumn="0"/>
            </w:pPr>
            <w:r>
              <w:rPr>
                <w:rFonts w:cs="Arial"/>
                <w:color w:val="000000"/>
                <w:szCs w:val="14"/>
              </w:rPr>
              <w:t>118,605</w:t>
            </w:r>
          </w:p>
        </w:tc>
        <w:tc>
          <w:tcPr>
            <w:tcW w:w="1619" w:type="dxa"/>
            <w:tcBorders>
              <w:top w:val="nil"/>
              <w:left w:val="nil"/>
              <w:bottom w:val="nil"/>
              <w:right w:val="nil"/>
            </w:tcBorders>
            <w:shd w:val="clear" w:color="auto" w:fill="auto"/>
            <w:vAlign w:val="center"/>
          </w:tcPr>
          <w:p w14:paraId="3B819173" w14:textId="77777777" w:rsidR="008B7E19"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r>
              <w:rPr>
                <w:rFonts w:cs="Arial"/>
                <w:color w:val="000000"/>
                <w:szCs w:val="14"/>
              </w:rPr>
              <w:t>204,555</w:t>
            </w:r>
          </w:p>
        </w:tc>
      </w:tr>
      <w:tr w:rsidR="008B7E19" w:rsidRPr="001D6BE8" w14:paraId="33E79D1D" w14:textId="77777777" w:rsidTr="008B7E19">
        <w:trPr>
          <w:trHeight w:hRule="exact" w:val="238"/>
          <w:jc w:val="center"/>
        </w:trPr>
        <w:tc>
          <w:tcPr>
            <w:cnfStyle w:val="001000000000" w:firstRow="0" w:lastRow="0" w:firstColumn="1" w:lastColumn="0" w:oddVBand="0" w:evenVBand="0" w:oddHBand="0" w:evenHBand="0" w:firstRowFirstColumn="0" w:firstRowLastColumn="0" w:lastRowFirstColumn="0" w:lastRowLastColumn="0"/>
            <w:tcW w:w="2841" w:type="dxa"/>
            <w:tcBorders>
              <w:top w:val="nil"/>
              <w:bottom w:val="nil"/>
            </w:tcBorders>
            <w:shd w:val="clear" w:color="auto" w:fill="auto"/>
            <w:vAlign w:val="center"/>
          </w:tcPr>
          <w:p w14:paraId="7CFD8D4C" w14:textId="77777777" w:rsidR="008B7E19" w:rsidRPr="00C806B0" w:rsidRDefault="008B7E19" w:rsidP="008B7E19">
            <w:pPr>
              <w:pStyle w:val="08-Tabelageral"/>
              <w:ind w:left="113"/>
              <w:jc w:val="left"/>
              <w:rPr>
                <w:rFonts w:cs="Arial"/>
                <w:b w:val="0"/>
                <w:szCs w:val="14"/>
              </w:rPr>
            </w:pPr>
            <w:r w:rsidRPr="00C87262">
              <w:rPr>
                <w:rFonts w:cs="Arial"/>
                <w:b w:val="0"/>
                <w:szCs w:val="14"/>
              </w:rPr>
              <w:t>Financial expenses</w:t>
            </w:r>
          </w:p>
        </w:tc>
        <w:tc>
          <w:tcPr>
            <w:tcW w:w="720" w:type="dxa"/>
            <w:tcBorders>
              <w:top w:val="nil"/>
              <w:bottom w:val="nil"/>
            </w:tcBorders>
            <w:shd w:val="clear" w:color="auto" w:fill="auto"/>
            <w:vAlign w:val="center"/>
          </w:tcPr>
          <w:p w14:paraId="2622A50E" w14:textId="77777777" w:rsidR="008B7E19" w:rsidRPr="008121B0" w:rsidRDefault="008B7E19" w:rsidP="008B7E19">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rPr>
            </w:pPr>
          </w:p>
        </w:tc>
        <w:tc>
          <w:tcPr>
            <w:tcW w:w="1444" w:type="dxa"/>
            <w:tcBorders>
              <w:top w:val="nil"/>
              <w:left w:val="nil"/>
              <w:bottom w:val="nil"/>
              <w:right w:val="nil"/>
            </w:tcBorders>
            <w:shd w:val="clear" w:color="auto" w:fill="auto"/>
            <w:vAlign w:val="center"/>
          </w:tcPr>
          <w:p w14:paraId="1A22DB16" w14:textId="77777777" w:rsidR="008B7E19"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color w:val="000000"/>
                <w:szCs w:val="14"/>
              </w:rPr>
            </w:pPr>
            <w:r>
              <w:rPr>
                <w:rFonts w:cs="Arial"/>
                <w:color w:val="000000"/>
                <w:szCs w:val="14"/>
              </w:rPr>
              <w:t>(1,036)</w:t>
            </w:r>
          </w:p>
        </w:tc>
        <w:tc>
          <w:tcPr>
            <w:tcW w:w="1104" w:type="dxa"/>
            <w:tcBorders>
              <w:top w:val="nil"/>
              <w:left w:val="nil"/>
              <w:bottom w:val="nil"/>
              <w:right w:val="nil"/>
            </w:tcBorders>
            <w:shd w:val="clear" w:color="auto" w:fill="auto"/>
            <w:vAlign w:val="center"/>
          </w:tcPr>
          <w:p w14:paraId="463B9C08" w14:textId="77777777" w:rsidR="008B7E19"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color w:val="000000"/>
                <w:szCs w:val="14"/>
              </w:rPr>
            </w:pPr>
            <w:r>
              <w:rPr>
                <w:rFonts w:cs="Arial"/>
                <w:color w:val="000000"/>
                <w:szCs w:val="14"/>
              </w:rPr>
              <w:t>(80,547)</w:t>
            </w:r>
          </w:p>
        </w:tc>
        <w:tc>
          <w:tcPr>
            <w:tcW w:w="1444" w:type="dxa"/>
            <w:tcBorders>
              <w:top w:val="nil"/>
              <w:left w:val="nil"/>
              <w:bottom w:val="nil"/>
              <w:right w:val="nil"/>
            </w:tcBorders>
            <w:shd w:val="clear" w:color="auto" w:fill="auto"/>
            <w:vAlign w:val="center"/>
          </w:tcPr>
          <w:p w14:paraId="77DDABDB" w14:textId="77777777" w:rsidR="008B7E19" w:rsidRPr="009027F2"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color w:val="000000"/>
                <w:szCs w:val="14"/>
              </w:rPr>
            </w:pPr>
            <w:r>
              <w:rPr>
                <w:rFonts w:cs="Arial"/>
                <w:color w:val="000000"/>
                <w:szCs w:val="14"/>
              </w:rPr>
              <w:t>(772)</w:t>
            </w:r>
          </w:p>
        </w:tc>
        <w:tc>
          <w:tcPr>
            <w:tcW w:w="1454" w:type="dxa"/>
            <w:tcBorders>
              <w:top w:val="nil"/>
              <w:left w:val="nil"/>
              <w:bottom w:val="nil"/>
              <w:right w:val="nil"/>
            </w:tcBorders>
            <w:shd w:val="clear" w:color="auto" w:fill="auto"/>
            <w:vAlign w:val="center"/>
          </w:tcPr>
          <w:p w14:paraId="0E16DF4E" w14:textId="77777777" w:rsidR="008B7E19" w:rsidRPr="009027F2"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color w:val="000000"/>
                <w:szCs w:val="14"/>
              </w:rPr>
            </w:pPr>
            <w:r>
              <w:rPr>
                <w:rFonts w:cs="Arial"/>
                <w:color w:val="000000"/>
                <w:szCs w:val="14"/>
              </w:rPr>
              <w:t>(27,357)</w:t>
            </w:r>
          </w:p>
        </w:tc>
        <w:tc>
          <w:tcPr>
            <w:tcW w:w="253" w:type="dxa"/>
            <w:tcBorders>
              <w:top w:val="nil"/>
              <w:left w:val="nil"/>
              <w:bottom w:val="nil"/>
              <w:right w:val="nil"/>
            </w:tcBorders>
            <w:shd w:val="clear" w:color="auto" w:fill="auto"/>
            <w:vAlign w:val="center"/>
          </w:tcPr>
          <w:p w14:paraId="1E8178CC" w14:textId="77777777" w:rsidR="008B7E19" w:rsidRPr="00C806B0" w:rsidRDefault="008B7E19" w:rsidP="008B7E19">
            <w:pPr>
              <w:pStyle w:val="08-Tabelageral"/>
              <w:cnfStyle w:val="000000000000" w:firstRow="0" w:lastRow="0" w:firstColumn="0" w:lastColumn="0" w:oddVBand="0" w:evenVBand="0" w:oddHBand="0" w:evenHBand="0" w:firstRowFirstColumn="0" w:firstRowLastColumn="0" w:lastRowFirstColumn="0" w:lastRowLastColumn="0"/>
            </w:pPr>
            <w:r>
              <w:rPr>
                <w:rFonts w:cs="Arial"/>
                <w:color w:val="000000"/>
                <w:szCs w:val="14"/>
              </w:rPr>
              <w:t> </w:t>
            </w:r>
          </w:p>
        </w:tc>
        <w:tc>
          <w:tcPr>
            <w:tcW w:w="1310" w:type="dxa"/>
            <w:tcBorders>
              <w:top w:val="nil"/>
              <w:left w:val="nil"/>
              <w:bottom w:val="nil"/>
              <w:right w:val="nil"/>
            </w:tcBorders>
            <w:shd w:val="clear" w:color="auto" w:fill="auto"/>
            <w:vAlign w:val="center"/>
          </w:tcPr>
          <w:p w14:paraId="6803EC32" w14:textId="77777777" w:rsidR="008B7E19"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color w:val="000000"/>
                <w:szCs w:val="14"/>
              </w:rPr>
            </w:pPr>
            <w:r>
              <w:rPr>
                <w:rFonts w:cs="Arial"/>
                <w:color w:val="000000"/>
                <w:szCs w:val="14"/>
              </w:rPr>
              <w:t>(1,131)</w:t>
            </w:r>
          </w:p>
        </w:tc>
        <w:tc>
          <w:tcPr>
            <w:tcW w:w="1196" w:type="dxa"/>
            <w:tcBorders>
              <w:top w:val="nil"/>
              <w:left w:val="nil"/>
              <w:bottom w:val="nil"/>
              <w:right w:val="nil"/>
            </w:tcBorders>
            <w:shd w:val="clear" w:color="auto" w:fill="auto"/>
            <w:vAlign w:val="center"/>
          </w:tcPr>
          <w:p w14:paraId="79891BF1" w14:textId="77777777" w:rsidR="008B7E19"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color w:val="000000"/>
                <w:szCs w:val="14"/>
              </w:rPr>
            </w:pPr>
            <w:r>
              <w:rPr>
                <w:rFonts w:cs="Arial"/>
                <w:color w:val="000000"/>
                <w:szCs w:val="14"/>
              </w:rPr>
              <w:t>(80,728)</w:t>
            </w:r>
          </w:p>
        </w:tc>
        <w:tc>
          <w:tcPr>
            <w:tcW w:w="1474" w:type="dxa"/>
            <w:tcBorders>
              <w:top w:val="nil"/>
              <w:left w:val="nil"/>
              <w:bottom w:val="nil"/>
              <w:right w:val="nil"/>
            </w:tcBorders>
            <w:shd w:val="clear" w:color="auto" w:fill="auto"/>
            <w:vAlign w:val="center"/>
          </w:tcPr>
          <w:p w14:paraId="1C01EE54" w14:textId="77777777" w:rsidR="008B7E19" w:rsidRPr="00C806B0" w:rsidRDefault="008B7E19" w:rsidP="008B7E19">
            <w:pPr>
              <w:pStyle w:val="08-Tabelageral"/>
              <w:cnfStyle w:val="000000000000" w:firstRow="0" w:lastRow="0" w:firstColumn="0" w:lastColumn="0" w:oddVBand="0" w:evenVBand="0" w:oddHBand="0" w:evenHBand="0" w:firstRowFirstColumn="0" w:firstRowLastColumn="0" w:lastRowFirstColumn="0" w:lastRowLastColumn="0"/>
            </w:pPr>
            <w:r>
              <w:rPr>
                <w:rFonts w:cs="Arial"/>
                <w:color w:val="000000"/>
                <w:szCs w:val="14"/>
              </w:rPr>
              <w:t>(830)</w:t>
            </w:r>
          </w:p>
        </w:tc>
        <w:tc>
          <w:tcPr>
            <w:tcW w:w="1619" w:type="dxa"/>
            <w:tcBorders>
              <w:top w:val="nil"/>
              <w:left w:val="nil"/>
              <w:bottom w:val="nil"/>
              <w:right w:val="nil"/>
            </w:tcBorders>
            <w:shd w:val="clear" w:color="auto" w:fill="auto"/>
            <w:vAlign w:val="center"/>
          </w:tcPr>
          <w:p w14:paraId="1120D713" w14:textId="77777777" w:rsidR="008B7E19"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color w:val="000000"/>
                <w:szCs w:val="14"/>
              </w:rPr>
            </w:pPr>
            <w:r>
              <w:rPr>
                <w:rFonts w:cs="Arial"/>
                <w:color w:val="000000"/>
                <w:szCs w:val="14"/>
              </w:rPr>
              <w:t>(28,638)</w:t>
            </w:r>
          </w:p>
        </w:tc>
      </w:tr>
      <w:tr w:rsidR="008B7E19" w:rsidRPr="001D6BE8" w14:paraId="02E49042" w14:textId="77777777" w:rsidTr="008B7E19">
        <w:trPr>
          <w:cnfStyle w:val="000000100000" w:firstRow="0" w:lastRow="0" w:firstColumn="0" w:lastColumn="0" w:oddVBand="0" w:evenVBand="0" w:oddHBand="1" w:evenHBand="0" w:firstRowFirstColumn="0" w:firstRowLastColumn="0" w:lastRowFirstColumn="0" w:lastRowLastColumn="0"/>
          <w:trHeight w:hRule="exact" w:val="397"/>
          <w:jc w:val="center"/>
        </w:trPr>
        <w:tc>
          <w:tcPr>
            <w:cnfStyle w:val="001000000000" w:firstRow="0" w:lastRow="0" w:firstColumn="1" w:lastColumn="0" w:oddVBand="0" w:evenVBand="0" w:oddHBand="0" w:evenHBand="0" w:firstRowFirstColumn="0" w:firstRowLastColumn="0" w:lastRowFirstColumn="0" w:lastRowLastColumn="0"/>
            <w:tcW w:w="2841" w:type="dxa"/>
            <w:tcBorders>
              <w:top w:val="nil"/>
              <w:bottom w:val="nil"/>
            </w:tcBorders>
            <w:shd w:val="clear" w:color="auto" w:fill="auto"/>
            <w:vAlign w:val="center"/>
          </w:tcPr>
          <w:p w14:paraId="578337A0" w14:textId="77777777" w:rsidR="008B7E19" w:rsidRPr="0038283D" w:rsidRDefault="008B7E19" w:rsidP="008B7E19">
            <w:pPr>
              <w:pStyle w:val="08-Tabelageral"/>
              <w:jc w:val="left"/>
              <w:rPr>
                <w:rFonts w:cs="Arial"/>
                <w:bCs w:val="0"/>
                <w:szCs w:val="14"/>
                <w:lang w:val="en-US"/>
              </w:rPr>
            </w:pPr>
            <w:r w:rsidRPr="00BD6C7E">
              <w:rPr>
                <w:rFonts w:cs="Arial"/>
                <w:szCs w:val="14"/>
                <w:lang w:val="en-US"/>
              </w:rPr>
              <w:t xml:space="preserve">Income Before Taxes </w:t>
            </w:r>
            <w:r>
              <w:rPr>
                <w:rFonts w:cs="Arial"/>
                <w:szCs w:val="14"/>
                <w:lang w:val="en-US"/>
              </w:rPr>
              <w:t>a</w:t>
            </w:r>
            <w:r w:rsidRPr="00BD6C7E">
              <w:rPr>
                <w:rFonts w:cs="Arial"/>
                <w:szCs w:val="14"/>
                <w:lang w:val="en-US"/>
              </w:rPr>
              <w:t>nd Equities</w:t>
            </w:r>
          </w:p>
        </w:tc>
        <w:tc>
          <w:tcPr>
            <w:tcW w:w="720" w:type="dxa"/>
            <w:tcBorders>
              <w:top w:val="nil"/>
              <w:bottom w:val="nil"/>
            </w:tcBorders>
            <w:shd w:val="clear" w:color="auto" w:fill="auto"/>
            <w:vAlign w:val="center"/>
          </w:tcPr>
          <w:p w14:paraId="5FF9EA03" w14:textId="77777777" w:rsidR="008B7E19" w:rsidRPr="0038283D"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lang w:val="en-US"/>
              </w:rPr>
            </w:pPr>
          </w:p>
        </w:tc>
        <w:tc>
          <w:tcPr>
            <w:tcW w:w="1444" w:type="dxa"/>
            <w:tcBorders>
              <w:top w:val="nil"/>
              <w:left w:val="nil"/>
              <w:bottom w:val="nil"/>
              <w:right w:val="nil"/>
            </w:tcBorders>
            <w:shd w:val="clear" w:color="auto" w:fill="auto"/>
            <w:vAlign w:val="center"/>
          </w:tcPr>
          <w:p w14:paraId="11935CB8" w14:textId="77777777" w:rsidR="008B7E19" w:rsidRPr="00414B70"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lang w:val="en-US"/>
              </w:rPr>
            </w:pPr>
            <w:r>
              <w:rPr>
                <w:rFonts w:cs="Arial"/>
                <w:b/>
                <w:bCs/>
                <w:color w:val="000000"/>
                <w:szCs w:val="14"/>
              </w:rPr>
              <w:t>1,892,406</w:t>
            </w:r>
          </w:p>
        </w:tc>
        <w:tc>
          <w:tcPr>
            <w:tcW w:w="1104" w:type="dxa"/>
            <w:tcBorders>
              <w:top w:val="nil"/>
              <w:left w:val="nil"/>
              <w:bottom w:val="nil"/>
              <w:right w:val="nil"/>
            </w:tcBorders>
            <w:shd w:val="clear" w:color="auto" w:fill="auto"/>
            <w:vAlign w:val="center"/>
          </w:tcPr>
          <w:p w14:paraId="5D58BA56" w14:textId="77777777" w:rsidR="008B7E19" w:rsidRPr="00414B70"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lang w:val="en-US"/>
              </w:rPr>
            </w:pPr>
            <w:r>
              <w:rPr>
                <w:rFonts w:cs="Arial"/>
                <w:b/>
                <w:bCs/>
                <w:color w:val="000000"/>
                <w:szCs w:val="14"/>
              </w:rPr>
              <w:t>3,725,365</w:t>
            </w:r>
          </w:p>
        </w:tc>
        <w:tc>
          <w:tcPr>
            <w:tcW w:w="1444" w:type="dxa"/>
            <w:tcBorders>
              <w:top w:val="nil"/>
              <w:left w:val="nil"/>
              <w:bottom w:val="nil"/>
              <w:right w:val="nil"/>
            </w:tcBorders>
            <w:shd w:val="clear" w:color="auto" w:fill="auto"/>
            <w:vAlign w:val="center"/>
          </w:tcPr>
          <w:p w14:paraId="2FF157A0" w14:textId="77777777" w:rsidR="008B7E19" w:rsidRPr="009027F2"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r w:rsidRPr="000F6C32">
              <w:rPr>
                <w:rFonts w:cs="Arial"/>
                <w:b/>
                <w:bCs/>
                <w:color w:val="000000"/>
                <w:szCs w:val="14"/>
              </w:rPr>
              <w:t>1</w:t>
            </w:r>
            <w:r>
              <w:rPr>
                <w:rFonts w:cs="Arial"/>
                <w:b/>
                <w:bCs/>
                <w:color w:val="000000"/>
                <w:szCs w:val="14"/>
              </w:rPr>
              <w:t>,</w:t>
            </w:r>
            <w:r w:rsidRPr="000F6C32">
              <w:rPr>
                <w:rFonts w:cs="Arial"/>
                <w:b/>
                <w:bCs/>
                <w:color w:val="000000"/>
                <w:szCs w:val="14"/>
              </w:rPr>
              <w:t>503</w:t>
            </w:r>
            <w:r>
              <w:rPr>
                <w:rFonts w:cs="Arial"/>
                <w:b/>
                <w:bCs/>
                <w:color w:val="000000"/>
                <w:szCs w:val="14"/>
              </w:rPr>
              <w:t>,</w:t>
            </w:r>
            <w:r w:rsidRPr="000F6C32">
              <w:rPr>
                <w:rFonts w:cs="Arial"/>
                <w:b/>
                <w:bCs/>
                <w:color w:val="000000"/>
                <w:szCs w:val="14"/>
              </w:rPr>
              <w:t>541</w:t>
            </w:r>
          </w:p>
        </w:tc>
        <w:tc>
          <w:tcPr>
            <w:tcW w:w="1454" w:type="dxa"/>
            <w:tcBorders>
              <w:top w:val="nil"/>
              <w:left w:val="nil"/>
              <w:bottom w:val="nil"/>
              <w:right w:val="nil"/>
            </w:tcBorders>
            <w:shd w:val="clear" w:color="auto" w:fill="auto"/>
            <w:vAlign w:val="center"/>
          </w:tcPr>
          <w:p w14:paraId="58BB5B8E" w14:textId="77777777" w:rsidR="008B7E19" w:rsidRPr="009027F2"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r w:rsidRPr="000F6C32">
              <w:rPr>
                <w:rFonts w:cs="Arial"/>
                <w:b/>
                <w:bCs/>
                <w:color w:val="000000"/>
                <w:szCs w:val="14"/>
              </w:rPr>
              <w:t>2</w:t>
            </w:r>
            <w:r>
              <w:rPr>
                <w:rFonts w:cs="Arial"/>
                <w:b/>
                <w:bCs/>
                <w:color w:val="000000"/>
                <w:szCs w:val="14"/>
              </w:rPr>
              <w:t>,</w:t>
            </w:r>
            <w:r w:rsidRPr="000F6C32">
              <w:rPr>
                <w:rFonts w:cs="Arial"/>
                <w:b/>
                <w:bCs/>
                <w:color w:val="000000"/>
                <w:szCs w:val="14"/>
              </w:rPr>
              <w:t>713</w:t>
            </w:r>
            <w:r>
              <w:rPr>
                <w:rFonts w:cs="Arial"/>
                <w:b/>
                <w:bCs/>
                <w:color w:val="000000"/>
                <w:szCs w:val="14"/>
              </w:rPr>
              <w:t>,</w:t>
            </w:r>
            <w:r w:rsidRPr="000F6C32">
              <w:rPr>
                <w:rFonts w:cs="Arial"/>
                <w:b/>
                <w:bCs/>
                <w:color w:val="000000"/>
                <w:szCs w:val="14"/>
              </w:rPr>
              <w:t>244</w:t>
            </w:r>
          </w:p>
        </w:tc>
        <w:tc>
          <w:tcPr>
            <w:tcW w:w="253" w:type="dxa"/>
            <w:tcBorders>
              <w:top w:val="nil"/>
              <w:left w:val="nil"/>
              <w:bottom w:val="nil"/>
              <w:right w:val="nil"/>
            </w:tcBorders>
            <w:shd w:val="clear" w:color="auto" w:fill="auto"/>
            <w:vAlign w:val="center"/>
          </w:tcPr>
          <w:p w14:paraId="26B44CE6" w14:textId="77777777" w:rsidR="008B7E19" w:rsidRPr="00520137"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b/>
                <w:bCs/>
              </w:rPr>
            </w:pPr>
          </w:p>
        </w:tc>
        <w:tc>
          <w:tcPr>
            <w:tcW w:w="1310" w:type="dxa"/>
            <w:tcBorders>
              <w:top w:val="nil"/>
              <w:left w:val="nil"/>
              <w:bottom w:val="nil"/>
              <w:right w:val="nil"/>
            </w:tcBorders>
            <w:shd w:val="clear" w:color="auto" w:fill="auto"/>
            <w:vAlign w:val="center"/>
          </w:tcPr>
          <w:p w14:paraId="6DF6E620" w14:textId="77777777" w:rsidR="008B7E19" w:rsidRPr="00522098"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r>
              <w:rPr>
                <w:rFonts w:cs="Arial"/>
                <w:b/>
                <w:bCs/>
                <w:color w:val="000000"/>
                <w:szCs w:val="14"/>
              </w:rPr>
              <w:t>2,265,996</w:t>
            </w:r>
          </w:p>
        </w:tc>
        <w:tc>
          <w:tcPr>
            <w:tcW w:w="1196" w:type="dxa"/>
            <w:tcBorders>
              <w:top w:val="nil"/>
              <w:left w:val="nil"/>
              <w:bottom w:val="nil"/>
              <w:right w:val="nil"/>
            </w:tcBorders>
            <w:shd w:val="clear" w:color="auto" w:fill="auto"/>
            <w:vAlign w:val="center"/>
          </w:tcPr>
          <w:p w14:paraId="33E739E9" w14:textId="77777777" w:rsidR="008B7E19" w:rsidRPr="00522098"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r>
              <w:rPr>
                <w:rFonts w:cs="Arial"/>
                <w:b/>
                <w:bCs/>
                <w:color w:val="000000"/>
                <w:szCs w:val="14"/>
              </w:rPr>
              <w:t>4,465,256</w:t>
            </w:r>
          </w:p>
        </w:tc>
        <w:tc>
          <w:tcPr>
            <w:tcW w:w="1474" w:type="dxa"/>
            <w:tcBorders>
              <w:top w:val="nil"/>
              <w:left w:val="nil"/>
              <w:bottom w:val="nil"/>
              <w:right w:val="nil"/>
            </w:tcBorders>
            <w:shd w:val="clear" w:color="auto" w:fill="auto"/>
            <w:vAlign w:val="center"/>
          </w:tcPr>
          <w:p w14:paraId="48A562DB" w14:textId="77777777" w:rsidR="008B7E19" w:rsidRPr="00520137"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b/>
                <w:bCs/>
              </w:rPr>
            </w:pPr>
            <w:r>
              <w:rPr>
                <w:rFonts w:cs="Arial"/>
                <w:b/>
                <w:bCs/>
                <w:color w:val="000000"/>
                <w:szCs w:val="14"/>
              </w:rPr>
              <w:t>1,832,026</w:t>
            </w:r>
          </w:p>
        </w:tc>
        <w:tc>
          <w:tcPr>
            <w:tcW w:w="1619" w:type="dxa"/>
            <w:tcBorders>
              <w:top w:val="nil"/>
              <w:left w:val="nil"/>
              <w:bottom w:val="nil"/>
              <w:right w:val="nil"/>
            </w:tcBorders>
            <w:shd w:val="clear" w:color="auto" w:fill="auto"/>
            <w:vAlign w:val="center"/>
          </w:tcPr>
          <w:p w14:paraId="0BCE42C7" w14:textId="77777777" w:rsidR="008B7E19"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r>
              <w:rPr>
                <w:rFonts w:cs="Arial"/>
                <w:b/>
                <w:bCs/>
                <w:color w:val="000000"/>
                <w:szCs w:val="14"/>
              </w:rPr>
              <w:t>3,340,863</w:t>
            </w:r>
          </w:p>
        </w:tc>
      </w:tr>
      <w:tr w:rsidR="008B7E19" w:rsidRPr="001D6BE8" w14:paraId="74F427CA" w14:textId="77777777" w:rsidTr="008B7E19">
        <w:trPr>
          <w:trHeight w:hRule="exact" w:val="356"/>
          <w:jc w:val="center"/>
        </w:trPr>
        <w:tc>
          <w:tcPr>
            <w:cnfStyle w:val="001000000000" w:firstRow="0" w:lastRow="0" w:firstColumn="1" w:lastColumn="0" w:oddVBand="0" w:evenVBand="0" w:oddHBand="0" w:evenHBand="0" w:firstRowFirstColumn="0" w:firstRowLastColumn="0" w:lastRowFirstColumn="0" w:lastRowLastColumn="0"/>
            <w:tcW w:w="2841" w:type="dxa"/>
            <w:tcBorders>
              <w:top w:val="nil"/>
              <w:bottom w:val="nil"/>
            </w:tcBorders>
            <w:shd w:val="clear" w:color="auto" w:fill="auto"/>
            <w:vAlign w:val="center"/>
          </w:tcPr>
          <w:p w14:paraId="157EDDCA" w14:textId="77777777" w:rsidR="008B7E19" w:rsidRPr="0038283D" w:rsidRDefault="008B7E19" w:rsidP="008B7E19">
            <w:pPr>
              <w:pStyle w:val="08-Tabelageral"/>
              <w:jc w:val="left"/>
              <w:rPr>
                <w:rFonts w:cs="Arial"/>
                <w:bCs w:val="0"/>
                <w:szCs w:val="14"/>
                <w:lang w:val="en-US"/>
              </w:rPr>
            </w:pPr>
            <w:r w:rsidRPr="009C4D96">
              <w:rPr>
                <w:rFonts w:cs="Arial"/>
                <w:szCs w:val="14"/>
                <w:lang w:val="en-US"/>
              </w:rPr>
              <w:t xml:space="preserve">Income Tax </w:t>
            </w:r>
            <w:r>
              <w:rPr>
                <w:rFonts w:cs="Arial"/>
                <w:szCs w:val="14"/>
                <w:lang w:val="en-US"/>
              </w:rPr>
              <w:t>a</w:t>
            </w:r>
            <w:r w:rsidRPr="009C4D96">
              <w:rPr>
                <w:rFonts w:cs="Arial"/>
                <w:szCs w:val="14"/>
                <w:lang w:val="en-US"/>
              </w:rPr>
              <w:t>nd Social Contribution</w:t>
            </w:r>
          </w:p>
        </w:tc>
        <w:tc>
          <w:tcPr>
            <w:tcW w:w="720" w:type="dxa"/>
            <w:tcBorders>
              <w:top w:val="nil"/>
              <w:bottom w:val="nil"/>
            </w:tcBorders>
            <w:shd w:val="clear" w:color="auto" w:fill="auto"/>
            <w:vAlign w:val="center"/>
          </w:tcPr>
          <w:p w14:paraId="3F0F4F80" w14:textId="77777777" w:rsidR="008B7E19" w:rsidRPr="00520137"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b/>
                <w:bCs/>
                <w:szCs w:val="14"/>
              </w:rPr>
            </w:pPr>
            <w:r w:rsidRPr="00520137">
              <w:rPr>
                <w:b/>
                <w:bCs/>
              </w:rPr>
              <w:t>[12.a]</w:t>
            </w:r>
          </w:p>
        </w:tc>
        <w:tc>
          <w:tcPr>
            <w:tcW w:w="1444" w:type="dxa"/>
            <w:tcBorders>
              <w:top w:val="nil"/>
              <w:left w:val="nil"/>
              <w:bottom w:val="nil"/>
              <w:right w:val="nil"/>
            </w:tcBorders>
            <w:shd w:val="clear" w:color="auto" w:fill="auto"/>
            <w:vAlign w:val="center"/>
          </w:tcPr>
          <w:p w14:paraId="4969A60F" w14:textId="77777777" w:rsidR="008B7E19"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color w:val="000000"/>
                <w:szCs w:val="14"/>
              </w:rPr>
            </w:pPr>
            <w:r>
              <w:rPr>
                <w:rFonts w:cs="Arial"/>
                <w:color w:val="000000"/>
                <w:szCs w:val="14"/>
              </w:rPr>
              <w:t>(233)</w:t>
            </w:r>
          </w:p>
        </w:tc>
        <w:tc>
          <w:tcPr>
            <w:tcW w:w="1104" w:type="dxa"/>
            <w:tcBorders>
              <w:top w:val="nil"/>
              <w:left w:val="nil"/>
              <w:bottom w:val="nil"/>
              <w:right w:val="nil"/>
            </w:tcBorders>
            <w:shd w:val="clear" w:color="auto" w:fill="auto"/>
            <w:vAlign w:val="center"/>
          </w:tcPr>
          <w:p w14:paraId="75146F01" w14:textId="77777777" w:rsidR="008B7E19"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color w:val="000000"/>
                <w:szCs w:val="14"/>
              </w:rPr>
            </w:pPr>
            <w:r>
              <w:rPr>
                <w:rFonts w:cs="Arial"/>
                <w:color w:val="000000"/>
                <w:szCs w:val="14"/>
              </w:rPr>
              <w:t>(233)</w:t>
            </w:r>
          </w:p>
        </w:tc>
        <w:tc>
          <w:tcPr>
            <w:tcW w:w="1444" w:type="dxa"/>
            <w:tcBorders>
              <w:top w:val="nil"/>
              <w:left w:val="nil"/>
              <w:bottom w:val="nil"/>
              <w:right w:val="nil"/>
            </w:tcBorders>
            <w:shd w:val="clear" w:color="auto" w:fill="auto"/>
            <w:vAlign w:val="center"/>
          </w:tcPr>
          <w:p w14:paraId="2BF3663C" w14:textId="77777777" w:rsidR="008B7E19" w:rsidRPr="009027F2"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color w:val="000000"/>
                <w:szCs w:val="14"/>
              </w:rPr>
            </w:pPr>
            <w:r>
              <w:rPr>
                <w:rFonts w:cs="Arial"/>
                <w:color w:val="000000"/>
                <w:szCs w:val="14"/>
              </w:rPr>
              <w:t>186</w:t>
            </w:r>
          </w:p>
        </w:tc>
        <w:tc>
          <w:tcPr>
            <w:tcW w:w="1454" w:type="dxa"/>
            <w:tcBorders>
              <w:top w:val="nil"/>
              <w:left w:val="nil"/>
              <w:bottom w:val="nil"/>
              <w:right w:val="nil"/>
            </w:tcBorders>
            <w:shd w:val="clear" w:color="auto" w:fill="auto"/>
            <w:vAlign w:val="center"/>
          </w:tcPr>
          <w:p w14:paraId="33A5E2CA" w14:textId="77777777" w:rsidR="008B7E19" w:rsidRPr="009027F2"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color w:val="000000"/>
                <w:szCs w:val="14"/>
              </w:rPr>
            </w:pPr>
            <w:r>
              <w:rPr>
                <w:rFonts w:cs="Arial"/>
                <w:color w:val="000000"/>
                <w:szCs w:val="14"/>
              </w:rPr>
              <w:t>--</w:t>
            </w:r>
          </w:p>
        </w:tc>
        <w:tc>
          <w:tcPr>
            <w:tcW w:w="253" w:type="dxa"/>
            <w:tcBorders>
              <w:top w:val="nil"/>
              <w:left w:val="nil"/>
              <w:bottom w:val="nil"/>
              <w:right w:val="nil"/>
            </w:tcBorders>
            <w:shd w:val="clear" w:color="auto" w:fill="auto"/>
            <w:vAlign w:val="center"/>
          </w:tcPr>
          <w:p w14:paraId="7DFA34CC" w14:textId="77777777" w:rsidR="008B7E19" w:rsidRPr="006B406F"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b/>
                <w:bCs/>
              </w:rPr>
            </w:pPr>
          </w:p>
        </w:tc>
        <w:tc>
          <w:tcPr>
            <w:tcW w:w="1310" w:type="dxa"/>
            <w:tcBorders>
              <w:top w:val="nil"/>
              <w:left w:val="nil"/>
              <w:bottom w:val="nil"/>
              <w:right w:val="nil"/>
            </w:tcBorders>
            <w:shd w:val="clear" w:color="auto" w:fill="auto"/>
            <w:vAlign w:val="center"/>
          </w:tcPr>
          <w:p w14:paraId="02C87903" w14:textId="77777777" w:rsidR="008B7E19"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color w:val="000000"/>
                <w:szCs w:val="14"/>
              </w:rPr>
            </w:pPr>
            <w:r>
              <w:rPr>
                <w:rFonts w:cs="Arial"/>
                <w:color w:val="000000"/>
                <w:szCs w:val="14"/>
              </w:rPr>
              <w:t>(373,823)</w:t>
            </w:r>
          </w:p>
        </w:tc>
        <w:tc>
          <w:tcPr>
            <w:tcW w:w="1196" w:type="dxa"/>
            <w:tcBorders>
              <w:top w:val="nil"/>
              <w:left w:val="nil"/>
              <w:bottom w:val="nil"/>
              <w:right w:val="nil"/>
            </w:tcBorders>
            <w:shd w:val="clear" w:color="auto" w:fill="auto"/>
            <w:vAlign w:val="center"/>
          </w:tcPr>
          <w:p w14:paraId="5FD72827" w14:textId="77777777" w:rsidR="008B7E19"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color w:val="000000"/>
                <w:szCs w:val="14"/>
              </w:rPr>
            </w:pPr>
            <w:r>
              <w:rPr>
                <w:rFonts w:cs="Arial"/>
                <w:color w:val="000000"/>
                <w:szCs w:val="14"/>
              </w:rPr>
              <w:t>(740,124)</w:t>
            </w:r>
          </w:p>
        </w:tc>
        <w:tc>
          <w:tcPr>
            <w:tcW w:w="1474" w:type="dxa"/>
            <w:tcBorders>
              <w:top w:val="nil"/>
              <w:left w:val="nil"/>
              <w:bottom w:val="nil"/>
              <w:right w:val="nil"/>
            </w:tcBorders>
            <w:shd w:val="clear" w:color="auto" w:fill="auto"/>
            <w:vAlign w:val="center"/>
          </w:tcPr>
          <w:p w14:paraId="5C2C459F" w14:textId="77777777" w:rsidR="008B7E19" w:rsidRPr="006B406F"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b/>
                <w:bCs/>
              </w:rPr>
            </w:pPr>
            <w:r>
              <w:rPr>
                <w:rFonts w:cs="Arial"/>
                <w:color w:val="000000"/>
                <w:szCs w:val="14"/>
              </w:rPr>
              <w:t>(328,299)</w:t>
            </w:r>
          </w:p>
        </w:tc>
        <w:tc>
          <w:tcPr>
            <w:tcW w:w="1619" w:type="dxa"/>
            <w:tcBorders>
              <w:top w:val="nil"/>
              <w:left w:val="nil"/>
              <w:bottom w:val="nil"/>
              <w:right w:val="nil"/>
            </w:tcBorders>
            <w:shd w:val="clear" w:color="auto" w:fill="auto"/>
            <w:vAlign w:val="center"/>
          </w:tcPr>
          <w:p w14:paraId="2977D35C" w14:textId="77777777" w:rsidR="008B7E19"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color w:val="000000"/>
                <w:szCs w:val="14"/>
              </w:rPr>
            </w:pPr>
            <w:r>
              <w:rPr>
                <w:rFonts w:cs="Arial"/>
                <w:color w:val="000000"/>
                <w:szCs w:val="14"/>
              </w:rPr>
              <w:t>(627,619)</w:t>
            </w:r>
          </w:p>
        </w:tc>
      </w:tr>
      <w:tr w:rsidR="008B7E19" w:rsidRPr="001D6BE8" w14:paraId="2BB83413" w14:textId="77777777" w:rsidTr="008B7E19">
        <w:trPr>
          <w:cnfStyle w:val="000000100000" w:firstRow="0" w:lastRow="0" w:firstColumn="0" w:lastColumn="0" w:oddVBand="0" w:evenVBand="0" w:oddHBand="1" w:evenHBand="0" w:firstRowFirstColumn="0" w:firstRowLastColumn="0" w:lastRowFirstColumn="0" w:lastRowLastColumn="0"/>
          <w:trHeight w:hRule="exact" w:val="356"/>
          <w:jc w:val="center"/>
        </w:trPr>
        <w:tc>
          <w:tcPr>
            <w:cnfStyle w:val="001000000000" w:firstRow="0" w:lastRow="0" w:firstColumn="1" w:lastColumn="0" w:oddVBand="0" w:evenVBand="0" w:oddHBand="0" w:evenHBand="0" w:firstRowFirstColumn="0" w:firstRowLastColumn="0" w:lastRowFirstColumn="0" w:lastRowLastColumn="0"/>
            <w:tcW w:w="2841" w:type="dxa"/>
            <w:tcBorders>
              <w:top w:val="nil"/>
              <w:bottom w:val="nil"/>
            </w:tcBorders>
            <w:shd w:val="clear" w:color="auto" w:fill="auto"/>
            <w:vAlign w:val="center"/>
          </w:tcPr>
          <w:p w14:paraId="55A77980" w14:textId="77777777" w:rsidR="008B7E19" w:rsidRPr="00216889" w:rsidRDefault="008B7E19" w:rsidP="008B7E19">
            <w:pPr>
              <w:pStyle w:val="08-Tabelageral"/>
              <w:jc w:val="left"/>
              <w:rPr>
                <w:rFonts w:cs="Arial"/>
                <w:szCs w:val="14"/>
              </w:rPr>
            </w:pPr>
          </w:p>
        </w:tc>
        <w:tc>
          <w:tcPr>
            <w:tcW w:w="720" w:type="dxa"/>
            <w:tcBorders>
              <w:top w:val="nil"/>
              <w:bottom w:val="nil"/>
            </w:tcBorders>
            <w:shd w:val="clear" w:color="auto" w:fill="auto"/>
            <w:vAlign w:val="center"/>
          </w:tcPr>
          <w:p w14:paraId="14ED0CED" w14:textId="77777777" w:rsidR="008B7E19" w:rsidRPr="008121B0"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444" w:type="dxa"/>
            <w:tcBorders>
              <w:top w:val="nil"/>
              <w:bottom w:val="nil"/>
            </w:tcBorders>
            <w:shd w:val="clear" w:color="auto" w:fill="auto"/>
            <w:vAlign w:val="center"/>
          </w:tcPr>
          <w:p w14:paraId="6515A960" w14:textId="77777777" w:rsidR="008B7E19" w:rsidRPr="00C806B0" w:rsidRDefault="008B7E19" w:rsidP="008B7E19">
            <w:pPr>
              <w:pStyle w:val="08-Tabelageral"/>
              <w:cnfStyle w:val="000000100000" w:firstRow="0" w:lastRow="0" w:firstColumn="0" w:lastColumn="0" w:oddVBand="0" w:evenVBand="0" w:oddHBand="1" w:evenHBand="0" w:firstRowFirstColumn="0" w:firstRowLastColumn="0" w:lastRowFirstColumn="0" w:lastRowLastColumn="0"/>
            </w:pPr>
          </w:p>
        </w:tc>
        <w:tc>
          <w:tcPr>
            <w:tcW w:w="1104" w:type="dxa"/>
            <w:tcBorders>
              <w:top w:val="nil"/>
              <w:bottom w:val="nil"/>
            </w:tcBorders>
            <w:shd w:val="clear" w:color="auto" w:fill="auto"/>
            <w:vAlign w:val="center"/>
          </w:tcPr>
          <w:p w14:paraId="0B0FBA72" w14:textId="77777777" w:rsidR="008B7E19" w:rsidRPr="00C806B0" w:rsidRDefault="008B7E19" w:rsidP="008B7E19">
            <w:pPr>
              <w:pStyle w:val="08-Tabelageral"/>
              <w:cnfStyle w:val="000000100000" w:firstRow="0" w:lastRow="0" w:firstColumn="0" w:lastColumn="0" w:oddVBand="0" w:evenVBand="0" w:oddHBand="1" w:evenHBand="0" w:firstRowFirstColumn="0" w:firstRowLastColumn="0" w:lastRowFirstColumn="0" w:lastRowLastColumn="0"/>
            </w:pPr>
          </w:p>
        </w:tc>
        <w:tc>
          <w:tcPr>
            <w:tcW w:w="1444" w:type="dxa"/>
            <w:tcBorders>
              <w:top w:val="nil"/>
              <w:bottom w:val="nil"/>
            </w:tcBorders>
            <w:shd w:val="clear" w:color="auto" w:fill="auto"/>
            <w:vAlign w:val="center"/>
          </w:tcPr>
          <w:p w14:paraId="75705079" w14:textId="77777777" w:rsidR="008B7E19" w:rsidRPr="00C806B0" w:rsidRDefault="008B7E19" w:rsidP="008B7E19">
            <w:pPr>
              <w:pStyle w:val="08-Tabelageral"/>
              <w:cnfStyle w:val="000000100000" w:firstRow="0" w:lastRow="0" w:firstColumn="0" w:lastColumn="0" w:oddVBand="0" w:evenVBand="0" w:oddHBand="1" w:evenHBand="0" w:firstRowFirstColumn="0" w:firstRowLastColumn="0" w:lastRowFirstColumn="0" w:lastRowLastColumn="0"/>
            </w:pPr>
          </w:p>
        </w:tc>
        <w:tc>
          <w:tcPr>
            <w:tcW w:w="1454" w:type="dxa"/>
            <w:tcBorders>
              <w:top w:val="nil"/>
              <w:bottom w:val="nil"/>
            </w:tcBorders>
            <w:shd w:val="clear" w:color="auto" w:fill="auto"/>
            <w:vAlign w:val="center"/>
          </w:tcPr>
          <w:p w14:paraId="70CC2079" w14:textId="77777777" w:rsidR="008B7E19" w:rsidRPr="00C806B0" w:rsidRDefault="008B7E19" w:rsidP="008B7E19">
            <w:pPr>
              <w:pStyle w:val="08-Tabelageral"/>
              <w:cnfStyle w:val="000000100000" w:firstRow="0" w:lastRow="0" w:firstColumn="0" w:lastColumn="0" w:oddVBand="0" w:evenVBand="0" w:oddHBand="1" w:evenHBand="0" w:firstRowFirstColumn="0" w:firstRowLastColumn="0" w:lastRowFirstColumn="0" w:lastRowLastColumn="0"/>
            </w:pPr>
          </w:p>
        </w:tc>
        <w:tc>
          <w:tcPr>
            <w:tcW w:w="253" w:type="dxa"/>
            <w:tcBorders>
              <w:top w:val="nil"/>
              <w:bottom w:val="nil"/>
            </w:tcBorders>
            <w:shd w:val="clear" w:color="auto" w:fill="auto"/>
            <w:vAlign w:val="center"/>
          </w:tcPr>
          <w:p w14:paraId="6206BF29" w14:textId="77777777" w:rsidR="008B7E19" w:rsidRPr="00C806B0" w:rsidRDefault="008B7E19" w:rsidP="008B7E19">
            <w:pPr>
              <w:pStyle w:val="08-Tabelageral"/>
              <w:cnfStyle w:val="000000100000" w:firstRow="0" w:lastRow="0" w:firstColumn="0" w:lastColumn="0" w:oddVBand="0" w:evenVBand="0" w:oddHBand="1" w:evenHBand="0" w:firstRowFirstColumn="0" w:firstRowLastColumn="0" w:lastRowFirstColumn="0" w:lastRowLastColumn="0"/>
            </w:pPr>
          </w:p>
        </w:tc>
        <w:tc>
          <w:tcPr>
            <w:tcW w:w="1310" w:type="dxa"/>
            <w:tcBorders>
              <w:top w:val="nil"/>
              <w:bottom w:val="nil"/>
            </w:tcBorders>
            <w:shd w:val="clear" w:color="auto" w:fill="auto"/>
            <w:vAlign w:val="center"/>
          </w:tcPr>
          <w:p w14:paraId="37E075D1" w14:textId="77777777" w:rsidR="008B7E19" w:rsidRPr="00C806B0" w:rsidRDefault="008B7E19" w:rsidP="008B7E19">
            <w:pPr>
              <w:pStyle w:val="08-Tabelageral"/>
              <w:cnfStyle w:val="000000100000" w:firstRow="0" w:lastRow="0" w:firstColumn="0" w:lastColumn="0" w:oddVBand="0" w:evenVBand="0" w:oddHBand="1" w:evenHBand="0" w:firstRowFirstColumn="0" w:firstRowLastColumn="0" w:lastRowFirstColumn="0" w:lastRowLastColumn="0"/>
            </w:pPr>
          </w:p>
        </w:tc>
        <w:tc>
          <w:tcPr>
            <w:tcW w:w="1196" w:type="dxa"/>
            <w:tcBorders>
              <w:top w:val="nil"/>
              <w:bottom w:val="nil"/>
            </w:tcBorders>
            <w:shd w:val="clear" w:color="auto" w:fill="auto"/>
            <w:vAlign w:val="center"/>
          </w:tcPr>
          <w:p w14:paraId="3914984F" w14:textId="77777777" w:rsidR="008B7E19" w:rsidRPr="00C806B0" w:rsidRDefault="008B7E19" w:rsidP="008B7E19">
            <w:pPr>
              <w:pStyle w:val="08-Tabelageral"/>
              <w:cnfStyle w:val="000000100000" w:firstRow="0" w:lastRow="0" w:firstColumn="0" w:lastColumn="0" w:oddVBand="0" w:evenVBand="0" w:oddHBand="1" w:evenHBand="0" w:firstRowFirstColumn="0" w:firstRowLastColumn="0" w:lastRowFirstColumn="0" w:lastRowLastColumn="0"/>
            </w:pPr>
          </w:p>
        </w:tc>
        <w:tc>
          <w:tcPr>
            <w:tcW w:w="1474" w:type="dxa"/>
            <w:tcBorders>
              <w:top w:val="nil"/>
              <w:bottom w:val="nil"/>
            </w:tcBorders>
            <w:shd w:val="clear" w:color="auto" w:fill="auto"/>
            <w:vAlign w:val="center"/>
          </w:tcPr>
          <w:p w14:paraId="6623F02E" w14:textId="77777777" w:rsidR="008B7E19" w:rsidRPr="00C806B0" w:rsidRDefault="008B7E19" w:rsidP="008B7E19">
            <w:pPr>
              <w:pStyle w:val="08-Tabelageral"/>
              <w:cnfStyle w:val="000000100000" w:firstRow="0" w:lastRow="0" w:firstColumn="0" w:lastColumn="0" w:oddVBand="0" w:evenVBand="0" w:oddHBand="1" w:evenHBand="0" w:firstRowFirstColumn="0" w:firstRowLastColumn="0" w:lastRowFirstColumn="0" w:lastRowLastColumn="0"/>
            </w:pPr>
          </w:p>
        </w:tc>
        <w:tc>
          <w:tcPr>
            <w:tcW w:w="1619" w:type="dxa"/>
            <w:tcBorders>
              <w:top w:val="nil"/>
              <w:bottom w:val="nil"/>
            </w:tcBorders>
            <w:shd w:val="clear" w:color="auto" w:fill="auto"/>
            <w:vAlign w:val="center"/>
          </w:tcPr>
          <w:p w14:paraId="0BC1FA9E" w14:textId="77777777" w:rsidR="008B7E19" w:rsidRPr="009C62A1"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bCs/>
              </w:rPr>
            </w:pPr>
          </w:p>
        </w:tc>
      </w:tr>
      <w:tr w:rsidR="008B7E19" w:rsidRPr="009C4D96" w14:paraId="6548B800" w14:textId="77777777" w:rsidTr="008B7E19">
        <w:trPr>
          <w:trHeight w:hRule="exact" w:val="238"/>
          <w:jc w:val="center"/>
        </w:trPr>
        <w:tc>
          <w:tcPr>
            <w:cnfStyle w:val="001000000000" w:firstRow="0" w:lastRow="0" w:firstColumn="1" w:lastColumn="0" w:oddVBand="0" w:evenVBand="0" w:oddHBand="0" w:evenHBand="0" w:firstRowFirstColumn="0" w:firstRowLastColumn="0" w:lastRowFirstColumn="0" w:lastRowLastColumn="0"/>
            <w:tcW w:w="2841" w:type="dxa"/>
            <w:tcBorders>
              <w:top w:val="nil"/>
              <w:bottom w:val="nil"/>
            </w:tcBorders>
            <w:shd w:val="clear" w:color="auto" w:fill="auto"/>
            <w:vAlign w:val="center"/>
          </w:tcPr>
          <w:p w14:paraId="54B28AFA" w14:textId="77777777" w:rsidR="008B7E19" w:rsidRPr="00C806B0" w:rsidRDefault="008B7E19" w:rsidP="008B7E19">
            <w:pPr>
              <w:pStyle w:val="08-Tabelageral"/>
              <w:jc w:val="left"/>
              <w:rPr>
                <w:rFonts w:cs="Arial"/>
                <w:bCs w:val="0"/>
                <w:szCs w:val="14"/>
              </w:rPr>
            </w:pPr>
            <w:r>
              <w:rPr>
                <w:rFonts w:cs="Arial"/>
                <w:szCs w:val="14"/>
              </w:rPr>
              <w:t>Net Income</w:t>
            </w:r>
          </w:p>
        </w:tc>
        <w:tc>
          <w:tcPr>
            <w:tcW w:w="720" w:type="dxa"/>
            <w:tcBorders>
              <w:top w:val="nil"/>
              <w:bottom w:val="nil"/>
            </w:tcBorders>
            <w:shd w:val="clear" w:color="auto" w:fill="auto"/>
            <w:vAlign w:val="center"/>
          </w:tcPr>
          <w:p w14:paraId="608A7CFF" w14:textId="77777777" w:rsidR="008B7E19" w:rsidRPr="009C4D96"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b/>
                <w:szCs w:val="14"/>
              </w:rPr>
            </w:pPr>
          </w:p>
        </w:tc>
        <w:tc>
          <w:tcPr>
            <w:tcW w:w="1444" w:type="dxa"/>
            <w:tcBorders>
              <w:top w:val="nil"/>
              <w:left w:val="nil"/>
              <w:bottom w:val="nil"/>
              <w:right w:val="nil"/>
            </w:tcBorders>
            <w:shd w:val="clear" w:color="auto" w:fill="auto"/>
            <w:vAlign w:val="center"/>
          </w:tcPr>
          <w:p w14:paraId="3BEA3D38" w14:textId="77777777" w:rsidR="008B7E19" w:rsidRPr="00522098"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b/>
              </w:rPr>
            </w:pPr>
            <w:r>
              <w:rPr>
                <w:rFonts w:cs="Arial"/>
                <w:b/>
                <w:bCs/>
                <w:color w:val="000000"/>
                <w:szCs w:val="14"/>
              </w:rPr>
              <w:t>1,892,173</w:t>
            </w:r>
          </w:p>
        </w:tc>
        <w:tc>
          <w:tcPr>
            <w:tcW w:w="1104" w:type="dxa"/>
            <w:tcBorders>
              <w:top w:val="nil"/>
              <w:left w:val="nil"/>
              <w:bottom w:val="nil"/>
              <w:right w:val="nil"/>
            </w:tcBorders>
            <w:shd w:val="clear" w:color="auto" w:fill="auto"/>
            <w:vAlign w:val="center"/>
          </w:tcPr>
          <w:p w14:paraId="243B6D7B" w14:textId="77777777" w:rsidR="008B7E19" w:rsidRPr="00522098"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b/>
              </w:rPr>
            </w:pPr>
            <w:r>
              <w:rPr>
                <w:rFonts w:cs="Arial"/>
                <w:b/>
                <w:bCs/>
                <w:color w:val="000000"/>
                <w:szCs w:val="14"/>
              </w:rPr>
              <w:t>3,725,132</w:t>
            </w:r>
          </w:p>
        </w:tc>
        <w:tc>
          <w:tcPr>
            <w:tcW w:w="1444" w:type="dxa"/>
            <w:tcBorders>
              <w:top w:val="nil"/>
              <w:left w:val="nil"/>
              <w:bottom w:val="nil"/>
              <w:right w:val="nil"/>
            </w:tcBorders>
            <w:shd w:val="clear" w:color="auto" w:fill="auto"/>
            <w:vAlign w:val="center"/>
          </w:tcPr>
          <w:p w14:paraId="16E3BCE3" w14:textId="77777777" w:rsidR="008B7E19" w:rsidRPr="009027F2"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b/>
              </w:rPr>
            </w:pPr>
            <w:r w:rsidRPr="000F6C32">
              <w:rPr>
                <w:rFonts w:cs="Arial"/>
                <w:b/>
                <w:bCs/>
                <w:color w:val="000000"/>
                <w:szCs w:val="14"/>
              </w:rPr>
              <w:t>1</w:t>
            </w:r>
            <w:r>
              <w:rPr>
                <w:rFonts w:cs="Arial"/>
                <w:b/>
                <w:bCs/>
                <w:color w:val="000000"/>
                <w:szCs w:val="14"/>
              </w:rPr>
              <w:t>,</w:t>
            </w:r>
            <w:r w:rsidRPr="000F6C32">
              <w:rPr>
                <w:rFonts w:cs="Arial"/>
                <w:b/>
                <w:bCs/>
                <w:color w:val="000000"/>
                <w:szCs w:val="14"/>
              </w:rPr>
              <w:t>503</w:t>
            </w:r>
            <w:r>
              <w:rPr>
                <w:rFonts w:cs="Arial"/>
                <w:b/>
                <w:bCs/>
                <w:color w:val="000000"/>
                <w:szCs w:val="14"/>
              </w:rPr>
              <w:t>,</w:t>
            </w:r>
            <w:r w:rsidRPr="000F6C32">
              <w:rPr>
                <w:rFonts w:cs="Arial"/>
                <w:b/>
                <w:bCs/>
                <w:color w:val="000000"/>
                <w:szCs w:val="14"/>
              </w:rPr>
              <w:t>727</w:t>
            </w:r>
          </w:p>
        </w:tc>
        <w:tc>
          <w:tcPr>
            <w:tcW w:w="1454" w:type="dxa"/>
            <w:tcBorders>
              <w:top w:val="nil"/>
              <w:left w:val="nil"/>
              <w:bottom w:val="nil"/>
              <w:right w:val="nil"/>
            </w:tcBorders>
            <w:shd w:val="clear" w:color="auto" w:fill="auto"/>
            <w:vAlign w:val="center"/>
          </w:tcPr>
          <w:p w14:paraId="39D20298" w14:textId="77777777" w:rsidR="008B7E19" w:rsidRPr="009027F2"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b/>
              </w:rPr>
            </w:pPr>
            <w:r w:rsidRPr="000F6C32">
              <w:rPr>
                <w:rFonts w:cs="Arial"/>
                <w:b/>
                <w:bCs/>
                <w:color w:val="000000"/>
                <w:szCs w:val="14"/>
              </w:rPr>
              <w:t>2</w:t>
            </w:r>
            <w:r>
              <w:rPr>
                <w:rFonts w:cs="Arial"/>
                <w:b/>
                <w:bCs/>
                <w:color w:val="000000"/>
                <w:szCs w:val="14"/>
              </w:rPr>
              <w:t>,</w:t>
            </w:r>
            <w:r w:rsidRPr="000F6C32">
              <w:rPr>
                <w:rFonts w:cs="Arial"/>
                <w:b/>
                <w:bCs/>
                <w:color w:val="000000"/>
                <w:szCs w:val="14"/>
              </w:rPr>
              <w:t>713</w:t>
            </w:r>
            <w:r>
              <w:rPr>
                <w:rFonts w:cs="Arial"/>
                <w:b/>
                <w:bCs/>
                <w:color w:val="000000"/>
                <w:szCs w:val="14"/>
              </w:rPr>
              <w:t>,</w:t>
            </w:r>
            <w:r w:rsidRPr="000F6C32">
              <w:rPr>
                <w:rFonts w:cs="Arial"/>
                <w:b/>
                <w:bCs/>
                <w:color w:val="000000"/>
                <w:szCs w:val="14"/>
              </w:rPr>
              <w:t>244</w:t>
            </w:r>
          </w:p>
        </w:tc>
        <w:tc>
          <w:tcPr>
            <w:tcW w:w="253" w:type="dxa"/>
            <w:tcBorders>
              <w:top w:val="nil"/>
              <w:bottom w:val="nil"/>
            </w:tcBorders>
            <w:shd w:val="clear" w:color="auto" w:fill="auto"/>
            <w:vAlign w:val="center"/>
          </w:tcPr>
          <w:p w14:paraId="48BA488D" w14:textId="77777777" w:rsidR="008B7E19" w:rsidRPr="001563D0"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b/>
                <w:bCs/>
              </w:rPr>
            </w:pPr>
          </w:p>
        </w:tc>
        <w:tc>
          <w:tcPr>
            <w:tcW w:w="1310" w:type="dxa"/>
            <w:tcBorders>
              <w:top w:val="nil"/>
              <w:left w:val="nil"/>
              <w:bottom w:val="nil"/>
              <w:right w:val="nil"/>
            </w:tcBorders>
            <w:shd w:val="clear" w:color="auto" w:fill="auto"/>
            <w:vAlign w:val="center"/>
          </w:tcPr>
          <w:p w14:paraId="2D7E2011" w14:textId="77777777" w:rsidR="008B7E19" w:rsidRPr="00522098"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b/>
                <w:bCs/>
              </w:rPr>
            </w:pPr>
            <w:r w:rsidRPr="00AD0489">
              <w:rPr>
                <w:rFonts w:cs="Arial"/>
                <w:b/>
                <w:bCs/>
                <w:color w:val="000000"/>
                <w:szCs w:val="14"/>
              </w:rPr>
              <w:t>1</w:t>
            </w:r>
            <w:r>
              <w:rPr>
                <w:rFonts w:cs="Arial"/>
                <w:b/>
                <w:bCs/>
                <w:color w:val="000000"/>
                <w:szCs w:val="14"/>
              </w:rPr>
              <w:t>,</w:t>
            </w:r>
            <w:r w:rsidRPr="00AD0489">
              <w:rPr>
                <w:rFonts w:cs="Arial"/>
                <w:b/>
                <w:bCs/>
                <w:color w:val="000000"/>
                <w:szCs w:val="14"/>
              </w:rPr>
              <w:t>892</w:t>
            </w:r>
            <w:r>
              <w:rPr>
                <w:rFonts w:cs="Arial"/>
                <w:b/>
                <w:bCs/>
                <w:color w:val="000000"/>
                <w:szCs w:val="14"/>
              </w:rPr>
              <w:t>,</w:t>
            </w:r>
            <w:r w:rsidRPr="00AD0489">
              <w:rPr>
                <w:rFonts w:cs="Arial"/>
                <w:b/>
                <w:bCs/>
                <w:color w:val="000000"/>
                <w:szCs w:val="14"/>
              </w:rPr>
              <w:t>173</w:t>
            </w:r>
          </w:p>
        </w:tc>
        <w:tc>
          <w:tcPr>
            <w:tcW w:w="1196" w:type="dxa"/>
            <w:tcBorders>
              <w:top w:val="nil"/>
              <w:left w:val="nil"/>
              <w:bottom w:val="nil"/>
              <w:right w:val="nil"/>
            </w:tcBorders>
            <w:shd w:val="clear" w:color="auto" w:fill="auto"/>
            <w:vAlign w:val="center"/>
          </w:tcPr>
          <w:p w14:paraId="5AA0F3A8" w14:textId="77777777" w:rsidR="008B7E19" w:rsidRPr="00522098"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b/>
                <w:bCs/>
              </w:rPr>
            </w:pPr>
            <w:r>
              <w:rPr>
                <w:rFonts w:cs="Arial"/>
                <w:b/>
                <w:bCs/>
                <w:color w:val="000000"/>
                <w:szCs w:val="14"/>
              </w:rPr>
              <w:t>3,725,132</w:t>
            </w:r>
          </w:p>
        </w:tc>
        <w:tc>
          <w:tcPr>
            <w:tcW w:w="1474" w:type="dxa"/>
            <w:tcBorders>
              <w:top w:val="nil"/>
              <w:left w:val="nil"/>
              <w:bottom w:val="nil"/>
              <w:right w:val="nil"/>
            </w:tcBorders>
            <w:shd w:val="clear" w:color="auto" w:fill="auto"/>
            <w:vAlign w:val="center"/>
          </w:tcPr>
          <w:p w14:paraId="6BB058CF" w14:textId="77777777" w:rsidR="008B7E19" w:rsidRPr="001563D0"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b/>
                <w:bCs/>
              </w:rPr>
            </w:pPr>
            <w:r>
              <w:rPr>
                <w:rFonts w:cs="Arial"/>
                <w:b/>
                <w:bCs/>
                <w:color w:val="000000"/>
                <w:szCs w:val="14"/>
              </w:rPr>
              <w:t>1,503,727</w:t>
            </w:r>
          </w:p>
        </w:tc>
        <w:tc>
          <w:tcPr>
            <w:tcW w:w="1619" w:type="dxa"/>
            <w:tcBorders>
              <w:top w:val="nil"/>
              <w:left w:val="nil"/>
              <w:bottom w:val="nil"/>
              <w:right w:val="nil"/>
            </w:tcBorders>
            <w:shd w:val="clear" w:color="auto" w:fill="auto"/>
            <w:vAlign w:val="center"/>
          </w:tcPr>
          <w:p w14:paraId="674BE2CD" w14:textId="77777777" w:rsidR="008B7E19"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b/>
                <w:bCs/>
                <w:color w:val="000000"/>
                <w:szCs w:val="14"/>
              </w:rPr>
            </w:pPr>
            <w:r>
              <w:rPr>
                <w:rFonts w:cs="Arial"/>
                <w:b/>
                <w:bCs/>
                <w:color w:val="000000"/>
                <w:szCs w:val="14"/>
              </w:rPr>
              <w:t>2,713,244</w:t>
            </w:r>
          </w:p>
        </w:tc>
      </w:tr>
      <w:tr w:rsidR="008B7E19" w:rsidRPr="007F63F2" w14:paraId="3471CF6A" w14:textId="77777777" w:rsidTr="008B7E19">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2841" w:type="dxa"/>
            <w:tcBorders>
              <w:top w:val="nil"/>
              <w:bottom w:val="single" w:sz="2" w:space="0" w:color="1F4E79" w:themeColor="accent1" w:themeShade="80"/>
            </w:tcBorders>
            <w:shd w:val="clear" w:color="auto" w:fill="auto"/>
            <w:vAlign w:val="center"/>
          </w:tcPr>
          <w:p w14:paraId="31C7B690" w14:textId="77777777" w:rsidR="008B7E19" w:rsidRPr="007F63F2" w:rsidRDefault="008B7E19" w:rsidP="008B7E19">
            <w:pPr>
              <w:pStyle w:val="08-Tabelageral"/>
              <w:jc w:val="left"/>
              <w:rPr>
                <w:rFonts w:cs="Arial"/>
                <w:bCs w:val="0"/>
                <w:szCs w:val="14"/>
              </w:rPr>
            </w:pPr>
          </w:p>
        </w:tc>
        <w:tc>
          <w:tcPr>
            <w:tcW w:w="720" w:type="dxa"/>
            <w:tcBorders>
              <w:top w:val="nil"/>
              <w:bottom w:val="single" w:sz="2" w:space="0" w:color="1F4E79" w:themeColor="accent1" w:themeShade="80"/>
            </w:tcBorders>
            <w:shd w:val="clear" w:color="auto" w:fill="auto"/>
            <w:vAlign w:val="center"/>
          </w:tcPr>
          <w:p w14:paraId="55B36EA1" w14:textId="77777777" w:rsidR="008B7E19" w:rsidRPr="007F63F2"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p>
        </w:tc>
        <w:tc>
          <w:tcPr>
            <w:tcW w:w="1444" w:type="dxa"/>
            <w:tcBorders>
              <w:top w:val="nil"/>
              <w:bottom w:val="single" w:sz="2" w:space="0" w:color="1F4E79" w:themeColor="accent1" w:themeShade="80"/>
            </w:tcBorders>
            <w:shd w:val="clear" w:color="auto" w:fill="auto"/>
            <w:vAlign w:val="center"/>
          </w:tcPr>
          <w:p w14:paraId="5FA7F8CB" w14:textId="77777777" w:rsidR="008B7E19" w:rsidRPr="007F63F2" w:rsidRDefault="008B7E19" w:rsidP="008B7E19">
            <w:pPr>
              <w:pStyle w:val="08-Tabelageral"/>
              <w:cnfStyle w:val="000000100000" w:firstRow="0" w:lastRow="0" w:firstColumn="0" w:lastColumn="0" w:oddVBand="0" w:evenVBand="0" w:oddHBand="1" w:evenHBand="0" w:firstRowFirstColumn="0" w:firstRowLastColumn="0" w:lastRowFirstColumn="0" w:lastRowLastColumn="0"/>
            </w:pPr>
          </w:p>
        </w:tc>
        <w:tc>
          <w:tcPr>
            <w:tcW w:w="1104" w:type="dxa"/>
            <w:tcBorders>
              <w:top w:val="nil"/>
              <w:bottom w:val="single" w:sz="2" w:space="0" w:color="1F4E79" w:themeColor="accent1" w:themeShade="80"/>
            </w:tcBorders>
            <w:shd w:val="clear" w:color="auto" w:fill="auto"/>
            <w:vAlign w:val="center"/>
          </w:tcPr>
          <w:p w14:paraId="4A006993" w14:textId="77777777" w:rsidR="008B7E19" w:rsidRPr="007F63F2" w:rsidRDefault="008B7E19" w:rsidP="008B7E19">
            <w:pPr>
              <w:pStyle w:val="08-Tabelageral"/>
              <w:cnfStyle w:val="000000100000" w:firstRow="0" w:lastRow="0" w:firstColumn="0" w:lastColumn="0" w:oddVBand="0" w:evenVBand="0" w:oddHBand="1" w:evenHBand="0" w:firstRowFirstColumn="0" w:firstRowLastColumn="0" w:lastRowFirstColumn="0" w:lastRowLastColumn="0"/>
            </w:pPr>
          </w:p>
        </w:tc>
        <w:tc>
          <w:tcPr>
            <w:tcW w:w="1444" w:type="dxa"/>
            <w:tcBorders>
              <w:top w:val="nil"/>
              <w:bottom w:val="single" w:sz="2" w:space="0" w:color="1F4E79" w:themeColor="accent1" w:themeShade="80"/>
            </w:tcBorders>
            <w:shd w:val="clear" w:color="auto" w:fill="auto"/>
            <w:vAlign w:val="center"/>
          </w:tcPr>
          <w:p w14:paraId="0CDF007A" w14:textId="77777777" w:rsidR="008B7E19" w:rsidRPr="007F63F2" w:rsidRDefault="008B7E19" w:rsidP="008B7E19">
            <w:pPr>
              <w:pStyle w:val="08-Tabelageral"/>
              <w:cnfStyle w:val="000000100000" w:firstRow="0" w:lastRow="0" w:firstColumn="0" w:lastColumn="0" w:oddVBand="0" w:evenVBand="0" w:oddHBand="1" w:evenHBand="0" w:firstRowFirstColumn="0" w:firstRowLastColumn="0" w:lastRowFirstColumn="0" w:lastRowLastColumn="0"/>
            </w:pPr>
          </w:p>
        </w:tc>
        <w:tc>
          <w:tcPr>
            <w:tcW w:w="1454" w:type="dxa"/>
            <w:tcBorders>
              <w:top w:val="nil"/>
              <w:bottom w:val="single" w:sz="2" w:space="0" w:color="1F4E79" w:themeColor="accent1" w:themeShade="80"/>
            </w:tcBorders>
            <w:shd w:val="clear" w:color="auto" w:fill="auto"/>
            <w:vAlign w:val="center"/>
          </w:tcPr>
          <w:p w14:paraId="6221F427" w14:textId="77777777" w:rsidR="008B7E19" w:rsidRPr="007F63F2" w:rsidRDefault="008B7E19" w:rsidP="008B7E19">
            <w:pPr>
              <w:pStyle w:val="08-Tabelageral"/>
              <w:cnfStyle w:val="000000100000" w:firstRow="0" w:lastRow="0" w:firstColumn="0" w:lastColumn="0" w:oddVBand="0" w:evenVBand="0" w:oddHBand="1" w:evenHBand="0" w:firstRowFirstColumn="0" w:firstRowLastColumn="0" w:lastRowFirstColumn="0" w:lastRowLastColumn="0"/>
            </w:pPr>
          </w:p>
        </w:tc>
        <w:tc>
          <w:tcPr>
            <w:tcW w:w="253" w:type="dxa"/>
            <w:tcBorders>
              <w:top w:val="nil"/>
              <w:bottom w:val="single" w:sz="2" w:space="0" w:color="1F4E79" w:themeColor="accent1" w:themeShade="80"/>
            </w:tcBorders>
            <w:shd w:val="clear" w:color="auto" w:fill="auto"/>
            <w:vAlign w:val="center"/>
          </w:tcPr>
          <w:p w14:paraId="4BA05FF9" w14:textId="77777777" w:rsidR="008B7E19" w:rsidRPr="007F63F2" w:rsidRDefault="008B7E19" w:rsidP="008B7E19">
            <w:pPr>
              <w:pStyle w:val="08-Tabelageral"/>
              <w:cnfStyle w:val="000000100000" w:firstRow="0" w:lastRow="0" w:firstColumn="0" w:lastColumn="0" w:oddVBand="0" w:evenVBand="0" w:oddHBand="1" w:evenHBand="0" w:firstRowFirstColumn="0" w:firstRowLastColumn="0" w:lastRowFirstColumn="0" w:lastRowLastColumn="0"/>
            </w:pPr>
          </w:p>
        </w:tc>
        <w:tc>
          <w:tcPr>
            <w:tcW w:w="1310" w:type="dxa"/>
            <w:tcBorders>
              <w:top w:val="nil"/>
              <w:bottom w:val="single" w:sz="2" w:space="0" w:color="1F4E79" w:themeColor="accent1" w:themeShade="80"/>
            </w:tcBorders>
            <w:shd w:val="clear" w:color="auto" w:fill="auto"/>
            <w:vAlign w:val="center"/>
          </w:tcPr>
          <w:p w14:paraId="628EAB32" w14:textId="77777777" w:rsidR="008B7E19" w:rsidRPr="007F63F2" w:rsidRDefault="008B7E19" w:rsidP="008B7E19">
            <w:pPr>
              <w:pStyle w:val="08-Tabelageral"/>
              <w:cnfStyle w:val="000000100000" w:firstRow="0" w:lastRow="0" w:firstColumn="0" w:lastColumn="0" w:oddVBand="0" w:evenVBand="0" w:oddHBand="1" w:evenHBand="0" w:firstRowFirstColumn="0" w:firstRowLastColumn="0" w:lastRowFirstColumn="0" w:lastRowLastColumn="0"/>
            </w:pPr>
          </w:p>
        </w:tc>
        <w:tc>
          <w:tcPr>
            <w:tcW w:w="1196" w:type="dxa"/>
            <w:tcBorders>
              <w:top w:val="nil"/>
              <w:bottom w:val="single" w:sz="2" w:space="0" w:color="1F4E79" w:themeColor="accent1" w:themeShade="80"/>
            </w:tcBorders>
            <w:shd w:val="clear" w:color="auto" w:fill="auto"/>
            <w:vAlign w:val="center"/>
          </w:tcPr>
          <w:p w14:paraId="164A91E8" w14:textId="77777777" w:rsidR="008B7E19" w:rsidRPr="007F63F2" w:rsidRDefault="008B7E19" w:rsidP="008B7E19">
            <w:pPr>
              <w:pStyle w:val="08-Tabelageral"/>
              <w:cnfStyle w:val="000000100000" w:firstRow="0" w:lastRow="0" w:firstColumn="0" w:lastColumn="0" w:oddVBand="0" w:evenVBand="0" w:oddHBand="1" w:evenHBand="0" w:firstRowFirstColumn="0" w:firstRowLastColumn="0" w:lastRowFirstColumn="0" w:lastRowLastColumn="0"/>
            </w:pPr>
          </w:p>
        </w:tc>
        <w:tc>
          <w:tcPr>
            <w:tcW w:w="1474" w:type="dxa"/>
            <w:tcBorders>
              <w:top w:val="nil"/>
              <w:bottom w:val="single" w:sz="2" w:space="0" w:color="1F4E79" w:themeColor="accent1" w:themeShade="80"/>
            </w:tcBorders>
            <w:shd w:val="clear" w:color="auto" w:fill="auto"/>
            <w:vAlign w:val="center"/>
          </w:tcPr>
          <w:p w14:paraId="45CC249B" w14:textId="77777777" w:rsidR="008B7E19" w:rsidRPr="007F63F2" w:rsidRDefault="008B7E19" w:rsidP="008B7E19">
            <w:pPr>
              <w:pStyle w:val="08-Tabelageral"/>
              <w:cnfStyle w:val="000000100000" w:firstRow="0" w:lastRow="0" w:firstColumn="0" w:lastColumn="0" w:oddVBand="0" w:evenVBand="0" w:oddHBand="1" w:evenHBand="0" w:firstRowFirstColumn="0" w:firstRowLastColumn="0" w:lastRowFirstColumn="0" w:lastRowLastColumn="0"/>
            </w:pPr>
          </w:p>
        </w:tc>
        <w:tc>
          <w:tcPr>
            <w:tcW w:w="1619" w:type="dxa"/>
            <w:tcBorders>
              <w:top w:val="nil"/>
              <w:bottom w:val="single" w:sz="2" w:space="0" w:color="1F4E79" w:themeColor="accent1" w:themeShade="80"/>
            </w:tcBorders>
            <w:shd w:val="clear" w:color="auto" w:fill="auto"/>
            <w:vAlign w:val="center"/>
          </w:tcPr>
          <w:p w14:paraId="43A53868" w14:textId="77777777" w:rsidR="008B7E19" w:rsidRPr="007F63F2" w:rsidRDefault="008B7E19" w:rsidP="008B7E19">
            <w:pPr>
              <w:pStyle w:val="08-Tabelageral"/>
              <w:cnfStyle w:val="000000100000" w:firstRow="0" w:lastRow="0" w:firstColumn="0" w:lastColumn="0" w:oddVBand="0" w:evenVBand="0" w:oddHBand="1" w:evenHBand="0" w:firstRowFirstColumn="0" w:firstRowLastColumn="0" w:lastRowFirstColumn="0" w:lastRowLastColumn="0"/>
            </w:pPr>
          </w:p>
        </w:tc>
      </w:tr>
      <w:tr w:rsidR="008B7E19" w:rsidRPr="001D6BE8" w14:paraId="31D179D0" w14:textId="77777777" w:rsidTr="008B7E19">
        <w:trPr>
          <w:trHeight w:hRule="exact" w:val="238"/>
          <w:jc w:val="center"/>
        </w:trPr>
        <w:tc>
          <w:tcPr>
            <w:cnfStyle w:val="001000000000" w:firstRow="0" w:lastRow="0" w:firstColumn="1" w:lastColumn="0" w:oddVBand="0" w:evenVBand="0" w:oddHBand="0" w:evenHBand="0" w:firstRowFirstColumn="0" w:firstRowLastColumn="0" w:lastRowFirstColumn="0" w:lastRowLastColumn="0"/>
            <w:tcW w:w="2841" w:type="dxa"/>
            <w:tcBorders>
              <w:top w:val="single" w:sz="2" w:space="0" w:color="1F4E79" w:themeColor="accent1" w:themeShade="80"/>
              <w:bottom w:val="nil"/>
            </w:tcBorders>
            <w:shd w:val="clear" w:color="auto" w:fill="auto"/>
            <w:vAlign w:val="center"/>
          </w:tcPr>
          <w:p w14:paraId="0D2EE2FD" w14:textId="77777777" w:rsidR="008B7E19" w:rsidRPr="00C806B0" w:rsidRDefault="008B7E19" w:rsidP="008B7E19">
            <w:pPr>
              <w:pStyle w:val="08-Tabelageral"/>
              <w:jc w:val="left"/>
              <w:rPr>
                <w:rFonts w:cs="Arial"/>
                <w:b w:val="0"/>
                <w:szCs w:val="14"/>
              </w:rPr>
            </w:pPr>
            <w:r w:rsidRPr="00C87262">
              <w:rPr>
                <w:rFonts w:cs="Arial"/>
                <w:b w:val="0"/>
                <w:szCs w:val="14"/>
              </w:rPr>
              <w:t>Number of shares</w:t>
            </w:r>
          </w:p>
        </w:tc>
        <w:tc>
          <w:tcPr>
            <w:tcW w:w="720" w:type="dxa"/>
            <w:tcBorders>
              <w:top w:val="single" w:sz="2" w:space="0" w:color="1F4E79" w:themeColor="accent1" w:themeShade="80"/>
              <w:bottom w:val="nil"/>
            </w:tcBorders>
            <w:shd w:val="clear" w:color="auto" w:fill="auto"/>
            <w:vAlign w:val="center"/>
          </w:tcPr>
          <w:p w14:paraId="5AC6B057" w14:textId="77777777" w:rsidR="008B7E19" w:rsidRPr="00C806B0"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r w:rsidRPr="004448AA">
              <w:t>[25.a]</w:t>
            </w:r>
          </w:p>
        </w:tc>
        <w:tc>
          <w:tcPr>
            <w:tcW w:w="1444" w:type="dxa"/>
            <w:tcBorders>
              <w:top w:val="single" w:sz="2" w:space="0" w:color="1F4E79" w:themeColor="accent1" w:themeShade="80"/>
              <w:bottom w:val="nil"/>
            </w:tcBorders>
            <w:shd w:val="clear" w:color="auto" w:fill="auto"/>
            <w:vAlign w:val="center"/>
          </w:tcPr>
          <w:p w14:paraId="1367EECC" w14:textId="77777777" w:rsidR="008B7E19" w:rsidRPr="00F45C5B" w:rsidRDefault="008B7E19" w:rsidP="008B7E19">
            <w:pPr>
              <w:pStyle w:val="08-Tabelageral"/>
              <w:cnfStyle w:val="000000000000" w:firstRow="0" w:lastRow="0" w:firstColumn="0" w:lastColumn="0" w:oddVBand="0" w:evenVBand="0" w:oddHBand="0" w:evenHBand="0" w:firstRowFirstColumn="0" w:firstRowLastColumn="0" w:lastRowFirstColumn="0" w:lastRowLastColumn="0"/>
            </w:pPr>
            <w:r w:rsidRPr="00281428">
              <w:t>2</w:t>
            </w:r>
            <w:r>
              <w:t>,</w:t>
            </w:r>
            <w:r w:rsidRPr="00281428">
              <w:t>000</w:t>
            </w:r>
            <w:r>
              <w:t>,</w:t>
            </w:r>
            <w:r w:rsidRPr="00281428">
              <w:t>000</w:t>
            </w:r>
            <w:r>
              <w:t>,</w:t>
            </w:r>
            <w:r w:rsidRPr="00281428">
              <w:t>000</w:t>
            </w:r>
          </w:p>
        </w:tc>
        <w:tc>
          <w:tcPr>
            <w:tcW w:w="1104" w:type="dxa"/>
            <w:tcBorders>
              <w:top w:val="single" w:sz="2" w:space="0" w:color="1F4E79" w:themeColor="accent1" w:themeShade="80"/>
              <w:bottom w:val="nil"/>
            </w:tcBorders>
            <w:shd w:val="clear" w:color="auto" w:fill="auto"/>
            <w:vAlign w:val="center"/>
          </w:tcPr>
          <w:p w14:paraId="1540BEE3" w14:textId="77777777" w:rsidR="008B7E19" w:rsidRPr="00F45C5B" w:rsidRDefault="008B7E19" w:rsidP="008B7E19">
            <w:pPr>
              <w:pStyle w:val="08-Tabelageral"/>
              <w:cnfStyle w:val="000000000000" w:firstRow="0" w:lastRow="0" w:firstColumn="0" w:lastColumn="0" w:oddVBand="0" w:evenVBand="0" w:oddHBand="0" w:evenHBand="0" w:firstRowFirstColumn="0" w:firstRowLastColumn="0" w:lastRowFirstColumn="0" w:lastRowLastColumn="0"/>
            </w:pPr>
            <w:r w:rsidRPr="00281428">
              <w:t>2</w:t>
            </w:r>
            <w:r>
              <w:t>,</w:t>
            </w:r>
            <w:r w:rsidRPr="00281428">
              <w:t>000</w:t>
            </w:r>
            <w:r>
              <w:t>,</w:t>
            </w:r>
            <w:r w:rsidRPr="00281428">
              <w:t>000</w:t>
            </w:r>
            <w:r>
              <w:t>,</w:t>
            </w:r>
            <w:r w:rsidRPr="00281428">
              <w:t>000</w:t>
            </w:r>
          </w:p>
        </w:tc>
        <w:tc>
          <w:tcPr>
            <w:tcW w:w="1444" w:type="dxa"/>
            <w:tcBorders>
              <w:top w:val="single" w:sz="2" w:space="0" w:color="1F4E79" w:themeColor="accent1" w:themeShade="80"/>
              <w:bottom w:val="nil"/>
            </w:tcBorders>
            <w:shd w:val="clear" w:color="auto" w:fill="auto"/>
            <w:vAlign w:val="center"/>
          </w:tcPr>
          <w:p w14:paraId="6FE7B579" w14:textId="77777777" w:rsidR="008B7E19" w:rsidRPr="002B160B" w:rsidRDefault="008B7E19" w:rsidP="008B7E19">
            <w:pPr>
              <w:pStyle w:val="08-Tabelageral"/>
              <w:cnfStyle w:val="000000000000" w:firstRow="0" w:lastRow="0" w:firstColumn="0" w:lastColumn="0" w:oddVBand="0" w:evenVBand="0" w:oddHBand="0" w:evenHBand="0" w:firstRowFirstColumn="0" w:firstRowLastColumn="0" w:lastRowFirstColumn="0" w:lastRowLastColumn="0"/>
            </w:pPr>
            <w:r w:rsidRPr="00281428">
              <w:t>2</w:t>
            </w:r>
            <w:r>
              <w:t>,</w:t>
            </w:r>
            <w:r w:rsidRPr="00281428">
              <w:t>000</w:t>
            </w:r>
            <w:r>
              <w:t>,</w:t>
            </w:r>
            <w:r w:rsidRPr="00281428">
              <w:t>000</w:t>
            </w:r>
            <w:r>
              <w:t>,</w:t>
            </w:r>
            <w:r w:rsidRPr="00281428">
              <w:t>000</w:t>
            </w:r>
          </w:p>
        </w:tc>
        <w:tc>
          <w:tcPr>
            <w:tcW w:w="1454" w:type="dxa"/>
            <w:tcBorders>
              <w:top w:val="single" w:sz="2" w:space="0" w:color="1F4E79" w:themeColor="accent1" w:themeShade="80"/>
              <w:bottom w:val="nil"/>
            </w:tcBorders>
            <w:shd w:val="clear" w:color="auto" w:fill="auto"/>
            <w:vAlign w:val="center"/>
          </w:tcPr>
          <w:p w14:paraId="2729C6D7" w14:textId="77777777" w:rsidR="008B7E19" w:rsidRPr="002B160B" w:rsidRDefault="008B7E19" w:rsidP="008B7E19">
            <w:pPr>
              <w:pStyle w:val="08-Tabelageral"/>
              <w:cnfStyle w:val="000000000000" w:firstRow="0" w:lastRow="0" w:firstColumn="0" w:lastColumn="0" w:oddVBand="0" w:evenVBand="0" w:oddHBand="0" w:evenHBand="0" w:firstRowFirstColumn="0" w:firstRowLastColumn="0" w:lastRowFirstColumn="0" w:lastRowLastColumn="0"/>
            </w:pPr>
            <w:r w:rsidRPr="00281428">
              <w:t>2</w:t>
            </w:r>
            <w:r>
              <w:t>,</w:t>
            </w:r>
            <w:r w:rsidRPr="00281428">
              <w:t>000</w:t>
            </w:r>
            <w:r>
              <w:t>,</w:t>
            </w:r>
            <w:r w:rsidRPr="00281428">
              <w:t>000</w:t>
            </w:r>
            <w:r>
              <w:t>,</w:t>
            </w:r>
            <w:r w:rsidRPr="00281428">
              <w:t>000</w:t>
            </w:r>
          </w:p>
        </w:tc>
        <w:tc>
          <w:tcPr>
            <w:tcW w:w="253" w:type="dxa"/>
            <w:tcBorders>
              <w:top w:val="single" w:sz="2" w:space="0" w:color="1F4E79" w:themeColor="accent1" w:themeShade="80"/>
              <w:bottom w:val="nil"/>
            </w:tcBorders>
            <w:shd w:val="clear" w:color="auto" w:fill="auto"/>
            <w:vAlign w:val="center"/>
          </w:tcPr>
          <w:p w14:paraId="08BDDE88" w14:textId="77777777" w:rsidR="008B7E19" w:rsidRPr="00C806B0" w:rsidRDefault="008B7E19" w:rsidP="008B7E19">
            <w:pPr>
              <w:pStyle w:val="08-Tabelageral"/>
              <w:cnfStyle w:val="000000000000" w:firstRow="0" w:lastRow="0" w:firstColumn="0" w:lastColumn="0" w:oddVBand="0" w:evenVBand="0" w:oddHBand="0" w:evenHBand="0" w:firstRowFirstColumn="0" w:firstRowLastColumn="0" w:lastRowFirstColumn="0" w:lastRowLastColumn="0"/>
            </w:pPr>
          </w:p>
        </w:tc>
        <w:tc>
          <w:tcPr>
            <w:tcW w:w="1310" w:type="dxa"/>
            <w:tcBorders>
              <w:top w:val="single" w:sz="2" w:space="0" w:color="1F4E79" w:themeColor="accent1" w:themeShade="80"/>
              <w:bottom w:val="nil"/>
            </w:tcBorders>
            <w:shd w:val="clear" w:color="auto" w:fill="auto"/>
            <w:vAlign w:val="center"/>
          </w:tcPr>
          <w:p w14:paraId="770EB243" w14:textId="77777777" w:rsidR="008B7E19" w:rsidRPr="00F45C5B" w:rsidRDefault="008B7E19" w:rsidP="008B7E19">
            <w:pPr>
              <w:pStyle w:val="08-Tabelageral"/>
              <w:cnfStyle w:val="000000000000" w:firstRow="0" w:lastRow="0" w:firstColumn="0" w:lastColumn="0" w:oddVBand="0" w:evenVBand="0" w:oddHBand="0" w:evenHBand="0" w:firstRowFirstColumn="0" w:firstRowLastColumn="0" w:lastRowFirstColumn="0" w:lastRowLastColumn="0"/>
            </w:pPr>
            <w:r w:rsidRPr="00281428">
              <w:t>2</w:t>
            </w:r>
            <w:r>
              <w:t>,</w:t>
            </w:r>
            <w:r w:rsidRPr="00281428">
              <w:t>000</w:t>
            </w:r>
            <w:r>
              <w:t>,</w:t>
            </w:r>
            <w:r w:rsidRPr="00281428">
              <w:t>000</w:t>
            </w:r>
            <w:r>
              <w:t>,</w:t>
            </w:r>
            <w:r w:rsidRPr="00281428">
              <w:t>000</w:t>
            </w:r>
          </w:p>
        </w:tc>
        <w:tc>
          <w:tcPr>
            <w:tcW w:w="1196" w:type="dxa"/>
            <w:tcBorders>
              <w:top w:val="single" w:sz="2" w:space="0" w:color="1F4E79" w:themeColor="accent1" w:themeShade="80"/>
              <w:bottom w:val="nil"/>
            </w:tcBorders>
            <w:shd w:val="clear" w:color="auto" w:fill="auto"/>
            <w:vAlign w:val="center"/>
          </w:tcPr>
          <w:p w14:paraId="09D9B0A6" w14:textId="77777777" w:rsidR="008B7E19" w:rsidRPr="00F45C5B" w:rsidRDefault="008B7E19" w:rsidP="008B7E19">
            <w:pPr>
              <w:pStyle w:val="08-Tabelageral"/>
              <w:cnfStyle w:val="000000000000" w:firstRow="0" w:lastRow="0" w:firstColumn="0" w:lastColumn="0" w:oddVBand="0" w:evenVBand="0" w:oddHBand="0" w:evenHBand="0" w:firstRowFirstColumn="0" w:firstRowLastColumn="0" w:lastRowFirstColumn="0" w:lastRowLastColumn="0"/>
            </w:pPr>
            <w:r w:rsidRPr="00281428">
              <w:t>2</w:t>
            </w:r>
            <w:r>
              <w:t>,</w:t>
            </w:r>
            <w:r w:rsidRPr="00281428">
              <w:t>000</w:t>
            </w:r>
            <w:r>
              <w:t>,</w:t>
            </w:r>
            <w:r w:rsidRPr="00281428">
              <w:t>000</w:t>
            </w:r>
            <w:r>
              <w:t>,</w:t>
            </w:r>
            <w:r w:rsidRPr="00281428">
              <w:t>000</w:t>
            </w:r>
          </w:p>
        </w:tc>
        <w:tc>
          <w:tcPr>
            <w:tcW w:w="1474" w:type="dxa"/>
            <w:tcBorders>
              <w:top w:val="single" w:sz="2" w:space="0" w:color="1F4E79" w:themeColor="accent1" w:themeShade="80"/>
              <w:bottom w:val="nil"/>
            </w:tcBorders>
            <w:shd w:val="clear" w:color="auto" w:fill="auto"/>
            <w:vAlign w:val="center"/>
          </w:tcPr>
          <w:p w14:paraId="7F5A90F7" w14:textId="77777777" w:rsidR="008B7E19" w:rsidRPr="00C806B0" w:rsidRDefault="008B7E19" w:rsidP="008B7E19">
            <w:pPr>
              <w:pStyle w:val="08-Tabelageral"/>
              <w:cnfStyle w:val="000000000000" w:firstRow="0" w:lastRow="0" w:firstColumn="0" w:lastColumn="0" w:oddVBand="0" w:evenVBand="0" w:oddHBand="0" w:evenHBand="0" w:firstRowFirstColumn="0" w:firstRowLastColumn="0" w:lastRowFirstColumn="0" w:lastRowLastColumn="0"/>
            </w:pPr>
            <w:r w:rsidRPr="00281428">
              <w:t>2</w:t>
            </w:r>
            <w:r>
              <w:t>,</w:t>
            </w:r>
            <w:r w:rsidRPr="00281428">
              <w:t>000</w:t>
            </w:r>
            <w:r>
              <w:t>,</w:t>
            </w:r>
            <w:r w:rsidRPr="00281428">
              <w:t>000</w:t>
            </w:r>
            <w:r>
              <w:t>,</w:t>
            </w:r>
            <w:r w:rsidRPr="00281428">
              <w:t>000</w:t>
            </w:r>
          </w:p>
        </w:tc>
        <w:tc>
          <w:tcPr>
            <w:tcW w:w="1619" w:type="dxa"/>
            <w:tcBorders>
              <w:top w:val="single" w:sz="2" w:space="0" w:color="1F4E79" w:themeColor="accent1" w:themeShade="80"/>
              <w:bottom w:val="nil"/>
            </w:tcBorders>
            <w:shd w:val="clear" w:color="auto" w:fill="auto"/>
            <w:vAlign w:val="center"/>
          </w:tcPr>
          <w:p w14:paraId="50784A91" w14:textId="77777777" w:rsidR="008B7E19" w:rsidRPr="006201C4" w:rsidRDefault="008B7E19" w:rsidP="008B7E19">
            <w:pPr>
              <w:pStyle w:val="08-Tabelageral"/>
              <w:cnfStyle w:val="000000000000" w:firstRow="0" w:lastRow="0" w:firstColumn="0" w:lastColumn="0" w:oddVBand="0" w:evenVBand="0" w:oddHBand="0" w:evenHBand="0" w:firstRowFirstColumn="0" w:firstRowLastColumn="0" w:lastRowFirstColumn="0" w:lastRowLastColumn="0"/>
            </w:pPr>
            <w:r w:rsidRPr="00281428">
              <w:t>2</w:t>
            </w:r>
            <w:r>
              <w:t>,</w:t>
            </w:r>
            <w:r w:rsidRPr="00281428">
              <w:t>000</w:t>
            </w:r>
            <w:r>
              <w:t>,</w:t>
            </w:r>
            <w:r w:rsidRPr="00281428">
              <w:t>000</w:t>
            </w:r>
            <w:r>
              <w:t>,</w:t>
            </w:r>
            <w:r w:rsidRPr="00281428">
              <w:t>000</w:t>
            </w:r>
          </w:p>
        </w:tc>
      </w:tr>
      <w:tr w:rsidR="008B7E19" w:rsidRPr="001D6BE8" w14:paraId="5CC11462" w14:textId="77777777" w:rsidTr="008B7E19">
        <w:trPr>
          <w:cnfStyle w:val="000000100000" w:firstRow="0" w:lastRow="0" w:firstColumn="0" w:lastColumn="0" w:oddVBand="0" w:evenVBand="0" w:oddHBand="1" w:evenHBand="0" w:firstRowFirstColumn="0" w:firstRowLastColumn="0" w:lastRowFirstColumn="0" w:lastRowLastColumn="0"/>
          <w:trHeight w:hRule="exact" w:val="397"/>
          <w:jc w:val="center"/>
        </w:trPr>
        <w:tc>
          <w:tcPr>
            <w:cnfStyle w:val="001000000000" w:firstRow="0" w:lastRow="0" w:firstColumn="1" w:lastColumn="0" w:oddVBand="0" w:evenVBand="0" w:oddHBand="0" w:evenHBand="0" w:firstRowFirstColumn="0" w:firstRowLastColumn="0" w:lastRowFirstColumn="0" w:lastRowLastColumn="0"/>
            <w:tcW w:w="2841" w:type="dxa"/>
            <w:tcBorders>
              <w:top w:val="nil"/>
              <w:bottom w:val="nil"/>
            </w:tcBorders>
            <w:shd w:val="clear" w:color="auto" w:fill="auto"/>
            <w:vAlign w:val="center"/>
          </w:tcPr>
          <w:p w14:paraId="4C3AF1EF" w14:textId="77777777" w:rsidR="008B7E19" w:rsidRPr="0038283D" w:rsidRDefault="008B7E19" w:rsidP="008B7E19">
            <w:pPr>
              <w:pStyle w:val="08-Tabelageral"/>
              <w:jc w:val="left"/>
              <w:rPr>
                <w:rFonts w:cs="Arial"/>
                <w:b w:val="0"/>
                <w:szCs w:val="14"/>
                <w:lang w:val="en-US"/>
              </w:rPr>
            </w:pPr>
            <w:r w:rsidRPr="00BD6C7E">
              <w:rPr>
                <w:rFonts w:cs="Arial"/>
                <w:b w:val="0"/>
                <w:szCs w:val="14"/>
                <w:lang w:val="en-US"/>
              </w:rPr>
              <w:t>Weighted average number of shares - basic and diluted</w:t>
            </w:r>
          </w:p>
        </w:tc>
        <w:tc>
          <w:tcPr>
            <w:tcW w:w="720" w:type="dxa"/>
            <w:tcBorders>
              <w:top w:val="nil"/>
              <w:bottom w:val="nil"/>
            </w:tcBorders>
            <w:shd w:val="clear" w:color="auto" w:fill="auto"/>
            <w:vAlign w:val="center"/>
          </w:tcPr>
          <w:p w14:paraId="0C6041B5" w14:textId="77777777" w:rsidR="008B7E19" w:rsidRPr="00C806B0"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4448AA">
              <w:t>[25.c]</w:t>
            </w:r>
          </w:p>
        </w:tc>
        <w:tc>
          <w:tcPr>
            <w:tcW w:w="1444" w:type="dxa"/>
            <w:tcBorders>
              <w:top w:val="nil"/>
              <w:bottom w:val="nil"/>
            </w:tcBorders>
            <w:shd w:val="clear" w:color="auto" w:fill="auto"/>
            <w:vAlign w:val="center"/>
          </w:tcPr>
          <w:p w14:paraId="63C57519" w14:textId="77777777" w:rsidR="008B7E19" w:rsidRPr="00F45C5B" w:rsidRDefault="008B7E19" w:rsidP="008B7E19">
            <w:pPr>
              <w:pStyle w:val="08-Tabelageral"/>
              <w:cnfStyle w:val="000000100000" w:firstRow="0" w:lastRow="0" w:firstColumn="0" w:lastColumn="0" w:oddVBand="0" w:evenVBand="0" w:oddHBand="1" w:evenHBand="0" w:firstRowFirstColumn="0" w:firstRowLastColumn="0" w:lastRowFirstColumn="0" w:lastRowLastColumn="0"/>
            </w:pPr>
            <w:r w:rsidRPr="00410B34">
              <w:t>1</w:t>
            </w:r>
            <w:r>
              <w:t>,</w:t>
            </w:r>
            <w:r w:rsidRPr="00410B34">
              <w:t>996</w:t>
            </w:r>
            <w:r>
              <w:t>,</w:t>
            </w:r>
            <w:r w:rsidRPr="00410B34">
              <w:t>726</w:t>
            </w:r>
            <w:r>
              <w:t>,</w:t>
            </w:r>
            <w:r w:rsidRPr="00410B34">
              <w:t>731</w:t>
            </w:r>
          </w:p>
        </w:tc>
        <w:tc>
          <w:tcPr>
            <w:tcW w:w="1104" w:type="dxa"/>
            <w:tcBorders>
              <w:top w:val="nil"/>
              <w:bottom w:val="nil"/>
            </w:tcBorders>
            <w:shd w:val="clear" w:color="auto" w:fill="auto"/>
            <w:vAlign w:val="center"/>
          </w:tcPr>
          <w:p w14:paraId="292A30B3" w14:textId="77777777" w:rsidR="008B7E19" w:rsidRPr="00F45C5B" w:rsidRDefault="008B7E19" w:rsidP="008B7E19">
            <w:pPr>
              <w:pStyle w:val="08-Tabelageral"/>
              <w:cnfStyle w:val="000000100000" w:firstRow="0" w:lastRow="0" w:firstColumn="0" w:lastColumn="0" w:oddVBand="0" w:evenVBand="0" w:oddHBand="1" w:evenHBand="0" w:firstRowFirstColumn="0" w:firstRowLastColumn="0" w:lastRowFirstColumn="0" w:lastRowLastColumn="0"/>
            </w:pPr>
            <w:r w:rsidRPr="00410B34">
              <w:t>1</w:t>
            </w:r>
            <w:r>
              <w:t>,</w:t>
            </w:r>
            <w:r w:rsidRPr="00410B34">
              <w:t>996</w:t>
            </w:r>
            <w:r>
              <w:t>,</w:t>
            </w:r>
            <w:r w:rsidRPr="00410B34">
              <w:t>742</w:t>
            </w:r>
            <w:r>
              <w:t>,</w:t>
            </w:r>
            <w:r w:rsidRPr="00410B34">
              <w:t>391</w:t>
            </w:r>
          </w:p>
        </w:tc>
        <w:tc>
          <w:tcPr>
            <w:tcW w:w="1444" w:type="dxa"/>
            <w:tcBorders>
              <w:top w:val="nil"/>
              <w:bottom w:val="nil"/>
            </w:tcBorders>
            <w:shd w:val="clear" w:color="auto" w:fill="auto"/>
            <w:vAlign w:val="center"/>
          </w:tcPr>
          <w:p w14:paraId="529B1D17" w14:textId="77777777" w:rsidR="008B7E19" w:rsidRPr="002B160B" w:rsidRDefault="008B7E19" w:rsidP="008B7E19">
            <w:pPr>
              <w:pStyle w:val="08-Tabelageral"/>
              <w:cnfStyle w:val="000000100000" w:firstRow="0" w:lastRow="0" w:firstColumn="0" w:lastColumn="0" w:oddVBand="0" w:evenVBand="0" w:oddHBand="1" w:evenHBand="0" w:firstRowFirstColumn="0" w:firstRowLastColumn="0" w:lastRowFirstColumn="0" w:lastRowLastColumn="0"/>
            </w:pPr>
            <w:r w:rsidRPr="00D55500">
              <w:t>1</w:t>
            </w:r>
            <w:r>
              <w:t>,</w:t>
            </w:r>
            <w:r w:rsidRPr="00D55500">
              <w:t>996</w:t>
            </w:r>
            <w:r>
              <w:t>,</w:t>
            </w:r>
            <w:r w:rsidRPr="00D55500">
              <w:t>714</w:t>
            </w:r>
            <w:r>
              <w:t>,</w:t>
            </w:r>
            <w:r w:rsidRPr="00D55500">
              <w:t>480</w:t>
            </w:r>
          </w:p>
        </w:tc>
        <w:tc>
          <w:tcPr>
            <w:tcW w:w="1454" w:type="dxa"/>
            <w:tcBorders>
              <w:top w:val="nil"/>
              <w:bottom w:val="nil"/>
            </w:tcBorders>
            <w:shd w:val="clear" w:color="auto" w:fill="auto"/>
            <w:vAlign w:val="center"/>
          </w:tcPr>
          <w:p w14:paraId="23B7E1EF" w14:textId="77777777" w:rsidR="008B7E19" w:rsidRPr="002B160B" w:rsidRDefault="008B7E19" w:rsidP="008B7E19">
            <w:pPr>
              <w:pStyle w:val="08-Tabelageral"/>
              <w:cnfStyle w:val="000000100000" w:firstRow="0" w:lastRow="0" w:firstColumn="0" w:lastColumn="0" w:oddVBand="0" w:evenVBand="0" w:oddHBand="1" w:evenHBand="0" w:firstRowFirstColumn="0" w:firstRowLastColumn="0" w:lastRowFirstColumn="0" w:lastRowLastColumn="0"/>
            </w:pPr>
            <w:r w:rsidRPr="00410B34">
              <w:t>1</w:t>
            </w:r>
            <w:r>
              <w:t>,</w:t>
            </w:r>
            <w:r w:rsidRPr="00410B34">
              <w:t>996</w:t>
            </w:r>
            <w:r>
              <w:t>,</w:t>
            </w:r>
            <w:r w:rsidRPr="00410B34">
              <w:t>700</w:t>
            </w:r>
            <w:r>
              <w:t>,</w:t>
            </w:r>
            <w:r w:rsidRPr="00410B34">
              <w:t>283</w:t>
            </w:r>
          </w:p>
        </w:tc>
        <w:tc>
          <w:tcPr>
            <w:tcW w:w="253" w:type="dxa"/>
            <w:tcBorders>
              <w:top w:val="nil"/>
              <w:bottom w:val="nil"/>
            </w:tcBorders>
            <w:shd w:val="clear" w:color="auto" w:fill="auto"/>
            <w:vAlign w:val="center"/>
          </w:tcPr>
          <w:p w14:paraId="60635AD9" w14:textId="77777777" w:rsidR="008B7E19" w:rsidRPr="00C806B0" w:rsidRDefault="008B7E19" w:rsidP="008B7E19">
            <w:pPr>
              <w:pStyle w:val="08-Tabelageral"/>
              <w:cnfStyle w:val="000000100000" w:firstRow="0" w:lastRow="0" w:firstColumn="0" w:lastColumn="0" w:oddVBand="0" w:evenVBand="0" w:oddHBand="1" w:evenHBand="0" w:firstRowFirstColumn="0" w:firstRowLastColumn="0" w:lastRowFirstColumn="0" w:lastRowLastColumn="0"/>
            </w:pPr>
          </w:p>
        </w:tc>
        <w:tc>
          <w:tcPr>
            <w:tcW w:w="1310" w:type="dxa"/>
            <w:tcBorders>
              <w:top w:val="nil"/>
              <w:bottom w:val="nil"/>
            </w:tcBorders>
            <w:shd w:val="clear" w:color="auto" w:fill="auto"/>
            <w:vAlign w:val="center"/>
          </w:tcPr>
          <w:p w14:paraId="5EA12C8B" w14:textId="77777777" w:rsidR="008B7E19" w:rsidRPr="00F45C5B" w:rsidRDefault="008B7E19" w:rsidP="008B7E19">
            <w:pPr>
              <w:pStyle w:val="08-Tabelageral"/>
              <w:cnfStyle w:val="000000100000" w:firstRow="0" w:lastRow="0" w:firstColumn="0" w:lastColumn="0" w:oddVBand="0" w:evenVBand="0" w:oddHBand="1" w:evenHBand="0" w:firstRowFirstColumn="0" w:firstRowLastColumn="0" w:lastRowFirstColumn="0" w:lastRowLastColumn="0"/>
            </w:pPr>
            <w:r w:rsidRPr="00410B34">
              <w:t>1</w:t>
            </w:r>
            <w:r>
              <w:t>,</w:t>
            </w:r>
            <w:r w:rsidRPr="00410B34">
              <w:t>996</w:t>
            </w:r>
            <w:r>
              <w:t>,</w:t>
            </w:r>
            <w:r w:rsidRPr="00410B34">
              <w:t>726</w:t>
            </w:r>
            <w:r>
              <w:t>,</w:t>
            </w:r>
            <w:r w:rsidRPr="00410B34">
              <w:t>731</w:t>
            </w:r>
          </w:p>
        </w:tc>
        <w:tc>
          <w:tcPr>
            <w:tcW w:w="1196" w:type="dxa"/>
            <w:tcBorders>
              <w:top w:val="nil"/>
              <w:bottom w:val="nil"/>
            </w:tcBorders>
            <w:shd w:val="clear" w:color="auto" w:fill="auto"/>
            <w:vAlign w:val="center"/>
          </w:tcPr>
          <w:p w14:paraId="6836B80B" w14:textId="77777777" w:rsidR="008B7E19" w:rsidRPr="00F45C5B" w:rsidRDefault="008B7E19" w:rsidP="008B7E19">
            <w:pPr>
              <w:pStyle w:val="08-Tabelageral"/>
              <w:cnfStyle w:val="000000100000" w:firstRow="0" w:lastRow="0" w:firstColumn="0" w:lastColumn="0" w:oddVBand="0" w:evenVBand="0" w:oddHBand="1" w:evenHBand="0" w:firstRowFirstColumn="0" w:firstRowLastColumn="0" w:lastRowFirstColumn="0" w:lastRowLastColumn="0"/>
            </w:pPr>
            <w:r w:rsidRPr="00410B34">
              <w:t>1</w:t>
            </w:r>
            <w:r>
              <w:t>,</w:t>
            </w:r>
            <w:r w:rsidRPr="00410B34">
              <w:t>996</w:t>
            </w:r>
            <w:r>
              <w:t>,</w:t>
            </w:r>
            <w:r w:rsidRPr="00410B34">
              <w:t>742</w:t>
            </w:r>
            <w:r>
              <w:t>,</w:t>
            </w:r>
            <w:r w:rsidRPr="00410B34">
              <w:t>391</w:t>
            </w:r>
          </w:p>
        </w:tc>
        <w:tc>
          <w:tcPr>
            <w:tcW w:w="1474" w:type="dxa"/>
            <w:tcBorders>
              <w:top w:val="nil"/>
              <w:bottom w:val="nil"/>
            </w:tcBorders>
            <w:shd w:val="clear" w:color="auto" w:fill="auto"/>
            <w:vAlign w:val="center"/>
          </w:tcPr>
          <w:p w14:paraId="163F7F40" w14:textId="77777777" w:rsidR="008B7E19" w:rsidRPr="00C806B0" w:rsidRDefault="008B7E19" w:rsidP="008B7E19">
            <w:pPr>
              <w:pStyle w:val="08-Tabelageral"/>
              <w:cnfStyle w:val="000000100000" w:firstRow="0" w:lastRow="0" w:firstColumn="0" w:lastColumn="0" w:oddVBand="0" w:evenVBand="0" w:oddHBand="1" w:evenHBand="0" w:firstRowFirstColumn="0" w:firstRowLastColumn="0" w:lastRowFirstColumn="0" w:lastRowLastColumn="0"/>
            </w:pPr>
            <w:r w:rsidRPr="00D55500">
              <w:t>1</w:t>
            </w:r>
            <w:r>
              <w:t>,</w:t>
            </w:r>
            <w:r w:rsidRPr="00D55500">
              <w:t>996</w:t>
            </w:r>
            <w:r>
              <w:t>,</w:t>
            </w:r>
            <w:r w:rsidRPr="00D55500">
              <w:t>714</w:t>
            </w:r>
            <w:r>
              <w:t>,</w:t>
            </w:r>
            <w:r w:rsidRPr="00D55500">
              <w:t>480</w:t>
            </w:r>
          </w:p>
        </w:tc>
        <w:tc>
          <w:tcPr>
            <w:tcW w:w="1619" w:type="dxa"/>
            <w:tcBorders>
              <w:top w:val="nil"/>
              <w:bottom w:val="nil"/>
            </w:tcBorders>
            <w:shd w:val="clear" w:color="auto" w:fill="auto"/>
            <w:vAlign w:val="center"/>
          </w:tcPr>
          <w:p w14:paraId="1D017A64" w14:textId="77777777" w:rsidR="008B7E19" w:rsidRPr="006201C4" w:rsidRDefault="008B7E19" w:rsidP="008B7E19">
            <w:pPr>
              <w:pStyle w:val="08-Tabelageral"/>
              <w:cnfStyle w:val="000000100000" w:firstRow="0" w:lastRow="0" w:firstColumn="0" w:lastColumn="0" w:oddVBand="0" w:evenVBand="0" w:oddHBand="1" w:evenHBand="0" w:firstRowFirstColumn="0" w:firstRowLastColumn="0" w:lastRowFirstColumn="0" w:lastRowLastColumn="0"/>
            </w:pPr>
            <w:r w:rsidRPr="00410B34">
              <w:t>1</w:t>
            </w:r>
            <w:r>
              <w:t>,</w:t>
            </w:r>
            <w:r w:rsidRPr="00410B34">
              <w:t>996</w:t>
            </w:r>
            <w:r>
              <w:t>,</w:t>
            </w:r>
            <w:r w:rsidRPr="00410B34">
              <w:t>700</w:t>
            </w:r>
            <w:r>
              <w:t>,</w:t>
            </w:r>
            <w:r w:rsidRPr="00410B34">
              <w:t>283</w:t>
            </w:r>
          </w:p>
        </w:tc>
      </w:tr>
      <w:tr w:rsidR="008B7E19" w:rsidRPr="003E7906" w14:paraId="24F306A2" w14:textId="77777777" w:rsidTr="008B7E19">
        <w:trPr>
          <w:trHeight w:hRule="exact" w:val="238"/>
          <w:jc w:val="center"/>
        </w:trPr>
        <w:tc>
          <w:tcPr>
            <w:cnfStyle w:val="001000000000" w:firstRow="0" w:lastRow="0" w:firstColumn="1" w:lastColumn="0" w:oddVBand="0" w:evenVBand="0" w:oddHBand="0" w:evenHBand="0" w:firstRowFirstColumn="0" w:firstRowLastColumn="0" w:lastRowFirstColumn="0" w:lastRowLastColumn="0"/>
            <w:tcW w:w="2841" w:type="dxa"/>
            <w:tcBorders>
              <w:top w:val="nil"/>
              <w:bottom w:val="single" w:sz="2" w:space="0" w:color="1F4E79" w:themeColor="accent1" w:themeShade="80"/>
            </w:tcBorders>
            <w:shd w:val="clear" w:color="auto" w:fill="auto"/>
            <w:vAlign w:val="center"/>
          </w:tcPr>
          <w:p w14:paraId="7637ED6F" w14:textId="77777777" w:rsidR="008B7E19" w:rsidRPr="0038283D" w:rsidRDefault="008B7E19" w:rsidP="008B7E19">
            <w:pPr>
              <w:pStyle w:val="08-Tabelageral"/>
              <w:jc w:val="left"/>
              <w:rPr>
                <w:rFonts w:cs="Arial"/>
                <w:b w:val="0"/>
                <w:bCs w:val="0"/>
                <w:szCs w:val="14"/>
                <w:lang w:val="en-US"/>
              </w:rPr>
            </w:pPr>
            <w:r w:rsidRPr="00BD6C7E">
              <w:rPr>
                <w:rFonts w:cs="Arial"/>
                <w:b w:val="0"/>
                <w:lang w:val="en-US"/>
              </w:rPr>
              <w:t>Basic and diluted earnings per share (R$)</w:t>
            </w:r>
          </w:p>
        </w:tc>
        <w:tc>
          <w:tcPr>
            <w:tcW w:w="720" w:type="dxa"/>
            <w:tcBorders>
              <w:top w:val="nil"/>
              <w:bottom w:val="single" w:sz="2" w:space="0" w:color="1F4E79" w:themeColor="accent1" w:themeShade="80"/>
            </w:tcBorders>
            <w:shd w:val="clear" w:color="auto" w:fill="auto"/>
            <w:vAlign w:val="center"/>
          </w:tcPr>
          <w:p w14:paraId="5A9CA280" w14:textId="77777777" w:rsidR="008B7E19" w:rsidRPr="003E7906"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r w:rsidRPr="004448AA">
              <w:t>[25.c]</w:t>
            </w:r>
          </w:p>
        </w:tc>
        <w:tc>
          <w:tcPr>
            <w:tcW w:w="1444" w:type="dxa"/>
            <w:tcBorders>
              <w:top w:val="nil"/>
              <w:bottom w:val="single" w:sz="2" w:space="0" w:color="1F4E79" w:themeColor="accent1" w:themeShade="80"/>
            </w:tcBorders>
            <w:shd w:val="clear" w:color="auto" w:fill="auto"/>
            <w:vAlign w:val="center"/>
          </w:tcPr>
          <w:p w14:paraId="4612E6FC" w14:textId="77777777" w:rsidR="008B7E19" w:rsidRPr="00F45C5B" w:rsidRDefault="008B7E19" w:rsidP="008B7E19">
            <w:pPr>
              <w:pStyle w:val="08-Tabelageral"/>
              <w:cnfStyle w:val="000000000000" w:firstRow="0" w:lastRow="0" w:firstColumn="0" w:lastColumn="0" w:oddVBand="0" w:evenVBand="0" w:oddHBand="0" w:evenHBand="0" w:firstRowFirstColumn="0" w:firstRowLastColumn="0" w:lastRowFirstColumn="0" w:lastRowLastColumn="0"/>
            </w:pPr>
            <w:r w:rsidRPr="00410B34">
              <w:t>0</w:t>
            </w:r>
            <w:r>
              <w:t>.</w:t>
            </w:r>
            <w:r w:rsidRPr="00410B34">
              <w:t>95</w:t>
            </w:r>
          </w:p>
        </w:tc>
        <w:tc>
          <w:tcPr>
            <w:tcW w:w="1104" w:type="dxa"/>
            <w:tcBorders>
              <w:top w:val="nil"/>
              <w:bottom w:val="single" w:sz="2" w:space="0" w:color="1F4E79" w:themeColor="accent1" w:themeShade="80"/>
            </w:tcBorders>
            <w:shd w:val="clear" w:color="auto" w:fill="auto"/>
            <w:vAlign w:val="center"/>
          </w:tcPr>
          <w:p w14:paraId="5E342D42" w14:textId="77777777" w:rsidR="008B7E19" w:rsidRPr="00F45C5B" w:rsidRDefault="008B7E19" w:rsidP="008B7E19">
            <w:pPr>
              <w:pStyle w:val="08-Tabelageral"/>
              <w:cnfStyle w:val="000000000000" w:firstRow="0" w:lastRow="0" w:firstColumn="0" w:lastColumn="0" w:oddVBand="0" w:evenVBand="0" w:oddHBand="0" w:evenHBand="0" w:firstRowFirstColumn="0" w:firstRowLastColumn="0" w:lastRowFirstColumn="0" w:lastRowLastColumn="0"/>
            </w:pPr>
            <w:r w:rsidRPr="00410B34">
              <w:t>1</w:t>
            </w:r>
            <w:r>
              <w:t>.</w:t>
            </w:r>
            <w:r w:rsidRPr="00410B34">
              <w:t>87</w:t>
            </w:r>
          </w:p>
        </w:tc>
        <w:tc>
          <w:tcPr>
            <w:tcW w:w="1444" w:type="dxa"/>
            <w:tcBorders>
              <w:top w:val="nil"/>
              <w:bottom w:val="single" w:sz="2" w:space="0" w:color="1F4E79" w:themeColor="accent1" w:themeShade="80"/>
            </w:tcBorders>
            <w:shd w:val="clear" w:color="auto" w:fill="auto"/>
            <w:vAlign w:val="center"/>
          </w:tcPr>
          <w:p w14:paraId="12B92368" w14:textId="77777777" w:rsidR="008B7E19" w:rsidRPr="002B160B" w:rsidRDefault="008B7E19" w:rsidP="008B7E19">
            <w:pPr>
              <w:pStyle w:val="08-Tabelageral"/>
              <w:cnfStyle w:val="000000000000" w:firstRow="0" w:lastRow="0" w:firstColumn="0" w:lastColumn="0" w:oddVBand="0" w:evenVBand="0" w:oddHBand="0" w:evenHBand="0" w:firstRowFirstColumn="0" w:firstRowLastColumn="0" w:lastRowFirstColumn="0" w:lastRowLastColumn="0"/>
            </w:pPr>
            <w:r w:rsidRPr="00410B34">
              <w:t>0</w:t>
            </w:r>
            <w:r>
              <w:t>.</w:t>
            </w:r>
            <w:r w:rsidRPr="00410B34">
              <w:t>75</w:t>
            </w:r>
          </w:p>
        </w:tc>
        <w:tc>
          <w:tcPr>
            <w:tcW w:w="1454" w:type="dxa"/>
            <w:tcBorders>
              <w:top w:val="nil"/>
              <w:bottom w:val="single" w:sz="2" w:space="0" w:color="1F4E79" w:themeColor="accent1" w:themeShade="80"/>
            </w:tcBorders>
            <w:shd w:val="clear" w:color="auto" w:fill="auto"/>
            <w:vAlign w:val="center"/>
          </w:tcPr>
          <w:p w14:paraId="63900BDE" w14:textId="77777777" w:rsidR="008B7E19" w:rsidRPr="002B160B" w:rsidRDefault="008B7E19" w:rsidP="008B7E19">
            <w:pPr>
              <w:pStyle w:val="08-Tabelageral"/>
              <w:cnfStyle w:val="000000000000" w:firstRow="0" w:lastRow="0" w:firstColumn="0" w:lastColumn="0" w:oddVBand="0" w:evenVBand="0" w:oddHBand="0" w:evenHBand="0" w:firstRowFirstColumn="0" w:firstRowLastColumn="0" w:lastRowFirstColumn="0" w:lastRowLastColumn="0"/>
            </w:pPr>
            <w:r w:rsidRPr="00410B34">
              <w:t>1</w:t>
            </w:r>
            <w:r>
              <w:t>.</w:t>
            </w:r>
            <w:r w:rsidRPr="00410B34">
              <w:t>36</w:t>
            </w:r>
          </w:p>
        </w:tc>
        <w:tc>
          <w:tcPr>
            <w:tcW w:w="253" w:type="dxa"/>
            <w:tcBorders>
              <w:top w:val="nil"/>
              <w:bottom w:val="single" w:sz="2" w:space="0" w:color="1F4E79" w:themeColor="accent1" w:themeShade="80"/>
            </w:tcBorders>
            <w:shd w:val="clear" w:color="auto" w:fill="auto"/>
            <w:vAlign w:val="center"/>
          </w:tcPr>
          <w:p w14:paraId="2824419B" w14:textId="77777777" w:rsidR="008B7E19" w:rsidRPr="003E7906" w:rsidRDefault="008B7E19" w:rsidP="008B7E19">
            <w:pPr>
              <w:pStyle w:val="08-Tabelageral"/>
              <w:cnfStyle w:val="000000000000" w:firstRow="0" w:lastRow="0" w:firstColumn="0" w:lastColumn="0" w:oddVBand="0" w:evenVBand="0" w:oddHBand="0" w:evenHBand="0" w:firstRowFirstColumn="0" w:firstRowLastColumn="0" w:lastRowFirstColumn="0" w:lastRowLastColumn="0"/>
            </w:pPr>
          </w:p>
        </w:tc>
        <w:tc>
          <w:tcPr>
            <w:tcW w:w="1310" w:type="dxa"/>
            <w:tcBorders>
              <w:top w:val="nil"/>
              <w:bottom w:val="single" w:sz="2" w:space="0" w:color="1F4E79" w:themeColor="accent1" w:themeShade="80"/>
            </w:tcBorders>
            <w:shd w:val="clear" w:color="auto" w:fill="auto"/>
            <w:vAlign w:val="center"/>
          </w:tcPr>
          <w:p w14:paraId="11F597C0" w14:textId="77777777" w:rsidR="008B7E19" w:rsidRPr="00F45C5B" w:rsidRDefault="008B7E19" w:rsidP="008B7E19">
            <w:pPr>
              <w:pStyle w:val="08-Tabelageral"/>
              <w:cnfStyle w:val="000000000000" w:firstRow="0" w:lastRow="0" w:firstColumn="0" w:lastColumn="0" w:oddVBand="0" w:evenVBand="0" w:oddHBand="0" w:evenHBand="0" w:firstRowFirstColumn="0" w:firstRowLastColumn="0" w:lastRowFirstColumn="0" w:lastRowLastColumn="0"/>
            </w:pPr>
            <w:r w:rsidRPr="00410B34">
              <w:t>0</w:t>
            </w:r>
            <w:r>
              <w:t>.</w:t>
            </w:r>
            <w:r w:rsidRPr="00410B34">
              <w:t>95</w:t>
            </w:r>
          </w:p>
        </w:tc>
        <w:tc>
          <w:tcPr>
            <w:tcW w:w="1196" w:type="dxa"/>
            <w:tcBorders>
              <w:top w:val="nil"/>
              <w:bottom w:val="single" w:sz="2" w:space="0" w:color="1F4E79" w:themeColor="accent1" w:themeShade="80"/>
            </w:tcBorders>
            <w:shd w:val="clear" w:color="auto" w:fill="auto"/>
            <w:vAlign w:val="center"/>
          </w:tcPr>
          <w:p w14:paraId="15CB5C52" w14:textId="77777777" w:rsidR="008B7E19" w:rsidRPr="00F45C5B" w:rsidRDefault="008B7E19" w:rsidP="008B7E19">
            <w:pPr>
              <w:pStyle w:val="08-Tabelageral"/>
              <w:cnfStyle w:val="000000000000" w:firstRow="0" w:lastRow="0" w:firstColumn="0" w:lastColumn="0" w:oddVBand="0" w:evenVBand="0" w:oddHBand="0" w:evenHBand="0" w:firstRowFirstColumn="0" w:firstRowLastColumn="0" w:lastRowFirstColumn="0" w:lastRowLastColumn="0"/>
            </w:pPr>
            <w:r w:rsidRPr="00410B34">
              <w:t>1</w:t>
            </w:r>
            <w:r>
              <w:t>.</w:t>
            </w:r>
            <w:r w:rsidRPr="00410B34">
              <w:t>87</w:t>
            </w:r>
          </w:p>
        </w:tc>
        <w:tc>
          <w:tcPr>
            <w:tcW w:w="1474" w:type="dxa"/>
            <w:tcBorders>
              <w:top w:val="nil"/>
              <w:bottom w:val="single" w:sz="2" w:space="0" w:color="1F4E79" w:themeColor="accent1" w:themeShade="80"/>
            </w:tcBorders>
            <w:shd w:val="clear" w:color="auto" w:fill="auto"/>
            <w:vAlign w:val="center"/>
          </w:tcPr>
          <w:p w14:paraId="35A178C7" w14:textId="77777777" w:rsidR="008B7E19" w:rsidRPr="003E7906"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highlight w:val="yellow"/>
              </w:rPr>
            </w:pPr>
            <w:r w:rsidRPr="00410B34">
              <w:t>0</w:t>
            </w:r>
            <w:r>
              <w:t>.</w:t>
            </w:r>
            <w:r w:rsidRPr="00410B34">
              <w:t>75</w:t>
            </w:r>
          </w:p>
        </w:tc>
        <w:tc>
          <w:tcPr>
            <w:tcW w:w="1619" w:type="dxa"/>
            <w:tcBorders>
              <w:top w:val="nil"/>
              <w:bottom w:val="single" w:sz="2" w:space="0" w:color="1F4E79" w:themeColor="accent1" w:themeShade="80"/>
            </w:tcBorders>
            <w:shd w:val="clear" w:color="auto" w:fill="auto"/>
            <w:vAlign w:val="center"/>
          </w:tcPr>
          <w:p w14:paraId="0EA32C9C" w14:textId="77777777" w:rsidR="008B7E19" w:rsidRPr="006201C4" w:rsidRDefault="008B7E19" w:rsidP="008B7E19">
            <w:pPr>
              <w:pStyle w:val="08-Tabelageral"/>
              <w:cnfStyle w:val="000000000000" w:firstRow="0" w:lastRow="0" w:firstColumn="0" w:lastColumn="0" w:oddVBand="0" w:evenVBand="0" w:oddHBand="0" w:evenHBand="0" w:firstRowFirstColumn="0" w:firstRowLastColumn="0" w:lastRowFirstColumn="0" w:lastRowLastColumn="0"/>
            </w:pPr>
            <w:r w:rsidRPr="00410B34">
              <w:t>1</w:t>
            </w:r>
            <w:r>
              <w:t>.</w:t>
            </w:r>
            <w:r w:rsidRPr="00410B34">
              <w:t>36</w:t>
            </w:r>
          </w:p>
        </w:tc>
      </w:tr>
    </w:tbl>
    <w:p w14:paraId="1A5243E7" w14:textId="77777777" w:rsidR="008B7E19" w:rsidRDefault="008B7E19" w:rsidP="008B7E19">
      <w:pPr>
        <w:rPr>
          <w:rFonts w:cs="Arial"/>
          <w:sz w:val="14"/>
          <w:szCs w:val="14"/>
          <w:lang w:val="en-US"/>
        </w:rPr>
      </w:pPr>
      <w:r w:rsidRPr="00C929DB">
        <w:rPr>
          <w:rFonts w:cs="Arial"/>
          <w:sz w:val="14"/>
          <w:szCs w:val="14"/>
          <w:lang w:val="en-US"/>
        </w:rPr>
        <w:t>The explanatory notes are an integral part of the interim financial statements. The opening balance sheet and restatements refer to the adoption of CPC 50 [IFRS 17] – Insurance Contracts and CPC 48 [IFRS 9] – Financial Instruments, whose effects are detailed in Note 03 - Presentation of Financial Statements.</w:t>
      </w:r>
    </w:p>
    <w:p w14:paraId="6103C098" w14:textId="77777777" w:rsidR="008B7E19" w:rsidRDefault="008B7E19">
      <w:pPr>
        <w:rPr>
          <w:rFonts w:eastAsiaTheme="majorEastAsia" w:cs="Arial"/>
          <w:b/>
          <w:bCs/>
          <w:color w:val="1F4E79" w:themeColor="accent1" w:themeShade="80"/>
          <w:sz w:val="20"/>
          <w:szCs w:val="20"/>
          <w:lang w:val="en-US"/>
        </w:rPr>
      </w:pPr>
      <w:r>
        <w:rPr>
          <w:rFonts w:cs="Arial"/>
          <w:b/>
          <w:bCs/>
          <w:color w:val="1F4E79" w:themeColor="accent1" w:themeShade="80"/>
          <w:sz w:val="20"/>
          <w:szCs w:val="20"/>
          <w:lang w:val="en-US"/>
        </w:rPr>
        <w:br w:type="page"/>
      </w:r>
    </w:p>
    <w:p w14:paraId="68007297" w14:textId="77777777" w:rsidR="008B7E19" w:rsidRPr="00BA4C93" w:rsidRDefault="008B7E19" w:rsidP="008B7E19">
      <w:pPr>
        <w:pStyle w:val="Ttulo1"/>
        <w:rPr>
          <w:b w:val="0"/>
          <w:bCs w:val="0"/>
        </w:rPr>
      </w:pPr>
      <w:bookmarkStart w:id="7" w:name="_Toc141966673"/>
      <w:r w:rsidRPr="00BA4C93">
        <w:lastRenderedPageBreak/>
        <w:t>STATEMENT OF COMPREHENSIVE INCOME</w:t>
      </w:r>
      <w:bookmarkEnd w:id="7"/>
    </w:p>
    <w:p w14:paraId="7438EFDB" w14:textId="77777777" w:rsidR="008B7E19" w:rsidRPr="000A5535" w:rsidRDefault="008B7E19" w:rsidP="008B7E19">
      <w:pPr>
        <w:pStyle w:val="01-TtulodeNota"/>
        <w:spacing w:after="0"/>
        <w:jc w:val="right"/>
        <w:rPr>
          <w:sz w:val="14"/>
          <w:szCs w:val="14"/>
          <w:lang w:val="en-US"/>
        </w:rPr>
      </w:pPr>
    </w:p>
    <w:p w14:paraId="47569F11" w14:textId="77777777" w:rsidR="008B7E19" w:rsidRPr="000A5535" w:rsidRDefault="008B7E19" w:rsidP="008B7E19">
      <w:pPr>
        <w:pStyle w:val="01-TtulodeNota"/>
        <w:spacing w:before="0" w:after="0"/>
        <w:jc w:val="right"/>
        <w:rPr>
          <w:sz w:val="14"/>
          <w:szCs w:val="14"/>
          <w:lang w:val="en-US"/>
        </w:rPr>
      </w:pPr>
      <w:r w:rsidRPr="000A5535">
        <w:rPr>
          <w:sz w:val="14"/>
          <w:szCs w:val="14"/>
          <w:lang w:val="en-US"/>
        </w:rPr>
        <w:t>R$ thousand</w:t>
      </w:r>
    </w:p>
    <w:tbl>
      <w:tblPr>
        <w:tblStyle w:val="TabeladeLista6Colorida-nfase5"/>
        <w:tblW w:w="14742" w:type="dxa"/>
        <w:jc w:val="center"/>
        <w:tblLayout w:type="fixed"/>
        <w:tblLook w:val="04A0" w:firstRow="1" w:lastRow="0" w:firstColumn="1" w:lastColumn="0" w:noHBand="0" w:noVBand="1"/>
      </w:tblPr>
      <w:tblGrid>
        <w:gridCol w:w="3119"/>
        <w:gridCol w:w="559"/>
        <w:gridCol w:w="1399"/>
        <w:gridCol w:w="1160"/>
        <w:gridCol w:w="1462"/>
        <w:gridCol w:w="1162"/>
        <w:gridCol w:w="370"/>
        <w:gridCol w:w="210"/>
        <w:gridCol w:w="31"/>
        <w:gridCol w:w="1291"/>
        <w:gridCol w:w="1047"/>
        <w:gridCol w:w="1458"/>
        <w:gridCol w:w="1474"/>
      </w:tblGrid>
      <w:tr w:rsidR="008B7E19" w14:paraId="44B3C675" w14:textId="77777777" w:rsidTr="008B7E19">
        <w:trPr>
          <w:cnfStyle w:val="100000000000" w:firstRow="1" w:lastRow="0" w:firstColumn="0" w:lastColumn="0" w:oddVBand="0" w:evenVBand="0" w:oddHBand="0" w:evenHBand="0" w:firstRowFirstColumn="0" w:firstRowLastColumn="0" w:lastRowFirstColumn="0" w:lastRowLastColumn="0"/>
          <w:trHeight w:hRule="exact" w:val="283"/>
          <w:jc w:val="center"/>
        </w:trPr>
        <w:tc>
          <w:tcPr>
            <w:cnfStyle w:val="001000000000" w:firstRow="0" w:lastRow="0" w:firstColumn="1" w:lastColumn="0" w:oddVBand="0" w:evenVBand="0" w:oddHBand="0" w:evenHBand="0" w:firstRowFirstColumn="0" w:firstRowLastColumn="0" w:lastRowFirstColumn="0" w:lastRowLastColumn="0"/>
            <w:tcW w:w="3119" w:type="dxa"/>
            <w:tcBorders>
              <w:top w:val="single" w:sz="2" w:space="0" w:color="1F4E79" w:themeColor="accent1" w:themeShade="80"/>
              <w:bottom w:val="nil"/>
            </w:tcBorders>
            <w:shd w:val="clear" w:color="auto" w:fill="auto"/>
            <w:vAlign w:val="center"/>
          </w:tcPr>
          <w:p w14:paraId="6121286A" w14:textId="77777777" w:rsidR="008B7E19" w:rsidRPr="0038283D" w:rsidRDefault="008B7E19" w:rsidP="008B7E19">
            <w:pPr>
              <w:jc w:val="center"/>
              <w:rPr>
                <w:rFonts w:cs="Arial"/>
                <w:b w:val="0"/>
                <w:szCs w:val="18"/>
                <w:lang w:val="en-US"/>
              </w:rPr>
            </w:pPr>
          </w:p>
        </w:tc>
        <w:tc>
          <w:tcPr>
            <w:tcW w:w="559" w:type="dxa"/>
            <w:tcBorders>
              <w:top w:val="single" w:sz="2" w:space="0" w:color="1F4E79" w:themeColor="accent1" w:themeShade="80"/>
              <w:bottom w:val="nil"/>
            </w:tcBorders>
            <w:shd w:val="clear" w:color="auto" w:fill="auto"/>
            <w:vAlign w:val="center"/>
          </w:tcPr>
          <w:p w14:paraId="50185129" w14:textId="77777777" w:rsidR="008B7E19" w:rsidRPr="0038283D" w:rsidRDefault="008B7E19" w:rsidP="008B7E19">
            <w:pPr>
              <w:jc w:val="center"/>
              <w:cnfStyle w:val="100000000000" w:firstRow="1" w:lastRow="0" w:firstColumn="0" w:lastColumn="0" w:oddVBand="0" w:evenVBand="0" w:oddHBand="0" w:evenHBand="0" w:firstRowFirstColumn="0" w:firstRowLastColumn="0" w:lastRowFirstColumn="0" w:lastRowLastColumn="0"/>
              <w:rPr>
                <w:rFonts w:cs="Arial"/>
                <w:b w:val="0"/>
                <w:szCs w:val="18"/>
                <w:lang w:val="en-US"/>
              </w:rPr>
            </w:pPr>
          </w:p>
        </w:tc>
        <w:tc>
          <w:tcPr>
            <w:tcW w:w="5183" w:type="dxa"/>
            <w:gridSpan w:val="4"/>
            <w:tcBorders>
              <w:top w:val="single" w:sz="2" w:space="0" w:color="1F4E79" w:themeColor="accent1" w:themeShade="80"/>
              <w:bottom w:val="single" w:sz="2" w:space="0" w:color="1F4E79" w:themeColor="accent1" w:themeShade="80"/>
            </w:tcBorders>
            <w:shd w:val="clear" w:color="auto" w:fill="auto"/>
            <w:vAlign w:val="center"/>
          </w:tcPr>
          <w:p w14:paraId="4FEE65E3" w14:textId="77777777" w:rsidR="008B7E19" w:rsidRPr="001D6BE8" w:rsidRDefault="008B7E19" w:rsidP="008B7E19">
            <w:pPr>
              <w:jc w:val="center"/>
              <w:cnfStyle w:val="100000000000" w:firstRow="1" w:lastRow="0" w:firstColumn="0" w:lastColumn="0" w:oddVBand="0" w:evenVBand="0" w:oddHBand="0" w:evenHBand="0" w:firstRowFirstColumn="0" w:firstRowLastColumn="0" w:lastRowFirstColumn="0" w:lastRowLastColumn="0"/>
              <w:rPr>
                <w:rFonts w:cs="Arial"/>
                <w:bCs w:val="0"/>
                <w:szCs w:val="18"/>
              </w:rPr>
            </w:pPr>
            <w:r w:rsidRPr="009768B6">
              <w:rPr>
                <w:rFonts w:cs="Arial"/>
                <w:sz w:val="14"/>
                <w:szCs w:val="18"/>
              </w:rPr>
              <w:t>Parent</w:t>
            </w:r>
          </w:p>
        </w:tc>
        <w:tc>
          <w:tcPr>
            <w:tcW w:w="580" w:type="dxa"/>
            <w:gridSpan w:val="2"/>
            <w:tcBorders>
              <w:top w:val="single" w:sz="2" w:space="0" w:color="1F4E79" w:themeColor="accent1" w:themeShade="80"/>
              <w:bottom w:val="nil"/>
            </w:tcBorders>
            <w:shd w:val="clear" w:color="auto" w:fill="auto"/>
            <w:vAlign w:val="center"/>
          </w:tcPr>
          <w:p w14:paraId="07C7A70F" w14:textId="77777777" w:rsidR="008B7E19" w:rsidRPr="001D6BE8" w:rsidRDefault="008B7E19" w:rsidP="008B7E19">
            <w:pPr>
              <w:jc w:val="center"/>
              <w:cnfStyle w:val="100000000000" w:firstRow="1" w:lastRow="0" w:firstColumn="0" w:lastColumn="0" w:oddVBand="0" w:evenVBand="0" w:oddHBand="0" w:evenHBand="0" w:firstRowFirstColumn="0" w:firstRowLastColumn="0" w:lastRowFirstColumn="0" w:lastRowLastColumn="0"/>
              <w:rPr>
                <w:rFonts w:cs="Arial"/>
                <w:b w:val="0"/>
                <w:szCs w:val="18"/>
              </w:rPr>
            </w:pPr>
          </w:p>
        </w:tc>
        <w:tc>
          <w:tcPr>
            <w:tcW w:w="5301" w:type="dxa"/>
            <w:gridSpan w:val="5"/>
            <w:tcBorders>
              <w:top w:val="single" w:sz="2" w:space="0" w:color="1F4E79" w:themeColor="accent1" w:themeShade="80"/>
              <w:bottom w:val="single" w:sz="2" w:space="0" w:color="1F4E79" w:themeColor="accent1" w:themeShade="80"/>
            </w:tcBorders>
            <w:vAlign w:val="center"/>
          </w:tcPr>
          <w:p w14:paraId="1160AC04" w14:textId="77777777" w:rsidR="008B7E19" w:rsidRPr="001D6BE8" w:rsidRDefault="008B7E19" w:rsidP="008B7E19">
            <w:pPr>
              <w:jc w:val="center"/>
              <w:cnfStyle w:val="100000000000" w:firstRow="1" w:lastRow="0" w:firstColumn="0" w:lastColumn="0" w:oddVBand="0" w:evenVBand="0" w:oddHBand="0" w:evenHBand="0" w:firstRowFirstColumn="0" w:firstRowLastColumn="0" w:lastRowFirstColumn="0" w:lastRowLastColumn="0"/>
              <w:rPr>
                <w:rFonts w:cs="Arial"/>
                <w:b w:val="0"/>
                <w:szCs w:val="18"/>
              </w:rPr>
            </w:pPr>
            <w:r w:rsidRPr="009768B6">
              <w:rPr>
                <w:rFonts w:cs="Arial"/>
                <w:sz w:val="14"/>
                <w:szCs w:val="18"/>
              </w:rPr>
              <w:t>Consolidated</w:t>
            </w:r>
          </w:p>
        </w:tc>
      </w:tr>
      <w:tr w:rsidR="008B7E19" w:rsidRPr="001D6BE8" w14:paraId="56DFD635" w14:textId="77777777" w:rsidTr="008B7E19">
        <w:trPr>
          <w:cnfStyle w:val="000000100000" w:firstRow="0" w:lastRow="0" w:firstColumn="0" w:lastColumn="0" w:oddVBand="0" w:evenVBand="0" w:oddHBand="1" w:evenHBand="0" w:firstRowFirstColumn="0" w:firstRowLastColumn="0" w:lastRowFirstColumn="0" w:lastRowLastColumn="0"/>
          <w:trHeight w:hRule="exact" w:val="562"/>
          <w:jc w:val="center"/>
        </w:trPr>
        <w:tc>
          <w:tcPr>
            <w:cnfStyle w:val="001000000000" w:firstRow="0" w:lastRow="0" w:firstColumn="1" w:lastColumn="0" w:oddVBand="0" w:evenVBand="0" w:oddHBand="0" w:evenHBand="0" w:firstRowFirstColumn="0" w:firstRowLastColumn="0" w:lastRowFirstColumn="0" w:lastRowLastColumn="0"/>
            <w:tcW w:w="3119" w:type="dxa"/>
            <w:tcBorders>
              <w:top w:val="nil"/>
              <w:bottom w:val="single" w:sz="2" w:space="0" w:color="1F4E79" w:themeColor="accent1" w:themeShade="80"/>
            </w:tcBorders>
            <w:shd w:val="clear" w:color="auto" w:fill="auto"/>
            <w:vAlign w:val="center"/>
          </w:tcPr>
          <w:p w14:paraId="3FD14867" w14:textId="77777777" w:rsidR="008B7E19" w:rsidRPr="001D6BE8" w:rsidRDefault="008B7E19" w:rsidP="008B7E19">
            <w:pPr>
              <w:pStyle w:val="08-Tabelageral"/>
              <w:jc w:val="left"/>
              <w:rPr>
                <w:rFonts w:cs="Arial"/>
                <w:b w:val="0"/>
              </w:rPr>
            </w:pPr>
          </w:p>
        </w:tc>
        <w:tc>
          <w:tcPr>
            <w:tcW w:w="559" w:type="dxa"/>
            <w:tcBorders>
              <w:top w:val="nil"/>
              <w:bottom w:val="single" w:sz="2" w:space="0" w:color="1F4E79" w:themeColor="accent1" w:themeShade="80"/>
            </w:tcBorders>
            <w:shd w:val="clear" w:color="auto" w:fill="auto"/>
            <w:vAlign w:val="center"/>
          </w:tcPr>
          <w:p w14:paraId="5AD35F59" w14:textId="77777777" w:rsidR="008B7E19" w:rsidRPr="001D6BE8"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b/>
              </w:rPr>
            </w:pPr>
            <w:r>
              <w:rPr>
                <w:rFonts w:cs="Arial"/>
                <w:b/>
              </w:rPr>
              <w:t>Note</w:t>
            </w:r>
          </w:p>
        </w:tc>
        <w:tc>
          <w:tcPr>
            <w:tcW w:w="1399" w:type="dxa"/>
            <w:tcBorders>
              <w:top w:val="single" w:sz="2" w:space="0" w:color="1F4E79" w:themeColor="accent1" w:themeShade="80"/>
              <w:bottom w:val="single" w:sz="2" w:space="0" w:color="1F4E79" w:themeColor="accent1" w:themeShade="80"/>
            </w:tcBorders>
            <w:shd w:val="clear" w:color="auto" w:fill="auto"/>
            <w:vAlign w:val="center"/>
          </w:tcPr>
          <w:p w14:paraId="79FDC18E" w14:textId="77777777" w:rsidR="008B7E19" w:rsidRPr="00CF21E0"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Pr>
                <w:rFonts w:cs="Arial"/>
                <w:b/>
                <w:bCs/>
                <w:szCs w:val="14"/>
              </w:rPr>
              <w:t>2</w:t>
            </w:r>
            <w:r>
              <w:rPr>
                <w:rFonts w:cs="Arial"/>
                <w:b/>
                <w:bCs/>
                <w:szCs w:val="14"/>
                <w:vertAlign w:val="superscript"/>
              </w:rPr>
              <w:t>nd</w:t>
            </w:r>
            <w:r w:rsidRPr="003E392D">
              <w:rPr>
                <w:rFonts w:cs="Arial"/>
                <w:b/>
                <w:bCs/>
                <w:szCs w:val="14"/>
              </w:rPr>
              <w:t xml:space="preserve"> Quarter 202</w:t>
            </w:r>
            <w:r>
              <w:rPr>
                <w:rFonts w:cs="Arial"/>
                <w:b/>
                <w:bCs/>
                <w:szCs w:val="14"/>
              </w:rPr>
              <w:t>3</w:t>
            </w:r>
          </w:p>
        </w:tc>
        <w:tc>
          <w:tcPr>
            <w:tcW w:w="1160" w:type="dxa"/>
            <w:tcBorders>
              <w:top w:val="single" w:sz="2" w:space="0" w:color="1F4E79" w:themeColor="accent1" w:themeShade="80"/>
              <w:bottom w:val="single" w:sz="2" w:space="0" w:color="1F4E79" w:themeColor="accent1" w:themeShade="80"/>
            </w:tcBorders>
            <w:shd w:val="clear" w:color="auto" w:fill="auto"/>
            <w:vAlign w:val="center"/>
          </w:tcPr>
          <w:p w14:paraId="16F757D4" w14:textId="77777777" w:rsidR="008B7E19" w:rsidRPr="00CF21E0"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3E392D">
              <w:rPr>
                <w:rFonts w:cs="Arial"/>
                <w:b/>
                <w:bCs/>
                <w:szCs w:val="14"/>
              </w:rPr>
              <w:t>1</w:t>
            </w:r>
            <w:r w:rsidRPr="003E392D">
              <w:rPr>
                <w:rFonts w:cs="Arial"/>
                <w:b/>
                <w:bCs/>
                <w:szCs w:val="14"/>
                <w:vertAlign w:val="superscript"/>
              </w:rPr>
              <w:t>st</w:t>
            </w:r>
            <w:r w:rsidRPr="003E392D">
              <w:rPr>
                <w:rFonts w:cs="Arial"/>
                <w:b/>
                <w:bCs/>
                <w:szCs w:val="14"/>
              </w:rPr>
              <w:t xml:space="preserve"> Half 202</w:t>
            </w:r>
            <w:r>
              <w:rPr>
                <w:rFonts w:cs="Arial"/>
                <w:b/>
                <w:bCs/>
                <w:szCs w:val="14"/>
              </w:rPr>
              <w:t>3</w:t>
            </w:r>
          </w:p>
        </w:tc>
        <w:tc>
          <w:tcPr>
            <w:tcW w:w="1462" w:type="dxa"/>
            <w:tcBorders>
              <w:top w:val="single" w:sz="2" w:space="0" w:color="1F4E79" w:themeColor="accent1" w:themeShade="80"/>
              <w:bottom w:val="single" w:sz="2" w:space="0" w:color="1F4E79" w:themeColor="accent1" w:themeShade="80"/>
            </w:tcBorders>
            <w:shd w:val="clear" w:color="auto" w:fill="auto"/>
            <w:vAlign w:val="center"/>
          </w:tcPr>
          <w:p w14:paraId="29F12194" w14:textId="77777777" w:rsidR="008B7E19" w:rsidRDefault="008B7E19" w:rsidP="008B7E19">
            <w:pPr>
              <w:pStyle w:val="08-Tabelageral"/>
              <w:jc w:val="center"/>
              <w:cnfStyle w:val="000000100000" w:firstRow="0" w:lastRow="0" w:firstColumn="0" w:lastColumn="0" w:oddVBand="0" w:evenVBand="0" w:oddHBand="1" w:evenHBand="0" w:firstRowFirstColumn="0" w:firstRowLastColumn="0" w:lastRowFirstColumn="0" w:lastRowLastColumn="0"/>
              <w:rPr>
                <w:rFonts w:cs="Arial"/>
                <w:b/>
                <w:bCs/>
                <w:szCs w:val="14"/>
              </w:rPr>
            </w:pPr>
            <w:r>
              <w:rPr>
                <w:rFonts w:cs="Arial"/>
                <w:b/>
                <w:bCs/>
                <w:szCs w:val="14"/>
              </w:rPr>
              <w:t>2</w:t>
            </w:r>
            <w:r>
              <w:rPr>
                <w:rFonts w:cs="Arial"/>
                <w:b/>
                <w:bCs/>
                <w:szCs w:val="14"/>
                <w:vertAlign w:val="superscript"/>
              </w:rPr>
              <w:t>nd</w:t>
            </w:r>
            <w:r w:rsidRPr="003E392D">
              <w:rPr>
                <w:rFonts w:cs="Arial"/>
                <w:b/>
                <w:bCs/>
                <w:szCs w:val="14"/>
              </w:rPr>
              <w:t xml:space="preserve"> Quarter 202</w:t>
            </w:r>
            <w:r>
              <w:rPr>
                <w:rFonts w:cs="Arial"/>
                <w:b/>
                <w:bCs/>
                <w:szCs w:val="14"/>
              </w:rPr>
              <w:t>2</w:t>
            </w:r>
          </w:p>
          <w:p w14:paraId="22A20222" w14:textId="77777777" w:rsidR="008B7E19"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BE2D21">
              <w:rPr>
                <w:rFonts w:cs="Arial"/>
                <w:b/>
                <w:bCs/>
                <w:szCs w:val="14"/>
              </w:rPr>
              <w:t>Restated balances</w:t>
            </w:r>
          </w:p>
        </w:tc>
        <w:tc>
          <w:tcPr>
            <w:tcW w:w="1532" w:type="dxa"/>
            <w:gridSpan w:val="2"/>
            <w:tcBorders>
              <w:top w:val="single" w:sz="2" w:space="0" w:color="1F4E79" w:themeColor="accent1" w:themeShade="80"/>
              <w:bottom w:val="single" w:sz="2" w:space="0" w:color="1F4E79" w:themeColor="accent1" w:themeShade="80"/>
            </w:tcBorders>
            <w:shd w:val="clear" w:color="auto" w:fill="auto"/>
            <w:vAlign w:val="center"/>
          </w:tcPr>
          <w:p w14:paraId="3C38A440" w14:textId="77777777" w:rsidR="008B7E19" w:rsidRDefault="008B7E19" w:rsidP="008B7E19">
            <w:pPr>
              <w:pStyle w:val="08-Tabelageral"/>
              <w:jc w:val="center"/>
              <w:cnfStyle w:val="000000100000" w:firstRow="0" w:lastRow="0" w:firstColumn="0" w:lastColumn="0" w:oddVBand="0" w:evenVBand="0" w:oddHBand="1" w:evenHBand="0" w:firstRowFirstColumn="0" w:firstRowLastColumn="0" w:lastRowFirstColumn="0" w:lastRowLastColumn="0"/>
              <w:rPr>
                <w:rFonts w:cs="Arial"/>
                <w:b/>
                <w:bCs/>
                <w:szCs w:val="14"/>
              </w:rPr>
            </w:pPr>
            <w:r w:rsidRPr="003E392D">
              <w:rPr>
                <w:rFonts w:cs="Arial"/>
                <w:b/>
                <w:bCs/>
                <w:szCs w:val="14"/>
              </w:rPr>
              <w:t>1</w:t>
            </w:r>
            <w:r w:rsidRPr="003E392D">
              <w:rPr>
                <w:rFonts w:cs="Arial"/>
                <w:b/>
                <w:bCs/>
                <w:szCs w:val="14"/>
                <w:vertAlign w:val="superscript"/>
              </w:rPr>
              <w:t>st</w:t>
            </w:r>
            <w:r w:rsidRPr="003E392D">
              <w:rPr>
                <w:rFonts w:cs="Arial"/>
                <w:b/>
                <w:bCs/>
                <w:szCs w:val="14"/>
              </w:rPr>
              <w:t xml:space="preserve"> Half 202</w:t>
            </w:r>
            <w:r>
              <w:rPr>
                <w:rFonts w:cs="Arial"/>
                <w:b/>
                <w:bCs/>
                <w:szCs w:val="14"/>
              </w:rPr>
              <w:t>2</w:t>
            </w:r>
          </w:p>
          <w:p w14:paraId="6401F32E" w14:textId="77777777" w:rsidR="008B7E19"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BE2D21">
              <w:rPr>
                <w:rFonts w:cs="Arial"/>
                <w:b/>
                <w:bCs/>
                <w:szCs w:val="14"/>
              </w:rPr>
              <w:t>Restated balances</w:t>
            </w:r>
          </w:p>
        </w:tc>
        <w:tc>
          <w:tcPr>
            <w:tcW w:w="241" w:type="dxa"/>
            <w:gridSpan w:val="2"/>
            <w:tcBorders>
              <w:top w:val="nil"/>
              <w:bottom w:val="nil"/>
            </w:tcBorders>
            <w:shd w:val="clear" w:color="auto" w:fill="auto"/>
            <w:vAlign w:val="center"/>
          </w:tcPr>
          <w:p w14:paraId="39DB13F0" w14:textId="77777777" w:rsidR="008B7E19"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b/>
              </w:rPr>
            </w:pPr>
          </w:p>
        </w:tc>
        <w:tc>
          <w:tcPr>
            <w:tcW w:w="1291" w:type="dxa"/>
            <w:tcBorders>
              <w:top w:val="single" w:sz="2" w:space="0" w:color="1F4E79" w:themeColor="accent1" w:themeShade="80"/>
              <w:bottom w:val="single" w:sz="2" w:space="0" w:color="1F4E79" w:themeColor="accent1" w:themeShade="80"/>
            </w:tcBorders>
            <w:shd w:val="clear" w:color="auto" w:fill="auto"/>
            <w:vAlign w:val="center"/>
          </w:tcPr>
          <w:p w14:paraId="2498AB11" w14:textId="77777777" w:rsidR="008B7E19" w:rsidRPr="00CF21E0"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Pr>
                <w:rFonts w:cs="Arial"/>
                <w:b/>
                <w:bCs/>
                <w:szCs w:val="14"/>
              </w:rPr>
              <w:t>2</w:t>
            </w:r>
            <w:r>
              <w:rPr>
                <w:rFonts w:cs="Arial"/>
                <w:b/>
                <w:bCs/>
                <w:szCs w:val="14"/>
                <w:vertAlign w:val="superscript"/>
              </w:rPr>
              <w:t>nd</w:t>
            </w:r>
            <w:r w:rsidRPr="003E392D">
              <w:rPr>
                <w:rFonts w:cs="Arial"/>
                <w:b/>
                <w:bCs/>
                <w:szCs w:val="14"/>
              </w:rPr>
              <w:t xml:space="preserve"> Quarter 202</w:t>
            </w:r>
            <w:r>
              <w:rPr>
                <w:rFonts w:cs="Arial"/>
                <w:b/>
                <w:bCs/>
                <w:szCs w:val="14"/>
              </w:rPr>
              <w:t>3</w:t>
            </w:r>
          </w:p>
        </w:tc>
        <w:tc>
          <w:tcPr>
            <w:tcW w:w="1047" w:type="dxa"/>
            <w:tcBorders>
              <w:top w:val="single" w:sz="2" w:space="0" w:color="1F4E79" w:themeColor="accent1" w:themeShade="80"/>
              <w:bottom w:val="single" w:sz="2" w:space="0" w:color="1F4E79" w:themeColor="accent1" w:themeShade="80"/>
            </w:tcBorders>
            <w:shd w:val="clear" w:color="auto" w:fill="auto"/>
            <w:vAlign w:val="center"/>
          </w:tcPr>
          <w:p w14:paraId="0FE76C97" w14:textId="77777777" w:rsidR="008B7E19" w:rsidRPr="00CF21E0"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3E392D">
              <w:rPr>
                <w:rFonts w:cs="Arial"/>
                <w:b/>
                <w:bCs/>
                <w:szCs w:val="14"/>
              </w:rPr>
              <w:t>1</w:t>
            </w:r>
            <w:r w:rsidRPr="003E392D">
              <w:rPr>
                <w:rFonts w:cs="Arial"/>
                <w:b/>
                <w:bCs/>
                <w:szCs w:val="14"/>
                <w:vertAlign w:val="superscript"/>
              </w:rPr>
              <w:t>st</w:t>
            </w:r>
            <w:r w:rsidRPr="003E392D">
              <w:rPr>
                <w:rFonts w:cs="Arial"/>
                <w:b/>
                <w:bCs/>
                <w:szCs w:val="14"/>
              </w:rPr>
              <w:t xml:space="preserve"> Half 202</w:t>
            </w:r>
            <w:r>
              <w:rPr>
                <w:rFonts w:cs="Arial"/>
                <w:b/>
                <w:bCs/>
                <w:szCs w:val="14"/>
              </w:rPr>
              <w:t>3</w:t>
            </w:r>
          </w:p>
        </w:tc>
        <w:tc>
          <w:tcPr>
            <w:tcW w:w="1458" w:type="dxa"/>
            <w:tcBorders>
              <w:top w:val="single" w:sz="2" w:space="0" w:color="1F4E79" w:themeColor="accent1" w:themeShade="80"/>
              <w:bottom w:val="single" w:sz="2" w:space="0" w:color="1F4E79" w:themeColor="accent1" w:themeShade="80"/>
            </w:tcBorders>
            <w:shd w:val="clear" w:color="auto" w:fill="auto"/>
            <w:vAlign w:val="center"/>
          </w:tcPr>
          <w:p w14:paraId="3C3DA649" w14:textId="77777777" w:rsidR="008B7E19" w:rsidRDefault="008B7E19" w:rsidP="008B7E19">
            <w:pPr>
              <w:pStyle w:val="08-Tabelageral"/>
              <w:jc w:val="center"/>
              <w:cnfStyle w:val="000000100000" w:firstRow="0" w:lastRow="0" w:firstColumn="0" w:lastColumn="0" w:oddVBand="0" w:evenVBand="0" w:oddHBand="1" w:evenHBand="0" w:firstRowFirstColumn="0" w:firstRowLastColumn="0" w:lastRowFirstColumn="0" w:lastRowLastColumn="0"/>
              <w:rPr>
                <w:rFonts w:cs="Arial"/>
                <w:b/>
                <w:bCs/>
                <w:szCs w:val="14"/>
              </w:rPr>
            </w:pPr>
            <w:r>
              <w:rPr>
                <w:rFonts w:cs="Arial"/>
                <w:b/>
                <w:bCs/>
                <w:szCs w:val="14"/>
              </w:rPr>
              <w:t>2</w:t>
            </w:r>
            <w:r>
              <w:rPr>
                <w:rFonts w:cs="Arial"/>
                <w:b/>
                <w:bCs/>
                <w:szCs w:val="14"/>
                <w:vertAlign w:val="superscript"/>
              </w:rPr>
              <w:t>nd</w:t>
            </w:r>
            <w:r w:rsidRPr="003E392D">
              <w:rPr>
                <w:rFonts w:cs="Arial"/>
                <w:b/>
                <w:bCs/>
                <w:szCs w:val="14"/>
              </w:rPr>
              <w:t xml:space="preserve"> Quarter 202</w:t>
            </w:r>
            <w:r>
              <w:rPr>
                <w:rFonts w:cs="Arial"/>
                <w:b/>
                <w:bCs/>
                <w:szCs w:val="14"/>
              </w:rPr>
              <w:t>2</w:t>
            </w:r>
          </w:p>
          <w:p w14:paraId="242118A9" w14:textId="77777777" w:rsidR="008B7E19"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b/>
              </w:rPr>
            </w:pPr>
            <w:r>
              <w:rPr>
                <w:rFonts w:cs="Arial"/>
                <w:b/>
              </w:rPr>
              <w:t>Restated balances</w:t>
            </w:r>
          </w:p>
        </w:tc>
        <w:tc>
          <w:tcPr>
            <w:tcW w:w="1474" w:type="dxa"/>
            <w:tcBorders>
              <w:top w:val="single" w:sz="2" w:space="0" w:color="1F4E79" w:themeColor="accent1" w:themeShade="80"/>
              <w:bottom w:val="single" w:sz="2" w:space="0" w:color="1F4E79" w:themeColor="accent1" w:themeShade="80"/>
            </w:tcBorders>
            <w:shd w:val="clear" w:color="auto" w:fill="auto"/>
            <w:vAlign w:val="center"/>
          </w:tcPr>
          <w:p w14:paraId="24BBD294" w14:textId="77777777" w:rsidR="008B7E19" w:rsidRDefault="008B7E19" w:rsidP="008B7E19">
            <w:pPr>
              <w:pStyle w:val="08-Tabelageral"/>
              <w:jc w:val="center"/>
              <w:cnfStyle w:val="000000100000" w:firstRow="0" w:lastRow="0" w:firstColumn="0" w:lastColumn="0" w:oddVBand="0" w:evenVBand="0" w:oddHBand="1" w:evenHBand="0" w:firstRowFirstColumn="0" w:firstRowLastColumn="0" w:lastRowFirstColumn="0" w:lastRowLastColumn="0"/>
              <w:rPr>
                <w:rFonts w:cs="Arial"/>
                <w:b/>
                <w:bCs/>
                <w:szCs w:val="14"/>
              </w:rPr>
            </w:pPr>
            <w:r w:rsidRPr="003E392D">
              <w:rPr>
                <w:rFonts w:cs="Arial"/>
                <w:b/>
                <w:bCs/>
                <w:szCs w:val="14"/>
              </w:rPr>
              <w:t>1</w:t>
            </w:r>
            <w:r w:rsidRPr="003E392D">
              <w:rPr>
                <w:rFonts w:cs="Arial"/>
                <w:b/>
                <w:bCs/>
                <w:szCs w:val="14"/>
                <w:vertAlign w:val="superscript"/>
              </w:rPr>
              <w:t>st</w:t>
            </w:r>
            <w:r w:rsidRPr="003E392D">
              <w:rPr>
                <w:rFonts w:cs="Arial"/>
                <w:b/>
                <w:bCs/>
                <w:szCs w:val="14"/>
              </w:rPr>
              <w:t xml:space="preserve"> Half 202</w:t>
            </w:r>
            <w:r>
              <w:rPr>
                <w:rFonts w:cs="Arial"/>
                <w:b/>
                <w:bCs/>
                <w:szCs w:val="14"/>
              </w:rPr>
              <w:t>2</w:t>
            </w:r>
          </w:p>
          <w:p w14:paraId="548A40AC" w14:textId="77777777" w:rsidR="008B7E19"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BE2D21">
              <w:rPr>
                <w:rFonts w:cs="Arial"/>
                <w:b/>
                <w:bCs/>
                <w:szCs w:val="14"/>
              </w:rPr>
              <w:t>Restated balances</w:t>
            </w:r>
          </w:p>
        </w:tc>
      </w:tr>
      <w:tr w:rsidR="002F1512" w:rsidRPr="001D6BE8" w14:paraId="2E81DEB6" w14:textId="77777777" w:rsidTr="008B7E19">
        <w:trPr>
          <w:trHeight w:hRule="exact" w:val="238"/>
          <w:jc w:val="center"/>
        </w:trPr>
        <w:tc>
          <w:tcPr>
            <w:cnfStyle w:val="001000000000" w:firstRow="0" w:lastRow="0" w:firstColumn="1" w:lastColumn="0" w:oddVBand="0" w:evenVBand="0" w:oddHBand="0" w:evenHBand="0" w:firstRowFirstColumn="0" w:firstRowLastColumn="0" w:lastRowFirstColumn="0" w:lastRowLastColumn="0"/>
            <w:tcW w:w="3119" w:type="dxa"/>
            <w:tcBorders>
              <w:top w:val="single" w:sz="2" w:space="0" w:color="1F4E79" w:themeColor="accent1" w:themeShade="80"/>
              <w:bottom w:val="nil"/>
            </w:tcBorders>
            <w:shd w:val="clear" w:color="auto" w:fill="auto"/>
            <w:vAlign w:val="center"/>
          </w:tcPr>
          <w:p w14:paraId="64299348" w14:textId="77777777" w:rsidR="002F1512" w:rsidRPr="00C806B0" w:rsidRDefault="002F1512" w:rsidP="002F1512">
            <w:pPr>
              <w:pStyle w:val="08-Tabelageral"/>
              <w:jc w:val="left"/>
              <w:rPr>
                <w:rFonts w:cs="Arial"/>
                <w:bCs w:val="0"/>
                <w:szCs w:val="14"/>
              </w:rPr>
            </w:pPr>
            <w:r>
              <w:rPr>
                <w:rFonts w:cs="Arial"/>
                <w:szCs w:val="14"/>
              </w:rPr>
              <w:t>Net Income</w:t>
            </w:r>
          </w:p>
        </w:tc>
        <w:tc>
          <w:tcPr>
            <w:tcW w:w="559" w:type="dxa"/>
            <w:tcBorders>
              <w:top w:val="single" w:sz="2" w:space="0" w:color="1F4E79" w:themeColor="accent1" w:themeShade="80"/>
              <w:bottom w:val="nil"/>
            </w:tcBorders>
            <w:shd w:val="clear" w:color="auto" w:fill="auto"/>
            <w:vAlign w:val="center"/>
          </w:tcPr>
          <w:p w14:paraId="2A041DCE" w14:textId="77777777" w:rsidR="002F1512" w:rsidRPr="00C806B0" w:rsidRDefault="002F1512" w:rsidP="002F1512">
            <w:pPr>
              <w:pStyle w:val="08-Tabelageral"/>
              <w:jc w:val="center"/>
              <w:cnfStyle w:val="000000000000" w:firstRow="0" w:lastRow="0" w:firstColumn="0" w:lastColumn="0" w:oddVBand="0" w:evenVBand="0" w:oddHBand="0" w:evenHBand="0" w:firstRowFirstColumn="0" w:firstRowLastColumn="0" w:lastRowFirstColumn="0" w:lastRowLastColumn="0"/>
              <w:rPr>
                <w:rFonts w:cs="Arial"/>
                <w:szCs w:val="14"/>
              </w:rPr>
            </w:pPr>
          </w:p>
        </w:tc>
        <w:tc>
          <w:tcPr>
            <w:tcW w:w="1399" w:type="dxa"/>
            <w:tcBorders>
              <w:top w:val="single" w:sz="2" w:space="0" w:color="1F4E79" w:themeColor="accent1" w:themeShade="80"/>
              <w:bottom w:val="nil"/>
            </w:tcBorders>
            <w:shd w:val="clear" w:color="auto" w:fill="auto"/>
            <w:vAlign w:val="center"/>
          </w:tcPr>
          <w:p w14:paraId="7AF829D8" w14:textId="336FCEEA" w:rsidR="002F1512" w:rsidRPr="003504C3" w:rsidRDefault="002F1512" w:rsidP="002F1512">
            <w:pPr>
              <w:pStyle w:val="08-Tabelageral"/>
              <w:cnfStyle w:val="000000000000" w:firstRow="0" w:lastRow="0" w:firstColumn="0" w:lastColumn="0" w:oddVBand="0" w:evenVBand="0" w:oddHBand="0" w:evenHBand="0" w:firstRowFirstColumn="0" w:firstRowLastColumn="0" w:lastRowFirstColumn="0" w:lastRowLastColumn="0"/>
              <w:rPr>
                <w:b/>
                <w:bCs/>
              </w:rPr>
            </w:pPr>
            <w:r w:rsidRPr="009F4684">
              <w:rPr>
                <w:b/>
                <w:bCs/>
              </w:rPr>
              <w:t>1</w:t>
            </w:r>
            <w:r>
              <w:rPr>
                <w:b/>
                <w:bCs/>
              </w:rPr>
              <w:t>,</w:t>
            </w:r>
            <w:r w:rsidRPr="009F4684">
              <w:rPr>
                <w:b/>
                <w:bCs/>
              </w:rPr>
              <w:t>892</w:t>
            </w:r>
            <w:r>
              <w:rPr>
                <w:b/>
                <w:bCs/>
              </w:rPr>
              <w:t>,</w:t>
            </w:r>
            <w:r w:rsidRPr="009F4684">
              <w:rPr>
                <w:b/>
                <w:bCs/>
              </w:rPr>
              <w:t>173</w:t>
            </w:r>
          </w:p>
        </w:tc>
        <w:tc>
          <w:tcPr>
            <w:tcW w:w="1160" w:type="dxa"/>
            <w:tcBorders>
              <w:top w:val="single" w:sz="2" w:space="0" w:color="1F4E79" w:themeColor="accent1" w:themeShade="80"/>
              <w:bottom w:val="nil"/>
            </w:tcBorders>
            <w:shd w:val="clear" w:color="auto" w:fill="auto"/>
            <w:vAlign w:val="center"/>
          </w:tcPr>
          <w:p w14:paraId="1D6A44A6" w14:textId="77777777" w:rsidR="002F1512" w:rsidRPr="003504C3" w:rsidRDefault="002F1512" w:rsidP="002F1512">
            <w:pPr>
              <w:pStyle w:val="08-Tabelageral"/>
              <w:cnfStyle w:val="000000000000" w:firstRow="0" w:lastRow="0" w:firstColumn="0" w:lastColumn="0" w:oddVBand="0" w:evenVBand="0" w:oddHBand="0" w:evenHBand="0" w:firstRowFirstColumn="0" w:firstRowLastColumn="0" w:lastRowFirstColumn="0" w:lastRowLastColumn="0"/>
              <w:rPr>
                <w:b/>
                <w:bCs/>
              </w:rPr>
            </w:pPr>
            <w:r w:rsidRPr="00F3399C">
              <w:rPr>
                <w:b/>
                <w:bCs/>
              </w:rPr>
              <w:t>3</w:t>
            </w:r>
            <w:r>
              <w:rPr>
                <w:b/>
                <w:bCs/>
              </w:rPr>
              <w:t>,</w:t>
            </w:r>
            <w:r w:rsidRPr="00F3399C">
              <w:rPr>
                <w:b/>
                <w:bCs/>
              </w:rPr>
              <w:t>725</w:t>
            </w:r>
            <w:r>
              <w:rPr>
                <w:b/>
                <w:bCs/>
              </w:rPr>
              <w:t>,</w:t>
            </w:r>
            <w:r w:rsidRPr="00F3399C">
              <w:rPr>
                <w:b/>
                <w:bCs/>
              </w:rPr>
              <w:t>132</w:t>
            </w:r>
          </w:p>
        </w:tc>
        <w:tc>
          <w:tcPr>
            <w:tcW w:w="1462" w:type="dxa"/>
            <w:tcBorders>
              <w:top w:val="nil"/>
              <w:left w:val="nil"/>
              <w:bottom w:val="nil"/>
              <w:right w:val="nil"/>
            </w:tcBorders>
            <w:shd w:val="clear" w:color="auto" w:fill="auto"/>
            <w:vAlign w:val="center"/>
          </w:tcPr>
          <w:p w14:paraId="10D84D7A" w14:textId="77777777" w:rsidR="002F1512" w:rsidRPr="00C806B0" w:rsidRDefault="002F1512" w:rsidP="002F1512">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r w:rsidRPr="003168AD">
              <w:rPr>
                <w:rFonts w:cs="Arial"/>
                <w:b/>
                <w:bCs/>
                <w:color w:val="000000"/>
                <w:szCs w:val="14"/>
              </w:rPr>
              <w:t>1</w:t>
            </w:r>
            <w:r>
              <w:rPr>
                <w:rFonts w:cs="Arial"/>
                <w:b/>
                <w:bCs/>
                <w:color w:val="000000"/>
                <w:szCs w:val="14"/>
              </w:rPr>
              <w:t>,</w:t>
            </w:r>
            <w:r w:rsidRPr="003168AD">
              <w:rPr>
                <w:rFonts w:cs="Arial"/>
                <w:b/>
                <w:bCs/>
                <w:color w:val="000000"/>
                <w:szCs w:val="14"/>
              </w:rPr>
              <w:t>503</w:t>
            </w:r>
            <w:r>
              <w:rPr>
                <w:rFonts w:cs="Arial"/>
                <w:b/>
                <w:bCs/>
                <w:color w:val="000000"/>
                <w:szCs w:val="14"/>
              </w:rPr>
              <w:t>,</w:t>
            </w:r>
            <w:r w:rsidRPr="003168AD">
              <w:rPr>
                <w:rFonts w:cs="Arial"/>
                <w:b/>
                <w:bCs/>
                <w:color w:val="000000"/>
                <w:szCs w:val="14"/>
              </w:rPr>
              <w:t>727</w:t>
            </w:r>
          </w:p>
        </w:tc>
        <w:tc>
          <w:tcPr>
            <w:tcW w:w="1532" w:type="dxa"/>
            <w:gridSpan w:val="2"/>
            <w:tcBorders>
              <w:top w:val="single" w:sz="2" w:space="0" w:color="1F4E79" w:themeColor="accent1" w:themeShade="80"/>
              <w:bottom w:val="nil"/>
            </w:tcBorders>
            <w:shd w:val="clear" w:color="auto" w:fill="auto"/>
            <w:vAlign w:val="center"/>
          </w:tcPr>
          <w:p w14:paraId="55210B80" w14:textId="77777777" w:rsidR="002F1512" w:rsidRPr="00C806B0" w:rsidRDefault="002F1512" w:rsidP="002F1512">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r w:rsidRPr="003168AD">
              <w:rPr>
                <w:b/>
                <w:bCs/>
              </w:rPr>
              <w:t>2</w:t>
            </w:r>
            <w:r>
              <w:rPr>
                <w:b/>
                <w:bCs/>
              </w:rPr>
              <w:t>,</w:t>
            </w:r>
            <w:r w:rsidRPr="003168AD">
              <w:rPr>
                <w:b/>
                <w:bCs/>
              </w:rPr>
              <w:t>713</w:t>
            </w:r>
            <w:r>
              <w:rPr>
                <w:b/>
                <w:bCs/>
              </w:rPr>
              <w:t>,</w:t>
            </w:r>
            <w:r w:rsidRPr="003168AD">
              <w:rPr>
                <w:b/>
                <w:bCs/>
              </w:rPr>
              <w:t>244</w:t>
            </w:r>
          </w:p>
        </w:tc>
        <w:tc>
          <w:tcPr>
            <w:tcW w:w="241" w:type="dxa"/>
            <w:gridSpan w:val="2"/>
            <w:tcBorders>
              <w:top w:val="nil"/>
              <w:bottom w:val="nil"/>
            </w:tcBorders>
            <w:shd w:val="clear" w:color="auto" w:fill="auto"/>
            <w:vAlign w:val="center"/>
          </w:tcPr>
          <w:p w14:paraId="6FC30098" w14:textId="77777777" w:rsidR="002F1512" w:rsidRPr="00C806B0" w:rsidRDefault="002F1512" w:rsidP="002F1512">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p>
        </w:tc>
        <w:tc>
          <w:tcPr>
            <w:tcW w:w="1291" w:type="dxa"/>
            <w:tcBorders>
              <w:top w:val="single" w:sz="2" w:space="0" w:color="1F4E79" w:themeColor="accent1" w:themeShade="80"/>
              <w:bottom w:val="nil"/>
            </w:tcBorders>
            <w:shd w:val="clear" w:color="auto" w:fill="auto"/>
            <w:vAlign w:val="center"/>
          </w:tcPr>
          <w:p w14:paraId="26FAB1EB" w14:textId="77777777" w:rsidR="002F1512" w:rsidRPr="003504C3" w:rsidRDefault="002F1512" w:rsidP="002F1512">
            <w:pPr>
              <w:pStyle w:val="08-Tabelageral"/>
              <w:cnfStyle w:val="000000000000" w:firstRow="0" w:lastRow="0" w:firstColumn="0" w:lastColumn="0" w:oddVBand="0" w:evenVBand="0" w:oddHBand="0" w:evenHBand="0" w:firstRowFirstColumn="0" w:firstRowLastColumn="0" w:lastRowFirstColumn="0" w:lastRowLastColumn="0"/>
              <w:rPr>
                <w:b/>
                <w:bCs/>
              </w:rPr>
            </w:pPr>
            <w:r w:rsidRPr="009F4684">
              <w:rPr>
                <w:b/>
                <w:bCs/>
              </w:rPr>
              <w:t>1</w:t>
            </w:r>
            <w:r>
              <w:rPr>
                <w:b/>
                <w:bCs/>
              </w:rPr>
              <w:t>,</w:t>
            </w:r>
            <w:r w:rsidRPr="009F4684">
              <w:rPr>
                <w:b/>
                <w:bCs/>
              </w:rPr>
              <w:t>892</w:t>
            </w:r>
            <w:r>
              <w:rPr>
                <w:b/>
                <w:bCs/>
              </w:rPr>
              <w:t>,</w:t>
            </w:r>
            <w:r w:rsidRPr="009F4684">
              <w:rPr>
                <w:b/>
                <w:bCs/>
              </w:rPr>
              <w:t>173</w:t>
            </w:r>
          </w:p>
        </w:tc>
        <w:tc>
          <w:tcPr>
            <w:tcW w:w="1047" w:type="dxa"/>
            <w:tcBorders>
              <w:top w:val="single" w:sz="2" w:space="0" w:color="1F4E79" w:themeColor="accent1" w:themeShade="80"/>
              <w:bottom w:val="nil"/>
            </w:tcBorders>
            <w:shd w:val="clear" w:color="auto" w:fill="auto"/>
            <w:vAlign w:val="center"/>
          </w:tcPr>
          <w:p w14:paraId="7A885105" w14:textId="77777777" w:rsidR="002F1512" w:rsidRPr="003504C3" w:rsidRDefault="002F1512" w:rsidP="002F1512">
            <w:pPr>
              <w:pStyle w:val="08-Tabelageral"/>
              <w:cnfStyle w:val="000000000000" w:firstRow="0" w:lastRow="0" w:firstColumn="0" w:lastColumn="0" w:oddVBand="0" w:evenVBand="0" w:oddHBand="0" w:evenHBand="0" w:firstRowFirstColumn="0" w:firstRowLastColumn="0" w:lastRowFirstColumn="0" w:lastRowLastColumn="0"/>
              <w:rPr>
                <w:b/>
                <w:bCs/>
              </w:rPr>
            </w:pPr>
            <w:r w:rsidRPr="00F3399C">
              <w:rPr>
                <w:b/>
                <w:bCs/>
              </w:rPr>
              <w:t>3</w:t>
            </w:r>
            <w:r>
              <w:rPr>
                <w:b/>
                <w:bCs/>
              </w:rPr>
              <w:t>,</w:t>
            </w:r>
            <w:r w:rsidRPr="00F3399C">
              <w:rPr>
                <w:b/>
                <w:bCs/>
              </w:rPr>
              <w:t>725</w:t>
            </w:r>
            <w:r>
              <w:rPr>
                <w:b/>
                <w:bCs/>
              </w:rPr>
              <w:t>,</w:t>
            </w:r>
            <w:r w:rsidRPr="00F3399C">
              <w:rPr>
                <w:b/>
                <w:bCs/>
              </w:rPr>
              <w:t>132</w:t>
            </w:r>
          </w:p>
        </w:tc>
        <w:tc>
          <w:tcPr>
            <w:tcW w:w="1458" w:type="dxa"/>
            <w:tcBorders>
              <w:top w:val="nil"/>
              <w:left w:val="nil"/>
              <w:bottom w:val="nil"/>
              <w:right w:val="nil"/>
            </w:tcBorders>
            <w:shd w:val="clear" w:color="auto" w:fill="auto"/>
            <w:vAlign w:val="center"/>
          </w:tcPr>
          <w:p w14:paraId="5A99260D" w14:textId="77777777" w:rsidR="002F1512" w:rsidRPr="00C806B0" w:rsidRDefault="002F1512" w:rsidP="002F1512">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r w:rsidRPr="003168AD">
              <w:rPr>
                <w:rFonts w:cs="Arial"/>
                <w:b/>
                <w:bCs/>
                <w:color w:val="000000"/>
                <w:szCs w:val="14"/>
              </w:rPr>
              <w:t>1</w:t>
            </w:r>
            <w:r>
              <w:rPr>
                <w:rFonts w:cs="Arial"/>
                <w:b/>
                <w:bCs/>
                <w:color w:val="000000"/>
                <w:szCs w:val="14"/>
              </w:rPr>
              <w:t>,</w:t>
            </w:r>
            <w:r w:rsidRPr="003168AD">
              <w:rPr>
                <w:rFonts w:cs="Arial"/>
                <w:b/>
                <w:bCs/>
                <w:color w:val="000000"/>
                <w:szCs w:val="14"/>
              </w:rPr>
              <w:t>503</w:t>
            </w:r>
            <w:r>
              <w:rPr>
                <w:rFonts w:cs="Arial"/>
                <w:b/>
                <w:bCs/>
                <w:color w:val="000000"/>
                <w:szCs w:val="14"/>
              </w:rPr>
              <w:t>,</w:t>
            </w:r>
            <w:r w:rsidRPr="003168AD">
              <w:rPr>
                <w:rFonts w:cs="Arial"/>
                <w:b/>
                <w:bCs/>
                <w:color w:val="000000"/>
                <w:szCs w:val="14"/>
              </w:rPr>
              <w:t>727</w:t>
            </w:r>
          </w:p>
        </w:tc>
        <w:tc>
          <w:tcPr>
            <w:tcW w:w="1474" w:type="dxa"/>
            <w:tcBorders>
              <w:top w:val="single" w:sz="2" w:space="0" w:color="1F4E79" w:themeColor="accent1" w:themeShade="80"/>
              <w:bottom w:val="nil"/>
            </w:tcBorders>
            <w:shd w:val="clear" w:color="auto" w:fill="auto"/>
            <w:vAlign w:val="center"/>
          </w:tcPr>
          <w:p w14:paraId="405596AA" w14:textId="77777777" w:rsidR="002F1512" w:rsidRPr="00C806B0" w:rsidRDefault="002F1512" w:rsidP="002F1512">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r w:rsidRPr="003168AD">
              <w:rPr>
                <w:b/>
                <w:bCs/>
              </w:rPr>
              <w:t>2</w:t>
            </w:r>
            <w:r>
              <w:rPr>
                <w:b/>
                <w:bCs/>
              </w:rPr>
              <w:t>,</w:t>
            </w:r>
            <w:r w:rsidRPr="003168AD">
              <w:rPr>
                <w:b/>
                <w:bCs/>
              </w:rPr>
              <w:t>713</w:t>
            </w:r>
            <w:r>
              <w:rPr>
                <w:b/>
                <w:bCs/>
              </w:rPr>
              <w:t>,</w:t>
            </w:r>
            <w:r w:rsidRPr="003168AD">
              <w:rPr>
                <w:b/>
                <w:bCs/>
              </w:rPr>
              <w:t>244</w:t>
            </w:r>
          </w:p>
        </w:tc>
      </w:tr>
      <w:tr w:rsidR="002F1512" w:rsidRPr="001D6BE8" w14:paraId="707F7564" w14:textId="77777777" w:rsidTr="008B7E19">
        <w:trPr>
          <w:cnfStyle w:val="000000100000" w:firstRow="0" w:lastRow="0" w:firstColumn="0" w:lastColumn="0" w:oddVBand="0" w:evenVBand="0" w:oddHBand="1" w:evenHBand="0" w:firstRowFirstColumn="0" w:firstRowLastColumn="0" w:lastRowFirstColumn="0" w:lastRowLastColumn="0"/>
          <w:trHeight w:hRule="exact" w:val="188"/>
          <w:jc w:val="center"/>
        </w:trPr>
        <w:tc>
          <w:tcPr>
            <w:cnfStyle w:val="001000000000" w:firstRow="0" w:lastRow="0" w:firstColumn="1" w:lastColumn="0" w:oddVBand="0" w:evenVBand="0" w:oddHBand="0" w:evenHBand="0" w:firstRowFirstColumn="0" w:firstRowLastColumn="0" w:lastRowFirstColumn="0" w:lastRowLastColumn="0"/>
            <w:tcW w:w="3119" w:type="dxa"/>
            <w:tcBorders>
              <w:top w:val="nil"/>
              <w:bottom w:val="nil"/>
            </w:tcBorders>
            <w:shd w:val="clear" w:color="auto" w:fill="auto"/>
            <w:vAlign w:val="center"/>
          </w:tcPr>
          <w:p w14:paraId="4749B59F" w14:textId="77777777" w:rsidR="002F1512" w:rsidRPr="0038283D" w:rsidRDefault="002F1512" w:rsidP="002F1512">
            <w:pPr>
              <w:pStyle w:val="08-Tabelageral"/>
              <w:ind w:left="113"/>
              <w:jc w:val="left"/>
              <w:rPr>
                <w:rFonts w:cs="Arial"/>
                <w:b w:val="0"/>
                <w:szCs w:val="14"/>
                <w:lang w:val="en-US"/>
              </w:rPr>
            </w:pPr>
            <w:r w:rsidRPr="007560DA">
              <w:rPr>
                <w:rFonts w:cs="Arial"/>
                <w:szCs w:val="14"/>
                <w:lang w:val="en-US"/>
              </w:rPr>
              <w:t>Share of comprehensive income Investments in Equity Holdings</w:t>
            </w:r>
          </w:p>
        </w:tc>
        <w:tc>
          <w:tcPr>
            <w:tcW w:w="559" w:type="dxa"/>
            <w:tcBorders>
              <w:top w:val="nil"/>
              <w:bottom w:val="nil"/>
            </w:tcBorders>
            <w:shd w:val="clear" w:color="auto" w:fill="auto"/>
            <w:vAlign w:val="center"/>
          </w:tcPr>
          <w:p w14:paraId="71C975DE" w14:textId="77777777" w:rsidR="002F1512" w:rsidRPr="00C806B0" w:rsidRDefault="002F1512" w:rsidP="002F1512">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r>
              <w:rPr>
                <w:rFonts w:cs="Arial"/>
                <w:b/>
                <w:szCs w:val="14"/>
              </w:rPr>
              <w:t>[09.a]</w:t>
            </w:r>
          </w:p>
        </w:tc>
        <w:tc>
          <w:tcPr>
            <w:tcW w:w="1399" w:type="dxa"/>
            <w:tcBorders>
              <w:top w:val="nil"/>
              <w:bottom w:val="nil"/>
            </w:tcBorders>
            <w:shd w:val="clear" w:color="auto" w:fill="auto"/>
            <w:vAlign w:val="center"/>
          </w:tcPr>
          <w:p w14:paraId="58BBAF12" w14:textId="3544B821" w:rsidR="002F1512" w:rsidRPr="003504C3" w:rsidRDefault="002F1512" w:rsidP="002F1512">
            <w:pPr>
              <w:pStyle w:val="08-Tabelageral"/>
              <w:ind w:left="113"/>
              <w:cnfStyle w:val="000000100000" w:firstRow="0" w:lastRow="0" w:firstColumn="0" w:lastColumn="0" w:oddVBand="0" w:evenVBand="0" w:oddHBand="1" w:evenHBand="0" w:firstRowFirstColumn="0" w:firstRowLastColumn="0" w:lastRowFirstColumn="0" w:lastRowLastColumn="0"/>
              <w:rPr>
                <w:b/>
              </w:rPr>
            </w:pPr>
            <w:r w:rsidRPr="009F4684">
              <w:rPr>
                <w:b/>
              </w:rPr>
              <w:t>213</w:t>
            </w:r>
            <w:r>
              <w:rPr>
                <w:b/>
              </w:rPr>
              <w:t>,</w:t>
            </w:r>
            <w:r w:rsidRPr="009F4684">
              <w:rPr>
                <w:b/>
              </w:rPr>
              <w:t>595</w:t>
            </w:r>
          </w:p>
        </w:tc>
        <w:tc>
          <w:tcPr>
            <w:tcW w:w="1160" w:type="dxa"/>
            <w:tcBorders>
              <w:top w:val="nil"/>
              <w:bottom w:val="nil"/>
            </w:tcBorders>
            <w:shd w:val="clear" w:color="auto" w:fill="auto"/>
            <w:vAlign w:val="center"/>
          </w:tcPr>
          <w:p w14:paraId="33383542" w14:textId="77777777" w:rsidR="002F1512" w:rsidRPr="003504C3" w:rsidRDefault="002F1512" w:rsidP="002F1512">
            <w:pPr>
              <w:pStyle w:val="08-Tabelageral"/>
              <w:ind w:left="113"/>
              <w:cnfStyle w:val="000000100000" w:firstRow="0" w:lastRow="0" w:firstColumn="0" w:lastColumn="0" w:oddVBand="0" w:evenVBand="0" w:oddHBand="1" w:evenHBand="0" w:firstRowFirstColumn="0" w:firstRowLastColumn="0" w:lastRowFirstColumn="0" w:lastRowLastColumn="0"/>
              <w:rPr>
                <w:b/>
              </w:rPr>
            </w:pPr>
            <w:r w:rsidRPr="00026F90">
              <w:rPr>
                <w:b/>
              </w:rPr>
              <w:t>391</w:t>
            </w:r>
            <w:r>
              <w:rPr>
                <w:b/>
              </w:rPr>
              <w:t>,</w:t>
            </w:r>
            <w:r w:rsidRPr="00026F90">
              <w:rPr>
                <w:b/>
              </w:rPr>
              <w:t>265</w:t>
            </w:r>
          </w:p>
        </w:tc>
        <w:tc>
          <w:tcPr>
            <w:tcW w:w="1462" w:type="dxa"/>
            <w:tcBorders>
              <w:top w:val="nil"/>
              <w:bottom w:val="nil"/>
            </w:tcBorders>
            <w:shd w:val="clear" w:color="auto" w:fill="auto"/>
            <w:vAlign w:val="center"/>
          </w:tcPr>
          <w:p w14:paraId="0E5FF826" w14:textId="77777777" w:rsidR="002F1512" w:rsidRDefault="002F1512" w:rsidP="002F1512">
            <w:pPr>
              <w:pStyle w:val="08-Tabelageral"/>
              <w:ind w:left="113"/>
              <w:cnfStyle w:val="000000100000" w:firstRow="0" w:lastRow="0" w:firstColumn="0" w:lastColumn="0" w:oddVBand="0" w:evenVBand="0" w:oddHBand="1" w:evenHBand="0" w:firstRowFirstColumn="0" w:firstRowLastColumn="0" w:lastRowFirstColumn="0" w:lastRowLastColumn="0"/>
              <w:rPr>
                <w:rFonts w:cs="Arial"/>
                <w:b/>
                <w:szCs w:val="14"/>
              </w:rPr>
            </w:pPr>
            <w:r w:rsidRPr="003168AD">
              <w:rPr>
                <w:b/>
              </w:rPr>
              <w:t>101</w:t>
            </w:r>
            <w:r>
              <w:rPr>
                <w:b/>
              </w:rPr>
              <w:t>,</w:t>
            </w:r>
            <w:r w:rsidRPr="003168AD">
              <w:rPr>
                <w:b/>
              </w:rPr>
              <w:t>133</w:t>
            </w:r>
          </w:p>
        </w:tc>
        <w:tc>
          <w:tcPr>
            <w:tcW w:w="1532" w:type="dxa"/>
            <w:gridSpan w:val="2"/>
            <w:tcBorders>
              <w:top w:val="nil"/>
              <w:bottom w:val="nil"/>
            </w:tcBorders>
            <w:shd w:val="clear" w:color="auto" w:fill="auto"/>
            <w:vAlign w:val="center"/>
          </w:tcPr>
          <w:p w14:paraId="12BF951C" w14:textId="77777777" w:rsidR="002F1512" w:rsidRDefault="002F1512" w:rsidP="002F1512">
            <w:pPr>
              <w:pStyle w:val="08-Tabelageral"/>
              <w:ind w:left="113"/>
              <w:cnfStyle w:val="000000100000" w:firstRow="0" w:lastRow="0" w:firstColumn="0" w:lastColumn="0" w:oddVBand="0" w:evenVBand="0" w:oddHBand="1" w:evenHBand="0" w:firstRowFirstColumn="0" w:firstRowLastColumn="0" w:lastRowFirstColumn="0" w:lastRowLastColumn="0"/>
              <w:rPr>
                <w:rFonts w:cs="Arial"/>
                <w:b/>
                <w:szCs w:val="14"/>
              </w:rPr>
            </w:pPr>
            <w:r w:rsidRPr="00A419B6">
              <w:rPr>
                <w:b/>
              </w:rPr>
              <w:t>82</w:t>
            </w:r>
            <w:r>
              <w:rPr>
                <w:b/>
              </w:rPr>
              <w:t>,</w:t>
            </w:r>
            <w:r w:rsidRPr="00A419B6">
              <w:rPr>
                <w:b/>
              </w:rPr>
              <w:t>577</w:t>
            </w:r>
          </w:p>
        </w:tc>
        <w:tc>
          <w:tcPr>
            <w:tcW w:w="241" w:type="dxa"/>
            <w:gridSpan w:val="2"/>
            <w:tcBorders>
              <w:top w:val="nil"/>
              <w:bottom w:val="nil"/>
            </w:tcBorders>
            <w:shd w:val="clear" w:color="auto" w:fill="auto"/>
            <w:vAlign w:val="center"/>
          </w:tcPr>
          <w:p w14:paraId="5AC81BB3" w14:textId="77777777" w:rsidR="002F1512" w:rsidRDefault="002F1512" w:rsidP="002F1512">
            <w:pPr>
              <w:pStyle w:val="08-Tabelageral"/>
              <w:ind w:left="113"/>
              <w:cnfStyle w:val="000000100000" w:firstRow="0" w:lastRow="0" w:firstColumn="0" w:lastColumn="0" w:oddVBand="0" w:evenVBand="0" w:oddHBand="1" w:evenHBand="0" w:firstRowFirstColumn="0" w:firstRowLastColumn="0" w:lastRowFirstColumn="0" w:lastRowLastColumn="0"/>
              <w:rPr>
                <w:rFonts w:cs="Arial"/>
                <w:b/>
                <w:szCs w:val="14"/>
              </w:rPr>
            </w:pPr>
          </w:p>
        </w:tc>
        <w:tc>
          <w:tcPr>
            <w:tcW w:w="1291" w:type="dxa"/>
            <w:tcBorders>
              <w:top w:val="nil"/>
              <w:bottom w:val="nil"/>
            </w:tcBorders>
            <w:shd w:val="clear" w:color="auto" w:fill="auto"/>
            <w:vAlign w:val="center"/>
          </w:tcPr>
          <w:p w14:paraId="49DB9BA3" w14:textId="77777777" w:rsidR="002F1512" w:rsidRPr="003504C3" w:rsidRDefault="002F1512" w:rsidP="002F1512">
            <w:pPr>
              <w:pStyle w:val="08-Tabelageral"/>
              <w:ind w:left="113"/>
              <w:cnfStyle w:val="000000100000" w:firstRow="0" w:lastRow="0" w:firstColumn="0" w:lastColumn="0" w:oddVBand="0" w:evenVBand="0" w:oddHBand="1" w:evenHBand="0" w:firstRowFirstColumn="0" w:firstRowLastColumn="0" w:lastRowFirstColumn="0" w:lastRowLastColumn="0"/>
              <w:rPr>
                <w:b/>
              </w:rPr>
            </w:pPr>
            <w:r w:rsidRPr="009F4684">
              <w:rPr>
                <w:b/>
              </w:rPr>
              <w:t>213</w:t>
            </w:r>
            <w:r>
              <w:rPr>
                <w:b/>
              </w:rPr>
              <w:t>,</w:t>
            </w:r>
            <w:r w:rsidRPr="009F4684">
              <w:rPr>
                <w:b/>
              </w:rPr>
              <w:t>595</w:t>
            </w:r>
          </w:p>
        </w:tc>
        <w:tc>
          <w:tcPr>
            <w:tcW w:w="1047" w:type="dxa"/>
            <w:tcBorders>
              <w:top w:val="nil"/>
              <w:bottom w:val="nil"/>
            </w:tcBorders>
            <w:shd w:val="clear" w:color="auto" w:fill="auto"/>
            <w:vAlign w:val="center"/>
          </w:tcPr>
          <w:p w14:paraId="08EE8E7D" w14:textId="77777777" w:rsidR="002F1512" w:rsidRPr="003504C3" w:rsidRDefault="002F1512" w:rsidP="002F1512">
            <w:pPr>
              <w:pStyle w:val="08-Tabelageral"/>
              <w:ind w:left="113"/>
              <w:cnfStyle w:val="000000100000" w:firstRow="0" w:lastRow="0" w:firstColumn="0" w:lastColumn="0" w:oddVBand="0" w:evenVBand="0" w:oddHBand="1" w:evenHBand="0" w:firstRowFirstColumn="0" w:firstRowLastColumn="0" w:lastRowFirstColumn="0" w:lastRowLastColumn="0"/>
              <w:rPr>
                <w:b/>
              </w:rPr>
            </w:pPr>
            <w:r w:rsidRPr="00026F90">
              <w:rPr>
                <w:b/>
              </w:rPr>
              <w:t>391</w:t>
            </w:r>
            <w:r>
              <w:rPr>
                <w:b/>
              </w:rPr>
              <w:t>,</w:t>
            </w:r>
            <w:r w:rsidRPr="00026F90">
              <w:rPr>
                <w:b/>
              </w:rPr>
              <w:t>265</w:t>
            </w:r>
          </w:p>
        </w:tc>
        <w:tc>
          <w:tcPr>
            <w:tcW w:w="1458" w:type="dxa"/>
            <w:tcBorders>
              <w:top w:val="nil"/>
              <w:bottom w:val="nil"/>
            </w:tcBorders>
            <w:shd w:val="clear" w:color="auto" w:fill="auto"/>
            <w:vAlign w:val="center"/>
          </w:tcPr>
          <w:p w14:paraId="42DD15D2" w14:textId="77777777" w:rsidR="002F1512" w:rsidRDefault="002F1512" w:rsidP="002F1512">
            <w:pPr>
              <w:pStyle w:val="08-Tabelageral"/>
              <w:ind w:left="113"/>
              <w:cnfStyle w:val="000000100000" w:firstRow="0" w:lastRow="0" w:firstColumn="0" w:lastColumn="0" w:oddVBand="0" w:evenVBand="0" w:oddHBand="1" w:evenHBand="0" w:firstRowFirstColumn="0" w:firstRowLastColumn="0" w:lastRowFirstColumn="0" w:lastRowLastColumn="0"/>
              <w:rPr>
                <w:rFonts w:cs="Arial"/>
                <w:b/>
                <w:szCs w:val="14"/>
              </w:rPr>
            </w:pPr>
            <w:r w:rsidRPr="003168AD">
              <w:rPr>
                <w:b/>
              </w:rPr>
              <w:t>101</w:t>
            </w:r>
            <w:r>
              <w:rPr>
                <w:b/>
              </w:rPr>
              <w:t>,</w:t>
            </w:r>
            <w:r w:rsidRPr="003168AD">
              <w:rPr>
                <w:b/>
              </w:rPr>
              <w:t>133</w:t>
            </w:r>
          </w:p>
        </w:tc>
        <w:tc>
          <w:tcPr>
            <w:tcW w:w="1474" w:type="dxa"/>
            <w:tcBorders>
              <w:top w:val="nil"/>
              <w:bottom w:val="nil"/>
            </w:tcBorders>
            <w:shd w:val="clear" w:color="auto" w:fill="auto"/>
            <w:vAlign w:val="center"/>
          </w:tcPr>
          <w:p w14:paraId="369AECE9" w14:textId="77777777" w:rsidR="002F1512" w:rsidRDefault="002F1512" w:rsidP="002F1512">
            <w:pPr>
              <w:pStyle w:val="08-Tabelageral"/>
              <w:ind w:left="113"/>
              <w:cnfStyle w:val="000000100000" w:firstRow="0" w:lastRow="0" w:firstColumn="0" w:lastColumn="0" w:oddVBand="0" w:evenVBand="0" w:oddHBand="1" w:evenHBand="0" w:firstRowFirstColumn="0" w:firstRowLastColumn="0" w:lastRowFirstColumn="0" w:lastRowLastColumn="0"/>
              <w:rPr>
                <w:rFonts w:cs="Arial"/>
                <w:b/>
                <w:szCs w:val="14"/>
              </w:rPr>
            </w:pPr>
            <w:r w:rsidRPr="00A419B6">
              <w:rPr>
                <w:b/>
              </w:rPr>
              <w:t>82</w:t>
            </w:r>
            <w:r>
              <w:rPr>
                <w:b/>
              </w:rPr>
              <w:t>,</w:t>
            </w:r>
            <w:r w:rsidRPr="00A419B6">
              <w:rPr>
                <w:b/>
              </w:rPr>
              <w:t>577</w:t>
            </w:r>
          </w:p>
        </w:tc>
      </w:tr>
      <w:tr w:rsidR="002F1512" w:rsidRPr="001D6BE8" w14:paraId="32661E66" w14:textId="77777777" w:rsidTr="008B7E19">
        <w:trPr>
          <w:trHeight w:hRule="exact" w:val="429"/>
          <w:jc w:val="center"/>
        </w:trPr>
        <w:tc>
          <w:tcPr>
            <w:cnfStyle w:val="001000000000" w:firstRow="0" w:lastRow="0" w:firstColumn="1" w:lastColumn="0" w:oddVBand="0" w:evenVBand="0" w:oddHBand="0" w:evenHBand="0" w:firstRowFirstColumn="0" w:firstRowLastColumn="0" w:lastRowFirstColumn="0" w:lastRowLastColumn="0"/>
            <w:tcW w:w="3119" w:type="dxa"/>
            <w:tcBorders>
              <w:top w:val="nil"/>
              <w:bottom w:val="nil"/>
            </w:tcBorders>
            <w:shd w:val="clear" w:color="auto" w:fill="auto"/>
            <w:vAlign w:val="center"/>
          </w:tcPr>
          <w:p w14:paraId="64C779DB" w14:textId="77777777" w:rsidR="002F1512" w:rsidRPr="0038283D" w:rsidRDefault="002F1512" w:rsidP="002F1512">
            <w:pPr>
              <w:pStyle w:val="08-Tabelageral"/>
              <w:ind w:left="113"/>
              <w:jc w:val="left"/>
              <w:rPr>
                <w:rFonts w:cs="Arial"/>
                <w:b w:val="0"/>
                <w:szCs w:val="14"/>
                <w:lang w:val="en-US"/>
              </w:rPr>
            </w:pPr>
            <w:r w:rsidRPr="00BD6C7E">
              <w:rPr>
                <w:rFonts w:cs="Arial"/>
                <w:b w:val="0"/>
                <w:szCs w:val="14"/>
                <w:lang w:val="en-US"/>
              </w:rPr>
              <w:t>Gains/(losses) on financial assets available for sale</w:t>
            </w:r>
          </w:p>
        </w:tc>
        <w:tc>
          <w:tcPr>
            <w:tcW w:w="559" w:type="dxa"/>
            <w:tcBorders>
              <w:top w:val="nil"/>
              <w:bottom w:val="nil"/>
            </w:tcBorders>
            <w:shd w:val="clear" w:color="auto" w:fill="auto"/>
            <w:vAlign w:val="center"/>
          </w:tcPr>
          <w:p w14:paraId="539AC290" w14:textId="77777777" w:rsidR="002F1512" w:rsidRPr="0038283D" w:rsidRDefault="002F1512" w:rsidP="002F1512">
            <w:pPr>
              <w:pStyle w:val="08-Tabelageral"/>
              <w:ind w:left="113"/>
              <w:cnfStyle w:val="000000000000" w:firstRow="0" w:lastRow="0" w:firstColumn="0" w:lastColumn="0" w:oddVBand="0" w:evenVBand="0" w:oddHBand="0" w:evenHBand="0" w:firstRowFirstColumn="0" w:firstRowLastColumn="0" w:lastRowFirstColumn="0" w:lastRowLastColumn="0"/>
              <w:rPr>
                <w:lang w:val="en-US"/>
              </w:rPr>
            </w:pPr>
          </w:p>
        </w:tc>
        <w:tc>
          <w:tcPr>
            <w:tcW w:w="1399" w:type="dxa"/>
            <w:tcBorders>
              <w:top w:val="nil"/>
              <w:bottom w:val="nil"/>
            </w:tcBorders>
            <w:shd w:val="clear" w:color="auto" w:fill="auto"/>
            <w:vAlign w:val="center"/>
          </w:tcPr>
          <w:p w14:paraId="7326FFC0" w14:textId="6B19131E" w:rsidR="002F1512" w:rsidRPr="005B48B0" w:rsidRDefault="002F1512" w:rsidP="002F1512">
            <w:pPr>
              <w:pStyle w:val="08-Tabelageral"/>
              <w:ind w:left="113"/>
              <w:cnfStyle w:val="000000000000" w:firstRow="0" w:lastRow="0" w:firstColumn="0" w:lastColumn="0" w:oddVBand="0" w:evenVBand="0" w:oddHBand="0" w:evenHBand="0" w:firstRowFirstColumn="0" w:firstRowLastColumn="0" w:lastRowFirstColumn="0" w:lastRowLastColumn="0"/>
              <w:rPr>
                <w:lang w:val="en-US"/>
              </w:rPr>
            </w:pPr>
            <w:r w:rsidRPr="0018751B">
              <w:t>78</w:t>
            </w:r>
            <w:r>
              <w:t>,</w:t>
            </w:r>
            <w:r w:rsidRPr="0018751B">
              <w:t>639</w:t>
            </w:r>
          </w:p>
        </w:tc>
        <w:tc>
          <w:tcPr>
            <w:tcW w:w="1160" w:type="dxa"/>
            <w:tcBorders>
              <w:top w:val="nil"/>
              <w:bottom w:val="nil"/>
            </w:tcBorders>
            <w:shd w:val="clear" w:color="auto" w:fill="auto"/>
            <w:vAlign w:val="center"/>
          </w:tcPr>
          <w:p w14:paraId="3A2E691A" w14:textId="77777777" w:rsidR="002F1512" w:rsidRPr="005B48B0" w:rsidRDefault="002F1512" w:rsidP="002F1512">
            <w:pPr>
              <w:pStyle w:val="08-Tabelageral"/>
              <w:ind w:left="113"/>
              <w:cnfStyle w:val="000000000000" w:firstRow="0" w:lastRow="0" w:firstColumn="0" w:lastColumn="0" w:oddVBand="0" w:evenVBand="0" w:oddHBand="0" w:evenHBand="0" w:firstRowFirstColumn="0" w:firstRowLastColumn="0" w:lastRowFirstColumn="0" w:lastRowLastColumn="0"/>
              <w:rPr>
                <w:lang w:val="en-US"/>
              </w:rPr>
            </w:pPr>
            <w:r w:rsidRPr="00F3399C">
              <w:t>125</w:t>
            </w:r>
            <w:r>
              <w:t>,</w:t>
            </w:r>
            <w:r w:rsidRPr="00F3399C">
              <w:t>594</w:t>
            </w:r>
          </w:p>
        </w:tc>
        <w:tc>
          <w:tcPr>
            <w:tcW w:w="1462" w:type="dxa"/>
            <w:tcBorders>
              <w:top w:val="nil"/>
              <w:bottom w:val="nil"/>
            </w:tcBorders>
            <w:shd w:val="clear" w:color="auto" w:fill="auto"/>
            <w:vAlign w:val="center"/>
          </w:tcPr>
          <w:p w14:paraId="2182EA22" w14:textId="77777777" w:rsidR="002F1512" w:rsidRPr="00823355" w:rsidRDefault="002F1512" w:rsidP="002F1512">
            <w:pPr>
              <w:pStyle w:val="08-Tabelageral"/>
              <w:ind w:left="113"/>
              <w:cnfStyle w:val="000000000000" w:firstRow="0" w:lastRow="0" w:firstColumn="0" w:lastColumn="0" w:oddVBand="0" w:evenVBand="0" w:oddHBand="0" w:evenHBand="0" w:firstRowFirstColumn="0" w:firstRowLastColumn="0" w:lastRowFirstColumn="0" w:lastRowLastColumn="0"/>
            </w:pPr>
            <w:r w:rsidRPr="00D04847">
              <w:t>(22</w:t>
            </w:r>
            <w:r>
              <w:t>,</w:t>
            </w:r>
            <w:r w:rsidRPr="00D04847">
              <w:t>520)</w:t>
            </w:r>
          </w:p>
        </w:tc>
        <w:tc>
          <w:tcPr>
            <w:tcW w:w="1532" w:type="dxa"/>
            <w:gridSpan w:val="2"/>
            <w:tcBorders>
              <w:top w:val="nil"/>
              <w:bottom w:val="nil"/>
            </w:tcBorders>
            <w:shd w:val="clear" w:color="auto" w:fill="auto"/>
            <w:vAlign w:val="center"/>
          </w:tcPr>
          <w:p w14:paraId="365CCC1B" w14:textId="77777777" w:rsidR="002F1512" w:rsidRPr="00823355" w:rsidRDefault="002F1512" w:rsidP="002F1512">
            <w:pPr>
              <w:pStyle w:val="08-Tabelageral"/>
              <w:ind w:left="113"/>
              <w:cnfStyle w:val="000000000000" w:firstRow="0" w:lastRow="0" w:firstColumn="0" w:lastColumn="0" w:oddVBand="0" w:evenVBand="0" w:oddHBand="0" w:evenHBand="0" w:firstRowFirstColumn="0" w:firstRowLastColumn="0" w:lastRowFirstColumn="0" w:lastRowLastColumn="0"/>
            </w:pPr>
            <w:r w:rsidRPr="00D04847">
              <w:t>(48</w:t>
            </w:r>
            <w:r>
              <w:t>,</w:t>
            </w:r>
            <w:r w:rsidRPr="00D04847">
              <w:t>906)</w:t>
            </w:r>
          </w:p>
        </w:tc>
        <w:tc>
          <w:tcPr>
            <w:tcW w:w="241" w:type="dxa"/>
            <w:gridSpan w:val="2"/>
            <w:tcBorders>
              <w:top w:val="nil"/>
              <w:bottom w:val="nil"/>
            </w:tcBorders>
            <w:shd w:val="clear" w:color="auto" w:fill="auto"/>
            <w:vAlign w:val="center"/>
          </w:tcPr>
          <w:p w14:paraId="210EF2AA" w14:textId="77777777" w:rsidR="002F1512" w:rsidRPr="00823355" w:rsidRDefault="002F1512" w:rsidP="002F1512">
            <w:pPr>
              <w:pStyle w:val="08-Tabelageral"/>
              <w:ind w:left="113"/>
              <w:cnfStyle w:val="000000000000" w:firstRow="0" w:lastRow="0" w:firstColumn="0" w:lastColumn="0" w:oddVBand="0" w:evenVBand="0" w:oddHBand="0" w:evenHBand="0" w:firstRowFirstColumn="0" w:firstRowLastColumn="0" w:lastRowFirstColumn="0" w:lastRowLastColumn="0"/>
            </w:pPr>
          </w:p>
        </w:tc>
        <w:tc>
          <w:tcPr>
            <w:tcW w:w="1291" w:type="dxa"/>
            <w:tcBorders>
              <w:top w:val="nil"/>
              <w:bottom w:val="nil"/>
            </w:tcBorders>
            <w:shd w:val="clear" w:color="auto" w:fill="auto"/>
            <w:vAlign w:val="center"/>
          </w:tcPr>
          <w:p w14:paraId="558028D7" w14:textId="77777777" w:rsidR="002F1512" w:rsidRPr="00651E77" w:rsidRDefault="002F1512" w:rsidP="002F1512">
            <w:pPr>
              <w:pStyle w:val="08-Tabelageral"/>
              <w:ind w:left="113"/>
              <w:cnfStyle w:val="000000000000" w:firstRow="0" w:lastRow="0" w:firstColumn="0" w:lastColumn="0" w:oddVBand="0" w:evenVBand="0" w:oddHBand="0" w:evenHBand="0" w:firstRowFirstColumn="0" w:firstRowLastColumn="0" w:lastRowFirstColumn="0" w:lastRowLastColumn="0"/>
            </w:pPr>
            <w:r w:rsidRPr="0018751B">
              <w:t>78</w:t>
            </w:r>
            <w:r>
              <w:t>,</w:t>
            </w:r>
            <w:r w:rsidRPr="0018751B">
              <w:t>639</w:t>
            </w:r>
          </w:p>
        </w:tc>
        <w:tc>
          <w:tcPr>
            <w:tcW w:w="1047" w:type="dxa"/>
            <w:tcBorders>
              <w:top w:val="nil"/>
              <w:bottom w:val="nil"/>
            </w:tcBorders>
            <w:shd w:val="clear" w:color="auto" w:fill="auto"/>
            <w:vAlign w:val="center"/>
          </w:tcPr>
          <w:p w14:paraId="30ABAC14" w14:textId="77777777" w:rsidR="002F1512" w:rsidRPr="00651E77" w:rsidRDefault="002F1512" w:rsidP="002F1512">
            <w:pPr>
              <w:pStyle w:val="08-Tabelageral"/>
              <w:ind w:left="113"/>
              <w:cnfStyle w:val="000000000000" w:firstRow="0" w:lastRow="0" w:firstColumn="0" w:lastColumn="0" w:oddVBand="0" w:evenVBand="0" w:oddHBand="0" w:evenHBand="0" w:firstRowFirstColumn="0" w:firstRowLastColumn="0" w:lastRowFirstColumn="0" w:lastRowLastColumn="0"/>
            </w:pPr>
            <w:r w:rsidRPr="00F3399C">
              <w:t>125</w:t>
            </w:r>
            <w:r>
              <w:t>,</w:t>
            </w:r>
            <w:r w:rsidRPr="00F3399C">
              <w:t>594</w:t>
            </w:r>
          </w:p>
        </w:tc>
        <w:tc>
          <w:tcPr>
            <w:tcW w:w="1458" w:type="dxa"/>
            <w:tcBorders>
              <w:top w:val="nil"/>
              <w:bottom w:val="nil"/>
            </w:tcBorders>
            <w:shd w:val="clear" w:color="auto" w:fill="auto"/>
            <w:vAlign w:val="center"/>
          </w:tcPr>
          <w:p w14:paraId="44F54B4A" w14:textId="77777777" w:rsidR="002F1512" w:rsidRPr="00823355" w:rsidRDefault="002F1512" w:rsidP="002F1512">
            <w:pPr>
              <w:pStyle w:val="08-Tabelageral"/>
              <w:ind w:left="113"/>
              <w:cnfStyle w:val="000000000000" w:firstRow="0" w:lastRow="0" w:firstColumn="0" w:lastColumn="0" w:oddVBand="0" w:evenVBand="0" w:oddHBand="0" w:evenHBand="0" w:firstRowFirstColumn="0" w:firstRowLastColumn="0" w:lastRowFirstColumn="0" w:lastRowLastColumn="0"/>
            </w:pPr>
            <w:r w:rsidRPr="00D04847">
              <w:t>(22</w:t>
            </w:r>
            <w:r>
              <w:t>,</w:t>
            </w:r>
            <w:r w:rsidRPr="00D04847">
              <w:t>520)</w:t>
            </w:r>
          </w:p>
        </w:tc>
        <w:tc>
          <w:tcPr>
            <w:tcW w:w="1474" w:type="dxa"/>
            <w:tcBorders>
              <w:top w:val="nil"/>
              <w:bottom w:val="nil"/>
            </w:tcBorders>
            <w:shd w:val="clear" w:color="auto" w:fill="auto"/>
            <w:vAlign w:val="center"/>
          </w:tcPr>
          <w:p w14:paraId="11562F6D" w14:textId="77777777" w:rsidR="002F1512" w:rsidRPr="00823355" w:rsidRDefault="002F1512" w:rsidP="002F1512">
            <w:pPr>
              <w:pStyle w:val="08-Tabelageral"/>
              <w:ind w:left="113"/>
              <w:cnfStyle w:val="000000000000" w:firstRow="0" w:lastRow="0" w:firstColumn="0" w:lastColumn="0" w:oddVBand="0" w:evenVBand="0" w:oddHBand="0" w:evenHBand="0" w:firstRowFirstColumn="0" w:firstRowLastColumn="0" w:lastRowFirstColumn="0" w:lastRowLastColumn="0"/>
            </w:pPr>
            <w:r w:rsidRPr="00D04847">
              <w:t>(48</w:t>
            </w:r>
            <w:r>
              <w:t>,</w:t>
            </w:r>
            <w:r w:rsidRPr="00D04847">
              <w:t>906)</w:t>
            </w:r>
          </w:p>
        </w:tc>
      </w:tr>
      <w:tr w:rsidR="002F1512" w:rsidRPr="001D6BE8" w14:paraId="0ED9092A" w14:textId="77777777" w:rsidTr="008B7E19">
        <w:trPr>
          <w:cnfStyle w:val="000000100000" w:firstRow="0" w:lastRow="0" w:firstColumn="0" w:lastColumn="0" w:oddVBand="0" w:evenVBand="0" w:oddHBand="1" w:evenHBand="0" w:firstRowFirstColumn="0" w:firstRowLastColumn="0" w:lastRowFirstColumn="0" w:lastRowLastColumn="0"/>
          <w:trHeight w:hRule="exact" w:val="188"/>
          <w:jc w:val="center"/>
        </w:trPr>
        <w:tc>
          <w:tcPr>
            <w:cnfStyle w:val="001000000000" w:firstRow="0" w:lastRow="0" w:firstColumn="1" w:lastColumn="0" w:oddVBand="0" w:evenVBand="0" w:oddHBand="0" w:evenHBand="0" w:firstRowFirstColumn="0" w:firstRowLastColumn="0" w:lastRowFirstColumn="0" w:lastRowLastColumn="0"/>
            <w:tcW w:w="3119" w:type="dxa"/>
            <w:tcBorders>
              <w:top w:val="nil"/>
              <w:bottom w:val="nil"/>
            </w:tcBorders>
            <w:shd w:val="clear" w:color="auto" w:fill="auto"/>
            <w:vAlign w:val="center"/>
          </w:tcPr>
          <w:p w14:paraId="12A8F291" w14:textId="77777777" w:rsidR="002F1512" w:rsidRPr="00D35F50" w:rsidRDefault="002F1512" w:rsidP="002F1512">
            <w:pPr>
              <w:pStyle w:val="08-Tabelageral"/>
              <w:ind w:left="113"/>
              <w:jc w:val="left"/>
              <w:rPr>
                <w:rFonts w:cs="Arial"/>
                <w:b w:val="0"/>
                <w:bCs w:val="0"/>
                <w:szCs w:val="14"/>
                <w:lang w:val="en-US"/>
              </w:rPr>
            </w:pPr>
            <w:r w:rsidRPr="00A43DA5">
              <w:rPr>
                <w:rFonts w:cs="Arial"/>
                <w:b w:val="0"/>
                <w:bCs w:val="0"/>
                <w:szCs w:val="14"/>
                <w:lang w:val="en-US"/>
              </w:rPr>
              <w:t>Other comprehensive results</w:t>
            </w:r>
          </w:p>
        </w:tc>
        <w:tc>
          <w:tcPr>
            <w:tcW w:w="559" w:type="dxa"/>
            <w:tcBorders>
              <w:top w:val="nil"/>
              <w:bottom w:val="nil"/>
            </w:tcBorders>
            <w:shd w:val="clear" w:color="auto" w:fill="auto"/>
            <w:vAlign w:val="center"/>
          </w:tcPr>
          <w:p w14:paraId="766E7166" w14:textId="77777777" w:rsidR="002F1512" w:rsidRPr="0038283D" w:rsidRDefault="002F1512" w:rsidP="002F1512">
            <w:pPr>
              <w:pStyle w:val="08-Tabelageral"/>
              <w:ind w:left="113"/>
              <w:cnfStyle w:val="000000100000" w:firstRow="0" w:lastRow="0" w:firstColumn="0" w:lastColumn="0" w:oddVBand="0" w:evenVBand="0" w:oddHBand="1" w:evenHBand="0" w:firstRowFirstColumn="0" w:firstRowLastColumn="0" w:lastRowFirstColumn="0" w:lastRowLastColumn="0"/>
              <w:rPr>
                <w:lang w:val="en-US"/>
              </w:rPr>
            </w:pPr>
          </w:p>
        </w:tc>
        <w:tc>
          <w:tcPr>
            <w:tcW w:w="1399" w:type="dxa"/>
            <w:tcBorders>
              <w:top w:val="nil"/>
              <w:bottom w:val="nil"/>
            </w:tcBorders>
            <w:shd w:val="clear" w:color="auto" w:fill="auto"/>
            <w:vAlign w:val="center"/>
          </w:tcPr>
          <w:p w14:paraId="06015643" w14:textId="77777777" w:rsidR="002F1512" w:rsidRPr="003504C3" w:rsidRDefault="002F1512" w:rsidP="002F1512">
            <w:pPr>
              <w:pStyle w:val="08-Tabelageral"/>
              <w:ind w:left="113"/>
              <w:cnfStyle w:val="000000100000" w:firstRow="0" w:lastRow="0" w:firstColumn="0" w:lastColumn="0" w:oddVBand="0" w:evenVBand="0" w:oddHBand="1" w:evenHBand="0" w:firstRowFirstColumn="0" w:firstRowLastColumn="0" w:lastRowFirstColumn="0" w:lastRowLastColumn="0"/>
            </w:pPr>
          </w:p>
        </w:tc>
        <w:tc>
          <w:tcPr>
            <w:tcW w:w="1160" w:type="dxa"/>
            <w:tcBorders>
              <w:top w:val="nil"/>
              <w:bottom w:val="nil"/>
            </w:tcBorders>
            <w:shd w:val="clear" w:color="auto" w:fill="auto"/>
            <w:vAlign w:val="center"/>
          </w:tcPr>
          <w:p w14:paraId="7C56F3B8" w14:textId="77777777" w:rsidR="002F1512" w:rsidRPr="003504C3" w:rsidRDefault="002F1512" w:rsidP="002F1512">
            <w:pPr>
              <w:pStyle w:val="08-Tabelageral"/>
              <w:ind w:left="113"/>
              <w:cnfStyle w:val="000000100000" w:firstRow="0" w:lastRow="0" w:firstColumn="0" w:lastColumn="0" w:oddVBand="0" w:evenVBand="0" w:oddHBand="1" w:evenHBand="0" w:firstRowFirstColumn="0" w:firstRowLastColumn="0" w:lastRowFirstColumn="0" w:lastRowLastColumn="0"/>
            </w:pPr>
          </w:p>
        </w:tc>
        <w:tc>
          <w:tcPr>
            <w:tcW w:w="1462" w:type="dxa"/>
            <w:tcBorders>
              <w:top w:val="nil"/>
              <w:bottom w:val="nil"/>
            </w:tcBorders>
            <w:shd w:val="clear" w:color="auto" w:fill="auto"/>
            <w:vAlign w:val="center"/>
          </w:tcPr>
          <w:p w14:paraId="2ED0E091" w14:textId="77777777" w:rsidR="002F1512" w:rsidRPr="00823355" w:rsidRDefault="002F1512" w:rsidP="002F1512">
            <w:pPr>
              <w:pStyle w:val="08-Tabelageral"/>
              <w:ind w:left="113"/>
              <w:cnfStyle w:val="000000100000" w:firstRow="0" w:lastRow="0" w:firstColumn="0" w:lastColumn="0" w:oddVBand="0" w:evenVBand="0" w:oddHBand="1" w:evenHBand="0" w:firstRowFirstColumn="0" w:firstRowLastColumn="0" w:lastRowFirstColumn="0" w:lastRowLastColumn="0"/>
            </w:pPr>
          </w:p>
        </w:tc>
        <w:tc>
          <w:tcPr>
            <w:tcW w:w="1532" w:type="dxa"/>
            <w:gridSpan w:val="2"/>
            <w:tcBorders>
              <w:top w:val="nil"/>
              <w:bottom w:val="nil"/>
            </w:tcBorders>
            <w:shd w:val="clear" w:color="auto" w:fill="auto"/>
            <w:vAlign w:val="center"/>
          </w:tcPr>
          <w:p w14:paraId="1E43E4EF" w14:textId="77777777" w:rsidR="002F1512" w:rsidRPr="00823355" w:rsidRDefault="002F1512" w:rsidP="002F1512">
            <w:pPr>
              <w:pStyle w:val="08-Tabelageral"/>
              <w:ind w:left="113"/>
              <w:cnfStyle w:val="000000100000" w:firstRow="0" w:lastRow="0" w:firstColumn="0" w:lastColumn="0" w:oddVBand="0" w:evenVBand="0" w:oddHBand="1" w:evenHBand="0" w:firstRowFirstColumn="0" w:firstRowLastColumn="0" w:lastRowFirstColumn="0" w:lastRowLastColumn="0"/>
            </w:pPr>
          </w:p>
        </w:tc>
        <w:tc>
          <w:tcPr>
            <w:tcW w:w="241" w:type="dxa"/>
            <w:gridSpan w:val="2"/>
            <w:tcBorders>
              <w:top w:val="nil"/>
              <w:bottom w:val="nil"/>
            </w:tcBorders>
            <w:shd w:val="clear" w:color="auto" w:fill="auto"/>
            <w:vAlign w:val="center"/>
          </w:tcPr>
          <w:p w14:paraId="2DB25887" w14:textId="77777777" w:rsidR="002F1512" w:rsidRPr="00823355" w:rsidRDefault="002F1512" w:rsidP="002F1512">
            <w:pPr>
              <w:pStyle w:val="08-Tabelageral"/>
              <w:ind w:left="113"/>
              <w:cnfStyle w:val="000000100000" w:firstRow="0" w:lastRow="0" w:firstColumn="0" w:lastColumn="0" w:oddVBand="0" w:evenVBand="0" w:oddHBand="1" w:evenHBand="0" w:firstRowFirstColumn="0" w:firstRowLastColumn="0" w:lastRowFirstColumn="0" w:lastRowLastColumn="0"/>
            </w:pPr>
          </w:p>
        </w:tc>
        <w:tc>
          <w:tcPr>
            <w:tcW w:w="1291" w:type="dxa"/>
            <w:tcBorders>
              <w:top w:val="nil"/>
              <w:bottom w:val="nil"/>
            </w:tcBorders>
            <w:shd w:val="clear" w:color="auto" w:fill="auto"/>
            <w:vAlign w:val="center"/>
          </w:tcPr>
          <w:p w14:paraId="2DFAF342" w14:textId="77777777" w:rsidR="002F1512" w:rsidRPr="003504C3" w:rsidRDefault="002F1512" w:rsidP="002F1512">
            <w:pPr>
              <w:pStyle w:val="08-Tabelageral"/>
              <w:ind w:left="113"/>
              <w:cnfStyle w:val="000000100000" w:firstRow="0" w:lastRow="0" w:firstColumn="0" w:lastColumn="0" w:oddVBand="0" w:evenVBand="0" w:oddHBand="1" w:evenHBand="0" w:firstRowFirstColumn="0" w:firstRowLastColumn="0" w:lastRowFirstColumn="0" w:lastRowLastColumn="0"/>
            </w:pPr>
          </w:p>
        </w:tc>
        <w:tc>
          <w:tcPr>
            <w:tcW w:w="1047" w:type="dxa"/>
            <w:tcBorders>
              <w:top w:val="nil"/>
              <w:bottom w:val="nil"/>
            </w:tcBorders>
            <w:shd w:val="clear" w:color="auto" w:fill="auto"/>
            <w:vAlign w:val="center"/>
          </w:tcPr>
          <w:p w14:paraId="0F52F802" w14:textId="77777777" w:rsidR="002F1512" w:rsidRPr="003504C3" w:rsidRDefault="002F1512" w:rsidP="002F1512">
            <w:pPr>
              <w:pStyle w:val="08-Tabelageral"/>
              <w:ind w:left="113"/>
              <w:cnfStyle w:val="000000100000" w:firstRow="0" w:lastRow="0" w:firstColumn="0" w:lastColumn="0" w:oddVBand="0" w:evenVBand="0" w:oddHBand="1" w:evenHBand="0" w:firstRowFirstColumn="0" w:firstRowLastColumn="0" w:lastRowFirstColumn="0" w:lastRowLastColumn="0"/>
            </w:pPr>
          </w:p>
        </w:tc>
        <w:tc>
          <w:tcPr>
            <w:tcW w:w="1458" w:type="dxa"/>
            <w:tcBorders>
              <w:top w:val="nil"/>
              <w:bottom w:val="nil"/>
            </w:tcBorders>
            <w:shd w:val="clear" w:color="auto" w:fill="auto"/>
            <w:vAlign w:val="center"/>
          </w:tcPr>
          <w:p w14:paraId="7D010DB5" w14:textId="77777777" w:rsidR="002F1512" w:rsidRPr="00D13221" w:rsidRDefault="002F1512" w:rsidP="002F1512">
            <w:pPr>
              <w:pStyle w:val="08-Tabelageral"/>
              <w:ind w:left="113"/>
              <w:cnfStyle w:val="000000100000" w:firstRow="0" w:lastRow="0" w:firstColumn="0" w:lastColumn="0" w:oddVBand="0" w:evenVBand="0" w:oddHBand="1" w:evenHBand="0" w:firstRowFirstColumn="0" w:firstRowLastColumn="0" w:lastRowFirstColumn="0" w:lastRowLastColumn="0"/>
            </w:pPr>
          </w:p>
        </w:tc>
        <w:tc>
          <w:tcPr>
            <w:tcW w:w="1474" w:type="dxa"/>
            <w:tcBorders>
              <w:top w:val="nil"/>
              <w:bottom w:val="nil"/>
            </w:tcBorders>
            <w:shd w:val="clear" w:color="auto" w:fill="auto"/>
            <w:vAlign w:val="center"/>
          </w:tcPr>
          <w:p w14:paraId="2C77E6AB" w14:textId="77777777" w:rsidR="002F1512" w:rsidRPr="00D13221" w:rsidRDefault="002F1512" w:rsidP="002F1512">
            <w:pPr>
              <w:pStyle w:val="08-Tabelageral"/>
              <w:ind w:left="113"/>
              <w:cnfStyle w:val="000000100000" w:firstRow="0" w:lastRow="0" w:firstColumn="0" w:lastColumn="0" w:oddVBand="0" w:evenVBand="0" w:oddHBand="1" w:evenHBand="0" w:firstRowFirstColumn="0" w:firstRowLastColumn="0" w:lastRowFirstColumn="0" w:lastRowLastColumn="0"/>
            </w:pPr>
          </w:p>
        </w:tc>
      </w:tr>
      <w:tr w:rsidR="002F1512" w:rsidRPr="001D6BE8" w14:paraId="05E0C987" w14:textId="77777777" w:rsidTr="008B7E19">
        <w:trPr>
          <w:trHeight w:hRule="exact" w:val="188"/>
          <w:jc w:val="center"/>
        </w:trPr>
        <w:tc>
          <w:tcPr>
            <w:cnfStyle w:val="001000000000" w:firstRow="0" w:lastRow="0" w:firstColumn="1" w:lastColumn="0" w:oddVBand="0" w:evenVBand="0" w:oddHBand="0" w:evenHBand="0" w:firstRowFirstColumn="0" w:firstRowLastColumn="0" w:lastRowFirstColumn="0" w:lastRowLastColumn="0"/>
            <w:tcW w:w="3119" w:type="dxa"/>
          </w:tcPr>
          <w:p w14:paraId="374137F8" w14:textId="77777777" w:rsidR="002F1512" w:rsidRPr="00F74007" w:rsidRDefault="002F1512" w:rsidP="002F1512">
            <w:pPr>
              <w:pStyle w:val="08-Tabelageral"/>
              <w:ind w:left="113"/>
              <w:jc w:val="left"/>
              <w:rPr>
                <w:rFonts w:cs="Arial"/>
                <w:szCs w:val="14"/>
                <w:highlight w:val="yellow"/>
              </w:rPr>
            </w:pPr>
            <w:r>
              <w:rPr>
                <w:rFonts w:cs="Arial"/>
                <w:b w:val="0"/>
                <w:bCs w:val="0"/>
                <w:szCs w:val="14"/>
              </w:rPr>
              <w:t xml:space="preserve">    </w:t>
            </w:r>
            <w:r w:rsidRPr="00750F31">
              <w:rPr>
                <w:rFonts w:cs="Arial"/>
                <w:b w:val="0"/>
                <w:bCs w:val="0"/>
                <w:szCs w:val="14"/>
              </w:rPr>
              <w:t xml:space="preserve">Effects </w:t>
            </w:r>
            <w:r w:rsidRPr="00C929DB">
              <w:rPr>
                <w:rFonts w:cs="Arial"/>
                <w:b w:val="0"/>
                <w:bCs w:val="0"/>
                <w:szCs w:val="14"/>
              </w:rPr>
              <w:t>CPC 50</w:t>
            </w:r>
          </w:p>
        </w:tc>
        <w:tc>
          <w:tcPr>
            <w:tcW w:w="559" w:type="dxa"/>
            <w:tcBorders>
              <w:top w:val="nil"/>
              <w:bottom w:val="nil"/>
            </w:tcBorders>
            <w:shd w:val="clear" w:color="auto" w:fill="auto"/>
            <w:vAlign w:val="center"/>
          </w:tcPr>
          <w:p w14:paraId="5C0D0946" w14:textId="77777777" w:rsidR="002F1512" w:rsidRPr="00823355" w:rsidRDefault="002F1512" w:rsidP="002F1512">
            <w:pPr>
              <w:pStyle w:val="08-Tabelageral"/>
              <w:ind w:left="113"/>
              <w:cnfStyle w:val="000000000000" w:firstRow="0" w:lastRow="0" w:firstColumn="0" w:lastColumn="0" w:oddVBand="0" w:evenVBand="0" w:oddHBand="0" w:evenHBand="0" w:firstRowFirstColumn="0" w:firstRowLastColumn="0" w:lastRowFirstColumn="0" w:lastRowLastColumn="0"/>
            </w:pPr>
          </w:p>
        </w:tc>
        <w:tc>
          <w:tcPr>
            <w:tcW w:w="1399" w:type="dxa"/>
            <w:shd w:val="clear" w:color="auto" w:fill="auto"/>
            <w:vAlign w:val="center"/>
          </w:tcPr>
          <w:p w14:paraId="7B2996A5" w14:textId="4D1CE64D" w:rsidR="002F1512" w:rsidRPr="003504C3" w:rsidRDefault="002F1512" w:rsidP="002F1512">
            <w:pPr>
              <w:pStyle w:val="08-Tabelageral"/>
              <w:ind w:left="113"/>
              <w:cnfStyle w:val="000000000000" w:firstRow="0" w:lastRow="0" w:firstColumn="0" w:lastColumn="0" w:oddVBand="0" w:evenVBand="0" w:oddHBand="0" w:evenHBand="0" w:firstRowFirstColumn="0" w:firstRowLastColumn="0" w:lastRowFirstColumn="0" w:lastRowLastColumn="0"/>
            </w:pPr>
            <w:r w:rsidRPr="009F4684">
              <w:t>277</w:t>
            </w:r>
            <w:r>
              <w:t>,</w:t>
            </w:r>
            <w:r w:rsidRPr="009F4684">
              <w:t>852</w:t>
            </w:r>
          </w:p>
        </w:tc>
        <w:tc>
          <w:tcPr>
            <w:tcW w:w="1160" w:type="dxa"/>
            <w:vAlign w:val="center"/>
          </w:tcPr>
          <w:p w14:paraId="05853E71" w14:textId="77777777" w:rsidR="002F1512" w:rsidRPr="003504C3" w:rsidRDefault="002F1512" w:rsidP="002F1512">
            <w:pPr>
              <w:pStyle w:val="08-Tabelageral"/>
              <w:ind w:left="113"/>
              <w:cnfStyle w:val="000000000000" w:firstRow="0" w:lastRow="0" w:firstColumn="0" w:lastColumn="0" w:oddVBand="0" w:evenVBand="0" w:oddHBand="0" w:evenHBand="0" w:firstRowFirstColumn="0" w:firstRowLastColumn="0" w:lastRowFirstColumn="0" w:lastRowLastColumn="0"/>
            </w:pPr>
            <w:r w:rsidRPr="00F3399C">
              <w:t>526</w:t>
            </w:r>
            <w:r>
              <w:t>,</w:t>
            </w:r>
            <w:r w:rsidRPr="00F3399C">
              <w:t>925</w:t>
            </w:r>
          </w:p>
        </w:tc>
        <w:tc>
          <w:tcPr>
            <w:tcW w:w="1462" w:type="dxa"/>
            <w:vAlign w:val="center"/>
          </w:tcPr>
          <w:p w14:paraId="63B92A53" w14:textId="77777777" w:rsidR="002F1512" w:rsidRPr="001F2C88" w:rsidRDefault="002F1512" w:rsidP="002F1512">
            <w:pPr>
              <w:pStyle w:val="08-Tabelageral"/>
              <w:ind w:left="113"/>
              <w:cnfStyle w:val="000000000000" w:firstRow="0" w:lastRow="0" w:firstColumn="0" w:lastColumn="0" w:oddVBand="0" w:evenVBand="0" w:oddHBand="0" w:evenHBand="0" w:firstRowFirstColumn="0" w:firstRowLastColumn="0" w:lastRowFirstColumn="0" w:lastRowLastColumn="0"/>
              <w:rPr>
                <w:b/>
                <w:bCs/>
              </w:rPr>
            </w:pPr>
            <w:r w:rsidRPr="003168AD">
              <w:t>191</w:t>
            </w:r>
            <w:r>
              <w:t>,</w:t>
            </w:r>
            <w:r w:rsidRPr="003168AD">
              <w:t>075</w:t>
            </w:r>
          </w:p>
        </w:tc>
        <w:tc>
          <w:tcPr>
            <w:tcW w:w="1532" w:type="dxa"/>
            <w:gridSpan w:val="2"/>
            <w:vAlign w:val="center"/>
          </w:tcPr>
          <w:p w14:paraId="5199919C" w14:textId="77777777" w:rsidR="002F1512" w:rsidRPr="007315BA" w:rsidRDefault="002F1512" w:rsidP="002F1512">
            <w:pPr>
              <w:pStyle w:val="08-Tabelageral"/>
              <w:ind w:left="113"/>
              <w:cnfStyle w:val="000000000000" w:firstRow="0" w:lastRow="0" w:firstColumn="0" w:lastColumn="0" w:oddVBand="0" w:evenVBand="0" w:oddHBand="0" w:evenHBand="0" w:firstRowFirstColumn="0" w:firstRowLastColumn="0" w:lastRowFirstColumn="0" w:lastRowLastColumn="0"/>
              <w:rPr>
                <w:bCs/>
              </w:rPr>
            </w:pPr>
            <w:r w:rsidRPr="00A419B6">
              <w:t>186</w:t>
            </w:r>
            <w:r>
              <w:t>,</w:t>
            </w:r>
            <w:r w:rsidRPr="00A419B6">
              <w:t>535</w:t>
            </w:r>
          </w:p>
        </w:tc>
        <w:tc>
          <w:tcPr>
            <w:tcW w:w="241" w:type="dxa"/>
            <w:gridSpan w:val="2"/>
            <w:vAlign w:val="center"/>
          </w:tcPr>
          <w:p w14:paraId="0B73F740" w14:textId="77777777" w:rsidR="002F1512" w:rsidRPr="00F25D26" w:rsidRDefault="002F1512" w:rsidP="002F1512">
            <w:pPr>
              <w:pStyle w:val="08-Tabelageral"/>
              <w:ind w:left="113"/>
              <w:cnfStyle w:val="000000000000" w:firstRow="0" w:lastRow="0" w:firstColumn="0" w:lastColumn="0" w:oddVBand="0" w:evenVBand="0" w:oddHBand="0" w:evenHBand="0" w:firstRowFirstColumn="0" w:firstRowLastColumn="0" w:lastRowFirstColumn="0" w:lastRowLastColumn="0"/>
            </w:pPr>
          </w:p>
        </w:tc>
        <w:tc>
          <w:tcPr>
            <w:tcW w:w="1291" w:type="dxa"/>
            <w:shd w:val="clear" w:color="auto" w:fill="auto"/>
            <w:vAlign w:val="center"/>
          </w:tcPr>
          <w:p w14:paraId="7AE1031A" w14:textId="77777777" w:rsidR="002F1512" w:rsidRPr="003504C3" w:rsidRDefault="002F1512" w:rsidP="002F1512">
            <w:pPr>
              <w:pStyle w:val="08-Tabelageral"/>
              <w:ind w:left="113"/>
              <w:cnfStyle w:val="000000000000" w:firstRow="0" w:lastRow="0" w:firstColumn="0" w:lastColumn="0" w:oddVBand="0" w:evenVBand="0" w:oddHBand="0" w:evenHBand="0" w:firstRowFirstColumn="0" w:firstRowLastColumn="0" w:lastRowFirstColumn="0" w:lastRowLastColumn="0"/>
            </w:pPr>
            <w:r w:rsidRPr="009F4684">
              <w:t>277</w:t>
            </w:r>
            <w:r>
              <w:t>,</w:t>
            </w:r>
            <w:r w:rsidRPr="009F4684">
              <w:t>852</w:t>
            </w:r>
          </w:p>
        </w:tc>
        <w:tc>
          <w:tcPr>
            <w:tcW w:w="1047" w:type="dxa"/>
            <w:vAlign w:val="center"/>
          </w:tcPr>
          <w:p w14:paraId="2540E6C5" w14:textId="77777777" w:rsidR="002F1512" w:rsidRPr="003504C3" w:rsidRDefault="002F1512" w:rsidP="002F1512">
            <w:pPr>
              <w:pStyle w:val="08-Tabelageral"/>
              <w:ind w:left="113"/>
              <w:cnfStyle w:val="000000000000" w:firstRow="0" w:lastRow="0" w:firstColumn="0" w:lastColumn="0" w:oddVBand="0" w:evenVBand="0" w:oddHBand="0" w:evenHBand="0" w:firstRowFirstColumn="0" w:firstRowLastColumn="0" w:lastRowFirstColumn="0" w:lastRowLastColumn="0"/>
            </w:pPr>
            <w:r w:rsidRPr="00F3399C">
              <w:t>526</w:t>
            </w:r>
            <w:r>
              <w:t>,</w:t>
            </w:r>
            <w:r w:rsidRPr="00F3399C">
              <w:t>925</w:t>
            </w:r>
          </w:p>
        </w:tc>
        <w:tc>
          <w:tcPr>
            <w:tcW w:w="1458" w:type="dxa"/>
            <w:vAlign w:val="center"/>
          </w:tcPr>
          <w:p w14:paraId="45E1E3D1" w14:textId="77777777" w:rsidR="002F1512" w:rsidRPr="001F2C88" w:rsidRDefault="002F1512" w:rsidP="002F1512">
            <w:pPr>
              <w:pStyle w:val="08-Tabelageral"/>
              <w:ind w:left="113"/>
              <w:cnfStyle w:val="000000000000" w:firstRow="0" w:lastRow="0" w:firstColumn="0" w:lastColumn="0" w:oddVBand="0" w:evenVBand="0" w:oddHBand="0" w:evenHBand="0" w:firstRowFirstColumn="0" w:firstRowLastColumn="0" w:lastRowFirstColumn="0" w:lastRowLastColumn="0"/>
              <w:rPr>
                <w:b/>
                <w:bCs/>
              </w:rPr>
            </w:pPr>
            <w:r w:rsidRPr="003168AD">
              <w:t>191</w:t>
            </w:r>
            <w:r>
              <w:t>,</w:t>
            </w:r>
            <w:r w:rsidRPr="003168AD">
              <w:t>075</w:t>
            </w:r>
          </w:p>
        </w:tc>
        <w:tc>
          <w:tcPr>
            <w:tcW w:w="1474" w:type="dxa"/>
            <w:vAlign w:val="center"/>
          </w:tcPr>
          <w:p w14:paraId="05ED9103" w14:textId="77777777" w:rsidR="002F1512" w:rsidRPr="007315BA" w:rsidRDefault="002F1512" w:rsidP="002F1512">
            <w:pPr>
              <w:pStyle w:val="08-Tabelageral"/>
              <w:ind w:left="113"/>
              <w:cnfStyle w:val="000000000000" w:firstRow="0" w:lastRow="0" w:firstColumn="0" w:lastColumn="0" w:oddVBand="0" w:evenVBand="0" w:oddHBand="0" w:evenHBand="0" w:firstRowFirstColumn="0" w:firstRowLastColumn="0" w:lastRowFirstColumn="0" w:lastRowLastColumn="0"/>
              <w:rPr>
                <w:bCs/>
              </w:rPr>
            </w:pPr>
            <w:r w:rsidRPr="00A419B6">
              <w:t>186</w:t>
            </w:r>
            <w:r>
              <w:t>,</w:t>
            </w:r>
            <w:r w:rsidRPr="00A419B6">
              <w:t>535</w:t>
            </w:r>
          </w:p>
        </w:tc>
      </w:tr>
      <w:tr w:rsidR="002F1512" w:rsidRPr="001D6BE8" w14:paraId="50AE912B" w14:textId="77777777" w:rsidTr="008B7E19">
        <w:trPr>
          <w:cnfStyle w:val="000000100000" w:firstRow="0" w:lastRow="0" w:firstColumn="0" w:lastColumn="0" w:oddVBand="0" w:evenVBand="0" w:oddHBand="1" w:evenHBand="0" w:firstRowFirstColumn="0" w:firstRowLastColumn="0" w:lastRowFirstColumn="0" w:lastRowLastColumn="0"/>
          <w:trHeight w:hRule="exact" w:val="188"/>
          <w:jc w:val="center"/>
        </w:trPr>
        <w:tc>
          <w:tcPr>
            <w:cnfStyle w:val="001000000000" w:firstRow="0" w:lastRow="0" w:firstColumn="1" w:lastColumn="0" w:oddVBand="0" w:evenVBand="0" w:oddHBand="0" w:evenHBand="0" w:firstRowFirstColumn="0" w:firstRowLastColumn="0" w:lastRowFirstColumn="0" w:lastRowLastColumn="0"/>
            <w:tcW w:w="3119" w:type="dxa"/>
            <w:tcBorders>
              <w:top w:val="nil"/>
              <w:bottom w:val="nil"/>
            </w:tcBorders>
            <w:shd w:val="clear" w:color="auto" w:fill="auto"/>
            <w:vAlign w:val="center"/>
          </w:tcPr>
          <w:p w14:paraId="1BA004AE" w14:textId="77777777" w:rsidR="002F1512" w:rsidRPr="00C929DB" w:rsidRDefault="002F1512" w:rsidP="002F1512">
            <w:pPr>
              <w:pStyle w:val="08-Tabelageral"/>
              <w:ind w:left="113"/>
              <w:jc w:val="left"/>
              <w:rPr>
                <w:rFonts w:cs="Arial"/>
                <w:b w:val="0"/>
                <w:bCs w:val="0"/>
                <w:szCs w:val="14"/>
              </w:rPr>
            </w:pPr>
            <w:r>
              <w:rPr>
                <w:rFonts w:cs="Arial"/>
                <w:b w:val="0"/>
                <w:bCs w:val="0"/>
                <w:szCs w:val="14"/>
              </w:rPr>
              <w:t xml:space="preserve">    </w:t>
            </w:r>
            <w:r w:rsidRPr="0085549B">
              <w:rPr>
                <w:rFonts w:cs="Arial"/>
                <w:b w:val="0"/>
                <w:bCs w:val="0"/>
                <w:szCs w:val="14"/>
              </w:rPr>
              <w:t>other</w:t>
            </w:r>
          </w:p>
        </w:tc>
        <w:tc>
          <w:tcPr>
            <w:tcW w:w="559" w:type="dxa"/>
            <w:tcBorders>
              <w:top w:val="nil"/>
              <w:bottom w:val="nil"/>
            </w:tcBorders>
            <w:shd w:val="clear" w:color="auto" w:fill="auto"/>
            <w:vAlign w:val="center"/>
          </w:tcPr>
          <w:p w14:paraId="64E0495F" w14:textId="77777777" w:rsidR="002F1512" w:rsidRPr="00823355" w:rsidRDefault="002F1512" w:rsidP="002F1512">
            <w:pPr>
              <w:pStyle w:val="08-Tabelageral"/>
              <w:ind w:left="113"/>
              <w:cnfStyle w:val="000000100000" w:firstRow="0" w:lastRow="0" w:firstColumn="0" w:lastColumn="0" w:oddVBand="0" w:evenVBand="0" w:oddHBand="1" w:evenHBand="0" w:firstRowFirstColumn="0" w:firstRowLastColumn="0" w:lastRowFirstColumn="0" w:lastRowLastColumn="0"/>
            </w:pPr>
          </w:p>
        </w:tc>
        <w:tc>
          <w:tcPr>
            <w:tcW w:w="1399" w:type="dxa"/>
            <w:tcBorders>
              <w:top w:val="nil"/>
              <w:bottom w:val="nil"/>
            </w:tcBorders>
            <w:shd w:val="clear" w:color="auto" w:fill="auto"/>
            <w:vAlign w:val="center"/>
          </w:tcPr>
          <w:p w14:paraId="0B6BAA44" w14:textId="0B52C018" w:rsidR="002F1512" w:rsidRPr="00D71B18" w:rsidRDefault="002F1512" w:rsidP="002F1512">
            <w:pPr>
              <w:pStyle w:val="08-Tabelageral"/>
              <w:ind w:left="113"/>
              <w:cnfStyle w:val="000000100000" w:firstRow="0" w:lastRow="0" w:firstColumn="0" w:lastColumn="0" w:oddVBand="0" w:evenVBand="0" w:oddHBand="1" w:evenHBand="0" w:firstRowFirstColumn="0" w:firstRowLastColumn="0" w:lastRowFirstColumn="0" w:lastRowLastColumn="0"/>
            </w:pPr>
            <w:r w:rsidRPr="0018751B">
              <w:t>(456)</w:t>
            </w:r>
          </w:p>
        </w:tc>
        <w:tc>
          <w:tcPr>
            <w:tcW w:w="1160" w:type="dxa"/>
            <w:tcBorders>
              <w:top w:val="nil"/>
              <w:bottom w:val="nil"/>
            </w:tcBorders>
            <w:shd w:val="clear" w:color="auto" w:fill="auto"/>
            <w:vAlign w:val="center"/>
          </w:tcPr>
          <w:p w14:paraId="3C6FA3A2" w14:textId="77777777" w:rsidR="002F1512" w:rsidRPr="00D71B18" w:rsidRDefault="002F1512" w:rsidP="002F1512">
            <w:pPr>
              <w:pStyle w:val="08-Tabelageral"/>
              <w:ind w:left="113"/>
              <w:cnfStyle w:val="000000100000" w:firstRow="0" w:lastRow="0" w:firstColumn="0" w:lastColumn="0" w:oddVBand="0" w:evenVBand="0" w:oddHBand="1" w:evenHBand="0" w:firstRowFirstColumn="0" w:firstRowLastColumn="0" w:lastRowFirstColumn="0" w:lastRowLastColumn="0"/>
            </w:pPr>
            <w:r>
              <w:t>(377)</w:t>
            </w:r>
          </w:p>
        </w:tc>
        <w:tc>
          <w:tcPr>
            <w:tcW w:w="1462" w:type="dxa"/>
            <w:tcBorders>
              <w:top w:val="nil"/>
              <w:bottom w:val="nil"/>
            </w:tcBorders>
            <w:shd w:val="clear" w:color="auto" w:fill="auto"/>
            <w:vAlign w:val="center"/>
          </w:tcPr>
          <w:p w14:paraId="21E548C8" w14:textId="77777777" w:rsidR="002F1512" w:rsidRPr="001F2C88" w:rsidRDefault="002F1512" w:rsidP="002F1512">
            <w:pPr>
              <w:pStyle w:val="08-Tabelageral"/>
              <w:ind w:left="113"/>
              <w:cnfStyle w:val="000000100000" w:firstRow="0" w:lastRow="0" w:firstColumn="0" w:lastColumn="0" w:oddVBand="0" w:evenVBand="0" w:oddHBand="1" w:evenHBand="0" w:firstRowFirstColumn="0" w:firstRowLastColumn="0" w:lastRowFirstColumn="0" w:lastRowLastColumn="0"/>
              <w:rPr>
                <w:b/>
                <w:bCs/>
              </w:rPr>
            </w:pPr>
            <w:r>
              <w:t>--</w:t>
            </w:r>
          </w:p>
        </w:tc>
        <w:tc>
          <w:tcPr>
            <w:tcW w:w="1532" w:type="dxa"/>
            <w:gridSpan w:val="2"/>
            <w:tcBorders>
              <w:top w:val="nil"/>
              <w:bottom w:val="nil"/>
            </w:tcBorders>
            <w:shd w:val="clear" w:color="auto" w:fill="auto"/>
            <w:vAlign w:val="center"/>
          </w:tcPr>
          <w:p w14:paraId="7425ECB5" w14:textId="77777777" w:rsidR="002F1512" w:rsidRPr="007315BA" w:rsidRDefault="002F1512" w:rsidP="002F1512">
            <w:pPr>
              <w:pStyle w:val="08-Tabelageral"/>
              <w:ind w:left="113"/>
              <w:cnfStyle w:val="000000100000" w:firstRow="0" w:lastRow="0" w:firstColumn="0" w:lastColumn="0" w:oddVBand="0" w:evenVBand="0" w:oddHBand="1" w:evenHBand="0" w:firstRowFirstColumn="0" w:firstRowLastColumn="0" w:lastRowFirstColumn="0" w:lastRowLastColumn="0"/>
              <w:rPr>
                <w:bCs/>
              </w:rPr>
            </w:pPr>
            <w:r>
              <w:t>--</w:t>
            </w:r>
          </w:p>
        </w:tc>
        <w:tc>
          <w:tcPr>
            <w:tcW w:w="241" w:type="dxa"/>
            <w:gridSpan w:val="2"/>
            <w:tcBorders>
              <w:top w:val="nil"/>
              <w:bottom w:val="nil"/>
            </w:tcBorders>
            <w:shd w:val="clear" w:color="auto" w:fill="auto"/>
            <w:vAlign w:val="center"/>
          </w:tcPr>
          <w:p w14:paraId="6DF6C39A" w14:textId="77777777" w:rsidR="002F1512" w:rsidRPr="00F25D26" w:rsidRDefault="002F1512" w:rsidP="002F1512">
            <w:pPr>
              <w:pStyle w:val="08-Tabelageral"/>
              <w:ind w:left="113"/>
              <w:cnfStyle w:val="000000100000" w:firstRow="0" w:lastRow="0" w:firstColumn="0" w:lastColumn="0" w:oddVBand="0" w:evenVBand="0" w:oddHBand="1" w:evenHBand="0" w:firstRowFirstColumn="0" w:firstRowLastColumn="0" w:lastRowFirstColumn="0" w:lastRowLastColumn="0"/>
            </w:pPr>
          </w:p>
        </w:tc>
        <w:tc>
          <w:tcPr>
            <w:tcW w:w="1291" w:type="dxa"/>
            <w:tcBorders>
              <w:top w:val="nil"/>
              <w:bottom w:val="nil"/>
            </w:tcBorders>
            <w:shd w:val="clear" w:color="auto" w:fill="auto"/>
            <w:vAlign w:val="center"/>
          </w:tcPr>
          <w:p w14:paraId="2EBAE1DC" w14:textId="77777777" w:rsidR="002F1512" w:rsidRPr="00D71B18" w:rsidRDefault="002F1512" w:rsidP="002F1512">
            <w:pPr>
              <w:pStyle w:val="08-Tabelageral"/>
              <w:ind w:left="113"/>
              <w:cnfStyle w:val="000000100000" w:firstRow="0" w:lastRow="0" w:firstColumn="0" w:lastColumn="0" w:oddVBand="0" w:evenVBand="0" w:oddHBand="1" w:evenHBand="0" w:firstRowFirstColumn="0" w:firstRowLastColumn="0" w:lastRowFirstColumn="0" w:lastRowLastColumn="0"/>
            </w:pPr>
            <w:r w:rsidRPr="0018751B">
              <w:t>(456)</w:t>
            </w:r>
          </w:p>
        </w:tc>
        <w:tc>
          <w:tcPr>
            <w:tcW w:w="1047" w:type="dxa"/>
            <w:tcBorders>
              <w:top w:val="nil"/>
              <w:bottom w:val="nil"/>
            </w:tcBorders>
            <w:shd w:val="clear" w:color="auto" w:fill="auto"/>
            <w:vAlign w:val="center"/>
          </w:tcPr>
          <w:p w14:paraId="52777296" w14:textId="77777777" w:rsidR="002F1512" w:rsidRPr="00D71B18" w:rsidRDefault="002F1512" w:rsidP="002F1512">
            <w:pPr>
              <w:pStyle w:val="08-Tabelageral"/>
              <w:ind w:left="113"/>
              <w:cnfStyle w:val="000000100000" w:firstRow="0" w:lastRow="0" w:firstColumn="0" w:lastColumn="0" w:oddVBand="0" w:evenVBand="0" w:oddHBand="1" w:evenHBand="0" w:firstRowFirstColumn="0" w:firstRowLastColumn="0" w:lastRowFirstColumn="0" w:lastRowLastColumn="0"/>
            </w:pPr>
            <w:r>
              <w:t>(377)</w:t>
            </w:r>
          </w:p>
        </w:tc>
        <w:tc>
          <w:tcPr>
            <w:tcW w:w="1458" w:type="dxa"/>
            <w:tcBorders>
              <w:top w:val="nil"/>
              <w:bottom w:val="nil"/>
            </w:tcBorders>
            <w:shd w:val="clear" w:color="auto" w:fill="auto"/>
            <w:vAlign w:val="center"/>
          </w:tcPr>
          <w:p w14:paraId="4B73D123" w14:textId="77777777" w:rsidR="002F1512" w:rsidRPr="001F2C88" w:rsidRDefault="002F1512" w:rsidP="002F1512">
            <w:pPr>
              <w:pStyle w:val="08-Tabelageral"/>
              <w:ind w:left="113"/>
              <w:cnfStyle w:val="000000100000" w:firstRow="0" w:lastRow="0" w:firstColumn="0" w:lastColumn="0" w:oddVBand="0" w:evenVBand="0" w:oddHBand="1" w:evenHBand="0" w:firstRowFirstColumn="0" w:firstRowLastColumn="0" w:lastRowFirstColumn="0" w:lastRowLastColumn="0"/>
              <w:rPr>
                <w:b/>
                <w:bCs/>
              </w:rPr>
            </w:pPr>
            <w:r>
              <w:t>--</w:t>
            </w:r>
          </w:p>
        </w:tc>
        <w:tc>
          <w:tcPr>
            <w:tcW w:w="1474" w:type="dxa"/>
            <w:tcBorders>
              <w:top w:val="nil"/>
              <w:bottom w:val="nil"/>
            </w:tcBorders>
            <w:shd w:val="clear" w:color="auto" w:fill="auto"/>
            <w:vAlign w:val="center"/>
          </w:tcPr>
          <w:p w14:paraId="352B1417" w14:textId="77777777" w:rsidR="002F1512" w:rsidRPr="007315BA" w:rsidRDefault="002F1512" w:rsidP="002F1512">
            <w:pPr>
              <w:pStyle w:val="08-Tabelageral"/>
              <w:ind w:left="113"/>
              <w:cnfStyle w:val="000000100000" w:firstRow="0" w:lastRow="0" w:firstColumn="0" w:lastColumn="0" w:oddVBand="0" w:evenVBand="0" w:oddHBand="1" w:evenHBand="0" w:firstRowFirstColumn="0" w:firstRowLastColumn="0" w:lastRowFirstColumn="0" w:lastRowLastColumn="0"/>
              <w:rPr>
                <w:bCs/>
              </w:rPr>
            </w:pPr>
            <w:r>
              <w:t>--</w:t>
            </w:r>
          </w:p>
        </w:tc>
      </w:tr>
      <w:tr w:rsidR="002F1512" w:rsidRPr="001D6BE8" w14:paraId="07CA4286" w14:textId="77777777" w:rsidTr="008B7E19">
        <w:trPr>
          <w:trHeight w:hRule="exact" w:val="188"/>
          <w:jc w:val="center"/>
        </w:trPr>
        <w:tc>
          <w:tcPr>
            <w:cnfStyle w:val="001000000000" w:firstRow="0" w:lastRow="0" w:firstColumn="1" w:lastColumn="0" w:oddVBand="0" w:evenVBand="0" w:oddHBand="0" w:evenHBand="0" w:firstRowFirstColumn="0" w:firstRowLastColumn="0" w:lastRowFirstColumn="0" w:lastRowLastColumn="0"/>
            <w:tcW w:w="3119" w:type="dxa"/>
            <w:tcBorders>
              <w:top w:val="nil"/>
              <w:bottom w:val="nil"/>
            </w:tcBorders>
            <w:shd w:val="clear" w:color="auto" w:fill="auto"/>
            <w:vAlign w:val="center"/>
          </w:tcPr>
          <w:p w14:paraId="5403FE27" w14:textId="77777777" w:rsidR="002F1512" w:rsidRPr="00C20080" w:rsidRDefault="002F1512" w:rsidP="002F1512">
            <w:pPr>
              <w:pStyle w:val="08-Tabelageral"/>
              <w:ind w:left="113"/>
              <w:jc w:val="left"/>
              <w:rPr>
                <w:rFonts w:cs="Arial"/>
                <w:b w:val="0"/>
                <w:szCs w:val="14"/>
              </w:rPr>
            </w:pPr>
            <w:r w:rsidRPr="0095260E">
              <w:rPr>
                <w:rFonts w:cs="Arial"/>
                <w:b w:val="0"/>
                <w:szCs w:val="14"/>
              </w:rPr>
              <w:t>Tax effect</w:t>
            </w:r>
          </w:p>
        </w:tc>
        <w:tc>
          <w:tcPr>
            <w:tcW w:w="559" w:type="dxa"/>
            <w:tcBorders>
              <w:top w:val="nil"/>
              <w:bottom w:val="nil"/>
            </w:tcBorders>
            <w:shd w:val="clear" w:color="auto" w:fill="auto"/>
            <w:vAlign w:val="center"/>
          </w:tcPr>
          <w:p w14:paraId="383A0EB6" w14:textId="77777777" w:rsidR="002F1512" w:rsidRPr="00823355" w:rsidRDefault="002F1512" w:rsidP="002F1512">
            <w:pPr>
              <w:pStyle w:val="08-Tabelageral"/>
              <w:ind w:left="113"/>
              <w:cnfStyle w:val="000000000000" w:firstRow="0" w:lastRow="0" w:firstColumn="0" w:lastColumn="0" w:oddVBand="0" w:evenVBand="0" w:oddHBand="0" w:evenHBand="0" w:firstRowFirstColumn="0" w:firstRowLastColumn="0" w:lastRowFirstColumn="0" w:lastRowLastColumn="0"/>
            </w:pPr>
          </w:p>
        </w:tc>
        <w:tc>
          <w:tcPr>
            <w:tcW w:w="1399" w:type="dxa"/>
            <w:tcBorders>
              <w:top w:val="nil"/>
              <w:bottom w:val="nil"/>
            </w:tcBorders>
            <w:shd w:val="clear" w:color="auto" w:fill="auto"/>
            <w:vAlign w:val="center"/>
          </w:tcPr>
          <w:p w14:paraId="26532F37" w14:textId="17D28266" w:rsidR="002F1512" w:rsidRDefault="002F1512" w:rsidP="002F1512">
            <w:pPr>
              <w:pStyle w:val="08-Tabelageral"/>
              <w:ind w:left="113"/>
              <w:cnfStyle w:val="000000000000" w:firstRow="0" w:lastRow="0" w:firstColumn="0" w:lastColumn="0" w:oddVBand="0" w:evenVBand="0" w:oddHBand="0" w:evenHBand="0" w:firstRowFirstColumn="0" w:firstRowLastColumn="0" w:lastRowFirstColumn="0" w:lastRowLastColumn="0"/>
            </w:pPr>
            <w:r w:rsidRPr="009F4684">
              <w:t>(142</w:t>
            </w:r>
            <w:r>
              <w:t>,</w:t>
            </w:r>
            <w:r w:rsidRPr="009F4684">
              <w:t>440)</w:t>
            </w:r>
          </w:p>
        </w:tc>
        <w:tc>
          <w:tcPr>
            <w:tcW w:w="1160" w:type="dxa"/>
            <w:tcBorders>
              <w:top w:val="nil"/>
              <w:bottom w:val="nil"/>
            </w:tcBorders>
            <w:shd w:val="clear" w:color="auto" w:fill="auto"/>
            <w:vAlign w:val="center"/>
          </w:tcPr>
          <w:p w14:paraId="60471550" w14:textId="77777777" w:rsidR="002F1512" w:rsidRDefault="002F1512" w:rsidP="002F1512">
            <w:pPr>
              <w:pStyle w:val="08-Tabelageral"/>
              <w:ind w:left="113"/>
              <w:cnfStyle w:val="000000000000" w:firstRow="0" w:lastRow="0" w:firstColumn="0" w:lastColumn="0" w:oddVBand="0" w:evenVBand="0" w:oddHBand="0" w:evenHBand="0" w:firstRowFirstColumn="0" w:firstRowLastColumn="0" w:lastRowFirstColumn="0" w:lastRowLastColumn="0"/>
            </w:pPr>
            <w:r w:rsidRPr="00F3399C">
              <w:t>(260</w:t>
            </w:r>
            <w:r>
              <w:t>,</w:t>
            </w:r>
            <w:r w:rsidRPr="00F3399C">
              <w:t>87</w:t>
            </w:r>
            <w:r>
              <w:t>7</w:t>
            </w:r>
            <w:r w:rsidRPr="00F3399C">
              <w:t>)</w:t>
            </w:r>
          </w:p>
        </w:tc>
        <w:tc>
          <w:tcPr>
            <w:tcW w:w="1462" w:type="dxa"/>
            <w:tcBorders>
              <w:top w:val="nil"/>
              <w:bottom w:val="nil"/>
            </w:tcBorders>
            <w:shd w:val="clear" w:color="auto" w:fill="auto"/>
            <w:vAlign w:val="center"/>
          </w:tcPr>
          <w:p w14:paraId="22099114" w14:textId="77777777" w:rsidR="002F1512" w:rsidRPr="00F25D26" w:rsidRDefault="002F1512" w:rsidP="002F1512">
            <w:pPr>
              <w:pStyle w:val="08-Tabelageral"/>
              <w:ind w:left="113"/>
              <w:cnfStyle w:val="000000000000" w:firstRow="0" w:lastRow="0" w:firstColumn="0" w:lastColumn="0" w:oddVBand="0" w:evenVBand="0" w:oddHBand="0" w:evenHBand="0" w:firstRowFirstColumn="0" w:firstRowLastColumn="0" w:lastRowFirstColumn="0" w:lastRowLastColumn="0"/>
            </w:pPr>
            <w:r w:rsidRPr="003168AD">
              <w:t>(67</w:t>
            </w:r>
            <w:r>
              <w:t>,</w:t>
            </w:r>
            <w:r w:rsidRPr="003168AD">
              <w:t>422)</w:t>
            </w:r>
          </w:p>
        </w:tc>
        <w:tc>
          <w:tcPr>
            <w:tcW w:w="1532" w:type="dxa"/>
            <w:gridSpan w:val="2"/>
            <w:tcBorders>
              <w:top w:val="nil"/>
              <w:bottom w:val="nil"/>
            </w:tcBorders>
            <w:shd w:val="clear" w:color="auto" w:fill="auto"/>
            <w:vAlign w:val="center"/>
          </w:tcPr>
          <w:p w14:paraId="640F7F22" w14:textId="77777777" w:rsidR="002F1512" w:rsidRPr="00F25D26" w:rsidRDefault="002F1512" w:rsidP="002F1512">
            <w:pPr>
              <w:pStyle w:val="08-Tabelageral"/>
              <w:ind w:left="113"/>
              <w:cnfStyle w:val="000000000000" w:firstRow="0" w:lastRow="0" w:firstColumn="0" w:lastColumn="0" w:oddVBand="0" w:evenVBand="0" w:oddHBand="0" w:evenHBand="0" w:firstRowFirstColumn="0" w:firstRowLastColumn="0" w:lastRowFirstColumn="0" w:lastRowLastColumn="0"/>
            </w:pPr>
            <w:r w:rsidRPr="00A419B6">
              <w:t>(55</w:t>
            </w:r>
            <w:r>
              <w:t>,</w:t>
            </w:r>
            <w:r w:rsidRPr="00A419B6">
              <w:t>052)</w:t>
            </w:r>
          </w:p>
        </w:tc>
        <w:tc>
          <w:tcPr>
            <w:tcW w:w="241" w:type="dxa"/>
            <w:gridSpan w:val="2"/>
            <w:tcBorders>
              <w:top w:val="nil"/>
              <w:bottom w:val="nil"/>
            </w:tcBorders>
            <w:shd w:val="clear" w:color="auto" w:fill="auto"/>
            <w:vAlign w:val="center"/>
          </w:tcPr>
          <w:p w14:paraId="418D3782" w14:textId="77777777" w:rsidR="002F1512" w:rsidRPr="00F25D26" w:rsidRDefault="002F1512" w:rsidP="002F1512">
            <w:pPr>
              <w:pStyle w:val="08-Tabelageral"/>
              <w:ind w:left="113"/>
              <w:cnfStyle w:val="000000000000" w:firstRow="0" w:lastRow="0" w:firstColumn="0" w:lastColumn="0" w:oddVBand="0" w:evenVBand="0" w:oddHBand="0" w:evenHBand="0" w:firstRowFirstColumn="0" w:firstRowLastColumn="0" w:lastRowFirstColumn="0" w:lastRowLastColumn="0"/>
            </w:pPr>
          </w:p>
        </w:tc>
        <w:tc>
          <w:tcPr>
            <w:tcW w:w="1291" w:type="dxa"/>
            <w:tcBorders>
              <w:top w:val="nil"/>
              <w:bottom w:val="nil"/>
            </w:tcBorders>
            <w:shd w:val="clear" w:color="auto" w:fill="auto"/>
            <w:vAlign w:val="center"/>
          </w:tcPr>
          <w:p w14:paraId="61974F3D" w14:textId="77777777" w:rsidR="002F1512" w:rsidRDefault="002F1512" w:rsidP="002F1512">
            <w:pPr>
              <w:pStyle w:val="08-Tabelageral"/>
              <w:ind w:left="113"/>
              <w:cnfStyle w:val="000000000000" w:firstRow="0" w:lastRow="0" w:firstColumn="0" w:lastColumn="0" w:oddVBand="0" w:evenVBand="0" w:oddHBand="0" w:evenHBand="0" w:firstRowFirstColumn="0" w:firstRowLastColumn="0" w:lastRowFirstColumn="0" w:lastRowLastColumn="0"/>
            </w:pPr>
            <w:r w:rsidRPr="009F4684">
              <w:t>(142</w:t>
            </w:r>
            <w:r>
              <w:t>,</w:t>
            </w:r>
            <w:r w:rsidRPr="009F4684">
              <w:t>440)</w:t>
            </w:r>
          </w:p>
        </w:tc>
        <w:tc>
          <w:tcPr>
            <w:tcW w:w="1047" w:type="dxa"/>
            <w:tcBorders>
              <w:top w:val="nil"/>
              <w:bottom w:val="nil"/>
            </w:tcBorders>
            <w:shd w:val="clear" w:color="auto" w:fill="auto"/>
            <w:vAlign w:val="center"/>
          </w:tcPr>
          <w:p w14:paraId="04C7CF46" w14:textId="77777777" w:rsidR="002F1512" w:rsidRDefault="002F1512" w:rsidP="002F1512">
            <w:pPr>
              <w:pStyle w:val="08-Tabelageral"/>
              <w:ind w:left="113"/>
              <w:cnfStyle w:val="000000000000" w:firstRow="0" w:lastRow="0" w:firstColumn="0" w:lastColumn="0" w:oddVBand="0" w:evenVBand="0" w:oddHBand="0" w:evenHBand="0" w:firstRowFirstColumn="0" w:firstRowLastColumn="0" w:lastRowFirstColumn="0" w:lastRowLastColumn="0"/>
            </w:pPr>
            <w:r w:rsidRPr="00F3399C">
              <w:t>(260</w:t>
            </w:r>
            <w:r>
              <w:t>,</w:t>
            </w:r>
            <w:r w:rsidRPr="00F3399C">
              <w:t>87</w:t>
            </w:r>
            <w:r>
              <w:t>7</w:t>
            </w:r>
            <w:r w:rsidRPr="00F3399C">
              <w:t>)</w:t>
            </w:r>
          </w:p>
        </w:tc>
        <w:tc>
          <w:tcPr>
            <w:tcW w:w="1458" w:type="dxa"/>
            <w:tcBorders>
              <w:top w:val="nil"/>
              <w:bottom w:val="nil"/>
            </w:tcBorders>
            <w:shd w:val="clear" w:color="auto" w:fill="auto"/>
            <w:vAlign w:val="center"/>
          </w:tcPr>
          <w:p w14:paraId="00676A6E" w14:textId="77777777" w:rsidR="002F1512" w:rsidRPr="00F25D26" w:rsidRDefault="002F1512" w:rsidP="002F1512">
            <w:pPr>
              <w:pStyle w:val="08-Tabelageral"/>
              <w:ind w:left="113"/>
              <w:cnfStyle w:val="000000000000" w:firstRow="0" w:lastRow="0" w:firstColumn="0" w:lastColumn="0" w:oddVBand="0" w:evenVBand="0" w:oddHBand="0" w:evenHBand="0" w:firstRowFirstColumn="0" w:firstRowLastColumn="0" w:lastRowFirstColumn="0" w:lastRowLastColumn="0"/>
            </w:pPr>
            <w:r w:rsidRPr="003168AD">
              <w:t>(67</w:t>
            </w:r>
            <w:r>
              <w:t>,</w:t>
            </w:r>
            <w:r w:rsidRPr="003168AD">
              <w:t>422)</w:t>
            </w:r>
          </w:p>
        </w:tc>
        <w:tc>
          <w:tcPr>
            <w:tcW w:w="1474" w:type="dxa"/>
            <w:tcBorders>
              <w:top w:val="nil"/>
              <w:bottom w:val="nil"/>
            </w:tcBorders>
            <w:shd w:val="clear" w:color="auto" w:fill="auto"/>
            <w:vAlign w:val="center"/>
          </w:tcPr>
          <w:p w14:paraId="1A6AA1B4" w14:textId="77777777" w:rsidR="002F1512" w:rsidRPr="00F25D26" w:rsidRDefault="002F1512" w:rsidP="002F1512">
            <w:pPr>
              <w:pStyle w:val="08-Tabelageral"/>
              <w:ind w:left="113"/>
              <w:cnfStyle w:val="000000000000" w:firstRow="0" w:lastRow="0" w:firstColumn="0" w:lastColumn="0" w:oddVBand="0" w:evenVBand="0" w:oddHBand="0" w:evenHBand="0" w:firstRowFirstColumn="0" w:firstRowLastColumn="0" w:lastRowFirstColumn="0" w:lastRowLastColumn="0"/>
            </w:pPr>
            <w:r w:rsidRPr="00A419B6">
              <w:t>(55</w:t>
            </w:r>
            <w:r>
              <w:t>,</w:t>
            </w:r>
            <w:r w:rsidRPr="00A419B6">
              <w:t>052)</w:t>
            </w:r>
          </w:p>
        </w:tc>
      </w:tr>
      <w:tr w:rsidR="002F1512" w:rsidRPr="003E7906" w14:paraId="4E58949F" w14:textId="77777777" w:rsidTr="008B7E19">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3119" w:type="dxa"/>
            <w:tcBorders>
              <w:top w:val="nil"/>
              <w:bottom w:val="single" w:sz="2" w:space="0" w:color="8EAADB" w:themeColor="accent5" w:themeTint="99"/>
            </w:tcBorders>
            <w:shd w:val="clear" w:color="auto" w:fill="auto"/>
            <w:vAlign w:val="center"/>
          </w:tcPr>
          <w:p w14:paraId="7566BF23" w14:textId="77777777" w:rsidR="002F1512" w:rsidRPr="003E7906" w:rsidRDefault="002F1512" w:rsidP="002F1512">
            <w:pPr>
              <w:pStyle w:val="08-Tabelageral"/>
              <w:jc w:val="left"/>
              <w:rPr>
                <w:rFonts w:cs="Arial"/>
                <w:b w:val="0"/>
                <w:bCs w:val="0"/>
                <w:szCs w:val="14"/>
              </w:rPr>
            </w:pPr>
            <w:r w:rsidRPr="0095260E">
              <w:rPr>
                <w:rFonts w:cs="Arial"/>
                <w:szCs w:val="14"/>
              </w:rPr>
              <w:t>Total Comprehensive Income</w:t>
            </w:r>
          </w:p>
        </w:tc>
        <w:tc>
          <w:tcPr>
            <w:tcW w:w="559" w:type="dxa"/>
            <w:tcBorders>
              <w:top w:val="nil"/>
              <w:bottom w:val="single" w:sz="2" w:space="0" w:color="1F4E79" w:themeColor="accent1" w:themeShade="80"/>
            </w:tcBorders>
            <w:shd w:val="clear" w:color="auto" w:fill="auto"/>
            <w:vAlign w:val="center"/>
          </w:tcPr>
          <w:p w14:paraId="01BF976A" w14:textId="77777777" w:rsidR="002F1512" w:rsidRPr="003E7906" w:rsidRDefault="002F1512" w:rsidP="002F1512">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399" w:type="dxa"/>
            <w:tcBorders>
              <w:top w:val="nil"/>
              <w:bottom w:val="single" w:sz="2" w:space="0" w:color="1F4E79" w:themeColor="accent1" w:themeShade="80"/>
            </w:tcBorders>
            <w:shd w:val="clear" w:color="auto" w:fill="auto"/>
            <w:vAlign w:val="center"/>
          </w:tcPr>
          <w:p w14:paraId="2E206033" w14:textId="38CD72E2" w:rsidR="002F1512" w:rsidRPr="003504C3" w:rsidRDefault="002F1512" w:rsidP="002F1512">
            <w:pPr>
              <w:pStyle w:val="08-Tabelageral"/>
              <w:cnfStyle w:val="000000100000" w:firstRow="0" w:lastRow="0" w:firstColumn="0" w:lastColumn="0" w:oddVBand="0" w:evenVBand="0" w:oddHBand="1" w:evenHBand="0" w:firstRowFirstColumn="0" w:firstRowLastColumn="0" w:lastRowFirstColumn="0" w:lastRowLastColumn="0"/>
              <w:rPr>
                <w:b/>
              </w:rPr>
            </w:pPr>
            <w:r w:rsidRPr="009F4684">
              <w:rPr>
                <w:b/>
              </w:rPr>
              <w:t>2</w:t>
            </w:r>
            <w:r>
              <w:rPr>
                <w:b/>
              </w:rPr>
              <w:t>,</w:t>
            </w:r>
            <w:r w:rsidRPr="009F4684">
              <w:rPr>
                <w:b/>
              </w:rPr>
              <w:t>105</w:t>
            </w:r>
            <w:r>
              <w:rPr>
                <w:b/>
              </w:rPr>
              <w:t>,</w:t>
            </w:r>
            <w:r w:rsidRPr="009F4684">
              <w:rPr>
                <w:b/>
              </w:rPr>
              <w:t>768</w:t>
            </w:r>
          </w:p>
        </w:tc>
        <w:tc>
          <w:tcPr>
            <w:tcW w:w="1160" w:type="dxa"/>
            <w:tcBorders>
              <w:top w:val="nil"/>
              <w:bottom w:val="single" w:sz="2" w:space="0" w:color="1F4E79" w:themeColor="accent1" w:themeShade="80"/>
            </w:tcBorders>
            <w:shd w:val="clear" w:color="auto" w:fill="auto"/>
            <w:vAlign w:val="center"/>
          </w:tcPr>
          <w:p w14:paraId="2B176231" w14:textId="77777777" w:rsidR="002F1512" w:rsidRPr="003504C3" w:rsidRDefault="002F1512" w:rsidP="002F1512">
            <w:pPr>
              <w:pStyle w:val="08-Tabelageral"/>
              <w:cnfStyle w:val="000000100000" w:firstRow="0" w:lastRow="0" w:firstColumn="0" w:lastColumn="0" w:oddVBand="0" w:evenVBand="0" w:oddHBand="1" w:evenHBand="0" w:firstRowFirstColumn="0" w:firstRowLastColumn="0" w:lastRowFirstColumn="0" w:lastRowLastColumn="0"/>
              <w:rPr>
                <w:b/>
              </w:rPr>
            </w:pPr>
            <w:r w:rsidRPr="00F3399C">
              <w:rPr>
                <w:b/>
              </w:rPr>
              <w:t>4</w:t>
            </w:r>
            <w:r>
              <w:rPr>
                <w:b/>
              </w:rPr>
              <w:t>,</w:t>
            </w:r>
            <w:r w:rsidRPr="00F3399C">
              <w:rPr>
                <w:b/>
              </w:rPr>
              <w:t>116</w:t>
            </w:r>
            <w:r>
              <w:rPr>
                <w:b/>
              </w:rPr>
              <w:t>,</w:t>
            </w:r>
            <w:r w:rsidRPr="00F3399C">
              <w:rPr>
                <w:b/>
              </w:rPr>
              <w:t>39</w:t>
            </w:r>
            <w:r>
              <w:rPr>
                <w:b/>
              </w:rPr>
              <w:t>7</w:t>
            </w:r>
          </w:p>
        </w:tc>
        <w:tc>
          <w:tcPr>
            <w:tcW w:w="1462" w:type="dxa"/>
            <w:tcBorders>
              <w:top w:val="nil"/>
              <w:bottom w:val="single" w:sz="2" w:space="0" w:color="1F4E79" w:themeColor="accent1" w:themeShade="80"/>
            </w:tcBorders>
            <w:shd w:val="clear" w:color="auto" w:fill="auto"/>
            <w:vAlign w:val="center"/>
          </w:tcPr>
          <w:p w14:paraId="3B1EBE3A" w14:textId="77777777" w:rsidR="002F1512" w:rsidRPr="003E7906" w:rsidRDefault="002F1512" w:rsidP="002F1512">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3168AD">
              <w:rPr>
                <w:b/>
              </w:rPr>
              <w:t>1</w:t>
            </w:r>
            <w:r>
              <w:rPr>
                <w:b/>
              </w:rPr>
              <w:t>,</w:t>
            </w:r>
            <w:r w:rsidRPr="003168AD">
              <w:rPr>
                <w:b/>
              </w:rPr>
              <w:t>604</w:t>
            </w:r>
            <w:r>
              <w:rPr>
                <w:b/>
              </w:rPr>
              <w:t>,</w:t>
            </w:r>
            <w:r w:rsidRPr="003168AD">
              <w:rPr>
                <w:b/>
              </w:rPr>
              <w:t>860</w:t>
            </w:r>
          </w:p>
        </w:tc>
        <w:tc>
          <w:tcPr>
            <w:tcW w:w="1532" w:type="dxa"/>
            <w:gridSpan w:val="2"/>
            <w:tcBorders>
              <w:top w:val="nil"/>
              <w:bottom w:val="single" w:sz="2" w:space="0" w:color="1F4E79" w:themeColor="accent1" w:themeShade="80"/>
            </w:tcBorders>
            <w:shd w:val="clear" w:color="auto" w:fill="auto"/>
            <w:vAlign w:val="center"/>
          </w:tcPr>
          <w:p w14:paraId="25749B67" w14:textId="77777777" w:rsidR="002F1512" w:rsidRPr="003E7906" w:rsidRDefault="002F1512" w:rsidP="002F1512">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3168AD">
              <w:rPr>
                <w:b/>
              </w:rPr>
              <w:t>2</w:t>
            </w:r>
            <w:r>
              <w:rPr>
                <w:b/>
              </w:rPr>
              <w:t>,</w:t>
            </w:r>
            <w:r w:rsidRPr="003168AD">
              <w:rPr>
                <w:b/>
              </w:rPr>
              <w:t>795</w:t>
            </w:r>
            <w:r>
              <w:rPr>
                <w:b/>
              </w:rPr>
              <w:t>,</w:t>
            </w:r>
            <w:r w:rsidRPr="003168AD">
              <w:rPr>
                <w:b/>
              </w:rPr>
              <w:t>821</w:t>
            </w:r>
          </w:p>
        </w:tc>
        <w:tc>
          <w:tcPr>
            <w:tcW w:w="241" w:type="dxa"/>
            <w:gridSpan w:val="2"/>
            <w:tcBorders>
              <w:top w:val="nil"/>
              <w:bottom w:val="single" w:sz="2" w:space="0" w:color="1F4E79" w:themeColor="accent1" w:themeShade="80"/>
            </w:tcBorders>
            <w:shd w:val="clear" w:color="auto" w:fill="auto"/>
            <w:vAlign w:val="center"/>
          </w:tcPr>
          <w:p w14:paraId="057A7A37" w14:textId="77777777" w:rsidR="002F1512" w:rsidRPr="003E7906" w:rsidRDefault="002F1512" w:rsidP="002F1512">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291" w:type="dxa"/>
            <w:tcBorders>
              <w:top w:val="nil"/>
              <w:bottom w:val="single" w:sz="2" w:space="0" w:color="1F4E79" w:themeColor="accent1" w:themeShade="80"/>
            </w:tcBorders>
            <w:shd w:val="clear" w:color="auto" w:fill="auto"/>
            <w:vAlign w:val="center"/>
          </w:tcPr>
          <w:p w14:paraId="46AF4182" w14:textId="77777777" w:rsidR="002F1512" w:rsidRPr="003504C3" w:rsidRDefault="002F1512" w:rsidP="002F1512">
            <w:pPr>
              <w:pStyle w:val="08-Tabelageral"/>
              <w:cnfStyle w:val="000000100000" w:firstRow="0" w:lastRow="0" w:firstColumn="0" w:lastColumn="0" w:oddVBand="0" w:evenVBand="0" w:oddHBand="1" w:evenHBand="0" w:firstRowFirstColumn="0" w:firstRowLastColumn="0" w:lastRowFirstColumn="0" w:lastRowLastColumn="0"/>
              <w:rPr>
                <w:b/>
              </w:rPr>
            </w:pPr>
            <w:r w:rsidRPr="009F4684">
              <w:rPr>
                <w:b/>
              </w:rPr>
              <w:t>2</w:t>
            </w:r>
            <w:r>
              <w:rPr>
                <w:b/>
              </w:rPr>
              <w:t>,</w:t>
            </w:r>
            <w:r w:rsidRPr="009F4684">
              <w:rPr>
                <w:b/>
              </w:rPr>
              <w:t>105</w:t>
            </w:r>
            <w:r>
              <w:rPr>
                <w:b/>
              </w:rPr>
              <w:t>,</w:t>
            </w:r>
            <w:r w:rsidRPr="009F4684">
              <w:rPr>
                <w:b/>
              </w:rPr>
              <w:t>768</w:t>
            </w:r>
          </w:p>
        </w:tc>
        <w:tc>
          <w:tcPr>
            <w:tcW w:w="1047" w:type="dxa"/>
            <w:tcBorders>
              <w:top w:val="nil"/>
              <w:bottom w:val="single" w:sz="2" w:space="0" w:color="1F4E79" w:themeColor="accent1" w:themeShade="80"/>
            </w:tcBorders>
            <w:shd w:val="clear" w:color="auto" w:fill="auto"/>
            <w:vAlign w:val="center"/>
          </w:tcPr>
          <w:p w14:paraId="4C70F48A" w14:textId="77777777" w:rsidR="002F1512" w:rsidRPr="003504C3" w:rsidRDefault="002F1512" w:rsidP="002F1512">
            <w:pPr>
              <w:pStyle w:val="08-Tabelageral"/>
              <w:cnfStyle w:val="000000100000" w:firstRow="0" w:lastRow="0" w:firstColumn="0" w:lastColumn="0" w:oddVBand="0" w:evenVBand="0" w:oddHBand="1" w:evenHBand="0" w:firstRowFirstColumn="0" w:firstRowLastColumn="0" w:lastRowFirstColumn="0" w:lastRowLastColumn="0"/>
              <w:rPr>
                <w:b/>
              </w:rPr>
            </w:pPr>
            <w:r w:rsidRPr="00F3399C">
              <w:rPr>
                <w:b/>
              </w:rPr>
              <w:t>4</w:t>
            </w:r>
            <w:r>
              <w:rPr>
                <w:b/>
              </w:rPr>
              <w:t>,</w:t>
            </w:r>
            <w:r w:rsidRPr="00F3399C">
              <w:rPr>
                <w:b/>
              </w:rPr>
              <w:t>116</w:t>
            </w:r>
            <w:r>
              <w:rPr>
                <w:b/>
              </w:rPr>
              <w:t>,</w:t>
            </w:r>
            <w:r w:rsidRPr="00F3399C">
              <w:rPr>
                <w:b/>
              </w:rPr>
              <w:t>39</w:t>
            </w:r>
            <w:r>
              <w:rPr>
                <w:b/>
              </w:rPr>
              <w:t>7</w:t>
            </w:r>
          </w:p>
        </w:tc>
        <w:tc>
          <w:tcPr>
            <w:tcW w:w="1458" w:type="dxa"/>
            <w:tcBorders>
              <w:top w:val="nil"/>
              <w:bottom w:val="single" w:sz="2" w:space="0" w:color="1F4E79" w:themeColor="accent1" w:themeShade="80"/>
            </w:tcBorders>
            <w:shd w:val="clear" w:color="auto" w:fill="auto"/>
            <w:vAlign w:val="center"/>
          </w:tcPr>
          <w:p w14:paraId="24622395" w14:textId="77777777" w:rsidR="002F1512" w:rsidRPr="003E7906" w:rsidRDefault="002F1512" w:rsidP="002F1512">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3168AD">
              <w:rPr>
                <w:b/>
              </w:rPr>
              <w:t>1</w:t>
            </w:r>
            <w:r>
              <w:rPr>
                <w:b/>
              </w:rPr>
              <w:t>,</w:t>
            </w:r>
            <w:r w:rsidRPr="003168AD">
              <w:rPr>
                <w:b/>
              </w:rPr>
              <w:t>604</w:t>
            </w:r>
            <w:r>
              <w:rPr>
                <w:b/>
              </w:rPr>
              <w:t>,</w:t>
            </w:r>
            <w:r w:rsidRPr="003168AD">
              <w:rPr>
                <w:b/>
              </w:rPr>
              <w:t>860</w:t>
            </w:r>
          </w:p>
        </w:tc>
        <w:tc>
          <w:tcPr>
            <w:tcW w:w="1474" w:type="dxa"/>
            <w:tcBorders>
              <w:top w:val="nil"/>
              <w:bottom w:val="single" w:sz="2" w:space="0" w:color="1F4E79" w:themeColor="accent1" w:themeShade="80"/>
            </w:tcBorders>
            <w:shd w:val="clear" w:color="auto" w:fill="auto"/>
            <w:vAlign w:val="center"/>
          </w:tcPr>
          <w:p w14:paraId="63FBCF9D" w14:textId="77777777" w:rsidR="002F1512" w:rsidRPr="003E7906" w:rsidRDefault="002F1512" w:rsidP="002F1512">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3168AD">
              <w:rPr>
                <w:b/>
              </w:rPr>
              <w:t>2</w:t>
            </w:r>
            <w:r>
              <w:rPr>
                <w:b/>
              </w:rPr>
              <w:t>,</w:t>
            </w:r>
            <w:r w:rsidRPr="003168AD">
              <w:rPr>
                <w:b/>
              </w:rPr>
              <w:t>795</w:t>
            </w:r>
            <w:r>
              <w:rPr>
                <w:b/>
              </w:rPr>
              <w:t>,</w:t>
            </w:r>
            <w:r w:rsidRPr="003168AD">
              <w:rPr>
                <w:b/>
              </w:rPr>
              <w:t>821</w:t>
            </w:r>
          </w:p>
        </w:tc>
      </w:tr>
    </w:tbl>
    <w:p w14:paraId="374A88C1" w14:textId="77777777" w:rsidR="008B7E19" w:rsidRPr="00C929DB" w:rsidRDefault="008B7E19" w:rsidP="008B7E19">
      <w:pPr>
        <w:rPr>
          <w:rFonts w:cs="Arial"/>
          <w:sz w:val="14"/>
          <w:szCs w:val="14"/>
          <w:lang w:val="en-US"/>
        </w:rPr>
      </w:pPr>
      <w:r w:rsidRPr="00C929DB">
        <w:rPr>
          <w:rFonts w:cs="Arial"/>
          <w:sz w:val="14"/>
          <w:szCs w:val="14"/>
          <w:lang w:val="en-US"/>
        </w:rPr>
        <w:t>The explanatory notes are an integral part of the interim financial statements. The opening balance sheet and restatements refer to the adoption of CPC 50 [IFRS 17] – Insurance Contracts and CPC 48 [IFRS 9] – Financial Instruments, whose effects are detailed in Note 03 - Presentation of Financial Statements.</w:t>
      </w:r>
    </w:p>
    <w:p w14:paraId="416D2AA8" w14:textId="77777777" w:rsidR="008B7E19" w:rsidRPr="00C929DB" w:rsidRDefault="008B7E19" w:rsidP="008B7E19">
      <w:pPr>
        <w:rPr>
          <w:rFonts w:cs="Arial"/>
          <w:sz w:val="14"/>
          <w:szCs w:val="14"/>
          <w:lang w:val="en-US"/>
        </w:rPr>
      </w:pPr>
    </w:p>
    <w:p w14:paraId="140A4101" w14:textId="77777777" w:rsidR="008B7E19" w:rsidRPr="00C929DB" w:rsidRDefault="008B7E19" w:rsidP="008B7E19">
      <w:pPr>
        <w:rPr>
          <w:rFonts w:cs="Arial"/>
          <w:sz w:val="14"/>
          <w:szCs w:val="14"/>
          <w:lang w:val="en-US"/>
        </w:rPr>
        <w:sectPr w:rsidR="008B7E19" w:rsidRPr="00C929DB" w:rsidSect="00A64F1A">
          <w:headerReference w:type="default" r:id="rId22"/>
          <w:pgSz w:w="16838" w:h="11906" w:orient="landscape" w:code="9"/>
          <w:pgMar w:top="1134" w:right="1134" w:bottom="1134" w:left="851" w:header="851" w:footer="284" w:gutter="0"/>
          <w:cols w:space="708"/>
          <w:docGrid w:linePitch="360"/>
        </w:sectPr>
      </w:pPr>
    </w:p>
    <w:p w14:paraId="686C9243" w14:textId="77777777" w:rsidR="008B7E19" w:rsidRPr="00BA4C93" w:rsidRDefault="008B7E19" w:rsidP="008B7E19">
      <w:pPr>
        <w:pStyle w:val="Ttulo1"/>
        <w:rPr>
          <w:b w:val="0"/>
          <w:bCs w:val="0"/>
        </w:rPr>
      </w:pPr>
      <w:bookmarkStart w:id="8" w:name="_Toc28866214"/>
      <w:bookmarkStart w:id="9" w:name="_Toc141966674"/>
      <w:r w:rsidRPr="00BA4C93">
        <w:t>BALANCE SHEET</w:t>
      </w:r>
      <w:bookmarkEnd w:id="8"/>
      <w:bookmarkEnd w:id="9"/>
    </w:p>
    <w:p w14:paraId="2833F872" w14:textId="77777777" w:rsidR="008B7E19" w:rsidRPr="0004323A" w:rsidRDefault="008B7E19" w:rsidP="008B7E19">
      <w:pPr>
        <w:pStyle w:val="01-TtulodeNota"/>
        <w:spacing w:before="0" w:after="0"/>
        <w:jc w:val="right"/>
        <w:rPr>
          <w:sz w:val="12"/>
          <w:szCs w:val="12"/>
        </w:rPr>
      </w:pPr>
      <w:r w:rsidRPr="00433D91">
        <w:rPr>
          <w:sz w:val="14"/>
          <w:szCs w:val="12"/>
        </w:rPr>
        <w:t>R$</w:t>
      </w:r>
      <w:r w:rsidRPr="00C27294">
        <w:rPr>
          <w:sz w:val="12"/>
          <w:szCs w:val="12"/>
        </w:rPr>
        <w:t xml:space="preserve"> </w:t>
      </w:r>
      <w:r w:rsidRPr="00433D91">
        <w:rPr>
          <w:sz w:val="14"/>
          <w:szCs w:val="12"/>
        </w:rPr>
        <w:t>thousand</w:t>
      </w:r>
    </w:p>
    <w:tbl>
      <w:tblPr>
        <w:tblStyle w:val="TabeladeLista6Colorida-nfase5"/>
        <w:tblW w:w="9639" w:type="dxa"/>
        <w:jc w:val="center"/>
        <w:tblLayout w:type="fixed"/>
        <w:tblLook w:val="04A0" w:firstRow="1" w:lastRow="0" w:firstColumn="1" w:lastColumn="0" w:noHBand="0" w:noVBand="1"/>
      </w:tblPr>
      <w:tblGrid>
        <w:gridCol w:w="2119"/>
        <w:gridCol w:w="700"/>
        <w:gridCol w:w="1120"/>
        <w:gridCol w:w="1169"/>
        <w:gridCol w:w="842"/>
        <w:gridCol w:w="151"/>
        <w:gridCol w:w="46"/>
        <w:gridCol w:w="240"/>
        <w:gridCol w:w="277"/>
        <w:gridCol w:w="840"/>
        <w:gridCol w:w="156"/>
        <w:gridCol w:w="940"/>
        <w:gridCol w:w="49"/>
        <w:gridCol w:w="990"/>
      </w:tblGrid>
      <w:tr w:rsidR="008B7E19" w14:paraId="1509E00C" w14:textId="77777777" w:rsidTr="008B7E19">
        <w:trPr>
          <w:cnfStyle w:val="100000000000" w:firstRow="1" w:lastRow="0" w:firstColumn="0" w:lastColumn="0" w:oddVBand="0" w:evenVBand="0" w:oddHBand="0" w:evenHBand="0" w:firstRowFirstColumn="0" w:firstRowLastColumn="0" w:lastRowFirstColumn="0" w:lastRowLastColumn="0"/>
          <w:trHeight w:hRule="exact" w:val="283"/>
          <w:jc w:val="center"/>
        </w:trPr>
        <w:tc>
          <w:tcPr>
            <w:cnfStyle w:val="001000000000" w:firstRow="0" w:lastRow="0" w:firstColumn="1" w:lastColumn="0" w:oddVBand="0" w:evenVBand="0" w:oddHBand="0" w:evenHBand="0" w:firstRowFirstColumn="0" w:firstRowLastColumn="0" w:lastRowFirstColumn="0" w:lastRowLastColumn="0"/>
            <w:tcW w:w="2119" w:type="dxa"/>
            <w:tcBorders>
              <w:top w:val="single" w:sz="2" w:space="0" w:color="1F4E79" w:themeColor="accent1" w:themeShade="80"/>
              <w:bottom w:val="nil"/>
            </w:tcBorders>
            <w:shd w:val="clear" w:color="auto" w:fill="auto"/>
            <w:vAlign w:val="center"/>
          </w:tcPr>
          <w:p w14:paraId="6CCEFAAA" w14:textId="77777777" w:rsidR="008B7E19" w:rsidRPr="001D6BE8" w:rsidRDefault="008B7E19" w:rsidP="008B7E19">
            <w:pPr>
              <w:jc w:val="center"/>
              <w:rPr>
                <w:rFonts w:cs="Arial"/>
                <w:b w:val="0"/>
                <w:szCs w:val="18"/>
              </w:rPr>
            </w:pPr>
          </w:p>
        </w:tc>
        <w:tc>
          <w:tcPr>
            <w:tcW w:w="700" w:type="dxa"/>
            <w:tcBorders>
              <w:top w:val="single" w:sz="2" w:space="0" w:color="1F4E79" w:themeColor="accent1" w:themeShade="80"/>
              <w:bottom w:val="nil"/>
            </w:tcBorders>
            <w:shd w:val="clear" w:color="auto" w:fill="auto"/>
            <w:vAlign w:val="center"/>
          </w:tcPr>
          <w:p w14:paraId="5B733003" w14:textId="77777777" w:rsidR="008B7E19" w:rsidRPr="001D6BE8" w:rsidRDefault="008B7E19" w:rsidP="008B7E19">
            <w:pPr>
              <w:jc w:val="center"/>
              <w:cnfStyle w:val="100000000000" w:firstRow="1" w:lastRow="0" w:firstColumn="0" w:lastColumn="0" w:oddVBand="0" w:evenVBand="0" w:oddHBand="0" w:evenHBand="0" w:firstRowFirstColumn="0" w:firstRowLastColumn="0" w:lastRowFirstColumn="0" w:lastRowLastColumn="0"/>
              <w:rPr>
                <w:rFonts w:cs="Arial"/>
                <w:b w:val="0"/>
                <w:szCs w:val="18"/>
              </w:rPr>
            </w:pPr>
          </w:p>
        </w:tc>
        <w:tc>
          <w:tcPr>
            <w:tcW w:w="3131" w:type="dxa"/>
            <w:gridSpan w:val="3"/>
            <w:tcBorders>
              <w:top w:val="single" w:sz="2" w:space="0" w:color="1F4E79" w:themeColor="accent1" w:themeShade="80"/>
              <w:bottom w:val="single" w:sz="2" w:space="0" w:color="1F4E79" w:themeColor="accent1" w:themeShade="80"/>
            </w:tcBorders>
            <w:shd w:val="clear" w:color="auto" w:fill="auto"/>
            <w:vAlign w:val="center"/>
          </w:tcPr>
          <w:p w14:paraId="6D05BE6D" w14:textId="77777777" w:rsidR="008B7E19" w:rsidRPr="0038031F" w:rsidRDefault="008B7E19" w:rsidP="008B7E19">
            <w:pPr>
              <w:jc w:val="center"/>
              <w:cnfStyle w:val="100000000000" w:firstRow="1" w:lastRow="0" w:firstColumn="0" w:lastColumn="0" w:oddVBand="0" w:evenVBand="0" w:oddHBand="0" w:evenHBand="0" w:firstRowFirstColumn="0" w:firstRowLastColumn="0" w:lastRowFirstColumn="0" w:lastRowLastColumn="0"/>
              <w:rPr>
                <w:rFonts w:cs="Arial"/>
                <w:sz w:val="14"/>
                <w:szCs w:val="18"/>
              </w:rPr>
            </w:pPr>
            <w:r w:rsidRPr="00C27294">
              <w:rPr>
                <w:rFonts w:cs="Arial"/>
                <w:sz w:val="14"/>
                <w:szCs w:val="18"/>
              </w:rPr>
              <w:t>Parent</w:t>
            </w:r>
          </w:p>
        </w:tc>
        <w:tc>
          <w:tcPr>
            <w:tcW w:w="714" w:type="dxa"/>
            <w:gridSpan w:val="4"/>
            <w:tcBorders>
              <w:top w:val="single" w:sz="2" w:space="0" w:color="1F4E79" w:themeColor="accent1" w:themeShade="80"/>
              <w:bottom w:val="nil"/>
            </w:tcBorders>
            <w:shd w:val="clear" w:color="auto" w:fill="auto"/>
            <w:vAlign w:val="center"/>
          </w:tcPr>
          <w:p w14:paraId="1067458D" w14:textId="77777777" w:rsidR="008B7E19" w:rsidRPr="001D6BE8" w:rsidRDefault="008B7E19" w:rsidP="008B7E19">
            <w:pPr>
              <w:jc w:val="center"/>
              <w:cnfStyle w:val="100000000000" w:firstRow="1" w:lastRow="0" w:firstColumn="0" w:lastColumn="0" w:oddVBand="0" w:evenVBand="0" w:oddHBand="0" w:evenHBand="0" w:firstRowFirstColumn="0" w:firstRowLastColumn="0" w:lastRowFirstColumn="0" w:lastRowLastColumn="0"/>
              <w:rPr>
                <w:rFonts w:cs="Arial"/>
                <w:b w:val="0"/>
                <w:szCs w:val="18"/>
              </w:rPr>
            </w:pPr>
          </w:p>
        </w:tc>
        <w:tc>
          <w:tcPr>
            <w:tcW w:w="2975" w:type="dxa"/>
            <w:gridSpan w:val="5"/>
            <w:tcBorders>
              <w:top w:val="single" w:sz="2" w:space="0" w:color="1F4E79" w:themeColor="accent1" w:themeShade="80"/>
              <w:bottom w:val="single" w:sz="2" w:space="0" w:color="1F4E79" w:themeColor="accent1" w:themeShade="80"/>
            </w:tcBorders>
            <w:vAlign w:val="center"/>
          </w:tcPr>
          <w:p w14:paraId="64E3DFB4" w14:textId="77777777" w:rsidR="008B7E19" w:rsidRPr="0038031F" w:rsidRDefault="008B7E19" w:rsidP="008B7E19">
            <w:pPr>
              <w:jc w:val="center"/>
              <w:cnfStyle w:val="100000000000" w:firstRow="1" w:lastRow="0" w:firstColumn="0" w:lastColumn="0" w:oddVBand="0" w:evenVBand="0" w:oddHBand="0" w:evenHBand="0" w:firstRowFirstColumn="0" w:firstRowLastColumn="0" w:lastRowFirstColumn="0" w:lastRowLastColumn="0"/>
              <w:rPr>
                <w:rFonts w:cs="Arial"/>
                <w:szCs w:val="18"/>
              </w:rPr>
            </w:pPr>
            <w:r w:rsidRPr="00C27294">
              <w:rPr>
                <w:rFonts w:cs="Arial"/>
                <w:sz w:val="14"/>
                <w:szCs w:val="18"/>
              </w:rPr>
              <w:t>Consolidated</w:t>
            </w:r>
          </w:p>
        </w:tc>
      </w:tr>
      <w:tr w:rsidR="008B7E19" w:rsidRPr="001D6BE8" w14:paraId="340531AC" w14:textId="77777777" w:rsidTr="008B7E19">
        <w:trPr>
          <w:cnfStyle w:val="000000100000" w:firstRow="0" w:lastRow="0" w:firstColumn="0" w:lastColumn="0" w:oddVBand="0" w:evenVBand="0" w:oddHBand="1" w:evenHBand="0" w:firstRowFirstColumn="0" w:firstRowLastColumn="0" w:lastRowFirstColumn="0" w:lastRowLastColumn="0"/>
          <w:trHeight w:hRule="exact" w:val="681"/>
          <w:jc w:val="center"/>
        </w:trPr>
        <w:tc>
          <w:tcPr>
            <w:cnfStyle w:val="001000000000" w:firstRow="0" w:lastRow="0" w:firstColumn="1" w:lastColumn="0" w:oddVBand="0" w:evenVBand="0" w:oddHBand="0" w:evenHBand="0" w:firstRowFirstColumn="0" w:firstRowLastColumn="0" w:lastRowFirstColumn="0" w:lastRowLastColumn="0"/>
            <w:tcW w:w="2119" w:type="dxa"/>
            <w:tcBorders>
              <w:top w:val="nil"/>
              <w:bottom w:val="single" w:sz="2" w:space="0" w:color="1F4E79" w:themeColor="accent1" w:themeShade="80"/>
            </w:tcBorders>
            <w:shd w:val="clear" w:color="auto" w:fill="auto"/>
            <w:vAlign w:val="center"/>
          </w:tcPr>
          <w:p w14:paraId="36E4F62A" w14:textId="77777777" w:rsidR="008B7E19" w:rsidRPr="001D6BE8" w:rsidRDefault="008B7E19" w:rsidP="008B7E19">
            <w:pPr>
              <w:pStyle w:val="08-Tabelageral"/>
              <w:jc w:val="left"/>
              <w:rPr>
                <w:rFonts w:cs="Arial"/>
                <w:b w:val="0"/>
              </w:rPr>
            </w:pPr>
          </w:p>
        </w:tc>
        <w:tc>
          <w:tcPr>
            <w:tcW w:w="700" w:type="dxa"/>
            <w:tcBorders>
              <w:top w:val="nil"/>
              <w:bottom w:val="single" w:sz="2" w:space="0" w:color="1F4E79" w:themeColor="accent1" w:themeShade="80"/>
            </w:tcBorders>
            <w:shd w:val="clear" w:color="auto" w:fill="auto"/>
            <w:vAlign w:val="center"/>
          </w:tcPr>
          <w:p w14:paraId="08C47FE1" w14:textId="77777777" w:rsidR="008B7E19" w:rsidRPr="001D6BE8" w:rsidRDefault="008B7E19" w:rsidP="008B7E19">
            <w:pPr>
              <w:pStyle w:val="08-Tabelageral"/>
              <w:jc w:val="center"/>
              <w:cnfStyle w:val="000000100000" w:firstRow="0" w:lastRow="0" w:firstColumn="0" w:lastColumn="0" w:oddVBand="0" w:evenVBand="0" w:oddHBand="1" w:evenHBand="0" w:firstRowFirstColumn="0" w:firstRowLastColumn="0" w:lastRowFirstColumn="0" w:lastRowLastColumn="0"/>
              <w:rPr>
                <w:rFonts w:cs="Arial"/>
                <w:b/>
              </w:rPr>
            </w:pPr>
            <w:r>
              <w:rPr>
                <w:rFonts w:cs="Arial"/>
                <w:b/>
              </w:rPr>
              <w:t>Note</w:t>
            </w:r>
          </w:p>
        </w:tc>
        <w:tc>
          <w:tcPr>
            <w:tcW w:w="1120" w:type="dxa"/>
            <w:tcBorders>
              <w:top w:val="single" w:sz="2" w:space="0" w:color="1F4E79" w:themeColor="accent1" w:themeShade="80"/>
              <w:bottom w:val="single" w:sz="2" w:space="0" w:color="1F4E79" w:themeColor="accent1" w:themeShade="80"/>
            </w:tcBorders>
            <w:shd w:val="clear" w:color="auto" w:fill="auto"/>
            <w:vAlign w:val="center"/>
          </w:tcPr>
          <w:p w14:paraId="756A8D50" w14:textId="77777777" w:rsidR="008B7E19" w:rsidRPr="001D6BE8"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7C6442">
              <w:rPr>
                <w:rFonts w:cs="Arial"/>
                <w:b/>
              </w:rPr>
              <w:t>June 30, 202</w:t>
            </w:r>
            <w:r>
              <w:rPr>
                <w:rFonts w:cs="Arial"/>
                <w:b/>
              </w:rPr>
              <w:t>3</w:t>
            </w:r>
          </w:p>
        </w:tc>
        <w:tc>
          <w:tcPr>
            <w:tcW w:w="1169" w:type="dxa"/>
            <w:tcBorders>
              <w:top w:val="single" w:sz="2" w:space="0" w:color="1F4E79" w:themeColor="accent1" w:themeShade="80"/>
              <w:bottom w:val="single" w:sz="2" w:space="0" w:color="1F4E79" w:themeColor="accent1" w:themeShade="80"/>
            </w:tcBorders>
            <w:shd w:val="clear" w:color="auto" w:fill="auto"/>
            <w:vAlign w:val="center"/>
          </w:tcPr>
          <w:p w14:paraId="13BC2735" w14:textId="77777777" w:rsidR="008B7E19"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40437F">
              <w:rPr>
                <w:rFonts w:cs="Arial"/>
                <w:b/>
              </w:rPr>
              <w:t>Dec 31, 202</w:t>
            </w:r>
            <w:r>
              <w:rPr>
                <w:rFonts w:cs="Arial"/>
                <w:b/>
              </w:rPr>
              <w:t>2</w:t>
            </w:r>
          </w:p>
          <w:p w14:paraId="3438DA85" w14:textId="77777777" w:rsidR="008B7E19"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2E1E12">
              <w:rPr>
                <w:rFonts w:cs="Arial"/>
                <w:b/>
              </w:rPr>
              <w:t>Restated balances</w:t>
            </w:r>
          </w:p>
        </w:tc>
        <w:tc>
          <w:tcPr>
            <w:tcW w:w="1039" w:type="dxa"/>
            <w:gridSpan w:val="3"/>
            <w:tcBorders>
              <w:top w:val="single" w:sz="2" w:space="0" w:color="1F4E79" w:themeColor="accent1" w:themeShade="80"/>
              <w:bottom w:val="single" w:sz="2" w:space="0" w:color="1F4E79" w:themeColor="accent1" w:themeShade="80"/>
            </w:tcBorders>
            <w:shd w:val="clear" w:color="auto" w:fill="auto"/>
            <w:vAlign w:val="center"/>
          </w:tcPr>
          <w:p w14:paraId="0423F7FD" w14:textId="77777777" w:rsidR="008B7E19" w:rsidRPr="001D6BE8"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b/>
              </w:rPr>
            </w:pPr>
            <w:r>
              <w:rPr>
                <w:rFonts w:cs="Arial"/>
                <w:b/>
              </w:rPr>
              <w:t>Jan</w:t>
            </w:r>
            <w:r w:rsidRPr="00B50260">
              <w:rPr>
                <w:rFonts w:cs="Arial"/>
                <w:b/>
              </w:rPr>
              <w:t xml:space="preserve"> </w:t>
            </w:r>
            <w:r>
              <w:rPr>
                <w:rFonts w:cs="Arial"/>
                <w:b/>
              </w:rPr>
              <w:t>0</w:t>
            </w:r>
            <w:r w:rsidRPr="00B50260">
              <w:rPr>
                <w:rFonts w:cs="Arial"/>
                <w:b/>
              </w:rPr>
              <w:t>1, 2022</w:t>
            </w:r>
            <w:r w:rsidRPr="00B50260">
              <w:rPr>
                <w:rFonts w:cs="Arial"/>
                <w:b/>
                <w:highlight w:val="yellow"/>
              </w:rPr>
              <w:t xml:space="preserve"> </w:t>
            </w:r>
            <w:r w:rsidRPr="0035405F">
              <w:rPr>
                <w:rFonts w:cs="Arial"/>
                <w:b/>
              </w:rPr>
              <w:t>(opening balance)</w:t>
            </w:r>
          </w:p>
        </w:tc>
        <w:tc>
          <w:tcPr>
            <w:tcW w:w="240" w:type="dxa"/>
            <w:tcBorders>
              <w:top w:val="nil"/>
              <w:bottom w:val="nil"/>
            </w:tcBorders>
            <w:shd w:val="clear" w:color="auto" w:fill="auto"/>
            <w:vAlign w:val="center"/>
          </w:tcPr>
          <w:p w14:paraId="72ED45F3" w14:textId="77777777" w:rsidR="008B7E19" w:rsidRPr="001D6BE8"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b/>
              </w:rPr>
            </w:pPr>
          </w:p>
        </w:tc>
        <w:tc>
          <w:tcPr>
            <w:tcW w:w="1117" w:type="dxa"/>
            <w:gridSpan w:val="2"/>
            <w:tcBorders>
              <w:top w:val="single" w:sz="2" w:space="0" w:color="1F4E79" w:themeColor="accent1" w:themeShade="80"/>
              <w:bottom w:val="single" w:sz="2" w:space="0" w:color="1F4E79" w:themeColor="accent1" w:themeShade="80"/>
            </w:tcBorders>
            <w:shd w:val="clear" w:color="auto" w:fill="auto"/>
            <w:vAlign w:val="center"/>
          </w:tcPr>
          <w:p w14:paraId="13A17F74" w14:textId="77777777" w:rsidR="008B7E19" w:rsidRPr="001D6BE8"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7C6442">
              <w:rPr>
                <w:rFonts w:cs="Arial"/>
                <w:b/>
              </w:rPr>
              <w:t>June 30, 202</w:t>
            </w:r>
            <w:r>
              <w:rPr>
                <w:rFonts w:cs="Arial"/>
                <w:b/>
              </w:rPr>
              <w:t>3</w:t>
            </w:r>
          </w:p>
        </w:tc>
        <w:tc>
          <w:tcPr>
            <w:tcW w:w="1096" w:type="dxa"/>
            <w:gridSpan w:val="2"/>
            <w:tcBorders>
              <w:top w:val="single" w:sz="2" w:space="0" w:color="1F4E79" w:themeColor="accent1" w:themeShade="80"/>
              <w:bottom w:val="single" w:sz="2" w:space="0" w:color="1F4E79" w:themeColor="accent1" w:themeShade="80"/>
            </w:tcBorders>
            <w:shd w:val="clear" w:color="auto" w:fill="auto"/>
            <w:vAlign w:val="center"/>
          </w:tcPr>
          <w:p w14:paraId="35A34881" w14:textId="77777777" w:rsidR="008B7E19"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40437F">
              <w:rPr>
                <w:rFonts w:cs="Arial"/>
                <w:b/>
              </w:rPr>
              <w:t>Dec 31, 202</w:t>
            </w:r>
            <w:r>
              <w:rPr>
                <w:rFonts w:cs="Arial"/>
                <w:b/>
              </w:rPr>
              <w:t>2</w:t>
            </w:r>
            <w:r w:rsidRPr="0040437F">
              <w:rPr>
                <w:rFonts w:cs="Arial"/>
                <w:b/>
              </w:rPr>
              <w:t xml:space="preserve"> </w:t>
            </w:r>
          </w:p>
          <w:p w14:paraId="54213BA7" w14:textId="77777777" w:rsidR="008B7E19"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2E1E12">
              <w:rPr>
                <w:rFonts w:cs="Arial"/>
                <w:b/>
              </w:rPr>
              <w:t>Restated balances</w:t>
            </w:r>
          </w:p>
        </w:tc>
        <w:tc>
          <w:tcPr>
            <w:tcW w:w="1039" w:type="dxa"/>
            <w:gridSpan w:val="2"/>
            <w:tcBorders>
              <w:top w:val="single" w:sz="2" w:space="0" w:color="1F4E79" w:themeColor="accent1" w:themeShade="80"/>
              <w:bottom w:val="single" w:sz="2" w:space="0" w:color="1F4E79" w:themeColor="accent1" w:themeShade="80"/>
            </w:tcBorders>
            <w:shd w:val="clear" w:color="auto" w:fill="auto"/>
            <w:vAlign w:val="center"/>
          </w:tcPr>
          <w:p w14:paraId="19FA57C0" w14:textId="77777777" w:rsidR="008B7E19" w:rsidRPr="001D6BE8"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b/>
              </w:rPr>
            </w:pPr>
            <w:r>
              <w:rPr>
                <w:rFonts w:cs="Arial"/>
                <w:b/>
              </w:rPr>
              <w:t>Jan</w:t>
            </w:r>
            <w:r w:rsidRPr="00B50260">
              <w:rPr>
                <w:rFonts w:cs="Arial"/>
                <w:b/>
              </w:rPr>
              <w:t xml:space="preserve"> 01, 2022 (opening </w:t>
            </w:r>
            <w:r>
              <w:rPr>
                <w:rFonts w:cs="Arial"/>
                <w:b/>
              </w:rPr>
              <w:t>balance</w:t>
            </w:r>
            <w:r w:rsidRPr="00B50260">
              <w:rPr>
                <w:rFonts w:cs="Arial"/>
                <w:b/>
              </w:rPr>
              <w:t>)</w:t>
            </w:r>
          </w:p>
        </w:tc>
      </w:tr>
      <w:tr w:rsidR="008B7E19" w:rsidRPr="001D6BE8" w14:paraId="02D0DBFB" w14:textId="77777777" w:rsidTr="008B7E19">
        <w:trPr>
          <w:trHeight w:hRule="exact" w:val="238"/>
          <w:jc w:val="center"/>
        </w:trPr>
        <w:tc>
          <w:tcPr>
            <w:cnfStyle w:val="001000000000" w:firstRow="0" w:lastRow="0" w:firstColumn="1" w:lastColumn="0" w:oddVBand="0" w:evenVBand="0" w:oddHBand="0" w:evenHBand="0" w:firstRowFirstColumn="0" w:firstRowLastColumn="0" w:lastRowFirstColumn="0" w:lastRowLastColumn="0"/>
            <w:tcW w:w="2119" w:type="dxa"/>
            <w:tcBorders>
              <w:top w:val="single" w:sz="2" w:space="0" w:color="1F4E79" w:themeColor="accent1" w:themeShade="80"/>
              <w:bottom w:val="nil"/>
            </w:tcBorders>
            <w:shd w:val="clear" w:color="auto" w:fill="auto"/>
            <w:vAlign w:val="center"/>
          </w:tcPr>
          <w:p w14:paraId="464F73EB" w14:textId="77777777" w:rsidR="008B7E19" w:rsidRPr="00CD3714" w:rsidRDefault="008B7E19" w:rsidP="008B7E19">
            <w:pPr>
              <w:pStyle w:val="08-Tabelageral"/>
              <w:jc w:val="left"/>
              <w:rPr>
                <w:rFonts w:cs="Arial"/>
                <w:szCs w:val="14"/>
              </w:rPr>
            </w:pPr>
            <w:r w:rsidRPr="00C27294">
              <w:rPr>
                <w:rFonts w:cs="Arial"/>
                <w:szCs w:val="14"/>
              </w:rPr>
              <w:t>Current Assets</w:t>
            </w:r>
          </w:p>
        </w:tc>
        <w:tc>
          <w:tcPr>
            <w:tcW w:w="700" w:type="dxa"/>
            <w:tcBorders>
              <w:top w:val="single" w:sz="2" w:space="0" w:color="1F4E79" w:themeColor="accent1" w:themeShade="80"/>
              <w:bottom w:val="nil"/>
            </w:tcBorders>
            <w:shd w:val="clear" w:color="auto" w:fill="auto"/>
            <w:vAlign w:val="center"/>
          </w:tcPr>
          <w:p w14:paraId="711ECF71" w14:textId="77777777" w:rsidR="008B7E19" w:rsidRPr="006B5975" w:rsidRDefault="008B7E19" w:rsidP="008B7E19">
            <w:pPr>
              <w:pStyle w:val="08-Tabelageral"/>
              <w:jc w:val="center"/>
              <w:cnfStyle w:val="000000000000" w:firstRow="0" w:lastRow="0" w:firstColumn="0" w:lastColumn="0" w:oddVBand="0" w:evenVBand="0" w:oddHBand="0" w:evenHBand="0" w:firstRowFirstColumn="0" w:firstRowLastColumn="0" w:lastRowFirstColumn="0" w:lastRowLastColumn="0"/>
              <w:rPr>
                <w:b/>
              </w:rPr>
            </w:pPr>
          </w:p>
        </w:tc>
        <w:tc>
          <w:tcPr>
            <w:tcW w:w="1120" w:type="dxa"/>
            <w:tcBorders>
              <w:top w:val="nil"/>
              <w:left w:val="nil"/>
              <w:bottom w:val="nil"/>
              <w:right w:val="nil"/>
            </w:tcBorders>
            <w:shd w:val="clear" w:color="auto" w:fill="auto"/>
            <w:vAlign w:val="center"/>
          </w:tcPr>
          <w:p w14:paraId="4609106C" w14:textId="77777777" w:rsidR="008B7E19" w:rsidRPr="005808D9"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b/>
                <w:bCs/>
                <w:szCs w:val="14"/>
              </w:rPr>
            </w:pPr>
            <w:r w:rsidRPr="006E4E16">
              <w:rPr>
                <w:rFonts w:cs="Arial"/>
                <w:b/>
                <w:bCs/>
                <w:color w:val="000000"/>
                <w:szCs w:val="14"/>
              </w:rPr>
              <w:t>3</w:t>
            </w:r>
            <w:r>
              <w:rPr>
                <w:rFonts w:cs="Arial"/>
                <w:b/>
                <w:bCs/>
                <w:color w:val="000000"/>
                <w:szCs w:val="14"/>
              </w:rPr>
              <w:t>,</w:t>
            </w:r>
            <w:r w:rsidRPr="006E4E16">
              <w:rPr>
                <w:rFonts w:cs="Arial"/>
                <w:b/>
                <w:bCs/>
                <w:color w:val="000000"/>
                <w:szCs w:val="14"/>
              </w:rPr>
              <w:t>308</w:t>
            </w:r>
            <w:r>
              <w:rPr>
                <w:rFonts w:cs="Arial"/>
                <w:b/>
                <w:bCs/>
                <w:color w:val="000000"/>
                <w:szCs w:val="14"/>
              </w:rPr>
              <w:t>,</w:t>
            </w:r>
            <w:r w:rsidRPr="006E4E16">
              <w:rPr>
                <w:rFonts w:cs="Arial"/>
                <w:b/>
                <w:bCs/>
                <w:color w:val="000000"/>
                <w:szCs w:val="14"/>
              </w:rPr>
              <w:t>997</w:t>
            </w:r>
          </w:p>
        </w:tc>
        <w:tc>
          <w:tcPr>
            <w:tcW w:w="1169" w:type="dxa"/>
            <w:tcBorders>
              <w:top w:val="nil"/>
              <w:left w:val="nil"/>
              <w:bottom w:val="nil"/>
              <w:right w:val="nil"/>
            </w:tcBorders>
            <w:shd w:val="clear" w:color="auto" w:fill="auto"/>
            <w:vAlign w:val="center"/>
          </w:tcPr>
          <w:p w14:paraId="64C7C823" w14:textId="77777777" w:rsidR="008B7E19" w:rsidRPr="00590483"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b/>
                <w:szCs w:val="14"/>
              </w:rPr>
            </w:pPr>
            <w:r w:rsidRPr="006B0C43">
              <w:rPr>
                <w:rFonts w:cs="Arial"/>
                <w:b/>
                <w:szCs w:val="14"/>
              </w:rPr>
              <w:t>3</w:t>
            </w:r>
            <w:r>
              <w:rPr>
                <w:rFonts w:cs="Arial"/>
                <w:b/>
                <w:szCs w:val="14"/>
              </w:rPr>
              <w:t>,</w:t>
            </w:r>
            <w:r w:rsidRPr="006B0C43">
              <w:rPr>
                <w:rFonts w:cs="Arial"/>
                <w:b/>
                <w:szCs w:val="14"/>
              </w:rPr>
              <w:t>768</w:t>
            </w:r>
            <w:r>
              <w:rPr>
                <w:rFonts w:cs="Arial"/>
                <w:b/>
                <w:szCs w:val="14"/>
              </w:rPr>
              <w:t>,</w:t>
            </w:r>
            <w:r w:rsidRPr="006B0C43">
              <w:rPr>
                <w:rFonts w:cs="Arial"/>
                <w:b/>
                <w:szCs w:val="14"/>
              </w:rPr>
              <w:t>306</w:t>
            </w:r>
          </w:p>
        </w:tc>
        <w:tc>
          <w:tcPr>
            <w:tcW w:w="993" w:type="dxa"/>
            <w:gridSpan w:val="2"/>
            <w:tcBorders>
              <w:top w:val="single" w:sz="2" w:space="0" w:color="1F4E79" w:themeColor="accent1" w:themeShade="80"/>
              <w:bottom w:val="nil"/>
            </w:tcBorders>
            <w:shd w:val="clear" w:color="auto" w:fill="auto"/>
            <w:vAlign w:val="center"/>
          </w:tcPr>
          <w:p w14:paraId="5F55DCCD" w14:textId="77777777" w:rsidR="008B7E19" w:rsidRPr="005808D9"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b/>
                <w:bCs/>
              </w:rPr>
            </w:pPr>
            <w:r w:rsidRPr="006B0C43">
              <w:rPr>
                <w:rFonts w:cs="Arial"/>
                <w:b/>
                <w:szCs w:val="14"/>
              </w:rPr>
              <w:t>1</w:t>
            </w:r>
            <w:r>
              <w:rPr>
                <w:rFonts w:cs="Arial"/>
                <w:b/>
                <w:szCs w:val="14"/>
              </w:rPr>
              <w:t>,</w:t>
            </w:r>
            <w:r w:rsidRPr="006B0C43">
              <w:rPr>
                <w:rFonts w:cs="Arial"/>
                <w:b/>
                <w:szCs w:val="14"/>
              </w:rPr>
              <w:t>956</w:t>
            </w:r>
            <w:r>
              <w:rPr>
                <w:rFonts w:cs="Arial"/>
                <w:b/>
                <w:szCs w:val="14"/>
              </w:rPr>
              <w:t>,</w:t>
            </w:r>
            <w:r w:rsidRPr="006B0C43">
              <w:rPr>
                <w:rFonts w:cs="Arial"/>
                <w:b/>
                <w:szCs w:val="14"/>
              </w:rPr>
              <w:t>417</w:t>
            </w:r>
          </w:p>
        </w:tc>
        <w:tc>
          <w:tcPr>
            <w:tcW w:w="286" w:type="dxa"/>
            <w:gridSpan w:val="2"/>
            <w:tcBorders>
              <w:top w:val="nil"/>
              <w:bottom w:val="nil"/>
            </w:tcBorders>
            <w:shd w:val="clear" w:color="auto" w:fill="auto"/>
            <w:vAlign w:val="center"/>
          </w:tcPr>
          <w:p w14:paraId="7C048880" w14:textId="77777777" w:rsidR="008B7E19" w:rsidRPr="005808D9"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b/>
                <w:bCs/>
                <w:szCs w:val="14"/>
              </w:rPr>
            </w:pPr>
          </w:p>
        </w:tc>
        <w:tc>
          <w:tcPr>
            <w:tcW w:w="1273" w:type="dxa"/>
            <w:gridSpan w:val="3"/>
            <w:tcBorders>
              <w:top w:val="nil"/>
              <w:left w:val="nil"/>
              <w:bottom w:val="nil"/>
              <w:right w:val="nil"/>
            </w:tcBorders>
            <w:shd w:val="clear" w:color="auto" w:fill="auto"/>
            <w:vAlign w:val="center"/>
          </w:tcPr>
          <w:p w14:paraId="54F58325" w14:textId="77777777" w:rsidR="008B7E19" w:rsidRPr="005808D9"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b/>
                <w:bCs/>
                <w:szCs w:val="14"/>
              </w:rPr>
            </w:pPr>
            <w:r w:rsidRPr="00D168BA">
              <w:rPr>
                <w:rFonts w:cs="Arial"/>
                <w:b/>
                <w:bCs/>
                <w:color w:val="000000"/>
                <w:szCs w:val="14"/>
              </w:rPr>
              <w:t>5</w:t>
            </w:r>
            <w:r>
              <w:rPr>
                <w:rFonts w:cs="Arial"/>
                <w:b/>
                <w:bCs/>
                <w:color w:val="000000"/>
                <w:szCs w:val="14"/>
              </w:rPr>
              <w:t>,</w:t>
            </w:r>
            <w:r w:rsidRPr="00D168BA">
              <w:rPr>
                <w:rFonts w:cs="Arial"/>
                <w:b/>
                <w:bCs/>
                <w:color w:val="000000"/>
                <w:szCs w:val="14"/>
              </w:rPr>
              <w:t>413</w:t>
            </w:r>
            <w:r>
              <w:rPr>
                <w:rFonts w:cs="Arial"/>
                <w:b/>
                <w:bCs/>
                <w:color w:val="000000"/>
                <w:szCs w:val="14"/>
              </w:rPr>
              <w:t>,</w:t>
            </w:r>
            <w:r w:rsidRPr="00D168BA">
              <w:rPr>
                <w:rFonts w:cs="Arial"/>
                <w:b/>
                <w:bCs/>
                <w:color w:val="000000"/>
                <w:szCs w:val="14"/>
              </w:rPr>
              <w:t>493</w:t>
            </w:r>
          </w:p>
        </w:tc>
        <w:tc>
          <w:tcPr>
            <w:tcW w:w="989" w:type="dxa"/>
            <w:gridSpan w:val="2"/>
            <w:tcBorders>
              <w:top w:val="nil"/>
              <w:left w:val="nil"/>
              <w:bottom w:val="nil"/>
              <w:right w:val="nil"/>
            </w:tcBorders>
            <w:shd w:val="clear" w:color="auto" w:fill="auto"/>
            <w:vAlign w:val="center"/>
          </w:tcPr>
          <w:p w14:paraId="69B50AF7" w14:textId="77777777" w:rsidR="008B7E19" w:rsidRPr="00590483"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b/>
                <w:bCs/>
                <w:szCs w:val="14"/>
              </w:rPr>
            </w:pPr>
            <w:r w:rsidRPr="006B0C43">
              <w:rPr>
                <w:rFonts w:cs="Arial"/>
                <w:b/>
                <w:bCs/>
                <w:color w:val="000000"/>
                <w:szCs w:val="14"/>
              </w:rPr>
              <w:t>7</w:t>
            </w:r>
            <w:r>
              <w:rPr>
                <w:rFonts w:cs="Arial"/>
                <w:b/>
                <w:bCs/>
                <w:color w:val="000000"/>
                <w:szCs w:val="14"/>
              </w:rPr>
              <w:t>,</w:t>
            </w:r>
            <w:r w:rsidRPr="006B0C43">
              <w:rPr>
                <w:rFonts w:cs="Arial"/>
                <w:b/>
                <w:bCs/>
                <w:color w:val="000000"/>
                <w:szCs w:val="14"/>
              </w:rPr>
              <w:t>221</w:t>
            </w:r>
            <w:r>
              <w:rPr>
                <w:rFonts w:cs="Arial"/>
                <w:b/>
                <w:bCs/>
                <w:color w:val="000000"/>
                <w:szCs w:val="14"/>
              </w:rPr>
              <w:t>,</w:t>
            </w:r>
            <w:r w:rsidRPr="006B0C43">
              <w:rPr>
                <w:rFonts w:cs="Arial"/>
                <w:b/>
                <w:bCs/>
                <w:color w:val="000000"/>
                <w:szCs w:val="14"/>
              </w:rPr>
              <w:t>098</w:t>
            </w:r>
          </w:p>
        </w:tc>
        <w:tc>
          <w:tcPr>
            <w:tcW w:w="990" w:type="dxa"/>
            <w:tcBorders>
              <w:top w:val="single" w:sz="2" w:space="0" w:color="1F4E79" w:themeColor="accent1" w:themeShade="80"/>
              <w:bottom w:val="nil"/>
            </w:tcBorders>
            <w:shd w:val="clear" w:color="auto" w:fill="auto"/>
            <w:vAlign w:val="center"/>
          </w:tcPr>
          <w:p w14:paraId="61728E7A" w14:textId="77777777" w:rsidR="008B7E19" w:rsidRPr="005808D9"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b/>
                <w:bCs/>
              </w:rPr>
            </w:pPr>
            <w:r w:rsidRPr="006B0C43">
              <w:rPr>
                <w:rFonts w:cs="Arial"/>
                <w:b/>
                <w:bCs/>
                <w:szCs w:val="14"/>
              </w:rPr>
              <w:t>5</w:t>
            </w:r>
            <w:r>
              <w:rPr>
                <w:rFonts w:cs="Arial"/>
                <w:b/>
                <w:bCs/>
                <w:szCs w:val="14"/>
              </w:rPr>
              <w:t>,</w:t>
            </w:r>
            <w:r w:rsidRPr="006B0C43">
              <w:rPr>
                <w:rFonts w:cs="Arial"/>
                <w:b/>
                <w:bCs/>
                <w:szCs w:val="14"/>
              </w:rPr>
              <w:t>125</w:t>
            </w:r>
            <w:r>
              <w:rPr>
                <w:rFonts w:cs="Arial"/>
                <w:b/>
                <w:bCs/>
                <w:szCs w:val="14"/>
              </w:rPr>
              <w:t>,</w:t>
            </w:r>
            <w:r w:rsidRPr="006B0C43">
              <w:rPr>
                <w:rFonts w:cs="Arial"/>
                <w:b/>
                <w:bCs/>
                <w:szCs w:val="14"/>
              </w:rPr>
              <w:t>631</w:t>
            </w:r>
          </w:p>
        </w:tc>
      </w:tr>
      <w:tr w:rsidR="008B7E19" w:rsidRPr="001D6BE8" w14:paraId="00124EFC"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119" w:type="dxa"/>
            <w:tcBorders>
              <w:top w:val="nil"/>
              <w:bottom w:val="nil"/>
            </w:tcBorders>
            <w:shd w:val="clear" w:color="auto" w:fill="auto"/>
            <w:vAlign w:val="center"/>
          </w:tcPr>
          <w:p w14:paraId="2193D0C0" w14:textId="77777777" w:rsidR="008B7E19" w:rsidRPr="0038031F" w:rsidRDefault="008B7E19" w:rsidP="008B7E19">
            <w:pPr>
              <w:pStyle w:val="08-Tabelageral"/>
              <w:ind w:left="113"/>
              <w:jc w:val="left"/>
              <w:rPr>
                <w:rFonts w:cs="Arial"/>
                <w:b w:val="0"/>
                <w:szCs w:val="14"/>
              </w:rPr>
            </w:pPr>
            <w:r w:rsidRPr="00C27294">
              <w:rPr>
                <w:rFonts w:cs="Arial"/>
                <w:b w:val="0"/>
                <w:szCs w:val="14"/>
              </w:rPr>
              <w:t>Cash and cash equivalents</w:t>
            </w:r>
          </w:p>
        </w:tc>
        <w:tc>
          <w:tcPr>
            <w:tcW w:w="700" w:type="dxa"/>
            <w:tcBorders>
              <w:top w:val="nil"/>
              <w:bottom w:val="nil"/>
            </w:tcBorders>
            <w:shd w:val="clear" w:color="auto" w:fill="auto"/>
            <w:vAlign w:val="center"/>
          </w:tcPr>
          <w:p w14:paraId="3EBC21CE" w14:textId="77777777" w:rsidR="008B7E19" w:rsidRPr="00CF4B29" w:rsidRDefault="008B7E19" w:rsidP="008B7E19">
            <w:pPr>
              <w:pStyle w:val="08-Tabelageral"/>
              <w:cnfStyle w:val="000000100000" w:firstRow="0" w:lastRow="0" w:firstColumn="0" w:lastColumn="0" w:oddVBand="0" w:evenVBand="0" w:oddHBand="1" w:evenHBand="0" w:firstRowFirstColumn="0" w:firstRowLastColumn="0" w:lastRowFirstColumn="0" w:lastRowLastColumn="0"/>
            </w:pPr>
            <w:r w:rsidRPr="00031868">
              <w:t>[15]</w:t>
            </w:r>
          </w:p>
        </w:tc>
        <w:tc>
          <w:tcPr>
            <w:tcW w:w="1120" w:type="dxa"/>
            <w:tcBorders>
              <w:top w:val="nil"/>
              <w:left w:val="nil"/>
              <w:bottom w:val="nil"/>
              <w:right w:val="nil"/>
            </w:tcBorders>
            <w:shd w:val="clear" w:color="auto" w:fill="auto"/>
            <w:vAlign w:val="center"/>
          </w:tcPr>
          <w:p w14:paraId="5269B453" w14:textId="77777777" w:rsidR="008B7E19" w:rsidRPr="00350BA7" w:rsidRDefault="008B7E19" w:rsidP="008B7E19">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r w:rsidRPr="006B0C43">
              <w:rPr>
                <w:rFonts w:cs="Arial"/>
                <w:color w:val="000000"/>
                <w:szCs w:val="14"/>
              </w:rPr>
              <w:t>1</w:t>
            </w:r>
            <w:r>
              <w:rPr>
                <w:rFonts w:cs="Arial"/>
                <w:color w:val="000000"/>
                <w:szCs w:val="14"/>
              </w:rPr>
              <w:t>,</w:t>
            </w:r>
            <w:r w:rsidRPr="006B0C43">
              <w:rPr>
                <w:rFonts w:cs="Arial"/>
                <w:color w:val="000000"/>
                <w:szCs w:val="14"/>
              </w:rPr>
              <w:t>050</w:t>
            </w:r>
            <w:r>
              <w:rPr>
                <w:rFonts w:cs="Arial"/>
                <w:color w:val="000000"/>
                <w:szCs w:val="14"/>
              </w:rPr>
              <w:t>,</w:t>
            </w:r>
            <w:r w:rsidRPr="006B0C43">
              <w:rPr>
                <w:rFonts w:cs="Arial"/>
                <w:color w:val="000000"/>
                <w:szCs w:val="14"/>
              </w:rPr>
              <w:t>803</w:t>
            </w:r>
          </w:p>
        </w:tc>
        <w:tc>
          <w:tcPr>
            <w:tcW w:w="1169" w:type="dxa"/>
            <w:tcBorders>
              <w:top w:val="nil"/>
              <w:left w:val="nil"/>
              <w:bottom w:val="nil"/>
              <w:right w:val="nil"/>
            </w:tcBorders>
            <w:shd w:val="clear" w:color="auto" w:fill="auto"/>
            <w:vAlign w:val="center"/>
          </w:tcPr>
          <w:p w14:paraId="3C37C1D9" w14:textId="77777777" w:rsidR="008B7E19" w:rsidRPr="00590483"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6B0C43">
              <w:rPr>
                <w:rFonts w:cs="Arial"/>
                <w:szCs w:val="14"/>
              </w:rPr>
              <w:t>59</w:t>
            </w:r>
            <w:r>
              <w:rPr>
                <w:rFonts w:cs="Arial"/>
                <w:szCs w:val="14"/>
              </w:rPr>
              <w:t>,</w:t>
            </w:r>
            <w:r w:rsidRPr="006B0C43">
              <w:rPr>
                <w:rFonts w:cs="Arial"/>
                <w:szCs w:val="14"/>
              </w:rPr>
              <w:t>003</w:t>
            </w:r>
          </w:p>
        </w:tc>
        <w:tc>
          <w:tcPr>
            <w:tcW w:w="993" w:type="dxa"/>
            <w:gridSpan w:val="2"/>
            <w:tcBorders>
              <w:top w:val="nil"/>
              <w:bottom w:val="nil"/>
            </w:tcBorders>
            <w:shd w:val="clear" w:color="auto" w:fill="auto"/>
            <w:vAlign w:val="center"/>
          </w:tcPr>
          <w:p w14:paraId="421478AD" w14:textId="77777777" w:rsidR="008B7E19" w:rsidRPr="00CF4B29" w:rsidRDefault="008B7E19" w:rsidP="008B7E19">
            <w:pPr>
              <w:pStyle w:val="08-Tabelageral"/>
              <w:cnfStyle w:val="000000100000" w:firstRow="0" w:lastRow="0" w:firstColumn="0" w:lastColumn="0" w:oddVBand="0" w:evenVBand="0" w:oddHBand="1" w:evenHBand="0" w:firstRowFirstColumn="0" w:firstRowLastColumn="0" w:lastRowFirstColumn="0" w:lastRowLastColumn="0"/>
            </w:pPr>
            <w:r w:rsidRPr="006B0C43">
              <w:rPr>
                <w:rFonts w:cs="Arial"/>
                <w:szCs w:val="14"/>
              </w:rPr>
              <w:t>369</w:t>
            </w:r>
            <w:r>
              <w:rPr>
                <w:rFonts w:cs="Arial"/>
                <w:szCs w:val="14"/>
              </w:rPr>
              <w:t>,</w:t>
            </w:r>
            <w:r w:rsidRPr="006B0C43">
              <w:rPr>
                <w:rFonts w:cs="Arial"/>
                <w:szCs w:val="14"/>
              </w:rPr>
              <w:t>342</w:t>
            </w:r>
          </w:p>
        </w:tc>
        <w:tc>
          <w:tcPr>
            <w:tcW w:w="286" w:type="dxa"/>
            <w:gridSpan w:val="2"/>
            <w:tcBorders>
              <w:top w:val="nil"/>
              <w:bottom w:val="nil"/>
            </w:tcBorders>
            <w:shd w:val="clear" w:color="auto" w:fill="auto"/>
            <w:vAlign w:val="center"/>
          </w:tcPr>
          <w:p w14:paraId="26664C55" w14:textId="77777777" w:rsidR="008B7E19" w:rsidRPr="00350BA7" w:rsidRDefault="008B7E19" w:rsidP="008B7E19">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p>
        </w:tc>
        <w:tc>
          <w:tcPr>
            <w:tcW w:w="1273" w:type="dxa"/>
            <w:gridSpan w:val="3"/>
            <w:tcBorders>
              <w:top w:val="nil"/>
              <w:left w:val="nil"/>
              <w:bottom w:val="nil"/>
              <w:right w:val="nil"/>
            </w:tcBorders>
            <w:shd w:val="clear" w:color="auto" w:fill="auto"/>
            <w:vAlign w:val="center"/>
          </w:tcPr>
          <w:p w14:paraId="3D8B174B" w14:textId="77777777" w:rsidR="008B7E19" w:rsidRPr="00350BA7" w:rsidRDefault="008B7E19" w:rsidP="008B7E19">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r w:rsidRPr="006B0C43">
              <w:rPr>
                <w:rFonts w:cs="Arial"/>
                <w:color w:val="000000"/>
                <w:szCs w:val="14"/>
              </w:rPr>
              <w:t>4</w:t>
            </w:r>
            <w:r>
              <w:rPr>
                <w:rFonts w:cs="Arial"/>
                <w:color w:val="000000"/>
                <w:szCs w:val="14"/>
              </w:rPr>
              <w:t>,</w:t>
            </w:r>
            <w:r w:rsidRPr="006B0C43">
              <w:rPr>
                <w:rFonts w:cs="Arial"/>
                <w:color w:val="000000"/>
                <w:szCs w:val="14"/>
              </w:rPr>
              <w:t>357</w:t>
            </w:r>
            <w:r>
              <w:rPr>
                <w:rFonts w:cs="Arial"/>
                <w:color w:val="000000"/>
                <w:szCs w:val="14"/>
              </w:rPr>
              <w:t>,</w:t>
            </w:r>
            <w:r w:rsidRPr="006B0C43">
              <w:rPr>
                <w:rFonts w:cs="Arial"/>
                <w:color w:val="000000"/>
                <w:szCs w:val="14"/>
              </w:rPr>
              <w:t>407</w:t>
            </w:r>
          </w:p>
        </w:tc>
        <w:tc>
          <w:tcPr>
            <w:tcW w:w="989" w:type="dxa"/>
            <w:gridSpan w:val="2"/>
            <w:tcBorders>
              <w:top w:val="nil"/>
              <w:left w:val="nil"/>
              <w:bottom w:val="nil"/>
              <w:right w:val="nil"/>
            </w:tcBorders>
            <w:shd w:val="clear" w:color="auto" w:fill="auto"/>
            <w:vAlign w:val="center"/>
          </w:tcPr>
          <w:p w14:paraId="1C097DDA" w14:textId="77777777" w:rsidR="008B7E19" w:rsidRPr="00590483"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6B0C43">
              <w:rPr>
                <w:rFonts w:cs="Arial"/>
                <w:color w:val="000000"/>
                <w:szCs w:val="14"/>
              </w:rPr>
              <w:t>6</w:t>
            </w:r>
            <w:r>
              <w:rPr>
                <w:rFonts w:cs="Arial"/>
                <w:color w:val="000000"/>
                <w:szCs w:val="14"/>
              </w:rPr>
              <w:t>,</w:t>
            </w:r>
            <w:r w:rsidRPr="006B0C43">
              <w:rPr>
                <w:rFonts w:cs="Arial"/>
                <w:color w:val="000000"/>
                <w:szCs w:val="14"/>
              </w:rPr>
              <w:t>076</w:t>
            </w:r>
            <w:r>
              <w:rPr>
                <w:rFonts w:cs="Arial"/>
                <w:color w:val="000000"/>
                <w:szCs w:val="14"/>
              </w:rPr>
              <w:t>,</w:t>
            </w:r>
            <w:r w:rsidRPr="006B0C43">
              <w:rPr>
                <w:rFonts w:cs="Arial"/>
                <w:color w:val="000000"/>
                <w:szCs w:val="14"/>
              </w:rPr>
              <w:t>618</w:t>
            </w:r>
          </w:p>
        </w:tc>
        <w:tc>
          <w:tcPr>
            <w:tcW w:w="990" w:type="dxa"/>
            <w:tcBorders>
              <w:top w:val="nil"/>
              <w:bottom w:val="nil"/>
            </w:tcBorders>
            <w:shd w:val="clear" w:color="auto" w:fill="auto"/>
            <w:vAlign w:val="center"/>
          </w:tcPr>
          <w:p w14:paraId="332DD35C" w14:textId="77777777" w:rsidR="008B7E19" w:rsidRPr="00CF4B29" w:rsidRDefault="008B7E19" w:rsidP="008B7E19">
            <w:pPr>
              <w:pStyle w:val="08-Tabelageral"/>
              <w:cnfStyle w:val="000000100000" w:firstRow="0" w:lastRow="0" w:firstColumn="0" w:lastColumn="0" w:oddVBand="0" w:evenVBand="0" w:oddHBand="1" w:evenHBand="0" w:firstRowFirstColumn="0" w:firstRowLastColumn="0" w:lastRowFirstColumn="0" w:lastRowLastColumn="0"/>
            </w:pPr>
            <w:r w:rsidRPr="006B0C43">
              <w:rPr>
                <w:rFonts w:cs="Arial"/>
                <w:szCs w:val="14"/>
              </w:rPr>
              <w:t>4</w:t>
            </w:r>
            <w:r>
              <w:rPr>
                <w:rFonts w:cs="Arial"/>
                <w:szCs w:val="14"/>
              </w:rPr>
              <w:t>,</w:t>
            </w:r>
            <w:r w:rsidRPr="006B0C43">
              <w:rPr>
                <w:rFonts w:cs="Arial"/>
                <w:szCs w:val="14"/>
              </w:rPr>
              <w:t>090</w:t>
            </w:r>
            <w:r>
              <w:rPr>
                <w:rFonts w:cs="Arial"/>
                <w:szCs w:val="14"/>
              </w:rPr>
              <w:t>,</w:t>
            </w:r>
            <w:r w:rsidRPr="006B0C43">
              <w:rPr>
                <w:rFonts w:cs="Arial"/>
                <w:szCs w:val="14"/>
              </w:rPr>
              <w:t>561</w:t>
            </w:r>
          </w:p>
        </w:tc>
      </w:tr>
      <w:tr w:rsidR="008B7E19" w:rsidRPr="001D6BE8" w14:paraId="403130B6" w14:textId="77777777" w:rsidTr="008B7E19">
        <w:trPr>
          <w:trHeight w:val="238"/>
          <w:jc w:val="center"/>
        </w:trPr>
        <w:tc>
          <w:tcPr>
            <w:cnfStyle w:val="001000000000" w:firstRow="0" w:lastRow="0" w:firstColumn="1" w:lastColumn="0" w:oddVBand="0" w:evenVBand="0" w:oddHBand="0" w:evenHBand="0" w:firstRowFirstColumn="0" w:firstRowLastColumn="0" w:lastRowFirstColumn="0" w:lastRowLastColumn="0"/>
            <w:tcW w:w="2119" w:type="dxa"/>
            <w:tcBorders>
              <w:top w:val="nil"/>
              <w:bottom w:val="nil"/>
            </w:tcBorders>
            <w:shd w:val="clear" w:color="auto" w:fill="auto"/>
            <w:vAlign w:val="center"/>
          </w:tcPr>
          <w:p w14:paraId="596CD5DD" w14:textId="77777777" w:rsidR="008B7E19" w:rsidRPr="00BD6C7E" w:rsidRDefault="008B7E19" w:rsidP="008B7E19">
            <w:pPr>
              <w:pStyle w:val="08-Tabelageral"/>
              <w:ind w:left="113"/>
              <w:jc w:val="left"/>
              <w:rPr>
                <w:rFonts w:cs="Arial"/>
                <w:b w:val="0"/>
                <w:szCs w:val="14"/>
                <w:lang w:val="en-US"/>
              </w:rPr>
            </w:pPr>
            <w:r w:rsidRPr="00BD6C7E">
              <w:rPr>
                <w:rFonts w:cs="Arial"/>
                <w:b w:val="0"/>
                <w:szCs w:val="14"/>
                <w:lang w:val="en-US"/>
              </w:rPr>
              <w:t>Dividends/interest on equity receivable</w:t>
            </w:r>
          </w:p>
        </w:tc>
        <w:tc>
          <w:tcPr>
            <w:tcW w:w="700" w:type="dxa"/>
            <w:tcBorders>
              <w:top w:val="nil"/>
              <w:bottom w:val="nil"/>
            </w:tcBorders>
            <w:shd w:val="clear" w:color="auto" w:fill="auto"/>
            <w:vAlign w:val="center"/>
          </w:tcPr>
          <w:p w14:paraId="3F556198" w14:textId="77777777" w:rsidR="008B7E19" w:rsidRPr="00CF4B29" w:rsidRDefault="008B7E19" w:rsidP="008B7E19">
            <w:pPr>
              <w:pStyle w:val="08-Tabelageral"/>
              <w:cnfStyle w:val="000000000000" w:firstRow="0" w:lastRow="0" w:firstColumn="0" w:lastColumn="0" w:oddVBand="0" w:evenVBand="0" w:oddHBand="0" w:evenHBand="0" w:firstRowFirstColumn="0" w:firstRowLastColumn="0" w:lastRowFirstColumn="0" w:lastRowLastColumn="0"/>
            </w:pPr>
            <w:r w:rsidRPr="00031868">
              <w:t>[17]</w:t>
            </w:r>
          </w:p>
        </w:tc>
        <w:tc>
          <w:tcPr>
            <w:tcW w:w="1120" w:type="dxa"/>
            <w:tcBorders>
              <w:top w:val="nil"/>
              <w:left w:val="nil"/>
              <w:bottom w:val="nil"/>
              <w:right w:val="nil"/>
            </w:tcBorders>
            <w:shd w:val="clear" w:color="auto" w:fill="auto"/>
            <w:vAlign w:val="center"/>
          </w:tcPr>
          <w:p w14:paraId="498DD152" w14:textId="77777777" w:rsidR="008B7E19" w:rsidRPr="00350BA7"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r w:rsidRPr="006B0C43">
              <w:rPr>
                <w:rFonts w:cs="Arial"/>
                <w:szCs w:val="14"/>
              </w:rPr>
              <w:t>2</w:t>
            </w:r>
            <w:r>
              <w:rPr>
                <w:rFonts w:cs="Arial"/>
                <w:szCs w:val="14"/>
              </w:rPr>
              <w:t>,</w:t>
            </w:r>
            <w:r w:rsidRPr="006B0C43">
              <w:rPr>
                <w:rFonts w:cs="Arial"/>
                <w:szCs w:val="14"/>
              </w:rPr>
              <w:t>228</w:t>
            </w:r>
            <w:r>
              <w:rPr>
                <w:rFonts w:cs="Arial"/>
                <w:szCs w:val="14"/>
              </w:rPr>
              <w:t>,</w:t>
            </w:r>
            <w:r w:rsidRPr="006B0C43">
              <w:rPr>
                <w:rFonts w:cs="Arial"/>
                <w:szCs w:val="14"/>
              </w:rPr>
              <w:t>680</w:t>
            </w:r>
          </w:p>
        </w:tc>
        <w:tc>
          <w:tcPr>
            <w:tcW w:w="1169" w:type="dxa"/>
            <w:tcBorders>
              <w:top w:val="nil"/>
              <w:left w:val="nil"/>
              <w:bottom w:val="nil"/>
              <w:right w:val="nil"/>
            </w:tcBorders>
            <w:shd w:val="clear" w:color="auto" w:fill="auto"/>
            <w:vAlign w:val="center"/>
          </w:tcPr>
          <w:p w14:paraId="60A40D1B" w14:textId="77777777" w:rsidR="008B7E19" w:rsidRPr="00590483"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r w:rsidRPr="006B0C43">
              <w:rPr>
                <w:rFonts w:cs="Arial"/>
                <w:szCs w:val="14"/>
              </w:rPr>
              <w:t>3</w:t>
            </w:r>
            <w:r>
              <w:rPr>
                <w:rFonts w:cs="Arial"/>
                <w:szCs w:val="14"/>
              </w:rPr>
              <w:t>,</w:t>
            </w:r>
            <w:r w:rsidRPr="006B0C43">
              <w:rPr>
                <w:rFonts w:cs="Arial"/>
                <w:szCs w:val="14"/>
              </w:rPr>
              <w:t>683</w:t>
            </w:r>
            <w:r>
              <w:rPr>
                <w:rFonts w:cs="Arial"/>
                <w:szCs w:val="14"/>
              </w:rPr>
              <w:t>,</w:t>
            </w:r>
            <w:r w:rsidRPr="006B0C43">
              <w:rPr>
                <w:rFonts w:cs="Arial"/>
                <w:szCs w:val="14"/>
              </w:rPr>
              <w:t>356</w:t>
            </w:r>
          </w:p>
        </w:tc>
        <w:tc>
          <w:tcPr>
            <w:tcW w:w="993" w:type="dxa"/>
            <w:gridSpan w:val="2"/>
            <w:tcBorders>
              <w:top w:val="nil"/>
              <w:bottom w:val="nil"/>
            </w:tcBorders>
            <w:shd w:val="clear" w:color="auto" w:fill="auto"/>
            <w:vAlign w:val="center"/>
          </w:tcPr>
          <w:p w14:paraId="1097A83E" w14:textId="77777777" w:rsidR="008B7E19" w:rsidRPr="00CF4B29" w:rsidRDefault="008B7E19" w:rsidP="008B7E19">
            <w:pPr>
              <w:pStyle w:val="08-Tabelageral"/>
              <w:cnfStyle w:val="000000000000" w:firstRow="0" w:lastRow="0" w:firstColumn="0" w:lastColumn="0" w:oddVBand="0" w:evenVBand="0" w:oddHBand="0" w:evenHBand="0" w:firstRowFirstColumn="0" w:firstRowLastColumn="0" w:lastRowFirstColumn="0" w:lastRowLastColumn="0"/>
            </w:pPr>
            <w:r w:rsidRPr="006B0C43">
              <w:rPr>
                <w:rFonts w:cs="Arial"/>
                <w:szCs w:val="14"/>
              </w:rPr>
              <w:t>1</w:t>
            </w:r>
            <w:r>
              <w:rPr>
                <w:rFonts w:cs="Arial"/>
                <w:szCs w:val="14"/>
              </w:rPr>
              <w:t>,</w:t>
            </w:r>
            <w:r w:rsidRPr="006B0C43">
              <w:rPr>
                <w:rFonts w:cs="Arial"/>
                <w:szCs w:val="14"/>
              </w:rPr>
              <w:t>572</w:t>
            </w:r>
            <w:r>
              <w:rPr>
                <w:rFonts w:cs="Arial"/>
                <w:szCs w:val="14"/>
              </w:rPr>
              <w:t>,</w:t>
            </w:r>
            <w:r w:rsidRPr="006B0C43">
              <w:rPr>
                <w:rFonts w:cs="Arial"/>
                <w:szCs w:val="14"/>
              </w:rPr>
              <w:t>428</w:t>
            </w:r>
          </w:p>
        </w:tc>
        <w:tc>
          <w:tcPr>
            <w:tcW w:w="286" w:type="dxa"/>
            <w:gridSpan w:val="2"/>
            <w:tcBorders>
              <w:top w:val="nil"/>
              <w:bottom w:val="nil"/>
            </w:tcBorders>
            <w:shd w:val="clear" w:color="auto" w:fill="auto"/>
            <w:vAlign w:val="center"/>
          </w:tcPr>
          <w:p w14:paraId="251E076D" w14:textId="77777777" w:rsidR="008B7E19" w:rsidRPr="00350BA7"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p>
        </w:tc>
        <w:tc>
          <w:tcPr>
            <w:tcW w:w="1273" w:type="dxa"/>
            <w:gridSpan w:val="3"/>
            <w:tcBorders>
              <w:top w:val="nil"/>
              <w:left w:val="nil"/>
              <w:bottom w:val="nil"/>
              <w:right w:val="nil"/>
            </w:tcBorders>
            <w:shd w:val="clear" w:color="auto" w:fill="auto"/>
            <w:vAlign w:val="center"/>
          </w:tcPr>
          <w:p w14:paraId="0C0F9D38" w14:textId="77777777" w:rsidR="008B7E19" w:rsidRPr="00350BA7"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r w:rsidRPr="006B0C43">
              <w:rPr>
                <w:rFonts w:cs="Arial"/>
                <w:szCs w:val="14"/>
              </w:rPr>
              <w:t>--</w:t>
            </w:r>
          </w:p>
        </w:tc>
        <w:tc>
          <w:tcPr>
            <w:tcW w:w="989" w:type="dxa"/>
            <w:gridSpan w:val="2"/>
            <w:tcBorders>
              <w:top w:val="nil"/>
              <w:bottom w:val="nil"/>
            </w:tcBorders>
            <w:shd w:val="clear" w:color="auto" w:fill="auto"/>
            <w:vAlign w:val="center"/>
          </w:tcPr>
          <w:p w14:paraId="4E0F1ECC" w14:textId="77777777" w:rsidR="008B7E19" w:rsidRPr="00590483"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r w:rsidRPr="006B0C43">
              <w:rPr>
                <w:rFonts w:cs="Arial"/>
                <w:szCs w:val="14"/>
              </w:rPr>
              <w:t>13</w:t>
            </w:r>
            <w:r>
              <w:rPr>
                <w:rFonts w:cs="Arial"/>
                <w:szCs w:val="14"/>
              </w:rPr>
              <w:t>,</w:t>
            </w:r>
            <w:r w:rsidRPr="006B0C43">
              <w:rPr>
                <w:rFonts w:cs="Arial"/>
                <w:szCs w:val="14"/>
              </w:rPr>
              <w:t>519</w:t>
            </w:r>
          </w:p>
        </w:tc>
        <w:tc>
          <w:tcPr>
            <w:tcW w:w="990" w:type="dxa"/>
            <w:tcBorders>
              <w:top w:val="nil"/>
              <w:bottom w:val="nil"/>
            </w:tcBorders>
            <w:shd w:val="clear" w:color="auto" w:fill="auto"/>
            <w:vAlign w:val="center"/>
          </w:tcPr>
          <w:p w14:paraId="351D4D74" w14:textId="77777777" w:rsidR="008B7E19" w:rsidRPr="00CF4B29" w:rsidRDefault="008B7E19" w:rsidP="008B7E19">
            <w:pPr>
              <w:pStyle w:val="08-Tabelageral"/>
              <w:cnfStyle w:val="000000000000" w:firstRow="0" w:lastRow="0" w:firstColumn="0" w:lastColumn="0" w:oddVBand="0" w:evenVBand="0" w:oddHBand="0" w:evenHBand="0" w:firstRowFirstColumn="0" w:firstRowLastColumn="0" w:lastRowFirstColumn="0" w:lastRowLastColumn="0"/>
            </w:pPr>
            <w:r w:rsidRPr="006B0C43">
              <w:rPr>
                <w:rFonts w:cs="Arial"/>
                <w:szCs w:val="14"/>
              </w:rPr>
              <w:t>1</w:t>
            </w:r>
            <w:r>
              <w:rPr>
                <w:rFonts w:cs="Arial"/>
                <w:szCs w:val="14"/>
              </w:rPr>
              <w:t>,</w:t>
            </w:r>
            <w:r w:rsidRPr="006B0C43">
              <w:rPr>
                <w:rFonts w:cs="Arial"/>
                <w:szCs w:val="14"/>
              </w:rPr>
              <w:t>648</w:t>
            </w:r>
          </w:p>
        </w:tc>
      </w:tr>
      <w:tr w:rsidR="008B7E19" w:rsidRPr="001D6BE8" w14:paraId="7298B81B"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119" w:type="dxa"/>
            <w:tcBorders>
              <w:top w:val="nil"/>
              <w:bottom w:val="nil"/>
            </w:tcBorders>
            <w:shd w:val="clear" w:color="auto" w:fill="auto"/>
            <w:vAlign w:val="center"/>
          </w:tcPr>
          <w:p w14:paraId="3A267A3A" w14:textId="77777777" w:rsidR="008B7E19" w:rsidRPr="00C27294" w:rsidRDefault="008B7E19" w:rsidP="008B7E19">
            <w:pPr>
              <w:pStyle w:val="08-Tabelageral"/>
              <w:ind w:left="113"/>
              <w:jc w:val="left"/>
              <w:rPr>
                <w:rFonts w:cs="Arial"/>
                <w:szCs w:val="14"/>
              </w:rPr>
            </w:pPr>
            <w:r w:rsidRPr="002E2354">
              <w:rPr>
                <w:b w:val="0"/>
                <w:bCs w:val="0"/>
              </w:rPr>
              <w:t>Current tax assets</w:t>
            </w:r>
          </w:p>
        </w:tc>
        <w:tc>
          <w:tcPr>
            <w:tcW w:w="700" w:type="dxa"/>
            <w:tcBorders>
              <w:top w:val="nil"/>
              <w:bottom w:val="nil"/>
            </w:tcBorders>
            <w:shd w:val="clear" w:color="auto" w:fill="auto"/>
            <w:vAlign w:val="center"/>
          </w:tcPr>
          <w:p w14:paraId="712BE12D" w14:textId="77777777" w:rsidR="008B7E19" w:rsidRPr="00031868" w:rsidRDefault="008B7E19" w:rsidP="008B7E19">
            <w:pPr>
              <w:pStyle w:val="08-Tabelageral"/>
              <w:cnfStyle w:val="000000100000" w:firstRow="0" w:lastRow="0" w:firstColumn="0" w:lastColumn="0" w:oddVBand="0" w:evenVBand="0" w:oddHBand="1" w:evenHBand="0" w:firstRowFirstColumn="0" w:firstRowLastColumn="0" w:lastRowFirstColumn="0" w:lastRowLastColumn="0"/>
            </w:pPr>
            <w:r w:rsidRPr="002E2354">
              <w:t>[12.d]</w:t>
            </w:r>
          </w:p>
        </w:tc>
        <w:tc>
          <w:tcPr>
            <w:tcW w:w="1120" w:type="dxa"/>
            <w:tcBorders>
              <w:top w:val="nil"/>
              <w:left w:val="nil"/>
              <w:bottom w:val="nil"/>
              <w:right w:val="nil"/>
            </w:tcBorders>
            <w:shd w:val="clear" w:color="auto" w:fill="auto"/>
            <w:vAlign w:val="center"/>
          </w:tcPr>
          <w:p w14:paraId="3B6A80F2" w14:textId="77777777" w:rsidR="008B7E19" w:rsidRPr="00350BA7"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6E4E16">
              <w:rPr>
                <w:rFonts w:cs="Arial"/>
                <w:szCs w:val="14"/>
              </w:rPr>
              <w:t>17</w:t>
            </w:r>
            <w:r>
              <w:rPr>
                <w:rFonts w:cs="Arial"/>
                <w:szCs w:val="14"/>
              </w:rPr>
              <w:t>,</w:t>
            </w:r>
            <w:r w:rsidRPr="006E4E16">
              <w:rPr>
                <w:rFonts w:cs="Arial"/>
                <w:szCs w:val="14"/>
              </w:rPr>
              <w:t>908</w:t>
            </w:r>
          </w:p>
        </w:tc>
        <w:tc>
          <w:tcPr>
            <w:tcW w:w="1169" w:type="dxa"/>
            <w:tcBorders>
              <w:top w:val="nil"/>
              <w:left w:val="nil"/>
              <w:bottom w:val="nil"/>
              <w:right w:val="nil"/>
            </w:tcBorders>
            <w:shd w:val="clear" w:color="auto" w:fill="auto"/>
            <w:vAlign w:val="center"/>
          </w:tcPr>
          <w:p w14:paraId="7FE198A8" w14:textId="77777777" w:rsidR="008B7E19" w:rsidRPr="00590483"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281428">
              <w:rPr>
                <w:rFonts w:cs="Arial"/>
                <w:szCs w:val="14"/>
              </w:rPr>
              <w:t>16</w:t>
            </w:r>
            <w:r>
              <w:rPr>
                <w:rFonts w:cs="Arial"/>
                <w:szCs w:val="14"/>
              </w:rPr>
              <w:t>,</w:t>
            </w:r>
            <w:r w:rsidRPr="00281428">
              <w:rPr>
                <w:rFonts w:cs="Arial"/>
                <w:szCs w:val="14"/>
              </w:rPr>
              <w:t>131</w:t>
            </w:r>
          </w:p>
        </w:tc>
        <w:tc>
          <w:tcPr>
            <w:tcW w:w="993" w:type="dxa"/>
            <w:gridSpan w:val="2"/>
            <w:tcBorders>
              <w:top w:val="nil"/>
              <w:bottom w:val="nil"/>
            </w:tcBorders>
            <w:shd w:val="clear" w:color="auto" w:fill="auto"/>
            <w:vAlign w:val="center"/>
          </w:tcPr>
          <w:p w14:paraId="0CAA4F95" w14:textId="77777777" w:rsidR="008B7E19" w:rsidRPr="00243EAC" w:rsidRDefault="008B7E19" w:rsidP="008B7E19">
            <w:pPr>
              <w:pStyle w:val="08-Tabelageral"/>
              <w:cnfStyle w:val="000000100000" w:firstRow="0" w:lastRow="0" w:firstColumn="0" w:lastColumn="0" w:oddVBand="0" w:evenVBand="0" w:oddHBand="1" w:evenHBand="0" w:firstRowFirstColumn="0" w:firstRowLastColumn="0" w:lastRowFirstColumn="0" w:lastRowLastColumn="0"/>
            </w:pPr>
            <w:r w:rsidRPr="00281428">
              <w:rPr>
                <w:rFonts w:cs="Arial"/>
                <w:szCs w:val="14"/>
              </w:rPr>
              <w:t>1</w:t>
            </w:r>
            <w:r>
              <w:rPr>
                <w:rFonts w:cs="Arial"/>
                <w:szCs w:val="14"/>
              </w:rPr>
              <w:t>,</w:t>
            </w:r>
            <w:r w:rsidRPr="00281428">
              <w:rPr>
                <w:rFonts w:cs="Arial"/>
                <w:szCs w:val="14"/>
              </w:rPr>
              <w:t>928</w:t>
            </w:r>
          </w:p>
        </w:tc>
        <w:tc>
          <w:tcPr>
            <w:tcW w:w="286" w:type="dxa"/>
            <w:gridSpan w:val="2"/>
            <w:tcBorders>
              <w:top w:val="nil"/>
              <w:bottom w:val="nil"/>
            </w:tcBorders>
            <w:shd w:val="clear" w:color="auto" w:fill="auto"/>
            <w:vAlign w:val="center"/>
          </w:tcPr>
          <w:p w14:paraId="7CBBC5FE" w14:textId="77777777" w:rsidR="008B7E19" w:rsidRPr="00350BA7"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273" w:type="dxa"/>
            <w:gridSpan w:val="3"/>
            <w:tcBorders>
              <w:top w:val="nil"/>
              <w:left w:val="nil"/>
              <w:bottom w:val="nil"/>
              <w:right w:val="nil"/>
            </w:tcBorders>
            <w:shd w:val="clear" w:color="auto" w:fill="auto"/>
            <w:vAlign w:val="center"/>
          </w:tcPr>
          <w:p w14:paraId="4AA78A53" w14:textId="77777777" w:rsidR="008B7E19" w:rsidRPr="00350BA7"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D168BA">
              <w:rPr>
                <w:rFonts w:cs="Arial"/>
                <w:szCs w:val="14"/>
              </w:rPr>
              <w:t>39</w:t>
            </w:r>
            <w:r>
              <w:rPr>
                <w:rFonts w:cs="Arial"/>
                <w:szCs w:val="14"/>
              </w:rPr>
              <w:t>,</w:t>
            </w:r>
            <w:r w:rsidRPr="00D168BA">
              <w:rPr>
                <w:rFonts w:cs="Arial"/>
                <w:szCs w:val="14"/>
              </w:rPr>
              <w:t>875</w:t>
            </w:r>
          </w:p>
        </w:tc>
        <w:tc>
          <w:tcPr>
            <w:tcW w:w="989" w:type="dxa"/>
            <w:gridSpan w:val="2"/>
            <w:tcBorders>
              <w:top w:val="nil"/>
              <w:left w:val="nil"/>
              <w:bottom w:val="nil"/>
              <w:right w:val="nil"/>
            </w:tcBorders>
            <w:shd w:val="clear" w:color="auto" w:fill="auto"/>
            <w:vAlign w:val="center"/>
          </w:tcPr>
          <w:p w14:paraId="18725F1B" w14:textId="77777777" w:rsidR="008B7E19" w:rsidRPr="00590483"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281428">
              <w:rPr>
                <w:rFonts w:cs="Arial"/>
                <w:szCs w:val="14"/>
              </w:rPr>
              <w:t>16</w:t>
            </w:r>
            <w:r>
              <w:rPr>
                <w:rFonts w:cs="Arial"/>
                <w:szCs w:val="14"/>
              </w:rPr>
              <w:t>,</w:t>
            </w:r>
            <w:r w:rsidRPr="00281428">
              <w:rPr>
                <w:rFonts w:cs="Arial"/>
                <w:szCs w:val="14"/>
              </w:rPr>
              <w:t>131</w:t>
            </w:r>
          </w:p>
        </w:tc>
        <w:tc>
          <w:tcPr>
            <w:tcW w:w="990" w:type="dxa"/>
            <w:tcBorders>
              <w:top w:val="nil"/>
              <w:bottom w:val="nil"/>
            </w:tcBorders>
            <w:shd w:val="clear" w:color="auto" w:fill="auto"/>
            <w:vAlign w:val="center"/>
          </w:tcPr>
          <w:p w14:paraId="76B75730" w14:textId="77777777" w:rsidR="008B7E19" w:rsidRPr="00BA1820" w:rsidRDefault="008B7E19" w:rsidP="008B7E19">
            <w:pPr>
              <w:pStyle w:val="08-Tabelageral"/>
              <w:cnfStyle w:val="000000100000" w:firstRow="0" w:lastRow="0" w:firstColumn="0" w:lastColumn="0" w:oddVBand="0" w:evenVBand="0" w:oddHBand="1" w:evenHBand="0" w:firstRowFirstColumn="0" w:firstRowLastColumn="0" w:lastRowFirstColumn="0" w:lastRowLastColumn="0"/>
            </w:pPr>
            <w:r w:rsidRPr="00281428">
              <w:rPr>
                <w:rFonts w:cs="Arial"/>
                <w:szCs w:val="14"/>
              </w:rPr>
              <w:t>1</w:t>
            </w:r>
            <w:r>
              <w:rPr>
                <w:rFonts w:cs="Arial"/>
                <w:szCs w:val="14"/>
              </w:rPr>
              <w:t>,</w:t>
            </w:r>
            <w:r w:rsidRPr="00281428">
              <w:rPr>
                <w:rFonts w:cs="Arial"/>
                <w:szCs w:val="14"/>
              </w:rPr>
              <w:t>928</w:t>
            </w:r>
          </w:p>
        </w:tc>
      </w:tr>
      <w:tr w:rsidR="008B7E19" w:rsidRPr="001D6BE8" w14:paraId="6F7EA4E5" w14:textId="77777777" w:rsidTr="008B7E19">
        <w:trPr>
          <w:trHeight w:val="238"/>
          <w:jc w:val="center"/>
        </w:trPr>
        <w:tc>
          <w:tcPr>
            <w:cnfStyle w:val="001000000000" w:firstRow="0" w:lastRow="0" w:firstColumn="1" w:lastColumn="0" w:oddVBand="0" w:evenVBand="0" w:oddHBand="0" w:evenHBand="0" w:firstRowFirstColumn="0" w:firstRowLastColumn="0" w:lastRowFirstColumn="0" w:lastRowLastColumn="0"/>
            <w:tcW w:w="2119" w:type="dxa"/>
            <w:tcBorders>
              <w:top w:val="nil"/>
              <w:bottom w:val="nil"/>
            </w:tcBorders>
            <w:shd w:val="clear" w:color="auto" w:fill="auto"/>
            <w:vAlign w:val="center"/>
          </w:tcPr>
          <w:p w14:paraId="67DBE4C2" w14:textId="77777777" w:rsidR="008B7E19" w:rsidRPr="0038031F" w:rsidRDefault="008B7E19" w:rsidP="008B7E19">
            <w:pPr>
              <w:pStyle w:val="08-Tabelageral"/>
              <w:ind w:left="113"/>
              <w:jc w:val="left"/>
              <w:rPr>
                <w:rFonts w:cs="Arial"/>
                <w:b w:val="0"/>
                <w:szCs w:val="14"/>
              </w:rPr>
            </w:pPr>
            <w:r w:rsidRPr="00C27294">
              <w:rPr>
                <w:rFonts w:cs="Arial"/>
                <w:b w:val="0"/>
                <w:szCs w:val="14"/>
              </w:rPr>
              <w:t>Commissions receivable</w:t>
            </w:r>
          </w:p>
        </w:tc>
        <w:tc>
          <w:tcPr>
            <w:tcW w:w="700" w:type="dxa"/>
            <w:tcBorders>
              <w:top w:val="nil"/>
              <w:bottom w:val="nil"/>
            </w:tcBorders>
            <w:shd w:val="clear" w:color="auto" w:fill="auto"/>
            <w:vAlign w:val="center"/>
          </w:tcPr>
          <w:p w14:paraId="79E3D78A" w14:textId="77777777" w:rsidR="008B7E19" w:rsidRPr="00CF4B29" w:rsidRDefault="008B7E19" w:rsidP="008B7E19">
            <w:pPr>
              <w:pStyle w:val="08-Tabelageral"/>
              <w:cnfStyle w:val="000000000000" w:firstRow="0" w:lastRow="0" w:firstColumn="0" w:lastColumn="0" w:oddVBand="0" w:evenVBand="0" w:oddHBand="0" w:evenHBand="0" w:firstRowFirstColumn="0" w:firstRowLastColumn="0" w:lastRowFirstColumn="0" w:lastRowLastColumn="0"/>
            </w:pPr>
            <w:r w:rsidRPr="00031868">
              <w:t>[18]</w:t>
            </w:r>
          </w:p>
        </w:tc>
        <w:tc>
          <w:tcPr>
            <w:tcW w:w="1120" w:type="dxa"/>
            <w:tcBorders>
              <w:top w:val="nil"/>
              <w:left w:val="nil"/>
              <w:bottom w:val="nil"/>
              <w:right w:val="nil"/>
            </w:tcBorders>
            <w:shd w:val="clear" w:color="auto" w:fill="auto"/>
            <w:vAlign w:val="center"/>
          </w:tcPr>
          <w:p w14:paraId="34D0CD02" w14:textId="77777777" w:rsidR="008B7E19" w:rsidRPr="00350BA7"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r>
              <w:rPr>
                <w:rFonts w:cs="Arial"/>
                <w:szCs w:val="14"/>
              </w:rPr>
              <w:t>--</w:t>
            </w:r>
          </w:p>
        </w:tc>
        <w:tc>
          <w:tcPr>
            <w:tcW w:w="1169" w:type="dxa"/>
            <w:tcBorders>
              <w:top w:val="nil"/>
              <w:left w:val="nil"/>
              <w:bottom w:val="nil"/>
              <w:right w:val="nil"/>
            </w:tcBorders>
            <w:shd w:val="clear" w:color="auto" w:fill="auto"/>
            <w:vAlign w:val="center"/>
          </w:tcPr>
          <w:p w14:paraId="49559394" w14:textId="77777777" w:rsidR="008B7E19"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r w:rsidRPr="00281428">
              <w:rPr>
                <w:rFonts w:cs="Arial"/>
                <w:szCs w:val="14"/>
              </w:rPr>
              <w:t>--</w:t>
            </w:r>
          </w:p>
        </w:tc>
        <w:tc>
          <w:tcPr>
            <w:tcW w:w="993" w:type="dxa"/>
            <w:gridSpan w:val="2"/>
            <w:tcBorders>
              <w:top w:val="nil"/>
              <w:bottom w:val="nil"/>
            </w:tcBorders>
            <w:shd w:val="clear" w:color="auto" w:fill="auto"/>
            <w:vAlign w:val="center"/>
          </w:tcPr>
          <w:p w14:paraId="730B6409" w14:textId="77777777" w:rsidR="008B7E19" w:rsidRPr="00CF4B29" w:rsidRDefault="008B7E19" w:rsidP="008B7E19">
            <w:pPr>
              <w:pStyle w:val="08-Tabelageral"/>
              <w:cnfStyle w:val="000000000000" w:firstRow="0" w:lastRow="0" w:firstColumn="0" w:lastColumn="0" w:oddVBand="0" w:evenVBand="0" w:oddHBand="0" w:evenHBand="0" w:firstRowFirstColumn="0" w:firstRowLastColumn="0" w:lastRowFirstColumn="0" w:lastRowLastColumn="0"/>
            </w:pPr>
            <w:r w:rsidRPr="00281428">
              <w:rPr>
                <w:rFonts w:cs="Arial"/>
                <w:szCs w:val="14"/>
              </w:rPr>
              <w:t>--</w:t>
            </w:r>
          </w:p>
        </w:tc>
        <w:tc>
          <w:tcPr>
            <w:tcW w:w="286" w:type="dxa"/>
            <w:gridSpan w:val="2"/>
            <w:tcBorders>
              <w:top w:val="nil"/>
              <w:bottom w:val="nil"/>
            </w:tcBorders>
            <w:shd w:val="clear" w:color="auto" w:fill="auto"/>
            <w:vAlign w:val="center"/>
          </w:tcPr>
          <w:p w14:paraId="1709B438" w14:textId="77777777" w:rsidR="008B7E19" w:rsidRPr="00350BA7"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p>
        </w:tc>
        <w:tc>
          <w:tcPr>
            <w:tcW w:w="1273" w:type="dxa"/>
            <w:gridSpan w:val="3"/>
            <w:tcBorders>
              <w:top w:val="nil"/>
              <w:left w:val="nil"/>
              <w:bottom w:val="nil"/>
              <w:right w:val="nil"/>
            </w:tcBorders>
            <w:shd w:val="clear" w:color="auto" w:fill="auto"/>
            <w:vAlign w:val="center"/>
          </w:tcPr>
          <w:p w14:paraId="6A538110" w14:textId="77777777" w:rsidR="008B7E19" w:rsidRPr="00350BA7"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r w:rsidRPr="001B2906">
              <w:rPr>
                <w:rFonts w:cs="Arial"/>
                <w:szCs w:val="14"/>
              </w:rPr>
              <w:t>1</w:t>
            </w:r>
            <w:r>
              <w:rPr>
                <w:rFonts w:cs="Arial"/>
                <w:szCs w:val="14"/>
              </w:rPr>
              <w:t>,</w:t>
            </w:r>
            <w:r w:rsidRPr="001B2906">
              <w:rPr>
                <w:rFonts w:cs="Arial"/>
                <w:szCs w:val="14"/>
              </w:rPr>
              <w:t>009</w:t>
            </w:r>
            <w:r>
              <w:rPr>
                <w:rFonts w:cs="Arial"/>
                <w:szCs w:val="14"/>
              </w:rPr>
              <w:t>,</w:t>
            </w:r>
            <w:r w:rsidRPr="001B2906">
              <w:rPr>
                <w:rFonts w:cs="Arial"/>
                <w:szCs w:val="14"/>
              </w:rPr>
              <w:t>929</w:t>
            </w:r>
          </w:p>
        </w:tc>
        <w:tc>
          <w:tcPr>
            <w:tcW w:w="989" w:type="dxa"/>
            <w:gridSpan w:val="2"/>
            <w:tcBorders>
              <w:top w:val="nil"/>
              <w:left w:val="nil"/>
              <w:bottom w:val="nil"/>
              <w:right w:val="nil"/>
            </w:tcBorders>
            <w:shd w:val="clear" w:color="auto" w:fill="auto"/>
            <w:vAlign w:val="center"/>
          </w:tcPr>
          <w:p w14:paraId="208B2FE9" w14:textId="77777777" w:rsidR="008B7E19" w:rsidRPr="00590483"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r w:rsidRPr="00281428">
              <w:rPr>
                <w:rFonts w:cs="Arial"/>
                <w:szCs w:val="14"/>
              </w:rPr>
              <w:t>1</w:t>
            </w:r>
            <w:r>
              <w:rPr>
                <w:rFonts w:cs="Arial"/>
                <w:szCs w:val="14"/>
              </w:rPr>
              <w:t>,</w:t>
            </w:r>
            <w:r w:rsidRPr="00281428">
              <w:rPr>
                <w:rFonts w:cs="Arial"/>
                <w:szCs w:val="14"/>
              </w:rPr>
              <w:t>114</w:t>
            </w:r>
            <w:r>
              <w:rPr>
                <w:rFonts w:cs="Arial"/>
                <w:szCs w:val="14"/>
              </w:rPr>
              <w:t>,</w:t>
            </w:r>
            <w:r w:rsidRPr="00281428">
              <w:rPr>
                <w:rFonts w:cs="Arial"/>
                <w:szCs w:val="14"/>
              </w:rPr>
              <w:t>256</w:t>
            </w:r>
          </w:p>
        </w:tc>
        <w:tc>
          <w:tcPr>
            <w:tcW w:w="990" w:type="dxa"/>
            <w:tcBorders>
              <w:top w:val="nil"/>
              <w:bottom w:val="nil"/>
            </w:tcBorders>
            <w:shd w:val="clear" w:color="auto" w:fill="auto"/>
            <w:vAlign w:val="center"/>
          </w:tcPr>
          <w:p w14:paraId="16B9C31B" w14:textId="77777777" w:rsidR="008B7E19" w:rsidRPr="00CF4B29" w:rsidRDefault="008B7E19" w:rsidP="008B7E19">
            <w:pPr>
              <w:pStyle w:val="08-Tabelageral"/>
              <w:cnfStyle w:val="000000000000" w:firstRow="0" w:lastRow="0" w:firstColumn="0" w:lastColumn="0" w:oddVBand="0" w:evenVBand="0" w:oddHBand="0" w:evenHBand="0" w:firstRowFirstColumn="0" w:firstRowLastColumn="0" w:lastRowFirstColumn="0" w:lastRowLastColumn="0"/>
            </w:pPr>
            <w:r w:rsidRPr="00281428">
              <w:rPr>
                <w:rFonts w:cs="Arial"/>
                <w:szCs w:val="14"/>
              </w:rPr>
              <w:t>1</w:t>
            </w:r>
            <w:r>
              <w:rPr>
                <w:rFonts w:cs="Arial"/>
                <w:szCs w:val="14"/>
              </w:rPr>
              <w:t>,</w:t>
            </w:r>
            <w:r w:rsidRPr="00281428">
              <w:rPr>
                <w:rFonts w:cs="Arial"/>
                <w:szCs w:val="14"/>
              </w:rPr>
              <w:t>026</w:t>
            </w:r>
            <w:r>
              <w:rPr>
                <w:rFonts w:cs="Arial"/>
                <w:szCs w:val="14"/>
              </w:rPr>
              <w:t>,</w:t>
            </w:r>
            <w:r w:rsidRPr="00281428">
              <w:rPr>
                <w:rFonts w:cs="Arial"/>
                <w:szCs w:val="14"/>
              </w:rPr>
              <w:t>158</w:t>
            </w:r>
          </w:p>
        </w:tc>
      </w:tr>
      <w:tr w:rsidR="008B7E19" w:rsidRPr="001D6BE8" w14:paraId="1F07EBED"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119" w:type="dxa"/>
            <w:tcBorders>
              <w:top w:val="nil"/>
              <w:bottom w:val="nil"/>
            </w:tcBorders>
            <w:shd w:val="clear" w:color="auto" w:fill="auto"/>
            <w:vAlign w:val="center"/>
          </w:tcPr>
          <w:p w14:paraId="6888C6F8" w14:textId="77777777" w:rsidR="008B7E19" w:rsidRPr="0038031F" w:rsidRDefault="008B7E19" w:rsidP="008B7E19">
            <w:pPr>
              <w:pStyle w:val="08-Tabelageral"/>
              <w:ind w:left="113"/>
              <w:jc w:val="left"/>
              <w:rPr>
                <w:rFonts w:cs="Arial"/>
                <w:b w:val="0"/>
                <w:szCs w:val="14"/>
              </w:rPr>
            </w:pPr>
            <w:r w:rsidRPr="00C27294">
              <w:rPr>
                <w:rFonts w:cs="Arial"/>
                <w:b w:val="0"/>
                <w:szCs w:val="14"/>
              </w:rPr>
              <w:t>Other assets</w:t>
            </w:r>
          </w:p>
        </w:tc>
        <w:tc>
          <w:tcPr>
            <w:tcW w:w="700" w:type="dxa"/>
            <w:tcBorders>
              <w:top w:val="nil"/>
              <w:bottom w:val="nil"/>
            </w:tcBorders>
            <w:shd w:val="clear" w:color="auto" w:fill="auto"/>
            <w:vAlign w:val="center"/>
          </w:tcPr>
          <w:p w14:paraId="624619F1" w14:textId="77777777" w:rsidR="008B7E19" w:rsidRPr="00CF4B29" w:rsidRDefault="008B7E19" w:rsidP="008B7E19">
            <w:pPr>
              <w:pStyle w:val="08-Tabelageral"/>
              <w:cnfStyle w:val="000000100000" w:firstRow="0" w:lastRow="0" w:firstColumn="0" w:lastColumn="0" w:oddVBand="0" w:evenVBand="0" w:oddHBand="1" w:evenHBand="0" w:firstRowFirstColumn="0" w:firstRowLastColumn="0" w:lastRowFirstColumn="0" w:lastRowLastColumn="0"/>
            </w:pPr>
            <w:r w:rsidRPr="00031868">
              <w:t>[20]</w:t>
            </w:r>
          </w:p>
        </w:tc>
        <w:tc>
          <w:tcPr>
            <w:tcW w:w="1120" w:type="dxa"/>
            <w:tcBorders>
              <w:top w:val="nil"/>
              <w:left w:val="nil"/>
              <w:bottom w:val="nil"/>
              <w:right w:val="nil"/>
            </w:tcBorders>
            <w:shd w:val="clear" w:color="auto" w:fill="auto"/>
            <w:vAlign w:val="center"/>
          </w:tcPr>
          <w:p w14:paraId="365E2A70" w14:textId="77777777" w:rsidR="008B7E19" w:rsidRPr="00350BA7" w:rsidRDefault="008B7E19" w:rsidP="008B7E19">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r w:rsidRPr="001B2906">
              <w:rPr>
                <w:rFonts w:cs="Arial"/>
                <w:szCs w:val="14"/>
              </w:rPr>
              <w:t>11</w:t>
            </w:r>
            <w:r>
              <w:rPr>
                <w:rFonts w:cs="Arial"/>
                <w:szCs w:val="14"/>
              </w:rPr>
              <w:t>,</w:t>
            </w:r>
            <w:r w:rsidRPr="001B2906">
              <w:rPr>
                <w:rFonts w:cs="Arial"/>
                <w:szCs w:val="14"/>
              </w:rPr>
              <w:t>606</w:t>
            </w:r>
          </w:p>
        </w:tc>
        <w:tc>
          <w:tcPr>
            <w:tcW w:w="1169" w:type="dxa"/>
            <w:tcBorders>
              <w:top w:val="nil"/>
              <w:left w:val="nil"/>
              <w:bottom w:val="nil"/>
              <w:right w:val="nil"/>
            </w:tcBorders>
            <w:shd w:val="clear" w:color="auto" w:fill="auto"/>
            <w:vAlign w:val="center"/>
          </w:tcPr>
          <w:p w14:paraId="558ED624" w14:textId="77777777" w:rsidR="008B7E19" w:rsidRPr="00590483"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281428">
              <w:rPr>
                <w:rFonts w:cs="Arial"/>
                <w:szCs w:val="14"/>
              </w:rPr>
              <w:t>9</w:t>
            </w:r>
            <w:r>
              <w:rPr>
                <w:rFonts w:cs="Arial"/>
                <w:szCs w:val="14"/>
              </w:rPr>
              <w:t>,</w:t>
            </w:r>
            <w:r w:rsidRPr="00281428">
              <w:rPr>
                <w:rFonts w:cs="Arial"/>
                <w:szCs w:val="14"/>
              </w:rPr>
              <w:t>816</w:t>
            </w:r>
          </w:p>
        </w:tc>
        <w:tc>
          <w:tcPr>
            <w:tcW w:w="993" w:type="dxa"/>
            <w:gridSpan w:val="2"/>
            <w:tcBorders>
              <w:top w:val="nil"/>
              <w:bottom w:val="nil"/>
            </w:tcBorders>
            <w:shd w:val="clear" w:color="auto" w:fill="auto"/>
            <w:vAlign w:val="center"/>
          </w:tcPr>
          <w:p w14:paraId="63B9F98B" w14:textId="77777777" w:rsidR="008B7E19" w:rsidRPr="00CF4B29" w:rsidRDefault="008B7E19" w:rsidP="008B7E19">
            <w:pPr>
              <w:pStyle w:val="08-Tabelageral"/>
              <w:cnfStyle w:val="000000100000" w:firstRow="0" w:lastRow="0" w:firstColumn="0" w:lastColumn="0" w:oddVBand="0" w:evenVBand="0" w:oddHBand="1" w:evenHBand="0" w:firstRowFirstColumn="0" w:firstRowLastColumn="0" w:lastRowFirstColumn="0" w:lastRowLastColumn="0"/>
            </w:pPr>
            <w:r w:rsidRPr="00281428">
              <w:rPr>
                <w:rFonts w:cs="Arial"/>
                <w:szCs w:val="14"/>
              </w:rPr>
              <w:t>12</w:t>
            </w:r>
            <w:r>
              <w:rPr>
                <w:rFonts w:cs="Arial"/>
                <w:szCs w:val="14"/>
              </w:rPr>
              <w:t>,</w:t>
            </w:r>
            <w:r w:rsidRPr="00281428">
              <w:rPr>
                <w:rFonts w:cs="Arial"/>
                <w:szCs w:val="14"/>
              </w:rPr>
              <w:t>719</w:t>
            </w:r>
          </w:p>
        </w:tc>
        <w:tc>
          <w:tcPr>
            <w:tcW w:w="286" w:type="dxa"/>
            <w:gridSpan w:val="2"/>
            <w:tcBorders>
              <w:top w:val="nil"/>
              <w:bottom w:val="nil"/>
            </w:tcBorders>
            <w:shd w:val="clear" w:color="auto" w:fill="auto"/>
            <w:vAlign w:val="center"/>
          </w:tcPr>
          <w:p w14:paraId="70A73ADC" w14:textId="77777777" w:rsidR="008B7E19" w:rsidRPr="00350BA7" w:rsidRDefault="008B7E19" w:rsidP="008B7E19">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p>
        </w:tc>
        <w:tc>
          <w:tcPr>
            <w:tcW w:w="1273" w:type="dxa"/>
            <w:gridSpan w:val="3"/>
            <w:tcBorders>
              <w:top w:val="nil"/>
              <w:left w:val="nil"/>
              <w:bottom w:val="nil"/>
              <w:right w:val="nil"/>
            </w:tcBorders>
            <w:shd w:val="clear" w:color="auto" w:fill="auto"/>
            <w:vAlign w:val="center"/>
          </w:tcPr>
          <w:p w14:paraId="5A8A034E" w14:textId="77777777" w:rsidR="008B7E19" w:rsidRPr="00350BA7" w:rsidRDefault="008B7E19" w:rsidP="008B7E19">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r w:rsidRPr="001B2906">
              <w:rPr>
                <w:rFonts w:cs="Arial"/>
                <w:szCs w:val="14"/>
              </w:rPr>
              <w:t>6</w:t>
            </w:r>
            <w:r>
              <w:rPr>
                <w:rFonts w:cs="Arial"/>
                <w:szCs w:val="14"/>
              </w:rPr>
              <w:t>,</w:t>
            </w:r>
            <w:r w:rsidRPr="001B2906">
              <w:rPr>
                <w:rFonts w:cs="Arial"/>
                <w:szCs w:val="14"/>
              </w:rPr>
              <w:t>282</w:t>
            </w:r>
          </w:p>
        </w:tc>
        <w:tc>
          <w:tcPr>
            <w:tcW w:w="989" w:type="dxa"/>
            <w:gridSpan w:val="2"/>
            <w:tcBorders>
              <w:top w:val="nil"/>
              <w:left w:val="nil"/>
              <w:bottom w:val="nil"/>
              <w:right w:val="nil"/>
            </w:tcBorders>
            <w:shd w:val="clear" w:color="auto" w:fill="auto"/>
            <w:vAlign w:val="center"/>
          </w:tcPr>
          <w:p w14:paraId="7BADAB10" w14:textId="77777777" w:rsidR="008B7E19" w:rsidRPr="00590483"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281428">
              <w:rPr>
                <w:rFonts w:cs="Arial"/>
                <w:szCs w:val="14"/>
              </w:rPr>
              <w:t>574</w:t>
            </w:r>
          </w:p>
        </w:tc>
        <w:tc>
          <w:tcPr>
            <w:tcW w:w="990" w:type="dxa"/>
            <w:tcBorders>
              <w:top w:val="nil"/>
              <w:bottom w:val="nil"/>
            </w:tcBorders>
            <w:shd w:val="clear" w:color="auto" w:fill="auto"/>
            <w:vAlign w:val="center"/>
          </w:tcPr>
          <w:p w14:paraId="50887BF3" w14:textId="77777777" w:rsidR="008B7E19" w:rsidRPr="00CF4B29" w:rsidRDefault="008B7E19" w:rsidP="008B7E19">
            <w:pPr>
              <w:pStyle w:val="08-Tabelageral"/>
              <w:cnfStyle w:val="000000100000" w:firstRow="0" w:lastRow="0" w:firstColumn="0" w:lastColumn="0" w:oddVBand="0" w:evenVBand="0" w:oddHBand="1" w:evenHBand="0" w:firstRowFirstColumn="0" w:firstRowLastColumn="0" w:lastRowFirstColumn="0" w:lastRowLastColumn="0"/>
            </w:pPr>
            <w:r w:rsidRPr="00281428">
              <w:rPr>
                <w:rFonts w:cs="Arial"/>
                <w:szCs w:val="14"/>
              </w:rPr>
              <w:t>5</w:t>
            </w:r>
            <w:r>
              <w:rPr>
                <w:rFonts w:cs="Arial"/>
                <w:szCs w:val="14"/>
              </w:rPr>
              <w:t>,</w:t>
            </w:r>
            <w:r w:rsidRPr="00281428">
              <w:rPr>
                <w:rFonts w:cs="Arial"/>
                <w:szCs w:val="14"/>
              </w:rPr>
              <w:t>336</w:t>
            </w:r>
          </w:p>
        </w:tc>
      </w:tr>
      <w:tr w:rsidR="008B7E19" w:rsidRPr="001D6BE8" w14:paraId="487BCA4A" w14:textId="77777777" w:rsidTr="008B7E19">
        <w:trPr>
          <w:trHeight w:val="238"/>
          <w:jc w:val="center"/>
        </w:trPr>
        <w:tc>
          <w:tcPr>
            <w:cnfStyle w:val="001000000000" w:firstRow="0" w:lastRow="0" w:firstColumn="1" w:lastColumn="0" w:oddVBand="0" w:evenVBand="0" w:oddHBand="0" w:evenHBand="0" w:firstRowFirstColumn="0" w:firstRowLastColumn="0" w:lastRowFirstColumn="0" w:lastRowLastColumn="0"/>
            <w:tcW w:w="2119" w:type="dxa"/>
            <w:tcBorders>
              <w:top w:val="nil"/>
              <w:bottom w:val="nil"/>
            </w:tcBorders>
            <w:shd w:val="clear" w:color="auto" w:fill="auto"/>
            <w:vAlign w:val="center"/>
          </w:tcPr>
          <w:p w14:paraId="0DF2A3FD" w14:textId="77777777" w:rsidR="008B7E19" w:rsidRPr="0038031F" w:rsidRDefault="008B7E19" w:rsidP="008B7E19">
            <w:pPr>
              <w:pStyle w:val="08-Tabelageral"/>
              <w:jc w:val="left"/>
              <w:rPr>
                <w:rFonts w:cs="Arial"/>
                <w:b w:val="0"/>
                <w:szCs w:val="14"/>
              </w:rPr>
            </w:pPr>
          </w:p>
        </w:tc>
        <w:tc>
          <w:tcPr>
            <w:tcW w:w="700" w:type="dxa"/>
            <w:tcBorders>
              <w:top w:val="nil"/>
              <w:bottom w:val="nil"/>
            </w:tcBorders>
            <w:shd w:val="clear" w:color="auto" w:fill="auto"/>
            <w:vAlign w:val="center"/>
          </w:tcPr>
          <w:p w14:paraId="3089DFED" w14:textId="77777777" w:rsidR="008B7E19" w:rsidRPr="00CF4B29" w:rsidRDefault="008B7E19" w:rsidP="008B7E19">
            <w:pPr>
              <w:pStyle w:val="08-Tabelageral"/>
              <w:cnfStyle w:val="000000000000" w:firstRow="0" w:lastRow="0" w:firstColumn="0" w:lastColumn="0" w:oddVBand="0" w:evenVBand="0" w:oddHBand="0" w:evenHBand="0" w:firstRowFirstColumn="0" w:firstRowLastColumn="0" w:lastRowFirstColumn="0" w:lastRowLastColumn="0"/>
            </w:pPr>
          </w:p>
        </w:tc>
        <w:tc>
          <w:tcPr>
            <w:tcW w:w="1120" w:type="dxa"/>
            <w:tcBorders>
              <w:top w:val="nil"/>
              <w:bottom w:val="nil"/>
            </w:tcBorders>
            <w:shd w:val="clear" w:color="auto" w:fill="auto"/>
            <w:vAlign w:val="center"/>
          </w:tcPr>
          <w:p w14:paraId="346057B9" w14:textId="77777777" w:rsidR="008B7E19" w:rsidRPr="00350BA7" w:rsidRDefault="008B7E19" w:rsidP="008B7E19">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rPr>
            </w:pPr>
          </w:p>
        </w:tc>
        <w:tc>
          <w:tcPr>
            <w:tcW w:w="1169" w:type="dxa"/>
            <w:tcBorders>
              <w:top w:val="nil"/>
              <w:bottom w:val="nil"/>
            </w:tcBorders>
            <w:shd w:val="clear" w:color="auto" w:fill="auto"/>
            <w:vAlign w:val="center"/>
          </w:tcPr>
          <w:p w14:paraId="6F1218C4" w14:textId="77777777" w:rsidR="008B7E19" w:rsidRPr="00CF4B29" w:rsidRDefault="008B7E19" w:rsidP="008B7E19">
            <w:pPr>
              <w:pStyle w:val="08-Tabelageral"/>
              <w:cnfStyle w:val="000000000000" w:firstRow="0" w:lastRow="0" w:firstColumn="0" w:lastColumn="0" w:oddVBand="0" w:evenVBand="0" w:oddHBand="0" w:evenHBand="0" w:firstRowFirstColumn="0" w:firstRowLastColumn="0" w:lastRowFirstColumn="0" w:lastRowLastColumn="0"/>
            </w:pPr>
            <w:bookmarkStart w:id="10" w:name="_GoBack"/>
            <w:bookmarkEnd w:id="10"/>
          </w:p>
        </w:tc>
        <w:tc>
          <w:tcPr>
            <w:tcW w:w="993" w:type="dxa"/>
            <w:gridSpan w:val="2"/>
            <w:tcBorders>
              <w:top w:val="nil"/>
              <w:bottom w:val="nil"/>
            </w:tcBorders>
            <w:shd w:val="clear" w:color="auto" w:fill="auto"/>
            <w:vAlign w:val="center"/>
          </w:tcPr>
          <w:p w14:paraId="244CF8C3" w14:textId="77777777" w:rsidR="008B7E19" w:rsidRPr="00CF4B29" w:rsidRDefault="008B7E19" w:rsidP="008B7E19">
            <w:pPr>
              <w:pStyle w:val="08-Tabelageral"/>
              <w:cnfStyle w:val="000000000000" w:firstRow="0" w:lastRow="0" w:firstColumn="0" w:lastColumn="0" w:oddVBand="0" w:evenVBand="0" w:oddHBand="0" w:evenHBand="0" w:firstRowFirstColumn="0" w:firstRowLastColumn="0" w:lastRowFirstColumn="0" w:lastRowLastColumn="0"/>
            </w:pPr>
          </w:p>
        </w:tc>
        <w:tc>
          <w:tcPr>
            <w:tcW w:w="286" w:type="dxa"/>
            <w:gridSpan w:val="2"/>
            <w:tcBorders>
              <w:top w:val="nil"/>
              <w:bottom w:val="nil"/>
            </w:tcBorders>
            <w:shd w:val="clear" w:color="auto" w:fill="auto"/>
            <w:vAlign w:val="center"/>
          </w:tcPr>
          <w:p w14:paraId="37F0177F" w14:textId="77777777" w:rsidR="008B7E19" w:rsidRPr="00350BA7" w:rsidRDefault="008B7E19" w:rsidP="008B7E19">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rPr>
            </w:pPr>
          </w:p>
        </w:tc>
        <w:tc>
          <w:tcPr>
            <w:tcW w:w="1273" w:type="dxa"/>
            <w:gridSpan w:val="3"/>
            <w:tcBorders>
              <w:top w:val="nil"/>
              <w:bottom w:val="nil"/>
            </w:tcBorders>
            <w:shd w:val="clear" w:color="auto" w:fill="auto"/>
            <w:vAlign w:val="center"/>
          </w:tcPr>
          <w:p w14:paraId="10C247FE" w14:textId="77777777" w:rsidR="008B7E19" w:rsidRPr="00350BA7" w:rsidRDefault="008B7E19" w:rsidP="008B7E19">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rPr>
            </w:pPr>
          </w:p>
        </w:tc>
        <w:tc>
          <w:tcPr>
            <w:tcW w:w="989" w:type="dxa"/>
            <w:gridSpan w:val="2"/>
            <w:tcBorders>
              <w:top w:val="nil"/>
              <w:bottom w:val="nil"/>
            </w:tcBorders>
            <w:shd w:val="clear" w:color="auto" w:fill="auto"/>
            <w:vAlign w:val="center"/>
          </w:tcPr>
          <w:p w14:paraId="0850A17C" w14:textId="77777777" w:rsidR="008B7E19" w:rsidRPr="00CF4B29" w:rsidRDefault="008B7E19" w:rsidP="008B7E19">
            <w:pPr>
              <w:pStyle w:val="08-Tabelageral"/>
              <w:cnfStyle w:val="000000000000" w:firstRow="0" w:lastRow="0" w:firstColumn="0" w:lastColumn="0" w:oddVBand="0" w:evenVBand="0" w:oddHBand="0" w:evenHBand="0" w:firstRowFirstColumn="0" w:firstRowLastColumn="0" w:lastRowFirstColumn="0" w:lastRowLastColumn="0"/>
            </w:pPr>
          </w:p>
        </w:tc>
        <w:tc>
          <w:tcPr>
            <w:tcW w:w="990" w:type="dxa"/>
            <w:tcBorders>
              <w:top w:val="nil"/>
              <w:bottom w:val="nil"/>
            </w:tcBorders>
            <w:shd w:val="clear" w:color="auto" w:fill="auto"/>
            <w:vAlign w:val="center"/>
          </w:tcPr>
          <w:p w14:paraId="184FCD18" w14:textId="77777777" w:rsidR="008B7E19" w:rsidRPr="00CF4B29" w:rsidRDefault="008B7E19" w:rsidP="008B7E19">
            <w:pPr>
              <w:pStyle w:val="08-Tabelageral"/>
              <w:cnfStyle w:val="000000000000" w:firstRow="0" w:lastRow="0" w:firstColumn="0" w:lastColumn="0" w:oddVBand="0" w:evenVBand="0" w:oddHBand="0" w:evenHBand="0" w:firstRowFirstColumn="0" w:firstRowLastColumn="0" w:lastRowFirstColumn="0" w:lastRowLastColumn="0"/>
            </w:pPr>
          </w:p>
        </w:tc>
      </w:tr>
      <w:tr w:rsidR="008B7E19" w:rsidRPr="001D6BE8" w14:paraId="50E946C3"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119" w:type="dxa"/>
            <w:tcBorders>
              <w:top w:val="nil"/>
              <w:bottom w:val="nil"/>
            </w:tcBorders>
            <w:shd w:val="clear" w:color="auto" w:fill="auto"/>
            <w:vAlign w:val="center"/>
          </w:tcPr>
          <w:p w14:paraId="500C580B" w14:textId="77777777" w:rsidR="008B7E19" w:rsidRPr="00CD3714" w:rsidRDefault="008B7E19" w:rsidP="008B7E19">
            <w:pPr>
              <w:pStyle w:val="08-Tabelageral"/>
              <w:jc w:val="left"/>
              <w:rPr>
                <w:rFonts w:cs="Arial"/>
                <w:szCs w:val="14"/>
              </w:rPr>
            </w:pPr>
            <w:r w:rsidRPr="00C27294">
              <w:rPr>
                <w:rFonts w:cs="Arial"/>
                <w:szCs w:val="14"/>
              </w:rPr>
              <w:t>Non-Current Assets</w:t>
            </w:r>
          </w:p>
        </w:tc>
        <w:tc>
          <w:tcPr>
            <w:tcW w:w="700" w:type="dxa"/>
            <w:tcBorders>
              <w:top w:val="nil"/>
              <w:bottom w:val="nil"/>
            </w:tcBorders>
            <w:shd w:val="clear" w:color="auto" w:fill="auto"/>
            <w:vAlign w:val="center"/>
          </w:tcPr>
          <w:p w14:paraId="049A6BB3" w14:textId="77777777" w:rsidR="008B7E19" w:rsidRPr="00CD3714"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b/>
              </w:rPr>
            </w:pPr>
          </w:p>
        </w:tc>
        <w:tc>
          <w:tcPr>
            <w:tcW w:w="1120" w:type="dxa"/>
            <w:tcBorders>
              <w:top w:val="nil"/>
              <w:left w:val="nil"/>
              <w:bottom w:val="nil"/>
              <w:right w:val="nil"/>
            </w:tcBorders>
            <w:shd w:val="clear" w:color="auto" w:fill="auto"/>
            <w:vAlign w:val="center"/>
          </w:tcPr>
          <w:p w14:paraId="3322735E" w14:textId="77777777" w:rsidR="008B7E19" w:rsidRPr="005808D9" w:rsidRDefault="008B7E19" w:rsidP="008B7E19">
            <w:pPr>
              <w:pStyle w:val="08-Tabelageral"/>
              <w:ind w:left="113"/>
              <w:cnfStyle w:val="000000100000" w:firstRow="0" w:lastRow="0" w:firstColumn="0" w:lastColumn="0" w:oddVBand="0" w:evenVBand="0" w:oddHBand="1" w:evenHBand="0" w:firstRowFirstColumn="0" w:firstRowLastColumn="0" w:lastRowFirstColumn="0" w:lastRowLastColumn="0"/>
              <w:rPr>
                <w:rFonts w:cs="Arial"/>
                <w:b/>
                <w:bCs/>
                <w:szCs w:val="14"/>
              </w:rPr>
            </w:pPr>
            <w:r w:rsidRPr="006E4E16">
              <w:rPr>
                <w:rFonts w:cs="Arial"/>
                <w:b/>
                <w:szCs w:val="14"/>
              </w:rPr>
              <w:t>8</w:t>
            </w:r>
            <w:r>
              <w:rPr>
                <w:rFonts w:cs="Arial"/>
                <w:b/>
                <w:szCs w:val="14"/>
              </w:rPr>
              <w:t>,</w:t>
            </w:r>
            <w:r w:rsidRPr="006E4E16">
              <w:rPr>
                <w:rFonts w:cs="Arial"/>
                <w:b/>
                <w:szCs w:val="14"/>
              </w:rPr>
              <w:t>855</w:t>
            </w:r>
            <w:r>
              <w:rPr>
                <w:rFonts w:cs="Arial"/>
                <w:b/>
                <w:szCs w:val="14"/>
              </w:rPr>
              <w:t>,</w:t>
            </w:r>
            <w:r w:rsidRPr="006E4E16">
              <w:rPr>
                <w:rFonts w:cs="Arial"/>
                <w:b/>
                <w:szCs w:val="14"/>
              </w:rPr>
              <w:t>928</w:t>
            </w:r>
          </w:p>
        </w:tc>
        <w:tc>
          <w:tcPr>
            <w:tcW w:w="1169" w:type="dxa"/>
            <w:tcBorders>
              <w:top w:val="nil"/>
              <w:left w:val="nil"/>
              <w:bottom w:val="nil"/>
              <w:right w:val="nil"/>
            </w:tcBorders>
            <w:shd w:val="clear" w:color="auto" w:fill="auto"/>
            <w:vAlign w:val="center"/>
          </w:tcPr>
          <w:p w14:paraId="4BB09F9C" w14:textId="77777777" w:rsidR="008B7E19" w:rsidRPr="00EE1C73"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r w:rsidRPr="00544B6D">
              <w:rPr>
                <w:rFonts w:cs="Arial"/>
                <w:b/>
                <w:szCs w:val="14"/>
              </w:rPr>
              <w:t>7</w:t>
            </w:r>
            <w:r>
              <w:rPr>
                <w:rFonts w:cs="Arial"/>
                <w:b/>
                <w:szCs w:val="14"/>
              </w:rPr>
              <w:t>,</w:t>
            </w:r>
            <w:r w:rsidRPr="00544B6D">
              <w:rPr>
                <w:rFonts w:cs="Arial"/>
                <w:b/>
                <w:szCs w:val="14"/>
              </w:rPr>
              <w:t>954</w:t>
            </w:r>
            <w:r>
              <w:rPr>
                <w:rFonts w:cs="Arial"/>
                <w:b/>
                <w:szCs w:val="14"/>
              </w:rPr>
              <w:t>,</w:t>
            </w:r>
            <w:r w:rsidRPr="00544B6D">
              <w:rPr>
                <w:rFonts w:cs="Arial"/>
                <w:b/>
                <w:szCs w:val="14"/>
              </w:rPr>
              <w:t>747</w:t>
            </w:r>
          </w:p>
        </w:tc>
        <w:tc>
          <w:tcPr>
            <w:tcW w:w="993" w:type="dxa"/>
            <w:gridSpan w:val="2"/>
            <w:tcBorders>
              <w:top w:val="nil"/>
              <w:bottom w:val="nil"/>
            </w:tcBorders>
            <w:shd w:val="clear" w:color="auto" w:fill="auto"/>
            <w:vAlign w:val="center"/>
          </w:tcPr>
          <w:p w14:paraId="51E801EE" w14:textId="77777777" w:rsidR="008B7E19" w:rsidRPr="005808D9"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b/>
                <w:bCs/>
              </w:rPr>
            </w:pPr>
            <w:r w:rsidRPr="00544B6D">
              <w:rPr>
                <w:rFonts w:cs="Arial"/>
                <w:b/>
                <w:szCs w:val="14"/>
              </w:rPr>
              <w:t>7</w:t>
            </w:r>
            <w:r>
              <w:rPr>
                <w:rFonts w:cs="Arial"/>
                <w:b/>
                <w:szCs w:val="14"/>
              </w:rPr>
              <w:t>,</w:t>
            </w:r>
            <w:r w:rsidRPr="00544B6D">
              <w:rPr>
                <w:rFonts w:cs="Arial"/>
                <w:b/>
                <w:szCs w:val="14"/>
              </w:rPr>
              <w:t>354</w:t>
            </w:r>
            <w:r>
              <w:rPr>
                <w:rFonts w:cs="Arial"/>
                <w:b/>
                <w:szCs w:val="14"/>
              </w:rPr>
              <w:t>,</w:t>
            </w:r>
            <w:r w:rsidRPr="00544B6D">
              <w:rPr>
                <w:rFonts w:cs="Arial"/>
                <w:b/>
                <w:szCs w:val="14"/>
              </w:rPr>
              <w:t>986</w:t>
            </w:r>
          </w:p>
        </w:tc>
        <w:tc>
          <w:tcPr>
            <w:tcW w:w="286" w:type="dxa"/>
            <w:gridSpan w:val="2"/>
            <w:tcBorders>
              <w:top w:val="nil"/>
              <w:bottom w:val="nil"/>
            </w:tcBorders>
            <w:shd w:val="clear" w:color="auto" w:fill="auto"/>
            <w:vAlign w:val="center"/>
          </w:tcPr>
          <w:p w14:paraId="4C9EF4A2" w14:textId="77777777" w:rsidR="008B7E19" w:rsidRPr="005808D9" w:rsidRDefault="008B7E19" w:rsidP="008B7E19">
            <w:pPr>
              <w:pStyle w:val="08-Tabelageral"/>
              <w:ind w:left="113"/>
              <w:cnfStyle w:val="000000100000" w:firstRow="0" w:lastRow="0" w:firstColumn="0" w:lastColumn="0" w:oddVBand="0" w:evenVBand="0" w:oddHBand="1" w:evenHBand="0" w:firstRowFirstColumn="0" w:firstRowLastColumn="0" w:lastRowFirstColumn="0" w:lastRowLastColumn="0"/>
              <w:rPr>
                <w:rFonts w:cs="Arial"/>
                <w:b/>
                <w:bCs/>
                <w:szCs w:val="14"/>
              </w:rPr>
            </w:pPr>
          </w:p>
        </w:tc>
        <w:tc>
          <w:tcPr>
            <w:tcW w:w="1273" w:type="dxa"/>
            <w:gridSpan w:val="3"/>
            <w:tcBorders>
              <w:top w:val="nil"/>
              <w:left w:val="nil"/>
              <w:bottom w:val="nil"/>
              <w:right w:val="nil"/>
            </w:tcBorders>
            <w:shd w:val="clear" w:color="auto" w:fill="auto"/>
            <w:vAlign w:val="center"/>
          </w:tcPr>
          <w:p w14:paraId="091BB748" w14:textId="77777777" w:rsidR="008B7E19" w:rsidRPr="005808D9" w:rsidRDefault="008B7E19" w:rsidP="008B7E19">
            <w:pPr>
              <w:pStyle w:val="08-Tabelageral"/>
              <w:ind w:left="113"/>
              <w:cnfStyle w:val="000000100000" w:firstRow="0" w:lastRow="0" w:firstColumn="0" w:lastColumn="0" w:oddVBand="0" w:evenVBand="0" w:oddHBand="1" w:evenHBand="0" w:firstRowFirstColumn="0" w:firstRowLastColumn="0" w:lastRowFirstColumn="0" w:lastRowLastColumn="0"/>
              <w:rPr>
                <w:rFonts w:cs="Arial"/>
                <w:b/>
                <w:bCs/>
                <w:szCs w:val="14"/>
              </w:rPr>
            </w:pPr>
            <w:r w:rsidRPr="006E4E16">
              <w:rPr>
                <w:rFonts w:cs="Arial"/>
                <w:b/>
                <w:bCs/>
                <w:szCs w:val="14"/>
              </w:rPr>
              <w:t>11</w:t>
            </w:r>
            <w:r>
              <w:rPr>
                <w:rFonts w:cs="Arial"/>
                <w:b/>
                <w:bCs/>
                <w:szCs w:val="14"/>
              </w:rPr>
              <w:t>,</w:t>
            </w:r>
            <w:r w:rsidRPr="006E4E16">
              <w:rPr>
                <w:rFonts w:cs="Arial"/>
                <w:b/>
                <w:bCs/>
                <w:szCs w:val="14"/>
              </w:rPr>
              <w:t>566</w:t>
            </w:r>
            <w:r>
              <w:rPr>
                <w:rFonts w:cs="Arial"/>
                <w:b/>
                <w:bCs/>
                <w:szCs w:val="14"/>
              </w:rPr>
              <w:t>,</w:t>
            </w:r>
            <w:r w:rsidRPr="006E4E16">
              <w:rPr>
                <w:rFonts w:cs="Arial"/>
                <w:b/>
                <w:bCs/>
                <w:szCs w:val="14"/>
              </w:rPr>
              <w:t>737</w:t>
            </w:r>
          </w:p>
        </w:tc>
        <w:tc>
          <w:tcPr>
            <w:tcW w:w="989" w:type="dxa"/>
            <w:gridSpan w:val="2"/>
            <w:tcBorders>
              <w:top w:val="nil"/>
              <w:left w:val="nil"/>
              <w:bottom w:val="nil"/>
              <w:right w:val="nil"/>
            </w:tcBorders>
            <w:shd w:val="clear" w:color="auto" w:fill="auto"/>
            <w:vAlign w:val="center"/>
          </w:tcPr>
          <w:p w14:paraId="07530320" w14:textId="77777777" w:rsidR="008B7E19" w:rsidRPr="00EE1C73"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544B6D">
              <w:rPr>
                <w:rFonts w:cs="Arial"/>
                <w:b/>
                <w:bCs/>
                <w:szCs w:val="14"/>
              </w:rPr>
              <w:t>9</w:t>
            </w:r>
            <w:r>
              <w:rPr>
                <w:rFonts w:cs="Arial"/>
                <w:b/>
                <w:bCs/>
                <w:szCs w:val="14"/>
              </w:rPr>
              <w:t>,</w:t>
            </w:r>
            <w:r w:rsidRPr="00544B6D">
              <w:rPr>
                <w:rFonts w:cs="Arial"/>
                <w:b/>
                <w:bCs/>
                <w:szCs w:val="14"/>
              </w:rPr>
              <w:t>349</w:t>
            </w:r>
            <w:r>
              <w:rPr>
                <w:rFonts w:cs="Arial"/>
                <w:b/>
                <w:bCs/>
                <w:szCs w:val="14"/>
              </w:rPr>
              <w:t>,</w:t>
            </w:r>
            <w:r w:rsidRPr="00544B6D">
              <w:rPr>
                <w:rFonts w:cs="Arial"/>
                <w:b/>
                <w:bCs/>
                <w:szCs w:val="14"/>
              </w:rPr>
              <w:t>363</w:t>
            </w:r>
          </w:p>
        </w:tc>
        <w:tc>
          <w:tcPr>
            <w:tcW w:w="990" w:type="dxa"/>
            <w:tcBorders>
              <w:top w:val="nil"/>
              <w:bottom w:val="nil"/>
            </w:tcBorders>
            <w:shd w:val="clear" w:color="auto" w:fill="auto"/>
            <w:vAlign w:val="center"/>
          </w:tcPr>
          <w:p w14:paraId="16AB9E6C" w14:textId="77777777" w:rsidR="008B7E19" w:rsidRPr="005808D9"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b/>
                <w:bCs/>
              </w:rPr>
            </w:pPr>
            <w:r w:rsidRPr="00544B6D">
              <w:rPr>
                <w:rFonts w:cs="Arial"/>
                <w:b/>
                <w:bCs/>
                <w:szCs w:val="14"/>
              </w:rPr>
              <w:t>8</w:t>
            </w:r>
            <w:r>
              <w:rPr>
                <w:rFonts w:cs="Arial"/>
                <w:b/>
                <w:bCs/>
                <w:szCs w:val="14"/>
              </w:rPr>
              <w:t>,</w:t>
            </w:r>
            <w:r w:rsidRPr="00544B6D">
              <w:rPr>
                <w:rFonts w:cs="Arial"/>
                <w:b/>
                <w:bCs/>
                <w:szCs w:val="14"/>
              </w:rPr>
              <w:t>375</w:t>
            </w:r>
            <w:r>
              <w:rPr>
                <w:rFonts w:cs="Arial"/>
                <w:b/>
                <w:bCs/>
                <w:szCs w:val="14"/>
              </w:rPr>
              <w:t>,</w:t>
            </w:r>
            <w:r w:rsidRPr="00544B6D">
              <w:rPr>
                <w:rFonts w:cs="Arial"/>
                <w:b/>
                <w:bCs/>
                <w:szCs w:val="14"/>
              </w:rPr>
              <w:t>575</w:t>
            </w:r>
          </w:p>
        </w:tc>
      </w:tr>
      <w:tr w:rsidR="008B7E19" w:rsidRPr="001D6BE8" w14:paraId="23BCA942" w14:textId="77777777" w:rsidTr="008B7E19">
        <w:trPr>
          <w:trHeight w:val="238"/>
          <w:jc w:val="center"/>
        </w:trPr>
        <w:tc>
          <w:tcPr>
            <w:cnfStyle w:val="001000000000" w:firstRow="0" w:lastRow="0" w:firstColumn="1" w:lastColumn="0" w:oddVBand="0" w:evenVBand="0" w:oddHBand="0" w:evenHBand="0" w:firstRowFirstColumn="0" w:firstRowLastColumn="0" w:lastRowFirstColumn="0" w:lastRowLastColumn="0"/>
            <w:tcW w:w="2119" w:type="dxa"/>
            <w:tcBorders>
              <w:top w:val="nil"/>
              <w:bottom w:val="nil"/>
            </w:tcBorders>
            <w:shd w:val="clear" w:color="auto" w:fill="auto"/>
            <w:vAlign w:val="center"/>
          </w:tcPr>
          <w:p w14:paraId="204C8327" w14:textId="77777777" w:rsidR="008B7E19" w:rsidRPr="00BD6C7E" w:rsidRDefault="008B7E19" w:rsidP="008B7E19">
            <w:pPr>
              <w:pStyle w:val="08-Tabelageral"/>
              <w:ind w:left="113"/>
              <w:jc w:val="left"/>
              <w:rPr>
                <w:rFonts w:cs="Arial"/>
                <w:b w:val="0"/>
                <w:szCs w:val="14"/>
                <w:lang w:val="en-US"/>
              </w:rPr>
            </w:pPr>
            <w:r w:rsidRPr="00BD6C7E">
              <w:rPr>
                <w:rFonts w:cs="Arial"/>
                <w:b w:val="0"/>
                <w:szCs w:val="14"/>
                <w:lang w:val="en-US"/>
              </w:rPr>
              <w:t>Financial assets at fair value through profit or loss</w:t>
            </w:r>
          </w:p>
        </w:tc>
        <w:tc>
          <w:tcPr>
            <w:tcW w:w="700" w:type="dxa"/>
            <w:tcBorders>
              <w:top w:val="nil"/>
              <w:bottom w:val="nil"/>
            </w:tcBorders>
            <w:shd w:val="clear" w:color="auto" w:fill="auto"/>
            <w:vAlign w:val="center"/>
          </w:tcPr>
          <w:p w14:paraId="3250409E" w14:textId="77777777" w:rsidR="008B7E19" w:rsidRPr="00CF4B29" w:rsidRDefault="008B7E19" w:rsidP="008B7E19">
            <w:pPr>
              <w:pStyle w:val="08-Tabelageral"/>
              <w:cnfStyle w:val="000000000000" w:firstRow="0" w:lastRow="0" w:firstColumn="0" w:lastColumn="0" w:oddVBand="0" w:evenVBand="0" w:oddHBand="0" w:evenHBand="0" w:firstRowFirstColumn="0" w:firstRowLastColumn="0" w:lastRowFirstColumn="0" w:lastRowLastColumn="0"/>
            </w:pPr>
            <w:r w:rsidRPr="00CC12E6">
              <w:t>[16.a]</w:t>
            </w:r>
          </w:p>
        </w:tc>
        <w:tc>
          <w:tcPr>
            <w:tcW w:w="1120" w:type="dxa"/>
            <w:tcBorders>
              <w:top w:val="nil"/>
              <w:left w:val="nil"/>
              <w:bottom w:val="nil"/>
              <w:right w:val="nil"/>
            </w:tcBorders>
            <w:shd w:val="clear" w:color="auto" w:fill="auto"/>
            <w:vAlign w:val="center"/>
          </w:tcPr>
          <w:p w14:paraId="4BCBB1E2" w14:textId="77777777" w:rsidR="008B7E19" w:rsidRPr="00350BA7" w:rsidRDefault="008B7E19" w:rsidP="008B7E19">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rPr>
            </w:pPr>
            <w:r w:rsidRPr="001B2906">
              <w:rPr>
                <w:rFonts w:cs="Arial"/>
                <w:szCs w:val="14"/>
              </w:rPr>
              <w:t>17</w:t>
            </w:r>
            <w:r>
              <w:rPr>
                <w:rFonts w:cs="Arial"/>
                <w:szCs w:val="14"/>
              </w:rPr>
              <w:t>,</w:t>
            </w:r>
            <w:r w:rsidRPr="001B2906">
              <w:rPr>
                <w:rFonts w:cs="Arial"/>
                <w:szCs w:val="14"/>
              </w:rPr>
              <w:t>732</w:t>
            </w:r>
          </w:p>
        </w:tc>
        <w:tc>
          <w:tcPr>
            <w:tcW w:w="1169" w:type="dxa"/>
            <w:tcBorders>
              <w:top w:val="nil"/>
              <w:left w:val="nil"/>
              <w:bottom w:val="nil"/>
              <w:right w:val="nil"/>
            </w:tcBorders>
            <w:shd w:val="clear" w:color="auto" w:fill="auto"/>
            <w:vAlign w:val="center"/>
          </w:tcPr>
          <w:p w14:paraId="607405B0" w14:textId="77777777" w:rsidR="008B7E19" w:rsidRPr="00EE1C73"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r w:rsidRPr="00281428">
              <w:rPr>
                <w:rFonts w:cs="Arial"/>
                <w:szCs w:val="14"/>
              </w:rPr>
              <w:t>18</w:t>
            </w:r>
            <w:r>
              <w:rPr>
                <w:rFonts w:cs="Arial"/>
                <w:szCs w:val="14"/>
              </w:rPr>
              <w:t>,</w:t>
            </w:r>
            <w:r w:rsidRPr="00281428">
              <w:rPr>
                <w:rFonts w:cs="Arial"/>
                <w:szCs w:val="14"/>
              </w:rPr>
              <w:t>064</w:t>
            </w:r>
          </w:p>
        </w:tc>
        <w:tc>
          <w:tcPr>
            <w:tcW w:w="993" w:type="dxa"/>
            <w:gridSpan w:val="2"/>
            <w:tcBorders>
              <w:top w:val="nil"/>
              <w:bottom w:val="nil"/>
            </w:tcBorders>
            <w:shd w:val="clear" w:color="auto" w:fill="auto"/>
            <w:vAlign w:val="center"/>
          </w:tcPr>
          <w:p w14:paraId="5E0B21EE" w14:textId="77777777" w:rsidR="008B7E19" w:rsidRPr="00CF4B29" w:rsidRDefault="008B7E19" w:rsidP="008B7E19">
            <w:pPr>
              <w:pStyle w:val="08-Tabelageral"/>
              <w:cnfStyle w:val="000000000000" w:firstRow="0" w:lastRow="0" w:firstColumn="0" w:lastColumn="0" w:oddVBand="0" w:evenVBand="0" w:oddHBand="0" w:evenHBand="0" w:firstRowFirstColumn="0" w:firstRowLastColumn="0" w:lastRowFirstColumn="0" w:lastRowLastColumn="0"/>
            </w:pPr>
            <w:r w:rsidRPr="00281428">
              <w:rPr>
                <w:rFonts w:cs="Arial"/>
                <w:szCs w:val="14"/>
              </w:rPr>
              <w:t>14</w:t>
            </w:r>
            <w:r>
              <w:rPr>
                <w:rFonts w:cs="Arial"/>
                <w:szCs w:val="14"/>
              </w:rPr>
              <w:t>,</w:t>
            </w:r>
            <w:r w:rsidRPr="00281428">
              <w:rPr>
                <w:rFonts w:cs="Arial"/>
                <w:szCs w:val="14"/>
              </w:rPr>
              <w:t>011</w:t>
            </w:r>
          </w:p>
        </w:tc>
        <w:tc>
          <w:tcPr>
            <w:tcW w:w="286" w:type="dxa"/>
            <w:gridSpan w:val="2"/>
            <w:tcBorders>
              <w:top w:val="nil"/>
              <w:bottom w:val="nil"/>
            </w:tcBorders>
            <w:shd w:val="clear" w:color="auto" w:fill="auto"/>
            <w:vAlign w:val="center"/>
          </w:tcPr>
          <w:p w14:paraId="6C217E00" w14:textId="77777777" w:rsidR="008B7E19" w:rsidRPr="00350BA7" w:rsidRDefault="008B7E19" w:rsidP="008B7E19">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rPr>
            </w:pPr>
          </w:p>
        </w:tc>
        <w:tc>
          <w:tcPr>
            <w:tcW w:w="1273" w:type="dxa"/>
            <w:gridSpan w:val="3"/>
            <w:tcBorders>
              <w:top w:val="nil"/>
              <w:left w:val="nil"/>
              <w:bottom w:val="nil"/>
              <w:right w:val="nil"/>
            </w:tcBorders>
            <w:shd w:val="clear" w:color="auto" w:fill="auto"/>
            <w:vAlign w:val="center"/>
          </w:tcPr>
          <w:p w14:paraId="5BEBBE55" w14:textId="77777777" w:rsidR="008B7E19" w:rsidRPr="00350BA7" w:rsidRDefault="008B7E19" w:rsidP="008B7E19">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rPr>
            </w:pPr>
            <w:r w:rsidRPr="001B2906">
              <w:rPr>
                <w:rFonts w:cs="Arial"/>
                <w:szCs w:val="14"/>
              </w:rPr>
              <w:t>1</w:t>
            </w:r>
            <w:r>
              <w:rPr>
                <w:rFonts w:cs="Arial"/>
                <w:szCs w:val="14"/>
              </w:rPr>
              <w:t>,</w:t>
            </w:r>
            <w:r w:rsidRPr="001B2906">
              <w:rPr>
                <w:rFonts w:cs="Arial"/>
                <w:szCs w:val="14"/>
              </w:rPr>
              <w:t>401</w:t>
            </w:r>
            <w:r>
              <w:rPr>
                <w:rFonts w:cs="Arial"/>
                <w:szCs w:val="14"/>
              </w:rPr>
              <w:t>,</w:t>
            </w:r>
            <w:r w:rsidRPr="001B2906">
              <w:rPr>
                <w:rFonts w:cs="Arial"/>
                <w:szCs w:val="14"/>
              </w:rPr>
              <w:t>822</w:t>
            </w:r>
          </w:p>
        </w:tc>
        <w:tc>
          <w:tcPr>
            <w:tcW w:w="989" w:type="dxa"/>
            <w:gridSpan w:val="2"/>
            <w:tcBorders>
              <w:top w:val="nil"/>
              <w:left w:val="nil"/>
              <w:bottom w:val="nil"/>
              <w:right w:val="nil"/>
            </w:tcBorders>
            <w:shd w:val="clear" w:color="auto" w:fill="auto"/>
            <w:vAlign w:val="center"/>
          </w:tcPr>
          <w:p w14:paraId="7DF1B84A" w14:textId="77777777" w:rsidR="008B7E19" w:rsidRPr="00EE1C73"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r w:rsidRPr="00281428">
              <w:rPr>
                <w:rFonts w:cs="Arial"/>
                <w:szCs w:val="14"/>
              </w:rPr>
              <w:t>368</w:t>
            </w:r>
            <w:r>
              <w:rPr>
                <w:rFonts w:cs="Arial"/>
                <w:szCs w:val="14"/>
              </w:rPr>
              <w:t>,</w:t>
            </w:r>
            <w:r w:rsidRPr="00281428">
              <w:rPr>
                <w:rFonts w:cs="Arial"/>
                <w:szCs w:val="14"/>
              </w:rPr>
              <w:t>281</w:t>
            </w:r>
          </w:p>
        </w:tc>
        <w:tc>
          <w:tcPr>
            <w:tcW w:w="990" w:type="dxa"/>
            <w:tcBorders>
              <w:top w:val="nil"/>
              <w:bottom w:val="nil"/>
            </w:tcBorders>
            <w:shd w:val="clear" w:color="auto" w:fill="auto"/>
            <w:vAlign w:val="center"/>
          </w:tcPr>
          <w:p w14:paraId="3D37E0ED" w14:textId="77777777" w:rsidR="008B7E19" w:rsidRPr="00CF4B29" w:rsidRDefault="008B7E19" w:rsidP="008B7E19">
            <w:pPr>
              <w:pStyle w:val="08-Tabelageral"/>
              <w:cnfStyle w:val="000000000000" w:firstRow="0" w:lastRow="0" w:firstColumn="0" w:lastColumn="0" w:oddVBand="0" w:evenVBand="0" w:oddHBand="0" w:evenHBand="0" w:firstRowFirstColumn="0" w:firstRowLastColumn="0" w:lastRowFirstColumn="0" w:lastRowLastColumn="0"/>
            </w:pPr>
            <w:r w:rsidRPr="00281428">
              <w:rPr>
                <w:rFonts w:cs="Arial"/>
                <w:szCs w:val="14"/>
              </w:rPr>
              <w:t>14</w:t>
            </w:r>
            <w:r>
              <w:rPr>
                <w:rFonts w:cs="Arial"/>
                <w:szCs w:val="14"/>
              </w:rPr>
              <w:t>,</w:t>
            </w:r>
            <w:r w:rsidRPr="00281428">
              <w:rPr>
                <w:rFonts w:cs="Arial"/>
                <w:szCs w:val="14"/>
              </w:rPr>
              <w:t>011</w:t>
            </w:r>
          </w:p>
        </w:tc>
      </w:tr>
      <w:tr w:rsidR="008B7E19" w:rsidRPr="002E2354" w14:paraId="407C23A8"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119" w:type="dxa"/>
            <w:tcBorders>
              <w:top w:val="nil"/>
              <w:bottom w:val="nil"/>
            </w:tcBorders>
            <w:shd w:val="clear" w:color="auto" w:fill="auto"/>
            <w:vAlign w:val="center"/>
          </w:tcPr>
          <w:p w14:paraId="17B6158E" w14:textId="77777777" w:rsidR="008B7E19" w:rsidRPr="002E2354" w:rsidRDefault="008B7E19" w:rsidP="008B7E19">
            <w:pPr>
              <w:pStyle w:val="08-Tabelageral"/>
              <w:ind w:left="113"/>
              <w:jc w:val="left"/>
              <w:rPr>
                <w:rFonts w:cs="Arial"/>
                <w:b w:val="0"/>
                <w:bCs w:val="0"/>
                <w:szCs w:val="14"/>
              </w:rPr>
            </w:pPr>
            <w:r w:rsidRPr="002E2354">
              <w:rPr>
                <w:b w:val="0"/>
                <w:bCs w:val="0"/>
              </w:rPr>
              <w:t>Current tax assets</w:t>
            </w:r>
          </w:p>
        </w:tc>
        <w:tc>
          <w:tcPr>
            <w:tcW w:w="700" w:type="dxa"/>
            <w:tcBorders>
              <w:top w:val="nil"/>
              <w:bottom w:val="nil"/>
            </w:tcBorders>
            <w:shd w:val="clear" w:color="auto" w:fill="auto"/>
            <w:vAlign w:val="center"/>
          </w:tcPr>
          <w:p w14:paraId="3F65B47D" w14:textId="77777777" w:rsidR="008B7E19" w:rsidRPr="002E2354" w:rsidRDefault="008B7E19" w:rsidP="008B7E19">
            <w:pPr>
              <w:pStyle w:val="08-Tabelageral"/>
              <w:cnfStyle w:val="000000100000" w:firstRow="0" w:lastRow="0" w:firstColumn="0" w:lastColumn="0" w:oddVBand="0" w:evenVBand="0" w:oddHBand="1" w:evenHBand="0" w:firstRowFirstColumn="0" w:firstRowLastColumn="0" w:lastRowFirstColumn="0" w:lastRowLastColumn="0"/>
            </w:pPr>
            <w:r w:rsidRPr="002E2354">
              <w:t>[12.d]</w:t>
            </w:r>
          </w:p>
        </w:tc>
        <w:tc>
          <w:tcPr>
            <w:tcW w:w="1120" w:type="dxa"/>
            <w:tcBorders>
              <w:top w:val="nil"/>
              <w:left w:val="nil"/>
              <w:bottom w:val="nil"/>
              <w:right w:val="nil"/>
            </w:tcBorders>
            <w:shd w:val="clear" w:color="auto" w:fill="auto"/>
            <w:vAlign w:val="center"/>
          </w:tcPr>
          <w:p w14:paraId="3BC9F953" w14:textId="77777777" w:rsidR="008B7E19" w:rsidRPr="002E2354" w:rsidRDefault="008B7E19" w:rsidP="008B7E19">
            <w:pPr>
              <w:pStyle w:val="08-Tabelageral"/>
              <w:ind w:left="113"/>
              <w:cnfStyle w:val="000000100000" w:firstRow="0" w:lastRow="0" w:firstColumn="0" w:lastColumn="0" w:oddVBand="0" w:evenVBand="0" w:oddHBand="1" w:evenHBand="0" w:firstRowFirstColumn="0" w:firstRowLastColumn="0" w:lastRowFirstColumn="0" w:lastRowLastColumn="0"/>
            </w:pPr>
            <w:r w:rsidRPr="006E4E16">
              <w:t>91</w:t>
            </w:r>
            <w:r>
              <w:t>,</w:t>
            </w:r>
            <w:r w:rsidRPr="006E4E16">
              <w:t>322</w:t>
            </w:r>
          </w:p>
        </w:tc>
        <w:tc>
          <w:tcPr>
            <w:tcW w:w="1169" w:type="dxa"/>
            <w:tcBorders>
              <w:top w:val="nil"/>
              <w:bottom w:val="nil"/>
            </w:tcBorders>
            <w:shd w:val="clear" w:color="auto" w:fill="auto"/>
            <w:vAlign w:val="center"/>
          </w:tcPr>
          <w:p w14:paraId="4E6EBDCB" w14:textId="77777777" w:rsidR="008B7E19" w:rsidRPr="00EE1C73" w:rsidRDefault="008B7E19" w:rsidP="008B7E19">
            <w:pPr>
              <w:pStyle w:val="08-Tabelageral"/>
              <w:cnfStyle w:val="000000100000" w:firstRow="0" w:lastRow="0" w:firstColumn="0" w:lastColumn="0" w:oddVBand="0" w:evenVBand="0" w:oddHBand="1" w:evenHBand="0" w:firstRowFirstColumn="0" w:firstRowLastColumn="0" w:lastRowFirstColumn="0" w:lastRowLastColumn="0"/>
            </w:pPr>
            <w:r w:rsidRPr="00281428">
              <w:t>75</w:t>
            </w:r>
            <w:r>
              <w:t>,</w:t>
            </w:r>
            <w:r w:rsidRPr="00281428">
              <w:t>177</w:t>
            </w:r>
          </w:p>
        </w:tc>
        <w:tc>
          <w:tcPr>
            <w:tcW w:w="993" w:type="dxa"/>
            <w:gridSpan w:val="2"/>
            <w:tcBorders>
              <w:top w:val="nil"/>
              <w:bottom w:val="nil"/>
            </w:tcBorders>
            <w:shd w:val="clear" w:color="auto" w:fill="auto"/>
            <w:vAlign w:val="center"/>
          </w:tcPr>
          <w:p w14:paraId="0973EA05" w14:textId="77777777" w:rsidR="008B7E19" w:rsidRPr="002E2354" w:rsidRDefault="008B7E19" w:rsidP="008B7E19">
            <w:pPr>
              <w:pStyle w:val="08-Tabelageral"/>
              <w:cnfStyle w:val="000000100000" w:firstRow="0" w:lastRow="0" w:firstColumn="0" w:lastColumn="0" w:oddVBand="0" w:evenVBand="0" w:oddHBand="1" w:evenHBand="0" w:firstRowFirstColumn="0" w:firstRowLastColumn="0" w:lastRowFirstColumn="0" w:lastRowLastColumn="0"/>
            </w:pPr>
            <w:r w:rsidRPr="00281428">
              <w:t>68</w:t>
            </w:r>
            <w:r>
              <w:t>,</w:t>
            </w:r>
            <w:r w:rsidRPr="00281428">
              <w:t>332</w:t>
            </w:r>
          </w:p>
        </w:tc>
        <w:tc>
          <w:tcPr>
            <w:tcW w:w="286" w:type="dxa"/>
            <w:gridSpan w:val="2"/>
            <w:tcBorders>
              <w:top w:val="nil"/>
              <w:bottom w:val="nil"/>
            </w:tcBorders>
            <w:shd w:val="clear" w:color="auto" w:fill="auto"/>
            <w:vAlign w:val="center"/>
          </w:tcPr>
          <w:p w14:paraId="3EE56A0E" w14:textId="77777777" w:rsidR="008B7E19" w:rsidRPr="002E2354" w:rsidRDefault="008B7E19" w:rsidP="008B7E19">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p>
        </w:tc>
        <w:tc>
          <w:tcPr>
            <w:tcW w:w="1273" w:type="dxa"/>
            <w:gridSpan w:val="3"/>
            <w:tcBorders>
              <w:top w:val="nil"/>
              <w:left w:val="nil"/>
              <w:bottom w:val="nil"/>
              <w:right w:val="nil"/>
            </w:tcBorders>
            <w:shd w:val="clear" w:color="auto" w:fill="auto"/>
            <w:vAlign w:val="center"/>
          </w:tcPr>
          <w:p w14:paraId="02226352" w14:textId="77777777" w:rsidR="008B7E19" w:rsidRPr="002E2354" w:rsidRDefault="008B7E19" w:rsidP="008B7E19">
            <w:pPr>
              <w:pStyle w:val="08-Tabelageral"/>
              <w:ind w:left="113"/>
              <w:cnfStyle w:val="000000100000" w:firstRow="0" w:lastRow="0" w:firstColumn="0" w:lastColumn="0" w:oddVBand="0" w:evenVBand="0" w:oddHBand="1" w:evenHBand="0" w:firstRowFirstColumn="0" w:firstRowLastColumn="0" w:lastRowFirstColumn="0" w:lastRowLastColumn="0"/>
            </w:pPr>
            <w:r w:rsidRPr="006E4E16">
              <w:t>98</w:t>
            </w:r>
            <w:r>
              <w:t>,</w:t>
            </w:r>
            <w:r w:rsidRPr="006E4E16">
              <w:t>648</w:t>
            </w:r>
          </w:p>
        </w:tc>
        <w:tc>
          <w:tcPr>
            <w:tcW w:w="989" w:type="dxa"/>
            <w:gridSpan w:val="2"/>
            <w:tcBorders>
              <w:top w:val="nil"/>
              <w:left w:val="nil"/>
              <w:bottom w:val="nil"/>
              <w:right w:val="nil"/>
            </w:tcBorders>
            <w:shd w:val="clear" w:color="auto" w:fill="auto"/>
            <w:vAlign w:val="center"/>
          </w:tcPr>
          <w:p w14:paraId="7C48F828" w14:textId="77777777" w:rsidR="008B7E19" w:rsidRPr="00EE1C73" w:rsidRDefault="008B7E19" w:rsidP="008B7E19">
            <w:pPr>
              <w:pStyle w:val="08-Tabelageral"/>
              <w:cnfStyle w:val="000000100000" w:firstRow="0" w:lastRow="0" w:firstColumn="0" w:lastColumn="0" w:oddVBand="0" w:evenVBand="0" w:oddHBand="1" w:evenHBand="0" w:firstRowFirstColumn="0" w:firstRowLastColumn="0" w:lastRowFirstColumn="0" w:lastRowLastColumn="0"/>
            </w:pPr>
            <w:r w:rsidRPr="00281428">
              <w:t>80</w:t>
            </w:r>
            <w:r>
              <w:t>,</w:t>
            </w:r>
            <w:r w:rsidRPr="00281428">
              <w:t>977</w:t>
            </w:r>
          </w:p>
        </w:tc>
        <w:tc>
          <w:tcPr>
            <w:tcW w:w="990" w:type="dxa"/>
            <w:tcBorders>
              <w:top w:val="nil"/>
              <w:bottom w:val="nil"/>
            </w:tcBorders>
            <w:shd w:val="clear" w:color="auto" w:fill="auto"/>
            <w:vAlign w:val="center"/>
          </w:tcPr>
          <w:p w14:paraId="16651FA8" w14:textId="77777777" w:rsidR="008B7E19" w:rsidRPr="002E2354" w:rsidRDefault="008B7E19" w:rsidP="008B7E19">
            <w:pPr>
              <w:pStyle w:val="08-Tabelageral"/>
              <w:cnfStyle w:val="000000100000" w:firstRow="0" w:lastRow="0" w:firstColumn="0" w:lastColumn="0" w:oddVBand="0" w:evenVBand="0" w:oddHBand="1" w:evenHBand="0" w:firstRowFirstColumn="0" w:firstRowLastColumn="0" w:lastRowFirstColumn="0" w:lastRowLastColumn="0"/>
            </w:pPr>
            <w:r w:rsidRPr="00281428">
              <w:t>84</w:t>
            </w:r>
            <w:r>
              <w:t>,</w:t>
            </w:r>
            <w:r w:rsidRPr="00281428">
              <w:t>337</w:t>
            </w:r>
          </w:p>
        </w:tc>
      </w:tr>
      <w:tr w:rsidR="008B7E19" w:rsidRPr="001D6BE8" w14:paraId="5CF11F46" w14:textId="77777777" w:rsidTr="008B7E19">
        <w:trPr>
          <w:trHeight w:val="238"/>
          <w:jc w:val="center"/>
        </w:trPr>
        <w:tc>
          <w:tcPr>
            <w:cnfStyle w:val="001000000000" w:firstRow="0" w:lastRow="0" w:firstColumn="1" w:lastColumn="0" w:oddVBand="0" w:evenVBand="0" w:oddHBand="0" w:evenHBand="0" w:firstRowFirstColumn="0" w:firstRowLastColumn="0" w:lastRowFirstColumn="0" w:lastRowLastColumn="0"/>
            <w:tcW w:w="2119" w:type="dxa"/>
            <w:tcBorders>
              <w:top w:val="nil"/>
              <w:bottom w:val="nil"/>
            </w:tcBorders>
            <w:shd w:val="clear" w:color="auto" w:fill="auto"/>
            <w:vAlign w:val="center"/>
          </w:tcPr>
          <w:p w14:paraId="7570C3A3" w14:textId="77777777" w:rsidR="008B7E19" w:rsidRPr="0038031F" w:rsidRDefault="008B7E19" w:rsidP="008B7E19">
            <w:pPr>
              <w:pStyle w:val="08-Tabelageral"/>
              <w:ind w:left="113"/>
              <w:jc w:val="left"/>
              <w:rPr>
                <w:rFonts w:cs="Arial"/>
                <w:b w:val="0"/>
                <w:szCs w:val="14"/>
              </w:rPr>
            </w:pPr>
            <w:r w:rsidRPr="00C27294">
              <w:rPr>
                <w:rFonts w:cs="Arial"/>
                <w:b w:val="0"/>
                <w:szCs w:val="14"/>
              </w:rPr>
              <w:t>Deferred tax assets</w:t>
            </w:r>
          </w:p>
        </w:tc>
        <w:tc>
          <w:tcPr>
            <w:tcW w:w="700" w:type="dxa"/>
            <w:tcBorders>
              <w:top w:val="nil"/>
              <w:bottom w:val="nil"/>
            </w:tcBorders>
            <w:shd w:val="clear" w:color="auto" w:fill="auto"/>
            <w:vAlign w:val="center"/>
          </w:tcPr>
          <w:p w14:paraId="020E3BBB" w14:textId="77777777" w:rsidR="008B7E19" w:rsidRPr="00CF4B29" w:rsidRDefault="008B7E19" w:rsidP="008B7E19">
            <w:pPr>
              <w:pStyle w:val="08-Tabelageral"/>
              <w:cnfStyle w:val="000000000000" w:firstRow="0" w:lastRow="0" w:firstColumn="0" w:lastColumn="0" w:oddVBand="0" w:evenVBand="0" w:oddHBand="0" w:evenHBand="0" w:firstRowFirstColumn="0" w:firstRowLastColumn="0" w:lastRowFirstColumn="0" w:lastRowLastColumn="0"/>
            </w:pPr>
            <w:r w:rsidRPr="00CC12E6">
              <w:t>[12.e]</w:t>
            </w:r>
          </w:p>
        </w:tc>
        <w:tc>
          <w:tcPr>
            <w:tcW w:w="1120" w:type="dxa"/>
            <w:tcBorders>
              <w:top w:val="nil"/>
              <w:left w:val="nil"/>
              <w:bottom w:val="nil"/>
              <w:right w:val="nil"/>
            </w:tcBorders>
            <w:shd w:val="clear" w:color="auto" w:fill="auto"/>
            <w:vAlign w:val="center"/>
          </w:tcPr>
          <w:p w14:paraId="77161D9E" w14:textId="77777777" w:rsidR="008B7E19" w:rsidRPr="00350BA7" w:rsidRDefault="008B7E19" w:rsidP="008B7E19">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rPr>
            </w:pPr>
            <w:r w:rsidRPr="006E4E16">
              <w:rPr>
                <w:rFonts w:cs="Arial"/>
                <w:szCs w:val="14"/>
              </w:rPr>
              <w:t>48</w:t>
            </w:r>
          </w:p>
        </w:tc>
        <w:tc>
          <w:tcPr>
            <w:tcW w:w="1169" w:type="dxa"/>
            <w:tcBorders>
              <w:top w:val="nil"/>
              <w:bottom w:val="nil"/>
            </w:tcBorders>
            <w:shd w:val="clear" w:color="auto" w:fill="auto"/>
            <w:vAlign w:val="center"/>
          </w:tcPr>
          <w:p w14:paraId="267B2872" w14:textId="77777777" w:rsidR="008B7E19" w:rsidRPr="00EE1C73"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r w:rsidRPr="006E4E16">
              <w:rPr>
                <w:rFonts w:cs="Arial"/>
                <w:szCs w:val="14"/>
              </w:rPr>
              <w:t>28</w:t>
            </w:r>
          </w:p>
        </w:tc>
        <w:tc>
          <w:tcPr>
            <w:tcW w:w="993" w:type="dxa"/>
            <w:gridSpan w:val="2"/>
            <w:tcBorders>
              <w:top w:val="nil"/>
              <w:bottom w:val="nil"/>
            </w:tcBorders>
            <w:shd w:val="clear" w:color="auto" w:fill="auto"/>
            <w:vAlign w:val="center"/>
          </w:tcPr>
          <w:p w14:paraId="5DCB5323" w14:textId="77777777" w:rsidR="008B7E19" w:rsidRPr="00CF4B29" w:rsidRDefault="008B7E19" w:rsidP="008B7E19">
            <w:pPr>
              <w:pStyle w:val="08-Tabelageral"/>
              <w:cnfStyle w:val="000000000000" w:firstRow="0" w:lastRow="0" w:firstColumn="0" w:lastColumn="0" w:oddVBand="0" w:evenVBand="0" w:oddHBand="0" w:evenHBand="0" w:firstRowFirstColumn="0" w:firstRowLastColumn="0" w:lastRowFirstColumn="0" w:lastRowLastColumn="0"/>
            </w:pPr>
            <w:r w:rsidRPr="006E4E16">
              <w:rPr>
                <w:rFonts w:cs="Arial"/>
                <w:szCs w:val="14"/>
              </w:rPr>
              <w:t>10</w:t>
            </w:r>
          </w:p>
        </w:tc>
        <w:tc>
          <w:tcPr>
            <w:tcW w:w="286" w:type="dxa"/>
            <w:gridSpan w:val="2"/>
            <w:tcBorders>
              <w:top w:val="nil"/>
              <w:bottom w:val="nil"/>
            </w:tcBorders>
            <w:shd w:val="clear" w:color="auto" w:fill="auto"/>
            <w:vAlign w:val="center"/>
          </w:tcPr>
          <w:p w14:paraId="5C41489E" w14:textId="77777777" w:rsidR="008B7E19" w:rsidRPr="00350BA7" w:rsidRDefault="008B7E19" w:rsidP="008B7E19">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rPr>
            </w:pPr>
          </w:p>
        </w:tc>
        <w:tc>
          <w:tcPr>
            <w:tcW w:w="1273" w:type="dxa"/>
            <w:gridSpan w:val="3"/>
            <w:tcBorders>
              <w:top w:val="nil"/>
              <w:left w:val="nil"/>
              <w:bottom w:val="nil"/>
              <w:right w:val="nil"/>
            </w:tcBorders>
            <w:shd w:val="clear" w:color="auto" w:fill="auto"/>
            <w:vAlign w:val="center"/>
          </w:tcPr>
          <w:p w14:paraId="4F8BCC9C" w14:textId="77777777" w:rsidR="008B7E19" w:rsidRPr="00350BA7" w:rsidRDefault="008B7E19" w:rsidP="008B7E19">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rPr>
            </w:pPr>
            <w:r w:rsidRPr="006E4E16">
              <w:rPr>
                <w:rFonts w:cs="Arial"/>
                <w:szCs w:val="14"/>
              </w:rPr>
              <w:t>11</w:t>
            </w:r>
            <w:r>
              <w:rPr>
                <w:rFonts w:cs="Arial"/>
                <w:szCs w:val="14"/>
              </w:rPr>
              <w:t>,</w:t>
            </w:r>
            <w:r w:rsidRPr="006E4E16">
              <w:rPr>
                <w:rFonts w:cs="Arial"/>
                <w:szCs w:val="14"/>
              </w:rPr>
              <w:t>526</w:t>
            </w:r>
          </w:p>
        </w:tc>
        <w:tc>
          <w:tcPr>
            <w:tcW w:w="989" w:type="dxa"/>
            <w:gridSpan w:val="2"/>
            <w:tcBorders>
              <w:top w:val="nil"/>
              <w:left w:val="nil"/>
              <w:bottom w:val="nil"/>
              <w:right w:val="nil"/>
            </w:tcBorders>
            <w:shd w:val="clear" w:color="auto" w:fill="auto"/>
            <w:vAlign w:val="center"/>
          </w:tcPr>
          <w:p w14:paraId="41355623" w14:textId="77777777" w:rsidR="008B7E19" w:rsidRPr="00EE1C73"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r w:rsidRPr="006E4E16">
              <w:rPr>
                <w:rFonts w:cs="Arial"/>
                <w:szCs w:val="14"/>
              </w:rPr>
              <w:t>7</w:t>
            </w:r>
            <w:r>
              <w:rPr>
                <w:rFonts w:cs="Arial"/>
                <w:szCs w:val="14"/>
              </w:rPr>
              <w:t>,</w:t>
            </w:r>
            <w:r w:rsidRPr="006E4E16">
              <w:rPr>
                <w:rFonts w:cs="Arial"/>
                <w:szCs w:val="14"/>
              </w:rPr>
              <w:t>773</w:t>
            </w:r>
          </w:p>
        </w:tc>
        <w:tc>
          <w:tcPr>
            <w:tcW w:w="990" w:type="dxa"/>
            <w:tcBorders>
              <w:top w:val="nil"/>
              <w:bottom w:val="nil"/>
            </w:tcBorders>
            <w:shd w:val="clear" w:color="auto" w:fill="auto"/>
            <w:vAlign w:val="center"/>
          </w:tcPr>
          <w:p w14:paraId="363651E9" w14:textId="77777777" w:rsidR="008B7E19" w:rsidRPr="00CF4B29" w:rsidRDefault="008B7E19" w:rsidP="008B7E19">
            <w:pPr>
              <w:pStyle w:val="08-Tabelageral"/>
              <w:cnfStyle w:val="000000000000" w:firstRow="0" w:lastRow="0" w:firstColumn="0" w:lastColumn="0" w:oddVBand="0" w:evenVBand="0" w:oddHBand="0" w:evenHBand="0" w:firstRowFirstColumn="0" w:firstRowLastColumn="0" w:lastRowFirstColumn="0" w:lastRowLastColumn="0"/>
            </w:pPr>
            <w:r w:rsidRPr="006E4E16">
              <w:rPr>
                <w:rFonts w:cs="Arial"/>
                <w:szCs w:val="14"/>
              </w:rPr>
              <w:t>35</w:t>
            </w:r>
            <w:r>
              <w:rPr>
                <w:rFonts w:cs="Arial"/>
                <w:szCs w:val="14"/>
              </w:rPr>
              <w:t>,</w:t>
            </w:r>
            <w:r w:rsidRPr="006E4E16">
              <w:rPr>
                <w:rFonts w:cs="Arial"/>
                <w:szCs w:val="14"/>
              </w:rPr>
              <w:t>420</w:t>
            </w:r>
          </w:p>
        </w:tc>
      </w:tr>
      <w:tr w:rsidR="008B7E19" w:rsidRPr="00C3029D" w14:paraId="44046EAF"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119" w:type="dxa"/>
            <w:tcBorders>
              <w:top w:val="nil"/>
              <w:bottom w:val="nil"/>
            </w:tcBorders>
            <w:shd w:val="clear" w:color="auto" w:fill="auto"/>
            <w:vAlign w:val="center"/>
          </w:tcPr>
          <w:p w14:paraId="2949B326" w14:textId="77777777" w:rsidR="008B7E19" w:rsidRPr="00C3029D" w:rsidRDefault="008B7E19" w:rsidP="008B7E19">
            <w:pPr>
              <w:pStyle w:val="08-Tabelageral"/>
              <w:ind w:left="113"/>
              <w:jc w:val="left"/>
              <w:rPr>
                <w:rFonts w:cs="Arial"/>
                <w:b w:val="0"/>
                <w:szCs w:val="14"/>
              </w:rPr>
            </w:pPr>
            <w:r w:rsidRPr="00C27294">
              <w:rPr>
                <w:rFonts w:cs="Arial"/>
                <w:b w:val="0"/>
                <w:szCs w:val="14"/>
              </w:rPr>
              <w:t>Commissions receivable</w:t>
            </w:r>
          </w:p>
        </w:tc>
        <w:tc>
          <w:tcPr>
            <w:tcW w:w="700" w:type="dxa"/>
            <w:tcBorders>
              <w:top w:val="nil"/>
              <w:bottom w:val="nil"/>
            </w:tcBorders>
            <w:shd w:val="clear" w:color="auto" w:fill="auto"/>
            <w:vAlign w:val="center"/>
          </w:tcPr>
          <w:p w14:paraId="0B6A6FCE" w14:textId="77777777" w:rsidR="008B7E19" w:rsidRPr="00C3029D" w:rsidRDefault="008B7E19" w:rsidP="008B7E19">
            <w:pPr>
              <w:pStyle w:val="08-Tabelageral"/>
              <w:cnfStyle w:val="000000100000" w:firstRow="0" w:lastRow="0" w:firstColumn="0" w:lastColumn="0" w:oddVBand="0" w:evenVBand="0" w:oddHBand="1" w:evenHBand="0" w:firstRowFirstColumn="0" w:firstRowLastColumn="0" w:lastRowFirstColumn="0" w:lastRowLastColumn="0"/>
            </w:pPr>
            <w:r w:rsidRPr="00CC12E6">
              <w:t>[18]</w:t>
            </w:r>
          </w:p>
        </w:tc>
        <w:tc>
          <w:tcPr>
            <w:tcW w:w="1120" w:type="dxa"/>
            <w:tcBorders>
              <w:top w:val="nil"/>
              <w:left w:val="nil"/>
              <w:bottom w:val="nil"/>
              <w:right w:val="nil"/>
            </w:tcBorders>
            <w:shd w:val="clear" w:color="auto" w:fill="auto"/>
            <w:vAlign w:val="center"/>
          </w:tcPr>
          <w:p w14:paraId="0D4FF1C1" w14:textId="77777777" w:rsidR="008B7E19" w:rsidRPr="00C3029D" w:rsidRDefault="008B7E19" w:rsidP="008B7E19">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r>
              <w:rPr>
                <w:rFonts w:cs="Arial"/>
                <w:szCs w:val="14"/>
              </w:rPr>
              <w:t>--</w:t>
            </w:r>
          </w:p>
        </w:tc>
        <w:tc>
          <w:tcPr>
            <w:tcW w:w="1169" w:type="dxa"/>
            <w:tcBorders>
              <w:top w:val="nil"/>
              <w:bottom w:val="nil"/>
            </w:tcBorders>
            <w:shd w:val="clear" w:color="auto" w:fill="auto"/>
            <w:vAlign w:val="center"/>
          </w:tcPr>
          <w:p w14:paraId="4EFA2A44" w14:textId="77777777" w:rsidR="008B7E19"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281428">
              <w:rPr>
                <w:rFonts w:cs="Arial"/>
                <w:szCs w:val="14"/>
              </w:rPr>
              <w:t>--</w:t>
            </w:r>
          </w:p>
        </w:tc>
        <w:tc>
          <w:tcPr>
            <w:tcW w:w="993" w:type="dxa"/>
            <w:gridSpan w:val="2"/>
            <w:tcBorders>
              <w:top w:val="nil"/>
              <w:bottom w:val="nil"/>
            </w:tcBorders>
            <w:shd w:val="clear" w:color="auto" w:fill="auto"/>
            <w:vAlign w:val="center"/>
          </w:tcPr>
          <w:p w14:paraId="6E345289" w14:textId="77777777" w:rsidR="008B7E19" w:rsidRPr="00C3029D" w:rsidRDefault="008B7E19" w:rsidP="008B7E19">
            <w:pPr>
              <w:pStyle w:val="08-Tabelageral"/>
              <w:cnfStyle w:val="000000100000" w:firstRow="0" w:lastRow="0" w:firstColumn="0" w:lastColumn="0" w:oddVBand="0" w:evenVBand="0" w:oddHBand="1" w:evenHBand="0" w:firstRowFirstColumn="0" w:firstRowLastColumn="0" w:lastRowFirstColumn="0" w:lastRowLastColumn="0"/>
            </w:pPr>
            <w:r w:rsidRPr="00281428">
              <w:rPr>
                <w:rFonts w:cs="Arial"/>
                <w:szCs w:val="14"/>
              </w:rPr>
              <w:t>--</w:t>
            </w:r>
          </w:p>
        </w:tc>
        <w:tc>
          <w:tcPr>
            <w:tcW w:w="286" w:type="dxa"/>
            <w:gridSpan w:val="2"/>
            <w:tcBorders>
              <w:top w:val="nil"/>
              <w:bottom w:val="nil"/>
            </w:tcBorders>
            <w:shd w:val="clear" w:color="auto" w:fill="auto"/>
            <w:vAlign w:val="center"/>
          </w:tcPr>
          <w:p w14:paraId="684F37D2" w14:textId="77777777" w:rsidR="008B7E19" w:rsidRPr="00C3029D" w:rsidRDefault="008B7E19" w:rsidP="008B7E19">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p>
        </w:tc>
        <w:tc>
          <w:tcPr>
            <w:tcW w:w="1273" w:type="dxa"/>
            <w:gridSpan w:val="3"/>
            <w:tcBorders>
              <w:top w:val="nil"/>
              <w:left w:val="nil"/>
              <w:bottom w:val="nil"/>
              <w:right w:val="nil"/>
            </w:tcBorders>
            <w:shd w:val="clear" w:color="auto" w:fill="auto"/>
            <w:vAlign w:val="center"/>
          </w:tcPr>
          <w:p w14:paraId="421D5C6A" w14:textId="77777777" w:rsidR="008B7E19" w:rsidRPr="00C3029D" w:rsidRDefault="008B7E19" w:rsidP="008B7E19">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r w:rsidRPr="001B2906">
              <w:rPr>
                <w:rFonts w:cs="Arial"/>
                <w:szCs w:val="14"/>
              </w:rPr>
              <w:t>890</w:t>
            </w:r>
            <w:r>
              <w:rPr>
                <w:rFonts w:cs="Arial"/>
                <w:szCs w:val="14"/>
              </w:rPr>
              <w:t>,</w:t>
            </w:r>
            <w:r w:rsidRPr="001B2906">
              <w:rPr>
                <w:rFonts w:cs="Arial"/>
                <w:szCs w:val="14"/>
              </w:rPr>
              <w:t>738</w:t>
            </w:r>
          </w:p>
        </w:tc>
        <w:tc>
          <w:tcPr>
            <w:tcW w:w="989" w:type="dxa"/>
            <w:gridSpan w:val="2"/>
            <w:tcBorders>
              <w:top w:val="nil"/>
              <w:left w:val="nil"/>
              <w:bottom w:val="nil"/>
              <w:right w:val="nil"/>
            </w:tcBorders>
            <w:shd w:val="clear" w:color="auto" w:fill="auto"/>
            <w:vAlign w:val="center"/>
          </w:tcPr>
          <w:p w14:paraId="7B6F2246" w14:textId="77777777" w:rsidR="008B7E19" w:rsidRPr="00EE1C73"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281428">
              <w:rPr>
                <w:rFonts w:cs="Arial"/>
                <w:szCs w:val="14"/>
              </w:rPr>
              <w:t>708</w:t>
            </w:r>
            <w:r>
              <w:rPr>
                <w:rFonts w:cs="Arial"/>
                <w:szCs w:val="14"/>
              </w:rPr>
              <w:t>,</w:t>
            </w:r>
            <w:r w:rsidRPr="00281428">
              <w:rPr>
                <w:rFonts w:cs="Arial"/>
                <w:szCs w:val="14"/>
              </w:rPr>
              <w:t>990</w:t>
            </w:r>
          </w:p>
        </w:tc>
        <w:tc>
          <w:tcPr>
            <w:tcW w:w="990" w:type="dxa"/>
            <w:tcBorders>
              <w:top w:val="nil"/>
              <w:bottom w:val="nil"/>
            </w:tcBorders>
            <w:shd w:val="clear" w:color="auto" w:fill="auto"/>
            <w:vAlign w:val="center"/>
          </w:tcPr>
          <w:p w14:paraId="7182DA7A" w14:textId="77777777" w:rsidR="008B7E19" w:rsidRPr="00C3029D" w:rsidRDefault="008B7E19" w:rsidP="008B7E19">
            <w:pPr>
              <w:pStyle w:val="08-Tabelageral"/>
              <w:cnfStyle w:val="000000100000" w:firstRow="0" w:lastRow="0" w:firstColumn="0" w:lastColumn="0" w:oddVBand="0" w:evenVBand="0" w:oddHBand="1" w:evenHBand="0" w:firstRowFirstColumn="0" w:firstRowLastColumn="0" w:lastRowFirstColumn="0" w:lastRowLastColumn="0"/>
            </w:pPr>
            <w:r w:rsidRPr="00281428">
              <w:rPr>
                <w:rFonts w:cs="Arial"/>
                <w:szCs w:val="14"/>
              </w:rPr>
              <w:t>698</w:t>
            </w:r>
            <w:r>
              <w:rPr>
                <w:rFonts w:cs="Arial"/>
                <w:szCs w:val="14"/>
              </w:rPr>
              <w:t>,</w:t>
            </w:r>
            <w:r w:rsidRPr="00281428">
              <w:rPr>
                <w:rFonts w:cs="Arial"/>
                <w:szCs w:val="14"/>
              </w:rPr>
              <w:t>435</w:t>
            </w:r>
          </w:p>
        </w:tc>
      </w:tr>
      <w:tr w:rsidR="008B7E19" w:rsidRPr="001D6BE8" w14:paraId="7E819B4D" w14:textId="77777777" w:rsidTr="008B7E19">
        <w:trPr>
          <w:trHeight w:val="238"/>
          <w:jc w:val="center"/>
        </w:trPr>
        <w:tc>
          <w:tcPr>
            <w:cnfStyle w:val="001000000000" w:firstRow="0" w:lastRow="0" w:firstColumn="1" w:lastColumn="0" w:oddVBand="0" w:evenVBand="0" w:oddHBand="0" w:evenHBand="0" w:firstRowFirstColumn="0" w:firstRowLastColumn="0" w:lastRowFirstColumn="0" w:lastRowLastColumn="0"/>
            <w:tcW w:w="2119" w:type="dxa"/>
            <w:tcBorders>
              <w:top w:val="nil"/>
              <w:bottom w:val="nil"/>
            </w:tcBorders>
            <w:shd w:val="clear" w:color="auto" w:fill="auto"/>
            <w:vAlign w:val="center"/>
          </w:tcPr>
          <w:p w14:paraId="79170CDB" w14:textId="77777777" w:rsidR="008B7E19" w:rsidRPr="00C27294" w:rsidRDefault="008B7E19" w:rsidP="008B7E19">
            <w:pPr>
              <w:pStyle w:val="08-Tabelageral"/>
              <w:ind w:left="113"/>
              <w:jc w:val="left"/>
              <w:rPr>
                <w:rFonts w:cs="Arial"/>
                <w:b w:val="0"/>
                <w:szCs w:val="14"/>
              </w:rPr>
            </w:pPr>
            <w:r w:rsidRPr="00C27294">
              <w:rPr>
                <w:rFonts w:cs="Arial"/>
                <w:b w:val="0"/>
                <w:szCs w:val="14"/>
              </w:rPr>
              <w:t>Investments in associates</w:t>
            </w:r>
          </w:p>
        </w:tc>
        <w:tc>
          <w:tcPr>
            <w:tcW w:w="700" w:type="dxa"/>
            <w:tcBorders>
              <w:top w:val="nil"/>
              <w:bottom w:val="nil"/>
            </w:tcBorders>
            <w:shd w:val="clear" w:color="auto" w:fill="auto"/>
            <w:vAlign w:val="center"/>
          </w:tcPr>
          <w:p w14:paraId="0455333C" w14:textId="77777777" w:rsidR="008B7E19" w:rsidRPr="00CC12E6" w:rsidRDefault="008B7E19" w:rsidP="008B7E19">
            <w:pPr>
              <w:pStyle w:val="08-Tabelageral"/>
              <w:cnfStyle w:val="000000000000" w:firstRow="0" w:lastRow="0" w:firstColumn="0" w:lastColumn="0" w:oddVBand="0" w:evenVBand="0" w:oddHBand="0" w:evenHBand="0" w:firstRowFirstColumn="0" w:firstRowLastColumn="0" w:lastRowFirstColumn="0" w:lastRowLastColumn="0"/>
            </w:pPr>
            <w:r w:rsidRPr="00CC12E6">
              <w:t>[7.b]</w:t>
            </w:r>
          </w:p>
        </w:tc>
        <w:tc>
          <w:tcPr>
            <w:tcW w:w="1120" w:type="dxa"/>
            <w:tcBorders>
              <w:top w:val="nil"/>
              <w:left w:val="nil"/>
              <w:bottom w:val="nil"/>
              <w:right w:val="nil"/>
            </w:tcBorders>
            <w:shd w:val="clear" w:color="auto" w:fill="auto"/>
            <w:vAlign w:val="center"/>
          </w:tcPr>
          <w:p w14:paraId="539B3A12" w14:textId="77777777" w:rsidR="008B7E19" w:rsidRPr="00350BA7"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r w:rsidRPr="001B2906">
              <w:rPr>
                <w:rFonts w:cs="Arial"/>
                <w:szCs w:val="14"/>
              </w:rPr>
              <w:t>8</w:t>
            </w:r>
            <w:r>
              <w:rPr>
                <w:rFonts w:cs="Arial"/>
                <w:szCs w:val="14"/>
              </w:rPr>
              <w:t>,</w:t>
            </w:r>
            <w:r w:rsidRPr="001B2906">
              <w:rPr>
                <w:rFonts w:cs="Arial"/>
                <w:szCs w:val="14"/>
              </w:rPr>
              <w:t>742</w:t>
            </w:r>
            <w:r>
              <w:rPr>
                <w:rFonts w:cs="Arial"/>
                <w:szCs w:val="14"/>
              </w:rPr>
              <w:t>,</w:t>
            </w:r>
            <w:r w:rsidRPr="001B2906">
              <w:rPr>
                <w:rFonts w:cs="Arial"/>
                <w:szCs w:val="14"/>
              </w:rPr>
              <w:t>971</w:t>
            </w:r>
          </w:p>
        </w:tc>
        <w:tc>
          <w:tcPr>
            <w:tcW w:w="1169" w:type="dxa"/>
            <w:tcBorders>
              <w:top w:val="nil"/>
              <w:left w:val="nil"/>
              <w:bottom w:val="nil"/>
              <w:right w:val="nil"/>
            </w:tcBorders>
            <w:shd w:val="clear" w:color="auto" w:fill="auto"/>
            <w:vAlign w:val="center"/>
          </w:tcPr>
          <w:p w14:paraId="050FA400" w14:textId="77777777" w:rsidR="008B7E19" w:rsidRPr="00EE1C73"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r w:rsidRPr="00544B6D">
              <w:rPr>
                <w:rFonts w:cs="Arial"/>
                <w:szCs w:val="14"/>
              </w:rPr>
              <w:t>7</w:t>
            </w:r>
            <w:r>
              <w:rPr>
                <w:rFonts w:cs="Arial"/>
                <w:szCs w:val="14"/>
              </w:rPr>
              <w:t>,</w:t>
            </w:r>
            <w:r w:rsidRPr="00544B6D">
              <w:rPr>
                <w:rFonts w:cs="Arial"/>
                <w:szCs w:val="14"/>
              </w:rPr>
              <w:t>857</w:t>
            </w:r>
            <w:r>
              <w:rPr>
                <w:rFonts w:cs="Arial"/>
                <w:szCs w:val="14"/>
              </w:rPr>
              <w:t>,</w:t>
            </w:r>
            <w:r w:rsidRPr="00544B6D">
              <w:rPr>
                <w:rFonts w:cs="Arial"/>
                <w:szCs w:val="14"/>
              </w:rPr>
              <w:t>399</w:t>
            </w:r>
          </w:p>
        </w:tc>
        <w:tc>
          <w:tcPr>
            <w:tcW w:w="993" w:type="dxa"/>
            <w:gridSpan w:val="2"/>
            <w:tcBorders>
              <w:top w:val="nil"/>
              <w:bottom w:val="nil"/>
            </w:tcBorders>
            <w:shd w:val="clear" w:color="auto" w:fill="auto"/>
            <w:vAlign w:val="center"/>
          </w:tcPr>
          <w:p w14:paraId="44135736" w14:textId="77777777" w:rsidR="008B7E19" w:rsidRPr="00243EAC" w:rsidRDefault="008B7E19" w:rsidP="008B7E19">
            <w:pPr>
              <w:pStyle w:val="08-Tabelageral"/>
              <w:cnfStyle w:val="000000000000" w:firstRow="0" w:lastRow="0" w:firstColumn="0" w:lastColumn="0" w:oddVBand="0" w:evenVBand="0" w:oddHBand="0" w:evenHBand="0" w:firstRowFirstColumn="0" w:firstRowLastColumn="0" w:lastRowFirstColumn="0" w:lastRowLastColumn="0"/>
            </w:pPr>
            <w:r w:rsidRPr="00544B6D">
              <w:rPr>
                <w:rFonts w:cs="Arial"/>
                <w:szCs w:val="14"/>
              </w:rPr>
              <w:t>7</w:t>
            </w:r>
            <w:r>
              <w:rPr>
                <w:rFonts w:cs="Arial"/>
                <w:szCs w:val="14"/>
              </w:rPr>
              <w:t>,</w:t>
            </w:r>
            <w:r w:rsidRPr="00544B6D">
              <w:rPr>
                <w:rFonts w:cs="Arial"/>
                <w:szCs w:val="14"/>
              </w:rPr>
              <w:t>267</w:t>
            </w:r>
            <w:r>
              <w:rPr>
                <w:rFonts w:cs="Arial"/>
                <w:szCs w:val="14"/>
              </w:rPr>
              <w:t>,</w:t>
            </w:r>
            <w:r w:rsidRPr="00544B6D">
              <w:rPr>
                <w:rFonts w:cs="Arial"/>
                <w:szCs w:val="14"/>
              </w:rPr>
              <w:t>634</w:t>
            </w:r>
          </w:p>
        </w:tc>
        <w:tc>
          <w:tcPr>
            <w:tcW w:w="286" w:type="dxa"/>
            <w:gridSpan w:val="2"/>
            <w:tcBorders>
              <w:top w:val="nil"/>
              <w:bottom w:val="nil"/>
            </w:tcBorders>
            <w:shd w:val="clear" w:color="auto" w:fill="auto"/>
            <w:vAlign w:val="center"/>
          </w:tcPr>
          <w:p w14:paraId="350589D6" w14:textId="77777777" w:rsidR="008B7E19" w:rsidRPr="00350BA7"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p>
        </w:tc>
        <w:tc>
          <w:tcPr>
            <w:tcW w:w="1273" w:type="dxa"/>
            <w:gridSpan w:val="3"/>
            <w:tcBorders>
              <w:top w:val="nil"/>
              <w:left w:val="nil"/>
              <w:bottom w:val="nil"/>
              <w:right w:val="nil"/>
            </w:tcBorders>
            <w:shd w:val="clear" w:color="auto" w:fill="auto"/>
            <w:vAlign w:val="center"/>
          </w:tcPr>
          <w:p w14:paraId="30859AB4" w14:textId="77777777" w:rsidR="008B7E19" w:rsidRPr="00350BA7"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r w:rsidRPr="001B2906">
              <w:rPr>
                <w:rFonts w:cs="Arial"/>
                <w:szCs w:val="14"/>
              </w:rPr>
              <w:t>8</w:t>
            </w:r>
            <w:r>
              <w:rPr>
                <w:rFonts w:cs="Arial"/>
                <w:szCs w:val="14"/>
              </w:rPr>
              <w:t>,</w:t>
            </w:r>
            <w:r w:rsidRPr="001B2906">
              <w:rPr>
                <w:rFonts w:cs="Arial"/>
                <w:szCs w:val="14"/>
              </w:rPr>
              <w:t>932</w:t>
            </w:r>
            <w:r>
              <w:rPr>
                <w:rFonts w:cs="Arial"/>
                <w:szCs w:val="14"/>
              </w:rPr>
              <w:t>,</w:t>
            </w:r>
            <w:r w:rsidRPr="001B2906">
              <w:rPr>
                <w:rFonts w:cs="Arial"/>
                <w:szCs w:val="14"/>
              </w:rPr>
              <w:t>049</w:t>
            </w:r>
          </w:p>
        </w:tc>
        <w:tc>
          <w:tcPr>
            <w:tcW w:w="989" w:type="dxa"/>
            <w:gridSpan w:val="2"/>
            <w:tcBorders>
              <w:top w:val="nil"/>
              <w:left w:val="nil"/>
              <w:bottom w:val="nil"/>
              <w:right w:val="nil"/>
            </w:tcBorders>
            <w:shd w:val="clear" w:color="auto" w:fill="auto"/>
            <w:vAlign w:val="center"/>
          </w:tcPr>
          <w:p w14:paraId="108CBB91" w14:textId="77777777" w:rsidR="008B7E19" w:rsidRPr="00EE1C73"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r w:rsidRPr="00544B6D">
              <w:rPr>
                <w:rFonts w:cs="Arial"/>
                <w:szCs w:val="14"/>
              </w:rPr>
              <w:t>7</w:t>
            </w:r>
            <w:r>
              <w:rPr>
                <w:rFonts w:cs="Arial"/>
                <w:szCs w:val="14"/>
              </w:rPr>
              <w:t>,</w:t>
            </w:r>
            <w:r w:rsidRPr="00544B6D">
              <w:rPr>
                <w:rFonts w:cs="Arial"/>
                <w:szCs w:val="14"/>
              </w:rPr>
              <w:t>957</w:t>
            </w:r>
            <w:r>
              <w:rPr>
                <w:rFonts w:cs="Arial"/>
                <w:szCs w:val="14"/>
              </w:rPr>
              <w:t>,</w:t>
            </w:r>
            <w:r w:rsidRPr="00544B6D">
              <w:rPr>
                <w:rFonts w:cs="Arial"/>
                <w:szCs w:val="14"/>
              </w:rPr>
              <w:t>439</w:t>
            </w:r>
          </w:p>
        </w:tc>
        <w:tc>
          <w:tcPr>
            <w:tcW w:w="990" w:type="dxa"/>
            <w:tcBorders>
              <w:top w:val="nil"/>
              <w:bottom w:val="nil"/>
            </w:tcBorders>
            <w:shd w:val="clear" w:color="auto" w:fill="auto"/>
            <w:vAlign w:val="center"/>
          </w:tcPr>
          <w:p w14:paraId="02046ACB" w14:textId="77777777" w:rsidR="008B7E19" w:rsidRPr="00BA1820" w:rsidRDefault="008B7E19" w:rsidP="008B7E19">
            <w:pPr>
              <w:pStyle w:val="08-Tabelageral"/>
              <w:cnfStyle w:val="000000000000" w:firstRow="0" w:lastRow="0" w:firstColumn="0" w:lastColumn="0" w:oddVBand="0" w:evenVBand="0" w:oddHBand="0" w:evenHBand="0" w:firstRowFirstColumn="0" w:firstRowLastColumn="0" w:lastRowFirstColumn="0" w:lastRowLastColumn="0"/>
            </w:pPr>
            <w:r w:rsidRPr="00544B6D">
              <w:rPr>
                <w:rFonts w:cs="Arial"/>
                <w:szCs w:val="14"/>
              </w:rPr>
              <w:t>7</w:t>
            </w:r>
            <w:r>
              <w:rPr>
                <w:rFonts w:cs="Arial"/>
                <w:szCs w:val="14"/>
              </w:rPr>
              <w:t>,</w:t>
            </w:r>
            <w:r w:rsidRPr="00544B6D">
              <w:rPr>
                <w:rFonts w:cs="Arial"/>
                <w:szCs w:val="14"/>
              </w:rPr>
              <w:t>324</w:t>
            </w:r>
            <w:r>
              <w:rPr>
                <w:rFonts w:cs="Arial"/>
                <w:szCs w:val="14"/>
              </w:rPr>
              <w:t>,</w:t>
            </w:r>
            <w:r w:rsidRPr="00544B6D">
              <w:rPr>
                <w:rFonts w:cs="Arial"/>
                <w:szCs w:val="14"/>
              </w:rPr>
              <w:t>226</w:t>
            </w:r>
          </w:p>
        </w:tc>
      </w:tr>
      <w:tr w:rsidR="008B7E19" w:rsidRPr="001D6BE8" w14:paraId="633EA2A9"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119" w:type="dxa"/>
            <w:tcBorders>
              <w:top w:val="nil"/>
              <w:bottom w:val="nil"/>
            </w:tcBorders>
            <w:shd w:val="clear" w:color="auto" w:fill="auto"/>
            <w:vAlign w:val="center"/>
          </w:tcPr>
          <w:p w14:paraId="4D2FC399" w14:textId="77777777" w:rsidR="008B7E19" w:rsidRPr="00C27294" w:rsidRDefault="008B7E19" w:rsidP="008B7E19">
            <w:pPr>
              <w:pStyle w:val="08-Tabelageral"/>
              <w:ind w:left="113"/>
              <w:jc w:val="left"/>
              <w:rPr>
                <w:rFonts w:cs="Arial"/>
                <w:b w:val="0"/>
                <w:szCs w:val="14"/>
              </w:rPr>
            </w:pPr>
            <w:r w:rsidRPr="00DC0B01">
              <w:rPr>
                <w:rFonts w:cs="Arial"/>
                <w:b w:val="0"/>
                <w:szCs w:val="14"/>
              </w:rPr>
              <w:t>Intangible</w:t>
            </w:r>
          </w:p>
        </w:tc>
        <w:tc>
          <w:tcPr>
            <w:tcW w:w="700" w:type="dxa"/>
            <w:tcBorders>
              <w:top w:val="nil"/>
              <w:bottom w:val="nil"/>
            </w:tcBorders>
            <w:shd w:val="clear" w:color="auto" w:fill="auto"/>
            <w:vAlign w:val="center"/>
          </w:tcPr>
          <w:p w14:paraId="3C6FA145" w14:textId="77777777" w:rsidR="008B7E19" w:rsidRPr="00CC12E6" w:rsidRDefault="008B7E19" w:rsidP="008B7E19">
            <w:pPr>
              <w:pStyle w:val="08-Tabelageral"/>
              <w:cnfStyle w:val="000000100000" w:firstRow="0" w:lastRow="0" w:firstColumn="0" w:lastColumn="0" w:oddVBand="0" w:evenVBand="0" w:oddHBand="1" w:evenHBand="0" w:firstRowFirstColumn="0" w:firstRowLastColumn="0" w:lastRowFirstColumn="0" w:lastRowLastColumn="0"/>
            </w:pPr>
            <w:r w:rsidRPr="00CC12E6">
              <w:t>[19]</w:t>
            </w:r>
          </w:p>
        </w:tc>
        <w:tc>
          <w:tcPr>
            <w:tcW w:w="1120" w:type="dxa"/>
            <w:tcBorders>
              <w:top w:val="nil"/>
              <w:left w:val="nil"/>
              <w:bottom w:val="nil"/>
              <w:right w:val="nil"/>
            </w:tcBorders>
            <w:shd w:val="clear" w:color="auto" w:fill="auto"/>
            <w:vAlign w:val="center"/>
          </w:tcPr>
          <w:p w14:paraId="218AA1FE" w14:textId="77777777" w:rsidR="008B7E19" w:rsidRPr="00350BA7"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1B2906">
              <w:rPr>
                <w:rFonts w:cs="Arial"/>
                <w:szCs w:val="14"/>
              </w:rPr>
              <w:t>3</w:t>
            </w:r>
            <w:r>
              <w:rPr>
                <w:rFonts w:cs="Arial"/>
                <w:szCs w:val="14"/>
              </w:rPr>
              <w:t>,</w:t>
            </w:r>
            <w:r w:rsidRPr="001B2906">
              <w:rPr>
                <w:rFonts w:cs="Arial"/>
                <w:szCs w:val="14"/>
              </w:rPr>
              <w:t>808</w:t>
            </w:r>
          </w:p>
        </w:tc>
        <w:tc>
          <w:tcPr>
            <w:tcW w:w="1169" w:type="dxa"/>
            <w:tcBorders>
              <w:top w:val="nil"/>
              <w:left w:val="nil"/>
              <w:bottom w:val="nil"/>
              <w:right w:val="nil"/>
            </w:tcBorders>
            <w:shd w:val="clear" w:color="auto" w:fill="auto"/>
            <w:vAlign w:val="center"/>
          </w:tcPr>
          <w:p w14:paraId="5E756384" w14:textId="77777777" w:rsidR="008B7E19" w:rsidRPr="00EE1C73"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281428">
              <w:rPr>
                <w:rFonts w:cs="Arial"/>
                <w:szCs w:val="14"/>
              </w:rPr>
              <w:t>4</w:t>
            </w:r>
            <w:r>
              <w:rPr>
                <w:rFonts w:cs="Arial"/>
                <w:szCs w:val="14"/>
              </w:rPr>
              <w:t>,</w:t>
            </w:r>
            <w:r w:rsidRPr="00281428">
              <w:rPr>
                <w:rFonts w:cs="Arial"/>
                <w:szCs w:val="14"/>
              </w:rPr>
              <w:t>021</w:t>
            </w:r>
          </w:p>
        </w:tc>
        <w:tc>
          <w:tcPr>
            <w:tcW w:w="993" w:type="dxa"/>
            <w:gridSpan w:val="2"/>
            <w:tcBorders>
              <w:top w:val="nil"/>
              <w:bottom w:val="nil"/>
            </w:tcBorders>
            <w:shd w:val="clear" w:color="auto" w:fill="auto"/>
            <w:vAlign w:val="center"/>
          </w:tcPr>
          <w:p w14:paraId="58779B6A" w14:textId="77777777" w:rsidR="008B7E19" w:rsidRPr="00243EAC" w:rsidRDefault="008B7E19" w:rsidP="008B7E19">
            <w:pPr>
              <w:pStyle w:val="08-Tabelageral"/>
              <w:cnfStyle w:val="000000100000" w:firstRow="0" w:lastRow="0" w:firstColumn="0" w:lastColumn="0" w:oddVBand="0" w:evenVBand="0" w:oddHBand="1" w:evenHBand="0" w:firstRowFirstColumn="0" w:firstRowLastColumn="0" w:lastRowFirstColumn="0" w:lastRowLastColumn="0"/>
            </w:pPr>
            <w:r w:rsidRPr="00281428">
              <w:rPr>
                <w:rFonts w:cs="Arial"/>
                <w:szCs w:val="14"/>
              </w:rPr>
              <w:t>4</w:t>
            </w:r>
            <w:r>
              <w:rPr>
                <w:rFonts w:cs="Arial"/>
                <w:szCs w:val="14"/>
              </w:rPr>
              <w:t>,</w:t>
            </w:r>
            <w:r w:rsidRPr="00281428">
              <w:rPr>
                <w:rFonts w:cs="Arial"/>
                <w:szCs w:val="14"/>
              </w:rPr>
              <w:t>959</w:t>
            </w:r>
          </w:p>
        </w:tc>
        <w:tc>
          <w:tcPr>
            <w:tcW w:w="286" w:type="dxa"/>
            <w:gridSpan w:val="2"/>
            <w:tcBorders>
              <w:top w:val="nil"/>
              <w:bottom w:val="nil"/>
            </w:tcBorders>
            <w:shd w:val="clear" w:color="auto" w:fill="auto"/>
            <w:vAlign w:val="center"/>
          </w:tcPr>
          <w:p w14:paraId="7F9210E3" w14:textId="77777777" w:rsidR="008B7E19" w:rsidRPr="00350BA7"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273" w:type="dxa"/>
            <w:gridSpan w:val="3"/>
            <w:tcBorders>
              <w:top w:val="nil"/>
              <w:left w:val="nil"/>
              <w:bottom w:val="nil"/>
              <w:right w:val="nil"/>
            </w:tcBorders>
            <w:shd w:val="clear" w:color="auto" w:fill="auto"/>
            <w:vAlign w:val="center"/>
          </w:tcPr>
          <w:p w14:paraId="219EDD70" w14:textId="77777777" w:rsidR="008B7E19" w:rsidRPr="00350BA7"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1B2906">
              <w:rPr>
                <w:rFonts w:cs="Arial"/>
                <w:szCs w:val="14"/>
              </w:rPr>
              <w:t>3</w:t>
            </w:r>
            <w:r>
              <w:rPr>
                <w:rFonts w:cs="Arial"/>
                <w:szCs w:val="14"/>
              </w:rPr>
              <w:t>,</w:t>
            </w:r>
            <w:r w:rsidRPr="001B2906">
              <w:rPr>
                <w:rFonts w:cs="Arial"/>
                <w:szCs w:val="14"/>
              </w:rPr>
              <w:t>808</w:t>
            </w:r>
          </w:p>
        </w:tc>
        <w:tc>
          <w:tcPr>
            <w:tcW w:w="989" w:type="dxa"/>
            <w:gridSpan w:val="2"/>
            <w:tcBorders>
              <w:top w:val="nil"/>
              <w:left w:val="nil"/>
              <w:bottom w:val="nil"/>
              <w:right w:val="nil"/>
            </w:tcBorders>
            <w:shd w:val="clear" w:color="auto" w:fill="auto"/>
            <w:vAlign w:val="center"/>
          </w:tcPr>
          <w:p w14:paraId="66A1C6A9" w14:textId="77777777" w:rsidR="008B7E19" w:rsidRPr="00EE1C73"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281428">
              <w:rPr>
                <w:rFonts w:cs="Arial"/>
                <w:szCs w:val="14"/>
              </w:rPr>
              <w:t>4</w:t>
            </w:r>
            <w:r>
              <w:rPr>
                <w:rFonts w:cs="Arial"/>
                <w:szCs w:val="14"/>
              </w:rPr>
              <w:t>,</w:t>
            </w:r>
            <w:r w:rsidRPr="00281428">
              <w:rPr>
                <w:rFonts w:cs="Arial"/>
                <w:szCs w:val="14"/>
              </w:rPr>
              <w:t>021</w:t>
            </w:r>
          </w:p>
        </w:tc>
        <w:tc>
          <w:tcPr>
            <w:tcW w:w="990" w:type="dxa"/>
            <w:tcBorders>
              <w:top w:val="nil"/>
              <w:bottom w:val="nil"/>
            </w:tcBorders>
            <w:shd w:val="clear" w:color="auto" w:fill="auto"/>
            <w:vAlign w:val="center"/>
          </w:tcPr>
          <w:p w14:paraId="674F2B57" w14:textId="77777777" w:rsidR="008B7E19" w:rsidRPr="00BA1820" w:rsidRDefault="008B7E19" w:rsidP="008B7E19">
            <w:pPr>
              <w:pStyle w:val="08-Tabelageral"/>
              <w:cnfStyle w:val="000000100000" w:firstRow="0" w:lastRow="0" w:firstColumn="0" w:lastColumn="0" w:oddVBand="0" w:evenVBand="0" w:oddHBand="1" w:evenHBand="0" w:firstRowFirstColumn="0" w:firstRowLastColumn="0" w:lastRowFirstColumn="0" w:lastRowLastColumn="0"/>
            </w:pPr>
            <w:r w:rsidRPr="00281428">
              <w:rPr>
                <w:rFonts w:cs="Arial"/>
                <w:szCs w:val="14"/>
              </w:rPr>
              <w:t>4</w:t>
            </w:r>
            <w:r>
              <w:rPr>
                <w:rFonts w:cs="Arial"/>
                <w:szCs w:val="14"/>
              </w:rPr>
              <w:t>,</w:t>
            </w:r>
            <w:r w:rsidRPr="00281428">
              <w:rPr>
                <w:rFonts w:cs="Arial"/>
                <w:szCs w:val="14"/>
              </w:rPr>
              <w:t>959</w:t>
            </w:r>
          </w:p>
        </w:tc>
      </w:tr>
      <w:tr w:rsidR="008B7E19" w:rsidRPr="001D6BE8" w14:paraId="6EFA7570" w14:textId="77777777" w:rsidTr="008B7E19">
        <w:trPr>
          <w:trHeight w:val="238"/>
          <w:jc w:val="center"/>
        </w:trPr>
        <w:tc>
          <w:tcPr>
            <w:cnfStyle w:val="001000000000" w:firstRow="0" w:lastRow="0" w:firstColumn="1" w:lastColumn="0" w:oddVBand="0" w:evenVBand="0" w:oddHBand="0" w:evenHBand="0" w:firstRowFirstColumn="0" w:firstRowLastColumn="0" w:lastRowFirstColumn="0" w:lastRowLastColumn="0"/>
            <w:tcW w:w="2119" w:type="dxa"/>
            <w:tcBorders>
              <w:top w:val="nil"/>
              <w:bottom w:val="nil"/>
            </w:tcBorders>
            <w:shd w:val="clear" w:color="auto" w:fill="auto"/>
            <w:vAlign w:val="center"/>
          </w:tcPr>
          <w:p w14:paraId="74F32979" w14:textId="77777777" w:rsidR="008B7E19" w:rsidRPr="0038031F" w:rsidRDefault="008B7E19" w:rsidP="008B7E19">
            <w:pPr>
              <w:pStyle w:val="08-Tabelageral"/>
              <w:ind w:left="113"/>
              <w:jc w:val="left"/>
              <w:rPr>
                <w:rFonts w:cs="Arial"/>
                <w:b w:val="0"/>
                <w:szCs w:val="14"/>
              </w:rPr>
            </w:pPr>
            <w:r w:rsidRPr="00C27294">
              <w:rPr>
                <w:rFonts w:cs="Arial"/>
                <w:b w:val="0"/>
                <w:szCs w:val="14"/>
              </w:rPr>
              <w:t>Other assets</w:t>
            </w:r>
          </w:p>
        </w:tc>
        <w:tc>
          <w:tcPr>
            <w:tcW w:w="700" w:type="dxa"/>
            <w:tcBorders>
              <w:top w:val="nil"/>
              <w:bottom w:val="nil"/>
            </w:tcBorders>
            <w:shd w:val="clear" w:color="auto" w:fill="auto"/>
            <w:vAlign w:val="center"/>
          </w:tcPr>
          <w:p w14:paraId="2F8AFF5E" w14:textId="77777777" w:rsidR="008B7E19" w:rsidRPr="00CF4B29" w:rsidRDefault="008B7E19" w:rsidP="008B7E19">
            <w:pPr>
              <w:pStyle w:val="08-Tabelageral"/>
              <w:cnfStyle w:val="000000000000" w:firstRow="0" w:lastRow="0" w:firstColumn="0" w:lastColumn="0" w:oddVBand="0" w:evenVBand="0" w:oddHBand="0" w:evenHBand="0" w:firstRowFirstColumn="0" w:firstRowLastColumn="0" w:lastRowFirstColumn="0" w:lastRowLastColumn="0"/>
            </w:pPr>
            <w:r w:rsidRPr="00CC12E6">
              <w:t>[20]</w:t>
            </w:r>
          </w:p>
        </w:tc>
        <w:tc>
          <w:tcPr>
            <w:tcW w:w="1120" w:type="dxa"/>
            <w:tcBorders>
              <w:top w:val="nil"/>
              <w:bottom w:val="nil"/>
            </w:tcBorders>
            <w:shd w:val="clear" w:color="auto" w:fill="auto"/>
            <w:vAlign w:val="center"/>
          </w:tcPr>
          <w:p w14:paraId="02738F18" w14:textId="77777777" w:rsidR="008B7E19" w:rsidRPr="00350BA7"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r w:rsidRPr="001B2906">
              <w:rPr>
                <w:rFonts w:cs="Arial"/>
                <w:szCs w:val="14"/>
              </w:rPr>
              <w:t>47</w:t>
            </w:r>
          </w:p>
        </w:tc>
        <w:tc>
          <w:tcPr>
            <w:tcW w:w="1169" w:type="dxa"/>
            <w:tcBorders>
              <w:top w:val="nil"/>
              <w:bottom w:val="nil"/>
            </w:tcBorders>
            <w:shd w:val="clear" w:color="auto" w:fill="auto"/>
            <w:vAlign w:val="center"/>
          </w:tcPr>
          <w:p w14:paraId="26454C4F" w14:textId="77777777" w:rsidR="008B7E19" w:rsidRPr="00EE1C73"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r w:rsidRPr="00281428">
              <w:rPr>
                <w:rFonts w:cs="Arial"/>
                <w:szCs w:val="14"/>
              </w:rPr>
              <w:t>58</w:t>
            </w:r>
          </w:p>
        </w:tc>
        <w:tc>
          <w:tcPr>
            <w:tcW w:w="993" w:type="dxa"/>
            <w:gridSpan w:val="2"/>
            <w:tcBorders>
              <w:top w:val="nil"/>
              <w:bottom w:val="nil"/>
            </w:tcBorders>
            <w:shd w:val="clear" w:color="auto" w:fill="auto"/>
            <w:vAlign w:val="center"/>
          </w:tcPr>
          <w:p w14:paraId="4B8D3C35" w14:textId="77777777" w:rsidR="008B7E19" w:rsidRPr="00CF4B29" w:rsidRDefault="008B7E19" w:rsidP="008B7E19">
            <w:pPr>
              <w:pStyle w:val="08-Tabelageral"/>
              <w:cnfStyle w:val="000000000000" w:firstRow="0" w:lastRow="0" w:firstColumn="0" w:lastColumn="0" w:oddVBand="0" w:evenVBand="0" w:oddHBand="0" w:evenHBand="0" w:firstRowFirstColumn="0" w:firstRowLastColumn="0" w:lastRowFirstColumn="0" w:lastRowLastColumn="0"/>
            </w:pPr>
            <w:r w:rsidRPr="00281428">
              <w:rPr>
                <w:rFonts w:cs="Arial"/>
                <w:szCs w:val="14"/>
              </w:rPr>
              <w:t>40</w:t>
            </w:r>
          </w:p>
        </w:tc>
        <w:tc>
          <w:tcPr>
            <w:tcW w:w="286" w:type="dxa"/>
            <w:gridSpan w:val="2"/>
            <w:tcBorders>
              <w:top w:val="nil"/>
              <w:bottom w:val="nil"/>
            </w:tcBorders>
            <w:shd w:val="clear" w:color="auto" w:fill="auto"/>
            <w:vAlign w:val="center"/>
          </w:tcPr>
          <w:p w14:paraId="044B8F01" w14:textId="77777777" w:rsidR="008B7E19" w:rsidRPr="00350BA7"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p>
        </w:tc>
        <w:tc>
          <w:tcPr>
            <w:tcW w:w="1273" w:type="dxa"/>
            <w:gridSpan w:val="3"/>
            <w:tcBorders>
              <w:top w:val="nil"/>
              <w:bottom w:val="nil"/>
            </w:tcBorders>
            <w:shd w:val="clear" w:color="auto" w:fill="auto"/>
            <w:vAlign w:val="center"/>
          </w:tcPr>
          <w:p w14:paraId="61B9D35B" w14:textId="77777777" w:rsidR="008B7E19" w:rsidRPr="00350BA7"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r w:rsidRPr="001B2906">
              <w:rPr>
                <w:rFonts w:cs="Arial"/>
                <w:szCs w:val="14"/>
              </w:rPr>
              <w:t>228</w:t>
            </w:r>
            <w:r>
              <w:rPr>
                <w:rFonts w:cs="Arial"/>
                <w:szCs w:val="14"/>
              </w:rPr>
              <w:t>,</w:t>
            </w:r>
            <w:r w:rsidRPr="001B2906">
              <w:rPr>
                <w:rFonts w:cs="Arial"/>
                <w:szCs w:val="14"/>
              </w:rPr>
              <w:t>146</w:t>
            </w:r>
          </w:p>
        </w:tc>
        <w:tc>
          <w:tcPr>
            <w:tcW w:w="989" w:type="dxa"/>
            <w:gridSpan w:val="2"/>
            <w:tcBorders>
              <w:top w:val="nil"/>
              <w:bottom w:val="nil"/>
            </w:tcBorders>
            <w:shd w:val="clear" w:color="auto" w:fill="auto"/>
            <w:vAlign w:val="center"/>
          </w:tcPr>
          <w:p w14:paraId="30EE3A87" w14:textId="77777777" w:rsidR="008B7E19" w:rsidRPr="00EE1C73"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r w:rsidRPr="00281428">
              <w:rPr>
                <w:rFonts w:cs="Arial"/>
                <w:szCs w:val="14"/>
              </w:rPr>
              <w:t>221</w:t>
            </w:r>
            <w:r>
              <w:rPr>
                <w:rFonts w:cs="Arial"/>
                <w:szCs w:val="14"/>
              </w:rPr>
              <w:t>,</w:t>
            </w:r>
            <w:r w:rsidRPr="00281428">
              <w:rPr>
                <w:rFonts w:cs="Arial"/>
                <w:szCs w:val="14"/>
              </w:rPr>
              <w:t>882</w:t>
            </w:r>
          </w:p>
        </w:tc>
        <w:tc>
          <w:tcPr>
            <w:tcW w:w="990" w:type="dxa"/>
            <w:tcBorders>
              <w:top w:val="nil"/>
              <w:bottom w:val="nil"/>
            </w:tcBorders>
            <w:shd w:val="clear" w:color="auto" w:fill="auto"/>
            <w:vAlign w:val="center"/>
          </w:tcPr>
          <w:p w14:paraId="3E48192C" w14:textId="77777777" w:rsidR="008B7E19" w:rsidRPr="00CF4B29" w:rsidRDefault="008B7E19" w:rsidP="008B7E19">
            <w:pPr>
              <w:pStyle w:val="08-Tabelageral"/>
              <w:cnfStyle w:val="000000000000" w:firstRow="0" w:lastRow="0" w:firstColumn="0" w:lastColumn="0" w:oddVBand="0" w:evenVBand="0" w:oddHBand="0" w:evenHBand="0" w:firstRowFirstColumn="0" w:firstRowLastColumn="0" w:lastRowFirstColumn="0" w:lastRowLastColumn="0"/>
            </w:pPr>
            <w:r w:rsidRPr="00281428">
              <w:rPr>
                <w:rFonts w:cs="Arial"/>
                <w:szCs w:val="14"/>
              </w:rPr>
              <w:t>214</w:t>
            </w:r>
            <w:r>
              <w:rPr>
                <w:rFonts w:cs="Arial"/>
                <w:szCs w:val="14"/>
              </w:rPr>
              <w:t>,</w:t>
            </w:r>
            <w:r w:rsidRPr="00281428">
              <w:rPr>
                <w:rFonts w:cs="Arial"/>
                <w:szCs w:val="14"/>
              </w:rPr>
              <w:t>187</w:t>
            </w:r>
          </w:p>
        </w:tc>
      </w:tr>
      <w:tr w:rsidR="008B7E19" w:rsidRPr="001D6BE8" w14:paraId="3BD8198E"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119" w:type="dxa"/>
            <w:tcBorders>
              <w:top w:val="nil"/>
              <w:bottom w:val="nil"/>
            </w:tcBorders>
            <w:shd w:val="clear" w:color="auto" w:fill="auto"/>
            <w:vAlign w:val="center"/>
          </w:tcPr>
          <w:p w14:paraId="19783C55" w14:textId="77777777" w:rsidR="008B7E19" w:rsidRPr="0038031F" w:rsidRDefault="008B7E19" w:rsidP="008B7E19">
            <w:pPr>
              <w:pStyle w:val="08-Tabelageral"/>
              <w:jc w:val="left"/>
              <w:rPr>
                <w:rFonts w:cs="Arial"/>
                <w:b w:val="0"/>
                <w:szCs w:val="14"/>
              </w:rPr>
            </w:pPr>
          </w:p>
        </w:tc>
        <w:tc>
          <w:tcPr>
            <w:tcW w:w="700" w:type="dxa"/>
            <w:tcBorders>
              <w:top w:val="nil"/>
              <w:bottom w:val="nil"/>
            </w:tcBorders>
            <w:shd w:val="clear" w:color="auto" w:fill="auto"/>
            <w:vAlign w:val="center"/>
          </w:tcPr>
          <w:p w14:paraId="34AF390F" w14:textId="77777777" w:rsidR="008B7E19" w:rsidRPr="00CF4B29" w:rsidRDefault="008B7E19" w:rsidP="008B7E19">
            <w:pPr>
              <w:pStyle w:val="08-Tabelageral"/>
              <w:cnfStyle w:val="000000100000" w:firstRow="0" w:lastRow="0" w:firstColumn="0" w:lastColumn="0" w:oddVBand="0" w:evenVBand="0" w:oddHBand="1" w:evenHBand="0" w:firstRowFirstColumn="0" w:firstRowLastColumn="0" w:lastRowFirstColumn="0" w:lastRowLastColumn="0"/>
            </w:pPr>
          </w:p>
        </w:tc>
        <w:tc>
          <w:tcPr>
            <w:tcW w:w="1120" w:type="dxa"/>
            <w:tcBorders>
              <w:top w:val="nil"/>
              <w:bottom w:val="nil"/>
            </w:tcBorders>
            <w:shd w:val="clear" w:color="auto" w:fill="auto"/>
            <w:vAlign w:val="center"/>
          </w:tcPr>
          <w:p w14:paraId="412CC66C" w14:textId="77777777" w:rsidR="008B7E19" w:rsidRPr="00350BA7"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169" w:type="dxa"/>
            <w:tcBorders>
              <w:top w:val="nil"/>
              <w:bottom w:val="nil"/>
            </w:tcBorders>
            <w:shd w:val="clear" w:color="auto" w:fill="auto"/>
            <w:vAlign w:val="center"/>
          </w:tcPr>
          <w:p w14:paraId="6DC4EC22" w14:textId="77777777" w:rsidR="008B7E19" w:rsidRPr="00CF4B29" w:rsidRDefault="008B7E19" w:rsidP="008B7E19">
            <w:pPr>
              <w:pStyle w:val="08-Tabelageral"/>
              <w:cnfStyle w:val="000000100000" w:firstRow="0" w:lastRow="0" w:firstColumn="0" w:lastColumn="0" w:oddVBand="0" w:evenVBand="0" w:oddHBand="1" w:evenHBand="0" w:firstRowFirstColumn="0" w:firstRowLastColumn="0" w:lastRowFirstColumn="0" w:lastRowLastColumn="0"/>
            </w:pPr>
          </w:p>
        </w:tc>
        <w:tc>
          <w:tcPr>
            <w:tcW w:w="993" w:type="dxa"/>
            <w:gridSpan w:val="2"/>
            <w:tcBorders>
              <w:top w:val="nil"/>
              <w:bottom w:val="nil"/>
            </w:tcBorders>
            <w:shd w:val="clear" w:color="auto" w:fill="auto"/>
            <w:vAlign w:val="center"/>
          </w:tcPr>
          <w:p w14:paraId="36A3B875" w14:textId="77777777" w:rsidR="008B7E19" w:rsidRPr="00CF4B29" w:rsidRDefault="008B7E19" w:rsidP="008B7E19">
            <w:pPr>
              <w:pStyle w:val="08-Tabelageral"/>
              <w:cnfStyle w:val="000000100000" w:firstRow="0" w:lastRow="0" w:firstColumn="0" w:lastColumn="0" w:oddVBand="0" w:evenVBand="0" w:oddHBand="1" w:evenHBand="0" w:firstRowFirstColumn="0" w:firstRowLastColumn="0" w:lastRowFirstColumn="0" w:lastRowLastColumn="0"/>
            </w:pPr>
          </w:p>
        </w:tc>
        <w:tc>
          <w:tcPr>
            <w:tcW w:w="286" w:type="dxa"/>
            <w:gridSpan w:val="2"/>
            <w:tcBorders>
              <w:top w:val="nil"/>
              <w:bottom w:val="nil"/>
            </w:tcBorders>
            <w:shd w:val="clear" w:color="auto" w:fill="auto"/>
            <w:vAlign w:val="center"/>
          </w:tcPr>
          <w:p w14:paraId="41E82DC1" w14:textId="77777777" w:rsidR="008B7E19" w:rsidRPr="00350BA7"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273" w:type="dxa"/>
            <w:gridSpan w:val="3"/>
            <w:tcBorders>
              <w:top w:val="nil"/>
              <w:bottom w:val="nil"/>
            </w:tcBorders>
            <w:shd w:val="clear" w:color="auto" w:fill="auto"/>
            <w:vAlign w:val="center"/>
          </w:tcPr>
          <w:p w14:paraId="0330295F" w14:textId="77777777" w:rsidR="008B7E19" w:rsidRPr="00350BA7"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989" w:type="dxa"/>
            <w:gridSpan w:val="2"/>
            <w:tcBorders>
              <w:top w:val="nil"/>
              <w:bottom w:val="nil"/>
            </w:tcBorders>
            <w:shd w:val="clear" w:color="auto" w:fill="auto"/>
            <w:vAlign w:val="center"/>
          </w:tcPr>
          <w:p w14:paraId="69AFD655" w14:textId="77777777" w:rsidR="008B7E19" w:rsidRPr="00CF4B29" w:rsidRDefault="008B7E19" w:rsidP="008B7E19">
            <w:pPr>
              <w:pStyle w:val="08-Tabelageral"/>
              <w:cnfStyle w:val="000000100000" w:firstRow="0" w:lastRow="0" w:firstColumn="0" w:lastColumn="0" w:oddVBand="0" w:evenVBand="0" w:oddHBand="1" w:evenHBand="0" w:firstRowFirstColumn="0" w:firstRowLastColumn="0" w:lastRowFirstColumn="0" w:lastRowLastColumn="0"/>
            </w:pPr>
          </w:p>
        </w:tc>
        <w:tc>
          <w:tcPr>
            <w:tcW w:w="990" w:type="dxa"/>
            <w:tcBorders>
              <w:top w:val="nil"/>
              <w:bottom w:val="nil"/>
            </w:tcBorders>
            <w:shd w:val="clear" w:color="auto" w:fill="auto"/>
            <w:vAlign w:val="center"/>
          </w:tcPr>
          <w:p w14:paraId="19BE7D42" w14:textId="77777777" w:rsidR="008B7E19" w:rsidRPr="00CF4B29" w:rsidRDefault="008B7E19" w:rsidP="008B7E19">
            <w:pPr>
              <w:pStyle w:val="08-Tabelageral"/>
              <w:cnfStyle w:val="000000100000" w:firstRow="0" w:lastRow="0" w:firstColumn="0" w:lastColumn="0" w:oddVBand="0" w:evenVBand="0" w:oddHBand="1" w:evenHBand="0" w:firstRowFirstColumn="0" w:firstRowLastColumn="0" w:lastRowFirstColumn="0" w:lastRowLastColumn="0"/>
            </w:pPr>
          </w:p>
        </w:tc>
      </w:tr>
      <w:tr w:rsidR="008B7E19" w:rsidRPr="001D6BE8" w14:paraId="6DC0CF36" w14:textId="77777777" w:rsidTr="008B7E19">
        <w:trPr>
          <w:trHeight w:val="238"/>
          <w:jc w:val="center"/>
        </w:trPr>
        <w:tc>
          <w:tcPr>
            <w:cnfStyle w:val="001000000000" w:firstRow="0" w:lastRow="0" w:firstColumn="1" w:lastColumn="0" w:oddVBand="0" w:evenVBand="0" w:oddHBand="0" w:evenHBand="0" w:firstRowFirstColumn="0" w:firstRowLastColumn="0" w:lastRowFirstColumn="0" w:lastRowLastColumn="0"/>
            <w:tcW w:w="2119" w:type="dxa"/>
            <w:tcBorders>
              <w:top w:val="nil"/>
              <w:bottom w:val="nil"/>
            </w:tcBorders>
            <w:shd w:val="clear" w:color="auto" w:fill="auto"/>
            <w:vAlign w:val="center"/>
          </w:tcPr>
          <w:p w14:paraId="6C59287C" w14:textId="77777777" w:rsidR="008B7E19" w:rsidRPr="00CD3714" w:rsidRDefault="008B7E19" w:rsidP="008B7E19">
            <w:pPr>
              <w:pStyle w:val="08-Tabelageral"/>
              <w:jc w:val="left"/>
              <w:rPr>
                <w:rFonts w:cs="Arial"/>
                <w:szCs w:val="14"/>
              </w:rPr>
            </w:pPr>
            <w:r w:rsidRPr="00C27294">
              <w:rPr>
                <w:rFonts w:cs="Arial"/>
                <w:szCs w:val="14"/>
              </w:rPr>
              <w:t>Total Assets</w:t>
            </w:r>
          </w:p>
        </w:tc>
        <w:tc>
          <w:tcPr>
            <w:tcW w:w="700" w:type="dxa"/>
            <w:tcBorders>
              <w:top w:val="nil"/>
              <w:bottom w:val="nil"/>
            </w:tcBorders>
            <w:shd w:val="clear" w:color="auto" w:fill="auto"/>
            <w:vAlign w:val="center"/>
          </w:tcPr>
          <w:p w14:paraId="33731D53" w14:textId="77777777" w:rsidR="008B7E19" w:rsidRPr="00CD3714"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b/>
                <w:noProof/>
              </w:rPr>
            </w:pPr>
          </w:p>
        </w:tc>
        <w:tc>
          <w:tcPr>
            <w:tcW w:w="1120" w:type="dxa"/>
            <w:tcBorders>
              <w:top w:val="nil"/>
              <w:bottom w:val="nil"/>
            </w:tcBorders>
            <w:shd w:val="clear" w:color="auto" w:fill="auto"/>
            <w:vAlign w:val="center"/>
          </w:tcPr>
          <w:p w14:paraId="6238D1CA" w14:textId="77777777" w:rsidR="008B7E19" w:rsidRPr="006B5975"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b/>
                <w:bCs/>
                <w:szCs w:val="14"/>
              </w:rPr>
            </w:pPr>
            <w:r w:rsidRPr="006E4E16">
              <w:rPr>
                <w:rFonts w:cs="Arial"/>
                <w:b/>
                <w:szCs w:val="14"/>
              </w:rPr>
              <w:t>12</w:t>
            </w:r>
            <w:r>
              <w:rPr>
                <w:rFonts w:cs="Arial"/>
                <w:b/>
                <w:szCs w:val="14"/>
              </w:rPr>
              <w:t>,</w:t>
            </w:r>
            <w:r w:rsidRPr="006E4E16">
              <w:rPr>
                <w:rFonts w:cs="Arial"/>
                <w:b/>
                <w:szCs w:val="14"/>
              </w:rPr>
              <w:t>164</w:t>
            </w:r>
            <w:r>
              <w:rPr>
                <w:rFonts w:cs="Arial"/>
                <w:b/>
                <w:szCs w:val="14"/>
              </w:rPr>
              <w:t>,</w:t>
            </w:r>
            <w:r w:rsidRPr="006E4E16">
              <w:rPr>
                <w:rFonts w:cs="Arial"/>
                <w:b/>
                <w:szCs w:val="14"/>
              </w:rPr>
              <w:t>925</w:t>
            </w:r>
          </w:p>
        </w:tc>
        <w:tc>
          <w:tcPr>
            <w:tcW w:w="1169" w:type="dxa"/>
            <w:tcBorders>
              <w:top w:val="nil"/>
              <w:bottom w:val="nil"/>
            </w:tcBorders>
            <w:shd w:val="clear" w:color="auto" w:fill="auto"/>
            <w:vAlign w:val="center"/>
          </w:tcPr>
          <w:p w14:paraId="38D52E04" w14:textId="77777777" w:rsidR="008B7E19" w:rsidRPr="00EE1C73"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b/>
                <w:szCs w:val="14"/>
              </w:rPr>
            </w:pPr>
            <w:r w:rsidRPr="00544B6D">
              <w:rPr>
                <w:rFonts w:cs="Arial"/>
                <w:b/>
                <w:szCs w:val="14"/>
              </w:rPr>
              <w:t>11</w:t>
            </w:r>
            <w:r>
              <w:rPr>
                <w:rFonts w:cs="Arial"/>
                <w:b/>
                <w:szCs w:val="14"/>
              </w:rPr>
              <w:t>,</w:t>
            </w:r>
            <w:r w:rsidRPr="00544B6D">
              <w:rPr>
                <w:rFonts w:cs="Arial"/>
                <w:b/>
                <w:szCs w:val="14"/>
              </w:rPr>
              <w:t>723</w:t>
            </w:r>
            <w:r>
              <w:rPr>
                <w:rFonts w:cs="Arial"/>
                <w:b/>
                <w:szCs w:val="14"/>
              </w:rPr>
              <w:t>,</w:t>
            </w:r>
            <w:r w:rsidRPr="00544B6D">
              <w:rPr>
                <w:rFonts w:cs="Arial"/>
                <w:b/>
                <w:szCs w:val="14"/>
              </w:rPr>
              <w:t>053</w:t>
            </w:r>
          </w:p>
        </w:tc>
        <w:tc>
          <w:tcPr>
            <w:tcW w:w="993" w:type="dxa"/>
            <w:gridSpan w:val="2"/>
            <w:tcBorders>
              <w:top w:val="nil"/>
              <w:bottom w:val="nil"/>
            </w:tcBorders>
            <w:shd w:val="clear" w:color="auto" w:fill="auto"/>
            <w:vAlign w:val="center"/>
          </w:tcPr>
          <w:p w14:paraId="65531E0D" w14:textId="77777777" w:rsidR="008B7E19" w:rsidRPr="006B5975"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b/>
                <w:bCs/>
              </w:rPr>
            </w:pPr>
            <w:r w:rsidRPr="00544B6D">
              <w:rPr>
                <w:rFonts w:cs="Arial"/>
                <w:b/>
                <w:szCs w:val="14"/>
              </w:rPr>
              <w:t>9</w:t>
            </w:r>
            <w:r>
              <w:rPr>
                <w:rFonts w:cs="Arial"/>
                <w:b/>
                <w:szCs w:val="14"/>
              </w:rPr>
              <w:t>,</w:t>
            </w:r>
            <w:r w:rsidRPr="00544B6D">
              <w:rPr>
                <w:rFonts w:cs="Arial"/>
                <w:b/>
                <w:szCs w:val="14"/>
              </w:rPr>
              <w:t>311</w:t>
            </w:r>
            <w:r>
              <w:rPr>
                <w:rFonts w:cs="Arial"/>
                <w:b/>
                <w:szCs w:val="14"/>
              </w:rPr>
              <w:t>,</w:t>
            </w:r>
            <w:r w:rsidRPr="00544B6D">
              <w:rPr>
                <w:rFonts w:cs="Arial"/>
                <w:b/>
                <w:szCs w:val="14"/>
              </w:rPr>
              <w:t>403</w:t>
            </w:r>
          </w:p>
        </w:tc>
        <w:tc>
          <w:tcPr>
            <w:tcW w:w="286" w:type="dxa"/>
            <w:gridSpan w:val="2"/>
            <w:tcBorders>
              <w:top w:val="nil"/>
              <w:bottom w:val="nil"/>
            </w:tcBorders>
            <w:shd w:val="clear" w:color="auto" w:fill="auto"/>
            <w:vAlign w:val="center"/>
          </w:tcPr>
          <w:p w14:paraId="40B4C751" w14:textId="77777777" w:rsidR="008B7E19" w:rsidRPr="006B5975"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b/>
                <w:bCs/>
                <w:szCs w:val="14"/>
              </w:rPr>
            </w:pPr>
          </w:p>
        </w:tc>
        <w:tc>
          <w:tcPr>
            <w:tcW w:w="1273" w:type="dxa"/>
            <w:gridSpan w:val="3"/>
            <w:tcBorders>
              <w:top w:val="nil"/>
              <w:bottom w:val="nil"/>
            </w:tcBorders>
            <w:shd w:val="clear" w:color="auto" w:fill="auto"/>
            <w:vAlign w:val="center"/>
          </w:tcPr>
          <w:p w14:paraId="724F4C29" w14:textId="77777777" w:rsidR="008B7E19" w:rsidRPr="006B5975"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b/>
                <w:bCs/>
                <w:szCs w:val="14"/>
              </w:rPr>
            </w:pPr>
            <w:r w:rsidRPr="006E4E16">
              <w:rPr>
                <w:rFonts w:cs="Arial"/>
                <w:b/>
                <w:bCs/>
                <w:szCs w:val="14"/>
              </w:rPr>
              <w:t>16</w:t>
            </w:r>
            <w:r>
              <w:rPr>
                <w:rFonts w:cs="Arial"/>
                <w:b/>
                <w:bCs/>
                <w:szCs w:val="14"/>
              </w:rPr>
              <w:t>,</w:t>
            </w:r>
            <w:r w:rsidRPr="006E4E16">
              <w:rPr>
                <w:rFonts w:cs="Arial"/>
                <w:b/>
                <w:bCs/>
                <w:szCs w:val="14"/>
              </w:rPr>
              <w:t>980</w:t>
            </w:r>
            <w:r>
              <w:rPr>
                <w:rFonts w:cs="Arial"/>
                <w:b/>
                <w:bCs/>
                <w:szCs w:val="14"/>
              </w:rPr>
              <w:t>,</w:t>
            </w:r>
            <w:r w:rsidRPr="006E4E16">
              <w:rPr>
                <w:rFonts w:cs="Arial"/>
                <w:b/>
                <w:bCs/>
                <w:szCs w:val="14"/>
              </w:rPr>
              <w:t>230</w:t>
            </w:r>
          </w:p>
        </w:tc>
        <w:tc>
          <w:tcPr>
            <w:tcW w:w="989" w:type="dxa"/>
            <w:gridSpan w:val="2"/>
            <w:tcBorders>
              <w:top w:val="nil"/>
              <w:bottom w:val="nil"/>
            </w:tcBorders>
            <w:shd w:val="clear" w:color="auto" w:fill="auto"/>
            <w:vAlign w:val="center"/>
          </w:tcPr>
          <w:p w14:paraId="6729A3A6" w14:textId="77777777" w:rsidR="008B7E19" w:rsidRPr="00EE1C73"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b/>
                <w:bCs/>
                <w:szCs w:val="14"/>
              </w:rPr>
            </w:pPr>
            <w:r w:rsidRPr="00544B6D">
              <w:rPr>
                <w:rFonts w:cs="Arial"/>
                <w:b/>
                <w:bCs/>
                <w:szCs w:val="14"/>
              </w:rPr>
              <w:t>16</w:t>
            </w:r>
            <w:r>
              <w:rPr>
                <w:rFonts w:cs="Arial"/>
                <w:b/>
                <w:bCs/>
                <w:szCs w:val="14"/>
              </w:rPr>
              <w:t>,</w:t>
            </w:r>
            <w:r w:rsidRPr="00544B6D">
              <w:rPr>
                <w:rFonts w:cs="Arial"/>
                <w:b/>
                <w:bCs/>
                <w:szCs w:val="14"/>
              </w:rPr>
              <w:t>570</w:t>
            </w:r>
            <w:r>
              <w:rPr>
                <w:rFonts w:cs="Arial"/>
                <w:b/>
                <w:bCs/>
                <w:szCs w:val="14"/>
              </w:rPr>
              <w:t>,</w:t>
            </w:r>
            <w:r w:rsidRPr="00544B6D">
              <w:rPr>
                <w:rFonts w:cs="Arial"/>
                <w:b/>
                <w:bCs/>
                <w:szCs w:val="14"/>
              </w:rPr>
              <w:t>461</w:t>
            </w:r>
          </w:p>
        </w:tc>
        <w:tc>
          <w:tcPr>
            <w:tcW w:w="990" w:type="dxa"/>
            <w:tcBorders>
              <w:top w:val="nil"/>
              <w:bottom w:val="nil"/>
            </w:tcBorders>
            <w:shd w:val="clear" w:color="auto" w:fill="auto"/>
            <w:vAlign w:val="center"/>
          </w:tcPr>
          <w:p w14:paraId="437800BB" w14:textId="77777777" w:rsidR="008B7E19" w:rsidRPr="006B5975"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b/>
                <w:bCs/>
              </w:rPr>
            </w:pPr>
            <w:r w:rsidRPr="00544B6D">
              <w:rPr>
                <w:rFonts w:cs="Arial"/>
                <w:b/>
                <w:bCs/>
                <w:szCs w:val="14"/>
              </w:rPr>
              <w:t>13</w:t>
            </w:r>
            <w:r>
              <w:rPr>
                <w:rFonts w:cs="Arial"/>
                <w:b/>
                <w:bCs/>
                <w:szCs w:val="14"/>
              </w:rPr>
              <w:t>,</w:t>
            </w:r>
            <w:r w:rsidRPr="00544B6D">
              <w:rPr>
                <w:rFonts w:cs="Arial"/>
                <w:b/>
                <w:bCs/>
                <w:szCs w:val="14"/>
              </w:rPr>
              <w:t>501</w:t>
            </w:r>
            <w:r>
              <w:rPr>
                <w:rFonts w:cs="Arial"/>
                <w:b/>
                <w:bCs/>
                <w:szCs w:val="14"/>
              </w:rPr>
              <w:t>,</w:t>
            </w:r>
            <w:r w:rsidRPr="00544B6D">
              <w:rPr>
                <w:rFonts w:cs="Arial"/>
                <w:b/>
                <w:bCs/>
                <w:szCs w:val="14"/>
              </w:rPr>
              <w:t>206</w:t>
            </w:r>
          </w:p>
        </w:tc>
      </w:tr>
      <w:tr w:rsidR="008B7E19" w:rsidRPr="001D6BE8" w14:paraId="2E54D32C"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119" w:type="dxa"/>
            <w:tcBorders>
              <w:top w:val="nil"/>
              <w:bottom w:val="nil"/>
            </w:tcBorders>
            <w:shd w:val="clear" w:color="auto" w:fill="auto"/>
            <w:vAlign w:val="center"/>
          </w:tcPr>
          <w:p w14:paraId="18DA3D2F" w14:textId="77777777" w:rsidR="008B7E19" w:rsidRPr="0038031F" w:rsidRDefault="008B7E19" w:rsidP="008B7E19">
            <w:pPr>
              <w:pStyle w:val="08-Tabelageral"/>
              <w:jc w:val="left"/>
              <w:rPr>
                <w:rFonts w:cs="Arial"/>
                <w:b w:val="0"/>
                <w:color w:val="FF0000"/>
                <w:szCs w:val="14"/>
              </w:rPr>
            </w:pPr>
          </w:p>
        </w:tc>
        <w:tc>
          <w:tcPr>
            <w:tcW w:w="700" w:type="dxa"/>
            <w:tcBorders>
              <w:top w:val="nil"/>
              <w:bottom w:val="nil"/>
            </w:tcBorders>
            <w:shd w:val="clear" w:color="auto" w:fill="auto"/>
            <w:vAlign w:val="center"/>
          </w:tcPr>
          <w:p w14:paraId="076A0394" w14:textId="77777777" w:rsidR="008B7E19" w:rsidRPr="00CF4B29"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color w:val="FF0000"/>
                <w:szCs w:val="14"/>
              </w:rPr>
            </w:pPr>
          </w:p>
        </w:tc>
        <w:tc>
          <w:tcPr>
            <w:tcW w:w="1120" w:type="dxa"/>
            <w:tcBorders>
              <w:top w:val="nil"/>
              <w:bottom w:val="nil"/>
            </w:tcBorders>
            <w:shd w:val="clear" w:color="auto" w:fill="auto"/>
            <w:vAlign w:val="center"/>
          </w:tcPr>
          <w:p w14:paraId="0917ED88" w14:textId="77777777" w:rsidR="008B7E19" w:rsidRPr="00350BA7"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169" w:type="dxa"/>
            <w:tcBorders>
              <w:top w:val="nil"/>
              <w:bottom w:val="nil"/>
            </w:tcBorders>
            <w:shd w:val="clear" w:color="auto" w:fill="auto"/>
            <w:vAlign w:val="center"/>
          </w:tcPr>
          <w:p w14:paraId="760026B0" w14:textId="77777777" w:rsidR="008B7E19" w:rsidRPr="00CF4B29" w:rsidRDefault="008B7E19" w:rsidP="008B7E19">
            <w:pPr>
              <w:pStyle w:val="08-Tabelageral"/>
              <w:cnfStyle w:val="000000100000" w:firstRow="0" w:lastRow="0" w:firstColumn="0" w:lastColumn="0" w:oddVBand="0" w:evenVBand="0" w:oddHBand="1" w:evenHBand="0" w:firstRowFirstColumn="0" w:firstRowLastColumn="0" w:lastRowFirstColumn="0" w:lastRowLastColumn="0"/>
            </w:pPr>
          </w:p>
        </w:tc>
        <w:tc>
          <w:tcPr>
            <w:tcW w:w="993" w:type="dxa"/>
            <w:gridSpan w:val="2"/>
            <w:tcBorders>
              <w:top w:val="nil"/>
              <w:bottom w:val="nil"/>
            </w:tcBorders>
            <w:shd w:val="clear" w:color="auto" w:fill="auto"/>
            <w:vAlign w:val="center"/>
          </w:tcPr>
          <w:p w14:paraId="7ED9152F" w14:textId="77777777" w:rsidR="008B7E19" w:rsidRPr="00CF4B29" w:rsidRDefault="008B7E19" w:rsidP="008B7E19">
            <w:pPr>
              <w:pStyle w:val="08-Tabelageral"/>
              <w:cnfStyle w:val="000000100000" w:firstRow="0" w:lastRow="0" w:firstColumn="0" w:lastColumn="0" w:oddVBand="0" w:evenVBand="0" w:oddHBand="1" w:evenHBand="0" w:firstRowFirstColumn="0" w:firstRowLastColumn="0" w:lastRowFirstColumn="0" w:lastRowLastColumn="0"/>
            </w:pPr>
          </w:p>
        </w:tc>
        <w:tc>
          <w:tcPr>
            <w:tcW w:w="286" w:type="dxa"/>
            <w:gridSpan w:val="2"/>
            <w:tcBorders>
              <w:top w:val="nil"/>
              <w:bottom w:val="nil"/>
            </w:tcBorders>
            <w:shd w:val="clear" w:color="auto" w:fill="auto"/>
            <w:vAlign w:val="center"/>
          </w:tcPr>
          <w:p w14:paraId="690EB7F7" w14:textId="77777777" w:rsidR="008B7E19" w:rsidRPr="00350BA7"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273" w:type="dxa"/>
            <w:gridSpan w:val="3"/>
            <w:tcBorders>
              <w:top w:val="nil"/>
              <w:bottom w:val="nil"/>
            </w:tcBorders>
            <w:shd w:val="clear" w:color="auto" w:fill="auto"/>
            <w:vAlign w:val="center"/>
          </w:tcPr>
          <w:p w14:paraId="74B45D5D" w14:textId="77777777" w:rsidR="008B7E19" w:rsidRPr="00350BA7"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989" w:type="dxa"/>
            <w:gridSpan w:val="2"/>
            <w:tcBorders>
              <w:top w:val="nil"/>
              <w:bottom w:val="nil"/>
            </w:tcBorders>
            <w:shd w:val="clear" w:color="auto" w:fill="auto"/>
            <w:vAlign w:val="center"/>
          </w:tcPr>
          <w:p w14:paraId="466EA26F" w14:textId="77777777" w:rsidR="008B7E19" w:rsidRPr="00CF4B29" w:rsidRDefault="008B7E19" w:rsidP="008B7E19">
            <w:pPr>
              <w:pStyle w:val="08-Tabelageral"/>
              <w:cnfStyle w:val="000000100000" w:firstRow="0" w:lastRow="0" w:firstColumn="0" w:lastColumn="0" w:oddVBand="0" w:evenVBand="0" w:oddHBand="1" w:evenHBand="0" w:firstRowFirstColumn="0" w:firstRowLastColumn="0" w:lastRowFirstColumn="0" w:lastRowLastColumn="0"/>
            </w:pPr>
          </w:p>
        </w:tc>
        <w:tc>
          <w:tcPr>
            <w:tcW w:w="990" w:type="dxa"/>
            <w:tcBorders>
              <w:top w:val="nil"/>
              <w:bottom w:val="nil"/>
            </w:tcBorders>
            <w:shd w:val="clear" w:color="auto" w:fill="auto"/>
            <w:vAlign w:val="center"/>
          </w:tcPr>
          <w:p w14:paraId="1D5A5AA9" w14:textId="77777777" w:rsidR="008B7E19" w:rsidRPr="00CF4B29" w:rsidRDefault="008B7E19" w:rsidP="008B7E19">
            <w:pPr>
              <w:pStyle w:val="08-Tabelageral"/>
              <w:cnfStyle w:val="000000100000" w:firstRow="0" w:lastRow="0" w:firstColumn="0" w:lastColumn="0" w:oddVBand="0" w:evenVBand="0" w:oddHBand="1" w:evenHBand="0" w:firstRowFirstColumn="0" w:firstRowLastColumn="0" w:lastRowFirstColumn="0" w:lastRowLastColumn="0"/>
            </w:pPr>
          </w:p>
        </w:tc>
      </w:tr>
      <w:tr w:rsidR="008B7E19" w:rsidRPr="001D6BE8" w14:paraId="35ADD475" w14:textId="77777777" w:rsidTr="008B7E19">
        <w:trPr>
          <w:trHeight w:val="238"/>
          <w:jc w:val="center"/>
        </w:trPr>
        <w:tc>
          <w:tcPr>
            <w:cnfStyle w:val="001000000000" w:firstRow="0" w:lastRow="0" w:firstColumn="1" w:lastColumn="0" w:oddVBand="0" w:evenVBand="0" w:oddHBand="0" w:evenHBand="0" w:firstRowFirstColumn="0" w:firstRowLastColumn="0" w:lastRowFirstColumn="0" w:lastRowLastColumn="0"/>
            <w:tcW w:w="2119" w:type="dxa"/>
            <w:tcBorders>
              <w:top w:val="nil"/>
              <w:bottom w:val="nil"/>
            </w:tcBorders>
            <w:shd w:val="clear" w:color="auto" w:fill="auto"/>
            <w:vAlign w:val="center"/>
          </w:tcPr>
          <w:p w14:paraId="0736074B" w14:textId="77777777" w:rsidR="008B7E19" w:rsidRPr="00CD3714" w:rsidRDefault="008B7E19" w:rsidP="008B7E19">
            <w:pPr>
              <w:pStyle w:val="08-Tabelageral"/>
              <w:jc w:val="left"/>
            </w:pPr>
            <w:r w:rsidRPr="00C27294">
              <w:t>Current Liabilities</w:t>
            </w:r>
          </w:p>
        </w:tc>
        <w:tc>
          <w:tcPr>
            <w:tcW w:w="700" w:type="dxa"/>
            <w:tcBorders>
              <w:top w:val="nil"/>
              <w:bottom w:val="nil"/>
            </w:tcBorders>
            <w:shd w:val="clear" w:color="auto" w:fill="auto"/>
            <w:vAlign w:val="center"/>
          </w:tcPr>
          <w:p w14:paraId="3EC28696" w14:textId="77777777" w:rsidR="008B7E19" w:rsidRPr="00CF4B29"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b/>
              </w:rPr>
            </w:pPr>
          </w:p>
        </w:tc>
        <w:tc>
          <w:tcPr>
            <w:tcW w:w="1120" w:type="dxa"/>
            <w:tcBorders>
              <w:top w:val="nil"/>
              <w:left w:val="nil"/>
              <w:bottom w:val="nil"/>
              <w:right w:val="nil"/>
            </w:tcBorders>
            <w:shd w:val="clear" w:color="auto" w:fill="auto"/>
            <w:vAlign w:val="center"/>
          </w:tcPr>
          <w:p w14:paraId="47B20720" w14:textId="77777777" w:rsidR="008B7E19" w:rsidRPr="006B5975"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b/>
                <w:bCs/>
                <w:szCs w:val="14"/>
              </w:rPr>
            </w:pPr>
            <w:r w:rsidRPr="006E4E16">
              <w:rPr>
                <w:rFonts w:cs="Arial"/>
                <w:b/>
                <w:bCs/>
                <w:szCs w:val="14"/>
              </w:rPr>
              <w:t>3</w:t>
            </w:r>
            <w:r>
              <w:rPr>
                <w:rFonts w:cs="Arial"/>
                <w:b/>
                <w:bCs/>
                <w:szCs w:val="14"/>
              </w:rPr>
              <w:t>,</w:t>
            </w:r>
            <w:r w:rsidRPr="006E4E16">
              <w:rPr>
                <w:rFonts w:cs="Arial"/>
                <w:b/>
                <w:bCs/>
                <w:szCs w:val="14"/>
              </w:rPr>
              <w:t>220</w:t>
            </w:r>
            <w:r>
              <w:rPr>
                <w:rFonts w:cs="Arial"/>
                <w:b/>
                <w:bCs/>
                <w:szCs w:val="14"/>
              </w:rPr>
              <w:t>,</w:t>
            </w:r>
            <w:r w:rsidRPr="006E4E16">
              <w:rPr>
                <w:rFonts w:cs="Arial"/>
                <w:b/>
                <w:bCs/>
                <w:szCs w:val="14"/>
              </w:rPr>
              <w:t>92</w:t>
            </w:r>
            <w:r>
              <w:rPr>
                <w:rFonts w:cs="Arial"/>
                <w:b/>
                <w:bCs/>
                <w:szCs w:val="14"/>
              </w:rPr>
              <w:t>6</w:t>
            </w:r>
          </w:p>
        </w:tc>
        <w:tc>
          <w:tcPr>
            <w:tcW w:w="1169" w:type="dxa"/>
            <w:tcBorders>
              <w:top w:val="nil"/>
              <w:left w:val="nil"/>
              <w:bottom w:val="nil"/>
              <w:right w:val="nil"/>
            </w:tcBorders>
            <w:shd w:val="clear" w:color="auto" w:fill="auto"/>
            <w:vAlign w:val="center"/>
          </w:tcPr>
          <w:p w14:paraId="13C84047" w14:textId="77777777" w:rsidR="008B7E19" w:rsidRPr="00EE1C73"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b/>
                <w:szCs w:val="14"/>
              </w:rPr>
            </w:pPr>
            <w:r w:rsidRPr="00281428">
              <w:rPr>
                <w:rFonts w:cs="Arial"/>
                <w:b/>
                <w:bCs/>
                <w:szCs w:val="14"/>
              </w:rPr>
              <w:t>3</w:t>
            </w:r>
            <w:r>
              <w:rPr>
                <w:rFonts w:cs="Arial"/>
                <w:b/>
                <w:bCs/>
                <w:szCs w:val="14"/>
              </w:rPr>
              <w:t>,</w:t>
            </w:r>
            <w:r w:rsidRPr="00281428">
              <w:rPr>
                <w:rFonts w:cs="Arial"/>
                <w:b/>
                <w:bCs/>
                <w:szCs w:val="14"/>
              </w:rPr>
              <w:t>686</w:t>
            </w:r>
            <w:r>
              <w:rPr>
                <w:rFonts w:cs="Arial"/>
                <w:b/>
                <w:bCs/>
                <w:szCs w:val="14"/>
              </w:rPr>
              <w:t>,</w:t>
            </w:r>
            <w:r w:rsidRPr="00281428">
              <w:rPr>
                <w:rFonts w:cs="Arial"/>
                <w:b/>
                <w:bCs/>
                <w:szCs w:val="14"/>
              </w:rPr>
              <w:t>295</w:t>
            </w:r>
          </w:p>
        </w:tc>
        <w:tc>
          <w:tcPr>
            <w:tcW w:w="993" w:type="dxa"/>
            <w:gridSpan w:val="2"/>
            <w:tcBorders>
              <w:top w:val="nil"/>
              <w:bottom w:val="nil"/>
            </w:tcBorders>
            <w:shd w:val="clear" w:color="auto" w:fill="auto"/>
            <w:vAlign w:val="center"/>
          </w:tcPr>
          <w:p w14:paraId="04569B9E" w14:textId="77777777" w:rsidR="008B7E19" w:rsidRPr="006B5975"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b/>
                <w:bCs/>
              </w:rPr>
            </w:pPr>
            <w:r w:rsidRPr="00281428">
              <w:rPr>
                <w:rFonts w:cs="Arial"/>
                <w:b/>
                <w:bCs/>
                <w:szCs w:val="14"/>
              </w:rPr>
              <w:t>1</w:t>
            </w:r>
            <w:r>
              <w:rPr>
                <w:rFonts w:cs="Arial"/>
                <w:b/>
                <w:bCs/>
                <w:szCs w:val="14"/>
              </w:rPr>
              <w:t>,</w:t>
            </w:r>
            <w:r w:rsidRPr="00281428">
              <w:rPr>
                <w:rFonts w:cs="Arial"/>
                <w:b/>
                <w:bCs/>
                <w:szCs w:val="14"/>
              </w:rPr>
              <w:t>842</w:t>
            </w:r>
            <w:r>
              <w:rPr>
                <w:rFonts w:cs="Arial"/>
                <w:b/>
                <w:bCs/>
                <w:szCs w:val="14"/>
              </w:rPr>
              <w:t>,</w:t>
            </w:r>
            <w:r w:rsidRPr="00281428">
              <w:rPr>
                <w:rFonts w:cs="Arial"/>
                <w:b/>
                <w:bCs/>
                <w:szCs w:val="14"/>
              </w:rPr>
              <w:t>974</w:t>
            </w:r>
          </w:p>
        </w:tc>
        <w:tc>
          <w:tcPr>
            <w:tcW w:w="286" w:type="dxa"/>
            <w:gridSpan w:val="2"/>
            <w:tcBorders>
              <w:top w:val="nil"/>
              <w:bottom w:val="nil"/>
            </w:tcBorders>
            <w:shd w:val="clear" w:color="auto" w:fill="auto"/>
            <w:vAlign w:val="center"/>
          </w:tcPr>
          <w:p w14:paraId="099CBC3E" w14:textId="77777777" w:rsidR="008B7E19" w:rsidRPr="006B5975"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b/>
                <w:bCs/>
                <w:szCs w:val="14"/>
              </w:rPr>
            </w:pPr>
          </w:p>
        </w:tc>
        <w:tc>
          <w:tcPr>
            <w:tcW w:w="1273" w:type="dxa"/>
            <w:gridSpan w:val="3"/>
            <w:tcBorders>
              <w:top w:val="nil"/>
              <w:left w:val="nil"/>
              <w:bottom w:val="nil"/>
              <w:right w:val="nil"/>
            </w:tcBorders>
            <w:shd w:val="clear" w:color="auto" w:fill="auto"/>
            <w:vAlign w:val="center"/>
          </w:tcPr>
          <w:p w14:paraId="5CEE40B5" w14:textId="77777777" w:rsidR="008B7E19" w:rsidRPr="006B5975"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b/>
                <w:bCs/>
                <w:szCs w:val="14"/>
              </w:rPr>
            </w:pPr>
            <w:r w:rsidRPr="006E4E16">
              <w:rPr>
                <w:rFonts w:cs="Arial"/>
                <w:b/>
                <w:bCs/>
                <w:szCs w:val="14"/>
              </w:rPr>
              <w:t>5</w:t>
            </w:r>
            <w:r>
              <w:rPr>
                <w:rFonts w:cs="Arial"/>
                <w:b/>
                <w:bCs/>
                <w:szCs w:val="14"/>
              </w:rPr>
              <w:t>,</w:t>
            </w:r>
            <w:r w:rsidRPr="006E4E16">
              <w:rPr>
                <w:rFonts w:cs="Arial"/>
                <w:b/>
                <w:bCs/>
                <w:szCs w:val="14"/>
              </w:rPr>
              <w:t>533</w:t>
            </w:r>
            <w:r>
              <w:rPr>
                <w:rFonts w:cs="Arial"/>
                <w:b/>
                <w:bCs/>
                <w:szCs w:val="14"/>
              </w:rPr>
              <w:t>,</w:t>
            </w:r>
            <w:r w:rsidRPr="006E4E16">
              <w:rPr>
                <w:rFonts w:cs="Arial"/>
                <w:b/>
                <w:bCs/>
                <w:szCs w:val="14"/>
              </w:rPr>
              <w:t>25</w:t>
            </w:r>
            <w:r>
              <w:rPr>
                <w:rFonts w:cs="Arial"/>
                <w:b/>
                <w:bCs/>
                <w:szCs w:val="14"/>
              </w:rPr>
              <w:t>2</w:t>
            </w:r>
          </w:p>
        </w:tc>
        <w:tc>
          <w:tcPr>
            <w:tcW w:w="989" w:type="dxa"/>
            <w:gridSpan w:val="2"/>
            <w:tcBorders>
              <w:top w:val="nil"/>
              <w:left w:val="nil"/>
              <w:bottom w:val="nil"/>
              <w:right w:val="nil"/>
            </w:tcBorders>
            <w:shd w:val="clear" w:color="auto" w:fill="auto"/>
            <w:vAlign w:val="center"/>
          </w:tcPr>
          <w:p w14:paraId="3B3543B5" w14:textId="77777777" w:rsidR="008B7E19" w:rsidRPr="00F57304"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b/>
                <w:bCs/>
                <w:szCs w:val="14"/>
              </w:rPr>
            </w:pPr>
            <w:r w:rsidRPr="00281428">
              <w:rPr>
                <w:rFonts w:cs="Arial"/>
                <w:b/>
                <w:bCs/>
                <w:szCs w:val="14"/>
              </w:rPr>
              <w:t>6</w:t>
            </w:r>
            <w:r>
              <w:rPr>
                <w:rFonts w:cs="Arial"/>
                <w:b/>
                <w:bCs/>
                <w:szCs w:val="14"/>
              </w:rPr>
              <w:t>,</w:t>
            </w:r>
            <w:r w:rsidRPr="00281428">
              <w:rPr>
                <w:rFonts w:cs="Arial"/>
                <w:b/>
                <w:bCs/>
                <w:szCs w:val="14"/>
              </w:rPr>
              <w:t>508</w:t>
            </w:r>
            <w:r>
              <w:rPr>
                <w:rFonts w:cs="Arial"/>
                <w:b/>
                <w:bCs/>
                <w:szCs w:val="14"/>
              </w:rPr>
              <w:t>,</w:t>
            </w:r>
            <w:r w:rsidRPr="00281428">
              <w:rPr>
                <w:rFonts w:cs="Arial"/>
                <w:b/>
                <w:bCs/>
                <w:szCs w:val="14"/>
              </w:rPr>
              <w:t>168</w:t>
            </w:r>
          </w:p>
        </w:tc>
        <w:tc>
          <w:tcPr>
            <w:tcW w:w="990" w:type="dxa"/>
            <w:tcBorders>
              <w:top w:val="nil"/>
              <w:bottom w:val="nil"/>
            </w:tcBorders>
            <w:shd w:val="clear" w:color="auto" w:fill="auto"/>
            <w:vAlign w:val="center"/>
          </w:tcPr>
          <w:p w14:paraId="05735C6F" w14:textId="77777777" w:rsidR="008B7E19" w:rsidRPr="006B5975"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b/>
                <w:bCs/>
              </w:rPr>
            </w:pPr>
            <w:r w:rsidRPr="00281428">
              <w:rPr>
                <w:rFonts w:cs="Arial"/>
                <w:b/>
                <w:bCs/>
                <w:szCs w:val="14"/>
              </w:rPr>
              <w:t>3</w:t>
            </w:r>
            <w:r>
              <w:rPr>
                <w:rFonts w:cs="Arial"/>
                <w:b/>
                <w:bCs/>
                <w:szCs w:val="14"/>
              </w:rPr>
              <w:t>,</w:t>
            </w:r>
            <w:r w:rsidRPr="00281428">
              <w:rPr>
                <w:rFonts w:cs="Arial"/>
                <w:b/>
                <w:bCs/>
                <w:szCs w:val="14"/>
              </w:rPr>
              <w:t>999</w:t>
            </w:r>
            <w:r>
              <w:rPr>
                <w:rFonts w:cs="Arial"/>
                <w:b/>
                <w:bCs/>
                <w:szCs w:val="14"/>
              </w:rPr>
              <w:t>,</w:t>
            </w:r>
            <w:r w:rsidRPr="00281428">
              <w:rPr>
                <w:rFonts w:cs="Arial"/>
                <w:b/>
                <w:bCs/>
                <w:szCs w:val="14"/>
              </w:rPr>
              <w:t>277</w:t>
            </w:r>
          </w:p>
        </w:tc>
      </w:tr>
      <w:tr w:rsidR="008B7E19" w:rsidRPr="001D6BE8" w14:paraId="0D86F174"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119" w:type="dxa"/>
            <w:tcBorders>
              <w:top w:val="nil"/>
              <w:bottom w:val="nil"/>
            </w:tcBorders>
            <w:shd w:val="clear" w:color="auto" w:fill="auto"/>
            <w:vAlign w:val="center"/>
          </w:tcPr>
          <w:p w14:paraId="68BC66F1" w14:textId="77777777" w:rsidR="008B7E19" w:rsidRPr="0038031F" w:rsidRDefault="008B7E19" w:rsidP="008B7E19">
            <w:pPr>
              <w:pStyle w:val="08-Tabelageral"/>
              <w:ind w:left="113"/>
              <w:jc w:val="left"/>
              <w:rPr>
                <w:b w:val="0"/>
              </w:rPr>
            </w:pPr>
            <w:r>
              <w:rPr>
                <w:b w:val="0"/>
              </w:rPr>
              <w:t>S</w:t>
            </w:r>
            <w:r w:rsidRPr="00D546E8">
              <w:rPr>
                <w:b w:val="0"/>
              </w:rPr>
              <w:t>tatutory obligation</w:t>
            </w:r>
          </w:p>
        </w:tc>
        <w:tc>
          <w:tcPr>
            <w:tcW w:w="700" w:type="dxa"/>
            <w:tcBorders>
              <w:top w:val="nil"/>
              <w:bottom w:val="nil"/>
            </w:tcBorders>
            <w:shd w:val="clear" w:color="auto" w:fill="auto"/>
            <w:vAlign w:val="center"/>
          </w:tcPr>
          <w:p w14:paraId="1EC60E9C" w14:textId="77777777" w:rsidR="008B7E19" w:rsidRPr="00CF4B29"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szCs w:val="14"/>
              </w:rPr>
            </w:pPr>
            <w:r w:rsidRPr="00696134">
              <w:t>[21]</w:t>
            </w:r>
          </w:p>
        </w:tc>
        <w:tc>
          <w:tcPr>
            <w:tcW w:w="1120" w:type="dxa"/>
            <w:tcBorders>
              <w:top w:val="nil"/>
              <w:left w:val="nil"/>
              <w:bottom w:val="nil"/>
              <w:right w:val="nil"/>
            </w:tcBorders>
            <w:shd w:val="clear" w:color="auto" w:fill="auto"/>
            <w:vAlign w:val="center"/>
          </w:tcPr>
          <w:p w14:paraId="2F2B2F18" w14:textId="77777777" w:rsidR="008B7E19" w:rsidRPr="00350BA7"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1B2906">
              <w:rPr>
                <w:rFonts w:cs="Arial"/>
                <w:szCs w:val="14"/>
              </w:rPr>
              <w:t>3</w:t>
            </w:r>
            <w:r>
              <w:rPr>
                <w:rFonts w:cs="Arial"/>
                <w:szCs w:val="14"/>
              </w:rPr>
              <w:t>,</w:t>
            </w:r>
            <w:r w:rsidRPr="001B2906">
              <w:rPr>
                <w:rFonts w:cs="Arial"/>
                <w:szCs w:val="14"/>
              </w:rPr>
              <w:t>210</w:t>
            </w:r>
            <w:r>
              <w:rPr>
                <w:rFonts w:cs="Arial"/>
                <w:szCs w:val="14"/>
              </w:rPr>
              <w:t>,</w:t>
            </w:r>
            <w:r w:rsidRPr="001B2906">
              <w:rPr>
                <w:rFonts w:cs="Arial"/>
                <w:szCs w:val="14"/>
              </w:rPr>
              <w:t>299</w:t>
            </w:r>
          </w:p>
        </w:tc>
        <w:tc>
          <w:tcPr>
            <w:tcW w:w="1169" w:type="dxa"/>
            <w:tcBorders>
              <w:top w:val="nil"/>
              <w:left w:val="nil"/>
              <w:bottom w:val="nil"/>
              <w:right w:val="nil"/>
            </w:tcBorders>
            <w:shd w:val="clear" w:color="auto" w:fill="auto"/>
            <w:vAlign w:val="center"/>
          </w:tcPr>
          <w:p w14:paraId="26BA7CF1" w14:textId="77777777" w:rsidR="008B7E19" w:rsidRPr="00EE1C73"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281428">
              <w:rPr>
                <w:rFonts w:cs="Arial"/>
                <w:szCs w:val="14"/>
              </w:rPr>
              <w:t>3</w:t>
            </w:r>
            <w:r>
              <w:rPr>
                <w:rFonts w:cs="Arial"/>
                <w:szCs w:val="14"/>
              </w:rPr>
              <w:t>,</w:t>
            </w:r>
            <w:r w:rsidRPr="00281428">
              <w:rPr>
                <w:rFonts w:cs="Arial"/>
                <w:szCs w:val="14"/>
              </w:rPr>
              <w:t>674</w:t>
            </w:r>
            <w:r>
              <w:rPr>
                <w:rFonts w:cs="Arial"/>
                <w:szCs w:val="14"/>
              </w:rPr>
              <w:t>,</w:t>
            </w:r>
            <w:r w:rsidRPr="00281428">
              <w:rPr>
                <w:rFonts w:cs="Arial"/>
                <w:szCs w:val="14"/>
              </w:rPr>
              <w:t>027</w:t>
            </w:r>
          </w:p>
        </w:tc>
        <w:tc>
          <w:tcPr>
            <w:tcW w:w="993" w:type="dxa"/>
            <w:gridSpan w:val="2"/>
            <w:tcBorders>
              <w:top w:val="nil"/>
              <w:bottom w:val="nil"/>
            </w:tcBorders>
            <w:shd w:val="clear" w:color="auto" w:fill="auto"/>
            <w:vAlign w:val="center"/>
          </w:tcPr>
          <w:p w14:paraId="5B57FF7E" w14:textId="77777777" w:rsidR="008B7E19" w:rsidRPr="00CF4B29" w:rsidRDefault="008B7E19" w:rsidP="008B7E19">
            <w:pPr>
              <w:pStyle w:val="08-Tabelageral"/>
              <w:cnfStyle w:val="000000100000" w:firstRow="0" w:lastRow="0" w:firstColumn="0" w:lastColumn="0" w:oddVBand="0" w:evenVBand="0" w:oddHBand="1" w:evenHBand="0" w:firstRowFirstColumn="0" w:firstRowLastColumn="0" w:lastRowFirstColumn="0" w:lastRowLastColumn="0"/>
            </w:pPr>
            <w:r w:rsidRPr="00281428">
              <w:rPr>
                <w:rFonts w:cs="Arial"/>
                <w:szCs w:val="14"/>
              </w:rPr>
              <w:t>1</w:t>
            </w:r>
            <w:r>
              <w:rPr>
                <w:rFonts w:cs="Arial"/>
                <w:szCs w:val="14"/>
              </w:rPr>
              <w:t>,</w:t>
            </w:r>
            <w:r w:rsidRPr="00281428">
              <w:rPr>
                <w:rFonts w:cs="Arial"/>
                <w:szCs w:val="14"/>
              </w:rPr>
              <w:t>831</w:t>
            </w:r>
            <w:r>
              <w:rPr>
                <w:rFonts w:cs="Arial"/>
                <w:szCs w:val="14"/>
              </w:rPr>
              <w:t>,</w:t>
            </w:r>
            <w:r w:rsidRPr="00281428">
              <w:rPr>
                <w:rFonts w:cs="Arial"/>
                <w:szCs w:val="14"/>
              </w:rPr>
              <w:t>691</w:t>
            </w:r>
          </w:p>
        </w:tc>
        <w:tc>
          <w:tcPr>
            <w:tcW w:w="286" w:type="dxa"/>
            <w:gridSpan w:val="2"/>
            <w:tcBorders>
              <w:top w:val="nil"/>
              <w:bottom w:val="nil"/>
            </w:tcBorders>
            <w:shd w:val="clear" w:color="auto" w:fill="auto"/>
            <w:vAlign w:val="center"/>
          </w:tcPr>
          <w:p w14:paraId="59F16BB9" w14:textId="77777777" w:rsidR="008B7E19" w:rsidRPr="00350BA7"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273" w:type="dxa"/>
            <w:gridSpan w:val="3"/>
            <w:tcBorders>
              <w:top w:val="nil"/>
              <w:left w:val="nil"/>
              <w:bottom w:val="nil"/>
              <w:right w:val="nil"/>
            </w:tcBorders>
            <w:shd w:val="clear" w:color="auto" w:fill="auto"/>
            <w:vAlign w:val="center"/>
          </w:tcPr>
          <w:p w14:paraId="1DBE8814" w14:textId="77777777" w:rsidR="008B7E19" w:rsidRPr="00350BA7"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1B2906">
              <w:rPr>
                <w:rFonts w:cs="Arial"/>
                <w:szCs w:val="14"/>
              </w:rPr>
              <w:t>3</w:t>
            </w:r>
            <w:r>
              <w:rPr>
                <w:rFonts w:cs="Arial"/>
                <w:szCs w:val="14"/>
              </w:rPr>
              <w:t>,</w:t>
            </w:r>
            <w:r w:rsidRPr="001B2906">
              <w:rPr>
                <w:rFonts w:cs="Arial"/>
                <w:szCs w:val="14"/>
              </w:rPr>
              <w:t>210</w:t>
            </w:r>
            <w:r>
              <w:rPr>
                <w:rFonts w:cs="Arial"/>
                <w:szCs w:val="14"/>
              </w:rPr>
              <w:t>,</w:t>
            </w:r>
            <w:r w:rsidRPr="001B2906">
              <w:rPr>
                <w:rFonts w:cs="Arial"/>
                <w:szCs w:val="14"/>
              </w:rPr>
              <w:t>299</w:t>
            </w:r>
          </w:p>
        </w:tc>
        <w:tc>
          <w:tcPr>
            <w:tcW w:w="989" w:type="dxa"/>
            <w:gridSpan w:val="2"/>
            <w:tcBorders>
              <w:top w:val="nil"/>
              <w:left w:val="nil"/>
              <w:bottom w:val="nil"/>
              <w:right w:val="nil"/>
            </w:tcBorders>
            <w:shd w:val="clear" w:color="auto" w:fill="auto"/>
            <w:vAlign w:val="center"/>
          </w:tcPr>
          <w:p w14:paraId="31772203" w14:textId="77777777" w:rsidR="008B7E19" w:rsidRPr="00EE1C73"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281428">
              <w:rPr>
                <w:rFonts w:cs="Arial"/>
                <w:szCs w:val="14"/>
              </w:rPr>
              <w:t>3</w:t>
            </w:r>
            <w:r>
              <w:rPr>
                <w:rFonts w:cs="Arial"/>
                <w:szCs w:val="14"/>
              </w:rPr>
              <w:t>,</w:t>
            </w:r>
            <w:r w:rsidRPr="00281428">
              <w:rPr>
                <w:rFonts w:cs="Arial"/>
                <w:szCs w:val="14"/>
              </w:rPr>
              <w:t>674</w:t>
            </w:r>
            <w:r>
              <w:rPr>
                <w:rFonts w:cs="Arial"/>
                <w:szCs w:val="14"/>
              </w:rPr>
              <w:t>,</w:t>
            </w:r>
            <w:r w:rsidRPr="00281428">
              <w:rPr>
                <w:rFonts w:cs="Arial"/>
                <w:szCs w:val="14"/>
              </w:rPr>
              <w:t>027</w:t>
            </w:r>
          </w:p>
        </w:tc>
        <w:tc>
          <w:tcPr>
            <w:tcW w:w="990" w:type="dxa"/>
            <w:tcBorders>
              <w:top w:val="nil"/>
              <w:bottom w:val="nil"/>
            </w:tcBorders>
            <w:shd w:val="clear" w:color="auto" w:fill="auto"/>
            <w:vAlign w:val="center"/>
          </w:tcPr>
          <w:p w14:paraId="42609027" w14:textId="77777777" w:rsidR="008B7E19" w:rsidRPr="00CF4B29" w:rsidRDefault="008B7E19" w:rsidP="008B7E19">
            <w:pPr>
              <w:pStyle w:val="08-Tabelageral"/>
              <w:cnfStyle w:val="000000100000" w:firstRow="0" w:lastRow="0" w:firstColumn="0" w:lastColumn="0" w:oddVBand="0" w:evenVBand="0" w:oddHBand="1" w:evenHBand="0" w:firstRowFirstColumn="0" w:firstRowLastColumn="0" w:lastRowFirstColumn="0" w:lastRowLastColumn="0"/>
            </w:pPr>
            <w:r w:rsidRPr="00281428">
              <w:rPr>
                <w:rFonts w:cs="Arial"/>
                <w:szCs w:val="14"/>
              </w:rPr>
              <w:t>1</w:t>
            </w:r>
            <w:r>
              <w:rPr>
                <w:rFonts w:cs="Arial"/>
                <w:szCs w:val="14"/>
              </w:rPr>
              <w:t>,</w:t>
            </w:r>
            <w:r w:rsidRPr="00281428">
              <w:rPr>
                <w:rFonts w:cs="Arial"/>
                <w:szCs w:val="14"/>
              </w:rPr>
              <w:t>831</w:t>
            </w:r>
            <w:r>
              <w:rPr>
                <w:rFonts w:cs="Arial"/>
                <w:szCs w:val="14"/>
              </w:rPr>
              <w:t>,</w:t>
            </w:r>
            <w:r w:rsidRPr="00281428">
              <w:rPr>
                <w:rFonts w:cs="Arial"/>
                <w:szCs w:val="14"/>
              </w:rPr>
              <w:t>691</w:t>
            </w:r>
          </w:p>
        </w:tc>
      </w:tr>
      <w:tr w:rsidR="008B7E19" w:rsidRPr="001D6BE8" w14:paraId="1D4E10C6" w14:textId="77777777" w:rsidTr="008B7E19">
        <w:trPr>
          <w:trHeight w:val="238"/>
          <w:jc w:val="center"/>
        </w:trPr>
        <w:tc>
          <w:tcPr>
            <w:cnfStyle w:val="001000000000" w:firstRow="0" w:lastRow="0" w:firstColumn="1" w:lastColumn="0" w:oddVBand="0" w:evenVBand="0" w:oddHBand="0" w:evenHBand="0" w:firstRowFirstColumn="0" w:firstRowLastColumn="0" w:lastRowFirstColumn="0" w:lastRowLastColumn="0"/>
            <w:tcW w:w="2119" w:type="dxa"/>
            <w:tcBorders>
              <w:top w:val="nil"/>
              <w:bottom w:val="nil"/>
            </w:tcBorders>
            <w:shd w:val="clear" w:color="auto" w:fill="auto"/>
            <w:vAlign w:val="center"/>
          </w:tcPr>
          <w:p w14:paraId="0CE994FC" w14:textId="77777777" w:rsidR="008B7E19" w:rsidRPr="0038031F" w:rsidRDefault="008B7E19" w:rsidP="008B7E19">
            <w:pPr>
              <w:pStyle w:val="08-Tabelageral"/>
              <w:ind w:left="113"/>
              <w:jc w:val="left"/>
              <w:rPr>
                <w:b w:val="0"/>
              </w:rPr>
            </w:pPr>
            <w:r w:rsidRPr="00C27294">
              <w:rPr>
                <w:b w:val="0"/>
              </w:rPr>
              <w:t>Contingent liabilities</w:t>
            </w:r>
          </w:p>
        </w:tc>
        <w:tc>
          <w:tcPr>
            <w:tcW w:w="700" w:type="dxa"/>
            <w:tcBorders>
              <w:top w:val="nil"/>
              <w:bottom w:val="nil"/>
            </w:tcBorders>
            <w:shd w:val="clear" w:color="auto" w:fill="auto"/>
            <w:vAlign w:val="center"/>
          </w:tcPr>
          <w:p w14:paraId="7805309B" w14:textId="77777777" w:rsidR="008B7E19" w:rsidRPr="00CF4B29"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szCs w:val="14"/>
              </w:rPr>
            </w:pPr>
            <w:r w:rsidRPr="00696134">
              <w:t>[22]</w:t>
            </w:r>
          </w:p>
        </w:tc>
        <w:tc>
          <w:tcPr>
            <w:tcW w:w="1120" w:type="dxa"/>
            <w:tcBorders>
              <w:top w:val="nil"/>
              <w:left w:val="nil"/>
              <w:bottom w:val="nil"/>
              <w:right w:val="nil"/>
            </w:tcBorders>
            <w:shd w:val="clear" w:color="auto" w:fill="auto"/>
            <w:vAlign w:val="center"/>
          </w:tcPr>
          <w:p w14:paraId="7A2698D3" w14:textId="77777777" w:rsidR="008B7E19" w:rsidRPr="00350BA7"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r w:rsidRPr="001B2906">
              <w:rPr>
                <w:rFonts w:cs="Arial"/>
                <w:szCs w:val="14"/>
              </w:rPr>
              <w:t>86</w:t>
            </w:r>
          </w:p>
        </w:tc>
        <w:tc>
          <w:tcPr>
            <w:tcW w:w="1169" w:type="dxa"/>
            <w:tcBorders>
              <w:top w:val="nil"/>
              <w:left w:val="nil"/>
              <w:bottom w:val="nil"/>
              <w:right w:val="nil"/>
            </w:tcBorders>
            <w:shd w:val="clear" w:color="auto" w:fill="auto"/>
            <w:vAlign w:val="center"/>
          </w:tcPr>
          <w:p w14:paraId="35C1D3DC" w14:textId="77777777" w:rsidR="008B7E19"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r w:rsidRPr="00281428">
              <w:rPr>
                <w:rFonts w:cs="Arial"/>
                <w:szCs w:val="14"/>
              </w:rPr>
              <w:t>53</w:t>
            </w:r>
          </w:p>
        </w:tc>
        <w:tc>
          <w:tcPr>
            <w:tcW w:w="993" w:type="dxa"/>
            <w:gridSpan w:val="2"/>
            <w:tcBorders>
              <w:top w:val="nil"/>
              <w:bottom w:val="nil"/>
            </w:tcBorders>
            <w:shd w:val="clear" w:color="auto" w:fill="auto"/>
            <w:vAlign w:val="center"/>
          </w:tcPr>
          <w:p w14:paraId="67E9667A" w14:textId="77777777" w:rsidR="008B7E19" w:rsidRPr="00CF4B29" w:rsidRDefault="008B7E19" w:rsidP="008B7E19">
            <w:pPr>
              <w:pStyle w:val="08-Tabelageral"/>
              <w:cnfStyle w:val="000000000000" w:firstRow="0" w:lastRow="0" w:firstColumn="0" w:lastColumn="0" w:oddVBand="0" w:evenVBand="0" w:oddHBand="0" w:evenHBand="0" w:firstRowFirstColumn="0" w:firstRowLastColumn="0" w:lastRowFirstColumn="0" w:lastRowLastColumn="0"/>
            </w:pPr>
            <w:r w:rsidRPr="00281428">
              <w:rPr>
                <w:rFonts w:cs="Arial"/>
                <w:szCs w:val="14"/>
              </w:rPr>
              <w:t>--</w:t>
            </w:r>
          </w:p>
        </w:tc>
        <w:tc>
          <w:tcPr>
            <w:tcW w:w="286" w:type="dxa"/>
            <w:gridSpan w:val="2"/>
            <w:tcBorders>
              <w:top w:val="nil"/>
              <w:bottom w:val="nil"/>
            </w:tcBorders>
            <w:shd w:val="clear" w:color="auto" w:fill="auto"/>
            <w:vAlign w:val="center"/>
          </w:tcPr>
          <w:p w14:paraId="000D4212" w14:textId="77777777" w:rsidR="008B7E19" w:rsidRPr="00350BA7"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p>
        </w:tc>
        <w:tc>
          <w:tcPr>
            <w:tcW w:w="1273" w:type="dxa"/>
            <w:gridSpan w:val="3"/>
            <w:tcBorders>
              <w:top w:val="nil"/>
              <w:left w:val="nil"/>
              <w:bottom w:val="nil"/>
              <w:right w:val="nil"/>
            </w:tcBorders>
            <w:shd w:val="clear" w:color="auto" w:fill="auto"/>
            <w:vAlign w:val="center"/>
          </w:tcPr>
          <w:p w14:paraId="17AC67A9" w14:textId="77777777" w:rsidR="008B7E19" w:rsidRPr="00350BA7"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r w:rsidRPr="001B2906">
              <w:rPr>
                <w:rFonts w:cs="Arial"/>
                <w:szCs w:val="14"/>
              </w:rPr>
              <w:t>15</w:t>
            </w:r>
            <w:r>
              <w:rPr>
                <w:rFonts w:cs="Arial"/>
                <w:szCs w:val="14"/>
              </w:rPr>
              <w:t>,</w:t>
            </w:r>
            <w:r w:rsidRPr="001B2906">
              <w:rPr>
                <w:rFonts w:cs="Arial"/>
                <w:szCs w:val="14"/>
              </w:rPr>
              <w:t>206</w:t>
            </w:r>
          </w:p>
        </w:tc>
        <w:tc>
          <w:tcPr>
            <w:tcW w:w="989" w:type="dxa"/>
            <w:gridSpan w:val="2"/>
            <w:tcBorders>
              <w:top w:val="nil"/>
              <w:left w:val="nil"/>
              <w:bottom w:val="nil"/>
              <w:right w:val="nil"/>
            </w:tcBorders>
            <w:shd w:val="clear" w:color="auto" w:fill="auto"/>
            <w:vAlign w:val="center"/>
          </w:tcPr>
          <w:p w14:paraId="4C117DEF" w14:textId="77777777" w:rsidR="008B7E19" w:rsidRPr="00EE1C73"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r w:rsidRPr="00281428">
              <w:rPr>
                <w:rFonts w:cs="Arial"/>
                <w:szCs w:val="14"/>
              </w:rPr>
              <w:t>4</w:t>
            </w:r>
            <w:r>
              <w:rPr>
                <w:rFonts w:cs="Arial"/>
                <w:szCs w:val="14"/>
              </w:rPr>
              <w:t>,</w:t>
            </w:r>
            <w:r w:rsidRPr="00281428">
              <w:rPr>
                <w:rFonts w:cs="Arial"/>
                <w:szCs w:val="14"/>
              </w:rPr>
              <w:t>431</w:t>
            </w:r>
          </w:p>
        </w:tc>
        <w:tc>
          <w:tcPr>
            <w:tcW w:w="990" w:type="dxa"/>
            <w:tcBorders>
              <w:top w:val="nil"/>
              <w:bottom w:val="nil"/>
            </w:tcBorders>
            <w:shd w:val="clear" w:color="auto" w:fill="auto"/>
            <w:vAlign w:val="center"/>
          </w:tcPr>
          <w:p w14:paraId="56192284" w14:textId="77777777" w:rsidR="008B7E19" w:rsidRPr="00CF4B29" w:rsidRDefault="008B7E19" w:rsidP="008B7E19">
            <w:pPr>
              <w:pStyle w:val="08-Tabelageral"/>
              <w:cnfStyle w:val="000000000000" w:firstRow="0" w:lastRow="0" w:firstColumn="0" w:lastColumn="0" w:oddVBand="0" w:evenVBand="0" w:oddHBand="0" w:evenHBand="0" w:firstRowFirstColumn="0" w:firstRowLastColumn="0" w:lastRowFirstColumn="0" w:lastRowLastColumn="0"/>
            </w:pPr>
            <w:r w:rsidRPr="00281428">
              <w:rPr>
                <w:rFonts w:cs="Arial"/>
                <w:szCs w:val="14"/>
              </w:rPr>
              <w:t>4</w:t>
            </w:r>
            <w:r>
              <w:rPr>
                <w:rFonts w:cs="Arial"/>
                <w:szCs w:val="14"/>
              </w:rPr>
              <w:t>,</w:t>
            </w:r>
            <w:r w:rsidRPr="00281428">
              <w:rPr>
                <w:rFonts w:cs="Arial"/>
                <w:szCs w:val="14"/>
              </w:rPr>
              <w:t>996</w:t>
            </w:r>
          </w:p>
        </w:tc>
      </w:tr>
      <w:tr w:rsidR="008B7E19" w:rsidRPr="001D6BE8" w14:paraId="2DB8DECD"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119" w:type="dxa"/>
            <w:tcBorders>
              <w:top w:val="nil"/>
              <w:bottom w:val="nil"/>
            </w:tcBorders>
            <w:shd w:val="clear" w:color="auto" w:fill="auto"/>
            <w:vAlign w:val="center"/>
          </w:tcPr>
          <w:p w14:paraId="56E64835" w14:textId="77777777" w:rsidR="008B7E19" w:rsidRPr="0038031F" w:rsidRDefault="008B7E19" w:rsidP="008B7E19">
            <w:pPr>
              <w:pStyle w:val="08-Tabelageral"/>
              <w:ind w:left="113"/>
              <w:jc w:val="left"/>
              <w:rPr>
                <w:b w:val="0"/>
              </w:rPr>
            </w:pPr>
            <w:r w:rsidRPr="00C27294">
              <w:rPr>
                <w:b w:val="0"/>
              </w:rPr>
              <w:t>Current tax liabilities</w:t>
            </w:r>
          </w:p>
        </w:tc>
        <w:tc>
          <w:tcPr>
            <w:tcW w:w="700" w:type="dxa"/>
            <w:tcBorders>
              <w:top w:val="nil"/>
              <w:bottom w:val="nil"/>
            </w:tcBorders>
            <w:shd w:val="clear" w:color="auto" w:fill="auto"/>
            <w:vAlign w:val="center"/>
          </w:tcPr>
          <w:p w14:paraId="5B6CEFA5" w14:textId="77777777" w:rsidR="008B7E19" w:rsidRPr="00CF4B29" w:rsidRDefault="008B7E19" w:rsidP="008B7E19">
            <w:pPr>
              <w:pStyle w:val="08-Tabelageral"/>
              <w:cnfStyle w:val="000000100000" w:firstRow="0" w:lastRow="0" w:firstColumn="0" w:lastColumn="0" w:oddVBand="0" w:evenVBand="0" w:oddHBand="1" w:evenHBand="0" w:firstRowFirstColumn="0" w:firstRowLastColumn="0" w:lastRowFirstColumn="0" w:lastRowLastColumn="0"/>
            </w:pPr>
            <w:r w:rsidRPr="00696134">
              <w:t>[12.g]</w:t>
            </w:r>
          </w:p>
        </w:tc>
        <w:tc>
          <w:tcPr>
            <w:tcW w:w="1120" w:type="dxa"/>
            <w:tcBorders>
              <w:top w:val="nil"/>
              <w:left w:val="nil"/>
              <w:bottom w:val="nil"/>
              <w:right w:val="nil"/>
            </w:tcBorders>
            <w:shd w:val="clear" w:color="auto" w:fill="auto"/>
            <w:vAlign w:val="center"/>
          </w:tcPr>
          <w:p w14:paraId="7D327756" w14:textId="77777777" w:rsidR="008B7E19" w:rsidRPr="00350BA7"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Pr>
                <w:rFonts w:cs="Arial"/>
                <w:szCs w:val="14"/>
              </w:rPr>
              <w:t>37</w:t>
            </w:r>
          </w:p>
        </w:tc>
        <w:tc>
          <w:tcPr>
            <w:tcW w:w="1169" w:type="dxa"/>
            <w:tcBorders>
              <w:top w:val="nil"/>
              <w:left w:val="nil"/>
              <w:bottom w:val="nil"/>
              <w:right w:val="nil"/>
            </w:tcBorders>
            <w:shd w:val="clear" w:color="auto" w:fill="auto"/>
            <w:vAlign w:val="center"/>
          </w:tcPr>
          <w:p w14:paraId="14191BC0" w14:textId="77777777" w:rsidR="008B7E19" w:rsidRPr="00EE1C73"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281428">
              <w:rPr>
                <w:rFonts w:cs="Arial"/>
                <w:szCs w:val="14"/>
              </w:rPr>
              <w:t>31</w:t>
            </w:r>
          </w:p>
        </w:tc>
        <w:tc>
          <w:tcPr>
            <w:tcW w:w="993" w:type="dxa"/>
            <w:gridSpan w:val="2"/>
            <w:tcBorders>
              <w:top w:val="nil"/>
              <w:bottom w:val="nil"/>
            </w:tcBorders>
            <w:shd w:val="clear" w:color="auto" w:fill="auto"/>
            <w:vAlign w:val="center"/>
          </w:tcPr>
          <w:p w14:paraId="224A51D2" w14:textId="77777777" w:rsidR="008B7E19" w:rsidRPr="00CF4B29" w:rsidRDefault="008B7E19" w:rsidP="008B7E19">
            <w:pPr>
              <w:pStyle w:val="08-Tabelageral"/>
              <w:cnfStyle w:val="000000100000" w:firstRow="0" w:lastRow="0" w:firstColumn="0" w:lastColumn="0" w:oddVBand="0" w:evenVBand="0" w:oddHBand="1" w:evenHBand="0" w:firstRowFirstColumn="0" w:firstRowLastColumn="0" w:lastRowFirstColumn="0" w:lastRowLastColumn="0"/>
            </w:pPr>
            <w:r w:rsidRPr="00281428">
              <w:rPr>
                <w:rFonts w:cs="Arial"/>
                <w:szCs w:val="14"/>
              </w:rPr>
              <w:t>444</w:t>
            </w:r>
          </w:p>
        </w:tc>
        <w:tc>
          <w:tcPr>
            <w:tcW w:w="286" w:type="dxa"/>
            <w:gridSpan w:val="2"/>
            <w:tcBorders>
              <w:top w:val="nil"/>
              <w:bottom w:val="nil"/>
            </w:tcBorders>
            <w:shd w:val="clear" w:color="auto" w:fill="auto"/>
            <w:vAlign w:val="center"/>
          </w:tcPr>
          <w:p w14:paraId="18319A31" w14:textId="77777777" w:rsidR="008B7E19" w:rsidRPr="00350BA7"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273" w:type="dxa"/>
            <w:gridSpan w:val="3"/>
            <w:tcBorders>
              <w:top w:val="nil"/>
              <w:left w:val="nil"/>
              <w:bottom w:val="nil"/>
              <w:right w:val="nil"/>
            </w:tcBorders>
            <w:shd w:val="clear" w:color="auto" w:fill="auto"/>
            <w:vAlign w:val="center"/>
          </w:tcPr>
          <w:p w14:paraId="41F5066B" w14:textId="77777777" w:rsidR="008B7E19" w:rsidRPr="00350BA7"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6E4E16">
              <w:rPr>
                <w:rFonts w:cs="Arial"/>
                <w:szCs w:val="14"/>
              </w:rPr>
              <w:t>480</w:t>
            </w:r>
            <w:r>
              <w:rPr>
                <w:rFonts w:cs="Arial"/>
                <w:szCs w:val="14"/>
              </w:rPr>
              <w:t>,</w:t>
            </w:r>
            <w:r w:rsidRPr="006E4E16">
              <w:rPr>
                <w:rFonts w:cs="Arial"/>
                <w:szCs w:val="14"/>
              </w:rPr>
              <w:t>430</w:t>
            </w:r>
          </w:p>
        </w:tc>
        <w:tc>
          <w:tcPr>
            <w:tcW w:w="989" w:type="dxa"/>
            <w:gridSpan w:val="2"/>
            <w:tcBorders>
              <w:top w:val="nil"/>
              <w:left w:val="nil"/>
              <w:bottom w:val="nil"/>
              <w:right w:val="nil"/>
            </w:tcBorders>
            <w:shd w:val="clear" w:color="auto" w:fill="auto"/>
            <w:vAlign w:val="center"/>
          </w:tcPr>
          <w:p w14:paraId="70040EAF" w14:textId="77777777" w:rsidR="008B7E19" w:rsidRPr="00EE1C73"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281428">
              <w:rPr>
                <w:rFonts w:cs="Arial"/>
                <w:szCs w:val="14"/>
              </w:rPr>
              <w:t>963</w:t>
            </w:r>
            <w:r>
              <w:rPr>
                <w:rFonts w:cs="Arial"/>
                <w:szCs w:val="14"/>
              </w:rPr>
              <w:t>,</w:t>
            </w:r>
            <w:r w:rsidRPr="00281428">
              <w:rPr>
                <w:rFonts w:cs="Arial"/>
                <w:szCs w:val="14"/>
              </w:rPr>
              <w:t>874</w:t>
            </w:r>
          </w:p>
        </w:tc>
        <w:tc>
          <w:tcPr>
            <w:tcW w:w="990" w:type="dxa"/>
            <w:tcBorders>
              <w:top w:val="nil"/>
              <w:bottom w:val="nil"/>
            </w:tcBorders>
            <w:shd w:val="clear" w:color="auto" w:fill="auto"/>
            <w:vAlign w:val="center"/>
          </w:tcPr>
          <w:p w14:paraId="66B44B47" w14:textId="77777777" w:rsidR="008B7E19" w:rsidRPr="00CF4B29" w:rsidRDefault="008B7E19" w:rsidP="008B7E19">
            <w:pPr>
              <w:pStyle w:val="08-Tabelageral"/>
              <w:cnfStyle w:val="000000100000" w:firstRow="0" w:lastRow="0" w:firstColumn="0" w:lastColumn="0" w:oddVBand="0" w:evenVBand="0" w:oddHBand="1" w:evenHBand="0" w:firstRowFirstColumn="0" w:firstRowLastColumn="0" w:lastRowFirstColumn="0" w:lastRowLastColumn="0"/>
            </w:pPr>
            <w:r w:rsidRPr="00281428">
              <w:rPr>
                <w:rFonts w:cs="Arial"/>
                <w:szCs w:val="14"/>
              </w:rPr>
              <w:t>762</w:t>
            </w:r>
            <w:r>
              <w:rPr>
                <w:rFonts w:cs="Arial"/>
                <w:szCs w:val="14"/>
              </w:rPr>
              <w:t>,</w:t>
            </w:r>
            <w:r w:rsidRPr="00281428">
              <w:rPr>
                <w:rFonts w:cs="Arial"/>
                <w:szCs w:val="14"/>
              </w:rPr>
              <w:t>519</w:t>
            </w:r>
          </w:p>
        </w:tc>
      </w:tr>
      <w:tr w:rsidR="008B7E19" w:rsidRPr="001D6BE8" w14:paraId="6283487D" w14:textId="77777777" w:rsidTr="008B7E19">
        <w:trPr>
          <w:trHeight w:val="238"/>
          <w:jc w:val="center"/>
        </w:trPr>
        <w:tc>
          <w:tcPr>
            <w:cnfStyle w:val="001000000000" w:firstRow="0" w:lastRow="0" w:firstColumn="1" w:lastColumn="0" w:oddVBand="0" w:evenVBand="0" w:oddHBand="0" w:evenHBand="0" w:firstRowFirstColumn="0" w:firstRowLastColumn="0" w:lastRowFirstColumn="0" w:lastRowLastColumn="0"/>
            <w:tcW w:w="2119" w:type="dxa"/>
            <w:tcBorders>
              <w:top w:val="nil"/>
              <w:bottom w:val="nil"/>
            </w:tcBorders>
            <w:shd w:val="clear" w:color="auto" w:fill="auto"/>
            <w:vAlign w:val="center"/>
          </w:tcPr>
          <w:p w14:paraId="2848298D" w14:textId="77777777" w:rsidR="008B7E19" w:rsidRPr="0038031F" w:rsidRDefault="008B7E19" w:rsidP="008B7E19">
            <w:pPr>
              <w:pStyle w:val="08-Tabelageral"/>
              <w:ind w:left="113"/>
              <w:jc w:val="left"/>
              <w:rPr>
                <w:b w:val="0"/>
              </w:rPr>
            </w:pPr>
            <w:r w:rsidRPr="00C27294">
              <w:rPr>
                <w:b w:val="0"/>
              </w:rPr>
              <w:t>Unearned commissions</w:t>
            </w:r>
          </w:p>
        </w:tc>
        <w:tc>
          <w:tcPr>
            <w:tcW w:w="700" w:type="dxa"/>
            <w:tcBorders>
              <w:top w:val="nil"/>
              <w:bottom w:val="nil"/>
            </w:tcBorders>
            <w:shd w:val="clear" w:color="auto" w:fill="auto"/>
            <w:vAlign w:val="center"/>
          </w:tcPr>
          <w:p w14:paraId="736EE035" w14:textId="77777777" w:rsidR="008B7E19" w:rsidRPr="00CF4B29"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szCs w:val="14"/>
              </w:rPr>
            </w:pPr>
            <w:r w:rsidRPr="00696134">
              <w:t>[23]</w:t>
            </w:r>
          </w:p>
        </w:tc>
        <w:tc>
          <w:tcPr>
            <w:tcW w:w="1120" w:type="dxa"/>
            <w:tcBorders>
              <w:top w:val="nil"/>
              <w:left w:val="nil"/>
              <w:bottom w:val="nil"/>
              <w:right w:val="nil"/>
            </w:tcBorders>
            <w:shd w:val="clear" w:color="auto" w:fill="auto"/>
            <w:vAlign w:val="center"/>
          </w:tcPr>
          <w:p w14:paraId="7F9C5739" w14:textId="77777777" w:rsidR="008B7E19" w:rsidRPr="00350BA7"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r>
              <w:rPr>
                <w:rFonts w:cs="Arial"/>
                <w:szCs w:val="14"/>
              </w:rPr>
              <w:t>--</w:t>
            </w:r>
          </w:p>
        </w:tc>
        <w:tc>
          <w:tcPr>
            <w:tcW w:w="1169" w:type="dxa"/>
            <w:tcBorders>
              <w:top w:val="nil"/>
              <w:left w:val="nil"/>
              <w:bottom w:val="nil"/>
              <w:right w:val="nil"/>
            </w:tcBorders>
            <w:shd w:val="clear" w:color="auto" w:fill="auto"/>
            <w:vAlign w:val="center"/>
          </w:tcPr>
          <w:p w14:paraId="2BCB1D38" w14:textId="77777777" w:rsidR="008B7E19"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r w:rsidRPr="00281428">
              <w:rPr>
                <w:rFonts w:cs="Arial"/>
                <w:szCs w:val="14"/>
              </w:rPr>
              <w:t>--</w:t>
            </w:r>
          </w:p>
        </w:tc>
        <w:tc>
          <w:tcPr>
            <w:tcW w:w="993" w:type="dxa"/>
            <w:gridSpan w:val="2"/>
            <w:tcBorders>
              <w:top w:val="nil"/>
              <w:bottom w:val="nil"/>
            </w:tcBorders>
            <w:shd w:val="clear" w:color="auto" w:fill="auto"/>
            <w:vAlign w:val="center"/>
          </w:tcPr>
          <w:p w14:paraId="2A2CBC65" w14:textId="77777777" w:rsidR="008B7E19" w:rsidRPr="00CF4B29" w:rsidRDefault="008B7E19" w:rsidP="008B7E19">
            <w:pPr>
              <w:pStyle w:val="08-Tabelageral"/>
              <w:cnfStyle w:val="000000000000" w:firstRow="0" w:lastRow="0" w:firstColumn="0" w:lastColumn="0" w:oddVBand="0" w:evenVBand="0" w:oddHBand="0" w:evenHBand="0" w:firstRowFirstColumn="0" w:firstRowLastColumn="0" w:lastRowFirstColumn="0" w:lastRowLastColumn="0"/>
            </w:pPr>
            <w:r w:rsidRPr="00281428">
              <w:rPr>
                <w:rFonts w:cs="Arial"/>
                <w:szCs w:val="14"/>
              </w:rPr>
              <w:t>--</w:t>
            </w:r>
          </w:p>
        </w:tc>
        <w:tc>
          <w:tcPr>
            <w:tcW w:w="286" w:type="dxa"/>
            <w:gridSpan w:val="2"/>
            <w:tcBorders>
              <w:top w:val="nil"/>
              <w:bottom w:val="nil"/>
            </w:tcBorders>
            <w:shd w:val="clear" w:color="auto" w:fill="auto"/>
            <w:vAlign w:val="center"/>
          </w:tcPr>
          <w:p w14:paraId="11443A5F" w14:textId="77777777" w:rsidR="008B7E19" w:rsidRPr="00350BA7"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p>
        </w:tc>
        <w:tc>
          <w:tcPr>
            <w:tcW w:w="1273" w:type="dxa"/>
            <w:gridSpan w:val="3"/>
            <w:tcBorders>
              <w:top w:val="nil"/>
              <w:left w:val="nil"/>
              <w:bottom w:val="nil"/>
              <w:right w:val="nil"/>
            </w:tcBorders>
            <w:shd w:val="clear" w:color="auto" w:fill="auto"/>
            <w:vAlign w:val="center"/>
          </w:tcPr>
          <w:p w14:paraId="01801386" w14:textId="77777777" w:rsidR="008B7E19" w:rsidRPr="00350BA7"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r w:rsidRPr="001B2906">
              <w:rPr>
                <w:rFonts w:cs="Arial"/>
                <w:szCs w:val="14"/>
              </w:rPr>
              <w:t>1</w:t>
            </w:r>
            <w:r>
              <w:rPr>
                <w:rFonts w:cs="Arial"/>
                <w:szCs w:val="14"/>
              </w:rPr>
              <w:t>,</w:t>
            </w:r>
            <w:r w:rsidRPr="001B2906">
              <w:rPr>
                <w:rFonts w:cs="Arial"/>
                <w:szCs w:val="14"/>
              </w:rPr>
              <w:t>744</w:t>
            </w:r>
            <w:r>
              <w:rPr>
                <w:rFonts w:cs="Arial"/>
                <w:szCs w:val="14"/>
              </w:rPr>
              <w:t>,</w:t>
            </w:r>
            <w:r w:rsidRPr="001B2906">
              <w:rPr>
                <w:rFonts w:cs="Arial"/>
                <w:szCs w:val="14"/>
              </w:rPr>
              <w:t>756</w:t>
            </w:r>
          </w:p>
        </w:tc>
        <w:tc>
          <w:tcPr>
            <w:tcW w:w="989" w:type="dxa"/>
            <w:gridSpan w:val="2"/>
            <w:tcBorders>
              <w:top w:val="nil"/>
              <w:left w:val="nil"/>
              <w:bottom w:val="nil"/>
              <w:right w:val="nil"/>
            </w:tcBorders>
            <w:shd w:val="clear" w:color="auto" w:fill="auto"/>
            <w:vAlign w:val="center"/>
          </w:tcPr>
          <w:p w14:paraId="2979BA52" w14:textId="77777777" w:rsidR="008B7E19" w:rsidRPr="00F57304"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r w:rsidRPr="00281428">
              <w:rPr>
                <w:rFonts w:cs="Arial"/>
                <w:szCs w:val="14"/>
              </w:rPr>
              <w:t>1</w:t>
            </w:r>
            <w:r>
              <w:rPr>
                <w:rFonts w:cs="Arial"/>
                <w:szCs w:val="14"/>
              </w:rPr>
              <w:t>,</w:t>
            </w:r>
            <w:r w:rsidRPr="00281428">
              <w:rPr>
                <w:rFonts w:cs="Arial"/>
                <w:szCs w:val="14"/>
              </w:rPr>
              <w:t>760</w:t>
            </w:r>
            <w:r>
              <w:rPr>
                <w:rFonts w:cs="Arial"/>
                <w:szCs w:val="14"/>
              </w:rPr>
              <w:t>,</w:t>
            </w:r>
            <w:r w:rsidRPr="00281428">
              <w:rPr>
                <w:rFonts w:cs="Arial"/>
                <w:szCs w:val="14"/>
              </w:rPr>
              <w:t>473</w:t>
            </w:r>
          </w:p>
        </w:tc>
        <w:tc>
          <w:tcPr>
            <w:tcW w:w="990" w:type="dxa"/>
            <w:tcBorders>
              <w:top w:val="nil"/>
              <w:bottom w:val="nil"/>
            </w:tcBorders>
            <w:shd w:val="clear" w:color="auto" w:fill="auto"/>
            <w:vAlign w:val="center"/>
          </w:tcPr>
          <w:p w14:paraId="3DEDAFEF" w14:textId="77777777" w:rsidR="008B7E19" w:rsidRPr="00CF4B29" w:rsidRDefault="008B7E19" w:rsidP="008B7E19">
            <w:pPr>
              <w:pStyle w:val="08-Tabelageral"/>
              <w:cnfStyle w:val="000000000000" w:firstRow="0" w:lastRow="0" w:firstColumn="0" w:lastColumn="0" w:oddVBand="0" w:evenVBand="0" w:oddHBand="0" w:evenHBand="0" w:firstRowFirstColumn="0" w:firstRowLastColumn="0" w:lastRowFirstColumn="0" w:lastRowLastColumn="0"/>
            </w:pPr>
            <w:r w:rsidRPr="00281428">
              <w:rPr>
                <w:rFonts w:cs="Arial"/>
                <w:szCs w:val="14"/>
              </w:rPr>
              <w:t>1</w:t>
            </w:r>
            <w:r>
              <w:rPr>
                <w:rFonts w:cs="Arial"/>
                <w:szCs w:val="14"/>
              </w:rPr>
              <w:t>,</w:t>
            </w:r>
            <w:r w:rsidRPr="00281428">
              <w:rPr>
                <w:rFonts w:cs="Arial"/>
                <w:szCs w:val="14"/>
              </w:rPr>
              <w:t>172</w:t>
            </w:r>
            <w:r>
              <w:rPr>
                <w:rFonts w:cs="Arial"/>
                <w:szCs w:val="14"/>
              </w:rPr>
              <w:t>,</w:t>
            </w:r>
            <w:r w:rsidRPr="00281428">
              <w:rPr>
                <w:rFonts w:cs="Arial"/>
                <w:szCs w:val="14"/>
              </w:rPr>
              <w:t>483</w:t>
            </w:r>
          </w:p>
        </w:tc>
      </w:tr>
      <w:tr w:rsidR="008B7E19" w:rsidRPr="001D6BE8" w14:paraId="11E40DA0"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119" w:type="dxa"/>
            <w:tcBorders>
              <w:top w:val="nil"/>
              <w:bottom w:val="nil"/>
            </w:tcBorders>
            <w:shd w:val="clear" w:color="auto" w:fill="auto"/>
            <w:vAlign w:val="center"/>
          </w:tcPr>
          <w:p w14:paraId="6180D1B4" w14:textId="77777777" w:rsidR="008B7E19" w:rsidRPr="0038031F" w:rsidRDefault="008B7E19" w:rsidP="008B7E19">
            <w:pPr>
              <w:pStyle w:val="08-Tabelageral"/>
              <w:ind w:left="113"/>
              <w:jc w:val="left"/>
              <w:rPr>
                <w:b w:val="0"/>
              </w:rPr>
            </w:pPr>
            <w:r w:rsidRPr="00C27294">
              <w:rPr>
                <w:b w:val="0"/>
              </w:rPr>
              <w:t>Other liabilities</w:t>
            </w:r>
          </w:p>
        </w:tc>
        <w:tc>
          <w:tcPr>
            <w:tcW w:w="700" w:type="dxa"/>
            <w:tcBorders>
              <w:top w:val="nil"/>
              <w:bottom w:val="nil"/>
            </w:tcBorders>
            <w:shd w:val="clear" w:color="auto" w:fill="auto"/>
            <w:vAlign w:val="center"/>
          </w:tcPr>
          <w:p w14:paraId="25F9CE9E" w14:textId="77777777" w:rsidR="008B7E19" w:rsidRPr="00CF4B29"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szCs w:val="14"/>
              </w:rPr>
            </w:pPr>
            <w:r w:rsidRPr="00696134">
              <w:t>[24]</w:t>
            </w:r>
          </w:p>
        </w:tc>
        <w:tc>
          <w:tcPr>
            <w:tcW w:w="1120" w:type="dxa"/>
            <w:tcBorders>
              <w:top w:val="nil"/>
              <w:left w:val="nil"/>
              <w:bottom w:val="nil"/>
              <w:right w:val="nil"/>
            </w:tcBorders>
            <w:shd w:val="clear" w:color="auto" w:fill="auto"/>
            <w:vAlign w:val="center"/>
          </w:tcPr>
          <w:p w14:paraId="7B785046" w14:textId="77777777" w:rsidR="008B7E19" w:rsidRPr="00350BA7"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1F164D">
              <w:rPr>
                <w:rFonts w:cs="Arial"/>
                <w:szCs w:val="14"/>
              </w:rPr>
              <w:t>10</w:t>
            </w:r>
            <w:r>
              <w:rPr>
                <w:rFonts w:cs="Arial"/>
                <w:szCs w:val="14"/>
              </w:rPr>
              <w:t>,</w:t>
            </w:r>
            <w:r w:rsidRPr="001F164D">
              <w:rPr>
                <w:rFonts w:cs="Arial"/>
                <w:szCs w:val="14"/>
              </w:rPr>
              <w:t>504</w:t>
            </w:r>
          </w:p>
        </w:tc>
        <w:tc>
          <w:tcPr>
            <w:tcW w:w="1169" w:type="dxa"/>
            <w:tcBorders>
              <w:top w:val="nil"/>
              <w:left w:val="nil"/>
              <w:bottom w:val="nil"/>
              <w:right w:val="nil"/>
            </w:tcBorders>
            <w:shd w:val="clear" w:color="auto" w:fill="auto"/>
            <w:vAlign w:val="center"/>
          </w:tcPr>
          <w:p w14:paraId="51AC7534" w14:textId="77777777" w:rsidR="008B7E19" w:rsidRPr="00EE1C73"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281428">
              <w:rPr>
                <w:rFonts w:cs="Arial"/>
                <w:szCs w:val="14"/>
              </w:rPr>
              <w:t>12</w:t>
            </w:r>
            <w:r>
              <w:rPr>
                <w:rFonts w:cs="Arial"/>
                <w:szCs w:val="14"/>
              </w:rPr>
              <w:t>,</w:t>
            </w:r>
            <w:r w:rsidRPr="00281428">
              <w:rPr>
                <w:rFonts w:cs="Arial"/>
                <w:szCs w:val="14"/>
              </w:rPr>
              <w:t>184</w:t>
            </w:r>
          </w:p>
        </w:tc>
        <w:tc>
          <w:tcPr>
            <w:tcW w:w="993" w:type="dxa"/>
            <w:gridSpan w:val="2"/>
            <w:tcBorders>
              <w:top w:val="nil"/>
              <w:bottom w:val="nil"/>
            </w:tcBorders>
            <w:shd w:val="clear" w:color="auto" w:fill="auto"/>
            <w:vAlign w:val="center"/>
          </w:tcPr>
          <w:p w14:paraId="60193BC2" w14:textId="77777777" w:rsidR="008B7E19" w:rsidRPr="00CF4B29" w:rsidRDefault="008B7E19" w:rsidP="008B7E19">
            <w:pPr>
              <w:pStyle w:val="08-Tabelageral"/>
              <w:cnfStyle w:val="000000100000" w:firstRow="0" w:lastRow="0" w:firstColumn="0" w:lastColumn="0" w:oddVBand="0" w:evenVBand="0" w:oddHBand="1" w:evenHBand="0" w:firstRowFirstColumn="0" w:firstRowLastColumn="0" w:lastRowFirstColumn="0" w:lastRowLastColumn="0"/>
            </w:pPr>
            <w:r w:rsidRPr="00281428">
              <w:rPr>
                <w:rFonts w:cs="Arial"/>
                <w:szCs w:val="14"/>
              </w:rPr>
              <w:t>10</w:t>
            </w:r>
            <w:r>
              <w:rPr>
                <w:rFonts w:cs="Arial"/>
                <w:szCs w:val="14"/>
              </w:rPr>
              <w:t>,</w:t>
            </w:r>
            <w:r w:rsidRPr="00281428">
              <w:rPr>
                <w:rFonts w:cs="Arial"/>
                <w:szCs w:val="14"/>
              </w:rPr>
              <w:t>839</w:t>
            </w:r>
          </w:p>
        </w:tc>
        <w:tc>
          <w:tcPr>
            <w:tcW w:w="286" w:type="dxa"/>
            <w:gridSpan w:val="2"/>
            <w:tcBorders>
              <w:top w:val="nil"/>
              <w:bottom w:val="nil"/>
            </w:tcBorders>
            <w:shd w:val="clear" w:color="auto" w:fill="auto"/>
            <w:vAlign w:val="center"/>
          </w:tcPr>
          <w:p w14:paraId="43166295" w14:textId="77777777" w:rsidR="008B7E19" w:rsidRPr="00350BA7"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273" w:type="dxa"/>
            <w:gridSpan w:val="3"/>
            <w:tcBorders>
              <w:top w:val="nil"/>
              <w:left w:val="nil"/>
              <w:bottom w:val="nil"/>
              <w:right w:val="nil"/>
            </w:tcBorders>
            <w:shd w:val="clear" w:color="auto" w:fill="auto"/>
            <w:vAlign w:val="center"/>
          </w:tcPr>
          <w:p w14:paraId="4CD0D78D" w14:textId="77777777" w:rsidR="008B7E19" w:rsidRPr="00350BA7"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1F164D">
              <w:rPr>
                <w:rFonts w:cs="Arial"/>
                <w:szCs w:val="14"/>
              </w:rPr>
              <w:t>82</w:t>
            </w:r>
            <w:r>
              <w:rPr>
                <w:rFonts w:cs="Arial"/>
                <w:szCs w:val="14"/>
              </w:rPr>
              <w:t>,</w:t>
            </w:r>
            <w:r w:rsidRPr="001F164D">
              <w:rPr>
                <w:rFonts w:cs="Arial"/>
                <w:szCs w:val="14"/>
              </w:rPr>
              <w:t>561</w:t>
            </w:r>
          </w:p>
        </w:tc>
        <w:tc>
          <w:tcPr>
            <w:tcW w:w="989" w:type="dxa"/>
            <w:gridSpan w:val="2"/>
            <w:tcBorders>
              <w:top w:val="nil"/>
              <w:left w:val="nil"/>
              <w:bottom w:val="nil"/>
              <w:right w:val="nil"/>
            </w:tcBorders>
            <w:shd w:val="clear" w:color="auto" w:fill="auto"/>
            <w:vAlign w:val="center"/>
          </w:tcPr>
          <w:p w14:paraId="02EA2BDF" w14:textId="77777777" w:rsidR="008B7E19" w:rsidRPr="00EE1C73"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281428">
              <w:rPr>
                <w:rFonts w:cs="Arial"/>
                <w:szCs w:val="14"/>
              </w:rPr>
              <w:t>105</w:t>
            </w:r>
            <w:r>
              <w:rPr>
                <w:rFonts w:cs="Arial"/>
                <w:szCs w:val="14"/>
              </w:rPr>
              <w:t>,</w:t>
            </w:r>
            <w:r w:rsidRPr="00281428">
              <w:rPr>
                <w:rFonts w:cs="Arial"/>
                <w:szCs w:val="14"/>
              </w:rPr>
              <w:t>363</w:t>
            </w:r>
          </w:p>
        </w:tc>
        <w:tc>
          <w:tcPr>
            <w:tcW w:w="990" w:type="dxa"/>
            <w:tcBorders>
              <w:top w:val="nil"/>
              <w:bottom w:val="nil"/>
            </w:tcBorders>
            <w:shd w:val="clear" w:color="auto" w:fill="auto"/>
            <w:vAlign w:val="center"/>
          </w:tcPr>
          <w:p w14:paraId="6CA1AFD9" w14:textId="77777777" w:rsidR="008B7E19" w:rsidRPr="00CF4B29" w:rsidRDefault="008B7E19" w:rsidP="008B7E19">
            <w:pPr>
              <w:pStyle w:val="08-Tabelageral"/>
              <w:cnfStyle w:val="000000100000" w:firstRow="0" w:lastRow="0" w:firstColumn="0" w:lastColumn="0" w:oddVBand="0" w:evenVBand="0" w:oddHBand="1" w:evenHBand="0" w:firstRowFirstColumn="0" w:firstRowLastColumn="0" w:lastRowFirstColumn="0" w:lastRowLastColumn="0"/>
            </w:pPr>
            <w:r w:rsidRPr="00281428">
              <w:rPr>
                <w:rFonts w:cs="Arial"/>
                <w:szCs w:val="14"/>
              </w:rPr>
              <w:t>227</w:t>
            </w:r>
            <w:r>
              <w:rPr>
                <w:rFonts w:cs="Arial"/>
                <w:szCs w:val="14"/>
              </w:rPr>
              <w:t>,</w:t>
            </w:r>
            <w:r w:rsidRPr="00281428">
              <w:rPr>
                <w:rFonts w:cs="Arial"/>
                <w:szCs w:val="14"/>
              </w:rPr>
              <w:t>588</w:t>
            </w:r>
          </w:p>
        </w:tc>
      </w:tr>
      <w:tr w:rsidR="008B7E19" w:rsidRPr="001D6BE8" w14:paraId="54AB40DE" w14:textId="77777777" w:rsidTr="008B7E19">
        <w:trPr>
          <w:trHeight w:val="238"/>
          <w:jc w:val="center"/>
        </w:trPr>
        <w:tc>
          <w:tcPr>
            <w:cnfStyle w:val="001000000000" w:firstRow="0" w:lastRow="0" w:firstColumn="1" w:lastColumn="0" w:oddVBand="0" w:evenVBand="0" w:oddHBand="0" w:evenHBand="0" w:firstRowFirstColumn="0" w:firstRowLastColumn="0" w:lastRowFirstColumn="0" w:lastRowLastColumn="0"/>
            <w:tcW w:w="2119" w:type="dxa"/>
            <w:tcBorders>
              <w:top w:val="nil"/>
              <w:bottom w:val="nil"/>
            </w:tcBorders>
            <w:shd w:val="clear" w:color="auto" w:fill="auto"/>
            <w:vAlign w:val="center"/>
          </w:tcPr>
          <w:p w14:paraId="74EB6BFE" w14:textId="77777777" w:rsidR="008B7E19" w:rsidRPr="0038031F" w:rsidRDefault="008B7E19" w:rsidP="008B7E19">
            <w:pPr>
              <w:pStyle w:val="08-Tabelageral"/>
              <w:jc w:val="left"/>
              <w:rPr>
                <w:b w:val="0"/>
              </w:rPr>
            </w:pPr>
          </w:p>
        </w:tc>
        <w:tc>
          <w:tcPr>
            <w:tcW w:w="700" w:type="dxa"/>
            <w:tcBorders>
              <w:top w:val="nil"/>
              <w:bottom w:val="nil"/>
            </w:tcBorders>
            <w:shd w:val="clear" w:color="auto" w:fill="auto"/>
            <w:vAlign w:val="center"/>
          </w:tcPr>
          <w:p w14:paraId="069AEA4F" w14:textId="77777777" w:rsidR="008B7E19" w:rsidRPr="00CF4B29"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szCs w:val="14"/>
              </w:rPr>
            </w:pPr>
          </w:p>
        </w:tc>
        <w:tc>
          <w:tcPr>
            <w:tcW w:w="1120" w:type="dxa"/>
            <w:tcBorders>
              <w:top w:val="nil"/>
              <w:bottom w:val="nil"/>
            </w:tcBorders>
            <w:shd w:val="clear" w:color="auto" w:fill="auto"/>
            <w:vAlign w:val="center"/>
          </w:tcPr>
          <w:p w14:paraId="001B9612" w14:textId="77777777" w:rsidR="008B7E19" w:rsidRPr="00350BA7"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p>
        </w:tc>
        <w:tc>
          <w:tcPr>
            <w:tcW w:w="1169" w:type="dxa"/>
            <w:tcBorders>
              <w:top w:val="nil"/>
              <w:bottom w:val="nil"/>
            </w:tcBorders>
            <w:shd w:val="clear" w:color="auto" w:fill="auto"/>
            <w:vAlign w:val="center"/>
          </w:tcPr>
          <w:p w14:paraId="3D58DAF3" w14:textId="77777777" w:rsidR="008B7E19" w:rsidRPr="00CF4B29" w:rsidRDefault="008B7E19" w:rsidP="008B7E19">
            <w:pPr>
              <w:pStyle w:val="08-Tabelageral"/>
              <w:cnfStyle w:val="000000000000" w:firstRow="0" w:lastRow="0" w:firstColumn="0" w:lastColumn="0" w:oddVBand="0" w:evenVBand="0" w:oddHBand="0" w:evenHBand="0" w:firstRowFirstColumn="0" w:firstRowLastColumn="0" w:lastRowFirstColumn="0" w:lastRowLastColumn="0"/>
            </w:pPr>
          </w:p>
        </w:tc>
        <w:tc>
          <w:tcPr>
            <w:tcW w:w="993" w:type="dxa"/>
            <w:gridSpan w:val="2"/>
            <w:tcBorders>
              <w:top w:val="nil"/>
              <w:bottom w:val="nil"/>
            </w:tcBorders>
            <w:shd w:val="clear" w:color="auto" w:fill="auto"/>
            <w:vAlign w:val="center"/>
          </w:tcPr>
          <w:p w14:paraId="14D46EC7" w14:textId="77777777" w:rsidR="008B7E19" w:rsidRPr="00CF4B29" w:rsidRDefault="008B7E19" w:rsidP="008B7E19">
            <w:pPr>
              <w:pStyle w:val="08-Tabelageral"/>
              <w:cnfStyle w:val="000000000000" w:firstRow="0" w:lastRow="0" w:firstColumn="0" w:lastColumn="0" w:oddVBand="0" w:evenVBand="0" w:oddHBand="0" w:evenHBand="0" w:firstRowFirstColumn="0" w:firstRowLastColumn="0" w:lastRowFirstColumn="0" w:lastRowLastColumn="0"/>
            </w:pPr>
          </w:p>
        </w:tc>
        <w:tc>
          <w:tcPr>
            <w:tcW w:w="286" w:type="dxa"/>
            <w:gridSpan w:val="2"/>
            <w:tcBorders>
              <w:top w:val="nil"/>
              <w:bottom w:val="nil"/>
            </w:tcBorders>
            <w:shd w:val="clear" w:color="auto" w:fill="auto"/>
            <w:vAlign w:val="center"/>
          </w:tcPr>
          <w:p w14:paraId="34AA89A2" w14:textId="77777777" w:rsidR="008B7E19" w:rsidRPr="00350BA7"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p>
        </w:tc>
        <w:tc>
          <w:tcPr>
            <w:tcW w:w="1273" w:type="dxa"/>
            <w:gridSpan w:val="3"/>
            <w:tcBorders>
              <w:top w:val="nil"/>
              <w:bottom w:val="nil"/>
            </w:tcBorders>
            <w:shd w:val="clear" w:color="auto" w:fill="auto"/>
            <w:vAlign w:val="center"/>
          </w:tcPr>
          <w:p w14:paraId="0D6ECE51" w14:textId="77777777" w:rsidR="008B7E19" w:rsidRPr="00350BA7"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p>
        </w:tc>
        <w:tc>
          <w:tcPr>
            <w:tcW w:w="989" w:type="dxa"/>
            <w:gridSpan w:val="2"/>
            <w:tcBorders>
              <w:top w:val="nil"/>
              <w:bottom w:val="nil"/>
            </w:tcBorders>
            <w:shd w:val="clear" w:color="auto" w:fill="auto"/>
            <w:vAlign w:val="center"/>
          </w:tcPr>
          <w:p w14:paraId="6EEDB152" w14:textId="77777777" w:rsidR="008B7E19" w:rsidRPr="00CF4B29" w:rsidRDefault="008B7E19" w:rsidP="008B7E19">
            <w:pPr>
              <w:pStyle w:val="08-Tabelageral"/>
              <w:cnfStyle w:val="000000000000" w:firstRow="0" w:lastRow="0" w:firstColumn="0" w:lastColumn="0" w:oddVBand="0" w:evenVBand="0" w:oddHBand="0" w:evenHBand="0" w:firstRowFirstColumn="0" w:firstRowLastColumn="0" w:lastRowFirstColumn="0" w:lastRowLastColumn="0"/>
            </w:pPr>
          </w:p>
        </w:tc>
        <w:tc>
          <w:tcPr>
            <w:tcW w:w="990" w:type="dxa"/>
            <w:tcBorders>
              <w:top w:val="nil"/>
              <w:bottom w:val="nil"/>
            </w:tcBorders>
            <w:shd w:val="clear" w:color="auto" w:fill="auto"/>
            <w:vAlign w:val="center"/>
          </w:tcPr>
          <w:p w14:paraId="2FB883F6" w14:textId="77777777" w:rsidR="008B7E19" w:rsidRPr="00CF4B29" w:rsidRDefault="008B7E19" w:rsidP="008B7E19">
            <w:pPr>
              <w:pStyle w:val="08-Tabelageral"/>
              <w:cnfStyle w:val="000000000000" w:firstRow="0" w:lastRow="0" w:firstColumn="0" w:lastColumn="0" w:oddVBand="0" w:evenVBand="0" w:oddHBand="0" w:evenHBand="0" w:firstRowFirstColumn="0" w:firstRowLastColumn="0" w:lastRowFirstColumn="0" w:lastRowLastColumn="0"/>
            </w:pPr>
          </w:p>
        </w:tc>
      </w:tr>
      <w:tr w:rsidR="008B7E19" w:rsidRPr="00E62509" w14:paraId="01768DC7"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119" w:type="dxa"/>
            <w:tcBorders>
              <w:top w:val="nil"/>
              <w:bottom w:val="nil"/>
            </w:tcBorders>
            <w:shd w:val="clear" w:color="auto" w:fill="auto"/>
            <w:vAlign w:val="center"/>
          </w:tcPr>
          <w:p w14:paraId="48E46FF2" w14:textId="77777777" w:rsidR="008B7E19" w:rsidRPr="00E62509" w:rsidRDefault="008B7E19" w:rsidP="008B7E19">
            <w:pPr>
              <w:pStyle w:val="08-Tabelageral"/>
              <w:jc w:val="left"/>
            </w:pPr>
            <w:r w:rsidRPr="00C27294">
              <w:t>Non-Current Liabilities</w:t>
            </w:r>
          </w:p>
        </w:tc>
        <w:tc>
          <w:tcPr>
            <w:tcW w:w="700" w:type="dxa"/>
            <w:tcBorders>
              <w:top w:val="nil"/>
              <w:bottom w:val="nil"/>
            </w:tcBorders>
            <w:shd w:val="clear" w:color="auto" w:fill="auto"/>
            <w:vAlign w:val="center"/>
          </w:tcPr>
          <w:p w14:paraId="7EA774F2" w14:textId="77777777" w:rsidR="008B7E19" w:rsidRPr="00E62509"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b/>
                <w:szCs w:val="14"/>
              </w:rPr>
            </w:pPr>
          </w:p>
        </w:tc>
        <w:tc>
          <w:tcPr>
            <w:tcW w:w="1120" w:type="dxa"/>
            <w:tcBorders>
              <w:top w:val="nil"/>
              <w:bottom w:val="nil"/>
            </w:tcBorders>
            <w:shd w:val="clear" w:color="auto" w:fill="auto"/>
            <w:vAlign w:val="center"/>
          </w:tcPr>
          <w:p w14:paraId="793E668A" w14:textId="77777777" w:rsidR="008B7E19" w:rsidRPr="006B5975"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1B2906">
              <w:rPr>
                <w:rFonts w:cs="Arial"/>
                <w:b/>
                <w:szCs w:val="14"/>
              </w:rPr>
              <w:t>56</w:t>
            </w:r>
          </w:p>
        </w:tc>
        <w:tc>
          <w:tcPr>
            <w:tcW w:w="1169" w:type="dxa"/>
            <w:tcBorders>
              <w:top w:val="nil"/>
              <w:bottom w:val="nil"/>
            </w:tcBorders>
            <w:shd w:val="clear" w:color="auto" w:fill="auto"/>
            <w:vAlign w:val="center"/>
          </w:tcPr>
          <w:p w14:paraId="69F0BB6F" w14:textId="77777777" w:rsidR="008B7E19" w:rsidRPr="00EE1C73"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r w:rsidRPr="00281428">
              <w:rPr>
                <w:rFonts w:cs="Arial"/>
                <w:b/>
                <w:szCs w:val="14"/>
              </w:rPr>
              <w:t>28</w:t>
            </w:r>
          </w:p>
        </w:tc>
        <w:tc>
          <w:tcPr>
            <w:tcW w:w="993" w:type="dxa"/>
            <w:gridSpan w:val="2"/>
            <w:tcBorders>
              <w:top w:val="nil"/>
              <w:bottom w:val="nil"/>
            </w:tcBorders>
            <w:shd w:val="clear" w:color="auto" w:fill="auto"/>
            <w:vAlign w:val="center"/>
          </w:tcPr>
          <w:p w14:paraId="5353828A" w14:textId="77777777" w:rsidR="008B7E19" w:rsidRPr="006B5975"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b/>
                <w:bCs/>
              </w:rPr>
            </w:pPr>
            <w:r w:rsidRPr="00281428">
              <w:rPr>
                <w:rFonts w:cs="Arial"/>
                <w:b/>
                <w:szCs w:val="14"/>
              </w:rPr>
              <w:t>28</w:t>
            </w:r>
          </w:p>
        </w:tc>
        <w:tc>
          <w:tcPr>
            <w:tcW w:w="286" w:type="dxa"/>
            <w:gridSpan w:val="2"/>
            <w:tcBorders>
              <w:top w:val="nil"/>
              <w:bottom w:val="nil"/>
            </w:tcBorders>
            <w:shd w:val="clear" w:color="auto" w:fill="auto"/>
            <w:vAlign w:val="center"/>
          </w:tcPr>
          <w:p w14:paraId="45C3D394" w14:textId="77777777" w:rsidR="008B7E19" w:rsidRPr="006B5975"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p>
        </w:tc>
        <w:tc>
          <w:tcPr>
            <w:tcW w:w="1273" w:type="dxa"/>
            <w:gridSpan w:val="3"/>
            <w:tcBorders>
              <w:top w:val="nil"/>
              <w:bottom w:val="nil"/>
            </w:tcBorders>
            <w:shd w:val="clear" w:color="auto" w:fill="auto"/>
            <w:vAlign w:val="center"/>
          </w:tcPr>
          <w:p w14:paraId="0498C0BE" w14:textId="77777777" w:rsidR="008B7E19" w:rsidRPr="006B5975"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1B2906">
              <w:rPr>
                <w:rFonts w:cs="Arial"/>
                <w:b/>
                <w:bCs/>
                <w:szCs w:val="14"/>
              </w:rPr>
              <w:t>2</w:t>
            </w:r>
            <w:r>
              <w:rPr>
                <w:rFonts w:cs="Arial"/>
                <w:b/>
                <w:bCs/>
                <w:szCs w:val="14"/>
              </w:rPr>
              <w:t>,</w:t>
            </w:r>
            <w:r w:rsidRPr="001B2906">
              <w:rPr>
                <w:rFonts w:cs="Arial"/>
                <w:b/>
                <w:bCs/>
                <w:szCs w:val="14"/>
              </w:rPr>
              <w:t>503</w:t>
            </w:r>
            <w:r>
              <w:rPr>
                <w:rFonts w:cs="Arial"/>
                <w:b/>
                <w:bCs/>
                <w:szCs w:val="14"/>
              </w:rPr>
              <w:t>,</w:t>
            </w:r>
            <w:r w:rsidRPr="001B2906">
              <w:rPr>
                <w:rFonts w:cs="Arial"/>
                <w:b/>
                <w:bCs/>
                <w:szCs w:val="14"/>
              </w:rPr>
              <w:t>035</w:t>
            </w:r>
          </w:p>
        </w:tc>
        <w:tc>
          <w:tcPr>
            <w:tcW w:w="989" w:type="dxa"/>
            <w:gridSpan w:val="2"/>
            <w:tcBorders>
              <w:top w:val="nil"/>
              <w:bottom w:val="nil"/>
            </w:tcBorders>
            <w:shd w:val="clear" w:color="auto" w:fill="auto"/>
            <w:vAlign w:val="center"/>
          </w:tcPr>
          <w:p w14:paraId="7326E2AE" w14:textId="77777777" w:rsidR="008B7E19" w:rsidRPr="00F57304"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281428">
              <w:rPr>
                <w:rFonts w:cs="Arial"/>
                <w:b/>
                <w:bCs/>
                <w:szCs w:val="14"/>
              </w:rPr>
              <w:t>2</w:t>
            </w:r>
            <w:r>
              <w:rPr>
                <w:rFonts w:cs="Arial"/>
                <w:b/>
                <w:bCs/>
                <w:szCs w:val="14"/>
              </w:rPr>
              <w:t>,</w:t>
            </w:r>
            <w:r w:rsidRPr="00281428">
              <w:rPr>
                <w:rFonts w:cs="Arial"/>
                <w:b/>
                <w:bCs/>
                <w:szCs w:val="14"/>
              </w:rPr>
              <w:t>025</w:t>
            </w:r>
            <w:r>
              <w:rPr>
                <w:rFonts w:cs="Arial"/>
                <w:b/>
                <w:bCs/>
                <w:szCs w:val="14"/>
              </w:rPr>
              <w:t>,</w:t>
            </w:r>
            <w:r w:rsidRPr="00281428">
              <w:rPr>
                <w:rFonts w:cs="Arial"/>
                <w:b/>
                <w:bCs/>
                <w:szCs w:val="14"/>
              </w:rPr>
              <w:t>563</w:t>
            </w:r>
          </w:p>
        </w:tc>
        <w:tc>
          <w:tcPr>
            <w:tcW w:w="990" w:type="dxa"/>
            <w:tcBorders>
              <w:top w:val="nil"/>
              <w:bottom w:val="nil"/>
            </w:tcBorders>
            <w:shd w:val="clear" w:color="auto" w:fill="auto"/>
            <w:vAlign w:val="center"/>
          </w:tcPr>
          <w:p w14:paraId="35D32D1D" w14:textId="77777777" w:rsidR="008B7E19" w:rsidRPr="006B5975"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b/>
                <w:bCs/>
              </w:rPr>
            </w:pPr>
            <w:r w:rsidRPr="00281428">
              <w:rPr>
                <w:rFonts w:cs="Arial"/>
                <w:b/>
                <w:bCs/>
                <w:szCs w:val="14"/>
              </w:rPr>
              <w:t>2</w:t>
            </w:r>
            <w:r>
              <w:rPr>
                <w:rFonts w:cs="Arial"/>
                <w:b/>
                <w:bCs/>
                <w:szCs w:val="14"/>
              </w:rPr>
              <w:t>,</w:t>
            </w:r>
            <w:r w:rsidRPr="00281428">
              <w:rPr>
                <w:rFonts w:cs="Arial"/>
                <w:b/>
                <w:bCs/>
                <w:szCs w:val="14"/>
              </w:rPr>
              <w:t>033</w:t>
            </w:r>
            <w:r>
              <w:rPr>
                <w:rFonts w:cs="Arial"/>
                <w:b/>
                <w:bCs/>
                <w:szCs w:val="14"/>
              </w:rPr>
              <w:t>,</w:t>
            </w:r>
            <w:r w:rsidRPr="00281428">
              <w:rPr>
                <w:rFonts w:cs="Arial"/>
                <w:b/>
                <w:bCs/>
                <w:szCs w:val="14"/>
              </w:rPr>
              <w:t>528</w:t>
            </w:r>
          </w:p>
        </w:tc>
      </w:tr>
      <w:tr w:rsidR="008B7E19" w:rsidRPr="001D6BE8" w14:paraId="26FBC5E2" w14:textId="77777777" w:rsidTr="008B7E19">
        <w:trPr>
          <w:trHeight w:val="238"/>
          <w:jc w:val="center"/>
        </w:trPr>
        <w:tc>
          <w:tcPr>
            <w:cnfStyle w:val="001000000000" w:firstRow="0" w:lastRow="0" w:firstColumn="1" w:lastColumn="0" w:oddVBand="0" w:evenVBand="0" w:oddHBand="0" w:evenHBand="0" w:firstRowFirstColumn="0" w:firstRowLastColumn="0" w:lastRowFirstColumn="0" w:lastRowLastColumn="0"/>
            <w:tcW w:w="2119" w:type="dxa"/>
            <w:tcBorders>
              <w:top w:val="nil"/>
              <w:bottom w:val="nil"/>
            </w:tcBorders>
            <w:shd w:val="clear" w:color="auto" w:fill="auto"/>
            <w:vAlign w:val="center"/>
          </w:tcPr>
          <w:p w14:paraId="3C29AF69" w14:textId="77777777" w:rsidR="008B7E19" w:rsidRPr="0038031F" w:rsidRDefault="008B7E19" w:rsidP="008B7E19">
            <w:pPr>
              <w:pStyle w:val="08-Tabelageral"/>
              <w:ind w:left="113"/>
              <w:jc w:val="left"/>
              <w:rPr>
                <w:b w:val="0"/>
              </w:rPr>
            </w:pPr>
            <w:r w:rsidRPr="00C27294">
              <w:rPr>
                <w:b w:val="0"/>
              </w:rPr>
              <w:t>Contingent liabilities</w:t>
            </w:r>
          </w:p>
        </w:tc>
        <w:tc>
          <w:tcPr>
            <w:tcW w:w="700" w:type="dxa"/>
            <w:tcBorders>
              <w:top w:val="nil"/>
              <w:bottom w:val="nil"/>
            </w:tcBorders>
            <w:shd w:val="clear" w:color="auto" w:fill="auto"/>
            <w:vAlign w:val="center"/>
          </w:tcPr>
          <w:p w14:paraId="263B17C1" w14:textId="77777777" w:rsidR="008B7E19" w:rsidRPr="00CF4B29"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szCs w:val="14"/>
              </w:rPr>
            </w:pPr>
            <w:r w:rsidRPr="005D7FD0">
              <w:t>[22]</w:t>
            </w:r>
          </w:p>
        </w:tc>
        <w:tc>
          <w:tcPr>
            <w:tcW w:w="1120" w:type="dxa"/>
            <w:tcBorders>
              <w:top w:val="nil"/>
              <w:bottom w:val="nil"/>
            </w:tcBorders>
            <w:shd w:val="clear" w:color="auto" w:fill="auto"/>
            <w:vAlign w:val="center"/>
          </w:tcPr>
          <w:p w14:paraId="440B066E" w14:textId="77777777" w:rsidR="008B7E19" w:rsidRPr="00350BA7"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r w:rsidRPr="001B2906">
              <w:rPr>
                <w:rFonts w:cs="Arial"/>
                <w:szCs w:val="14"/>
              </w:rPr>
              <w:t>56</w:t>
            </w:r>
          </w:p>
        </w:tc>
        <w:tc>
          <w:tcPr>
            <w:tcW w:w="1169" w:type="dxa"/>
            <w:tcBorders>
              <w:top w:val="nil"/>
              <w:bottom w:val="nil"/>
            </w:tcBorders>
            <w:shd w:val="clear" w:color="auto" w:fill="auto"/>
            <w:vAlign w:val="center"/>
          </w:tcPr>
          <w:p w14:paraId="76027017" w14:textId="77777777" w:rsidR="008B7E19" w:rsidRPr="00EE1C73"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r w:rsidRPr="00281428">
              <w:rPr>
                <w:rFonts w:cs="Arial"/>
                <w:szCs w:val="14"/>
              </w:rPr>
              <w:t>28</w:t>
            </w:r>
          </w:p>
        </w:tc>
        <w:tc>
          <w:tcPr>
            <w:tcW w:w="993" w:type="dxa"/>
            <w:gridSpan w:val="2"/>
            <w:tcBorders>
              <w:top w:val="nil"/>
              <w:bottom w:val="nil"/>
            </w:tcBorders>
            <w:shd w:val="clear" w:color="auto" w:fill="auto"/>
            <w:vAlign w:val="center"/>
          </w:tcPr>
          <w:p w14:paraId="56932328" w14:textId="77777777" w:rsidR="008B7E19" w:rsidRPr="00CF4B29" w:rsidRDefault="008B7E19" w:rsidP="008B7E19">
            <w:pPr>
              <w:pStyle w:val="08-Tabelageral"/>
              <w:cnfStyle w:val="000000000000" w:firstRow="0" w:lastRow="0" w:firstColumn="0" w:lastColumn="0" w:oddVBand="0" w:evenVBand="0" w:oddHBand="0" w:evenHBand="0" w:firstRowFirstColumn="0" w:firstRowLastColumn="0" w:lastRowFirstColumn="0" w:lastRowLastColumn="0"/>
            </w:pPr>
            <w:r w:rsidRPr="00281428">
              <w:rPr>
                <w:rFonts w:cs="Arial"/>
                <w:szCs w:val="14"/>
              </w:rPr>
              <w:t>28</w:t>
            </w:r>
          </w:p>
        </w:tc>
        <w:tc>
          <w:tcPr>
            <w:tcW w:w="286" w:type="dxa"/>
            <w:gridSpan w:val="2"/>
            <w:tcBorders>
              <w:top w:val="nil"/>
              <w:bottom w:val="nil"/>
            </w:tcBorders>
            <w:shd w:val="clear" w:color="auto" w:fill="auto"/>
            <w:vAlign w:val="center"/>
          </w:tcPr>
          <w:p w14:paraId="65B898A9" w14:textId="77777777" w:rsidR="008B7E19" w:rsidRPr="00350BA7"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p>
        </w:tc>
        <w:tc>
          <w:tcPr>
            <w:tcW w:w="1273" w:type="dxa"/>
            <w:gridSpan w:val="3"/>
            <w:tcBorders>
              <w:top w:val="nil"/>
              <w:left w:val="nil"/>
              <w:bottom w:val="nil"/>
              <w:right w:val="nil"/>
            </w:tcBorders>
            <w:shd w:val="clear" w:color="auto" w:fill="auto"/>
            <w:vAlign w:val="center"/>
          </w:tcPr>
          <w:p w14:paraId="75C57125" w14:textId="77777777" w:rsidR="008B7E19" w:rsidRPr="00350BA7"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r w:rsidRPr="001B2906">
              <w:rPr>
                <w:rFonts w:cs="Arial"/>
                <w:szCs w:val="14"/>
              </w:rPr>
              <w:t>9</w:t>
            </w:r>
            <w:r>
              <w:rPr>
                <w:rFonts w:cs="Arial"/>
                <w:szCs w:val="14"/>
              </w:rPr>
              <w:t>,</w:t>
            </w:r>
            <w:r w:rsidRPr="001B2906">
              <w:rPr>
                <w:rFonts w:cs="Arial"/>
                <w:szCs w:val="14"/>
              </w:rPr>
              <w:t>713</w:t>
            </w:r>
          </w:p>
        </w:tc>
        <w:tc>
          <w:tcPr>
            <w:tcW w:w="989" w:type="dxa"/>
            <w:gridSpan w:val="2"/>
            <w:tcBorders>
              <w:top w:val="nil"/>
              <w:left w:val="nil"/>
              <w:bottom w:val="nil"/>
              <w:right w:val="nil"/>
            </w:tcBorders>
            <w:shd w:val="clear" w:color="auto" w:fill="auto"/>
            <w:vAlign w:val="center"/>
          </w:tcPr>
          <w:p w14:paraId="32928BE8" w14:textId="77777777" w:rsidR="008B7E19" w:rsidRPr="00EE1C73"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r w:rsidRPr="00281428">
              <w:rPr>
                <w:rFonts w:cs="Arial"/>
                <w:szCs w:val="14"/>
              </w:rPr>
              <w:t>9</w:t>
            </w:r>
            <w:r>
              <w:rPr>
                <w:rFonts w:cs="Arial"/>
                <w:szCs w:val="14"/>
              </w:rPr>
              <w:t>,</w:t>
            </w:r>
            <w:r w:rsidRPr="00281428">
              <w:rPr>
                <w:rFonts w:cs="Arial"/>
                <w:szCs w:val="14"/>
              </w:rPr>
              <w:t>451</w:t>
            </w:r>
          </w:p>
        </w:tc>
        <w:tc>
          <w:tcPr>
            <w:tcW w:w="990" w:type="dxa"/>
            <w:tcBorders>
              <w:top w:val="nil"/>
              <w:bottom w:val="nil"/>
            </w:tcBorders>
            <w:shd w:val="clear" w:color="auto" w:fill="auto"/>
            <w:vAlign w:val="center"/>
          </w:tcPr>
          <w:p w14:paraId="3B0E19AD" w14:textId="77777777" w:rsidR="008B7E19" w:rsidRPr="00CF4B29" w:rsidRDefault="008B7E19" w:rsidP="008B7E19">
            <w:pPr>
              <w:pStyle w:val="08-Tabelageral"/>
              <w:cnfStyle w:val="000000000000" w:firstRow="0" w:lastRow="0" w:firstColumn="0" w:lastColumn="0" w:oddVBand="0" w:evenVBand="0" w:oddHBand="0" w:evenHBand="0" w:firstRowFirstColumn="0" w:firstRowLastColumn="0" w:lastRowFirstColumn="0" w:lastRowLastColumn="0"/>
            </w:pPr>
            <w:r w:rsidRPr="00281428">
              <w:rPr>
                <w:rFonts w:cs="Arial"/>
                <w:szCs w:val="14"/>
              </w:rPr>
              <w:t>10</w:t>
            </w:r>
            <w:r>
              <w:rPr>
                <w:rFonts w:cs="Arial"/>
                <w:szCs w:val="14"/>
              </w:rPr>
              <w:t>,</w:t>
            </w:r>
            <w:r w:rsidRPr="00281428">
              <w:rPr>
                <w:rFonts w:cs="Arial"/>
                <w:szCs w:val="14"/>
              </w:rPr>
              <w:t>419</w:t>
            </w:r>
          </w:p>
        </w:tc>
      </w:tr>
      <w:tr w:rsidR="008B7E19" w:rsidRPr="001D6BE8" w14:paraId="1C9A4950"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119" w:type="dxa"/>
            <w:tcBorders>
              <w:top w:val="nil"/>
              <w:bottom w:val="nil"/>
            </w:tcBorders>
            <w:shd w:val="clear" w:color="auto" w:fill="auto"/>
            <w:vAlign w:val="center"/>
          </w:tcPr>
          <w:p w14:paraId="23E3463F" w14:textId="77777777" w:rsidR="008B7E19" w:rsidRPr="0038031F" w:rsidRDefault="008B7E19" w:rsidP="008B7E19">
            <w:pPr>
              <w:pStyle w:val="08-Tabelageral"/>
              <w:ind w:left="113"/>
              <w:jc w:val="left"/>
              <w:rPr>
                <w:b w:val="0"/>
              </w:rPr>
            </w:pPr>
            <w:r>
              <w:rPr>
                <w:b w:val="0"/>
              </w:rPr>
              <w:t>Deferred</w:t>
            </w:r>
            <w:r w:rsidRPr="00C27294">
              <w:rPr>
                <w:b w:val="0"/>
              </w:rPr>
              <w:t xml:space="preserve"> tax liabilities</w:t>
            </w:r>
          </w:p>
        </w:tc>
        <w:tc>
          <w:tcPr>
            <w:tcW w:w="700" w:type="dxa"/>
            <w:tcBorders>
              <w:top w:val="nil"/>
              <w:bottom w:val="nil"/>
            </w:tcBorders>
            <w:shd w:val="clear" w:color="auto" w:fill="auto"/>
            <w:vAlign w:val="center"/>
          </w:tcPr>
          <w:p w14:paraId="610A9BE0" w14:textId="77777777" w:rsidR="008B7E19" w:rsidRPr="00CF4B29"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szCs w:val="14"/>
              </w:rPr>
            </w:pPr>
            <w:r w:rsidRPr="005D7FD0">
              <w:t>[12.h]</w:t>
            </w:r>
          </w:p>
        </w:tc>
        <w:tc>
          <w:tcPr>
            <w:tcW w:w="1120" w:type="dxa"/>
            <w:tcBorders>
              <w:top w:val="nil"/>
              <w:bottom w:val="nil"/>
            </w:tcBorders>
            <w:shd w:val="clear" w:color="auto" w:fill="auto"/>
            <w:vAlign w:val="center"/>
          </w:tcPr>
          <w:p w14:paraId="6F0ADB08" w14:textId="77777777" w:rsidR="008B7E19" w:rsidRPr="00350BA7"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Pr>
                <w:rFonts w:cs="Arial"/>
                <w:szCs w:val="14"/>
              </w:rPr>
              <w:t>--</w:t>
            </w:r>
          </w:p>
        </w:tc>
        <w:tc>
          <w:tcPr>
            <w:tcW w:w="1169" w:type="dxa"/>
            <w:tcBorders>
              <w:top w:val="nil"/>
              <w:bottom w:val="nil"/>
            </w:tcBorders>
            <w:shd w:val="clear" w:color="auto" w:fill="auto"/>
            <w:vAlign w:val="center"/>
          </w:tcPr>
          <w:p w14:paraId="0E81A903" w14:textId="77777777" w:rsidR="008B7E19"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281428">
              <w:rPr>
                <w:rFonts w:cs="Arial"/>
                <w:szCs w:val="14"/>
              </w:rPr>
              <w:t>--</w:t>
            </w:r>
          </w:p>
        </w:tc>
        <w:tc>
          <w:tcPr>
            <w:tcW w:w="993" w:type="dxa"/>
            <w:gridSpan w:val="2"/>
            <w:tcBorders>
              <w:top w:val="nil"/>
              <w:bottom w:val="nil"/>
            </w:tcBorders>
            <w:shd w:val="clear" w:color="auto" w:fill="auto"/>
            <w:vAlign w:val="center"/>
          </w:tcPr>
          <w:p w14:paraId="1F3D892C" w14:textId="77777777" w:rsidR="008B7E19" w:rsidRPr="00CF4B29" w:rsidRDefault="008B7E19" w:rsidP="008B7E19">
            <w:pPr>
              <w:pStyle w:val="08-Tabelageral"/>
              <w:cnfStyle w:val="000000100000" w:firstRow="0" w:lastRow="0" w:firstColumn="0" w:lastColumn="0" w:oddVBand="0" w:evenVBand="0" w:oddHBand="1" w:evenHBand="0" w:firstRowFirstColumn="0" w:firstRowLastColumn="0" w:lastRowFirstColumn="0" w:lastRowLastColumn="0"/>
            </w:pPr>
            <w:r w:rsidRPr="00281428">
              <w:rPr>
                <w:rFonts w:cs="Arial"/>
                <w:szCs w:val="14"/>
              </w:rPr>
              <w:t>--</w:t>
            </w:r>
          </w:p>
        </w:tc>
        <w:tc>
          <w:tcPr>
            <w:tcW w:w="286" w:type="dxa"/>
            <w:gridSpan w:val="2"/>
            <w:tcBorders>
              <w:top w:val="nil"/>
              <w:bottom w:val="nil"/>
            </w:tcBorders>
            <w:shd w:val="clear" w:color="auto" w:fill="auto"/>
            <w:vAlign w:val="center"/>
          </w:tcPr>
          <w:p w14:paraId="16C40F7D" w14:textId="77777777" w:rsidR="008B7E19" w:rsidRPr="00350BA7"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273" w:type="dxa"/>
            <w:gridSpan w:val="3"/>
            <w:tcBorders>
              <w:top w:val="nil"/>
              <w:left w:val="nil"/>
              <w:bottom w:val="nil"/>
              <w:right w:val="nil"/>
            </w:tcBorders>
            <w:shd w:val="clear" w:color="auto" w:fill="auto"/>
            <w:vAlign w:val="center"/>
          </w:tcPr>
          <w:p w14:paraId="7A92F238" w14:textId="77777777" w:rsidR="008B7E19" w:rsidRPr="00350BA7"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1B2906">
              <w:rPr>
                <w:rFonts w:cs="Arial"/>
                <w:szCs w:val="14"/>
              </w:rPr>
              <w:t>228</w:t>
            </w:r>
            <w:r>
              <w:rPr>
                <w:rFonts w:cs="Arial"/>
                <w:szCs w:val="14"/>
              </w:rPr>
              <w:t>,</w:t>
            </w:r>
            <w:r w:rsidRPr="001B2906">
              <w:rPr>
                <w:rFonts w:cs="Arial"/>
                <w:szCs w:val="14"/>
              </w:rPr>
              <w:t>565</w:t>
            </w:r>
          </w:p>
        </w:tc>
        <w:tc>
          <w:tcPr>
            <w:tcW w:w="989" w:type="dxa"/>
            <w:gridSpan w:val="2"/>
            <w:tcBorders>
              <w:top w:val="nil"/>
              <w:left w:val="nil"/>
              <w:bottom w:val="nil"/>
              <w:right w:val="nil"/>
            </w:tcBorders>
            <w:shd w:val="clear" w:color="auto" w:fill="auto"/>
            <w:vAlign w:val="center"/>
          </w:tcPr>
          <w:p w14:paraId="726336F1" w14:textId="77777777" w:rsidR="008B7E19" w:rsidRPr="00EE1C73"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281428">
              <w:rPr>
                <w:rFonts w:cs="Arial"/>
                <w:szCs w:val="14"/>
              </w:rPr>
              <w:t>228</w:t>
            </w:r>
            <w:r>
              <w:rPr>
                <w:rFonts w:cs="Arial"/>
                <w:szCs w:val="14"/>
              </w:rPr>
              <w:t>,</w:t>
            </w:r>
            <w:r w:rsidRPr="00281428">
              <w:rPr>
                <w:rFonts w:cs="Arial"/>
                <w:szCs w:val="14"/>
              </w:rPr>
              <w:t>565</w:t>
            </w:r>
          </w:p>
        </w:tc>
        <w:tc>
          <w:tcPr>
            <w:tcW w:w="990" w:type="dxa"/>
            <w:tcBorders>
              <w:top w:val="nil"/>
              <w:bottom w:val="nil"/>
            </w:tcBorders>
            <w:shd w:val="clear" w:color="auto" w:fill="auto"/>
            <w:vAlign w:val="center"/>
          </w:tcPr>
          <w:p w14:paraId="633FAB44" w14:textId="77777777" w:rsidR="008B7E19" w:rsidRPr="00CF4B29" w:rsidRDefault="008B7E19" w:rsidP="008B7E19">
            <w:pPr>
              <w:pStyle w:val="08-Tabelageral"/>
              <w:cnfStyle w:val="000000100000" w:firstRow="0" w:lastRow="0" w:firstColumn="0" w:lastColumn="0" w:oddVBand="0" w:evenVBand="0" w:oddHBand="1" w:evenHBand="0" w:firstRowFirstColumn="0" w:firstRowLastColumn="0" w:lastRowFirstColumn="0" w:lastRowLastColumn="0"/>
            </w:pPr>
            <w:r w:rsidRPr="00281428">
              <w:rPr>
                <w:rFonts w:cs="Arial"/>
                <w:szCs w:val="14"/>
              </w:rPr>
              <w:t>228</w:t>
            </w:r>
            <w:r>
              <w:rPr>
                <w:rFonts w:cs="Arial"/>
                <w:szCs w:val="14"/>
              </w:rPr>
              <w:t>,</w:t>
            </w:r>
            <w:r w:rsidRPr="00281428">
              <w:rPr>
                <w:rFonts w:cs="Arial"/>
                <w:szCs w:val="14"/>
              </w:rPr>
              <w:t>565</w:t>
            </w:r>
          </w:p>
        </w:tc>
      </w:tr>
      <w:tr w:rsidR="008B7E19" w:rsidRPr="001D6BE8" w14:paraId="60B5196F" w14:textId="77777777" w:rsidTr="008B7E19">
        <w:trPr>
          <w:trHeight w:val="238"/>
          <w:jc w:val="center"/>
        </w:trPr>
        <w:tc>
          <w:tcPr>
            <w:cnfStyle w:val="001000000000" w:firstRow="0" w:lastRow="0" w:firstColumn="1" w:lastColumn="0" w:oddVBand="0" w:evenVBand="0" w:oddHBand="0" w:evenHBand="0" w:firstRowFirstColumn="0" w:firstRowLastColumn="0" w:lastRowFirstColumn="0" w:lastRowLastColumn="0"/>
            <w:tcW w:w="2119" w:type="dxa"/>
            <w:tcBorders>
              <w:top w:val="nil"/>
              <w:bottom w:val="nil"/>
            </w:tcBorders>
            <w:shd w:val="clear" w:color="auto" w:fill="auto"/>
            <w:vAlign w:val="center"/>
          </w:tcPr>
          <w:p w14:paraId="65FB5455" w14:textId="77777777" w:rsidR="008B7E19" w:rsidRPr="0038031F" w:rsidRDefault="008B7E19" w:rsidP="008B7E19">
            <w:pPr>
              <w:pStyle w:val="08-Tabelageral"/>
              <w:ind w:left="113"/>
              <w:jc w:val="left"/>
              <w:rPr>
                <w:b w:val="0"/>
              </w:rPr>
            </w:pPr>
            <w:r w:rsidRPr="00C27294">
              <w:rPr>
                <w:b w:val="0"/>
              </w:rPr>
              <w:t>Unearned commissions</w:t>
            </w:r>
          </w:p>
        </w:tc>
        <w:tc>
          <w:tcPr>
            <w:tcW w:w="700" w:type="dxa"/>
            <w:tcBorders>
              <w:top w:val="nil"/>
              <w:bottom w:val="nil"/>
            </w:tcBorders>
            <w:shd w:val="clear" w:color="auto" w:fill="auto"/>
            <w:vAlign w:val="center"/>
          </w:tcPr>
          <w:p w14:paraId="75DF2BA6" w14:textId="77777777" w:rsidR="008B7E19" w:rsidRPr="00CF4B29"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szCs w:val="14"/>
              </w:rPr>
            </w:pPr>
            <w:r w:rsidRPr="005D7FD0">
              <w:t>[23]</w:t>
            </w:r>
          </w:p>
        </w:tc>
        <w:tc>
          <w:tcPr>
            <w:tcW w:w="1120" w:type="dxa"/>
            <w:tcBorders>
              <w:top w:val="nil"/>
              <w:bottom w:val="nil"/>
            </w:tcBorders>
            <w:shd w:val="clear" w:color="auto" w:fill="auto"/>
            <w:vAlign w:val="center"/>
          </w:tcPr>
          <w:p w14:paraId="0D9A794B" w14:textId="77777777" w:rsidR="008B7E19" w:rsidRPr="00350BA7"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r>
              <w:rPr>
                <w:rFonts w:cs="Arial"/>
                <w:szCs w:val="14"/>
              </w:rPr>
              <w:t>--</w:t>
            </w:r>
          </w:p>
        </w:tc>
        <w:tc>
          <w:tcPr>
            <w:tcW w:w="1169" w:type="dxa"/>
            <w:tcBorders>
              <w:top w:val="nil"/>
              <w:bottom w:val="nil"/>
            </w:tcBorders>
            <w:shd w:val="clear" w:color="auto" w:fill="auto"/>
            <w:vAlign w:val="center"/>
          </w:tcPr>
          <w:p w14:paraId="7A2BDAA1" w14:textId="77777777" w:rsidR="008B7E19"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r w:rsidRPr="00281428">
              <w:rPr>
                <w:rFonts w:cs="Arial"/>
                <w:szCs w:val="14"/>
              </w:rPr>
              <w:t>--</w:t>
            </w:r>
          </w:p>
        </w:tc>
        <w:tc>
          <w:tcPr>
            <w:tcW w:w="993" w:type="dxa"/>
            <w:gridSpan w:val="2"/>
            <w:tcBorders>
              <w:top w:val="nil"/>
              <w:bottom w:val="nil"/>
            </w:tcBorders>
            <w:shd w:val="clear" w:color="auto" w:fill="auto"/>
            <w:vAlign w:val="center"/>
          </w:tcPr>
          <w:p w14:paraId="7F6F4F04" w14:textId="77777777" w:rsidR="008B7E19" w:rsidRPr="00CF4B29" w:rsidRDefault="008B7E19" w:rsidP="008B7E19">
            <w:pPr>
              <w:pStyle w:val="08-Tabelageral"/>
              <w:cnfStyle w:val="000000000000" w:firstRow="0" w:lastRow="0" w:firstColumn="0" w:lastColumn="0" w:oddVBand="0" w:evenVBand="0" w:oddHBand="0" w:evenHBand="0" w:firstRowFirstColumn="0" w:firstRowLastColumn="0" w:lastRowFirstColumn="0" w:lastRowLastColumn="0"/>
            </w:pPr>
            <w:r w:rsidRPr="00281428">
              <w:rPr>
                <w:rFonts w:cs="Arial"/>
                <w:szCs w:val="14"/>
              </w:rPr>
              <w:t>--</w:t>
            </w:r>
          </w:p>
        </w:tc>
        <w:tc>
          <w:tcPr>
            <w:tcW w:w="286" w:type="dxa"/>
            <w:gridSpan w:val="2"/>
            <w:tcBorders>
              <w:top w:val="nil"/>
              <w:bottom w:val="nil"/>
            </w:tcBorders>
            <w:shd w:val="clear" w:color="auto" w:fill="auto"/>
            <w:vAlign w:val="center"/>
          </w:tcPr>
          <w:p w14:paraId="6C374875" w14:textId="77777777" w:rsidR="008B7E19" w:rsidRPr="00350BA7"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p>
        </w:tc>
        <w:tc>
          <w:tcPr>
            <w:tcW w:w="1273" w:type="dxa"/>
            <w:gridSpan w:val="3"/>
            <w:tcBorders>
              <w:top w:val="nil"/>
              <w:left w:val="nil"/>
              <w:bottom w:val="nil"/>
              <w:right w:val="nil"/>
            </w:tcBorders>
            <w:shd w:val="clear" w:color="auto" w:fill="auto"/>
            <w:vAlign w:val="center"/>
          </w:tcPr>
          <w:p w14:paraId="1FE3A206" w14:textId="77777777" w:rsidR="008B7E19" w:rsidRPr="00350BA7"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r w:rsidRPr="001B2906">
              <w:rPr>
                <w:rFonts w:cs="Arial"/>
                <w:szCs w:val="14"/>
              </w:rPr>
              <w:t>2</w:t>
            </w:r>
            <w:r>
              <w:rPr>
                <w:rFonts w:cs="Arial"/>
                <w:szCs w:val="14"/>
              </w:rPr>
              <w:t>,</w:t>
            </w:r>
            <w:r w:rsidRPr="001B2906">
              <w:rPr>
                <w:rFonts w:cs="Arial"/>
                <w:szCs w:val="14"/>
              </w:rPr>
              <w:t>264</w:t>
            </w:r>
            <w:r>
              <w:rPr>
                <w:rFonts w:cs="Arial"/>
                <w:szCs w:val="14"/>
              </w:rPr>
              <w:t>,</w:t>
            </w:r>
            <w:r w:rsidRPr="001B2906">
              <w:rPr>
                <w:rFonts w:cs="Arial"/>
                <w:szCs w:val="14"/>
              </w:rPr>
              <w:t>757</w:t>
            </w:r>
          </w:p>
        </w:tc>
        <w:tc>
          <w:tcPr>
            <w:tcW w:w="989" w:type="dxa"/>
            <w:gridSpan w:val="2"/>
            <w:tcBorders>
              <w:top w:val="nil"/>
              <w:left w:val="nil"/>
              <w:bottom w:val="nil"/>
              <w:right w:val="nil"/>
            </w:tcBorders>
            <w:shd w:val="clear" w:color="auto" w:fill="auto"/>
            <w:vAlign w:val="center"/>
          </w:tcPr>
          <w:p w14:paraId="7ACB7AD8" w14:textId="77777777" w:rsidR="008B7E19" w:rsidRPr="00F57304"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r w:rsidRPr="00281428">
              <w:rPr>
                <w:rFonts w:cs="Arial"/>
                <w:szCs w:val="14"/>
              </w:rPr>
              <w:t>1</w:t>
            </w:r>
            <w:r>
              <w:rPr>
                <w:rFonts w:cs="Arial"/>
                <w:szCs w:val="14"/>
              </w:rPr>
              <w:t>,</w:t>
            </w:r>
            <w:r w:rsidRPr="00281428">
              <w:rPr>
                <w:rFonts w:cs="Arial"/>
                <w:szCs w:val="14"/>
              </w:rPr>
              <w:t>787</w:t>
            </w:r>
            <w:r>
              <w:rPr>
                <w:rFonts w:cs="Arial"/>
                <w:szCs w:val="14"/>
              </w:rPr>
              <w:t>,</w:t>
            </w:r>
            <w:r w:rsidRPr="00281428">
              <w:rPr>
                <w:rFonts w:cs="Arial"/>
                <w:szCs w:val="14"/>
              </w:rPr>
              <w:t>547</w:t>
            </w:r>
          </w:p>
        </w:tc>
        <w:tc>
          <w:tcPr>
            <w:tcW w:w="990" w:type="dxa"/>
            <w:tcBorders>
              <w:top w:val="nil"/>
              <w:bottom w:val="nil"/>
            </w:tcBorders>
            <w:shd w:val="clear" w:color="auto" w:fill="auto"/>
            <w:vAlign w:val="center"/>
          </w:tcPr>
          <w:p w14:paraId="6B34B949" w14:textId="77777777" w:rsidR="008B7E19" w:rsidRPr="00CF4B29" w:rsidRDefault="008B7E19" w:rsidP="008B7E19">
            <w:pPr>
              <w:pStyle w:val="08-Tabelageral"/>
              <w:cnfStyle w:val="000000000000" w:firstRow="0" w:lastRow="0" w:firstColumn="0" w:lastColumn="0" w:oddVBand="0" w:evenVBand="0" w:oddHBand="0" w:evenHBand="0" w:firstRowFirstColumn="0" w:firstRowLastColumn="0" w:lastRowFirstColumn="0" w:lastRowLastColumn="0"/>
            </w:pPr>
            <w:r w:rsidRPr="00281428">
              <w:rPr>
                <w:rFonts w:cs="Arial"/>
                <w:szCs w:val="14"/>
              </w:rPr>
              <w:t>1</w:t>
            </w:r>
            <w:r>
              <w:rPr>
                <w:rFonts w:cs="Arial"/>
                <w:szCs w:val="14"/>
              </w:rPr>
              <w:t>,</w:t>
            </w:r>
            <w:r w:rsidRPr="00281428">
              <w:rPr>
                <w:rFonts w:cs="Arial"/>
                <w:szCs w:val="14"/>
              </w:rPr>
              <w:t>794</w:t>
            </w:r>
            <w:r>
              <w:rPr>
                <w:rFonts w:cs="Arial"/>
                <w:szCs w:val="14"/>
              </w:rPr>
              <w:t>,</w:t>
            </w:r>
            <w:r w:rsidRPr="00281428">
              <w:rPr>
                <w:rFonts w:cs="Arial"/>
                <w:szCs w:val="14"/>
              </w:rPr>
              <w:t>544</w:t>
            </w:r>
          </w:p>
        </w:tc>
      </w:tr>
      <w:tr w:rsidR="008B7E19" w:rsidRPr="001D6BE8" w14:paraId="258D2630"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119" w:type="dxa"/>
            <w:tcBorders>
              <w:top w:val="nil"/>
              <w:bottom w:val="nil"/>
            </w:tcBorders>
            <w:shd w:val="clear" w:color="auto" w:fill="auto"/>
            <w:vAlign w:val="center"/>
          </w:tcPr>
          <w:p w14:paraId="1E9D912A" w14:textId="77777777" w:rsidR="008B7E19" w:rsidRPr="0038031F" w:rsidRDefault="008B7E19" w:rsidP="008B7E19">
            <w:pPr>
              <w:pStyle w:val="08-Tabelageral"/>
              <w:jc w:val="left"/>
              <w:rPr>
                <w:b w:val="0"/>
              </w:rPr>
            </w:pPr>
          </w:p>
        </w:tc>
        <w:tc>
          <w:tcPr>
            <w:tcW w:w="700" w:type="dxa"/>
            <w:tcBorders>
              <w:top w:val="nil"/>
              <w:bottom w:val="nil"/>
            </w:tcBorders>
            <w:shd w:val="clear" w:color="auto" w:fill="auto"/>
            <w:vAlign w:val="center"/>
          </w:tcPr>
          <w:p w14:paraId="1DD6C9EF" w14:textId="77777777" w:rsidR="008B7E19" w:rsidRPr="00CF4B29"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szCs w:val="14"/>
              </w:rPr>
            </w:pPr>
          </w:p>
        </w:tc>
        <w:tc>
          <w:tcPr>
            <w:tcW w:w="1120" w:type="dxa"/>
            <w:tcBorders>
              <w:top w:val="nil"/>
              <w:bottom w:val="nil"/>
            </w:tcBorders>
            <w:shd w:val="clear" w:color="auto" w:fill="auto"/>
            <w:vAlign w:val="center"/>
          </w:tcPr>
          <w:p w14:paraId="540D88D9" w14:textId="77777777" w:rsidR="008B7E19" w:rsidRPr="00350BA7"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169" w:type="dxa"/>
            <w:tcBorders>
              <w:top w:val="nil"/>
              <w:bottom w:val="nil"/>
            </w:tcBorders>
            <w:shd w:val="clear" w:color="auto" w:fill="auto"/>
            <w:vAlign w:val="center"/>
          </w:tcPr>
          <w:p w14:paraId="2647E16C" w14:textId="77777777" w:rsidR="008B7E19" w:rsidRPr="00CF4B29" w:rsidRDefault="008B7E19" w:rsidP="008B7E19">
            <w:pPr>
              <w:pStyle w:val="08-Tabelageral"/>
              <w:cnfStyle w:val="000000100000" w:firstRow="0" w:lastRow="0" w:firstColumn="0" w:lastColumn="0" w:oddVBand="0" w:evenVBand="0" w:oddHBand="1" w:evenHBand="0" w:firstRowFirstColumn="0" w:firstRowLastColumn="0" w:lastRowFirstColumn="0" w:lastRowLastColumn="0"/>
            </w:pPr>
          </w:p>
        </w:tc>
        <w:tc>
          <w:tcPr>
            <w:tcW w:w="993" w:type="dxa"/>
            <w:gridSpan w:val="2"/>
            <w:tcBorders>
              <w:top w:val="nil"/>
              <w:bottom w:val="nil"/>
            </w:tcBorders>
            <w:shd w:val="clear" w:color="auto" w:fill="auto"/>
            <w:vAlign w:val="center"/>
          </w:tcPr>
          <w:p w14:paraId="2E9FB7FD" w14:textId="77777777" w:rsidR="008B7E19" w:rsidRPr="00CF4B29" w:rsidRDefault="008B7E19" w:rsidP="008B7E19">
            <w:pPr>
              <w:pStyle w:val="08-Tabelageral"/>
              <w:cnfStyle w:val="000000100000" w:firstRow="0" w:lastRow="0" w:firstColumn="0" w:lastColumn="0" w:oddVBand="0" w:evenVBand="0" w:oddHBand="1" w:evenHBand="0" w:firstRowFirstColumn="0" w:firstRowLastColumn="0" w:lastRowFirstColumn="0" w:lastRowLastColumn="0"/>
            </w:pPr>
          </w:p>
        </w:tc>
        <w:tc>
          <w:tcPr>
            <w:tcW w:w="286" w:type="dxa"/>
            <w:gridSpan w:val="2"/>
            <w:tcBorders>
              <w:top w:val="nil"/>
              <w:bottom w:val="nil"/>
            </w:tcBorders>
            <w:shd w:val="clear" w:color="auto" w:fill="auto"/>
            <w:vAlign w:val="center"/>
          </w:tcPr>
          <w:p w14:paraId="406230E3" w14:textId="77777777" w:rsidR="008B7E19" w:rsidRPr="00350BA7"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273" w:type="dxa"/>
            <w:gridSpan w:val="3"/>
            <w:tcBorders>
              <w:top w:val="nil"/>
              <w:bottom w:val="nil"/>
            </w:tcBorders>
            <w:shd w:val="clear" w:color="auto" w:fill="auto"/>
            <w:vAlign w:val="center"/>
          </w:tcPr>
          <w:p w14:paraId="11FA555A" w14:textId="77777777" w:rsidR="008B7E19" w:rsidRPr="00350BA7"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989" w:type="dxa"/>
            <w:gridSpan w:val="2"/>
            <w:tcBorders>
              <w:top w:val="nil"/>
              <w:bottom w:val="nil"/>
            </w:tcBorders>
            <w:shd w:val="clear" w:color="auto" w:fill="auto"/>
            <w:vAlign w:val="center"/>
          </w:tcPr>
          <w:p w14:paraId="4BA90BDA" w14:textId="77777777" w:rsidR="008B7E19" w:rsidRPr="00CF4B29" w:rsidRDefault="008B7E19" w:rsidP="008B7E19">
            <w:pPr>
              <w:pStyle w:val="08-Tabelageral"/>
              <w:cnfStyle w:val="000000100000" w:firstRow="0" w:lastRow="0" w:firstColumn="0" w:lastColumn="0" w:oddVBand="0" w:evenVBand="0" w:oddHBand="1" w:evenHBand="0" w:firstRowFirstColumn="0" w:firstRowLastColumn="0" w:lastRowFirstColumn="0" w:lastRowLastColumn="0"/>
            </w:pPr>
          </w:p>
        </w:tc>
        <w:tc>
          <w:tcPr>
            <w:tcW w:w="990" w:type="dxa"/>
            <w:tcBorders>
              <w:top w:val="nil"/>
              <w:bottom w:val="nil"/>
            </w:tcBorders>
            <w:shd w:val="clear" w:color="auto" w:fill="auto"/>
            <w:vAlign w:val="center"/>
          </w:tcPr>
          <w:p w14:paraId="2F387FD7" w14:textId="77777777" w:rsidR="008B7E19" w:rsidRPr="00CF4B29" w:rsidRDefault="008B7E19" w:rsidP="008B7E19">
            <w:pPr>
              <w:pStyle w:val="08-Tabelageral"/>
              <w:cnfStyle w:val="000000100000" w:firstRow="0" w:lastRow="0" w:firstColumn="0" w:lastColumn="0" w:oddVBand="0" w:evenVBand="0" w:oddHBand="1" w:evenHBand="0" w:firstRowFirstColumn="0" w:firstRowLastColumn="0" w:lastRowFirstColumn="0" w:lastRowLastColumn="0"/>
            </w:pPr>
          </w:p>
        </w:tc>
      </w:tr>
      <w:tr w:rsidR="008B7E19" w:rsidRPr="001D6BE8" w14:paraId="0B13D9EA" w14:textId="77777777" w:rsidTr="008B7E19">
        <w:trPr>
          <w:trHeight w:val="238"/>
          <w:jc w:val="center"/>
        </w:trPr>
        <w:tc>
          <w:tcPr>
            <w:cnfStyle w:val="001000000000" w:firstRow="0" w:lastRow="0" w:firstColumn="1" w:lastColumn="0" w:oddVBand="0" w:evenVBand="0" w:oddHBand="0" w:evenHBand="0" w:firstRowFirstColumn="0" w:firstRowLastColumn="0" w:lastRowFirstColumn="0" w:lastRowLastColumn="0"/>
            <w:tcW w:w="2119" w:type="dxa"/>
            <w:tcBorders>
              <w:top w:val="nil"/>
              <w:bottom w:val="nil"/>
            </w:tcBorders>
            <w:shd w:val="clear" w:color="auto" w:fill="auto"/>
            <w:vAlign w:val="center"/>
          </w:tcPr>
          <w:p w14:paraId="32FEB310" w14:textId="77777777" w:rsidR="008B7E19" w:rsidRPr="00CD3714" w:rsidRDefault="008B7E19" w:rsidP="008B7E19">
            <w:pPr>
              <w:pStyle w:val="08-Tabelageral"/>
              <w:jc w:val="left"/>
            </w:pPr>
            <w:r w:rsidRPr="00C27294">
              <w:t>Total Liabilities</w:t>
            </w:r>
          </w:p>
        </w:tc>
        <w:tc>
          <w:tcPr>
            <w:tcW w:w="700" w:type="dxa"/>
            <w:tcBorders>
              <w:top w:val="nil"/>
              <w:bottom w:val="nil"/>
            </w:tcBorders>
            <w:shd w:val="clear" w:color="auto" w:fill="auto"/>
            <w:vAlign w:val="center"/>
          </w:tcPr>
          <w:p w14:paraId="70284C6B" w14:textId="77777777" w:rsidR="008B7E19" w:rsidRPr="00CF4B29"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b/>
                <w:szCs w:val="14"/>
              </w:rPr>
            </w:pPr>
          </w:p>
        </w:tc>
        <w:tc>
          <w:tcPr>
            <w:tcW w:w="1120" w:type="dxa"/>
            <w:tcBorders>
              <w:top w:val="nil"/>
              <w:bottom w:val="nil"/>
            </w:tcBorders>
            <w:shd w:val="clear" w:color="auto" w:fill="auto"/>
            <w:vAlign w:val="center"/>
          </w:tcPr>
          <w:p w14:paraId="55089C61" w14:textId="77777777" w:rsidR="008B7E19" w:rsidRPr="006B5975"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b/>
                <w:bCs/>
                <w:szCs w:val="14"/>
              </w:rPr>
            </w:pPr>
            <w:r w:rsidRPr="006E4E16">
              <w:rPr>
                <w:rFonts w:cs="Arial"/>
                <w:b/>
                <w:szCs w:val="14"/>
              </w:rPr>
              <w:t>3</w:t>
            </w:r>
            <w:r>
              <w:rPr>
                <w:rFonts w:cs="Arial"/>
                <w:b/>
                <w:szCs w:val="14"/>
              </w:rPr>
              <w:t>,</w:t>
            </w:r>
            <w:r w:rsidRPr="006E4E16">
              <w:rPr>
                <w:rFonts w:cs="Arial"/>
                <w:b/>
                <w:szCs w:val="14"/>
              </w:rPr>
              <w:t>220</w:t>
            </w:r>
            <w:r>
              <w:rPr>
                <w:rFonts w:cs="Arial"/>
                <w:b/>
                <w:szCs w:val="14"/>
              </w:rPr>
              <w:t>,</w:t>
            </w:r>
            <w:r w:rsidRPr="006E4E16">
              <w:rPr>
                <w:rFonts w:cs="Arial"/>
                <w:b/>
                <w:szCs w:val="14"/>
              </w:rPr>
              <w:t>98</w:t>
            </w:r>
            <w:r>
              <w:rPr>
                <w:rFonts w:cs="Arial"/>
                <w:b/>
                <w:szCs w:val="14"/>
              </w:rPr>
              <w:t>2</w:t>
            </w:r>
          </w:p>
        </w:tc>
        <w:tc>
          <w:tcPr>
            <w:tcW w:w="1169" w:type="dxa"/>
            <w:tcBorders>
              <w:top w:val="nil"/>
              <w:bottom w:val="nil"/>
            </w:tcBorders>
            <w:shd w:val="clear" w:color="auto" w:fill="auto"/>
            <w:vAlign w:val="center"/>
          </w:tcPr>
          <w:p w14:paraId="46642AA7" w14:textId="77777777" w:rsidR="008B7E19" w:rsidRPr="00EE1C73"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b/>
                <w:szCs w:val="14"/>
              </w:rPr>
            </w:pPr>
            <w:r w:rsidRPr="00281428">
              <w:rPr>
                <w:rFonts w:cs="Arial"/>
                <w:b/>
                <w:szCs w:val="14"/>
              </w:rPr>
              <w:t>3</w:t>
            </w:r>
            <w:r>
              <w:rPr>
                <w:rFonts w:cs="Arial"/>
                <w:b/>
                <w:szCs w:val="14"/>
              </w:rPr>
              <w:t>,</w:t>
            </w:r>
            <w:r w:rsidRPr="00281428">
              <w:rPr>
                <w:rFonts w:cs="Arial"/>
                <w:b/>
                <w:szCs w:val="14"/>
              </w:rPr>
              <w:t>686</w:t>
            </w:r>
            <w:r>
              <w:rPr>
                <w:rFonts w:cs="Arial"/>
                <w:b/>
                <w:szCs w:val="14"/>
              </w:rPr>
              <w:t>,</w:t>
            </w:r>
            <w:r w:rsidRPr="00281428">
              <w:rPr>
                <w:rFonts w:cs="Arial"/>
                <w:b/>
                <w:szCs w:val="14"/>
              </w:rPr>
              <w:t>323</w:t>
            </w:r>
          </w:p>
        </w:tc>
        <w:tc>
          <w:tcPr>
            <w:tcW w:w="993" w:type="dxa"/>
            <w:gridSpan w:val="2"/>
            <w:tcBorders>
              <w:top w:val="nil"/>
              <w:bottom w:val="nil"/>
            </w:tcBorders>
            <w:shd w:val="clear" w:color="auto" w:fill="auto"/>
            <w:vAlign w:val="center"/>
          </w:tcPr>
          <w:p w14:paraId="0BC51459" w14:textId="77777777" w:rsidR="008B7E19" w:rsidRPr="006B5975"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b/>
                <w:bCs/>
              </w:rPr>
            </w:pPr>
            <w:r w:rsidRPr="00281428">
              <w:rPr>
                <w:rFonts w:cs="Arial"/>
                <w:b/>
                <w:szCs w:val="14"/>
              </w:rPr>
              <w:t>1</w:t>
            </w:r>
            <w:r>
              <w:rPr>
                <w:rFonts w:cs="Arial"/>
                <w:b/>
                <w:szCs w:val="14"/>
              </w:rPr>
              <w:t>,</w:t>
            </w:r>
            <w:r w:rsidRPr="00281428">
              <w:rPr>
                <w:rFonts w:cs="Arial"/>
                <w:b/>
                <w:szCs w:val="14"/>
              </w:rPr>
              <w:t>843</w:t>
            </w:r>
            <w:r>
              <w:rPr>
                <w:rFonts w:cs="Arial"/>
                <w:b/>
                <w:szCs w:val="14"/>
              </w:rPr>
              <w:t>,</w:t>
            </w:r>
            <w:r w:rsidRPr="00281428">
              <w:rPr>
                <w:rFonts w:cs="Arial"/>
                <w:b/>
                <w:szCs w:val="14"/>
              </w:rPr>
              <w:t>002</w:t>
            </w:r>
          </w:p>
        </w:tc>
        <w:tc>
          <w:tcPr>
            <w:tcW w:w="286" w:type="dxa"/>
            <w:gridSpan w:val="2"/>
            <w:tcBorders>
              <w:top w:val="nil"/>
              <w:bottom w:val="nil"/>
            </w:tcBorders>
            <w:shd w:val="clear" w:color="auto" w:fill="auto"/>
            <w:vAlign w:val="center"/>
          </w:tcPr>
          <w:p w14:paraId="22AA5F58" w14:textId="77777777" w:rsidR="008B7E19" w:rsidRPr="006B5975"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b/>
                <w:bCs/>
                <w:szCs w:val="14"/>
              </w:rPr>
            </w:pPr>
          </w:p>
        </w:tc>
        <w:tc>
          <w:tcPr>
            <w:tcW w:w="1273" w:type="dxa"/>
            <w:gridSpan w:val="3"/>
            <w:tcBorders>
              <w:top w:val="nil"/>
              <w:bottom w:val="nil"/>
            </w:tcBorders>
            <w:shd w:val="clear" w:color="auto" w:fill="auto"/>
            <w:vAlign w:val="center"/>
          </w:tcPr>
          <w:p w14:paraId="7D18719B" w14:textId="77777777" w:rsidR="008B7E19" w:rsidRPr="006B5975"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b/>
                <w:bCs/>
                <w:szCs w:val="14"/>
              </w:rPr>
            </w:pPr>
            <w:r w:rsidRPr="006E4E16">
              <w:rPr>
                <w:rFonts w:cs="Arial"/>
                <w:b/>
                <w:bCs/>
                <w:szCs w:val="14"/>
              </w:rPr>
              <w:t>8</w:t>
            </w:r>
            <w:r>
              <w:rPr>
                <w:rFonts w:cs="Arial"/>
                <w:b/>
                <w:bCs/>
                <w:szCs w:val="14"/>
              </w:rPr>
              <w:t>,</w:t>
            </w:r>
            <w:r w:rsidRPr="006E4E16">
              <w:rPr>
                <w:rFonts w:cs="Arial"/>
                <w:b/>
                <w:bCs/>
                <w:szCs w:val="14"/>
              </w:rPr>
              <w:t>036</w:t>
            </w:r>
            <w:r>
              <w:rPr>
                <w:rFonts w:cs="Arial"/>
                <w:b/>
                <w:bCs/>
                <w:szCs w:val="14"/>
              </w:rPr>
              <w:t>,</w:t>
            </w:r>
            <w:r w:rsidRPr="006E4E16">
              <w:rPr>
                <w:rFonts w:cs="Arial"/>
                <w:b/>
                <w:bCs/>
                <w:szCs w:val="14"/>
              </w:rPr>
              <w:t>28</w:t>
            </w:r>
            <w:r>
              <w:rPr>
                <w:rFonts w:cs="Arial"/>
                <w:b/>
                <w:bCs/>
                <w:szCs w:val="14"/>
              </w:rPr>
              <w:t>7</w:t>
            </w:r>
          </w:p>
        </w:tc>
        <w:tc>
          <w:tcPr>
            <w:tcW w:w="989" w:type="dxa"/>
            <w:gridSpan w:val="2"/>
            <w:tcBorders>
              <w:top w:val="nil"/>
              <w:bottom w:val="nil"/>
            </w:tcBorders>
            <w:shd w:val="clear" w:color="auto" w:fill="auto"/>
            <w:vAlign w:val="center"/>
          </w:tcPr>
          <w:p w14:paraId="2DCB41D1" w14:textId="77777777" w:rsidR="008B7E19" w:rsidRPr="00EE1C73"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b/>
                <w:bCs/>
                <w:szCs w:val="14"/>
              </w:rPr>
            </w:pPr>
            <w:r w:rsidRPr="00281428">
              <w:rPr>
                <w:rFonts w:cs="Arial"/>
                <w:b/>
                <w:bCs/>
                <w:szCs w:val="14"/>
              </w:rPr>
              <w:t>8</w:t>
            </w:r>
            <w:r>
              <w:rPr>
                <w:rFonts w:cs="Arial"/>
                <w:b/>
                <w:bCs/>
                <w:szCs w:val="14"/>
              </w:rPr>
              <w:t>,</w:t>
            </w:r>
            <w:r w:rsidRPr="00281428">
              <w:rPr>
                <w:rFonts w:cs="Arial"/>
                <w:b/>
                <w:bCs/>
                <w:szCs w:val="14"/>
              </w:rPr>
              <w:t>533</w:t>
            </w:r>
            <w:r>
              <w:rPr>
                <w:rFonts w:cs="Arial"/>
                <w:b/>
                <w:bCs/>
                <w:szCs w:val="14"/>
              </w:rPr>
              <w:t>,</w:t>
            </w:r>
            <w:r w:rsidRPr="00281428">
              <w:rPr>
                <w:rFonts w:cs="Arial"/>
                <w:b/>
                <w:bCs/>
                <w:szCs w:val="14"/>
              </w:rPr>
              <w:t>731</w:t>
            </w:r>
          </w:p>
        </w:tc>
        <w:tc>
          <w:tcPr>
            <w:tcW w:w="990" w:type="dxa"/>
            <w:tcBorders>
              <w:top w:val="nil"/>
              <w:bottom w:val="nil"/>
            </w:tcBorders>
            <w:shd w:val="clear" w:color="auto" w:fill="auto"/>
            <w:vAlign w:val="center"/>
          </w:tcPr>
          <w:p w14:paraId="69A8C82A" w14:textId="77777777" w:rsidR="008B7E19" w:rsidRPr="006B5975"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b/>
                <w:bCs/>
              </w:rPr>
            </w:pPr>
            <w:r w:rsidRPr="00281428">
              <w:rPr>
                <w:rFonts w:cs="Arial"/>
                <w:b/>
                <w:bCs/>
                <w:szCs w:val="14"/>
              </w:rPr>
              <w:t>6</w:t>
            </w:r>
            <w:r>
              <w:rPr>
                <w:rFonts w:cs="Arial"/>
                <w:b/>
                <w:bCs/>
                <w:szCs w:val="14"/>
              </w:rPr>
              <w:t>,</w:t>
            </w:r>
            <w:r w:rsidRPr="00281428">
              <w:rPr>
                <w:rFonts w:cs="Arial"/>
                <w:b/>
                <w:bCs/>
                <w:szCs w:val="14"/>
              </w:rPr>
              <w:t>032</w:t>
            </w:r>
            <w:r>
              <w:rPr>
                <w:rFonts w:cs="Arial"/>
                <w:b/>
                <w:bCs/>
                <w:szCs w:val="14"/>
              </w:rPr>
              <w:t>,</w:t>
            </w:r>
            <w:r w:rsidRPr="00281428">
              <w:rPr>
                <w:rFonts w:cs="Arial"/>
                <w:b/>
                <w:bCs/>
                <w:szCs w:val="14"/>
              </w:rPr>
              <w:t>805</w:t>
            </w:r>
          </w:p>
        </w:tc>
      </w:tr>
      <w:tr w:rsidR="008B7E19" w:rsidRPr="001D6BE8" w14:paraId="19621EF5"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119" w:type="dxa"/>
            <w:tcBorders>
              <w:top w:val="nil"/>
              <w:bottom w:val="nil"/>
            </w:tcBorders>
            <w:shd w:val="clear" w:color="auto" w:fill="auto"/>
            <w:vAlign w:val="center"/>
          </w:tcPr>
          <w:p w14:paraId="139B93A4" w14:textId="77777777" w:rsidR="008B7E19" w:rsidRPr="0038031F" w:rsidRDefault="008B7E19" w:rsidP="008B7E19">
            <w:pPr>
              <w:pStyle w:val="08-Tabelageral"/>
              <w:jc w:val="left"/>
              <w:rPr>
                <w:b w:val="0"/>
              </w:rPr>
            </w:pPr>
          </w:p>
        </w:tc>
        <w:tc>
          <w:tcPr>
            <w:tcW w:w="700" w:type="dxa"/>
            <w:tcBorders>
              <w:top w:val="nil"/>
              <w:bottom w:val="nil"/>
            </w:tcBorders>
            <w:shd w:val="clear" w:color="auto" w:fill="auto"/>
            <w:vAlign w:val="center"/>
          </w:tcPr>
          <w:p w14:paraId="527BC5CE" w14:textId="77777777" w:rsidR="008B7E19" w:rsidRPr="00CF4B29"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szCs w:val="14"/>
              </w:rPr>
            </w:pPr>
          </w:p>
        </w:tc>
        <w:tc>
          <w:tcPr>
            <w:tcW w:w="1120" w:type="dxa"/>
            <w:tcBorders>
              <w:top w:val="nil"/>
              <w:bottom w:val="nil"/>
            </w:tcBorders>
            <w:shd w:val="clear" w:color="auto" w:fill="auto"/>
            <w:vAlign w:val="center"/>
          </w:tcPr>
          <w:p w14:paraId="716057C2" w14:textId="77777777" w:rsidR="008B7E19" w:rsidRPr="00350BA7"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169" w:type="dxa"/>
            <w:tcBorders>
              <w:top w:val="nil"/>
              <w:bottom w:val="nil"/>
            </w:tcBorders>
            <w:shd w:val="clear" w:color="auto" w:fill="auto"/>
            <w:vAlign w:val="center"/>
          </w:tcPr>
          <w:p w14:paraId="1813AB36" w14:textId="77777777" w:rsidR="008B7E19" w:rsidRPr="00CF4B29" w:rsidRDefault="008B7E19" w:rsidP="008B7E19">
            <w:pPr>
              <w:pStyle w:val="08-Tabelageral"/>
              <w:cnfStyle w:val="000000100000" w:firstRow="0" w:lastRow="0" w:firstColumn="0" w:lastColumn="0" w:oddVBand="0" w:evenVBand="0" w:oddHBand="1" w:evenHBand="0" w:firstRowFirstColumn="0" w:firstRowLastColumn="0" w:lastRowFirstColumn="0" w:lastRowLastColumn="0"/>
            </w:pPr>
          </w:p>
        </w:tc>
        <w:tc>
          <w:tcPr>
            <w:tcW w:w="993" w:type="dxa"/>
            <w:gridSpan w:val="2"/>
            <w:tcBorders>
              <w:top w:val="nil"/>
              <w:bottom w:val="nil"/>
            </w:tcBorders>
            <w:shd w:val="clear" w:color="auto" w:fill="auto"/>
            <w:vAlign w:val="center"/>
          </w:tcPr>
          <w:p w14:paraId="459BE24D" w14:textId="77777777" w:rsidR="008B7E19" w:rsidRPr="00CF4B29" w:rsidRDefault="008B7E19" w:rsidP="008B7E19">
            <w:pPr>
              <w:pStyle w:val="08-Tabelageral"/>
              <w:cnfStyle w:val="000000100000" w:firstRow="0" w:lastRow="0" w:firstColumn="0" w:lastColumn="0" w:oddVBand="0" w:evenVBand="0" w:oddHBand="1" w:evenHBand="0" w:firstRowFirstColumn="0" w:firstRowLastColumn="0" w:lastRowFirstColumn="0" w:lastRowLastColumn="0"/>
            </w:pPr>
          </w:p>
        </w:tc>
        <w:tc>
          <w:tcPr>
            <w:tcW w:w="286" w:type="dxa"/>
            <w:gridSpan w:val="2"/>
            <w:tcBorders>
              <w:top w:val="nil"/>
              <w:bottom w:val="nil"/>
            </w:tcBorders>
            <w:shd w:val="clear" w:color="auto" w:fill="auto"/>
            <w:vAlign w:val="center"/>
          </w:tcPr>
          <w:p w14:paraId="084579D8" w14:textId="77777777" w:rsidR="008B7E19" w:rsidRPr="00350BA7"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273" w:type="dxa"/>
            <w:gridSpan w:val="3"/>
            <w:tcBorders>
              <w:top w:val="nil"/>
              <w:bottom w:val="nil"/>
            </w:tcBorders>
            <w:shd w:val="clear" w:color="auto" w:fill="auto"/>
            <w:vAlign w:val="center"/>
          </w:tcPr>
          <w:p w14:paraId="6C600D16" w14:textId="77777777" w:rsidR="008B7E19" w:rsidRPr="00350BA7"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989" w:type="dxa"/>
            <w:gridSpan w:val="2"/>
            <w:tcBorders>
              <w:top w:val="nil"/>
              <w:bottom w:val="nil"/>
            </w:tcBorders>
            <w:shd w:val="clear" w:color="auto" w:fill="auto"/>
            <w:vAlign w:val="center"/>
          </w:tcPr>
          <w:p w14:paraId="3BE2F8FB" w14:textId="77777777" w:rsidR="008B7E19" w:rsidRPr="00CF4B29" w:rsidRDefault="008B7E19" w:rsidP="008B7E19">
            <w:pPr>
              <w:pStyle w:val="08-Tabelageral"/>
              <w:cnfStyle w:val="000000100000" w:firstRow="0" w:lastRow="0" w:firstColumn="0" w:lastColumn="0" w:oddVBand="0" w:evenVBand="0" w:oddHBand="1" w:evenHBand="0" w:firstRowFirstColumn="0" w:firstRowLastColumn="0" w:lastRowFirstColumn="0" w:lastRowLastColumn="0"/>
            </w:pPr>
          </w:p>
        </w:tc>
        <w:tc>
          <w:tcPr>
            <w:tcW w:w="990" w:type="dxa"/>
            <w:tcBorders>
              <w:top w:val="nil"/>
              <w:bottom w:val="nil"/>
            </w:tcBorders>
            <w:shd w:val="clear" w:color="auto" w:fill="auto"/>
            <w:vAlign w:val="center"/>
          </w:tcPr>
          <w:p w14:paraId="0D7695EB" w14:textId="77777777" w:rsidR="008B7E19" w:rsidRPr="00CF4B29" w:rsidRDefault="008B7E19" w:rsidP="008B7E19">
            <w:pPr>
              <w:pStyle w:val="08-Tabelageral"/>
              <w:cnfStyle w:val="000000100000" w:firstRow="0" w:lastRow="0" w:firstColumn="0" w:lastColumn="0" w:oddVBand="0" w:evenVBand="0" w:oddHBand="1" w:evenHBand="0" w:firstRowFirstColumn="0" w:firstRowLastColumn="0" w:lastRowFirstColumn="0" w:lastRowLastColumn="0"/>
            </w:pPr>
          </w:p>
        </w:tc>
      </w:tr>
      <w:tr w:rsidR="008B7E19" w:rsidRPr="001D6BE8" w14:paraId="795D344B" w14:textId="77777777" w:rsidTr="008B7E19">
        <w:trPr>
          <w:trHeight w:val="238"/>
          <w:jc w:val="center"/>
        </w:trPr>
        <w:tc>
          <w:tcPr>
            <w:cnfStyle w:val="001000000000" w:firstRow="0" w:lastRow="0" w:firstColumn="1" w:lastColumn="0" w:oddVBand="0" w:evenVBand="0" w:oddHBand="0" w:evenHBand="0" w:firstRowFirstColumn="0" w:firstRowLastColumn="0" w:lastRowFirstColumn="0" w:lastRowLastColumn="0"/>
            <w:tcW w:w="2119" w:type="dxa"/>
            <w:tcBorders>
              <w:top w:val="nil"/>
              <w:bottom w:val="nil"/>
            </w:tcBorders>
            <w:shd w:val="clear" w:color="auto" w:fill="auto"/>
            <w:vAlign w:val="center"/>
          </w:tcPr>
          <w:p w14:paraId="644A5486" w14:textId="77777777" w:rsidR="008B7E19" w:rsidRPr="00CD3714" w:rsidRDefault="008B7E19" w:rsidP="008B7E19">
            <w:pPr>
              <w:pStyle w:val="08-Tabelageral"/>
              <w:jc w:val="left"/>
            </w:pPr>
            <w:r w:rsidRPr="00C27294">
              <w:t>Equity</w:t>
            </w:r>
          </w:p>
        </w:tc>
        <w:tc>
          <w:tcPr>
            <w:tcW w:w="700" w:type="dxa"/>
            <w:tcBorders>
              <w:top w:val="nil"/>
              <w:bottom w:val="nil"/>
            </w:tcBorders>
            <w:shd w:val="clear" w:color="auto" w:fill="auto"/>
            <w:vAlign w:val="center"/>
          </w:tcPr>
          <w:p w14:paraId="12998960" w14:textId="77777777" w:rsidR="008B7E19" w:rsidRPr="00CF4B29"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b/>
                <w:szCs w:val="14"/>
              </w:rPr>
            </w:pPr>
          </w:p>
        </w:tc>
        <w:tc>
          <w:tcPr>
            <w:tcW w:w="1120" w:type="dxa"/>
            <w:tcBorders>
              <w:top w:val="nil"/>
              <w:left w:val="nil"/>
              <w:bottom w:val="nil"/>
              <w:right w:val="nil"/>
            </w:tcBorders>
            <w:shd w:val="clear" w:color="auto" w:fill="auto"/>
            <w:vAlign w:val="center"/>
          </w:tcPr>
          <w:p w14:paraId="2737E28C" w14:textId="77777777" w:rsidR="008B7E19" w:rsidRPr="006B5975"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b/>
                <w:bCs/>
                <w:szCs w:val="14"/>
              </w:rPr>
            </w:pPr>
            <w:r w:rsidRPr="001F164D">
              <w:rPr>
                <w:rFonts w:cs="Arial"/>
                <w:b/>
                <w:bCs/>
                <w:szCs w:val="14"/>
              </w:rPr>
              <w:t>8</w:t>
            </w:r>
            <w:r>
              <w:rPr>
                <w:rFonts w:cs="Arial"/>
                <w:b/>
                <w:bCs/>
                <w:szCs w:val="14"/>
              </w:rPr>
              <w:t>,</w:t>
            </w:r>
            <w:r w:rsidRPr="001F164D">
              <w:rPr>
                <w:rFonts w:cs="Arial"/>
                <w:b/>
                <w:bCs/>
                <w:szCs w:val="14"/>
              </w:rPr>
              <w:t>943</w:t>
            </w:r>
            <w:r>
              <w:rPr>
                <w:rFonts w:cs="Arial"/>
                <w:b/>
                <w:bCs/>
                <w:szCs w:val="14"/>
              </w:rPr>
              <w:t>,</w:t>
            </w:r>
            <w:r w:rsidRPr="001F164D">
              <w:rPr>
                <w:rFonts w:cs="Arial"/>
                <w:b/>
                <w:bCs/>
                <w:szCs w:val="14"/>
              </w:rPr>
              <w:t>943</w:t>
            </w:r>
          </w:p>
        </w:tc>
        <w:tc>
          <w:tcPr>
            <w:tcW w:w="1169" w:type="dxa"/>
            <w:tcBorders>
              <w:top w:val="nil"/>
              <w:left w:val="nil"/>
              <w:bottom w:val="nil"/>
              <w:right w:val="nil"/>
            </w:tcBorders>
            <w:shd w:val="clear" w:color="auto" w:fill="auto"/>
            <w:vAlign w:val="center"/>
          </w:tcPr>
          <w:p w14:paraId="25FAD0F4" w14:textId="77777777" w:rsidR="008B7E19" w:rsidRPr="00EE1C73"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b/>
                <w:bCs/>
                <w:szCs w:val="14"/>
              </w:rPr>
            </w:pPr>
            <w:r w:rsidRPr="001F164D">
              <w:rPr>
                <w:rFonts w:cs="Arial"/>
                <w:b/>
                <w:bCs/>
                <w:szCs w:val="14"/>
              </w:rPr>
              <w:t>8</w:t>
            </w:r>
            <w:r>
              <w:rPr>
                <w:rFonts w:cs="Arial"/>
                <w:b/>
                <w:bCs/>
                <w:szCs w:val="14"/>
              </w:rPr>
              <w:t>,</w:t>
            </w:r>
            <w:r w:rsidRPr="001F164D">
              <w:rPr>
                <w:rFonts w:cs="Arial"/>
                <w:b/>
                <w:bCs/>
                <w:szCs w:val="14"/>
              </w:rPr>
              <w:t>036</w:t>
            </w:r>
            <w:r>
              <w:rPr>
                <w:rFonts w:cs="Arial"/>
                <w:b/>
                <w:bCs/>
                <w:szCs w:val="14"/>
              </w:rPr>
              <w:t>,</w:t>
            </w:r>
            <w:r w:rsidRPr="001F164D">
              <w:rPr>
                <w:rFonts w:cs="Arial"/>
                <w:b/>
                <w:bCs/>
                <w:szCs w:val="14"/>
              </w:rPr>
              <w:t>730</w:t>
            </w:r>
          </w:p>
        </w:tc>
        <w:tc>
          <w:tcPr>
            <w:tcW w:w="993" w:type="dxa"/>
            <w:gridSpan w:val="2"/>
            <w:tcBorders>
              <w:top w:val="nil"/>
              <w:bottom w:val="nil"/>
            </w:tcBorders>
            <w:shd w:val="clear" w:color="auto" w:fill="auto"/>
            <w:vAlign w:val="center"/>
          </w:tcPr>
          <w:p w14:paraId="222EEE0B" w14:textId="77777777" w:rsidR="008B7E19" w:rsidRPr="006B5975"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b/>
                <w:bCs/>
              </w:rPr>
            </w:pPr>
            <w:r w:rsidRPr="00544B6D">
              <w:rPr>
                <w:rFonts w:cs="Arial"/>
                <w:b/>
                <w:bCs/>
                <w:szCs w:val="14"/>
              </w:rPr>
              <w:t>7</w:t>
            </w:r>
            <w:r>
              <w:rPr>
                <w:rFonts w:cs="Arial"/>
                <w:b/>
                <w:bCs/>
                <w:szCs w:val="14"/>
              </w:rPr>
              <w:t>,</w:t>
            </w:r>
            <w:r w:rsidRPr="00544B6D">
              <w:rPr>
                <w:rFonts w:cs="Arial"/>
                <w:b/>
                <w:bCs/>
                <w:szCs w:val="14"/>
              </w:rPr>
              <w:t>468</w:t>
            </w:r>
            <w:r>
              <w:rPr>
                <w:rFonts w:cs="Arial"/>
                <w:b/>
                <w:bCs/>
                <w:szCs w:val="14"/>
              </w:rPr>
              <w:t>,</w:t>
            </w:r>
            <w:r w:rsidRPr="00544B6D">
              <w:rPr>
                <w:rFonts w:cs="Arial"/>
                <w:b/>
                <w:bCs/>
                <w:szCs w:val="14"/>
              </w:rPr>
              <w:t>401</w:t>
            </w:r>
          </w:p>
        </w:tc>
        <w:tc>
          <w:tcPr>
            <w:tcW w:w="286" w:type="dxa"/>
            <w:gridSpan w:val="2"/>
            <w:tcBorders>
              <w:top w:val="nil"/>
              <w:bottom w:val="nil"/>
            </w:tcBorders>
            <w:shd w:val="clear" w:color="auto" w:fill="auto"/>
            <w:vAlign w:val="center"/>
          </w:tcPr>
          <w:p w14:paraId="7D6EE7D2" w14:textId="77777777" w:rsidR="008B7E19" w:rsidRPr="006B5975"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b/>
                <w:bCs/>
                <w:szCs w:val="14"/>
              </w:rPr>
            </w:pPr>
          </w:p>
        </w:tc>
        <w:tc>
          <w:tcPr>
            <w:tcW w:w="1273" w:type="dxa"/>
            <w:gridSpan w:val="3"/>
            <w:tcBorders>
              <w:top w:val="nil"/>
              <w:left w:val="nil"/>
              <w:bottom w:val="nil"/>
              <w:right w:val="nil"/>
            </w:tcBorders>
            <w:shd w:val="clear" w:color="auto" w:fill="auto"/>
            <w:vAlign w:val="center"/>
          </w:tcPr>
          <w:p w14:paraId="22C05C9A" w14:textId="77777777" w:rsidR="008B7E19" w:rsidRPr="006B5975"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b/>
                <w:bCs/>
                <w:szCs w:val="14"/>
              </w:rPr>
            </w:pPr>
            <w:r w:rsidRPr="001F164D">
              <w:rPr>
                <w:rFonts w:cs="Arial"/>
                <w:b/>
                <w:bCs/>
                <w:szCs w:val="14"/>
              </w:rPr>
              <w:t>8</w:t>
            </w:r>
            <w:r>
              <w:rPr>
                <w:rFonts w:cs="Arial"/>
                <w:b/>
                <w:bCs/>
                <w:szCs w:val="14"/>
              </w:rPr>
              <w:t>,</w:t>
            </w:r>
            <w:r w:rsidRPr="001F164D">
              <w:rPr>
                <w:rFonts w:cs="Arial"/>
                <w:b/>
                <w:bCs/>
                <w:szCs w:val="14"/>
              </w:rPr>
              <w:t>943</w:t>
            </w:r>
            <w:r>
              <w:rPr>
                <w:rFonts w:cs="Arial"/>
                <w:b/>
                <w:bCs/>
                <w:szCs w:val="14"/>
              </w:rPr>
              <w:t>,</w:t>
            </w:r>
            <w:r w:rsidRPr="001F164D">
              <w:rPr>
                <w:rFonts w:cs="Arial"/>
                <w:b/>
                <w:bCs/>
                <w:szCs w:val="14"/>
              </w:rPr>
              <w:t>943</w:t>
            </w:r>
          </w:p>
        </w:tc>
        <w:tc>
          <w:tcPr>
            <w:tcW w:w="989" w:type="dxa"/>
            <w:gridSpan w:val="2"/>
            <w:tcBorders>
              <w:top w:val="nil"/>
              <w:left w:val="nil"/>
              <w:bottom w:val="nil"/>
              <w:right w:val="nil"/>
            </w:tcBorders>
            <w:shd w:val="clear" w:color="auto" w:fill="auto"/>
            <w:vAlign w:val="center"/>
          </w:tcPr>
          <w:p w14:paraId="48AD366B" w14:textId="77777777" w:rsidR="008B7E19" w:rsidRPr="00EE1C73"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b/>
                <w:bCs/>
                <w:szCs w:val="14"/>
              </w:rPr>
            </w:pPr>
            <w:r w:rsidRPr="00544B6D">
              <w:rPr>
                <w:rFonts w:cs="Arial"/>
                <w:b/>
                <w:bCs/>
                <w:szCs w:val="14"/>
              </w:rPr>
              <w:t>8</w:t>
            </w:r>
            <w:r>
              <w:rPr>
                <w:rFonts w:cs="Arial"/>
                <w:b/>
                <w:bCs/>
                <w:szCs w:val="14"/>
              </w:rPr>
              <w:t>,</w:t>
            </w:r>
            <w:r w:rsidRPr="00544B6D">
              <w:rPr>
                <w:rFonts w:cs="Arial"/>
                <w:b/>
                <w:bCs/>
                <w:szCs w:val="14"/>
              </w:rPr>
              <w:t>036</w:t>
            </w:r>
            <w:r>
              <w:rPr>
                <w:rFonts w:cs="Arial"/>
                <w:b/>
                <w:bCs/>
                <w:szCs w:val="14"/>
              </w:rPr>
              <w:t>,</w:t>
            </w:r>
            <w:r w:rsidRPr="00544B6D">
              <w:rPr>
                <w:rFonts w:cs="Arial"/>
                <w:b/>
                <w:bCs/>
                <w:szCs w:val="14"/>
              </w:rPr>
              <w:t>730</w:t>
            </w:r>
          </w:p>
        </w:tc>
        <w:tc>
          <w:tcPr>
            <w:tcW w:w="990" w:type="dxa"/>
            <w:tcBorders>
              <w:top w:val="nil"/>
              <w:bottom w:val="nil"/>
            </w:tcBorders>
            <w:shd w:val="clear" w:color="auto" w:fill="auto"/>
            <w:vAlign w:val="center"/>
          </w:tcPr>
          <w:p w14:paraId="380D82BC" w14:textId="77777777" w:rsidR="008B7E19" w:rsidRPr="006B5975"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b/>
                <w:bCs/>
              </w:rPr>
            </w:pPr>
            <w:r w:rsidRPr="00544B6D">
              <w:rPr>
                <w:rFonts w:cs="Arial"/>
                <w:b/>
                <w:bCs/>
                <w:szCs w:val="14"/>
              </w:rPr>
              <w:t>7</w:t>
            </w:r>
            <w:r>
              <w:rPr>
                <w:rFonts w:cs="Arial"/>
                <w:b/>
                <w:bCs/>
                <w:szCs w:val="14"/>
              </w:rPr>
              <w:t>,</w:t>
            </w:r>
            <w:r w:rsidRPr="00544B6D">
              <w:rPr>
                <w:rFonts w:cs="Arial"/>
                <w:b/>
                <w:bCs/>
                <w:szCs w:val="14"/>
              </w:rPr>
              <w:t>468</w:t>
            </w:r>
            <w:r>
              <w:rPr>
                <w:rFonts w:cs="Arial"/>
                <w:b/>
                <w:bCs/>
                <w:szCs w:val="14"/>
              </w:rPr>
              <w:t>,</w:t>
            </w:r>
            <w:r w:rsidRPr="00544B6D">
              <w:rPr>
                <w:rFonts w:cs="Arial"/>
                <w:b/>
                <w:bCs/>
                <w:szCs w:val="14"/>
              </w:rPr>
              <w:t>401</w:t>
            </w:r>
          </w:p>
        </w:tc>
      </w:tr>
      <w:tr w:rsidR="008B7E19" w:rsidRPr="001D6BE8" w14:paraId="053EB2C8"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119" w:type="dxa"/>
            <w:tcBorders>
              <w:top w:val="nil"/>
              <w:bottom w:val="nil"/>
            </w:tcBorders>
            <w:shd w:val="clear" w:color="auto" w:fill="auto"/>
            <w:vAlign w:val="center"/>
          </w:tcPr>
          <w:p w14:paraId="07AC24D3" w14:textId="77777777" w:rsidR="008B7E19" w:rsidRPr="0038031F" w:rsidRDefault="008B7E19" w:rsidP="008B7E19">
            <w:pPr>
              <w:pStyle w:val="08-Tabelageral"/>
              <w:ind w:left="113"/>
              <w:jc w:val="left"/>
              <w:rPr>
                <w:b w:val="0"/>
              </w:rPr>
            </w:pPr>
            <w:r w:rsidRPr="00C27294">
              <w:rPr>
                <w:b w:val="0"/>
              </w:rPr>
              <w:t>Capital</w:t>
            </w:r>
          </w:p>
        </w:tc>
        <w:tc>
          <w:tcPr>
            <w:tcW w:w="700" w:type="dxa"/>
            <w:tcBorders>
              <w:top w:val="nil"/>
              <w:bottom w:val="nil"/>
            </w:tcBorders>
            <w:shd w:val="clear" w:color="auto" w:fill="auto"/>
            <w:vAlign w:val="center"/>
          </w:tcPr>
          <w:p w14:paraId="720D64A0" w14:textId="77777777" w:rsidR="008B7E19" w:rsidRPr="00CF4B29"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szCs w:val="14"/>
              </w:rPr>
            </w:pPr>
            <w:r w:rsidRPr="00616539">
              <w:t>[25.a]</w:t>
            </w:r>
          </w:p>
        </w:tc>
        <w:tc>
          <w:tcPr>
            <w:tcW w:w="1120" w:type="dxa"/>
            <w:tcBorders>
              <w:top w:val="nil"/>
              <w:left w:val="nil"/>
              <w:bottom w:val="nil"/>
              <w:right w:val="nil"/>
            </w:tcBorders>
            <w:shd w:val="clear" w:color="auto" w:fill="auto"/>
            <w:vAlign w:val="center"/>
          </w:tcPr>
          <w:p w14:paraId="06DA5440" w14:textId="77777777" w:rsidR="008B7E19" w:rsidRPr="00350BA7"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7D44E5">
              <w:rPr>
                <w:rFonts w:cs="Arial"/>
                <w:szCs w:val="14"/>
              </w:rPr>
              <w:t>6</w:t>
            </w:r>
            <w:r>
              <w:rPr>
                <w:rFonts w:cs="Arial"/>
                <w:szCs w:val="14"/>
              </w:rPr>
              <w:t>,</w:t>
            </w:r>
            <w:r w:rsidRPr="007D44E5">
              <w:rPr>
                <w:rFonts w:cs="Arial"/>
                <w:szCs w:val="14"/>
              </w:rPr>
              <w:t>269</w:t>
            </w:r>
            <w:r>
              <w:rPr>
                <w:rFonts w:cs="Arial"/>
                <w:szCs w:val="14"/>
              </w:rPr>
              <w:t>,</w:t>
            </w:r>
            <w:r w:rsidRPr="007D44E5">
              <w:rPr>
                <w:rFonts w:cs="Arial"/>
                <w:szCs w:val="14"/>
              </w:rPr>
              <w:t>692</w:t>
            </w:r>
          </w:p>
        </w:tc>
        <w:tc>
          <w:tcPr>
            <w:tcW w:w="1169" w:type="dxa"/>
            <w:tcBorders>
              <w:top w:val="nil"/>
              <w:left w:val="nil"/>
              <w:bottom w:val="nil"/>
              <w:right w:val="nil"/>
            </w:tcBorders>
            <w:shd w:val="clear" w:color="auto" w:fill="auto"/>
            <w:vAlign w:val="center"/>
          </w:tcPr>
          <w:p w14:paraId="00DED420" w14:textId="77777777" w:rsidR="008B7E19" w:rsidRPr="00EE1C73"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281428">
              <w:rPr>
                <w:rFonts w:cs="Arial"/>
                <w:szCs w:val="14"/>
              </w:rPr>
              <w:t>6</w:t>
            </w:r>
            <w:r>
              <w:rPr>
                <w:rFonts w:cs="Arial"/>
                <w:szCs w:val="14"/>
              </w:rPr>
              <w:t>,</w:t>
            </w:r>
            <w:r w:rsidRPr="00281428">
              <w:rPr>
                <w:rFonts w:cs="Arial"/>
                <w:szCs w:val="14"/>
              </w:rPr>
              <w:t>269</w:t>
            </w:r>
            <w:r>
              <w:rPr>
                <w:rFonts w:cs="Arial"/>
                <w:szCs w:val="14"/>
              </w:rPr>
              <w:t>,</w:t>
            </w:r>
            <w:r w:rsidRPr="00281428">
              <w:rPr>
                <w:rFonts w:cs="Arial"/>
                <w:szCs w:val="14"/>
              </w:rPr>
              <w:t>692</w:t>
            </w:r>
          </w:p>
        </w:tc>
        <w:tc>
          <w:tcPr>
            <w:tcW w:w="993" w:type="dxa"/>
            <w:gridSpan w:val="2"/>
            <w:tcBorders>
              <w:top w:val="nil"/>
              <w:bottom w:val="nil"/>
            </w:tcBorders>
            <w:shd w:val="clear" w:color="auto" w:fill="auto"/>
            <w:vAlign w:val="center"/>
          </w:tcPr>
          <w:p w14:paraId="7F7C7DED" w14:textId="77777777" w:rsidR="008B7E19" w:rsidRPr="00CF4B29" w:rsidRDefault="008B7E19" w:rsidP="008B7E19">
            <w:pPr>
              <w:pStyle w:val="08-Tabelageral"/>
              <w:cnfStyle w:val="000000100000" w:firstRow="0" w:lastRow="0" w:firstColumn="0" w:lastColumn="0" w:oddVBand="0" w:evenVBand="0" w:oddHBand="1" w:evenHBand="0" w:firstRowFirstColumn="0" w:firstRowLastColumn="0" w:lastRowFirstColumn="0" w:lastRowLastColumn="0"/>
            </w:pPr>
            <w:r w:rsidRPr="00281428">
              <w:rPr>
                <w:rFonts w:cs="Arial"/>
                <w:szCs w:val="14"/>
              </w:rPr>
              <w:t>3</w:t>
            </w:r>
            <w:r>
              <w:rPr>
                <w:rFonts w:cs="Arial"/>
                <w:szCs w:val="14"/>
              </w:rPr>
              <w:t>,</w:t>
            </w:r>
            <w:r w:rsidRPr="00281428">
              <w:rPr>
                <w:rFonts w:cs="Arial"/>
                <w:szCs w:val="14"/>
              </w:rPr>
              <w:t>396</w:t>
            </w:r>
            <w:r>
              <w:rPr>
                <w:rFonts w:cs="Arial"/>
                <w:szCs w:val="14"/>
              </w:rPr>
              <w:t>,</w:t>
            </w:r>
            <w:r w:rsidRPr="00281428">
              <w:rPr>
                <w:rFonts w:cs="Arial"/>
                <w:szCs w:val="14"/>
              </w:rPr>
              <w:t>767</w:t>
            </w:r>
          </w:p>
        </w:tc>
        <w:tc>
          <w:tcPr>
            <w:tcW w:w="286" w:type="dxa"/>
            <w:gridSpan w:val="2"/>
            <w:tcBorders>
              <w:top w:val="nil"/>
              <w:bottom w:val="nil"/>
            </w:tcBorders>
            <w:shd w:val="clear" w:color="auto" w:fill="auto"/>
            <w:vAlign w:val="center"/>
          </w:tcPr>
          <w:p w14:paraId="65F7F70A" w14:textId="77777777" w:rsidR="008B7E19" w:rsidRPr="00350BA7"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273" w:type="dxa"/>
            <w:gridSpan w:val="3"/>
            <w:tcBorders>
              <w:top w:val="nil"/>
              <w:left w:val="nil"/>
              <w:bottom w:val="nil"/>
              <w:right w:val="nil"/>
            </w:tcBorders>
            <w:shd w:val="clear" w:color="auto" w:fill="auto"/>
            <w:vAlign w:val="center"/>
          </w:tcPr>
          <w:p w14:paraId="74CD2F71" w14:textId="77777777" w:rsidR="008B7E19" w:rsidRPr="00350BA7"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7D44E5">
              <w:rPr>
                <w:rFonts w:cs="Arial"/>
                <w:szCs w:val="14"/>
              </w:rPr>
              <w:t>6</w:t>
            </w:r>
            <w:r>
              <w:rPr>
                <w:rFonts w:cs="Arial"/>
                <w:szCs w:val="14"/>
              </w:rPr>
              <w:t>,</w:t>
            </w:r>
            <w:r w:rsidRPr="007D44E5">
              <w:rPr>
                <w:rFonts w:cs="Arial"/>
                <w:szCs w:val="14"/>
              </w:rPr>
              <w:t>269</w:t>
            </w:r>
            <w:r>
              <w:rPr>
                <w:rFonts w:cs="Arial"/>
                <w:szCs w:val="14"/>
              </w:rPr>
              <w:t>,</w:t>
            </w:r>
            <w:r w:rsidRPr="007D44E5">
              <w:rPr>
                <w:rFonts w:cs="Arial"/>
                <w:szCs w:val="14"/>
              </w:rPr>
              <w:t>692</w:t>
            </w:r>
          </w:p>
        </w:tc>
        <w:tc>
          <w:tcPr>
            <w:tcW w:w="989" w:type="dxa"/>
            <w:gridSpan w:val="2"/>
            <w:tcBorders>
              <w:top w:val="nil"/>
              <w:left w:val="nil"/>
              <w:bottom w:val="nil"/>
              <w:right w:val="nil"/>
            </w:tcBorders>
            <w:shd w:val="clear" w:color="auto" w:fill="auto"/>
            <w:vAlign w:val="center"/>
          </w:tcPr>
          <w:p w14:paraId="7EA20911" w14:textId="77777777" w:rsidR="008B7E19" w:rsidRPr="00EE1C73"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281428">
              <w:rPr>
                <w:rFonts w:cs="Arial"/>
                <w:szCs w:val="14"/>
              </w:rPr>
              <w:t>6</w:t>
            </w:r>
            <w:r>
              <w:rPr>
                <w:rFonts w:cs="Arial"/>
                <w:szCs w:val="14"/>
              </w:rPr>
              <w:t>,</w:t>
            </w:r>
            <w:r w:rsidRPr="00281428">
              <w:rPr>
                <w:rFonts w:cs="Arial"/>
                <w:szCs w:val="14"/>
              </w:rPr>
              <w:t>269</w:t>
            </w:r>
            <w:r>
              <w:rPr>
                <w:rFonts w:cs="Arial"/>
                <w:szCs w:val="14"/>
              </w:rPr>
              <w:t>,</w:t>
            </w:r>
            <w:r w:rsidRPr="00281428">
              <w:rPr>
                <w:rFonts w:cs="Arial"/>
                <w:szCs w:val="14"/>
              </w:rPr>
              <w:t>692</w:t>
            </w:r>
          </w:p>
        </w:tc>
        <w:tc>
          <w:tcPr>
            <w:tcW w:w="990" w:type="dxa"/>
            <w:tcBorders>
              <w:top w:val="nil"/>
              <w:bottom w:val="nil"/>
            </w:tcBorders>
            <w:shd w:val="clear" w:color="auto" w:fill="auto"/>
            <w:vAlign w:val="center"/>
          </w:tcPr>
          <w:p w14:paraId="2942DDAB" w14:textId="77777777" w:rsidR="008B7E19" w:rsidRPr="00CF4B29" w:rsidRDefault="008B7E19" w:rsidP="008B7E19">
            <w:pPr>
              <w:pStyle w:val="08-Tabelageral"/>
              <w:cnfStyle w:val="000000100000" w:firstRow="0" w:lastRow="0" w:firstColumn="0" w:lastColumn="0" w:oddVBand="0" w:evenVBand="0" w:oddHBand="1" w:evenHBand="0" w:firstRowFirstColumn="0" w:firstRowLastColumn="0" w:lastRowFirstColumn="0" w:lastRowLastColumn="0"/>
            </w:pPr>
            <w:r w:rsidRPr="00281428">
              <w:rPr>
                <w:rFonts w:cs="Arial"/>
                <w:szCs w:val="14"/>
              </w:rPr>
              <w:t>3</w:t>
            </w:r>
            <w:r>
              <w:rPr>
                <w:rFonts w:cs="Arial"/>
                <w:szCs w:val="14"/>
              </w:rPr>
              <w:t>,</w:t>
            </w:r>
            <w:r w:rsidRPr="00281428">
              <w:rPr>
                <w:rFonts w:cs="Arial"/>
                <w:szCs w:val="14"/>
              </w:rPr>
              <w:t>396</w:t>
            </w:r>
            <w:r>
              <w:rPr>
                <w:rFonts w:cs="Arial"/>
                <w:szCs w:val="14"/>
              </w:rPr>
              <w:t>,</w:t>
            </w:r>
            <w:r w:rsidRPr="00281428">
              <w:rPr>
                <w:rFonts w:cs="Arial"/>
                <w:szCs w:val="14"/>
              </w:rPr>
              <w:t>767</w:t>
            </w:r>
          </w:p>
        </w:tc>
      </w:tr>
      <w:tr w:rsidR="008B7E19" w:rsidRPr="001D6BE8" w14:paraId="78739DEC" w14:textId="77777777" w:rsidTr="008B7E19">
        <w:trPr>
          <w:trHeight w:val="238"/>
          <w:jc w:val="center"/>
        </w:trPr>
        <w:tc>
          <w:tcPr>
            <w:cnfStyle w:val="001000000000" w:firstRow="0" w:lastRow="0" w:firstColumn="1" w:lastColumn="0" w:oddVBand="0" w:evenVBand="0" w:oddHBand="0" w:evenHBand="0" w:firstRowFirstColumn="0" w:firstRowLastColumn="0" w:lastRowFirstColumn="0" w:lastRowLastColumn="0"/>
            <w:tcW w:w="2119" w:type="dxa"/>
            <w:tcBorders>
              <w:top w:val="nil"/>
              <w:bottom w:val="nil"/>
            </w:tcBorders>
            <w:shd w:val="clear" w:color="auto" w:fill="auto"/>
            <w:vAlign w:val="center"/>
          </w:tcPr>
          <w:p w14:paraId="515D44F9" w14:textId="77777777" w:rsidR="008B7E19" w:rsidRPr="0038031F" w:rsidRDefault="008B7E19" w:rsidP="008B7E19">
            <w:pPr>
              <w:pStyle w:val="08-Tabelageral"/>
              <w:ind w:left="113"/>
              <w:jc w:val="left"/>
              <w:rPr>
                <w:b w:val="0"/>
              </w:rPr>
            </w:pPr>
            <w:r w:rsidRPr="00C27294">
              <w:rPr>
                <w:b w:val="0"/>
              </w:rPr>
              <w:t>Capital reserves</w:t>
            </w:r>
          </w:p>
        </w:tc>
        <w:tc>
          <w:tcPr>
            <w:tcW w:w="700" w:type="dxa"/>
            <w:tcBorders>
              <w:top w:val="nil"/>
              <w:bottom w:val="nil"/>
            </w:tcBorders>
            <w:shd w:val="clear" w:color="auto" w:fill="auto"/>
            <w:vAlign w:val="center"/>
          </w:tcPr>
          <w:p w14:paraId="022BE5A5" w14:textId="77777777" w:rsidR="008B7E19" w:rsidRPr="00CF4B29"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szCs w:val="14"/>
              </w:rPr>
            </w:pPr>
            <w:r w:rsidRPr="00616539">
              <w:t>[25.b]</w:t>
            </w:r>
          </w:p>
        </w:tc>
        <w:tc>
          <w:tcPr>
            <w:tcW w:w="1120" w:type="dxa"/>
            <w:tcBorders>
              <w:top w:val="nil"/>
              <w:left w:val="nil"/>
              <w:bottom w:val="nil"/>
              <w:right w:val="nil"/>
            </w:tcBorders>
            <w:shd w:val="clear" w:color="auto" w:fill="auto"/>
            <w:vAlign w:val="center"/>
          </w:tcPr>
          <w:p w14:paraId="69158E9B" w14:textId="77777777" w:rsidR="008B7E19" w:rsidRPr="00350BA7"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r w:rsidRPr="007D44E5">
              <w:rPr>
                <w:rFonts w:cs="Arial"/>
                <w:szCs w:val="14"/>
              </w:rPr>
              <w:t>1</w:t>
            </w:r>
            <w:r>
              <w:rPr>
                <w:rFonts w:cs="Arial"/>
                <w:szCs w:val="14"/>
              </w:rPr>
              <w:t>,</w:t>
            </w:r>
            <w:r w:rsidRPr="007D44E5">
              <w:rPr>
                <w:rFonts w:cs="Arial"/>
                <w:szCs w:val="14"/>
              </w:rPr>
              <w:t>801</w:t>
            </w:r>
          </w:p>
        </w:tc>
        <w:tc>
          <w:tcPr>
            <w:tcW w:w="1169" w:type="dxa"/>
            <w:tcBorders>
              <w:top w:val="nil"/>
              <w:left w:val="nil"/>
              <w:bottom w:val="nil"/>
              <w:right w:val="nil"/>
            </w:tcBorders>
            <w:shd w:val="clear" w:color="auto" w:fill="auto"/>
            <w:vAlign w:val="center"/>
          </w:tcPr>
          <w:p w14:paraId="7B0CBBD4" w14:textId="77777777" w:rsidR="008B7E19" w:rsidRPr="00EE1C73"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r w:rsidRPr="00281428">
              <w:rPr>
                <w:rFonts w:cs="Arial"/>
                <w:szCs w:val="14"/>
              </w:rPr>
              <w:t>1</w:t>
            </w:r>
            <w:r>
              <w:rPr>
                <w:rFonts w:cs="Arial"/>
                <w:szCs w:val="14"/>
              </w:rPr>
              <w:t>,</w:t>
            </w:r>
            <w:r w:rsidRPr="00281428">
              <w:rPr>
                <w:rFonts w:cs="Arial"/>
                <w:szCs w:val="14"/>
              </w:rPr>
              <w:t>571</w:t>
            </w:r>
          </w:p>
        </w:tc>
        <w:tc>
          <w:tcPr>
            <w:tcW w:w="993" w:type="dxa"/>
            <w:gridSpan w:val="2"/>
            <w:tcBorders>
              <w:top w:val="nil"/>
              <w:bottom w:val="nil"/>
            </w:tcBorders>
            <w:shd w:val="clear" w:color="auto" w:fill="auto"/>
            <w:vAlign w:val="center"/>
          </w:tcPr>
          <w:p w14:paraId="328EBDF6" w14:textId="77777777" w:rsidR="008B7E19" w:rsidRPr="00CF4B29" w:rsidRDefault="008B7E19" w:rsidP="008B7E19">
            <w:pPr>
              <w:pStyle w:val="08-Tabelageral"/>
              <w:cnfStyle w:val="000000000000" w:firstRow="0" w:lastRow="0" w:firstColumn="0" w:lastColumn="0" w:oddVBand="0" w:evenVBand="0" w:oddHBand="0" w:evenHBand="0" w:firstRowFirstColumn="0" w:firstRowLastColumn="0" w:lastRowFirstColumn="0" w:lastRowLastColumn="0"/>
            </w:pPr>
            <w:r w:rsidRPr="00281428">
              <w:rPr>
                <w:rFonts w:cs="Arial"/>
                <w:szCs w:val="14"/>
              </w:rPr>
              <w:t>1</w:t>
            </w:r>
            <w:r>
              <w:rPr>
                <w:rFonts w:cs="Arial"/>
                <w:szCs w:val="14"/>
              </w:rPr>
              <w:t>,</w:t>
            </w:r>
            <w:r w:rsidRPr="00281428">
              <w:rPr>
                <w:rFonts w:cs="Arial"/>
                <w:szCs w:val="14"/>
              </w:rPr>
              <w:t>508</w:t>
            </w:r>
          </w:p>
        </w:tc>
        <w:tc>
          <w:tcPr>
            <w:tcW w:w="286" w:type="dxa"/>
            <w:gridSpan w:val="2"/>
            <w:tcBorders>
              <w:top w:val="nil"/>
              <w:bottom w:val="nil"/>
            </w:tcBorders>
            <w:shd w:val="clear" w:color="auto" w:fill="auto"/>
            <w:vAlign w:val="center"/>
          </w:tcPr>
          <w:p w14:paraId="291A4948" w14:textId="77777777" w:rsidR="008B7E19" w:rsidRPr="00350BA7"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p>
        </w:tc>
        <w:tc>
          <w:tcPr>
            <w:tcW w:w="1273" w:type="dxa"/>
            <w:gridSpan w:val="3"/>
            <w:tcBorders>
              <w:top w:val="nil"/>
              <w:left w:val="nil"/>
              <w:bottom w:val="nil"/>
              <w:right w:val="nil"/>
            </w:tcBorders>
            <w:shd w:val="clear" w:color="auto" w:fill="auto"/>
            <w:vAlign w:val="center"/>
          </w:tcPr>
          <w:p w14:paraId="707A0A7F" w14:textId="77777777" w:rsidR="008B7E19" w:rsidRPr="00350BA7"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r w:rsidRPr="007D44E5">
              <w:rPr>
                <w:rFonts w:cs="Arial"/>
                <w:szCs w:val="14"/>
              </w:rPr>
              <w:t>1</w:t>
            </w:r>
            <w:r>
              <w:rPr>
                <w:rFonts w:cs="Arial"/>
                <w:szCs w:val="14"/>
              </w:rPr>
              <w:t>,</w:t>
            </w:r>
            <w:r w:rsidRPr="007D44E5">
              <w:rPr>
                <w:rFonts w:cs="Arial"/>
                <w:szCs w:val="14"/>
              </w:rPr>
              <w:t>801</w:t>
            </w:r>
          </w:p>
        </w:tc>
        <w:tc>
          <w:tcPr>
            <w:tcW w:w="989" w:type="dxa"/>
            <w:gridSpan w:val="2"/>
            <w:tcBorders>
              <w:top w:val="nil"/>
              <w:left w:val="nil"/>
              <w:bottom w:val="nil"/>
              <w:right w:val="nil"/>
            </w:tcBorders>
            <w:shd w:val="clear" w:color="auto" w:fill="auto"/>
            <w:vAlign w:val="center"/>
          </w:tcPr>
          <w:p w14:paraId="14F1A4F2" w14:textId="77777777" w:rsidR="008B7E19" w:rsidRPr="00EE1C73"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r w:rsidRPr="00281428">
              <w:rPr>
                <w:rFonts w:cs="Arial"/>
                <w:szCs w:val="14"/>
              </w:rPr>
              <w:t>1</w:t>
            </w:r>
            <w:r>
              <w:rPr>
                <w:rFonts w:cs="Arial"/>
                <w:szCs w:val="14"/>
              </w:rPr>
              <w:t>,</w:t>
            </w:r>
            <w:r w:rsidRPr="00281428">
              <w:rPr>
                <w:rFonts w:cs="Arial"/>
                <w:szCs w:val="14"/>
              </w:rPr>
              <w:t>571</w:t>
            </w:r>
          </w:p>
        </w:tc>
        <w:tc>
          <w:tcPr>
            <w:tcW w:w="990" w:type="dxa"/>
            <w:tcBorders>
              <w:top w:val="nil"/>
              <w:bottom w:val="nil"/>
            </w:tcBorders>
            <w:shd w:val="clear" w:color="auto" w:fill="auto"/>
            <w:vAlign w:val="center"/>
          </w:tcPr>
          <w:p w14:paraId="1551A6AB" w14:textId="77777777" w:rsidR="008B7E19" w:rsidRPr="00CF4B29" w:rsidRDefault="008B7E19" w:rsidP="008B7E19">
            <w:pPr>
              <w:pStyle w:val="08-Tabelageral"/>
              <w:cnfStyle w:val="000000000000" w:firstRow="0" w:lastRow="0" w:firstColumn="0" w:lastColumn="0" w:oddVBand="0" w:evenVBand="0" w:oddHBand="0" w:evenHBand="0" w:firstRowFirstColumn="0" w:firstRowLastColumn="0" w:lastRowFirstColumn="0" w:lastRowLastColumn="0"/>
            </w:pPr>
            <w:r w:rsidRPr="00281428">
              <w:rPr>
                <w:rFonts w:cs="Arial"/>
                <w:szCs w:val="14"/>
              </w:rPr>
              <w:t>1</w:t>
            </w:r>
            <w:r>
              <w:rPr>
                <w:rFonts w:cs="Arial"/>
                <w:szCs w:val="14"/>
              </w:rPr>
              <w:t>,</w:t>
            </w:r>
            <w:r w:rsidRPr="00281428">
              <w:rPr>
                <w:rFonts w:cs="Arial"/>
                <w:szCs w:val="14"/>
              </w:rPr>
              <w:t>508</w:t>
            </w:r>
          </w:p>
        </w:tc>
      </w:tr>
      <w:tr w:rsidR="008B7E19" w:rsidRPr="001D6BE8" w14:paraId="7D1758D2"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119" w:type="dxa"/>
            <w:tcBorders>
              <w:top w:val="nil"/>
              <w:bottom w:val="nil"/>
            </w:tcBorders>
            <w:shd w:val="clear" w:color="auto" w:fill="auto"/>
            <w:vAlign w:val="center"/>
          </w:tcPr>
          <w:p w14:paraId="067E6298" w14:textId="77777777" w:rsidR="008B7E19" w:rsidRPr="0038031F" w:rsidRDefault="008B7E19" w:rsidP="008B7E19">
            <w:pPr>
              <w:pStyle w:val="08-Tabelageral"/>
              <w:ind w:left="113"/>
              <w:jc w:val="left"/>
              <w:rPr>
                <w:b w:val="0"/>
              </w:rPr>
            </w:pPr>
            <w:r w:rsidRPr="00C27294">
              <w:rPr>
                <w:b w:val="0"/>
              </w:rPr>
              <w:t>Income reserves</w:t>
            </w:r>
          </w:p>
        </w:tc>
        <w:tc>
          <w:tcPr>
            <w:tcW w:w="700" w:type="dxa"/>
            <w:tcBorders>
              <w:top w:val="nil"/>
              <w:bottom w:val="nil"/>
            </w:tcBorders>
            <w:shd w:val="clear" w:color="auto" w:fill="auto"/>
            <w:vAlign w:val="center"/>
          </w:tcPr>
          <w:p w14:paraId="39991E70" w14:textId="77777777" w:rsidR="008B7E19" w:rsidRPr="00CF4B29"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szCs w:val="14"/>
              </w:rPr>
            </w:pPr>
            <w:r w:rsidRPr="00616539">
              <w:t>[25.b]</w:t>
            </w:r>
          </w:p>
        </w:tc>
        <w:tc>
          <w:tcPr>
            <w:tcW w:w="1120" w:type="dxa"/>
            <w:tcBorders>
              <w:top w:val="nil"/>
              <w:left w:val="nil"/>
              <w:bottom w:val="nil"/>
              <w:right w:val="nil"/>
            </w:tcBorders>
            <w:shd w:val="clear" w:color="auto" w:fill="auto"/>
            <w:vAlign w:val="center"/>
          </w:tcPr>
          <w:p w14:paraId="42317186" w14:textId="77777777" w:rsidR="008B7E19" w:rsidRPr="00350BA7"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7D44E5">
              <w:rPr>
                <w:rFonts w:cs="Arial"/>
                <w:szCs w:val="14"/>
              </w:rPr>
              <w:t>1</w:t>
            </w:r>
            <w:r>
              <w:rPr>
                <w:rFonts w:cs="Arial"/>
                <w:szCs w:val="14"/>
              </w:rPr>
              <w:t>,</w:t>
            </w:r>
            <w:r w:rsidRPr="007D44E5">
              <w:rPr>
                <w:rFonts w:cs="Arial"/>
                <w:szCs w:val="14"/>
              </w:rPr>
              <w:t>552</w:t>
            </w:r>
            <w:r>
              <w:rPr>
                <w:rFonts w:cs="Arial"/>
                <w:szCs w:val="14"/>
              </w:rPr>
              <w:t>,</w:t>
            </w:r>
            <w:r w:rsidRPr="007D44E5">
              <w:rPr>
                <w:rFonts w:cs="Arial"/>
                <w:szCs w:val="14"/>
              </w:rPr>
              <w:t>229</w:t>
            </w:r>
          </w:p>
        </w:tc>
        <w:tc>
          <w:tcPr>
            <w:tcW w:w="1169" w:type="dxa"/>
            <w:tcBorders>
              <w:top w:val="nil"/>
              <w:left w:val="nil"/>
              <w:bottom w:val="nil"/>
              <w:right w:val="nil"/>
            </w:tcBorders>
            <w:shd w:val="clear" w:color="auto" w:fill="auto"/>
            <w:vAlign w:val="center"/>
          </w:tcPr>
          <w:p w14:paraId="7DDCFC6A" w14:textId="77777777" w:rsidR="008B7E19" w:rsidRPr="00EE1C73"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281428">
              <w:rPr>
                <w:rFonts w:cs="Arial"/>
                <w:szCs w:val="14"/>
              </w:rPr>
              <w:t>1</w:t>
            </w:r>
            <w:r>
              <w:rPr>
                <w:rFonts w:cs="Arial"/>
                <w:szCs w:val="14"/>
              </w:rPr>
              <w:t>,</w:t>
            </w:r>
            <w:r w:rsidRPr="00281428">
              <w:rPr>
                <w:rFonts w:cs="Arial"/>
                <w:szCs w:val="14"/>
              </w:rPr>
              <w:t>552</w:t>
            </w:r>
            <w:r>
              <w:rPr>
                <w:rFonts w:cs="Arial"/>
                <w:szCs w:val="14"/>
              </w:rPr>
              <w:t>,</w:t>
            </w:r>
            <w:r w:rsidRPr="00281428">
              <w:rPr>
                <w:rFonts w:cs="Arial"/>
                <w:szCs w:val="14"/>
              </w:rPr>
              <w:t>229</w:t>
            </w:r>
          </w:p>
        </w:tc>
        <w:tc>
          <w:tcPr>
            <w:tcW w:w="993" w:type="dxa"/>
            <w:gridSpan w:val="2"/>
            <w:tcBorders>
              <w:top w:val="nil"/>
              <w:bottom w:val="nil"/>
            </w:tcBorders>
            <w:shd w:val="clear" w:color="auto" w:fill="auto"/>
            <w:vAlign w:val="center"/>
          </w:tcPr>
          <w:p w14:paraId="21CC6D70" w14:textId="77777777" w:rsidR="008B7E19" w:rsidRPr="00CF4B29" w:rsidRDefault="008B7E19" w:rsidP="008B7E19">
            <w:pPr>
              <w:pStyle w:val="08-Tabelageral"/>
              <w:cnfStyle w:val="000000100000" w:firstRow="0" w:lastRow="0" w:firstColumn="0" w:lastColumn="0" w:oddVBand="0" w:evenVBand="0" w:oddHBand="1" w:evenHBand="0" w:firstRowFirstColumn="0" w:firstRowLastColumn="0" w:lastRowFirstColumn="0" w:lastRowLastColumn="0"/>
            </w:pPr>
            <w:r w:rsidRPr="00281428">
              <w:rPr>
                <w:rFonts w:cs="Arial"/>
                <w:szCs w:val="14"/>
              </w:rPr>
              <w:t>4</w:t>
            </w:r>
            <w:r>
              <w:rPr>
                <w:rFonts w:cs="Arial"/>
                <w:szCs w:val="14"/>
              </w:rPr>
              <w:t>,</w:t>
            </w:r>
            <w:r w:rsidRPr="00281428">
              <w:rPr>
                <w:rFonts w:cs="Arial"/>
                <w:szCs w:val="14"/>
              </w:rPr>
              <w:t>122</w:t>
            </w:r>
            <w:r>
              <w:rPr>
                <w:rFonts w:cs="Arial"/>
                <w:szCs w:val="14"/>
              </w:rPr>
              <w:t>,</w:t>
            </w:r>
            <w:r w:rsidRPr="00281428">
              <w:rPr>
                <w:rFonts w:cs="Arial"/>
                <w:szCs w:val="14"/>
              </w:rPr>
              <w:t>925</w:t>
            </w:r>
          </w:p>
        </w:tc>
        <w:tc>
          <w:tcPr>
            <w:tcW w:w="286" w:type="dxa"/>
            <w:gridSpan w:val="2"/>
            <w:tcBorders>
              <w:top w:val="nil"/>
              <w:bottom w:val="nil"/>
            </w:tcBorders>
            <w:shd w:val="clear" w:color="auto" w:fill="auto"/>
            <w:vAlign w:val="center"/>
          </w:tcPr>
          <w:p w14:paraId="3A8F3023" w14:textId="77777777" w:rsidR="008B7E19" w:rsidRPr="00350BA7"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273" w:type="dxa"/>
            <w:gridSpan w:val="3"/>
            <w:tcBorders>
              <w:top w:val="nil"/>
              <w:left w:val="nil"/>
              <w:bottom w:val="nil"/>
              <w:right w:val="nil"/>
            </w:tcBorders>
            <w:shd w:val="clear" w:color="auto" w:fill="auto"/>
            <w:vAlign w:val="center"/>
          </w:tcPr>
          <w:p w14:paraId="22368F60" w14:textId="77777777" w:rsidR="008B7E19" w:rsidRPr="00350BA7"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7D44E5">
              <w:rPr>
                <w:rFonts w:cs="Arial"/>
                <w:szCs w:val="14"/>
              </w:rPr>
              <w:t>1</w:t>
            </w:r>
            <w:r>
              <w:rPr>
                <w:rFonts w:cs="Arial"/>
                <w:szCs w:val="14"/>
              </w:rPr>
              <w:t>,</w:t>
            </w:r>
            <w:r w:rsidRPr="007D44E5">
              <w:rPr>
                <w:rFonts w:cs="Arial"/>
                <w:szCs w:val="14"/>
              </w:rPr>
              <w:t>552</w:t>
            </w:r>
            <w:r>
              <w:rPr>
                <w:rFonts w:cs="Arial"/>
                <w:szCs w:val="14"/>
              </w:rPr>
              <w:t>,</w:t>
            </w:r>
            <w:r w:rsidRPr="007D44E5">
              <w:rPr>
                <w:rFonts w:cs="Arial"/>
                <w:szCs w:val="14"/>
              </w:rPr>
              <w:t>229</w:t>
            </w:r>
          </w:p>
        </w:tc>
        <w:tc>
          <w:tcPr>
            <w:tcW w:w="989" w:type="dxa"/>
            <w:gridSpan w:val="2"/>
            <w:tcBorders>
              <w:top w:val="nil"/>
              <w:left w:val="nil"/>
              <w:bottom w:val="nil"/>
              <w:right w:val="nil"/>
            </w:tcBorders>
            <w:shd w:val="clear" w:color="auto" w:fill="auto"/>
            <w:vAlign w:val="center"/>
          </w:tcPr>
          <w:p w14:paraId="2227157E" w14:textId="77777777" w:rsidR="008B7E19" w:rsidRPr="00EE1C73"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281428">
              <w:rPr>
                <w:rFonts w:cs="Arial"/>
                <w:szCs w:val="14"/>
              </w:rPr>
              <w:t>1</w:t>
            </w:r>
            <w:r>
              <w:rPr>
                <w:rFonts w:cs="Arial"/>
                <w:szCs w:val="14"/>
              </w:rPr>
              <w:t>,</w:t>
            </w:r>
            <w:r w:rsidRPr="00281428">
              <w:rPr>
                <w:rFonts w:cs="Arial"/>
                <w:szCs w:val="14"/>
              </w:rPr>
              <w:t>552</w:t>
            </w:r>
            <w:r>
              <w:rPr>
                <w:rFonts w:cs="Arial"/>
                <w:szCs w:val="14"/>
              </w:rPr>
              <w:t>,</w:t>
            </w:r>
            <w:r w:rsidRPr="00281428">
              <w:rPr>
                <w:rFonts w:cs="Arial"/>
                <w:szCs w:val="14"/>
              </w:rPr>
              <w:t>229</w:t>
            </w:r>
          </w:p>
        </w:tc>
        <w:tc>
          <w:tcPr>
            <w:tcW w:w="990" w:type="dxa"/>
            <w:tcBorders>
              <w:top w:val="nil"/>
              <w:bottom w:val="nil"/>
            </w:tcBorders>
            <w:shd w:val="clear" w:color="auto" w:fill="auto"/>
            <w:vAlign w:val="center"/>
          </w:tcPr>
          <w:p w14:paraId="50703E6A" w14:textId="77777777" w:rsidR="008B7E19" w:rsidRPr="00CF4B29" w:rsidRDefault="008B7E19" w:rsidP="008B7E19">
            <w:pPr>
              <w:pStyle w:val="08-Tabelageral"/>
              <w:cnfStyle w:val="000000100000" w:firstRow="0" w:lastRow="0" w:firstColumn="0" w:lastColumn="0" w:oddVBand="0" w:evenVBand="0" w:oddHBand="1" w:evenHBand="0" w:firstRowFirstColumn="0" w:firstRowLastColumn="0" w:lastRowFirstColumn="0" w:lastRowLastColumn="0"/>
            </w:pPr>
            <w:r w:rsidRPr="00281428">
              <w:rPr>
                <w:rFonts w:cs="Arial"/>
                <w:szCs w:val="14"/>
              </w:rPr>
              <w:t>4</w:t>
            </w:r>
            <w:r>
              <w:rPr>
                <w:rFonts w:cs="Arial"/>
                <w:szCs w:val="14"/>
              </w:rPr>
              <w:t>,</w:t>
            </w:r>
            <w:r w:rsidRPr="00281428">
              <w:rPr>
                <w:rFonts w:cs="Arial"/>
                <w:szCs w:val="14"/>
              </w:rPr>
              <w:t>122</w:t>
            </w:r>
            <w:r>
              <w:rPr>
                <w:rFonts w:cs="Arial"/>
                <w:szCs w:val="14"/>
              </w:rPr>
              <w:t>,</w:t>
            </w:r>
            <w:r w:rsidRPr="00281428">
              <w:rPr>
                <w:rFonts w:cs="Arial"/>
                <w:szCs w:val="14"/>
              </w:rPr>
              <w:t>925</w:t>
            </w:r>
          </w:p>
        </w:tc>
      </w:tr>
      <w:tr w:rsidR="008B7E19" w:rsidRPr="001D6BE8" w14:paraId="4072E98F" w14:textId="77777777" w:rsidTr="008B7E19">
        <w:trPr>
          <w:trHeight w:val="238"/>
          <w:jc w:val="center"/>
        </w:trPr>
        <w:tc>
          <w:tcPr>
            <w:cnfStyle w:val="001000000000" w:firstRow="0" w:lastRow="0" w:firstColumn="1" w:lastColumn="0" w:oddVBand="0" w:evenVBand="0" w:oddHBand="0" w:evenHBand="0" w:firstRowFirstColumn="0" w:firstRowLastColumn="0" w:lastRowFirstColumn="0" w:lastRowLastColumn="0"/>
            <w:tcW w:w="2119" w:type="dxa"/>
            <w:tcBorders>
              <w:top w:val="nil"/>
              <w:bottom w:val="nil"/>
            </w:tcBorders>
            <w:shd w:val="clear" w:color="auto" w:fill="auto"/>
            <w:vAlign w:val="center"/>
          </w:tcPr>
          <w:p w14:paraId="03B77B36" w14:textId="77777777" w:rsidR="008B7E19" w:rsidRPr="0038031F" w:rsidRDefault="008B7E19" w:rsidP="008B7E19">
            <w:pPr>
              <w:pStyle w:val="08-Tabelageral"/>
              <w:ind w:left="113"/>
              <w:jc w:val="left"/>
              <w:rPr>
                <w:b w:val="0"/>
              </w:rPr>
            </w:pPr>
            <w:r w:rsidRPr="00C27294">
              <w:rPr>
                <w:b w:val="0"/>
              </w:rPr>
              <w:t>Treasury shares</w:t>
            </w:r>
          </w:p>
        </w:tc>
        <w:tc>
          <w:tcPr>
            <w:tcW w:w="700" w:type="dxa"/>
            <w:tcBorders>
              <w:top w:val="nil"/>
              <w:bottom w:val="nil"/>
            </w:tcBorders>
            <w:shd w:val="clear" w:color="auto" w:fill="auto"/>
            <w:vAlign w:val="center"/>
          </w:tcPr>
          <w:p w14:paraId="30FE711A" w14:textId="77777777" w:rsidR="008B7E19" w:rsidRPr="00CF4B29"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szCs w:val="14"/>
              </w:rPr>
            </w:pPr>
            <w:r w:rsidRPr="00616539">
              <w:t>[25.g</w:t>
            </w:r>
            <w:r>
              <w:t>.4</w:t>
            </w:r>
            <w:r w:rsidRPr="00616539">
              <w:t>]</w:t>
            </w:r>
          </w:p>
        </w:tc>
        <w:tc>
          <w:tcPr>
            <w:tcW w:w="1120" w:type="dxa"/>
            <w:tcBorders>
              <w:top w:val="nil"/>
              <w:left w:val="nil"/>
              <w:bottom w:val="nil"/>
              <w:right w:val="nil"/>
            </w:tcBorders>
            <w:shd w:val="clear" w:color="auto" w:fill="auto"/>
            <w:vAlign w:val="center"/>
          </w:tcPr>
          <w:p w14:paraId="2C45CBE9" w14:textId="77777777" w:rsidR="008B7E19" w:rsidRPr="00350BA7"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r w:rsidRPr="007D44E5">
              <w:rPr>
                <w:rFonts w:cs="Arial"/>
                <w:szCs w:val="14"/>
              </w:rPr>
              <w:t>(79</w:t>
            </w:r>
            <w:r>
              <w:rPr>
                <w:rFonts w:cs="Arial"/>
                <w:szCs w:val="14"/>
              </w:rPr>
              <w:t>,</w:t>
            </w:r>
            <w:r w:rsidRPr="007D44E5">
              <w:rPr>
                <w:rFonts w:cs="Arial"/>
                <w:szCs w:val="14"/>
              </w:rPr>
              <w:t>758)</w:t>
            </w:r>
          </w:p>
        </w:tc>
        <w:tc>
          <w:tcPr>
            <w:tcW w:w="1169" w:type="dxa"/>
            <w:tcBorders>
              <w:top w:val="nil"/>
              <w:left w:val="nil"/>
              <w:bottom w:val="nil"/>
              <w:right w:val="nil"/>
            </w:tcBorders>
            <w:shd w:val="clear" w:color="auto" w:fill="auto"/>
            <w:vAlign w:val="center"/>
          </w:tcPr>
          <w:p w14:paraId="0CAC7ED7" w14:textId="77777777" w:rsidR="008B7E19" w:rsidRPr="00EE1C73"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r w:rsidRPr="00281428">
              <w:rPr>
                <w:rFonts w:cs="Arial"/>
                <w:szCs w:val="14"/>
              </w:rPr>
              <w:t>(80</w:t>
            </w:r>
            <w:r>
              <w:rPr>
                <w:rFonts w:cs="Arial"/>
                <w:szCs w:val="14"/>
              </w:rPr>
              <w:t>,</w:t>
            </w:r>
            <w:r w:rsidRPr="00281428">
              <w:rPr>
                <w:rFonts w:cs="Arial"/>
                <w:szCs w:val="14"/>
              </w:rPr>
              <w:t>344)</w:t>
            </w:r>
          </w:p>
        </w:tc>
        <w:tc>
          <w:tcPr>
            <w:tcW w:w="993" w:type="dxa"/>
            <w:gridSpan w:val="2"/>
            <w:tcBorders>
              <w:top w:val="nil"/>
              <w:bottom w:val="nil"/>
            </w:tcBorders>
            <w:shd w:val="clear" w:color="auto" w:fill="auto"/>
            <w:vAlign w:val="center"/>
          </w:tcPr>
          <w:p w14:paraId="508AC5BC" w14:textId="77777777" w:rsidR="008B7E19" w:rsidRPr="00CF4B29" w:rsidRDefault="008B7E19" w:rsidP="008B7E19">
            <w:pPr>
              <w:pStyle w:val="08-Tabelageral"/>
              <w:cnfStyle w:val="000000000000" w:firstRow="0" w:lastRow="0" w:firstColumn="0" w:lastColumn="0" w:oddVBand="0" w:evenVBand="0" w:oddHBand="0" w:evenHBand="0" w:firstRowFirstColumn="0" w:firstRowLastColumn="0" w:lastRowFirstColumn="0" w:lastRowLastColumn="0"/>
            </w:pPr>
            <w:r w:rsidRPr="00281428">
              <w:rPr>
                <w:rFonts w:cs="Arial"/>
                <w:szCs w:val="14"/>
              </w:rPr>
              <w:t>(81</w:t>
            </w:r>
            <w:r>
              <w:rPr>
                <w:rFonts w:cs="Arial"/>
                <w:szCs w:val="14"/>
              </w:rPr>
              <w:t>,</w:t>
            </w:r>
            <w:r w:rsidRPr="00281428">
              <w:rPr>
                <w:rFonts w:cs="Arial"/>
                <w:szCs w:val="14"/>
              </w:rPr>
              <w:t>320)</w:t>
            </w:r>
          </w:p>
        </w:tc>
        <w:tc>
          <w:tcPr>
            <w:tcW w:w="286" w:type="dxa"/>
            <w:gridSpan w:val="2"/>
            <w:tcBorders>
              <w:top w:val="nil"/>
              <w:bottom w:val="nil"/>
            </w:tcBorders>
            <w:shd w:val="clear" w:color="auto" w:fill="auto"/>
            <w:vAlign w:val="center"/>
          </w:tcPr>
          <w:p w14:paraId="76D0B002" w14:textId="77777777" w:rsidR="008B7E19" w:rsidRPr="00350BA7"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p>
        </w:tc>
        <w:tc>
          <w:tcPr>
            <w:tcW w:w="1273" w:type="dxa"/>
            <w:gridSpan w:val="3"/>
            <w:tcBorders>
              <w:top w:val="nil"/>
              <w:left w:val="nil"/>
              <w:bottom w:val="nil"/>
              <w:right w:val="nil"/>
            </w:tcBorders>
            <w:shd w:val="clear" w:color="auto" w:fill="auto"/>
            <w:vAlign w:val="center"/>
          </w:tcPr>
          <w:p w14:paraId="3EFD4073" w14:textId="77777777" w:rsidR="008B7E19" w:rsidRPr="00350BA7"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r w:rsidRPr="007D44E5">
              <w:rPr>
                <w:rFonts w:cs="Arial"/>
                <w:szCs w:val="14"/>
              </w:rPr>
              <w:t>(79</w:t>
            </w:r>
            <w:r>
              <w:rPr>
                <w:rFonts w:cs="Arial"/>
                <w:szCs w:val="14"/>
              </w:rPr>
              <w:t>,</w:t>
            </w:r>
            <w:r w:rsidRPr="007D44E5">
              <w:rPr>
                <w:rFonts w:cs="Arial"/>
                <w:szCs w:val="14"/>
              </w:rPr>
              <w:t>758)</w:t>
            </w:r>
          </w:p>
        </w:tc>
        <w:tc>
          <w:tcPr>
            <w:tcW w:w="989" w:type="dxa"/>
            <w:gridSpan w:val="2"/>
            <w:tcBorders>
              <w:top w:val="nil"/>
              <w:left w:val="nil"/>
              <w:bottom w:val="nil"/>
              <w:right w:val="nil"/>
            </w:tcBorders>
            <w:shd w:val="clear" w:color="auto" w:fill="auto"/>
            <w:vAlign w:val="center"/>
          </w:tcPr>
          <w:p w14:paraId="149E6235" w14:textId="77777777" w:rsidR="008B7E19" w:rsidRPr="00EE1C73"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r w:rsidRPr="00281428">
              <w:rPr>
                <w:rFonts w:cs="Arial"/>
                <w:szCs w:val="14"/>
              </w:rPr>
              <w:t>(80</w:t>
            </w:r>
            <w:r>
              <w:rPr>
                <w:rFonts w:cs="Arial"/>
                <w:szCs w:val="14"/>
              </w:rPr>
              <w:t>,</w:t>
            </w:r>
            <w:r w:rsidRPr="00281428">
              <w:rPr>
                <w:rFonts w:cs="Arial"/>
                <w:szCs w:val="14"/>
              </w:rPr>
              <w:t>344)</w:t>
            </w:r>
          </w:p>
        </w:tc>
        <w:tc>
          <w:tcPr>
            <w:tcW w:w="990" w:type="dxa"/>
            <w:tcBorders>
              <w:top w:val="nil"/>
              <w:bottom w:val="nil"/>
            </w:tcBorders>
            <w:shd w:val="clear" w:color="auto" w:fill="auto"/>
            <w:vAlign w:val="center"/>
          </w:tcPr>
          <w:p w14:paraId="1B2A4A59" w14:textId="77777777" w:rsidR="008B7E19" w:rsidRPr="00CF4B29" w:rsidRDefault="008B7E19" w:rsidP="008B7E19">
            <w:pPr>
              <w:pStyle w:val="08-Tabelageral"/>
              <w:cnfStyle w:val="000000000000" w:firstRow="0" w:lastRow="0" w:firstColumn="0" w:lastColumn="0" w:oddVBand="0" w:evenVBand="0" w:oddHBand="0" w:evenHBand="0" w:firstRowFirstColumn="0" w:firstRowLastColumn="0" w:lastRowFirstColumn="0" w:lastRowLastColumn="0"/>
            </w:pPr>
            <w:r w:rsidRPr="00281428">
              <w:rPr>
                <w:rFonts w:cs="Arial"/>
                <w:szCs w:val="14"/>
              </w:rPr>
              <w:t>(81</w:t>
            </w:r>
            <w:r>
              <w:rPr>
                <w:rFonts w:cs="Arial"/>
                <w:szCs w:val="14"/>
              </w:rPr>
              <w:t>,</w:t>
            </w:r>
            <w:r w:rsidRPr="00281428">
              <w:rPr>
                <w:rFonts w:cs="Arial"/>
                <w:szCs w:val="14"/>
              </w:rPr>
              <w:t>320)</w:t>
            </w:r>
          </w:p>
        </w:tc>
      </w:tr>
      <w:tr w:rsidR="008B7E19" w:rsidRPr="00490B0B" w14:paraId="457F118E"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119" w:type="dxa"/>
            <w:tcBorders>
              <w:top w:val="nil"/>
              <w:bottom w:val="nil"/>
            </w:tcBorders>
            <w:shd w:val="clear" w:color="auto" w:fill="auto"/>
            <w:vAlign w:val="center"/>
          </w:tcPr>
          <w:p w14:paraId="1376F9C1" w14:textId="77777777" w:rsidR="008B7E19" w:rsidRPr="00490B0B" w:rsidRDefault="008B7E19" w:rsidP="008B7E19">
            <w:pPr>
              <w:pStyle w:val="08-Tabelageral"/>
              <w:ind w:left="113"/>
              <w:jc w:val="left"/>
              <w:rPr>
                <w:b w:val="0"/>
              </w:rPr>
            </w:pPr>
            <w:r w:rsidRPr="00C27294">
              <w:rPr>
                <w:b w:val="0"/>
              </w:rPr>
              <w:t>Other accumulated comprehensive income</w:t>
            </w:r>
          </w:p>
        </w:tc>
        <w:tc>
          <w:tcPr>
            <w:tcW w:w="700" w:type="dxa"/>
            <w:tcBorders>
              <w:top w:val="nil"/>
              <w:bottom w:val="nil"/>
            </w:tcBorders>
            <w:shd w:val="clear" w:color="auto" w:fill="auto"/>
            <w:vAlign w:val="center"/>
          </w:tcPr>
          <w:p w14:paraId="56581CAE" w14:textId="77777777" w:rsidR="008B7E19" w:rsidRPr="00490B0B" w:rsidRDefault="008B7E19" w:rsidP="008B7E19">
            <w:pPr>
              <w:pStyle w:val="08-Tabelageral"/>
              <w:ind w:left="113"/>
              <w:cnfStyle w:val="000000100000" w:firstRow="0" w:lastRow="0" w:firstColumn="0" w:lastColumn="0" w:oddVBand="0" w:evenVBand="0" w:oddHBand="1" w:evenHBand="0" w:firstRowFirstColumn="0" w:firstRowLastColumn="0" w:lastRowFirstColumn="0" w:lastRowLastColumn="0"/>
              <w:rPr>
                <w:b/>
              </w:rPr>
            </w:pPr>
            <w:r w:rsidRPr="00616539">
              <w:t>[25.e]</w:t>
            </w:r>
          </w:p>
        </w:tc>
        <w:tc>
          <w:tcPr>
            <w:tcW w:w="1120" w:type="dxa"/>
            <w:tcBorders>
              <w:top w:val="nil"/>
              <w:left w:val="nil"/>
              <w:bottom w:val="nil"/>
              <w:right w:val="nil"/>
            </w:tcBorders>
            <w:shd w:val="clear" w:color="auto" w:fill="auto"/>
            <w:vAlign w:val="center"/>
          </w:tcPr>
          <w:p w14:paraId="0D512890" w14:textId="77777777" w:rsidR="008B7E19" w:rsidRPr="00490B0B" w:rsidRDefault="008B7E19" w:rsidP="008B7E19">
            <w:pPr>
              <w:pStyle w:val="08-Tabelageral"/>
              <w:ind w:left="113"/>
              <w:cnfStyle w:val="000000100000" w:firstRow="0" w:lastRow="0" w:firstColumn="0" w:lastColumn="0" w:oddVBand="0" w:evenVBand="0" w:oddHBand="1" w:evenHBand="0" w:firstRowFirstColumn="0" w:firstRowLastColumn="0" w:lastRowFirstColumn="0" w:lastRowLastColumn="0"/>
            </w:pPr>
            <w:r w:rsidRPr="001F164D">
              <w:t>49</w:t>
            </w:r>
            <w:r>
              <w:t>,</w:t>
            </w:r>
            <w:r w:rsidRPr="001F164D">
              <w:t>273</w:t>
            </w:r>
          </w:p>
        </w:tc>
        <w:tc>
          <w:tcPr>
            <w:tcW w:w="1169" w:type="dxa"/>
            <w:tcBorders>
              <w:top w:val="nil"/>
              <w:left w:val="nil"/>
              <w:bottom w:val="nil"/>
              <w:right w:val="nil"/>
            </w:tcBorders>
            <w:shd w:val="clear" w:color="auto" w:fill="auto"/>
            <w:vAlign w:val="center"/>
          </w:tcPr>
          <w:p w14:paraId="7D8DDE9F" w14:textId="77777777" w:rsidR="008B7E19" w:rsidRPr="00EE1C73" w:rsidRDefault="008B7E19" w:rsidP="008B7E19">
            <w:pPr>
              <w:pStyle w:val="08-Tabelageral"/>
              <w:ind w:left="113"/>
              <w:cnfStyle w:val="000000100000" w:firstRow="0" w:lastRow="0" w:firstColumn="0" w:lastColumn="0" w:oddVBand="0" w:evenVBand="0" w:oddHBand="1" w:evenHBand="0" w:firstRowFirstColumn="0" w:firstRowLastColumn="0" w:lastRowFirstColumn="0" w:lastRowLastColumn="0"/>
            </w:pPr>
            <w:r w:rsidRPr="001F164D">
              <w:t>(341</w:t>
            </w:r>
            <w:r>
              <w:t>,</w:t>
            </w:r>
            <w:r w:rsidRPr="001F164D">
              <w:t>992)</w:t>
            </w:r>
          </w:p>
        </w:tc>
        <w:tc>
          <w:tcPr>
            <w:tcW w:w="993" w:type="dxa"/>
            <w:gridSpan w:val="2"/>
            <w:tcBorders>
              <w:top w:val="nil"/>
              <w:bottom w:val="nil"/>
            </w:tcBorders>
            <w:shd w:val="clear" w:color="auto" w:fill="auto"/>
            <w:vAlign w:val="center"/>
          </w:tcPr>
          <w:p w14:paraId="46A27073" w14:textId="77777777" w:rsidR="008B7E19" w:rsidRPr="00490B0B" w:rsidRDefault="008B7E19" w:rsidP="008B7E19">
            <w:pPr>
              <w:pStyle w:val="08-Tabelageral"/>
              <w:ind w:left="113"/>
              <w:cnfStyle w:val="000000100000" w:firstRow="0" w:lastRow="0" w:firstColumn="0" w:lastColumn="0" w:oddVBand="0" w:evenVBand="0" w:oddHBand="1" w:evenHBand="0" w:firstRowFirstColumn="0" w:firstRowLastColumn="0" w:lastRowFirstColumn="0" w:lastRowLastColumn="0"/>
            </w:pPr>
            <w:r w:rsidRPr="001F164D">
              <w:t>(455</w:t>
            </w:r>
            <w:r>
              <w:t>,</w:t>
            </w:r>
            <w:r w:rsidRPr="001F164D">
              <w:t>209)</w:t>
            </w:r>
          </w:p>
        </w:tc>
        <w:tc>
          <w:tcPr>
            <w:tcW w:w="286" w:type="dxa"/>
            <w:gridSpan w:val="2"/>
            <w:tcBorders>
              <w:top w:val="nil"/>
              <w:bottom w:val="nil"/>
            </w:tcBorders>
            <w:shd w:val="clear" w:color="auto" w:fill="auto"/>
            <w:vAlign w:val="center"/>
          </w:tcPr>
          <w:p w14:paraId="60C0BAD3" w14:textId="77777777" w:rsidR="008B7E19" w:rsidRPr="00490B0B" w:rsidRDefault="008B7E19" w:rsidP="008B7E19">
            <w:pPr>
              <w:pStyle w:val="08-Tabelageral"/>
              <w:ind w:left="113"/>
              <w:cnfStyle w:val="000000100000" w:firstRow="0" w:lastRow="0" w:firstColumn="0" w:lastColumn="0" w:oddVBand="0" w:evenVBand="0" w:oddHBand="1" w:evenHBand="0" w:firstRowFirstColumn="0" w:firstRowLastColumn="0" w:lastRowFirstColumn="0" w:lastRowLastColumn="0"/>
            </w:pPr>
          </w:p>
        </w:tc>
        <w:tc>
          <w:tcPr>
            <w:tcW w:w="1273" w:type="dxa"/>
            <w:gridSpan w:val="3"/>
            <w:tcBorders>
              <w:top w:val="nil"/>
              <w:left w:val="nil"/>
              <w:bottom w:val="nil"/>
              <w:right w:val="nil"/>
            </w:tcBorders>
            <w:shd w:val="clear" w:color="auto" w:fill="auto"/>
            <w:vAlign w:val="center"/>
          </w:tcPr>
          <w:p w14:paraId="5CCC22B1" w14:textId="77777777" w:rsidR="008B7E19" w:rsidRPr="00490B0B" w:rsidRDefault="008B7E19" w:rsidP="008B7E19">
            <w:pPr>
              <w:pStyle w:val="08-Tabelageral"/>
              <w:ind w:left="113"/>
              <w:cnfStyle w:val="000000100000" w:firstRow="0" w:lastRow="0" w:firstColumn="0" w:lastColumn="0" w:oddVBand="0" w:evenVBand="0" w:oddHBand="1" w:evenHBand="0" w:firstRowFirstColumn="0" w:firstRowLastColumn="0" w:lastRowFirstColumn="0" w:lastRowLastColumn="0"/>
            </w:pPr>
            <w:r w:rsidRPr="001F164D">
              <w:t>49</w:t>
            </w:r>
            <w:r>
              <w:t>,</w:t>
            </w:r>
            <w:r w:rsidRPr="001F164D">
              <w:t>273</w:t>
            </w:r>
          </w:p>
        </w:tc>
        <w:tc>
          <w:tcPr>
            <w:tcW w:w="989" w:type="dxa"/>
            <w:gridSpan w:val="2"/>
            <w:tcBorders>
              <w:top w:val="nil"/>
              <w:left w:val="nil"/>
              <w:bottom w:val="nil"/>
              <w:right w:val="nil"/>
            </w:tcBorders>
            <w:shd w:val="clear" w:color="auto" w:fill="auto"/>
            <w:vAlign w:val="center"/>
          </w:tcPr>
          <w:p w14:paraId="1E5BCBAD" w14:textId="77777777" w:rsidR="008B7E19" w:rsidRPr="00EE1C73" w:rsidRDefault="008B7E19" w:rsidP="008B7E19">
            <w:pPr>
              <w:pStyle w:val="08-Tabelageral"/>
              <w:ind w:left="113"/>
              <w:cnfStyle w:val="000000100000" w:firstRow="0" w:lastRow="0" w:firstColumn="0" w:lastColumn="0" w:oddVBand="0" w:evenVBand="0" w:oddHBand="1" w:evenHBand="0" w:firstRowFirstColumn="0" w:firstRowLastColumn="0" w:lastRowFirstColumn="0" w:lastRowLastColumn="0"/>
            </w:pPr>
            <w:r>
              <w:t>(</w:t>
            </w:r>
            <w:r w:rsidRPr="00544B6D">
              <w:t>341</w:t>
            </w:r>
            <w:r>
              <w:t>,</w:t>
            </w:r>
            <w:r w:rsidRPr="00544B6D">
              <w:t>992</w:t>
            </w:r>
            <w:r>
              <w:t>)</w:t>
            </w:r>
          </w:p>
        </w:tc>
        <w:tc>
          <w:tcPr>
            <w:tcW w:w="990" w:type="dxa"/>
            <w:tcBorders>
              <w:top w:val="nil"/>
              <w:bottom w:val="nil"/>
            </w:tcBorders>
            <w:shd w:val="clear" w:color="auto" w:fill="auto"/>
            <w:vAlign w:val="center"/>
          </w:tcPr>
          <w:p w14:paraId="42A16A7D" w14:textId="77777777" w:rsidR="008B7E19" w:rsidRPr="00490B0B" w:rsidRDefault="008B7E19" w:rsidP="008B7E19">
            <w:pPr>
              <w:pStyle w:val="08-Tabelageral"/>
              <w:ind w:left="113"/>
              <w:cnfStyle w:val="000000100000" w:firstRow="0" w:lastRow="0" w:firstColumn="0" w:lastColumn="0" w:oddVBand="0" w:evenVBand="0" w:oddHBand="1" w:evenHBand="0" w:firstRowFirstColumn="0" w:firstRowLastColumn="0" w:lastRowFirstColumn="0" w:lastRowLastColumn="0"/>
            </w:pPr>
            <w:r>
              <w:t>(</w:t>
            </w:r>
            <w:r w:rsidRPr="00544B6D">
              <w:t>455</w:t>
            </w:r>
            <w:r>
              <w:t>,</w:t>
            </w:r>
            <w:r w:rsidRPr="00544B6D">
              <w:t>209</w:t>
            </w:r>
            <w:r>
              <w:t>)</w:t>
            </w:r>
          </w:p>
        </w:tc>
      </w:tr>
      <w:tr w:rsidR="008B7E19" w:rsidRPr="00490B0B" w14:paraId="6B9727C4" w14:textId="77777777" w:rsidTr="008B7E19">
        <w:trPr>
          <w:trHeight w:val="238"/>
          <w:jc w:val="center"/>
        </w:trPr>
        <w:tc>
          <w:tcPr>
            <w:cnfStyle w:val="001000000000" w:firstRow="0" w:lastRow="0" w:firstColumn="1" w:lastColumn="0" w:oddVBand="0" w:evenVBand="0" w:oddHBand="0" w:evenHBand="0" w:firstRowFirstColumn="0" w:firstRowLastColumn="0" w:lastRowFirstColumn="0" w:lastRowLastColumn="0"/>
            <w:tcW w:w="2119" w:type="dxa"/>
            <w:tcBorders>
              <w:top w:val="nil"/>
              <w:bottom w:val="nil"/>
            </w:tcBorders>
            <w:shd w:val="clear" w:color="auto" w:fill="auto"/>
            <w:vAlign w:val="center"/>
          </w:tcPr>
          <w:p w14:paraId="36D14DC0" w14:textId="77777777" w:rsidR="008B7E19" w:rsidRPr="00C27294" w:rsidRDefault="008B7E19" w:rsidP="008B7E19">
            <w:pPr>
              <w:pStyle w:val="08-Tabelageral"/>
              <w:ind w:left="113"/>
              <w:jc w:val="left"/>
            </w:pPr>
          </w:p>
        </w:tc>
        <w:tc>
          <w:tcPr>
            <w:tcW w:w="700" w:type="dxa"/>
            <w:tcBorders>
              <w:top w:val="nil"/>
              <w:bottom w:val="nil"/>
            </w:tcBorders>
            <w:shd w:val="clear" w:color="auto" w:fill="auto"/>
            <w:vAlign w:val="center"/>
          </w:tcPr>
          <w:p w14:paraId="16A09E70" w14:textId="77777777" w:rsidR="008B7E19" w:rsidRPr="00616539" w:rsidRDefault="008B7E19" w:rsidP="008B7E19">
            <w:pPr>
              <w:pStyle w:val="08-Tabelageral"/>
              <w:ind w:left="113"/>
              <w:cnfStyle w:val="000000000000" w:firstRow="0" w:lastRow="0" w:firstColumn="0" w:lastColumn="0" w:oddVBand="0" w:evenVBand="0" w:oddHBand="0" w:evenHBand="0" w:firstRowFirstColumn="0" w:firstRowLastColumn="0" w:lastRowFirstColumn="0" w:lastRowLastColumn="0"/>
            </w:pPr>
          </w:p>
        </w:tc>
        <w:tc>
          <w:tcPr>
            <w:tcW w:w="1120" w:type="dxa"/>
            <w:tcBorders>
              <w:top w:val="nil"/>
              <w:left w:val="nil"/>
              <w:bottom w:val="nil"/>
              <w:right w:val="nil"/>
            </w:tcBorders>
            <w:shd w:val="clear" w:color="auto" w:fill="auto"/>
            <w:vAlign w:val="center"/>
          </w:tcPr>
          <w:p w14:paraId="2AEAE071" w14:textId="77777777" w:rsidR="008B7E19" w:rsidRPr="00490B0B" w:rsidRDefault="008B7E19" w:rsidP="008B7E19">
            <w:pPr>
              <w:pStyle w:val="08-Tabelageral"/>
              <w:ind w:left="113"/>
              <w:cnfStyle w:val="000000000000" w:firstRow="0" w:lastRow="0" w:firstColumn="0" w:lastColumn="0" w:oddVBand="0" w:evenVBand="0" w:oddHBand="0" w:evenHBand="0" w:firstRowFirstColumn="0" w:firstRowLastColumn="0" w:lastRowFirstColumn="0" w:lastRowLastColumn="0"/>
            </w:pPr>
            <w:r w:rsidRPr="007D44E5">
              <w:t>1</w:t>
            </w:r>
            <w:r>
              <w:t>,</w:t>
            </w:r>
            <w:r w:rsidRPr="007D44E5">
              <w:t>150</w:t>
            </w:r>
            <w:r>
              <w:t>,</w:t>
            </w:r>
            <w:r w:rsidRPr="007D44E5">
              <w:t>706</w:t>
            </w:r>
          </w:p>
        </w:tc>
        <w:tc>
          <w:tcPr>
            <w:tcW w:w="1169" w:type="dxa"/>
            <w:tcBorders>
              <w:top w:val="nil"/>
              <w:left w:val="nil"/>
              <w:bottom w:val="nil"/>
              <w:right w:val="nil"/>
            </w:tcBorders>
            <w:shd w:val="clear" w:color="auto" w:fill="auto"/>
            <w:vAlign w:val="center"/>
          </w:tcPr>
          <w:p w14:paraId="0FB119E8" w14:textId="77777777" w:rsidR="008B7E19" w:rsidRPr="00AA591E" w:rsidRDefault="008B7E19" w:rsidP="008B7E19">
            <w:pPr>
              <w:pStyle w:val="08-Tabelageral"/>
              <w:ind w:left="113"/>
              <w:cnfStyle w:val="000000000000" w:firstRow="0" w:lastRow="0" w:firstColumn="0" w:lastColumn="0" w:oddVBand="0" w:evenVBand="0" w:oddHBand="0" w:evenHBand="0" w:firstRowFirstColumn="0" w:firstRowLastColumn="0" w:lastRowFirstColumn="0" w:lastRowLastColumn="0"/>
            </w:pPr>
            <w:r w:rsidRPr="00544B6D">
              <w:t>635</w:t>
            </w:r>
            <w:r>
              <w:t>,</w:t>
            </w:r>
            <w:r w:rsidRPr="00544B6D">
              <w:t>574</w:t>
            </w:r>
          </w:p>
        </w:tc>
        <w:tc>
          <w:tcPr>
            <w:tcW w:w="993" w:type="dxa"/>
            <w:gridSpan w:val="2"/>
            <w:tcBorders>
              <w:top w:val="nil"/>
              <w:bottom w:val="nil"/>
            </w:tcBorders>
            <w:shd w:val="clear" w:color="auto" w:fill="auto"/>
            <w:vAlign w:val="center"/>
          </w:tcPr>
          <w:p w14:paraId="183B9E5E" w14:textId="77777777" w:rsidR="008B7E19" w:rsidRPr="00490B0B" w:rsidRDefault="008B7E19" w:rsidP="008B7E19">
            <w:pPr>
              <w:pStyle w:val="08-Tabelageral"/>
              <w:ind w:left="113"/>
              <w:cnfStyle w:val="000000000000" w:firstRow="0" w:lastRow="0" w:firstColumn="0" w:lastColumn="0" w:oddVBand="0" w:evenVBand="0" w:oddHBand="0" w:evenHBand="0" w:firstRowFirstColumn="0" w:firstRowLastColumn="0" w:lastRowFirstColumn="0" w:lastRowLastColumn="0"/>
            </w:pPr>
            <w:r w:rsidRPr="00544B6D">
              <w:t>483</w:t>
            </w:r>
            <w:r>
              <w:t>,</w:t>
            </w:r>
            <w:r w:rsidRPr="00544B6D">
              <w:t>730</w:t>
            </w:r>
          </w:p>
        </w:tc>
        <w:tc>
          <w:tcPr>
            <w:tcW w:w="286" w:type="dxa"/>
            <w:gridSpan w:val="2"/>
            <w:tcBorders>
              <w:top w:val="nil"/>
              <w:bottom w:val="nil"/>
            </w:tcBorders>
            <w:shd w:val="clear" w:color="auto" w:fill="auto"/>
            <w:vAlign w:val="center"/>
          </w:tcPr>
          <w:p w14:paraId="423741C2" w14:textId="77777777" w:rsidR="008B7E19" w:rsidRPr="00490B0B" w:rsidRDefault="008B7E19" w:rsidP="008B7E19">
            <w:pPr>
              <w:pStyle w:val="08-Tabelageral"/>
              <w:ind w:left="113"/>
              <w:cnfStyle w:val="000000000000" w:firstRow="0" w:lastRow="0" w:firstColumn="0" w:lastColumn="0" w:oddVBand="0" w:evenVBand="0" w:oddHBand="0" w:evenHBand="0" w:firstRowFirstColumn="0" w:firstRowLastColumn="0" w:lastRowFirstColumn="0" w:lastRowLastColumn="0"/>
            </w:pPr>
          </w:p>
        </w:tc>
        <w:tc>
          <w:tcPr>
            <w:tcW w:w="1273" w:type="dxa"/>
            <w:gridSpan w:val="3"/>
            <w:tcBorders>
              <w:top w:val="nil"/>
              <w:left w:val="nil"/>
              <w:bottom w:val="nil"/>
              <w:right w:val="nil"/>
            </w:tcBorders>
            <w:shd w:val="clear" w:color="auto" w:fill="auto"/>
            <w:vAlign w:val="center"/>
          </w:tcPr>
          <w:p w14:paraId="5CE27F80" w14:textId="77777777" w:rsidR="008B7E19" w:rsidRPr="00490B0B" w:rsidRDefault="008B7E19" w:rsidP="008B7E19">
            <w:pPr>
              <w:pStyle w:val="08-Tabelageral"/>
              <w:ind w:left="113"/>
              <w:cnfStyle w:val="000000000000" w:firstRow="0" w:lastRow="0" w:firstColumn="0" w:lastColumn="0" w:oddVBand="0" w:evenVBand="0" w:oddHBand="0" w:evenHBand="0" w:firstRowFirstColumn="0" w:firstRowLastColumn="0" w:lastRowFirstColumn="0" w:lastRowLastColumn="0"/>
            </w:pPr>
            <w:r w:rsidRPr="007D44E5">
              <w:t>1</w:t>
            </w:r>
            <w:r>
              <w:t>,</w:t>
            </w:r>
            <w:r w:rsidRPr="007D44E5">
              <w:t>150</w:t>
            </w:r>
            <w:r>
              <w:t>,</w:t>
            </w:r>
            <w:r w:rsidRPr="007D44E5">
              <w:t>706</w:t>
            </w:r>
          </w:p>
        </w:tc>
        <w:tc>
          <w:tcPr>
            <w:tcW w:w="989" w:type="dxa"/>
            <w:gridSpan w:val="2"/>
            <w:tcBorders>
              <w:top w:val="nil"/>
              <w:left w:val="nil"/>
              <w:bottom w:val="nil"/>
              <w:right w:val="nil"/>
            </w:tcBorders>
            <w:shd w:val="clear" w:color="auto" w:fill="auto"/>
            <w:vAlign w:val="center"/>
          </w:tcPr>
          <w:p w14:paraId="78422B09" w14:textId="77777777" w:rsidR="008B7E19" w:rsidRPr="00AA591E" w:rsidRDefault="008B7E19" w:rsidP="008B7E19">
            <w:pPr>
              <w:pStyle w:val="08-Tabelageral"/>
              <w:ind w:left="113"/>
              <w:cnfStyle w:val="000000000000" w:firstRow="0" w:lastRow="0" w:firstColumn="0" w:lastColumn="0" w:oddVBand="0" w:evenVBand="0" w:oddHBand="0" w:evenHBand="0" w:firstRowFirstColumn="0" w:firstRowLastColumn="0" w:lastRowFirstColumn="0" w:lastRowLastColumn="0"/>
            </w:pPr>
            <w:r w:rsidRPr="00544B6D">
              <w:t>635</w:t>
            </w:r>
            <w:r>
              <w:t>,</w:t>
            </w:r>
            <w:r w:rsidRPr="00544B6D">
              <w:t>574</w:t>
            </w:r>
          </w:p>
        </w:tc>
        <w:tc>
          <w:tcPr>
            <w:tcW w:w="990" w:type="dxa"/>
            <w:tcBorders>
              <w:top w:val="nil"/>
              <w:bottom w:val="nil"/>
            </w:tcBorders>
            <w:shd w:val="clear" w:color="auto" w:fill="auto"/>
            <w:vAlign w:val="center"/>
          </w:tcPr>
          <w:p w14:paraId="1D79FACC" w14:textId="77777777" w:rsidR="008B7E19" w:rsidRPr="00490B0B" w:rsidRDefault="008B7E19" w:rsidP="008B7E19">
            <w:pPr>
              <w:pStyle w:val="08-Tabelageral"/>
              <w:ind w:left="113"/>
              <w:cnfStyle w:val="000000000000" w:firstRow="0" w:lastRow="0" w:firstColumn="0" w:lastColumn="0" w:oddVBand="0" w:evenVBand="0" w:oddHBand="0" w:evenHBand="0" w:firstRowFirstColumn="0" w:firstRowLastColumn="0" w:lastRowFirstColumn="0" w:lastRowLastColumn="0"/>
            </w:pPr>
            <w:r w:rsidRPr="00544B6D">
              <w:t>483</w:t>
            </w:r>
            <w:r>
              <w:t>,</w:t>
            </w:r>
            <w:r w:rsidRPr="00544B6D">
              <w:t>730</w:t>
            </w:r>
          </w:p>
        </w:tc>
      </w:tr>
      <w:tr w:rsidR="008B7E19" w:rsidRPr="002A31B8" w14:paraId="411056BB"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119" w:type="dxa"/>
            <w:tcBorders>
              <w:top w:val="nil"/>
              <w:bottom w:val="nil"/>
            </w:tcBorders>
            <w:shd w:val="clear" w:color="auto" w:fill="auto"/>
            <w:vAlign w:val="center"/>
          </w:tcPr>
          <w:p w14:paraId="20DD8B3B" w14:textId="77777777" w:rsidR="008B7E19" w:rsidRPr="002A31B8" w:rsidRDefault="008B7E19" w:rsidP="008B7E19">
            <w:pPr>
              <w:pStyle w:val="08-Tabelageral"/>
              <w:jc w:val="left"/>
            </w:pPr>
            <w:r w:rsidRPr="00C27294">
              <w:t>Total Equity</w:t>
            </w:r>
          </w:p>
        </w:tc>
        <w:tc>
          <w:tcPr>
            <w:tcW w:w="700" w:type="dxa"/>
            <w:tcBorders>
              <w:top w:val="nil"/>
              <w:bottom w:val="nil"/>
            </w:tcBorders>
            <w:shd w:val="clear" w:color="auto" w:fill="auto"/>
            <w:vAlign w:val="center"/>
          </w:tcPr>
          <w:p w14:paraId="6E33282E" w14:textId="77777777" w:rsidR="008B7E19" w:rsidRPr="002A31B8"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b/>
              </w:rPr>
            </w:pPr>
          </w:p>
        </w:tc>
        <w:tc>
          <w:tcPr>
            <w:tcW w:w="1120" w:type="dxa"/>
            <w:tcBorders>
              <w:top w:val="nil"/>
              <w:left w:val="nil"/>
              <w:bottom w:val="nil"/>
              <w:right w:val="nil"/>
            </w:tcBorders>
            <w:shd w:val="clear" w:color="auto" w:fill="auto"/>
            <w:vAlign w:val="center"/>
          </w:tcPr>
          <w:p w14:paraId="3B994D12" w14:textId="77777777" w:rsidR="008B7E19" w:rsidRPr="004E46CF"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b/>
                <w:bCs/>
              </w:rPr>
            </w:pPr>
            <w:r w:rsidRPr="007D44E5">
              <w:rPr>
                <w:b/>
                <w:bCs/>
              </w:rPr>
              <w:t>8</w:t>
            </w:r>
            <w:r>
              <w:rPr>
                <w:b/>
                <w:bCs/>
              </w:rPr>
              <w:t>,</w:t>
            </w:r>
            <w:r w:rsidRPr="007D44E5">
              <w:rPr>
                <w:b/>
                <w:bCs/>
              </w:rPr>
              <w:t>943</w:t>
            </w:r>
            <w:r>
              <w:rPr>
                <w:b/>
                <w:bCs/>
              </w:rPr>
              <w:t>,</w:t>
            </w:r>
            <w:r w:rsidRPr="007D44E5">
              <w:rPr>
                <w:b/>
                <w:bCs/>
              </w:rPr>
              <w:t>94</w:t>
            </w:r>
            <w:r>
              <w:rPr>
                <w:b/>
                <w:bCs/>
              </w:rPr>
              <w:t>3</w:t>
            </w:r>
          </w:p>
        </w:tc>
        <w:tc>
          <w:tcPr>
            <w:tcW w:w="1169" w:type="dxa"/>
            <w:tcBorders>
              <w:top w:val="nil"/>
              <w:left w:val="nil"/>
              <w:bottom w:val="nil"/>
              <w:right w:val="nil"/>
            </w:tcBorders>
            <w:shd w:val="clear" w:color="auto" w:fill="auto"/>
            <w:vAlign w:val="center"/>
          </w:tcPr>
          <w:p w14:paraId="032E75CC" w14:textId="77777777" w:rsidR="008B7E19" w:rsidRPr="00EE1C73"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b/>
              </w:rPr>
            </w:pPr>
            <w:r w:rsidRPr="00544B6D">
              <w:rPr>
                <w:b/>
                <w:bCs/>
              </w:rPr>
              <w:t>8</w:t>
            </w:r>
            <w:r>
              <w:rPr>
                <w:b/>
                <w:bCs/>
              </w:rPr>
              <w:t>,</w:t>
            </w:r>
            <w:r w:rsidRPr="00544B6D">
              <w:rPr>
                <w:b/>
                <w:bCs/>
              </w:rPr>
              <w:t>036</w:t>
            </w:r>
            <w:r>
              <w:rPr>
                <w:b/>
                <w:bCs/>
              </w:rPr>
              <w:t>,</w:t>
            </w:r>
            <w:r w:rsidRPr="00544B6D">
              <w:rPr>
                <w:b/>
                <w:bCs/>
              </w:rPr>
              <w:t>730</w:t>
            </w:r>
          </w:p>
        </w:tc>
        <w:tc>
          <w:tcPr>
            <w:tcW w:w="993" w:type="dxa"/>
            <w:gridSpan w:val="2"/>
            <w:tcBorders>
              <w:top w:val="nil"/>
              <w:bottom w:val="nil"/>
            </w:tcBorders>
            <w:shd w:val="clear" w:color="auto" w:fill="auto"/>
            <w:vAlign w:val="center"/>
          </w:tcPr>
          <w:p w14:paraId="2869C6D0" w14:textId="77777777" w:rsidR="008B7E19" w:rsidRPr="004E46CF"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b/>
                <w:bCs/>
              </w:rPr>
            </w:pPr>
            <w:r w:rsidRPr="00544B6D">
              <w:rPr>
                <w:b/>
                <w:bCs/>
              </w:rPr>
              <w:t>7</w:t>
            </w:r>
            <w:r>
              <w:rPr>
                <w:b/>
                <w:bCs/>
              </w:rPr>
              <w:t>,</w:t>
            </w:r>
            <w:r w:rsidRPr="00544B6D">
              <w:rPr>
                <w:b/>
                <w:bCs/>
              </w:rPr>
              <w:t>468</w:t>
            </w:r>
            <w:r>
              <w:rPr>
                <w:b/>
                <w:bCs/>
              </w:rPr>
              <w:t>,</w:t>
            </w:r>
            <w:r w:rsidRPr="00544B6D">
              <w:rPr>
                <w:b/>
                <w:bCs/>
              </w:rPr>
              <w:t>401</w:t>
            </w:r>
          </w:p>
        </w:tc>
        <w:tc>
          <w:tcPr>
            <w:tcW w:w="286" w:type="dxa"/>
            <w:gridSpan w:val="2"/>
            <w:tcBorders>
              <w:top w:val="nil"/>
              <w:bottom w:val="nil"/>
            </w:tcBorders>
            <w:shd w:val="clear" w:color="auto" w:fill="auto"/>
            <w:vAlign w:val="center"/>
          </w:tcPr>
          <w:p w14:paraId="7CFCD9C6" w14:textId="77777777" w:rsidR="008B7E19" w:rsidRPr="004E46CF"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b/>
                <w:bCs/>
              </w:rPr>
            </w:pPr>
          </w:p>
        </w:tc>
        <w:tc>
          <w:tcPr>
            <w:tcW w:w="1273" w:type="dxa"/>
            <w:gridSpan w:val="3"/>
            <w:tcBorders>
              <w:top w:val="nil"/>
              <w:left w:val="nil"/>
              <w:bottom w:val="nil"/>
              <w:right w:val="nil"/>
            </w:tcBorders>
            <w:shd w:val="clear" w:color="auto" w:fill="auto"/>
            <w:vAlign w:val="center"/>
          </w:tcPr>
          <w:p w14:paraId="0B3B8B53" w14:textId="77777777" w:rsidR="008B7E19" w:rsidRPr="004E46CF"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b/>
                <w:bCs/>
              </w:rPr>
            </w:pPr>
            <w:r w:rsidRPr="007D44E5">
              <w:rPr>
                <w:b/>
                <w:bCs/>
              </w:rPr>
              <w:t>8</w:t>
            </w:r>
            <w:r>
              <w:rPr>
                <w:b/>
                <w:bCs/>
              </w:rPr>
              <w:t>,</w:t>
            </w:r>
            <w:r w:rsidRPr="007D44E5">
              <w:rPr>
                <w:b/>
                <w:bCs/>
              </w:rPr>
              <w:t>943</w:t>
            </w:r>
            <w:r>
              <w:rPr>
                <w:b/>
                <w:bCs/>
              </w:rPr>
              <w:t>,</w:t>
            </w:r>
            <w:r w:rsidRPr="007D44E5">
              <w:rPr>
                <w:b/>
                <w:bCs/>
              </w:rPr>
              <w:t>94</w:t>
            </w:r>
            <w:r>
              <w:rPr>
                <w:b/>
                <w:bCs/>
              </w:rPr>
              <w:t>3</w:t>
            </w:r>
          </w:p>
        </w:tc>
        <w:tc>
          <w:tcPr>
            <w:tcW w:w="989" w:type="dxa"/>
            <w:gridSpan w:val="2"/>
            <w:tcBorders>
              <w:top w:val="nil"/>
              <w:left w:val="nil"/>
              <w:bottom w:val="nil"/>
              <w:right w:val="nil"/>
            </w:tcBorders>
            <w:shd w:val="clear" w:color="auto" w:fill="auto"/>
            <w:vAlign w:val="center"/>
          </w:tcPr>
          <w:p w14:paraId="065CB584" w14:textId="77777777" w:rsidR="008B7E19" w:rsidRPr="00EE1C73"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b/>
                <w:bCs/>
              </w:rPr>
            </w:pPr>
            <w:r w:rsidRPr="00544B6D">
              <w:rPr>
                <w:b/>
                <w:bCs/>
              </w:rPr>
              <w:t>8</w:t>
            </w:r>
            <w:r>
              <w:rPr>
                <w:b/>
                <w:bCs/>
              </w:rPr>
              <w:t>,</w:t>
            </w:r>
            <w:r w:rsidRPr="00544B6D">
              <w:rPr>
                <w:b/>
                <w:bCs/>
              </w:rPr>
              <w:t>036</w:t>
            </w:r>
            <w:r>
              <w:rPr>
                <w:b/>
                <w:bCs/>
              </w:rPr>
              <w:t>,</w:t>
            </w:r>
            <w:r w:rsidRPr="00544B6D">
              <w:rPr>
                <w:b/>
                <w:bCs/>
              </w:rPr>
              <w:t>730</w:t>
            </w:r>
          </w:p>
        </w:tc>
        <w:tc>
          <w:tcPr>
            <w:tcW w:w="990" w:type="dxa"/>
            <w:tcBorders>
              <w:top w:val="nil"/>
              <w:bottom w:val="nil"/>
            </w:tcBorders>
            <w:shd w:val="clear" w:color="auto" w:fill="auto"/>
            <w:vAlign w:val="center"/>
          </w:tcPr>
          <w:p w14:paraId="2DAC2B92" w14:textId="77777777" w:rsidR="008B7E19" w:rsidRPr="004E46CF"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b/>
                <w:bCs/>
              </w:rPr>
            </w:pPr>
            <w:r w:rsidRPr="00544B6D">
              <w:rPr>
                <w:b/>
                <w:bCs/>
              </w:rPr>
              <w:t>7</w:t>
            </w:r>
            <w:r>
              <w:rPr>
                <w:b/>
                <w:bCs/>
              </w:rPr>
              <w:t>,</w:t>
            </w:r>
            <w:r w:rsidRPr="00544B6D">
              <w:rPr>
                <w:b/>
                <w:bCs/>
              </w:rPr>
              <w:t>468</w:t>
            </w:r>
            <w:r>
              <w:rPr>
                <w:b/>
                <w:bCs/>
              </w:rPr>
              <w:t>,</w:t>
            </w:r>
            <w:r w:rsidRPr="00544B6D">
              <w:rPr>
                <w:b/>
                <w:bCs/>
              </w:rPr>
              <w:t>401</w:t>
            </w:r>
          </w:p>
        </w:tc>
      </w:tr>
      <w:tr w:rsidR="008B7E19" w:rsidRPr="001D6BE8" w14:paraId="1C22A300" w14:textId="77777777" w:rsidTr="008B7E19">
        <w:trPr>
          <w:trHeight w:val="238"/>
          <w:jc w:val="center"/>
        </w:trPr>
        <w:tc>
          <w:tcPr>
            <w:cnfStyle w:val="001000000000" w:firstRow="0" w:lastRow="0" w:firstColumn="1" w:lastColumn="0" w:oddVBand="0" w:evenVBand="0" w:oddHBand="0" w:evenHBand="0" w:firstRowFirstColumn="0" w:firstRowLastColumn="0" w:lastRowFirstColumn="0" w:lastRowLastColumn="0"/>
            <w:tcW w:w="2119" w:type="dxa"/>
            <w:tcBorders>
              <w:top w:val="nil"/>
              <w:bottom w:val="nil"/>
            </w:tcBorders>
            <w:shd w:val="clear" w:color="auto" w:fill="auto"/>
            <w:vAlign w:val="center"/>
          </w:tcPr>
          <w:p w14:paraId="2ADC23D8" w14:textId="77777777" w:rsidR="008B7E19" w:rsidRPr="0038031F" w:rsidRDefault="008B7E19" w:rsidP="008B7E19">
            <w:pPr>
              <w:pStyle w:val="08-Tabelageral"/>
              <w:ind w:left="113"/>
              <w:jc w:val="left"/>
            </w:pPr>
          </w:p>
        </w:tc>
        <w:tc>
          <w:tcPr>
            <w:tcW w:w="700" w:type="dxa"/>
            <w:tcBorders>
              <w:top w:val="nil"/>
              <w:bottom w:val="nil"/>
            </w:tcBorders>
            <w:shd w:val="clear" w:color="auto" w:fill="auto"/>
            <w:vAlign w:val="center"/>
          </w:tcPr>
          <w:p w14:paraId="5A57DC20" w14:textId="77777777" w:rsidR="008B7E19" w:rsidRPr="00CF4B29"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szCs w:val="14"/>
              </w:rPr>
            </w:pPr>
          </w:p>
        </w:tc>
        <w:tc>
          <w:tcPr>
            <w:tcW w:w="1120" w:type="dxa"/>
            <w:tcBorders>
              <w:top w:val="nil"/>
              <w:bottom w:val="nil"/>
            </w:tcBorders>
            <w:shd w:val="clear" w:color="auto" w:fill="auto"/>
            <w:vAlign w:val="center"/>
          </w:tcPr>
          <w:p w14:paraId="77A49C7A" w14:textId="77777777" w:rsidR="008B7E19" w:rsidRPr="00440BB1"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p>
        </w:tc>
        <w:tc>
          <w:tcPr>
            <w:tcW w:w="1169" w:type="dxa"/>
            <w:tcBorders>
              <w:top w:val="nil"/>
              <w:bottom w:val="nil"/>
            </w:tcBorders>
            <w:shd w:val="clear" w:color="auto" w:fill="auto"/>
            <w:vAlign w:val="center"/>
          </w:tcPr>
          <w:p w14:paraId="0113E0E5" w14:textId="77777777" w:rsidR="008B7E19" w:rsidRPr="00CF4B29" w:rsidRDefault="008B7E19" w:rsidP="008B7E19">
            <w:pPr>
              <w:pStyle w:val="08-Tabelageral"/>
              <w:cnfStyle w:val="000000000000" w:firstRow="0" w:lastRow="0" w:firstColumn="0" w:lastColumn="0" w:oddVBand="0" w:evenVBand="0" w:oddHBand="0" w:evenHBand="0" w:firstRowFirstColumn="0" w:firstRowLastColumn="0" w:lastRowFirstColumn="0" w:lastRowLastColumn="0"/>
            </w:pPr>
          </w:p>
        </w:tc>
        <w:tc>
          <w:tcPr>
            <w:tcW w:w="993" w:type="dxa"/>
            <w:gridSpan w:val="2"/>
            <w:tcBorders>
              <w:top w:val="nil"/>
              <w:bottom w:val="nil"/>
            </w:tcBorders>
            <w:shd w:val="clear" w:color="auto" w:fill="auto"/>
            <w:vAlign w:val="center"/>
          </w:tcPr>
          <w:p w14:paraId="72A76C4F" w14:textId="77777777" w:rsidR="008B7E19" w:rsidRPr="00CF4B29" w:rsidRDefault="008B7E19" w:rsidP="008B7E19">
            <w:pPr>
              <w:pStyle w:val="08-Tabelageral"/>
              <w:cnfStyle w:val="000000000000" w:firstRow="0" w:lastRow="0" w:firstColumn="0" w:lastColumn="0" w:oddVBand="0" w:evenVBand="0" w:oddHBand="0" w:evenHBand="0" w:firstRowFirstColumn="0" w:firstRowLastColumn="0" w:lastRowFirstColumn="0" w:lastRowLastColumn="0"/>
            </w:pPr>
          </w:p>
        </w:tc>
        <w:tc>
          <w:tcPr>
            <w:tcW w:w="286" w:type="dxa"/>
            <w:gridSpan w:val="2"/>
            <w:tcBorders>
              <w:top w:val="nil"/>
              <w:bottom w:val="nil"/>
            </w:tcBorders>
            <w:shd w:val="clear" w:color="auto" w:fill="auto"/>
            <w:vAlign w:val="center"/>
          </w:tcPr>
          <w:p w14:paraId="1BF2F89B" w14:textId="77777777" w:rsidR="008B7E19" w:rsidRPr="00350BA7"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p>
        </w:tc>
        <w:tc>
          <w:tcPr>
            <w:tcW w:w="1273" w:type="dxa"/>
            <w:gridSpan w:val="3"/>
            <w:tcBorders>
              <w:top w:val="nil"/>
              <w:bottom w:val="nil"/>
            </w:tcBorders>
            <w:shd w:val="clear" w:color="auto" w:fill="auto"/>
            <w:vAlign w:val="center"/>
          </w:tcPr>
          <w:p w14:paraId="53381285" w14:textId="77777777" w:rsidR="008B7E19" w:rsidRPr="006128A8"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p>
        </w:tc>
        <w:tc>
          <w:tcPr>
            <w:tcW w:w="989" w:type="dxa"/>
            <w:gridSpan w:val="2"/>
            <w:tcBorders>
              <w:top w:val="nil"/>
              <w:bottom w:val="nil"/>
            </w:tcBorders>
            <w:shd w:val="clear" w:color="auto" w:fill="auto"/>
            <w:vAlign w:val="center"/>
          </w:tcPr>
          <w:p w14:paraId="292B6BB5" w14:textId="77777777" w:rsidR="008B7E19" w:rsidRPr="00CF4B29" w:rsidRDefault="008B7E19" w:rsidP="008B7E19">
            <w:pPr>
              <w:pStyle w:val="08-Tabelageral"/>
              <w:cnfStyle w:val="000000000000" w:firstRow="0" w:lastRow="0" w:firstColumn="0" w:lastColumn="0" w:oddVBand="0" w:evenVBand="0" w:oddHBand="0" w:evenHBand="0" w:firstRowFirstColumn="0" w:firstRowLastColumn="0" w:lastRowFirstColumn="0" w:lastRowLastColumn="0"/>
            </w:pPr>
          </w:p>
        </w:tc>
        <w:tc>
          <w:tcPr>
            <w:tcW w:w="990" w:type="dxa"/>
            <w:tcBorders>
              <w:top w:val="nil"/>
              <w:bottom w:val="nil"/>
            </w:tcBorders>
            <w:shd w:val="clear" w:color="auto" w:fill="auto"/>
            <w:vAlign w:val="center"/>
          </w:tcPr>
          <w:p w14:paraId="01CFCE1B" w14:textId="77777777" w:rsidR="008B7E19" w:rsidRPr="00CF4B29" w:rsidRDefault="008B7E19" w:rsidP="008B7E19">
            <w:pPr>
              <w:pStyle w:val="08-Tabelageral"/>
              <w:cnfStyle w:val="000000000000" w:firstRow="0" w:lastRow="0" w:firstColumn="0" w:lastColumn="0" w:oddVBand="0" w:evenVBand="0" w:oddHBand="0" w:evenHBand="0" w:firstRowFirstColumn="0" w:firstRowLastColumn="0" w:lastRowFirstColumn="0" w:lastRowLastColumn="0"/>
            </w:pPr>
          </w:p>
        </w:tc>
      </w:tr>
      <w:tr w:rsidR="008B7E19" w:rsidRPr="001D6BE8" w14:paraId="150AB1C3"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119" w:type="dxa"/>
            <w:tcBorders>
              <w:top w:val="nil"/>
              <w:bottom w:val="single" w:sz="2" w:space="0" w:color="1F4E79" w:themeColor="accent1" w:themeShade="80"/>
            </w:tcBorders>
            <w:shd w:val="clear" w:color="auto" w:fill="auto"/>
            <w:vAlign w:val="center"/>
          </w:tcPr>
          <w:p w14:paraId="77D3EB86" w14:textId="77777777" w:rsidR="008B7E19" w:rsidRPr="00CD3714" w:rsidRDefault="008B7E19" w:rsidP="008B7E19">
            <w:pPr>
              <w:pStyle w:val="08-Tabelageral"/>
              <w:jc w:val="left"/>
              <w:rPr>
                <w:rFonts w:cs="Arial"/>
                <w:szCs w:val="14"/>
              </w:rPr>
            </w:pPr>
            <w:r w:rsidRPr="00C27294">
              <w:t xml:space="preserve">Total Liabilities </w:t>
            </w:r>
            <w:r>
              <w:t>a</w:t>
            </w:r>
            <w:r w:rsidRPr="00C27294">
              <w:t>nd Equity</w:t>
            </w:r>
          </w:p>
        </w:tc>
        <w:tc>
          <w:tcPr>
            <w:tcW w:w="700" w:type="dxa"/>
            <w:tcBorders>
              <w:top w:val="nil"/>
              <w:bottom w:val="single" w:sz="2" w:space="0" w:color="1F4E79" w:themeColor="accent1" w:themeShade="80"/>
            </w:tcBorders>
            <w:shd w:val="clear" w:color="auto" w:fill="auto"/>
            <w:vAlign w:val="center"/>
          </w:tcPr>
          <w:p w14:paraId="17FF7130" w14:textId="77777777" w:rsidR="008B7E19" w:rsidRPr="00CF4B29"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b/>
                <w:szCs w:val="14"/>
              </w:rPr>
            </w:pPr>
          </w:p>
        </w:tc>
        <w:tc>
          <w:tcPr>
            <w:tcW w:w="1120" w:type="dxa"/>
            <w:tcBorders>
              <w:top w:val="nil"/>
              <w:bottom w:val="single" w:sz="2" w:space="0" w:color="1F4E79" w:themeColor="accent1" w:themeShade="80"/>
            </w:tcBorders>
            <w:shd w:val="clear" w:color="auto" w:fill="auto"/>
            <w:vAlign w:val="center"/>
          </w:tcPr>
          <w:p w14:paraId="3DA5FB81" w14:textId="77777777" w:rsidR="008B7E19" w:rsidRPr="004E46CF"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6E4E16">
              <w:rPr>
                <w:rFonts w:cs="Arial"/>
                <w:b/>
                <w:szCs w:val="14"/>
              </w:rPr>
              <w:t>12</w:t>
            </w:r>
            <w:r>
              <w:rPr>
                <w:rFonts w:cs="Arial"/>
                <w:b/>
                <w:szCs w:val="14"/>
              </w:rPr>
              <w:t>,</w:t>
            </w:r>
            <w:r w:rsidRPr="006E4E16">
              <w:rPr>
                <w:rFonts w:cs="Arial"/>
                <w:b/>
                <w:szCs w:val="14"/>
              </w:rPr>
              <w:t>164</w:t>
            </w:r>
            <w:r>
              <w:rPr>
                <w:rFonts w:cs="Arial"/>
                <w:b/>
                <w:szCs w:val="14"/>
              </w:rPr>
              <w:t>,</w:t>
            </w:r>
            <w:r w:rsidRPr="006E4E16">
              <w:rPr>
                <w:rFonts w:cs="Arial"/>
                <w:b/>
                <w:szCs w:val="14"/>
              </w:rPr>
              <w:t>925</w:t>
            </w:r>
          </w:p>
        </w:tc>
        <w:tc>
          <w:tcPr>
            <w:tcW w:w="1169" w:type="dxa"/>
            <w:tcBorders>
              <w:top w:val="nil"/>
              <w:bottom w:val="single" w:sz="2" w:space="0" w:color="1F4E79" w:themeColor="accent1" w:themeShade="80"/>
            </w:tcBorders>
            <w:shd w:val="clear" w:color="auto" w:fill="auto"/>
            <w:vAlign w:val="center"/>
          </w:tcPr>
          <w:p w14:paraId="23AE5F21" w14:textId="77777777" w:rsidR="008B7E19" w:rsidRPr="000547DB"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r w:rsidRPr="00544B6D">
              <w:rPr>
                <w:rFonts w:cs="Arial"/>
                <w:b/>
                <w:bCs/>
                <w:szCs w:val="14"/>
              </w:rPr>
              <w:t>11</w:t>
            </w:r>
            <w:r>
              <w:rPr>
                <w:rFonts w:cs="Arial"/>
                <w:b/>
                <w:bCs/>
                <w:szCs w:val="14"/>
              </w:rPr>
              <w:t>,</w:t>
            </w:r>
            <w:r w:rsidRPr="00544B6D">
              <w:rPr>
                <w:rFonts w:cs="Arial"/>
                <w:b/>
                <w:bCs/>
                <w:szCs w:val="14"/>
              </w:rPr>
              <w:t>723</w:t>
            </w:r>
            <w:r>
              <w:rPr>
                <w:rFonts w:cs="Arial"/>
                <w:b/>
                <w:bCs/>
                <w:szCs w:val="14"/>
              </w:rPr>
              <w:t>,</w:t>
            </w:r>
            <w:r w:rsidRPr="00544B6D">
              <w:rPr>
                <w:rFonts w:cs="Arial"/>
                <w:b/>
                <w:bCs/>
                <w:szCs w:val="14"/>
              </w:rPr>
              <w:t>053</w:t>
            </w:r>
          </w:p>
        </w:tc>
        <w:tc>
          <w:tcPr>
            <w:tcW w:w="993" w:type="dxa"/>
            <w:gridSpan w:val="2"/>
            <w:tcBorders>
              <w:top w:val="nil"/>
              <w:bottom w:val="single" w:sz="2" w:space="0" w:color="1F4E79" w:themeColor="accent1" w:themeShade="80"/>
            </w:tcBorders>
            <w:shd w:val="clear" w:color="auto" w:fill="auto"/>
            <w:vAlign w:val="center"/>
          </w:tcPr>
          <w:p w14:paraId="7384319A" w14:textId="77777777" w:rsidR="008B7E19" w:rsidRPr="004E46CF"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b/>
                <w:bCs/>
              </w:rPr>
            </w:pPr>
            <w:r w:rsidRPr="00544B6D">
              <w:rPr>
                <w:rFonts w:cs="Arial"/>
                <w:b/>
                <w:szCs w:val="14"/>
              </w:rPr>
              <w:t>9</w:t>
            </w:r>
            <w:r>
              <w:rPr>
                <w:rFonts w:cs="Arial"/>
                <w:b/>
                <w:szCs w:val="14"/>
              </w:rPr>
              <w:t>,</w:t>
            </w:r>
            <w:r w:rsidRPr="00544B6D">
              <w:rPr>
                <w:rFonts w:cs="Arial"/>
                <w:b/>
                <w:szCs w:val="14"/>
              </w:rPr>
              <w:t>311</w:t>
            </w:r>
            <w:r>
              <w:rPr>
                <w:rFonts w:cs="Arial"/>
                <w:b/>
                <w:szCs w:val="14"/>
              </w:rPr>
              <w:t>,</w:t>
            </w:r>
            <w:r w:rsidRPr="00544B6D">
              <w:rPr>
                <w:rFonts w:cs="Arial"/>
                <w:b/>
                <w:szCs w:val="14"/>
              </w:rPr>
              <w:t>403</w:t>
            </w:r>
          </w:p>
        </w:tc>
        <w:tc>
          <w:tcPr>
            <w:tcW w:w="286" w:type="dxa"/>
            <w:gridSpan w:val="2"/>
            <w:tcBorders>
              <w:top w:val="nil"/>
              <w:bottom w:val="single" w:sz="2" w:space="0" w:color="1F4E79" w:themeColor="accent1" w:themeShade="80"/>
            </w:tcBorders>
            <w:shd w:val="clear" w:color="auto" w:fill="auto"/>
            <w:vAlign w:val="center"/>
          </w:tcPr>
          <w:p w14:paraId="316FDF20" w14:textId="77777777" w:rsidR="008B7E19" w:rsidRPr="004E46CF"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p>
        </w:tc>
        <w:tc>
          <w:tcPr>
            <w:tcW w:w="1273" w:type="dxa"/>
            <w:gridSpan w:val="3"/>
            <w:tcBorders>
              <w:top w:val="nil"/>
              <w:bottom w:val="single" w:sz="2" w:space="0" w:color="1F4E79" w:themeColor="accent1" w:themeShade="80"/>
            </w:tcBorders>
            <w:shd w:val="clear" w:color="auto" w:fill="auto"/>
            <w:vAlign w:val="center"/>
          </w:tcPr>
          <w:p w14:paraId="2BCFA3F8" w14:textId="77777777" w:rsidR="008B7E19" w:rsidRPr="004E46CF"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6E4E16">
              <w:rPr>
                <w:rFonts w:cs="Arial"/>
                <w:b/>
                <w:bCs/>
                <w:szCs w:val="14"/>
              </w:rPr>
              <w:t>16</w:t>
            </w:r>
            <w:r>
              <w:rPr>
                <w:rFonts w:cs="Arial"/>
                <w:b/>
                <w:bCs/>
                <w:szCs w:val="14"/>
              </w:rPr>
              <w:t>,</w:t>
            </w:r>
            <w:r w:rsidRPr="006E4E16">
              <w:rPr>
                <w:rFonts w:cs="Arial"/>
                <w:b/>
                <w:bCs/>
                <w:szCs w:val="14"/>
              </w:rPr>
              <w:t>980</w:t>
            </w:r>
            <w:r>
              <w:rPr>
                <w:rFonts w:cs="Arial"/>
                <w:b/>
                <w:bCs/>
                <w:szCs w:val="14"/>
              </w:rPr>
              <w:t>,</w:t>
            </w:r>
            <w:r w:rsidRPr="006E4E16">
              <w:rPr>
                <w:rFonts w:cs="Arial"/>
                <w:b/>
                <w:bCs/>
                <w:szCs w:val="14"/>
              </w:rPr>
              <w:t>230</w:t>
            </w:r>
          </w:p>
        </w:tc>
        <w:tc>
          <w:tcPr>
            <w:tcW w:w="989" w:type="dxa"/>
            <w:gridSpan w:val="2"/>
            <w:tcBorders>
              <w:top w:val="nil"/>
              <w:bottom w:val="single" w:sz="2" w:space="0" w:color="1F4E79" w:themeColor="accent1" w:themeShade="80"/>
            </w:tcBorders>
            <w:shd w:val="clear" w:color="auto" w:fill="auto"/>
            <w:vAlign w:val="center"/>
          </w:tcPr>
          <w:p w14:paraId="57D236A9" w14:textId="77777777" w:rsidR="008B7E19" w:rsidRPr="00EE1C73"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544B6D">
              <w:rPr>
                <w:rFonts w:cs="Arial"/>
                <w:b/>
                <w:bCs/>
                <w:szCs w:val="14"/>
              </w:rPr>
              <w:t>16</w:t>
            </w:r>
            <w:r>
              <w:rPr>
                <w:rFonts w:cs="Arial"/>
                <w:b/>
                <w:bCs/>
                <w:szCs w:val="14"/>
              </w:rPr>
              <w:t>,</w:t>
            </w:r>
            <w:r w:rsidRPr="00544B6D">
              <w:rPr>
                <w:rFonts w:cs="Arial"/>
                <w:b/>
                <w:bCs/>
                <w:szCs w:val="14"/>
              </w:rPr>
              <w:t>570</w:t>
            </w:r>
            <w:r>
              <w:rPr>
                <w:rFonts w:cs="Arial"/>
                <w:b/>
                <w:bCs/>
                <w:szCs w:val="14"/>
              </w:rPr>
              <w:t>,</w:t>
            </w:r>
            <w:r w:rsidRPr="00544B6D">
              <w:rPr>
                <w:rFonts w:cs="Arial"/>
                <w:b/>
                <w:bCs/>
                <w:szCs w:val="14"/>
              </w:rPr>
              <w:t>461</w:t>
            </w:r>
          </w:p>
        </w:tc>
        <w:tc>
          <w:tcPr>
            <w:tcW w:w="990" w:type="dxa"/>
            <w:tcBorders>
              <w:top w:val="nil"/>
              <w:bottom w:val="single" w:sz="2" w:space="0" w:color="1F4E79" w:themeColor="accent1" w:themeShade="80"/>
            </w:tcBorders>
            <w:shd w:val="clear" w:color="auto" w:fill="auto"/>
            <w:vAlign w:val="center"/>
          </w:tcPr>
          <w:p w14:paraId="3687DBDE" w14:textId="77777777" w:rsidR="008B7E19" w:rsidRPr="004E46CF"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b/>
                <w:bCs/>
              </w:rPr>
            </w:pPr>
            <w:r w:rsidRPr="006B0C43">
              <w:rPr>
                <w:rFonts w:cs="Arial"/>
                <w:b/>
                <w:bCs/>
                <w:szCs w:val="14"/>
              </w:rPr>
              <w:t>13</w:t>
            </w:r>
            <w:r>
              <w:rPr>
                <w:rFonts w:cs="Arial"/>
                <w:b/>
                <w:bCs/>
                <w:szCs w:val="14"/>
              </w:rPr>
              <w:t>,</w:t>
            </w:r>
            <w:r w:rsidRPr="006B0C43">
              <w:rPr>
                <w:rFonts w:cs="Arial"/>
                <w:b/>
                <w:bCs/>
                <w:szCs w:val="14"/>
              </w:rPr>
              <w:t>501</w:t>
            </w:r>
            <w:r>
              <w:rPr>
                <w:rFonts w:cs="Arial"/>
                <w:b/>
                <w:bCs/>
                <w:szCs w:val="14"/>
              </w:rPr>
              <w:t>,</w:t>
            </w:r>
            <w:r w:rsidRPr="006B0C43">
              <w:rPr>
                <w:rFonts w:cs="Arial"/>
                <w:b/>
                <w:bCs/>
                <w:szCs w:val="14"/>
              </w:rPr>
              <w:t>206</w:t>
            </w:r>
          </w:p>
        </w:tc>
      </w:tr>
    </w:tbl>
    <w:p w14:paraId="56523EB6" w14:textId="77777777" w:rsidR="008B7E19" w:rsidRPr="00C929DB" w:rsidRDefault="008B7E19" w:rsidP="008B7E19">
      <w:pPr>
        <w:rPr>
          <w:rFonts w:cs="Arial"/>
          <w:sz w:val="14"/>
          <w:szCs w:val="14"/>
          <w:lang w:val="en-US"/>
        </w:rPr>
      </w:pPr>
      <w:r w:rsidRPr="00C929DB">
        <w:rPr>
          <w:rFonts w:cs="Arial"/>
          <w:sz w:val="14"/>
          <w:szCs w:val="14"/>
          <w:lang w:val="en-US"/>
        </w:rPr>
        <w:t xml:space="preserve">The explanatory notes are an integral part of the interim financial statements. The opening balance sheet and restatements refer to the adoption of CPC 50 [IFRS 17] – Insurance Contracts and CPC 48 [IFRS 9] – Financial Instruments, whose effects are detailed in Note 03 - Presentation of Financial Statements. </w:t>
      </w:r>
      <w:r w:rsidRPr="00C929DB">
        <w:rPr>
          <w:lang w:val="en-US"/>
        </w:rPr>
        <w:br w:type="page"/>
      </w:r>
    </w:p>
    <w:p w14:paraId="2C3CA0CA" w14:textId="77777777" w:rsidR="008B7E19" w:rsidRPr="00BA4C93" w:rsidRDefault="008B7E19" w:rsidP="008B7E19">
      <w:pPr>
        <w:pStyle w:val="Ttulo1"/>
        <w:rPr>
          <w:b w:val="0"/>
          <w:bCs w:val="0"/>
        </w:rPr>
      </w:pPr>
      <w:bookmarkStart w:id="11" w:name="_Toc141966675"/>
      <w:r w:rsidRPr="00BA4C93">
        <w:t>STATEMENT OF CASH FLOWS</w:t>
      </w:r>
      <w:bookmarkEnd w:id="11"/>
    </w:p>
    <w:p w14:paraId="2CF1229A" w14:textId="77777777" w:rsidR="008B7E19" w:rsidRPr="00BD6C7E" w:rsidRDefault="008B7E19" w:rsidP="008B7E19">
      <w:pPr>
        <w:pStyle w:val="01-TtulodeNota"/>
        <w:spacing w:before="0" w:after="0"/>
        <w:jc w:val="right"/>
        <w:rPr>
          <w:sz w:val="12"/>
          <w:szCs w:val="12"/>
          <w:lang w:val="en-US"/>
        </w:rPr>
      </w:pPr>
      <w:r w:rsidRPr="00BD6C7E">
        <w:rPr>
          <w:sz w:val="12"/>
          <w:szCs w:val="12"/>
          <w:lang w:val="en-US"/>
        </w:rPr>
        <w:t>R$ thousand</w:t>
      </w:r>
    </w:p>
    <w:tbl>
      <w:tblPr>
        <w:tblStyle w:val="TabeladeLista6Colorida-nfase5"/>
        <w:tblW w:w="9639" w:type="dxa"/>
        <w:jc w:val="center"/>
        <w:tblLayout w:type="fixed"/>
        <w:tblLook w:val="04A0" w:firstRow="1" w:lastRow="0" w:firstColumn="1" w:lastColumn="0" w:noHBand="0" w:noVBand="1"/>
      </w:tblPr>
      <w:tblGrid>
        <w:gridCol w:w="2977"/>
        <w:gridCol w:w="781"/>
        <w:gridCol w:w="1345"/>
        <w:gridCol w:w="1418"/>
        <w:gridCol w:w="281"/>
        <w:gridCol w:w="1420"/>
        <w:gridCol w:w="1417"/>
      </w:tblGrid>
      <w:tr w:rsidR="008B7E19" w14:paraId="0AF39D98" w14:textId="77777777" w:rsidTr="008B7E19">
        <w:trPr>
          <w:cnfStyle w:val="100000000000" w:firstRow="1" w:lastRow="0" w:firstColumn="0" w:lastColumn="0" w:oddVBand="0" w:evenVBand="0" w:oddHBand="0" w:evenHBand="0" w:firstRowFirstColumn="0" w:firstRowLastColumn="0" w:lastRowFirstColumn="0" w:lastRowLastColumn="0"/>
          <w:trHeight w:hRule="exact" w:val="283"/>
          <w:jc w:val="center"/>
        </w:trPr>
        <w:tc>
          <w:tcPr>
            <w:cnfStyle w:val="001000000000" w:firstRow="0" w:lastRow="0" w:firstColumn="1" w:lastColumn="0" w:oddVBand="0" w:evenVBand="0" w:oddHBand="0" w:evenHBand="0" w:firstRowFirstColumn="0" w:firstRowLastColumn="0" w:lastRowFirstColumn="0" w:lastRowLastColumn="0"/>
            <w:tcW w:w="2977" w:type="dxa"/>
            <w:tcBorders>
              <w:top w:val="single" w:sz="2" w:space="0" w:color="1F4E79" w:themeColor="accent1" w:themeShade="80"/>
              <w:bottom w:val="nil"/>
            </w:tcBorders>
            <w:shd w:val="clear" w:color="auto" w:fill="auto"/>
            <w:vAlign w:val="center"/>
          </w:tcPr>
          <w:p w14:paraId="39C930C8" w14:textId="77777777" w:rsidR="008B7E19" w:rsidRPr="00BD6C7E" w:rsidRDefault="008B7E19" w:rsidP="008B7E19">
            <w:pPr>
              <w:jc w:val="center"/>
              <w:rPr>
                <w:rFonts w:cs="Arial"/>
                <w:b w:val="0"/>
                <w:szCs w:val="18"/>
                <w:lang w:val="en-US"/>
              </w:rPr>
            </w:pPr>
          </w:p>
        </w:tc>
        <w:tc>
          <w:tcPr>
            <w:tcW w:w="781" w:type="dxa"/>
            <w:tcBorders>
              <w:top w:val="single" w:sz="2" w:space="0" w:color="1F4E79" w:themeColor="accent1" w:themeShade="80"/>
              <w:bottom w:val="nil"/>
            </w:tcBorders>
            <w:shd w:val="clear" w:color="auto" w:fill="auto"/>
            <w:vAlign w:val="center"/>
          </w:tcPr>
          <w:p w14:paraId="76614364" w14:textId="77777777" w:rsidR="008B7E19" w:rsidRPr="00BD6C7E" w:rsidRDefault="008B7E19" w:rsidP="008B7E19">
            <w:pPr>
              <w:cnfStyle w:val="100000000000" w:firstRow="1" w:lastRow="0" w:firstColumn="0" w:lastColumn="0" w:oddVBand="0" w:evenVBand="0" w:oddHBand="0" w:evenHBand="0" w:firstRowFirstColumn="0" w:firstRowLastColumn="0" w:lastRowFirstColumn="0" w:lastRowLastColumn="0"/>
              <w:rPr>
                <w:rFonts w:cs="Arial"/>
                <w:b w:val="0"/>
                <w:szCs w:val="18"/>
                <w:lang w:val="en-US"/>
              </w:rPr>
            </w:pPr>
          </w:p>
        </w:tc>
        <w:tc>
          <w:tcPr>
            <w:tcW w:w="2763" w:type="dxa"/>
            <w:gridSpan w:val="2"/>
            <w:tcBorders>
              <w:top w:val="single" w:sz="2" w:space="0" w:color="1F4E79" w:themeColor="accent1" w:themeShade="80"/>
              <w:bottom w:val="single" w:sz="2" w:space="0" w:color="1F4E79" w:themeColor="accent1" w:themeShade="80"/>
            </w:tcBorders>
            <w:shd w:val="clear" w:color="auto" w:fill="auto"/>
            <w:vAlign w:val="center"/>
          </w:tcPr>
          <w:p w14:paraId="0C635243" w14:textId="77777777" w:rsidR="008B7E19" w:rsidRPr="0038031F" w:rsidRDefault="008B7E19" w:rsidP="008B7E19">
            <w:pPr>
              <w:jc w:val="center"/>
              <w:cnfStyle w:val="100000000000" w:firstRow="1" w:lastRow="0" w:firstColumn="0" w:lastColumn="0" w:oddVBand="0" w:evenVBand="0" w:oddHBand="0" w:evenHBand="0" w:firstRowFirstColumn="0" w:firstRowLastColumn="0" w:lastRowFirstColumn="0" w:lastRowLastColumn="0"/>
              <w:rPr>
                <w:rFonts w:cs="Arial"/>
                <w:sz w:val="14"/>
                <w:szCs w:val="18"/>
              </w:rPr>
            </w:pPr>
            <w:r w:rsidRPr="009768B6">
              <w:rPr>
                <w:rFonts w:cs="Arial"/>
                <w:sz w:val="14"/>
                <w:szCs w:val="18"/>
              </w:rPr>
              <w:t>Parent</w:t>
            </w:r>
          </w:p>
        </w:tc>
        <w:tc>
          <w:tcPr>
            <w:tcW w:w="281" w:type="dxa"/>
            <w:tcBorders>
              <w:top w:val="single" w:sz="2" w:space="0" w:color="1F4E79" w:themeColor="accent1" w:themeShade="80"/>
              <w:bottom w:val="nil"/>
            </w:tcBorders>
            <w:shd w:val="clear" w:color="auto" w:fill="auto"/>
            <w:vAlign w:val="center"/>
          </w:tcPr>
          <w:p w14:paraId="59577C6D" w14:textId="77777777" w:rsidR="008B7E19" w:rsidRPr="001D6BE8" w:rsidRDefault="008B7E19" w:rsidP="008B7E19">
            <w:pPr>
              <w:cnfStyle w:val="100000000000" w:firstRow="1" w:lastRow="0" w:firstColumn="0" w:lastColumn="0" w:oddVBand="0" w:evenVBand="0" w:oddHBand="0" w:evenHBand="0" w:firstRowFirstColumn="0" w:firstRowLastColumn="0" w:lastRowFirstColumn="0" w:lastRowLastColumn="0"/>
              <w:rPr>
                <w:rFonts w:cs="Arial"/>
                <w:b w:val="0"/>
                <w:szCs w:val="18"/>
              </w:rPr>
            </w:pPr>
          </w:p>
        </w:tc>
        <w:tc>
          <w:tcPr>
            <w:tcW w:w="2837" w:type="dxa"/>
            <w:gridSpan w:val="2"/>
            <w:tcBorders>
              <w:top w:val="single" w:sz="2" w:space="0" w:color="1F4E79" w:themeColor="accent1" w:themeShade="80"/>
              <w:bottom w:val="single" w:sz="2" w:space="0" w:color="1F4E79" w:themeColor="accent1" w:themeShade="80"/>
            </w:tcBorders>
            <w:shd w:val="clear" w:color="auto" w:fill="auto"/>
            <w:vAlign w:val="center"/>
          </w:tcPr>
          <w:p w14:paraId="0C4D4242" w14:textId="77777777" w:rsidR="008B7E19" w:rsidRPr="0038031F" w:rsidRDefault="008B7E19" w:rsidP="008B7E19">
            <w:pPr>
              <w:jc w:val="center"/>
              <w:cnfStyle w:val="100000000000" w:firstRow="1" w:lastRow="0" w:firstColumn="0" w:lastColumn="0" w:oddVBand="0" w:evenVBand="0" w:oddHBand="0" w:evenHBand="0" w:firstRowFirstColumn="0" w:firstRowLastColumn="0" w:lastRowFirstColumn="0" w:lastRowLastColumn="0"/>
              <w:rPr>
                <w:rFonts w:cs="Arial"/>
                <w:szCs w:val="18"/>
              </w:rPr>
            </w:pPr>
            <w:r w:rsidRPr="009768B6">
              <w:rPr>
                <w:rFonts w:cs="Arial"/>
                <w:sz w:val="14"/>
                <w:szCs w:val="18"/>
              </w:rPr>
              <w:t>Consolidated</w:t>
            </w:r>
          </w:p>
        </w:tc>
      </w:tr>
      <w:tr w:rsidR="008B7E19" w:rsidRPr="001D6BE8" w14:paraId="44335090" w14:textId="77777777" w:rsidTr="008B7E19">
        <w:trPr>
          <w:cnfStyle w:val="000000100000" w:firstRow="0" w:lastRow="0" w:firstColumn="0" w:lastColumn="0" w:oddVBand="0" w:evenVBand="0" w:oddHBand="1" w:evenHBand="0" w:firstRowFirstColumn="0" w:firstRowLastColumn="0" w:lastRowFirstColumn="0" w:lastRowLastColumn="0"/>
          <w:trHeight w:hRule="exact" w:val="453"/>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single" w:sz="2" w:space="0" w:color="1F4E79" w:themeColor="accent1" w:themeShade="80"/>
            </w:tcBorders>
            <w:shd w:val="clear" w:color="auto" w:fill="auto"/>
            <w:vAlign w:val="center"/>
          </w:tcPr>
          <w:p w14:paraId="3EF18BDD" w14:textId="77777777" w:rsidR="008B7E19" w:rsidRPr="001D6BE8" w:rsidRDefault="008B7E19" w:rsidP="008B7E19">
            <w:pPr>
              <w:pStyle w:val="08-Tabelageral"/>
              <w:jc w:val="left"/>
              <w:rPr>
                <w:rFonts w:cs="Arial"/>
                <w:b w:val="0"/>
              </w:rPr>
            </w:pPr>
          </w:p>
        </w:tc>
        <w:tc>
          <w:tcPr>
            <w:tcW w:w="781" w:type="dxa"/>
            <w:tcBorders>
              <w:top w:val="nil"/>
              <w:bottom w:val="single" w:sz="2" w:space="0" w:color="1F4E79" w:themeColor="accent1" w:themeShade="80"/>
            </w:tcBorders>
            <w:shd w:val="clear" w:color="auto" w:fill="auto"/>
            <w:vAlign w:val="center"/>
          </w:tcPr>
          <w:p w14:paraId="538F673D" w14:textId="77777777" w:rsidR="008B7E19" w:rsidRPr="001D6BE8" w:rsidRDefault="008B7E19" w:rsidP="008B7E19">
            <w:pPr>
              <w:pStyle w:val="08-Tabelageral"/>
              <w:jc w:val="left"/>
              <w:cnfStyle w:val="000000100000" w:firstRow="0" w:lastRow="0" w:firstColumn="0" w:lastColumn="0" w:oddVBand="0" w:evenVBand="0" w:oddHBand="1" w:evenHBand="0" w:firstRowFirstColumn="0" w:firstRowLastColumn="0" w:lastRowFirstColumn="0" w:lastRowLastColumn="0"/>
              <w:rPr>
                <w:rFonts w:cs="Arial"/>
                <w:b/>
              </w:rPr>
            </w:pPr>
            <w:r w:rsidRPr="008E15BF">
              <w:rPr>
                <w:rFonts w:cs="Arial"/>
                <w:b/>
              </w:rPr>
              <w:t>Not</w:t>
            </w:r>
            <w:r>
              <w:rPr>
                <w:rFonts w:cs="Arial"/>
                <w:b/>
              </w:rPr>
              <w:t>e</w:t>
            </w:r>
          </w:p>
        </w:tc>
        <w:tc>
          <w:tcPr>
            <w:tcW w:w="1345" w:type="dxa"/>
            <w:tcBorders>
              <w:top w:val="single" w:sz="2" w:space="0" w:color="1F4E79" w:themeColor="accent1" w:themeShade="80"/>
              <w:bottom w:val="single" w:sz="2" w:space="0" w:color="1F4E79" w:themeColor="accent1" w:themeShade="80"/>
            </w:tcBorders>
            <w:shd w:val="clear" w:color="auto" w:fill="auto"/>
            <w:vAlign w:val="center"/>
          </w:tcPr>
          <w:p w14:paraId="3F7873B7" w14:textId="77777777" w:rsidR="008B7E19" w:rsidRPr="001D6BE8"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AE2A36">
              <w:rPr>
                <w:rFonts w:cs="Arial"/>
                <w:b/>
                <w:bCs/>
                <w:szCs w:val="14"/>
              </w:rPr>
              <w:t>1</w:t>
            </w:r>
            <w:r w:rsidRPr="00984688">
              <w:rPr>
                <w:rFonts w:cs="Arial"/>
                <w:b/>
                <w:bCs/>
                <w:szCs w:val="14"/>
                <w:vertAlign w:val="superscript"/>
              </w:rPr>
              <w:t>st</w:t>
            </w:r>
            <w:r w:rsidRPr="00AE2A36">
              <w:rPr>
                <w:rFonts w:cs="Arial"/>
                <w:b/>
                <w:bCs/>
                <w:szCs w:val="14"/>
              </w:rPr>
              <w:t xml:space="preserve"> Half 202</w:t>
            </w:r>
            <w:r>
              <w:rPr>
                <w:rFonts w:cs="Arial"/>
                <w:b/>
                <w:bCs/>
                <w:szCs w:val="14"/>
              </w:rPr>
              <w:t>3</w:t>
            </w:r>
          </w:p>
        </w:tc>
        <w:tc>
          <w:tcPr>
            <w:tcW w:w="1418" w:type="dxa"/>
            <w:tcBorders>
              <w:top w:val="single" w:sz="2" w:space="0" w:color="1F4E79" w:themeColor="accent1" w:themeShade="80"/>
              <w:bottom w:val="single" w:sz="2" w:space="0" w:color="1F4E79" w:themeColor="accent1" w:themeShade="80"/>
            </w:tcBorders>
            <w:shd w:val="clear" w:color="auto" w:fill="auto"/>
            <w:vAlign w:val="center"/>
          </w:tcPr>
          <w:p w14:paraId="0AFC042F" w14:textId="77777777" w:rsidR="008B7E19" w:rsidRDefault="008B7E19" w:rsidP="008B7E19">
            <w:pPr>
              <w:pStyle w:val="08-Tabelageral"/>
              <w:jc w:val="center"/>
              <w:cnfStyle w:val="000000100000" w:firstRow="0" w:lastRow="0" w:firstColumn="0" w:lastColumn="0" w:oddVBand="0" w:evenVBand="0" w:oddHBand="1" w:evenHBand="0" w:firstRowFirstColumn="0" w:firstRowLastColumn="0" w:lastRowFirstColumn="0" w:lastRowLastColumn="0"/>
              <w:rPr>
                <w:rFonts w:cs="Arial"/>
                <w:b/>
                <w:bCs/>
                <w:szCs w:val="14"/>
              </w:rPr>
            </w:pPr>
            <w:r w:rsidRPr="003E392D">
              <w:rPr>
                <w:rFonts w:cs="Arial"/>
                <w:b/>
                <w:bCs/>
                <w:szCs w:val="14"/>
              </w:rPr>
              <w:t>1</w:t>
            </w:r>
            <w:r w:rsidRPr="003E392D">
              <w:rPr>
                <w:rFonts w:cs="Arial"/>
                <w:b/>
                <w:bCs/>
                <w:szCs w:val="14"/>
                <w:vertAlign w:val="superscript"/>
              </w:rPr>
              <w:t>st</w:t>
            </w:r>
            <w:r w:rsidRPr="003E392D">
              <w:rPr>
                <w:rFonts w:cs="Arial"/>
                <w:b/>
                <w:bCs/>
                <w:szCs w:val="14"/>
              </w:rPr>
              <w:t xml:space="preserve"> Half 202</w:t>
            </w:r>
            <w:r>
              <w:rPr>
                <w:rFonts w:cs="Arial"/>
                <w:b/>
                <w:bCs/>
                <w:szCs w:val="14"/>
              </w:rPr>
              <w:t>3</w:t>
            </w:r>
          </w:p>
          <w:p w14:paraId="0139243E" w14:textId="77777777" w:rsidR="008B7E19" w:rsidRPr="001D6BE8"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BE2D21">
              <w:rPr>
                <w:rFonts w:cs="Arial"/>
                <w:b/>
                <w:bCs/>
                <w:szCs w:val="14"/>
              </w:rPr>
              <w:t>Restated balances</w:t>
            </w:r>
          </w:p>
        </w:tc>
        <w:tc>
          <w:tcPr>
            <w:tcW w:w="281" w:type="dxa"/>
            <w:tcBorders>
              <w:top w:val="nil"/>
              <w:bottom w:val="single" w:sz="2" w:space="0" w:color="1F4E79" w:themeColor="accent1" w:themeShade="80"/>
            </w:tcBorders>
            <w:shd w:val="clear" w:color="auto" w:fill="auto"/>
            <w:vAlign w:val="center"/>
          </w:tcPr>
          <w:p w14:paraId="08301599" w14:textId="77777777" w:rsidR="008B7E19" w:rsidRPr="001D6BE8" w:rsidRDefault="008B7E19" w:rsidP="008B7E19">
            <w:pPr>
              <w:pStyle w:val="08-Tabelageral"/>
              <w:jc w:val="left"/>
              <w:cnfStyle w:val="000000100000" w:firstRow="0" w:lastRow="0" w:firstColumn="0" w:lastColumn="0" w:oddVBand="0" w:evenVBand="0" w:oddHBand="1" w:evenHBand="0" w:firstRowFirstColumn="0" w:firstRowLastColumn="0" w:lastRowFirstColumn="0" w:lastRowLastColumn="0"/>
              <w:rPr>
                <w:rFonts w:cs="Arial"/>
                <w:b/>
              </w:rPr>
            </w:pPr>
          </w:p>
        </w:tc>
        <w:tc>
          <w:tcPr>
            <w:tcW w:w="1420" w:type="dxa"/>
            <w:tcBorders>
              <w:top w:val="single" w:sz="2" w:space="0" w:color="1F4E79" w:themeColor="accent1" w:themeShade="80"/>
              <w:bottom w:val="single" w:sz="2" w:space="0" w:color="1F4E79" w:themeColor="accent1" w:themeShade="80"/>
            </w:tcBorders>
            <w:shd w:val="clear" w:color="auto" w:fill="auto"/>
            <w:vAlign w:val="center"/>
          </w:tcPr>
          <w:p w14:paraId="37B95577" w14:textId="77777777" w:rsidR="008B7E19" w:rsidRPr="001D6BE8"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AE2A36">
              <w:rPr>
                <w:rFonts w:cs="Arial"/>
                <w:b/>
                <w:bCs/>
                <w:szCs w:val="14"/>
              </w:rPr>
              <w:t>1</w:t>
            </w:r>
            <w:r w:rsidRPr="00984688">
              <w:rPr>
                <w:rFonts w:cs="Arial"/>
                <w:b/>
                <w:bCs/>
                <w:szCs w:val="14"/>
                <w:vertAlign w:val="superscript"/>
              </w:rPr>
              <w:t>st</w:t>
            </w:r>
            <w:r w:rsidRPr="00AE2A36">
              <w:rPr>
                <w:rFonts w:cs="Arial"/>
                <w:b/>
                <w:bCs/>
                <w:szCs w:val="14"/>
              </w:rPr>
              <w:t xml:space="preserve"> Half 2022</w:t>
            </w:r>
          </w:p>
        </w:tc>
        <w:tc>
          <w:tcPr>
            <w:tcW w:w="1417" w:type="dxa"/>
            <w:tcBorders>
              <w:top w:val="single" w:sz="2" w:space="0" w:color="1F4E79" w:themeColor="accent1" w:themeShade="80"/>
              <w:bottom w:val="single" w:sz="2" w:space="0" w:color="1F4E79" w:themeColor="accent1" w:themeShade="80"/>
            </w:tcBorders>
            <w:shd w:val="clear" w:color="auto" w:fill="auto"/>
            <w:vAlign w:val="center"/>
          </w:tcPr>
          <w:p w14:paraId="5C109520" w14:textId="77777777" w:rsidR="008B7E19" w:rsidRDefault="008B7E19" w:rsidP="008B7E19">
            <w:pPr>
              <w:pStyle w:val="08-Tabelageral"/>
              <w:jc w:val="center"/>
              <w:cnfStyle w:val="000000100000" w:firstRow="0" w:lastRow="0" w:firstColumn="0" w:lastColumn="0" w:oddVBand="0" w:evenVBand="0" w:oddHBand="1" w:evenHBand="0" w:firstRowFirstColumn="0" w:firstRowLastColumn="0" w:lastRowFirstColumn="0" w:lastRowLastColumn="0"/>
              <w:rPr>
                <w:rFonts w:cs="Arial"/>
                <w:b/>
                <w:bCs/>
                <w:szCs w:val="14"/>
              </w:rPr>
            </w:pPr>
            <w:r w:rsidRPr="003E392D">
              <w:rPr>
                <w:rFonts w:cs="Arial"/>
                <w:b/>
                <w:bCs/>
                <w:szCs w:val="14"/>
              </w:rPr>
              <w:t>1</w:t>
            </w:r>
            <w:r w:rsidRPr="003E392D">
              <w:rPr>
                <w:rFonts w:cs="Arial"/>
                <w:b/>
                <w:bCs/>
                <w:szCs w:val="14"/>
                <w:vertAlign w:val="superscript"/>
              </w:rPr>
              <w:t>st</w:t>
            </w:r>
            <w:r w:rsidRPr="003E392D">
              <w:rPr>
                <w:rFonts w:cs="Arial"/>
                <w:b/>
                <w:bCs/>
                <w:szCs w:val="14"/>
              </w:rPr>
              <w:t xml:space="preserve"> Half 202</w:t>
            </w:r>
            <w:r>
              <w:rPr>
                <w:rFonts w:cs="Arial"/>
                <w:b/>
                <w:bCs/>
                <w:szCs w:val="14"/>
              </w:rPr>
              <w:t>2</w:t>
            </w:r>
          </w:p>
          <w:p w14:paraId="0335DB86" w14:textId="77777777" w:rsidR="008B7E19" w:rsidRPr="00453FA2"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b/>
              </w:rPr>
            </w:pPr>
            <w:r w:rsidRPr="00BE2D21">
              <w:rPr>
                <w:rFonts w:cs="Arial"/>
                <w:b/>
                <w:bCs/>
                <w:szCs w:val="14"/>
              </w:rPr>
              <w:t>Restated balances</w:t>
            </w:r>
          </w:p>
        </w:tc>
      </w:tr>
      <w:tr w:rsidR="008B7E19" w:rsidRPr="00D078CB" w14:paraId="02B9C5CB" w14:textId="77777777" w:rsidTr="008B7E19">
        <w:trPr>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single" w:sz="2" w:space="0" w:color="1F4E79" w:themeColor="accent1" w:themeShade="80"/>
              <w:bottom w:val="nil"/>
            </w:tcBorders>
            <w:shd w:val="clear" w:color="auto" w:fill="auto"/>
            <w:vAlign w:val="center"/>
          </w:tcPr>
          <w:p w14:paraId="7FA67695" w14:textId="77777777" w:rsidR="008B7E19" w:rsidRPr="00BD6C7E" w:rsidRDefault="008B7E19" w:rsidP="008B7E19">
            <w:pPr>
              <w:pStyle w:val="08-Tabelageral"/>
              <w:jc w:val="left"/>
              <w:rPr>
                <w:b w:val="0"/>
                <w:lang w:val="en-US"/>
              </w:rPr>
            </w:pPr>
            <w:r w:rsidRPr="00BD6C7E">
              <w:rPr>
                <w:lang w:val="en-US"/>
              </w:rPr>
              <w:t>Cash flow from operating activities</w:t>
            </w:r>
          </w:p>
        </w:tc>
        <w:tc>
          <w:tcPr>
            <w:tcW w:w="781" w:type="dxa"/>
            <w:tcBorders>
              <w:top w:val="single" w:sz="2" w:space="0" w:color="1F4E79" w:themeColor="accent1" w:themeShade="80"/>
              <w:bottom w:val="nil"/>
            </w:tcBorders>
            <w:shd w:val="clear" w:color="auto" w:fill="auto"/>
            <w:vAlign w:val="center"/>
          </w:tcPr>
          <w:p w14:paraId="302033E8" w14:textId="77777777" w:rsidR="008B7E19" w:rsidRPr="00BD6C7E" w:rsidRDefault="008B7E19" w:rsidP="008B7E19">
            <w:pPr>
              <w:pStyle w:val="08-Tabelageral"/>
              <w:jc w:val="left"/>
              <w:cnfStyle w:val="000000000000" w:firstRow="0" w:lastRow="0" w:firstColumn="0" w:lastColumn="0" w:oddVBand="0" w:evenVBand="0" w:oddHBand="0" w:evenHBand="0" w:firstRowFirstColumn="0" w:firstRowLastColumn="0" w:lastRowFirstColumn="0" w:lastRowLastColumn="0"/>
              <w:rPr>
                <w:lang w:val="en-US"/>
              </w:rPr>
            </w:pPr>
          </w:p>
        </w:tc>
        <w:tc>
          <w:tcPr>
            <w:tcW w:w="1345" w:type="dxa"/>
            <w:tcBorders>
              <w:top w:val="single" w:sz="2" w:space="0" w:color="1F4E79" w:themeColor="accent1" w:themeShade="80"/>
              <w:bottom w:val="nil"/>
            </w:tcBorders>
            <w:shd w:val="clear" w:color="auto" w:fill="auto"/>
            <w:vAlign w:val="center"/>
          </w:tcPr>
          <w:p w14:paraId="5E7415D5" w14:textId="77777777" w:rsidR="008B7E19" w:rsidRPr="00BD6C7E" w:rsidRDefault="008B7E19" w:rsidP="008B7E19">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lang w:val="en-US"/>
              </w:rPr>
            </w:pPr>
          </w:p>
        </w:tc>
        <w:tc>
          <w:tcPr>
            <w:tcW w:w="1418" w:type="dxa"/>
            <w:tcBorders>
              <w:top w:val="single" w:sz="2" w:space="0" w:color="1F4E79" w:themeColor="accent1" w:themeShade="80"/>
              <w:bottom w:val="nil"/>
            </w:tcBorders>
            <w:shd w:val="clear" w:color="auto" w:fill="auto"/>
            <w:vAlign w:val="center"/>
          </w:tcPr>
          <w:p w14:paraId="26768251" w14:textId="77777777" w:rsidR="008B7E19" w:rsidRPr="00BD6C7E"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lang w:val="en-US"/>
              </w:rPr>
            </w:pPr>
          </w:p>
        </w:tc>
        <w:tc>
          <w:tcPr>
            <w:tcW w:w="281" w:type="dxa"/>
            <w:tcBorders>
              <w:top w:val="nil"/>
              <w:bottom w:val="nil"/>
            </w:tcBorders>
            <w:shd w:val="clear" w:color="auto" w:fill="auto"/>
            <w:vAlign w:val="center"/>
          </w:tcPr>
          <w:p w14:paraId="2B723385" w14:textId="77777777" w:rsidR="008B7E19" w:rsidRPr="00BD6C7E" w:rsidRDefault="008B7E19" w:rsidP="008B7E19">
            <w:pPr>
              <w:pStyle w:val="08-Tabelageral"/>
              <w:jc w:val="left"/>
              <w:cnfStyle w:val="000000000000" w:firstRow="0" w:lastRow="0" w:firstColumn="0" w:lastColumn="0" w:oddVBand="0" w:evenVBand="0" w:oddHBand="0" w:evenHBand="0" w:firstRowFirstColumn="0" w:firstRowLastColumn="0" w:lastRowFirstColumn="0" w:lastRowLastColumn="0"/>
              <w:rPr>
                <w:rFonts w:cs="Arial"/>
                <w:szCs w:val="14"/>
                <w:lang w:val="en-US"/>
              </w:rPr>
            </w:pPr>
          </w:p>
        </w:tc>
        <w:tc>
          <w:tcPr>
            <w:tcW w:w="1420" w:type="dxa"/>
            <w:tcBorders>
              <w:top w:val="single" w:sz="2" w:space="0" w:color="1F4E79" w:themeColor="accent1" w:themeShade="80"/>
              <w:bottom w:val="nil"/>
            </w:tcBorders>
            <w:shd w:val="clear" w:color="auto" w:fill="auto"/>
            <w:vAlign w:val="center"/>
          </w:tcPr>
          <w:p w14:paraId="572F43D7" w14:textId="77777777" w:rsidR="008B7E19" w:rsidRPr="00BD6C7E" w:rsidRDefault="008B7E19" w:rsidP="008B7E19">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lang w:val="en-US"/>
              </w:rPr>
            </w:pPr>
          </w:p>
        </w:tc>
        <w:tc>
          <w:tcPr>
            <w:tcW w:w="1417" w:type="dxa"/>
            <w:tcBorders>
              <w:top w:val="single" w:sz="2" w:space="0" w:color="1F4E79" w:themeColor="accent1" w:themeShade="80"/>
              <w:bottom w:val="nil"/>
            </w:tcBorders>
            <w:shd w:val="clear" w:color="auto" w:fill="auto"/>
            <w:vAlign w:val="center"/>
          </w:tcPr>
          <w:p w14:paraId="4B4A76BB" w14:textId="77777777" w:rsidR="008B7E19" w:rsidRPr="00BD6C7E"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lang w:val="en-US"/>
              </w:rPr>
            </w:pPr>
          </w:p>
        </w:tc>
      </w:tr>
      <w:tr w:rsidR="008B7E19" w:rsidRPr="00351E1D" w14:paraId="52467698"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auto"/>
            <w:vAlign w:val="center"/>
          </w:tcPr>
          <w:p w14:paraId="2BE5B8C4" w14:textId="77777777" w:rsidR="008B7E19" w:rsidRPr="00351E1D" w:rsidRDefault="008B7E19" w:rsidP="008B7E19">
            <w:pPr>
              <w:pStyle w:val="08-Tabelageral"/>
              <w:ind w:left="113"/>
              <w:jc w:val="left"/>
            </w:pPr>
            <w:r w:rsidRPr="004F2E05">
              <w:rPr>
                <w:bCs w:val="0"/>
              </w:rPr>
              <w:t>Net profit</w:t>
            </w:r>
            <w:r w:rsidRPr="00E03629">
              <w:t xml:space="preserve"> </w:t>
            </w:r>
          </w:p>
        </w:tc>
        <w:tc>
          <w:tcPr>
            <w:tcW w:w="781" w:type="dxa"/>
            <w:tcBorders>
              <w:top w:val="nil"/>
              <w:bottom w:val="nil"/>
            </w:tcBorders>
            <w:shd w:val="clear" w:color="auto" w:fill="auto"/>
            <w:vAlign w:val="center"/>
          </w:tcPr>
          <w:p w14:paraId="26EDFDA4" w14:textId="77777777" w:rsidR="008B7E19" w:rsidRPr="00351E1D" w:rsidRDefault="008B7E19" w:rsidP="008B7E19">
            <w:pPr>
              <w:pStyle w:val="08-Tabelageral"/>
              <w:jc w:val="left"/>
              <w:cnfStyle w:val="000000100000" w:firstRow="0" w:lastRow="0" w:firstColumn="0" w:lastColumn="0" w:oddVBand="0" w:evenVBand="0" w:oddHBand="1" w:evenHBand="0" w:firstRowFirstColumn="0" w:firstRowLastColumn="0" w:lastRowFirstColumn="0" w:lastRowLastColumn="0"/>
              <w:rPr>
                <w:b/>
              </w:rPr>
            </w:pPr>
          </w:p>
        </w:tc>
        <w:tc>
          <w:tcPr>
            <w:tcW w:w="1345" w:type="dxa"/>
            <w:tcBorders>
              <w:top w:val="nil"/>
              <w:bottom w:val="nil"/>
            </w:tcBorders>
            <w:shd w:val="clear" w:color="auto" w:fill="auto"/>
            <w:vAlign w:val="center"/>
          </w:tcPr>
          <w:p w14:paraId="13283D2B" w14:textId="77777777" w:rsidR="008B7E19" w:rsidRPr="002D3429" w:rsidRDefault="008B7E19" w:rsidP="008B7E19">
            <w:pPr>
              <w:pStyle w:val="08-Tabelageral"/>
              <w:ind w:left="113"/>
              <w:cnfStyle w:val="000000100000" w:firstRow="0" w:lastRow="0" w:firstColumn="0" w:lastColumn="0" w:oddVBand="0" w:evenVBand="0" w:oddHBand="1" w:evenHBand="0" w:firstRowFirstColumn="0" w:firstRowLastColumn="0" w:lastRowFirstColumn="0" w:lastRowLastColumn="0"/>
              <w:rPr>
                <w:rFonts w:cs="Arial"/>
                <w:b/>
                <w:bCs/>
                <w:szCs w:val="14"/>
              </w:rPr>
            </w:pPr>
            <w:r w:rsidRPr="00DC533F">
              <w:rPr>
                <w:rFonts w:cs="Arial"/>
                <w:b/>
                <w:szCs w:val="14"/>
              </w:rPr>
              <w:t>3</w:t>
            </w:r>
            <w:r>
              <w:rPr>
                <w:rFonts w:cs="Arial"/>
                <w:b/>
                <w:szCs w:val="14"/>
              </w:rPr>
              <w:t>,</w:t>
            </w:r>
            <w:r w:rsidRPr="00DC533F">
              <w:rPr>
                <w:rFonts w:cs="Arial"/>
                <w:b/>
                <w:szCs w:val="14"/>
              </w:rPr>
              <w:t>725</w:t>
            </w:r>
            <w:r>
              <w:rPr>
                <w:rFonts w:cs="Arial"/>
                <w:b/>
                <w:szCs w:val="14"/>
              </w:rPr>
              <w:t>,</w:t>
            </w:r>
            <w:r w:rsidRPr="00DC533F">
              <w:rPr>
                <w:rFonts w:cs="Arial"/>
                <w:b/>
                <w:szCs w:val="14"/>
              </w:rPr>
              <w:t>132</w:t>
            </w:r>
          </w:p>
        </w:tc>
        <w:tc>
          <w:tcPr>
            <w:tcW w:w="1418" w:type="dxa"/>
            <w:tcBorders>
              <w:top w:val="nil"/>
              <w:bottom w:val="nil"/>
            </w:tcBorders>
            <w:shd w:val="clear" w:color="auto" w:fill="auto"/>
            <w:vAlign w:val="center"/>
          </w:tcPr>
          <w:p w14:paraId="09BF6421" w14:textId="77777777" w:rsidR="008B7E19" w:rsidRPr="002D3429"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b/>
                <w:bCs/>
              </w:rPr>
            </w:pPr>
            <w:r w:rsidRPr="00DC533F">
              <w:rPr>
                <w:b/>
              </w:rPr>
              <w:t>2</w:t>
            </w:r>
            <w:r>
              <w:rPr>
                <w:b/>
              </w:rPr>
              <w:t>,</w:t>
            </w:r>
            <w:r w:rsidRPr="00DC533F">
              <w:rPr>
                <w:b/>
              </w:rPr>
              <w:t>713</w:t>
            </w:r>
            <w:r>
              <w:rPr>
                <w:b/>
              </w:rPr>
              <w:t>,</w:t>
            </w:r>
            <w:r w:rsidRPr="00DC533F">
              <w:rPr>
                <w:b/>
              </w:rPr>
              <w:t>24</w:t>
            </w:r>
            <w:r>
              <w:rPr>
                <w:b/>
              </w:rPr>
              <w:t>4</w:t>
            </w:r>
          </w:p>
        </w:tc>
        <w:tc>
          <w:tcPr>
            <w:tcW w:w="281" w:type="dxa"/>
            <w:tcBorders>
              <w:top w:val="nil"/>
              <w:bottom w:val="nil"/>
            </w:tcBorders>
            <w:shd w:val="clear" w:color="auto" w:fill="auto"/>
            <w:vAlign w:val="center"/>
          </w:tcPr>
          <w:p w14:paraId="0E7100BC" w14:textId="77777777" w:rsidR="008B7E19" w:rsidRPr="002D3429" w:rsidRDefault="008B7E19" w:rsidP="008B7E19">
            <w:pPr>
              <w:pStyle w:val="08-Tabelageral"/>
              <w:jc w:val="left"/>
              <w:cnfStyle w:val="000000100000" w:firstRow="0" w:lastRow="0" w:firstColumn="0" w:lastColumn="0" w:oddVBand="0" w:evenVBand="0" w:oddHBand="1" w:evenHBand="0" w:firstRowFirstColumn="0" w:firstRowLastColumn="0" w:lastRowFirstColumn="0" w:lastRowLastColumn="0"/>
              <w:rPr>
                <w:rFonts w:cs="Arial"/>
                <w:b/>
                <w:bCs/>
                <w:szCs w:val="14"/>
              </w:rPr>
            </w:pPr>
          </w:p>
        </w:tc>
        <w:tc>
          <w:tcPr>
            <w:tcW w:w="1420" w:type="dxa"/>
            <w:tcBorders>
              <w:top w:val="nil"/>
              <w:bottom w:val="nil"/>
            </w:tcBorders>
            <w:shd w:val="clear" w:color="auto" w:fill="auto"/>
            <w:vAlign w:val="center"/>
          </w:tcPr>
          <w:p w14:paraId="2035EF5C" w14:textId="77777777" w:rsidR="008B7E19" w:rsidRPr="002D3429" w:rsidRDefault="008B7E19" w:rsidP="008B7E19">
            <w:pPr>
              <w:pStyle w:val="08-Tabelageral"/>
              <w:ind w:left="113"/>
              <w:cnfStyle w:val="000000100000" w:firstRow="0" w:lastRow="0" w:firstColumn="0" w:lastColumn="0" w:oddVBand="0" w:evenVBand="0" w:oddHBand="1" w:evenHBand="0" w:firstRowFirstColumn="0" w:firstRowLastColumn="0" w:lastRowFirstColumn="0" w:lastRowLastColumn="0"/>
              <w:rPr>
                <w:rFonts w:cs="Arial"/>
                <w:b/>
                <w:bCs/>
                <w:szCs w:val="14"/>
              </w:rPr>
            </w:pPr>
            <w:r w:rsidRPr="00DC533F">
              <w:rPr>
                <w:rFonts w:cs="Arial"/>
                <w:b/>
                <w:bCs/>
                <w:szCs w:val="14"/>
              </w:rPr>
              <w:t>3</w:t>
            </w:r>
            <w:r>
              <w:rPr>
                <w:rFonts w:cs="Arial"/>
                <w:b/>
                <w:bCs/>
                <w:szCs w:val="14"/>
              </w:rPr>
              <w:t>,</w:t>
            </w:r>
            <w:r w:rsidRPr="00DC533F">
              <w:rPr>
                <w:rFonts w:cs="Arial"/>
                <w:b/>
                <w:bCs/>
                <w:szCs w:val="14"/>
              </w:rPr>
              <w:t>725</w:t>
            </w:r>
            <w:r>
              <w:rPr>
                <w:rFonts w:cs="Arial"/>
                <w:b/>
                <w:bCs/>
                <w:szCs w:val="14"/>
              </w:rPr>
              <w:t>,</w:t>
            </w:r>
            <w:r w:rsidRPr="00DC533F">
              <w:rPr>
                <w:rFonts w:cs="Arial"/>
                <w:b/>
                <w:bCs/>
                <w:szCs w:val="14"/>
              </w:rPr>
              <w:t>132</w:t>
            </w:r>
          </w:p>
        </w:tc>
        <w:tc>
          <w:tcPr>
            <w:tcW w:w="1417" w:type="dxa"/>
            <w:tcBorders>
              <w:top w:val="nil"/>
              <w:bottom w:val="nil"/>
            </w:tcBorders>
            <w:shd w:val="clear" w:color="auto" w:fill="auto"/>
            <w:vAlign w:val="center"/>
          </w:tcPr>
          <w:p w14:paraId="502C65B3" w14:textId="77777777" w:rsidR="008B7E19" w:rsidRPr="002D3429"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b/>
                <w:bCs/>
              </w:rPr>
            </w:pPr>
            <w:r w:rsidRPr="00DC533F">
              <w:rPr>
                <w:b/>
                <w:bCs/>
              </w:rPr>
              <w:t>2</w:t>
            </w:r>
            <w:r>
              <w:rPr>
                <w:b/>
                <w:bCs/>
              </w:rPr>
              <w:t>,</w:t>
            </w:r>
            <w:r w:rsidRPr="00DC533F">
              <w:rPr>
                <w:b/>
                <w:bCs/>
              </w:rPr>
              <w:t>713</w:t>
            </w:r>
            <w:r>
              <w:rPr>
                <w:b/>
                <w:bCs/>
              </w:rPr>
              <w:t>,</w:t>
            </w:r>
            <w:r w:rsidRPr="00DC533F">
              <w:rPr>
                <w:b/>
                <w:bCs/>
              </w:rPr>
              <w:t>24</w:t>
            </w:r>
            <w:r>
              <w:rPr>
                <w:b/>
                <w:bCs/>
              </w:rPr>
              <w:t>4</w:t>
            </w:r>
          </w:p>
        </w:tc>
      </w:tr>
      <w:tr w:rsidR="008B7E19" w:rsidRPr="004F2E05" w14:paraId="466C39A3" w14:textId="77777777" w:rsidTr="008B7E19">
        <w:trPr>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auto"/>
            <w:vAlign w:val="center"/>
          </w:tcPr>
          <w:p w14:paraId="744074A4" w14:textId="77777777" w:rsidR="008B7E19" w:rsidRPr="004F2E05" w:rsidRDefault="008B7E19" w:rsidP="008B7E19">
            <w:pPr>
              <w:pStyle w:val="08-Tabelageral"/>
              <w:ind w:left="113"/>
              <w:jc w:val="left"/>
              <w:rPr>
                <w:bCs w:val="0"/>
              </w:rPr>
            </w:pPr>
            <w:r w:rsidRPr="004F2E05">
              <w:rPr>
                <w:bCs w:val="0"/>
              </w:rPr>
              <w:t>Adjustment to net profit:</w:t>
            </w:r>
          </w:p>
        </w:tc>
        <w:tc>
          <w:tcPr>
            <w:tcW w:w="781" w:type="dxa"/>
            <w:tcBorders>
              <w:top w:val="nil"/>
              <w:bottom w:val="nil"/>
            </w:tcBorders>
            <w:shd w:val="clear" w:color="auto" w:fill="auto"/>
            <w:vAlign w:val="center"/>
          </w:tcPr>
          <w:p w14:paraId="67C7A618" w14:textId="77777777" w:rsidR="008B7E19" w:rsidRPr="004F2E05" w:rsidRDefault="008B7E19" w:rsidP="008B7E19">
            <w:pPr>
              <w:pStyle w:val="08-Tabelageral"/>
              <w:ind w:left="113"/>
              <w:jc w:val="left"/>
              <w:cnfStyle w:val="000000000000" w:firstRow="0" w:lastRow="0" w:firstColumn="0" w:lastColumn="0" w:oddVBand="0" w:evenVBand="0" w:oddHBand="0" w:evenHBand="0" w:firstRowFirstColumn="0" w:firstRowLastColumn="0" w:lastRowFirstColumn="0" w:lastRowLastColumn="0"/>
              <w:rPr>
                <w:b/>
              </w:rPr>
            </w:pPr>
          </w:p>
        </w:tc>
        <w:tc>
          <w:tcPr>
            <w:tcW w:w="1345" w:type="dxa"/>
            <w:tcBorders>
              <w:top w:val="nil"/>
              <w:bottom w:val="nil"/>
            </w:tcBorders>
            <w:shd w:val="clear" w:color="auto" w:fill="auto"/>
            <w:vAlign w:val="center"/>
          </w:tcPr>
          <w:p w14:paraId="713BE3EC" w14:textId="77777777" w:rsidR="008B7E19" w:rsidRPr="004F2E05" w:rsidRDefault="008B7E19" w:rsidP="008B7E19">
            <w:pPr>
              <w:pStyle w:val="08-Tabelageral"/>
              <w:ind w:left="113"/>
              <w:jc w:val="left"/>
              <w:cnfStyle w:val="000000000000" w:firstRow="0" w:lastRow="0" w:firstColumn="0" w:lastColumn="0" w:oddVBand="0" w:evenVBand="0" w:oddHBand="0" w:evenHBand="0" w:firstRowFirstColumn="0" w:firstRowLastColumn="0" w:lastRowFirstColumn="0" w:lastRowLastColumn="0"/>
              <w:rPr>
                <w:b/>
              </w:rPr>
            </w:pPr>
          </w:p>
        </w:tc>
        <w:tc>
          <w:tcPr>
            <w:tcW w:w="1418" w:type="dxa"/>
            <w:tcBorders>
              <w:top w:val="nil"/>
              <w:bottom w:val="nil"/>
            </w:tcBorders>
            <w:shd w:val="clear" w:color="auto" w:fill="auto"/>
            <w:vAlign w:val="center"/>
          </w:tcPr>
          <w:p w14:paraId="21A3C295" w14:textId="77777777" w:rsidR="008B7E19" w:rsidRPr="004F2E05" w:rsidRDefault="008B7E19" w:rsidP="008B7E19">
            <w:pPr>
              <w:pStyle w:val="08-Tabelageral"/>
              <w:ind w:left="113"/>
              <w:jc w:val="left"/>
              <w:cnfStyle w:val="000000000000" w:firstRow="0" w:lastRow="0" w:firstColumn="0" w:lastColumn="0" w:oddVBand="0" w:evenVBand="0" w:oddHBand="0" w:evenHBand="0" w:firstRowFirstColumn="0" w:firstRowLastColumn="0" w:lastRowFirstColumn="0" w:lastRowLastColumn="0"/>
              <w:rPr>
                <w:b/>
              </w:rPr>
            </w:pPr>
          </w:p>
        </w:tc>
        <w:tc>
          <w:tcPr>
            <w:tcW w:w="281" w:type="dxa"/>
            <w:tcBorders>
              <w:top w:val="nil"/>
              <w:bottom w:val="nil"/>
            </w:tcBorders>
            <w:shd w:val="clear" w:color="auto" w:fill="auto"/>
            <w:vAlign w:val="center"/>
          </w:tcPr>
          <w:p w14:paraId="226C8CB2" w14:textId="77777777" w:rsidR="008B7E19" w:rsidRPr="004F2E05" w:rsidRDefault="008B7E19" w:rsidP="008B7E19">
            <w:pPr>
              <w:pStyle w:val="08-Tabelageral"/>
              <w:ind w:left="113"/>
              <w:jc w:val="left"/>
              <w:cnfStyle w:val="000000000000" w:firstRow="0" w:lastRow="0" w:firstColumn="0" w:lastColumn="0" w:oddVBand="0" w:evenVBand="0" w:oddHBand="0" w:evenHBand="0" w:firstRowFirstColumn="0" w:firstRowLastColumn="0" w:lastRowFirstColumn="0" w:lastRowLastColumn="0"/>
              <w:rPr>
                <w:b/>
              </w:rPr>
            </w:pPr>
          </w:p>
        </w:tc>
        <w:tc>
          <w:tcPr>
            <w:tcW w:w="1420" w:type="dxa"/>
            <w:tcBorders>
              <w:top w:val="nil"/>
              <w:bottom w:val="nil"/>
            </w:tcBorders>
            <w:shd w:val="clear" w:color="auto" w:fill="auto"/>
            <w:vAlign w:val="center"/>
          </w:tcPr>
          <w:p w14:paraId="395E55D7" w14:textId="77777777" w:rsidR="008B7E19" w:rsidRPr="004F2E05" w:rsidRDefault="008B7E19" w:rsidP="008B7E19">
            <w:pPr>
              <w:pStyle w:val="08-Tabelageral"/>
              <w:ind w:left="113"/>
              <w:jc w:val="left"/>
              <w:cnfStyle w:val="000000000000" w:firstRow="0" w:lastRow="0" w:firstColumn="0" w:lastColumn="0" w:oddVBand="0" w:evenVBand="0" w:oddHBand="0" w:evenHBand="0" w:firstRowFirstColumn="0" w:firstRowLastColumn="0" w:lastRowFirstColumn="0" w:lastRowLastColumn="0"/>
              <w:rPr>
                <w:b/>
              </w:rPr>
            </w:pPr>
          </w:p>
        </w:tc>
        <w:tc>
          <w:tcPr>
            <w:tcW w:w="1417" w:type="dxa"/>
            <w:tcBorders>
              <w:top w:val="nil"/>
              <w:bottom w:val="nil"/>
            </w:tcBorders>
            <w:shd w:val="clear" w:color="auto" w:fill="auto"/>
            <w:vAlign w:val="center"/>
          </w:tcPr>
          <w:p w14:paraId="730FF663" w14:textId="77777777" w:rsidR="008B7E19" w:rsidRPr="004F2E05" w:rsidRDefault="008B7E19" w:rsidP="008B7E19">
            <w:pPr>
              <w:pStyle w:val="08-Tabelageral"/>
              <w:ind w:left="113"/>
              <w:jc w:val="left"/>
              <w:cnfStyle w:val="000000000000" w:firstRow="0" w:lastRow="0" w:firstColumn="0" w:lastColumn="0" w:oddVBand="0" w:evenVBand="0" w:oddHBand="0" w:evenHBand="0" w:firstRowFirstColumn="0" w:firstRowLastColumn="0" w:lastRowFirstColumn="0" w:lastRowLastColumn="0"/>
              <w:rPr>
                <w:b/>
              </w:rPr>
            </w:pPr>
          </w:p>
        </w:tc>
      </w:tr>
      <w:tr w:rsidR="008B7E19" w:rsidRPr="001C7112" w14:paraId="4E8C62C8"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auto"/>
            <w:vAlign w:val="center"/>
          </w:tcPr>
          <w:p w14:paraId="40EBFDDA" w14:textId="77777777" w:rsidR="008B7E19" w:rsidRPr="001C7112" w:rsidRDefault="008B7E19" w:rsidP="008B7E19">
            <w:pPr>
              <w:pStyle w:val="08-Tabelageral"/>
              <w:ind w:left="113"/>
              <w:jc w:val="left"/>
              <w:rPr>
                <w:b w:val="0"/>
              </w:rPr>
            </w:pPr>
            <w:r w:rsidRPr="00E03629">
              <w:rPr>
                <w:b w:val="0"/>
              </w:rPr>
              <w:t>Equity income</w:t>
            </w:r>
          </w:p>
        </w:tc>
        <w:tc>
          <w:tcPr>
            <w:tcW w:w="781" w:type="dxa"/>
            <w:tcBorders>
              <w:top w:val="nil"/>
              <w:bottom w:val="nil"/>
            </w:tcBorders>
            <w:shd w:val="clear" w:color="auto" w:fill="auto"/>
            <w:vAlign w:val="center"/>
          </w:tcPr>
          <w:p w14:paraId="387673A8" w14:textId="77777777" w:rsidR="008B7E19" w:rsidRPr="001C7112" w:rsidRDefault="008B7E19" w:rsidP="008B7E19">
            <w:pPr>
              <w:pStyle w:val="08-Tabelageral"/>
              <w:jc w:val="left"/>
              <w:cnfStyle w:val="000000100000" w:firstRow="0" w:lastRow="0" w:firstColumn="0" w:lastColumn="0" w:oddVBand="0" w:evenVBand="0" w:oddHBand="1" w:evenHBand="0" w:firstRowFirstColumn="0" w:firstRowLastColumn="0" w:lastRowFirstColumn="0" w:lastRowLastColumn="0"/>
            </w:pPr>
            <w:r w:rsidRPr="00E0461B">
              <w:t>[7.</w:t>
            </w:r>
            <w:r>
              <w:t>b</w:t>
            </w:r>
            <w:r w:rsidRPr="00E0461B">
              <w:t>]</w:t>
            </w:r>
          </w:p>
        </w:tc>
        <w:tc>
          <w:tcPr>
            <w:tcW w:w="1345" w:type="dxa"/>
            <w:tcBorders>
              <w:top w:val="nil"/>
              <w:bottom w:val="nil"/>
            </w:tcBorders>
            <w:shd w:val="clear" w:color="auto" w:fill="auto"/>
            <w:vAlign w:val="center"/>
          </w:tcPr>
          <w:p w14:paraId="333FB73E" w14:textId="77777777" w:rsidR="008B7E19" w:rsidRPr="001C7112"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Pr>
                <w:rFonts w:cs="Arial"/>
                <w:szCs w:val="14"/>
              </w:rPr>
              <w:t>(</w:t>
            </w:r>
            <w:r w:rsidRPr="00DC533F">
              <w:rPr>
                <w:rFonts w:cs="Arial"/>
                <w:szCs w:val="14"/>
              </w:rPr>
              <w:t>3</w:t>
            </w:r>
            <w:r>
              <w:rPr>
                <w:rFonts w:cs="Arial"/>
                <w:szCs w:val="14"/>
              </w:rPr>
              <w:t>,</w:t>
            </w:r>
            <w:r w:rsidRPr="00DC533F">
              <w:rPr>
                <w:rFonts w:cs="Arial"/>
                <w:szCs w:val="14"/>
              </w:rPr>
              <w:t>722</w:t>
            </w:r>
            <w:r>
              <w:rPr>
                <w:rFonts w:cs="Arial"/>
                <w:szCs w:val="14"/>
              </w:rPr>
              <w:t>,</w:t>
            </w:r>
            <w:r w:rsidRPr="00DC533F">
              <w:rPr>
                <w:rFonts w:cs="Arial"/>
                <w:szCs w:val="14"/>
              </w:rPr>
              <w:t>98</w:t>
            </w:r>
            <w:r>
              <w:rPr>
                <w:rFonts w:cs="Arial"/>
                <w:szCs w:val="14"/>
              </w:rPr>
              <w:t>7)</w:t>
            </w:r>
          </w:p>
        </w:tc>
        <w:tc>
          <w:tcPr>
            <w:tcW w:w="1418" w:type="dxa"/>
            <w:tcBorders>
              <w:top w:val="nil"/>
              <w:bottom w:val="nil"/>
            </w:tcBorders>
            <w:shd w:val="clear" w:color="auto" w:fill="auto"/>
            <w:vAlign w:val="center"/>
          </w:tcPr>
          <w:p w14:paraId="2E659CBE" w14:textId="77777777" w:rsidR="008B7E19" w:rsidRPr="001C7112" w:rsidRDefault="008B7E19" w:rsidP="008B7E19">
            <w:pPr>
              <w:pStyle w:val="08-Tabelageral"/>
              <w:cnfStyle w:val="000000100000" w:firstRow="0" w:lastRow="0" w:firstColumn="0" w:lastColumn="0" w:oddVBand="0" w:evenVBand="0" w:oddHBand="1" w:evenHBand="0" w:firstRowFirstColumn="0" w:firstRowLastColumn="0" w:lastRowFirstColumn="0" w:lastRowLastColumn="0"/>
            </w:pPr>
            <w:r>
              <w:t>(</w:t>
            </w:r>
            <w:r w:rsidRPr="00DC533F">
              <w:t>2</w:t>
            </w:r>
            <w:r>
              <w:t>,</w:t>
            </w:r>
            <w:r w:rsidRPr="00DC533F">
              <w:t>713</w:t>
            </w:r>
            <w:r>
              <w:t>,</w:t>
            </w:r>
            <w:r w:rsidRPr="00DC533F">
              <w:t>91</w:t>
            </w:r>
            <w:r>
              <w:t>4)</w:t>
            </w:r>
          </w:p>
        </w:tc>
        <w:tc>
          <w:tcPr>
            <w:tcW w:w="281" w:type="dxa"/>
            <w:tcBorders>
              <w:top w:val="nil"/>
              <w:bottom w:val="nil"/>
            </w:tcBorders>
            <w:shd w:val="clear" w:color="auto" w:fill="auto"/>
            <w:vAlign w:val="center"/>
          </w:tcPr>
          <w:p w14:paraId="0B3AE8FD" w14:textId="77777777" w:rsidR="008B7E19" w:rsidRPr="001C7112" w:rsidRDefault="008B7E19" w:rsidP="008B7E19">
            <w:pPr>
              <w:pStyle w:val="08-Tabelageral"/>
              <w:jc w:val="left"/>
              <w:cnfStyle w:val="000000100000" w:firstRow="0" w:lastRow="0" w:firstColumn="0" w:lastColumn="0" w:oddVBand="0" w:evenVBand="0" w:oddHBand="1" w:evenHBand="0" w:firstRowFirstColumn="0" w:firstRowLastColumn="0" w:lastRowFirstColumn="0" w:lastRowLastColumn="0"/>
              <w:rPr>
                <w:rFonts w:cs="Arial"/>
                <w:szCs w:val="14"/>
              </w:rPr>
            </w:pPr>
          </w:p>
        </w:tc>
        <w:tc>
          <w:tcPr>
            <w:tcW w:w="1420" w:type="dxa"/>
            <w:tcBorders>
              <w:top w:val="nil"/>
              <w:bottom w:val="nil"/>
            </w:tcBorders>
            <w:shd w:val="clear" w:color="auto" w:fill="auto"/>
            <w:vAlign w:val="center"/>
          </w:tcPr>
          <w:p w14:paraId="6E08DBB8" w14:textId="77777777" w:rsidR="008B7E19" w:rsidRPr="001C7112"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Pr>
                <w:rFonts w:cs="Arial"/>
                <w:szCs w:val="14"/>
              </w:rPr>
              <w:t>(</w:t>
            </w:r>
            <w:r w:rsidRPr="00DC533F">
              <w:rPr>
                <w:rFonts w:cs="Arial"/>
                <w:szCs w:val="14"/>
              </w:rPr>
              <w:t>2</w:t>
            </w:r>
            <w:r>
              <w:rPr>
                <w:rFonts w:cs="Arial"/>
                <w:szCs w:val="14"/>
              </w:rPr>
              <w:t>,</w:t>
            </w:r>
            <w:r w:rsidRPr="00DC533F">
              <w:rPr>
                <w:rFonts w:cs="Arial"/>
                <w:szCs w:val="14"/>
              </w:rPr>
              <w:t>285</w:t>
            </w:r>
            <w:r>
              <w:rPr>
                <w:rFonts w:cs="Arial"/>
                <w:szCs w:val="14"/>
              </w:rPr>
              <w:t>,</w:t>
            </w:r>
            <w:r w:rsidRPr="00DC533F">
              <w:rPr>
                <w:rFonts w:cs="Arial"/>
                <w:szCs w:val="14"/>
              </w:rPr>
              <w:t>75</w:t>
            </w:r>
            <w:r>
              <w:rPr>
                <w:rFonts w:cs="Arial"/>
                <w:szCs w:val="14"/>
              </w:rPr>
              <w:t>1)</w:t>
            </w:r>
          </w:p>
        </w:tc>
        <w:tc>
          <w:tcPr>
            <w:tcW w:w="1417" w:type="dxa"/>
            <w:tcBorders>
              <w:top w:val="nil"/>
              <w:bottom w:val="nil"/>
            </w:tcBorders>
            <w:shd w:val="clear" w:color="auto" w:fill="auto"/>
            <w:vAlign w:val="center"/>
          </w:tcPr>
          <w:p w14:paraId="64E20951" w14:textId="77777777" w:rsidR="008B7E19" w:rsidRPr="001C7112" w:rsidRDefault="008B7E19" w:rsidP="008B7E19">
            <w:pPr>
              <w:pStyle w:val="08-Tabelageral"/>
              <w:cnfStyle w:val="000000100000" w:firstRow="0" w:lastRow="0" w:firstColumn="0" w:lastColumn="0" w:oddVBand="0" w:evenVBand="0" w:oddHBand="1" w:evenHBand="0" w:firstRowFirstColumn="0" w:firstRowLastColumn="0" w:lastRowFirstColumn="0" w:lastRowLastColumn="0"/>
            </w:pPr>
            <w:r>
              <w:t>(</w:t>
            </w:r>
            <w:r w:rsidRPr="00DC533F">
              <w:t>1</w:t>
            </w:r>
            <w:r>
              <w:t>,</w:t>
            </w:r>
            <w:r w:rsidRPr="00DC533F">
              <w:t>500</w:t>
            </w:r>
            <w:r>
              <w:t>,</w:t>
            </w:r>
            <w:r w:rsidRPr="00DC533F">
              <w:t>10</w:t>
            </w:r>
            <w:r>
              <w:t>8)</w:t>
            </w:r>
          </w:p>
        </w:tc>
      </w:tr>
      <w:tr w:rsidR="008B7E19" w:rsidRPr="001C7112" w14:paraId="07B1A85C" w14:textId="77777777" w:rsidTr="008B7E19">
        <w:trPr>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auto"/>
            <w:vAlign w:val="center"/>
          </w:tcPr>
          <w:p w14:paraId="7AB6843F" w14:textId="77777777" w:rsidR="008B7E19" w:rsidRPr="00BD6C7E" w:rsidRDefault="008B7E19" w:rsidP="008B7E19">
            <w:pPr>
              <w:pStyle w:val="08-Tabelageral"/>
              <w:ind w:left="113"/>
              <w:jc w:val="left"/>
              <w:rPr>
                <w:b w:val="0"/>
                <w:lang w:val="en-US"/>
              </w:rPr>
            </w:pPr>
            <w:r w:rsidRPr="00BD6C7E">
              <w:rPr>
                <w:b w:val="0"/>
                <w:lang w:val="en-US"/>
              </w:rPr>
              <w:t>Net increase in dividends and interest on shareholders' equity</w:t>
            </w:r>
          </w:p>
        </w:tc>
        <w:tc>
          <w:tcPr>
            <w:tcW w:w="781" w:type="dxa"/>
            <w:tcBorders>
              <w:top w:val="nil"/>
              <w:bottom w:val="nil"/>
            </w:tcBorders>
            <w:shd w:val="clear" w:color="auto" w:fill="auto"/>
            <w:vAlign w:val="center"/>
          </w:tcPr>
          <w:p w14:paraId="46FC4CD0" w14:textId="77777777" w:rsidR="008B7E19" w:rsidRPr="00BD6C7E" w:rsidRDefault="008B7E19" w:rsidP="008B7E19">
            <w:pPr>
              <w:pStyle w:val="08-Tabelageral"/>
              <w:jc w:val="left"/>
              <w:cnfStyle w:val="000000000000" w:firstRow="0" w:lastRow="0" w:firstColumn="0" w:lastColumn="0" w:oddVBand="0" w:evenVBand="0" w:oddHBand="0" w:evenHBand="0" w:firstRowFirstColumn="0" w:firstRowLastColumn="0" w:lastRowFirstColumn="0" w:lastRowLastColumn="0"/>
              <w:rPr>
                <w:lang w:val="en-US"/>
              </w:rPr>
            </w:pPr>
          </w:p>
        </w:tc>
        <w:tc>
          <w:tcPr>
            <w:tcW w:w="1345" w:type="dxa"/>
            <w:tcBorders>
              <w:top w:val="nil"/>
              <w:bottom w:val="nil"/>
            </w:tcBorders>
            <w:shd w:val="clear" w:color="auto" w:fill="auto"/>
            <w:vAlign w:val="center"/>
          </w:tcPr>
          <w:p w14:paraId="581B9F01" w14:textId="77777777" w:rsidR="008B7E19" w:rsidRPr="001C7112" w:rsidRDefault="008B7E19" w:rsidP="008B7E19">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rPr>
            </w:pPr>
            <w:r w:rsidRPr="00D860A0">
              <w:rPr>
                <w:rFonts w:cs="Arial"/>
                <w:szCs w:val="14"/>
              </w:rPr>
              <w:t>(203)</w:t>
            </w:r>
          </w:p>
        </w:tc>
        <w:tc>
          <w:tcPr>
            <w:tcW w:w="1418" w:type="dxa"/>
            <w:tcBorders>
              <w:top w:val="nil"/>
              <w:bottom w:val="nil"/>
            </w:tcBorders>
            <w:shd w:val="clear" w:color="auto" w:fill="auto"/>
            <w:vAlign w:val="center"/>
          </w:tcPr>
          <w:p w14:paraId="36AFC23B" w14:textId="77777777" w:rsidR="008B7E19" w:rsidRPr="001C7112" w:rsidRDefault="008B7E19" w:rsidP="008B7E19">
            <w:pPr>
              <w:pStyle w:val="08-Tabelageral"/>
              <w:cnfStyle w:val="000000000000" w:firstRow="0" w:lastRow="0" w:firstColumn="0" w:lastColumn="0" w:oddVBand="0" w:evenVBand="0" w:oddHBand="0" w:evenHBand="0" w:firstRowFirstColumn="0" w:firstRowLastColumn="0" w:lastRowFirstColumn="0" w:lastRowLastColumn="0"/>
            </w:pPr>
            <w:r w:rsidRPr="009516E8">
              <w:t>3</w:t>
            </w:r>
            <w:r>
              <w:t>,</w:t>
            </w:r>
            <w:r w:rsidRPr="009516E8">
              <w:t>639</w:t>
            </w:r>
          </w:p>
        </w:tc>
        <w:tc>
          <w:tcPr>
            <w:tcW w:w="281" w:type="dxa"/>
            <w:tcBorders>
              <w:top w:val="nil"/>
              <w:bottom w:val="nil"/>
            </w:tcBorders>
            <w:shd w:val="clear" w:color="auto" w:fill="auto"/>
            <w:vAlign w:val="center"/>
          </w:tcPr>
          <w:p w14:paraId="0FBB153F" w14:textId="77777777" w:rsidR="008B7E19" w:rsidRPr="001C7112" w:rsidRDefault="008B7E19" w:rsidP="008B7E19">
            <w:pPr>
              <w:pStyle w:val="08-Tabelageral"/>
              <w:jc w:val="left"/>
              <w:cnfStyle w:val="000000000000" w:firstRow="0" w:lastRow="0" w:firstColumn="0" w:lastColumn="0" w:oddVBand="0" w:evenVBand="0" w:oddHBand="0" w:evenHBand="0" w:firstRowFirstColumn="0" w:firstRowLastColumn="0" w:lastRowFirstColumn="0" w:lastRowLastColumn="0"/>
              <w:rPr>
                <w:rFonts w:cs="Arial"/>
                <w:szCs w:val="14"/>
              </w:rPr>
            </w:pPr>
          </w:p>
        </w:tc>
        <w:tc>
          <w:tcPr>
            <w:tcW w:w="1420" w:type="dxa"/>
            <w:tcBorders>
              <w:top w:val="nil"/>
              <w:bottom w:val="nil"/>
            </w:tcBorders>
            <w:shd w:val="clear" w:color="auto" w:fill="auto"/>
            <w:vAlign w:val="center"/>
          </w:tcPr>
          <w:p w14:paraId="172AD420" w14:textId="77777777" w:rsidR="008B7E19" w:rsidRPr="001C7112" w:rsidRDefault="008B7E19" w:rsidP="008B7E19">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rPr>
            </w:pPr>
            <w:r w:rsidRPr="00D860A0">
              <w:rPr>
                <w:rFonts w:cs="Arial"/>
                <w:szCs w:val="14"/>
              </w:rPr>
              <w:t>77</w:t>
            </w:r>
            <w:r>
              <w:rPr>
                <w:rFonts w:cs="Arial"/>
                <w:szCs w:val="14"/>
              </w:rPr>
              <w:t>,</w:t>
            </w:r>
            <w:r w:rsidRPr="00D860A0">
              <w:rPr>
                <w:rFonts w:cs="Arial"/>
                <w:szCs w:val="14"/>
              </w:rPr>
              <w:t>280</w:t>
            </w:r>
          </w:p>
        </w:tc>
        <w:tc>
          <w:tcPr>
            <w:tcW w:w="1417" w:type="dxa"/>
            <w:tcBorders>
              <w:top w:val="nil"/>
              <w:bottom w:val="nil"/>
            </w:tcBorders>
            <w:shd w:val="clear" w:color="auto" w:fill="auto"/>
            <w:vAlign w:val="center"/>
          </w:tcPr>
          <w:p w14:paraId="611898FA" w14:textId="77777777" w:rsidR="008B7E19" w:rsidRPr="001C7112" w:rsidRDefault="008B7E19" w:rsidP="008B7E19">
            <w:pPr>
              <w:pStyle w:val="08-Tabelageral"/>
              <w:cnfStyle w:val="000000000000" w:firstRow="0" w:lastRow="0" w:firstColumn="0" w:lastColumn="0" w:oddVBand="0" w:evenVBand="0" w:oddHBand="0" w:evenHBand="0" w:firstRowFirstColumn="0" w:firstRowLastColumn="0" w:lastRowFirstColumn="0" w:lastRowLastColumn="0"/>
            </w:pPr>
            <w:r w:rsidRPr="00CF7077">
              <w:t>25</w:t>
            </w:r>
            <w:r>
              <w:t>,</w:t>
            </w:r>
            <w:r w:rsidRPr="00CF7077">
              <w:t>745</w:t>
            </w:r>
          </w:p>
        </w:tc>
      </w:tr>
      <w:tr w:rsidR="008B7E19" w:rsidRPr="001C7112" w14:paraId="51E1DA8F"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auto"/>
            <w:vAlign w:val="center"/>
          </w:tcPr>
          <w:p w14:paraId="4594765D" w14:textId="77777777" w:rsidR="008B7E19" w:rsidRPr="00617504" w:rsidRDefault="008B7E19" w:rsidP="008B7E19">
            <w:pPr>
              <w:pStyle w:val="08-Tabelageral"/>
              <w:ind w:left="113"/>
              <w:jc w:val="left"/>
              <w:rPr>
                <w:b w:val="0"/>
                <w:lang w:val="en-US"/>
              </w:rPr>
            </w:pPr>
            <w:r w:rsidRPr="00295DFF">
              <w:rPr>
                <w:b w:val="0"/>
                <w:lang w:val="en-US"/>
              </w:rPr>
              <w:t>Net increase</w:t>
            </w:r>
            <w:r>
              <w:rPr>
                <w:b w:val="0"/>
                <w:lang w:val="en-US"/>
              </w:rPr>
              <w:t xml:space="preserve"> in</w:t>
            </w:r>
            <w:r w:rsidRPr="00617504">
              <w:rPr>
                <w:b w:val="0"/>
                <w:lang w:val="en-US"/>
              </w:rPr>
              <w:t xml:space="preserve"> financial assets at amortized cost</w:t>
            </w:r>
          </w:p>
        </w:tc>
        <w:tc>
          <w:tcPr>
            <w:tcW w:w="781" w:type="dxa"/>
            <w:tcBorders>
              <w:top w:val="nil"/>
              <w:bottom w:val="nil"/>
            </w:tcBorders>
            <w:shd w:val="clear" w:color="auto" w:fill="auto"/>
            <w:vAlign w:val="center"/>
          </w:tcPr>
          <w:p w14:paraId="6B8D9650" w14:textId="77777777" w:rsidR="008B7E19" w:rsidRPr="00BD6C7E" w:rsidRDefault="008B7E19" w:rsidP="008B7E19">
            <w:pPr>
              <w:pStyle w:val="08-Tabelageral"/>
              <w:jc w:val="left"/>
              <w:cnfStyle w:val="000000100000" w:firstRow="0" w:lastRow="0" w:firstColumn="0" w:lastColumn="0" w:oddVBand="0" w:evenVBand="0" w:oddHBand="1" w:evenHBand="0" w:firstRowFirstColumn="0" w:firstRowLastColumn="0" w:lastRowFirstColumn="0" w:lastRowLastColumn="0"/>
              <w:rPr>
                <w:lang w:val="en-US"/>
              </w:rPr>
            </w:pPr>
          </w:p>
        </w:tc>
        <w:tc>
          <w:tcPr>
            <w:tcW w:w="1345" w:type="dxa"/>
            <w:tcBorders>
              <w:top w:val="nil"/>
              <w:bottom w:val="nil"/>
            </w:tcBorders>
            <w:shd w:val="clear" w:color="auto" w:fill="auto"/>
            <w:vAlign w:val="center"/>
          </w:tcPr>
          <w:p w14:paraId="31CC74AC" w14:textId="77777777" w:rsidR="008B7E19" w:rsidRPr="0006126C" w:rsidRDefault="008B7E19" w:rsidP="008B7E19">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r>
              <w:rPr>
                <w:rFonts w:cs="Arial"/>
                <w:szCs w:val="14"/>
              </w:rPr>
              <w:t>--</w:t>
            </w:r>
          </w:p>
        </w:tc>
        <w:tc>
          <w:tcPr>
            <w:tcW w:w="1418" w:type="dxa"/>
            <w:tcBorders>
              <w:top w:val="nil"/>
              <w:bottom w:val="nil"/>
            </w:tcBorders>
            <w:shd w:val="clear" w:color="auto" w:fill="auto"/>
            <w:vAlign w:val="center"/>
          </w:tcPr>
          <w:p w14:paraId="0BA4BCD6" w14:textId="77777777" w:rsidR="008B7E19" w:rsidRPr="00CE57AB" w:rsidRDefault="008B7E19" w:rsidP="008B7E19">
            <w:pPr>
              <w:pStyle w:val="08-Tabelageral"/>
              <w:cnfStyle w:val="000000100000" w:firstRow="0" w:lastRow="0" w:firstColumn="0" w:lastColumn="0" w:oddVBand="0" w:evenVBand="0" w:oddHBand="1" w:evenHBand="0" w:firstRowFirstColumn="0" w:firstRowLastColumn="0" w:lastRowFirstColumn="0" w:lastRowLastColumn="0"/>
            </w:pPr>
            <w:r>
              <w:t>--</w:t>
            </w:r>
          </w:p>
        </w:tc>
        <w:tc>
          <w:tcPr>
            <w:tcW w:w="281" w:type="dxa"/>
            <w:tcBorders>
              <w:top w:val="nil"/>
              <w:bottom w:val="nil"/>
            </w:tcBorders>
            <w:shd w:val="clear" w:color="auto" w:fill="auto"/>
            <w:vAlign w:val="center"/>
          </w:tcPr>
          <w:p w14:paraId="49ED02C2" w14:textId="77777777" w:rsidR="008B7E19" w:rsidRPr="001C7112" w:rsidRDefault="008B7E19" w:rsidP="008B7E19">
            <w:pPr>
              <w:pStyle w:val="08-Tabelageral"/>
              <w:jc w:val="left"/>
              <w:cnfStyle w:val="000000100000" w:firstRow="0" w:lastRow="0" w:firstColumn="0" w:lastColumn="0" w:oddVBand="0" w:evenVBand="0" w:oddHBand="1" w:evenHBand="0" w:firstRowFirstColumn="0" w:firstRowLastColumn="0" w:lastRowFirstColumn="0" w:lastRowLastColumn="0"/>
              <w:rPr>
                <w:rFonts w:cs="Arial"/>
                <w:szCs w:val="14"/>
              </w:rPr>
            </w:pPr>
          </w:p>
        </w:tc>
        <w:tc>
          <w:tcPr>
            <w:tcW w:w="1420" w:type="dxa"/>
            <w:tcBorders>
              <w:top w:val="nil"/>
              <w:bottom w:val="nil"/>
            </w:tcBorders>
            <w:shd w:val="clear" w:color="auto" w:fill="auto"/>
            <w:vAlign w:val="center"/>
          </w:tcPr>
          <w:p w14:paraId="248F9BFA" w14:textId="77777777" w:rsidR="008B7E19" w:rsidRPr="00717130" w:rsidRDefault="008B7E19" w:rsidP="008B7E19">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r>
              <w:rPr>
                <w:rFonts w:cs="Arial"/>
                <w:szCs w:val="14"/>
              </w:rPr>
              <w:t>(</w:t>
            </w:r>
            <w:r w:rsidRPr="00D860A0">
              <w:rPr>
                <w:rFonts w:cs="Arial"/>
                <w:szCs w:val="14"/>
              </w:rPr>
              <w:t>57</w:t>
            </w:r>
            <w:r>
              <w:rPr>
                <w:rFonts w:cs="Arial"/>
                <w:szCs w:val="14"/>
              </w:rPr>
              <w:t>,</w:t>
            </w:r>
            <w:r w:rsidRPr="00D860A0">
              <w:rPr>
                <w:rFonts w:cs="Arial"/>
                <w:szCs w:val="14"/>
              </w:rPr>
              <w:t>779</w:t>
            </w:r>
            <w:r>
              <w:rPr>
                <w:rFonts w:cs="Arial"/>
                <w:szCs w:val="14"/>
              </w:rPr>
              <w:t>)</w:t>
            </w:r>
          </w:p>
        </w:tc>
        <w:tc>
          <w:tcPr>
            <w:tcW w:w="1417" w:type="dxa"/>
            <w:tcBorders>
              <w:top w:val="nil"/>
              <w:bottom w:val="nil"/>
            </w:tcBorders>
            <w:shd w:val="clear" w:color="auto" w:fill="auto"/>
            <w:vAlign w:val="center"/>
          </w:tcPr>
          <w:p w14:paraId="345F94F2" w14:textId="77777777" w:rsidR="008B7E19" w:rsidRPr="009B325C" w:rsidRDefault="008B7E19" w:rsidP="008B7E19">
            <w:pPr>
              <w:pStyle w:val="08-Tabelageral"/>
              <w:cnfStyle w:val="000000100000" w:firstRow="0" w:lastRow="0" w:firstColumn="0" w:lastColumn="0" w:oddVBand="0" w:evenVBand="0" w:oddHBand="1" w:evenHBand="0" w:firstRowFirstColumn="0" w:firstRowLastColumn="0" w:lastRowFirstColumn="0" w:lastRowLastColumn="0"/>
            </w:pPr>
            <w:r>
              <w:t>--</w:t>
            </w:r>
          </w:p>
        </w:tc>
      </w:tr>
      <w:tr w:rsidR="008B7E19" w:rsidRPr="001C7112" w14:paraId="3BD76A36" w14:textId="77777777" w:rsidTr="008B7E19">
        <w:trPr>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auto"/>
            <w:vAlign w:val="center"/>
          </w:tcPr>
          <w:p w14:paraId="608A8733" w14:textId="77777777" w:rsidR="008B7E19" w:rsidRPr="00342342" w:rsidRDefault="008B7E19" w:rsidP="008B7E19">
            <w:pPr>
              <w:pStyle w:val="08-Tabelageral"/>
              <w:ind w:left="113"/>
              <w:jc w:val="left"/>
              <w:rPr>
                <w:b w:val="0"/>
                <w:bCs w:val="0"/>
                <w:lang w:val="en-US"/>
              </w:rPr>
            </w:pPr>
            <w:r w:rsidRPr="00342342">
              <w:rPr>
                <w:b w:val="0"/>
                <w:bCs w:val="0"/>
                <w:lang w:val="en-US"/>
              </w:rPr>
              <w:t>Net increase in financial assets at fair value through profit or loss</w:t>
            </w:r>
          </w:p>
        </w:tc>
        <w:tc>
          <w:tcPr>
            <w:tcW w:w="781" w:type="dxa"/>
            <w:tcBorders>
              <w:top w:val="nil"/>
              <w:bottom w:val="nil"/>
            </w:tcBorders>
            <w:shd w:val="clear" w:color="auto" w:fill="auto"/>
            <w:vAlign w:val="center"/>
          </w:tcPr>
          <w:p w14:paraId="3D7194E8" w14:textId="77777777" w:rsidR="008B7E19" w:rsidRPr="001C7112" w:rsidRDefault="008B7E19" w:rsidP="008B7E19">
            <w:pPr>
              <w:pStyle w:val="08-Tabelageral"/>
              <w:jc w:val="left"/>
              <w:cnfStyle w:val="000000000000" w:firstRow="0" w:lastRow="0" w:firstColumn="0" w:lastColumn="0" w:oddVBand="0" w:evenVBand="0" w:oddHBand="0" w:evenHBand="0" w:firstRowFirstColumn="0" w:firstRowLastColumn="0" w:lastRowFirstColumn="0" w:lastRowLastColumn="0"/>
            </w:pPr>
            <w:r w:rsidRPr="002F1A89">
              <w:rPr>
                <w:bCs/>
              </w:rPr>
              <w:t>[16.a]</w:t>
            </w:r>
          </w:p>
        </w:tc>
        <w:tc>
          <w:tcPr>
            <w:tcW w:w="1345" w:type="dxa"/>
            <w:tcBorders>
              <w:top w:val="nil"/>
              <w:bottom w:val="nil"/>
            </w:tcBorders>
            <w:shd w:val="clear" w:color="auto" w:fill="auto"/>
            <w:vAlign w:val="center"/>
          </w:tcPr>
          <w:p w14:paraId="496A58E7" w14:textId="77777777" w:rsidR="008B7E19" w:rsidRPr="00371E3B" w:rsidRDefault="008B7E19" w:rsidP="008B7E19">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rPr>
            </w:pPr>
            <w:r w:rsidRPr="00D860A0">
              <w:rPr>
                <w:rFonts w:cs="Arial"/>
                <w:szCs w:val="14"/>
              </w:rPr>
              <w:t>1</w:t>
            </w:r>
            <w:r>
              <w:rPr>
                <w:rFonts w:cs="Arial"/>
                <w:szCs w:val="14"/>
              </w:rPr>
              <w:t>,</w:t>
            </w:r>
            <w:r w:rsidRPr="00D860A0">
              <w:rPr>
                <w:rFonts w:cs="Arial"/>
                <w:szCs w:val="14"/>
              </w:rPr>
              <w:t>29</w:t>
            </w:r>
            <w:r>
              <w:rPr>
                <w:rFonts w:cs="Arial"/>
                <w:szCs w:val="14"/>
              </w:rPr>
              <w:t>0</w:t>
            </w:r>
          </w:p>
        </w:tc>
        <w:tc>
          <w:tcPr>
            <w:tcW w:w="1418" w:type="dxa"/>
            <w:tcBorders>
              <w:top w:val="nil"/>
              <w:bottom w:val="nil"/>
            </w:tcBorders>
            <w:shd w:val="clear" w:color="auto" w:fill="auto"/>
            <w:vAlign w:val="center"/>
          </w:tcPr>
          <w:p w14:paraId="0FE180D8" w14:textId="77777777" w:rsidR="008B7E19" w:rsidRPr="00DD419A"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r w:rsidRPr="009516E8">
              <w:rPr>
                <w:rFonts w:cs="Arial"/>
                <w:szCs w:val="14"/>
              </w:rPr>
              <w:t>1</w:t>
            </w:r>
            <w:r>
              <w:rPr>
                <w:rFonts w:cs="Arial"/>
                <w:szCs w:val="14"/>
              </w:rPr>
              <w:t>,</w:t>
            </w:r>
            <w:r w:rsidRPr="009516E8">
              <w:rPr>
                <w:rFonts w:cs="Arial"/>
                <w:szCs w:val="14"/>
              </w:rPr>
              <w:t>466</w:t>
            </w:r>
          </w:p>
        </w:tc>
        <w:tc>
          <w:tcPr>
            <w:tcW w:w="281" w:type="dxa"/>
            <w:tcBorders>
              <w:top w:val="nil"/>
              <w:bottom w:val="nil"/>
            </w:tcBorders>
            <w:shd w:val="clear" w:color="auto" w:fill="auto"/>
            <w:vAlign w:val="center"/>
          </w:tcPr>
          <w:p w14:paraId="591899A9" w14:textId="77777777" w:rsidR="008B7E19" w:rsidRPr="001C7112" w:rsidRDefault="008B7E19" w:rsidP="008B7E19">
            <w:pPr>
              <w:pStyle w:val="08-Tabelageral"/>
              <w:jc w:val="left"/>
              <w:cnfStyle w:val="000000000000" w:firstRow="0" w:lastRow="0" w:firstColumn="0" w:lastColumn="0" w:oddVBand="0" w:evenVBand="0" w:oddHBand="0" w:evenHBand="0" w:firstRowFirstColumn="0" w:firstRowLastColumn="0" w:lastRowFirstColumn="0" w:lastRowLastColumn="0"/>
              <w:rPr>
                <w:rFonts w:cs="Arial"/>
                <w:szCs w:val="14"/>
              </w:rPr>
            </w:pPr>
          </w:p>
        </w:tc>
        <w:tc>
          <w:tcPr>
            <w:tcW w:w="1420" w:type="dxa"/>
            <w:tcBorders>
              <w:top w:val="nil"/>
              <w:bottom w:val="nil"/>
            </w:tcBorders>
            <w:shd w:val="clear" w:color="auto" w:fill="auto"/>
            <w:vAlign w:val="center"/>
          </w:tcPr>
          <w:p w14:paraId="1FCBD545" w14:textId="77777777" w:rsidR="008B7E19" w:rsidRPr="00B01AA4" w:rsidRDefault="008B7E19" w:rsidP="008B7E19">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rPr>
            </w:pPr>
            <w:r w:rsidRPr="00D860A0">
              <w:rPr>
                <w:rFonts w:cs="Arial"/>
                <w:szCs w:val="14"/>
              </w:rPr>
              <w:t>12</w:t>
            </w:r>
            <w:r>
              <w:rPr>
                <w:rFonts w:cs="Arial"/>
                <w:szCs w:val="14"/>
              </w:rPr>
              <w:t>,</w:t>
            </w:r>
            <w:r w:rsidRPr="00D860A0">
              <w:rPr>
                <w:rFonts w:cs="Arial"/>
                <w:szCs w:val="14"/>
              </w:rPr>
              <w:t>269</w:t>
            </w:r>
          </w:p>
        </w:tc>
        <w:tc>
          <w:tcPr>
            <w:tcW w:w="1417" w:type="dxa"/>
            <w:tcBorders>
              <w:top w:val="nil"/>
              <w:bottom w:val="nil"/>
            </w:tcBorders>
            <w:shd w:val="clear" w:color="auto" w:fill="auto"/>
            <w:vAlign w:val="center"/>
          </w:tcPr>
          <w:p w14:paraId="69C1689E" w14:textId="77777777" w:rsidR="008B7E19" w:rsidRPr="005A1043"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r w:rsidRPr="00CF7077">
              <w:rPr>
                <w:rFonts w:cs="Arial"/>
                <w:szCs w:val="14"/>
              </w:rPr>
              <w:t>1</w:t>
            </w:r>
            <w:r>
              <w:rPr>
                <w:rFonts w:cs="Arial"/>
                <w:szCs w:val="14"/>
              </w:rPr>
              <w:t>,</w:t>
            </w:r>
            <w:r w:rsidRPr="00CF7077">
              <w:rPr>
                <w:rFonts w:cs="Arial"/>
                <w:szCs w:val="14"/>
              </w:rPr>
              <w:t>423</w:t>
            </w:r>
          </w:p>
        </w:tc>
      </w:tr>
      <w:tr w:rsidR="008B7E19" w:rsidRPr="001C7112" w14:paraId="6D273901"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auto"/>
            <w:vAlign w:val="center"/>
          </w:tcPr>
          <w:p w14:paraId="52127A46" w14:textId="77777777" w:rsidR="008B7E19" w:rsidRPr="001C7112" w:rsidRDefault="008B7E19" w:rsidP="008B7E19">
            <w:pPr>
              <w:pStyle w:val="08-Tabelageral"/>
              <w:ind w:left="113"/>
              <w:jc w:val="left"/>
              <w:rPr>
                <w:b w:val="0"/>
              </w:rPr>
            </w:pPr>
            <w:r w:rsidRPr="00E03629">
              <w:rPr>
                <w:b w:val="0"/>
              </w:rPr>
              <w:t>Other adjustments</w:t>
            </w:r>
          </w:p>
        </w:tc>
        <w:tc>
          <w:tcPr>
            <w:tcW w:w="781" w:type="dxa"/>
            <w:tcBorders>
              <w:top w:val="nil"/>
              <w:bottom w:val="nil"/>
            </w:tcBorders>
            <w:shd w:val="clear" w:color="auto" w:fill="auto"/>
            <w:vAlign w:val="center"/>
          </w:tcPr>
          <w:p w14:paraId="29E9B569" w14:textId="77777777" w:rsidR="008B7E19" w:rsidRPr="001C7112" w:rsidRDefault="008B7E19" w:rsidP="008B7E19">
            <w:pPr>
              <w:pStyle w:val="08-Tabelageral"/>
              <w:jc w:val="left"/>
              <w:cnfStyle w:val="000000100000" w:firstRow="0" w:lastRow="0" w:firstColumn="0" w:lastColumn="0" w:oddVBand="0" w:evenVBand="0" w:oddHBand="1" w:evenHBand="0" w:firstRowFirstColumn="0" w:firstRowLastColumn="0" w:lastRowFirstColumn="0" w:lastRowLastColumn="0"/>
            </w:pPr>
          </w:p>
        </w:tc>
        <w:tc>
          <w:tcPr>
            <w:tcW w:w="1345" w:type="dxa"/>
            <w:tcBorders>
              <w:top w:val="nil"/>
              <w:bottom w:val="nil"/>
            </w:tcBorders>
            <w:shd w:val="clear" w:color="auto" w:fill="auto"/>
            <w:vAlign w:val="center"/>
          </w:tcPr>
          <w:p w14:paraId="05E138CB" w14:textId="77777777" w:rsidR="008B7E19" w:rsidRPr="001C7112" w:rsidRDefault="008B7E19" w:rsidP="008B7E19">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r w:rsidRPr="00D860A0">
              <w:rPr>
                <w:rFonts w:cs="Arial"/>
                <w:b/>
                <w:bCs/>
                <w:szCs w:val="14"/>
              </w:rPr>
              <w:t>3</w:t>
            </w:r>
            <w:r>
              <w:rPr>
                <w:rFonts w:cs="Arial"/>
                <w:b/>
                <w:bCs/>
                <w:szCs w:val="14"/>
              </w:rPr>
              <w:t>,</w:t>
            </w:r>
            <w:r w:rsidRPr="00D860A0">
              <w:rPr>
                <w:rFonts w:cs="Arial"/>
                <w:b/>
                <w:bCs/>
                <w:szCs w:val="14"/>
              </w:rPr>
              <w:t>232</w:t>
            </w:r>
          </w:p>
        </w:tc>
        <w:tc>
          <w:tcPr>
            <w:tcW w:w="1418" w:type="dxa"/>
            <w:tcBorders>
              <w:top w:val="nil"/>
              <w:bottom w:val="nil"/>
            </w:tcBorders>
            <w:shd w:val="clear" w:color="auto" w:fill="auto"/>
            <w:vAlign w:val="center"/>
          </w:tcPr>
          <w:p w14:paraId="2C4C6757" w14:textId="77777777" w:rsidR="008B7E19" w:rsidRPr="001C7112" w:rsidRDefault="008B7E19" w:rsidP="008B7E19">
            <w:pPr>
              <w:pStyle w:val="08-Tabelageral"/>
              <w:cnfStyle w:val="000000100000" w:firstRow="0" w:lastRow="0" w:firstColumn="0" w:lastColumn="0" w:oddVBand="0" w:evenVBand="0" w:oddHBand="1" w:evenHBand="0" w:firstRowFirstColumn="0" w:firstRowLastColumn="0" w:lastRowFirstColumn="0" w:lastRowLastColumn="0"/>
            </w:pPr>
            <w:r w:rsidRPr="009516E8">
              <w:rPr>
                <w:b/>
                <w:bCs/>
              </w:rPr>
              <w:t>4</w:t>
            </w:r>
            <w:r>
              <w:rPr>
                <w:b/>
                <w:bCs/>
              </w:rPr>
              <w:t>,</w:t>
            </w:r>
            <w:r w:rsidRPr="009516E8">
              <w:rPr>
                <w:b/>
                <w:bCs/>
              </w:rPr>
              <w:t>435</w:t>
            </w:r>
          </w:p>
        </w:tc>
        <w:tc>
          <w:tcPr>
            <w:tcW w:w="281" w:type="dxa"/>
            <w:tcBorders>
              <w:top w:val="nil"/>
              <w:bottom w:val="nil"/>
            </w:tcBorders>
            <w:shd w:val="clear" w:color="auto" w:fill="auto"/>
            <w:vAlign w:val="center"/>
          </w:tcPr>
          <w:p w14:paraId="0A2532CD" w14:textId="77777777" w:rsidR="008B7E19" w:rsidRPr="001C7112" w:rsidRDefault="008B7E19" w:rsidP="008B7E19">
            <w:pPr>
              <w:pStyle w:val="08-Tabelageral"/>
              <w:jc w:val="left"/>
              <w:cnfStyle w:val="000000100000" w:firstRow="0" w:lastRow="0" w:firstColumn="0" w:lastColumn="0" w:oddVBand="0" w:evenVBand="0" w:oddHBand="1" w:evenHBand="0" w:firstRowFirstColumn="0" w:firstRowLastColumn="0" w:lastRowFirstColumn="0" w:lastRowLastColumn="0"/>
              <w:rPr>
                <w:rFonts w:cs="Arial"/>
                <w:szCs w:val="14"/>
              </w:rPr>
            </w:pPr>
          </w:p>
        </w:tc>
        <w:tc>
          <w:tcPr>
            <w:tcW w:w="1420" w:type="dxa"/>
            <w:tcBorders>
              <w:top w:val="nil"/>
              <w:bottom w:val="nil"/>
            </w:tcBorders>
            <w:shd w:val="clear" w:color="auto" w:fill="auto"/>
            <w:vAlign w:val="center"/>
          </w:tcPr>
          <w:p w14:paraId="501A8CCE" w14:textId="77777777" w:rsidR="008B7E19" w:rsidRPr="001C7112" w:rsidRDefault="008B7E19" w:rsidP="008B7E19">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r w:rsidRPr="00D860A0">
              <w:rPr>
                <w:rFonts w:cs="Arial"/>
                <w:b/>
                <w:bCs/>
                <w:szCs w:val="14"/>
              </w:rPr>
              <w:t>1</w:t>
            </w:r>
            <w:r>
              <w:rPr>
                <w:rFonts w:cs="Arial"/>
                <w:b/>
                <w:bCs/>
                <w:szCs w:val="14"/>
              </w:rPr>
              <w:t>,</w:t>
            </w:r>
            <w:r w:rsidRPr="00D860A0">
              <w:rPr>
                <w:rFonts w:cs="Arial"/>
                <w:b/>
                <w:bCs/>
                <w:szCs w:val="14"/>
              </w:rPr>
              <w:t>471</w:t>
            </w:r>
            <w:r>
              <w:rPr>
                <w:rFonts w:cs="Arial"/>
                <w:b/>
                <w:bCs/>
                <w:szCs w:val="14"/>
              </w:rPr>
              <w:t>,</w:t>
            </w:r>
            <w:r w:rsidRPr="00D860A0">
              <w:rPr>
                <w:rFonts w:cs="Arial"/>
                <w:b/>
                <w:bCs/>
                <w:szCs w:val="14"/>
              </w:rPr>
              <w:t>151</w:t>
            </w:r>
          </w:p>
        </w:tc>
        <w:tc>
          <w:tcPr>
            <w:tcW w:w="1417" w:type="dxa"/>
            <w:tcBorders>
              <w:top w:val="nil"/>
              <w:bottom w:val="nil"/>
            </w:tcBorders>
            <w:shd w:val="clear" w:color="auto" w:fill="auto"/>
            <w:vAlign w:val="center"/>
          </w:tcPr>
          <w:p w14:paraId="2598ACBB" w14:textId="77777777" w:rsidR="008B7E19" w:rsidRPr="00073BA6" w:rsidRDefault="008B7E19" w:rsidP="008B7E19">
            <w:pPr>
              <w:pStyle w:val="08-Tabelageral"/>
              <w:cnfStyle w:val="000000100000" w:firstRow="0" w:lastRow="0" w:firstColumn="0" w:lastColumn="0" w:oddVBand="0" w:evenVBand="0" w:oddHBand="1" w:evenHBand="0" w:firstRowFirstColumn="0" w:firstRowLastColumn="0" w:lastRowFirstColumn="0" w:lastRowLastColumn="0"/>
            </w:pPr>
            <w:r w:rsidRPr="00CF7077">
              <w:rPr>
                <w:b/>
                <w:bCs/>
              </w:rPr>
              <w:t>1</w:t>
            </w:r>
            <w:r>
              <w:rPr>
                <w:b/>
                <w:bCs/>
              </w:rPr>
              <w:t>,</w:t>
            </w:r>
            <w:r w:rsidRPr="00CF7077">
              <w:rPr>
                <w:b/>
                <w:bCs/>
              </w:rPr>
              <w:t>240</w:t>
            </w:r>
            <w:r>
              <w:rPr>
                <w:b/>
                <w:bCs/>
              </w:rPr>
              <w:t>,</w:t>
            </w:r>
            <w:r w:rsidRPr="00CF7077">
              <w:rPr>
                <w:b/>
                <w:bCs/>
              </w:rPr>
              <w:t>304</w:t>
            </w:r>
          </w:p>
        </w:tc>
      </w:tr>
      <w:tr w:rsidR="008B7E19" w:rsidRPr="001D6BE8" w14:paraId="78D98A10" w14:textId="77777777" w:rsidTr="008B7E19">
        <w:trPr>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auto"/>
            <w:vAlign w:val="center"/>
          </w:tcPr>
          <w:p w14:paraId="14C2C89D" w14:textId="77777777" w:rsidR="008B7E19" w:rsidRPr="002D3429" w:rsidRDefault="008B7E19" w:rsidP="008B7E19">
            <w:pPr>
              <w:pStyle w:val="08-Tabelageral"/>
              <w:ind w:left="113"/>
              <w:jc w:val="left"/>
              <w:rPr>
                <w:bCs w:val="0"/>
              </w:rPr>
            </w:pPr>
            <w:r w:rsidRPr="002D3429">
              <w:rPr>
                <w:bCs w:val="0"/>
              </w:rPr>
              <w:t>Adjustment to net profit</w:t>
            </w:r>
          </w:p>
        </w:tc>
        <w:tc>
          <w:tcPr>
            <w:tcW w:w="781" w:type="dxa"/>
            <w:tcBorders>
              <w:top w:val="nil"/>
              <w:bottom w:val="nil"/>
            </w:tcBorders>
            <w:shd w:val="clear" w:color="auto" w:fill="auto"/>
            <w:vAlign w:val="center"/>
          </w:tcPr>
          <w:p w14:paraId="0F96DC38" w14:textId="77777777" w:rsidR="008B7E19" w:rsidRPr="00CD3714" w:rsidRDefault="008B7E19" w:rsidP="008B7E19">
            <w:pPr>
              <w:pStyle w:val="08-Tabelageral"/>
              <w:jc w:val="left"/>
              <w:cnfStyle w:val="000000000000" w:firstRow="0" w:lastRow="0" w:firstColumn="0" w:lastColumn="0" w:oddVBand="0" w:evenVBand="0" w:oddHBand="0" w:evenHBand="0" w:firstRowFirstColumn="0" w:firstRowLastColumn="0" w:lastRowFirstColumn="0" w:lastRowLastColumn="0"/>
              <w:rPr>
                <w:b/>
              </w:rPr>
            </w:pPr>
          </w:p>
        </w:tc>
        <w:tc>
          <w:tcPr>
            <w:tcW w:w="1345" w:type="dxa"/>
            <w:tcBorders>
              <w:top w:val="nil"/>
              <w:bottom w:val="nil"/>
            </w:tcBorders>
            <w:shd w:val="clear" w:color="auto" w:fill="auto"/>
            <w:vAlign w:val="center"/>
          </w:tcPr>
          <w:p w14:paraId="298B1820" w14:textId="77777777" w:rsidR="008B7E19" w:rsidRPr="00F06920" w:rsidRDefault="008B7E19" w:rsidP="008B7E19">
            <w:pPr>
              <w:pStyle w:val="08-Tabelageral"/>
              <w:ind w:left="113"/>
              <w:cnfStyle w:val="000000000000" w:firstRow="0" w:lastRow="0" w:firstColumn="0" w:lastColumn="0" w:oddVBand="0" w:evenVBand="0" w:oddHBand="0" w:evenHBand="0" w:firstRowFirstColumn="0" w:firstRowLastColumn="0" w:lastRowFirstColumn="0" w:lastRowLastColumn="0"/>
              <w:rPr>
                <w:rFonts w:cs="Arial"/>
                <w:b/>
                <w:bCs/>
                <w:szCs w:val="14"/>
              </w:rPr>
            </w:pPr>
          </w:p>
        </w:tc>
        <w:tc>
          <w:tcPr>
            <w:tcW w:w="1418" w:type="dxa"/>
            <w:tcBorders>
              <w:top w:val="nil"/>
              <w:bottom w:val="nil"/>
            </w:tcBorders>
            <w:shd w:val="clear" w:color="auto" w:fill="auto"/>
            <w:vAlign w:val="center"/>
          </w:tcPr>
          <w:p w14:paraId="58295DEA" w14:textId="77777777" w:rsidR="008B7E19" w:rsidRPr="00F06920"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b/>
                <w:bCs/>
              </w:rPr>
            </w:pPr>
          </w:p>
        </w:tc>
        <w:tc>
          <w:tcPr>
            <w:tcW w:w="281" w:type="dxa"/>
            <w:tcBorders>
              <w:top w:val="nil"/>
              <w:bottom w:val="nil"/>
            </w:tcBorders>
            <w:shd w:val="clear" w:color="auto" w:fill="auto"/>
            <w:vAlign w:val="center"/>
          </w:tcPr>
          <w:p w14:paraId="4604AF20" w14:textId="77777777" w:rsidR="008B7E19" w:rsidRPr="00F06920" w:rsidRDefault="008B7E19" w:rsidP="008B7E19">
            <w:pPr>
              <w:pStyle w:val="08-Tabelageral"/>
              <w:jc w:val="left"/>
              <w:cnfStyle w:val="000000000000" w:firstRow="0" w:lastRow="0" w:firstColumn="0" w:lastColumn="0" w:oddVBand="0" w:evenVBand="0" w:oddHBand="0" w:evenHBand="0" w:firstRowFirstColumn="0" w:firstRowLastColumn="0" w:lastRowFirstColumn="0" w:lastRowLastColumn="0"/>
              <w:rPr>
                <w:rFonts w:cs="Arial"/>
                <w:b/>
                <w:bCs/>
                <w:szCs w:val="14"/>
              </w:rPr>
            </w:pPr>
          </w:p>
        </w:tc>
        <w:tc>
          <w:tcPr>
            <w:tcW w:w="1420" w:type="dxa"/>
            <w:tcBorders>
              <w:top w:val="nil"/>
              <w:bottom w:val="nil"/>
            </w:tcBorders>
            <w:shd w:val="clear" w:color="auto" w:fill="auto"/>
            <w:vAlign w:val="center"/>
          </w:tcPr>
          <w:p w14:paraId="3CBF45A7" w14:textId="77777777" w:rsidR="008B7E19" w:rsidRPr="00F06920" w:rsidRDefault="008B7E19" w:rsidP="008B7E19">
            <w:pPr>
              <w:pStyle w:val="08-Tabelageral"/>
              <w:ind w:left="113"/>
              <w:cnfStyle w:val="000000000000" w:firstRow="0" w:lastRow="0" w:firstColumn="0" w:lastColumn="0" w:oddVBand="0" w:evenVBand="0" w:oddHBand="0" w:evenHBand="0" w:firstRowFirstColumn="0" w:firstRowLastColumn="0" w:lastRowFirstColumn="0" w:lastRowLastColumn="0"/>
              <w:rPr>
                <w:rFonts w:cs="Arial"/>
                <w:b/>
                <w:bCs/>
                <w:szCs w:val="14"/>
              </w:rPr>
            </w:pPr>
          </w:p>
        </w:tc>
        <w:tc>
          <w:tcPr>
            <w:tcW w:w="1417" w:type="dxa"/>
            <w:tcBorders>
              <w:top w:val="nil"/>
              <w:bottom w:val="nil"/>
            </w:tcBorders>
            <w:shd w:val="clear" w:color="auto" w:fill="auto"/>
            <w:vAlign w:val="center"/>
          </w:tcPr>
          <w:p w14:paraId="10DFE825" w14:textId="77777777" w:rsidR="008B7E19" w:rsidRPr="00F06920"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b/>
                <w:bCs/>
              </w:rPr>
            </w:pPr>
          </w:p>
        </w:tc>
      </w:tr>
      <w:tr w:rsidR="008B7E19" w:rsidRPr="00D078CB" w14:paraId="549F99BA"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auto"/>
            <w:vAlign w:val="center"/>
          </w:tcPr>
          <w:p w14:paraId="4C92719C" w14:textId="77777777" w:rsidR="008B7E19" w:rsidRPr="0038283D" w:rsidRDefault="008B7E19" w:rsidP="008B7E19">
            <w:pPr>
              <w:pStyle w:val="08-Tabelageral"/>
              <w:ind w:left="113"/>
              <w:jc w:val="left"/>
              <w:rPr>
                <w:bCs w:val="0"/>
                <w:lang w:val="en-US"/>
              </w:rPr>
            </w:pPr>
            <w:r w:rsidRPr="0038283D">
              <w:rPr>
                <w:bCs w:val="0"/>
                <w:lang w:val="en-US"/>
              </w:rPr>
              <w:t>Changes in balance sheet items:</w:t>
            </w:r>
          </w:p>
        </w:tc>
        <w:tc>
          <w:tcPr>
            <w:tcW w:w="781" w:type="dxa"/>
            <w:tcBorders>
              <w:top w:val="nil"/>
              <w:bottom w:val="nil"/>
            </w:tcBorders>
            <w:shd w:val="clear" w:color="auto" w:fill="auto"/>
            <w:vAlign w:val="center"/>
          </w:tcPr>
          <w:p w14:paraId="291D59CC" w14:textId="77777777" w:rsidR="008B7E19" w:rsidRPr="0038283D" w:rsidRDefault="008B7E19" w:rsidP="008B7E19">
            <w:pPr>
              <w:pStyle w:val="08-Tabelageral"/>
              <w:ind w:left="113"/>
              <w:jc w:val="left"/>
              <w:cnfStyle w:val="000000100000" w:firstRow="0" w:lastRow="0" w:firstColumn="0" w:lastColumn="0" w:oddVBand="0" w:evenVBand="0" w:oddHBand="1" w:evenHBand="0" w:firstRowFirstColumn="0" w:firstRowLastColumn="0" w:lastRowFirstColumn="0" w:lastRowLastColumn="0"/>
              <w:rPr>
                <w:bCs/>
                <w:lang w:val="en-US"/>
              </w:rPr>
            </w:pPr>
          </w:p>
        </w:tc>
        <w:tc>
          <w:tcPr>
            <w:tcW w:w="1345" w:type="dxa"/>
            <w:tcBorders>
              <w:top w:val="nil"/>
              <w:bottom w:val="nil"/>
            </w:tcBorders>
            <w:shd w:val="clear" w:color="auto" w:fill="auto"/>
            <w:vAlign w:val="center"/>
          </w:tcPr>
          <w:p w14:paraId="660A9EB4" w14:textId="77777777" w:rsidR="008B7E19" w:rsidRPr="0038283D" w:rsidRDefault="008B7E19" w:rsidP="008B7E19">
            <w:pPr>
              <w:pStyle w:val="08-Tabelageral"/>
              <w:ind w:left="113"/>
              <w:jc w:val="left"/>
              <w:cnfStyle w:val="000000100000" w:firstRow="0" w:lastRow="0" w:firstColumn="0" w:lastColumn="0" w:oddVBand="0" w:evenVBand="0" w:oddHBand="1" w:evenHBand="0" w:firstRowFirstColumn="0" w:firstRowLastColumn="0" w:lastRowFirstColumn="0" w:lastRowLastColumn="0"/>
              <w:rPr>
                <w:bCs/>
                <w:lang w:val="en-US"/>
              </w:rPr>
            </w:pPr>
          </w:p>
        </w:tc>
        <w:tc>
          <w:tcPr>
            <w:tcW w:w="1418" w:type="dxa"/>
            <w:tcBorders>
              <w:top w:val="nil"/>
              <w:bottom w:val="nil"/>
            </w:tcBorders>
            <w:shd w:val="clear" w:color="auto" w:fill="auto"/>
            <w:vAlign w:val="center"/>
          </w:tcPr>
          <w:p w14:paraId="4077570D" w14:textId="77777777" w:rsidR="008B7E19" w:rsidRPr="0038283D" w:rsidRDefault="008B7E19" w:rsidP="008B7E19">
            <w:pPr>
              <w:pStyle w:val="08-Tabelageral"/>
              <w:ind w:left="113"/>
              <w:jc w:val="left"/>
              <w:cnfStyle w:val="000000100000" w:firstRow="0" w:lastRow="0" w:firstColumn="0" w:lastColumn="0" w:oddVBand="0" w:evenVBand="0" w:oddHBand="1" w:evenHBand="0" w:firstRowFirstColumn="0" w:firstRowLastColumn="0" w:lastRowFirstColumn="0" w:lastRowLastColumn="0"/>
              <w:rPr>
                <w:bCs/>
                <w:lang w:val="en-US"/>
              </w:rPr>
            </w:pPr>
          </w:p>
        </w:tc>
        <w:tc>
          <w:tcPr>
            <w:tcW w:w="281" w:type="dxa"/>
            <w:tcBorders>
              <w:top w:val="nil"/>
              <w:bottom w:val="nil"/>
            </w:tcBorders>
            <w:shd w:val="clear" w:color="auto" w:fill="auto"/>
            <w:vAlign w:val="center"/>
          </w:tcPr>
          <w:p w14:paraId="3D536AA2" w14:textId="77777777" w:rsidR="008B7E19" w:rsidRPr="0038283D" w:rsidRDefault="008B7E19" w:rsidP="008B7E19">
            <w:pPr>
              <w:pStyle w:val="08-Tabelageral"/>
              <w:ind w:left="113"/>
              <w:jc w:val="left"/>
              <w:cnfStyle w:val="000000100000" w:firstRow="0" w:lastRow="0" w:firstColumn="0" w:lastColumn="0" w:oddVBand="0" w:evenVBand="0" w:oddHBand="1" w:evenHBand="0" w:firstRowFirstColumn="0" w:firstRowLastColumn="0" w:lastRowFirstColumn="0" w:lastRowLastColumn="0"/>
              <w:rPr>
                <w:bCs/>
                <w:lang w:val="en-US"/>
              </w:rPr>
            </w:pPr>
          </w:p>
        </w:tc>
        <w:tc>
          <w:tcPr>
            <w:tcW w:w="1420" w:type="dxa"/>
            <w:tcBorders>
              <w:top w:val="nil"/>
              <w:bottom w:val="nil"/>
            </w:tcBorders>
            <w:shd w:val="clear" w:color="auto" w:fill="auto"/>
            <w:vAlign w:val="center"/>
          </w:tcPr>
          <w:p w14:paraId="442EABAF" w14:textId="77777777" w:rsidR="008B7E19" w:rsidRPr="0038283D" w:rsidRDefault="008B7E19" w:rsidP="008B7E19">
            <w:pPr>
              <w:pStyle w:val="08-Tabelageral"/>
              <w:ind w:left="113"/>
              <w:jc w:val="left"/>
              <w:cnfStyle w:val="000000100000" w:firstRow="0" w:lastRow="0" w:firstColumn="0" w:lastColumn="0" w:oddVBand="0" w:evenVBand="0" w:oddHBand="1" w:evenHBand="0" w:firstRowFirstColumn="0" w:firstRowLastColumn="0" w:lastRowFirstColumn="0" w:lastRowLastColumn="0"/>
              <w:rPr>
                <w:bCs/>
                <w:lang w:val="en-US"/>
              </w:rPr>
            </w:pPr>
          </w:p>
        </w:tc>
        <w:tc>
          <w:tcPr>
            <w:tcW w:w="1417" w:type="dxa"/>
            <w:tcBorders>
              <w:top w:val="nil"/>
              <w:bottom w:val="nil"/>
            </w:tcBorders>
            <w:shd w:val="clear" w:color="auto" w:fill="auto"/>
            <w:vAlign w:val="center"/>
          </w:tcPr>
          <w:p w14:paraId="4D7D2274" w14:textId="77777777" w:rsidR="008B7E19" w:rsidRPr="0038283D" w:rsidRDefault="008B7E19" w:rsidP="008B7E19">
            <w:pPr>
              <w:pStyle w:val="08-Tabelageral"/>
              <w:ind w:left="113"/>
              <w:jc w:val="left"/>
              <w:cnfStyle w:val="000000100000" w:firstRow="0" w:lastRow="0" w:firstColumn="0" w:lastColumn="0" w:oddVBand="0" w:evenVBand="0" w:oddHBand="1" w:evenHBand="0" w:firstRowFirstColumn="0" w:firstRowLastColumn="0" w:lastRowFirstColumn="0" w:lastRowLastColumn="0"/>
              <w:rPr>
                <w:bCs/>
                <w:lang w:val="en-US"/>
              </w:rPr>
            </w:pPr>
          </w:p>
        </w:tc>
      </w:tr>
      <w:tr w:rsidR="008B7E19" w:rsidRPr="000E70DE" w14:paraId="022A43D8" w14:textId="77777777" w:rsidTr="008B7E19">
        <w:trPr>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auto"/>
            <w:vAlign w:val="center"/>
          </w:tcPr>
          <w:p w14:paraId="09D94965" w14:textId="77777777" w:rsidR="008B7E19" w:rsidRPr="00BD6C7E" w:rsidRDefault="008B7E19" w:rsidP="008B7E19">
            <w:pPr>
              <w:pStyle w:val="08-Tabelageral"/>
              <w:ind w:left="113"/>
              <w:jc w:val="left"/>
              <w:rPr>
                <w:b w:val="0"/>
                <w:lang w:val="en-US"/>
              </w:rPr>
            </w:pPr>
            <w:r w:rsidRPr="00BD6C7E">
              <w:rPr>
                <w:b w:val="0"/>
                <w:lang w:val="en-US"/>
              </w:rPr>
              <w:t>Financial assets at fair value through profit or loss</w:t>
            </w:r>
          </w:p>
        </w:tc>
        <w:tc>
          <w:tcPr>
            <w:tcW w:w="781" w:type="dxa"/>
            <w:tcBorders>
              <w:top w:val="nil"/>
              <w:bottom w:val="nil"/>
            </w:tcBorders>
            <w:shd w:val="clear" w:color="auto" w:fill="auto"/>
            <w:vAlign w:val="center"/>
          </w:tcPr>
          <w:p w14:paraId="6FE14C7B" w14:textId="77777777" w:rsidR="008B7E19" w:rsidRPr="00BD6C7E" w:rsidRDefault="008B7E19" w:rsidP="008B7E19">
            <w:pPr>
              <w:pStyle w:val="08-Tabelageral"/>
              <w:jc w:val="left"/>
              <w:cnfStyle w:val="000000000000" w:firstRow="0" w:lastRow="0" w:firstColumn="0" w:lastColumn="0" w:oddVBand="0" w:evenVBand="0" w:oddHBand="0" w:evenHBand="0" w:firstRowFirstColumn="0" w:firstRowLastColumn="0" w:lastRowFirstColumn="0" w:lastRowLastColumn="0"/>
              <w:rPr>
                <w:lang w:val="en-US"/>
              </w:rPr>
            </w:pPr>
            <w:r w:rsidRPr="002F1A89">
              <w:rPr>
                <w:bCs/>
              </w:rPr>
              <w:t>[16.a]</w:t>
            </w:r>
          </w:p>
        </w:tc>
        <w:tc>
          <w:tcPr>
            <w:tcW w:w="1345" w:type="dxa"/>
            <w:tcBorders>
              <w:top w:val="nil"/>
              <w:bottom w:val="nil"/>
            </w:tcBorders>
            <w:shd w:val="clear" w:color="auto" w:fill="auto"/>
            <w:vAlign w:val="center"/>
          </w:tcPr>
          <w:p w14:paraId="313FEBA4" w14:textId="77777777" w:rsidR="008B7E19" w:rsidRPr="00881572" w:rsidRDefault="008B7E19" w:rsidP="008B7E19">
            <w:pPr>
              <w:pStyle w:val="08-Tabelageral"/>
              <w:ind w:left="113"/>
              <w:cnfStyle w:val="000000000000" w:firstRow="0" w:lastRow="0" w:firstColumn="0" w:lastColumn="0" w:oddVBand="0" w:evenVBand="0" w:oddHBand="0" w:evenHBand="0" w:firstRowFirstColumn="0" w:firstRowLastColumn="0" w:lastRowFirstColumn="0" w:lastRowLastColumn="0"/>
              <w:rPr>
                <w:lang w:val="en-US"/>
              </w:rPr>
            </w:pPr>
            <w:r w:rsidRPr="00D860A0">
              <w:rPr>
                <w:bCs/>
              </w:rPr>
              <w:t>332</w:t>
            </w:r>
          </w:p>
        </w:tc>
        <w:tc>
          <w:tcPr>
            <w:tcW w:w="1418" w:type="dxa"/>
            <w:tcBorders>
              <w:top w:val="nil"/>
              <w:bottom w:val="nil"/>
            </w:tcBorders>
            <w:shd w:val="clear" w:color="auto" w:fill="auto"/>
            <w:vAlign w:val="center"/>
          </w:tcPr>
          <w:p w14:paraId="7C3FCE36" w14:textId="77777777" w:rsidR="008B7E19" w:rsidRPr="000E70DE" w:rsidRDefault="008B7E19" w:rsidP="008B7E19">
            <w:pPr>
              <w:pStyle w:val="08-Tabelageral"/>
              <w:ind w:left="113"/>
              <w:cnfStyle w:val="000000000000" w:firstRow="0" w:lastRow="0" w:firstColumn="0" w:lastColumn="0" w:oddVBand="0" w:evenVBand="0" w:oddHBand="0" w:evenHBand="0" w:firstRowFirstColumn="0" w:firstRowLastColumn="0" w:lastRowFirstColumn="0" w:lastRowLastColumn="0"/>
            </w:pPr>
            <w:r w:rsidRPr="009516E8">
              <w:rPr>
                <w:bCs/>
              </w:rPr>
              <w:t>(3</w:t>
            </w:r>
            <w:r>
              <w:rPr>
                <w:bCs/>
              </w:rPr>
              <w:t>,</w:t>
            </w:r>
            <w:r w:rsidRPr="009516E8">
              <w:rPr>
                <w:bCs/>
              </w:rPr>
              <w:t>022)</w:t>
            </w:r>
          </w:p>
        </w:tc>
        <w:tc>
          <w:tcPr>
            <w:tcW w:w="281" w:type="dxa"/>
            <w:tcBorders>
              <w:top w:val="nil"/>
              <w:bottom w:val="nil"/>
            </w:tcBorders>
            <w:shd w:val="clear" w:color="auto" w:fill="auto"/>
            <w:vAlign w:val="center"/>
          </w:tcPr>
          <w:p w14:paraId="36D6F371" w14:textId="77777777" w:rsidR="008B7E19" w:rsidRPr="000E70DE" w:rsidRDefault="008B7E19" w:rsidP="008B7E19">
            <w:pPr>
              <w:pStyle w:val="08-Tabelageral"/>
              <w:ind w:left="113"/>
              <w:cnfStyle w:val="000000000000" w:firstRow="0" w:lastRow="0" w:firstColumn="0" w:lastColumn="0" w:oddVBand="0" w:evenVBand="0" w:oddHBand="0" w:evenHBand="0" w:firstRowFirstColumn="0" w:firstRowLastColumn="0" w:lastRowFirstColumn="0" w:lastRowLastColumn="0"/>
            </w:pPr>
          </w:p>
        </w:tc>
        <w:tc>
          <w:tcPr>
            <w:tcW w:w="1420" w:type="dxa"/>
            <w:tcBorders>
              <w:top w:val="nil"/>
              <w:bottom w:val="nil"/>
            </w:tcBorders>
            <w:shd w:val="clear" w:color="auto" w:fill="auto"/>
            <w:vAlign w:val="center"/>
          </w:tcPr>
          <w:p w14:paraId="6F45F969" w14:textId="77777777" w:rsidR="008B7E19" w:rsidRPr="000E70DE" w:rsidRDefault="008B7E19" w:rsidP="008B7E19">
            <w:pPr>
              <w:pStyle w:val="08-Tabelageral"/>
              <w:ind w:left="113"/>
              <w:cnfStyle w:val="000000000000" w:firstRow="0" w:lastRow="0" w:firstColumn="0" w:lastColumn="0" w:oddVBand="0" w:evenVBand="0" w:oddHBand="0" w:evenHBand="0" w:firstRowFirstColumn="0" w:firstRowLastColumn="0" w:lastRowFirstColumn="0" w:lastRowLastColumn="0"/>
            </w:pPr>
            <w:r w:rsidRPr="00D860A0">
              <w:rPr>
                <w:bCs/>
              </w:rPr>
              <w:t>332</w:t>
            </w:r>
          </w:p>
        </w:tc>
        <w:tc>
          <w:tcPr>
            <w:tcW w:w="1417" w:type="dxa"/>
            <w:tcBorders>
              <w:top w:val="nil"/>
              <w:bottom w:val="nil"/>
            </w:tcBorders>
            <w:shd w:val="clear" w:color="auto" w:fill="auto"/>
            <w:vAlign w:val="center"/>
          </w:tcPr>
          <w:p w14:paraId="6A7E164C" w14:textId="77777777" w:rsidR="008B7E19" w:rsidRPr="000E70DE" w:rsidRDefault="008B7E19" w:rsidP="008B7E19">
            <w:pPr>
              <w:pStyle w:val="08-Tabelageral"/>
              <w:ind w:left="113"/>
              <w:cnfStyle w:val="000000000000" w:firstRow="0" w:lastRow="0" w:firstColumn="0" w:lastColumn="0" w:oddVBand="0" w:evenVBand="0" w:oddHBand="0" w:evenHBand="0" w:firstRowFirstColumn="0" w:firstRowLastColumn="0" w:lastRowFirstColumn="0" w:lastRowLastColumn="0"/>
            </w:pPr>
            <w:r w:rsidRPr="00CF7077">
              <w:rPr>
                <w:bCs/>
              </w:rPr>
              <w:t>(3</w:t>
            </w:r>
            <w:r>
              <w:rPr>
                <w:bCs/>
              </w:rPr>
              <w:t>,</w:t>
            </w:r>
            <w:r w:rsidRPr="00CF7077">
              <w:rPr>
                <w:bCs/>
              </w:rPr>
              <w:t>022)</w:t>
            </w:r>
          </w:p>
        </w:tc>
      </w:tr>
      <w:tr w:rsidR="008B7E19" w:rsidRPr="000E70DE" w14:paraId="0004F563"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auto"/>
            <w:vAlign w:val="center"/>
          </w:tcPr>
          <w:p w14:paraId="2A796DF7" w14:textId="77777777" w:rsidR="008B7E19" w:rsidRPr="00BD6C7E" w:rsidRDefault="008B7E19" w:rsidP="008B7E19">
            <w:pPr>
              <w:pStyle w:val="08-Tabelageral"/>
              <w:ind w:left="113"/>
              <w:jc w:val="left"/>
              <w:rPr>
                <w:b w:val="0"/>
                <w:lang w:val="en-US"/>
              </w:rPr>
            </w:pPr>
            <w:r w:rsidRPr="00BD6C7E">
              <w:rPr>
                <w:b w:val="0"/>
                <w:lang w:val="en-US"/>
              </w:rPr>
              <w:t>Current tax assets and deferred tax assets</w:t>
            </w:r>
          </w:p>
        </w:tc>
        <w:tc>
          <w:tcPr>
            <w:tcW w:w="781" w:type="dxa"/>
            <w:tcBorders>
              <w:top w:val="nil"/>
              <w:bottom w:val="nil"/>
            </w:tcBorders>
            <w:shd w:val="clear" w:color="auto" w:fill="auto"/>
            <w:vAlign w:val="center"/>
          </w:tcPr>
          <w:p w14:paraId="0F7C74ED" w14:textId="77777777" w:rsidR="008B7E19" w:rsidRPr="00BD6C7E" w:rsidRDefault="008B7E19" w:rsidP="008B7E19">
            <w:pPr>
              <w:pStyle w:val="08-Tabelageral"/>
              <w:jc w:val="left"/>
              <w:cnfStyle w:val="000000100000" w:firstRow="0" w:lastRow="0" w:firstColumn="0" w:lastColumn="0" w:oddVBand="0" w:evenVBand="0" w:oddHBand="1" w:evenHBand="0" w:firstRowFirstColumn="0" w:firstRowLastColumn="0" w:lastRowFirstColumn="0" w:lastRowLastColumn="0"/>
              <w:rPr>
                <w:lang w:val="en-US"/>
              </w:rPr>
            </w:pPr>
          </w:p>
        </w:tc>
        <w:tc>
          <w:tcPr>
            <w:tcW w:w="1345" w:type="dxa"/>
            <w:tcBorders>
              <w:top w:val="nil"/>
              <w:bottom w:val="nil"/>
            </w:tcBorders>
            <w:shd w:val="clear" w:color="auto" w:fill="auto"/>
            <w:vAlign w:val="center"/>
          </w:tcPr>
          <w:p w14:paraId="349E6A8F" w14:textId="77777777" w:rsidR="008B7E19" w:rsidRPr="000E70DE" w:rsidRDefault="008B7E19" w:rsidP="008B7E19">
            <w:pPr>
              <w:pStyle w:val="08-Tabelageral"/>
              <w:ind w:left="113"/>
              <w:cnfStyle w:val="000000100000" w:firstRow="0" w:lastRow="0" w:firstColumn="0" w:lastColumn="0" w:oddVBand="0" w:evenVBand="0" w:oddHBand="1" w:evenHBand="0" w:firstRowFirstColumn="0" w:firstRowLastColumn="0" w:lastRowFirstColumn="0" w:lastRowLastColumn="0"/>
            </w:pPr>
            <w:r w:rsidRPr="00D84FC3">
              <w:t>(17</w:t>
            </w:r>
            <w:r>
              <w:t>,</w:t>
            </w:r>
            <w:r w:rsidRPr="00D84FC3">
              <w:t>942)</w:t>
            </w:r>
          </w:p>
        </w:tc>
        <w:tc>
          <w:tcPr>
            <w:tcW w:w="1418" w:type="dxa"/>
            <w:tcBorders>
              <w:top w:val="nil"/>
              <w:bottom w:val="nil"/>
            </w:tcBorders>
            <w:shd w:val="clear" w:color="auto" w:fill="auto"/>
            <w:vAlign w:val="center"/>
          </w:tcPr>
          <w:p w14:paraId="3C6ACE36" w14:textId="77777777" w:rsidR="008B7E19" w:rsidRPr="000E70DE" w:rsidRDefault="008B7E19" w:rsidP="008B7E19">
            <w:pPr>
              <w:pStyle w:val="08-Tabelageral"/>
              <w:ind w:left="113"/>
              <w:cnfStyle w:val="000000100000" w:firstRow="0" w:lastRow="0" w:firstColumn="0" w:lastColumn="0" w:oddVBand="0" w:evenVBand="0" w:oddHBand="1" w:evenHBand="0" w:firstRowFirstColumn="0" w:firstRowLastColumn="0" w:lastRowFirstColumn="0" w:lastRowLastColumn="0"/>
            </w:pPr>
            <w:r w:rsidRPr="009516E8">
              <w:t>(14</w:t>
            </w:r>
            <w:r>
              <w:t>,</w:t>
            </w:r>
            <w:r w:rsidRPr="009516E8">
              <w:t>082)</w:t>
            </w:r>
          </w:p>
        </w:tc>
        <w:tc>
          <w:tcPr>
            <w:tcW w:w="281" w:type="dxa"/>
            <w:tcBorders>
              <w:top w:val="nil"/>
              <w:bottom w:val="nil"/>
            </w:tcBorders>
            <w:shd w:val="clear" w:color="auto" w:fill="auto"/>
            <w:vAlign w:val="center"/>
          </w:tcPr>
          <w:p w14:paraId="6875B46C" w14:textId="77777777" w:rsidR="008B7E19" w:rsidRPr="000E70DE" w:rsidRDefault="008B7E19" w:rsidP="008B7E19">
            <w:pPr>
              <w:pStyle w:val="08-Tabelageral"/>
              <w:ind w:left="113"/>
              <w:cnfStyle w:val="000000100000" w:firstRow="0" w:lastRow="0" w:firstColumn="0" w:lastColumn="0" w:oddVBand="0" w:evenVBand="0" w:oddHBand="1" w:evenHBand="0" w:firstRowFirstColumn="0" w:firstRowLastColumn="0" w:lastRowFirstColumn="0" w:lastRowLastColumn="0"/>
            </w:pPr>
          </w:p>
        </w:tc>
        <w:tc>
          <w:tcPr>
            <w:tcW w:w="1420" w:type="dxa"/>
            <w:tcBorders>
              <w:top w:val="nil"/>
              <w:bottom w:val="nil"/>
            </w:tcBorders>
            <w:shd w:val="clear" w:color="auto" w:fill="auto"/>
            <w:vAlign w:val="center"/>
          </w:tcPr>
          <w:p w14:paraId="06978607" w14:textId="77777777" w:rsidR="008B7E19" w:rsidRPr="000E70DE" w:rsidRDefault="008B7E19" w:rsidP="008B7E19">
            <w:pPr>
              <w:pStyle w:val="08-Tabelageral"/>
              <w:ind w:left="113"/>
              <w:cnfStyle w:val="000000100000" w:firstRow="0" w:lastRow="0" w:firstColumn="0" w:lastColumn="0" w:oddVBand="0" w:evenVBand="0" w:oddHBand="1" w:evenHBand="0" w:firstRowFirstColumn="0" w:firstRowLastColumn="0" w:lastRowFirstColumn="0" w:lastRowLastColumn="0"/>
            </w:pPr>
            <w:r w:rsidRPr="00A14C1D">
              <w:t>(45</w:t>
            </w:r>
            <w:r>
              <w:t>,</w:t>
            </w:r>
            <w:r w:rsidRPr="00A14C1D">
              <w:t>167)</w:t>
            </w:r>
          </w:p>
        </w:tc>
        <w:tc>
          <w:tcPr>
            <w:tcW w:w="1417" w:type="dxa"/>
            <w:tcBorders>
              <w:top w:val="nil"/>
              <w:bottom w:val="nil"/>
            </w:tcBorders>
            <w:shd w:val="clear" w:color="auto" w:fill="auto"/>
            <w:vAlign w:val="center"/>
          </w:tcPr>
          <w:p w14:paraId="7DFD7881" w14:textId="77777777" w:rsidR="008B7E19" w:rsidRPr="000E70DE" w:rsidRDefault="008B7E19" w:rsidP="008B7E19">
            <w:pPr>
              <w:pStyle w:val="08-Tabelageral"/>
              <w:ind w:left="113"/>
              <w:cnfStyle w:val="000000100000" w:firstRow="0" w:lastRow="0" w:firstColumn="0" w:lastColumn="0" w:oddVBand="0" w:evenVBand="0" w:oddHBand="1" w:evenHBand="0" w:firstRowFirstColumn="0" w:firstRowLastColumn="0" w:lastRowFirstColumn="0" w:lastRowLastColumn="0"/>
            </w:pPr>
            <w:r w:rsidRPr="00CF7077">
              <w:t>(12</w:t>
            </w:r>
            <w:r>
              <w:t>,</w:t>
            </w:r>
            <w:r w:rsidRPr="00CF7077">
              <w:t>269)</w:t>
            </w:r>
          </w:p>
        </w:tc>
      </w:tr>
      <w:tr w:rsidR="008B7E19" w:rsidRPr="000E70DE" w14:paraId="7FE4B975" w14:textId="77777777" w:rsidTr="008B7E19">
        <w:trPr>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auto"/>
            <w:vAlign w:val="center"/>
          </w:tcPr>
          <w:p w14:paraId="594688A4" w14:textId="77777777" w:rsidR="008B7E19" w:rsidRPr="000E70DE" w:rsidRDefault="008B7E19" w:rsidP="008B7E19">
            <w:pPr>
              <w:pStyle w:val="08-Tabelageral"/>
              <w:ind w:left="113"/>
              <w:jc w:val="left"/>
              <w:rPr>
                <w:b w:val="0"/>
              </w:rPr>
            </w:pPr>
            <w:r w:rsidRPr="00E03629">
              <w:rPr>
                <w:b w:val="0"/>
              </w:rPr>
              <w:t>Commissions receivable</w:t>
            </w:r>
          </w:p>
        </w:tc>
        <w:tc>
          <w:tcPr>
            <w:tcW w:w="781" w:type="dxa"/>
            <w:tcBorders>
              <w:top w:val="nil"/>
              <w:bottom w:val="nil"/>
            </w:tcBorders>
            <w:shd w:val="clear" w:color="auto" w:fill="auto"/>
            <w:vAlign w:val="center"/>
          </w:tcPr>
          <w:p w14:paraId="01F4E5D5" w14:textId="77777777" w:rsidR="008B7E19" w:rsidRPr="000E70DE" w:rsidRDefault="008B7E19" w:rsidP="008B7E19">
            <w:pPr>
              <w:pStyle w:val="08-Tabelageral"/>
              <w:jc w:val="left"/>
              <w:cnfStyle w:val="000000000000" w:firstRow="0" w:lastRow="0" w:firstColumn="0" w:lastColumn="0" w:oddVBand="0" w:evenVBand="0" w:oddHBand="0" w:evenHBand="0" w:firstRowFirstColumn="0" w:firstRowLastColumn="0" w:lastRowFirstColumn="0" w:lastRowLastColumn="0"/>
            </w:pPr>
          </w:p>
        </w:tc>
        <w:tc>
          <w:tcPr>
            <w:tcW w:w="1345" w:type="dxa"/>
            <w:tcBorders>
              <w:top w:val="nil"/>
              <w:bottom w:val="nil"/>
            </w:tcBorders>
            <w:shd w:val="clear" w:color="auto" w:fill="auto"/>
            <w:vAlign w:val="center"/>
          </w:tcPr>
          <w:p w14:paraId="2B21CD15" w14:textId="77777777" w:rsidR="008B7E19" w:rsidRPr="000E70DE" w:rsidRDefault="008B7E19" w:rsidP="008B7E19">
            <w:pPr>
              <w:pStyle w:val="08-Tabelageral"/>
              <w:ind w:left="113"/>
              <w:cnfStyle w:val="000000000000" w:firstRow="0" w:lastRow="0" w:firstColumn="0" w:lastColumn="0" w:oddVBand="0" w:evenVBand="0" w:oddHBand="0" w:evenHBand="0" w:firstRowFirstColumn="0" w:firstRowLastColumn="0" w:lastRowFirstColumn="0" w:lastRowLastColumn="0"/>
            </w:pPr>
            <w:r>
              <w:t>--</w:t>
            </w:r>
          </w:p>
        </w:tc>
        <w:tc>
          <w:tcPr>
            <w:tcW w:w="1418" w:type="dxa"/>
            <w:tcBorders>
              <w:top w:val="nil"/>
              <w:bottom w:val="nil"/>
            </w:tcBorders>
            <w:shd w:val="clear" w:color="auto" w:fill="auto"/>
            <w:vAlign w:val="center"/>
          </w:tcPr>
          <w:p w14:paraId="4AC57B04" w14:textId="77777777" w:rsidR="008B7E19" w:rsidRPr="000E70DE" w:rsidRDefault="008B7E19" w:rsidP="008B7E19">
            <w:pPr>
              <w:pStyle w:val="08-Tabelageral"/>
              <w:ind w:left="113"/>
              <w:cnfStyle w:val="000000000000" w:firstRow="0" w:lastRow="0" w:firstColumn="0" w:lastColumn="0" w:oddVBand="0" w:evenVBand="0" w:oddHBand="0" w:evenHBand="0" w:firstRowFirstColumn="0" w:firstRowLastColumn="0" w:lastRowFirstColumn="0" w:lastRowLastColumn="0"/>
            </w:pPr>
            <w:r>
              <w:t>--</w:t>
            </w:r>
          </w:p>
        </w:tc>
        <w:tc>
          <w:tcPr>
            <w:tcW w:w="281" w:type="dxa"/>
            <w:tcBorders>
              <w:top w:val="nil"/>
              <w:bottom w:val="nil"/>
            </w:tcBorders>
            <w:shd w:val="clear" w:color="auto" w:fill="auto"/>
            <w:vAlign w:val="center"/>
          </w:tcPr>
          <w:p w14:paraId="150D37E0" w14:textId="77777777" w:rsidR="008B7E19" w:rsidRPr="000E70DE" w:rsidRDefault="008B7E19" w:rsidP="008B7E19">
            <w:pPr>
              <w:pStyle w:val="08-Tabelageral"/>
              <w:ind w:left="113"/>
              <w:cnfStyle w:val="000000000000" w:firstRow="0" w:lastRow="0" w:firstColumn="0" w:lastColumn="0" w:oddVBand="0" w:evenVBand="0" w:oddHBand="0" w:evenHBand="0" w:firstRowFirstColumn="0" w:firstRowLastColumn="0" w:lastRowFirstColumn="0" w:lastRowLastColumn="0"/>
            </w:pPr>
          </w:p>
        </w:tc>
        <w:tc>
          <w:tcPr>
            <w:tcW w:w="1420" w:type="dxa"/>
            <w:tcBorders>
              <w:top w:val="nil"/>
              <w:bottom w:val="nil"/>
            </w:tcBorders>
            <w:shd w:val="clear" w:color="auto" w:fill="auto"/>
            <w:vAlign w:val="center"/>
          </w:tcPr>
          <w:p w14:paraId="372543AC" w14:textId="77777777" w:rsidR="008B7E19" w:rsidRPr="000E70DE" w:rsidRDefault="008B7E19" w:rsidP="008B7E19">
            <w:pPr>
              <w:pStyle w:val="08-Tabelageral"/>
              <w:ind w:left="113"/>
              <w:cnfStyle w:val="000000000000" w:firstRow="0" w:lastRow="0" w:firstColumn="0" w:lastColumn="0" w:oddVBand="0" w:evenVBand="0" w:oddHBand="0" w:evenHBand="0" w:firstRowFirstColumn="0" w:firstRowLastColumn="0" w:lastRowFirstColumn="0" w:lastRowLastColumn="0"/>
            </w:pPr>
            <w:r w:rsidRPr="00D860A0">
              <w:t>(77</w:t>
            </w:r>
            <w:r>
              <w:t>,</w:t>
            </w:r>
            <w:r w:rsidRPr="00D860A0">
              <w:t>421)</w:t>
            </w:r>
          </w:p>
        </w:tc>
        <w:tc>
          <w:tcPr>
            <w:tcW w:w="1417" w:type="dxa"/>
            <w:tcBorders>
              <w:top w:val="nil"/>
              <w:bottom w:val="nil"/>
            </w:tcBorders>
            <w:shd w:val="clear" w:color="auto" w:fill="auto"/>
            <w:vAlign w:val="center"/>
          </w:tcPr>
          <w:p w14:paraId="2BA1F946" w14:textId="77777777" w:rsidR="008B7E19" w:rsidRPr="000E70DE" w:rsidRDefault="008B7E19" w:rsidP="008B7E19">
            <w:pPr>
              <w:pStyle w:val="08-Tabelageral"/>
              <w:ind w:left="113"/>
              <w:cnfStyle w:val="000000000000" w:firstRow="0" w:lastRow="0" w:firstColumn="0" w:lastColumn="0" w:oddVBand="0" w:evenVBand="0" w:oddHBand="0" w:evenHBand="0" w:firstRowFirstColumn="0" w:firstRowLastColumn="0" w:lastRowFirstColumn="0" w:lastRowLastColumn="0"/>
            </w:pPr>
            <w:r w:rsidRPr="00CF7077">
              <w:t>330</w:t>
            </w:r>
            <w:r>
              <w:t>,</w:t>
            </w:r>
            <w:r w:rsidRPr="00CF7077">
              <w:t>803</w:t>
            </w:r>
          </w:p>
        </w:tc>
      </w:tr>
      <w:tr w:rsidR="008B7E19" w:rsidRPr="000E70DE" w14:paraId="639234EB"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auto"/>
            <w:vAlign w:val="center"/>
          </w:tcPr>
          <w:p w14:paraId="04ABC534" w14:textId="77777777" w:rsidR="008B7E19" w:rsidRPr="000E70DE" w:rsidRDefault="008B7E19" w:rsidP="008B7E19">
            <w:pPr>
              <w:pStyle w:val="08-Tabelageral"/>
              <w:ind w:left="113"/>
              <w:jc w:val="left"/>
              <w:rPr>
                <w:b w:val="0"/>
              </w:rPr>
            </w:pPr>
            <w:r w:rsidRPr="00E03629">
              <w:rPr>
                <w:b w:val="0"/>
              </w:rPr>
              <w:t>Other assets</w:t>
            </w:r>
          </w:p>
        </w:tc>
        <w:tc>
          <w:tcPr>
            <w:tcW w:w="781" w:type="dxa"/>
            <w:tcBorders>
              <w:top w:val="nil"/>
              <w:bottom w:val="nil"/>
            </w:tcBorders>
            <w:shd w:val="clear" w:color="auto" w:fill="auto"/>
            <w:vAlign w:val="center"/>
          </w:tcPr>
          <w:p w14:paraId="4CB90D91" w14:textId="77777777" w:rsidR="008B7E19" w:rsidRPr="000E70DE" w:rsidRDefault="008B7E19" w:rsidP="008B7E19">
            <w:pPr>
              <w:pStyle w:val="08-Tabelageral"/>
              <w:jc w:val="left"/>
              <w:cnfStyle w:val="000000100000" w:firstRow="0" w:lastRow="0" w:firstColumn="0" w:lastColumn="0" w:oddVBand="0" w:evenVBand="0" w:oddHBand="1" w:evenHBand="0" w:firstRowFirstColumn="0" w:firstRowLastColumn="0" w:lastRowFirstColumn="0" w:lastRowLastColumn="0"/>
            </w:pPr>
          </w:p>
        </w:tc>
        <w:tc>
          <w:tcPr>
            <w:tcW w:w="1345" w:type="dxa"/>
            <w:tcBorders>
              <w:top w:val="nil"/>
              <w:bottom w:val="nil"/>
            </w:tcBorders>
            <w:shd w:val="clear" w:color="auto" w:fill="auto"/>
            <w:vAlign w:val="center"/>
          </w:tcPr>
          <w:p w14:paraId="724A5DEC" w14:textId="77777777" w:rsidR="008B7E19" w:rsidRPr="000E70DE" w:rsidRDefault="008B7E19" w:rsidP="008B7E19">
            <w:pPr>
              <w:pStyle w:val="08-Tabelageral"/>
              <w:ind w:left="113"/>
              <w:cnfStyle w:val="000000100000" w:firstRow="0" w:lastRow="0" w:firstColumn="0" w:lastColumn="0" w:oddVBand="0" w:evenVBand="0" w:oddHBand="1" w:evenHBand="0" w:firstRowFirstColumn="0" w:firstRowLastColumn="0" w:lastRowFirstColumn="0" w:lastRowLastColumn="0"/>
            </w:pPr>
            <w:r w:rsidRPr="00D860A0">
              <w:t>(1</w:t>
            </w:r>
            <w:r>
              <w:t>,</w:t>
            </w:r>
            <w:r w:rsidRPr="00D860A0">
              <w:t>7</w:t>
            </w:r>
            <w:r>
              <w:t>78</w:t>
            </w:r>
            <w:r w:rsidRPr="00D860A0">
              <w:t>)</w:t>
            </w:r>
          </w:p>
        </w:tc>
        <w:tc>
          <w:tcPr>
            <w:tcW w:w="1418" w:type="dxa"/>
            <w:tcBorders>
              <w:top w:val="nil"/>
              <w:bottom w:val="nil"/>
            </w:tcBorders>
            <w:shd w:val="clear" w:color="auto" w:fill="auto"/>
            <w:vAlign w:val="center"/>
          </w:tcPr>
          <w:p w14:paraId="2A02164E" w14:textId="77777777" w:rsidR="008B7E19" w:rsidRPr="000E70DE" w:rsidRDefault="008B7E19" w:rsidP="008B7E19">
            <w:pPr>
              <w:pStyle w:val="08-Tabelageral"/>
              <w:ind w:left="113"/>
              <w:cnfStyle w:val="000000100000" w:firstRow="0" w:lastRow="0" w:firstColumn="0" w:lastColumn="0" w:oddVBand="0" w:evenVBand="0" w:oddHBand="1" w:evenHBand="0" w:firstRowFirstColumn="0" w:firstRowLastColumn="0" w:lastRowFirstColumn="0" w:lastRowLastColumn="0"/>
            </w:pPr>
            <w:r w:rsidRPr="009516E8">
              <w:t>(1</w:t>
            </w:r>
            <w:r>
              <w:t>,</w:t>
            </w:r>
            <w:r w:rsidRPr="009516E8">
              <w:t>404)</w:t>
            </w:r>
          </w:p>
        </w:tc>
        <w:tc>
          <w:tcPr>
            <w:tcW w:w="281" w:type="dxa"/>
            <w:tcBorders>
              <w:top w:val="nil"/>
              <w:bottom w:val="nil"/>
            </w:tcBorders>
            <w:shd w:val="clear" w:color="auto" w:fill="auto"/>
            <w:vAlign w:val="center"/>
          </w:tcPr>
          <w:p w14:paraId="2D1E73A5" w14:textId="77777777" w:rsidR="008B7E19" w:rsidRPr="000E70DE" w:rsidRDefault="008B7E19" w:rsidP="008B7E19">
            <w:pPr>
              <w:pStyle w:val="08-Tabelageral"/>
              <w:ind w:left="113"/>
              <w:cnfStyle w:val="000000100000" w:firstRow="0" w:lastRow="0" w:firstColumn="0" w:lastColumn="0" w:oddVBand="0" w:evenVBand="0" w:oddHBand="1" w:evenHBand="0" w:firstRowFirstColumn="0" w:firstRowLastColumn="0" w:lastRowFirstColumn="0" w:lastRowLastColumn="0"/>
            </w:pPr>
          </w:p>
        </w:tc>
        <w:tc>
          <w:tcPr>
            <w:tcW w:w="1420" w:type="dxa"/>
            <w:tcBorders>
              <w:top w:val="nil"/>
              <w:bottom w:val="nil"/>
            </w:tcBorders>
            <w:shd w:val="clear" w:color="auto" w:fill="auto"/>
            <w:vAlign w:val="center"/>
          </w:tcPr>
          <w:p w14:paraId="04475B75" w14:textId="77777777" w:rsidR="008B7E19" w:rsidRPr="000E70DE" w:rsidRDefault="008B7E19" w:rsidP="008B7E19">
            <w:pPr>
              <w:pStyle w:val="08-Tabelageral"/>
              <w:ind w:left="113"/>
              <w:cnfStyle w:val="000000100000" w:firstRow="0" w:lastRow="0" w:firstColumn="0" w:lastColumn="0" w:oddVBand="0" w:evenVBand="0" w:oddHBand="1" w:evenHBand="0" w:firstRowFirstColumn="0" w:firstRowLastColumn="0" w:lastRowFirstColumn="0" w:lastRowLastColumn="0"/>
            </w:pPr>
            <w:r w:rsidRPr="00D860A0">
              <w:t>(11</w:t>
            </w:r>
            <w:r>
              <w:t>,</w:t>
            </w:r>
            <w:r w:rsidRPr="00D860A0">
              <w:t>974)</w:t>
            </w:r>
          </w:p>
        </w:tc>
        <w:tc>
          <w:tcPr>
            <w:tcW w:w="1417" w:type="dxa"/>
            <w:tcBorders>
              <w:top w:val="nil"/>
              <w:bottom w:val="nil"/>
            </w:tcBorders>
            <w:shd w:val="clear" w:color="auto" w:fill="auto"/>
            <w:vAlign w:val="center"/>
          </w:tcPr>
          <w:p w14:paraId="408C5B2A" w14:textId="77777777" w:rsidR="008B7E19" w:rsidRPr="000E70DE" w:rsidRDefault="008B7E19" w:rsidP="008B7E19">
            <w:pPr>
              <w:pStyle w:val="08-Tabelageral"/>
              <w:ind w:left="113"/>
              <w:cnfStyle w:val="000000100000" w:firstRow="0" w:lastRow="0" w:firstColumn="0" w:lastColumn="0" w:oddVBand="0" w:evenVBand="0" w:oddHBand="1" w:evenHBand="0" w:firstRowFirstColumn="0" w:firstRowLastColumn="0" w:lastRowFirstColumn="0" w:lastRowLastColumn="0"/>
            </w:pPr>
            <w:r w:rsidRPr="00CF7077">
              <w:t>(4</w:t>
            </w:r>
            <w:r>
              <w:t>,</w:t>
            </w:r>
            <w:r w:rsidRPr="00CF7077">
              <w:t>544)</w:t>
            </w:r>
          </w:p>
        </w:tc>
      </w:tr>
      <w:tr w:rsidR="008B7E19" w:rsidRPr="00073BA6" w14:paraId="06E7E9D1" w14:textId="77777777" w:rsidTr="008B7E19">
        <w:trPr>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auto"/>
            <w:vAlign w:val="center"/>
          </w:tcPr>
          <w:p w14:paraId="7B051354" w14:textId="77777777" w:rsidR="008B7E19" w:rsidRPr="000E70DE" w:rsidRDefault="008B7E19" w:rsidP="008B7E19">
            <w:pPr>
              <w:pStyle w:val="08-Tabelageral"/>
              <w:ind w:left="113"/>
              <w:jc w:val="left"/>
              <w:rPr>
                <w:b w:val="0"/>
              </w:rPr>
            </w:pPr>
            <w:r w:rsidRPr="00E03629">
              <w:rPr>
                <w:b w:val="0"/>
              </w:rPr>
              <w:t>Unearned commissions</w:t>
            </w:r>
          </w:p>
        </w:tc>
        <w:tc>
          <w:tcPr>
            <w:tcW w:w="781" w:type="dxa"/>
            <w:tcBorders>
              <w:top w:val="nil"/>
              <w:bottom w:val="nil"/>
            </w:tcBorders>
            <w:shd w:val="clear" w:color="auto" w:fill="auto"/>
            <w:vAlign w:val="center"/>
          </w:tcPr>
          <w:p w14:paraId="0CC3764E" w14:textId="77777777" w:rsidR="008B7E19" w:rsidRPr="000E70DE" w:rsidRDefault="008B7E19" w:rsidP="008B7E19">
            <w:pPr>
              <w:pStyle w:val="08-Tabelageral"/>
              <w:jc w:val="left"/>
              <w:cnfStyle w:val="000000000000" w:firstRow="0" w:lastRow="0" w:firstColumn="0" w:lastColumn="0" w:oddVBand="0" w:evenVBand="0" w:oddHBand="0" w:evenHBand="0" w:firstRowFirstColumn="0" w:firstRowLastColumn="0" w:lastRowFirstColumn="0" w:lastRowLastColumn="0"/>
            </w:pPr>
          </w:p>
        </w:tc>
        <w:tc>
          <w:tcPr>
            <w:tcW w:w="1345" w:type="dxa"/>
            <w:tcBorders>
              <w:top w:val="nil"/>
              <w:bottom w:val="nil"/>
            </w:tcBorders>
            <w:shd w:val="clear" w:color="auto" w:fill="auto"/>
            <w:vAlign w:val="center"/>
          </w:tcPr>
          <w:p w14:paraId="419E3A52" w14:textId="77777777" w:rsidR="008B7E19" w:rsidRPr="000E70DE" w:rsidRDefault="008B7E19" w:rsidP="008B7E19">
            <w:pPr>
              <w:pStyle w:val="08-Tabelageral"/>
              <w:ind w:left="113"/>
              <w:cnfStyle w:val="000000000000" w:firstRow="0" w:lastRow="0" w:firstColumn="0" w:lastColumn="0" w:oddVBand="0" w:evenVBand="0" w:oddHBand="0" w:evenHBand="0" w:firstRowFirstColumn="0" w:firstRowLastColumn="0" w:lastRowFirstColumn="0" w:lastRowLastColumn="0"/>
            </w:pPr>
            <w:r>
              <w:t>--</w:t>
            </w:r>
          </w:p>
        </w:tc>
        <w:tc>
          <w:tcPr>
            <w:tcW w:w="1418" w:type="dxa"/>
            <w:tcBorders>
              <w:top w:val="nil"/>
              <w:bottom w:val="nil"/>
            </w:tcBorders>
            <w:shd w:val="clear" w:color="auto" w:fill="auto"/>
            <w:vAlign w:val="center"/>
          </w:tcPr>
          <w:p w14:paraId="6E30272A" w14:textId="77777777" w:rsidR="008B7E19" w:rsidRPr="000E70DE" w:rsidRDefault="008B7E19" w:rsidP="008B7E19">
            <w:pPr>
              <w:pStyle w:val="08-Tabelageral"/>
              <w:ind w:left="113"/>
              <w:cnfStyle w:val="000000000000" w:firstRow="0" w:lastRow="0" w:firstColumn="0" w:lastColumn="0" w:oddVBand="0" w:evenVBand="0" w:oddHBand="0" w:evenHBand="0" w:firstRowFirstColumn="0" w:firstRowLastColumn="0" w:lastRowFirstColumn="0" w:lastRowLastColumn="0"/>
            </w:pPr>
            <w:r>
              <w:t>--</w:t>
            </w:r>
          </w:p>
        </w:tc>
        <w:tc>
          <w:tcPr>
            <w:tcW w:w="281" w:type="dxa"/>
            <w:tcBorders>
              <w:top w:val="nil"/>
              <w:bottom w:val="nil"/>
            </w:tcBorders>
            <w:shd w:val="clear" w:color="auto" w:fill="auto"/>
            <w:vAlign w:val="center"/>
          </w:tcPr>
          <w:p w14:paraId="485B6C1F" w14:textId="77777777" w:rsidR="008B7E19" w:rsidRPr="000E70DE" w:rsidRDefault="008B7E19" w:rsidP="008B7E19">
            <w:pPr>
              <w:pStyle w:val="08-Tabelageral"/>
              <w:ind w:left="113"/>
              <w:cnfStyle w:val="000000000000" w:firstRow="0" w:lastRow="0" w:firstColumn="0" w:lastColumn="0" w:oddVBand="0" w:evenVBand="0" w:oddHBand="0" w:evenHBand="0" w:firstRowFirstColumn="0" w:firstRowLastColumn="0" w:lastRowFirstColumn="0" w:lastRowLastColumn="0"/>
            </w:pPr>
          </w:p>
        </w:tc>
        <w:tc>
          <w:tcPr>
            <w:tcW w:w="1420" w:type="dxa"/>
            <w:tcBorders>
              <w:top w:val="nil"/>
              <w:bottom w:val="nil"/>
            </w:tcBorders>
            <w:shd w:val="clear" w:color="auto" w:fill="auto"/>
            <w:vAlign w:val="center"/>
          </w:tcPr>
          <w:p w14:paraId="764FB075" w14:textId="77777777" w:rsidR="008B7E19" w:rsidRPr="00073BA6" w:rsidRDefault="008B7E19" w:rsidP="008B7E19">
            <w:pPr>
              <w:pStyle w:val="08-Tabelageral"/>
              <w:ind w:left="113"/>
              <w:cnfStyle w:val="000000000000" w:firstRow="0" w:lastRow="0" w:firstColumn="0" w:lastColumn="0" w:oddVBand="0" w:evenVBand="0" w:oddHBand="0" w:evenHBand="0" w:firstRowFirstColumn="0" w:firstRowLastColumn="0" w:lastRowFirstColumn="0" w:lastRowLastColumn="0"/>
            </w:pPr>
            <w:r w:rsidRPr="00D860A0">
              <w:t>461</w:t>
            </w:r>
            <w:r>
              <w:t>,</w:t>
            </w:r>
            <w:r w:rsidRPr="00D860A0">
              <w:t>492</w:t>
            </w:r>
          </w:p>
        </w:tc>
        <w:tc>
          <w:tcPr>
            <w:tcW w:w="1417" w:type="dxa"/>
            <w:tcBorders>
              <w:top w:val="nil"/>
              <w:bottom w:val="nil"/>
            </w:tcBorders>
            <w:shd w:val="clear" w:color="auto" w:fill="auto"/>
            <w:vAlign w:val="center"/>
          </w:tcPr>
          <w:p w14:paraId="6A31787B" w14:textId="77777777" w:rsidR="008B7E19" w:rsidRPr="00073BA6" w:rsidRDefault="008B7E19" w:rsidP="008B7E19">
            <w:pPr>
              <w:pStyle w:val="08-Tabelageral"/>
              <w:ind w:left="113"/>
              <w:cnfStyle w:val="000000000000" w:firstRow="0" w:lastRow="0" w:firstColumn="0" w:lastColumn="0" w:oddVBand="0" w:evenVBand="0" w:oddHBand="0" w:evenHBand="0" w:firstRowFirstColumn="0" w:firstRowLastColumn="0" w:lastRowFirstColumn="0" w:lastRowLastColumn="0"/>
            </w:pPr>
            <w:r w:rsidRPr="00CF7077">
              <w:t>40</w:t>
            </w:r>
            <w:r>
              <w:t>,</w:t>
            </w:r>
            <w:r w:rsidRPr="00CF7077">
              <w:t>158</w:t>
            </w:r>
          </w:p>
        </w:tc>
      </w:tr>
      <w:tr w:rsidR="008B7E19" w:rsidRPr="00073BA6" w14:paraId="00E557A2"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auto"/>
            <w:vAlign w:val="center"/>
          </w:tcPr>
          <w:p w14:paraId="0A01B652" w14:textId="77777777" w:rsidR="008B7E19" w:rsidRPr="00BD6C7E" w:rsidRDefault="008B7E19" w:rsidP="008B7E19">
            <w:pPr>
              <w:pStyle w:val="08-Tabelageral"/>
              <w:ind w:left="113"/>
              <w:jc w:val="left"/>
              <w:rPr>
                <w:b w:val="0"/>
                <w:lang w:val="en-US"/>
              </w:rPr>
            </w:pPr>
            <w:r w:rsidRPr="00BD6C7E">
              <w:rPr>
                <w:b w:val="0"/>
                <w:lang w:val="en-US"/>
              </w:rPr>
              <w:t>Current tax liabilities and deferred tax liabilities</w:t>
            </w:r>
          </w:p>
        </w:tc>
        <w:tc>
          <w:tcPr>
            <w:tcW w:w="781" w:type="dxa"/>
            <w:tcBorders>
              <w:top w:val="nil"/>
              <w:bottom w:val="nil"/>
            </w:tcBorders>
            <w:shd w:val="clear" w:color="auto" w:fill="auto"/>
            <w:vAlign w:val="center"/>
          </w:tcPr>
          <w:p w14:paraId="7EBC0E86" w14:textId="77777777" w:rsidR="008B7E19" w:rsidRPr="00BD6C7E" w:rsidRDefault="008B7E19" w:rsidP="008B7E19">
            <w:pPr>
              <w:pStyle w:val="08-Tabelageral"/>
              <w:jc w:val="left"/>
              <w:cnfStyle w:val="000000100000" w:firstRow="0" w:lastRow="0" w:firstColumn="0" w:lastColumn="0" w:oddVBand="0" w:evenVBand="0" w:oddHBand="1" w:evenHBand="0" w:firstRowFirstColumn="0" w:firstRowLastColumn="0" w:lastRowFirstColumn="0" w:lastRowLastColumn="0"/>
              <w:rPr>
                <w:lang w:val="en-US"/>
              </w:rPr>
            </w:pPr>
          </w:p>
        </w:tc>
        <w:tc>
          <w:tcPr>
            <w:tcW w:w="1345" w:type="dxa"/>
            <w:tcBorders>
              <w:top w:val="nil"/>
              <w:bottom w:val="nil"/>
            </w:tcBorders>
            <w:shd w:val="clear" w:color="auto" w:fill="auto"/>
            <w:vAlign w:val="center"/>
          </w:tcPr>
          <w:p w14:paraId="0F86275D" w14:textId="77777777" w:rsidR="008B7E19" w:rsidRPr="000E70DE" w:rsidRDefault="008B7E19" w:rsidP="008B7E19">
            <w:pPr>
              <w:pStyle w:val="08-Tabelageral"/>
              <w:ind w:left="113"/>
              <w:cnfStyle w:val="000000100000" w:firstRow="0" w:lastRow="0" w:firstColumn="0" w:lastColumn="0" w:oddVBand="0" w:evenVBand="0" w:oddHBand="1" w:evenHBand="0" w:firstRowFirstColumn="0" w:firstRowLastColumn="0" w:lastRowFirstColumn="0" w:lastRowLastColumn="0"/>
            </w:pPr>
            <w:r w:rsidRPr="00D84FC3">
              <w:t>6</w:t>
            </w:r>
          </w:p>
        </w:tc>
        <w:tc>
          <w:tcPr>
            <w:tcW w:w="1418" w:type="dxa"/>
            <w:tcBorders>
              <w:top w:val="nil"/>
              <w:bottom w:val="nil"/>
            </w:tcBorders>
            <w:shd w:val="clear" w:color="auto" w:fill="auto"/>
            <w:vAlign w:val="center"/>
          </w:tcPr>
          <w:p w14:paraId="28A0D7DA" w14:textId="77777777" w:rsidR="008B7E19" w:rsidRPr="000E70DE" w:rsidRDefault="008B7E19" w:rsidP="008B7E19">
            <w:pPr>
              <w:pStyle w:val="08-Tabelageral"/>
              <w:ind w:left="113"/>
              <w:cnfStyle w:val="000000100000" w:firstRow="0" w:lastRow="0" w:firstColumn="0" w:lastColumn="0" w:oddVBand="0" w:evenVBand="0" w:oddHBand="1" w:evenHBand="0" w:firstRowFirstColumn="0" w:firstRowLastColumn="0" w:lastRowFirstColumn="0" w:lastRowLastColumn="0"/>
            </w:pPr>
            <w:r w:rsidRPr="009516E8">
              <w:t>(426)</w:t>
            </w:r>
          </w:p>
        </w:tc>
        <w:tc>
          <w:tcPr>
            <w:tcW w:w="281" w:type="dxa"/>
            <w:tcBorders>
              <w:top w:val="nil"/>
              <w:bottom w:val="nil"/>
            </w:tcBorders>
            <w:shd w:val="clear" w:color="auto" w:fill="auto"/>
            <w:vAlign w:val="center"/>
          </w:tcPr>
          <w:p w14:paraId="3D85A175" w14:textId="77777777" w:rsidR="008B7E19" w:rsidRPr="000E70DE" w:rsidRDefault="008B7E19" w:rsidP="008B7E19">
            <w:pPr>
              <w:pStyle w:val="08-Tabelageral"/>
              <w:ind w:left="113"/>
              <w:cnfStyle w:val="000000100000" w:firstRow="0" w:lastRow="0" w:firstColumn="0" w:lastColumn="0" w:oddVBand="0" w:evenVBand="0" w:oddHBand="1" w:evenHBand="0" w:firstRowFirstColumn="0" w:firstRowLastColumn="0" w:lastRowFirstColumn="0" w:lastRowLastColumn="0"/>
            </w:pPr>
          </w:p>
        </w:tc>
        <w:tc>
          <w:tcPr>
            <w:tcW w:w="1420" w:type="dxa"/>
            <w:tcBorders>
              <w:top w:val="nil"/>
              <w:bottom w:val="nil"/>
            </w:tcBorders>
            <w:shd w:val="clear" w:color="auto" w:fill="auto"/>
            <w:vAlign w:val="center"/>
          </w:tcPr>
          <w:p w14:paraId="4A8FE87C" w14:textId="77777777" w:rsidR="008B7E19" w:rsidRPr="00073BA6" w:rsidRDefault="008B7E19" w:rsidP="008B7E19">
            <w:pPr>
              <w:pStyle w:val="08-Tabelageral"/>
              <w:ind w:left="113"/>
              <w:cnfStyle w:val="000000100000" w:firstRow="0" w:lastRow="0" w:firstColumn="0" w:lastColumn="0" w:oddVBand="0" w:evenVBand="0" w:oddHBand="1" w:evenHBand="0" w:firstRowFirstColumn="0" w:firstRowLastColumn="0" w:lastRowFirstColumn="0" w:lastRowLastColumn="0"/>
            </w:pPr>
            <w:r w:rsidRPr="00A14C1D">
              <w:t>(483</w:t>
            </w:r>
            <w:r>
              <w:t>,</w:t>
            </w:r>
            <w:r w:rsidRPr="00A14C1D">
              <w:t>444)</w:t>
            </w:r>
          </w:p>
        </w:tc>
        <w:tc>
          <w:tcPr>
            <w:tcW w:w="1417" w:type="dxa"/>
            <w:tcBorders>
              <w:top w:val="nil"/>
              <w:bottom w:val="nil"/>
            </w:tcBorders>
            <w:shd w:val="clear" w:color="auto" w:fill="auto"/>
            <w:vAlign w:val="center"/>
          </w:tcPr>
          <w:p w14:paraId="0DD6B4DE" w14:textId="77777777" w:rsidR="008B7E19" w:rsidRPr="00073BA6" w:rsidRDefault="008B7E19" w:rsidP="008B7E19">
            <w:pPr>
              <w:pStyle w:val="08-Tabelageral"/>
              <w:ind w:left="113"/>
              <w:cnfStyle w:val="000000100000" w:firstRow="0" w:lastRow="0" w:firstColumn="0" w:lastColumn="0" w:oddVBand="0" w:evenVBand="0" w:oddHBand="1" w:evenHBand="0" w:firstRowFirstColumn="0" w:firstRowLastColumn="0" w:lastRowFirstColumn="0" w:lastRowLastColumn="0"/>
            </w:pPr>
            <w:r w:rsidRPr="00CF7077">
              <w:t>(311</w:t>
            </w:r>
            <w:r>
              <w:t>,</w:t>
            </w:r>
            <w:r w:rsidRPr="00CF7077">
              <w:t>752)</w:t>
            </w:r>
          </w:p>
        </w:tc>
      </w:tr>
      <w:tr w:rsidR="008B7E19" w:rsidRPr="00073BA6" w14:paraId="0B495B2E" w14:textId="77777777" w:rsidTr="008B7E19">
        <w:trPr>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auto"/>
            <w:vAlign w:val="center"/>
          </w:tcPr>
          <w:p w14:paraId="795F910E" w14:textId="77777777" w:rsidR="008B7E19" w:rsidRPr="000E70DE" w:rsidRDefault="008B7E19" w:rsidP="008B7E19">
            <w:pPr>
              <w:pStyle w:val="08-Tabelageral"/>
              <w:ind w:left="113"/>
              <w:jc w:val="left"/>
              <w:rPr>
                <w:b w:val="0"/>
              </w:rPr>
            </w:pPr>
            <w:r w:rsidRPr="00E03629">
              <w:rPr>
                <w:b w:val="0"/>
              </w:rPr>
              <w:t>Other liabilities</w:t>
            </w:r>
          </w:p>
        </w:tc>
        <w:tc>
          <w:tcPr>
            <w:tcW w:w="781" w:type="dxa"/>
            <w:tcBorders>
              <w:top w:val="nil"/>
              <w:bottom w:val="nil"/>
            </w:tcBorders>
            <w:shd w:val="clear" w:color="auto" w:fill="auto"/>
            <w:vAlign w:val="center"/>
          </w:tcPr>
          <w:p w14:paraId="624CB08F" w14:textId="77777777" w:rsidR="008B7E19" w:rsidRPr="000E70DE" w:rsidRDefault="008B7E19" w:rsidP="008B7E19">
            <w:pPr>
              <w:pStyle w:val="08-Tabelageral"/>
              <w:jc w:val="left"/>
              <w:cnfStyle w:val="000000000000" w:firstRow="0" w:lastRow="0" w:firstColumn="0" w:lastColumn="0" w:oddVBand="0" w:evenVBand="0" w:oddHBand="0" w:evenHBand="0" w:firstRowFirstColumn="0" w:firstRowLastColumn="0" w:lastRowFirstColumn="0" w:lastRowLastColumn="0"/>
            </w:pPr>
          </w:p>
        </w:tc>
        <w:tc>
          <w:tcPr>
            <w:tcW w:w="1345" w:type="dxa"/>
            <w:tcBorders>
              <w:top w:val="nil"/>
              <w:bottom w:val="nil"/>
            </w:tcBorders>
            <w:shd w:val="clear" w:color="auto" w:fill="auto"/>
            <w:vAlign w:val="center"/>
          </w:tcPr>
          <w:p w14:paraId="331E47AD" w14:textId="77777777" w:rsidR="008B7E19" w:rsidRPr="000E70DE" w:rsidRDefault="008B7E19" w:rsidP="008B7E19">
            <w:pPr>
              <w:pStyle w:val="08-Tabelageral"/>
              <w:ind w:left="113"/>
              <w:cnfStyle w:val="000000000000" w:firstRow="0" w:lastRow="0" w:firstColumn="0" w:lastColumn="0" w:oddVBand="0" w:evenVBand="0" w:oddHBand="0" w:evenHBand="0" w:firstRowFirstColumn="0" w:firstRowLastColumn="0" w:lastRowFirstColumn="0" w:lastRowLastColumn="0"/>
            </w:pPr>
            <w:r w:rsidRPr="00D860A0">
              <w:t>(1</w:t>
            </w:r>
            <w:r>
              <w:t>,</w:t>
            </w:r>
            <w:r w:rsidRPr="00D860A0">
              <w:t>67</w:t>
            </w:r>
            <w:r>
              <w:t>9</w:t>
            </w:r>
            <w:r w:rsidRPr="00D860A0">
              <w:t>)</w:t>
            </w:r>
          </w:p>
        </w:tc>
        <w:tc>
          <w:tcPr>
            <w:tcW w:w="1418" w:type="dxa"/>
            <w:tcBorders>
              <w:top w:val="nil"/>
              <w:bottom w:val="nil"/>
            </w:tcBorders>
            <w:shd w:val="clear" w:color="auto" w:fill="auto"/>
            <w:vAlign w:val="center"/>
          </w:tcPr>
          <w:p w14:paraId="2BB076A4" w14:textId="77777777" w:rsidR="008B7E19" w:rsidRPr="000E70DE" w:rsidRDefault="008B7E19" w:rsidP="008B7E19">
            <w:pPr>
              <w:pStyle w:val="08-Tabelageral"/>
              <w:ind w:left="113"/>
              <w:cnfStyle w:val="000000000000" w:firstRow="0" w:lastRow="0" w:firstColumn="0" w:lastColumn="0" w:oddVBand="0" w:evenVBand="0" w:oddHBand="0" w:evenHBand="0" w:firstRowFirstColumn="0" w:firstRowLastColumn="0" w:lastRowFirstColumn="0" w:lastRowLastColumn="0"/>
            </w:pPr>
            <w:r w:rsidRPr="009516E8">
              <w:t>(1</w:t>
            </w:r>
            <w:r>
              <w:t>,</w:t>
            </w:r>
            <w:r w:rsidRPr="009516E8">
              <w:t>471)</w:t>
            </w:r>
          </w:p>
        </w:tc>
        <w:tc>
          <w:tcPr>
            <w:tcW w:w="281" w:type="dxa"/>
            <w:tcBorders>
              <w:top w:val="nil"/>
              <w:bottom w:val="nil"/>
            </w:tcBorders>
            <w:shd w:val="clear" w:color="auto" w:fill="auto"/>
            <w:vAlign w:val="center"/>
          </w:tcPr>
          <w:p w14:paraId="2BC42D4C" w14:textId="77777777" w:rsidR="008B7E19" w:rsidRPr="000E70DE" w:rsidRDefault="008B7E19" w:rsidP="008B7E19">
            <w:pPr>
              <w:pStyle w:val="08-Tabelageral"/>
              <w:ind w:left="113"/>
              <w:cnfStyle w:val="000000000000" w:firstRow="0" w:lastRow="0" w:firstColumn="0" w:lastColumn="0" w:oddVBand="0" w:evenVBand="0" w:oddHBand="0" w:evenHBand="0" w:firstRowFirstColumn="0" w:firstRowLastColumn="0" w:lastRowFirstColumn="0" w:lastRowLastColumn="0"/>
            </w:pPr>
          </w:p>
        </w:tc>
        <w:tc>
          <w:tcPr>
            <w:tcW w:w="1420" w:type="dxa"/>
            <w:tcBorders>
              <w:top w:val="nil"/>
              <w:bottom w:val="nil"/>
            </w:tcBorders>
            <w:shd w:val="clear" w:color="auto" w:fill="auto"/>
            <w:vAlign w:val="center"/>
          </w:tcPr>
          <w:p w14:paraId="200A8D89" w14:textId="77777777" w:rsidR="008B7E19" w:rsidRPr="000E70DE" w:rsidRDefault="008B7E19" w:rsidP="008B7E19">
            <w:pPr>
              <w:pStyle w:val="08-Tabelageral"/>
              <w:ind w:left="113"/>
              <w:cnfStyle w:val="000000000000" w:firstRow="0" w:lastRow="0" w:firstColumn="0" w:lastColumn="0" w:oddVBand="0" w:evenVBand="0" w:oddHBand="0" w:evenHBand="0" w:firstRowFirstColumn="0" w:firstRowLastColumn="0" w:lastRowFirstColumn="0" w:lastRowLastColumn="0"/>
            </w:pPr>
            <w:r w:rsidRPr="001A1782">
              <w:t>(22</w:t>
            </w:r>
            <w:r>
              <w:t>,</w:t>
            </w:r>
            <w:r w:rsidRPr="001A1782">
              <w:t>800)</w:t>
            </w:r>
          </w:p>
        </w:tc>
        <w:tc>
          <w:tcPr>
            <w:tcW w:w="1417" w:type="dxa"/>
            <w:tcBorders>
              <w:top w:val="nil"/>
              <w:bottom w:val="nil"/>
            </w:tcBorders>
            <w:shd w:val="clear" w:color="auto" w:fill="auto"/>
            <w:vAlign w:val="center"/>
          </w:tcPr>
          <w:p w14:paraId="4FE47AD7" w14:textId="77777777" w:rsidR="008B7E19" w:rsidRPr="00073BA6" w:rsidRDefault="008B7E19" w:rsidP="008B7E19">
            <w:pPr>
              <w:pStyle w:val="08-Tabelageral"/>
              <w:ind w:left="113"/>
              <w:cnfStyle w:val="000000000000" w:firstRow="0" w:lastRow="0" w:firstColumn="0" w:lastColumn="0" w:oddVBand="0" w:evenVBand="0" w:oddHBand="0" w:evenHBand="0" w:firstRowFirstColumn="0" w:firstRowLastColumn="0" w:lastRowFirstColumn="0" w:lastRowLastColumn="0"/>
            </w:pPr>
            <w:r w:rsidRPr="00CF7077">
              <w:t>(64</w:t>
            </w:r>
            <w:r>
              <w:t>,</w:t>
            </w:r>
            <w:r w:rsidRPr="00CF7077">
              <w:t>969)</w:t>
            </w:r>
          </w:p>
        </w:tc>
      </w:tr>
      <w:tr w:rsidR="008B7E19" w:rsidRPr="006C6DAA" w14:paraId="4C7D131C"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auto"/>
            <w:vAlign w:val="center"/>
          </w:tcPr>
          <w:p w14:paraId="183BBBB8" w14:textId="77777777" w:rsidR="008B7E19" w:rsidRPr="00BD6C7E" w:rsidRDefault="008B7E19" w:rsidP="008B7E19">
            <w:pPr>
              <w:pStyle w:val="08-Tabelageral"/>
              <w:jc w:val="left"/>
              <w:rPr>
                <w:b w:val="0"/>
                <w:lang w:val="en-US"/>
              </w:rPr>
            </w:pPr>
            <w:r w:rsidRPr="00BD6C7E">
              <w:rPr>
                <w:lang w:val="en-US"/>
              </w:rPr>
              <w:t>Cash provided by operating activities</w:t>
            </w:r>
          </w:p>
        </w:tc>
        <w:tc>
          <w:tcPr>
            <w:tcW w:w="781" w:type="dxa"/>
            <w:tcBorders>
              <w:top w:val="nil"/>
              <w:bottom w:val="nil"/>
            </w:tcBorders>
            <w:shd w:val="clear" w:color="auto" w:fill="auto"/>
            <w:vAlign w:val="center"/>
          </w:tcPr>
          <w:p w14:paraId="469D4AAD" w14:textId="77777777" w:rsidR="008B7E19" w:rsidRPr="00BD6C7E" w:rsidRDefault="008B7E19" w:rsidP="008B7E19">
            <w:pPr>
              <w:pStyle w:val="08-Tabelageral"/>
              <w:jc w:val="left"/>
              <w:cnfStyle w:val="000000100000" w:firstRow="0" w:lastRow="0" w:firstColumn="0" w:lastColumn="0" w:oddVBand="0" w:evenVBand="0" w:oddHBand="1" w:evenHBand="0" w:firstRowFirstColumn="0" w:firstRowLastColumn="0" w:lastRowFirstColumn="0" w:lastRowLastColumn="0"/>
              <w:rPr>
                <w:szCs w:val="14"/>
                <w:lang w:val="en-US"/>
              </w:rPr>
            </w:pPr>
          </w:p>
        </w:tc>
        <w:tc>
          <w:tcPr>
            <w:tcW w:w="1345" w:type="dxa"/>
            <w:tcBorders>
              <w:top w:val="nil"/>
              <w:bottom w:val="nil"/>
            </w:tcBorders>
            <w:shd w:val="clear" w:color="auto" w:fill="auto"/>
            <w:vAlign w:val="center"/>
          </w:tcPr>
          <w:p w14:paraId="1B46979B" w14:textId="77777777" w:rsidR="008B7E19" w:rsidRPr="006C6DAA"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lang w:val="en-US"/>
              </w:rPr>
            </w:pPr>
            <w:r w:rsidRPr="00D860A0">
              <w:rPr>
                <w:b/>
                <w:bCs/>
              </w:rPr>
              <w:t>(17</w:t>
            </w:r>
            <w:r>
              <w:rPr>
                <w:b/>
                <w:bCs/>
              </w:rPr>
              <w:t>,</w:t>
            </w:r>
            <w:r w:rsidRPr="00D860A0">
              <w:rPr>
                <w:b/>
                <w:bCs/>
              </w:rPr>
              <w:t>82</w:t>
            </w:r>
            <w:r>
              <w:rPr>
                <w:b/>
                <w:bCs/>
              </w:rPr>
              <w:t>9</w:t>
            </w:r>
            <w:r w:rsidRPr="00D860A0">
              <w:rPr>
                <w:b/>
                <w:bCs/>
              </w:rPr>
              <w:t>)</w:t>
            </w:r>
          </w:p>
        </w:tc>
        <w:tc>
          <w:tcPr>
            <w:tcW w:w="1418" w:type="dxa"/>
            <w:tcBorders>
              <w:top w:val="nil"/>
              <w:bottom w:val="nil"/>
            </w:tcBorders>
            <w:shd w:val="clear" w:color="auto" w:fill="auto"/>
            <w:vAlign w:val="center"/>
          </w:tcPr>
          <w:p w14:paraId="7E32D718" w14:textId="77777777" w:rsidR="008B7E19" w:rsidRPr="006C6DAA"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b/>
                <w:bCs/>
                <w:lang w:val="en-US"/>
              </w:rPr>
            </w:pPr>
            <w:r w:rsidRPr="009516E8">
              <w:rPr>
                <w:b/>
                <w:bCs/>
              </w:rPr>
              <w:t>(15</w:t>
            </w:r>
            <w:r>
              <w:rPr>
                <w:b/>
                <w:bCs/>
              </w:rPr>
              <w:t>,</w:t>
            </w:r>
            <w:r w:rsidRPr="009516E8">
              <w:rPr>
                <w:b/>
                <w:bCs/>
              </w:rPr>
              <w:t>970)</w:t>
            </w:r>
          </w:p>
        </w:tc>
        <w:tc>
          <w:tcPr>
            <w:tcW w:w="281" w:type="dxa"/>
            <w:tcBorders>
              <w:top w:val="nil"/>
              <w:bottom w:val="nil"/>
            </w:tcBorders>
            <w:shd w:val="clear" w:color="auto" w:fill="auto"/>
            <w:vAlign w:val="center"/>
          </w:tcPr>
          <w:p w14:paraId="7F729FFD" w14:textId="77777777" w:rsidR="008B7E19" w:rsidRPr="006C6DAA"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lang w:val="en-US"/>
              </w:rPr>
            </w:pPr>
          </w:p>
        </w:tc>
        <w:tc>
          <w:tcPr>
            <w:tcW w:w="1420" w:type="dxa"/>
            <w:tcBorders>
              <w:top w:val="nil"/>
              <w:bottom w:val="nil"/>
            </w:tcBorders>
            <w:shd w:val="clear" w:color="auto" w:fill="auto"/>
            <w:vAlign w:val="center"/>
          </w:tcPr>
          <w:p w14:paraId="6B7098E1" w14:textId="77777777" w:rsidR="008B7E19" w:rsidRPr="006C6DAA"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lang w:val="en-US"/>
              </w:rPr>
            </w:pPr>
            <w:r w:rsidRPr="001A1782">
              <w:rPr>
                <w:b/>
                <w:bCs/>
              </w:rPr>
              <w:t>1</w:t>
            </w:r>
            <w:r>
              <w:rPr>
                <w:b/>
                <w:bCs/>
              </w:rPr>
              <w:t>,</w:t>
            </w:r>
            <w:r w:rsidRPr="001A1782">
              <w:rPr>
                <w:b/>
                <w:bCs/>
              </w:rPr>
              <w:t>292</w:t>
            </w:r>
            <w:r>
              <w:rPr>
                <w:b/>
                <w:bCs/>
              </w:rPr>
              <w:t>,</w:t>
            </w:r>
            <w:r w:rsidRPr="001A1782">
              <w:rPr>
                <w:b/>
                <w:bCs/>
              </w:rPr>
              <w:t>169</w:t>
            </w:r>
          </w:p>
        </w:tc>
        <w:tc>
          <w:tcPr>
            <w:tcW w:w="1417" w:type="dxa"/>
            <w:tcBorders>
              <w:top w:val="nil"/>
              <w:bottom w:val="nil"/>
            </w:tcBorders>
            <w:shd w:val="clear" w:color="auto" w:fill="auto"/>
            <w:vAlign w:val="center"/>
          </w:tcPr>
          <w:p w14:paraId="59A5E633" w14:textId="77777777" w:rsidR="008B7E19" w:rsidRPr="006C6DAA"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b/>
                <w:bCs/>
                <w:lang w:val="en-US"/>
              </w:rPr>
            </w:pPr>
            <w:r w:rsidRPr="00CF7077">
              <w:rPr>
                <w:b/>
                <w:bCs/>
              </w:rPr>
              <w:t>1</w:t>
            </w:r>
            <w:r>
              <w:rPr>
                <w:b/>
                <w:bCs/>
              </w:rPr>
              <w:t>,</w:t>
            </w:r>
            <w:r w:rsidRPr="00CF7077">
              <w:rPr>
                <w:b/>
                <w:bCs/>
              </w:rPr>
              <w:t>214</w:t>
            </w:r>
            <w:r>
              <w:rPr>
                <w:b/>
                <w:bCs/>
              </w:rPr>
              <w:t>,</w:t>
            </w:r>
            <w:r w:rsidRPr="00CF7077">
              <w:rPr>
                <w:b/>
                <w:bCs/>
              </w:rPr>
              <w:t>709</w:t>
            </w:r>
          </w:p>
        </w:tc>
      </w:tr>
      <w:tr w:rsidR="008B7E19" w:rsidRPr="006C6DAA" w14:paraId="12DBE841" w14:textId="77777777" w:rsidTr="008B7E19">
        <w:trPr>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auto"/>
            <w:vAlign w:val="center"/>
          </w:tcPr>
          <w:p w14:paraId="7552F82E" w14:textId="77777777" w:rsidR="008B7E19" w:rsidRPr="006C6DAA" w:rsidRDefault="008B7E19" w:rsidP="008B7E19">
            <w:pPr>
              <w:pStyle w:val="08-Tabelageral"/>
              <w:ind w:left="113"/>
              <w:jc w:val="left"/>
              <w:rPr>
                <w:b w:val="0"/>
                <w:lang w:val="en-US"/>
              </w:rPr>
            </w:pPr>
          </w:p>
        </w:tc>
        <w:tc>
          <w:tcPr>
            <w:tcW w:w="781" w:type="dxa"/>
            <w:tcBorders>
              <w:top w:val="nil"/>
              <w:bottom w:val="nil"/>
            </w:tcBorders>
            <w:shd w:val="clear" w:color="auto" w:fill="auto"/>
            <w:vAlign w:val="center"/>
          </w:tcPr>
          <w:p w14:paraId="0B07E2D7" w14:textId="77777777" w:rsidR="008B7E19" w:rsidRPr="006C6DAA" w:rsidRDefault="008B7E19" w:rsidP="008B7E19">
            <w:pPr>
              <w:pStyle w:val="08-Tabelageral"/>
              <w:jc w:val="left"/>
              <w:cnfStyle w:val="000000000000" w:firstRow="0" w:lastRow="0" w:firstColumn="0" w:lastColumn="0" w:oddVBand="0" w:evenVBand="0" w:oddHBand="0" w:evenHBand="0" w:firstRowFirstColumn="0" w:firstRowLastColumn="0" w:lastRowFirstColumn="0" w:lastRowLastColumn="0"/>
              <w:rPr>
                <w:szCs w:val="14"/>
                <w:lang w:val="en-US"/>
              </w:rPr>
            </w:pPr>
          </w:p>
        </w:tc>
        <w:tc>
          <w:tcPr>
            <w:tcW w:w="1345" w:type="dxa"/>
            <w:tcBorders>
              <w:top w:val="nil"/>
              <w:bottom w:val="nil"/>
            </w:tcBorders>
            <w:shd w:val="clear" w:color="auto" w:fill="auto"/>
            <w:vAlign w:val="center"/>
          </w:tcPr>
          <w:p w14:paraId="48961BC3" w14:textId="77777777" w:rsidR="008B7E19" w:rsidRPr="006C6DAA"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szCs w:val="14"/>
                <w:lang w:val="en-US"/>
              </w:rPr>
            </w:pPr>
          </w:p>
        </w:tc>
        <w:tc>
          <w:tcPr>
            <w:tcW w:w="1418" w:type="dxa"/>
            <w:tcBorders>
              <w:top w:val="nil"/>
              <w:bottom w:val="nil"/>
            </w:tcBorders>
            <w:shd w:val="clear" w:color="auto" w:fill="auto"/>
            <w:vAlign w:val="center"/>
          </w:tcPr>
          <w:p w14:paraId="41B3D085" w14:textId="77777777" w:rsidR="008B7E19" w:rsidRPr="006C6DAA"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lang w:val="en-US"/>
              </w:rPr>
            </w:pPr>
          </w:p>
        </w:tc>
        <w:tc>
          <w:tcPr>
            <w:tcW w:w="281" w:type="dxa"/>
            <w:tcBorders>
              <w:top w:val="nil"/>
              <w:bottom w:val="nil"/>
            </w:tcBorders>
            <w:shd w:val="clear" w:color="auto" w:fill="auto"/>
            <w:vAlign w:val="center"/>
          </w:tcPr>
          <w:p w14:paraId="2A535F80" w14:textId="77777777" w:rsidR="008B7E19" w:rsidRPr="006C6DAA"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szCs w:val="14"/>
                <w:lang w:val="en-US"/>
              </w:rPr>
            </w:pPr>
          </w:p>
        </w:tc>
        <w:tc>
          <w:tcPr>
            <w:tcW w:w="1420" w:type="dxa"/>
            <w:tcBorders>
              <w:top w:val="nil"/>
              <w:bottom w:val="nil"/>
            </w:tcBorders>
            <w:shd w:val="clear" w:color="auto" w:fill="auto"/>
            <w:vAlign w:val="center"/>
          </w:tcPr>
          <w:p w14:paraId="5B837B87" w14:textId="77777777" w:rsidR="008B7E19" w:rsidRPr="006C6DAA"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szCs w:val="14"/>
                <w:lang w:val="en-US"/>
              </w:rPr>
            </w:pPr>
          </w:p>
        </w:tc>
        <w:tc>
          <w:tcPr>
            <w:tcW w:w="1417" w:type="dxa"/>
            <w:tcBorders>
              <w:top w:val="nil"/>
              <w:bottom w:val="nil"/>
            </w:tcBorders>
            <w:shd w:val="clear" w:color="auto" w:fill="auto"/>
            <w:vAlign w:val="center"/>
          </w:tcPr>
          <w:p w14:paraId="5E26D590" w14:textId="77777777" w:rsidR="008B7E19" w:rsidRPr="006C6DAA"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lang w:val="en-US"/>
              </w:rPr>
            </w:pPr>
          </w:p>
        </w:tc>
      </w:tr>
      <w:tr w:rsidR="008B7E19" w:rsidRPr="00D078CB" w14:paraId="6030AA39"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auto"/>
            <w:vAlign w:val="center"/>
          </w:tcPr>
          <w:p w14:paraId="1969D185" w14:textId="77777777" w:rsidR="008B7E19" w:rsidRPr="00BD6C7E" w:rsidRDefault="008B7E19" w:rsidP="008B7E19">
            <w:pPr>
              <w:pStyle w:val="08-Tabelageral"/>
              <w:jc w:val="left"/>
              <w:rPr>
                <w:b w:val="0"/>
                <w:lang w:val="en-US"/>
              </w:rPr>
            </w:pPr>
            <w:r w:rsidRPr="00BD6C7E">
              <w:rPr>
                <w:lang w:val="en-US"/>
              </w:rPr>
              <w:t>Cash flow from investment activities</w:t>
            </w:r>
          </w:p>
        </w:tc>
        <w:tc>
          <w:tcPr>
            <w:tcW w:w="781" w:type="dxa"/>
            <w:tcBorders>
              <w:top w:val="nil"/>
              <w:bottom w:val="nil"/>
            </w:tcBorders>
            <w:shd w:val="clear" w:color="auto" w:fill="auto"/>
            <w:vAlign w:val="center"/>
          </w:tcPr>
          <w:p w14:paraId="0B978EDF" w14:textId="77777777" w:rsidR="008B7E19" w:rsidRPr="00BD6C7E" w:rsidRDefault="008B7E19" w:rsidP="008B7E19">
            <w:pPr>
              <w:pStyle w:val="08-Tabelageral"/>
              <w:jc w:val="left"/>
              <w:cnfStyle w:val="000000100000" w:firstRow="0" w:lastRow="0" w:firstColumn="0" w:lastColumn="0" w:oddVBand="0" w:evenVBand="0" w:oddHBand="1" w:evenHBand="0" w:firstRowFirstColumn="0" w:firstRowLastColumn="0" w:lastRowFirstColumn="0" w:lastRowLastColumn="0"/>
              <w:rPr>
                <w:szCs w:val="14"/>
                <w:lang w:val="en-US"/>
              </w:rPr>
            </w:pPr>
          </w:p>
        </w:tc>
        <w:tc>
          <w:tcPr>
            <w:tcW w:w="1345" w:type="dxa"/>
            <w:tcBorders>
              <w:top w:val="nil"/>
              <w:bottom w:val="nil"/>
            </w:tcBorders>
            <w:shd w:val="clear" w:color="auto" w:fill="auto"/>
            <w:vAlign w:val="center"/>
          </w:tcPr>
          <w:p w14:paraId="5050B34A" w14:textId="77777777" w:rsidR="008B7E19" w:rsidRPr="00BD6C7E"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szCs w:val="14"/>
                <w:lang w:val="en-US"/>
              </w:rPr>
            </w:pPr>
          </w:p>
        </w:tc>
        <w:tc>
          <w:tcPr>
            <w:tcW w:w="1418" w:type="dxa"/>
            <w:tcBorders>
              <w:top w:val="nil"/>
              <w:bottom w:val="nil"/>
            </w:tcBorders>
            <w:shd w:val="clear" w:color="auto" w:fill="auto"/>
            <w:vAlign w:val="center"/>
          </w:tcPr>
          <w:p w14:paraId="42FAF327" w14:textId="77777777" w:rsidR="008B7E19" w:rsidRPr="00BD6C7E"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lang w:val="en-US"/>
              </w:rPr>
            </w:pPr>
          </w:p>
        </w:tc>
        <w:tc>
          <w:tcPr>
            <w:tcW w:w="281" w:type="dxa"/>
            <w:tcBorders>
              <w:top w:val="nil"/>
              <w:bottom w:val="nil"/>
            </w:tcBorders>
            <w:shd w:val="clear" w:color="auto" w:fill="auto"/>
            <w:vAlign w:val="center"/>
          </w:tcPr>
          <w:p w14:paraId="304EEDC5" w14:textId="77777777" w:rsidR="008B7E19" w:rsidRPr="00BD6C7E"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szCs w:val="14"/>
                <w:lang w:val="en-US"/>
              </w:rPr>
            </w:pPr>
          </w:p>
        </w:tc>
        <w:tc>
          <w:tcPr>
            <w:tcW w:w="1420" w:type="dxa"/>
            <w:tcBorders>
              <w:top w:val="nil"/>
              <w:bottom w:val="nil"/>
            </w:tcBorders>
            <w:shd w:val="clear" w:color="auto" w:fill="auto"/>
            <w:vAlign w:val="center"/>
          </w:tcPr>
          <w:p w14:paraId="5F0466CC" w14:textId="77777777" w:rsidR="008B7E19" w:rsidRPr="00BD6C7E"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szCs w:val="14"/>
                <w:lang w:val="en-US"/>
              </w:rPr>
            </w:pPr>
          </w:p>
        </w:tc>
        <w:tc>
          <w:tcPr>
            <w:tcW w:w="1417" w:type="dxa"/>
            <w:tcBorders>
              <w:top w:val="nil"/>
              <w:bottom w:val="nil"/>
            </w:tcBorders>
            <w:shd w:val="clear" w:color="auto" w:fill="auto"/>
            <w:vAlign w:val="center"/>
          </w:tcPr>
          <w:p w14:paraId="46E87DD8" w14:textId="77777777" w:rsidR="008B7E19" w:rsidRPr="00BD6C7E"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lang w:val="en-US"/>
              </w:rPr>
            </w:pPr>
          </w:p>
        </w:tc>
      </w:tr>
      <w:tr w:rsidR="008B7E19" w:rsidRPr="008A4FF4" w14:paraId="7404685C" w14:textId="77777777" w:rsidTr="008B7E19">
        <w:trPr>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auto"/>
            <w:vAlign w:val="center"/>
          </w:tcPr>
          <w:p w14:paraId="45FF35FB" w14:textId="77777777" w:rsidR="008B7E19" w:rsidRPr="00342342" w:rsidRDefault="008B7E19" w:rsidP="008B7E19">
            <w:pPr>
              <w:pStyle w:val="08-Tabelageral"/>
              <w:ind w:left="113"/>
              <w:jc w:val="left"/>
              <w:rPr>
                <w:b w:val="0"/>
                <w:highlight w:val="yellow"/>
                <w:lang w:val="en-US"/>
              </w:rPr>
            </w:pPr>
            <w:r w:rsidRPr="00342342">
              <w:rPr>
                <w:b w:val="0"/>
                <w:lang w:val="en-US"/>
              </w:rPr>
              <w:t>Investments in financial assets</w:t>
            </w:r>
            <w:r>
              <w:rPr>
                <w:b w:val="0"/>
                <w:lang w:val="en-US"/>
              </w:rPr>
              <w:t xml:space="preserve"> </w:t>
            </w:r>
            <w:r w:rsidRPr="00342342">
              <w:rPr>
                <w:b w:val="0"/>
                <w:lang w:val="en-US"/>
              </w:rPr>
              <w:t>at fair value through profit or loss</w:t>
            </w:r>
          </w:p>
        </w:tc>
        <w:tc>
          <w:tcPr>
            <w:tcW w:w="781" w:type="dxa"/>
            <w:tcBorders>
              <w:top w:val="nil"/>
              <w:bottom w:val="nil"/>
            </w:tcBorders>
            <w:shd w:val="clear" w:color="auto" w:fill="auto"/>
            <w:vAlign w:val="center"/>
          </w:tcPr>
          <w:p w14:paraId="6AC6BFE3" w14:textId="77777777" w:rsidR="008B7E19" w:rsidRPr="008A4FF4" w:rsidRDefault="008B7E19" w:rsidP="008B7E19">
            <w:pPr>
              <w:pStyle w:val="08-Tabelageral"/>
              <w:jc w:val="left"/>
              <w:cnfStyle w:val="000000000000" w:firstRow="0" w:lastRow="0" w:firstColumn="0" w:lastColumn="0" w:oddVBand="0" w:evenVBand="0" w:oddHBand="0" w:evenHBand="0" w:firstRowFirstColumn="0" w:firstRowLastColumn="0" w:lastRowFirstColumn="0" w:lastRowLastColumn="0"/>
              <w:rPr>
                <w:lang w:val="en-US"/>
              </w:rPr>
            </w:pPr>
            <w:r w:rsidRPr="008A4FF4">
              <w:rPr>
                <w:lang w:val="en-US"/>
              </w:rPr>
              <w:t>[16.a]</w:t>
            </w:r>
          </w:p>
        </w:tc>
        <w:tc>
          <w:tcPr>
            <w:tcW w:w="1345" w:type="dxa"/>
            <w:tcBorders>
              <w:top w:val="nil"/>
              <w:bottom w:val="nil"/>
            </w:tcBorders>
            <w:shd w:val="clear" w:color="auto" w:fill="auto"/>
            <w:vAlign w:val="center"/>
          </w:tcPr>
          <w:p w14:paraId="65BC6245" w14:textId="77777777" w:rsidR="008B7E19" w:rsidRPr="008A4FF4" w:rsidRDefault="008B7E19" w:rsidP="008B7E19">
            <w:pPr>
              <w:pStyle w:val="08-Tabelageral"/>
              <w:ind w:left="113"/>
              <w:cnfStyle w:val="000000000000" w:firstRow="0" w:lastRow="0" w:firstColumn="0" w:lastColumn="0" w:oddVBand="0" w:evenVBand="0" w:oddHBand="0" w:evenHBand="0" w:firstRowFirstColumn="0" w:firstRowLastColumn="0" w:lastRowFirstColumn="0" w:lastRowLastColumn="0"/>
              <w:rPr>
                <w:lang w:val="en-US"/>
              </w:rPr>
            </w:pPr>
            <w:r>
              <w:rPr>
                <w:rFonts w:cs="Arial"/>
                <w:szCs w:val="14"/>
              </w:rPr>
              <w:t>--</w:t>
            </w:r>
          </w:p>
        </w:tc>
        <w:tc>
          <w:tcPr>
            <w:tcW w:w="1418" w:type="dxa"/>
            <w:tcBorders>
              <w:top w:val="nil"/>
              <w:bottom w:val="nil"/>
            </w:tcBorders>
            <w:shd w:val="clear" w:color="auto" w:fill="auto"/>
            <w:vAlign w:val="center"/>
          </w:tcPr>
          <w:p w14:paraId="0712E62F" w14:textId="77777777" w:rsidR="008B7E19" w:rsidRPr="008A4FF4" w:rsidRDefault="008B7E19" w:rsidP="008B7E19">
            <w:pPr>
              <w:pStyle w:val="08-Tabelageral"/>
              <w:ind w:left="113"/>
              <w:cnfStyle w:val="000000000000" w:firstRow="0" w:lastRow="0" w:firstColumn="0" w:lastColumn="0" w:oddVBand="0" w:evenVBand="0" w:oddHBand="0" w:evenHBand="0" w:firstRowFirstColumn="0" w:firstRowLastColumn="0" w:lastRowFirstColumn="0" w:lastRowLastColumn="0"/>
              <w:rPr>
                <w:lang w:val="en-US"/>
              </w:rPr>
            </w:pPr>
            <w:r>
              <w:t>--</w:t>
            </w:r>
          </w:p>
        </w:tc>
        <w:tc>
          <w:tcPr>
            <w:tcW w:w="281" w:type="dxa"/>
            <w:tcBorders>
              <w:top w:val="nil"/>
              <w:bottom w:val="nil"/>
            </w:tcBorders>
            <w:shd w:val="clear" w:color="auto" w:fill="auto"/>
            <w:vAlign w:val="center"/>
          </w:tcPr>
          <w:p w14:paraId="7B1548E0" w14:textId="77777777" w:rsidR="008B7E19" w:rsidRPr="008A4FF4" w:rsidRDefault="008B7E19" w:rsidP="008B7E19">
            <w:pPr>
              <w:pStyle w:val="08-Tabelageral"/>
              <w:ind w:left="113"/>
              <w:cnfStyle w:val="000000000000" w:firstRow="0" w:lastRow="0" w:firstColumn="0" w:lastColumn="0" w:oddVBand="0" w:evenVBand="0" w:oddHBand="0" w:evenHBand="0" w:firstRowFirstColumn="0" w:firstRowLastColumn="0" w:lastRowFirstColumn="0" w:lastRowLastColumn="0"/>
              <w:rPr>
                <w:lang w:val="en-US"/>
              </w:rPr>
            </w:pPr>
          </w:p>
        </w:tc>
        <w:tc>
          <w:tcPr>
            <w:tcW w:w="1420" w:type="dxa"/>
            <w:tcBorders>
              <w:top w:val="nil"/>
              <w:bottom w:val="nil"/>
            </w:tcBorders>
            <w:shd w:val="clear" w:color="auto" w:fill="auto"/>
            <w:vAlign w:val="center"/>
          </w:tcPr>
          <w:p w14:paraId="7A99B53A" w14:textId="77777777" w:rsidR="008B7E19" w:rsidRPr="008A4FF4" w:rsidRDefault="008B7E19" w:rsidP="008B7E19">
            <w:pPr>
              <w:pStyle w:val="08-Tabelageral"/>
              <w:ind w:left="113"/>
              <w:cnfStyle w:val="000000000000" w:firstRow="0" w:lastRow="0" w:firstColumn="0" w:lastColumn="0" w:oddVBand="0" w:evenVBand="0" w:oddHBand="0" w:evenHBand="0" w:firstRowFirstColumn="0" w:firstRowLastColumn="0" w:lastRowFirstColumn="0" w:lastRowLastColumn="0"/>
              <w:rPr>
                <w:lang w:val="en-US"/>
              </w:rPr>
            </w:pPr>
            <w:r w:rsidRPr="001A1782">
              <w:rPr>
                <w:rFonts w:cs="Arial"/>
                <w:szCs w:val="14"/>
              </w:rPr>
              <w:t>(976</w:t>
            </w:r>
            <w:r>
              <w:rPr>
                <w:rFonts w:cs="Arial"/>
                <w:szCs w:val="14"/>
              </w:rPr>
              <w:t>,</w:t>
            </w:r>
            <w:r w:rsidRPr="001A1782">
              <w:rPr>
                <w:rFonts w:cs="Arial"/>
                <w:szCs w:val="14"/>
              </w:rPr>
              <w:t>095)</w:t>
            </w:r>
          </w:p>
        </w:tc>
        <w:tc>
          <w:tcPr>
            <w:tcW w:w="1417" w:type="dxa"/>
            <w:tcBorders>
              <w:top w:val="nil"/>
              <w:bottom w:val="nil"/>
            </w:tcBorders>
            <w:shd w:val="clear" w:color="auto" w:fill="auto"/>
            <w:vAlign w:val="center"/>
          </w:tcPr>
          <w:p w14:paraId="75CA7C03" w14:textId="77777777" w:rsidR="008B7E19" w:rsidRPr="008A4FF4" w:rsidRDefault="008B7E19" w:rsidP="008B7E19">
            <w:pPr>
              <w:pStyle w:val="08-Tabelageral"/>
              <w:ind w:left="113"/>
              <w:cnfStyle w:val="000000000000" w:firstRow="0" w:lastRow="0" w:firstColumn="0" w:lastColumn="0" w:oddVBand="0" w:evenVBand="0" w:oddHBand="0" w:evenHBand="0" w:firstRowFirstColumn="0" w:firstRowLastColumn="0" w:lastRowFirstColumn="0" w:lastRowLastColumn="0"/>
              <w:rPr>
                <w:lang w:val="en-US"/>
              </w:rPr>
            </w:pPr>
            <w:r>
              <w:t>--</w:t>
            </w:r>
          </w:p>
        </w:tc>
      </w:tr>
      <w:tr w:rsidR="008B7E19" w:rsidRPr="00215D82" w14:paraId="2D72D989"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auto"/>
            <w:vAlign w:val="center"/>
          </w:tcPr>
          <w:p w14:paraId="68249991" w14:textId="77777777" w:rsidR="008B7E19" w:rsidRPr="00215D82" w:rsidRDefault="008B7E19" w:rsidP="008B7E19">
            <w:pPr>
              <w:pStyle w:val="08-Tabelageral"/>
              <w:ind w:left="113"/>
              <w:jc w:val="left"/>
              <w:rPr>
                <w:b w:val="0"/>
              </w:rPr>
            </w:pPr>
            <w:r w:rsidRPr="00E03629">
              <w:rPr>
                <w:b w:val="0"/>
              </w:rPr>
              <w:t>Dividends received</w:t>
            </w:r>
          </w:p>
        </w:tc>
        <w:tc>
          <w:tcPr>
            <w:tcW w:w="781" w:type="dxa"/>
            <w:tcBorders>
              <w:top w:val="nil"/>
              <w:bottom w:val="nil"/>
            </w:tcBorders>
            <w:shd w:val="clear" w:color="auto" w:fill="auto"/>
            <w:vAlign w:val="center"/>
          </w:tcPr>
          <w:p w14:paraId="5F242B29" w14:textId="77777777" w:rsidR="008B7E19" w:rsidRPr="00A74700" w:rsidRDefault="008B7E19" w:rsidP="008B7E19">
            <w:pPr>
              <w:pStyle w:val="08-Tabelageral"/>
              <w:jc w:val="left"/>
              <w:cnfStyle w:val="000000100000" w:firstRow="0" w:lastRow="0" w:firstColumn="0" w:lastColumn="0" w:oddVBand="0" w:evenVBand="0" w:oddHBand="1" w:evenHBand="0" w:firstRowFirstColumn="0" w:firstRowLastColumn="0" w:lastRowFirstColumn="0" w:lastRowLastColumn="0"/>
            </w:pPr>
            <w:r w:rsidRPr="00E0461B">
              <w:t>[7.b]</w:t>
            </w:r>
          </w:p>
        </w:tc>
        <w:tc>
          <w:tcPr>
            <w:tcW w:w="1345" w:type="dxa"/>
            <w:tcBorders>
              <w:top w:val="nil"/>
              <w:bottom w:val="nil"/>
            </w:tcBorders>
            <w:shd w:val="clear" w:color="auto" w:fill="auto"/>
            <w:vAlign w:val="center"/>
          </w:tcPr>
          <w:p w14:paraId="0998BBC9" w14:textId="77777777" w:rsidR="008B7E19" w:rsidRPr="00EC1904" w:rsidRDefault="008B7E19" w:rsidP="008B7E19">
            <w:pPr>
              <w:pStyle w:val="08-Tabelageral"/>
              <w:ind w:left="113"/>
              <w:cnfStyle w:val="000000100000" w:firstRow="0" w:lastRow="0" w:firstColumn="0" w:lastColumn="0" w:oddVBand="0" w:evenVBand="0" w:oddHBand="1" w:evenHBand="0" w:firstRowFirstColumn="0" w:firstRowLastColumn="0" w:lastRowFirstColumn="0" w:lastRowLastColumn="0"/>
            </w:pPr>
            <w:r w:rsidRPr="00D860A0">
              <w:t>4</w:t>
            </w:r>
            <w:r>
              <w:t>,</w:t>
            </w:r>
            <w:r w:rsidRPr="00D860A0">
              <w:t>760</w:t>
            </w:r>
            <w:r>
              <w:t>,</w:t>
            </w:r>
            <w:r w:rsidRPr="00D860A0">
              <w:t>838</w:t>
            </w:r>
          </w:p>
        </w:tc>
        <w:tc>
          <w:tcPr>
            <w:tcW w:w="1418" w:type="dxa"/>
            <w:tcBorders>
              <w:top w:val="nil"/>
              <w:bottom w:val="nil"/>
            </w:tcBorders>
            <w:shd w:val="clear" w:color="auto" w:fill="auto"/>
            <w:vAlign w:val="center"/>
          </w:tcPr>
          <w:p w14:paraId="4368B31C" w14:textId="77777777" w:rsidR="008B7E19" w:rsidRPr="00010EFA" w:rsidRDefault="008B7E19" w:rsidP="008B7E19">
            <w:pPr>
              <w:pStyle w:val="08-Tabelageral"/>
              <w:ind w:left="113"/>
              <w:cnfStyle w:val="000000100000" w:firstRow="0" w:lastRow="0" w:firstColumn="0" w:lastColumn="0" w:oddVBand="0" w:evenVBand="0" w:oddHBand="1" w:evenHBand="0" w:firstRowFirstColumn="0" w:firstRowLastColumn="0" w:lastRowFirstColumn="0" w:lastRowLastColumn="0"/>
            </w:pPr>
            <w:r w:rsidRPr="009516E8">
              <w:t>1</w:t>
            </w:r>
            <w:r>
              <w:t>,</w:t>
            </w:r>
            <w:r w:rsidRPr="009516E8">
              <w:t>594</w:t>
            </w:r>
            <w:r>
              <w:t>,</w:t>
            </w:r>
            <w:r w:rsidRPr="009516E8">
              <w:t>534</w:t>
            </w:r>
          </w:p>
        </w:tc>
        <w:tc>
          <w:tcPr>
            <w:tcW w:w="281" w:type="dxa"/>
            <w:tcBorders>
              <w:top w:val="nil"/>
              <w:bottom w:val="nil"/>
            </w:tcBorders>
            <w:shd w:val="clear" w:color="auto" w:fill="auto"/>
            <w:vAlign w:val="center"/>
          </w:tcPr>
          <w:p w14:paraId="22AC0FA4" w14:textId="77777777" w:rsidR="008B7E19" w:rsidRPr="00010EFA" w:rsidRDefault="008B7E19" w:rsidP="008B7E19">
            <w:pPr>
              <w:pStyle w:val="08-Tabelageral"/>
              <w:ind w:left="113"/>
              <w:cnfStyle w:val="000000100000" w:firstRow="0" w:lastRow="0" w:firstColumn="0" w:lastColumn="0" w:oddVBand="0" w:evenVBand="0" w:oddHBand="1" w:evenHBand="0" w:firstRowFirstColumn="0" w:firstRowLastColumn="0" w:lastRowFirstColumn="0" w:lastRowLastColumn="0"/>
            </w:pPr>
          </w:p>
        </w:tc>
        <w:tc>
          <w:tcPr>
            <w:tcW w:w="1420" w:type="dxa"/>
            <w:tcBorders>
              <w:top w:val="nil"/>
              <w:bottom w:val="nil"/>
            </w:tcBorders>
            <w:shd w:val="clear" w:color="auto" w:fill="auto"/>
            <w:vAlign w:val="center"/>
          </w:tcPr>
          <w:p w14:paraId="3DE0D195" w14:textId="77777777" w:rsidR="008B7E19" w:rsidRPr="00010EFA" w:rsidRDefault="008B7E19" w:rsidP="008B7E19">
            <w:pPr>
              <w:pStyle w:val="08-Tabelageral"/>
              <w:ind w:left="113"/>
              <w:cnfStyle w:val="000000100000" w:firstRow="0" w:lastRow="0" w:firstColumn="0" w:lastColumn="0" w:oddVBand="0" w:evenVBand="0" w:oddHBand="1" w:evenHBand="0" w:firstRowFirstColumn="0" w:firstRowLastColumn="0" w:lastRowFirstColumn="0" w:lastRowLastColumn="0"/>
            </w:pPr>
            <w:r w:rsidRPr="001A1782">
              <w:t>1</w:t>
            </w:r>
            <w:r>
              <w:t>,</w:t>
            </w:r>
            <w:r w:rsidRPr="001A1782">
              <w:t>715</w:t>
            </w:r>
            <w:r>
              <w:t>,</w:t>
            </w:r>
            <w:r w:rsidRPr="001A1782">
              <w:t>924</w:t>
            </w:r>
          </w:p>
        </w:tc>
        <w:tc>
          <w:tcPr>
            <w:tcW w:w="1417" w:type="dxa"/>
            <w:tcBorders>
              <w:top w:val="nil"/>
              <w:bottom w:val="nil"/>
            </w:tcBorders>
            <w:shd w:val="clear" w:color="auto" w:fill="auto"/>
            <w:vAlign w:val="center"/>
          </w:tcPr>
          <w:p w14:paraId="74D51426" w14:textId="77777777" w:rsidR="008B7E19" w:rsidRPr="00010EFA" w:rsidRDefault="008B7E19" w:rsidP="008B7E19">
            <w:pPr>
              <w:pStyle w:val="08-Tabelageral"/>
              <w:ind w:left="113"/>
              <w:cnfStyle w:val="000000100000" w:firstRow="0" w:lastRow="0" w:firstColumn="0" w:lastColumn="0" w:oddVBand="0" w:evenVBand="0" w:oddHBand="1" w:evenHBand="0" w:firstRowFirstColumn="0" w:firstRowLastColumn="0" w:lastRowFirstColumn="0" w:lastRowLastColumn="0"/>
            </w:pPr>
            <w:r w:rsidRPr="00CF7077">
              <w:t>575</w:t>
            </w:r>
            <w:r>
              <w:t>,</w:t>
            </w:r>
            <w:r w:rsidRPr="00CF7077">
              <w:t>220</w:t>
            </w:r>
          </w:p>
        </w:tc>
      </w:tr>
      <w:tr w:rsidR="008B7E19" w:rsidRPr="00215D82" w14:paraId="68C5BD6E" w14:textId="77777777" w:rsidTr="008B7E19">
        <w:trPr>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auto"/>
            <w:vAlign w:val="center"/>
          </w:tcPr>
          <w:p w14:paraId="2A102D9E" w14:textId="77777777" w:rsidR="008B7E19" w:rsidRPr="00215D82" w:rsidRDefault="008B7E19" w:rsidP="008B7E19">
            <w:pPr>
              <w:pStyle w:val="08-Tabelageral"/>
              <w:ind w:left="113"/>
              <w:jc w:val="left"/>
              <w:rPr>
                <w:b w:val="0"/>
              </w:rPr>
            </w:pPr>
            <w:r w:rsidRPr="00F96E85">
              <w:rPr>
                <w:b w:val="0"/>
              </w:rPr>
              <w:t>Acquisition Asset</w:t>
            </w:r>
          </w:p>
        </w:tc>
        <w:tc>
          <w:tcPr>
            <w:tcW w:w="781" w:type="dxa"/>
            <w:tcBorders>
              <w:top w:val="nil"/>
              <w:bottom w:val="nil"/>
            </w:tcBorders>
            <w:shd w:val="clear" w:color="auto" w:fill="auto"/>
            <w:vAlign w:val="center"/>
          </w:tcPr>
          <w:p w14:paraId="49B2DFDD" w14:textId="77777777" w:rsidR="008B7E19" w:rsidRPr="009F7D17" w:rsidRDefault="008B7E19" w:rsidP="008B7E19">
            <w:pPr>
              <w:pStyle w:val="08-Tabelageral"/>
              <w:jc w:val="left"/>
              <w:cnfStyle w:val="000000000000" w:firstRow="0" w:lastRow="0" w:firstColumn="0" w:lastColumn="0" w:oddVBand="0" w:evenVBand="0" w:oddHBand="0" w:evenHBand="0" w:firstRowFirstColumn="0" w:firstRowLastColumn="0" w:lastRowFirstColumn="0" w:lastRowLastColumn="0"/>
            </w:pPr>
          </w:p>
        </w:tc>
        <w:tc>
          <w:tcPr>
            <w:tcW w:w="1345" w:type="dxa"/>
            <w:tcBorders>
              <w:top w:val="nil"/>
              <w:bottom w:val="nil"/>
            </w:tcBorders>
            <w:shd w:val="clear" w:color="auto" w:fill="auto"/>
            <w:vAlign w:val="center"/>
          </w:tcPr>
          <w:p w14:paraId="6E42F67A" w14:textId="77777777" w:rsidR="008B7E19" w:rsidRPr="00EC1904" w:rsidRDefault="008B7E19" w:rsidP="008B7E19">
            <w:pPr>
              <w:pStyle w:val="08-Tabelageral"/>
              <w:ind w:left="113"/>
              <w:cnfStyle w:val="000000000000" w:firstRow="0" w:lastRow="0" w:firstColumn="0" w:lastColumn="0" w:oddVBand="0" w:evenVBand="0" w:oddHBand="0" w:evenHBand="0" w:firstRowFirstColumn="0" w:firstRowLastColumn="0" w:lastRowFirstColumn="0" w:lastRowLastColumn="0"/>
            </w:pPr>
            <w:r w:rsidRPr="00D860A0">
              <w:t>(201)</w:t>
            </w:r>
          </w:p>
        </w:tc>
        <w:tc>
          <w:tcPr>
            <w:tcW w:w="1418" w:type="dxa"/>
            <w:tcBorders>
              <w:top w:val="nil"/>
              <w:bottom w:val="nil"/>
            </w:tcBorders>
            <w:shd w:val="clear" w:color="auto" w:fill="auto"/>
            <w:vAlign w:val="center"/>
          </w:tcPr>
          <w:p w14:paraId="19F69451" w14:textId="77777777" w:rsidR="008B7E19" w:rsidRPr="00010EFA" w:rsidRDefault="008B7E19" w:rsidP="008B7E19">
            <w:pPr>
              <w:pStyle w:val="08-Tabelageral"/>
              <w:ind w:left="113"/>
              <w:cnfStyle w:val="000000000000" w:firstRow="0" w:lastRow="0" w:firstColumn="0" w:lastColumn="0" w:oddVBand="0" w:evenVBand="0" w:oddHBand="0" w:evenHBand="0" w:firstRowFirstColumn="0" w:firstRowLastColumn="0" w:lastRowFirstColumn="0" w:lastRowLastColumn="0"/>
            </w:pPr>
            <w:r w:rsidRPr="009516E8">
              <w:t>(223)</w:t>
            </w:r>
          </w:p>
        </w:tc>
        <w:tc>
          <w:tcPr>
            <w:tcW w:w="281" w:type="dxa"/>
            <w:tcBorders>
              <w:top w:val="nil"/>
              <w:bottom w:val="nil"/>
            </w:tcBorders>
            <w:shd w:val="clear" w:color="auto" w:fill="auto"/>
            <w:vAlign w:val="center"/>
          </w:tcPr>
          <w:p w14:paraId="23A4B3C8" w14:textId="77777777" w:rsidR="008B7E19" w:rsidRPr="00010EFA" w:rsidRDefault="008B7E19" w:rsidP="008B7E19">
            <w:pPr>
              <w:pStyle w:val="08-Tabelageral"/>
              <w:ind w:left="113"/>
              <w:cnfStyle w:val="000000000000" w:firstRow="0" w:lastRow="0" w:firstColumn="0" w:lastColumn="0" w:oddVBand="0" w:evenVBand="0" w:oddHBand="0" w:evenHBand="0" w:firstRowFirstColumn="0" w:firstRowLastColumn="0" w:lastRowFirstColumn="0" w:lastRowLastColumn="0"/>
            </w:pPr>
          </w:p>
        </w:tc>
        <w:tc>
          <w:tcPr>
            <w:tcW w:w="1420" w:type="dxa"/>
            <w:tcBorders>
              <w:top w:val="nil"/>
              <w:bottom w:val="nil"/>
            </w:tcBorders>
            <w:shd w:val="clear" w:color="auto" w:fill="auto"/>
            <w:vAlign w:val="center"/>
          </w:tcPr>
          <w:p w14:paraId="0091B6A8" w14:textId="77777777" w:rsidR="008B7E19" w:rsidRPr="00010EFA" w:rsidRDefault="008B7E19" w:rsidP="008B7E19">
            <w:pPr>
              <w:pStyle w:val="08-Tabelageral"/>
              <w:ind w:left="113"/>
              <w:cnfStyle w:val="000000000000" w:firstRow="0" w:lastRow="0" w:firstColumn="0" w:lastColumn="0" w:oddVBand="0" w:evenVBand="0" w:oddHBand="0" w:evenHBand="0" w:firstRowFirstColumn="0" w:firstRowLastColumn="0" w:lastRowFirstColumn="0" w:lastRowLastColumn="0"/>
            </w:pPr>
            <w:r w:rsidRPr="001A1782">
              <w:t>(201)</w:t>
            </w:r>
          </w:p>
        </w:tc>
        <w:tc>
          <w:tcPr>
            <w:tcW w:w="1417" w:type="dxa"/>
            <w:tcBorders>
              <w:top w:val="nil"/>
              <w:bottom w:val="nil"/>
            </w:tcBorders>
            <w:shd w:val="clear" w:color="auto" w:fill="auto"/>
            <w:vAlign w:val="center"/>
          </w:tcPr>
          <w:p w14:paraId="71190AF1" w14:textId="77777777" w:rsidR="008B7E19" w:rsidRPr="00010EFA" w:rsidRDefault="008B7E19" w:rsidP="008B7E19">
            <w:pPr>
              <w:pStyle w:val="08-Tabelageral"/>
              <w:ind w:left="113"/>
              <w:cnfStyle w:val="000000000000" w:firstRow="0" w:lastRow="0" w:firstColumn="0" w:lastColumn="0" w:oddVBand="0" w:evenVBand="0" w:oddHBand="0" w:evenHBand="0" w:firstRowFirstColumn="0" w:firstRowLastColumn="0" w:lastRowFirstColumn="0" w:lastRowLastColumn="0"/>
            </w:pPr>
            <w:r w:rsidRPr="00CF7077">
              <w:t>(223)</w:t>
            </w:r>
          </w:p>
        </w:tc>
      </w:tr>
      <w:tr w:rsidR="008B7E19" w:rsidRPr="00010EFA" w14:paraId="697A673A"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auto"/>
            <w:vAlign w:val="center"/>
          </w:tcPr>
          <w:p w14:paraId="05011056" w14:textId="77777777" w:rsidR="008B7E19" w:rsidRPr="00BD6C7E" w:rsidRDefault="008B7E19" w:rsidP="008B7E19">
            <w:pPr>
              <w:pStyle w:val="08-Tabelageral"/>
              <w:jc w:val="left"/>
              <w:rPr>
                <w:b w:val="0"/>
                <w:lang w:val="en-US"/>
              </w:rPr>
            </w:pPr>
            <w:r w:rsidRPr="00BD6C7E">
              <w:rPr>
                <w:lang w:val="en-US"/>
              </w:rPr>
              <w:t>Cash provided by investment activities</w:t>
            </w:r>
          </w:p>
        </w:tc>
        <w:tc>
          <w:tcPr>
            <w:tcW w:w="781" w:type="dxa"/>
            <w:tcBorders>
              <w:top w:val="nil"/>
              <w:bottom w:val="nil"/>
            </w:tcBorders>
            <w:shd w:val="clear" w:color="auto" w:fill="auto"/>
            <w:vAlign w:val="center"/>
          </w:tcPr>
          <w:p w14:paraId="14DC71E3" w14:textId="77777777" w:rsidR="008B7E19" w:rsidRPr="00BD6C7E" w:rsidRDefault="008B7E19" w:rsidP="008B7E19">
            <w:pPr>
              <w:pStyle w:val="08-Tabelageral"/>
              <w:jc w:val="left"/>
              <w:cnfStyle w:val="000000100000" w:firstRow="0" w:lastRow="0" w:firstColumn="0" w:lastColumn="0" w:oddVBand="0" w:evenVBand="0" w:oddHBand="1" w:evenHBand="0" w:firstRowFirstColumn="0" w:firstRowLastColumn="0" w:lastRowFirstColumn="0" w:lastRowLastColumn="0"/>
              <w:rPr>
                <w:szCs w:val="14"/>
                <w:lang w:val="en-US"/>
              </w:rPr>
            </w:pPr>
          </w:p>
        </w:tc>
        <w:tc>
          <w:tcPr>
            <w:tcW w:w="1345" w:type="dxa"/>
            <w:tcBorders>
              <w:top w:val="nil"/>
              <w:bottom w:val="nil"/>
            </w:tcBorders>
            <w:shd w:val="clear" w:color="auto" w:fill="auto"/>
            <w:vAlign w:val="center"/>
          </w:tcPr>
          <w:p w14:paraId="6809BF3E" w14:textId="77777777" w:rsidR="008B7E19" w:rsidRPr="00F06920"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D860A0">
              <w:rPr>
                <w:b/>
                <w:bCs/>
              </w:rPr>
              <w:t>4</w:t>
            </w:r>
            <w:r>
              <w:rPr>
                <w:b/>
                <w:bCs/>
              </w:rPr>
              <w:t>,</w:t>
            </w:r>
            <w:r w:rsidRPr="00D860A0">
              <w:rPr>
                <w:b/>
                <w:bCs/>
              </w:rPr>
              <w:t>760</w:t>
            </w:r>
            <w:r>
              <w:rPr>
                <w:b/>
                <w:bCs/>
              </w:rPr>
              <w:t>,</w:t>
            </w:r>
            <w:r w:rsidRPr="00D860A0">
              <w:rPr>
                <w:b/>
                <w:bCs/>
              </w:rPr>
              <w:t>637</w:t>
            </w:r>
          </w:p>
        </w:tc>
        <w:tc>
          <w:tcPr>
            <w:tcW w:w="1418" w:type="dxa"/>
            <w:tcBorders>
              <w:top w:val="nil"/>
              <w:bottom w:val="nil"/>
            </w:tcBorders>
            <w:shd w:val="clear" w:color="auto" w:fill="auto"/>
            <w:vAlign w:val="center"/>
          </w:tcPr>
          <w:p w14:paraId="58FAAD0D" w14:textId="77777777" w:rsidR="008B7E19" w:rsidRPr="00F06920"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b/>
                <w:bCs/>
              </w:rPr>
            </w:pPr>
            <w:r w:rsidRPr="009516E8">
              <w:rPr>
                <w:b/>
                <w:bCs/>
              </w:rPr>
              <w:t>1</w:t>
            </w:r>
            <w:r>
              <w:rPr>
                <w:b/>
                <w:bCs/>
              </w:rPr>
              <w:t>,</w:t>
            </w:r>
            <w:r w:rsidRPr="009516E8">
              <w:rPr>
                <w:b/>
                <w:bCs/>
              </w:rPr>
              <w:t>594</w:t>
            </w:r>
            <w:r>
              <w:rPr>
                <w:b/>
                <w:bCs/>
              </w:rPr>
              <w:t>,</w:t>
            </w:r>
            <w:r w:rsidRPr="009516E8">
              <w:rPr>
                <w:b/>
                <w:bCs/>
              </w:rPr>
              <w:t>311</w:t>
            </w:r>
          </w:p>
        </w:tc>
        <w:tc>
          <w:tcPr>
            <w:tcW w:w="281" w:type="dxa"/>
            <w:tcBorders>
              <w:top w:val="nil"/>
              <w:bottom w:val="nil"/>
            </w:tcBorders>
            <w:shd w:val="clear" w:color="auto" w:fill="auto"/>
            <w:vAlign w:val="center"/>
          </w:tcPr>
          <w:p w14:paraId="23CDAB68" w14:textId="77777777" w:rsidR="008B7E19" w:rsidRPr="00F06920"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p>
        </w:tc>
        <w:tc>
          <w:tcPr>
            <w:tcW w:w="1420" w:type="dxa"/>
            <w:tcBorders>
              <w:top w:val="nil"/>
              <w:bottom w:val="nil"/>
            </w:tcBorders>
            <w:shd w:val="clear" w:color="auto" w:fill="auto"/>
            <w:vAlign w:val="center"/>
          </w:tcPr>
          <w:p w14:paraId="24358CE6" w14:textId="77777777" w:rsidR="008B7E19" w:rsidRPr="00F06920"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1A1782">
              <w:rPr>
                <w:b/>
                <w:bCs/>
              </w:rPr>
              <w:t>739</w:t>
            </w:r>
            <w:r>
              <w:rPr>
                <w:b/>
                <w:bCs/>
              </w:rPr>
              <w:t>,</w:t>
            </w:r>
            <w:r w:rsidRPr="001A1782">
              <w:rPr>
                <w:b/>
                <w:bCs/>
              </w:rPr>
              <w:t>628</w:t>
            </w:r>
          </w:p>
        </w:tc>
        <w:tc>
          <w:tcPr>
            <w:tcW w:w="1417" w:type="dxa"/>
            <w:tcBorders>
              <w:top w:val="nil"/>
              <w:bottom w:val="nil"/>
            </w:tcBorders>
            <w:shd w:val="clear" w:color="auto" w:fill="auto"/>
            <w:vAlign w:val="center"/>
          </w:tcPr>
          <w:p w14:paraId="356B1E69" w14:textId="77777777" w:rsidR="008B7E19" w:rsidRPr="00F06920"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b/>
                <w:bCs/>
              </w:rPr>
            </w:pPr>
            <w:r w:rsidRPr="00CF7077">
              <w:rPr>
                <w:b/>
                <w:bCs/>
              </w:rPr>
              <w:t>574</w:t>
            </w:r>
            <w:r>
              <w:rPr>
                <w:b/>
                <w:bCs/>
              </w:rPr>
              <w:t>,</w:t>
            </w:r>
            <w:r w:rsidRPr="00CF7077">
              <w:rPr>
                <w:b/>
                <w:bCs/>
              </w:rPr>
              <w:t>997</w:t>
            </w:r>
          </w:p>
        </w:tc>
      </w:tr>
      <w:tr w:rsidR="008B7E19" w:rsidRPr="001D6BE8" w14:paraId="4D0D21CD" w14:textId="77777777" w:rsidTr="008B7E19">
        <w:trPr>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auto"/>
            <w:vAlign w:val="center"/>
          </w:tcPr>
          <w:p w14:paraId="17D7080B" w14:textId="77777777" w:rsidR="008B7E19" w:rsidRPr="00CD3714" w:rsidRDefault="008B7E19" w:rsidP="008B7E19">
            <w:pPr>
              <w:pStyle w:val="08-Tabelageral"/>
              <w:jc w:val="left"/>
            </w:pPr>
          </w:p>
        </w:tc>
        <w:tc>
          <w:tcPr>
            <w:tcW w:w="781" w:type="dxa"/>
            <w:tcBorders>
              <w:top w:val="nil"/>
              <w:bottom w:val="nil"/>
            </w:tcBorders>
            <w:shd w:val="clear" w:color="auto" w:fill="auto"/>
            <w:vAlign w:val="center"/>
          </w:tcPr>
          <w:p w14:paraId="2F5C5E05" w14:textId="77777777" w:rsidR="008B7E19" w:rsidRPr="00CF4B29" w:rsidRDefault="008B7E19" w:rsidP="008B7E19">
            <w:pPr>
              <w:pStyle w:val="08-Tabelageral"/>
              <w:jc w:val="left"/>
              <w:cnfStyle w:val="000000000000" w:firstRow="0" w:lastRow="0" w:firstColumn="0" w:lastColumn="0" w:oddVBand="0" w:evenVBand="0" w:oddHBand="0" w:evenHBand="0" w:firstRowFirstColumn="0" w:firstRowLastColumn="0" w:lastRowFirstColumn="0" w:lastRowLastColumn="0"/>
              <w:rPr>
                <w:b/>
                <w:szCs w:val="14"/>
              </w:rPr>
            </w:pPr>
          </w:p>
        </w:tc>
        <w:tc>
          <w:tcPr>
            <w:tcW w:w="1345" w:type="dxa"/>
            <w:tcBorders>
              <w:top w:val="nil"/>
              <w:bottom w:val="nil"/>
            </w:tcBorders>
            <w:shd w:val="clear" w:color="auto" w:fill="auto"/>
            <w:vAlign w:val="center"/>
          </w:tcPr>
          <w:p w14:paraId="058FBF5C" w14:textId="77777777" w:rsidR="008B7E19" w:rsidRPr="00350BA7"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p>
        </w:tc>
        <w:tc>
          <w:tcPr>
            <w:tcW w:w="1418" w:type="dxa"/>
            <w:tcBorders>
              <w:top w:val="nil"/>
              <w:bottom w:val="nil"/>
            </w:tcBorders>
            <w:shd w:val="clear" w:color="auto" w:fill="auto"/>
            <w:vAlign w:val="center"/>
          </w:tcPr>
          <w:p w14:paraId="76ACE238" w14:textId="77777777" w:rsidR="008B7E19" w:rsidRPr="00010EFA" w:rsidRDefault="008B7E19" w:rsidP="008B7E19">
            <w:pPr>
              <w:pStyle w:val="08-Tabelageral"/>
              <w:cnfStyle w:val="000000000000" w:firstRow="0" w:lastRow="0" w:firstColumn="0" w:lastColumn="0" w:oddVBand="0" w:evenVBand="0" w:oddHBand="0" w:evenHBand="0" w:firstRowFirstColumn="0" w:firstRowLastColumn="0" w:lastRowFirstColumn="0" w:lastRowLastColumn="0"/>
            </w:pPr>
          </w:p>
        </w:tc>
        <w:tc>
          <w:tcPr>
            <w:tcW w:w="281" w:type="dxa"/>
            <w:tcBorders>
              <w:top w:val="nil"/>
              <w:bottom w:val="nil"/>
            </w:tcBorders>
            <w:shd w:val="clear" w:color="auto" w:fill="auto"/>
            <w:vAlign w:val="center"/>
          </w:tcPr>
          <w:p w14:paraId="616F6837" w14:textId="77777777" w:rsidR="008B7E19" w:rsidRPr="00010EFA"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p>
        </w:tc>
        <w:tc>
          <w:tcPr>
            <w:tcW w:w="1420" w:type="dxa"/>
            <w:tcBorders>
              <w:top w:val="nil"/>
              <w:bottom w:val="nil"/>
            </w:tcBorders>
            <w:shd w:val="clear" w:color="auto" w:fill="auto"/>
            <w:vAlign w:val="center"/>
          </w:tcPr>
          <w:p w14:paraId="09FDF926" w14:textId="77777777" w:rsidR="008B7E19" w:rsidRPr="00010EFA"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p>
        </w:tc>
        <w:tc>
          <w:tcPr>
            <w:tcW w:w="1417" w:type="dxa"/>
            <w:tcBorders>
              <w:top w:val="nil"/>
              <w:bottom w:val="nil"/>
            </w:tcBorders>
            <w:shd w:val="clear" w:color="auto" w:fill="auto"/>
            <w:vAlign w:val="center"/>
          </w:tcPr>
          <w:p w14:paraId="6F4BE13F" w14:textId="77777777" w:rsidR="008B7E19" w:rsidRPr="00010EFA" w:rsidRDefault="008B7E19" w:rsidP="008B7E19">
            <w:pPr>
              <w:pStyle w:val="08-Tabelageral"/>
              <w:cnfStyle w:val="000000000000" w:firstRow="0" w:lastRow="0" w:firstColumn="0" w:lastColumn="0" w:oddVBand="0" w:evenVBand="0" w:oddHBand="0" w:evenHBand="0" w:firstRowFirstColumn="0" w:firstRowLastColumn="0" w:lastRowFirstColumn="0" w:lastRowLastColumn="0"/>
            </w:pPr>
          </w:p>
        </w:tc>
      </w:tr>
      <w:tr w:rsidR="008B7E19" w:rsidRPr="00D078CB" w14:paraId="00C39EF9"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auto"/>
            <w:vAlign w:val="center"/>
          </w:tcPr>
          <w:p w14:paraId="0BD68F51" w14:textId="77777777" w:rsidR="008B7E19" w:rsidRPr="00BD6C7E" w:rsidRDefault="008B7E19" w:rsidP="008B7E19">
            <w:pPr>
              <w:pStyle w:val="08-Tabelageral"/>
              <w:jc w:val="left"/>
              <w:rPr>
                <w:lang w:val="en-US"/>
              </w:rPr>
            </w:pPr>
            <w:r w:rsidRPr="00BD6C7E">
              <w:rPr>
                <w:lang w:val="en-US"/>
              </w:rPr>
              <w:t>Cash flow from financing activities</w:t>
            </w:r>
          </w:p>
        </w:tc>
        <w:tc>
          <w:tcPr>
            <w:tcW w:w="781" w:type="dxa"/>
            <w:tcBorders>
              <w:top w:val="nil"/>
              <w:bottom w:val="nil"/>
            </w:tcBorders>
            <w:shd w:val="clear" w:color="auto" w:fill="auto"/>
            <w:vAlign w:val="center"/>
          </w:tcPr>
          <w:p w14:paraId="4144C1BC" w14:textId="77777777" w:rsidR="008B7E19" w:rsidRPr="00BD6C7E" w:rsidRDefault="008B7E19" w:rsidP="008B7E19">
            <w:pPr>
              <w:pStyle w:val="08-Tabelageral"/>
              <w:jc w:val="left"/>
              <w:cnfStyle w:val="000000100000" w:firstRow="0" w:lastRow="0" w:firstColumn="0" w:lastColumn="0" w:oddVBand="0" w:evenVBand="0" w:oddHBand="1" w:evenHBand="0" w:firstRowFirstColumn="0" w:firstRowLastColumn="0" w:lastRowFirstColumn="0" w:lastRowLastColumn="0"/>
              <w:rPr>
                <w:b/>
                <w:szCs w:val="14"/>
                <w:lang w:val="en-US"/>
              </w:rPr>
            </w:pPr>
          </w:p>
        </w:tc>
        <w:tc>
          <w:tcPr>
            <w:tcW w:w="1345" w:type="dxa"/>
            <w:tcBorders>
              <w:top w:val="nil"/>
              <w:bottom w:val="nil"/>
            </w:tcBorders>
            <w:shd w:val="clear" w:color="auto" w:fill="auto"/>
            <w:vAlign w:val="center"/>
          </w:tcPr>
          <w:p w14:paraId="05C922B1" w14:textId="77777777" w:rsidR="008B7E19" w:rsidRPr="00BD6C7E"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b/>
                <w:szCs w:val="14"/>
                <w:lang w:val="en-US"/>
              </w:rPr>
            </w:pPr>
          </w:p>
        </w:tc>
        <w:tc>
          <w:tcPr>
            <w:tcW w:w="1418" w:type="dxa"/>
            <w:tcBorders>
              <w:top w:val="nil"/>
              <w:bottom w:val="nil"/>
            </w:tcBorders>
            <w:shd w:val="clear" w:color="auto" w:fill="auto"/>
            <w:vAlign w:val="center"/>
          </w:tcPr>
          <w:p w14:paraId="1044882A" w14:textId="77777777" w:rsidR="008B7E19" w:rsidRPr="00BD6C7E"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b/>
                <w:lang w:val="en-US"/>
              </w:rPr>
            </w:pPr>
          </w:p>
        </w:tc>
        <w:tc>
          <w:tcPr>
            <w:tcW w:w="281" w:type="dxa"/>
            <w:tcBorders>
              <w:top w:val="nil"/>
              <w:bottom w:val="nil"/>
            </w:tcBorders>
            <w:shd w:val="clear" w:color="auto" w:fill="auto"/>
            <w:vAlign w:val="center"/>
          </w:tcPr>
          <w:p w14:paraId="30287F03" w14:textId="77777777" w:rsidR="008B7E19" w:rsidRPr="00BD6C7E"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b/>
                <w:szCs w:val="14"/>
                <w:lang w:val="en-US"/>
              </w:rPr>
            </w:pPr>
          </w:p>
        </w:tc>
        <w:tc>
          <w:tcPr>
            <w:tcW w:w="1420" w:type="dxa"/>
            <w:tcBorders>
              <w:top w:val="nil"/>
              <w:bottom w:val="nil"/>
            </w:tcBorders>
            <w:shd w:val="clear" w:color="auto" w:fill="auto"/>
            <w:vAlign w:val="center"/>
          </w:tcPr>
          <w:p w14:paraId="1C9D6212" w14:textId="77777777" w:rsidR="008B7E19" w:rsidRPr="00BD6C7E"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b/>
                <w:szCs w:val="14"/>
                <w:lang w:val="en-US"/>
              </w:rPr>
            </w:pPr>
          </w:p>
        </w:tc>
        <w:tc>
          <w:tcPr>
            <w:tcW w:w="1417" w:type="dxa"/>
            <w:tcBorders>
              <w:top w:val="nil"/>
              <w:bottom w:val="nil"/>
            </w:tcBorders>
            <w:shd w:val="clear" w:color="auto" w:fill="auto"/>
            <w:vAlign w:val="center"/>
          </w:tcPr>
          <w:p w14:paraId="5CC8070E" w14:textId="77777777" w:rsidR="008B7E19" w:rsidRPr="00BD6C7E"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b/>
                <w:lang w:val="en-US"/>
              </w:rPr>
            </w:pPr>
          </w:p>
        </w:tc>
      </w:tr>
      <w:tr w:rsidR="008B7E19" w:rsidRPr="0042427F" w14:paraId="5B2E0AE8" w14:textId="77777777" w:rsidTr="008B7E19">
        <w:trPr>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auto"/>
            <w:vAlign w:val="center"/>
          </w:tcPr>
          <w:p w14:paraId="6BB665BC" w14:textId="77777777" w:rsidR="008B7E19" w:rsidRPr="0042427F" w:rsidRDefault="008B7E19" w:rsidP="008B7E19">
            <w:pPr>
              <w:pStyle w:val="08-Tabelageral"/>
              <w:ind w:left="113"/>
              <w:jc w:val="left"/>
              <w:rPr>
                <w:b w:val="0"/>
              </w:rPr>
            </w:pPr>
            <w:r w:rsidRPr="00AF12C2">
              <w:rPr>
                <w:b w:val="0"/>
              </w:rPr>
              <w:t>Dividends paid</w:t>
            </w:r>
          </w:p>
        </w:tc>
        <w:tc>
          <w:tcPr>
            <w:tcW w:w="781" w:type="dxa"/>
            <w:tcBorders>
              <w:top w:val="nil"/>
              <w:bottom w:val="nil"/>
            </w:tcBorders>
            <w:shd w:val="clear" w:color="auto" w:fill="auto"/>
            <w:vAlign w:val="center"/>
          </w:tcPr>
          <w:p w14:paraId="4F69CEBD" w14:textId="77777777" w:rsidR="008B7E19" w:rsidRPr="0042427F" w:rsidRDefault="008B7E19" w:rsidP="008B7E19">
            <w:pPr>
              <w:pStyle w:val="08-Tabelageral"/>
              <w:jc w:val="left"/>
              <w:cnfStyle w:val="000000000000" w:firstRow="0" w:lastRow="0" w:firstColumn="0" w:lastColumn="0" w:oddVBand="0" w:evenVBand="0" w:oddHBand="0" w:evenHBand="0" w:firstRowFirstColumn="0" w:firstRowLastColumn="0" w:lastRowFirstColumn="0" w:lastRowLastColumn="0"/>
              <w:rPr>
                <w:b/>
              </w:rPr>
            </w:pPr>
          </w:p>
        </w:tc>
        <w:tc>
          <w:tcPr>
            <w:tcW w:w="1345" w:type="dxa"/>
            <w:tcBorders>
              <w:top w:val="nil"/>
              <w:bottom w:val="nil"/>
            </w:tcBorders>
            <w:shd w:val="clear" w:color="auto" w:fill="auto"/>
            <w:vAlign w:val="center"/>
          </w:tcPr>
          <w:p w14:paraId="292D0E31" w14:textId="77777777" w:rsidR="008B7E19" w:rsidRPr="00EC1904" w:rsidRDefault="008B7E19" w:rsidP="008B7E19">
            <w:pPr>
              <w:pStyle w:val="08-Tabelageral"/>
              <w:ind w:left="113"/>
              <w:cnfStyle w:val="000000000000" w:firstRow="0" w:lastRow="0" w:firstColumn="0" w:lastColumn="0" w:oddVBand="0" w:evenVBand="0" w:oddHBand="0" w:evenHBand="0" w:firstRowFirstColumn="0" w:firstRowLastColumn="0" w:lastRowFirstColumn="0" w:lastRowLastColumn="0"/>
            </w:pPr>
            <w:r w:rsidRPr="00D860A0">
              <w:t>(3</w:t>
            </w:r>
            <w:r>
              <w:t>,</w:t>
            </w:r>
            <w:r w:rsidRPr="00D860A0">
              <w:t>751</w:t>
            </w:r>
            <w:r>
              <w:t>,</w:t>
            </w:r>
            <w:r w:rsidRPr="00D860A0">
              <w:t>008)</w:t>
            </w:r>
          </w:p>
        </w:tc>
        <w:tc>
          <w:tcPr>
            <w:tcW w:w="1418" w:type="dxa"/>
            <w:tcBorders>
              <w:top w:val="nil"/>
              <w:bottom w:val="nil"/>
            </w:tcBorders>
            <w:shd w:val="clear" w:color="auto" w:fill="auto"/>
            <w:vAlign w:val="center"/>
          </w:tcPr>
          <w:p w14:paraId="408625FF" w14:textId="77777777" w:rsidR="008B7E19" w:rsidRPr="0042427F" w:rsidRDefault="008B7E19" w:rsidP="008B7E19">
            <w:pPr>
              <w:pStyle w:val="08-Tabelageral"/>
              <w:ind w:left="113"/>
              <w:cnfStyle w:val="000000000000" w:firstRow="0" w:lastRow="0" w:firstColumn="0" w:lastColumn="0" w:oddVBand="0" w:evenVBand="0" w:oddHBand="0" w:evenHBand="0" w:firstRowFirstColumn="0" w:firstRowLastColumn="0" w:lastRowFirstColumn="0" w:lastRowLastColumn="0"/>
            </w:pPr>
            <w:r w:rsidRPr="009516E8">
              <w:t>(1</w:t>
            </w:r>
            <w:r>
              <w:t>,</w:t>
            </w:r>
            <w:r w:rsidRPr="009516E8">
              <w:t>857</w:t>
            </w:r>
            <w:r>
              <w:t>,</w:t>
            </w:r>
            <w:r w:rsidRPr="009516E8">
              <w:t>029)</w:t>
            </w:r>
          </w:p>
        </w:tc>
        <w:tc>
          <w:tcPr>
            <w:tcW w:w="281" w:type="dxa"/>
            <w:tcBorders>
              <w:top w:val="nil"/>
              <w:bottom w:val="nil"/>
            </w:tcBorders>
            <w:shd w:val="clear" w:color="auto" w:fill="auto"/>
            <w:vAlign w:val="center"/>
          </w:tcPr>
          <w:p w14:paraId="756C8A50" w14:textId="77777777" w:rsidR="008B7E19" w:rsidRPr="00966509" w:rsidRDefault="008B7E19" w:rsidP="008B7E19">
            <w:pPr>
              <w:pStyle w:val="08-Tabelageral"/>
              <w:ind w:left="113"/>
              <w:cnfStyle w:val="000000000000" w:firstRow="0" w:lastRow="0" w:firstColumn="0" w:lastColumn="0" w:oddVBand="0" w:evenVBand="0" w:oddHBand="0" w:evenHBand="0" w:firstRowFirstColumn="0" w:firstRowLastColumn="0" w:lastRowFirstColumn="0" w:lastRowLastColumn="0"/>
            </w:pPr>
          </w:p>
        </w:tc>
        <w:tc>
          <w:tcPr>
            <w:tcW w:w="1420" w:type="dxa"/>
            <w:tcBorders>
              <w:top w:val="nil"/>
              <w:bottom w:val="nil"/>
            </w:tcBorders>
            <w:shd w:val="clear" w:color="auto" w:fill="auto"/>
            <w:vAlign w:val="center"/>
          </w:tcPr>
          <w:p w14:paraId="600327BB" w14:textId="77777777" w:rsidR="008B7E19" w:rsidRPr="00966509" w:rsidRDefault="008B7E19" w:rsidP="008B7E19">
            <w:pPr>
              <w:pStyle w:val="08-Tabelageral"/>
              <w:ind w:left="113"/>
              <w:cnfStyle w:val="000000000000" w:firstRow="0" w:lastRow="0" w:firstColumn="0" w:lastColumn="0" w:oddVBand="0" w:evenVBand="0" w:oddHBand="0" w:evenHBand="0" w:firstRowFirstColumn="0" w:firstRowLastColumn="0" w:lastRowFirstColumn="0" w:lastRowLastColumn="0"/>
            </w:pPr>
            <w:r w:rsidRPr="001A1782">
              <w:t>(3</w:t>
            </w:r>
            <w:r>
              <w:t>,</w:t>
            </w:r>
            <w:r w:rsidRPr="001A1782">
              <w:t>751</w:t>
            </w:r>
            <w:r>
              <w:t>,</w:t>
            </w:r>
            <w:r w:rsidRPr="001A1782">
              <w:t>008)</w:t>
            </w:r>
          </w:p>
        </w:tc>
        <w:tc>
          <w:tcPr>
            <w:tcW w:w="1417" w:type="dxa"/>
            <w:tcBorders>
              <w:top w:val="nil"/>
              <w:bottom w:val="nil"/>
            </w:tcBorders>
            <w:shd w:val="clear" w:color="auto" w:fill="auto"/>
            <w:vAlign w:val="center"/>
          </w:tcPr>
          <w:p w14:paraId="741816C2" w14:textId="77777777" w:rsidR="008B7E19" w:rsidRPr="0042427F" w:rsidRDefault="008B7E19" w:rsidP="008B7E19">
            <w:pPr>
              <w:pStyle w:val="08-Tabelageral"/>
              <w:ind w:left="113"/>
              <w:cnfStyle w:val="000000000000" w:firstRow="0" w:lastRow="0" w:firstColumn="0" w:lastColumn="0" w:oddVBand="0" w:evenVBand="0" w:oddHBand="0" w:evenHBand="0" w:firstRowFirstColumn="0" w:firstRowLastColumn="0" w:lastRowFirstColumn="0" w:lastRowLastColumn="0"/>
            </w:pPr>
            <w:r w:rsidRPr="00CF7077">
              <w:rPr>
                <w:rFonts w:cs="Arial"/>
              </w:rPr>
              <w:t>(1</w:t>
            </w:r>
            <w:r>
              <w:rPr>
                <w:rFonts w:cs="Arial"/>
              </w:rPr>
              <w:t>,</w:t>
            </w:r>
            <w:r w:rsidRPr="00CF7077">
              <w:rPr>
                <w:rFonts w:cs="Arial"/>
              </w:rPr>
              <w:t>857</w:t>
            </w:r>
            <w:r>
              <w:rPr>
                <w:rFonts w:cs="Arial"/>
              </w:rPr>
              <w:t>,</w:t>
            </w:r>
            <w:r w:rsidRPr="00CF7077">
              <w:rPr>
                <w:rFonts w:cs="Arial"/>
              </w:rPr>
              <w:t>029)</w:t>
            </w:r>
          </w:p>
        </w:tc>
      </w:tr>
      <w:tr w:rsidR="008B7E19" w:rsidRPr="0042427F" w14:paraId="44C24D44"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auto"/>
            <w:vAlign w:val="center"/>
          </w:tcPr>
          <w:p w14:paraId="10655EFE" w14:textId="77777777" w:rsidR="008B7E19" w:rsidRPr="00BD6C7E" w:rsidRDefault="008B7E19" w:rsidP="008B7E19">
            <w:pPr>
              <w:pStyle w:val="08-Tabelageral"/>
              <w:jc w:val="left"/>
              <w:rPr>
                <w:lang w:val="en-US"/>
              </w:rPr>
            </w:pPr>
            <w:r w:rsidRPr="00BD6C7E">
              <w:rPr>
                <w:lang w:val="en-US"/>
              </w:rPr>
              <w:t>Cash flow provided by financing activities</w:t>
            </w:r>
          </w:p>
        </w:tc>
        <w:tc>
          <w:tcPr>
            <w:tcW w:w="781" w:type="dxa"/>
            <w:tcBorders>
              <w:top w:val="nil"/>
              <w:bottom w:val="nil"/>
            </w:tcBorders>
            <w:shd w:val="clear" w:color="auto" w:fill="auto"/>
            <w:vAlign w:val="center"/>
          </w:tcPr>
          <w:p w14:paraId="1BFA01A7" w14:textId="77777777" w:rsidR="008B7E19" w:rsidRPr="00D2760A" w:rsidRDefault="008B7E19" w:rsidP="008B7E19">
            <w:pPr>
              <w:pStyle w:val="08-Tabelageral"/>
              <w:jc w:val="left"/>
              <w:cnfStyle w:val="000000100000" w:firstRow="0" w:lastRow="0" w:firstColumn="0" w:lastColumn="0" w:oddVBand="0" w:evenVBand="0" w:oddHBand="1" w:evenHBand="0" w:firstRowFirstColumn="0" w:firstRowLastColumn="0" w:lastRowFirstColumn="0" w:lastRowLastColumn="0"/>
              <w:rPr>
                <w:b/>
                <w:bCs/>
                <w:lang w:val="en-US"/>
              </w:rPr>
            </w:pPr>
          </w:p>
        </w:tc>
        <w:tc>
          <w:tcPr>
            <w:tcW w:w="1345" w:type="dxa"/>
            <w:tcBorders>
              <w:top w:val="nil"/>
              <w:bottom w:val="nil"/>
            </w:tcBorders>
            <w:shd w:val="clear" w:color="auto" w:fill="auto"/>
            <w:vAlign w:val="center"/>
          </w:tcPr>
          <w:p w14:paraId="611E332A" w14:textId="77777777" w:rsidR="008B7E19" w:rsidRPr="00D2760A"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b/>
                <w:bCs/>
              </w:rPr>
            </w:pPr>
            <w:r w:rsidRPr="00D860A0">
              <w:rPr>
                <w:b/>
                <w:bCs/>
              </w:rPr>
              <w:t>(3</w:t>
            </w:r>
            <w:r>
              <w:rPr>
                <w:b/>
                <w:bCs/>
              </w:rPr>
              <w:t>,</w:t>
            </w:r>
            <w:r w:rsidRPr="00D860A0">
              <w:rPr>
                <w:b/>
                <w:bCs/>
              </w:rPr>
              <w:t>751</w:t>
            </w:r>
            <w:r>
              <w:rPr>
                <w:b/>
                <w:bCs/>
              </w:rPr>
              <w:t>,</w:t>
            </w:r>
            <w:r w:rsidRPr="00D860A0">
              <w:rPr>
                <w:b/>
                <w:bCs/>
              </w:rPr>
              <w:t>008)</w:t>
            </w:r>
          </w:p>
        </w:tc>
        <w:tc>
          <w:tcPr>
            <w:tcW w:w="1418" w:type="dxa"/>
            <w:tcBorders>
              <w:top w:val="nil"/>
              <w:bottom w:val="nil"/>
            </w:tcBorders>
            <w:shd w:val="clear" w:color="auto" w:fill="auto"/>
            <w:vAlign w:val="center"/>
          </w:tcPr>
          <w:p w14:paraId="5E9DC7BE" w14:textId="77777777" w:rsidR="008B7E19" w:rsidRPr="00D2760A" w:rsidRDefault="008B7E19" w:rsidP="008B7E19">
            <w:pPr>
              <w:pStyle w:val="08-Tabelageral"/>
              <w:ind w:left="113"/>
              <w:cnfStyle w:val="000000100000" w:firstRow="0" w:lastRow="0" w:firstColumn="0" w:lastColumn="0" w:oddVBand="0" w:evenVBand="0" w:oddHBand="1" w:evenHBand="0" w:firstRowFirstColumn="0" w:firstRowLastColumn="0" w:lastRowFirstColumn="0" w:lastRowLastColumn="0"/>
              <w:rPr>
                <w:b/>
                <w:bCs/>
              </w:rPr>
            </w:pPr>
            <w:r w:rsidRPr="009516E8">
              <w:rPr>
                <w:b/>
                <w:bCs/>
              </w:rPr>
              <w:t>(1</w:t>
            </w:r>
            <w:r>
              <w:rPr>
                <w:b/>
                <w:bCs/>
              </w:rPr>
              <w:t>,</w:t>
            </w:r>
            <w:r w:rsidRPr="009516E8">
              <w:rPr>
                <w:b/>
                <w:bCs/>
              </w:rPr>
              <w:t>857</w:t>
            </w:r>
            <w:r>
              <w:rPr>
                <w:b/>
                <w:bCs/>
              </w:rPr>
              <w:t>,</w:t>
            </w:r>
            <w:r w:rsidRPr="009516E8">
              <w:rPr>
                <w:b/>
                <w:bCs/>
              </w:rPr>
              <w:t>029)</w:t>
            </w:r>
          </w:p>
        </w:tc>
        <w:tc>
          <w:tcPr>
            <w:tcW w:w="281" w:type="dxa"/>
            <w:tcBorders>
              <w:top w:val="nil"/>
              <w:bottom w:val="nil"/>
            </w:tcBorders>
            <w:shd w:val="clear" w:color="auto" w:fill="auto"/>
            <w:vAlign w:val="center"/>
          </w:tcPr>
          <w:p w14:paraId="6604BD08" w14:textId="77777777" w:rsidR="008B7E19" w:rsidRPr="00D2760A" w:rsidRDefault="008B7E19" w:rsidP="008B7E19">
            <w:pPr>
              <w:pStyle w:val="08-Tabelageral"/>
              <w:jc w:val="left"/>
              <w:cnfStyle w:val="000000100000" w:firstRow="0" w:lastRow="0" w:firstColumn="0" w:lastColumn="0" w:oddVBand="0" w:evenVBand="0" w:oddHBand="1" w:evenHBand="0" w:firstRowFirstColumn="0" w:firstRowLastColumn="0" w:lastRowFirstColumn="0" w:lastRowLastColumn="0"/>
              <w:rPr>
                <w:b/>
                <w:bCs/>
              </w:rPr>
            </w:pPr>
          </w:p>
        </w:tc>
        <w:tc>
          <w:tcPr>
            <w:tcW w:w="1420" w:type="dxa"/>
            <w:tcBorders>
              <w:top w:val="nil"/>
              <w:bottom w:val="nil"/>
            </w:tcBorders>
            <w:shd w:val="clear" w:color="auto" w:fill="auto"/>
            <w:vAlign w:val="center"/>
          </w:tcPr>
          <w:p w14:paraId="5ED4C328" w14:textId="77777777" w:rsidR="008B7E19" w:rsidRPr="00D2760A"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b/>
                <w:bCs/>
              </w:rPr>
            </w:pPr>
            <w:r w:rsidRPr="001A1782">
              <w:rPr>
                <w:b/>
                <w:bCs/>
              </w:rPr>
              <w:t>(3</w:t>
            </w:r>
            <w:r>
              <w:rPr>
                <w:b/>
                <w:bCs/>
              </w:rPr>
              <w:t>,</w:t>
            </w:r>
            <w:r w:rsidRPr="001A1782">
              <w:rPr>
                <w:b/>
                <w:bCs/>
              </w:rPr>
              <w:t>751</w:t>
            </w:r>
            <w:r>
              <w:rPr>
                <w:b/>
                <w:bCs/>
              </w:rPr>
              <w:t>,</w:t>
            </w:r>
            <w:r w:rsidRPr="001A1782">
              <w:rPr>
                <w:b/>
                <w:bCs/>
              </w:rPr>
              <w:t>008)</w:t>
            </w:r>
          </w:p>
        </w:tc>
        <w:tc>
          <w:tcPr>
            <w:tcW w:w="1417" w:type="dxa"/>
            <w:tcBorders>
              <w:top w:val="nil"/>
              <w:bottom w:val="nil"/>
            </w:tcBorders>
            <w:shd w:val="clear" w:color="auto" w:fill="auto"/>
            <w:vAlign w:val="center"/>
          </w:tcPr>
          <w:p w14:paraId="234FBAE9" w14:textId="77777777" w:rsidR="008B7E19" w:rsidRPr="00D2760A"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b/>
                <w:bCs/>
              </w:rPr>
            </w:pPr>
            <w:r w:rsidRPr="00CF7077">
              <w:rPr>
                <w:rFonts w:cs="Arial"/>
                <w:b/>
                <w:bCs/>
              </w:rPr>
              <w:t>(1</w:t>
            </w:r>
            <w:r>
              <w:rPr>
                <w:rFonts w:cs="Arial"/>
                <w:b/>
                <w:bCs/>
              </w:rPr>
              <w:t>,</w:t>
            </w:r>
            <w:r w:rsidRPr="00CF7077">
              <w:rPr>
                <w:rFonts w:cs="Arial"/>
                <w:b/>
                <w:bCs/>
              </w:rPr>
              <w:t>857</w:t>
            </w:r>
            <w:r>
              <w:rPr>
                <w:rFonts w:cs="Arial"/>
                <w:b/>
                <w:bCs/>
              </w:rPr>
              <w:t>,</w:t>
            </w:r>
            <w:r w:rsidRPr="00CF7077">
              <w:rPr>
                <w:rFonts w:cs="Arial"/>
                <w:b/>
                <w:bCs/>
              </w:rPr>
              <w:t>029)</w:t>
            </w:r>
          </w:p>
        </w:tc>
      </w:tr>
      <w:tr w:rsidR="008B7E19" w:rsidRPr="001D6BE8" w14:paraId="04C84EFC" w14:textId="77777777" w:rsidTr="008B7E19">
        <w:trPr>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auto"/>
            <w:vAlign w:val="center"/>
          </w:tcPr>
          <w:p w14:paraId="6D1B14A0" w14:textId="77777777" w:rsidR="008B7E19" w:rsidRPr="0038031F" w:rsidRDefault="008B7E19" w:rsidP="008B7E19">
            <w:pPr>
              <w:pStyle w:val="08-Tabelageral"/>
              <w:ind w:left="32"/>
              <w:jc w:val="left"/>
              <w:rPr>
                <w:b w:val="0"/>
              </w:rPr>
            </w:pPr>
          </w:p>
        </w:tc>
        <w:tc>
          <w:tcPr>
            <w:tcW w:w="781" w:type="dxa"/>
            <w:tcBorders>
              <w:top w:val="nil"/>
              <w:bottom w:val="nil"/>
            </w:tcBorders>
            <w:shd w:val="clear" w:color="auto" w:fill="auto"/>
            <w:vAlign w:val="center"/>
          </w:tcPr>
          <w:p w14:paraId="42F31FAF" w14:textId="77777777" w:rsidR="008B7E19" w:rsidRPr="00CF4B29" w:rsidRDefault="008B7E19" w:rsidP="008B7E19">
            <w:pPr>
              <w:pStyle w:val="08-Tabelageral"/>
              <w:jc w:val="left"/>
              <w:cnfStyle w:val="000000000000" w:firstRow="0" w:lastRow="0" w:firstColumn="0" w:lastColumn="0" w:oddVBand="0" w:evenVBand="0" w:oddHBand="0" w:evenHBand="0" w:firstRowFirstColumn="0" w:firstRowLastColumn="0" w:lastRowFirstColumn="0" w:lastRowLastColumn="0"/>
              <w:rPr>
                <w:szCs w:val="14"/>
              </w:rPr>
            </w:pPr>
          </w:p>
        </w:tc>
        <w:tc>
          <w:tcPr>
            <w:tcW w:w="1345" w:type="dxa"/>
            <w:tcBorders>
              <w:top w:val="nil"/>
              <w:bottom w:val="nil"/>
            </w:tcBorders>
            <w:shd w:val="clear" w:color="auto" w:fill="auto"/>
            <w:vAlign w:val="center"/>
          </w:tcPr>
          <w:p w14:paraId="0413433C" w14:textId="77777777" w:rsidR="008B7E19" w:rsidRPr="00350BA7"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p>
        </w:tc>
        <w:tc>
          <w:tcPr>
            <w:tcW w:w="1418" w:type="dxa"/>
            <w:tcBorders>
              <w:top w:val="nil"/>
              <w:bottom w:val="nil"/>
            </w:tcBorders>
            <w:shd w:val="clear" w:color="auto" w:fill="auto"/>
            <w:vAlign w:val="center"/>
          </w:tcPr>
          <w:p w14:paraId="72071349" w14:textId="77777777" w:rsidR="008B7E19" w:rsidRPr="00CF4B29" w:rsidRDefault="008B7E19" w:rsidP="008B7E19">
            <w:pPr>
              <w:pStyle w:val="08-Tabelageral"/>
              <w:cnfStyle w:val="000000000000" w:firstRow="0" w:lastRow="0" w:firstColumn="0" w:lastColumn="0" w:oddVBand="0" w:evenVBand="0" w:oddHBand="0" w:evenHBand="0" w:firstRowFirstColumn="0" w:firstRowLastColumn="0" w:lastRowFirstColumn="0" w:lastRowLastColumn="0"/>
            </w:pPr>
          </w:p>
        </w:tc>
        <w:tc>
          <w:tcPr>
            <w:tcW w:w="281" w:type="dxa"/>
            <w:tcBorders>
              <w:top w:val="nil"/>
              <w:bottom w:val="nil"/>
            </w:tcBorders>
            <w:shd w:val="clear" w:color="auto" w:fill="auto"/>
            <w:vAlign w:val="center"/>
          </w:tcPr>
          <w:p w14:paraId="147BC418" w14:textId="77777777" w:rsidR="008B7E19" w:rsidRPr="00350BA7"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p>
        </w:tc>
        <w:tc>
          <w:tcPr>
            <w:tcW w:w="1420" w:type="dxa"/>
            <w:tcBorders>
              <w:top w:val="nil"/>
              <w:bottom w:val="nil"/>
            </w:tcBorders>
            <w:shd w:val="clear" w:color="auto" w:fill="auto"/>
            <w:vAlign w:val="center"/>
          </w:tcPr>
          <w:p w14:paraId="6B1E87D6" w14:textId="77777777" w:rsidR="008B7E19" w:rsidRPr="00350BA7"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p>
        </w:tc>
        <w:tc>
          <w:tcPr>
            <w:tcW w:w="1417" w:type="dxa"/>
            <w:tcBorders>
              <w:top w:val="nil"/>
              <w:bottom w:val="nil"/>
            </w:tcBorders>
            <w:shd w:val="clear" w:color="auto" w:fill="auto"/>
            <w:vAlign w:val="center"/>
          </w:tcPr>
          <w:p w14:paraId="0D4E02A6" w14:textId="77777777" w:rsidR="008B7E19" w:rsidRPr="00CF4B29" w:rsidRDefault="008B7E19" w:rsidP="008B7E19">
            <w:pPr>
              <w:pStyle w:val="08-Tabelageral"/>
              <w:cnfStyle w:val="000000000000" w:firstRow="0" w:lastRow="0" w:firstColumn="0" w:lastColumn="0" w:oddVBand="0" w:evenVBand="0" w:oddHBand="0" w:evenHBand="0" w:firstRowFirstColumn="0" w:firstRowLastColumn="0" w:lastRowFirstColumn="0" w:lastRowLastColumn="0"/>
            </w:pPr>
          </w:p>
        </w:tc>
      </w:tr>
      <w:tr w:rsidR="008B7E19" w:rsidRPr="00354D74" w14:paraId="39FACBF9"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auto"/>
            <w:vAlign w:val="center"/>
          </w:tcPr>
          <w:p w14:paraId="138AC143" w14:textId="77777777" w:rsidR="008B7E19" w:rsidRPr="00BD6C7E" w:rsidRDefault="008B7E19" w:rsidP="008B7E19">
            <w:pPr>
              <w:pStyle w:val="08-Tabelageral"/>
              <w:jc w:val="left"/>
              <w:rPr>
                <w:lang w:val="en-US"/>
              </w:rPr>
            </w:pPr>
            <w:r w:rsidRPr="00BD6C7E">
              <w:rPr>
                <w:lang w:val="en-US"/>
              </w:rPr>
              <w:t>Net change in cash and cash equivalents</w:t>
            </w:r>
          </w:p>
        </w:tc>
        <w:tc>
          <w:tcPr>
            <w:tcW w:w="781" w:type="dxa"/>
            <w:tcBorders>
              <w:top w:val="nil"/>
              <w:bottom w:val="nil"/>
            </w:tcBorders>
            <w:shd w:val="clear" w:color="auto" w:fill="auto"/>
            <w:vAlign w:val="center"/>
          </w:tcPr>
          <w:p w14:paraId="4D24E528" w14:textId="77777777" w:rsidR="008B7E19" w:rsidRPr="0038283D" w:rsidRDefault="008B7E19" w:rsidP="008B7E19">
            <w:pPr>
              <w:pStyle w:val="08-Tabelageral"/>
              <w:jc w:val="left"/>
              <w:cnfStyle w:val="000000100000" w:firstRow="0" w:lastRow="0" w:firstColumn="0" w:lastColumn="0" w:oddVBand="0" w:evenVBand="0" w:oddHBand="1" w:evenHBand="0" w:firstRowFirstColumn="0" w:firstRowLastColumn="0" w:lastRowFirstColumn="0" w:lastRowLastColumn="0"/>
              <w:rPr>
                <w:b/>
                <w:lang w:val="en-US"/>
              </w:rPr>
            </w:pPr>
          </w:p>
        </w:tc>
        <w:tc>
          <w:tcPr>
            <w:tcW w:w="1345" w:type="dxa"/>
            <w:tcBorders>
              <w:top w:val="nil"/>
              <w:left w:val="nil"/>
              <w:bottom w:val="nil"/>
              <w:right w:val="nil"/>
            </w:tcBorders>
            <w:shd w:val="clear" w:color="auto" w:fill="auto"/>
            <w:vAlign w:val="center"/>
          </w:tcPr>
          <w:p w14:paraId="1B7803C1" w14:textId="77777777" w:rsidR="008B7E19" w:rsidRPr="00881572"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b/>
                <w:bCs/>
                <w:lang w:val="en-US"/>
              </w:rPr>
            </w:pPr>
            <w:r w:rsidRPr="00D860A0">
              <w:rPr>
                <w:b/>
                <w:bCs/>
              </w:rPr>
              <w:t>991</w:t>
            </w:r>
            <w:r>
              <w:rPr>
                <w:b/>
                <w:bCs/>
              </w:rPr>
              <w:t>,</w:t>
            </w:r>
            <w:r w:rsidRPr="00D860A0">
              <w:rPr>
                <w:b/>
                <w:bCs/>
              </w:rPr>
              <w:t>800</w:t>
            </w:r>
          </w:p>
        </w:tc>
        <w:tc>
          <w:tcPr>
            <w:tcW w:w="1418" w:type="dxa"/>
            <w:tcBorders>
              <w:top w:val="nil"/>
              <w:left w:val="nil"/>
              <w:bottom w:val="nil"/>
              <w:right w:val="nil"/>
            </w:tcBorders>
            <w:shd w:val="clear" w:color="auto" w:fill="auto"/>
            <w:vAlign w:val="center"/>
          </w:tcPr>
          <w:p w14:paraId="6634BCE2" w14:textId="77777777" w:rsidR="008B7E19" w:rsidRPr="0084302C"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b/>
                <w:bCs/>
              </w:rPr>
            </w:pPr>
            <w:r w:rsidRPr="009516E8">
              <w:rPr>
                <w:b/>
                <w:bCs/>
              </w:rPr>
              <w:t>(278</w:t>
            </w:r>
            <w:r>
              <w:rPr>
                <w:b/>
                <w:bCs/>
              </w:rPr>
              <w:t>,</w:t>
            </w:r>
            <w:r w:rsidRPr="009516E8">
              <w:rPr>
                <w:b/>
                <w:bCs/>
              </w:rPr>
              <w:t>688)</w:t>
            </w:r>
          </w:p>
        </w:tc>
        <w:tc>
          <w:tcPr>
            <w:tcW w:w="281" w:type="dxa"/>
            <w:tcBorders>
              <w:top w:val="nil"/>
              <w:bottom w:val="nil"/>
            </w:tcBorders>
            <w:shd w:val="clear" w:color="auto" w:fill="auto"/>
            <w:vAlign w:val="center"/>
          </w:tcPr>
          <w:p w14:paraId="103F05AB" w14:textId="77777777" w:rsidR="008B7E19" w:rsidRPr="0084302C"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b/>
                <w:bCs/>
              </w:rPr>
            </w:pPr>
          </w:p>
        </w:tc>
        <w:tc>
          <w:tcPr>
            <w:tcW w:w="1420" w:type="dxa"/>
            <w:tcBorders>
              <w:top w:val="nil"/>
              <w:left w:val="nil"/>
              <w:bottom w:val="nil"/>
              <w:right w:val="nil"/>
            </w:tcBorders>
            <w:shd w:val="clear" w:color="auto" w:fill="auto"/>
            <w:vAlign w:val="center"/>
          </w:tcPr>
          <w:p w14:paraId="5CC9233F" w14:textId="77777777" w:rsidR="008B7E19" w:rsidRPr="0084302C"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b/>
                <w:bCs/>
              </w:rPr>
            </w:pPr>
            <w:r w:rsidRPr="001A1782">
              <w:rPr>
                <w:b/>
                <w:bCs/>
              </w:rPr>
              <w:t>(1</w:t>
            </w:r>
            <w:r>
              <w:rPr>
                <w:b/>
                <w:bCs/>
              </w:rPr>
              <w:t>,</w:t>
            </w:r>
            <w:r w:rsidRPr="001A1782">
              <w:rPr>
                <w:b/>
                <w:bCs/>
              </w:rPr>
              <w:t>719</w:t>
            </w:r>
            <w:r>
              <w:rPr>
                <w:b/>
                <w:bCs/>
              </w:rPr>
              <w:t>,</w:t>
            </w:r>
            <w:r w:rsidRPr="001A1782">
              <w:rPr>
                <w:b/>
                <w:bCs/>
              </w:rPr>
              <w:t>211)</w:t>
            </w:r>
          </w:p>
        </w:tc>
        <w:tc>
          <w:tcPr>
            <w:tcW w:w="1417" w:type="dxa"/>
            <w:tcBorders>
              <w:top w:val="nil"/>
              <w:left w:val="nil"/>
              <w:bottom w:val="nil"/>
              <w:right w:val="nil"/>
            </w:tcBorders>
            <w:shd w:val="clear" w:color="auto" w:fill="auto"/>
            <w:vAlign w:val="center"/>
          </w:tcPr>
          <w:p w14:paraId="2B5A1595" w14:textId="77777777" w:rsidR="008B7E19" w:rsidRPr="0084302C"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b/>
                <w:bCs/>
              </w:rPr>
            </w:pPr>
            <w:r w:rsidRPr="00CF7077">
              <w:rPr>
                <w:b/>
                <w:bCs/>
              </w:rPr>
              <w:t>(67</w:t>
            </w:r>
            <w:r>
              <w:rPr>
                <w:b/>
                <w:bCs/>
              </w:rPr>
              <w:t>,</w:t>
            </w:r>
            <w:r w:rsidRPr="00CF7077">
              <w:rPr>
                <w:b/>
                <w:bCs/>
              </w:rPr>
              <w:t>323)</w:t>
            </w:r>
          </w:p>
        </w:tc>
      </w:tr>
      <w:tr w:rsidR="008B7E19" w:rsidRPr="00354D74" w14:paraId="0DA91A44" w14:textId="77777777" w:rsidTr="008B7E19">
        <w:trPr>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auto"/>
            <w:vAlign w:val="center"/>
          </w:tcPr>
          <w:p w14:paraId="656FD6F0" w14:textId="77777777" w:rsidR="008B7E19" w:rsidRPr="00354D74" w:rsidRDefault="008B7E19" w:rsidP="008B7E19">
            <w:pPr>
              <w:pStyle w:val="08-Tabelageral"/>
              <w:ind w:left="113"/>
              <w:jc w:val="left"/>
              <w:rPr>
                <w:b w:val="0"/>
              </w:rPr>
            </w:pPr>
            <w:r w:rsidRPr="00AF12C2">
              <w:rPr>
                <w:b w:val="0"/>
              </w:rPr>
              <w:t>Opening balance</w:t>
            </w:r>
          </w:p>
        </w:tc>
        <w:tc>
          <w:tcPr>
            <w:tcW w:w="781" w:type="dxa"/>
            <w:tcBorders>
              <w:top w:val="nil"/>
              <w:bottom w:val="nil"/>
            </w:tcBorders>
            <w:shd w:val="clear" w:color="auto" w:fill="auto"/>
            <w:vAlign w:val="center"/>
          </w:tcPr>
          <w:p w14:paraId="0E9599F8" w14:textId="77777777" w:rsidR="008B7E19" w:rsidRPr="00354D74" w:rsidRDefault="008B7E19" w:rsidP="008B7E19">
            <w:pPr>
              <w:pStyle w:val="08-Tabelageral"/>
              <w:jc w:val="left"/>
              <w:cnfStyle w:val="000000000000" w:firstRow="0" w:lastRow="0" w:firstColumn="0" w:lastColumn="0" w:oddVBand="0" w:evenVBand="0" w:oddHBand="0" w:evenHBand="0" w:firstRowFirstColumn="0" w:firstRowLastColumn="0" w:lastRowFirstColumn="0" w:lastRowLastColumn="0"/>
              <w:rPr>
                <w:b/>
              </w:rPr>
            </w:pPr>
            <w:r w:rsidRPr="000C3D08">
              <w:t>[15]</w:t>
            </w:r>
          </w:p>
        </w:tc>
        <w:tc>
          <w:tcPr>
            <w:tcW w:w="1345" w:type="dxa"/>
            <w:tcBorders>
              <w:top w:val="nil"/>
              <w:left w:val="nil"/>
              <w:bottom w:val="nil"/>
              <w:right w:val="nil"/>
            </w:tcBorders>
            <w:shd w:val="clear" w:color="auto" w:fill="auto"/>
            <w:vAlign w:val="center"/>
          </w:tcPr>
          <w:p w14:paraId="1C407E56" w14:textId="77777777" w:rsidR="008B7E19" w:rsidRPr="00EC1904" w:rsidRDefault="008B7E19" w:rsidP="008B7E19">
            <w:pPr>
              <w:pStyle w:val="08-Tabelageral"/>
              <w:ind w:left="113"/>
              <w:cnfStyle w:val="000000000000" w:firstRow="0" w:lastRow="0" w:firstColumn="0" w:lastColumn="0" w:oddVBand="0" w:evenVBand="0" w:oddHBand="0" w:evenHBand="0" w:firstRowFirstColumn="0" w:firstRowLastColumn="0" w:lastRowFirstColumn="0" w:lastRowLastColumn="0"/>
            </w:pPr>
            <w:r w:rsidRPr="00D860A0">
              <w:rPr>
                <w:rFonts w:cs="Arial"/>
                <w:bCs/>
                <w:szCs w:val="14"/>
              </w:rPr>
              <w:t>59</w:t>
            </w:r>
            <w:r>
              <w:rPr>
                <w:rFonts w:cs="Arial"/>
                <w:bCs/>
                <w:szCs w:val="14"/>
              </w:rPr>
              <w:t>,</w:t>
            </w:r>
            <w:r w:rsidRPr="00D860A0">
              <w:rPr>
                <w:rFonts w:cs="Arial"/>
                <w:bCs/>
                <w:szCs w:val="14"/>
              </w:rPr>
              <w:t>003</w:t>
            </w:r>
          </w:p>
        </w:tc>
        <w:tc>
          <w:tcPr>
            <w:tcW w:w="1418" w:type="dxa"/>
            <w:tcBorders>
              <w:top w:val="nil"/>
              <w:left w:val="nil"/>
              <w:bottom w:val="nil"/>
              <w:right w:val="nil"/>
            </w:tcBorders>
            <w:shd w:val="clear" w:color="auto" w:fill="auto"/>
            <w:vAlign w:val="center"/>
          </w:tcPr>
          <w:p w14:paraId="713B6867" w14:textId="77777777" w:rsidR="008B7E19" w:rsidRPr="00354D74" w:rsidRDefault="008B7E19" w:rsidP="008B7E19">
            <w:pPr>
              <w:pStyle w:val="08-Tabelageral"/>
              <w:ind w:left="113"/>
              <w:cnfStyle w:val="000000000000" w:firstRow="0" w:lastRow="0" w:firstColumn="0" w:lastColumn="0" w:oddVBand="0" w:evenVBand="0" w:oddHBand="0" w:evenHBand="0" w:firstRowFirstColumn="0" w:firstRowLastColumn="0" w:lastRowFirstColumn="0" w:lastRowLastColumn="0"/>
            </w:pPr>
            <w:r w:rsidRPr="009516E8">
              <w:rPr>
                <w:bCs/>
              </w:rPr>
              <w:t>369</w:t>
            </w:r>
            <w:r>
              <w:rPr>
                <w:bCs/>
              </w:rPr>
              <w:t>,</w:t>
            </w:r>
            <w:r w:rsidRPr="009516E8">
              <w:rPr>
                <w:bCs/>
              </w:rPr>
              <w:t>342</w:t>
            </w:r>
          </w:p>
        </w:tc>
        <w:tc>
          <w:tcPr>
            <w:tcW w:w="281" w:type="dxa"/>
            <w:tcBorders>
              <w:top w:val="nil"/>
              <w:bottom w:val="nil"/>
            </w:tcBorders>
            <w:shd w:val="clear" w:color="auto" w:fill="auto"/>
            <w:vAlign w:val="center"/>
          </w:tcPr>
          <w:p w14:paraId="0F213C58" w14:textId="77777777" w:rsidR="008B7E19" w:rsidRPr="00354D74" w:rsidRDefault="008B7E19" w:rsidP="008B7E19">
            <w:pPr>
              <w:pStyle w:val="08-Tabelageral"/>
              <w:ind w:left="113"/>
              <w:cnfStyle w:val="000000000000" w:firstRow="0" w:lastRow="0" w:firstColumn="0" w:lastColumn="0" w:oddVBand="0" w:evenVBand="0" w:oddHBand="0" w:evenHBand="0" w:firstRowFirstColumn="0" w:firstRowLastColumn="0" w:lastRowFirstColumn="0" w:lastRowLastColumn="0"/>
            </w:pPr>
          </w:p>
        </w:tc>
        <w:tc>
          <w:tcPr>
            <w:tcW w:w="1420" w:type="dxa"/>
            <w:tcBorders>
              <w:top w:val="nil"/>
              <w:left w:val="nil"/>
              <w:bottom w:val="nil"/>
              <w:right w:val="nil"/>
            </w:tcBorders>
            <w:shd w:val="clear" w:color="auto" w:fill="auto"/>
            <w:vAlign w:val="center"/>
          </w:tcPr>
          <w:p w14:paraId="0914B871" w14:textId="77777777" w:rsidR="008B7E19" w:rsidRPr="00354D74" w:rsidRDefault="008B7E19" w:rsidP="008B7E19">
            <w:pPr>
              <w:pStyle w:val="08-Tabelageral"/>
              <w:ind w:left="113"/>
              <w:cnfStyle w:val="000000000000" w:firstRow="0" w:lastRow="0" w:firstColumn="0" w:lastColumn="0" w:oddVBand="0" w:evenVBand="0" w:oddHBand="0" w:evenHBand="0" w:firstRowFirstColumn="0" w:firstRowLastColumn="0" w:lastRowFirstColumn="0" w:lastRowLastColumn="0"/>
            </w:pPr>
            <w:r w:rsidRPr="001A1782">
              <w:rPr>
                <w:rFonts w:cs="Arial"/>
                <w:bCs/>
                <w:szCs w:val="14"/>
              </w:rPr>
              <w:t>6</w:t>
            </w:r>
            <w:r>
              <w:rPr>
                <w:rFonts w:cs="Arial"/>
                <w:bCs/>
                <w:szCs w:val="14"/>
              </w:rPr>
              <w:t>,</w:t>
            </w:r>
            <w:r w:rsidRPr="001A1782">
              <w:rPr>
                <w:rFonts w:cs="Arial"/>
                <w:bCs/>
                <w:szCs w:val="14"/>
              </w:rPr>
              <w:t>076</w:t>
            </w:r>
            <w:r>
              <w:rPr>
                <w:rFonts w:cs="Arial"/>
                <w:bCs/>
                <w:szCs w:val="14"/>
              </w:rPr>
              <w:t>,</w:t>
            </w:r>
            <w:r w:rsidRPr="001A1782">
              <w:rPr>
                <w:rFonts w:cs="Arial"/>
                <w:bCs/>
                <w:szCs w:val="14"/>
              </w:rPr>
              <w:t>618</w:t>
            </w:r>
          </w:p>
        </w:tc>
        <w:tc>
          <w:tcPr>
            <w:tcW w:w="1417" w:type="dxa"/>
            <w:tcBorders>
              <w:top w:val="nil"/>
              <w:left w:val="nil"/>
              <w:bottom w:val="nil"/>
              <w:right w:val="nil"/>
            </w:tcBorders>
            <w:shd w:val="clear" w:color="auto" w:fill="auto"/>
            <w:vAlign w:val="center"/>
          </w:tcPr>
          <w:p w14:paraId="7AF46A90" w14:textId="77777777" w:rsidR="008B7E19" w:rsidRPr="00354D74" w:rsidRDefault="008B7E19" w:rsidP="008B7E19">
            <w:pPr>
              <w:pStyle w:val="08-Tabelageral"/>
              <w:ind w:left="113"/>
              <w:cnfStyle w:val="000000000000" w:firstRow="0" w:lastRow="0" w:firstColumn="0" w:lastColumn="0" w:oddVBand="0" w:evenVBand="0" w:oddHBand="0" w:evenHBand="0" w:firstRowFirstColumn="0" w:firstRowLastColumn="0" w:lastRowFirstColumn="0" w:lastRowLastColumn="0"/>
            </w:pPr>
            <w:r w:rsidRPr="00CF7077">
              <w:rPr>
                <w:bCs/>
              </w:rPr>
              <w:t>4</w:t>
            </w:r>
            <w:r>
              <w:rPr>
                <w:bCs/>
              </w:rPr>
              <w:t>,</w:t>
            </w:r>
            <w:r w:rsidRPr="00CF7077">
              <w:rPr>
                <w:bCs/>
              </w:rPr>
              <w:t>090</w:t>
            </w:r>
            <w:r>
              <w:rPr>
                <w:bCs/>
              </w:rPr>
              <w:t>,</w:t>
            </w:r>
            <w:r w:rsidRPr="00CF7077">
              <w:rPr>
                <w:bCs/>
              </w:rPr>
              <w:t>561</w:t>
            </w:r>
          </w:p>
        </w:tc>
      </w:tr>
      <w:tr w:rsidR="008B7E19" w:rsidRPr="00354D74" w14:paraId="0D79DC42"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auto"/>
            <w:vAlign w:val="center"/>
          </w:tcPr>
          <w:p w14:paraId="2B61513C" w14:textId="77777777" w:rsidR="008B7E19" w:rsidRPr="00354D74" w:rsidRDefault="008B7E19" w:rsidP="008B7E19">
            <w:pPr>
              <w:pStyle w:val="08-Tabelageral"/>
              <w:ind w:left="113"/>
              <w:jc w:val="left"/>
              <w:rPr>
                <w:b w:val="0"/>
              </w:rPr>
            </w:pPr>
            <w:r w:rsidRPr="00AF12C2">
              <w:rPr>
                <w:b w:val="0"/>
              </w:rPr>
              <w:t>Closing balance</w:t>
            </w:r>
          </w:p>
        </w:tc>
        <w:tc>
          <w:tcPr>
            <w:tcW w:w="781" w:type="dxa"/>
            <w:tcBorders>
              <w:top w:val="nil"/>
              <w:bottom w:val="nil"/>
            </w:tcBorders>
            <w:shd w:val="clear" w:color="auto" w:fill="auto"/>
            <w:vAlign w:val="center"/>
          </w:tcPr>
          <w:p w14:paraId="4F763CEB" w14:textId="77777777" w:rsidR="008B7E19" w:rsidRPr="00354D74" w:rsidRDefault="008B7E19" w:rsidP="008B7E19">
            <w:pPr>
              <w:pStyle w:val="08-Tabelageral"/>
              <w:jc w:val="left"/>
              <w:cnfStyle w:val="000000100000" w:firstRow="0" w:lastRow="0" w:firstColumn="0" w:lastColumn="0" w:oddVBand="0" w:evenVBand="0" w:oddHBand="1" w:evenHBand="0" w:firstRowFirstColumn="0" w:firstRowLastColumn="0" w:lastRowFirstColumn="0" w:lastRowLastColumn="0"/>
              <w:rPr>
                <w:b/>
              </w:rPr>
            </w:pPr>
            <w:r w:rsidRPr="000C3D08">
              <w:t>[15]</w:t>
            </w:r>
          </w:p>
        </w:tc>
        <w:tc>
          <w:tcPr>
            <w:tcW w:w="1345" w:type="dxa"/>
            <w:tcBorders>
              <w:top w:val="nil"/>
              <w:left w:val="nil"/>
              <w:bottom w:val="nil"/>
              <w:right w:val="nil"/>
            </w:tcBorders>
            <w:shd w:val="clear" w:color="auto" w:fill="auto"/>
            <w:vAlign w:val="center"/>
          </w:tcPr>
          <w:p w14:paraId="060BE036" w14:textId="77777777" w:rsidR="008B7E19" w:rsidRPr="00EC1904" w:rsidRDefault="008B7E19" w:rsidP="008B7E19">
            <w:pPr>
              <w:pStyle w:val="08-Tabelageral"/>
              <w:ind w:left="113"/>
              <w:cnfStyle w:val="000000100000" w:firstRow="0" w:lastRow="0" w:firstColumn="0" w:lastColumn="0" w:oddVBand="0" w:evenVBand="0" w:oddHBand="1" w:evenHBand="0" w:firstRowFirstColumn="0" w:firstRowLastColumn="0" w:lastRowFirstColumn="0" w:lastRowLastColumn="0"/>
            </w:pPr>
            <w:r w:rsidRPr="00D860A0">
              <w:rPr>
                <w:rFonts w:cs="Arial"/>
                <w:szCs w:val="14"/>
              </w:rPr>
              <w:t>1</w:t>
            </w:r>
            <w:r>
              <w:rPr>
                <w:rFonts w:cs="Arial"/>
                <w:szCs w:val="14"/>
              </w:rPr>
              <w:t>,</w:t>
            </w:r>
            <w:r w:rsidRPr="00D860A0">
              <w:rPr>
                <w:rFonts w:cs="Arial"/>
                <w:szCs w:val="14"/>
              </w:rPr>
              <w:t>050</w:t>
            </w:r>
            <w:r>
              <w:rPr>
                <w:rFonts w:cs="Arial"/>
                <w:szCs w:val="14"/>
              </w:rPr>
              <w:t>,</w:t>
            </w:r>
            <w:r w:rsidRPr="00D860A0">
              <w:rPr>
                <w:rFonts w:cs="Arial"/>
                <w:szCs w:val="14"/>
              </w:rPr>
              <w:t>803</w:t>
            </w:r>
          </w:p>
        </w:tc>
        <w:tc>
          <w:tcPr>
            <w:tcW w:w="1418" w:type="dxa"/>
            <w:tcBorders>
              <w:top w:val="nil"/>
              <w:left w:val="nil"/>
              <w:bottom w:val="nil"/>
              <w:right w:val="nil"/>
            </w:tcBorders>
            <w:shd w:val="clear" w:color="auto" w:fill="auto"/>
            <w:vAlign w:val="center"/>
          </w:tcPr>
          <w:p w14:paraId="10A52D1F" w14:textId="77777777" w:rsidR="008B7E19" w:rsidRPr="00354D74" w:rsidRDefault="008B7E19" w:rsidP="008B7E19">
            <w:pPr>
              <w:pStyle w:val="08-Tabelageral"/>
              <w:ind w:left="113"/>
              <w:cnfStyle w:val="000000100000" w:firstRow="0" w:lastRow="0" w:firstColumn="0" w:lastColumn="0" w:oddVBand="0" w:evenVBand="0" w:oddHBand="1" w:evenHBand="0" w:firstRowFirstColumn="0" w:firstRowLastColumn="0" w:lastRowFirstColumn="0" w:lastRowLastColumn="0"/>
            </w:pPr>
            <w:r w:rsidRPr="009516E8">
              <w:rPr>
                <w:bCs/>
              </w:rPr>
              <w:t>90</w:t>
            </w:r>
            <w:r>
              <w:rPr>
                <w:bCs/>
              </w:rPr>
              <w:t>,</w:t>
            </w:r>
            <w:r w:rsidRPr="009516E8">
              <w:rPr>
                <w:bCs/>
              </w:rPr>
              <w:t>654</w:t>
            </w:r>
          </w:p>
        </w:tc>
        <w:tc>
          <w:tcPr>
            <w:tcW w:w="281" w:type="dxa"/>
            <w:tcBorders>
              <w:top w:val="nil"/>
              <w:bottom w:val="nil"/>
            </w:tcBorders>
            <w:shd w:val="clear" w:color="auto" w:fill="auto"/>
            <w:vAlign w:val="center"/>
          </w:tcPr>
          <w:p w14:paraId="2BC0A5E6" w14:textId="77777777" w:rsidR="008B7E19" w:rsidRPr="00354D74" w:rsidRDefault="008B7E19" w:rsidP="008B7E19">
            <w:pPr>
              <w:pStyle w:val="08-Tabelageral"/>
              <w:ind w:left="113"/>
              <w:cnfStyle w:val="000000100000" w:firstRow="0" w:lastRow="0" w:firstColumn="0" w:lastColumn="0" w:oddVBand="0" w:evenVBand="0" w:oddHBand="1" w:evenHBand="0" w:firstRowFirstColumn="0" w:firstRowLastColumn="0" w:lastRowFirstColumn="0" w:lastRowLastColumn="0"/>
            </w:pPr>
          </w:p>
        </w:tc>
        <w:tc>
          <w:tcPr>
            <w:tcW w:w="1420" w:type="dxa"/>
            <w:tcBorders>
              <w:top w:val="nil"/>
              <w:left w:val="nil"/>
              <w:bottom w:val="nil"/>
              <w:right w:val="nil"/>
            </w:tcBorders>
            <w:shd w:val="clear" w:color="auto" w:fill="auto"/>
            <w:vAlign w:val="center"/>
          </w:tcPr>
          <w:p w14:paraId="18A945C5" w14:textId="77777777" w:rsidR="008B7E19" w:rsidRPr="00354D74" w:rsidRDefault="008B7E19" w:rsidP="008B7E19">
            <w:pPr>
              <w:pStyle w:val="08-Tabelageral"/>
              <w:ind w:left="113"/>
              <w:cnfStyle w:val="000000100000" w:firstRow="0" w:lastRow="0" w:firstColumn="0" w:lastColumn="0" w:oddVBand="0" w:evenVBand="0" w:oddHBand="1" w:evenHBand="0" w:firstRowFirstColumn="0" w:firstRowLastColumn="0" w:lastRowFirstColumn="0" w:lastRowLastColumn="0"/>
            </w:pPr>
            <w:r w:rsidRPr="001A1782">
              <w:rPr>
                <w:rFonts w:cs="Arial"/>
                <w:bCs/>
                <w:szCs w:val="14"/>
              </w:rPr>
              <w:t>4</w:t>
            </w:r>
            <w:r>
              <w:rPr>
                <w:rFonts w:cs="Arial"/>
                <w:bCs/>
                <w:szCs w:val="14"/>
              </w:rPr>
              <w:t>,</w:t>
            </w:r>
            <w:r w:rsidRPr="001A1782">
              <w:rPr>
                <w:rFonts w:cs="Arial"/>
                <w:bCs/>
                <w:szCs w:val="14"/>
              </w:rPr>
              <w:t>357</w:t>
            </w:r>
            <w:r>
              <w:rPr>
                <w:rFonts w:cs="Arial"/>
                <w:bCs/>
                <w:szCs w:val="14"/>
              </w:rPr>
              <w:t>,</w:t>
            </w:r>
            <w:r w:rsidRPr="001A1782">
              <w:rPr>
                <w:rFonts w:cs="Arial"/>
                <w:bCs/>
                <w:szCs w:val="14"/>
              </w:rPr>
              <w:t>407</w:t>
            </w:r>
          </w:p>
        </w:tc>
        <w:tc>
          <w:tcPr>
            <w:tcW w:w="1417" w:type="dxa"/>
            <w:tcBorders>
              <w:top w:val="nil"/>
              <w:left w:val="nil"/>
              <w:bottom w:val="nil"/>
              <w:right w:val="nil"/>
            </w:tcBorders>
            <w:shd w:val="clear" w:color="auto" w:fill="auto"/>
            <w:vAlign w:val="center"/>
          </w:tcPr>
          <w:p w14:paraId="30E6488B" w14:textId="77777777" w:rsidR="008B7E19" w:rsidRPr="00354D74" w:rsidRDefault="008B7E19" w:rsidP="008B7E19">
            <w:pPr>
              <w:pStyle w:val="08-Tabelageral"/>
              <w:ind w:left="113"/>
              <w:cnfStyle w:val="000000100000" w:firstRow="0" w:lastRow="0" w:firstColumn="0" w:lastColumn="0" w:oddVBand="0" w:evenVBand="0" w:oddHBand="1" w:evenHBand="0" w:firstRowFirstColumn="0" w:firstRowLastColumn="0" w:lastRowFirstColumn="0" w:lastRowLastColumn="0"/>
            </w:pPr>
            <w:r w:rsidRPr="00CF7077">
              <w:rPr>
                <w:bCs/>
              </w:rPr>
              <w:t>4</w:t>
            </w:r>
            <w:r>
              <w:rPr>
                <w:bCs/>
              </w:rPr>
              <w:t>,</w:t>
            </w:r>
            <w:r w:rsidRPr="00CF7077">
              <w:rPr>
                <w:bCs/>
              </w:rPr>
              <w:t>023</w:t>
            </w:r>
            <w:r>
              <w:rPr>
                <w:bCs/>
              </w:rPr>
              <w:t>,</w:t>
            </w:r>
            <w:r w:rsidRPr="00CF7077">
              <w:rPr>
                <w:bCs/>
              </w:rPr>
              <w:t>238</w:t>
            </w:r>
          </w:p>
        </w:tc>
      </w:tr>
      <w:tr w:rsidR="008B7E19" w:rsidRPr="00354D74" w14:paraId="3101321D" w14:textId="77777777" w:rsidTr="008B7E19">
        <w:trPr>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auto"/>
            <w:vAlign w:val="center"/>
          </w:tcPr>
          <w:p w14:paraId="170388B3" w14:textId="77777777" w:rsidR="008B7E19" w:rsidRPr="00BD6C7E" w:rsidRDefault="008B7E19" w:rsidP="008B7E19">
            <w:pPr>
              <w:pStyle w:val="08-Tabelageral"/>
              <w:jc w:val="left"/>
              <w:rPr>
                <w:lang w:val="en-US"/>
              </w:rPr>
            </w:pPr>
            <w:r w:rsidRPr="00BD6C7E">
              <w:rPr>
                <w:lang w:val="en-US"/>
              </w:rPr>
              <w:t>Increase (decrease) in cash and cash equivalents</w:t>
            </w:r>
          </w:p>
        </w:tc>
        <w:tc>
          <w:tcPr>
            <w:tcW w:w="781" w:type="dxa"/>
            <w:tcBorders>
              <w:top w:val="nil"/>
              <w:bottom w:val="nil"/>
            </w:tcBorders>
            <w:shd w:val="clear" w:color="auto" w:fill="auto"/>
            <w:vAlign w:val="center"/>
          </w:tcPr>
          <w:p w14:paraId="7DA001C2" w14:textId="77777777" w:rsidR="008B7E19" w:rsidRPr="00BD6C7E" w:rsidRDefault="008B7E19" w:rsidP="008B7E19">
            <w:pPr>
              <w:pStyle w:val="08-Tabelageral"/>
              <w:jc w:val="left"/>
              <w:cnfStyle w:val="000000000000" w:firstRow="0" w:lastRow="0" w:firstColumn="0" w:lastColumn="0" w:oddVBand="0" w:evenVBand="0" w:oddHBand="0" w:evenHBand="0" w:firstRowFirstColumn="0" w:firstRowLastColumn="0" w:lastRowFirstColumn="0" w:lastRowLastColumn="0"/>
              <w:rPr>
                <w:b/>
                <w:lang w:val="en-US"/>
              </w:rPr>
            </w:pPr>
          </w:p>
        </w:tc>
        <w:tc>
          <w:tcPr>
            <w:tcW w:w="1345" w:type="dxa"/>
            <w:tcBorders>
              <w:top w:val="nil"/>
              <w:left w:val="nil"/>
              <w:bottom w:val="nil"/>
              <w:right w:val="nil"/>
            </w:tcBorders>
            <w:shd w:val="clear" w:color="auto" w:fill="auto"/>
            <w:vAlign w:val="center"/>
          </w:tcPr>
          <w:p w14:paraId="7E705B4B" w14:textId="77777777" w:rsidR="008B7E19" w:rsidRPr="00F06920"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b/>
                <w:bCs/>
              </w:rPr>
            </w:pPr>
            <w:r w:rsidRPr="00D860A0">
              <w:rPr>
                <w:b/>
                <w:bCs/>
              </w:rPr>
              <w:t>991</w:t>
            </w:r>
            <w:r>
              <w:rPr>
                <w:b/>
                <w:bCs/>
              </w:rPr>
              <w:t>,</w:t>
            </w:r>
            <w:r w:rsidRPr="00D860A0">
              <w:rPr>
                <w:b/>
                <w:bCs/>
              </w:rPr>
              <w:t>800</w:t>
            </w:r>
          </w:p>
        </w:tc>
        <w:tc>
          <w:tcPr>
            <w:tcW w:w="1418" w:type="dxa"/>
            <w:tcBorders>
              <w:top w:val="nil"/>
              <w:left w:val="nil"/>
              <w:bottom w:val="nil"/>
              <w:right w:val="nil"/>
            </w:tcBorders>
            <w:shd w:val="clear" w:color="auto" w:fill="auto"/>
            <w:vAlign w:val="center"/>
          </w:tcPr>
          <w:p w14:paraId="376B5B23" w14:textId="77777777" w:rsidR="008B7E19" w:rsidRPr="00F06920"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b/>
                <w:bCs/>
              </w:rPr>
            </w:pPr>
            <w:r w:rsidRPr="009516E8">
              <w:rPr>
                <w:b/>
                <w:bCs/>
              </w:rPr>
              <w:t>(278</w:t>
            </w:r>
            <w:r>
              <w:rPr>
                <w:b/>
                <w:bCs/>
              </w:rPr>
              <w:t>,</w:t>
            </w:r>
            <w:r w:rsidRPr="009516E8">
              <w:rPr>
                <w:b/>
                <w:bCs/>
              </w:rPr>
              <w:t>688)</w:t>
            </w:r>
          </w:p>
        </w:tc>
        <w:tc>
          <w:tcPr>
            <w:tcW w:w="281" w:type="dxa"/>
            <w:tcBorders>
              <w:top w:val="nil"/>
              <w:bottom w:val="nil"/>
            </w:tcBorders>
            <w:shd w:val="clear" w:color="auto" w:fill="auto"/>
            <w:vAlign w:val="center"/>
          </w:tcPr>
          <w:p w14:paraId="2C94102E" w14:textId="77777777" w:rsidR="008B7E19" w:rsidRPr="00F06920"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b/>
                <w:bCs/>
              </w:rPr>
            </w:pPr>
          </w:p>
        </w:tc>
        <w:tc>
          <w:tcPr>
            <w:tcW w:w="1420" w:type="dxa"/>
            <w:tcBorders>
              <w:top w:val="nil"/>
              <w:left w:val="nil"/>
              <w:bottom w:val="nil"/>
              <w:right w:val="nil"/>
            </w:tcBorders>
            <w:shd w:val="clear" w:color="auto" w:fill="auto"/>
            <w:vAlign w:val="center"/>
          </w:tcPr>
          <w:p w14:paraId="473D6C9B" w14:textId="77777777" w:rsidR="008B7E19" w:rsidRPr="00F06920"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b/>
                <w:bCs/>
              </w:rPr>
            </w:pPr>
            <w:r w:rsidRPr="001A1782">
              <w:rPr>
                <w:b/>
                <w:bCs/>
              </w:rPr>
              <w:t>(1</w:t>
            </w:r>
            <w:r>
              <w:rPr>
                <w:b/>
                <w:bCs/>
              </w:rPr>
              <w:t>,</w:t>
            </w:r>
            <w:r w:rsidRPr="001A1782">
              <w:rPr>
                <w:b/>
                <w:bCs/>
              </w:rPr>
              <w:t>719</w:t>
            </w:r>
            <w:r>
              <w:rPr>
                <w:b/>
                <w:bCs/>
              </w:rPr>
              <w:t>,</w:t>
            </w:r>
            <w:r w:rsidRPr="001A1782">
              <w:rPr>
                <w:b/>
                <w:bCs/>
              </w:rPr>
              <w:t>211)</w:t>
            </w:r>
          </w:p>
        </w:tc>
        <w:tc>
          <w:tcPr>
            <w:tcW w:w="1417" w:type="dxa"/>
            <w:tcBorders>
              <w:top w:val="nil"/>
              <w:left w:val="nil"/>
              <w:bottom w:val="nil"/>
              <w:right w:val="nil"/>
            </w:tcBorders>
            <w:shd w:val="clear" w:color="auto" w:fill="auto"/>
            <w:vAlign w:val="center"/>
          </w:tcPr>
          <w:p w14:paraId="1A7C637B" w14:textId="77777777" w:rsidR="008B7E19" w:rsidRPr="00F06920"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b/>
                <w:bCs/>
              </w:rPr>
            </w:pPr>
            <w:r w:rsidRPr="00CF7077">
              <w:rPr>
                <w:b/>
                <w:bCs/>
              </w:rPr>
              <w:t>(67</w:t>
            </w:r>
            <w:r>
              <w:rPr>
                <w:b/>
                <w:bCs/>
              </w:rPr>
              <w:t>,</w:t>
            </w:r>
            <w:r w:rsidRPr="00CF7077">
              <w:rPr>
                <w:b/>
                <w:bCs/>
              </w:rPr>
              <w:t>323)</w:t>
            </w:r>
          </w:p>
        </w:tc>
      </w:tr>
      <w:tr w:rsidR="008B7E19" w:rsidRPr="001D6BE8" w14:paraId="140E19E4"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auto"/>
            <w:vAlign w:val="center"/>
          </w:tcPr>
          <w:p w14:paraId="15EC4081" w14:textId="77777777" w:rsidR="008B7E19" w:rsidRPr="0038031F" w:rsidRDefault="008B7E19" w:rsidP="008B7E19">
            <w:pPr>
              <w:pStyle w:val="08-Tabelageral"/>
              <w:ind w:left="113"/>
              <w:jc w:val="left"/>
              <w:rPr>
                <w:b w:val="0"/>
              </w:rPr>
            </w:pPr>
          </w:p>
        </w:tc>
        <w:tc>
          <w:tcPr>
            <w:tcW w:w="781" w:type="dxa"/>
            <w:tcBorders>
              <w:top w:val="nil"/>
              <w:bottom w:val="nil"/>
            </w:tcBorders>
            <w:shd w:val="clear" w:color="auto" w:fill="auto"/>
            <w:vAlign w:val="center"/>
          </w:tcPr>
          <w:p w14:paraId="237350A8" w14:textId="77777777" w:rsidR="008B7E19" w:rsidRPr="00CF4B29" w:rsidRDefault="008B7E19" w:rsidP="008B7E19">
            <w:pPr>
              <w:pStyle w:val="08-Tabelageral"/>
              <w:jc w:val="left"/>
              <w:cnfStyle w:val="000000100000" w:firstRow="0" w:lastRow="0" w:firstColumn="0" w:lastColumn="0" w:oddVBand="0" w:evenVBand="0" w:oddHBand="1" w:evenHBand="0" w:firstRowFirstColumn="0" w:firstRowLastColumn="0" w:lastRowFirstColumn="0" w:lastRowLastColumn="0"/>
              <w:rPr>
                <w:szCs w:val="14"/>
              </w:rPr>
            </w:pPr>
          </w:p>
        </w:tc>
        <w:tc>
          <w:tcPr>
            <w:tcW w:w="1345" w:type="dxa"/>
            <w:tcBorders>
              <w:top w:val="nil"/>
              <w:bottom w:val="nil"/>
            </w:tcBorders>
            <w:shd w:val="clear" w:color="auto" w:fill="auto"/>
            <w:vAlign w:val="center"/>
          </w:tcPr>
          <w:p w14:paraId="19EA14ED" w14:textId="77777777" w:rsidR="008B7E19" w:rsidRPr="00350BA7"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418" w:type="dxa"/>
            <w:tcBorders>
              <w:top w:val="nil"/>
              <w:bottom w:val="nil"/>
            </w:tcBorders>
            <w:shd w:val="clear" w:color="auto" w:fill="auto"/>
            <w:vAlign w:val="center"/>
          </w:tcPr>
          <w:p w14:paraId="44317E0C" w14:textId="77777777" w:rsidR="008B7E19" w:rsidRPr="00CF4B29" w:rsidRDefault="008B7E19" w:rsidP="008B7E19">
            <w:pPr>
              <w:pStyle w:val="08-Tabelageral"/>
              <w:cnfStyle w:val="000000100000" w:firstRow="0" w:lastRow="0" w:firstColumn="0" w:lastColumn="0" w:oddVBand="0" w:evenVBand="0" w:oddHBand="1" w:evenHBand="0" w:firstRowFirstColumn="0" w:firstRowLastColumn="0" w:lastRowFirstColumn="0" w:lastRowLastColumn="0"/>
            </w:pPr>
          </w:p>
        </w:tc>
        <w:tc>
          <w:tcPr>
            <w:tcW w:w="281" w:type="dxa"/>
            <w:tcBorders>
              <w:top w:val="nil"/>
              <w:bottom w:val="nil"/>
            </w:tcBorders>
            <w:shd w:val="clear" w:color="auto" w:fill="auto"/>
            <w:vAlign w:val="center"/>
          </w:tcPr>
          <w:p w14:paraId="39BD63CF" w14:textId="77777777" w:rsidR="008B7E19" w:rsidRPr="00350BA7"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420" w:type="dxa"/>
            <w:tcBorders>
              <w:top w:val="nil"/>
              <w:bottom w:val="nil"/>
            </w:tcBorders>
            <w:shd w:val="clear" w:color="auto" w:fill="auto"/>
            <w:vAlign w:val="center"/>
          </w:tcPr>
          <w:p w14:paraId="31AAC0AF" w14:textId="77777777" w:rsidR="008B7E19" w:rsidRPr="00350BA7"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417" w:type="dxa"/>
            <w:tcBorders>
              <w:top w:val="nil"/>
              <w:bottom w:val="nil"/>
            </w:tcBorders>
            <w:shd w:val="clear" w:color="auto" w:fill="auto"/>
            <w:vAlign w:val="center"/>
          </w:tcPr>
          <w:p w14:paraId="7EAED429" w14:textId="77777777" w:rsidR="008B7E19" w:rsidRPr="00CF4B29" w:rsidRDefault="008B7E19" w:rsidP="008B7E19">
            <w:pPr>
              <w:pStyle w:val="08-Tabelageral"/>
              <w:cnfStyle w:val="000000100000" w:firstRow="0" w:lastRow="0" w:firstColumn="0" w:lastColumn="0" w:oddVBand="0" w:evenVBand="0" w:oddHBand="1" w:evenHBand="0" w:firstRowFirstColumn="0" w:firstRowLastColumn="0" w:lastRowFirstColumn="0" w:lastRowLastColumn="0"/>
            </w:pPr>
          </w:p>
        </w:tc>
      </w:tr>
      <w:tr w:rsidR="008B7E19" w:rsidRPr="00354D74" w14:paraId="7BB96BE3" w14:textId="77777777" w:rsidTr="008B7E19">
        <w:trPr>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auto"/>
            <w:vAlign w:val="center"/>
          </w:tcPr>
          <w:p w14:paraId="7C03F001" w14:textId="77777777" w:rsidR="008B7E19" w:rsidRPr="00354D74" w:rsidRDefault="008B7E19" w:rsidP="008B7E19">
            <w:pPr>
              <w:pStyle w:val="08-Tabelageral"/>
              <w:jc w:val="left"/>
            </w:pPr>
            <w:r w:rsidRPr="00AF12C2">
              <w:t>Complementary information on operations</w:t>
            </w:r>
          </w:p>
        </w:tc>
        <w:tc>
          <w:tcPr>
            <w:tcW w:w="781" w:type="dxa"/>
            <w:tcBorders>
              <w:top w:val="nil"/>
              <w:bottom w:val="nil"/>
            </w:tcBorders>
            <w:shd w:val="clear" w:color="auto" w:fill="auto"/>
            <w:vAlign w:val="center"/>
          </w:tcPr>
          <w:p w14:paraId="3E1B4EB3" w14:textId="77777777" w:rsidR="008B7E19" w:rsidRPr="00354D74" w:rsidRDefault="008B7E19" w:rsidP="008B7E19">
            <w:pPr>
              <w:pStyle w:val="08-Tabelageral"/>
              <w:jc w:val="left"/>
              <w:cnfStyle w:val="000000000000" w:firstRow="0" w:lastRow="0" w:firstColumn="0" w:lastColumn="0" w:oddVBand="0" w:evenVBand="0" w:oddHBand="0" w:evenHBand="0" w:firstRowFirstColumn="0" w:firstRowLastColumn="0" w:lastRowFirstColumn="0" w:lastRowLastColumn="0"/>
            </w:pPr>
          </w:p>
        </w:tc>
        <w:tc>
          <w:tcPr>
            <w:tcW w:w="1345" w:type="dxa"/>
            <w:tcBorders>
              <w:top w:val="nil"/>
              <w:bottom w:val="nil"/>
            </w:tcBorders>
            <w:shd w:val="clear" w:color="auto" w:fill="auto"/>
            <w:vAlign w:val="center"/>
          </w:tcPr>
          <w:p w14:paraId="38A6F814" w14:textId="77777777" w:rsidR="008B7E19" w:rsidRPr="007B017E"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p>
        </w:tc>
        <w:tc>
          <w:tcPr>
            <w:tcW w:w="1418" w:type="dxa"/>
            <w:tcBorders>
              <w:top w:val="nil"/>
              <w:bottom w:val="nil"/>
            </w:tcBorders>
            <w:shd w:val="clear" w:color="auto" w:fill="auto"/>
            <w:vAlign w:val="center"/>
          </w:tcPr>
          <w:p w14:paraId="7887E2F1" w14:textId="77777777" w:rsidR="008B7E19" w:rsidRPr="007B017E"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p>
        </w:tc>
        <w:tc>
          <w:tcPr>
            <w:tcW w:w="281" w:type="dxa"/>
            <w:tcBorders>
              <w:top w:val="nil"/>
              <w:bottom w:val="nil"/>
            </w:tcBorders>
            <w:shd w:val="clear" w:color="auto" w:fill="auto"/>
            <w:vAlign w:val="center"/>
          </w:tcPr>
          <w:p w14:paraId="101A22ED" w14:textId="77777777" w:rsidR="008B7E19" w:rsidRPr="007B017E"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p>
        </w:tc>
        <w:tc>
          <w:tcPr>
            <w:tcW w:w="1420" w:type="dxa"/>
            <w:tcBorders>
              <w:top w:val="nil"/>
              <w:bottom w:val="nil"/>
            </w:tcBorders>
            <w:shd w:val="clear" w:color="auto" w:fill="auto"/>
            <w:vAlign w:val="center"/>
          </w:tcPr>
          <w:p w14:paraId="55BA9CD0" w14:textId="77777777" w:rsidR="008B7E19" w:rsidRPr="007B017E"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p>
        </w:tc>
        <w:tc>
          <w:tcPr>
            <w:tcW w:w="1417" w:type="dxa"/>
            <w:tcBorders>
              <w:top w:val="nil"/>
              <w:bottom w:val="nil"/>
            </w:tcBorders>
            <w:shd w:val="clear" w:color="auto" w:fill="auto"/>
            <w:vAlign w:val="center"/>
          </w:tcPr>
          <w:p w14:paraId="731EB2AC" w14:textId="77777777" w:rsidR="008B7E19" w:rsidRPr="007B017E"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p>
        </w:tc>
      </w:tr>
      <w:tr w:rsidR="008B7E19" w:rsidRPr="00354D74" w14:paraId="60DA1D20"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auto"/>
            <w:vAlign w:val="center"/>
          </w:tcPr>
          <w:p w14:paraId="136CE9F7" w14:textId="77777777" w:rsidR="008B7E19" w:rsidRPr="00354D74" w:rsidRDefault="008B7E19" w:rsidP="008B7E19">
            <w:pPr>
              <w:pStyle w:val="08-Tabelageral"/>
              <w:ind w:left="113"/>
              <w:jc w:val="left"/>
              <w:rPr>
                <w:b w:val="0"/>
              </w:rPr>
            </w:pPr>
            <w:r w:rsidRPr="00AF12C2">
              <w:rPr>
                <w:b w:val="0"/>
              </w:rPr>
              <w:t>Income tax pa</w:t>
            </w:r>
            <w:r>
              <w:rPr>
                <w:b w:val="0"/>
              </w:rPr>
              <w:t>id</w:t>
            </w:r>
          </w:p>
        </w:tc>
        <w:tc>
          <w:tcPr>
            <w:tcW w:w="781" w:type="dxa"/>
            <w:tcBorders>
              <w:top w:val="nil"/>
              <w:bottom w:val="nil"/>
            </w:tcBorders>
            <w:shd w:val="clear" w:color="auto" w:fill="auto"/>
            <w:vAlign w:val="center"/>
          </w:tcPr>
          <w:p w14:paraId="54585E01" w14:textId="77777777" w:rsidR="008B7E19" w:rsidRPr="00354D74" w:rsidRDefault="008B7E19" w:rsidP="008B7E19">
            <w:pPr>
              <w:pStyle w:val="08-Tabelageral"/>
              <w:jc w:val="left"/>
              <w:cnfStyle w:val="000000100000" w:firstRow="0" w:lastRow="0" w:firstColumn="0" w:lastColumn="0" w:oddVBand="0" w:evenVBand="0" w:oddHBand="1" w:evenHBand="0" w:firstRowFirstColumn="0" w:firstRowLastColumn="0" w:lastRowFirstColumn="0" w:lastRowLastColumn="0"/>
              <w:rPr>
                <w:b/>
              </w:rPr>
            </w:pPr>
          </w:p>
        </w:tc>
        <w:tc>
          <w:tcPr>
            <w:tcW w:w="1345" w:type="dxa"/>
            <w:tcBorders>
              <w:top w:val="nil"/>
              <w:bottom w:val="nil"/>
            </w:tcBorders>
            <w:shd w:val="clear" w:color="auto" w:fill="auto"/>
            <w:vAlign w:val="center"/>
          </w:tcPr>
          <w:p w14:paraId="5D1B2BD2" w14:textId="77777777" w:rsidR="008B7E19" w:rsidRPr="00A82576" w:rsidRDefault="008B7E19" w:rsidP="008B7E19">
            <w:pPr>
              <w:pStyle w:val="08-Tabelageral"/>
              <w:ind w:left="113"/>
              <w:cnfStyle w:val="000000100000" w:firstRow="0" w:lastRow="0" w:firstColumn="0" w:lastColumn="0" w:oddVBand="0" w:evenVBand="0" w:oddHBand="1" w:evenHBand="0" w:firstRowFirstColumn="0" w:firstRowLastColumn="0" w:lastRowFirstColumn="0" w:lastRowLastColumn="0"/>
            </w:pPr>
            <w:r w:rsidRPr="00D84FC3">
              <w:rPr>
                <w:rFonts w:cs="Arial"/>
                <w:szCs w:val="14"/>
              </w:rPr>
              <w:t>--</w:t>
            </w:r>
          </w:p>
        </w:tc>
        <w:tc>
          <w:tcPr>
            <w:tcW w:w="1418" w:type="dxa"/>
            <w:tcBorders>
              <w:top w:val="nil"/>
              <w:bottom w:val="nil"/>
            </w:tcBorders>
            <w:shd w:val="clear" w:color="auto" w:fill="auto"/>
            <w:vAlign w:val="center"/>
          </w:tcPr>
          <w:p w14:paraId="766D00DC" w14:textId="77777777" w:rsidR="008B7E19" w:rsidRPr="00A82576" w:rsidRDefault="008B7E19" w:rsidP="008B7E19">
            <w:pPr>
              <w:pStyle w:val="08-Tabelageral"/>
              <w:ind w:left="113"/>
              <w:cnfStyle w:val="000000100000" w:firstRow="0" w:lastRow="0" w:firstColumn="0" w:lastColumn="0" w:oddVBand="0" w:evenVBand="0" w:oddHBand="1" w:evenHBand="0" w:firstRowFirstColumn="0" w:firstRowLastColumn="0" w:lastRowFirstColumn="0" w:lastRowLastColumn="0"/>
            </w:pPr>
            <w:r w:rsidRPr="009516E8">
              <w:t>(322)</w:t>
            </w:r>
          </w:p>
        </w:tc>
        <w:tc>
          <w:tcPr>
            <w:tcW w:w="281" w:type="dxa"/>
            <w:tcBorders>
              <w:top w:val="nil"/>
              <w:bottom w:val="nil"/>
            </w:tcBorders>
            <w:shd w:val="clear" w:color="auto" w:fill="auto"/>
            <w:vAlign w:val="center"/>
          </w:tcPr>
          <w:p w14:paraId="4EC6F580" w14:textId="77777777" w:rsidR="008B7E19" w:rsidRPr="00A82576" w:rsidRDefault="008B7E19" w:rsidP="008B7E19">
            <w:pPr>
              <w:pStyle w:val="08-Tabelageral"/>
              <w:ind w:left="113"/>
              <w:cnfStyle w:val="000000100000" w:firstRow="0" w:lastRow="0" w:firstColumn="0" w:lastColumn="0" w:oddVBand="0" w:evenVBand="0" w:oddHBand="1" w:evenHBand="0" w:firstRowFirstColumn="0" w:firstRowLastColumn="0" w:lastRowFirstColumn="0" w:lastRowLastColumn="0"/>
            </w:pPr>
          </w:p>
        </w:tc>
        <w:tc>
          <w:tcPr>
            <w:tcW w:w="1420" w:type="dxa"/>
            <w:tcBorders>
              <w:top w:val="nil"/>
              <w:bottom w:val="nil"/>
            </w:tcBorders>
            <w:shd w:val="clear" w:color="auto" w:fill="auto"/>
            <w:vAlign w:val="center"/>
          </w:tcPr>
          <w:p w14:paraId="41C519D3" w14:textId="77777777" w:rsidR="008B7E19" w:rsidRPr="00A82576" w:rsidRDefault="008B7E19" w:rsidP="008B7E19">
            <w:pPr>
              <w:pStyle w:val="08-Tabelageral"/>
              <w:ind w:left="113"/>
              <w:cnfStyle w:val="000000100000" w:firstRow="0" w:lastRow="0" w:firstColumn="0" w:lastColumn="0" w:oddVBand="0" w:evenVBand="0" w:oddHBand="1" w:evenHBand="0" w:firstRowFirstColumn="0" w:firstRowLastColumn="0" w:lastRowFirstColumn="0" w:lastRowLastColumn="0"/>
            </w:pPr>
            <w:r w:rsidRPr="00A14C1D">
              <w:t>(773</w:t>
            </w:r>
            <w:r>
              <w:t>,</w:t>
            </w:r>
            <w:r w:rsidRPr="00A14C1D">
              <w:t>458)</w:t>
            </w:r>
          </w:p>
        </w:tc>
        <w:tc>
          <w:tcPr>
            <w:tcW w:w="1417" w:type="dxa"/>
            <w:tcBorders>
              <w:top w:val="nil"/>
              <w:bottom w:val="nil"/>
            </w:tcBorders>
            <w:shd w:val="clear" w:color="auto" w:fill="auto"/>
            <w:vAlign w:val="center"/>
          </w:tcPr>
          <w:p w14:paraId="417C83D3" w14:textId="77777777" w:rsidR="008B7E19" w:rsidRPr="00A82576" w:rsidRDefault="008B7E19" w:rsidP="008B7E19">
            <w:pPr>
              <w:pStyle w:val="08-Tabelageral"/>
              <w:ind w:left="113"/>
              <w:cnfStyle w:val="000000100000" w:firstRow="0" w:lastRow="0" w:firstColumn="0" w:lastColumn="0" w:oddVBand="0" w:evenVBand="0" w:oddHBand="1" w:evenHBand="0" w:firstRowFirstColumn="0" w:firstRowLastColumn="0" w:lastRowFirstColumn="0" w:lastRowLastColumn="0"/>
            </w:pPr>
            <w:r w:rsidRPr="00CF7077">
              <w:t>(627</w:t>
            </w:r>
            <w:r>
              <w:t>,</w:t>
            </w:r>
            <w:r w:rsidRPr="00CF7077">
              <w:t>592)</w:t>
            </w:r>
          </w:p>
        </w:tc>
      </w:tr>
      <w:tr w:rsidR="008B7E19" w:rsidRPr="00354D74" w14:paraId="4B1A31DF" w14:textId="77777777" w:rsidTr="008B7E19">
        <w:trPr>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auto"/>
            <w:vAlign w:val="center"/>
          </w:tcPr>
          <w:p w14:paraId="2A9C4EE9" w14:textId="77777777" w:rsidR="008B7E19" w:rsidRPr="00354D74" w:rsidRDefault="008B7E19" w:rsidP="008B7E19">
            <w:pPr>
              <w:pStyle w:val="08-Tabelageral"/>
              <w:ind w:left="113"/>
              <w:jc w:val="left"/>
              <w:rPr>
                <w:b w:val="0"/>
              </w:rPr>
            </w:pPr>
            <w:r>
              <w:rPr>
                <w:b w:val="0"/>
              </w:rPr>
              <w:t>Social contribution paid</w:t>
            </w:r>
          </w:p>
        </w:tc>
        <w:tc>
          <w:tcPr>
            <w:tcW w:w="781" w:type="dxa"/>
            <w:tcBorders>
              <w:top w:val="nil"/>
              <w:bottom w:val="nil"/>
            </w:tcBorders>
            <w:shd w:val="clear" w:color="auto" w:fill="auto"/>
            <w:vAlign w:val="center"/>
          </w:tcPr>
          <w:p w14:paraId="498C04E7" w14:textId="77777777" w:rsidR="008B7E19" w:rsidRPr="00354D74" w:rsidRDefault="008B7E19" w:rsidP="008B7E19">
            <w:pPr>
              <w:pStyle w:val="08-Tabelageral"/>
              <w:jc w:val="left"/>
              <w:cnfStyle w:val="000000000000" w:firstRow="0" w:lastRow="0" w:firstColumn="0" w:lastColumn="0" w:oddVBand="0" w:evenVBand="0" w:oddHBand="0" w:evenHBand="0" w:firstRowFirstColumn="0" w:firstRowLastColumn="0" w:lastRowFirstColumn="0" w:lastRowLastColumn="0"/>
              <w:rPr>
                <w:b/>
              </w:rPr>
            </w:pPr>
          </w:p>
        </w:tc>
        <w:tc>
          <w:tcPr>
            <w:tcW w:w="1345" w:type="dxa"/>
            <w:tcBorders>
              <w:top w:val="nil"/>
              <w:bottom w:val="nil"/>
            </w:tcBorders>
            <w:shd w:val="clear" w:color="auto" w:fill="auto"/>
            <w:vAlign w:val="center"/>
          </w:tcPr>
          <w:p w14:paraId="1BA4FDF8" w14:textId="77777777" w:rsidR="008B7E19" w:rsidRPr="00A82576" w:rsidRDefault="008B7E19" w:rsidP="008B7E19">
            <w:pPr>
              <w:pStyle w:val="08-Tabelageral"/>
              <w:ind w:left="113"/>
              <w:cnfStyle w:val="000000000000" w:firstRow="0" w:lastRow="0" w:firstColumn="0" w:lastColumn="0" w:oddVBand="0" w:evenVBand="0" w:oddHBand="0" w:evenHBand="0" w:firstRowFirstColumn="0" w:firstRowLastColumn="0" w:lastRowFirstColumn="0" w:lastRowLastColumn="0"/>
            </w:pPr>
            <w:r w:rsidRPr="00D84FC3">
              <w:t>--</w:t>
            </w:r>
          </w:p>
        </w:tc>
        <w:tc>
          <w:tcPr>
            <w:tcW w:w="1418" w:type="dxa"/>
            <w:tcBorders>
              <w:top w:val="nil"/>
              <w:bottom w:val="nil"/>
            </w:tcBorders>
            <w:shd w:val="clear" w:color="auto" w:fill="auto"/>
            <w:vAlign w:val="center"/>
          </w:tcPr>
          <w:p w14:paraId="23AFC3B9" w14:textId="77777777" w:rsidR="008B7E19" w:rsidRPr="00A82576" w:rsidRDefault="008B7E19" w:rsidP="008B7E19">
            <w:pPr>
              <w:pStyle w:val="08-Tabelageral"/>
              <w:ind w:left="113"/>
              <w:cnfStyle w:val="000000000000" w:firstRow="0" w:lastRow="0" w:firstColumn="0" w:lastColumn="0" w:oddVBand="0" w:evenVBand="0" w:oddHBand="0" w:evenHBand="0" w:firstRowFirstColumn="0" w:firstRowLastColumn="0" w:lastRowFirstColumn="0" w:lastRowLastColumn="0"/>
            </w:pPr>
            <w:r w:rsidRPr="009516E8">
              <w:t>(155)</w:t>
            </w:r>
          </w:p>
        </w:tc>
        <w:tc>
          <w:tcPr>
            <w:tcW w:w="281" w:type="dxa"/>
            <w:tcBorders>
              <w:top w:val="nil"/>
              <w:bottom w:val="nil"/>
            </w:tcBorders>
            <w:shd w:val="clear" w:color="auto" w:fill="auto"/>
            <w:vAlign w:val="center"/>
          </w:tcPr>
          <w:p w14:paraId="28F465A1" w14:textId="77777777" w:rsidR="008B7E19" w:rsidRPr="00A82576" w:rsidRDefault="008B7E19" w:rsidP="008B7E19">
            <w:pPr>
              <w:pStyle w:val="08-Tabelageral"/>
              <w:ind w:left="113"/>
              <w:cnfStyle w:val="000000000000" w:firstRow="0" w:lastRow="0" w:firstColumn="0" w:lastColumn="0" w:oddVBand="0" w:evenVBand="0" w:oddHBand="0" w:evenHBand="0" w:firstRowFirstColumn="0" w:firstRowLastColumn="0" w:lastRowFirstColumn="0" w:lastRowLastColumn="0"/>
            </w:pPr>
          </w:p>
        </w:tc>
        <w:tc>
          <w:tcPr>
            <w:tcW w:w="1420" w:type="dxa"/>
            <w:tcBorders>
              <w:top w:val="nil"/>
              <w:bottom w:val="nil"/>
            </w:tcBorders>
            <w:shd w:val="clear" w:color="auto" w:fill="auto"/>
            <w:vAlign w:val="center"/>
          </w:tcPr>
          <w:p w14:paraId="42EB87A9" w14:textId="77777777" w:rsidR="008B7E19" w:rsidRPr="00A82576" w:rsidRDefault="008B7E19" w:rsidP="008B7E19">
            <w:pPr>
              <w:pStyle w:val="08-Tabelageral"/>
              <w:ind w:left="113"/>
              <w:cnfStyle w:val="000000000000" w:firstRow="0" w:lastRow="0" w:firstColumn="0" w:lastColumn="0" w:oddVBand="0" w:evenVBand="0" w:oddHBand="0" w:evenHBand="0" w:firstRowFirstColumn="0" w:firstRowLastColumn="0" w:lastRowFirstColumn="0" w:lastRowLastColumn="0"/>
            </w:pPr>
            <w:r w:rsidRPr="00A14C1D">
              <w:t>(312</w:t>
            </w:r>
            <w:r>
              <w:t>,</w:t>
            </w:r>
            <w:r w:rsidRPr="00A14C1D">
              <w:t>023)</w:t>
            </w:r>
          </w:p>
        </w:tc>
        <w:tc>
          <w:tcPr>
            <w:tcW w:w="1417" w:type="dxa"/>
            <w:tcBorders>
              <w:top w:val="nil"/>
              <w:bottom w:val="nil"/>
            </w:tcBorders>
            <w:shd w:val="clear" w:color="auto" w:fill="auto"/>
            <w:vAlign w:val="center"/>
          </w:tcPr>
          <w:p w14:paraId="60C044BF" w14:textId="77777777" w:rsidR="008B7E19" w:rsidRPr="00A82576" w:rsidRDefault="008B7E19" w:rsidP="008B7E19">
            <w:pPr>
              <w:pStyle w:val="08-Tabelageral"/>
              <w:ind w:left="113"/>
              <w:cnfStyle w:val="000000000000" w:firstRow="0" w:lastRow="0" w:firstColumn="0" w:lastColumn="0" w:oddVBand="0" w:evenVBand="0" w:oddHBand="0" w:evenHBand="0" w:firstRowFirstColumn="0" w:firstRowLastColumn="0" w:lastRowFirstColumn="0" w:lastRowLastColumn="0"/>
            </w:pPr>
            <w:r w:rsidRPr="00CF7077">
              <w:t>(265</w:t>
            </w:r>
            <w:r>
              <w:t>,</w:t>
            </w:r>
            <w:r w:rsidRPr="00CF7077">
              <w:t>337)</w:t>
            </w:r>
          </w:p>
        </w:tc>
      </w:tr>
      <w:tr w:rsidR="008B7E19" w:rsidRPr="001D6BE8" w14:paraId="6553CD5D"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single" w:sz="2" w:space="0" w:color="1F4E79" w:themeColor="accent1" w:themeShade="80"/>
            </w:tcBorders>
            <w:shd w:val="clear" w:color="auto" w:fill="auto"/>
            <w:vAlign w:val="center"/>
          </w:tcPr>
          <w:p w14:paraId="46F813B9" w14:textId="77777777" w:rsidR="008B7E19" w:rsidRPr="00A82576" w:rsidRDefault="008B7E19" w:rsidP="008B7E19">
            <w:pPr>
              <w:pStyle w:val="08-Tabelageral"/>
              <w:jc w:val="left"/>
              <w:rPr>
                <w:rFonts w:cs="Arial"/>
                <w:szCs w:val="14"/>
              </w:rPr>
            </w:pPr>
            <w:r w:rsidRPr="00EF500E">
              <w:rPr>
                <w:rFonts w:cs="Arial"/>
                <w:szCs w:val="14"/>
              </w:rPr>
              <w:t>Total taxes paid</w:t>
            </w:r>
          </w:p>
        </w:tc>
        <w:tc>
          <w:tcPr>
            <w:tcW w:w="781" w:type="dxa"/>
            <w:tcBorders>
              <w:top w:val="nil"/>
              <w:bottom w:val="single" w:sz="2" w:space="0" w:color="1F4E79" w:themeColor="accent1" w:themeShade="80"/>
            </w:tcBorders>
            <w:shd w:val="clear" w:color="auto" w:fill="auto"/>
            <w:vAlign w:val="center"/>
          </w:tcPr>
          <w:p w14:paraId="361986A3" w14:textId="77777777" w:rsidR="008B7E19" w:rsidRPr="00A82576" w:rsidRDefault="008B7E19" w:rsidP="008B7E19">
            <w:pPr>
              <w:pStyle w:val="08-Tabelageral"/>
              <w:jc w:val="left"/>
              <w:cnfStyle w:val="000000100000" w:firstRow="0" w:lastRow="0" w:firstColumn="0" w:lastColumn="0" w:oddVBand="0" w:evenVBand="0" w:oddHBand="1" w:evenHBand="0" w:firstRowFirstColumn="0" w:firstRowLastColumn="0" w:lastRowFirstColumn="0" w:lastRowLastColumn="0"/>
              <w:rPr>
                <w:b/>
                <w:szCs w:val="14"/>
              </w:rPr>
            </w:pPr>
          </w:p>
        </w:tc>
        <w:tc>
          <w:tcPr>
            <w:tcW w:w="1345" w:type="dxa"/>
            <w:tcBorders>
              <w:top w:val="nil"/>
              <w:bottom w:val="single" w:sz="2" w:space="0" w:color="1F4E79" w:themeColor="accent1" w:themeShade="80"/>
            </w:tcBorders>
            <w:shd w:val="clear" w:color="auto" w:fill="auto"/>
            <w:vAlign w:val="center"/>
          </w:tcPr>
          <w:p w14:paraId="0C4EDA4F" w14:textId="77777777" w:rsidR="008B7E19" w:rsidRPr="00F06920"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D84FC3">
              <w:rPr>
                <w:b/>
                <w:bCs/>
              </w:rPr>
              <w:t>--</w:t>
            </w:r>
          </w:p>
        </w:tc>
        <w:tc>
          <w:tcPr>
            <w:tcW w:w="1418" w:type="dxa"/>
            <w:tcBorders>
              <w:top w:val="nil"/>
              <w:bottom w:val="single" w:sz="2" w:space="0" w:color="1F4E79" w:themeColor="accent1" w:themeShade="80"/>
            </w:tcBorders>
            <w:shd w:val="clear" w:color="auto" w:fill="auto"/>
            <w:vAlign w:val="center"/>
          </w:tcPr>
          <w:p w14:paraId="4819B9ED" w14:textId="77777777" w:rsidR="008B7E19" w:rsidRPr="00F06920"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b/>
                <w:bCs/>
              </w:rPr>
            </w:pPr>
            <w:r w:rsidRPr="009516E8">
              <w:rPr>
                <w:b/>
                <w:bCs/>
              </w:rPr>
              <w:t>(477)</w:t>
            </w:r>
          </w:p>
        </w:tc>
        <w:tc>
          <w:tcPr>
            <w:tcW w:w="281" w:type="dxa"/>
            <w:tcBorders>
              <w:top w:val="nil"/>
              <w:bottom w:val="single" w:sz="2" w:space="0" w:color="1F4E79" w:themeColor="accent1" w:themeShade="80"/>
            </w:tcBorders>
            <w:shd w:val="clear" w:color="auto" w:fill="auto"/>
            <w:vAlign w:val="center"/>
          </w:tcPr>
          <w:p w14:paraId="1DFE9FE7" w14:textId="77777777" w:rsidR="008B7E19" w:rsidRPr="00F06920"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p>
        </w:tc>
        <w:tc>
          <w:tcPr>
            <w:tcW w:w="1420" w:type="dxa"/>
            <w:tcBorders>
              <w:top w:val="nil"/>
              <w:bottom w:val="single" w:sz="2" w:space="0" w:color="1F4E79" w:themeColor="accent1" w:themeShade="80"/>
            </w:tcBorders>
            <w:shd w:val="clear" w:color="auto" w:fill="auto"/>
            <w:vAlign w:val="center"/>
          </w:tcPr>
          <w:p w14:paraId="4C491C7C" w14:textId="77777777" w:rsidR="008B7E19" w:rsidRPr="00F06920"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A14C1D">
              <w:rPr>
                <w:b/>
                <w:bCs/>
              </w:rPr>
              <w:t>(1</w:t>
            </w:r>
            <w:r>
              <w:rPr>
                <w:b/>
                <w:bCs/>
              </w:rPr>
              <w:t>,</w:t>
            </w:r>
            <w:r w:rsidRPr="00A14C1D">
              <w:rPr>
                <w:b/>
                <w:bCs/>
              </w:rPr>
              <w:t>085</w:t>
            </w:r>
            <w:r>
              <w:rPr>
                <w:b/>
                <w:bCs/>
              </w:rPr>
              <w:t>,</w:t>
            </w:r>
            <w:r w:rsidRPr="00A14C1D">
              <w:rPr>
                <w:b/>
                <w:bCs/>
              </w:rPr>
              <w:t>481)</w:t>
            </w:r>
          </w:p>
        </w:tc>
        <w:tc>
          <w:tcPr>
            <w:tcW w:w="1417" w:type="dxa"/>
            <w:tcBorders>
              <w:top w:val="nil"/>
              <w:bottom w:val="single" w:sz="2" w:space="0" w:color="1F4E79" w:themeColor="accent1" w:themeShade="80"/>
            </w:tcBorders>
            <w:shd w:val="clear" w:color="auto" w:fill="auto"/>
            <w:vAlign w:val="center"/>
          </w:tcPr>
          <w:p w14:paraId="2BD6AA66" w14:textId="77777777" w:rsidR="008B7E19" w:rsidRPr="00F06920"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b/>
                <w:bCs/>
              </w:rPr>
            </w:pPr>
            <w:r w:rsidRPr="00CF7077">
              <w:rPr>
                <w:b/>
                <w:bCs/>
              </w:rPr>
              <w:t>(892</w:t>
            </w:r>
            <w:r>
              <w:rPr>
                <w:b/>
                <w:bCs/>
              </w:rPr>
              <w:t>,</w:t>
            </w:r>
            <w:r w:rsidRPr="00CF7077">
              <w:rPr>
                <w:b/>
                <w:bCs/>
              </w:rPr>
              <w:t>929)</w:t>
            </w:r>
          </w:p>
        </w:tc>
      </w:tr>
    </w:tbl>
    <w:p w14:paraId="5AFA5F78" w14:textId="77777777" w:rsidR="008B7E19" w:rsidRPr="00C929DB" w:rsidRDefault="008B7E19">
      <w:pPr>
        <w:rPr>
          <w:rFonts w:cs="Arial"/>
          <w:sz w:val="14"/>
          <w:szCs w:val="14"/>
          <w:lang w:val="en-US"/>
        </w:rPr>
      </w:pPr>
      <w:r w:rsidRPr="00C929DB">
        <w:rPr>
          <w:rFonts w:cs="Arial"/>
          <w:sz w:val="14"/>
          <w:szCs w:val="14"/>
          <w:lang w:val="en-US"/>
        </w:rPr>
        <w:t>The explanatory notes are an integral part of the interim financial statements. The opening balance sheet and restatements refer to the adoption of CPC 50 [IFRS 17] – Insurance Contracts and CPC 48 [IFRS 9] – Financial Instruments, whose effects are detailed in Note 03 - Presentation of Financial Statements.</w:t>
      </w:r>
      <w:r w:rsidRPr="00C929DB">
        <w:rPr>
          <w:rFonts w:cs="Arial"/>
          <w:sz w:val="14"/>
          <w:szCs w:val="14"/>
          <w:lang w:val="en-US"/>
        </w:rPr>
        <w:br w:type="page"/>
      </w:r>
    </w:p>
    <w:p w14:paraId="522D7401" w14:textId="77777777" w:rsidR="008B7E19" w:rsidRPr="00C929DB" w:rsidRDefault="008B7E19" w:rsidP="008B7E19">
      <w:pPr>
        <w:rPr>
          <w:rFonts w:cs="Arial"/>
          <w:sz w:val="14"/>
          <w:szCs w:val="14"/>
          <w:lang w:val="en-US"/>
        </w:rPr>
        <w:sectPr w:rsidR="008B7E19" w:rsidRPr="00C929DB" w:rsidSect="008B7E19">
          <w:headerReference w:type="even" r:id="rId23"/>
          <w:headerReference w:type="default" r:id="rId24"/>
          <w:headerReference w:type="first" r:id="rId25"/>
          <w:pgSz w:w="11906" w:h="16838" w:code="9"/>
          <w:pgMar w:top="1134" w:right="1134" w:bottom="851" w:left="1134" w:header="851" w:footer="284" w:gutter="0"/>
          <w:cols w:space="708"/>
          <w:docGrid w:linePitch="360"/>
        </w:sectPr>
      </w:pPr>
    </w:p>
    <w:p w14:paraId="00C226CB" w14:textId="77777777" w:rsidR="008B7E19" w:rsidRPr="00BA4C93" w:rsidRDefault="008B7E19" w:rsidP="008B7E19">
      <w:pPr>
        <w:pStyle w:val="Ttulo1"/>
        <w:rPr>
          <w:b w:val="0"/>
          <w:bCs w:val="0"/>
        </w:rPr>
      </w:pPr>
      <w:bookmarkStart w:id="12" w:name="_Toc141966676"/>
      <w:r w:rsidRPr="00BA4C93">
        <w:t>STATEMENT OF CHANGES IN EQUITY</w:t>
      </w:r>
      <w:bookmarkEnd w:id="12"/>
    </w:p>
    <w:p w14:paraId="3356F863" w14:textId="77777777" w:rsidR="008B7E19" w:rsidRDefault="008B7E19" w:rsidP="008B7E19">
      <w:pPr>
        <w:pStyle w:val="06-Rmil"/>
        <w:ind w:right="-173"/>
      </w:pPr>
      <w:r>
        <w:t xml:space="preserve">R$ </w:t>
      </w:r>
      <w:r w:rsidRPr="00BC67E7">
        <w:t>thousand</w:t>
      </w:r>
    </w:p>
    <w:tbl>
      <w:tblPr>
        <w:tblStyle w:val="TabeladeLista6Colorida-nfase510"/>
        <w:tblW w:w="15305" w:type="dxa"/>
        <w:tblInd w:w="108" w:type="dxa"/>
        <w:tblLayout w:type="fixed"/>
        <w:tblLook w:val="04A0" w:firstRow="1" w:lastRow="0" w:firstColumn="1" w:lastColumn="0" w:noHBand="0" w:noVBand="1"/>
      </w:tblPr>
      <w:tblGrid>
        <w:gridCol w:w="4253"/>
        <w:gridCol w:w="567"/>
        <w:gridCol w:w="1276"/>
        <w:gridCol w:w="993"/>
        <w:gridCol w:w="1277"/>
        <w:gridCol w:w="1846"/>
        <w:gridCol w:w="1122"/>
        <w:gridCol w:w="1289"/>
        <w:gridCol w:w="1560"/>
        <w:gridCol w:w="1122"/>
      </w:tblGrid>
      <w:tr w:rsidR="008B7E19" w:rsidRPr="004E4235" w14:paraId="4FB33FA5" w14:textId="77777777" w:rsidTr="008B7E19">
        <w:trPr>
          <w:cnfStyle w:val="100000000000" w:firstRow="1" w:lastRow="0" w:firstColumn="0" w:lastColumn="0" w:oddVBand="0" w:evenVBand="0" w:oddHBand="0" w:evenHBand="0" w:firstRowFirstColumn="0" w:firstRowLastColumn="0" w:lastRowFirstColumn="0" w:lastRowLastColumn="0"/>
          <w:trHeight w:hRule="exact" w:val="309"/>
        </w:trPr>
        <w:tc>
          <w:tcPr>
            <w:cnfStyle w:val="001000000000" w:firstRow="0" w:lastRow="0" w:firstColumn="1" w:lastColumn="0" w:oddVBand="0" w:evenVBand="0" w:oddHBand="0" w:evenHBand="0" w:firstRowFirstColumn="0" w:firstRowLastColumn="0" w:lastRowFirstColumn="0" w:lastRowLastColumn="0"/>
            <w:tcW w:w="4253" w:type="dxa"/>
            <w:vMerge w:val="restart"/>
            <w:tcBorders>
              <w:top w:val="single" w:sz="2" w:space="0" w:color="1F4E79" w:themeColor="accent1" w:themeShade="80"/>
              <w:bottom w:val="single" w:sz="2" w:space="0" w:color="1F4E79" w:themeColor="accent1" w:themeShade="80"/>
            </w:tcBorders>
            <w:shd w:val="clear" w:color="auto" w:fill="auto"/>
            <w:vAlign w:val="center"/>
          </w:tcPr>
          <w:p w14:paraId="2A83C21D" w14:textId="77777777" w:rsidR="008B7E19" w:rsidRPr="00A64F1A" w:rsidRDefault="008B7E19" w:rsidP="008B7E19">
            <w:pPr>
              <w:rPr>
                <w:rFonts w:cs="Arial"/>
                <w:bCs w:val="0"/>
                <w:sz w:val="14"/>
                <w:szCs w:val="14"/>
              </w:rPr>
            </w:pPr>
            <w:r w:rsidRPr="00A64F1A">
              <w:rPr>
                <w:rFonts w:cs="Arial"/>
                <w:sz w:val="14"/>
                <w:szCs w:val="14"/>
              </w:rPr>
              <w:t>Event</w:t>
            </w:r>
          </w:p>
        </w:tc>
        <w:tc>
          <w:tcPr>
            <w:tcW w:w="567" w:type="dxa"/>
            <w:vMerge w:val="restart"/>
            <w:tcBorders>
              <w:top w:val="single" w:sz="2" w:space="0" w:color="1F4E79" w:themeColor="accent1" w:themeShade="80"/>
              <w:bottom w:val="single" w:sz="2" w:space="0" w:color="1F4E79" w:themeColor="accent1" w:themeShade="80"/>
            </w:tcBorders>
            <w:shd w:val="clear" w:color="auto" w:fill="auto"/>
            <w:vAlign w:val="center"/>
          </w:tcPr>
          <w:p w14:paraId="1BBA90D7" w14:textId="77777777" w:rsidR="008B7E19" w:rsidRPr="00A64F1A" w:rsidRDefault="008B7E19" w:rsidP="008B7E19">
            <w:pPr>
              <w:jc w:val="center"/>
              <w:cnfStyle w:val="100000000000" w:firstRow="1" w:lastRow="0" w:firstColumn="0" w:lastColumn="0" w:oddVBand="0" w:evenVBand="0" w:oddHBand="0" w:evenHBand="0" w:firstRowFirstColumn="0" w:firstRowLastColumn="0" w:lastRowFirstColumn="0" w:lastRowLastColumn="0"/>
              <w:rPr>
                <w:rFonts w:cs="Arial"/>
                <w:bCs w:val="0"/>
                <w:sz w:val="14"/>
                <w:szCs w:val="14"/>
              </w:rPr>
            </w:pPr>
            <w:r w:rsidRPr="00A64F1A">
              <w:rPr>
                <w:rFonts w:cs="Arial"/>
                <w:bCs w:val="0"/>
                <w:sz w:val="14"/>
                <w:szCs w:val="14"/>
              </w:rPr>
              <w:t>Note</w:t>
            </w:r>
          </w:p>
        </w:tc>
        <w:tc>
          <w:tcPr>
            <w:tcW w:w="1276" w:type="dxa"/>
            <w:vMerge w:val="restart"/>
            <w:tcBorders>
              <w:top w:val="single" w:sz="2" w:space="0" w:color="1F4E79" w:themeColor="accent1" w:themeShade="80"/>
              <w:bottom w:val="single" w:sz="2" w:space="0" w:color="1F4E79" w:themeColor="accent1" w:themeShade="80"/>
            </w:tcBorders>
            <w:shd w:val="clear" w:color="auto" w:fill="auto"/>
            <w:vAlign w:val="center"/>
          </w:tcPr>
          <w:p w14:paraId="5F535013" w14:textId="77777777" w:rsidR="008B7E19" w:rsidRPr="00A64F1A" w:rsidRDefault="008B7E19" w:rsidP="008B7E19">
            <w:pPr>
              <w:jc w:val="center"/>
              <w:cnfStyle w:val="100000000000" w:firstRow="1" w:lastRow="0" w:firstColumn="0" w:lastColumn="0" w:oddVBand="0" w:evenVBand="0" w:oddHBand="0" w:evenHBand="0" w:firstRowFirstColumn="0" w:firstRowLastColumn="0" w:lastRowFirstColumn="0" w:lastRowLastColumn="0"/>
              <w:rPr>
                <w:rFonts w:cs="Arial"/>
                <w:sz w:val="14"/>
                <w:szCs w:val="14"/>
              </w:rPr>
            </w:pPr>
            <w:r w:rsidRPr="00A64F1A">
              <w:rPr>
                <w:rFonts w:cs="Arial"/>
                <w:sz w:val="14"/>
                <w:szCs w:val="14"/>
              </w:rPr>
              <w:t>Capital</w:t>
            </w:r>
          </w:p>
        </w:tc>
        <w:tc>
          <w:tcPr>
            <w:tcW w:w="993" w:type="dxa"/>
            <w:vMerge w:val="restart"/>
            <w:tcBorders>
              <w:top w:val="single" w:sz="2" w:space="0" w:color="1F4E79" w:themeColor="accent1" w:themeShade="80"/>
              <w:bottom w:val="single" w:sz="2" w:space="0" w:color="1F4E79" w:themeColor="accent1" w:themeShade="80"/>
            </w:tcBorders>
            <w:shd w:val="clear" w:color="auto" w:fill="auto"/>
            <w:vAlign w:val="center"/>
          </w:tcPr>
          <w:p w14:paraId="1A33C16F" w14:textId="77777777" w:rsidR="008B7E19" w:rsidRPr="00A64F1A" w:rsidRDefault="008B7E19" w:rsidP="008B7E19">
            <w:pPr>
              <w:jc w:val="center"/>
              <w:cnfStyle w:val="100000000000" w:firstRow="1" w:lastRow="0" w:firstColumn="0" w:lastColumn="0" w:oddVBand="0" w:evenVBand="0" w:oddHBand="0" w:evenHBand="0" w:firstRowFirstColumn="0" w:firstRowLastColumn="0" w:lastRowFirstColumn="0" w:lastRowLastColumn="0"/>
              <w:rPr>
                <w:rFonts w:cs="Arial"/>
                <w:b w:val="0"/>
                <w:bCs w:val="0"/>
                <w:sz w:val="14"/>
                <w:szCs w:val="14"/>
              </w:rPr>
            </w:pPr>
            <w:r w:rsidRPr="00A64F1A">
              <w:rPr>
                <w:rFonts w:cs="Arial"/>
                <w:sz w:val="14"/>
                <w:szCs w:val="14"/>
              </w:rPr>
              <w:t>Capital Reserves</w:t>
            </w:r>
          </w:p>
        </w:tc>
        <w:tc>
          <w:tcPr>
            <w:tcW w:w="3123" w:type="dxa"/>
            <w:gridSpan w:val="2"/>
            <w:tcBorders>
              <w:top w:val="single" w:sz="2" w:space="0" w:color="1F4E79" w:themeColor="accent1" w:themeShade="80"/>
              <w:bottom w:val="single" w:sz="2" w:space="0" w:color="1F4E79" w:themeColor="accent1" w:themeShade="80"/>
            </w:tcBorders>
            <w:shd w:val="clear" w:color="auto" w:fill="auto"/>
            <w:vAlign w:val="center"/>
          </w:tcPr>
          <w:p w14:paraId="4E9076EC" w14:textId="77777777" w:rsidR="008B7E19" w:rsidRPr="00A64F1A" w:rsidRDefault="008B7E19" w:rsidP="008B7E19">
            <w:pPr>
              <w:jc w:val="center"/>
              <w:cnfStyle w:val="100000000000" w:firstRow="1" w:lastRow="0" w:firstColumn="0" w:lastColumn="0" w:oddVBand="0" w:evenVBand="0" w:oddHBand="0" w:evenHBand="0" w:firstRowFirstColumn="0" w:firstRowLastColumn="0" w:lastRowFirstColumn="0" w:lastRowLastColumn="0"/>
              <w:rPr>
                <w:rFonts w:cs="Arial"/>
                <w:bCs w:val="0"/>
                <w:sz w:val="14"/>
                <w:szCs w:val="14"/>
              </w:rPr>
            </w:pPr>
            <w:r w:rsidRPr="00A64F1A">
              <w:rPr>
                <w:rFonts w:cs="Arial"/>
                <w:sz w:val="14"/>
                <w:szCs w:val="14"/>
              </w:rPr>
              <w:t>Profit Reserves</w:t>
            </w:r>
          </w:p>
        </w:tc>
        <w:tc>
          <w:tcPr>
            <w:tcW w:w="1122" w:type="dxa"/>
            <w:vMerge w:val="restart"/>
            <w:tcBorders>
              <w:top w:val="single" w:sz="2" w:space="0" w:color="1F4E79" w:themeColor="accent1" w:themeShade="80"/>
              <w:bottom w:val="single" w:sz="2" w:space="0" w:color="1F4E79" w:themeColor="accent1" w:themeShade="80"/>
            </w:tcBorders>
            <w:shd w:val="clear" w:color="auto" w:fill="auto"/>
            <w:vAlign w:val="center"/>
          </w:tcPr>
          <w:p w14:paraId="172F0D09" w14:textId="77777777" w:rsidR="008B7E19" w:rsidRPr="00A64F1A" w:rsidRDefault="008B7E19" w:rsidP="008B7E19">
            <w:pPr>
              <w:jc w:val="center"/>
              <w:cnfStyle w:val="100000000000" w:firstRow="1" w:lastRow="0" w:firstColumn="0" w:lastColumn="0" w:oddVBand="0" w:evenVBand="0" w:oddHBand="0" w:evenHBand="0" w:firstRowFirstColumn="0" w:firstRowLastColumn="0" w:lastRowFirstColumn="0" w:lastRowLastColumn="0"/>
              <w:rPr>
                <w:rFonts w:cs="Arial"/>
                <w:bCs w:val="0"/>
                <w:sz w:val="14"/>
                <w:szCs w:val="14"/>
              </w:rPr>
            </w:pPr>
            <w:r w:rsidRPr="00A64F1A">
              <w:rPr>
                <w:rFonts w:cs="Arial"/>
                <w:sz w:val="14"/>
                <w:szCs w:val="14"/>
              </w:rPr>
              <w:t>Treasury Shares</w:t>
            </w:r>
          </w:p>
        </w:tc>
        <w:tc>
          <w:tcPr>
            <w:tcW w:w="1289" w:type="dxa"/>
            <w:vMerge w:val="restart"/>
            <w:tcBorders>
              <w:top w:val="single" w:sz="2" w:space="0" w:color="1F4E79" w:themeColor="accent1" w:themeShade="80"/>
              <w:bottom w:val="single" w:sz="2" w:space="0" w:color="1F4E79" w:themeColor="accent1" w:themeShade="80"/>
            </w:tcBorders>
            <w:shd w:val="clear" w:color="auto" w:fill="auto"/>
            <w:vAlign w:val="center"/>
          </w:tcPr>
          <w:p w14:paraId="0313C8D2" w14:textId="77777777" w:rsidR="008B7E19" w:rsidRPr="00A64F1A" w:rsidRDefault="008B7E19" w:rsidP="008B7E19">
            <w:pPr>
              <w:jc w:val="center"/>
              <w:cnfStyle w:val="100000000000" w:firstRow="1" w:lastRow="0" w:firstColumn="0" w:lastColumn="0" w:oddVBand="0" w:evenVBand="0" w:oddHBand="0" w:evenHBand="0" w:firstRowFirstColumn="0" w:firstRowLastColumn="0" w:lastRowFirstColumn="0" w:lastRowLastColumn="0"/>
              <w:rPr>
                <w:rFonts w:cs="Arial"/>
                <w:sz w:val="14"/>
                <w:szCs w:val="14"/>
              </w:rPr>
            </w:pPr>
            <w:r w:rsidRPr="00A64F1A">
              <w:rPr>
                <w:rFonts w:cs="Arial"/>
                <w:sz w:val="14"/>
                <w:szCs w:val="14"/>
              </w:rPr>
              <w:t>Other accumulated comprehensive income</w:t>
            </w:r>
          </w:p>
        </w:tc>
        <w:tc>
          <w:tcPr>
            <w:tcW w:w="1560" w:type="dxa"/>
            <w:vMerge w:val="restart"/>
            <w:tcBorders>
              <w:top w:val="single" w:sz="2" w:space="0" w:color="1F4E79" w:themeColor="accent1" w:themeShade="80"/>
              <w:bottom w:val="single" w:sz="2" w:space="0" w:color="1F4E79" w:themeColor="accent1" w:themeShade="80"/>
            </w:tcBorders>
            <w:shd w:val="clear" w:color="auto" w:fill="auto"/>
            <w:vAlign w:val="center"/>
          </w:tcPr>
          <w:p w14:paraId="290BDCC2" w14:textId="77777777" w:rsidR="008B7E19" w:rsidRPr="00A64F1A" w:rsidRDefault="008B7E19" w:rsidP="008B7E19">
            <w:pPr>
              <w:jc w:val="center"/>
              <w:cnfStyle w:val="100000000000" w:firstRow="1" w:lastRow="0" w:firstColumn="0" w:lastColumn="0" w:oddVBand="0" w:evenVBand="0" w:oddHBand="0" w:evenHBand="0" w:firstRowFirstColumn="0" w:firstRowLastColumn="0" w:lastRowFirstColumn="0" w:lastRowLastColumn="0"/>
              <w:rPr>
                <w:rFonts w:cs="Arial"/>
                <w:bCs w:val="0"/>
                <w:sz w:val="14"/>
                <w:szCs w:val="14"/>
              </w:rPr>
            </w:pPr>
            <w:r w:rsidRPr="00A64F1A">
              <w:rPr>
                <w:rFonts w:cs="Arial"/>
                <w:sz w:val="14"/>
                <w:szCs w:val="14"/>
              </w:rPr>
              <w:t>Retained Earnings/ Accumulated Losses</w:t>
            </w:r>
          </w:p>
        </w:tc>
        <w:tc>
          <w:tcPr>
            <w:tcW w:w="1122" w:type="dxa"/>
            <w:vMerge w:val="restart"/>
            <w:tcBorders>
              <w:top w:val="single" w:sz="2" w:space="0" w:color="1F4E79" w:themeColor="accent1" w:themeShade="80"/>
              <w:bottom w:val="single" w:sz="2" w:space="0" w:color="1F4E79" w:themeColor="accent1" w:themeShade="80"/>
            </w:tcBorders>
            <w:shd w:val="clear" w:color="auto" w:fill="auto"/>
            <w:vAlign w:val="center"/>
          </w:tcPr>
          <w:p w14:paraId="4720C85C" w14:textId="77777777" w:rsidR="008B7E19" w:rsidRPr="00A64F1A" w:rsidRDefault="008B7E19" w:rsidP="008B7E19">
            <w:pPr>
              <w:jc w:val="center"/>
              <w:cnfStyle w:val="100000000000" w:firstRow="1" w:lastRow="0" w:firstColumn="0" w:lastColumn="0" w:oddVBand="0" w:evenVBand="0" w:oddHBand="0" w:evenHBand="0" w:firstRowFirstColumn="0" w:firstRowLastColumn="0" w:lastRowFirstColumn="0" w:lastRowLastColumn="0"/>
              <w:rPr>
                <w:rFonts w:cs="Arial"/>
                <w:bCs w:val="0"/>
                <w:sz w:val="14"/>
                <w:szCs w:val="14"/>
              </w:rPr>
            </w:pPr>
            <w:r w:rsidRPr="00A64F1A">
              <w:rPr>
                <w:rFonts w:cs="Arial"/>
                <w:bCs w:val="0"/>
                <w:sz w:val="14"/>
                <w:szCs w:val="14"/>
              </w:rPr>
              <w:t>Total</w:t>
            </w:r>
          </w:p>
        </w:tc>
      </w:tr>
      <w:tr w:rsidR="008B7E19" w:rsidRPr="004E4235" w14:paraId="35C52DC8" w14:textId="77777777" w:rsidTr="008B7E19">
        <w:trPr>
          <w:cnfStyle w:val="000000100000" w:firstRow="0" w:lastRow="0" w:firstColumn="0" w:lastColumn="0" w:oddVBand="0" w:evenVBand="0" w:oddHBand="1" w:evenHBand="0" w:firstRowFirstColumn="0" w:firstRowLastColumn="0" w:lastRowFirstColumn="0" w:lastRowLastColumn="0"/>
          <w:trHeight w:hRule="exact" w:val="408"/>
        </w:trPr>
        <w:tc>
          <w:tcPr>
            <w:cnfStyle w:val="001000000000" w:firstRow="0" w:lastRow="0" w:firstColumn="1" w:lastColumn="0" w:oddVBand="0" w:evenVBand="0" w:oddHBand="0" w:evenHBand="0" w:firstRowFirstColumn="0" w:firstRowLastColumn="0" w:lastRowFirstColumn="0" w:lastRowLastColumn="0"/>
            <w:tcW w:w="4253" w:type="dxa"/>
            <w:vMerge/>
            <w:tcBorders>
              <w:top w:val="nil"/>
              <w:bottom w:val="single" w:sz="2" w:space="0" w:color="1F4E79" w:themeColor="accent1" w:themeShade="80"/>
            </w:tcBorders>
            <w:shd w:val="clear" w:color="auto" w:fill="auto"/>
            <w:vAlign w:val="center"/>
          </w:tcPr>
          <w:p w14:paraId="2A9D8F0F" w14:textId="77777777" w:rsidR="008B7E19" w:rsidRPr="00A64F1A" w:rsidRDefault="008B7E19" w:rsidP="008B7E19">
            <w:pPr>
              <w:rPr>
                <w:rFonts w:cs="Arial"/>
                <w:sz w:val="14"/>
                <w:szCs w:val="14"/>
              </w:rPr>
            </w:pPr>
          </w:p>
        </w:tc>
        <w:tc>
          <w:tcPr>
            <w:tcW w:w="567" w:type="dxa"/>
            <w:vMerge/>
            <w:tcBorders>
              <w:top w:val="nil"/>
              <w:bottom w:val="single" w:sz="2" w:space="0" w:color="1F4E79" w:themeColor="accent1" w:themeShade="80"/>
            </w:tcBorders>
            <w:shd w:val="clear" w:color="auto" w:fill="auto"/>
            <w:vAlign w:val="center"/>
          </w:tcPr>
          <w:p w14:paraId="7985FE6C" w14:textId="77777777" w:rsidR="008B7E19" w:rsidRPr="00A64F1A" w:rsidRDefault="008B7E19" w:rsidP="008B7E19">
            <w:pPr>
              <w:jc w:val="center"/>
              <w:cnfStyle w:val="000000100000" w:firstRow="0" w:lastRow="0" w:firstColumn="0" w:lastColumn="0" w:oddVBand="0" w:evenVBand="0" w:oddHBand="1" w:evenHBand="0" w:firstRowFirstColumn="0" w:firstRowLastColumn="0" w:lastRowFirstColumn="0" w:lastRowLastColumn="0"/>
              <w:rPr>
                <w:rFonts w:cs="Arial"/>
                <w:sz w:val="14"/>
                <w:szCs w:val="14"/>
              </w:rPr>
            </w:pPr>
          </w:p>
        </w:tc>
        <w:tc>
          <w:tcPr>
            <w:tcW w:w="1276" w:type="dxa"/>
            <w:vMerge/>
            <w:tcBorders>
              <w:top w:val="nil"/>
              <w:bottom w:val="single" w:sz="2" w:space="0" w:color="1F4E79" w:themeColor="accent1" w:themeShade="80"/>
            </w:tcBorders>
            <w:shd w:val="clear" w:color="auto" w:fill="auto"/>
            <w:vAlign w:val="center"/>
          </w:tcPr>
          <w:p w14:paraId="247E7C7B" w14:textId="77777777" w:rsidR="008B7E19" w:rsidRPr="00A64F1A" w:rsidRDefault="008B7E19" w:rsidP="008B7E19">
            <w:pPr>
              <w:jc w:val="center"/>
              <w:cnfStyle w:val="000000100000" w:firstRow="0" w:lastRow="0" w:firstColumn="0" w:lastColumn="0" w:oddVBand="0" w:evenVBand="0" w:oddHBand="1" w:evenHBand="0" w:firstRowFirstColumn="0" w:firstRowLastColumn="0" w:lastRowFirstColumn="0" w:lastRowLastColumn="0"/>
              <w:rPr>
                <w:rFonts w:cs="Arial"/>
                <w:sz w:val="14"/>
                <w:szCs w:val="14"/>
              </w:rPr>
            </w:pPr>
          </w:p>
        </w:tc>
        <w:tc>
          <w:tcPr>
            <w:tcW w:w="993" w:type="dxa"/>
            <w:vMerge/>
            <w:tcBorders>
              <w:top w:val="nil"/>
              <w:bottom w:val="single" w:sz="2" w:space="0" w:color="1F4E79" w:themeColor="accent1" w:themeShade="80"/>
            </w:tcBorders>
            <w:shd w:val="clear" w:color="auto" w:fill="auto"/>
            <w:vAlign w:val="center"/>
          </w:tcPr>
          <w:p w14:paraId="237A4F48" w14:textId="77777777" w:rsidR="008B7E19" w:rsidRPr="00A64F1A" w:rsidRDefault="008B7E19" w:rsidP="008B7E19">
            <w:pPr>
              <w:jc w:val="center"/>
              <w:cnfStyle w:val="000000100000" w:firstRow="0" w:lastRow="0" w:firstColumn="0" w:lastColumn="0" w:oddVBand="0" w:evenVBand="0" w:oddHBand="1" w:evenHBand="0" w:firstRowFirstColumn="0" w:firstRowLastColumn="0" w:lastRowFirstColumn="0" w:lastRowLastColumn="0"/>
              <w:rPr>
                <w:rFonts w:cs="Arial"/>
                <w:sz w:val="14"/>
                <w:szCs w:val="14"/>
              </w:rPr>
            </w:pPr>
          </w:p>
        </w:tc>
        <w:tc>
          <w:tcPr>
            <w:tcW w:w="1277" w:type="dxa"/>
            <w:tcBorders>
              <w:top w:val="single" w:sz="2" w:space="0" w:color="1F4E79" w:themeColor="accent1" w:themeShade="80"/>
              <w:bottom w:val="single" w:sz="2" w:space="0" w:color="1F4E79" w:themeColor="accent1" w:themeShade="80"/>
            </w:tcBorders>
            <w:shd w:val="clear" w:color="auto" w:fill="auto"/>
            <w:vAlign w:val="center"/>
          </w:tcPr>
          <w:p w14:paraId="26403368" w14:textId="77777777" w:rsidR="008B7E19" w:rsidRPr="00A64F1A" w:rsidRDefault="008B7E19" w:rsidP="008B7E19">
            <w:pPr>
              <w:jc w:val="center"/>
              <w:cnfStyle w:val="000000100000" w:firstRow="0" w:lastRow="0" w:firstColumn="0" w:lastColumn="0" w:oddVBand="0" w:evenVBand="0" w:oddHBand="1" w:evenHBand="0" w:firstRowFirstColumn="0" w:firstRowLastColumn="0" w:lastRowFirstColumn="0" w:lastRowLastColumn="0"/>
              <w:rPr>
                <w:rFonts w:cs="Arial"/>
                <w:b/>
                <w:sz w:val="14"/>
                <w:szCs w:val="14"/>
              </w:rPr>
            </w:pPr>
            <w:r w:rsidRPr="00A64F1A">
              <w:rPr>
                <w:rFonts w:cs="Arial"/>
                <w:b/>
                <w:sz w:val="14"/>
                <w:szCs w:val="14"/>
              </w:rPr>
              <w:t>Legal Reserve</w:t>
            </w:r>
          </w:p>
        </w:tc>
        <w:tc>
          <w:tcPr>
            <w:tcW w:w="1846" w:type="dxa"/>
            <w:tcBorders>
              <w:top w:val="single" w:sz="2" w:space="0" w:color="1F4E79" w:themeColor="accent1" w:themeShade="80"/>
              <w:bottom w:val="single" w:sz="2" w:space="0" w:color="1F4E79" w:themeColor="accent1" w:themeShade="80"/>
            </w:tcBorders>
            <w:shd w:val="clear" w:color="auto" w:fill="auto"/>
            <w:vAlign w:val="center"/>
          </w:tcPr>
          <w:p w14:paraId="0800E3BE" w14:textId="77777777" w:rsidR="008B7E19" w:rsidRPr="00A64F1A" w:rsidRDefault="008B7E19" w:rsidP="008B7E19">
            <w:pPr>
              <w:jc w:val="center"/>
              <w:cnfStyle w:val="000000100000" w:firstRow="0" w:lastRow="0" w:firstColumn="0" w:lastColumn="0" w:oddVBand="0" w:evenVBand="0" w:oddHBand="1" w:evenHBand="0" w:firstRowFirstColumn="0" w:firstRowLastColumn="0" w:lastRowFirstColumn="0" w:lastRowLastColumn="0"/>
              <w:rPr>
                <w:rFonts w:cs="Arial"/>
                <w:b/>
                <w:sz w:val="14"/>
                <w:szCs w:val="14"/>
              </w:rPr>
            </w:pPr>
            <w:r w:rsidRPr="00A64F1A">
              <w:rPr>
                <w:rFonts w:cs="Arial"/>
                <w:b/>
                <w:sz w:val="14"/>
                <w:szCs w:val="14"/>
              </w:rPr>
              <w:t>Statutory Reserve</w:t>
            </w:r>
          </w:p>
        </w:tc>
        <w:tc>
          <w:tcPr>
            <w:tcW w:w="1122" w:type="dxa"/>
            <w:vMerge/>
            <w:tcBorders>
              <w:top w:val="nil"/>
              <w:bottom w:val="single" w:sz="2" w:space="0" w:color="1F4E79" w:themeColor="accent1" w:themeShade="80"/>
            </w:tcBorders>
            <w:shd w:val="clear" w:color="auto" w:fill="auto"/>
            <w:vAlign w:val="center"/>
          </w:tcPr>
          <w:p w14:paraId="252DA407" w14:textId="77777777" w:rsidR="008B7E19" w:rsidRPr="00A64F1A" w:rsidRDefault="008B7E19" w:rsidP="008B7E19">
            <w:pPr>
              <w:jc w:val="center"/>
              <w:cnfStyle w:val="000000100000" w:firstRow="0" w:lastRow="0" w:firstColumn="0" w:lastColumn="0" w:oddVBand="0" w:evenVBand="0" w:oddHBand="1" w:evenHBand="0" w:firstRowFirstColumn="0" w:firstRowLastColumn="0" w:lastRowFirstColumn="0" w:lastRowLastColumn="0"/>
              <w:rPr>
                <w:rFonts w:cs="Arial"/>
                <w:sz w:val="14"/>
                <w:szCs w:val="14"/>
              </w:rPr>
            </w:pPr>
          </w:p>
        </w:tc>
        <w:tc>
          <w:tcPr>
            <w:tcW w:w="1289" w:type="dxa"/>
            <w:vMerge/>
            <w:tcBorders>
              <w:top w:val="nil"/>
              <w:bottom w:val="single" w:sz="2" w:space="0" w:color="1F4E79" w:themeColor="accent1" w:themeShade="80"/>
            </w:tcBorders>
            <w:shd w:val="clear" w:color="auto" w:fill="auto"/>
            <w:vAlign w:val="center"/>
          </w:tcPr>
          <w:p w14:paraId="62FA5644" w14:textId="77777777" w:rsidR="008B7E19" w:rsidRPr="00A64F1A" w:rsidRDefault="008B7E19" w:rsidP="008B7E19">
            <w:pPr>
              <w:jc w:val="center"/>
              <w:cnfStyle w:val="000000100000" w:firstRow="0" w:lastRow="0" w:firstColumn="0" w:lastColumn="0" w:oddVBand="0" w:evenVBand="0" w:oddHBand="1" w:evenHBand="0" w:firstRowFirstColumn="0" w:firstRowLastColumn="0" w:lastRowFirstColumn="0" w:lastRowLastColumn="0"/>
              <w:rPr>
                <w:rFonts w:cs="Arial"/>
                <w:sz w:val="14"/>
                <w:szCs w:val="14"/>
              </w:rPr>
            </w:pPr>
          </w:p>
        </w:tc>
        <w:tc>
          <w:tcPr>
            <w:tcW w:w="1560" w:type="dxa"/>
            <w:vMerge/>
            <w:tcBorders>
              <w:top w:val="nil"/>
              <w:bottom w:val="single" w:sz="2" w:space="0" w:color="1F4E79" w:themeColor="accent1" w:themeShade="80"/>
            </w:tcBorders>
            <w:shd w:val="clear" w:color="auto" w:fill="auto"/>
            <w:vAlign w:val="center"/>
          </w:tcPr>
          <w:p w14:paraId="38CC519C" w14:textId="77777777" w:rsidR="008B7E19" w:rsidRPr="00A64F1A" w:rsidRDefault="008B7E19" w:rsidP="008B7E19">
            <w:pPr>
              <w:jc w:val="center"/>
              <w:cnfStyle w:val="000000100000" w:firstRow="0" w:lastRow="0" w:firstColumn="0" w:lastColumn="0" w:oddVBand="0" w:evenVBand="0" w:oddHBand="1" w:evenHBand="0" w:firstRowFirstColumn="0" w:firstRowLastColumn="0" w:lastRowFirstColumn="0" w:lastRowLastColumn="0"/>
              <w:rPr>
                <w:rFonts w:cs="Arial"/>
                <w:sz w:val="14"/>
                <w:szCs w:val="14"/>
              </w:rPr>
            </w:pPr>
          </w:p>
        </w:tc>
        <w:tc>
          <w:tcPr>
            <w:tcW w:w="1122" w:type="dxa"/>
            <w:vMerge/>
            <w:tcBorders>
              <w:top w:val="nil"/>
              <w:bottom w:val="single" w:sz="2" w:space="0" w:color="1F4E79" w:themeColor="accent1" w:themeShade="80"/>
            </w:tcBorders>
            <w:shd w:val="clear" w:color="auto" w:fill="auto"/>
            <w:vAlign w:val="center"/>
          </w:tcPr>
          <w:p w14:paraId="11639E86" w14:textId="77777777" w:rsidR="008B7E19" w:rsidRPr="00A64F1A" w:rsidRDefault="008B7E19" w:rsidP="008B7E19">
            <w:pPr>
              <w:jc w:val="center"/>
              <w:cnfStyle w:val="000000100000" w:firstRow="0" w:lastRow="0" w:firstColumn="0" w:lastColumn="0" w:oddVBand="0" w:evenVBand="0" w:oddHBand="1" w:evenHBand="0" w:firstRowFirstColumn="0" w:firstRowLastColumn="0" w:lastRowFirstColumn="0" w:lastRowLastColumn="0"/>
              <w:rPr>
                <w:rFonts w:cs="Arial"/>
                <w:sz w:val="14"/>
                <w:szCs w:val="14"/>
              </w:rPr>
            </w:pPr>
          </w:p>
        </w:tc>
      </w:tr>
      <w:tr w:rsidR="008B7E19" w:rsidRPr="004E4235" w14:paraId="4C01208C" w14:textId="77777777" w:rsidTr="008B7E19">
        <w:trPr>
          <w:cnfStyle w:val="000000010000" w:firstRow="0" w:lastRow="0" w:firstColumn="0" w:lastColumn="0" w:oddVBand="0" w:evenVBand="0" w:oddHBand="0" w:evenHBand="1" w:firstRowFirstColumn="0" w:firstRowLastColumn="0" w:lastRowFirstColumn="0" w:lastRowLastColumn="0"/>
          <w:trHeight w:val="134"/>
        </w:trPr>
        <w:tc>
          <w:tcPr>
            <w:cnfStyle w:val="001000000000" w:firstRow="0" w:lastRow="0" w:firstColumn="1" w:lastColumn="0" w:oddVBand="0" w:evenVBand="0" w:oddHBand="0" w:evenHBand="0" w:firstRowFirstColumn="0" w:firstRowLastColumn="0" w:lastRowFirstColumn="0" w:lastRowLastColumn="0"/>
            <w:tcW w:w="4253" w:type="dxa"/>
            <w:tcBorders>
              <w:top w:val="single" w:sz="2" w:space="0" w:color="1F4E79" w:themeColor="accent1" w:themeShade="80"/>
              <w:bottom w:val="nil"/>
            </w:tcBorders>
            <w:shd w:val="clear" w:color="auto" w:fill="auto"/>
            <w:vAlign w:val="center"/>
          </w:tcPr>
          <w:p w14:paraId="687A26D9" w14:textId="77777777" w:rsidR="008B7E19" w:rsidRPr="00A64F1A" w:rsidRDefault="008B7E19" w:rsidP="008B7E19">
            <w:pPr>
              <w:keepNext/>
              <w:keepLines/>
              <w:spacing w:before="40" w:after="40"/>
              <w:rPr>
                <w:rFonts w:eastAsia="Times New Roman" w:cs="Arial"/>
                <w:spacing w:val="-2"/>
                <w:sz w:val="14"/>
                <w:szCs w:val="14"/>
                <w:lang w:eastAsia="pt-BR"/>
              </w:rPr>
            </w:pPr>
            <w:r w:rsidRPr="00A64F1A">
              <w:rPr>
                <w:rFonts w:eastAsia="Times New Roman" w:cs="Arial"/>
                <w:spacing w:val="-2"/>
                <w:sz w:val="14"/>
                <w:szCs w:val="14"/>
                <w:lang w:eastAsia="pt-BR"/>
              </w:rPr>
              <w:t>Balances at Dec 31, 2021</w:t>
            </w:r>
          </w:p>
        </w:tc>
        <w:tc>
          <w:tcPr>
            <w:tcW w:w="567" w:type="dxa"/>
            <w:tcBorders>
              <w:top w:val="single" w:sz="2" w:space="0" w:color="1F4E79" w:themeColor="accent1" w:themeShade="80"/>
              <w:bottom w:val="nil"/>
            </w:tcBorders>
            <w:shd w:val="clear" w:color="auto" w:fill="auto"/>
          </w:tcPr>
          <w:p w14:paraId="313140D4" w14:textId="77777777" w:rsidR="008B7E19" w:rsidRPr="00A64F1A" w:rsidRDefault="008B7E19" w:rsidP="008B7E19">
            <w:pPr>
              <w:keepNext/>
              <w:keepLines/>
              <w:spacing w:before="40" w:after="40"/>
              <w:jc w:val="center"/>
              <w:cnfStyle w:val="000000010000" w:firstRow="0" w:lastRow="0" w:firstColumn="0" w:lastColumn="0" w:oddVBand="0" w:evenVBand="0" w:oddHBand="0" w:evenHBand="1" w:firstRowFirstColumn="0" w:firstRowLastColumn="0" w:lastRowFirstColumn="0" w:lastRowLastColumn="0"/>
              <w:rPr>
                <w:rFonts w:eastAsia="Times New Roman" w:cs="Arial"/>
                <w:b/>
                <w:spacing w:val="-2"/>
                <w:sz w:val="14"/>
                <w:szCs w:val="14"/>
                <w:lang w:eastAsia="pt-BR"/>
              </w:rPr>
            </w:pPr>
          </w:p>
        </w:tc>
        <w:tc>
          <w:tcPr>
            <w:tcW w:w="1276" w:type="dxa"/>
            <w:tcBorders>
              <w:top w:val="single" w:sz="2" w:space="0" w:color="1F4E79" w:themeColor="accent1" w:themeShade="80"/>
              <w:bottom w:val="nil"/>
            </w:tcBorders>
            <w:shd w:val="clear" w:color="auto" w:fill="auto"/>
            <w:vAlign w:val="center"/>
          </w:tcPr>
          <w:p w14:paraId="4990D15E" w14:textId="77777777" w:rsidR="008B7E19" w:rsidRPr="00A64F1A"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b/>
                <w:spacing w:val="-2"/>
                <w:sz w:val="14"/>
                <w:szCs w:val="14"/>
                <w:lang w:eastAsia="pt-BR"/>
              </w:rPr>
            </w:pPr>
            <w:r w:rsidRPr="00A64F1A">
              <w:rPr>
                <w:rFonts w:cs="Arial"/>
                <w:b/>
                <w:bCs/>
                <w:sz w:val="14"/>
                <w:szCs w:val="14"/>
              </w:rPr>
              <w:t>3,396,767</w:t>
            </w:r>
          </w:p>
        </w:tc>
        <w:tc>
          <w:tcPr>
            <w:tcW w:w="993" w:type="dxa"/>
            <w:tcBorders>
              <w:top w:val="single" w:sz="2" w:space="0" w:color="1F4E79" w:themeColor="accent1" w:themeShade="80"/>
              <w:bottom w:val="nil"/>
            </w:tcBorders>
            <w:shd w:val="clear" w:color="auto" w:fill="auto"/>
            <w:vAlign w:val="center"/>
          </w:tcPr>
          <w:p w14:paraId="53BCE082" w14:textId="77777777" w:rsidR="008B7E19" w:rsidRPr="00A64F1A"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b/>
                <w:spacing w:val="-2"/>
                <w:sz w:val="14"/>
                <w:szCs w:val="14"/>
                <w:lang w:eastAsia="pt-BR"/>
              </w:rPr>
            </w:pPr>
            <w:r w:rsidRPr="00A64F1A">
              <w:rPr>
                <w:rFonts w:cs="Arial"/>
                <w:b/>
                <w:bCs/>
                <w:sz w:val="14"/>
                <w:szCs w:val="14"/>
              </w:rPr>
              <w:t>1,508</w:t>
            </w:r>
          </w:p>
        </w:tc>
        <w:tc>
          <w:tcPr>
            <w:tcW w:w="1277" w:type="dxa"/>
            <w:tcBorders>
              <w:top w:val="single" w:sz="2" w:space="0" w:color="1F4E79" w:themeColor="accent1" w:themeShade="80"/>
              <w:bottom w:val="nil"/>
            </w:tcBorders>
            <w:shd w:val="clear" w:color="auto" w:fill="auto"/>
            <w:vAlign w:val="center"/>
          </w:tcPr>
          <w:p w14:paraId="0FFDC182" w14:textId="77777777" w:rsidR="008B7E19" w:rsidRPr="00A64F1A"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b/>
                <w:spacing w:val="-2"/>
                <w:sz w:val="14"/>
                <w:szCs w:val="14"/>
                <w:lang w:eastAsia="pt-BR"/>
              </w:rPr>
            </w:pPr>
            <w:r w:rsidRPr="00A64F1A">
              <w:rPr>
                <w:rFonts w:cs="Arial"/>
                <w:b/>
                <w:bCs/>
                <w:sz w:val="14"/>
                <w:szCs w:val="14"/>
              </w:rPr>
              <w:t>679,354</w:t>
            </w:r>
          </w:p>
        </w:tc>
        <w:tc>
          <w:tcPr>
            <w:tcW w:w="1846" w:type="dxa"/>
            <w:tcBorders>
              <w:top w:val="single" w:sz="2" w:space="0" w:color="1F4E79" w:themeColor="accent1" w:themeShade="80"/>
              <w:bottom w:val="nil"/>
            </w:tcBorders>
            <w:shd w:val="clear" w:color="auto" w:fill="auto"/>
            <w:vAlign w:val="center"/>
          </w:tcPr>
          <w:p w14:paraId="14F54962" w14:textId="77777777" w:rsidR="008B7E19" w:rsidRPr="00A64F1A"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b/>
                <w:spacing w:val="-2"/>
                <w:sz w:val="14"/>
                <w:szCs w:val="14"/>
                <w:lang w:eastAsia="pt-BR"/>
              </w:rPr>
            </w:pPr>
            <w:r w:rsidRPr="00A64F1A">
              <w:rPr>
                <w:rFonts w:cs="Arial"/>
                <w:b/>
                <w:bCs/>
                <w:sz w:val="14"/>
                <w:szCs w:val="14"/>
              </w:rPr>
              <w:t>3,443,571</w:t>
            </w:r>
          </w:p>
        </w:tc>
        <w:tc>
          <w:tcPr>
            <w:tcW w:w="1122" w:type="dxa"/>
            <w:tcBorders>
              <w:top w:val="single" w:sz="2" w:space="0" w:color="1F4E79" w:themeColor="accent1" w:themeShade="80"/>
              <w:bottom w:val="nil"/>
            </w:tcBorders>
            <w:shd w:val="clear" w:color="auto" w:fill="auto"/>
            <w:vAlign w:val="center"/>
          </w:tcPr>
          <w:p w14:paraId="210CEE13" w14:textId="77777777" w:rsidR="008B7E19" w:rsidRPr="00A64F1A"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b/>
                <w:spacing w:val="-2"/>
                <w:sz w:val="14"/>
                <w:szCs w:val="14"/>
                <w:lang w:eastAsia="pt-BR"/>
              </w:rPr>
            </w:pPr>
            <w:r w:rsidRPr="00A64F1A">
              <w:rPr>
                <w:rFonts w:cs="Arial"/>
                <w:b/>
                <w:bCs/>
                <w:sz w:val="14"/>
                <w:szCs w:val="14"/>
              </w:rPr>
              <w:t>(81,320)</w:t>
            </w:r>
          </w:p>
        </w:tc>
        <w:tc>
          <w:tcPr>
            <w:tcW w:w="1289" w:type="dxa"/>
            <w:tcBorders>
              <w:top w:val="single" w:sz="2" w:space="0" w:color="1F4E79" w:themeColor="accent1" w:themeShade="80"/>
              <w:bottom w:val="nil"/>
            </w:tcBorders>
            <w:shd w:val="clear" w:color="auto" w:fill="auto"/>
            <w:vAlign w:val="center"/>
          </w:tcPr>
          <w:p w14:paraId="08160E98" w14:textId="77777777" w:rsidR="008B7E19" w:rsidRPr="00A64F1A"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b/>
                <w:spacing w:val="-2"/>
                <w:sz w:val="14"/>
                <w:szCs w:val="14"/>
                <w:lang w:eastAsia="pt-BR"/>
              </w:rPr>
            </w:pPr>
            <w:r w:rsidRPr="00A64F1A">
              <w:rPr>
                <w:rFonts w:cs="Arial"/>
                <w:b/>
                <w:bCs/>
                <w:sz w:val="14"/>
                <w:szCs w:val="14"/>
              </w:rPr>
              <w:t>(158,464)</w:t>
            </w:r>
          </w:p>
        </w:tc>
        <w:tc>
          <w:tcPr>
            <w:tcW w:w="1560" w:type="dxa"/>
            <w:tcBorders>
              <w:top w:val="single" w:sz="2" w:space="0" w:color="1F4E79" w:themeColor="accent1" w:themeShade="80"/>
              <w:bottom w:val="nil"/>
            </w:tcBorders>
            <w:shd w:val="clear" w:color="auto" w:fill="auto"/>
            <w:vAlign w:val="center"/>
          </w:tcPr>
          <w:p w14:paraId="513A9FD4" w14:textId="77777777" w:rsidR="008B7E19" w:rsidRPr="00A64F1A"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b/>
                <w:spacing w:val="-2"/>
                <w:sz w:val="14"/>
                <w:szCs w:val="14"/>
                <w:lang w:eastAsia="pt-BR"/>
              </w:rPr>
            </w:pPr>
            <w:r w:rsidRPr="00A64F1A">
              <w:rPr>
                <w:rFonts w:cs="Arial"/>
                <w:b/>
                <w:bCs/>
                <w:sz w:val="14"/>
                <w:szCs w:val="14"/>
              </w:rPr>
              <w:t>--</w:t>
            </w:r>
          </w:p>
        </w:tc>
        <w:tc>
          <w:tcPr>
            <w:tcW w:w="1122" w:type="dxa"/>
            <w:tcBorders>
              <w:top w:val="single" w:sz="2" w:space="0" w:color="1F4E79" w:themeColor="accent1" w:themeShade="80"/>
              <w:bottom w:val="nil"/>
            </w:tcBorders>
            <w:shd w:val="clear" w:color="auto" w:fill="auto"/>
            <w:vAlign w:val="center"/>
          </w:tcPr>
          <w:p w14:paraId="51127436" w14:textId="77777777" w:rsidR="008B7E19" w:rsidRPr="00A64F1A"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b/>
                <w:spacing w:val="-2"/>
                <w:sz w:val="14"/>
                <w:szCs w:val="14"/>
                <w:lang w:eastAsia="pt-BR"/>
              </w:rPr>
            </w:pPr>
            <w:r w:rsidRPr="00A64F1A">
              <w:rPr>
                <w:rFonts w:cs="Arial"/>
                <w:b/>
                <w:bCs/>
                <w:sz w:val="14"/>
                <w:szCs w:val="14"/>
              </w:rPr>
              <w:t>7,281,416</w:t>
            </w:r>
          </w:p>
        </w:tc>
      </w:tr>
      <w:tr w:rsidR="008B7E19" w:rsidRPr="004E4235" w14:paraId="76C64BA6" w14:textId="77777777" w:rsidTr="008B7E19">
        <w:trPr>
          <w:cnfStyle w:val="000000100000" w:firstRow="0" w:lastRow="0" w:firstColumn="0" w:lastColumn="0" w:oddVBand="0" w:evenVBand="0" w:oddHBand="1" w:evenHBand="0" w:firstRowFirstColumn="0" w:firstRowLastColumn="0" w:lastRowFirstColumn="0" w:lastRowLastColumn="0"/>
          <w:trHeight w:val="166"/>
        </w:trPr>
        <w:tc>
          <w:tcPr>
            <w:cnfStyle w:val="001000000000" w:firstRow="0" w:lastRow="0" w:firstColumn="1" w:lastColumn="0" w:oddVBand="0" w:evenVBand="0" w:oddHBand="0" w:evenHBand="0" w:firstRowFirstColumn="0" w:firstRowLastColumn="0" w:lastRowFirstColumn="0" w:lastRowLastColumn="0"/>
            <w:tcW w:w="4253" w:type="dxa"/>
            <w:tcBorders>
              <w:top w:val="nil"/>
              <w:bottom w:val="nil"/>
            </w:tcBorders>
            <w:shd w:val="clear" w:color="auto" w:fill="auto"/>
            <w:vAlign w:val="center"/>
          </w:tcPr>
          <w:p w14:paraId="624A6809" w14:textId="77777777" w:rsidR="008B7E19" w:rsidRPr="00A64F1A" w:rsidRDefault="008B7E19" w:rsidP="008B7E19">
            <w:pPr>
              <w:keepNext/>
              <w:keepLines/>
              <w:spacing w:before="40" w:after="40"/>
              <w:ind w:left="177"/>
              <w:rPr>
                <w:rFonts w:eastAsia="Times New Roman" w:cs="Arial"/>
                <w:b w:val="0"/>
                <w:spacing w:val="-2"/>
                <w:sz w:val="14"/>
                <w:szCs w:val="14"/>
                <w:lang w:eastAsia="pt-BR"/>
              </w:rPr>
            </w:pPr>
            <w:r w:rsidRPr="00A64F1A">
              <w:rPr>
                <w:rFonts w:eastAsia="Times New Roman" w:cs="Arial"/>
                <w:b w:val="0"/>
                <w:spacing w:val="-2"/>
                <w:sz w:val="14"/>
                <w:szCs w:val="14"/>
                <w:lang w:eastAsia="pt-BR"/>
              </w:rPr>
              <w:t>Transition CPC 48 and 50</w:t>
            </w:r>
          </w:p>
        </w:tc>
        <w:tc>
          <w:tcPr>
            <w:tcW w:w="567" w:type="dxa"/>
            <w:tcBorders>
              <w:top w:val="nil"/>
              <w:bottom w:val="nil"/>
            </w:tcBorders>
            <w:shd w:val="clear" w:color="auto" w:fill="auto"/>
          </w:tcPr>
          <w:p w14:paraId="5B85FE8E" w14:textId="77777777" w:rsidR="008B7E19" w:rsidRPr="00A64F1A"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lang w:eastAsia="pt-BR"/>
              </w:rPr>
            </w:pPr>
          </w:p>
        </w:tc>
        <w:tc>
          <w:tcPr>
            <w:tcW w:w="1276" w:type="dxa"/>
            <w:tcBorders>
              <w:top w:val="nil"/>
              <w:bottom w:val="nil"/>
            </w:tcBorders>
            <w:shd w:val="clear" w:color="auto" w:fill="auto"/>
            <w:vAlign w:val="center"/>
          </w:tcPr>
          <w:p w14:paraId="3E836CE5" w14:textId="77777777" w:rsidR="008B7E19" w:rsidRPr="00A64F1A"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lang w:eastAsia="pt-BR"/>
              </w:rPr>
            </w:pPr>
            <w:r w:rsidRPr="00A64F1A">
              <w:rPr>
                <w:rFonts w:cs="Arial"/>
                <w:sz w:val="14"/>
                <w:szCs w:val="14"/>
              </w:rPr>
              <w:t>--</w:t>
            </w:r>
          </w:p>
        </w:tc>
        <w:tc>
          <w:tcPr>
            <w:tcW w:w="993" w:type="dxa"/>
            <w:tcBorders>
              <w:top w:val="nil"/>
              <w:bottom w:val="nil"/>
            </w:tcBorders>
            <w:shd w:val="clear" w:color="auto" w:fill="auto"/>
            <w:vAlign w:val="center"/>
          </w:tcPr>
          <w:p w14:paraId="52F568D4" w14:textId="77777777" w:rsidR="008B7E19" w:rsidRPr="00A64F1A"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lang w:eastAsia="pt-BR"/>
              </w:rPr>
            </w:pPr>
            <w:r w:rsidRPr="00A64F1A">
              <w:rPr>
                <w:rFonts w:cs="Arial"/>
                <w:sz w:val="14"/>
                <w:szCs w:val="14"/>
              </w:rPr>
              <w:t>--</w:t>
            </w:r>
          </w:p>
        </w:tc>
        <w:tc>
          <w:tcPr>
            <w:tcW w:w="1277" w:type="dxa"/>
            <w:tcBorders>
              <w:top w:val="nil"/>
              <w:bottom w:val="nil"/>
            </w:tcBorders>
            <w:shd w:val="clear" w:color="auto" w:fill="auto"/>
            <w:vAlign w:val="center"/>
          </w:tcPr>
          <w:p w14:paraId="2BC36C7A" w14:textId="77777777" w:rsidR="008B7E19" w:rsidRPr="00A64F1A"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lang w:eastAsia="pt-BR"/>
              </w:rPr>
            </w:pPr>
            <w:r w:rsidRPr="00A64F1A">
              <w:rPr>
                <w:rFonts w:cs="Arial"/>
                <w:sz w:val="14"/>
                <w:szCs w:val="14"/>
              </w:rPr>
              <w:t>--</w:t>
            </w:r>
          </w:p>
        </w:tc>
        <w:tc>
          <w:tcPr>
            <w:tcW w:w="1846" w:type="dxa"/>
            <w:tcBorders>
              <w:top w:val="nil"/>
              <w:bottom w:val="nil"/>
            </w:tcBorders>
            <w:shd w:val="clear" w:color="auto" w:fill="auto"/>
            <w:vAlign w:val="center"/>
          </w:tcPr>
          <w:p w14:paraId="03254789" w14:textId="77777777" w:rsidR="008B7E19" w:rsidRPr="00A64F1A"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lang w:eastAsia="pt-BR"/>
              </w:rPr>
            </w:pPr>
            <w:r w:rsidRPr="00A64F1A">
              <w:rPr>
                <w:rFonts w:cs="Arial"/>
                <w:sz w:val="14"/>
                <w:szCs w:val="14"/>
              </w:rPr>
              <w:t>--</w:t>
            </w:r>
          </w:p>
        </w:tc>
        <w:tc>
          <w:tcPr>
            <w:tcW w:w="1122" w:type="dxa"/>
            <w:tcBorders>
              <w:top w:val="nil"/>
              <w:bottom w:val="nil"/>
            </w:tcBorders>
            <w:shd w:val="clear" w:color="auto" w:fill="auto"/>
            <w:vAlign w:val="center"/>
          </w:tcPr>
          <w:p w14:paraId="4836039F" w14:textId="77777777" w:rsidR="008B7E19" w:rsidRPr="00A64F1A"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z w:val="14"/>
                <w:szCs w:val="14"/>
              </w:rPr>
            </w:pPr>
            <w:r w:rsidRPr="00A64F1A">
              <w:rPr>
                <w:rFonts w:cs="Arial"/>
                <w:sz w:val="14"/>
                <w:szCs w:val="14"/>
              </w:rPr>
              <w:t>--</w:t>
            </w:r>
          </w:p>
        </w:tc>
        <w:tc>
          <w:tcPr>
            <w:tcW w:w="1289" w:type="dxa"/>
            <w:tcBorders>
              <w:top w:val="nil"/>
              <w:bottom w:val="nil"/>
            </w:tcBorders>
            <w:shd w:val="clear" w:color="auto" w:fill="auto"/>
            <w:vAlign w:val="center"/>
          </w:tcPr>
          <w:p w14:paraId="5B35D516" w14:textId="77777777" w:rsidR="008B7E19" w:rsidRPr="00A64F1A"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lang w:eastAsia="pt-BR"/>
              </w:rPr>
            </w:pPr>
            <w:r w:rsidRPr="00A64F1A">
              <w:rPr>
                <w:rFonts w:cs="Arial"/>
                <w:sz w:val="14"/>
                <w:szCs w:val="14"/>
              </w:rPr>
              <w:t>(296,745)</w:t>
            </w:r>
          </w:p>
        </w:tc>
        <w:tc>
          <w:tcPr>
            <w:tcW w:w="1560" w:type="dxa"/>
            <w:tcBorders>
              <w:top w:val="nil"/>
              <w:bottom w:val="nil"/>
            </w:tcBorders>
            <w:shd w:val="clear" w:color="auto" w:fill="auto"/>
            <w:vAlign w:val="center"/>
          </w:tcPr>
          <w:p w14:paraId="3B3C942B" w14:textId="77777777" w:rsidR="008B7E19" w:rsidRPr="00A64F1A"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lang w:eastAsia="pt-BR"/>
              </w:rPr>
            </w:pPr>
            <w:r w:rsidRPr="00A64F1A">
              <w:rPr>
                <w:rFonts w:cs="Arial"/>
                <w:sz w:val="14"/>
                <w:szCs w:val="14"/>
              </w:rPr>
              <w:t xml:space="preserve">483,730 </w:t>
            </w:r>
          </w:p>
        </w:tc>
        <w:tc>
          <w:tcPr>
            <w:tcW w:w="1122" w:type="dxa"/>
            <w:tcBorders>
              <w:top w:val="nil"/>
              <w:bottom w:val="nil"/>
            </w:tcBorders>
            <w:shd w:val="clear" w:color="auto" w:fill="auto"/>
            <w:vAlign w:val="center"/>
          </w:tcPr>
          <w:p w14:paraId="1E0D1408" w14:textId="77777777" w:rsidR="008B7E19" w:rsidRPr="00A64F1A"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z w:val="14"/>
                <w:szCs w:val="14"/>
              </w:rPr>
            </w:pPr>
            <w:r w:rsidRPr="00A64F1A">
              <w:rPr>
                <w:rFonts w:cs="Arial"/>
                <w:b/>
                <w:bCs/>
                <w:sz w:val="14"/>
                <w:szCs w:val="14"/>
              </w:rPr>
              <w:t xml:space="preserve">186,985 </w:t>
            </w:r>
          </w:p>
        </w:tc>
      </w:tr>
      <w:tr w:rsidR="008B7E19" w:rsidRPr="004E4235" w14:paraId="58C1BB55" w14:textId="77777777" w:rsidTr="008B7E19">
        <w:trPr>
          <w:cnfStyle w:val="000000010000" w:firstRow="0" w:lastRow="0" w:firstColumn="0" w:lastColumn="0" w:oddVBand="0" w:evenVBand="0" w:oddHBand="0" w:evenHBand="1" w:firstRowFirstColumn="0" w:firstRowLastColumn="0" w:lastRowFirstColumn="0" w:lastRowLastColumn="0"/>
          <w:trHeight w:val="166"/>
        </w:trPr>
        <w:tc>
          <w:tcPr>
            <w:cnfStyle w:val="001000000000" w:firstRow="0" w:lastRow="0" w:firstColumn="1" w:lastColumn="0" w:oddVBand="0" w:evenVBand="0" w:oddHBand="0" w:evenHBand="0" w:firstRowFirstColumn="0" w:firstRowLastColumn="0" w:lastRowFirstColumn="0" w:lastRowLastColumn="0"/>
            <w:tcW w:w="4253" w:type="dxa"/>
            <w:tcBorders>
              <w:top w:val="nil"/>
              <w:bottom w:val="nil"/>
            </w:tcBorders>
            <w:shd w:val="clear" w:color="auto" w:fill="auto"/>
            <w:vAlign w:val="center"/>
          </w:tcPr>
          <w:p w14:paraId="305109DB" w14:textId="72CE79E8" w:rsidR="008B7E19" w:rsidRPr="00A64F1A" w:rsidRDefault="008B7E19" w:rsidP="008B7E19">
            <w:pPr>
              <w:keepNext/>
              <w:keepLines/>
              <w:spacing w:before="40" w:after="40"/>
              <w:rPr>
                <w:rFonts w:eastAsia="Times New Roman" w:cs="Arial"/>
                <w:spacing w:val="-2"/>
                <w:sz w:val="14"/>
                <w:szCs w:val="14"/>
                <w:lang w:val="en-US" w:eastAsia="pt-BR"/>
              </w:rPr>
            </w:pPr>
            <w:r w:rsidRPr="00A64F1A">
              <w:rPr>
                <w:rFonts w:eastAsia="Times New Roman" w:cs="Arial"/>
                <w:spacing w:val="-2"/>
                <w:sz w:val="14"/>
                <w:szCs w:val="14"/>
                <w:lang w:val="en-US" w:eastAsia="pt-BR"/>
              </w:rPr>
              <w:t>Balances on 01.01.2022 (</w:t>
            </w:r>
            <w:r w:rsidRPr="00E21275">
              <w:rPr>
                <w:rFonts w:cs="Arial"/>
                <w:sz w:val="14"/>
                <w:szCs w:val="14"/>
                <w:shd w:val="clear" w:color="auto" w:fill="FFFFFF"/>
              </w:rPr>
              <w:t>Opening balance</w:t>
            </w:r>
            <w:r w:rsidRPr="00A64F1A">
              <w:rPr>
                <w:rFonts w:eastAsia="Times New Roman" w:cs="Arial"/>
                <w:spacing w:val="-2"/>
                <w:sz w:val="14"/>
                <w:szCs w:val="14"/>
                <w:lang w:val="en-US" w:eastAsia="pt-BR"/>
              </w:rPr>
              <w:t>)</w:t>
            </w:r>
          </w:p>
        </w:tc>
        <w:tc>
          <w:tcPr>
            <w:tcW w:w="567" w:type="dxa"/>
            <w:tcBorders>
              <w:top w:val="nil"/>
              <w:bottom w:val="nil"/>
            </w:tcBorders>
            <w:shd w:val="clear" w:color="auto" w:fill="auto"/>
          </w:tcPr>
          <w:p w14:paraId="2FF3D56D" w14:textId="77777777" w:rsidR="008B7E19" w:rsidRPr="00A64F1A"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spacing w:val="-2"/>
                <w:sz w:val="14"/>
                <w:szCs w:val="14"/>
                <w:lang w:val="en-US" w:eastAsia="pt-BR"/>
              </w:rPr>
            </w:pPr>
          </w:p>
        </w:tc>
        <w:tc>
          <w:tcPr>
            <w:tcW w:w="1276" w:type="dxa"/>
            <w:tcBorders>
              <w:top w:val="nil"/>
              <w:bottom w:val="nil"/>
            </w:tcBorders>
            <w:shd w:val="clear" w:color="auto" w:fill="auto"/>
            <w:vAlign w:val="center"/>
          </w:tcPr>
          <w:p w14:paraId="384F7949" w14:textId="77777777" w:rsidR="008B7E19" w:rsidRPr="00A64F1A"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spacing w:val="-2"/>
                <w:sz w:val="14"/>
                <w:szCs w:val="14"/>
                <w:lang w:eastAsia="pt-BR"/>
              </w:rPr>
            </w:pPr>
            <w:r w:rsidRPr="00A64F1A">
              <w:rPr>
                <w:rFonts w:cs="Arial"/>
                <w:b/>
                <w:bCs/>
                <w:sz w:val="14"/>
                <w:szCs w:val="14"/>
              </w:rPr>
              <w:t>3,396,767</w:t>
            </w:r>
          </w:p>
        </w:tc>
        <w:tc>
          <w:tcPr>
            <w:tcW w:w="993" w:type="dxa"/>
            <w:tcBorders>
              <w:top w:val="nil"/>
              <w:bottom w:val="nil"/>
            </w:tcBorders>
            <w:shd w:val="clear" w:color="auto" w:fill="auto"/>
            <w:vAlign w:val="center"/>
          </w:tcPr>
          <w:p w14:paraId="5BECB252" w14:textId="77777777" w:rsidR="008B7E19" w:rsidRPr="00A64F1A"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spacing w:val="-2"/>
                <w:sz w:val="14"/>
                <w:szCs w:val="14"/>
                <w:lang w:eastAsia="pt-BR"/>
              </w:rPr>
            </w:pPr>
            <w:r w:rsidRPr="00A64F1A">
              <w:rPr>
                <w:rFonts w:cs="Arial"/>
                <w:b/>
                <w:bCs/>
                <w:sz w:val="14"/>
                <w:szCs w:val="14"/>
              </w:rPr>
              <w:t>1,508</w:t>
            </w:r>
          </w:p>
        </w:tc>
        <w:tc>
          <w:tcPr>
            <w:tcW w:w="1277" w:type="dxa"/>
            <w:tcBorders>
              <w:top w:val="nil"/>
              <w:bottom w:val="nil"/>
            </w:tcBorders>
            <w:shd w:val="clear" w:color="auto" w:fill="auto"/>
            <w:vAlign w:val="center"/>
          </w:tcPr>
          <w:p w14:paraId="2281D499" w14:textId="77777777" w:rsidR="008B7E19" w:rsidRPr="00A64F1A"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spacing w:val="-2"/>
                <w:sz w:val="14"/>
                <w:szCs w:val="14"/>
                <w:lang w:eastAsia="pt-BR"/>
              </w:rPr>
            </w:pPr>
            <w:r w:rsidRPr="00A64F1A">
              <w:rPr>
                <w:rFonts w:cs="Arial"/>
                <w:b/>
                <w:bCs/>
                <w:sz w:val="14"/>
                <w:szCs w:val="14"/>
              </w:rPr>
              <w:t>679,354</w:t>
            </w:r>
          </w:p>
        </w:tc>
        <w:tc>
          <w:tcPr>
            <w:tcW w:w="1846" w:type="dxa"/>
            <w:tcBorders>
              <w:top w:val="nil"/>
              <w:bottom w:val="nil"/>
            </w:tcBorders>
            <w:shd w:val="clear" w:color="auto" w:fill="auto"/>
            <w:vAlign w:val="center"/>
          </w:tcPr>
          <w:p w14:paraId="69C5BF21" w14:textId="77777777" w:rsidR="008B7E19" w:rsidRPr="00A64F1A"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spacing w:val="-2"/>
                <w:sz w:val="14"/>
                <w:szCs w:val="14"/>
                <w:lang w:eastAsia="pt-BR"/>
              </w:rPr>
            </w:pPr>
            <w:r w:rsidRPr="00A64F1A">
              <w:rPr>
                <w:rFonts w:cs="Arial"/>
                <w:b/>
                <w:bCs/>
                <w:sz w:val="14"/>
                <w:szCs w:val="14"/>
              </w:rPr>
              <w:t>3,443,571</w:t>
            </w:r>
          </w:p>
        </w:tc>
        <w:tc>
          <w:tcPr>
            <w:tcW w:w="1122" w:type="dxa"/>
            <w:tcBorders>
              <w:top w:val="nil"/>
              <w:bottom w:val="nil"/>
            </w:tcBorders>
            <w:shd w:val="clear" w:color="auto" w:fill="auto"/>
            <w:vAlign w:val="center"/>
          </w:tcPr>
          <w:p w14:paraId="6242551D" w14:textId="77777777" w:rsidR="008B7E19" w:rsidRPr="00A64F1A"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sz w:val="14"/>
                <w:szCs w:val="14"/>
              </w:rPr>
            </w:pPr>
            <w:r w:rsidRPr="00A64F1A">
              <w:rPr>
                <w:rFonts w:cs="Arial"/>
                <w:b/>
                <w:bCs/>
                <w:sz w:val="14"/>
                <w:szCs w:val="14"/>
              </w:rPr>
              <w:t>(81,320)</w:t>
            </w:r>
          </w:p>
        </w:tc>
        <w:tc>
          <w:tcPr>
            <w:tcW w:w="1289" w:type="dxa"/>
            <w:tcBorders>
              <w:top w:val="nil"/>
              <w:bottom w:val="nil"/>
            </w:tcBorders>
            <w:shd w:val="clear" w:color="auto" w:fill="auto"/>
            <w:vAlign w:val="center"/>
          </w:tcPr>
          <w:p w14:paraId="25C82A9B" w14:textId="77777777" w:rsidR="008B7E19" w:rsidRPr="00A64F1A"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spacing w:val="-2"/>
                <w:sz w:val="14"/>
                <w:szCs w:val="14"/>
                <w:lang w:eastAsia="pt-BR"/>
              </w:rPr>
            </w:pPr>
            <w:r w:rsidRPr="00A64F1A">
              <w:rPr>
                <w:rFonts w:cs="Arial"/>
                <w:b/>
                <w:bCs/>
                <w:sz w:val="14"/>
                <w:szCs w:val="14"/>
              </w:rPr>
              <w:t>(455,209)</w:t>
            </w:r>
          </w:p>
        </w:tc>
        <w:tc>
          <w:tcPr>
            <w:tcW w:w="1560" w:type="dxa"/>
            <w:tcBorders>
              <w:top w:val="nil"/>
              <w:bottom w:val="nil"/>
            </w:tcBorders>
            <w:shd w:val="clear" w:color="auto" w:fill="auto"/>
            <w:vAlign w:val="center"/>
          </w:tcPr>
          <w:p w14:paraId="0B173376" w14:textId="77777777" w:rsidR="008B7E19" w:rsidRPr="00A64F1A"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spacing w:val="-2"/>
                <w:sz w:val="14"/>
                <w:szCs w:val="14"/>
                <w:lang w:eastAsia="pt-BR"/>
              </w:rPr>
            </w:pPr>
            <w:r w:rsidRPr="00A64F1A">
              <w:rPr>
                <w:rFonts w:cs="Arial"/>
                <w:b/>
                <w:bCs/>
                <w:sz w:val="14"/>
                <w:szCs w:val="14"/>
              </w:rPr>
              <w:t>483,730</w:t>
            </w:r>
          </w:p>
        </w:tc>
        <w:tc>
          <w:tcPr>
            <w:tcW w:w="1122" w:type="dxa"/>
            <w:tcBorders>
              <w:top w:val="nil"/>
              <w:bottom w:val="nil"/>
            </w:tcBorders>
            <w:shd w:val="clear" w:color="auto" w:fill="auto"/>
            <w:vAlign w:val="center"/>
          </w:tcPr>
          <w:p w14:paraId="141DDD5B" w14:textId="77777777" w:rsidR="008B7E19" w:rsidRPr="00A64F1A"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sz w:val="14"/>
                <w:szCs w:val="14"/>
              </w:rPr>
            </w:pPr>
            <w:r w:rsidRPr="00A64F1A">
              <w:rPr>
                <w:rFonts w:cs="Arial"/>
                <w:b/>
                <w:bCs/>
                <w:sz w:val="14"/>
                <w:szCs w:val="14"/>
              </w:rPr>
              <w:t>7,468,401</w:t>
            </w:r>
          </w:p>
        </w:tc>
      </w:tr>
      <w:tr w:rsidR="008B7E19" w:rsidRPr="004E4235" w14:paraId="7BC0CE3E" w14:textId="77777777" w:rsidTr="008B7E19">
        <w:trPr>
          <w:cnfStyle w:val="000000100000" w:firstRow="0" w:lastRow="0" w:firstColumn="0" w:lastColumn="0" w:oddVBand="0" w:evenVBand="0" w:oddHBand="1" w:evenHBand="0" w:firstRowFirstColumn="0" w:firstRowLastColumn="0" w:lastRowFirstColumn="0" w:lastRowLastColumn="0"/>
          <w:trHeight w:val="166"/>
        </w:trPr>
        <w:tc>
          <w:tcPr>
            <w:cnfStyle w:val="001000000000" w:firstRow="0" w:lastRow="0" w:firstColumn="1" w:lastColumn="0" w:oddVBand="0" w:evenVBand="0" w:oddHBand="0" w:evenHBand="0" w:firstRowFirstColumn="0" w:firstRowLastColumn="0" w:lastRowFirstColumn="0" w:lastRowLastColumn="0"/>
            <w:tcW w:w="4253" w:type="dxa"/>
            <w:tcBorders>
              <w:top w:val="nil"/>
              <w:bottom w:val="nil"/>
            </w:tcBorders>
            <w:shd w:val="clear" w:color="auto" w:fill="auto"/>
            <w:vAlign w:val="center"/>
          </w:tcPr>
          <w:p w14:paraId="1B3C8C77" w14:textId="77777777" w:rsidR="008B7E19" w:rsidRPr="00A64F1A" w:rsidRDefault="008B7E19" w:rsidP="008B7E19">
            <w:pPr>
              <w:keepNext/>
              <w:keepLines/>
              <w:spacing w:before="40" w:after="40"/>
              <w:ind w:left="177"/>
              <w:rPr>
                <w:rFonts w:eastAsia="Times New Roman" w:cs="Arial"/>
                <w:spacing w:val="-2"/>
                <w:sz w:val="14"/>
                <w:szCs w:val="14"/>
                <w:lang w:val="en-US" w:eastAsia="pt-BR"/>
              </w:rPr>
            </w:pPr>
            <w:r w:rsidRPr="00A64F1A">
              <w:rPr>
                <w:rFonts w:eastAsia="Times New Roman" w:cs="Arial"/>
                <w:b w:val="0"/>
                <w:spacing w:val="-2"/>
                <w:sz w:val="14"/>
                <w:szCs w:val="14"/>
                <w:lang w:val="en-US" w:eastAsia="pt-BR"/>
              </w:rPr>
              <w:t>Capitalization of Profit Reserve</w:t>
            </w:r>
          </w:p>
        </w:tc>
        <w:tc>
          <w:tcPr>
            <w:tcW w:w="567" w:type="dxa"/>
            <w:tcBorders>
              <w:top w:val="nil"/>
              <w:bottom w:val="nil"/>
            </w:tcBorders>
            <w:shd w:val="clear" w:color="auto" w:fill="auto"/>
          </w:tcPr>
          <w:p w14:paraId="7CE569DF" w14:textId="77777777" w:rsidR="008B7E19" w:rsidRPr="00A64F1A"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lang w:val="en-US" w:eastAsia="pt-BR"/>
              </w:rPr>
            </w:pPr>
          </w:p>
        </w:tc>
        <w:tc>
          <w:tcPr>
            <w:tcW w:w="1276" w:type="dxa"/>
            <w:tcBorders>
              <w:top w:val="nil"/>
              <w:bottom w:val="nil"/>
            </w:tcBorders>
            <w:shd w:val="clear" w:color="auto" w:fill="auto"/>
            <w:vAlign w:val="center"/>
          </w:tcPr>
          <w:p w14:paraId="081B9C82" w14:textId="77777777" w:rsidR="008B7E19" w:rsidRPr="00A64F1A"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lang w:eastAsia="pt-BR"/>
              </w:rPr>
            </w:pPr>
            <w:r w:rsidRPr="00A64F1A">
              <w:rPr>
                <w:rFonts w:cs="Arial"/>
                <w:sz w:val="14"/>
                <w:szCs w:val="14"/>
              </w:rPr>
              <w:t>2,872,925</w:t>
            </w:r>
          </w:p>
        </w:tc>
        <w:tc>
          <w:tcPr>
            <w:tcW w:w="993" w:type="dxa"/>
            <w:tcBorders>
              <w:top w:val="nil"/>
              <w:bottom w:val="nil"/>
            </w:tcBorders>
            <w:shd w:val="clear" w:color="auto" w:fill="auto"/>
            <w:vAlign w:val="center"/>
          </w:tcPr>
          <w:p w14:paraId="264FCA85" w14:textId="77777777" w:rsidR="008B7E19" w:rsidRPr="00A64F1A"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lang w:eastAsia="pt-BR"/>
              </w:rPr>
            </w:pPr>
            <w:r w:rsidRPr="00A64F1A">
              <w:rPr>
                <w:rFonts w:cs="Arial"/>
                <w:sz w:val="14"/>
                <w:szCs w:val="14"/>
              </w:rPr>
              <w:t>--</w:t>
            </w:r>
          </w:p>
        </w:tc>
        <w:tc>
          <w:tcPr>
            <w:tcW w:w="1277" w:type="dxa"/>
            <w:tcBorders>
              <w:top w:val="nil"/>
              <w:bottom w:val="nil"/>
            </w:tcBorders>
            <w:shd w:val="clear" w:color="auto" w:fill="auto"/>
            <w:vAlign w:val="center"/>
          </w:tcPr>
          <w:p w14:paraId="5E1918FF" w14:textId="77777777" w:rsidR="008B7E19" w:rsidRPr="00A64F1A"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lang w:eastAsia="pt-BR"/>
              </w:rPr>
            </w:pPr>
            <w:r w:rsidRPr="00A64F1A">
              <w:rPr>
                <w:rFonts w:cs="Arial"/>
                <w:sz w:val="14"/>
                <w:szCs w:val="14"/>
              </w:rPr>
              <w:t>(679,354)</w:t>
            </w:r>
          </w:p>
        </w:tc>
        <w:tc>
          <w:tcPr>
            <w:tcW w:w="1846" w:type="dxa"/>
            <w:tcBorders>
              <w:top w:val="nil"/>
              <w:bottom w:val="nil"/>
            </w:tcBorders>
            <w:shd w:val="clear" w:color="auto" w:fill="auto"/>
            <w:vAlign w:val="center"/>
          </w:tcPr>
          <w:p w14:paraId="03E0CFD3" w14:textId="77777777" w:rsidR="008B7E19" w:rsidRPr="00A64F1A"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lang w:eastAsia="pt-BR"/>
              </w:rPr>
            </w:pPr>
            <w:r w:rsidRPr="00A64F1A">
              <w:rPr>
                <w:rFonts w:cs="Arial"/>
                <w:sz w:val="14"/>
                <w:szCs w:val="14"/>
              </w:rPr>
              <w:t>(2,193,571)</w:t>
            </w:r>
          </w:p>
        </w:tc>
        <w:tc>
          <w:tcPr>
            <w:tcW w:w="1122" w:type="dxa"/>
            <w:tcBorders>
              <w:top w:val="nil"/>
              <w:bottom w:val="nil"/>
            </w:tcBorders>
            <w:shd w:val="clear" w:color="auto" w:fill="auto"/>
            <w:vAlign w:val="center"/>
          </w:tcPr>
          <w:p w14:paraId="62917551" w14:textId="77777777" w:rsidR="008B7E19" w:rsidRPr="00A64F1A"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lang w:eastAsia="pt-BR"/>
              </w:rPr>
            </w:pPr>
            <w:r w:rsidRPr="00A64F1A">
              <w:rPr>
                <w:rFonts w:cs="Arial"/>
                <w:sz w:val="14"/>
                <w:szCs w:val="14"/>
              </w:rPr>
              <w:t>--</w:t>
            </w:r>
          </w:p>
        </w:tc>
        <w:tc>
          <w:tcPr>
            <w:tcW w:w="1289" w:type="dxa"/>
            <w:tcBorders>
              <w:top w:val="nil"/>
              <w:bottom w:val="nil"/>
            </w:tcBorders>
            <w:shd w:val="clear" w:color="auto" w:fill="auto"/>
            <w:vAlign w:val="center"/>
          </w:tcPr>
          <w:p w14:paraId="014E8FF4" w14:textId="77777777" w:rsidR="008B7E19" w:rsidRPr="00A64F1A"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lang w:eastAsia="pt-BR"/>
              </w:rPr>
            </w:pPr>
            <w:r w:rsidRPr="00A64F1A">
              <w:rPr>
                <w:rFonts w:cs="Arial"/>
                <w:b/>
                <w:bCs/>
                <w:sz w:val="14"/>
                <w:szCs w:val="14"/>
              </w:rPr>
              <w:t>--</w:t>
            </w:r>
          </w:p>
        </w:tc>
        <w:tc>
          <w:tcPr>
            <w:tcW w:w="1560" w:type="dxa"/>
            <w:tcBorders>
              <w:top w:val="nil"/>
              <w:bottom w:val="nil"/>
            </w:tcBorders>
            <w:shd w:val="clear" w:color="auto" w:fill="auto"/>
            <w:vAlign w:val="center"/>
          </w:tcPr>
          <w:p w14:paraId="3DF529DB" w14:textId="77777777" w:rsidR="008B7E19" w:rsidRPr="00A64F1A"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lang w:eastAsia="pt-BR"/>
              </w:rPr>
            </w:pPr>
            <w:r w:rsidRPr="00A64F1A">
              <w:rPr>
                <w:rFonts w:cs="Arial"/>
                <w:b/>
                <w:bCs/>
                <w:sz w:val="14"/>
                <w:szCs w:val="14"/>
              </w:rPr>
              <w:t>--</w:t>
            </w:r>
          </w:p>
        </w:tc>
        <w:tc>
          <w:tcPr>
            <w:tcW w:w="1122" w:type="dxa"/>
            <w:tcBorders>
              <w:top w:val="nil"/>
              <w:bottom w:val="nil"/>
            </w:tcBorders>
            <w:shd w:val="clear" w:color="auto" w:fill="auto"/>
            <w:vAlign w:val="center"/>
          </w:tcPr>
          <w:p w14:paraId="01538277" w14:textId="77777777" w:rsidR="008B7E19" w:rsidRPr="00A64F1A"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4"/>
                <w:lang w:eastAsia="pt-BR"/>
              </w:rPr>
            </w:pPr>
            <w:r w:rsidRPr="00A64F1A">
              <w:rPr>
                <w:rFonts w:cs="Arial"/>
                <w:b/>
                <w:bCs/>
                <w:sz w:val="14"/>
                <w:szCs w:val="14"/>
              </w:rPr>
              <w:t>--</w:t>
            </w:r>
          </w:p>
        </w:tc>
      </w:tr>
      <w:tr w:rsidR="008B7E19" w:rsidRPr="004E4235" w14:paraId="13FB82A9" w14:textId="77777777" w:rsidTr="008B7E19">
        <w:trPr>
          <w:cnfStyle w:val="000000010000" w:firstRow="0" w:lastRow="0" w:firstColumn="0" w:lastColumn="0" w:oddVBand="0" w:evenVBand="0" w:oddHBand="0" w:evenHBand="1" w:firstRowFirstColumn="0" w:firstRowLastColumn="0" w:lastRowFirstColumn="0" w:lastRowLastColumn="0"/>
          <w:trHeight w:val="166"/>
        </w:trPr>
        <w:tc>
          <w:tcPr>
            <w:cnfStyle w:val="001000000000" w:firstRow="0" w:lastRow="0" w:firstColumn="1" w:lastColumn="0" w:oddVBand="0" w:evenVBand="0" w:oddHBand="0" w:evenHBand="0" w:firstRowFirstColumn="0" w:firstRowLastColumn="0" w:lastRowFirstColumn="0" w:lastRowLastColumn="0"/>
            <w:tcW w:w="4253" w:type="dxa"/>
            <w:tcBorders>
              <w:top w:val="nil"/>
              <w:bottom w:val="nil"/>
            </w:tcBorders>
            <w:shd w:val="clear" w:color="auto" w:fill="auto"/>
            <w:vAlign w:val="center"/>
          </w:tcPr>
          <w:p w14:paraId="2EB51783" w14:textId="77777777" w:rsidR="008B7E19" w:rsidRPr="00A64F1A" w:rsidRDefault="008B7E19" w:rsidP="008B7E19">
            <w:pPr>
              <w:keepNext/>
              <w:keepLines/>
              <w:spacing w:before="40" w:after="40"/>
              <w:ind w:left="177"/>
              <w:rPr>
                <w:rFonts w:eastAsia="Times New Roman" w:cs="Arial"/>
                <w:spacing w:val="-2"/>
                <w:sz w:val="14"/>
                <w:szCs w:val="14"/>
                <w:lang w:val="en-US" w:eastAsia="pt-BR"/>
              </w:rPr>
            </w:pPr>
            <w:r w:rsidRPr="00A64F1A">
              <w:rPr>
                <w:rFonts w:eastAsia="Times New Roman" w:cs="Arial"/>
                <w:b w:val="0"/>
                <w:spacing w:val="-2"/>
                <w:sz w:val="14"/>
                <w:szCs w:val="14"/>
                <w:lang w:val="en-US" w:eastAsia="pt-BR"/>
              </w:rPr>
              <w:t>Share-based payment transactions</w:t>
            </w:r>
          </w:p>
        </w:tc>
        <w:tc>
          <w:tcPr>
            <w:tcW w:w="567" w:type="dxa"/>
            <w:tcBorders>
              <w:top w:val="nil"/>
              <w:bottom w:val="nil"/>
            </w:tcBorders>
            <w:shd w:val="clear" w:color="auto" w:fill="auto"/>
          </w:tcPr>
          <w:p w14:paraId="7453CCAF" w14:textId="77777777" w:rsidR="008B7E19" w:rsidRPr="00A64F1A"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spacing w:val="-2"/>
                <w:sz w:val="14"/>
                <w:szCs w:val="14"/>
                <w:lang w:val="en-US" w:eastAsia="pt-BR"/>
              </w:rPr>
            </w:pPr>
          </w:p>
        </w:tc>
        <w:tc>
          <w:tcPr>
            <w:tcW w:w="1276" w:type="dxa"/>
            <w:tcBorders>
              <w:top w:val="nil"/>
              <w:bottom w:val="nil"/>
            </w:tcBorders>
            <w:shd w:val="clear" w:color="auto" w:fill="auto"/>
            <w:vAlign w:val="center"/>
          </w:tcPr>
          <w:p w14:paraId="4DE05C72" w14:textId="77777777" w:rsidR="008B7E19" w:rsidRPr="00A64F1A"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spacing w:val="-2"/>
                <w:sz w:val="14"/>
                <w:szCs w:val="14"/>
                <w:lang w:eastAsia="pt-BR"/>
              </w:rPr>
            </w:pPr>
            <w:r w:rsidRPr="00A64F1A">
              <w:rPr>
                <w:rFonts w:cs="Arial"/>
                <w:sz w:val="14"/>
                <w:szCs w:val="14"/>
              </w:rPr>
              <w:t>--</w:t>
            </w:r>
          </w:p>
        </w:tc>
        <w:tc>
          <w:tcPr>
            <w:tcW w:w="993" w:type="dxa"/>
            <w:tcBorders>
              <w:top w:val="nil"/>
              <w:bottom w:val="nil"/>
            </w:tcBorders>
            <w:shd w:val="clear" w:color="auto" w:fill="auto"/>
            <w:vAlign w:val="center"/>
          </w:tcPr>
          <w:p w14:paraId="33475975" w14:textId="77777777" w:rsidR="008B7E19" w:rsidRPr="00A64F1A"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spacing w:val="-2"/>
                <w:sz w:val="14"/>
                <w:szCs w:val="14"/>
                <w:lang w:eastAsia="pt-BR"/>
              </w:rPr>
            </w:pPr>
            <w:r w:rsidRPr="00A64F1A">
              <w:rPr>
                <w:rFonts w:cs="Arial"/>
                <w:sz w:val="14"/>
                <w:szCs w:val="14"/>
              </w:rPr>
              <w:t>63</w:t>
            </w:r>
          </w:p>
        </w:tc>
        <w:tc>
          <w:tcPr>
            <w:tcW w:w="1277" w:type="dxa"/>
            <w:tcBorders>
              <w:top w:val="nil"/>
              <w:bottom w:val="nil"/>
            </w:tcBorders>
            <w:shd w:val="clear" w:color="auto" w:fill="auto"/>
            <w:vAlign w:val="center"/>
          </w:tcPr>
          <w:p w14:paraId="533FA163" w14:textId="77777777" w:rsidR="008B7E19" w:rsidRPr="00A64F1A"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spacing w:val="-2"/>
                <w:sz w:val="14"/>
                <w:szCs w:val="14"/>
                <w:lang w:eastAsia="pt-BR"/>
              </w:rPr>
            </w:pPr>
            <w:r w:rsidRPr="00A64F1A">
              <w:rPr>
                <w:rFonts w:cs="Arial"/>
                <w:sz w:val="14"/>
                <w:szCs w:val="14"/>
              </w:rPr>
              <w:t>--</w:t>
            </w:r>
          </w:p>
        </w:tc>
        <w:tc>
          <w:tcPr>
            <w:tcW w:w="1846" w:type="dxa"/>
            <w:tcBorders>
              <w:top w:val="nil"/>
              <w:bottom w:val="nil"/>
            </w:tcBorders>
            <w:shd w:val="clear" w:color="auto" w:fill="auto"/>
            <w:vAlign w:val="center"/>
          </w:tcPr>
          <w:p w14:paraId="4B1F4288" w14:textId="77777777" w:rsidR="008B7E19" w:rsidRPr="00A64F1A"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spacing w:val="-2"/>
                <w:sz w:val="14"/>
                <w:szCs w:val="14"/>
                <w:lang w:eastAsia="pt-BR"/>
              </w:rPr>
            </w:pPr>
            <w:r w:rsidRPr="00A64F1A">
              <w:rPr>
                <w:rFonts w:cs="Arial"/>
                <w:sz w:val="14"/>
                <w:szCs w:val="14"/>
              </w:rPr>
              <w:t>--</w:t>
            </w:r>
          </w:p>
        </w:tc>
        <w:tc>
          <w:tcPr>
            <w:tcW w:w="1122" w:type="dxa"/>
            <w:tcBorders>
              <w:top w:val="nil"/>
              <w:bottom w:val="nil"/>
            </w:tcBorders>
            <w:shd w:val="clear" w:color="auto" w:fill="auto"/>
            <w:vAlign w:val="center"/>
          </w:tcPr>
          <w:p w14:paraId="09484702" w14:textId="77777777" w:rsidR="008B7E19" w:rsidRPr="00A64F1A"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spacing w:val="-2"/>
                <w:sz w:val="14"/>
                <w:szCs w:val="14"/>
                <w:lang w:eastAsia="pt-BR"/>
              </w:rPr>
            </w:pPr>
            <w:r w:rsidRPr="00A64F1A">
              <w:rPr>
                <w:rFonts w:cs="Arial"/>
                <w:sz w:val="14"/>
                <w:szCs w:val="14"/>
              </w:rPr>
              <w:t>976</w:t>
            </w:r>
          </w:p>
        </w:tc>
        <w:tc>
          <w:tcPr>
            <w:tcW w:w="1289" w:type="dxa"/>
            <w:tcBorders>
              <w:top w:val="nil"/>
              <w:bottom w:val="nil"/>
            </w:tcBorders>
            <w:shd w:val="clear" w:color="auto" w:fill="auto"/>
            <w:vAlign w:val="center"/>
          </w:tcPr>
          <w:p w14:paraId="34D8C4E9" w14:textId="77777777" w:rsidR="008B7E19" w:rsidRPr="00A64F1A"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spacing w:val="-2"/>
                <w:sz w:val="14"/>
                <w:szCs w:val="14"/>
                <w:lang w:eastAsia="pt-BR"/>
              </w:rPr>
            </w:pPr>
            <w:r w:rsidRPr="00A64F1A">
              <w:rPr>
                <w:rFonts w:cs="Arial"/>
                <w:b/>
                <w:bCs/>
                <w:sz w:val="14"/>
                <w:szCs w:val="14"/>
              </w:rPr>
              <w:t>--</w:t>
            </w:r>
          </w:p>
        </w:tc>
        <w:tc>
          <w:tcPr>
            <w:tcW w:w="1560" w:type="dxa"/>
            <w:tcBorders>
              <w:top w:val="nil"/>
              <w:bottom w:val="nil"/>
            </w:tcBorders>
            <w:shd w:val="clear" w:color="auto" w:fill="auto"/>
            <w:vAlign w:val="center"/>
          </w:tcPr>
          <w:p w14:paraId="7B06E66C" w14:textId="77777777" w:rsidR="008B7E19" w:rsidRPr="00A64F1A"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spacing w:val="-2"/>
                <w:sz w:val="14"/>
                <w:szCs w:val="14"/>
                <w:lang w:eastAsia="pt-BR"/>
              </w:rPr>
            </w:pPr>
            <w:r w:rsidRPr="00A64F1A">
              <w:rPr>
                <w:rFonts w:cs="Arial"/>
                <w:b/>
                <w:bCs/>
                <w:sz w:val="14"/>
                <w:szCs w:val="14"/>
              </w:rPr>
              <w:t>--</w:t>
            </w:r>
          </w:p>
        </w:tc>
        <w:tc>
          <w:tcPr>
            <w:tcW w:w="1122" w:type="dxa"/>
            <w:tcBorders>
              <w:top w:val="nil"/>
              <w:bottom w:val="nil"/>
            </w:tcBorders>
            <w:shd w:val="clear" w:color="auto" w:fill="auto"/>
            <w:vAlign w:val="center"/>
          </w:tcPr>
          <w:p w14:paraId="52C2BDE3" w14:textId="77777777" w:rsidR="008B7E19" w:rsidRPr="00A64F1A"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b/>
                <w:spacing w:val="-2"/>
                <w:sz w:val="14"/>
                <w:szCs w:val="14"/>
                <w:lang w:eastAsia="pt-BR"/>
              </w:rPr>
            </w:pPr>
            <w:r w:rsidRPr="00A64F1A">
              <w:rPr>
                <w:rFonts w:cs="Arial"/>
                <w:b/>
                <w:bCs/>
                <w:sz w:val="14"/>
                <w:szCs w:val="14"/>
              </w:rPr>
              <w:t>1,039</w:t>
            </w:r>
          </w:p>
        </w:tc>
      </w:tr>
      <w:tr w:rsidR="008B7E19" w:rsidRPr="004E4235" w14:paraId="161D73CD" w14:textId="77777777" w:rsidTr="008B7E19">
        <w:trPr>
          <w:cnfStyle w:val="000000100000" w:firstRow="0" w:lastRow="0" w:firstColumn="0" w:lastColumn="0" w:oddVBand="0" w:evenVBand="0" w:oddHBand="1" w:evenHBand="0" w:firstRowFirstColumn="0" w:firstRowLastColumn="0" w:lastRowFirstColumn="0" w:lastRowLastColumn="0"/>
          <w:trHeight w:val="166"/>
        </w:trPr>
        <w:tc>
          <w:tcPr>
            <w:cnfStyle w:val="001000000000" w:firstRow="0" w:lastRow="0" w:firstColumn="1" w:lastColumn="0" w:oddVBand="0" w:evenVBand="0" w:oddHBand="0" w:evenHBand="0" w:firstRowFirstColumn="0" w:firstRowLastColumn="0" w:lastRowFirstColumn="0" w:lastRowLastColumn="0"/>
            <w:tcW w:w="4253" w:type="dxa"/>
            <w:tcBorders>
              <w:top w:val="nil"/>
              <w:bottom w:val="nil"/>
            </w:tcBorders>
            <w:shd w:val="clear" w:color="auto" w:fill="auto"/>
            <w:vAlign w:val="center"/>
          </w:tcPr>
          <w:p w14:paraId="32D05507" w14:textId="77777777" w:rsidR="008B7E19" w:rsidRPr="00A64F1A" w:rsidRDefault="008B7E19" w:rsidP="008B7E19">
            <w:pPr>
              <w:keepNext/>
              <w:keepLines/>
              <w:spacing w:before="40" w:after="40"/>
              <w:ind w:left="177"/>
              <w:rPr>
                <w:rFonts w:eastAsia="Times New Roman" w:cs="Arial"/>
                <w:b w:val="0"/>
                <w:spacing w:val="-2"/>
                <w:sz w:val="14"/>
                <w:szCs w:val="14"/>
                <w:lang w:val="en-US" w:eastAsia="pt-BR"/>
              </w:rPr>
            </w:pPr>
            <w:r w:rsidRPr="00A64F1A">
              <w:rPr>
                <w:rFonts w:eastAsia="Times New Roman" w:cs="Arial"/>
                <w:b w:val="0"/>
                <w:spacing w:val="-2"/>
                <w:sz w:val="14"/>
                <w:szCs w:val="14"/>
                <w:lang w:val="en-US" w:eastAsia="pt-BR"/>
              </w:rPr>
              <w:t>Other comprehensive income</w:t>
            </w:r>
          </w:p>
        </w:tc>
        <w:tc>
          <w:tcPr>
            <w:tcW w:w="567" w:type="dxa"/>
            <w:tcBorders>
              <w:top w:val="nil"/>
              <w:bottom w:val="nil"/>
            </w:tcBorders>
            <w:shd w:val="clear" w:color="auto" w:fill="auto"/>
          </w:tcPr>
          <w:p w14:paraId="7D5AB9E4" w14:textId="77777777" w:rsidR="008B7E19" w:rsidRPr="00A64F1A"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lang w:val="en-US" w:eastAsia="pt-BR"/>
              </w:rPr>
            </w:pPr>
          </w:p>
        </w:tc>
        <w:tc>
          <w:tcPr>
            <w:tcW w:w="1276" w:type="dxa"/>
            <w:tcBorders>
              <w:top w:val="nil"/>
              <w:bottom w:val="nil"/>
            </w:tcBorders>
            <w:shd w:val="clear" w:color="auto" w:fill="auto"/>
            <w:vAlign w:val="center"/>
          </w:tcPr>
          <w:p w14:paraId="1C9A638E" w14:textId="77777777" w:rsidR="008B7E19" w:rsidRPr="00A64F1A"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lang w:eastAsia="pt-BR"/>
              </w:rPr>
            </w:pPr>
            <w:r w:rsidRPr="00A64F1A">
              <w:rPr>
                <w:rFonts w:cs="Arial"/>
                <w:sz w:val="14"/>
                <w:szCs w:val="14"/>
              </w:rPr>
              <w:t>--</w:t>
            </w:r>
          </w:p>
        </w:tc>
        <w:tc>
          <w:tcPr>
            <w:tcW w:w="993" w:type="dxa"/>
            <w:tcBorders>
              <w:top w:val="nil"/>
              <w:bottom w:val="nil"/>
            </w:tcBorders>
            <w:shd w:val="clear" w:color="auto" w:fill="auto"/>
            <w:vAlign w:val="center"/>
          </w:tcPr>
          <w:p w14:paraId="69E9FEA6" w14:textId="77777777" w:rsidR="008B7E19" w:rsidRPr="00A64F1A"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lang w:eastAsia="pt-BR"/>
              </w:rPr>
            </w:pPr>
            <w:r w:rsidRPr="00A64F1A">
              <w:rPr>
                <w:rFonts w:cs="Arial"/>
                <w:sz w:val="14"/>
                <w:szCs w:val="14"/>
              </w:rPr>
              <w:t>--</w:t>
            </w:r>
          </w:p>
        </w:tc>
        <w:tc>
          <w:tcPr>
            <w:tcW w:w="1277" w:type="dxa"/>
            <w:tcBorders>
              <w:top w:val="nil"/>
              <w:bottom w:val="nil"/>
            </w:tcBorders>
            <w:shd w:val="clear" w:color="auto" w:fill="auto"/>
            <w:vAlign w:val="center"/>
          </w:tcPr>
          <w:p w14:paraId="50DB0BC2" w14:textId="77777777" w:rsidR="008B7E19" w:rsidRPr="00A64F1A"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lang w:eastAsia="pt-BR"/>
              </w:rPr>
            </w:pPr>
            <w:r w:rsidRPr="00A64F1A">
              <w:rPr>
                <w:rFonts w:cs="Arial"/>
                <w:sz w:val="14"/>
                <w:szCs w:val="14"/>
              </w:rPr>
              <w:t>--</w:t>
            </w:r>
          </w:p>
        </w:tc>
        <w:tc>
          <w:tcPr>
            <w:tcW w:w="1846" w:type="dxa"/>
            <w:tcBorders>
              <w:top w:val="nil"/>
              <w:bottom w:val="nil"/>
            </w:tcBorders>
            <w:shd w:val="clear" w:color="auto" w:fill="auto"/>
            <w:vAlign w:val="center"/>
          </w:tcPr>
          <w:p w14:paraId="7E5EE910" w14:textId="77777777" w:rsidR="008B7E19" w:rsidRPr="00A64F1A"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lang w:eastAsia="pt-BR"/>
              </w:rPr>
            </w:pPr>
            <w:r w:rsidRPr="00A64F1A">
              <w:rPr>
                <w:rFonts w:cs="Arial"/>
                <w:sz w:val="14"/>
                <w:szCs w:val="14"/>
              </w:rPr>
              <w:t>--</w:t>
            </w:r>
          </w:p>
        </w:tc>
        <w:tc>
          <w:tcPr>
            <w:tcW w:w="1122" w:type="dxa"/>
            <w:tcBorders>
              <w:top w:val="nil"/>
              <w:bottom w:val="nil"/>
            </w:tcBorders>
            <w:shd w:val="clear" w:color="auto" w:fill="auto"/>
            <w:vAlign w:val="center"/>
          </w:tcPr>
          <w:p w14:paraId="1A2017FB" w14:textId="77777777" w:rsidR="008B7E19" w:rsidRPr="00A64F1A"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lang w:eastAsia="pt-BR"/>
              </w:rPr>
            </w:pPr>
            <w:r w:rsidRPr="00A64F1A">
              <w:rPr>
                <w:rFonts w:cs="Arial"/>
                <w:sz w:val="14"/>
                <w:szCs w:val="14"/>
              </w:rPr>
              <w:t>--</w:t>
            </w:r>
          </w:p>
        </w:tc>
        <w:tc>
          <w:tcPr>
            <w:tcW w:w="1289" w:type="dxa"/>
            <w:tcBorders>
              <w:top w:val="nil"/>
              <w:bottom w:val="nil"/>
            </w:tcBorders>
            <w:shd w:val="clear" w:color="auto" w:fill="auto"/>
            <w:vAlign w:val="center"/>
          </w:tcPr>
          <w:p w14:paraId="5C44B3C0" w14:textId="77777777" w:rsidR="008B7E19" w:rsidRPr="00A64F1A"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lang w:eastAsia="pt-BR"/>
              </w:rPr>
            </w:pPr>
            <w:r w:rsidRPr="00A64F1A">
              <w:rPr>
                <w:rFonts w:cs="Arial"/>
                <w:b/>
                <w:bCs/>
                <w:sz w:val="14"/>
                <w:szCs w:val="14"/>
              </w:rPr>
              <w:t>(29,344)</w:t>
            </w:r>
          </w:p>
        </w:tc>
        <w:tc>
          <w:tcPr>
            <w:tcW w:w="1560" w:type="dxa"/>
            <w:tcBorders>
              <w:top w:val="nil"/>
              <w:bottom w:val="nil"/>
            </w:tcBorders>
            <w:shd w:val="clear" w:color="auto" w:fill="auto"/>
            <w:vAlign w:val="center"/>
          </w:tcPr>
          <w:p w14:paraId="52B0B619" w14:textId="77777777" w:rsidR="008B7E19" w:rsidRPr="00A64F1A"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lang w:eastAsia="pt-BR"/>
              </w:rPr>
            </w:pPr>
            <w:r w:rsidRPr="00A64F1A">
              <w:rPr>
                <w:rFonts w:cs="Arial"/>
                <w:b/>
                <w:bCs/>
                <w:sz w:val="14"/>
                <w:szCs w:val="14"/>
              </w:rPr>
              <w:t>--</w:t>
            </w:r>
          </w:p>
        </w:tc>
        <w:tc>
          <w:tcPr>
            <w:tcW w:w="1122" w:type="dxa"/>
            <w:tcBorders>
              <w:top w:val="nil"/>
              <w:bottom w:val="nil"/>
            </w:tcBorders>
            <w:shd w:val="clear" w:color="auto" w:fill="auto"/>
            <w:vAlign w:val="center"/>
          </w:tcPr>
          <w:p w14:paraId="6046C5C1" w14:textId="77777777" w:rsidR="008B7E19" w:rsidRPr="00A64F1A"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lang w:eastAsia="pt-BR"/>
              </w:rPr>
            </w:pPr>
            <w:r w:rsidRPr="00A64F1A">
              <w:rPr>
                <w:rFonts w:cs="Arial"/>
                <w:b/>
                <w:bCs/>
                <w:sz w:val="14"/>
                <w:szCs w:val="14"/>
              </w:rPr>
              <w:t>(29,344)</w:t>
            </w:r>
          </w:p>
        </w:tc>
      </w:tr>
      <w:tr w:rsidR="008B7E19" w:rsidRPr="004E4235" w14:paraId="646EEAF9" w14:textId="77777777" w:rsidTr="008B7E19">
        <w:trPr>
          <w:cnfStyle w:val="000000010000" w:firstRow="0" w:lastRow="0" w:firstColumn="0" w:lastColumn="0" w:oddVBand="0" w:evenVBand="0" w:oddHBand="0" w:evenHBand="1" w:firstRowFirstColumn="0" w:firstRowLastColumn="0" w:lastRowFirstColumn="0" w:lastRowLastColumn="0"/>
          <w:trHeight w:val="222"/>
        </w:trPr>
        <w:tc>
          <w:tcPr>
            <w:cnfStyle w:val="001000000000" w:firstRow="0" w:lastRow="0" w:firstColumn="1" w:lastColumn="0" w:oddVBand="0" w:evenVBand="0" w:oddHBand="0" w:evenHBand="0" w:firstRowFirstColumn="0" w:firstRowLastColumn="0" w:lastRowFirstColumn="0" w:lastRowLastColumn="0"/>
            <w:tcW w:w="4253" w:type="dxa"/>
            <w:tcBorders>
              <w:top w:val="nil"/>
              <w:bottom w:val="nil"/>
            </w:tcBorders>
            <w:shd w:val="clear" w:color="auto" w:fill="auto"/>
            <w:vAlign w:val="center"/>
          </w:tcPr>
          <w:p w14:paraId="02F04E87" w14:textId="77777777" w:rsidR="008B7E19" w:rsidRPr="00A64F1A" w:rsidRDefault="008B7E19" w:rsidP="008B7E19">
            <w:pPr>
              <w:keepNext/>
              <w:keepLines/>
              <w:spacing w:before="40" w:after="40"/>
              <w:ind w:left="177"/>
              <w:rPr>
                <w:rFonts w:eastAsia="Times New Roman" w:cs="Arial"/>
                <w:b w:val="0"/>
                <w:spacing w:val="-2"/>
                <w:sz w:val="14"/>
                <w:szCs w:val="14"/>
                <w:lang w:val="en-US" w:eastAsia="pt-BR"/>
              </w:rPr>
            </w:pPr>
            <w:r w:rsidRPr="00A64F1A">
              <w:rPr>
                <w:rFonts w:eastAsia="Times New Roman" w:cs="Arial"/>
                <w:b w:val="0"/>
                <w:spacing w:val="-2"/>
                <w:sz w:val="14"/>
                <w:szCs w:val="14"/>
                <w:lang w:val="en-US" w:eastAsia="pt-BR"/>
              </w:rPr>
              <w:t>Other comprehensive income - E</w:t>
            </w:r>
            <w:r w:rsidRPr="00A64F1A">
              <w:rPr>
                <w:rFonts w:cs="Arial"/>
                <w:b w:val="0"/>
                <w:bCs w:val="0"/>
                <w:sz w:val="14"/>
                <w:szCs w:val="14"/>
                <w:lang w:val="en-US"/>
              </w:rPr>
              <w:t>ffects CPC 50</w:t>
            </w:r>
          </w:p>
        </w:tc>
        <w:tc>
          <w:tcPr>
            <w:tcW w:w="567" w:type="dxa"/>
            <w:tcBorders>
              <w:top w:val="nil"/>
              <w:bottom w:val="nil"/>
            </w:tcBorders>
            <w:shd w:val="clear" w:color="auto" w:fill="auto"/>
          </w:tcPr>
          <w:p w14:paraId="5801365B" w14:textId="77777777" w:rsidR="008B7E19" w:rsidRPr="00A64F1A"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spacing w:val="-2"/>
                <w:sz w:val="14"/>
                <w:szCs w:val="14"/>
                <w:lang w:val="en-US" w:eastAsia="pt-BR"/>
              </w:rPr>
            </w:pPr>
          </w:p>
        </w:tc>
        <w:tc>
          <w:tcPr>
            <w:tcW w:w="1276" w:type="dxa"/>
            <w:tcBorders>
              <w:top w:val="nil"/>
              <w:bottom w:val="nil"/>
            </w:tcBorders>
            <w:shd w:val="clear" w:color="auto" w:fill="auto"/>
            <w:vAlign w:val="center"/>
          </w:tcPr>
          <w:p w14:paraId="418F2C6F" w14:textId="77777777" w:rsidR="008B7E19" w:rsidRPr="00A64F1A"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spacing w:val="-2"/>
                <w:sz w:val="14"/>
                <w:szCs w:val="14"/>
                <w:lang w:eastAsia="pt-BR"/>
              </w:rPr>
            </w:pPr>
            <w:r w:rsidRPr="00A64F1A">
              <w:rPr>
                <w:rFonts w:cs="Arial"/>
                <w:sz w:val="14"/>
                <w:szCs w:val="14"/>
              </w:rPr>
              <w:t>--</w:t>
            </w:r>
          </w:p>
        </w:tc>
        <w:tc>
          <w:tcPr>
            <w:tcW w:w="993" w:type="dxa"/>
            <w:tcBorders>
              <w:top w:val="nil"/>
              <w:bottom w:val="nil"/>
            </w:tcBorders>
            <w:shd w:val="clear" w:color="auto" w:fill="auto"/>
            <w:vAlign w:val="center"/>
          </w:tcPr>
          <w:p w14:paraId="2CA873F8" w14:textId="77777777" w:rsidR="008B7E19" w:rsidRPr="00A64F1A"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spacing w:val="-2"/>
                <w:sz w:val="14"/>
                <w:szCs w:val="14"/>
                <w:lang w:eastAsia="pt-BR"/>
              </w:rPr>
            </w:pPr>
            <w:r w:rsidRPr="00A64F1A">
              <w:rPr>
                <w:rFonts w:cs="Arial"/>
                <w:sz w:val="14"/>
                <w:szCs w:val="14"/>
              </w:rPr>
              <w:t>--</w:t>
            </w:r>
          </w:p>
        </w:tc>
        <w:tc>
          <w:tcPr>
            <w:tcW w:w="1277" w:type="dxa"/>
            <w:tcBorders>
              <w:top w:val="nil"/>
              <w:bottom w:val="nil"/>
            </w:tcBorders>
            <w:shd w:val="clear" w:color="auto" w:fill="auto"/>
            <w:vAlign w:val="center"/>
          </w:tcPr>
          <w:p w14:paraId="5575BC2C" w14:textId="77777777" w:rsidR="008B7E19" w:rsidRPr="00A64F1A"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spacing w:val="-2"/>
                <w:sz w:val="14"/>
                <w:szCs w:val="14"/>
                <w:lang w:eastAsia="pt-BR"/>
              </w:rPr>
            </w:pPr>
            <w:r w:rsidRPr="00A64F1A">
              <w:rPr>
                <w:rFonts w:cs="Arial"/>
                <w:sz w:val="14"/>
                <w:szCs w:val="14"/>
              </w:rPr>
              <w:t>--</w:t>
            </w:r>
          </w:p>
        </w:tc>
        <w:tc>
          <w:tcPr>
            <w:tcW w:w="1846" w:type="dxa"/>
            <w:tcBorders>
              <w:top w:val="nil"/>
              <w:bottom w:val="nil"/>
            </w:tcBorders>
            <w:shd w:val="clear" w:color="auto" w:fill="auto"/>
            <w:vAlign w:val="center"/>
          </w:tcPr>
          <w:p w14:paraId="20C0BDFA" w14:textId="77777777" w:rsidR="008B7E19" w:rsidRPr="00A64F1A"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spacing w:val="-2"/>
                <w:sz w:val="14"/>
                <w:szCs w:val="14"/>
                <w:lang w:eastAsia="pt-BR"/>
              </w:rPr>
            </w:pPr>
            <w:r w:rsidRPr="00A64F1A">
              <w:rPr>
                <w:rFonts w:cs="Arial"/>
                <w:sz w:val="14"/>
                <w:szCs w:val="14"/>
              </w:rPr>
              <w:t>--</w:t>
            </w:r>
          </w:p>
        </w:tc>
        <w:tc>
          <w:tcPr>
            <w:tcW w:w="1122" w:type="dxa"/>
            <w:tcBorders>
              <w:top w:val="nil"/>
              <w:bottom w:val="nil"/>
            </w:tcBorders>
            <w:shd w:val="clear" w:color="auto" w:fill="auto"/>
            <w:vAlign w:val="center"/>
          </w:tcPr>
          <w:p w14:paraId="1D44D911" w14:textId="77777777" w:rsidR="008B7E19" w:rsidRPr="00A64F1A"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spacing w:val="-2"/>
                <w:sz w:val="14"/>
                <w:szCs w:val="14"/>
                <w:lang w:eastAsia="pt-BR"/>
              </w:rPr>
            </w:pPr>
            <w:r w:rsidRPr="00A64F1A">
              <w:rPr>
                <w:rFonts w:cs="Arial"/>
                <w:sz w:val="14"/>
                <w:szCs w:val="14"/>
              </w:rPr>
              <w:t>--</w:t>
            </w:r>
          </w:p>
        </w:tc>
        <w:tc>
          <w:tcPr>
            <w:tcW w:w="1289" w:type="dxa"/>
            <w:tcBorders>
              <w:top w:val="nil"/>
              <w:bottom w:val="nil"/>
            </w:tcBorders>
            <w:shd w:val="clear" w:color="auto" w:fill="auto"/>
            <w:vAlign w:val="center"/>
          </w:tcPr>
          <w:p w14:paraId="75483252" w14:textId="77777777" w:rsidR="008B7E19" w:rsidRPr="00A64F1A"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spacing w:val="-2"/>
                <w:sz w:val="14"/>
                <w:szCs w:val="14"/>
                <w:lang w:eastAsia="pt-BR"/>
              </w:rPr>
            </w:pPr>
            <w:r w:rsidRPr="00A64F1A">
              <w:rPr>
                <w:rFonts w:cs="Arial"/>
                <w:b/>
                <w:bCs/>
                <w:sz w:val="14"/>
                <w:szCs w:val="14"/>
              </w:rPr>
              <w:t>111,921</w:t>
            </w:r>
          </w:p>
        </w:tc>
        <w:tc>
          <w:tcPr>
            <w:tcW w:w="1560" w:type="dxa"/>
            <w:tcBorders>
              <w:top w:val="nil"/>
              <w:bottom w:val="nil"/>
            </w:tcBorders>
            <w:shd w:val="clear" w:color="auto" w:fill="auto"/>
            <w:vAlign w:val="center"/>
          </w:tcPr>
          <w:p w14:paraId="6DBF6920" w14:textId="77777777" w:rsidR="008B7E19" w:rsidRPr="00A64F1A"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spacing w:val="-2"/>
                <w:sz w:val="14"/>
                <w:szCs w:val="14"/>
                <w:lang w:eastAsia="pt-BR"/>
              </w:rPr>
            </w:pPr>
            <w:r w:rsidRPr="00A64F1A">
              <w:rPr>
                <w:rFonts w:cs="Arial"/>
                <w:b/>
                <w:bCs/>
                <w:sz w:val="14"/>
                <w:szCs w:val="14"/>
              </w:rPr>
              <w:t xml:space="preserve"> -- </w:t>
            </w:r>
          </w:p>
        </w:tc>
        <w:tc>
          <w:tcPr>
            <w:tcW w:w="1122" w:type="dxa"/>
            <w:tcBorders>
              <w:top w:val="nil"/>
              <w:bottom w:val="nil"/>
            </w:tcBorders>
            <w:shd w:val="clear" w:color="auto" w:fill="auto"/>
            <w:vAlign w:val="center"/>
          </w:tcPr>
          <w:p w14:paraId="6330DBD8" w14:textId="77777777" w:rsidR="008B7E19" w:rsidRPr="00A64F1A"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spacing w:val="-2"/>
                <w:sz w:val="14"/>
                <w:szCs w:val="14"/>
                <w:lang w:eastAsia="pt-BR"/>
              </w:rPr>
            </w:pPr>
            <w:r w:rsidRPr="00A64F1A">
              <w:rPr>
                <w:rFonts w:cs="Arial"/>
                <w:b/>
                <w:bCs/>
                <w:sz w:val="14"/>
                <w:szCs w:val="14"/>
              </w:rPr>
              <w:t>111,921</w:t>
            </w:r>
          </w:p>
        </w:tc>
      </w:tr>
      <w:tr w:rsidR="008B7E19" w:rsidRPr="004E4235" w14:paraId="4E36C4D9" w14:textId="77777777" w:rsidTr="008B7E19">
        <w:trPr>
          <w:cnfStyle w:val="000000100000" w:firstRow="0" w:lastRow="0" w:firstColumn="0" w:lastColumn="0" w:oddVBand="0" w:evenVBand="0" w:oddHBand="1" w:evenHBand="0" w:firstRowFirstColumn="0" w:firstRowLastColumn="0" w:lastRowFirstColumn="0" w:lastRowLastColumn="0"/>
          <w:trHeight w:val="157"/>
        </w:trPr>
        <w:tc>
          <w:tcPr>
            <w:cnfStyle w:val="001000000000" w:firstRow="0" w:lastRow="0" w:firstColumn="1" w:lastColumn="0" w:oddVBand="0" w:evenVBand="0" w:oddHBand="0" w:evenHBand="0" w:firstRowFirstColumn="0" w:firstRowLastColumn="0" w:lastRowFirstColumn="0" w:lastRowLastColumn="0"/>
            <w:tcW w:w="4253" w:type="dxa"/>
            <w:tcBorders>
              <w:top w:val="nil"/>
              <w:bottom w:val="nil"/>
            </w:tcBorders>
            <w:shd w:val="clear" w:color="auto" w:fill="auto"/>
            <w:vAlign w:val="center"/>
          </w:tcPr>
          <w:p w14:paraId="0E3935D1" w14:textId="77777777" w:rsidR="008B7E19" w:rsidRPr="00A64F1A" w:rsidRDefault="008B7E19" w:rsidP="008B7E19">
            <w:pPr>
              <w:keepNext/>
              <w:keepLines/>
              <w:spacing w:before="40" w:after="40"/>
              <w:ind w:left="177"/>
              <w:rPr>
                <w:rStyle w:val="rynqvb"/>
                <w:rFonts w:cs="Arial"/>
                <w:sz w:val="14"/>
                <w:szCs w:val="14"/>
                <w:lang w:val="en"/>
              </w:rPr>
            </w:pPr>
            <w:r w:rsidRPr="00A64F1A">
              <w:rPr>
                <w:rFonts w:eastAsia="Times New Roman" w:cs="Arial"/>
                <w:b w:val="0"/>
                <w:spacing w:val="-2"/>
                <w:sz w:val="14"/>
                <w:szCs w:val="14"/>
                <w:lang w:val="en-US" w:eastAsia="pt-BR"/>
              </w:rPr>
              <w:t>Prescribed dividends</w:t>
            </w:r>
          </w:p>
        </w:tc>
        <w:tc>
          <w:tcPr>
            <w:tcW w:w="567" w:type="dxa"/>
            <w:tcBorders>
              <w:top w:val="nil"/>
              <w:bottom w:val="nil"/>
            </w:tcBorders>
            <w:shd w:val="clear" w:color="auto" w:fill="auto"/>
          </w:tcPr>
          <w:p w14:paraId="43D240DB" w14:textId="77777777" w:rsidR="008B7E19" w:rsidRPr="00A64F1A"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4"/>
                <w:lang w:val="en-US" w:eastAsia="pt-BR"/>
              </w:rPr>
            </w:pPr>
          </w:p>
        </w:tc>
        <w:tc>
          <w:tcPr>
            <w:tcW w:w="1276" w:type="dxa"/>
            <w:tcBorders>
              <w:top w:val="nil"/>
              <w:bottom w:val="nil"/>
            </w:tcBorders>
            <w:shd w:val="clear" w:color="auto" w:fill="auto"/>
            <w:vAlign w:val="center"/>
          </w:tcPr>
          <w:p w14:paraId="740EF8A8" w14:textId="77777777" w:rsidR="008B7E19" w:rsidRPr="00A64F1A"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b/>
                <w:bCs/>
                <w:sz w:val="14"/>
                <w:szCs w:val="14"/>
              </w:rPr>
            </w:pPr>
            <w:r w:rsidRPr="00A64F1A">
              <w:rPr>
                <w:rFonts w:cs="Arial"/>
                <w:sz w:val="14"/>
                <w:szCs w:val="14"/>
              </w:rPr>
              <w:t>--</w:t>
            </w:r>
          </w:p>
        </w:tc>
        <w:tc>
          <w:tcPr>
            <w:tcW w:w="993" w:type="dxa"/>
            <w:tcBorders>
              <w:top w:val="nil"/>
              <w:bottom w:val="nil"/>
            </w:tcBorders>
            <w:shd w:val="clear" w:color="auto" w:fill="auto"/>
            <w:vAlign w:val="center"/>
          </w:tcPr>
          <w:p w14:paraId="7D6642D5" w14:textId="77777777" w:rsidR="008B7E19" w:rsidRPr="00A64F1A"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b/>
                <w:bCs/>
                <w:sz w:val="14"/>
                <w:szCs w:val="14"/>
              </w:rPr>
            </w:pPr>
            <w:r w:rsidRPr="00A64F1A">
              <w:rPr>
                <w:rFonts w:cs="Arial"/>
                <w:sz w:val="14"/>
                <w:szCs w:val="14"/>
              </w:rPr>
              <w:t>--</w:t>
            </w:r>
          </w:p>
        </w:tc>
        <w:tc>
          <w:tcPr>
            <w:tcW w:w="1277" w:type="dxa"/>
            <w:tcBorders>
              <w:top w:val="nil"/>
              <w:bottom w:val="nil"/>
            </w:tcBorders>
            <w:shd w:val="clear" w:color="auto" w:fill="auto"/>
            <w:vAlign w:val="center"/>
          </w:tcPr>
          <w:p w14:paraId="571EE4AE" w14:textId="77777777" w:rsidR="008B7E19" w:rsidRPr="00A64F1A"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b/>
                <w:bCs/>
                <w:sz w:val="14"/>
                <w:szCs w:val="14"/>
              </w:rPr>
            </w:pPr>
            <w:r w:rsidRPr="00A64F1A">
              <w:rPr>
                <w:rFonts w:cs="Arial"/>
                <w:sz w:val="14"/>
                <w:szCs w:val="14"/>
              </w:rPr>
              <w:t>--</w:t>
            </w:r>
          </w:p>
        </w:tc>
        <w:tc>
          <w:tcPr>
            <w:tcW w:w="1846" w:type="dxa"/>
            <w:tcBorders>
              <w:top w:val="nil"/>
              <w:bottom w:val="nil"/>
            </w:tcBorders>
            <w:shd w:val="clear" w:color="auto" w:fill="auto"/>
            <w:vAlign w:val="center"/>
          </w:tcPr>
          <w:p w14:paraId="5737D86D" w14:textId="77777777" w:rsidR="008B7E19" w:rsidRPr="00A64F1A"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b/>
                <w:bCs/>
                <w:sz w:val="14"/>
                <w:szCs w:val="14"/>
              </w:rPr>
            </w:pPr>
            <w:r w:rsidRPr="00A64F1A">
              <w:rPr>
                <w:rFonts w:cs="Arial"/>
                <w:sz w:val="14"/>
                <w:szCs w:val="14"/>
              </w:rPr>
              <w:t>--</w:t>
            </w:r>
          </w:p>
        </w:tc>
        <w:tc>
          <w:tcPr>
            <w:tcW w:w="1122" w:type="dxa"/>
            <w:tcBorders>
              <w:top w:val="nil"/>
              <w:bottom w:val="nil"/>
            </w:tcBorders>
            <w:shd w:val="clear" w:color="auto" w:fill="auto"/>
            <w:vAlign w:val="center"/>
          </w:tcPr>
          <w:p w14:paraId="1476B90C" w14:textId="77777777" w:rsidR="008B7E19" w:rsidRPr="00A64F1A"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b/>
                <w:bCs/>
                <w:sz w:val="14"/>
                <w:szCs w:val="14"/>
              </w:rPr>
            </w:pPr>
            <w:r w:rsidRPr="00A64F1A">
              <w:rPr>
                <w:rFonts w:cs="Arial"/>
                <w:sz w:val="14"/>
                <w:szCs w:val="14"/>
              </w:rPr>
              <w:t>--</w:t>
            </w:r>
          </w:p>
        </w:tc>
        <w:tc>
          <w:tcPr>
            <w:tcW w:w="1289" w:type="dxa"/>
            <w:tcBorders>
              <w:top w:val="nil"/>
              <w:bottom w:val="nil"/>
            </w:tcBorders>
            <w:shd w:val="clear" w:color="auto" w:fill="auto"/>
            <w:vAlign w:val="center"/>
          </w:tcPr>
          <w:p w14:paraId="29A5C6F8" w14:textId="77777777" w:rsidR="008B7E19" w:rsidRPr="00A64F1A"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b/>
                <w:bCs/>
                <w:sz w:val="14"/>
                <w:szCs w:val="14"/>
              </w:rPr>
            </w:pPr>
            <w:r w:rsidRPr="00A64F1A">
              <w:rPr>
                <w:rFonts w:cs="Arial"/>
                <w:b/>
                <w:bCs/>
                <w:sz w:val="14"/>
                <w:szCs w:val="14"/>
              </w:rPr>
              <w:t>--</w:t>
            </w:r>
          </w:p>
        </w:tc>
        <w:tc>
          <w:tcPr>
            <w:tcW w:w="1560" w:type="dxa"/>
            <w:tcBorders>
              <w:top w:val="nil"/>
              <w:bottom w:val="nil"/>
            </w:tcBorders>
            <w:shd w:val="clear" w:color="auto" w:fill="auto"/>
            <w:vAlign w:val="center"/>
          </w:tcPr>
          <w:p w14:paraId="57CEE81E" w14:textId="77777777" w:rsidR="008B7E19" w:rsidRPr="00A64F1A"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b/>
                <w:bCs/>
                <w:sz w:val="14"/>
                <w:szCs w:val="14"/>
              </w:rPr>
            </w:pPr>
            <w:r w:rsidRPr="00A64F1A">
              <w:rPr>
                <w:rFonts w:cs="Arial"/>
                <w:b/>
                <w:bCs/>
                <w:sz w:val="14"/>
                <w:szCs w:val="14"/>
              </w:rPr>
              <w:t xml:space="preserve">55 </w:t>
            </w:r>
          </w:p>
        </w:tc>
        <w:tc>
          <w:tcPr>
            <w:tcW w:w="1122" w:type="dxa"/>
            <w:tcBorders>
              <w:top w:val="nil"/>
              <w:bottom w:val="nil"/>
            </w:tcBorders>
            <w:shd w:val="clear" w:color="auto" w:fill="auto"/>
            <w:vAlign w:val="center"/>
          </w:tcPr>
          <w:p w14:paraId="37ABA070" w14:textId="77777777" w:rsidR="008B7E19" w:rsidRPr="00A64F1A"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b/>
                <w:bCs/>
                <w:sz w:val="14"/>
                <w:szCs w:val="14"/>
              </w:rPr>
            </w:pPr>
            <w:r w:rsidRPr="00A64F1A">
              <w:rPr>
                <w:rFonts w:cs="Arial"/>
                <w:b/>
                <w:bCs/>
                <w:sz w:val="14"/>
                <w:szCs w:val="14"/>
              </w:rPr>
              <w:t>55</w:t>
            </w:r>
          </w:p>
        </w:tc>
      </w:tr>
      <w:tr w:rsidR="008B7E19" w:rsidRPr="004E4235" w14:paraId="3C5F1EB3" w14:textId="77777777" w:rsidTr="008B7E19">
        <w:trPr>
          <w:cnfStyle w:val="000000010000" w:firstRow="0" w:lastRow="0" w:firstColumn="0" w:lastColumn="0" w:oddVBand="0" w:evenVBand="0" w:oddHBand="0" w:evenHBand="1" w:firstRowFirstColumn="0" w:firstRowLastColumn="0" w:lastRowFirstColumn="0" w:lastRowLastColumn="0"/>
          <w:trHeight w:val="157"/>
        </w:trPr>
        <w:tc>
          <w:tcPr>
            <w:cnfStyle w:val="001000000000" w:firstRow="0" w:lastRow="0" w:firstColumn="1" w:lastColumn="0" w:oddVBand="0" w:evenVBand="0" w:oddHBand="0" w:evenHBand="0" w:firstRowFirstColumn="0" w:firstRowLastColumn="0" w:lastRowFirstColumn="0" w:lastRowLastColumn="0"/>
            <w:tcW w:w="4253" w:type="dxa"/>
            <w:tcBorders>
              <w:top w:val="nil"/>
              <w:bottom w:val="nil"/>
            </w:tcBorders>
            <w:shd w:val="clear" w:color="auto" w:fill="auto"/>
            <w:vAlign w:val="center"/>
          </w:tcPr>
          <w:p w14:paraId="262AA2B5" w14:textId="77777777" w:rsidR="008B7E19" w:rsidRPr="00A64F1A" w:rsidRDefault="008B7E19" w:rsidP="008B7E19">
            <w:pPr>
              <w:keepNext/>
              <w:keepLines/>
              <w:spacing w:before="40" w:after="40"/>
              <w:ind w:firstLine="176"/>
              <w:rPr>
                <w:rFonts w:eastAsia="Times New Roman" w:cs="Arial"/>
                <w:spacing w:val="-2"/>
                <w:sz w:val="14"/>
                <w:szCs w:val="14"/>
                <w:lang w:val="en-US" w:eastAsia="pt-BR"/>
              </w:rPr>
            </w:pPr>
            <w:r w:rsidRPr="00A64F1A">
              <w:rPr>
                <w:rStyle w:val="rynqvb"/>
                <w:rFonts w:cs="Arial"/>
                <w:sz w:val="14"/>
                <w:szCs w:val="14"/>
                <w:lang w:val="en"/>
              </w:rPr>
              <w:t>Net Income for the Period</w:t>
            </w:r>
          </w:p>
        </w:tc>
        <w:tc>
          <w:tcPr>
            <w:tcW w:w="567" w:type="dxa"/>
            <w:tcBorders>
              <w:top w:val="nil"/>
              <w:bottom w:val="nil"/>
            </w:tcBorders>
            <w:shd w:val="clear" w:color="auto" w:fill="auto"/>
          </w:tcPr>
          <w:p w14:paraId="4CB0C67B" w14:textId="77777777" w:rsidR="008B7E19" w:rsidRPr="00A64F1A"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b/>
                <w:spacing w:val="-2"/>
                <w:sz w:val="14"/>
                <w:szCs w:val="14"/>
                <w:lang w:val="en-US" w:eastAsia="pt-BR"/>
              </w:rPr>
            </w:pPr>
          </w:p>
        </w:tc>
        <w:tc>
          <w:tcPr>
            <w:tcW w:w="1276" w:type="dxa"/>
            <w:tcBorders>
              <w:top w:val="nil"/>
              <w:bottom w:val="nil"/>
            </w:tcBorders>
            <w:shd w:val="clear" w:color="auto" w:fill="auto"/>
            <w:vAlign w:val="center"/>
          </w:tcPr>
          <w:p w14:paraId="34BB3686" w14:textId="77777777" w:rsidR="008B7E19" w:rsidRPr="00A64F1A"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b/>
                <w:spacing w:val="-2"/>
                <w:sz w:val="14"/>
                <w:szCs w:val="14"/>
                <w:lang w:eastAsia="pt-BR"/>
              </w:rPr>
            </w:pPr>
            <w:r w:rsidRPr="00A64F1A">
              <w:rPr>
                <w:rFonts w:cs="Arial"/>
                <w:b/>
                <w:bCs/>
                <w:sz w:val="14"/>
                <w:szCs w:val="14"/>
              </w:rPr>
              <w:t>--</w:t>
            </w:r>
          </w:p>
        </w:tc>
        <w:tc>
          <w:tcPr>
            <w:tcW w:w="993" w:type="dxa"/>
            <w:tcBorders>
              <w:top w:val="nil"/>
              <w:bottom w:val="nil"/>
            </w:tcBorders>
            <w:shd w:val="clear" w:color="auto" w:fill="auto"/>
            <w:vAlign w:val="center"/>
          </w:tcPr>
          <w:p w14:paraId="0D27845B" w14:textId="77777777" w:rsidR="008B7E19" w:rsidRPr="00A64F1A"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b/>
                <w:spacing w:val="-2"/>
                <w:sz w:val="14"/>
                <w:szCs w:val="14"/>
                <w:lang w:eastAsia="pt-BR"/>
              </w:rPr>
            </w:pPr>
            <w:r w:rsidRPr="00A64F1A">
              <w:rPr>
                <w:rFonts w:cs="Arial"/>
                <w:b/>
                <w:bCs/>
                <w:sz w:val="14"/>
                <w:szCs w:val="14"/>
              </w:rPr>
              <w:t>--</w:t>
            </w:r>
          </w:p>
        </w:tc>
        <w:tc>
          <w:tcPr>
            <w:tcW w:w="1277" w:type="dxa"/>
            <w:tcBorders>
              <w:top w:val="nil"/>
              <w:bottom w:val="nil"/>
            </w:tcBorders>
            <w:shd w:val="clear" w:color="auto" w:fill="auto"/>
            <w:vAlign w:val="center"/>
          </w:tcPr>
          <w:p w14:paraId="400D4A16" w14:textId="77777777" w:rsidR="008B7E19" w:rsidRPr="00A64F1A"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b/>
                <w:spacing w:val="-2"/>
                <w:sz w:val="14"/>
                <w:szCs w:val="14"/>
                <w:lang w:eastAsia="pt-BR"/>
              </w:rPr>
            </w:pPr>
            <w:r w:rsidRPr="00A64F1A">
              <w:rPr>
                <w:rFonts w:cs="Arial"/>
                <w:b/>
                <w:bCs/>
                <w:sz w:val="14"/>
                <w:szCs w:val="14"/>
              </w:rPr>
              <w:t>--</w:t>
            </w:r>
          </w:p>
        </w:tc>
        <w:tc>
          <w:tcPr>
            <w:tcW w:w="1846" w:type="dxa"/>
            <w:tcBorders>
              <w:top w:val="nil"/>
              <w:bottom w:val="nil"/>
            </w:tcBorders>
            <w:shd w:val="clear" w:color="auto" w:fill="auto"/>
            <w:vAlign w:val="center"/>
          </w:tcPr>
          <w:p w14:paraId="58DFFC37" w14:textId="77777777" w:rsidR="008B7E19" w:rsidRPr="00A64F1A"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b/>
                <w:spacing w:val="-2"/>
                <w:sz w:val="14"/>
                <w:szCs w:val="14"/>
                <w:lang w:eastAsia="pt-BR"/>
              </w:rPr>
            </w:pPr>
            <w:r w:rsidRPr="00A64F1A">
              <w:rPr>
                <w:rFonts w:cs="Arial"/>
                <w:b/>
                <w:bCs/>
                <w:sz w:val="14"/>
                <w:szCs w:val="14"/>
              </w:rPr>
              <w:t>--</w:t>
            </w:r>
          </w:p>
        </w:tc>
        <w:tc>
          <w:tcPr>
            <w:tcW w:w="1122" w:type="dxa"/>
            <w:tcBorders>
              <w:top w:val="nil"/>
              <w:bottom w:val="nil"/>
            </w:tcBorders>
            <w:shd w:val="clear" w:color="auto" w:fill="auto"/>
            <w:vAlign w:val="center"/>
          </w:tcPr>
          <w:p w14:paraId="23DBBC19" w14:textId="77777777" w:rsidR="008B7E19" w:rsidRPr="00A64F1A"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b/>
                <w:spacing w:val="-2"/>
                <w:sz w:val="14"/>
                <w:szCs w:val="14"/>
                <w:lang w:eastAsia="pt-BR"/>
              </w:rPr>
            </w:pPr>
            <w:r w:rsidRPr="00A64F1A">
              <w:rPr>
                <w:rFonts w:cs="Arial"/>
                <w:b/>
                <w:bCs/>
                <w:sz w:val="14"/>
                <w:szCs w:val="14"/>
              </w:rPr>
              <w:t>--</w:t>
            </w:r>
          </w:p>
        </w:tc>
        <w:tc>
          <w:tcPr>
            <w:tcW w:w="1289" w:type="dxa"/>
            <w:tcBorders>
              <w:top w:val="nil"/>
              <w:bottom w:val="nil"/>
            </w:tcBorders>
            <w:shd w:val="clear" w:color="auto" w:fill="auto"/>
            <w:vAlign w:val="center"/>
          </w:tcPr>
          <w:p w14:paraId="3FCBD70F" w14:textId="77777777" w:rsidR="008B7E19" w:rsidRPr="00A64F1A"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b/>
                <w:spacing w:val="-2"/>
                <w:sz w:val="14"/>
                <w:szCs w:val="14"/>
                <w:lang w:eastAsia="pt-BR"/>
              </w:rPr>
            </w:pPr>
            <w:r w:rsidRPr="00A64F1A">
              <w:rPr>
                <w:rFonts w:cs="Arial"/>
                <w:b/>
                <w:bCs/>
                <w:sz w:val="14"/>
                <w:szCs w:val="14"/>
              </w:rPr>
              <w:t>--</w:t>
            </w:r>
          </w:p>
        </w:tc>
        <w:tc>
          <w:tcPr>
            <w:tcW w:w="1560" w:type="dxa"/>
            <w:tcBorders>
              <w:top w:val="nil"/>
              <w:bottom w:val="nil"/>
            </w:tcBorders>
            <w:shd w:val="clear" w:color="auto" w:fill="auto"/>
            <w:vAlign w:val="center"/>
          </w:tcPr>
          <w:p w14:paraId="0A063B56" w14:textId="77777777" w:rsidR="008B7E19" w:rsidRPr="00A64F1A"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b/>
                <w:spacing w:val="-2"/>
                <w:sz w:val="14"/>
                <w:szCs w:val="14"/>
                <w:lang w:eastAsia="pt-BR"/>
              </w:rPr>
            </w:pPr>
            <w:r w:rsidRPr="00A64F1A">
              <w:rPr>
                <w:rFonts w:cs="Arial"/>
                <w:b/>
                <w:bCs/>
                <w:sz w:val="14"/>
                <w:szCs w:val="14"/>
              </w:rPr>
              <w:t>2,585,802</w:t>
            </w:r>
          </w:p>
        </w:tc>
        <w:tc>
          <w:tcPr>
            <w:tcW w:w="1122" w:type="dxa"/>
            <w:tcBorders>
              <w:top w:val="nil"/>
              <w:bottom w:val="nil"/>
            </w:tcBorders>
            <w:shd w:val="clear" w:color="auto" w:fill="auto"/>
            <w:vAlign w:val="center"/>
          </w:tcPr>
          <w:p w14:paraId="2C1F0066" w14:textId="77777777" w:rsidR="008B7E19" w:rsidRPr="00A64F1A"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b/>
                <w:spacing w:val="-2"/>
                <w:sz w:val="14"/>
                <w:szCs w:val="14"/>
                <w:lang w:eastAsia="pt-BR"/>
              </w:rPr>
            </w:pPr>
            <w:r w:rsidRPr="00A64F1A">
              <w:rPr>
                <w:rFonts w:cs="Arial"/>
                <w:b/>
                <w:bCs/>
                <w:sz w:val="14"/>
                <w:szCs w:val="14"/>
              </w:rPr>
              <w:t xml:space="preserve">2,585,802 </w:t>
            </w:r>
          </w:p>
        </w:tc>
      </w:tr>
      <w:tr w:rsidR="008B7E19" w:rsidRPr="004E4235" w14:paraId="0765C3C3" w14:textId="77777777" w:rsidTr="008B7E19">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4253" w:type="dxa"/>
            <w:tcBorders>
              <w:top w:val="nil"/>
              <w:bottom w:val="nil"/>
            </w:tcBorders>
            <w:shd w:val="clear" w:color="auto" w:fill="auto"/>
            <w:vAlign w:val="center"/>
          </w:tcPr>
          <w:p w14:paraId="2829841B" w14:textId="77777777" w:rsidR="008B7E19" w:rsidRPr="00A64F1A" w:rsidRDefault="008B7E19" w:rsidP="008B7E19">
            <w:pPr>
              <w:keepNext/>
              <w:keepLines/>
              <w:spacing w:before="40" w:after="40"/>
              <w:ind w:firstLine="176"/>
              <w:rPr>
                <w:rFonts w:eastAsia="Times New Roman" w:cs="Arial"/>
                <w:b w:val="0"/>
                <w:spacing w:val="-2"/>
                <w:sz w:val="14"/>
                <w:szCs w:val="14"/>
                <w:lang w:val="en-US" w:eastAsia="pt-BR"/>
              </w:rPr>
            </w:pPr>
            <w:r w:rsidRPr="00A64F1A">
              <w:rPr>
                <w:rStyle w:val="rynqvb"/>
                <w:rFonts w:cs="Arial"/>
                <w:sz w:val="14"/>
                <w:szCs w:val="14"/>
                <w:lang w:val="en"/>
              </w:rPr>
              <w:t xml:space="preserve">Net Income for the Period - </w:t>
            </w:r>
            <w:r w:rsidRPr="00A64F1A">
              <w:rPr>
                <w:rFonts w:eastAsia="Times New Roman" w:cs="Arial"/>
                <w:spacing w:val="-2"/>
                <w:sz w:val="14"/>
                <w:szCs w:val="14"/>
                <w:lang w:val="en-US" w:eastAsia="pt-BR"/>
              </w:rPr>
              <w:t>E</w:t>
            </w:r>
            <w:r w:rsidRPr="00A64F1A">
              <w:rPr>
                <w:rFonts w:cs="Arial"/>
                <w:bCs w:val="0"/>
                <w:sz w:val="14"/>
                <w:szCs w:val="14"/>
                <w:lang w:val="en-US"/>
              </w:rPr>
              <w:t>ffects CPC 48 and 50</w:t>
            </w:r>
          </w:p>
        </w:tc>
        <w:tc>
          <w:tcPr>
            <w:tcW w:w="567" w:type="dxa"/>
            <w:tcBorders>
              <w:top w:val="nil"/>
              <w:bottom w:val="nil"/>
            </w:tcBorders>
            <w:shd w:val="clear" w:color="auto" w:fill="auto"/>
          </w:tcPr>
          <w:p w14:paraId="5BBDD9CC" w14:textId="77777777" w:rsidR="008B7E19" w:rsidRPr="00A64F1A"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lang w:val="en-US" w:eastAsia="pt-BR"/>
              </w:rPr>
            </w:pPr>
          </w:p>
        </w:tc>
        <w:tc>
          <w:tcPr>
            <w:tcW w:w="1276" w:type="dxa"/>
            <w:tcBorders>
              <w:top w:val="nil"/>
              <w:bottom w:val="nil"/>
            </w:tcBorders>
            <w:shd w:val="clear" w:color="auto" w:fill="auto"/>
            <w:vAlign w:val="center"/>
          </w:tcPr>
          <w:p w14:paraId="1D5946B8" w14:textId="77777777" w:rsidR="008B7E19" w:rsidRPr="00A64F1A"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lang w:eastAsia="pt-BR"/>
              </w:rPr>
            </w:pPr>
            <w:r w:rsidRPr="00A64F1A">
              <w:rPr>
                <w:rFonts w:cs="Arial"/>
                <w:b/>
                <w:bCs/>
                <w:sz w:val="14"/>
                <w:szCs w:val="14"/>
              </w:rPr>
              <w:t>--</w:t>
            </w:r>
          </w:p>
        </w:tc>
        <w:tc>
          <w:tcPr>
            <w:tcW w:w="993" w:type="dxa"/>
            <w:tcBorders>
              <w:top w:val="nil"/>
              <w:bottom w:val="nil"/>
            </w:tcBorders>
            <w:shd w:val="clear" w:color="auto" w:fill="auto"/>
            <w:vAlign w:val="center"/>
          </w:tcPr>
          <w:p w14:paraId="04FAD1FF" w14:textId="77777777" w:rsidR="008B7E19" w:rsidRPr="00A64F1A"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lang w:eastAsia="pt-BR"/>
              </w:rPr>
            </w:pPr>
            <w:r w:rsidRPr="00A64F1A">
              <w:rPr>
                <w:rFonts w:cs="Arial"/>
                <w:b/>
                <w:bCs/>
                <w:sz w:val="14"/>
                <w:szCs w:val="14"/>
              </w:rPr>
              <w:t>--</w:t>
            </w:r>
          </w:p>
        </w:tc>
        <w:tc>
          <w:tcPr>
            <w:tcW w:w="1277" w:type="dxa"/>
            <w:tcBorders>
              <w:top w:val="nil"/>
              <w:bottom w:val="nil"/>
            </w:tcBorders>
            <w:shd w:val="clear" w:color="auto" w:fill="auto"/>
            <w:vAlign w:val="center"/>
          </w:tcPr>
          <w:p w14:paraId="2556CC40" w14:textId="77777777" w:rsidR="008B7E19" w:rsidRPr="00A64F1A"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lang w:eastAsia="pt-BR"/>
              </w:rPr>
            </w:pPr>
            <w:r w:rsidRPr="00A64F1A">
              <w:rPr>
                <w:rFonts w:cs="Arial"/>
                <w:b/>
                <w:bCs/>
                <w:sz w:val="14"/>
                <w:szCs w:val="14"/>
              </w:rPr>
              <w:t>--</w:t>
            </w:r>
          </w:p>
        </w:tc>
        <w:tc>
          <w:tcPr>
            <w:tcW w:w="1846" w:type="dxa"/>
            <w:tcBorders>
              <w:top w:val="nil"/>
              <w:bottom w:val="nil"/>
            </w:tcBorders>
            <w:shd w:val="clear" w:color="auto" w:fill="auto"/>
            <w:vAlign w:val="center"/>
          </w:tcPr>
          <w:p w14:paraId="0DE677F6" w14:textId="77777777" w:rsidR="008B7E19" w:rsidRPr="00A64F1A"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lang w:eastAsia="pt-BR"/>
              </w:rPr>
            </w:pPr>
            <w:r w:rsidRPr="00A64F1A">
              <w:rPr>
                <w:rFonts w:cs="Arial"/>
                <w:b/>
                <w:bCs/>
                <w:sz w:val="14"/>
                <w:szCs w:val="14"/>
              </w:rPr>
              <w:t>--</w:t>
            </w:r>
          </w:p>
        </w:tc>
        <w:tc>
          <w:tcPr>
            <w:tcW w:w="1122" w:type="dxa"/>
            <w:tcBorders>
              <w:top w:val="nil"/>
              <w:bottom w:val="nil"/>
            </w:tcBorders>
            <w:shd w:val="clear" w:color="auto" w:fill="auto"/>
            <w:vAlign w:val="center"/>
          </w:tcPr>
          <w:p w14:paraId="5D94E17F" w14:textId="77777777" w:rsidR="008B7E19" w:rsidRPr="00A64F1A"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lang w:eastAsia="pt-BR"/>
              </w:rPr>
            </w:pPr>
            <w:r w:rsidRPr="00A64F1A">
              <w:rPr>
                <w:rFonts w:cs="Arial"/>
                <w:b/>
                <w:bCs/>
                <w:sz w:val="14"/>
                <w:szCs w:val="14"/>
              </w:rPr>
              <w:t> </w:t>
            </w:r>
          </w:p>
        </w:tc>
        <w:tc>
          <w:tcPr>
            <w:tcW w:w="1289" w:type="dxa"/>
            <w:tcBorders>
              <w:top w:val="nil"/>
              <w:bottom w:val="nil"/>
            </w:tcBorders>
            <w:shd w:val="clear" w:color="auto" w:fill="auto"/>
            <w:vAlign w:val="center"/>
          </w:tcPr>
          <w:p w14:paraId="339BA9C4" w14:textId="77777777" w:rsidR="008B7E19" w:rsidRPr="00A64F1A"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lang w:eastAsia="pt-BR"/>
              </w:rPr>
            </w:pPr>
            <w:r w:rsidRPr="00A64F1A">
              <w:rPr>
                <w:rFonts w:cs="Arial"/>
                <w:b/>
                <w:bCs/>
                <w:sz w:val="14"/>
                <w:szCs w:val="14"/>
              </w:rPr>
              <w:t> </w:t>
            </w:r>
          </w:p>
        </w:tc>
        <w:tc>
          <w:tcPr>
            <w:tcW w:w="1560" w:type="dxa"/>
            <w:tcBorders>
              <w:top w:val="nil"/>
              <w:bottom w:val="nil"/>
            </w:tcBorders>
            <w:shd w:val="clear" w:color="auto" w:fill="auto"/>
            <w:vAlign w:val="center"/>
          </w:tcPr>
          <w:p w14:paraId="75CC9BDE" w14:textId="77777777" w:rsidR="008B7E19" w:rsidRPr="00A64F1A"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lang w:eastAsia="pt-BR"/>
              </w:rPr>
            </w:pPr>
            <w:r w:rsidRPr="00A64F1A">
              <w:rPr>
                <w:rFonts w:cs="Arial"/>
                <w:b/>
                <w:bCs/>
                <w:sz w:val="14"/>
                <w:szCs w:val="14"/>
              </w:rPr>
              <w:t xml:space="preserve">127,442 </w:t>
            </w:r>
          </w:p>
        </w:tc>
        <w:tc>
          <w:tcPr>
            <w:tcW w:w="1122" w:type="dxa"/>
            <w:tcBorders>
              <w:top w:val="nil"/>
              <w:bottom w:val="nil"/>
            </w:tcBorders>
            <w:shd w:val="clear" w:color="auto" w:fill="auto"/>
            <w:vAlign w:val="center"/>
          </w:tcPr>
          <w:p w14:paraId="4584816B" w14:textId="77777777" w:rsidR="008B7E19" w:rsidRPr="00A64F1A"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4"/>
                <w:lang w:eastAsia="pt-BR"/>
              </w:rPr>
            </w:pPr>
            <w:r w:rsidRPr="00A64F1A">
              <w:rPr>
                <w:rFonts w:cs="Arial"/>
                <w:b/>
                <w:bCs/>
                <w:sz w:val="14"/>
                <w:szCs w:val="14"/>
              </w:rPr>
              <w:t xml:space="preserve">127,442 </w:t>
            </w:r>
          </w:p>
        </w:tc>
      </w:tr>
      <w:tr w:rsidR="008B7E19" w:rsidRPr="004E4235" w14:paraId="29B751CA" w14:textId="77777777" w:rsidTr="008B7E19">
        <w:trPr>
          <w:cnfStyle w:val="000000010000" w:firstRow="0" w:lastRow="0" w:firstColumn="0" w:lastColumn="0" w:oddVBand="0" w:evenVBand="0" w:oddHBand="0" w:evenHBand="1"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4253" w:type="dxa"/>
            <w:tcBorders>
              <w:top w:val="nil"/>
              <w:bottom w:val="single" w:sz="4" w:space="0" w:color="1F4E79" w:themeColor="accent1" w:themeShade="80"/>
            </w:tcBorders>
            <w:shd w:val="clear" w:color="auto" w:fill="auto"/>
            <w:vAlign w:val="center"/>
          </w:tcPr>
          <w:p w14:paraId="6613B3CE" w14:textId="77777777" w:rsidR="008B7E19" w:rsidRPr="00A64F1A" w:rsidRDefault="008B7E19" w:rsidP="008B7E19">
            <w:pPr>
              <w:keepNext/>
              <w:keepLines/>
              <w:spacing w:before="40" w:after="40"/>
              <w:ind w:left="177"/>
              <w:rPr>
                <w:rFonts w:cs="Arial"/>
                <w:color w:val="000000"/>
                <w:sz w:val="14"/>
                <w:szCs w:val="14"/>
                <w:lang w:val="en-US"/>
              </w:rPr>
            </w:pPr>
            <w:r w:rsidRPr="00A64F1A">
              <w:rPr>
                <w:rFonts w:eastAsia="Times New Roman" w:cs="Arial"/>
                <w:b w:val="0"/>
                <w:spacing w:val="-2"/>
                <w:sz w:val="14"/>
                <w:szCs w:val="14"/>
                <w:lang w:val="en-US" w:eastAsia="pt-BR"/>
              </w:rPr>
              <w:t>Interim dividends payable</w:t>
            </w:r>
          </w:p>
        </w:tc>
        <w:tc>
          <w:tcPr>
            <w:tcW w:w="567" w:type="dxa"/>
            <w:tcBorders>
              <w:top w:val="nil"/>
              <w:bottom w:val="single" w:sz="4" w:space="0" w:color="1F4E79" w:themeColor="accent1" w:themeShade="80"/>
            </w:tcBorders>
            <w:shd w:val="clear" w:color="auto" w:fill="auto"/>
          </w:tcPr>
          <w:p w14:paraId="1CE5C6DF" w14:textId="77777777" w:rsidR="008B7E19" w:rsidRPr="00A64F1A"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b/>
                <w:spacing w:val="-2"/>
                <w:sz w:val="14"/>
                <w:szCs w:val="14"/>
                <w:lang w:val="en-US" w:eastAsia="pt-BR"/>
              </w:rPr>
            </w:pPr>
            <w:r w:rsidRPr="00A64F1A">
              <w:rPr>
                <w:rFonts w:eastAsia="Times New Roman" w:cs="Arial"/>
                <w:spacing w:val="-2"/>
                <w:sz w:val="14"/>
                <w:szCs w:val="14"/>
                <w:lang w:eastAsia="pt-BR"/>
              </w:rPr>
              <w:t>[25.d]</w:t>
            </w:r>
          </w:p>
        </w:tc>
        <w:tc>
          <w:tcPr>
            <w:tcW w:w="1276" w:type="dxa"/>
            <w:tcBorders>
              <w:top w:val="nil"/>
              <w:bottom w:val="single" w:sz="4" w:space="0" w:color="1F4E79" w:themeColor="accent1" w:themeShade="80"/>
            </w:tcBorders>
            <w:shd w:val="clear" w:color="auto" w:fill="auto"/>
            <w:vAlign w:val="center"/>
          </w:tcPr>
          <w:p w14:paraId="360B151B" w14:textId="77777777" w:rsidR="008B7E19" w:rsidRPr="00A64F1A"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b/>
                <w:bCs/>
                <w:sz w:val="14"/>
                <w:szCs w:val="14"/>
              </w:rPr>
            </w:pPr>
            <w:r w:rsidRPr="00A64F1A">
              <w:rPr>
                <w:rFonts w:cs="Arial"/>
                <w:sz w:val="14"/>
                <w:szCs w:val="14"/>
              </w:rPr>
              <w:t>--</w:t>
            </w:r>
          </w:p>
        </w:tc>
        <w:tc>
          <w:tcPr>
            <w:tcW w:w="993" w:type="dxa"/>
            <w:tcBorders>
              <w:top w:val="nil"/>
              <w:bottom w:val="single" w:sz="4" w:space="0" w:color="1F4E79" w:themeColor="accent1" w:themeShade="80"/>
            </w:tcBorders>
            <w:shd w:val="clear" w:color="auto" w:fill="auto"/>
            <w:vAlign w:val="center"/>
          </w:tcPr>
          <w:p w14:paraId="62357A35" w14:textId="77777777" w:rsidR="008B7E19" w:rsidRPr="00A64F1A"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b/>
                <w:bCs/>
                <w:sz w:val="14"/>
                <w:szCs w:val="14"/>
              </w:rPr>
            </w:pPr>
            <w:r w:rsidRPr="00A64F1A">
              <w:rPr>
                <w:rFonts w:cs="Arial"/>
                <w:sz w:val="14"/>
                <w:szCs w:val="14"/>
              </w:rPr>
              <w:t>--</w:t>
            </w:r>
          </w:p>
        </w:tc>
        <w:tc>
          <w:tcPr>
            <w:tcW w:w="1277" w:type="dxa"/>
            <w:tcBorders>
              <w:top w:val="nil"/>
              <w:bottom w:val="single" w:sz="4" w:space="0" w:color="1F4E79" w:themeColor="accent1" w:themeShade="80"/>
            </w:tcBorders>
            <w:shd w:val="clear" w:color="auto" w:fill="auto"/>
            <w:vAlign w:val="center"/>
          </w:tcPr>
          <w:p w14:paraId="389E3572" w14:textId="77777777" w:rsidR="008B7E19" w:rsidRPr="00A64F1A"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b/>
                <w:bCs/>
                <w:sz w:val="14"/>
                <w:szCs w:val="14"/>
              </w:rPr>
            </w:pPr>
            <w:r w:rsidRPr="00A64F1A">
              <w:rPr>
                <w:rFonts w:cs="Arial"/>
                <w:sz w:val="14"/>
                <w:szCs w:val="14"/>
              </w:rPr>
              <w:t>--</w:t>
            </w:r>
          </w:p>
        </w:tc>
        <w:tc>
          <w:tcPr>
            <w:tcW w:w="1846" w:type="dxa"/>
            <w:tcBorders>
              <w:top w:val="nil"/>
              <w:bottom w:val="single" w:sz="4" w:space="0" w:color="1F4E79" w:themeColor="accent1" w:themeShade="80"/>
            </w:tcBorders>
            <w:shd w:val="clear" w:color="auto" w:fill="auto"/>
            <w:vAlign w:val="center"/>
          </w:tcPr>
          <w:p w14:paraId="2875295D" w14:textId="77777777" w:rsidR="008B7E19" w:rsidRPr="00A64F1A"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b/>
                <w:bCs/>
                <w:sz w:val="14"/>
                <w:szCs w:val="14"/>
              </w:rPr>
            </w:pPr>
            <w:r w:rsidRPr="00A64F1A">
              <w:rPr>
                <w:rFonts w:cs="Arial"/>
                <w:sz w:val="14"/>
                <w:szCs w:val="14"/>
              </w:rPr>
              <w:t>--</w:t>
            </w:r>
          </w:p>
        </w:tc>
        <w:tc>
          <w:tcPr>
            <w:tcW w:w="1122" w:type="dxa"/>
            <w:tcBorders>
              <w:top w:val="nil"/>
              <w:bottom w:val="single" w:sz="4" w:space="0" w:color="1F4E79" w:themeColor="accent1" w:themeShade="80"/>
            </w:tcBorders>
            <w:shd w:val="clear" w:color="auto" w:fill="auto"/>
            <w:vAlign w:val="center"/>
          </w:tcPr>
          <w:p w14:paraId="31C08B2F" w14:textId="77777777" w:rsidR="008B7E19" w:rsidRPr="00A64F1A"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b/>
                <w:bCs/>
                <w:sz w:val="14"/>
                <w:szCs w:val="14"/>
              </w:rPr>
            </w:pPr>
            <w:r w:rsidRPr="00A64F1A">
              <w:rPr>
                <w:rFonts w:cs="Arial"/>
                <w:sz w:val="14"/>
                <w:szCs w:val="14"/>
              </w:rPr>
              <w:t>--</w:t>
            </w:r>
          </w:p>
        </w:tc>
        <w:tc>
          <w:tcPr>
            <w:tcW w:w="1289" w:type="dxa"/>
            <w:tcBorders>
              <w:top w:val="nil"/>
              <w:bottom w:val="single" w:sz="4" w:space="0" w:color="1F4E79" w:themeColor="accent1" w:themeShade="80"/>
            </w:tcBorders>
            <w:shd w:val="clear" w:color="auto" w:fill="auto"/>
            <w:vAlign w:val="center"/>
          </w:tcPr>
          <w:p w14:paraId="42A85EF8" w14:textId="77777777" w:rsidR="008B7E19" w:rsidRPr="00A64F1A"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b/>
                <w:bCs/>
                <w:sz w:val="14"/>
                <w:szCs w:val="14"/>
              </w:rPr>
            </w:pPr>
            <w:r w:rsidRPr="00A64F1A">
              <w:rPr>
                <w:rFonts w:cs="Arial"/>
                <w:sz w:val="14"/>
                <w:szCs w:val="14"/>
              </w:rPr>
              <w:t>--</w:t>
            </w:r>
          </w:p>
        </w:tc>
        <w:tc>
          <w:tcPr>
            <w:tcW w:w="1560" w:type="dxa"/>
            <w:tcBorders>
              <w:top w:val="nil"/>
              <w:bottom w:val="single" w:sz="4" w:space="0" w:color="1F4E79" w:themeColor="accent1" w:themeShade="80"/>
            </w:tcBorders>
            <w:shd w:val="clear" w:color="auto" w:fill="auto"/>
            <w:vAlign w:val="center"/>
          </w:tcPr>
          <w:p w14:paraId="50502237" w14:textId="77777777" w:rsidR="008B7E19" w:rsidRPr="00A64F1A"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b/>
                <w:bCs/>
                <w:sz w:val="14"/>
                <w:szCs w:val="14"/>
              </w:rPr>
            </w:pPr>
            <w:r w:rsidRPr="00A64F1A">
              <w:rPr>
                <w:rFonts w:cs="Arial"/>
                <w:sz w:val="14"/>
                <w:szCs w:val="14"/>
              </w:rPr>
              <w:t>(2,068,697)</w:t>
            </w:r>
          </w:p>
        </w:tc>
        <w:tc>
          <w:tcPr>
            <w:tcW w:w="1122" w:type="dxa"/>
            <w:tcBorders>
              <w:top w:val="nil"/>
              <w:bottom w:val="single" w:sz="4" w:space="0" w:color="1F4E79" w:themeColor="accent1" w:themeShade="80"/>
            </w:tcBorders>
            <w:shd w:val="clear" w:color="auto" w:fill="auto"/>
            <w:vAlign w:val="center"/>
          </w:tcPr>
          <w:p w14:paraId="2D3D74D1" w14:textId="77777777" w:rsidR="008B7E19" w:rsidRPr="00A64F1A"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b/>
                <w:bCs/>
                <w:sz w:val="14"/>
                <w:szCs w:val="14"/>
              </w:rPr>
            </w:pPr>
            <w:r w:rsidRPr="00A64F1A">
              <w:rPr>
                <w:rFonts w:cs="Arial"/>
                <w:b/>
                <w:bCs/>
                <w:sz w:val="14"/>
                <w:szCs w:val="14"/>
              </w:rPr>
              <w:t xml:space="preserve">(2,068,697) </w:t>
            </w:r>
          </w:p>
        </w:tc>
      </w:tr>
      <w:tr w:rsidR="008B7E19" w:rsidRPr="004E4235" w14:paraId="068EFA40" w14:textId="77777777" w:rsidTr="008B7E19">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4253" w:type="dxa"/>
            <w:tcBorders>
              <w:top w:val="nil"/>
              <w:bottom w:val="single" w:sz="4" w:space="0" w:color="1F4E79" w:themeColor="accent1" w:themeShade="80"/>
            </w:tcBorders>
            <w:shd w:val="clear" w:color="auto" w:fill="auto"/>
            <w:vAlign w:val="center"/>
          </w:tcPr>
          <w:p w14:paraId="78C98061" w14:textId="4FE46197" w:rsidR="008B7E19" w:rsidRPr="00A64F1A" w:rsidRDefault="008B7E19" w:rsidP="008B7E19">
            <w:pPr>
              <w:keepNext/>
              <w:keepLines/>
              <w:spacing w:before="40" w:after="40"/>
              <w:rPr>
                <w:rFonts w:cs="Arial"/>
                <w:color w:val="000000"/>
                <w:sz w:val="14"/>
                <w:szCs w:val="14"/>
              </w:rPr>
            </w:pPr>
            <w:r w:rsidRPr="00A64F1A">
              <w:rPr>
                <w:rFonts w:cs="Arial"/>
                <w:color w:val="000000"/>
                <w:sz w:val="14"/>
                <w:szCs w:val="14"/>
              </w:rPr>
              <w:t>Balances at June 30, 2022 (Restated balances)</w:t>
            </w:r>
          </w:p>
        </w:tc>
        <w:tc>
          <w:tcPr>
            <w:tcW w:w="567" w:type="dxa"/>
            <w:tcBorders>
              <w:top w:val="nil"/>
              <w:bottom w:val="single" w:sz="4" w:space="0" w:color="1F4E79" w:themeColor="accent1" w:themeShade="80"/>
            </w:tcBorders>
            <w:shd w:val="clear" w:color="auto" w:fill="auto"/>
          </w:tcPr>
          <w:p w14:paraId="654F0CCF" w14:textId="77777777" w:rsidR="008B7E19" w:rsidRPr="00A64F1A"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4"/>
                <w:lang w:val="en-US" w:eastAsia="pt-BR"/>
              </w:rPr>
            </w:pPr>
          </w:p>
        </w:tc>
        <w:tc>
          <w:tcPr>
            <w:tcW w:w="1276" w:type="dxa"/>
            <w:tcBorders>
              <w:top w:val="nil"/>
              <w:bottom w:val="single" w:sz="4" w:space="0" w:color="1F4E79" w:themeColor="accent1" w:themeShade="80"/>
            </w:tcBorders>
            <w:shd w:val="clear" w:color="auto" w:fill="auto"/>
            <w:vAlign w:val="center"/>
          </w:tcPr>
          <w:p w14:paraId="24AB5FE8" w14:textId="77777777" w:rsidR="008B7E19" w:rsidRPr="00A64F1A"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4"/>
                <w:lang w:eastAsia="pt-BR"/>
              </w:rPr>
            </w:pPr>
            <w:r w:rsidRPr="00A64F1A">
              <w:rPr>
                <w:rFonts w:cs="Arial"/>
                <w:b/>
                <w:bCs/>
                <w:sz w:val="14"/>
                <w:szCs w:val="14"/>
              </w:rPr>
              <w:t>6,269,692</w:t>
            </w:r>
          </w:p>
        </w:tc>
        <w:tc>
          <w:tcPr>
            <w:tcW w:w="993" w:type="dxa"/>
            <w:tcBorders>
              <w:top w:val="nil"/>
              <w:bottom w:val="single" w:sz="4" w:space="0" w:color="1F4E79" w:themeColor="accent1" w:themeShade="80"/>
            </w:tcBorders>
            <w:shd w:val="clear" w:color="auto" w:fill="auto"/>
            <w:vAlign w:val="center"/>
          </w:tcPr>
          <w:p w14:paraId="5D8B00AD" w14:textId="77777777" w:rsidR="008B7E19" w:rsidRPr="00A64F1A"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4"/>
                <w:lang w:eastAsia="pt-BR"/>
              </w:rPr>
            </w:pPr>
            <w:r w:rsidRPr="00A64F1A">
              <w:rPr>
                <w:rFonts w:cs="Arial"/>
                <w:b/>
                <w:bCs/>
                <w:sz w:val="14"/>
                <w:szCs w:val="14"/>
              </w:rPr>
              <w:t>1,571</w:t>
            </w:r>
          </w:p>
        </w:tc>
        <w:tc>
          <w:tcPr>
            <w:tcW w:w="1277" w:type="dxa"/>
            <w:tcBorders>
              <w:top w:val="nil"/>
              <w:bottom w:val="single" w:sz="4" w:space="0" w:color="1F4E79" w:themeColor="accent1" w:themeShade="80"/>
            </w:tcBorders>
            <w:shd w:val="clear" w:color="auto" w:fill="auto"/>
            <w:vAlign w:val="center"/>
          </w:tcPr>
          <w:p w14:paraId="38A5CBEF" w14:textId="77777777" w:rsidR="008B7E19" w:rsidRPr="00A64F1A"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4"/>
                <w:lang w:eastAsia="pt-BR"/>
              </w:rPr>
            </w:pPr>
            <w:r w:rsidRPr="00A64F1A">
              <w:rPr>
                <w:rFonts w:cs="Arial"/>
                <w:b/>
                <w:bCs/>
                <w:sz w:val="14"/>
                <w:szCs w:val="14"/>
              </w:rPr>
              <w:t>--</w:t>
            </w:r>
          </w:p>
        </w:tc>
        <w:tc>
          <w:tcPr>
            <w:tcW w:w="1846" w:type="dxa"/>
            <w:tcBorders>
              <w:top w:val="nil"/>
              <w:bottom w:val="single" w:sz="4" w:space="0" w:color="1F4E79" w:themeColor="accent1" w:themeShade="80"/>
            </w:tcBorders>
            <w:shd w:val="clear" w:color="auto" w:fill="auto"/>
            <w:vAlign w:val="center"/>
          </w:tcPr>
          <w:p w14:paraId="4B8D568E" w14:textId="77777777" w:rsidR="008B7E19" w:rsidRPr="00A64F1A"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4"/>
                <w:lang w:eastAsia="pt-BR"/>
              </w:rPr>
            </w:pPr>
            <w:r w:rsidRPr="00A64F1A">
              <w:rPr>
                <w:rFonts w:cs="Arial"/>
                <w:b/>
                <w:bCs/>
                <w:sz w:val="14"/>
                <w:szCs w:val="14"/>
              </w:rPr>
              <w:t>1,250,000</w:t>
            </w:r>
          </w:p>
        </w:tc>
        <w:tc>
          <w:tcPr>
            <w:tcW w:w="1122" w:type="dxa"/>
            <w:tcBorders>
              <w:top w:val="nil"/>
              <w:bottom w:val="single" w:sz="4" w:space="0" w:color="1F4E79" w:themeColor="accent1" w:themeShade="80"/>
            </w:tcBorders>
            <w:shd w:val="clear" w:color="auto" w:fill="auto"/>
            <w:vAlign w:val="center"/>
          </w:tcPr>
          <w:p w14:paraId="083E7169" w14:textId="77777777" w:rsidR="008B7E19" w:rsidRPr="00A64F1A"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4"/>
                <w:lang w:eastAsia="pt-BR"/>
              </w:rPr>
            </w:pPr>
            <w:r w:rsidRPr="00A64F1A">
              <w:rPr>
                <w:rFonts w:cs="Arial"/>
                <w:b/>
                <w:bCs/>
                <w:sz w:val="14"/>
                <w:szCs w:val="14"/>
              </w:rPr>
              <w:t>(80,344)</w:t>
            </w:r>
          </w:p>
        </w:tc>
        <w:tc>
          <w:tcPr>
            <w:tcW w:w="1289" w:type="dxa"/>
            <w:tcBorders>
              <w:top w:val="nil"/>
              <w:bottom w:val="single" w:sz="4" w:space="0" w:color="1F4E79" w:themeColor="accent1" w:themeShade="80"/>
            </w:tcBorders>
            <w:shd w:val="clear" w:color="auto" w:fill="auto"/>
            <w:vAlign w:val="center"/>
          </w:tcPr>
          <w:p w14:paraId="5E918B3B" w14:textId="77777777" w:rsidR="008B7E19" w:rsidRPr="00A64F1A"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4"/>
                <w:lang w:eastAsia="pt-BR"/>
              </w:rPr>
            </w:pPr>
            <w:r w:rsidRPr="00A64F1A">
              <w:rPr>
                <w:rFonts w:cs="Arial"/>
                <w:b/>
                <w:bCs/>
                <w:sz w:val="14"/>
                <w:szCs w:val="14"/>
              </w:rPr>
              <w:t>(372,632)</w:t>
            </w:r>
          </w:p>
        </w:tc>
        <w:tc>
          <w:tcPr>
            <w:tcW w:w="1560" w:type="dxa"/>
            <w:tcBorders>
              <w:top w:val="nil"/>
              <w:bottom w:val="single" w:sz="4" w:space="0" w:color="1F4E79" w:themeColor="accent1" w:themeShade="80"/>
            </w:tcBorders>
            <w:shd w:val="clear" w:color="auto" w:fill="auto"/>
            <w:vAlign w:val="center"/>
          </w:tcPr>
          <w:p w14:paraId="10973838" w14:textId="77777777" w:rsidR="008B7E19" w:rsidRPr="00A64F1A"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4"/>
                <w:lang w:eastAsia="pt-BR"/>
              </w:rPr>
            </w:pPr>
            <w:r w:rsidRPr="00A64F1A">
              <w:rPr>
                <w:rFonts w:cs="Arial"/>
                <w:b/>
                <w:bCs/>
                <w:sz w:val="14"/>
                <w:szCs w:val="14"/>
              </w:rPr>
              <w:t>1,128,332</w:t>
            </w:r>
          </w:p>
        </w:tc>
        <w:tc>
          <w:tcPr>
            <w:tcW w:w="1122" w:type="dxa"/>
            <w:tcBorders>
              <w:top w:val="nil"/>
              <w:bottom w:val="single" w:sz="4" w:space="0" w:color="1F4E79" w:themeColor="accent1" w:themeShade="80"/>
            </w:tcBorders>
            <w:shd w:val="clear" w:color="auto" w:fill="auto"/>
            <w:vAlign w:val="center"/>
          </w:tcPr>
          <w:p w14:paraId="14547165" w14:textId="77777777" w:rsidR="008B7E19" w:rsidRPr="00A64F1A"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4"/>
                <w:lang w:eastAsia="pt-BR"/>
              </w:rPr>
            </w:pPr>
            <w:r w:rsidRPr="00A64F1A">
              <w:rPr>
                <w:rFonts w:cs="Arial"/>
                <w:b/>
                <w:bCs/>
                <w:sz w:val="14"/>
                <w:szCs w:val="14"/>
              </w:rPr>
              <w:t>8,196,619</w:t>
            </w:r>
          </w:p>
        </w:tc>
      </w:tr>
      <w:tr w:rsidR="008B7E19" w:rsidRPr="004E4235" w14:paraId="0010851A" w14:textId="77777777" w:rsidTr="008B7E19">
        <w:trPr>
          <w:cnfStyle w:val="000000010000" w:firstRow="0" w:lastRow="0" w:firstColumn="0" w:lastColumn="0" w:oddVBand="0" w:evenVBand="0" w:oddHBand="0" w:evenHBand="1" w:firstRowFirstColumn="0" w:firstRowLastColumn="0" w:lastRowFirstColumn="0" w:lastRowLastColumn="0"/>
          <w:trHeight w:val="133"/>
        </w:trPr>
        <w:tc>
          <w:tcPr>
            <w:cnfStyle w:val="001000000000" w:firstRow="0" w:lastRow="0" w:firstColumn="1" w:lastColumn="0" w:oddVBand="0" w:evenVBand="0" w:oddHBand="0" w:evenHBand="0" w:firstRowFirstColumn="0" w:firstRowLastColumn="0" w:lastRowFirstColumn="0" w:lastRowLastColumn="0"/>
            <w:tcW w:w="4253" w:type="dxa"/>
            <w:tcBorders>
              <w:top w:val="single" w:sz="4" w:space="0" w:color="1F4E79" w:themeColor="accent1" w:themeShade="80"/>
              <w:bottom w:val="single" w:sz="4" w:space="0" w:color="1F4E79" w:themeColor="accent1" w:themeShade="80"/>
            </w:tcBorders>
            <w:shd w:val="clear" w:color="auto" w:fill="auto"/>
            <w:vAlign w:val="center"/>
          </w:tcPr>
          <w:p w14:paraId="36231276" w14:textId="6CC63B61" w:rsidR="008B7E19" w:rsidRPr="00A64F1A" w:rsidRDefault="008B7E19" w:rsidP="008B7E19">
            <w:pPr>
              <w:keepNext/>
              <w:keepLines/>
              <w:spacing w:before="40" w:after="40"/>
              <w:rPr>
                <w:rFonts w:eastAsia="Times New Roman" w:cs="Arial"/>
                <w:spacing w:val="-2"/>
                <w:sz w:val="14"/>
                <w:szCs w:val="14"/>
                <w:lang w:val="en-US" w:eastAsia="pt-BR"/>
              </w:rPr>
            </w:pPr>
            <w:r w:rsidRPr="00A64F1A">
              <w:rPr>
                <w:rFonts w:cs="Arial"/>
                <w:color w:val="000000"/>
                <w:sz w:val="14"/>
                <w:szCs w:val="14"/>
                <w:lang w:val="en-US"/>
              </w:rPr>
              <w:t xml:space="preserve">Changes in the </w:t>
            </w:r>
            <w:r w:rsidRPr="00A64F1A">
              <w:rPr>
                <w:rStyle w:val="rynqvb"/>
                <w:rFonts w:cs="Arial"/>
                <w:sz w:val="14"/>
                <w:szCs w:val="14"/>
                <w:lang w:val="en"/>
              </w:rPr>
              <w:t>period</w:t>
            </w:r>
            <w:r w:rsidRPr="00A64F1A">
              <w:rPr>
                <w:rFonts w:cs="Arial"/>
                <w:color w:val="000000"/>
                <w:sz w:val="14"/>
                <w:szCs w:val="14"/>
                <w:lang w:val="en-US"/>
              </w:rPr>
              <w:t xml:space="preserve"> </w:t>
            </w:r>
            <w:r w:rsidRPr="00A64F1A">
              <w:rPr>
                <w:rStyle w:val="rynqvb"/>
                <w:rFonts w:cs="Arial"/>
                <w:sz w:val="14"/>
                <w:szCs w:val="14"/>
                <w:lang w:val="en"/>
              </w:rPr>
              <w:t>(R</w:t>
            </w:r>
            <w:r w:rsidRPr="00E21275">
              <w:rPr>
                <w:rFonts w:cs="Arial"/>
                <w:sz w:val="14"/>
                <w:szCs w:val="14"/>
                <w:shd w:val="clear" w:color="auto" w:fill="FFFFFF"/>
                <w:lang w:val="en-US"/>
              </w:rPr>
              <w:t>estated balances</w:t>
            </w:r>
            <w:r w:rsidRPr="00A64F1A">
              <w:rPr>
                <w:rStyle w:val="rynqvb"/>
                <w:rFonts w:cs="Arial"/>
                <w:sz w:val="14"/>
                <w:szCs w:val="14"/>
                <w:lang w:val="en"/>
              </w:rPr>
              <w:t>)</w:t>
            </w:r>
          </w:p>
        </w:tc>
        <w:tc>
          <w:tcPr>
            <w:tcW w:w="567" w:type="dxa"/>
            <w:tcBorders>
              <w:top w:val="single" w:sz="4" w:space="0" w:color="1F4E79" w:themeColor="accent1" w:themeShade="80"/>
              <w:bottom w:val="single" w:sz="4" w:space="0" w:color="1F4E79" w:themeColor="accent1" w:themeShade="80"/>
            </w:tcBorders>
            <w:shd w:val="clear" w:color="auto" w:fill="auto"/>
          </w:tcPr>
          <w:p w14:paraId="7A880EF5" w14:textId="77777777" w:rsidR="008B7E19" w:rsidRPr="00A64F1A"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b/>
                <w:spacing w:val="-2"/>
                <w:sz w:val="14"/>
                <w:szCs w:val="14"/>
                <w:lang w:val="en-US" w:eastAsia="pt-BR"/>
              </w:rPr>
            </w:pPr>
          </w:p>
        </w:tc>
        <w:tc>
          <w:tcPr>
            <w:tcW w:w="1276" w:type="dxa"/>
            <w:tcBorders>
              <w:top w:val="single" w:sz="4" w:space="0" w:color="1F4E79" w:themeColor="accent1" w:themeShade="80"/>
              <w:bottom w:val="single" w:sz="4" w:space="0" w:color="1F4E79" w:themeColor="accent1" w:themeShade="80"/>
            </w:tcBorders>
            <w:shd w:val="clear" w:color="auto" w:fill="auto"/>
            <w:vAlign w:val="center"/>
          </w:tcPr>
          <w:p w14:paraId="50B2C1E4" w14:textId="77777777" w:rsidR="008B7E19" w:rsidRPr="00A64F1A"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b/>
                <w:spacing w:val="-2"/>
                <w:sz w:val="14"/>
                <w:szCs w:val="14"/>
                <w:lang w:eastAsia="pt-BR"/>
              </w:rPr>
            </w:pPr>
            <w:r w:rsidRPr="00A64F1A">
              <w:rPr>
                <w:rFonts w:cs="Arial"/>
                <w:b/>
                <w:bCs/>
                <w:sz w:val="14"/>
                <w:szCs w:val="14"/>
              </w:rPr>
              <w:t xml:space="preserve">2,872,925 </w:t>
            </w:r>
          </w:p>
        </w:tc>
        <w:tc>
          <w:tcPr>
            <w:tcW w:w="993" w:type="dxa"/>
            <w:tcBorders>
              <w:top w:val="single" w:sz="4" w:space="0" w:color="1F4E79" w:themeColor="accent1" w:themeShade="80"/>
              <w:bottom w:val="single" w:sz="4" w:space="0" w:color="1F4E79" w:themeColor="accent1" w:themeShade="80"/>
            </w:tcBorders>
            <w:shd w:val="clear" w:color="auto" w:fill="auto"/>
            <w:vAlign w:val="center"/>
          </w:tcPr>
          <w:p w14:paraId="74C52F73" w14:textId="77777777" w:rsidR="008B7E19" w:rsidRPr="00A64F1A"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b/>
                <w:spacing w:val="-2"/>
                <w:sz w:val="14"/>
                <w:szCs w:val="14"/>
                <w:lang w:eastAsia="pt-BR"/>
              </w:rPr>
            </w:pPr>
            <w:r w:rsidRPr="00A64F1A">
              <w:rPr>
                <w:rFonts w:cs="Arial"/>
                <w:b/>
                <w:bCs/>
                <w:sz w:val="14"/>
                <w:szCs w:val="14"/>
              </w:rPr>
              <w:t>63</w:t>
            </w:r>
          </w:p>
        </w:tc>
        <w:tc>
          <w:tcPr>
            <w:tcW w:w="1277" w:type="dxa"/>
            <w:tcBorders>
              <w:top w:val="single" w:sz="4" w:space="0" w:color="1F4E79" w:themeColor="accent1" w:themeShade="80"/>
              <w:bottom w:val="single" w:sz="4" w:space="0" w:color="1F4E79" w:themeColor="accent1" w:themeShade="80"/>
            </w:tcBorders>
            <w:shd w:val="clear" w:color="auto" w:fill="auto"/>
            <w:vAlign w:val="center"/>
          </w:tcPr>
          <w:p w14:paraId="4BBA56FF" w14:textId="77777777" w:rsidR="008B7E19" w:rsidRPr="00A64F1A"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b/>
                <w:spacing w:val="-2"/>
                <w:sz w:val="14"/>
                <w:szCs w:val="14"/>
                <w:lang w:eastAsia="pt-BR"/>
              </w:rPr>
            </w:pPr>
            <w:r w:rsidRPr="00A64F1A">
              <w:rPr>
                <w:rFonts w:cs="Arial"/>
                <w:b/>
                <w:bCs/>
                <w:sz w:val="14"/>
                <w:szCs w:val="14"/>
              </w:rPr>
              <w:t>(679,354)</w:t>
            </w:r>
          </w:p>
        </w:tc>
        <w:tc>
          <w:tcPr>
            <w:tcW w:w="1846" w:type="dxa"/>
            <w:tcBorders>
              <w:top w:val="single" w:sz="4" w:space="0" w:color="1F4E79" w:themeColor="accent1" w:themeShade="80"/>
              <w:bottom w:val="single" w:sz="4" w:space="0" w:color="1F4E79" w:themeColor="accent1" w:themeShade="80"/>
            </w:tcBorders>
            <w:shd w:val="clear" w:color="auto" w:fill="auto"/>
            <w:vAlign w:val="center"/>
          </w:tcPr>
          <w:p w14:paraId="46A8572B" w14:textId="77777777" w:rsidR="008B7E19" w:rsidRPr="00A64F1A"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b/>
                <w:spacing w:val="-2"/>
                <w:sz w:val="14"/>
                <w:szCs w:val="14"/>
                <w:lang w:eastAsia="pt-BR"/>
              </w:rPr>
            </w:pPr>
            <w:r w:rsidRPr="00A64F1A">
              <w:rPr>
                <w:rFonts w:cs="Arial"/>
                <w:b/>
                <w:bCs/>
                <w:sz w:val="14"/>
                <w:szCs w:val="14"/>
              </w:rPr>
              <w:t>(2,193,571)</w:t>
            </w:r>
          </w:p>
        </w:tc>
        <w:tc>
          <w:tcPr>
            <w:tcW w:w="1122" w:type="dxa"/>
            <w:tcBorders>
              <w:top w:val="single" w:sz="4" w:space="0" w:color="1F4E79" w:themeColor="accent1" w:themeShade="80"/>
              <w:bottom w:val="single" w:sz="4" w:space="0" w:color="1F4E79" w:themeColor="accent1" w:themeShade="80"/>
            </w:tcBorders>
            <w:shd w:val="clear" w:color="auto" w:fill="auto"/>
            <w:vAlign w:val="center"/>
          </w:tcPr>
          <w:p w14:paraId="4324E0FE" w14:textId="77777777" w:rsidR="008B7E19" w:rsidRPr="00A64F1A"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b/>
                <w:spacing w:val="-2"/>
                <w:sz w:val="14"/>
                <w:szCs w:val="14"/>
                <w:lang w:eastAsia="pt-BR"/>
              </w:rPr>
            </w:pPr>
            <w:r w:rsidRPr="00A64F1A">
              <w:rPr>
                <w:rFonts w:cs="Arial"/>
                <w:b/>
                <w:bCs/>
                <w:sz w:val="14"/>
                <w:szCs w:val="14"/>
              </w:rPr>
              <w:t>976</w:t>
            </w:r>
          </w:p>
        </w:tc>
        <w:tc>
          <w:tcPr>
            <w:tcW w:w="1289" w:type="dxa"/>
            <w:tcBorders>
              <w:top w:val="single" w:sz="4" w:space="0" w:color="1F4E79" w:themeColor="accent1" w:themeShade="80"/>
              <w:bottom w:val="single" w:sz="4" w:space="0" w:color="1F4E79" w:themeColor="accent1" w:themeShade="80"/>
            </w:tcBorders>
            <w:shd w:val="clear" w:color="auto" w:fill="auto"/>
            <w:vAlign w:val="center"/>
          </w:tcPr>
          <w:p w14:paraId="78D837FA" w14:textId="77777777" w:rsidR="008B7E19" w:rsidRPr="00A64F1A"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b/>
                <w:spacing w:val="-2"/>
                <w:sz w:val="14"/>
                <w:szCs w:val="14"/>
                <w:lang w:eastAsia="pt-BR"/>
              </w:rPr>
            </w:pPr>
            <w:r w:rsidRPr="00A64F1A">
              <w:rPr>
                <w:rFonts w:cs="Arial"/>
                <w:b/>
                <w:bCs/>
                <w:sz w:val="14"/>
                <w:szCs w:val="14"/>
              </w:rPr>
              <w:t>82,577</w:t>
            </w:r>
          </w:p>
        </w:tc>
        <w:tc>
          <w:tcPr>
            <w:tcW w:w="1560" w:type="dxa"/>
            <w:tcBorders>
              <w:top w:val="single" w:sz="4" w:space="0" w:color="1F4E79" w:themeColor="accent1" w:themeShade="80"/>
              <w:bottom w:val="single" w:sz="4" w:space="0" w:color="1F4E79" w:themeColor="accent1" w:themeShade="80"/>
            </w:tcBorders>
            <w:shd w:val="clear" w:color="auto" w:fill="auto"/>
            <w:vAlign w:val="center"/>
          </w:tcPr>
          <w:p w14:paraId="19E86B82" w14:textId="77777777" w:rsidR="008B7E19" w:rsidRPr="00A64F1A"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b/>
                <w:spacing w:val="-2"/>
                <w:sz w:val="14"/>
                <w:szCs w:val="14"/>
                <w:lang w:eastAsia="pt-BR"/>
              </w:rPr>
            </w:pPr>
            <w:r w:rsidRPr="00A64F1A">
              <w:rPr>
                <w:rFonts w:cs="Arial"/>
                <w:b/>
                <w:bCs/>
                <w:sz w:val="14"/>
                <w:szCs w:val="14"/>
              </w:rPr>
              <w:t>644,603</w:t>
            </w:r>
          </w:p>
        </w:tc>
        <w:tc>
          <w:tcPr>
            <w:tcW w:w="1122" w:type="dxa"/>
            <w:tcBorders>
              <w:top w:val="single" w:sz="4" w:space="0" w:color="1F4E79" w:themeColor="accent1" w:themeShade="80"/>
              <w:bottom w:val="single" w:sz="4" w:space="0" w:color="1F4E79" w:themeColor="accent1" w:themeShade="80"/>
            </w:tcBorders>
            <w:shd w:val="clear" w:color="auto" w:fill="auto"/>
            <w:vAlign w:val="center"/>
          </w:tcPr>
          <w:p w14:paraId="04710D1B" w14:textId="77777777" w:rsidR="008B7E19" w:rsidRPr="00A64F1A"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b/>
                <w:spacing w:val="-2"/>
                <w:sz w:val="14"/>
                <w:szCs w:val="14"/>
                <w:lang w:eastAsia="pt-BR"/>
              </w:rPr>
            </w:pPr>
            <w:r w:rsidRPr="00A64F1A">
              <w:rPr>
                <w:rFonts w:cs="Arial"/>
                <w:b/>
                <w:bCs/>
                <w:sz w:val="14"/>
                <w:szCs w:val="14"/>
              </w:rPr>
              <w:t>728,219</w:t>
            </w:r>
          </w:p>
        </w:tc>
      </w:tr>
      <w:tr w:rsidR="008B7E19" w:rsidRPr="004E4235" w14:paraId="147A8FBC" w14:textId="77777777" w:rsidTr="008B7E19">
        <w:trPr>
          <w:cnfStyle w:val="000000100000" w:firstRow="0" w:lastRow="0" w:firstColumn="0" w:lastColumn="0" w:oddVBand="0" w:evenVBand="0" w:oddHBand="1" w:evenHBand="0" w:firstRowFirstColumn="0" w:firstRowLastColumn="0" w:lastRowFirstColumn="0" w:lastRowLastColumn="0"/>
          <w:trHeight w:val="166"/>
        </w:trPr>
        <w:tc>
          <w:tcPr>
            <w:cnfStyle w:val="001000000000" w:firstRow="0" w:lastRow="0" w:firstColumn="1" w:lastColumn="0" w:oddVBand="0" w:evenVBand="0" w:oddHBand="0" w:evenHBand="0" w:firstRowFirstColumn="0" w:firstRowLastColumn="0" w:lastRowFirstColumn="0" w:lastRowLastColumn="0"/>
            <w:tcW w:w="4253" w:type="dxa"/>
            <w:tcBorders>
              <w:top w:val="single" w:sz="4" w:space="0" w:color="1F4E79" w:themeColor="accent1" w:themeShade="80"/>
              <w:bottom w:val="nil"/>
            </w:tcBorders>
            <w:shd w:val="clear" w:color="auto" w:fill="auto"/>
            <w:vAlign w:val="center"/>
          </w:tcPr>
          <w:p w14:paraId="14CEE414" w14:textId="77777777" w:rsidR="008B7E19" w:rsidRPr="00A64F1A" w:rsidRDefault="008B7E19" w:rsidP="008B7E19">
            <w:pPr>
              <w:keepNext/>
              <w:keepLines/>
              <w:spacing w:before="40" w:after="40"/>
              <w:rPr>
                <w:rFonts w:cs="Arial"/>
                <w:color w:val="000000"/>
                <w:sz w:val="14"/>
                <w:szCs w:val="14"/>
              </w:rPr>
            </w:pPr>
          </w:p>
        </w:tc>
        <w:tc>
          <w:tcPr>
            <w:tcW w:w="567" w:type="dxa"/>
            <w:tcBorders>
              <w:top w:val="single" w:sz="4" w:space="0" w:color="1F4E79" w:themeColor="accent1" w:themeShade="80"/>
              <w:bottom w:val="nil"/>
            </w:tcBorders>
            <w:shd w:val="clear" w:color="auto" w:fill="auto"/>
            <w:vAlign w:val="center"/>
          </w:tcPr>
          <w:p w14:paraId="60109E7E" w14:textId="77777777" w:rsidR="008B7E19" w:rsidRPr="00A64F1A"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4"/>
                <w:lang w:eastAsia="pt-BR"/>
              </w:rPr>
            </w:pPr>
          </w:p>
        </w:tc>
        <w:tc>
          <w:tcPr>
            <w:tcW w:w="1276" w:type="dxa"/>
            <w:tcBorders>
              <w:top w:val="single" w:sz="4" w:space="0" w:color="1F4E79" w:themeColor="accent1" w:themeShade="80"/>
              <w:bottom w:val="nil"/>
            </w:tcBorders>
            <w:shd w:val="clear" w:color="auto" w:fill="auto"/>
            <w:vAlign w:val="center"/>
          </w:tcPr>
          <w:p w14:paraId="789D3D5A" w14:textId="77777777" w:rsidR="008B7E19" w:rsidRPr="00A64F1A"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4"/>
                <w:lang w:eastAsia="pt-BR"/>
              </w:rPr>
            </w:pPr>
          </w:p>
        </w:tc>
        <w:tc>
          <w:tcPr>
            <w:tcW w:w="993" w:type="dxa"/>
            <w:tcBorders>
              <w:top w:val="single" w:sz="4" w:space="0" w:color="1F4E79" w:themeColor="accent1" w:themeShade="80"/>
              <w:bottom w:val="nil"/>
            </w:tcBorders>
            <w:shd w:val="clear" w:color="auto" w:fill="auto"/>
            <w:vAlign w:val="center"/>
          </w:tcPr>
          <w:p w14:paraId="43479DCE" w14:textId="77777777" w:rsidR="008B7E19" w:rsidRPr="00A64F1A"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4"/>
                <w:lang w:eastAsia="pt-BR"/>
              </w:rPr>
            </w:pPr>
          </w:p>
        </w:tc>
        <w:tc>
          <w:tcPr>
            <w:tcW w:w="1277" w:type="dxa"/>
            <w:tcBorders>
              <w:top w:val="single" w:sz="4" w:space="0" w:color="1F4E79" w:themeColor="accent1" w:themeShade="80"/>
              <w:bottom w:val="nil"/>
            </w:tcBorders>
            <w:shd w:val="clear" w:color="auto" w:fill="auto"/>
            <w:vAlign w:val="center"/>
          </w:tcPr>
          <w:p w14:paraId="2D7DC845" w14:textId="77777777" w:rsidR="008B7E19" w:rsidRPr="00A64F1A"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4"/>
                <w:lang w:eastAsia="pt-BR"/>
              </w:rPr>
            </w:pPr>
          </w:p>
        </w:tc>
        <w:tc>
          <w:tcPr>
            <w:tcW w:w="1846" w:type="dxa"/>
            <w:tcBorders>
              <w:top w:val="single" w:sz="4" w:space="0" w:color="1F4E79" w:themeColor="accent1" w:themeShade="80"/>
              <w:bottom w:val="nil"/>
            </w:tcBorders>
            <w:shd w:val="clear" w:color="auto" w:fill="auto"/>
            <w:vAlign w:val="center"/>
          </w:tcPr>
          <w:p w14:paraId="4D78D023" w14:textId="77777777" w:rsidR="008B7E19" w:rsidRPr="00A64F1A"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4"/>
                <w:lang w:eastAsia="pt-BR"/>
              </w:rPr>
            </w:pPr>
          </w:p>
        </w:tc>
        <w:tc>
          <w:tcPr>
            <w:tcW w:w="1122" w:type="dxa"/>
            <w:tcBorders>
              <w:top w:val="single" w:sz="4" w:space="0" w:color="1F4E79" w:themeColor="accent1" w:themeShade="80"/>
              <w:bottom w:val="nil"/>
            </w:tcBorders>
            <w:shd w:val="clear" w:color="auto" w:fill="auto"/>
            <w:vAlign w:val="center"/>
          </w:tcPr>
          <w:p w14:paraId="2ED5BD16" w14:textId="77777777" w:rsidR="008B7E19" w:rsidRPr="00A64F1A"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4"/>
                <w:lang w:eastAsia="pt-BR"/>
              </w:rPr>
            </w:pPr>
          </w:p>
        </w:tc>
        <w:tc>
          <w:tcPr>
            <w:tcW w:w="1289" w:type="dxa"/>
            <w:tcBorders>
              <w:top w:val="single" w:sz="4" w:space="0" w:color="1F4E79" w:themeColor="accent1" w:themeShade="80"/>
              <w:bottom w:val="nil"/>
            </w:tcBorders>
            <w:shd w:val="clear" w:color="auto" w:fill="auto"/>
            <w:vAlign w:val="center"/>
          </w:tcPr>
          <w:p w14:paraId="58C3BDD2" w14:textId="77777777" w:rsidR="008B7E19" w:rsidRPr="00A64F1A"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4"/>
                <w:lang w:eastAsia="pt-BR"/>
              </w:rPr>
            </w:pPr>
          </w:p>
        </w:tc>
        <w:tc>
          <w:tcPr>
            <w:tcW w:w="1560" w:type="dxa"/>
            <w:tcBorders>
              <w:top w:val="single" w:sz="4" w:space="0" w:color="1F4E79" w:themeColor="accent1" w:themeShade="80"/>
              <w:bottom w:val="nil"/>
            </w:tcBorders>
            <w:shd w:val="clear" w:color="auto" w:fill="auto"/>
            <w:vAlign w:val="center"/>
          </w:tcPr>
          <w:p w14:paraId="68561068" w14:textId="77777777" w:rsidR="008B7E19" w:rsidRPr="00A64F1A"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4"/>
                <w:lang w:eastAsia="pt-BR"/>
              </w:rPr>
            </w:pPr>
          </w:p>
        </w:tc>
        <w:tc>
          <w:tcPr>
            <w:tcW w:w="1122" w:type="dxa"/>
            <w:tcBorders>
              <w:top w:val="single" w:sz="4" w:space="0" w:color="1F4E79" w:themeColor="accent1" w:themeShade="80"/>
              <w:bottom w:val="nil"/>
            </w:tcBorders>
            <w:shd w:val="clear" w:color="auto" w:fill="auto"/>
            <w:vAlign w:val="center"/>
          </w:tcPr>
          <w:p w14:paraId="48C04DEE" w14:textId="77777777" w:rsidR="008B7E19" w:rsidRPr="00A64F1A"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4"/>
                <w:lang w:eastAsia="pt-BR"/>
              </w:rPr>
            </w:pPr>
          </w:p>
        </w:tc>
      </w:tr>
      <w:tr w:rsidR="008B7E19" w:rsidRPr="004E4235" w14:paraId="6D814AA0" w14:textId="77777777" w:rsidTr="008B7E19">
        <w:trPr>
          <w:cnfStyle w:val="000000010000" w:firstRow="0" w:lastRow="0" w:firstColumn="0" w:lastColumn="0" w:oddVBand="0" w:evenVBand="0" w:oddHBand="0" w:evenHBand="1" w:firstRowFirstColumn="0" w:firstRowLastColumn="0" w:lastRowFirstColumn="0" w:lastRowLastColumn="0"/>
          <w:trHeight w:val="166"/>
        </w:trPr>
        <w:tc>
          <w:tcPr>
            <w:cnfStyle w:val="001000000000" w:firstRow="0" w:lastRow="0" w:firstColumn="1" w:lastColumn="0" w:oddVBand="0" w:evenVBand="0" w:oddHBand="0" w:evenHBand="0" w:firstRowFirstColumn="0" w:firstRowLastColumn="0" w:lastRowFirstColumn="0" w:lastRowLastColumn="0"/>
            <w:tcW w:w="4253" w:type="dxa"/>
            <w:tcBorders>
              <w:top w:val="nil"/>
              <w:bottom w:val="nil"/>
            </w:tcBorders>
            <w:shd w:val="clear" w:color="auto" w:fill="auto"/>
            <w:vAlign w:val="center"/>
          </w:tcPr>
          <w:p w14:paraId="3CE8E4D5" w14:textId="362466A1" w:rsidR="008B7E19" w:rsidRPr="00A64F1A" w:rsidRDefault="008B7E19" w:rsidP="008B7E19">
            <w:pPr>
              <w:keepNext/>
              <w:keepLines/>
              <w:spacing w:before="40" w:after="40"/>
              <w:rPr>
                <w:rFonts w:eastAsia="Times New Roman" w:cs="Arial"/>
                <w:spacing w:val="-2"/>
                <w:sz w:val="14"/>
                <w:szCs w:val="14"/>
                <w:lang w:val="en-US" w:eastAsia="pt-BR"/>
              </w:rPr>
            </w:pPr>
            <w:r w:rsidRPr="00A64F1A">
              <w:rPr>
                <w:rFonts w:eastAsia="Times New Roman" w:cs="Arial"/>
                <w:spacing w:val="-2"/>
                <w:sz w:val="14"/>
                <w:szCs w:val="14"/>
                <w:lang w:val="en-US" w:eastAsia="pt-BR"/>
              </w:rPr>
              <w:t xml:space="preserve">Balances at Dec 31, 2022 </w:t>
            </w:r>
            <w:r w:rsidRPr="00A64F1A">
              <w:rPr>
                <w:rFonts w:cs="Arial"/>
                <w:sz w:val="14"/>
                <w:szCs w:val="14"/>
                <w:lang w:val="en-US"/>
              </w:rPr>
              <w:t>(</w:t>
            </w:r>
            <w:r w:rsidRPr="00A64F1A">
              <w:rPr>
                <w:rStyle w:val="rynqvb"/>
                <w:rFonts w:cs="Arial"/>
                <w:sz w:val="14"/>
                <w:szCs w:val="14"/>
                <w:lang w:val="en"/>
              </w:rPr>
              <w:t>R</w:t>
            </w:r>
            <w:r w:rsidRPr="00E21275">
              <w:rPr>
                <w:rFonts w:cs="Arial"/>
                <w:sz w:val="14"/>
                <w:szCs w:val="14"/>
                <w:shd w:val="clear" w:color="auto" w:fill="FFFFFF"/>
                <w:lang w:val="en-US"/>
              </w:rPr>
              <w:t>estated balances</w:t>
            </w:r>
            <w:r w:rsidRPr="00A64F1A">
              <w:rPr>
                <w:rStyle w:val="Hyperlink"/>
                <w:rFonts w:cs="Arial"/>
                <w:color w:val="auto"/>
                <w:sz w:val="14"/>
                <w:szCs w:val="14"/>
                <w:shd w:val="clear" w:color="auto" w:fill="FFFFFF"/>
                <w:lang w:val="en-US"/>
              </w:rPr>
              <w:t>)</w:t>
            </w:r>
          </w:p>
        </w:tc>
        <w:tc>
          <w:tcPr>
            <w:tcW w:w="567" w:type="dxa"/>
            <w:tcBorders>
              <w:top w:val="nil"/>
              <w:bottom w:val="nil"/>
            </w:tcBorders>
            <w:shd w:val="clear" w:color="auto" w:fill="auto"/>
            <w:vAlign w:val="center"/>
          </w:tcPr>
          <w:p w14:paraId="4D9F886F" w14:textId="77777777" w:rsidR="008B7E19" w:rsidRPr="00A64F1A"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b/>
                <w:spacing w:val="-2"/>
                <w:sz w:val="14"/>
                <w:szCs w:val="14"/>
                <w:lang w:val="en-US" w:eastAsia="pt-BR"/>
              </w:rPr>
            </w:pPr>
          </w:p>
        </w:tc>
        <w:tc>
          <w:tcPr>
            <w:tcW w:w="1276" w:type="dxa"/>
            <w:tcBorders>
              <w:top w:val="nil"/>
              <w:bottom w:val="nil"/>
            </w:tcBorders>
            <w:shd w:val="clear" w:color="auto" w:fill="auto"/>
            <w:vAlign w:val="center"/>
          </w:tcPr>
          <w:p w14:paraId="7C41E7FB" w14:textId="77777777" w:rsidR="008B7E19" w:rsidRPr="00A64F1A"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b/>
                <w:spacing w:val="-2"/>
                <w:sz w:val="14"/>
                <w:szCs w:val="14"/>
                <w:lang w:eastAsia="pt-BR"/>
              </w:rPr>
            </w:pPr>
            <w:r w:rsidRPr="00A64F1A">
              <w:rPr>
                <w:rFonts w:cs="Arial"/>
                <w:b/>
                <w:bCs/>
                <w:sz w:val="14"/>
                <w:szCs w:val="14"/>
              </w:rPr>
              <w:t>6,269,692</w:t>
            </w:r>
          </w:p>
        </w:tc>
        <w:tc>
          <w:tcPr>
            <w:tcW w:w="993" w:type="dxa"/>
            <w:tcBorders>
              <w:top w:val="nil"/>
              <w:bottom w:val="nil"/>
            </w:tcBorders>
            <w:shd w:val="clear" w:color="auto" w:fill="auto"/>
            <w:vAlign w:val="center"/>
          </w:tcPr>
          <w:p w14:paraId="076D8A56" w14:textId="77777777" w:rsidR="008B7E19" w:rsidRPr="00A64F1A"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b/>
                <w:spacing w:val="-2"/>
                <w:sz w:val="14"/>
                <w:szCs w:val="14"/>
                <w:lang w:eastAsia="pt-BR"/>
              </w:rPr>
            </w:pPr>
            <w:r w:rsidRPr="00A64F1A">
              <w:rPr>
                <w:rFonts w:cs="Arial"/>
                <w:b/>
                <w:bCs/>
                <w:sz w:val="14"/>
                <w:szCs w:val="14"/>
              </w:rPr>
              <w:t>1,571</w:t>
            </w:r>
          </w:p>
        </w:tc>
        <w:tc>
          <w:tcPr>
            <w:tcW w:w="1277" w:type="dxa"/>
            <w:tcBorders>
              <w:top w:val="nil"/>
              <w:bottom w:val="nil"/>
            </w:tcBorders>
            <w:shd w:val="clear" w:color="auto" w:fill="auto"/>
            <w:vAlign w:val="center"/>
          </w:tcPr>
          <w:p w14:paraId="1060CC5A" w14:textId="77777777" w:rsidR="008B7E19" w:rsidRPr="00A64F1A"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b/>
                <w:spacing w:val="-2"/>
                <w:sz w:val="14"/>
                <w:szCs w:val="14"/>
                <w:lang w:eastAsia="pt-BR"/>
              </w:rPr>
            </w:pPr>
            <w:r w:rsidRPr="00A64F1A">
              <w:rPr>
                <w:rFonts w:cs="Arial"/>
                <w:b/>
                <w:bCs/>
                <w:sz w:val="14"/>
                <w:szCs w:val="14"/>
              </w:rPr>
              <w:t>302,229</w:t>
            </w:r>
          </w:p>
        </w:tc>
        <w:tc>
          <w:tcPr>
            <w:tcW w:w="1846" w:type="dxa"/>
            <w:tcBorders>
              <w:top w:val="nil"/>
              <w:bottom w:val="nil"/>
            </w:tcBorders>
            <w:shd w:val="clear" w:color="auto" w:fill="auto"/>
            <w:vAlign w:val="center"/>
          </w:tcPr>
          <w:p w14:paraId="6C8C5AA1" w14:textId="77777777" w:rsidR="008B7E19" w:rsidRPr="00A64F1A"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b/>
                <w:spacing w:val="-2"/>
                <w:sz w:val="14"/>
                <w:szCs w:val="14"/>
                <w:lang w:eastAsia="pt-BR"/>
              </w:rPr>
            </w:pPr>
            <w:r w:rsidRPr="00A64F1A">
              <w:rPr>
                <w:rFonts w:cs="Arial"/>
                <w:b/>
                <w:bCs/>
                <w:sz w:val="14"/>
                <w:szCs w:val="14"/>
              </w:rPr>
              <w:t>1,250,000</w:t>
            </w:r>
          </w:p>
        </w:tc>
        <w:tc>
          <w:tcPr>
            <w:tcW w:w="1122" w:type="dxa"/>
            <w:tcBorders>
              <w:top w:val="nil"/>
              <w:bottom w:val="nil"/>
            </w:tcBorders>
            <w:shd w:val="clear" w:color="auto" w:fill="auto"/>
            <w:vAlign w:val="center"/>
          </w:tcPr>
          <w:p w14:paraId="5F7DCCB2" w14:textId="77777777" w:rsidR="008B7E19" w:rsidRPr="00A64F1A"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b/>
                <w:spacing w:val="-2"/>
                <w:sz w:val="14"/>
                <w:szCs w:val="14"/>
                <w:lang w:eastAsia="pt-BR"/>
              </w:rPr>
            </w:pPr>
            <w:r w:rsidRPr="00A64F1A">
              <w:rPr>
                <w:rFonts w:cs="Arial"/>
                <w:b/>
                <w:bCs/>
                <w:sz w:val="14"/>
                <w:szCs w:val="14"/>
              </w:rPr>
              <w:t>(80,344)</w:t>
            </w:r>
          </w:p>
        </w:tc>
        <w:tc>
          <w:tcPr>
            <w:tcW w:w="1289" w:type="dxa"/>
            <w:tcBorders>
              <w:top w:val="nil"/>
              <w:bottom w:val="nil"/>
            </w:tcBorders>
            <w:shd w:val="clear" w:color="auto" w:fill="auto"/>
            <w:vAlign w:val="center"/>
          </w:tcPr>
          <w:p w14:paraId="7822AC64" w14:textId="77777777" w:rsidR="008B7E19" w:rsidRPr="00A64F1A"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b/>
                <w:spacing w:val="-2"/>
                <w:sz w:val="14"/>
                <w:szCs w:val="14"/>
                <w:lang w:eastAsia="pt-BR"/>
              </w:rPr>
            </w:pPr>
            <w:r w:rsidRPr="00A64F1A">
              <w:rPr>
                <w:rFonts w:cs="Arial"/>
                <w:b/>
                <w:bCs/>
                <w:sz w:val="14"/>
                <w:szCs w:val="14"/>
              </w:rPr>
              <w:t>(341,992)</w:t>
            </w:r>
          </w:p>
        </w:tc>
        <w:tc>
          <w:tcPr>
            <w:tcW w:w="1560" w:type="dxa"/>
            <w:tcBorders>
              <w:top w:val="nil"/>
              <w:bottom w:val="nil"/>
            </w:tcBorders>
            <w:shd w:val="clear" w:color="auto" w:fill="auto"/>
            <w:vAlign w:val="center"/>
          </w:tcPr>
          <w:p w14:paraId="653C6F76" w14:textId="77777777" w:rsidR="008B7E19" w:rsidRPr="00A64F1A"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b/>
                <w:spacing w:val="-2"/>
                <w:sz w:val="14"/>
                <w:szCs w:val="14"/>
                <w:lang w:eastAsia="pt-BR"/>
              </w:rPr>
            </w:pPr>
            <w:r w:rsidRPr="00A64F1A">
              <w:rPr>
                <w:rFonts w:cs="Arial"/>
                <w:b/>
                <w:bCs/>
                <w:sz w:val="14"/>
                <w:szCs w:val="14"/>
              </w:rPr>
              <w:t xml:space="preserve">635,574 </w:t>
            </w:r>
          </w:p>
        </w:tc>
        <w:tc>
          <w:tcPr>
            <w:tcW w:w="1122" w:type="dxa"/>
            <w:tcBorders>
              <w:top w:val="nil"/>
              <w:bottom w:val="nil"/>
            </w:tcBorders>
            <w:shd w:val="clear" w:color="auto" w:fill="auto"/>
            <w:vAlign w:val="center"/>
          </w:tcPr>
          <w:p w14:paraId="5A8CFAE0" w14:textId="77777777" w:rsidR="008B7E19" w:rsidRPr="00A64F1A"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b/>
                <w:spacing w:val="-2"/>
                <w:sz w:val="14"/>
                <w:szCs w:val="14"/>
                <w:lang w:eastAsia="pt-BR"/>
              </w:rPr>
            </w:pPr>
            <w:r w:rsidRPr="00A64F1A">
              <w:rPr>
                <w:rFonts w:cs="Arial"/>
                <w:b/>
                <w:bCs/>
                <w:sz w:val="14"/>
                <w:szCs w:val="14"/>
              </w:rPr>
              <w:t>8,036,730</w:t>
            </w:r>
          </w:p>
        </w:tc>
      </w:tr>
      <w:tr w:rsidR="008B7E19" w:rsidRPr="004E4235" w14:paraId="5A07712C" w14:textId="77777777" w:rsidTr="008B7E19">
        <w:trPr>
          <w:cnfStyle w:val="000000100000" w:firstRow="0" w:lastRow="0" w:firstColumn="0" w:lastColumn="0" w:oddVBand="0" w:evenVBand="0" w:oddHBand="1" w:evenHBand="0" w:firstRowFirstColumn="0" w:firstRowLastColumn="0" w:lastRowFirstColumn="0" w:lastRowLastColumn="0"/>
          <w:trHeight w:val="98"/>
        </w:trPr>
        <w:tc>
          <w:tcPr>
            <w:cnfStyle w:val="001000000000" w:firstRow="0" w:lastRow="0" w:firstColumn="1" w:lastColumn="0" w:oddVBand="0" w:evenVBand="0" w:oddHBand="0" w:evenHBand="0" w:firstRowFirstColumn="0" w:firstRowLastColumn="0" w:lastRowFirstColumn="0" w:lastRowLastColumn="0"/>
            <w:tcW w:w="4253" w:type="dxa"/>
            <w:tcBorders>
              <w:top w:val="nil"/>
              <w:bottom w:val="nil"/>
            </w:tcBorders>
            <w:shd w:val="clear" w:color="auto" w:fill="auto"/>
            <w:vAlign w:val="center"/>
          </w:tcPr>
          <w:p w14:paraId="1418C182" w14:textId="77777777" w:rsidR="008B7E19" w:rsidRPr="00A64F1A" w:rsidRDefault="008B7E19" w:rsidP="008B7E19">
            <w:pPr>
              <w:keepNext/>
              <w:keepLines/>
              <w:spacing w:before="40" w:after="40"/>
              <w:ind w:left="177"/>
              <w:rPr>
                <w:rFonts w:cs="Arial"/>
                <w:sz w:val="14"/>
                <w:szCs w:val="14"/>
              </w:rPr>
            </w:pPr>
            <w:r w:rsidRPr="00A64F1A">
              <w:rPr>
                <w:rFonts w:eastAsia="Times New Roman" w:cs="Arial"/>
                <w:b w:val="0"/>
                <w:spacing w:val="-2"/>
                <w:sz w:val="14"/>
                <w:szCs w:val="14"/>
                <w:lang w:eastAsia="pt-BR"/>
              </w:rPr>
              <w:t>Share-based payment transactions</w:t>
            </w:r>
          </w:p>
        </w:tc>
        <w:tc>
          <w:tcPr>
            <w:tcW w:w="567" w:type="dxa"/>
            <w:tcBorders>
              <w:top w:val="nil"/>
              <w:bottom w:val="nil"/>
            </w:tcBorders>
            <w:shd w:val="clear" w:color="auto" w:fill="auto"/>
            <w:vAlign w:val="center"/>
          </w:tcPr>
          <w:p w14:paraId="14C44290" w14:textId="77777777" w:rsidR="008B7E19" w:rsidRPr="00A64F1A"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lang w:eastAsia="pt-BR"/>
              </w:rPr>
            </w:pPr>
          </w:p>
        </w:tc>
        <w:tc>
          <w:tcPr>
            <w:tcW w:w="1276" w:type="dxa"/>
            <w:tcBorders>
              <w:top w:val="nil"/>
              <w:bottom w:val="nil"/>
            </w:tcBorders>
            <w:shd w:val="clear" w:color="auto" w:fill="auto"/>
            <w:vAlign w:val="center"/>
          </w:tcPr>
          <w:p w14:paraId="483A59D7" w14:textId="77777777" w:rsidR="008B7E19" w:rsidRPr="00A64F1A"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lang w:eastAsia="pt-BR"/>
              </w:rPr>
            </w:pPr>
            <w:r w:rsidRPr="00A64F1A">
              <w:rPr>
                <w:rFonts w:cs="Arial"/>
                <w:sz w:val="14"/>
                <w:szCs w:val="14"/>
              </w:rPr>
              <w:t>--</w:t>
            </w:r>
          </w:p>
        </w:tc>
        <w:tc>
          <w:tcPr>
            <w:tcW w:w="993" w:type="dxa"/>
            <w:tcBorders>
              <w:top w:val="nil"/>
              <w:bottom w:val="nil"/>
            </w:tcBorders>
            <w:shd w:val="clear" w:color="auto" w:fill="auto"/>
            <w:vAlign w:val="center"/>
          </w:tcPr>
          <w:p w14:paraId="01956A8C" w14:textId="77777777" w:rsidR="008B7E19" w:rsidRPr="00A64F1A"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lang w:eastAsia="pt-BR"/>
              </w:rPr>
            </w:pPr>
            <w:r w:rsidRPr="00A64F1A">
              <w:rPr>
                <w:rFonts w:cs="Arial"/>
                <w:sz w:val="14"/>
                <w:szCs w:val="14"/>
              </w:rPr>
              <w:t>230</w:t>
            </w:r>
          </w:p>
        </w:tc>
        <w:tc>
          <w:tcPr>
            <w:tcW w:w="1277" w:type="dxa"/>
            <w:tcBorders>
              <w:top w:val="nil"/>
              <w:bottom w:val="nil"/>
            </w:tcBorders>
            <w:shd w:val="clear" w:color="auto" w:fill="auto"/>
            <w:vAlign w:val="center"/>
          </w:tcPr>
          <w:p w14:paraId="5C251D60" w14:textId="77777777" w:rsidR="008B7E19" w:rsidRPr="00A64F1A"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lang w:eastAsia="pt-BR"/>
              </w:rPr>
            </w:pPr>
            <w:r w:rsidRPr="00A64F1A">
              <w:rPr>
                <w:rFonts w:cs="Arial"/>
                <w:sz w:val="14"/>
                <w:szCs w:val="14"/>
              </w:rPr>
              <w:t>--</w:t>
            </w:r>
          </w:p>
        </w:tc>
        <w:tc>
          <w:tcPr>
            <w:tcW w:w="1846" w:type="dxa"/>
            <w:tcBorders>
              <w:top w:val="nil"/>
              <w:bottom w:val="nil"/>
            </w:tcBorders>
            <w:shd w:val="clear" w:color="auto" w:fill="auto"/>
            <w:vAlign w:val="center"/>
          </w:tcPr>
          <w:p w14:paraId="16E4E5A3" w14:textId="77777777" w:rsidR="008B7E19" w:rsidRPr="00A64F1A"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lang w:eastAsia="pt-BR"/>
              </w:rPr>
            </w:pPr>
            <w:r w:rsidRPr="00A64F1A">
              <w:rPr>
                <w:rFonts w:cs="Arial"/>
                <w:sz w:val="14"/>
                <w:szCs w:val="14"/>
              </w:rPr>
              <w:t>--</w:t>
            </w:r>
          </w:p>
        </w:tc>
        <w:tc>
          <w:tcPr>
            <w:tcW w:w="1122" w:type="dxa"/>
            <w:tcBorders>
              <w:top w:val="nil"/>
              <w:bottom w:val="nil"/>
            </w:tcBorders>
            <w:shd w:val="clear" w:color="auto" w:fill="auto"/>
            <w:vAlign w:val="center"/>
          </w:tcPr>
          <w:p w14:paraId="664A6386" w14:textId="77777777" w:rsidR="008B7E19" w:rsidRPr="00A64F1A"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lang w:eastAsia="pt-BR"/>
              </w:rPr>
            </w:pPr>
            <w:r w:rsidRPr="00A64F1A">
              <w:rPr>
                <w:rFonts w:cs="Arial"/>
                <w:sz w:val="14"/>
                <w:szCs w:val="14"/>
              </w:rPr>
              <w:t>586</w:t>
            </w:r>
          </w:p>
        </w:tc>
        <w:tc>
          <w:tcPr>
            <w:tcW w:w="1289" w:type="dxa"/>
            <w:tcBorders>
              <w:top w:val="nil"/>
              <w:bottom w:val="nil"/>
            </w:tcBorders>
            <w:shd w:val="clear" w:color="auto" w:fill="auto"/>
            <w:vAlign w:val="center"/>
          </w:tcPr>
          <w:p w14:paraId="4ED8E631" w14:textId="77777777" w:rsidR="008B7E19" w:rsidRPr="00A64F1A"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lang w:eastAsia="pt-BR"/>
              </w:rPr>
            </w:pPr>
            <w:r w:rsidRPr="00A64F1A">
              <w:rPr>
                <w:rFonts w:cs="Arial"/>
                <w:sz w:val="14"/>
                <w:szCs w:val="14"/>
              </w:rPr>
              <w:t>--</w:t>
            </w:r>
          </w:p>
        </w:tc>
        <w:tc>
          <w:tcPr>
            <w:tcW w:w="1560" w:type="dxa"/>
            <w:tcBorders>
              <w:top w:val="nil"/>
              <w:bottom w:val="nil"/>
            </w:tcBorders>
            <w:shd w:val="clear" w:color="auto" w:fill="auto"/>
            <w:vAlign w:val="center"/>
          </w:tcPr>
          <w:p w14:paraId="7203CFD2" w14:textId="77777777" w:rsidR="008B7E19" w:rsidRPr="00A64F1A"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lang w:eastAsia="pt-BR"/>
              </w:rPr>
            </w:pPr>
            <w:r w:rsidRPr="00A64F1A">
              <w:rPr>
                <w:rFonts w:cs="Arial"/>
                <w:sz w:val="14"/>
                <w:szCs w:val="14"/>
              </w:rPr>
              <w:t>--</w:t>
            </w:r>
          </w:p>
        </w:tc>
        <w:tc>
          <w:tcPr>
            <w:tcW w:w="1122" w:type="dxa"/>
            <w:tcBorders>
              <w:top w:val="nil"/>
              <w:bottom w:val="nil"/>
            </w:tcBorders>
            <w:shd w:val="clear" w:color="auto" w:fill="auto"/>
            <w:vAlign w:val="center"/>
          </w:tcPr>
          <w:p w14:paraId="1748AC52" w14:textId="77777777" w:rsidR="008B7E19" w:rsidRPr="00A64F1A"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z w:val="14"/>
                <w:szCs w:val="14"/>
              </w:rPr>
            </w:pPr>
            <w:r w:rsidRPr="00A64F1A">
              <w:rPr>
                <w:rFonts w:cs="Arial"/>
                <w:b/>
                <w:bCs/>
                <w:sz w:val="14"/>
                <w:szCs w:val="14"/>
              </w:rPr>
              <w:t>816</w:t>
            </w:r>
          </w:p>
        </w:tc>
      </w:tr>
      <w:tr w:rsidR="008B7E19" w:rsidRPr="004E4235" w14:paraId="4AED6F3E" w14:textId="77777777" w:rsidTr="008B7E19">
        <w:trPr>
          <w:cnfStyle w:val="000000010000" w:firstRow="0" w:lastRow="0" w:firstColumn="0" w:lastColumn="0" w:oddVBand="0" w:evenVBand="0" w:oddHBand="0" w:evenHBand="1" w:firstRowFirstColumn="0" w:firstRowLastColumn="0" w:lastRowFirstColumn="0" w:lastRowLastColumn="0"/>
          <w:trHeight w:val="98"/>
        </w:trPr>
        <w:tc>
          <w:tcPr>
            <w:cnfStyle w:val="001000000000" w:firstRow="0" w:lastRow="0" w:firstColumn="1" w:lastColumn="0" w:oddVBand="0" w:evenVBand="0" w:oddHBand="0" w:evenHBand="0" w:firstRowFirstColumn="0" w:firstRowLastColumn="0" w:lastRowFirstColumn="0" w:lastRowLastColumn="0"/>
            <w:tcW w:w="4253" w:type="dxa"/>
            <w:tcBorders>
              <w:top w:val="nil"/>
              <w:bottom w:val="nil"/>
            </w:tcBorders>
            <w:shd w:val="clear" w:color="auto" w:fill="auto"/>
            <w:vAlign w:val="center"/>
          </w:tcPr>
          <w:p w14:paraId="6A8D8557" w14:textId="77777777" w:rsidR="008B7E19" w:rsidRPr="00A64F1A" w:rsidRDefault="008B7E19" w:rsidP="008B7E19">
            <w:pPr>
              <w:keepNext/>
              <w:keepLines/>
              <w:spacing w:before="40" w:after="40"/>
              <w:ind w:left="177"/>
              <w:rPr>
                <w:rFonts w:cs="Arial"/>
                <w:sz w:val="14"/>
                <w:szCs w:val="14"/>
                <w:lang w:val="en-US"/>
              </w:rPr>
            </w:pPr>
            <w:r w:rsidRPr="00A64F1A">
              <w:rPr>
                <w:rFonts w:eastAsia="Times New Roman" w:cs="Arial"/>
                <w:b w:val="0"/>
                <w:spacing w:val="-2"/>
                <w:sz w:val="14"/>
                <w:szCs w:val="14"/>
                <w:lang w:val="en-US" w:eastAsia="pt-BR"/>
              </w:rPr>
              <w:t>Other comprehensive income</w:t>
            </w:r>
          </w:p>
        </w:tc>
        <w:tc>
          <w:tcPr>
            <w:tcW w:w="567" w:type="dxa"/>
            <w:tcBorders>
              <w:top w:val="nil"/>
              <w:bottom w:val="nil"/>
            </w:tcBorders>
            <w:shd w:val="clear" w:color="auto" w:fill="auto"/>
            <w:vAlign w:val="center"/>
          </w:tcPr>
          <w:p w14:paraId="52414B12" w14:textId="77777777" w:rsidR="008B7E19" w:rsidRPr="00A64F1A"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spacing w:val="-2"/>
                <w:sz w:val="14"/>
                <w:szCs w:val="14"/>
                <w:lang w:val="en-US" w:eastAsia="pt-BR"/>
              </w:rPr>
            </w:pPr>
            <w:r w:rsidRPr="00A64F1A">
              <w:rPr>
                <w:rFonts w:eastAsia="Times New Roman" w:cs="Arial"/>
                <w:spacing w:val="-2"/>
                <w:sz w:val="14"/>
                <w:szCs w:val="14"/>
                <w:lang w:eastAsia="pt-BR"/>
              </w:rPr>
              <w:t>[7.b]</w:t>
            </w:r>
          </w:p>
        </w:tc>
        <w:tc>
          <w:tcPr>
            <w:tcW w:w="1276" w:type="dxa"/>
            <w:tcBorders>
              <w:top w:val="nil"/>
              <w:bottom w:val="nil"/>
            </w:tcBorders>
            <w:shd w:val="clear" w:color="auto" w:fill="auto"/>
            <w:vAlign w:val="center"/>
          </w:tcPr>
          <w:p w14:paraId="2DE9E408" w14:textId="77777777" w:rsidR="008B7E19" w:rsidRPr="00A64F1A"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spacing w:val="-2"/>
                <w:sz w:val="14"/>
                <w:szCs w:val="14"/>
                <w:lang w:eastAsia="pt-BR"/>
              </w:rPr>
            </w:pPr>
            <w:r w:rsidRPr="00A64F1A">
              <w:rPr>
                <w:rFonts w:cs="Arial"/>
                <w:sz w:val="14"/>
                <w:szCs w:val="14"/>
              </w:rPr>
              <w:t>--</w:t>
            </w:r>
          </w:p>
        </w:tc>
        <w:tc>
          <w:tcPr>
            <w:tcW w:w="993" w:type="dxa"/>
            <w:tcBorders>
              <w:top w:val="nil"/>
              <w:bottom w:val="nil"/>
            </w:tcBorders>
            <w:shd w:val="clear" w:color="auto" w:fill="auto"/>
            <w:vAlign w:val="center"/>
          </w:tcPr>
          <w:p w14:paraId="00DDCF5E" w14:textId="77777777" w:rsidR="008B7E19" w:rsidRPr="00A64F1A"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spacing w:val="-2"/>
                <w:sz w:val="14"/>
                <w:szCs w:val="14"/>
                <w:lang w:eastAsia="pt-BR"/>
              </w:rPr>
            </w:pPr>
            <w:r w:rsidRPr="00A64F1A">
              <w:rPr>
                <w:rFonts w:cs="Arial"/>
                <w:sz w:val="14"/>
                <w:szCs w:val="14"/>
              </w:rPr>
              <w:t>--</w:t>
            </w:r>
          </w:p>
        </w:tc>
        <w:tc>
          <w:tcPr>
            <w:tcW w:w="1277" w:type="dxa"/>
            <w:tcBorders>
              <w:top w:val="nil"/>
              <w:bottom w:val="nil"/>
            </w:tcBorders>
            <w:shd w:val="clear" w:color="auto" w:fill="auto"/>
            <w:vAlign w:val="center"/>
          </w:tcPr>
          <w:p w14:paraId="5868EF10" w14:textId="77777777" w:rsidR="008B7E19" w:rsidRPr="00A64F1A"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spacing w:val="-2"/>
                <w:sz w:val="14"/>
                <w:szCs w:val="14"/>
                <w:lang w:eastAsia="pt-BR"/>
              </w:rPr>
            </w:pPr>
            <w:r w:rsidRPr="00A64F1A">
              <w:rPr>
                <w:rFonts w:cs="Arial"/>
                <w:sz w:val="14"/>
                <w:szCs w:val="14"/>
              </w:rPr>
              <w:t>--</w:t>
            </w:r>
          </w:p>
        </w:tc>
        <w:tc>
          <w:tcPr>
            <w:tcW w:w="1846" w:type="dxa"/>
            <w:tcBorders>
              <w:top w:val="nil"/>
              <w:bottom w:val="nil"/>
            </w:tcBorders>
            <w:shd w:val="clear" w:color="auto" w:fill="auto"/>
            <w:vAlign w:val="center"/>
          </w:tcPr>
          <w:p w14:paraId="4CA80F35" w14:textId="77777777" w:rsidR="008B7E19" w:rsidRPr="00A64F1A"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spacing w:val="-2"/>
                <w:sz w:val="14"/>
                <w:szCs w:val="14"/>
                <w:lang w:eastAsia="pt-BR"/>
              </w:rPr>
            </w:pPr>
            <w:r w:rsidRPr="00A64F1A">
              <w:rPr>
                <w:rFonts w:cs="Arial"/>
                <w:sz w:val="14"/>
                <w:szCs w:val="14"/>
              </w:rPr>
              <w:t>--</w:t>
            </w:r>
          </w:p>
        </w:tc>
        <w:tc>
          <w:tcPr>
            <w:tcW w:w="1122" w:type="dxa"/>
            <w:tcBorders>
              <w:top w:val="nil"/>
              <w:bottom w:val="nil"/>
            </w:tcBorders>
            <w:shd w:val="clear" w:color="auto" w:fill="auto"/>
            <w:vAlign w:val="center"/>
          </w:tcPr>
          <w:p w14:paraId="665C33C0" w14:textId="77777777" w:rsidR="008B7E19" w:rsidRPr="00A64F1A"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spacing w:val="-2"/>
                <w:sz w:val="14"/>
                <w:szCs w:val="14"/>
                <w:lang w:eastAsia="pt-BR"/>
              </w:rPr>
            </w:pPr>
            <w:r w:rsidRPr="00A64F1A">
              <w:rPr>
                <w:rFonts w:cs="Arial"/>
                <w:sz w:val="14"/>
                <w:szCs w:val="14"/>
              </w:rPr>
              <w:t>--</w:t>
            </w:r>
          </w:p>
        </w:tc>
        <w:tc>
          <w:tcPr>
            <w:tcW w:w="1289" w:type="dxa"/>
            <w:tcBorders>
              <w:top w:val="nil"/>
              <w:bottom w:val="nil"/>
            </w:tcBorders>
            <w:shd w:val="clear" w:color="auto" w:fill="auto"/>
            <w:vAlign w:val="center"/>
          </w:tcPr>
          <w:p w14:paraId="7A3A423C" w14:textId="77777777" w:rsidR="008B7E19" w:rsidRPr="00A64F1A"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spacing w:val="-2"/>
                <w:sz w:val="14"/>
                <w:szCs w:val="14"/>
                <w:lang w:eastAsia="pt-BR"/>
              </w:rPr>
            </w:pPr>
            <w:r w:rsidRPr="00A64F1A">
              <w:rPr>
                <w:rFonts w:cs="Arial"/>
                <w:sz w:val="14"/>
                <w:szCs w:val="14"/>
              </w:rPr>
              <w:t>75,109</w:t>
            </w:r>
          </w:p>
        </w:tc>
        <w:tc>
          <w:tcPr>
            <w:tcW w:w="1560" w:type="dxa"/>
            <w:tcBorders>
              <w:top w:val="nil"/>
              <w:bottom w:val="nil"/>
            </w:tcBorders>
            <w:shd w:val="clear" w:color="auto" w:fill="auto"/>
            <w:vAlign w:val="center"/>
          </w:tcPr>
          <w:p w14:paraId="280BF0CF" w14:textId="77777777" w:rsidR="008B7E19" w:rsidRPr="00A64F1A"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spacing w:val="-2"/>
                <w:sz w:val="14"/>
                <w:szCs w:val="14"/>
                <w:lang w:eastAsia="pt-BR"/>
              </w:rPr>
            </w:pPr>
            <w:r w:rsidRPr="00A64F1A">
              <w:rPr>
                <w:rFonts w:cs="Arial"/>
                <w:sz w:val="14"/>
                <w:szCs w:val="14"/>
              </w:rPr>
              <w:t>--</w:t>
            </w:r>
          </w:p>
        </w:tc>
        <w:tc>
          <w:tcPr>
            <w:tcW w:w="1122" w:type="dxa"/>
            <w:tcBorders>
              <w:top w:val="nil"/>
              <w:bottom w:val="nil"/>
            </w:tcBorders>
            <w:shd w:val="clear" w:color="auto" w:fill="auto"/>
            <w:vAlign w:val="center"/>
          </w:tcPr>
          <w:p w14:paraId="6D21F629" w14:textId="77777777" w:rsidR="008B7E19" w:rsidRPr="00A64F1A"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sz w:val="14"/>
                <w:szCs w:val="14"/>
              </w:rPr>
            </w:pPr>
            <w:r w:rsidRPr="00A64F1A">
              <w:rPr>
                <w:rFonts w:cs="Arial"/>
                <w:b/>
                <w:bCs/>
                <w:sz w:val="14"/>
                <w:szCs w:val="14"/>
              </w:rPr>
              <w:t>75,109</w:t>
            </w:r>
          </w:p>
        </w:tc>
      </w:tr>
      <w:tr w:rsidR="008B7E19" w:rsidRPr="004E4235" w14:paraId="66C835C5" w14:textId="77777777" w:rsidTr="008B7E19">
        <w:trPr>
          <w:cnfStyle w:val="000000100000" w:firstRow="0" w:lastRow="0" w:firstColumn="0" w:lastColumn="0" w:oddVBand="0" w:evenVBand="0" w:oddHBand="1" w:evenHBand="0" w:firstRowFirstColumn="0" w:firstRowLastColumn="0" w:lastRowFirstColumn="0" w:lastRowLastColumn="0"/>
          <w:trHeight w:val="98"/>
        </w:trPr>
        <w:tc>
          <w:tcPr>
            <w:cnfStyle w:val="001000000000" w:firstRow="0" w:lastRow="0" w:firstColumn="1" w:lastColumn="0" w:oddVBand="0" w:evenVBand="0" w:oddHBand="0" w:evenHBand="0" w:firstRowFirstColumn="0" w:firstRowLastColumn="0" w:lastRowFirstColumn="0" w:lastRowLastColumn="0"/>
            <w:tcW w:w="4253" w:type="dxa"/>
            <w:tcBorders>
              <w:top w:val="nil"/>
              <w:bottom w:val="nil"/>
            </w:tcBorders>
            <w:shd w:val="clear" w:color="auto" w:fill="auto"/>
            <w:vAlign w:val="center"/>
          </w:tcPr>
          <w:p w14:paraId="11D16A2E" w14:textId="77777777" w:rsidR="008B7E19" w:rsidRPr="00A64F1A" w:rsidRDefault="008B7E19" w:rsidP="008B7E19">
            <w:pPr>
              <w:keepNext/>
              <w:keepLines/>
              <w:spacing w:before="40" w:after="40"/>
              <w:ind w:left="177"/>
              <w:rPr>
                <w:rFonts w:eastAsia="Times New Roman" w:cs="Arial"/>
                <w:b w:val="0"/>
                <w:spacing w:val="-2"/>
                <w:sz w:val="14"/>
                <w:szCs w:val="14"/>
                <w:lang w:val="en-US" w:eastAsia="pt-BR"/>
              </w:rPr>
            </w:pPr>
            <w:r w:rsidRPr="00A64F1A">
              <w:rPr>
                <w:rFonts w:eastAsia="Times New Roman" w:cs="Arial"/>
                <w:b w:val="0"/>
                <w:spacing w:val="-2"/>
                <w:sz w:val="14"/>
                <w:szCs w:val="14"/>
                <w:lang w:val="en-US" w:eastAsia="pt-BR"/>
              </w:rPr>
              <w:t>Other comprehensive income - E</w:t>
            </w:r>
            <w:r w:rsidRPr="00A64F1A">
              <w:rPr>
                <w:rFonts w:cs="Arial"/>
                <w:b w:val="0"/>
                <w:bCs w:val="0"/>
                <w:sz w:val="14"/>
                <w:szCs w:val="14"/>
                <w:lang w:val="en-US"/>
              </w:rPr>
              <w:t>ffects CPC 50</w:t>
            </w:r>
          </w:p>
        </w:tc>
        <w:tc>
          <w:tcPr>
            <w:tcW w:w="567" w:type="dxa"/>
            <w:tcBorders>
              <w:top w:val="nil"/>
              <w:bottom w:val="nil"/>
            </w:tcBorders>
            <w:shd w:val="clear" w:color="auto" w:fill="auto"/>
            <w:vAlign w:val="center"/>
          </w:tcPr>
          <w:p w14:paraId="29E31338" w14:textId="77777777" w:rsidR="008B7E19" w:rsidRPr="00A64F1A"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lang w:val="en-US" w:eastAsia="pt-BR"/>
              </w:rPr>
            </w:pPr>
            <w:r w:rsidRPr="00A64F1A">
              <w:rPr>
                <w:rFonts w:eastAsia="Times New Roman" w:cs="Arial"/>
                <w:bCs/>
                <w:spacing w:val="-2"/>
                <w:sz w:val="14"/>
                <w:szCs w:val="14"/>
                <w:lang w:eastAsia="pt-BR"/>
              </w:rPr>
              <w:t>[7.b]</w:t>
            </w:r>
          </w:p>
        </w:tc>
        <w:tc>
          <w:tcPr>
            <w:tcW w:w="1276" w:type="dxa"/>
            <w:tcBorders>
              <w:top w:val="nil"/>
              <w:bottom w:val="nil"/>
            </w:tcBorders>
            <w:shd w:val="clear" w:color="auto" w:fill="auto"/>
            <w:vAlign w:val="center"/>
          </w:tcPr>
          <w:p w14:paraId="07652124" w14:textId="77777777" w:rsidR="008B7E19" w:rsidRPr="00A64F1A"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lang w:eastAsia="pt-BR"/>
              </w:rPr>
            </w:pPr>
            <w:r w:rsidRPr="00A64F1A">
              <w:rPr>
                <w:rFonts w:cs="Arial"/>
                <w:sz w:val="14"/>
                <w:szCs w:val="14"/>
              </w:rPr>
              <w:t>--</w:t>
            </w:r>
          </w:p>
        </w:tc>
        <w:tc>
          <w:tcPr>
            <w:tcW w:w="993" w:type="dxa"/>
            <w:tcBorders>
              <w:top w:val="nil"/>
              <w:bottom w:val="nil"/>
            </w:tcBorders>
            <w:shd w:val="clear" w:color="auto" w:fill="auto"/>
            <w:vAlign w:val="center"/>
          </w:tcPr>
          <w:p w14:paraId="4DB514BB" w14:textId="77777777" w:rsidR="008B7E19" w:rsidRPr="00A64F1A"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lang w:eastAsia="pt-BR"/>
              </w:rPr>
            </w:pPr>
            <w:r w:rsidRPr="00A64F1A">
              <w:rPr>
                <w:rFonts w:cs="Arial"/>
                <w:sz w:val="14"/>
                <w:szCs w:val="14"/>
              </w:rPr>
              <w:t>--</w:t>
            </w:r>
          </w:p>
        </w:tc>
        <w:tc>
          <w:tcPr>
            <w:tcW w:w="1277" w:type="dxa"/>
            <w:tcBorders>
              <w:top w:val="nil"/>
              <w:bottom w:val="nil"/>
            </w:tcBorders>
            <w:shd w:val="clear" w:color="auto" w:fill="auto"/>
            <w:vAlign w:val="center"/>
          </w:tcPr>
          <w:p w14:paraId="36E91BAE" w14:textId="77777777" w:rsidR="008B7E19" w:rsidRPr="00A64F1A"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lang w:eastAsia="pt-BR"/>
              </w:rPr>
            </w:pPr>
            <w:r w:rsidRPr="00A64F1A">
              <w:rPr>
                <w:rFonts w:cs="Arial"/>
                <w:sz w:val="14"/>
                <w:szCs w:val="14"/>
              </w:rPr>
              <w:t>--</w:t>
            </w:r>
          </w:p>
        </w:tc>
        <w:tc>
          <w:tcPr>
            <w:tcW w:w="1846" w:type="dxa"/>
            <w:tcBorders>
              <w:top w:val="nil"/>
              <w:bottom w:val="nil"/>
            </w:tcBorders>
            <w:shd w:val="clear" w:color="auto" w:fill="auto"/>
            <w:vAlign w:val="center"/>
          </w:tcPr>
          <w:p w14:paraId="27D7C292" w14:textId="77777777" w:rsidR="008B7E19" w:rsidRPr="00A64F1A"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lang w:eastAsia="pt-BR"/>
              </w:rPr>
            </w:pPr>
            <w:r w:rsidRPr="00A64F1A">
              <w:rPr>
                <w:rFonts w:cs="Arial"/>
                <w:sz w:val="14"/>
                <w:szCs w:val="14"/>
              </w:rPr>
              <w:t>--</w:t>
            </w:r>
          </w:p>
        </w:tc>
        <w:tc>
          <w:tcPr>
            <w:tcW w:w="1122" w:type="dxa"/>
            <w:tcBorders>
              <w:top w:val="nil"/>
              <w:bottom w:val="nil"/>
            </w:tcBorders>
            <w:shd w:val="clear" w:color="auto" w:fill="auto"/>
            <w:vAlign w:val="center"/>
          </w:tcPr>
          <w:p w14:paraId="1B502525" w14:textId="77777777" w:rsidR="008B7E19" w:rsidRPr="00A64F1A"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lang w:eastAsia="pt-BR"/>
              </w:rPr>
            </w:pPr>
            <w:r w:rsidRPr="00A64F1A">
              <w:rPr>
                <w:rFonts w:cs="Arial"/>
                <w:sz w:val="14"/>
                <w:szCs w:val="14"/>
              </w:rPr>
              <w:t>--</w:t>
            </w:r>
          </w:p>
        </w:tc>
        <w:tc>
          <w:tcPr>
            <w:tcW w:w="1289" w:type="dxa"/>
            <w:tcBorders>
              <w:top w:val="nil"/>
              <w:bottom w:val="nil"/>
            </w:tcBorders>
            <w:shd w:val="clear" w:color="auto" w:fill="auto"/>
            <w:vAlign w:val="center"/>
          </w:tcPr>
          <w:p w14:paraId="6CADC891" w14:textId="77777777" w:rsidR="008B7E19" w:rsidRPr="00A64F1A"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lang w:eastAsia="pt-BR"/>
              </w:rPr>
            </w:pPr>
            <w:r w:rsidRPr="00A64F1A">
              <w:rPr>
                <w:rFonts w:cs="Arial"/>
                <w:sz w:val="14"/>
                <w:szCs w:val="14"/>
              </w:rPr>
              <w:t>316,156</w:t>
            </w:r>
          </w:p>
        </w:tc>
        <w:tc>
          <w:tcPr>
            <w:tcW w:w="1560" w:type="dxa"/>
            <w:tcBorders>
              <w:top w:val="nil"/>
              <w:bottom w:val="nil"/>
            </w:tcBorders>
            <w:shd w:val="clear" w:color="auto" w:fill="auto"/>
            <w:vAlign w:val="center"/>
          </w:tcPr>
          <w:p w14:paraId="61F4517E" w14:textId="77777777" w:rsidR="008B7E19" w:rsidRPr="00A64F1A"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lang w:eastAsia="pt-BR"/>
              </w:rPr>
            </w:pPr>
            <w:r w:rsidRPr="00A64F1A">
              <w:rPr>
                <w:rFonts w:cs="Arial"/>
                <w:sz w:val="14"/>
                <w:szCs w:val="14"/>
              </w:rPr>
              <w:t>--</w:t>
            </w:r>
          </w:p>
        </w:tc>
        <w:tc>
          <w:tcPr>
            <w:tcW w:w="1122" w:type="dxa"/>
            <w:tcBorders>
              <w:top w:val="nil"/>
              <w:bottom w:val="nil"/>
            </w:tcBorders>
            <w:shd w:val="clear" w:color="auto" w:fill="auto"/>
            <w:vAlign w:val="center"/>
          </w:tcPr>
          <w:p w14:paraId="74E7417C" w14:textId="77777777" w:rsidR="008B7E19" w:rsidRPr="00A64F1A"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lang w:eastAsia="pt-BR"/>
              </w:rPr>
            </w:pPr>
            <w:r w:rsidRPr="00A64F1A">
              <w:rPr>
                <w:rFonts w:cs="Arial"/>
                <w:b/>
                <w:bCs/>
                <w:sz w:val="14"/>
                <w:szCs w:val="14"/>
              </w:rPr>
              <w:t>316,156</w:t>
            </w:r>
          </w:p>
        </w:tc>
      </w:tr>
      <w:tr w:rsidR="008B7E19" w:rsidRPr="004E4235" w14:paraId="7E953685" w14:textId="77777777" w:rsidTr="008B7E19">
        <w:trPr>
          <w:cnfStyle w:val="000000010000" w:firstRow="0" w:lastRow="0" w:firstColumn="0" w:lastColumn="0" w:oddVBand="0" w:evenVBand="0" w:oddHBand="0" w:evenHBand="1" w:firstRowFirstColumn="0" w:firstRowLastColumn="0" w:lastRowFirstColumn="0" w:lastRowLastColumn="0"/>
          <w:trHeight w:val="175"/>
        </w:trPr>
        <w:tc>
          <w:tcPr>
            <w:cnfStyle w:val="001000000000" w:firstRow="0" w:lastRow="0" w:firstColumn="1" w:lastColumn="0" w:oddVBand="0" w:evenVBand="0" w:oddHBand="0" w:evenHBand="0" w:firstRowFirstColumn="0" w:firstRowLastColumn="0" w:lastRowFirstColumn="0" w:lastRowLastColumn="0"/>
            <w:tcW w:w="4253" w:type="dxa"/>
            <w:tcBorders>
              <w:top w:val="nil"/>
              <w:bottom w:val="nil"/>
            </w:tcBorders>
            <w:shd w:val="clear" w:color="auto" w:fill="auto"/>
            <w:vAlign w:val="center"/>
          </w:tcPr>
          <w:p w14:paraId="29C3ACFF" w14:textId="77777777" w:rsidR="008B7E19" w:rsidRPr="00A64F1A" w:rsidRDefault="008B7E19" w:rsidP="008B7E19">
            <w:pPr>
              <w:keepNext/>
              <w:keepLines/>
              <w:spacing w:before="40" w:after="40"/>
              <w:ind w:left="177"/>
              <w:rPr>
                <w:rFonts w:eastAsia="Times New Roman" w:cs="Arial"/>
                <w:b w:val="0"/>
                <w:color w:val="auto"/>
                <w:spacing w:val="-2"/>
                <w:sz w:val="14"/>
                <w:szCs w:val="14"/>
                <w:lang w:val="en-US" w:eastAsia="pt-BR"/>
              </w:rPr>
            </w:pPr>
            <w:r w:rsidRPr="00A64F1A">
              <w:rPr>
                <w:rFonts w:eastAsia="Times New Roman" w:cs="Arial"/>
                <w:b w:val="0"/>
                <w:color w:val="auto"/>
                <w:spacing w:val="-2"/>
                <w:sz w:val="14"/>
                <w:szCs w:val="14"/>
                <w:lang w:val="en-US" w:eastAsia="pt-BR"/>
              </w:rPr>
              <w:t>Prescribed dividends</w:t>
            </w:r>
          </w:p>
        </w:tc>
        <w:tc>
          <w:tcPr>
            <w:tcW w:w="567" w:type="dxa"/>
            <w:tcBorders>
              <w:top w:val="nil"/>
              <w:bottom w:val="nil"/>
            </w:tcBorders>
            <w:shd w:val="clear" w:color="auto" w:fill="auto"/>
            <w:vAlign w:val="center"/>
          </w:tcPr>
          <w:p w14:paraId="52D071BA" w14:textId="77777777" w:rsidR="008B7E19" w:rsidRPr="00A64F1A"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b/>
                <w:spacing w:val="-2"/>
                <w:sz w:val="14"/>
                <w:szCs w:val="14"/>
                <w:lang w:val="en-US" w:eastAsia="pt-BR"/>
              </w:rPr>
            </w:pPr>
          </w:p>
        </w:tc>
        <w:tc>
          <w:tcPr>
            <w:tcW w:w="1276" w:type="dxa"/>
            <w:tcBorders>
              <w:top w:val="nil"/>
              <w:bottom w:val="nil"/>
            </w:tcBorders>
            <w:shd w:val="clear" w:color="auto" w:fill="auto"/>
            <w:vAlign w:val="center"/>
          </w:tcPr>
          <w:p w14:paraId="21A7C42A" w14:textId="77777777" w:rsidR="008B7E19" w:rsidRPr="00A64F1A"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b/>
                <w:bCs/>
                <w:sz w:val="14"/>
                <w:szCs w:val="14"/>
              </w:rPr>
            </w:pPr>
            <w:r w:rsidRPr="00A64F1A">
              <w:rPr>
                <w:rFonts w:cs="Arial"/>
                <w:sz w:val="14"/>
                <w:szCs w:val="14"/>
              </w:rPr>
              <w:t>--</w:t>
            </w:r>
          </w:p>
        </w:tc>
        <w:tc>
          <w:tcPr>
            <w:tcW w:w="993" w:type="dxa"/>
            <w:tcBorders>
              <w:top w:val="nil"/>
              <w:bottom w:val="nil"/>
            </w:tcBorders>
            <w:shd w:val="clear" w:color="auto" w:fill="auto"/>
            <w:vAlign w:val="center"/>
          </w:tcPr>
          <w:p w14:paraId="3C1D3FB2" w14:textId="77777777" w:rsidR="008B7E19" w:rsidRPr="00A64F1A"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b/>
                <w:bCs/>
                <w:sz w:val="14"/>
                <w:szCs w:val="14"/>
              </w:rPr>
            </w:pPr>
            <w:r w:rsidRPr="00A64F1A">
              <w:rPr>
                <w:rFonts w:cs="Arial"/>
                <w:sz w:val="14"/>
                <w:szCs w:val="14"/>
              </w:rPr>
              <w:t>--</w:t>
            </w:r>
          </w:p>
        </w:tc>
        <w:tc>
          <w:tcPr>
            <w:tcW w:w="1277" w:type="dxa"/>
            <w:tcBorders>
              <w:top w:val="nil"/>
              <w:bottom w:val="nil"/>
            </w:tcBorders>
            <w:shd w:val="clear" w:color="auto" w:fill="auto"/>
            <w:vAlign w:val="center"/>
          </w:tcPr>
          <w:p w14:paraId="49217198" w14:textId="77777777" w:rsidR="008B7E19" w:rsidRPr="00A64F1A"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b/>
                <w:bCs/>
                <w:sz w:val="14"/>
                <w:szCs w:val="14"/>
              </w:rPr>
            </w:pPr>
            <w:r w:rsidRPr="00A64F1A">
              <w:rPr>
                <w:rFonts w:cs="Arial"/>
                <w:sz w:val="14"/>
                <w:szCs w:val="14"/>
              </w:rPr>
              <w:t>--</w:t>
            </w:r>
          </w:p>
        </w:tc>
        <w:tc>
          <w:tcPr>
            <w:tcW w:w="1846" w:type="dxa"/>
            <w:tcBorders>
              <w:top w:val="nil"/>
              <w:bottom w:val="nil"/>
            </w:tcBorders>
            <w:shd w:val="clear" w:color="auto" w:fill="auto"/>
            <w:vAlign w:val="center"/>
          </w:tcPr>
          <w:p w14:paraId="230FBD92" w14:textId="77777777" w:rsidR="008B7E19" w:rsidRPr="00A64F1A"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b/>
                <w:bCs/>
                <w:sz w:val="14"/>
                <w:szCs w:val="14"/>
              </w:rPr>
            </w:pPr>
            <w:r w:rsidRPr="00A64F1A">
              <w:rPr>
                <w:rFonts w:cs="Arial"/>
                <w:sz w:val="14"/>
                <w:szCs w:val="14"/>
              </w:rPr>
              <w:t>--</w:t>
            </w:r>
          </w:p>
        </w:tc>
        <w:tc>
          <w:tcPr>
            <w:tcW w:w="1122" w:type="dxa"/>
            <w:tcBorders>
              <w:top w:val="nil"/>
              <w:bottom w:val="nil"/>
            </w:tcBorders>
            <w:shd w:val="clear" w:color="auto" w:fill="auto"/>
            <w:vAlign w:val="center"/>
          </w:tcPr>
          <w:p w14:paraId="2DE84C5A" w14:textId="77777777" w:rsidR="008B7E19" w:rsidRPr="00A64F1A"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b/>
                <w:bCs/>
                <w:sz w:val="14"/>
                <w:szCs w:val="14"/>
              </w:rPr>
            </w:pPr>
            <w:r w:rsidRPr="00A64F1A">
              <w:rPr>
                <w:rFonts w:cs="Arial"/>
                <w:sz w:val="14"/>
                <w:szCs w:val="14"/>
              </w:rPr>
              <w:t>--</w:t>
            </w:r>
          </w:p>
        </w:tc>
        <w:tc>
          <w:tcPr>
            <w:tcW w:w="1289" w:type="dxa"/>
            <w:tcBorders>
              <w:top w:val="nil"/>
              <w:bottom w:val="nil"/>
            </w:tcBorders>
            <w:shd w:val="clear" w:color="auto" w:fill="auto"/>
            <w:vAlign w:val="center"/>
          </w:tcPr>
          <w:p w14:paraId="43C5E905" w14:textId="77777777" w:rsidR="008B7E19" w:rsidRPr="00A64F1A"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b/>
                <w:bCs/>
                <w:sz w:val="14"/>
                <w:szCs w:val="14"/>
              </w:rPr>
            </w:pPr>
            <w:r w:rsidRPr="00A64F1A">
              <w:rPr>
                <w:rFonts w:cs="Arial"/>
                <w:sz w:val="14"/>
                <w:szCs w:val="14"/>
              </w:rPr>
              <w:t>--</w:t>
            </w:r>
          </w:p>
        </w:tc>
        <w:tc>
          <w:tcPr>
            <w:tcW w:w="1560" w:type="dxa"/>
            <w:tcBorders>
              <w:top w:val="nil"/>
              <w:bottom w:val="nil"/>
            </w:tcBorders>
            <w:shd w:val="clear" w:color="auto" w:fill="auto"/>
            <w:vAlign w:val="center"/>
          </w:tcPr>
          <w:p w14:paraId="1A8933DE" w14:textId="77777777" w:rsidR="008B7E19" w:rsidRPr="00A64F1A"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b/>
                <w:bCs/>
                <w:sz w:val="14"/>
                <w:szCs w:val="14"/>
              </w:rPr>
            </w:pPr>
            <w:r w:rsidRPr="00A64F1A">
              <w:rPr>
                <w:rFonts w:cs="Arial"/>
                <w:sz w:val="14"/>
                <w:szCs w:val="14"/>
              </w:rPr>
              <w:t>50</w:t>
            </w:r>
          </w:p>
        </w:tc>
        <w:tc>
          <w:tcPr>
            <w:tcW w:w="1122" w:type="dxa"/>
            <w:tcBorders>
              <w:top w:val="nil"/>
              <w:bottom w:val="nil"/>
            </w:tcBorders>
            <w:shd w:val="clear" w:color="auto" w:fill="auto"/>
            <w:vAlign w:val="center"/>
          </w:tcPr>
          <w:p w14:paraId="1C979754" w14:textId="77777777" w:rsidR="008B7E19" w:rsidRPr="00A64F1A"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b/>
                <w:bCs/>
                <w:sz w:val="14"/>
                <w:szCs w:val="14"/>
              </w:rPr>
            </w:pPr>
            <w:r w:rsidRPr="00A64F1A">
              <w:rPr>
                <w:rFonts w:cs="Arial"/>
                <w:b/>
                <w:bCs/>
                <w:sz w:val="14"/>
                <w:szCs w:val="14"/>
              </w:rPr>
              <w:t>50</w:t>
            </w:r>
          </w:p>
        </w:tc>
      </w:tr>
      <w:tr w:rsidR="008B7E19" w:rsidRPr="004E4235" w14:paraId="599AFA4D" w14:textId="77777777" w:rsidTr="008B7E19">
        <w:trPr>
          <w:cnfStyle w:val="000000100000" w:firstRow="0" w:lastRow="0" w:firstColumn="0" w:lastColumn="0" w:oddVBand="0" w:evenVBand="0" w:oddHBand="1" w:evenHBand="0" w:firstRowFirstColumn="0" w:firstRowLastColumn="0" w:lastRowFirstColumn="0" w:lastRowLastColumn="0"/>
          <w:trHeight w:val="175"/>
        </w:trPr>
        <w:tc>
          <w:tcPr>
            <w:cnfStyle w:val="001000000000" w:firstRow="0" w:lastRow="0" w:firstColumn="1" w:lastColumn="0" w:oddVBand="0" w:evenVBand="0" w:oddHBand="0" w:evenHBand="0" w:firstRowFirstColumn="0" w:firstRowLastColumn="0" w:lastRowFirstColumn="0" w:lastRowLastColumn="0"/>
            <w:tcW w:w="4253" w:type="dxa"/>
            <w:tcBorders>
              <w:top w:val="nil"/>
              <w:bottom w:val="nil"/>
            </w:tcBorders>
            <w:shd w:val="clear" w:color="auto" w:fill="auto"/>
            <w:vAlign w:val="center"/>
          </w:tcPr>
          <w:p w14:paraId="3D5997AF" w14:textId="77777777" w:rsidR="008B7E19" w:rsidRPr="00A64F1A" w:rsidRDefault="008B7E19" w:rsidP="008B7E19">
            <w:pPr>
              <w:keepNext/>
              <w:keepLines/>
              <w:spacing w:before="40" w:after="40"/>
              <w:ind w:firstLine="176"/>
              <w:rPr>
                <w:rStyle w:val="rynqvb"/>
                <w:rFonts w:cs="Arial"/>
                <w:sz w:val="14"/>
                <w:szCs w:val="14"/>
                <w:lang w:val="en"/>
              </w:rPr>
            </w:pPr>
            <w:r w:rsidRPr="00A64F1A">
              <w:rPr>
                <w:rStyle w:val="rynqvb"/>
                <w:rFonts w:cs="Arial"/>
                <w:sz w:val="14"/>
                <w:szCs w:val="14"/>
                <w:lang w:val="en"/>
              </w:rPr>
              <w:t>Net income for the period</w:t>
            </w:r>
          </w:p>
        </w:tc>
        <w:tc>
          <w:tcPr>
            <w:tcW w:w="567" w:type="dxa"/>
            <w:tcBorders>
              <w:top w:val="nil"/>
              <w:bottom w:val="nil"/>
            </w:tcBorders>
            <w:shd w:val="clear" w:color="auto" w:fill="auto"/>
            <w:vAlign w:val="center"/>
          </w:tcPr>
          <w:p w14:paraId="311CE8B8" w14:textId="77777777" w:rsidR="008B7E19" w:rsidRPr="00A64F1A"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4"/>
                <w:lang w:val="en-US" w:eastAsia="pt-BR"/>
              </w:rPr>
            </w:pPr>
          </w:p>
        </w:tc>
        <w:tc>
          <w:tcPr>
            <w:tcW w:w="1276" w:type="dxa"/>
            <w:tcBorders>
              <w:top w:val="nil"/>
              <w:bottom w:val="nil"/>
            </w:tcBorders>
            <w:shd w:val="clear" w:color="auto" w:fill="auto"/>
            <w:vAlign w:val="center"/>
          </w:tcPr>
          <w:p w14:paraId="3D18B402" w14:textId="77777777" w:rsidR="008B7E19" w:rsidRPr="00A64F1A"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4"/>
                <w:lang w:eastAsia="pt-BR"/>
              </w:rPr>
            </w:pPr>
            <w:r w:rsidRPr="00A64F1A">
              <w:rPr>
                <w:rFonts w:cs="Arial"/>
                <w:b/>
                <w:sz w:val="14"/>
                <w:szCs w:val="14"/>
              </w:rPr>
              <w:t>--</w:t>
            </w:r>
          </w:p>
        </w:tc>
        <w:tc>
          <w:tcPr>
            <w:tcW w:w="993" w:type="dxa"/>
            <w:tcBorders>
              <w:top w:val="nil"/>
              <w:bottom w:val="nil"/>
            </w:tcBorders>
            <w:shd w:val="clear" w:color="auto" w:fill="auto"/>
            <w:vAlign w:val="center"/>
          </w:tcPr>
          <w:p w14:paraId="77BE9068" w14:textId="77777777" w:rsidR="008B7E19" w:rsidRPr="00A64F1A"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4"/>
                <w:lang w:eastAsia="pt-BR"/>
              </w:rPr>
            </w:pPr>
            <w:r w:rsidRPr="00A64F1A">
              <w:rPr>
                <w:rFonts w:cs="Arial"/>
                <w:b/>
                <w:sz w:val="14"/>
                <w:szCs w:val="14"/>
              </w:rPr>
              <w:t>--</w:t>
            </w:r>
          </w:p>
        </w:tc>
        <w:tc>
          <w:tcPr>
            <w:tcW w:w="1277" w:type="dxa"/>
            <w:tcBorders>
              <w:top w:val="nil"/>
              <w:bottom w:val="nil"/>
            </w:tcBorders>
            <w:shd w:val="clear" w:color="auto" w:fill="auto"/>
            <w:vAlign w:val="center"/>
          </w:tcPr>
          <w:p w14:paraId="64B6E442" w14:textId="77777777" w:rsidR="008B7E19" w:rsidRPr="00A64F1A"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4"/>
                <w:lang w:eastAsia="pt-BR"/>
              </w:rPr>
            </w:pPr>
            <w:r w:rsidRPr="00A64F1A">
              <w:rPr>
                <w:rFonts w:cs="Arial"/>
                <w:b/>
                <w:sz w:val="14"/>
                <w:szCs w:val="14"/>
              </w:rPr>
              <w:t>--</w:t>
            </w:r>
          </w:p>
        </w:tc>
        <w:tc>
          <w:tcPr>
            <w:tcW w:w="1846" w:type="dxa"/>
            <w:tcBorders>
              <w:top w:val="nil"/>
              <w:bottom w:val="nil"/>
            </w:tcBorders>
            <w:shd w:val="clear" w:color="auto" w:fill="auto"/>
            <w:vAlign w:val="center"/>
          </w:tcPr>
          <w:p w14:paraId="575FA931" w14:textId="77777777" w:rsidR="008B7E19" w:rsidRPr="00A64F1A"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4"/>
                <w:lang w:eastAsia="pt-BR"/>
              </w:rPr>
            </w:pPr>
            <w:r w:rsidRPr="00A64F1A">
              <w:rPr>
                <w:rFonts w:cs="Arial"/>
                <w:b/>
                <w:sz w:val="14"/>
                <w:szCs w:val="14"/>
              </w:rPr>
              <w:t>--</w:t>
            </w:r>
          </w:p>
        </w:tc>
        <w:tc>
          <w:tcPr>
            <w:tcW w:w="1122" w:type="dxa"/>
            <w:tcBorders>
              <w:top w:val="nil"/>
              <w:bottom w:val="nil"/>
            </w:tcBorders>
            <w:shd w:val="clear" w:color="auto" w:fill="auto"/>
            <w:vAlign w:val="center"/>
          </w:tcPr>
          <w:p w14:paraId="0BEAA840" w14:textId="77777777" w:rsidR="008B7E19" w:rsidRPr="00A64F1A"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4"/>
                <w:lang w:eastAsia="pt-BR"/>
              </w:rPr>
            </w:pPr>
            <w:r w:rsidRPr="00A64F1A">
              <w:rPr>
                <w:rFonts w:cs="Arial"/>
                <w:b/>
                <w:sz w:val="14"/>
                <w:szCs w:val="14"/>
              </w:rPr>
              <w:t>--</w:t>
            </w:r>
          </w:p>
        </w:tc>
        <w:tc>
          <w:tcPr>
            <w:tcW w:w="1289" w:type="dxa"/>
            <w:tcBorders>
              <w:top w:val="nil"/>
              <w:bottom w:val="nil"/>
            </w:tcBorders>
            <w:shd w:val="clear" w:color="auto" w:fill="auto"/>
            <w:vAlign w:val="center"/>
          </w:tcPr>
          <w:p w14:paraId="444564DC" w14:textId="77777777" w:rsidR="008B7E19" w:rsidRPr="00A64F1A"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4"/>
                <w:lang w:eastAsia="pt-BR"/>
              </w:rPr>
            </w:pPr>
            <w:r w:rsidRPr="00A64F1A">
              <w:rPr>
                <w:rFonts w:cs="Arial"/>
                <w:b/>
                <w:sz w:val="14"/>
                <w:szCs w:val="14"/>
              </w:rPr>
              <w:t>--</w:t>
            </w:r>
          </w:p>
        </w:tc>
        <w:tc>
          <w:tcPr>
            <w:tcW w:w="1560" w:type="dxa"/>
            <w:tcBorders>
              <w:top w:val="nil"/>
              <w:bottom w:val="nil"/>
            </w:tcBorders>
            <w:shd w:val="clear" w:color="auto" w:fill="auto"/>
            <w:vAlign w:val="center"/>
          </w:tcPr>
          <w:p w14:paraId="353B1BF2" w14:textId="77777777" w:rsidR="008B7E19" w:rsidRPr="00A64F1A"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4"/>
                <w:lang w:eastAsia="pt-BR"/>
              </w:rPr>
            </w:pPr>
            <w:r w:rsidRPr="00A64F1A">
              <w:rPr>
                <w:rFonts w:cs="Arial"/>
                <w:b/>
                <w:sz w:val="14"/>
                <w:szCs w:val="14"/>
              </w:rPr>
              <w:t>3,725,132</w:t>
            </w:r>
          </w:p>
        </w:tc>
        <w:tc>
          <w:tcPr>
            <w:tcW w:w="1122" w:type="dxa"/>
            <w:tcBorders>
              <w:top w:val="nil"/>
              <w:bottom w:val="nil"/>
            </w:tcBorders>
            <w:shd w:val="clear" w:color="auto" w:fill="auto"/>
            <w:vAlign w:val="center"/>
          </w:tcPr>
          <w:p w14:paraId="37ABEC74" w14:textId="77777777" w:rsidR="008B7E19" w:rsidRPr="00A64F1A"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4"/>
                <w:lang w:eastAsia="pt-BR"/>
              </w:rPr>
            </w:pPr>
            <w:r w:rsidRPr="00A64F1A">
              <w:rPr>
                <w:rFonts w:cs="Arial"/>
                <w:b/>
                <w:sz w:val="14"/>
                <w:szCs w:val="14"/>
              </w:rPr>
              <w:t>3,725,132</w:t>
            </w:r>
          </w:p>
        </w:tc>
      </w:tr>
      <w:tr w:rsidR="008B7E19" w:rsidRPr="004E4235" w14:paraId="3989775F" w14:textId="77777777" w:rsidTr="008B7E19">
        <w:trPr>
          <w:cnfStyle w:val="000000010000" w:firstRow="0" w:lastRow="0" w:firstColumn="0" w:lastColumn="0" w:oddVBand="0" w:evenVBand="0" w:oddHBand="0" w:evenHBand="1" w:firstRowFirstColumn="0" w:firstRowLastColumn="0" w:lastRowFirstColumn="0" w:lastRowLastColumn="0"/>
          <w:trHeight w:val="172"/>
        </w:trPr>
        <w:tc>
          <w:tcPr>
            <w:cnfStyle w:val="001000000000" w:firstRow="0" w:lastRow="0" w:firstColumn="1" w:lastColumn="0" w:oddVBand="0" w:evenVBand="0" w:oddHBand="0" w:evenHBand="0" w:firstRowFirstColumn="0" w:firstRowLastColumn="0" w:lastRowFirstColumn="0" w:lastRowLastColumn="0"/>
            <w:tcW w:w="4253" w:type="dxa"/>
            <w:tcBorders>
              <w:top w:val="nil"/>
              <w:bottom w:val="single" w:sz="2" w:space="0" w:color="1F4E79" w:themeColor="accent1" w:themeShade="80"/>
            </w:tcBorders>
            <w:shd w:val="clear" w:color="auto" w:fill="auto"/>
            <w:vAlign w:val="center"/>
          </w:tcPr>
          <w:p w14:paraId="298145D9" w14:textId="77777777" w:rsidR="008B7E19" w:rsidRPr="00A64F1A" w:rsidRDefault="008B7E19" w:rsidP="008B7E19">
            <w:pPr>
              <w:keepNext/>
              <w:keepLines/>
              <w:spacing w:before="40" w:after="40"/>
              <w:ind w:left="177"/>
              <w:rPr>
                <w:rFonts w:eastAsia="Times New Roman" w:cs="Arial"/>
                <w:b w:val="0"/>
                <w:spacing w:val="-2"/>
                <w:sz w:val="14"/>
                <w:szCs w:val="14"/>
                <w:lang w:val="en-US" w:eastAsia="pt-BR"/>
              </w:rPr>
            </w:pPr>
            <w:r w:rsidRPr="00A64F1A">
              <w:rPr>
                <w:rFonts w:eastAsia="Times New Roman" w:cs="Arial"/>
                <w:b w:val="0"/>
                <w:spacing w:val="-2"/>
                <w:sz w:val="14"/>
                <w:szCs w:val="14"/>
                <w:lang w:val="en-US" w:eastAsia="pt-BR"/>
              </w:rPr>
              <w:t>Interim dividends payable</w:t>
            </w:r>
          </w:p>
        </w:tc>
        <w:tc>
          <w:tcPr>
            <w:tcW w:w="567" w:type="dxa"/>
            <w:tcBorders>
              <w:top w:val="nil"/>
              <w:bottom w:val="single" w:sz="2" w:space="0" w:color="1F4E79" w:themeColor="accent1" w:themeShade="80"/>
            </w:tcBorders>
            <w:shd w:val="clear" w:color="auto" w:fill="auto"/>
            <w:vAlign w:val="center"/>
          </w:tcPr>
          <w:p w14:paraId="5F61628F" w14:textId="77777777" w:rsidR="008B7E19" w:rsidRPr="00A64F1A"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b/>
                <w:spacing w:val="-2"/>
                <w:sz w:val="14"/>
                <w:szCs w:val="14"/>
                <w:lang w:eastAsia="pt-BR"/>
              </w:rPr>
            </w:pPr>
            <w:r w:rsidRPr="00A64F1A">
              <w:rPr>
                <w:rFonts w:eastAsia="Times New Roman" w:cs="Arial"/>
                <w:spacing w:val="-2"/>
                <w:sz w:val="14"/>
                <w:szCs w:val="14"/>
                <w:lang w:eastAsia="pt-BR"/>
              </w:rPr>
              <w:t>[25.d]</w:t>
            </w:r>
          </w:p>
        </w:tc>
        <w:tc>
          <w:tcPr>
            <w:tcW w:w="1276" w:type="dxa"/>
            <w:tcBorders>
              <w:top w:val="nil"/>
              <w:bottom w:val="single" w:sz="2" w:space="0" w:color="1F4E79" w:themeColor="accent1" w:themeShade="80"/>
            </w:tcBorders>
            <w:shd w:val="clear" w:color="auto" w:fill="auto"/>
            <w:vAlign w:val="center"/>
          </w:tcPr>
          <w:p w14:paraId="360EE1CA" w14:textId="77777777" w:rsidR="008B7E19" w:rsidRPr="00A64F1A"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b/>
                <w:bCs/>
                <w:sz w:val="14"/>
                <w:szCs w:val="14"/>
              </w:rPr>
            </w:pPr>
            <w:r w:rsidRPr="00A64F1A">
              <w:rPr>
                <w:rFonts w:cs="Arial"/>
                <w:sz w:val="14"/>
                <w:szCs w:val="14"/>
              </w:rPr>
              <w:t>--</w:t>
            </w:r>
          </w:p>
        </w:tc>
        <w:tc>
          <w:tcPr>
            <w:tcW w:w="993" w:type="dxa"/>
            <w:tcBorders>
              <w:top w:val="nil"/>
              <w:bottom w:val="single" w:sz="2" w:space="0" w:color="1F4E79" w:themeColor="accent1" w:themeShade="80"/>
            </w:tcBorders>
            <w:shd w:val="clear" w:color="auto" w:fill="auto"/>
            <w:vAlign w:val="center"/>
          </w:tcPr>
          <w:p w14:paraId="73F8D40D" w14:textId="77777777" w:rsidR="008B7E19" w:rsidRPr="00A64F1A"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b/>
                <w:bCs/>
                <w:sz w:val="14"/>
                <w:szCs w:val="14"/>
              </w:rPr>
            </w:pPr>
            <w:r w:rsidRPr="00A64F1A">
              <w:rPr>
                <w:rFonts w:cs="Arial"/>
                <w:sz w:val="14"/>
                <w:szCs w:val="14"/>
              </w:rPr>
              <w:t>--</w:t>
            </w:r>
          </w:p>
        </w:tc>
        <w:tc>
          <w:tcPr>
            <w:tcW w:w="1277" w:type="dxa"/>
            <w:tcBorders>
              <w:top w:val="nil"/>
              <w:bottom w:val="single" w:sz="2" w:space="0" w:color="1F4E79" w:themeColor="accent1" w:themeShade="80"/>
            </w:tcBorders>
            <w:shd w:val="clear" w:color="auto" w:fill="auto"/>
            <w:vAlign w:val="center"/>
          </w:tcPr>
          <w:p w14:paraId="2BEBF67A" w14:textId="77777777" w:rsidR="008B7E19" w:rsidRPr="00A64F1A"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b/>
                <w:bCs/>
                <w:sz w:val="14"/>
                <w:szCs w:val="14"/>
              </w:rPr>
            </w:pPr>
            <w:r w:rsidRPr="00A64F1A">
              <w:rPr>
                <w:rFonts w:cs="Arial"/>
                <w:sz w:val="14"/>
                <w:szCs w:val="14"/>
              </w:rPr>
              <w:t>--</w:t>
            </w:r>
          </w:p>
        </w:tc>
        <w:tc>
          <w:tcPr>
            <w:tcW w:w="1846" w:type="dxa"/>
            <w:tcBorders>
              <w:top w:val="nil"/>
              <w:bottom w:val="single" w:sz="2" w:space="0" w:color="1F4E79" w:themeColor="accent1" w:themeShade="80"/>
            </w:tcBorders>
            <w:shd w:val="clear" w:color="auto" w:fill="auto"/>
            <w:vAlign w:val="center"/>
          </w:tcPr>
          <w:p w14:paraId="165B74A0" w14:textId="77777777" w:rsidR="008B7E19" w:rsidRPr="00A64F1A"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b/>
                <w:bCs/>
                <w:sz w:val="14"/>
                <w:szCs w:val="14"/>
              </w:rPr>
            </w:pPr>
            <w:r w:rsidRPr="00A64F1A">
              <w:rPr>
                <w:rFonts w:cs="Arial"/>
                <w:sz w:val="14"/>
                <w:szCs w:val="14"/>
              </w:rPr>
              <w:t>--</w:t>
            </w:r>
          </w:p>
        </w:tc>
        <w:tc>
          <w:tcPr>
            <w:tcW w:w="1122" w:type="dxa"/>
            <w:tcBorders>
              <w:top w:val="nil"/>
              <w:bottom w:val="single" w:sz="2" w:space="0" w:color="1F4E79" w:themeColor="accent1" w:themeShade="80"/>
            </w:tcBorders>
            <w:shd w:val="clear" w:color="auto" w:fill="auto"/>
            <w:vAlign w:val="center"/>
          </w:tcPr>
          <w:p w14:paraId="4D95CA7B" w14:textId="77777777" w:rsidR="008B7E19" w:rsidRPr="00A64F1A"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b/>
                <w:bCs/>
                <w:sz w:val="14"/>
                <w:szCs w:val="14"/>
              </w:rPr>
            </w:pPr>
            <w:r w:rsidRPr="00A64F1A">
              <w:rPr>
                <w:rFonts w:cs="Arial"/>
                <w:sz w:val="14"/>
                <w:szCs w:val="14"/>
              </w:rPr>
              <w:t>--</w:t>
            </w:r>
          </w:p>
        </w:tc>
        <w:tc>
          <w:tcPr>
            <w:tcW w:w="1289" w:type="dxa"/>
            <w:tcBorders>
              <w:top w:val="nil"/>
              <w:bottom w:val="single" w:sz="2" w:space="0" w:color="1F4E79" w:themeColor="accent1" w:themeShade="80"/>
            </w:tcBorders>
            <w:shd w:val="clear" w:color="auto" w:fill="auto"/>
            <w:vAlign w:val="center"/>
          </w:tcPr>
          <w:p w14:paraId="0685BEE8" w14:textId="77777777" w:rsidR="008B7E19" w:rsidRPr="00A64F1A"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b/>
                <w:bCs/>
                <w:sz w:val="14"/>
                <w:szCs w:val="14"/>
              </w:rPr>
            </w:pPr>
            <w:r w:rsidRPr="00A64F1A">
              <w:rPr>
                <w:rFonts w:cs="Arial"/>
                <w:sz w:val="14"/>
                <w:szCs w:val="14"/>
              </w:rPr>
              <w:t>--</w:t>
            </w:r>
          </w:p>
        </w:tc>
        <w:tc>
          <w:tcPr>
            <w:tcW w:w="1560" w:type="dxa"/>
            <w:tcBorders>
              <w:top w:val="nil"/>
              <w:bottom w:val="single" w:sz="2" w:space="0" w:color="1F4E79" w:themeColor="accent1" w:themeShade="80"/>
            </w:tcBorders>
            <w:shd w:val="clear" w:color="auto" w:fill="auto"/>
            <w:vAlign w:val="center"/>
          </w:tcPr>
          <w:p w14:paraId="53F9852D" w14:textId="77777777" w:rsidR="008B7E19" w:rsidRPr="00A64F1A"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b/>
                <w:bCs/>
                <w:sz w:val="14"/>
                <w:szCs w:val="14"/>
              </w:rPr>
            </w:pPr>
            <w:r w:rsidRPr="00A64F1A">
              <w:rPr>
                <w:rFonts w:cs="Arial"/>
                <w:sz w:val="14"/>
                <w:szCs w:val="14"/>
              </w:rPr>
              <w:t>(3,210,050)</w:t>
            </w:r>
          </w:p>
        </w:tc>
        <w:tc>
          <w:tcPr>
            <w:tcW w:w="1122" w:type="dxa"/>
            <w:tcBorders>
              <w:top w:val="nil"/>
              <w:bottom w:val="single" w:sz="2" w:space="0" w:color="1F4E79" w:themeColor="accent1" w:themeShade="80"/>
            </w:tcBorders>
            <w:shd w:val="clear" w:color="auto" w:fill="auto"/>
            <w:vAlign w:val="center"/>
          </w:tcPr>
          <w:p w14:paraId="2676E059" w14:textId="77777777" w:rsidR="008B7E19" w:rsidRPr="00A64F1A"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b/>
                <w:bCs/>
                <w:sz w:val="14"/>
                <w:szCs w:val="14"/>
              </w:rPr>
            </w:pPr>
            <w:r w:rsidRPr="00A64F1A">
              <w:rPr>
                <w:rFonts w:cs="Arial"/>
                <w:b/>
                <w:bCs/>
                <w:sz w:val="14"/>
                <w:szCs w:val="14"/>
              </w:rPr>
              <w:t>(3,210,050)</w:t>
            </w:r>
          </w:p>
        </w:tc>
      </w:tr>
      <w:tr w:rsidR="008B7E19" w:rsidRPr="004E4235" w14:paraId="212A49B2" w14:textId="77777777" w:rsidTr="008B7E19">
        <w:trPr>
          <w:cnfStyle w:val="000000100000" w:firstRow="0" w:lastRow="0" w:firstColumn="0" w:lastColumn="0" w:oddVBand="0" w:evenVBand="0" w:oddHBand="1" w:evenHBand="0" w:firstRowFirstColumn="0" w:firstRowLastColumn="0" w:lastRowFirstColumn="0" w:lastRowLastColumn="0"/>
          <w:trHeight w:val="172"/>
        </w:trPr>
        <w:tc>
          <w:tcPr>
            <w:cnfStyle w:val="001000000000" w:firstRow="0" w:lastRow="0" w:firstColumn="1" w:lastColumn="0" w:oddVBand="0" w:evenVBand="0" w:oddHBand="0" w:evenHBand="0" w:firstRowFirstColumn="0" w:firstRowLastColumn="0" w:lastRowFirstColumn="0" w:lastRowLastColumn="0"/>
            <w:tcW w:w="4253" w:type="dxa"/>
            <w:tcBorders>
              <w:top w:val="nil"/>
              <w:bottom w:val="single" w:sz="2" w:space="0" w:color="1F4E79" w:themeColor="accent1" w:themeShade="80"/>
            </w:tcBorders>
            <w:shd w:val="clear" w:color="auto" w:fill="auto"/>
            <w:vAlign w:val="center"/>
          </w:tcPr>
          <w:p w14:paraId="69B54476" w14:textId="77777777" w:rsidR="008B7E19" w:rsidRPr="00A64F1A" w:rsidRDefault="008B7E19" w:rsidP="008B7E19">
            <w:pPr>
              <w:keepNext/>
              <w:keepLines/>
              <w:spacing w:before="40" w:after="40"/>
              <w:rPr>
                <w:rFonts w:eastAsia="Times New Roman" w:cs="Arial"/>
                <w:spacing w:val="-2"/>
                <w:sz w:val="14"/>
                <w:szCs w:val="14"/>
                <w:lang w:eastAsia="pt-BR"/>
              </w:rPr>
            </w:pPr>
            <w:r w:rsidRPr="00A64F1A">
              <w:rPr>
                <w:rFonts w:cs="Arial"/>
                <w:sz w:val="14"/>
                <w:szCs w:val="14"/>
              </w:rPr>
              <w:t>Balances at June 30, 2023</w:t>
            </w:r>
          </w:p>
        </w:tc>
        <w:tc>
          <w:tcPr>
            <w:tcW w:w="567" w:type="dxa"/>
            <w:tcBorders>
              <w:top w:val="nil"/>
              <w:bottom w:val="single" w:sz="2" w:space="0" w:color="1F4E79" w:themeColor="accent1" w:themeShade="80"/>
            </w:tcBorders>
            <w:shd w:val="clear" w:color="auto" w:fill="auto"/>
            <w:vAlign w:val="center"/>
          </w:tcPr>
          <w:p w14:paraId="6A10519C" w14:textId="77777777" w:rsidR="008B7E19" w:rsidRPr="00A64F1A"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4"/>
                <w:lang w:eastAsia="pt-BR"/>
              </w:rPr>
            </w:pPr>
          </w:p>
        </w:tc>
        <w:tc>
          <w:tcPr>
            <w:tcW w:w="1276" w:type="dxa"/>
            <w:tcBorders>
              <w:top w:val="nil"/>
              <w:bottom w:val="single" w:sz="2" w:space="0" w:color="1F4E79" w:themeColor="accent1" w:themeShade="80"/>
            </w:tcBorders>
            <w:shd w:val="clear" w:color="auto" w:fill="auto"/>
            <w:vAlign w:val="center"/>
          </w:tcPr>
          <w:p w14:paraId="0F17B959" w14:textId="77777777" w:rsidR="008B7E19" w:rsidRPr="00A64F1A"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4"/>
                <w:lang w:eastAsia="pt-BR"/>
              </w:rPr>
            </w:pPr>
            <w:r w:rsidRPr="00A64F1A">
              <w:rPr>
                <w:rFonts w:cs="Arial"/>
                <w:b/>
                <w:bCs/>
                <w:sz w:val="14"/>
                <w:szCs w:val="14"/>
              </w:rPr>
              <w:t>6,269,692</w:t>
            </w:r>
          </w:p>
        </w:tc>
        <w:tc>
          <w:tcPr>
            <w:tcW w:w="993" w:type="dxa"/>
            <w:tcBorders>
              <w:top w:val="nil"/>
              <w:bottom w:val="single" w:sz="2" w:space="0" w:color="1F4E79" w:themeColor="accent1" w:themeShade="80"/>
            </w:tcBorders>
            <w:shd w:val="clear" w:color="auto" w:fill="auto"/>
            <w:vAlign w:val="center"/>
          </w:tcPr>
          <w:p w14:paraId="1C2E3F7C" w14:textId="77777777" w:rsidR="008B7E19" w:rsidRPr="00A64F1A"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4"/>
                <w:lang w:eastAsia="pt-BR"/>
              </w:rPr>
            </w:pPr>
            <w:r w:rsidRPr="00A64F1A">
              <w:rPr>
                <w:rFonts w:cs="Arial"/>
                <w:b/>
                <w:bCs/>
                <w:sz w:val="14"/>
                <w:szCs w:val="14"/>
              </w:rPr>
              <w:t>1,801</w:t>
            </w:r>
          </w:p>
        </w:tc>
        <w:tc>
          <w:tcPr>
            <w:tcW w:w="1277" w:type="dxa"/>
            <w:tcBorders>
              <w:top w:val="nil"/>
              <w:bottom w:val="single" w:sz="2" w:space="0" w:color="1F4E79" w:themeColor="accent1" w:themeShade="80"/>
            </w:tcBorders>
            <w:shd w:val="clear" w:color="auto" w:fill="auto"/>
            <w:vAlign w:val="center"/>
          </w:tcPr>
          <w:p w14:paraId="35463BB5" w14:textId="77777777" w:rsidR="008B7E19" w:rsidRPr="00A64F1A"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4"/>
                <w:lang w:eastAsia="pt-BR"/>
              </w:rPr>
            </w:pPr>
            <w:r w:rsidRPr="00A64F1A">
              <w:rPr>
                <w:rFonts w:cs="Arial"/>
                <w:b/>
                <w:bCs/>
                <w:sz w:val="14"/>
                <w:szCs w:val="14"/>
              </w:rPr>
              <w:t>302,229</w:t>
            </w:r>
          </w:p>
        </w:tc>
        <w:tc>
          <w:tcPr>
            <w:tcW w:w="1846" w:type="dxa"/>
            <w:tcBorders>
              <w:top w:val="nil"/>
              <w:bottom w:val="single" w:sz="2" w:space="0" w:color="1F4E79" w:themeColor="accent1" w:themeShade="80"/>
            </w:tcBorders>
            <w:shd w:val="clear" w:color="auto" w:fill="auto"/>
            <w:vAlign w:val="center"/>
          </w:tcPr>
          <w:p w14:paraId="626D696A" w14:textId="77777777" w:rsidR="008B7E19" w:rsidRPr="00A64F1A"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4"/>
                <w:lang w:eastAsia="pt-BR"/>
              </w:rPr>
            </w:pPr>
            <w:r w:rsidRPr="00A64F1A">
              <w:rPr>
                <w:rFonts w:cs="Arial"/>
                <w:b/>
                <w:bCs/>
                <w:sz w:val="14"/>
                <w:szCs w:val="14"/>
              </w:rPr>
              <w:t>1,250,000</w:t>
            </w:r>
          </w:p>
        </w:tc>
        <w:tc>
          <w:tcPr>
            <w:tcW w:w="1122" w:type="dxa"/>
            <w:tcBorders>
              <w:top w:val="nil"/>
              <w:bottom w:val="single" w:sz="2" w:space="0" w:color="1F4E79" w:themeColor="accent1" w:themeShade="80"/>
            </w:tcBorders>
            <w:shd w:val="clear" w:color="auto" w:fill="auto"/>
            <w:vAlign w:val="center"/>
          </w:tcPr>
          <w:p w14:paraId="1A71FF78" w14:textId="77777777" w:rsidR="008B7E19" w:rsidRPr="00A64F1A"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4"/>
                <w:lang w:eastAsia="pt-BR"/>
              </w:rPr>
            </w:pPr>
            <w:r w:rsidRPr="00A64F1A">
              <w:rPr>
                <w:rFonts w:cs="Arial"/>
                <w:b/>
                <w:bCs/>
                <w:sz w:val="14"/>
                <w:szCs w:val="14"/>
              </w:rPr>
              <w:t>(79,758)</w:t>
            </w:r>
          </w:p>
        </w:tc>
        <w:tc>
          <w:tcPr>
            <w:tcW w:w="1289" w:type="dxa"/>
            <w:tcBorders>
              <w:top w:val="nil"/>
              <w:bottom w:val="single" w:sz="2" w:space="0" w:color="1F4E79" w:themeColor="accent1" w:themeShade="80"/>
            </w:tcBorders>
            <w:shd w:val="clear" w:color="auto" w:fill="auto"/>
            <w:vAlign w:val="center"/>
          </w:tcPr>
          <w:p w14:paraId="22627104" w14:textId="77777777" w:rsidR="008B7E19" w:rsidRPr="00A64F1A"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4"/>
                <w:lang w:eastAsia="pt-BR"/>
              </w:rPr>
            </w:pPr>
            <w:r w:rsidRPr="00A64F1A">
              <w:rPr>
                <w:rFonts w:cs="Arial"/>
                <w:b/>
                <w:bCs/>
                <w:sz w:val="14"/>
                <w:szCs w:val="14"/>
              </w:rPr>
              <w:t>49,273</w:t>
            </w:r>
          </w:p>
        </w:tc>
        <w:tc>
          <w:tcPr>
            <w:tcW w:w="1560" w:type="dxa"/>
            <w:tcBorders>
              <w:top w:val="nil"/>
              <w:bottom w:val="single" w:sz="2" w:space="0" w:color="1F4E79" w:themeColor="accent1" w:themeShade="80"/>
            </w:tcBorders>
            <w:shd w:val="clear" w:color="auto" w:fill="auto"/>
            <w:vAlign w:val="center"/>
          </w:tcPr>
          <w:p w14:paraId="359678CD" w14:textId="77777777" w:rsidR="008B7E19" w:rsidRPr="00A64F1A"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4"/>
                <w:lang w:eastAsia="pt-BR"/>
              </w:rPr>
            </w:pPr>
            <w:r w:rsidRPr="00A64F1A">
              <w:rPr>
                <w:rFonts w:cs="Arial"/>
                <w:b/>
                <w:bCs/>
                <w:sz w:val="14"/>
                <w:szCs w:val="14"/>
              </w:rPr>
              <w:t>1,150,706</w:t>
            </w:r>
          </w:p>
        </w:tc>
        <w:tc>
          <w:tcPr>
            <w:tcW w:w="1122" w:type="dxa"/>
            <w:tcBorders>
              <w:top w:val="nil"/>
              <w:bottom w:val="single" w:sz="2" w:space="0" w:color="1F4E79" w:themeColor="accent1" w:themeShade="80"/>
            </w:tcBorders>
            <w:shd w:val="clear" w:color="auto" w:fill="auto"/>
            <w:vAlign w:val="center"/>
          </w:tcPr>
          <w:p w14:paraId="68A51BD9" w14:textId="77777777" w:rsidR="008B7E19" w:rsidRPr="00A64F1A"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4"/>
                <w:lang w:eastAsia="pt-BR"/>
              </w:rPr>
            </w:pPr>
            <w:r w:rsidRPr="00A64F1A">
              <w:rPr>
                <w:rFonts w:cs="Arial"/>
                <w:b/>
                <w:bCs/>
                <w:sz w:val="14"/>
                <w:szCs w:val="14"/>
              </w:rPr>
              <w:t>8,943,943</w:t>
            </w:r>
          </w:p>
        </w:tc>
      </w:tr>
      <w:tr w:rsidR="008B7E19" w:rsidRPr="004E4235" w14:paraId="5A31B295" w14:textId="77777777" w:rsidTr="008B7E19">
        <w:trPr>
          <w:cnfStyle w:val="000000010000" w:firstRow="0" w:lastRow="0" w:firstColumn="0" w:lastColumn="0" w:oddVBand="0" w:evenVBand="0" w:oddHBand="0" w:evenHBand="1" w:firstRowFirstColumn="0" w:firstRowLastColumn="0" w:lastRowFirstColumn="0" w:lastRowLastColumn="0"/>
          <w:trHeight w:val="218"/>
        </w:trPr>
        <w:tc>
          <w:tcPr>
            <w:cnfStyle w:val="001000000000" w:firstRow="0" w:lastRow="0" w:firstColumn="1" w:lastColumn="0" w:oddVBand="0" w:evenVBand="0" w:oddHBand="0" w:evenHBand="0" w:firstRowFirstColumn="0" w:firstRowLastColumn="0" w:lastRowFirstColumn="0" w:lastRowLastColumn="0"/>
            <w:tcW w:w="4253" w:type="dxa"/>
            <w:tcBorders>
              <w:top w:val="single" w:sz="2" w:space="0" w:color="1F4E79" w:themeColor="accent1" w:themeShade="80"/>
              <w:bottom w:val="single" w:sz="2" w:space="0" w:color="1F4E79" w:themeColor="accent1" w:themeShade="80"/>
            </w:tcBorders>
            <w:shd w:val="clear" w:color="auto" w:fill="auto"/>
            <w:vAlign w:val="center"/>
          </w:tcPr>
          <w:p w14:paraId="6E5A00C9" w14:textId="77777777" w:rsidR="008B7E19" w:rsidRPr="00A64F1A" w:rsidRDefault="008B7E19" w:rsidP="008B7E19">
            <w:pPr>
              <w:keepNext/>
              <w:keepLines/>
              <w:spacing w:before="40" w:after="40"/>
              <w:rPr>
                <w:rFonts w:eastAsia="Times New Roman" w:cs="Arial"/>
                <w:spacing w:val="-2"/>
                <w:sz w:val="14"/>
                <w:szCs w:val="14"/>
                <w:lang w:eastAsia="pt-BR"/>
              </w:rPr>
            </w:pPr>
            <w:r w:rsidRPr="00A64F1A">
              <w:rPr>
                <w:rFonts w:cs="Arial"/>
                <w:color w:val="000000"/>
                <w:sz w:val="14"/>
                <w:szCs w:val="14"/>
              </w:rPr>
              <w:t xml:space="preserve">Changes in the </w:t>
            </w:r>
            <w:r w:rsidRPr="00A64F1A">
              <w:rPr>
                <w:rStyle w:val="rynqvb"/>
                <w:rFonts w:cs="Arial"/>
                <w:sz w:val="14"/>
                <w:szCs w:val="14"/>
                <w:lang w:val="en"/>
              </w:rPr>
              <w:t>period</w:t>
            </w:r>
          </w:p>
        </w:tc>
        <w:tc>
          <w:tcPr>
            <w:tcW w:w="567" w:type="dxa"/>
            <w:tcBorders>
              <w:top w:val="single" w:sz="2" w:space="0" w:color="1F4E79" w:themeColor="accent1" w:themeShade="80"/>
              <w:bottom w:val="single" w:sz="2" w:space="0" w:color="1F4E79" w:themeColor="accent1" w:themeShade="80"/>
            </w:tcBorders>
            <w:shd w:val="clear" w:color="auto" w:fill="auto"/>
            <w:vAlign w:val="center"/>
          </w:tcPr>
          <w:p w14:paraId="0DDD1808" w14:textId="77777777" w:rsidR="008B7E19" w:rsidRPr="00A64F1A"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spacing w:val="-2"/>
                <w:sz w:val="14"/>
                <w:szCs w:val="14"/>
                <w:lang w:eastAsia="pt-BR"/>
              </w:rPr>
            </w:pPr>
          </w:p>
        </w:tc>
        <w:tc>
          <w:tcPr>
            <w:tcW w:w="1276" w:type="dxa"/>
            <w:tcBorders>
              <w:top w:val="single" w:sz="2" w:space="0" w:color="1F4E79" w:themeColor="accent1" w:themeShade="80"/>
              <w:bottom w:val="single" w:sz="2" w:space="0" w:color="1F4E79" w:themeColor="accent1" w:themeShade="80"/>
            </w:tcBorders>
            <w:shd w:val="clear" w:color="auto" w:fill="auto"/>
            <w:vAlign w:val="center"/>
          </w:tcPr>
          <w:p w14:paraId="75EFABDE" w14:textId="77777777" w:rsidR="008B7E19" w:rsidRPr="00A64F1A"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spacing w:val="-2"/>
                <w:sz w:val="14"/>
                <w:szCs w:val="14"/>
                <w:lang w:eastAsia="pt-BR"/>
              </w:rPr>
            </w:pPr>
            <w:r w:rsidRPr="00A64F1A">
              <w:rPr>
                <w:rFonts w:cs="Arial"/>
                <w:b/>
                <w:bCs/>
                <w:sz w:val="14"/>
                <w:szCs w:val="14"/>
              </w:rPr>
              <w:t>--</w:t>
            </w:r>
          </w:p>
        </w:tc>
        <w:tc>
          <w:tcPr>
            <w:tcW w:w="993" w:type="dxa"/>
            <w:tcBorders>
              <w:top w:val="single" w:sz="2" w:space="0" w:color="1F4E79" w:themeColor="accent1" w:themeShade="80"/>
              <w:bottom w:val="single" w:sz="2" w:space="0" w:color="1F4E79" w:themeColor="accent1" w:themeShade="80"/>
            </w:tcBorders>
            <w:shd w:val="clear" w:color="auto" w:fill="auto"/>
            <w:vAlign w:val="center"/>
          </w:tcPr>
          <w:p w14:paraId="06A15000" w14:textId="77777777" w:rsidR="008B7E19" w:rsidRPr="00A64F1A"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spacing w:val="-2"/>
                <w:sz w:val="14"/>
                <w:szCs w:val="14"/>
                <w:lang w:eastAsia="pt-BR"/>
              </w:rPr>
            </w:pPr>
            <w:r w:rsidRPr="00A64F1A">
              <w:rPr>
                <w:rFonts w:cs="Arial"/>
                <w:b/>
                <w:bCs/>
                <w:sz w:val="14"/>
                <w:szCs w:val="14"/>
              </w:rPr>
              <w:t>230</w:t>
            </w:r>
          </w:p>
        </w:tc>
        <w:tc>
          <w:tcPr>
            <w:tcW w:w="1277" w:type="dxa"/>
            <w:tcBorders>
              <w:top w:val="single" w:sz="2" w:space="0" w:color="1F4E79" w:themeColor="accent1" w:themeShade="80"/>
              <w:bottom w:val="single" w:sz="2" w:space="0" w:color="1F4E79" w:themeColor="accent1" w:themeShade="80"/>
            </w:tcBorders>
            <w:shd w:val="clear" w:color="auto" w:fill="auto"/>
            <w:vAlign w:val="center"/>
          </w:tcPr>
          <w:p w14:paraId="7586B649" w14:textId="77777777" w:rsidR="008B7E19" w:rsidRPr="00A64F1A"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spacing w:val="-2"/>
                <w:sz w:val="14"/>
                <w:szCs w:val="14"/>
                <w:lang w:eastAsia="pt-BR"/>
              </w:rPr>
            </w:pPr>
            <w:r w:rsidRPr="00A64F1A">
              <w:rPr>
                <w:rFonts w:cs="Arial"/>
                <w:b/>
                <w:bCs/>
                <w:sz w:val="14"/>
                <w:szCs w:val="14"/>
              </w:rPr>
              <w:t>--</w:t>
            </w:r>
          </w:p>
        </w:tc>
        <w:tc>
          <w:tcPr>
            <w:tcW w:w="1846" w:type="dxa"/>
            <w:tcBorders>
              <w:top w:val="single" w:sz="2" w:space="0" w:color="1F4E79" w:themeColor="accent1" w:themeShade="80"/>
              <w:bottom w:val="single" w:sz="2" w:space="0" w:color="1F4E79" w:themeColor="accent1" w:themeShade="80"/>
            </w:tcBorders>
            <w:shd w:val="clear" w:color="auto" w:fill="auto"/>
            <w:vAlign w:val="center"/>
          </w:tcPr>
          <w:p w14:paraId="4C0C07C1" w14:textId="77777777" w:rsidR="008B7E19" w:rsidRPr="00A64F1A"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spacing w:val="-2"/>
                <w:sz w:val="14"/>
                <w:szCs w:val="14"/>
                <w:lang w:eastAsia="pt-BR"/>
              </w:rPr>
            </w:pPr>
            <w:r w:rsidRPr="00A64F1A">
              <w:rPr>
                <w:rFonts w:cs="Arial"/>
                <w:b/>
                <w:bCs/>
                <w:sz w:val="14"/>
                <w:szCs w:val="14"/>
              </w:rPr>
              <w:t>--</w:t>
            </w:r>
          </w:p>
        </w:tc>
        <w:tc>
          <w:tcPr>
            <w:tcW w:w="1122" w:type="dxa"/>
            <w:tcBorders>
              <w:top w:val="single" w:sz="2" w:space="0" w:color="1F4E79" w:themeColor="accent1" w:themeShade="80"/>
              <w:bottom w:val="single" w:sz="2" w:space="0" w:color="1F4E79" w:themeColor="accent1" w:themeShade="80"/>
            </w:tcBorders>
            <w:shd w:val="clear" w:color="auto" w:fill="auto"/>
            <w:vAlign w:val="center"/>
          </w:tcPr>
          <w:p w14:paraId="04924D0F" w14:textId="77777777" w:rsidR="008B7E19" w:rsidRPr="00A64F1A"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spacing w:val="-2"/>
                <w:sz w:val="14"/>
                <w:szCs w:val="14"/>
                <w:lang w:eastAsia="pt-BR"/>
              </w:rPr>
            </w:pPr>
            <w:r w:rsidRPr="00A64F1A">
              <w:rPr>
                <w:rFonts w:cs="Arial"/>
                <w:b/>
                <w:bCs/>
                <w:sz w:val="14"/>
                <w:szCs w:val="14"/>
              </w:rPr>
              <w:t>586</w:t>
            </w:r>
          </w:p>
        </w:tc>
        <w:tc>
          <w:tcPr>
            <w:tcW w:w="1289" w:type="dxa"/>
            <w:tcBorders>
              <w:top w:val="single" w:sz="2" w:space="0" w:color="1F4E79" w:themeColor="accent1" w:themeShade="80"/>
              <w:bottom w:val="single" w:sz="2" w:space="0" w:color="1F4E79" w:themeColor="accent1" w:themeShade="80"/>
            </w:tcBorders>
            <w:shd w:val="clear" w:color="auto" w:fill="auto"/>
            <w:vAlign w:val="center"/>
          </w:tcPr>
          <w:p w14:paraId="7BA2F909" w14:textId="77777777" w:rsidR="008B7E19" w:rsidRPr="00A64F1A"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spacing w:val="-2"/>
                <w:sz w:val="14"/>
                <w:szCs w:val="14"/>
                <w:lang w:eastAsia="pt-BR"/>
              </w:rPr>
            </w:pPr>
            <w:r w:rsidRPr="00A64F1A">
              <w:rPr>
                <w:rFonts w:cs="Arial"/>
                <w:b/>
                <w:bCs/>
                <w:sz w:val="14"/>
                <w:szCs w:val="14"/>
              </w:rPr>
              <w:t>391,265</w:t>
            </w:r>
          </w:p>
        </w:tc>
        <w:tc>
          <w:tcPr>
            <w:tcW w:w="1560" w:type="dxa"/>
            <w:tcBorders>
              <w:top w:val="single" w:sz="2" w:space="0" w:color="1F4E79" w:themeColor="accent1" w:themeShade="80"/>
              <w:bottom w:val="single" w:sz="2" w:space="0" w:color="1F4E79" w:themeColor="accent1" w:themeShade="80"/>
            </w:tcBorders>
            <w:shd w:val="clear" w:color="auto" w:fill="auto"/>
            <w:vAlign w:val="center"/>
          </w:tcPr>
          <w:p w14:paraId="3638BE23" w14:textId="77777777" w:rsidR="008B7E19" w:rsidRPr="00A64F1A"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spacing w:val="-2"/>
                <w:sz w:val="14"/>
                <w:szCs w:val="14"/>
                <w:lang w:eastAsia="pt-BR"/>
              </w:rPr>
            </w:pPr>
            <w:r w:rsidRPr="00A64F1A">
              <w:rPr>
                <w:rFonts w:cs="Arial"/>
                <w:b/>
                <w:bCs/>
                <w:sz w:val="14"/>
                <w:szCs w:val="14"/>
              </w:rPr>
              <w:t>515,132</w:t>
            </w:r>
          </w:p>
        </w:tc>
        <w:tc>
          <w:tcPr>
            <w:tcW w:w="1122" w:type="dxa"/>
            <w:tcBorders>
              <w:top w:val="single" w:sz="2" w:space="0" w:color="1F4E79" w:themeColor="accent1" w:themeShade="80"/>
              <w:bottom w:val="single" w:sz="2" w:space="0" w:color="1F4E79" w:themeColor="accent1" w:themeShade="80"/>
            </w:tcBorders>
            <w:shd w:val="clear" w:color="auto" w:fill="auto"/>
            <w:vAlign w:val="center"/>
          </w:tcPr>
          <w:p w14:paraId="39E325E6" w14:textId="77777777" w:rsidR="008B7E19" w:rsidRPr="00A64F1A"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spacing w:val="-2"/>
                <w:sz w:val="14"/>
                <w:szCs w:val="14"/>
                <w:lang w:eastAsia="pt-BR"/>
              </w:rPr>
            </w:pPr>
            <w:r w:rsidRPr="00A64F1A">
              <w:rPr>
                <w:rFonts w:cs="Arial"/>
                <w:b/>
                <w:bCs/>
                <w:sz w:val="14"/>
                <w:szCs w:val="14"/>
              </w:rPr>
              <w:t>907,213</w:t>
            </w:r>
          </w:p>
        </w:tc>
      </w:tr>
    </w:tbl>
    <w:p w14:paraId="3F9CE9A7" w14:textId="77777777" w:rsidR="008B7E19" w:rsidRPr="00456146" w:rsidRDefault="008B7E19" w:rsidP="008B7E19">
      <w:pPr>
        <w:spacing w:after="0"/>
        <w:rPr>
          <w:rFonts w:cs="Arial"/>
          <w:sz w:val="14"/>
          <w:szCs w:val="14"/>
          <w:lang w:val="en-US"/>
        </w:rPr>
      </w:pPr>
      <w:r w:rsidRPr="00456146">
        <w:rPr>
          <w:rFonts w:cs="Arial"/>
          <w:sz w:val="14"/>
          <w:szCs w:val="14"/>
          <w:lang w:val="en-US"/>
        </w:rPr>
        <w:t>Other comprehensive income is presented net of tax effects.</w:t>
      </w:r>
    </w:p>
    <w:p w14:paraId="01BC7840" w14:textId="77777777" w:rsidR="008B7E19" w:rsidRDefault="008B7E19" w:rsidP="008B7E19">
      <w:pPr>
        <w:spacing w:after="0"/>
        <w:rPr>
          <w:rFonts w:cs="Arial"/>
          <w:sz w:val="14"/>
          <w:szCs w:val="14"/>
          <w:lang w:val="en-US"/>
        </w:rPr>
      </w:pPr>
      <w:r w:rsidRPr="00456146">
        <w:rPr>
          <w:rFonts w:cs="Arial"/>
          <w:sz w:val="14"/>
          <w:szCs w:val="14"/>
          <w:lang w:val="en-US"/>
        </w:rPr>
        <w:t>The explanatory notes are an integral part of the interim financial statements. The opening balance sheet and restatements refer to the adoption of CPC 50 [IFRS 17] – Insurance Contracts and CPC 48 [IFRS 9] – Financial Instruments, whose effects are detailed in Note 03 - Presentation of Financial Statements.</w:t>
      </w:r>
    </w:p>
    <w:p w14:paraId="365DD4CA" w14:textId="77777777" w:rsidR="008B7E19" w:rsidRPr="00921BEF" w:rsidRDefault="008B7E19" w:rsidP="00882B41">
      <w:pPr>
        <w:pStyle w:val="PargrafodaLista"/>
        <w:numPr>
          <w:ilvl w:val="0"/>
          <w:numId w:val="38"/>
        </w:numPr>
        <w:spacing w:after="0"/>
        <w:ind w:left="284" w:hanging="284"/>
        <w:rPr>
          <w:rFonts w:ascii="Arial" w:hAnsi="Arial" w:cs="Arial"/>
          <w:sz w:val="14"/>
          <w:szCs w:val="14"/>
          <w:lang w:val="en-US"/>
        </w:rPr>
        <w:sectPr w:rsidR="008B7E19" w:rsidRPr="00921BEF" w:rsidSect="008B7E19">
          <w:headerReference w:type="even" r:id="rId26"/>
          <w:headerReference w:type="default" r:id="rId27"/>
          <w:footerReference w:type="default" r:id="rId28"/>
          <w:headerReference w:type="first" r:id="rId29"/>
          <w:pgSz w:w="16838" w:h="11906" w:orient="landscape" w:code="9"/>
          <w:pgMar w:top="1134" w:right="1134" w:bottom="1134" w:left="851" w:header="851" w:footer="284" w:gutter="0"/>
          <w:cols w:space="708"/>
          <w:docGrid w:linePitch="360"/>
        </w:sectPr>
      </w:pPr>
      <w:r w:rsidRPr="00921BEF">
        <w:rPr>
          <w:rFonts w:ascii="Arial" w:hAnsi="Arial" w:cs="Arial"/>
          <w:sz w:val="14"/>
          <w:szCs w:val="14"/>
          <w:lang w:val="en-US"/>
        </w:rPr>
        <w:t xml:space="preserve">In relation to the values presented in the 1st </w:t>
      </w:r>
      <w:r>
        <w:rPr>
          <w:rFonts w:ascii="Arial" w:hAnsi="Arial" w:cs="Arial"/>
          <w:sz w:val="14"/>
          <w:szCs w:val="14"/>
          <w:lang w:val="en-US"/>
        </w:rPr>
        <w:t>Q</w:t>
      </w:r>
      <w:r w:rsidRPr="00921BEF">
        <w:rPr>
          <w:rFonts w:ascii="Arial" w:hAnsi="Arial" w:cs="Arial"/>
          <w:sz w:val="14"/>
          <w:szCs w:val="14"/>
          <w:lang w:val="en-US"/>
        </w:rPr>
        <w:t>uarter 2023, there was an opening of the transition value of CPC 48 and 50, with the reclassification of negative R$ 368,589 thousand from Retained Earnings/ Accumulated</w:t>
      </w:r>
      <w:r w:rsidRPr="00B03722">
        <w:rPr>
          <w:rFonts w:cs="Arial"/>
          <w:szCs w:val="14"/>
        </w:rPr>
        <w:t xml:space="preserve"> </w:t>
      </w:r>
      <w:r w:rsidRPr="00921BEF">
        <w:rPr>
          <w:rFonts w:ascii="Arial" w:hAnsi="Arial" w:cs="Arial"/>
          <w:sz w:val="14"/>
          <w:szCs w:val="14"/>
          <w:lang w:val="en-US"/>
        </w:rPr>
        <w:t>to Other accumulated comprehensive income, in addition to an adjustment of R$ 71,844 thousand in Other accumulated comprehensive income, referring to Brasilprev.</w:t>
      </w:r>
    </w:p>
    <w:p w14:paraId="48B9234D" w14:textId="77777777" w:rsidR="008B7E19" w:rsidRPr="00BA4C93" w:rsidRDefault="008B7E19" w:rsidP="008B7E19">
      <w:pPr>
        <w:pStyle w:val="Ttulo1"/>
        <w:rPr>
          <w:b w:val="0"/>
          <w:bCs w:val="0"/>
        </w:rPr>
      </w:pPr>
      <w:bookmarkStart w:id="13" w:name="_Toc141966677"/>
      <w:r w:rsidRPr="00BA4C93">
        <w:t>STATEMENT OF VALUE ADDED</w:t>
      </w:r>
      <w:bookmarkEnd w:id="13"/>
    </w:p>
    <w:p w14:paraId="018C0A42" w14:textId="77777777" w:rsidR="008B7E19" w:rsidRPr="0038283D" w:rsidRDefault="008B7E19" w:rsidP="008B7E19">
      <w:pPr>
        <w:pStyle w:val="06-Rmil"/>
      </w:pPr>
      <w:r w:rsidRPr="0038283D">
        <w:t>R$ thousand</w:t>
      </w:r>
    </w:p>
    <w:tbl>
      <w:tblPr>
        <w:tblStyle w:val="TabeladeLista6Colorida-nfase5"/>
        <w:tblW w:w="9639" w:type="dxa"/>
        <w:jc w:val="center"/>
        <w:tblLayout w:type="fixed"/>
        <w:tblLook w:val="04A0" w:firstRow="1" w:lastRow="0" w:firstColumn="1" w:lastColumn="0" w:noHBand="0" w:noVBand="1"/>
      </w:tblPr>
      <w:tblGrid>
        <w:gridCol w:w="2977"/>
        <w:gridCol w:w="709"/>
        <w:gridCol w:w="1276"/>
        <w:gridCol w:w="1559"/>
        <w:gridCol w:w="280"/>
        <w:gridCol w:w="1279"/>
        <w:gridCol w:w="1559"/>
      </w:tblGrid>
      <w:tr w:rsidR="008B7E19" w14:paraId="115903A7" w14:textId="77777777" w:rsidTr="008B7E19">
        <w:trPr>
          <w:cnfStyle w:val="100000000000" w:firstRow="1" w:lastRow="0" w:firstColumn="0" w:lastColumn="0" w:oddVBand="0" w:evenVBand="0" w:oddHBand="0" w:evenHBand="0" w:firstRowFirstColumn="0" w:firstRowLastColumn="0" w:lastRowFirstColumn="0" w:lastRowLastColumn="0"/>
          <w:trHeight w:hRule="exact" w:val="283"/>
          <w:jc w:val="center"/>
        </w:trPr>
        <w:tc>
          <w:tcPr>
            <w:cnfStyle w:val="001000000000" w:firstRow="0" w:lastRow="0" w:firstColumn="1" w:lastColumn="0" w:oddVBand="0" w:evenVBand="0" w:oddHBand="0" w:evenHBand="0" w:firstRowFirstColumn="0" w:firstRowLastColumn="0" w:lastRowFirstColumn="0" w:lastRowLastColumn="0"/>
            <w:tcW w:w="2977" w:type="dxa"/>
            <w:tcBorders>
              <w:top w:val="single" w:sz="2" w:space="0" w:color="1F4E79" w:themeColor="accent1" w:themeShade="80"/>
              <w:bottom w:val="nil"/>
            </w:tcBorders>
            <w:shd w:val="clear" w:color="auto" w:fill="auto"/>
            <w:vAlign w:val="center"/>
          </w:tcPr>
          <w:p w14:paraId="74722BD0" w14:textId="77777777" w:rsidR="008B7E19" w:rsidRPr="0038283D" w:rsidRDefault="008B7E19" w:rsidP="008B7E19">
            <w:pPr>
              <w:jc w:val="center"/>
              <w:rPr>
                <w:rFonts w:cs="Arial"/>
                <w:b w:val="0"/>
                <w:szCs w:val="18"/>
                <w:lang w:val="en-US"/>
              </w:rPr>
            </w:pPr>
          </w:p>
        </w:tc>
        <w:tc>
          <w:tcPr>
            <w:tcW w:w="709" w:type="dxa"/>
            <w:tcBorders>
              <w:top w:val="single" w:sz="2" w:space="0" w:color="1F4E79" w:themeColor="accent1" w:themeShade="80"/>
              <w:bottom w:val="nil"/>
            </w:tcBorders>
            <w:shd w:val="clear" w:color="auto" w:fill="auto"/>
          </w:tcPr>
          <w:p w14:paraId="5B07C05A" w14:textId="77777777" w:rsidR="008B7E19" w:rsidRPr="0038283D" w:rsidRDefault="008B7E19" w:rsidP="008B7E19">
            <w:pPr>
              <w:jc w:val="center"/>
              <w:cnfStyle w:val="100000000000" w:firstRow="1" w:lastRow="0" w:firstColumn="0" w:lastColumn="0" w:oddVBand="0" w:evenVBand="0" w:oddHBand="0" w:evenHBand="0" w:firstRowFirstColumn="0" w:firstRowLastColumn="0" w:lastRowFirstColumn="0" w:lastRowLastColumn="0"/>
              <w:rPr>
                <w:rFonts w:cs="Arial"/>
                <w:b w:val="0"/>
                <w:szCs w:val="18"/>
                <w:lang w:val="en-US"/>
              </w:rPr>
            </w:pPr>
          </w:p>
        </w:tc>
        <w:tc>
          <w:tcPr>
            <w:tcW w:w="2835" w:type="dxa"/>
            <w:gridSpan w:val="2"/>
            <w:tcBorders>
              <w:top w:val="single" w:sz="2" w:space="0" w:color="1F4E79" w:themeColor="accent1" w:themeShade="80"/>
              <w:bottom w:val="single" w:sz="2" w:space="0" w:color="1F4E79" w:themeColor="accent1" w:themeShade="80"/>
            </w:tcBorders>
            <w:shd w:val="clear" w:color="auto" w:fill="auto"/>
            <w:vAlign w:val="center"/>
          </w:tcPr>
          <w:p w14:paraId="536B1064" w14:textId="77777777" w:rsidR="008B7E19" w:rsidRPr="0038031F" w:rsidRDefault="008B7E19" w:rsidP="008B7E19">
            <w:pPr>
              <w:jc w:val="center"/>
              <w:cnfStyle w:val="100000000000" w:firstRow="1" w:lastRow="0" w:firstColumn="0" w:lastColumn="0" w:oddVBand="0" w:evenVBand="0" w:oddHBand="0" w:evenHBand="0" w:firstRowFirstColumn="0" w:firstRowLastColumn="0" w:lastRowFirstColumn="0" w:lastRowLastColumn="0"/>
              <w:rPr>
                <w:rFonts w:cs="Arial"/>
                <w:sz w:val="14"/>
                <w:szCs w:val="18"/>
              </w:rPr>
            </w:pPr>
            <w:r w:rsidRPr="009768B6">
              <w:rPr>
                <w:rFonts w:cs="Arial"/>
                <w:sz w:val="14"/>
                <w:szCs w:val="18"/>
              </w:rPr>
              <w:t>Parent</w:t>
            </w:r>
          </w:p>
        </w:tc>
        <w:tc>
          <w:tcPr>
            <w:tcW w:w="280" w:type="dxa"/>
            <w:tcBorders>
              <w:top w:val="single" w:sz="2" w:space="0" w:color="1F4E79" w:themeColor="accent1" w:themeShade="80"/>
              <w:bottom w:val="nil"/>
            </w:tcBorders>
            <w:shd w:val="clear" w:color="auto" w:fill="auto"/>
          </w:tcPr>
          <w:p w14:paraId="4D60A20C" w14:textId="77777777" w:rsidR="008B7E19" w:rsidRPr="001D6BE8" w:rsidRDefault="008B7E19" w:rsidP="008B7E19">
            <w:pPr>
              <w:jc w:val="center"/>
              <w:cnfStyle w:val="100000000000" w:firstRow="1" w:lastRow="0" w:firstColumn="0" w:lastColumn="0" w:oddVBand="0" w:evenVBand="0" w:oddHBand="0" w:evenHBand="0" w:firstRowFirstColumn="0" w:firstRowLastColumn="0" w:lastRowFirstColumn="0" w:lastRowLastColumn="0"/>
              <w:rPr>
                <w:rFonts w:cs="Arial"/>
                <w:b w:val="0"/>
                <w:szCs w:val="18"/>
              </w:rPr>
            </w:pPr>
          </w:p>
        </w:tc>
        <w:tc>
          <w:tcPr>
            <w:tcW w:w="2838" w:type="dxa"/>
            <w:gridSpan w:val="2"/>
            <w:tcBorders>
              <w:top w:val="single" w:sz="2" w:space="0" w:color="1F4E79" w:themeColor="accent1" w:themeShade="80"/>
              <w:bottom w:val="single" w:sz="2" w:space="0" w:color="1F4E79" w:themeColor="accent1" w:themeShade="80"/>
            </w:tcBorders>
            <w:shd w:val="clear" w:color="auto" w:fill="auto"/>
            <w:vAlign w:val="center"/>
          </w:tcPr>
          <w:p w14:paraId="0F357869" w14:textId="77777777" w:rsidR="008B7E19" w:rsidRPr="0038031F" w:rsidRDefault="008B7E19" w:rsidP="008B7E19">
            <w:pPr>
              <w:jc w:val="center"/>
              <w:cnfStyle w:val="100000000000" w:firstRow="1" w:lastRow="0" w:firstColumn="0" w:lastColumn="0" w:oddVBand="0" w:evenVBand="0" w:oddHBand="0" w:evenHBand="0" w:firstRowFirstColumn="0" w:firstRowLastColumn="0" w:lastRowFirstColumn="0" w:lastRowLastColumn="0"/>
              <w:rPr>
                <w:rFonts w:cs="Arial"/>
                <w:szCs w:val="18"/>
              </w:rPr>
            </w:pPr>
            <w:r w:rsidRPr="009768B6">
              <w:rPr>
                <w:rFonts w:cs="Arial"/>
                <w:sz w:val="14"/>
                <w:szCs w:val="18"/>
              </w:rPr>
              <w:t>Consolidated</w:t>
            </w:r>
          </w:p>
        </w:tc>
      </w:tr>
      <w:tr w:rsidR="008B7E19" w:rsidRPr="001D6BE8" w14:paraId="51822422" w14:textId="77777777" w:rsidTr="008B7E19">
        <w:trPr>
          <w:cnfStyle w:val="000000100000" w:firstRow="0" w:lastRow="0" w:firstColumn="0" w:lastColumn="0" w:oddVBand="0" w:evenVBand="0" w:oddHBand="1" w:evenHBand="0" w:firstRowFirstColumn="0" w:firstRowLastColumn="0" w:lastRowFirstColumn="0" w:lastRowLastColumn="0"/>
          <w:trHeight w:hRule="exact" w:val="46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single" w:sz="2" w:space="0" w:color="1F4E79" w:themeColor="accent1" w:themeShade="80"/>
            </w:tcBorders>
            <w:shd w:val="clear" w:color="auto" w:fill="auto"/>
          </w:tcPr>
          <w:p w14:paraId="1EEDD74A" w14:textId="77777777" w:rsidR="008B7E19" w:rsidRPr="001D6BE8" w:rsidRDefault="008B7E19" w:rsidP="008B7E19">
            <w:pPr>
              <w:pStyle w:val="08-Tabelageral"/>
              <w:jc w:val="left"/>
              <w:rPr>
                <w:rFonts w:cs="Arial"/>
                <w:b w:val="0"/>
              </w:rPr>
            </w:pPr>
          </w:p>
        </w:tc>
        <w:tc>
          <w:tcPr>
            <w:tcW w:w="709" w:type="dxa"/>
            <w:tcBorders>
              <w:top w:val="nil"/>
              <w:bottom w:val="single" w:sz="2" w:space="0" w:color="1F4E79" w:themeColor="accent1" w:themeShade="80"/>
            </w:tcBorders>
            <w:shd w:val="clear" w:color="auto" w:fill="auto"/>
          </w:tcPr>
          <w:p w14:paraId="2568FF83" w14:textId="77777777" w:rsidR="008B7E19" w:rsidRPr="001D6BE8" w:rsidRDefault="008B7E19" w:rsidP="008B7E19">
            <w:pPr>
              <w:pStyle w:val="08-Tabelageral"/>
              <w:jc w:val="center"/>
              <w:cnfStyle w:val="000000100000" w:firstRow="0" w:lastRow="0" w:firstColumn="0" w:lastColumn="0" w:oddVBand="0" w:evenVBand="0" w:oddHBand="1" w:evenHBand="0" w:firstRowFirstColumn="0" w:firstRowLastColumn="0" w:lastRowFirstColumn="0" w:lastRowLastColumn="0"/>
              <w:rPr>
                <w:rFonts w:cs="Arial"/>
                <w:b/>
              </w:rPr>
            </w:pPr>
            <w:r w:rsidRPr="00A01CCC">
              <w:rPr>
                <w:b/>
              </w:rPr>
              <w:t>Note</w:t>
            </w:r>
          </w:p>
        </w:tc>
        <w:tc>
          <w:tcPr>
            <w:tcW w:w="1276" w:type="dxa"/>
            <w:tcBorders>
              <w:top w:val="single" w:sz="2" w:space="0" w:color="1F4E79" w:themeColor="accent1" w:themeShade="80"/>
              <w:bottom w:val="single" w:sz="2" w:space="0" w:color="1F4E79" w:themeColor="accent1" w:themeShade="80"/>
            </w:tcBorders>
            <w:shd w:val="clear" w:color="auto" w:fill="auto"/>
          </w:tcPr>
          <w:p w14:paraId="481EFEF5" w14:textId="77777777" w:rsidR="008B7E19" w:rsidRPr="00BB0772" w:rsidRDefault="008B7E19" w:rsidP="008B7E19">
            <w:pPr>
              <w:pStyle w:val="Default"/>
              <w:jc w:val="right"/>
              <w:cnfStyle w:val="000000100000" w:firstRow="0" w:lastRow="0" w:firstColumn="0" w:lastColumn="0" w:oddVBand="0" w:evenVBand="0" w:oddHBand="1" w:evenHBand="0" w:firstRowFirstColumn="0" w:firstRowLastColumn="0" w:lastRowFirstColumn="0" w:lastRowLastColumn="0"/>
              <w:rPr>
                <w:b/>
                <w:sz w:val="14"/>
                <w:szCs w:val="14"/>
              </w:rPr>
            </w:pPr>
            <w:r w:rsidRPr="001F0568">
              <w:rPr>
                <w:b/>
                <w:sz w:val="14"/>
                <w:szCs w:val="14"/>
              </w:rPr>
              <w:t>1</w:t>
            </w:r>
            <w:r w:rsidRPr="00586087">
              <w:rPr>
                <w:b/>
                <w:sz w:val="14"/>
                <w:szCs w:val="14"/>
                <w:vertAlign w:val="superscript"/>
              </w:rPr>
              <w:t>st</w:t>
            </w:r>
            <w:r w:rsidRPr="001F0568">
              <w:rPr>
                <w:b/>
                <w:sz w:val="14"/>
                <w:szCs w:val="14"/>
              </w:rPr>
              <w:t xml:space="preserve"> </w:t>
            </w:r>
            <w:r>
              <w:rPr>
                <w:b/>
                <w:sz w:val="14"/>
                <w:szCs w:val="14"/>
              </w:rPr>
              <w:t xml:space="preserve">Half </w:t>
            </w:r>
            <w:r w:rsidRPr="001F0568">
              <w:rPr>
                <w:b/>
                <w:sz w:val="14"/>
                <w:szCs w:val="14"/>
              </w:rPr>
              <w:t>2023</w:t>
            </w:r>
          </w:p>
        </w:tc>
        <w:tc>
          <w:tcPr>
            <w:tcW w:w="1559" w:type="dxa"/>
            <w:tcBorders>
              <w:top w:val="single" w:sz="2" w:space="0" w:color="1F4E79" w:themeColor="accent1" w:themeShade="80"/>
              <w:bottom w:val="single" w:sz="2" w:space="0" w:color="1F4E79" w:themeColor="accent1" w:themeShade="80"/>
            </w:tcBorders>
            <w:shd w:val="clear" w:color="auto" w:fill="auto"/>
            <w:vAlign w:val="center"/>
          </w:tcPr>
          <w:p w14:paraId="6827E9F3" w14:textId="77777777" w:rsidR="008B7E19" w:rsidRPr="00DE24BE" w:rsidRDefault="008B7E19" w:rsidP="008B7E19">
            <w:pPr>
              <w:pStyle w:val="Default"/>
              <w:jc w:val="right"/>
              <w:cnfStyle w:val="000000100000" w:firstRow="0" w:lastRow="0" w:firstColumn="0" w:lastColumn="0" w:oddVBand="0" w:evenVBand="0" w:oddHBand="1" w:evenHBand="0" w:firstRowFirstColumn="0" w:firstRowLastColumn="0" w:lastRowFirstColumn="0" w:lastRowLastColumn="0"/>
              <w:rPr>
                <w:b/>
                <w:bCs/>
                <w:sz w:val="14"/>
                <w:szCs w:val="14"/>
                <w:highlight w:val="yellow"/>
              </w:rPr>
            </w:pPr>
            <w:r w:rsidRPr="001F0568">
              <w:rPr>
                <w:b/>
                <w:sz w:val="14"/>
                <w:szCs w:val="14"/>
              </w:rPr>
              <w:t>1</w:t>
            </w:r>
            <w:r w:rsidRPr="00586087">
              <w:rPr>
                <w:b/>
                <w:sz w:val="14"/>
                <w:szCs w:val="14"/>
                <w:vertAlign w:val="superscript"/>
              </w:rPr>
              <w:t>st</w:t>
            </w:r>
            <w:r w:rsidRPr="001F0568">
              <w:rPr>
                <w:b/>
                <w:sz w:val="14"/>
                <w:szCs w:val="14"/>
              </w:rPr>
              <w:t xml:space="preserve"> </w:t>
            </w:r>
            <w:r>
              <w:rPr>
                <w:b/>
                <w:sz w:val="14"/>
                <w:szCs w:val="14"/>
              </w:rPr>
              <w:t>Half</w:t>
            </w:r>
            <w:r w:rsidRPr="001F0568">
              <w:rPr>
                <w:b/>
                <w:sz w:val="14"/>
                <w:szCs w:val="14"/>
              </w:rPr>
              <w:t xml:space="preserve"> 202</w:t>
            </w:r>
            <w:r>
              <w:rPr>
                <w:b/>
                <w:sz w:val="14"/>
                <w:szCs w:val="14"/>
              </w:rPr>
              <w:t xml:space="preserve">2 </w:t>
            </w:r>
            <w:r w:rsidRPr="007E5B9B">
              <w:rPr>
                <w:b/>
                <w:sz w:val="14"/>
                <w:szCs w:val="14"/>
              </w:rPr>
              <w:t>Restated balances</w:t>
            </w:r>
            <w:r w:rsidRPr="007E5B9B">
              <w:rPr>
                <w:b/>
                <w:sz w:val="14"/>
                <w:szCs w:val="14"/>
                <w:highlight w:val="yellow"/>
              </w:rPr>
              <w:t xml:space="preserve"> </w:t>
            </w:r>
          </w:p>
        </w:tc>
        <w:tc>
          <w:tcPr>
            <w:tcW w:w="280" w:type="dxa"/>
            <w:tcBorders>
              <w:top w:val="nil"/>
              <w:bottom w:val="single" w:sz="2" w:space="0" w:color="1F4E79" w:themeColor="accent1" w:themeShade="80"/>
            </w:tcBorders>
            <w:shd w:val="clear" w:color="auto" w:fill="auto"/>
            <w:vAlign w:val="center"/>
          </w:tcPr>
          <w:p w14:paraId="5E46ED29" w14:textId="77777777" w:rsidR="008B7E19" w:rsidRPr="00DE24BE"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highlight w:val="yellow"/>
              </w:rPr>
            </w:pPr>
          </w:p>
        </w:tc>
        <w:tc>
          <w:tcPr>
            <w:tcW w:w="1279" w:type="dxa"/>
            <w:tcBorders>
              <w:top w:val="single" w:sz="2" w:space="0" w:color="1F4E79" w:themeColor="accent1" w:themeShade="80"/>
              <w:bottom w:val="single" w:sz="2" w:space="0" w:color="1F4E79" w:themeColor="accent1" w:themeShade="80"/>
            </w:tcBorders>
            <w:shd w:val="clear" w:color="auto" w:fill="auto"/>
          </w:tcPr>
          <w:p w14:paraId="62052E96" w14:textId="77777777" w:rsidR="008B7E19" w:rsidRPr="00DE24BE" w:rsidRDefault="008B7E19" w:rsidP="008B7E19">
            <w:pPr>
              <w:pStyle w:val="Default"/>
              <w:jc w:val="right"/>
              <w:cnfStyle w:val="000000100000" w:firstRow="0" w:lastRow="0" w:firstColumn="0" w:lastColumn="0" w:oddVBand="0" w:evenVBand="0" w:oddHBand="1" w:evenHBand="0" w:firstRowFirstColumn="0" w:firstRowLastColumn="0" w:lastRowFirstColumn="0" w:lastRowLastColumn="0"/>
              <w:rPr>
                <w:b/>
                <w:bCs/>
                <w:sz w:val="14"/>
                <w:szCs w:val="14"/>
                <w:highlight w:val="yellow"/>
              </w:rPr>
            </w:pPr>
            <w:r w:rsidRPr="001F0568">
              <w:rPr>
                <w:b/>
                <w:sz w:val="14"/>
                <w:szCs w:val="14"/>
              </w:rPr>
              <w:t>1</w:t>
            </w:r>
            <w:r w:rsidRPr="00586087">
              <w:rPr>
                <w:b/>
                <w:sz w:val="14"/>
                <w:szCs w:val="14"/>
                <w:vertAlign w:val="superscript"/>
              </w:rPr>
              <w:t>st</w:t>
            </w:r>
            <w:r w:rsidRPr="001F0568">
              <w:rPr>
                <w:b/>
                <w:sz w:val="14"/>
                <w:szCs w:val="14"/>
              </w:rPr>
              <w:t xml:space="preserve"> </w:t>
            </w:r>
            <w:r>
              <w:rPr>
                <w:b/>
                <w:sz w:val="14"/>
                <w:szCs w:val="14"/>
              </w:rPr>
              <w:t>Half</w:t>
            </w:r>
            <w:r w:rsidRPr="001F0568">
              <w:rPr>
                <w:b/>
                <w:sz w:val="14"/>
                <w:szCs w:val="14"/>
              </w:rPr>
              <w:t xml:space="preserve"> 2023</w:t>
            </w:r>
          </w:p>
        </w:tc>
        <w:tc>
          <w:tcPr>
            <w:tcW w:w="1559" w:type="dxa"/>
            <w:tcBorders>
              <w:top w:val="single" w:sz="2" w:space="0" w:color="1F4E79" w:themeColor="accent1" w:themeShade="80"/>
              <w:bottom w:val="single" w:sz="2" w:space="0" w:color="1F4E79" w:themeColor="accent1" w:themeShade="80"/>
            </w:tcBorders>
            <w:shd w:val="clear" w:color="auto" w:fill="auto"/>
            <w:vAlign w:val="center"/>
          </w:tcPr>
          <w:p w14:paraId="7BD91185" w14:textId="77777777" w:rsidR="008B7E19" w:rsidRPr="00DE24BE" w:rsidRDefault="008B7E19" w:rsidP="008B7E19">
            <w:pPr>
              <w:pStyle w:val="Default"/>
              <w:jc w:val="right"/>
              <w:cnfStyle w:val="000000100000" w:firstRow="0" w:lastRow="0" w:firstColumn="0" w:lastColumn="0" w:oddVBand="0" w:evenVBand="0" w:oddHBand="1" w:evenHBand="0" w:firstRowFirstColumn="0" w:firstRowLastColumn="0" w:lastRowFirstColumn="0" w:lastRowLastColumn="0"/>
              <w:rPr>
                <w:b/>
                <w:bCs/>
                <w:sz w:val="14"/>
                <w:szCs w:val="14"/>
                <w:highlight w:val="yellow"/>
              </w:rPr>
            </w:pPr>
            <w:r w:rsidRPr="001F0568">
              <w:rPr>
                <w:b/>
                <w:sz w:val="14"/>
                <w:szCs w:val="14"/>
              </w:rPr>
              <w:t>1</w:t>
            </w:r>
            <w:r w:rsidRPr="00586087">
              <w:rPr>
                <w:b/>
                <w:sz w:val="14"/>
                <w:szCs w:val="14"/>
                <w:vertAlign w:val="superscript"/>
              </w:rPr>
              <w:t>st</w:t>
            </w:r>
            <w:r w:rsidRPr="001F0568">
              <w:rPr>
                <w:b/>
                <w:sz w:val="14"/>
                <w:szCs w:val="14"/>
              </w:rPr>
              <w:t xml:space="preserve"> </w:t>
            </w:r>
            <w:r>
              <w:rPr>
                <w:b/>
                <w:sz w:val="14"/>
                <w:szCs w:val="14"/>
              </w:rPr>
              <w:t>Half</w:t>
            </w:r>
            <w:r w:rsidRPr="001F0568">
              <w:rPr>
                <w:b/>
                <w:sz w:val="14"/>
                <w:szCs w:val="14"/>
              </w:rPr>
              <w:t xml:space="preserve"> 202</w:t>
            </w:r>
            <w:r>
              <w:rPr>
                <w:b/>
                <w:sz w:val="14"/>
                <w:szCs w:val="14"/>
              </w:rPr>
              <w:t xml:space="preserve">2 </w:t>
            </w:r>
            <w:r w:rsidRPr="007E5B9B">
              <w:rPr>
                <w:b/>
                <w:sz w:val="14"/>
                <w:szCs w:val="14"/>
              </w:rPr>
              <w:t>Restated balances</w:t>
            </w:r>
            <w:r w:rsidRPr="007E5B9B">
              <w:rPr>
                <w:b/>
                <w:sz w:val="14"/>
                <w:szCs w:val="14"/>
                <w:highlight w:val="yellow"/>
              </w:rPr>
              <w:t xml:space="preserve"> </w:t>
            </w:r>
          </w:p>
        </w:tc>
      </w:tr>
      <w:tr w:rsidR="008B7E19" w:rsidRPr="00BD450B" w14:paraId="2C339F7C" w14:textId="77777777" w:rsidTr="008B7E19">
        <w:trPr>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single" w:sz="2" w:space="0" w:color="1F4E79" w:themeColor="accent1" w:themeShade="80"/>
              <w:bottom w:val="nil"/>
            </w:tcBorders>
            <w:shd w:val="clear" w:color="auto" w:fill="auto"/>
            <w:vAlign w:val="center"/>
          </w:tcPr>
          <w:p w14:paraId="08B12045" w14:textId="77777777" w:rsidR="008B7E19" w:rsidRPr="00BD450B" w:rsidRDefault="008B7E19" w:rsidP="008B7E19">
            <w:pPr>
              <w:pStyle w:val="08-Tabelageral"/>
              <w:jc w:val="left"/>
            </w:pPr>
            <w:r w:rsidRPr="00BD450B">
              <w:t>Income</w:t>
            </w:r>
          </w:p>
        </w:tc>
        <w:tc>
          <w:tcPr>
            <w:tcW w:w="709" w:type="dxa"/>
            <w:tcBorders>
              <w:top w:val="single" w:sz="2" w:space="0" w:color="1F4E79" w:themeColor="accent1" w:themeShade="80"/>
              <w:bottom w:val="nil"/>
            </w:tcBorders>
            <w:shd w:val="clear" w:color="auto" w:fill="auto"/>
            <w:vAlign w:val="center"/>
          </w:tcPr>
          <w:p w14:paraId="0E2FAA78" w14:textId="77777777" w:rsidR="008B7E19" w:rsidRPr="00BD450B" w:rsidRDefault="008B7E19" w:rsidP="008B7E19">
            <w:pPr>
              <w:pStyle w:val="08-Tabelageral"/>
              <w:jc w:val="center"/>
              <w:cnfStyle w:val="000000000000" w:firstRow="0" w:lastRow="0" w:firstColumn="0" w:lastColumn="0" w:oddVBand="0" w:evenVBand="0" w:oddHBand="0" w:evenHBand="0" w:firstRowFirstColumn="0" w:firstRowLastColumn="0" w:lastRowFirstColumn="0" w:lastRowLastColumn="0"/>
              <w:rPr>
                <w:b/>
              </w:rPr>
            </w:pPr>
          </w:p>
        </w:tc>
        <w:tc>
          <w:tcPr>
            <w:tcW w:w="1276" w:type="dxa"/>
            <w:tcBorders>
              <w:top w:val="single" w:sz="2" w:space="0" w:color="1F4E79" w:themeColor="accent1" w:themeShade="80"/>
              <w:left w:val="nil"/>
              <w:bottom w:val="nil"/>
              <w:right w:val="nil"/>
            </w:tcBorders>
          </w:tcPr>
          <w:p w14:paraId="55AB884C" w14:textId="77777777" w:rsidR="008B7E19" w:rsidRPr="00BD450B"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b/>
                <w:bCs/>
              </w:rPr>
            </w:pPr>
            <w:r w:rsidRPr="00BD450B">
              <w:rPr>
                <w:b/>
              </w:rPr>
              <w:t>3</w:t>
            </w:r>
            <w:r>
              <w:rPr>
                <w:b/>
              </w:rPr>
              <w:t>,</w:t>
            </w:r>
            <w:r w:rsidRPr="00BD450B">
              <w:rPr>
                <w:b/>
              </w:rPr>
              <w:t>274</w:t>
            </w:r>
          </w:p>
        </w:tc>
        <w:tc>
          <w:tcPr>
            <w:tcW w:w="1559" w:type="dxa"/>
            <w:tcBorders>
              <w:top w:val="single" w:sz="2" w:space="0" w:color="1F4E79" w:themeColor="accent1" w:themeShade="80"/>
              <w:left w:val="nil"/>
              <w:bottom w:val="nil"/>
              <w:right w:val="nil"/>
            </w:tcBorders>
          </w:tcPr>
          <w:p w14:paraId="3098A91F" w14:textId="77777777" w:rsidR="008B7E19" w:rsidRPr="00BD450B"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b/>
                <w:bCs/>
              </w:rPr>
            </w:pPr>
            <w:r w:rsidRPr="00BD450B">
              <w:rPr>
                <w:b/>
              </w:rPr>
              <w:t>2</w:t>
            </w:r>
            <w:r>
              <w:rPr>
                <w:b/>
              </w:rPr>
              <w:t>,</w:t>
            </w:r>
            <w:r w:rsidRPr="00BD450B">
              <w:rPr>
                <w:b/>
              </w:rPr>
              <w:t>626</w:t>
            </w:r>
          </w:p>
        </w:tc>
        <w:tc>
          <w:tcPr>
            <w:tcW w:w="280" w:type="dxa"/>
            <w:tcBorders>
              <w:top w:val="single" w:sz="2" w:space="0" w:color="1F4E79" w:themeColor="accent1" w:themeShade="80"/>
              <w:bottom w:val="nil"/>
            </w:tcBorders>
            <w:shd w:val="clear" w:color="auto" w:fill="auto"/>
            <w:vAlign w:val="center"/>
          </w:tcPr>
          <w:p w14:paraId="6B9CD81C" w14:textId="77777777" w:rsidR="008B7E19" w:rsidRPr="00BD450B"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b/>
                <w:bCs/>
              </w:rPr>
            </w:pPr>
          </w:p>
        </w:tc>
        <w:tc>
          <w:tcPr>
            <w:tcW w:w="1279" w:type="dxa"/>
            <w:tcBorders>
              <w:top w:val="single" w:sz="2" w:space="0" w:color="1F4E79" w:themeColor="accent1" w:themeShade="80"/>
              <w:left w:val="nil"/>
              <w:bottom w:val="nil"/>
              <w:right w:val="nil"/>
            </w:tcBorders>
          </w:tcPr>
          <w:p w14:paraId="7B1B9FCE" w14:textId="77777777" w:rsidR="008B7E19" w:rsidRPr="00BD450B"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b/>
                <w:bCs/>
              </w:rPr>
            </w:pPr>
            <w:r w:rsidRPr="00BD450B">
              <w:rPr>
                <w:b/>
              </w:rPr>
              <w:t>2</w:t>
            </w:r>
            <w:r>
              <w:rPr>
                <w:b/>
              </w:rPr>
              <w:t>,</w:t>
            </w:r>
            <w:r w:rsidRPr="00BD450B">
              <w:rPr>
                <w:b/>
              </w:rPr>
              <w:t>407</w:t>
            </w:r>
            <w:r>
              <w:rPr>
                <w:b/>
              </w:rPr>
              <w:t>,</w:t>
            </w:r>
            <w:r w:rsidRPr="00BD450B">
              <w:rPr>
                <w:b/>
              </w:rPr>
              <w:t>960</w:t>
            </w:r>
          </w:p>
        </w:tc>
        <w:tc>
          <w:tcPr>
            <w:tcW w:w="1559" w:type="dxa"/>
            <w:tcBorders>
              <w:top w:val="single" w:sz="2" w:space="0" w:color="1F4E79" w:themeColor="accent1" w:themeShade="80"/>
              <w:left w:val="nil"/>
              <w:bottom w:val="nil"/>
              <w:right w:val="nil"/>
            </w:tcBorders>
          </w:tcPr>
          <w:p w14:paraId="6DCEA8EE" w14:textId="77777777" w:rsidR="008B7E19" w:rsidRPr="00BD450B"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b/>
                <w:bCs/>
              </w:rPr>
            </w:pPr>
            <w:r w:rsidRPr="00BD450B">
              <w:rPr>
                <w:b/>
              </w:rPr>
              <w:t>2</w:t>
            </w:r>
            <w:r>
              <w:rPr>
                <w:b/>
              </w:rPr>
              <w:t>,</w:t>
            </w:r>
            <w:r w:rsidRPr="00BD450B">
              <w:rPr>
                <w:b/>
              </w:rPr>
              <w:t>103</w:t>
            </w:r>
            <w:r>
              <w:rPr>
                <w:b/>
              </w:rPr>
              <w:t>,</w:t>
            </w:r>
            <w:r w:rsidRPr="00BD450B">
              <w:rPr>
                <w:b/>
              </w:rPr>
              <w:t>601</w:t>
            </w:r>
          </w:p>
        </w:tc>
      </w:tr>
      <w:tr w:rsidR="008B7E19" w:rsidRPr="00DB02F0" w14:paraId="7CB95942"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auto"/>
            <w:vAlign w:val="center"/>
          </w:tcPr>
          <w:p w14:paraId="537A169C" w14:textId="77777777" w:rsidR="008B7E19" w:rsidRPr="009768B6" w:rsidRDefault="008B7E19" w:rsidP="008B7E19">
            <w:pPr>
              <w:pStyle w:val="08-Tabelageral"/>
              <w:ind w:left="113"/>
              <w:jc w:val="left"/>
              <w:rPr>
                <w:b w:val="0"/>
              </w:rPr>
            </w:pPr>
            <w:r w:rsidRPr="009768B6">
              <w:rPr>
                <w:b w:val="0"/>
              </w:rPr>
              <w:t>Commissions income</w:t>
            </w:r>
          </w:p>
        </w:tc>
        <w:tc>
          <w:tcPr>
            <w:tcW w:w="709" w:type="dxa"/>
            <w:tcBorders>
              <w:top w:val="nil"/>
              <w:bottom w:val="nil"/>
            </w:tcBorders>
            <w:shd w:val="clear" w:color="auto" w:fill="auto"/>
            <w:vAlign w:val="center"/>
          </w:tcPr>
          <w:p w14:paraId="0DC25237" w14:textId="77777777" w:rsidR="008B7E19" w:rsidRPr="00165BD7" w:rsidRDefault="008B7E19" w:rsidP="008B7E19">
            <w:pPr>
              <w:pStyle w:val="08-Tabelageral"/>
              <w:ind w:left="112"/>
              <w:jc w:val="center"/>
              <w:cnfStyle w:val="000000100000" w:firstRow="0" w:lastRow="0" w:firstColumn="0" w:lastColumn="0" w:oddVBand="0" w:evenVBand="0" w:oddHBand="1" w:evenHBand="0" w:firstRowFirstColumn="0" w:firstRowLastColumn="0" w:lastRowFirstColumn="0" w:lastRowLastColumn="0"/>
            </w:pPr>
            <w:r w:rsidRPr="00B10394">
              <w:t>[8]</w:t>
            </w:r>
          </w:p>
        </w:tc>
        <w:tc>
          <w:tcPr>
            <w:tcW w:w="1276" w:type="dxa"/>
            <w:tcBorders>
              <w:top w:val="nil"/>
              <w:left w:val="nil"/>
              <w:bottom w:val="nil"/>
              <w:right w:val="nil"/>
            </w:tcBorders>
            <w:shd w:val="clear" w:color="auto" w:fill="FFFFFF" w:themeFill="background1"/>
          </w:tcPr>
          <w:p w14:paraId="72D8BEE6" w14:textId="77777777" w:rsidR="008B7E19" w:rsidRPr="00DB02F0" w:rsidRDefault="008B7E19" w:rsidP="008B7E19">
            <w:pPr>
              <w:pStyle w:val="08-Tabelageral"/>
              <w:ind w:left="113"/>
              <w:cnfStyle w:val="000000100000" w:firstRow="0" w:lastRow="0" w:firstColumn="0" w:lastColumn="0" w:oddVBand="0" w:evenVBand="0" w:oddHBand="1" w:evenHBand="0" w:firstRowFirstColumn="0" w:firstRowLastColumn="0" w:lastRowFirstColumn="0" w:lastRowLastColumn="0"/>
            </w:pPr>
            <w:r w:rsidRPr="00035FEE">
              <w:t>--</w:t>
            </w:r>
          </w:p>
        </w:tc>
        <w:tc>
          <w:tcPr>
            <w:tcW w:w="1559" w:type="dxa"/>
            <w:tcBorders>
              <w:top w:val="nil"/>
              <w:left w:val="nil"/>
              <w:bottom w:val="nil"/>
              <w:right w:val="nil"/>
            </w:tcBorders>
            <w:shd w:val="clear" w:color="auto" w:fill="FFFFFF" w:themeFill="background1"/>
          </w:tcPr>
          <w:p w14:paraId="0020833B" w14:textId="77777777" w:rsidR="008B7E19" w:rsidRPr="00DB02F0" w:rsidRDefault="008B7E19" w:rsidP="008B7E19">
            <w:pPr>
              <w:pStyle w:val="08-Tabelageral"/>
              <w:ind w:left="113"/>
              <w:cnfStyle w:val="000000100000" w:firstRow="0" w:lastRow="0" w:firstColumn="0" w:lastColumn="0" w:oddVBand="0" w:evenVBand="0" w:oddHBand="1" w:evenHBand="0" w:firstRowFirstColumn="0" w:firstRowLastColumn="0" w:lastRowFirstColumn="0" w:lastRowLastColumn="0"/>
            </w:pPr>
            <w:r w:rsidRPr="00035FEE">
              <w:t>--</w:t>
            </w:r>
          </w:p>
        </w:tc>
        <w:tc>
          <w:tcPr>
            <w:tcW w:w="280" w:type="dxa"/>
            <w:tcBorders>
              <w:top w:val="nil"/>
              <w:bottom w:val="nil"/>
            </w:tcBorders>
            <w:shd w:val="clear" w:color="auto" w:fill="FFFFFF" w:themeFill="background1"/>
            <w:vAlign w:val="center"/>
          </w:tcPr>
          <w:p w14:paraId="7A5723B4" w14:textId="77777777" w:rsidR="008B7E19" w:rsidRPr="00DB02F0" w:rsidRDefault="008B7E19" w:rsidP="008B7E19">
            <w:pPr>
              <w:pStyle w:val="08-Tabelageral"/>
              <w:ind w:left="113"/>
              <w:cnfStyle w:val="000000100000" w:firstRow="0" w:lastRow="0" w:firstColumn="0" w:lastColumn="0" w:oddVBand="0" w:evenVBand="0" w:oddHBand="1" w:evenHBand="0" w:firstRowFirstColumn="0" w:firstRowLastColumn="0" w:lastRowFirstColumn="0" w:lastRowLastColumn="0"/>
            </w:pPr>
          </w:p>
        </w:tc>
        <w:tc>
          <w:tcPr>
            <w:tcW w:w="1279" w:type="dxa"/>
            <w:tcBorders>
              <w:top w:val="nil"/>
              <w:left w:val="nil"/>
              <w:bottom w:val="nil"/>
              <w:right w:val="nil"/>
            </w:tcBorders>
            <w:shd w:val="clear" w:color="auto" w:fill="FFFFFF" w:themeFill="background1"/>
          </w:tcPr>
          <w:p w14:paraId="7C01B636" w14:textId="77777777" w:rsidR="008B7E19" w:rsidRPr="00DB02F0" w:rsidRDefault="008B7E19" w:rsidP="008B7E19">
            <w:pPr>
              <w:pStyle w:val="08-Tabelageral"/>
              <w:ind w:left="113"/>
              <w:cnfStyle w:val="000000100000" w:firstRow="0" w:lastRow="0" w:firstColumn="0" w:lastColumn="0" w:oddVBand="0" w:evenVBand="0" w:oddHBand="1" w:evenHBand="0" w:firstRowFirstColumn="0" w:firstRowLastColumn="0" w:lastRowFirstColumn="0" w:lastRowLastColumn="0"/>
            </w:pPr>
            <w:r w:rsidRPr="00CB726D">
              <w:t>2</w:t>
            </w:r>
            <w:r>
              <w:t>,</w:t>
            </w:r>
            <w:r w:rsidRPr="00CB726D">
              <w:t>400</w:t>
            </w:r>
            <w:r>
              <w:t>,</w:t>
            </w:r>
            <w:r w:rsidRPr="00CB726D">
              <w:t>431</w:t>
            </w:r>
          </w:p>
        </w:tc>
        <w:tc>
          <w:tcPr>
            <w:tcW w:w="1559" w:type="dxa"/>
            <w:tcBorders>
              <w:top w:val="nil"/>
              <w:left w:val="nil"/>
              <w:bottom w:val="nil"/>
              <w:right w:val="nil"/>
            </w:tcBorders>
            <w:shd w:val="clear" w:color="auto" w:fill="FFFFFF" w:themeFill="background1"/>
          </w:tcPr>
          <w:p w14:paraId="68B82D93" w14:textId="77777777" w:rsidR="008B7E19" w:rsidRPr="00DB02F0" w:rsidRDefault="008B7E19" w:rsidP="008B7E19">
            <w:pPr>
              <w:pStyle w:val="08-Tabelageral"/>
              <w:ind w:left="113"/>
              <w:cnfStyle w:val="000000100000" w:firstRow="0" w:lastRow="0" w:firstColumn="0" w:lastColumn="0" w:oddVBand="0" w:evenVBand="0" w:oddHBand="1" w:evenHBand="0" w:firstRowFirstColumn="0" w:firstRowLastColumn="0" w:lastRowFirstColumn="0" w:lastRowLastColumn="0"/>
            </w:pPr>
            <w:r w:rsidRPr="00CB726D">
              <w:t>2</w:t>
            </w:r>
            <w:r>
              <w:t>,</w:t>
            </w:r>
            <w:r w:rsidRPr="00CB726D">
              <w:t>098</w:t>
            </w:r>
            <w:r>
              <w:t>,</w:t>
            </w:r>
            <w:r w:rsidRPr="00CB726D">
              <w:t>211</w:t>
            </w:r>
          </w:p>
        </w:tc>
      </w:tr>
      <w:tr w:rsidR="008B7E19" w:rsidRPr="001C7112" w14:paraId="17DC98A0" w14:textId="77777777" w:rsidTr="008B7E19">
        <w:trPr>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auto"/>
            <w:vAlign w:val="bottom"/>
          </w:tcPr>
          <w:p w14:paraId="6DA238A7" w14:textId="77777777" w:rsidR="008B7E19" w:rsidRPr="001C7112" w:rsidRDefault="008B7E19" w:rsidP="008B7E19">
            <w:pPr>
              <w:pStyle w:val="08-Tabelageral"/>
              <w:ind w:left="113"/>
              <w:jc w:val="left"/>
              <w:rPr>
                <w:b w:val="0"/>
              </w:rPr>
            </w:pPr>
            <w:r>
              <w:rPr>
                <w:b w:val="0"/>
              </w:rPr>
              <w:t>Other income</w:t>
            </w:r>
          </w:p>
        </w:tc>
        <w:tc>
          <w:tcPr>
            <w:tcW w:w="709" w:type="dxa"/>
            <w:tcBorders>
              <w:top w:val="nil"/>
              <w:bottom w:val="nil"/>
            </w:tcBorders>
            <w:shd w:val="clear" w:color="auto" w:fill="auto"/>
            <w:vAlign w:val="center"/>
          </w:tcPr>
          <w:p w14:paraId="03644C4B" w14:textId="77777777" w:rsidR="008B7E19" w:rsidRPr="00165BD7" w:rsidRDefault="008B7E19" w:rsidP="008B7E19">
            <w:pPr>
              <w:pStyle w:val="08-Tabelageral"/>
              <w:jc w:val="center"/>
              <w:cnfStyle w:val="000000000000" w:firstRow="0" w:lastRow="0" w:firstColumn="0" w:lastColumn="0" w:oddVBand="0" w:evenVBand="0" w:oddHBand="0" w:evenHBand="0" w:firstRowFirstColumn="0" w:firstRowLastColumn="0" w:lastRowFirstColumn="0" w:lastRowLastColumn="0"/>
            </w:pPr>
          </w:p>
        </w:tc>
        <w:tc>
          <w:tcPr>
            <w:tcW w:w="1276" w:type="dxa"/>
            <w:tcBorders>
              <w:top w:val="nil"/>
              <w:left w:val="nil"/>
              <w:bottom w:val="nil"/>
              <w:right w:val="nil"/>
            </w:tcBorders>
            <w:shd w:val="clear" w:color="auto" w:fill="FFFFFF" w:themeFill="background1"/>
          </w:tcPr>
          <w:p w14:paraId="39CF82D5" w14:textId="77777777" w:rsidR="008B7E19" w:rsidRPr="001C7112"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r w:rsidRPr="00035FEE">
              <w:t>3</w:t>
            </w:r>
            <w:r>
              <w:t>,</w:t>
            </w:r>
            <w:r w:rsidRPr="00035FEE">
              <w:t>274</w:t>
            </w:r>
          </w:p>
        </w:tc>
        <w:tc>
          <w:tcPr>
            <w:tcW w:w="1559" w:type="dxa"/>
            <w:tcBorders>
              <w:top w:val="nil"/>
              <w:left w:val="nil"/>
              <w:bottom w:val="nil"/>
              <w:right w:val="nil"/>
            </w:tcBorders>
            <w:shd w:val="clear" w:color="auto" w:fill="FFFFFF" w:themeFill="background1"/>
          </w:tcPr>
          <w:p w14:paraId="68DAF7F3" w14:textId="77777777" w:rsidR="008B7E19" w:rsidRPr="001C7112" w:rsidRDefault="008B7E19" w:rsidP="008B7E19">
            <w:pPr>
              <w:pStyle w:val="08-Tabelageral"/>
              <w:cnfStyle w:val="000000000000" w:firstRow="0" w:lastRow="0" w:firstColumn="0" w:lastColumn="0" w:oddVBand="0" w:evenVBand="0" w:oddHBand="0" w:evenHBand="0" w:firstRowFirstColumn="0" w:firstRowLastColumn="0" w:lastRowFirstColumn="0" w:lastRowLastColumn="0"/>
            </w:pPr>
            <w:r w:rsidRPr="00035FEE">
              <w:t>2</w:t>
            </w:r>
            <w:r>
              <w:t>,</w:t>
            </w:r>
            <w:r w:rsidRPr="00035FEE">
              <w:t>626</w:t>
            </w:r>
          </w:p>
        </w:tc>
        <w:tc>
          <w:tcPr>
            <w:tcW w:w="280" w:type="dxa"/>
            <w:tcBorders>
              <w:top w:val="nil"/>
              <w:bottom w:val="nil"/>
            </w:tcBorders>
            <w:shd w:val="clear" w:color="auto" w:fill="FFFFFF" w:themeFill="background1"/>
            <w:vAlign w:val="center"/>
          </w:tcPr>
          <w:p w14:paraId="33670590" w14:textId="77777777" w:rsidR="008B7E19" w:rsidRPr="001C7112"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p>
        </w:tc>
        <w:tc>
          <w:tcPr>
            <w:tcW w:w="1279" w:type="dxa"/>
            <w:tcBorders>
              <w:top w:val="nil"/>
              <w:left w:val="nil"/>
              <w:bottom w:val="nil"/>
              <w:right w:val="nil"/>
            </w:tcBorders>
            <w:shd w:val="clear" w:color="auto" w:fill="FFFFFF" w:themeFill="background1"/>
          </w:tcPr>
          <w:p w14:paraId="124D2874" w14:textId="77777777" w:rsidR="008B7E19" w:rsidRPr="001C7112"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r w:rsidRPr="00CB726D">
              <w:t>7</w:t>
            </w:r>
            <w:r>
              <w:t>,</w:t>
            </w:r>
            <w:r w:rsidRPr="00CB726D">
              <w:t>529</w:t>
            </w:r>
          </w:p>
        </w:tc>
        <w:tc>
          <w:tcPr>
            <w:tcW w:w="1559" w:type="dxa"/>
            <w:tcBorders>
              <w:top w:val="nil"/>
              <w:left w:val="nil"/>
              <w:bottom w:val="nil"/>
              <w:right w:val="nil"/>
            </w:tcBorders>
            <w:shd w:val="clear" w:color="auto" w:fill="FFFFFF" w:themeFill="background1"/>
          </w:tcPr>
          <w:p w14:paraId="35159407" w14:textId="77777777" w:rsidR="008B7E19" w:rsidRPr="001C7112" w:rsidRDefault="008B7E19" w:rsidP="008B7E19">
            <w:pPr>
              <w:pStyle w:val="08-Tabelageral"/>
              <w:cnfStyle w:val="000000000000" w:firstRow="0" w:lastRow="0" w:firstColumn="0" w:lastColumn="0" w:oddVBand="0" w:evenVBand="0" w:oddHBand="0" w:evenHBand="0" w:firstRowFirstColumn="0" w:firstRowLastColumn="0" w:lastRowFirstColumn="0" w:lastRowLastColumn="0"/>
            </w:pPr>
            <w:r w:rsidRPr="00CB726D">
              <w:t>5</w:t>
            </w:r>
            <w:r>
              <w:t>,</w:t>
            </w:r>
            <w:r w:rsidRPr="00CB726D">
              <w:t>390</w:t>
            </w:r>
          </w:p>
        </w:tc>
      </w:tr>
      <w:tr w:rsidR="008B7E19" w:rsidRPr="001C7112" w14:paraId="0ED38920"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auto"/>
            <w:vAlign w:val="bottom"/>
          </w:tcPr>
          <w:p w14:paraId="04D801ED" w14:textId="77777777" w:rsidR="008B7E19" w:rsidRPr="001C7112" w:rsidRDefault="008B7E19" w:rsidP="008B7E19">
            <w:pPr>
              <w:pStyle w:val="08-Tabelageral"/>
              <w:ind w:left="113"/>
              <w:jc w:val="left"/>
              <w:rPr>
                <w:b w:val="0"/>
              </w:rPr>
            </w:pPr>
          </w:p>
        </w:tc>
        <w:tc>
          <w:tcPr>
            <w:tcW w:w="709" w:type="dxa"/>
            <w:tcBorders>
              <w:top w:val="nil"/>
              <w:bottom w:val="nil"/>
            </w:tcBorders>
            <w:shd w:val="clear" w:color="auto" w:fill="auto"/>
            <w:vAlign w:val="center"/>
          </w:tcPr>
          <w:p w14:paraId="6DCEA5BB" w14:textId="77777777" w:rsidR="008B7E19" w:rsidRPr="00165BD7" w:rsidRDefault="008B7E19" w:rsidP="008B7E19">
            <w:pPr>
              <w:pStyle w:val="08-Tabelageral"/>
              <w:jc w:val="center"/>
              <w:cnfStyle w:val="000000100000" w:firstRow="0" w:lastRow="0" w:firstColumn="0" w:lastColumn="0" w:oddVBand="0" w:evenVBand="0" w:oddHBand="1" w:evenHBand="0" w:firstRowFirstColumn="0" w:firstRowLastColumn="0" w:lastRowFirstColumn="0" w:lastRowLastColumn="0"/>
            </w:pPr>
          </w:p>
        </w:tc>
        <w:tc>
          <w:tcPr>
            <w:tcW w:w="1276" w:type="dxa"/>
            <w:tcBorders>
              <w:top w:val="nil"/>
              <w:left w:val="nil"/>
              <w:bottom w:val="nil"/>
              <w:right w:val="nil"/>
            </w:tcBorders>
            <w:shd w:val="clear" w:color="auto" w:fill="FFFFFF" w:themeFill="background1"/>
          </w:tcPr>
          <w:p w14:paraId="2BB8DF76" w14:textId="77777777" w:rsidR="008B7E19" w:rsidRPr="001C7112"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559" w:type="dxa"/>
            <w:tcBorders>
              <w:top w:val="nil"/>
              <w:left w:val="nil"/>
              <w:bottom w:val="nil"/>
              <w:right w:val="nil"/>
            </w:tcBorders>
            <w:shd w:val="clear" w:color="auto" w:fill="FFFFFF" w:themeFill="background1"/>
          </w:tcPr>
          <w:p w14:paraId="6E617453" w14:textId="77777777" w:rsidR="008B7E19" w:rsidRPr="001C7112" w:rsidRDefault="008B7E19" w:rsidP="008B7E19">
            <w:pPr>
              <w:pStyle w:val="08-Tabelageral"/>
              <w:cnfStyle w:val="000000100000" w:firstRow="0" w:lastRow="0" w:firstColumn="0" w:lastColumn="0" w:oddVBand="0" w:evenVBand="0" w:oddHBand="1" w:evenHBand="0" w:firstRowFirstColumn="0" w:firstRowLastColumn="0" w:lastRowFirstColumn="0" w:lastRowLastColumn="0"/>
            </w:pPr>
          </w:p>
        </w:tc>
        <w:tc>
          <w:tcPr>
            <w:tcW w:w="280" w:type="dxa"/>
            <w:tcBorders>
              <w:top w:val="nil"/>
              <w:bottom w:val="nil"/>
            </w:tcBorders>
            <w:shd w:val="clear" w:color="auto" w:fill="FFFFFF" w:themeFill="background1"/>
            <w:vAlign w:val="center"/>
          </w:tcPr>
          <w:p w14:paraId="2BB898C7" w14:textId="77777777" w:rsidR="008B7E19" w:rsidRPr="001C7112"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279" w:type="dxa"/>
            <w:tcBorders>
              <w:top w:val="nil"/>
              <w:left w:val="nil"/>
              <w:bottom w:val="nil"/>
              <w:right w:val="nil"/>
            </w:tcBorders>
            <w:shd w:val="clear" w:color="auto" w:fill="FFFFFF" w:themeFill="background1"/>
          </w:tcPr>
          <w:p w14:paraId="63C9D140" w14:textId="77777777" w:rsidR="008B7E19" w:rsidRPr="001C7112"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559" w:type="dxa"/>
            <w:tcBorders>
              <w:top w:val="nil"/>
              <w:left w:val="nil"/>
              <w:bottom w:val="nil"/>
              <w:right w:val="nil"/>
            </w:tcBorders>
            <w:shd w:val="clear" w:color="auto" w:fill="FFFFFF" w:themeFill="background1"/>
          </w:tcPr>
          <w:p w14:paraId="506D5E9D" w14:textId="77777777" w:rsidR="008B7E19" w:rsidRPr="001C7112" w:rsidRDefault="008B7E19" w:rsidP="008B7E19">
            <w:pPr>
              <w:pStyle w:val="08-Tabelageral"/>
              <w:cnfStyle w:val="000000100000" w:firstRow="0" w:lastRow="0" w:firstColumn="0" w:lastColumn="0" w:oddVBand="0" w:evenVBand="0" w:oddHBand="1" w:evenHBand="0" w:firstRowFirstColumn="0" w:firstRowLastColumn="0" w:lastRowFirstColumn="0" w:lastRowLastColumn="0"/>
            </w:pPr>
          </w:p>
        </w:tc>
      </w:tr>
      <w:tr w:rsidR="008B7E19" w:rsidRPr="00BD450B" w14:paraId="1CEED584" w14:textId="77777777" w:rsidTr="008B7E19">
        <w:trPr>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auto"/>
            <w:vAlign w:val="center"/>
          </w:tcPr>
          <w:p w14:paraId="64404D2A" w14:textId="77777777" w:rsidR="008B7E19" w:rsidRPr="00BD450B" w:rsidRDefault="008B7E19" w:rsidP="008B7E19">
            <w:pPr>
              <w:pStyle w:val="08-Tabelageral"/>
              <w:jc w:val="left"/>
              <w:rPr>
                <w:lang w:val="en-US"/>
              </w:rPr>
            </w:pPr>
            <w:r w:rsidRPr="00BD450B">
              <w:rPr>
                <w:lang w:val="en-US"/>
              </w:rPr>
              <w:t>Input Acquired from Third Parties</w:t>
            </w:r>
          </w:p>
        </w:tc>
        <w:tc>
          <w:tcPr>
            <w:tcW w:w="709" w:type="dxa"/>
            <w:tcBorders>
              <w:top w:val="nil"/>
              <w:bottom w:val="nil"/>
            </w:tcBorders>
            <w:shd w:val="clear" w:color="auto" w:fill="auto"/>
            <w:vAlign w:val="center"/>
          </w:tcPr>
          <w:p w14:paraId="11DD3B79" w14:textId="77777777" w:rsidR="008B7E19" w:rsidRPr="00BD450B" w:rsidRDefault="008B7E19" w:rsidP="008B7E19">
            <w:pPr>
              <w:pStyle w:val="08-Tabelageral"/>
              <w:jc w:val="center"/>
              <w:cnfStyle w:val="000000000000" w:firstRow="0" w:lastRow="0" w:firstColumn="0" w:lastColumn="0" w:oddVBand="0" w:evenVBand="0" w:oddHBand="0" w:evenHBand="0" w:firstRowFirstColumn="0" w:firstRowLastColumn="0" w:lastRowFirstColumn="0" w:lastRowLastColumn="0"/>
              <w:rPr>
                <w:b/>
                <w:lang w:val="en-US"/>
              </w:rPr>
            </w:pPr>
          </w:p>
        </w:tc>
        <w:tc>
          <w:tcPr>
            <w:tcW w:w="1276" w:type="dxa"/>
            <w:tcBorders>
              <w:top w:val="nil"/>
              <w:left w:val="nil"/>
              <w:bottom w:val="nil"/>
              <w:right w:val="nil"/>
            </w:tcBorders>
            <w:shd w:val="clear" w:color="auto" w:fill="FFFFFF" w:themeFill="background1"/>
          </w:tcPr>
          <w:p w14:paraId="6F3F440E" w14:textId="77777777" w:rsidR="008B7E19" w:rsidRPr="00BD450B"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b/>
                <w:bCs/>
              </w:rPr>
            </w:pPr>
            <w:r w:rsidRPr="00BD450B">
              <w:rPr>
                <w:b/>
              </w:rPr>
              <w:t>(1</w:t>
            </w:r>
            <w:r>
              <w:rPr>
                <w:b/>
              </w:rPr>
              <w:t>,</w:t>
            </w:r>
            <w:r w:rsidRPr="00BD450B">
              <w:rPr>
                <w:b/>
              </w:rPr>
              <w:t>610)</w:t>
            </w:r>
          </w:p>
        </w:tc>
        <w:tc>
          <w:tcPr>
            <w:tcW w:w="1559" w:type="dxa"/>
            <w:tcBorders>
              <w:top w:val="nil"/>
              <w:left w:val="nil"/>
              <w:bottom w:val="nil"/>
              <w:right w:val="nil"/>
            </w:tcBorders>
            <w:shd w:val="clear" w:color="auto" w:fill="FFFFFF" w:themeFill="background1"/>
          </w:tcPr>
          <w:p w14:paraId="6922C8A4" w14:textId="77777777" w:rsidR="008B7E19" w:rsidRPr="00BD450B"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b/>
                <w:bCs/>
              </w:rPr>
            </w:pPr>
            <w:r w:rsidRPr="00BD450B">
              <w:rPr>
                <w:b/>
              </w:rPr>
              <w:t>(1</w:t>
            </w:r>
            <w:r>
              <w:rPr>
                <w:b/>
              </w:rPr>
              <w:t>,</w:t>
            </w:r>
            <w:r w:rsidRPr="00BD450B">
              <w:rPr>
                <w:b/>
              </w:rPr>
              <w:t>800)</w:t>
            </w:r>
          </w:p>
        </w:tc>
        <w:tc>
          <w:tcPr>
            <w:tcW w:w="280" w:type="dxa"/>
            <w:tcBorders>
              <w:top w:val="nil"/>
              <w:bottom w:val="nil"/>
            </w:tcBorders>
            <w:shd w:val="clear" w:color="auto" w:fill="FFFFFF" w:themeFill="background1"/>
            <w:vAlign w:val="center"/>
          </w:tcPr>
          <w:p w14:paraId="767829A5" w14:textId="77777777" w:rsidR="008B7E19" w:rsidRPr="00BD450B"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b/>
                <w:bCs/>
              </w:rPr>
            </w:pPr>
          </w:p>
        </w:tc>
        <w:tc>
          <w:tcPr>
            <w:tcW w:w="1279" w:type="dxa"/>
            <w:tcBorders>
              <w:top w:val="nil"/>
              <w:left w:val="nil"/>
              <w:bottom w:val="nil"/>
              <w:right w:val="nil"/>
            </w:tcBorders>
            <w:shd w:val="clear" w:color="auto" w:fill="FFFFFF" w:themeFill="background1"/>
          </w:tcPr>
          <w:p w14:paraId="7AE2989F" w14:textId="77777777" w:rsidR="008B7E19" w:rsidRPr="00BD450B"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b/>
                <w:bCs/>
              </w:rPr>
            </w:pPr>
            <w:r w:rsidRPr="00BD450B">
              <w:rPr>
                <w:b/>
              </w:rPr>
              <w:t>(135</w:t>
            </w:r>
            <w:r>
              <w:rPr>
                <w:b/>
              </w:rPr>
              <w:t>,</w:t>
            </w:r>
            <w:r w:rsidRPr="00BD450B">
              <w:rPr>
                <w:b/>
              </w:rPr>
              <w:t>242)</w:t>
            </w:r>
          </w:p>
        </w:tc>
        <w:tc>
          <w:tcPr>
            <w:tcW w:w="1559" w:type="dxa"/>
            <w:tcBorders>
              <w:top w:val="nil"/>
              <w:left w:val="nil"/>
              <w:bottom w:val="nil"/>
              <w:right w:val="nil"/>
            </w:tcBorders>
            <w:shd w:val="clear" w:color="auto" w:fill="FFFFFF" w:themeFill="background1"/>
          </w:tcPr>
          <w:p w14:paraId="62060B5D" w14:textId="77777777" w:rsidR="008B7E19" w:rsidRPr="00BD450B"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b/>
                <w:bCs/>
              </w:rPr>
            </w:pPr>
            <w:r w:rsidRPr="00BD450B">
              <w:rPr>
                <w:b/>
              </w:rPr>
              <w:t>(148</w:t>
            </w:r>
            <w:r>
              <w:rPr>
                <w:b/>
              </w:rPr>
              <w:t>,</w:t>
            </w:r>
            <w:r w:rsidRPr="00BD450B">
              <w:rPr>
                <w:b/>
              </w:rPr>
              <w:t>634)</w:t>
            </w:r>
          </w:p>
        </w:tc>
      </w:tr>
      <w:tr w:rsidR="008B7E19" w:rsidRPr="00DB02F0" w14:paraId="17885647"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auto"/>
            <w:vAlign w:val="center"/>
          </w:tcPr>
          <w:p w14:paraId="1181DD8E" w14:textId="77777777" w:rsidR="008B7E19" w:rsidRPr="009768B6" w:rsidRDefault="008B7E19" w:rsidP="008B7E19">
            <w:pPr>
              <w:pStyle w:val="08-Tabelageral"/>
              <w:ind w:left="113"/>
              <w:jc w:val="left"/>
              <w:rPr>
                <w:b w:val="0"/>
              </w:rPr>
            </w:pPr>
            <w:r w:rsidRPr="009768B6">
              <w:rPr>
                <w:b w:val="0"/>
              </w:rPr>
              <w:t>Administrative expenses diverse</w:t>
            </w:r>
          </w:p>
        </w:tc>
        <w:tc>
          <w:tcPr>
            <w:tcW w:w="709" w:type="dxa"/>
            <w:tcBorders>
              <w:top w:val="nil"/>
              <w:bottom w:val="nil"/>
            </w:tcBorders>
            <w:shd w:val="clear" w:color="auto" w:fill="auto"/>
            <w:vAlign w:val="center"/>
          </w:tcPr>
          <w:p w14:paraId="3E1D57B1" w14:textId="77777777" w:rsidR="008B7E19" w:rsidRPr="00165BD7" w:rsidRDefault="008B7E19" w:rsidP="008B7E19">
            <w:pPr>
              <w:pStyle w:val="08-Tabelageral"/>
              <w:ind w:left="113"/>
              <w:jc w:val="center"/>
              <w:cnfStyle w:val="000000100000" w:firstRow="0" w:lastRow="0" w:firstColumn="0" w:lastColumn="0" w:oddVBand="0" w:evenVBand="0" w:oddHBand="1" w:evenHBand="0" w:firstRowFirstColumn="0" w:firstRowLastColumn="0" w:lastRowFirstColumn="0" w:lastRowLastColumn="0"/>
            </w:pPr>
          </w:p>
        </w:tc>
        <w:tc>
          <w:tcPr>
            <w:tcW w:w="1276" w:type="dxa"/>
            <w:tcBorders>
              <w:top w:val="nil"/>
              <w:left w:val="nil"/>
              <w:bottom w:val="nil"/>
              <w:right w:val="nil"/>
            </w:tcBorders>
            <w:shd w:val="clear" w:color="auto" w:fill="FFFFFF" w:themeFill="background1"/>
          </w:tcPr>
          <w:p w14:paraId="06BA099B" w14:textId="77777777" w:rsidR="008B7E19" w:rsidRPr="00DB02F0" w:rsidRDefault="008B7E19" w:rsidP="008B7E19">
            <w:pPr>
              <w:pStyle w:val="08-Tabelageral"/>
              <w:ind w:left="113"/>
              <w:cnfStyle w:val="000000100000" w:firstRow="0" w:lastRow="0" w:firstColumn="0" w:lastColumn="0" w:oddVBand="0" w:evenVBand="0" w:oddHBand="1" w:evenHBand="0" w:firstRowFirstColumn="0" w:firstRowLastColumn="0" w:lastRowFirstColumn="0" w:lastRowLastColumn="0"/>
            </w:pPr>
            <w:r w:rsidRPr="00035FEE">
              <w:t>(1</w:t>
            </w:r>
            <w:r>
              <w:t>,</w:t>
            </w:r>
            <w:r w:rsidRPr="00035FEE">
              <w:t>518)</w:t>
            </w:r>
          </w:p>
        </w:tc>
        <w:tc>
          <w:tcPr>
            <w:tcW w:w="1559" w:type="dxa"/>
            <w:tcBorders>
              <w:top w:val="nil"/>
              <w:left w:val="nil"/>
              <w:bottom w:val="nil"/>
              <w:right w:val="nil"/>
            </w:tcBorders>
            <w:shd w:val="clear" w:color="auto" w:fill="FFFFFF" w:themeFill="background1"/>
          </w:tcPr>
          <w:p w14:paraId="2A0F2CCB" w14:textId="77777777" w:rsidR="008B7E19" w:rsidRPr="00DB02F0" w:rsidRDefault="008B7E19" w:rsidP="008B7E19">
            <w:pPr>
              <w:pStyle w:val="08-Tabelageral"/>
              <w:ind w:left="113"/>
              <w:cnfStyle w:val="000000100000" w:firstRow="0" w:lastRow="0" w:firstColumn="0" w:lastColumn="0" w:oddVBand="0" w:evenVBand="0" w:oddHBand="1" w:evenHBand="0" w:firstRowFirstColumn="0" w:firstRowLastColumn="0" w:lastRowFirstColumn="0" w:lastRowLastColumn="0"/>
            </w:pPr>
            <w:r w:rsidRPr="00035FEE">
              <w:t>(1</w:t>
            </w:r>
            <w:r>
              <w:t>,</w:t>
            </w:r>
            <w:r w:rsidRPr="00035FEE">
              <w:t>725)</w:t>
            </w:r>
          </w:p>
        </w:tc>
        <w:tc>
          <w:tcPr>
            <w:tcW w:w="280" w:type="dxa"/>
            <w:tcBorders>
              <w:top w:val="nil"/>
              <w:bottom w:val="nil"/>
            </w:tcBorders>
            <w:shd w:val="clear" w:color="auto" w:fill="FFFFFF" w:themeFill="background1"/>
            <w:vAlign w:val="center"/>
          </w:tcPr>
          <w:p w14:paraId="2336250A" w14:textId="77777777" w:rsidR="008B7E19" w:rsidRPr="00DB02F0" w:rsidRDefault="008B7E19" w:rsidP="008B7E19">
            <w:pPr>
              <w:pStyle w:val="08-Tabelageral"/>
              <w:ind w:left="113"/>
              <w:cnfStyle w:val="000000100000" w:firstRow="0" w:lastRow="0" w:firstColumn="0" w:lastColumn="0" w:oddVBand="0" w:evenVBand="0" w:oddHBand="1" w:evenHBand="0" w:firstRowFirstColumn="0" w:firstRowLastColumn="0" w:lastRowFirstColumn="0" w:lastRowLastColumn="0"/>
            </w:pPr>
          </w:p>
        </w:tc>
        <w:tc>
          <w:tcPr>
            <w:tcW w:w="1279" w:type="dxa"/>
            <w:tcBorders>
              <w:top w:val="nil"/>
              <w:left w:val="nil"/>
              <w:bottom w:val="nil"/>
              <w:right w:val="nil"/>
            </w:tcBorders>
            <w:shd w:val="clear" w:color="auto" w:fill="FFFFFF" w:themeFill="background1"/>
          </w:tcPr>
          <w:p w14:paraId="6F37BA6F" w14:textId="77777777" w:rsidR="008B7E19" w:rsidRPr="00DB02F0" w:rsidRDefault="008B7E19" w:rsidP="008B7E19">
            <w:pPr>
              <w:pStyle w:val="08-Tabelageral"/>
              <w:ind w:left="113"/>
              <w:cnfStyle w:val="000000100000" w:firstRow="0" w:lastRow="0" w:firstColumn="0" w:lastColumn="0" w:oddVBand="0" w:evenVBand="0" w:oddHBand="1" w:evenHBand="0" w:firstRowFirstColumn="0" w:firstRowLastColumn="0" w:lastRowFirstColumn="0" w:lastRowLastColumn="0"/>
            </w:pPr>
            <w:r w:rsidRPr="00CB726D">
              <w:t>(20</w:t>
            </w:r>
            <w:r>
              <w:t>,</w:t>
            </w:r>
            <w:r w:rsidRPr="00CB726D">
              <w:t>400)</w:t>
            </w:r>
          </w:p>
        </w:tc>
        <w:tc>
          <w:tcPr>
            <w:tcW w:w="1559" w:type="dxa"/>
            <w:tcBorders>
              <w:top w:val="nil"/>
              <w:left w:val="nil"/>
              <w:bottom w:val="nil"/>
              <w:right w:val="nil"/>
            </w:tcBorders>
            <w:shd w:val="clear" w:color="auto" w:fill="FFFFFF" w:themeFill="background1"/>
          </w:tcPr>
          <w:p w14:paraId="47F8314E" w14:textId="77777777" w:rsidR="008B7E19" w:rsidRPr="00DB02F0" w:rsidRDefault="008B7E19" w:rsidP="008B7E19">
            <w:pPr>
              <w:pStyle w:val="08-Tabelageral"/>
              <w:ind w:left="113"/>
              <w:cnfStyle w:val="000000100000" w:firstRow="0" w:lastRow="0" w:firstColumn="0" w:lastColumn="0" w:oddVBand="0" w:evenVBand="0" w:oddHBand="1" w:evenHBand="0" w:firstRowFirstColumn="0" w:firstRowLastColumn="0" w:lastRowFirstColumn="0" w:lastRowLastColumn="0"/>
            </w:pPr>
            <w:r w:rsidRPr="00CB726D">
              <w:t>(11</w:t>
            </w:r>
            <w:r>
              <w:t>,</w:t>
            </w:r>
            <w:r w:rsidRPr="00CB726D">
              <w:t>713)</w:t>
            </w:r>
          </w:p>
        </w:tc>
      </w:tr>
      <w:tr w:rsidR="008B7E19" w:rsidRPr="00DB02F0" w14:paraId="61A1CA26" w14:textId="77777777" w:rsidTr="008B7E19">
        <w:trPr>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auto"/>
            <w:vAlign w:val="center"/>
          </w:tcPr>
          <w:p w14:paraId="6462AC92" w14:textId="77777777" w:rsidR="008B7E19" w:rsidRPr="009768B6" w:rsidRDefault="008B7E19" w:rsidP="008B7E19">
            <w:pPr>
              <w:pStyle w:val="08-Tabelageral"/>
              <w:ind w:left="113"/>
              <w:jc w:val="left"/>
              <w:rPr>
                <w:b w:val="0"/>
              </w:rPr>
            </w:pPr>
            <w:r w:rsidRPr="009768B6">
              <w:rPr>
                <w:b w:val="0"/>
              </w:rPr>
              <w:t>Cost of services provided</w:t>
            </w:r>
          </w:p>
        </w:tc>
        <w:tc>
          <w:tcPr>
            <w:tcW w:w="709" w:type="dxa"/>
            <w:tcBorders>
              <w:top w:val="nil"/>
              <w:bottom w:val="nil"/>
            </w:tcBorders>
            <w:shd w:val="clear" w:color="auto" w:fill="auto"/>
            <w:vAlign w:val="center"/>
          </w:tcPr>
          <w:p w14:paraId="38834185" w14:textId="77777777" w:rsidR="008B7E19" w:rsidRPr="00165BD7" w:rsidRDefault="008B7E19" w:rsidP="008B7E19">
            <w:pPr>
              <w:pStyle w:val="08-Tabelageral"/>
              <w:ind w:left="113"/>
              <w:jc w:val="center"/>
              <w:cnfStyle w:val="000000000000" w:firstRow="0" w:lastRow="0" w:firstColumn="0" w:lastColumn="0" w:oddVBand="0" w:evenVBand="0" w:oddHBand="0" w:evenHBand="0" w:firstRowFirstColumn="0" w:firstRowLastColumn="0" w:lastRowFirstColumn="0" w:lastRowLastColumn="0"/>
            </w:pPr>
            <w:r w:rsidRPr="00B10394">
              <w:t>[9]</w:t>
            </w:r>
          </w:p>
        </w:tc>
        <w:tc>
          <w:tcPr>
            <w:tcW w:w="1276" w:type="dxa"/>
            <w:tcBorders>
              <w:top w:val="nil"/>
              <w:left w:val="nil"/>
              <w:bottom w:val="nil"/>
              <w:right w:val="nil"/>
            </w:tcBorders>
            <w:shd w:val="clear" w:color="auto" w:fill="FFFFFF" w:themeFill="background1"/>
          </w:tcPr>
          <w:p w14:paraId="1E75550C" w14:textId="77777777" w:rsidR="008B7E19" w:rsidRPr="00DB02F0" w:rsidRDefault="008B7E19" w:rsidP="008B7E19">
            <w:pPr>
              <w:pStyle w:val="08-Tabelageral"/>
              <w:ind w:left="113"/>
              <w:cnfStyle w:val="000000000000" w:firstRow="0" w:lastRow="0" w:firstColumn="0" w:lastColumn="0" w:oddVBand="0" w:evenVBand="0" w:oddHBand="0" w:evenHBand="0" w:firstRowFirstColumn="0" w:firstRowLastColumn="0" w:lastRowFirstColumn="0" w:lastRowLastColumn="0"/>
            </w:pPr>
            <w:r w:rsidRPr="00035FEE">
              <w:t>--</w:t>
            </w:r>
          </w:p>
        </w:tc>
        <w:tc>
          <w:tcPr>
            <w:tcW w:w="1559" w:type="dxa"/>
            <w:tcBorders>
              <w:top w:val="nil"/>
              <w:left w:val="nil"/>
              <w:bottom w:val="nil"/>
              <w:right w:val="nil"/>
            </w:tcBorders>
            <w:shd w:val="clear" w:color="auto" w:fill="FFFFFF" w:themeFill="background1"/>
          </w:tcPr>
          <w:p w14:paraId="164C7D03" w14:textId="77777777" w:rsidR="008B7E19" w:rsidRPr="00DB02F0" w:rsidRDefault="008B7E19" w:rsidP="008B7E19">
            <w:pPr>
              <w:pStyle w:val="08-Tabelageral"/>
              <w:ind w:left="113"/>
              <w:cnfStyle w:val="000000000000" w:firstRow="0" w:lastRow="0" w:firstColumn="0" w:lastColumn="0" w:oddVBand="0" w:evenVBand="0" w:oddHBand="0" w:evenHBand="0" w:firstRowFirstColumn="0" w:firstRowLastColumn="0" w:lastRowFirstColumn="0" w:lastRowLastColumn="0"/>
            </w:pPr>
            <w:r w:rsidRPr="00035FEE">
              <w:t>--</w:t>
            </w:r>
          </w:p>
        </w:tc>
        <w:tc>
          <w:tcPr>
            <w:tcW w:w="280" w:type="dxa"/>
            <w:tcBorders>
              <w:top w:val="nil"/>
              <w:bottom w:val="nil"/>
            </w:tcBorders>
            <w:shd w:val="clear" w:color="auto" w:fill="FFFFFF" w:themeFill="background1"/>
            <w:vAlign w:val="center"/>
          </w:tcPr>
          <w:p w14:paraId="0F6492CA" w14:textId="77777777" w:rsidR="008B7E19" w:rsidRPr="00DB02F0" w:rsidRDefault="008B7E19" w:rsidP="008B7E19">
            <w:pPr>
              <w:pStyle w:val="08-Tabelageral"/>
              <w:ind w:left="113"/>
              <w:cnfStyle w:val="000000000000" w:firstRow="0" w:lastRow="0" w:firstColumn="0" w:lastColumn="0" w:oddVBand="0" w:evenVBand="0" w:oddHBand="0" w:evenHBand="0" w:firstRowFirstColumn="0" w:firstRowLastColumn="0" w:lastRowFirstColumn="0" w:lastRowLastColumn="0"/>
            </w:pPr>
          </w:p>
        </w:tc>
        <w:tc>
          <w:tcPr>
            <w:tcW w:w="1279" w:type="dxa"/>
            <w:tcBorders>
              <w:top w:val="nil"/>
              <w:left w:val="nil"/>
              <w:bottom w:val="nil"/>
              <w:right w:val="nil"/>
            </w:tcBorders>
            <w:shd w:val="clear" w:color="auto" w:fill="FFFFFF" w:themeFill="background1"/>
          </w:tcPr>
          <w:p w14:paraId="206019CA" w14:textId="77777777" w:rsidR="008B7E19" w:rsidRPr="00DB02F0" w:rsidRDefault="008B7E19" w:rsidP="008B7E19">
            <w:pPr>
              <w:pStyle w:val="08-Tabelageral"/>
              <w:ind w:left="113"/>
              <w:cnfStyle w:val="000000000000" w:firstRow="0" w:lastRow="0" w:firstColumn="0" w:lastColumn="0" w:oddVBand="0" w:evenVBand="0" w:oddHBand="0" w:evenHBand="0" w:firstRowFirstColumn="0" w:firstRowLastColumn="0" w:lastRowFirstColumn="0" w:lastRowLastColumn="0"/>
            </w:pPr>
            <w:r w:rsidRPr="00CB726D">
              <w:t>(100</w:t>
            </w:r>
            <w:r>
              <w:t>,</w:t>
            </w:r>
            <w:r w:rsidRPr="00CB726D">
              <w:t>861)</w:t>
            </w:r>
          </w:p>
        </w:tc>
        <w:tc>
          <w:tcPr>
            <w:tcW w:w="1559" w:type="dxa"/>
            <w:tcBorders>
              <w:top w:val="nil"/>
              <w:left w:val="nil"/>
              <w:bottom w:val="nil"/>
              <w:right w:val="nil"/>
            </w:tcBorders>
            <w:shd w:val="clear" w:color="auto" w:fill="FFFFFF" w:themeFill="background1"/>
          </w:tcPr>
          <w:p w14:paraId="21CA1C06" w14:textId="77777777" w:rsidR="008B7E19" w:rsidRPr="00DB02F0" w:rsidRDefault="008B7E19" w:rsidP="008B7E19">
            <w:pPr>
              <w:pStyle w:val="08-Tabelageral"/>
              <w:ind w:left="113"/>
              <w:cnfStyle w:val="000000000000" w:firstRow="0" w:lastRow="0" w:firstColumn="0" w:lastColumn="0" w:oddVBand="0" w:evenVBand="0" w:oddHBand="0" w:evenHBand="0" w:firstRowFirstColumn="0" w:firstRowLastColumn="0" w:lastRowFirstColumn="0" w:lastRowLastColumn="0"/>
            </w:pPr>
            <w:r w:rsidRPr="00CB726D">
              <w:t>(101</w:t>
            </w:r>
            <w:r>
              <w:t>,</w:t>
            </w:r>
            <w:r w:rsidRPr="00CB726D">
              <w:t>800)</w:t>
            </w:r>
          </w:p>
        </w:tc>
      </w:tr>
      <w:tr w:rsidR="008B7E19" w:rsidRPr="00DB02F0" w14:paraId="18BBAEF4"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auto"/>
            <w:vAlign w:val="center"/>
          </w:tcPr>
          <w:p w14:paraId="16D507F2" w14:textId="77777777" w:rsidR="008B7E19" w:rsidRPr="009768B6" w:rsidRDefault="008B7E19" w:rsidP="008B7E19">
            <w:pPr>
              <w:pStyle w:val="08-Tabelageral"/>
              <w:ind w:left="113"/>
              <w:jc w:val="left"/>
              <w:rPr>
                <w:b w:val="0"/>
              </w:rPr>
            </w:pPr>
            <w:r w:rsidRPr="009768B6">
              <w:rPr>
                <w:b w:val="0"/>
              </w:rPr>
              <w:t xml:space="preserve">Other </w:t>
            </w:r>
            <w:r>
              <w:rPr>
                <w:b w:val="0"/>
              </w:rPr>
              <w:t>expenses</w:t>
            </w:r>
          </w:p>
        </w:tc>
        <w:tc>
          <w:tcPr>
            <w:tcW w:w="709" w:type="dxa"/>
            <w:tcBorders>
              <w:top w:val="nil"/>
              <w:bottom w:val="nil"/>
            </w:tcBorders>
            <w:shd w:val="clear" w:color="auto" w:fill="auto"/>
            <w:vAlign w:val="center"/>
          </w:tcPr>
          <w:p w14:paraId="059E9739" w14:textId="77777777" w:rsidR="008B7E19" w:rsidRPr="00165BD7" w:rsidRDefault="008B7E19" w:rsidP="008B7E19">
            <w:pPr>
              <w:pStyle w:val="08-Tabelageral"/>
              <w:ind w:left="113"/>
              <w:jc w:val="center"/>
              <w:cnfStyle w:val="000000100000" w:firstRow="0" w:lastRow="0" w:firstColumn="0" w:lastColumn="0" w:oddVBand="0" w:evenVBand="0" w:oddHBand="1" w:evenHBand="0" w:firstRowFirstColumn="0" w:firstRowLastColumn="0" w:lastRowFirstColumn="0" w:lastRowLastColumn="0"/>
            </w:pPr>
          </w:p>
        </w:tc>
        <w:tc>
          <w:tcPr>
            <w:tcW w:w="1276" w:type="dxa"/>
            <w:tcBorders>
              <w:top w:val="nil"/>
              <w:left w:val="nil"/>
              <w:bottom w:val="nil"/>
              <w:right w:val="nil"/>
            </w:tcBorders>
            <w:shd w:val="clear" w:color="auto" w:fill="FFFFFF" w:themeFill="background1"/>
          </w:tcPr>
          <w:p w14:paraId="301C240C" w14:textId="77777777" w:rsidR="008B7E19" w:rsidRPr="00DB02F0" w:rsidRDefault="008B7E19" w:rsidP="008B7E19">
            <w:pPr>
              <w:pStyle w:val="08-Tabelageral"/>
              <w:ind w:left="113"/>
              <w:cnfStyle w:val="000000100000" w:firstRow="0" w:lastRow="0" w:firstColumn="0" w:lastColumn="0" w:oddVBand="0" w:evenVBand="0" w:oddHBand="1" w:evenHBand="0" w:firstRowFirstColumn="0" w:firstRowLastColumn="0" w:lastRowFirstColumn="0" w:lastRowLastColumn="0"/>
            </w:pPr>
            <w:r w:rsidRPr="00035FEE">
              <w:t>(92)</w:t>
            </w:r>
          </w:p>
        </w:tc>
        <w:tc>
          <w:tcPr>
            <w:tcW w:w="1559" w:type="dxa"/>
            <w:tcBorders>
              <w:top w:val="nil"/>
              <w:left w:val="nil"/>
              <w:bottom w:val="nil"/>
              <w:right w:val="nil"/>
            </w:tcBorders>
            <w:shd w:val="clear" w:color="auto" w:fill="FFFFFF" w:themeFill="background1"/>
          </w:tcPr>
          <w:p w14:paraId="429FBEFE" w14:textId="77777777" w:rsidR="008B7E19" w:rsidRPr="00DB02F0" w:rsidRDefault="008B7E19" w:rsidP="008B7E19">
            <w:pPr>
              <w:pStyle w:val="08-Tabelageral"/>
              <w:ind w:left="113"/>
              <w:cnfStyle w:val="000000100000" w:firstRow="0" w:lastRow="0" w:firstColumn="0" w:lastColumn="0" w:oddVBand="0" w:evenVBand="0" w:oddHBand="1" w:evenHBand="0" w:firstRowFirstColumn="0" w:firstRowLastColumn="0" w:lastRowFirstColumn="0" w:lastRowLastColumn="0"/>
            </w:pPr>
            <w:r w:rsidRPr="00035FEE">
              <w:t>(75)</w:t>
            </w:r>
          </w:p>
        </w:tc>
        <w:tc>
          <w:tcPr>
            <w:tcW w:w="280" w:type="dxa"/>
            <w:tcBorders>
              <w:top w:val="nil"/>
              <w:bottom w:val="nil"/>
            </w:tcBorders>
            <w:shd w:val="clear" w:color="auto" w:fill="FFFFFF" w:themeFill="background1"/>
            <w:vAlign w:val="center"/>
          </w:tcPr>
          <w:p w14:paraId="056EFFED" w14:textId="77777777" w:rsidR="008B7E19" w:rsidRPr="00DB02F0" w:rsidRDefault="008B7E19" w:rsidP="008B7E19">
            <w:pPr>
              <w:pStyle w:val="08-Tabelageral"/>
              <w:ind w:left="113"/>
              <w:cnfStyle w:val="000000100000" w:firstRow="0" w:lastRow="0" w:firstColumn="0" w:lastColumn="0" w:oddVBand="0" w:evenVBand="0" w:oddHBand="1" w:evenHBand="0" w:firstRowFirstColumn="0" w:firstRowLastColumn="0" w:lastRowFirstColumn="0" w:lastRowLastColumn="0"/>
            </w:pPr>
          </w:p>
        </w:tc>
        <w:tc>
          <w:tcPr>
            <w:tcW w:w="1279" w:type="dxa"/>
            <w:tcBorders>
              <w:top w:val="nil"/>
              <w:left w:val="nil"/>
              <w:bottom w:val="nil"/>
              <w:right w:val="nil"/>
            </w:tcBorders>
            <w:shd w:val="clear" w:color="auto" w:fill="FFFFFF" w:themeFill="background1"/>
          </w:tcPr>
          <w:p w14:paraId="0E5CDEEC" w14:textId="77777777" w:rsidR="008B7E19" w:rsidRPr="00DB02F0" w:rsidRDefault="008B7E19" w:rsidP="008B7E19">
            <w:pPr>
              <w:pStyle w:val="08-Tabelageral"/>
              <w:ind w:left="113"/>
              <w:cnfStyle w:val="000000100000" w:firstRow="0" w:lastRow="0" w:firstColumn="0" w:lastColumn="0" w:oddVBand="0" w:evenVBand="0" w:oddHBand="1" w:evenHBand="0" w:firstRowFirstColumn="0" w:firstRowLastColumn="0" w:lastRowFirstColumn="0" w:lastRowLastColumn="0"/>
            </w:pPr>
            <w:r w:rsidRPr="00CB726D">
              <w:t>(13</w:t>
            </w:r>
            <w:r>
              <w:t>,</w:t>
            </w:r>
            <w:r w:rsidRPr="00CB726D">
              <w:t>981)</w:t>
            </w:r>
          </w:p>
        </w:tc>
        <w:tc>
          <w:tcPr>
            <w:tcW w:w="1559" w:type="dxa"/>
            <w:tcBorders>
              <w:top w:val="nil"/>
              <w:left w:val="nil"/>
              <w:bottom w:val="nil"/>
              <w:right w:val="nil"/>
            </w:tcBorders>
            <w:shd w:val="clear" w:color="auto" w:fill="FFFFFF" w:themeFill="background1"/>
          </w:tcPr>
          <w:p w14:paraId="1BE0C393" w14:textId="77777777" w:rsidR="008B7E19" w:rsidRPr="00DB02F0" w:rsidRDefault="008B7E19" w:rsidP="008B7E19">
            <w:pPr>
              <w:pStyle w:val="08-Tabelageral"/>
              <w:ind w:left="113"/>
              <w:cnfStyle w:val="000000100000" w:firstRow="0" w:lastRow="0" w:firstColumn="0" w:lastColumn="0" w:oddVBand="0" w:evenVBand="0" w:oddHBand="1" w:evenHBand="0" w:firstRowFirstColumn="0" w:firstRowLastColumn="0" w:lastRowFirstColumn="0" w:lastRowLastColumn="0"/>
            </w:pPr>
            <w:r w:rsidRPr="00CB726D">
              <w:t>(35</w:t>
            </w:r>
            <w:r>
              <w:t>,</w:t>
            </w:r>
            <w:r w:rsidRPr="00CB726D">
              <w:t>121)</w:t>
            </w:r>
          </w:p>
        </w:tc>
      </w:tr>
      <w:tr w:rsidR="008B7E19" w:rsidRPr="001D6BE8" w14:paraId="6A88A722" w14:textId="77777777" w:rsidTr="008B7E19">
        <w:trPr>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auto"/>
            <w:vAlign w:val="center"/>
          </w:tcPr>
          <w:p w14:paraId="7333843B" w14:textId="77777777" w:rsidR="008B7E19" w:rsidRPr="00924161" w:rsidRDefault="008B7E19" w:rsidP="008B7E19">
            <w:pPr>
              <w:pStyle w:val="08-Tabelageral"/>
              <w:jc w:val="left"/>
            </w:pPr>
            <w:r w:rsidRPr="00924161">
              <w:t> </w:t>
            </w:r>
          </w:p>
        </w:tc>
        <w:tc>
          <w:tcPr>
            <w:tcW w:w="709" w:type="dxa"/>
            <w:tcBorders>
              <w:top w:val="nil"/>
              <w:bottom w:val="nil"/>
            </w:tcBorders>
            <w:shd w:val="clear" w:color="auto" w:fill="auto"/>
            <w:vAlign w:val="center"/>
          </w:tcPr>
          <w:p w14:paraId="1A64B11D" w14:textId="77777777" w:rsidR="008B7E19" w:rsidRPr="00165BD7" w:rsidRDefault="008B7E19" w:rsidP="008B7E19">
            <w:pPr>
              <w:pStyle w:val="08-Tabelageral"/>
              <w:jc w:val="center"/>
              <w:cnfStyle w:val="000000000000" w:firstRow="0" w:lastRow="0" w:firstColumn="0" w:lastColumn="0" w:oddVBand="0" w:evenVBand="0" w:oddHBand="0" w:evenHBand="0" w:firstRowFirstColumn="0" w:firstRowLastColumn="0" w:lastRowFirstColumn="0" w:lastRowLastColumn="0"/>
            </w:pPr>
          </w:p>
        </w:tc>
        <w:tc>
          <w:tcPr>
            <w:tcW w:w="1276" w:type="dxa"/>
            <w:tcBorders>
              <w:top w:val="nil"/>
              <w:left w:val="nil"/>
              <w:bottom w:val="nil"/>
              <w:right w:val="nil"/>
            </w:tcBorders>
            <w:shd w:val="clear" w:color="auto" w:fill="FFFFFF" w:themeFill="background1"/>
          </w:tcPr>
          <w:p w14:paraId="23EB6BBF" w14:textId="77777777" w:rsidR="008B7E19" w:rsidRPr="00350BA7"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p>
        </w:tc>
        <w:tc>
          <w:tcPr>
            <w:tcW w:w="1559" w:type="dxa"/>
            <w:tcBorders>
              <w:top w:val="nil"/>
              <w:left w:val="nil"/>
              <w:bottom w:val="nil"/>
              <w:right w:val="nil"/>
            </w:tcBorders>
            <w:shd w:val="clear" w:color="auto" w:fill="FFFFFF" w:themeFill="background1"/>
          </w:tcPr>
          <w:p w14:paraId="1991396F" w14:textId="77777777" w:rsidR="008B7E19" w:rsidRPr="00CF4B29" w:rsidRDefault="008B7E19" w:rsidP="008B7E19">
            <w:pPr>
              <w:pStyle w:val="08-Tabelageral"/>
              <w:cnfStyle w:val="000000000000" w:firstRow="0" w:lastRow="0" w:firstColumn="0" w:lastColumn="0" w:oddVBand="0" w:evenVBand="0" w:oddHBand="0" w:evenHBand="0" w:firstRowFirstColumn="0" w:firstRowLastColumn="0" w:lastRowFirstColumn="0" w:lastRowLastColumn="0"/>
            </w:pPr>
          </w:p>
        </w:tc>
        <w:tc>
          <w:tcPr>
            <w:tcW w:w="280" w:type="dxa"/>
            <w:tcBorders>
              <w:top w:val="nil"/>
              <w:bottom w:val="nil"/>
            </w:tcBorders>
            <w:shd w:val="clear" w:color="auto" w:fill="FFFFFF" w:themeFill="background1"/>
            <w:vAlign w:val="center"/>
          </w:tcPr>
          <w:p w14:paraId="73550FE4" w14:textId="77777777" w:rsidR="008B7E19" w:rsidRPr="00350BA7"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p>
        </w:tc>
        <w:tc>
          <w:tcPr>
            <w:tcW w:w="1279" w:type="dxa"/>
            <w:tcBorders>
              <w:top w:val="nil"/>
              <w:left w:val="nil"/>
              <w:bottom w:val="nil"/>
              <w:right w:val="nil"/>
            </w:tcBorders>
            <w:shd w:val="clear" w:color="auto" w:fill="FFFFFF" w:themeFill="background1"/>
          </w:tcPr>
          <w:p w14:paraId="214FA35A" w14:textId="77777777" w:rsidR="008B7E19" w:rsidRPr="00350BA7"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p>
        </w:tc>
        <w:tc>
          <w:tcPr>
            <w:tcW w:w="1559" w:type="dxa"/>
            <w:tcBorders>
              <w:top w:val="nil"/>
              <w:left w:val="nil"/>
              <w:bottom w:val="nil"/>
              <w:right w:val="nil"/>
            </w:tcBorders>
            <w:shd w:val="clear" w:color="auto" w:fill="FFFFFF" w:themeFill="background1"/>
          </w:tcPr>
          <w:p w14:paraId="073A818D" w14:textId="77777777" w:rsidR="008B7E19" w:rsidRPr="00CF4B29" w:rsidRDefault="008B7E19" w:rsidP="008B7E19">
            <w:pPr>
              <w:pStyle w:val="08-Tabelageral"/>
              <w:cnfStyle w:val="000000000000" w:firstRow="0" w:lastRow="0" w:firstColumn="0" w:lastColumn="0" w:oddVBand="0" w:evenVBand="0" w:oddHBand="0" w:evenHBand="0" w:firstRowFirstColumn="0" w:firstRowLastColumn="0" w:lastRowFirstColumn="0" w:lastRowLastColumn="0"/>
            </w:pPr>
          </w:p>
        </w:tc>
      </w:tr>
      <w:tr w:rsidR="008B7E19" w:rsidRPr="00BD450B" w14:paraId="4D01FC81"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auto"/>
            <w:vAlign w:val="center"/>
          </w:tcPr>
          <w:p w14:paraId="1780A3F0" w14:textId="77777777" w:rsidR="008B7E19" w:rsidRPr="00BD450B" w:rsidRDefault="008B7E19" w:rsidP="008B7E19">
            <w:pPr>
              <w:pStyle w:val="08-Tabelageral"/>
              <w:jc w:val="left"/>
            </w:pPr>
            <w:r w:rsidRPr="00BD450B">
              <w:t>Gross Added Value</w:t>
            </w:r>
          </w:p>
        </w:tc>
        <w:tc>
          <w:tcPr>
            <w:tcW w:w="709" w:type="dxa"/>
            <w:tcBorders>
              <w:top w:val="nil"/>
              <w:bottom w:val="nil"/>
            </w:tcBorders>
            <w:shd w:val="clear" w:color="auto" w:fill="auto"/>
            <w:vAlign w:val="center"/>
          </w:tcPr>
          <w:p w14:paraId="3D1DE6D5" w14:textId="77777777" w:rsidR="008B7E19" w:rsidRPr="00BD450B" w:rsidRDefault="008B7E19" w:rsidP="008B7E19">
            <w:pPr>
              <w:pStyle w:val="08-Tabelageral"/>
              <w:jc w:val="center"/>
              <w:cnfStyle w:val="000000100000" w:firstRow="0" w:lastRow="0" w:firstColumn="0" w:lastColumn="0" w:oddVBand="0" w:evenVBand="0" w:oddHBand="1" w:evenHBand="0" w:firstRowFirstColumn="0" w:firstRowLastColumn="0" w:lastRowFirstColumn="0" w:lastRowLastColumn="0"/>
              <w:rPr>
                <w:b/>
              </w:rPr>
            </w:pPr>
          </w:p>
        </w:tc>
        <w:tc>
          <w:tcPr>
            <w:tcW w:w="1276" w:type="dxa"/>
            <w:tcBorders>
              <w:top w:val="nil"/>
              <w:left w:val="nil"/>
              <w:bottom w:val="nil"/>
              <w:right w:val="nil"/>
            </w:tcBorders>
            <w:shd w:val="clear" w:color="auto" w:fill="FFFFFF" w:themeFill="background1"/>
          </w:tcPr>
          <w:p w14:paraId="3F2D5F82" w14:textId="77777777" w:rsidR="008B7E19" w:rsidRPr="00BD450B"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b/>
                <w:bCs/>
              </w:rPr>
            </w:pPr>
            <w:r w:rsidRPr="00BD450B">
              <w:rPr>
                <w:b/>
              </w:rPr>
              <w:t>1</w:t>
            </w:r>
            <w:r>
              <w:rPr>
                <w:b/>
              </w:rPr>
              <w:t>,</w:t>
            </w:r>
            <w:r w:rsidRPr="00BD450B">
              <w:rPr>
                <w:b/>
              </w:rPr>
              <w:t>664</w:t>
            </w:r>
          </w:p>
        </w:tc>
        <w:tc>
          <w:tcPr>
            <w:tcW w:w="1559" w:type="dxa"/>
            <w:tcBorders>
              <w:top w:val="nil"/>
              <w:left w:val="nil"/>
              <w:bottom w:val="nil"/>
              <w:right w:val="nil"/>
            </w:tcBorders>
            <w:shd w:val="clear" w:color="auto" w:fill="FFFFFF" w:themeFill="background1"/>
          </w:tcPr>
          <w:p w14:paraId="4AB5C7CE" w14:textId="77777777" w:rsidR="008B7E19" w:rsidRPr="00BD450B"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b/>
                <w:bCs/>
              </w:rPr>
            </w:pPr>
            <w:r w:rsidRPr="00BD450B">
              <w:rPr>
                <w:b/>
              </w:rPr>
              <w:t>826</w:t>
            </w:r>
          </w:p>
        </w:tc>
        <w:tc>
          <w:tcPr>
            <w:tcW w:w="280" w:type="dxa"/>
            <w:tcBorders>
              <w:top w:val="nil"/>
              <w:bottom w:val="nil"/>
            </w:tcBorders>
            <w:shd w:val="clear" w:color="auto" w:fill="FFFFFF" w:themeFill="background1"/>
            <w:vAlign w:val="center"/>
          </w:tcPr>
          <w:p w14:paraId="3ABF11E9" w14:textId="77777777" w:rsidR="008B7E19" w:rsidRPr="00BD450B"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b/>
              </w:rPr>
            </w:pPr>
          </w:p>
        </w:tc>
        <w:tc>
          <w:tcPr>
            <w:tcW w:w="1279" w:type="dxa"/>
            <w:tcBorders>
              <w:top w:val="nil"/>
              <w:left w:val="nil"/>
              <w:bottom w:val="nil"/>
              <w:right w:val="nil"/>
            </w:tcBorders>
            <w:shd w:val="clear" w:color="auto" w:fill="FFFFFF" w:themeFill="background1"/>
          </w:tcPr>
          <w:p w14:paraId="4F1EFCF2" w14:textId="77777777" w:rsidR="008B7E19" w:rsidRPr="00BD450B"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b/>
              </w:rPr>
            </w:pPr>
            <w:r w:rsidRPr="00BD450B">
              <w:rPr>
                <w:b/>
              </w:rPr>
              <w:t>2</w:t>
            </w:r>
            <w:r>
              <w:rPr>
                <w:b/>
              </w:rPr>
              <w:t>,</w:t>
            </w:r>
            <w:r w:rsidRPr="00BD450B">
              <w:rPr>
                <w:b/>
              </w:rPr>
              <w:t>272</w:t>
            </w:r>
            <w:r>
              <w:rPr>
                <w:b/>
              </w:rPr>
              <w:t>,</w:t>
            </w:r>
            <w:r w:rsidRPr="00BD450B">
              <w:rPr>
                <w:b/>
              </w:rPr>
              <w:t>718</w:t>
            </w:r>
          </w:p>
        </w:tc>
        <w:tc>
          <w:tcPr>
            <w:tcW w:w="1559" w:type="dxa"/>
            <w:tcBorders>
              <w:top w:val="nil"/>
              <w:left w:val="nil"/>
              <w:bottom w:val="nil"/>
              <w:right w:val="nil"/>
            </w:tcBorders>
            <w:shd w:val="clear" w:color="auto" w:fill="FFFFFF" w:themeFill="background1"/>
          </w:tcPr>
          <w:p w14:paraId="72DABFEE" w14:textId="77777777" w:rsidR="008B7E19" w:rsidRPr="00BD450B"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b/>
              </w:rPr>
            </w:pPr>
            <w:r w:rsidRPr="00BD450B">
              <w:rPr>
                <w:b/>
              </w:rPr>
              <w:t>1</w:t>
            </w:r>
            <w:r>
              <w:rPr>
                <w:b/>
              </w:rPr>
              <w:t>,</w:t>
            </w:r>
            <w:r w:rsidRPr="00BD450B">
              <w:rPr>
                <w:b/>
              </w:rPr>
              <w:t>954</w:t>
            </w:r>
            <w:r>
              <w:rPr>
                <w:b/>
              </w:rPr>
              <w:t>,</w:t>
            </w:r>
            <w:r w:rsidRPr="00BD450B">
              <w:rPr>
                <w:b/>
              </w:rPr>
              <w:t>967</w:t>
            </w:r>
          </w:p>
        </w:tc>
      </w:tr>
      <w:tr w:rsidR="008B7E19" w:rsidRPr="00BD450B" w14:paraId="38FC967C" w14:textId="77777777" w:rsidTr="008B7E19">
        <w:trPr>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auto"/>
            <w:vAlign w:val="center"/>
          </w:tcPr>
          <w:p w14:paraId="6040C232" w14:textId="77777777" w:rsidR="008B7E19" w:rsidRPr="00BD450B" w:rsidRDefault="008B7E19" w:rsidP="008B7E19">
            <w:pPr>
              <w:pStyle w:val="08-Tabelageral"/>
              <w:jc w:val="left"/>
              <w:rPr>
                <w:bCs w:val="0"/>
              </w:rPr>
            </w:pPr>
            <w:r w:rsidRPr="00BD450B">
              <w:rPr>
                <w:bCs w:val="0"/>
              </w:rPr>
              <w:t> </w:t>
            </w:r>
          </w:p>
        </w:tc>
        <w:tc>
          <w:tcPr>
            <w:tcW w:w="709" w:type="dxa"/>
            <w:tcBorders>
              <w:top w:val="nil"/>
              <w:bottom w:val="nil"/>
            </w:tcBorders>
            <w:shd w:val="clear" w:color="auto" w:fill="auto"/>
            <w:vAlign w:val="center"/>
          </w:tcPr>
          <w:p w14:paraId="2F66D022" w14:textId="77777777" w:rsidR="008B7E19" w:rsidRPr="00BD450B" w:rsidRDefault="008B7E19" w:rsidP="008B7E19">
            <w:pPr>
              <w:pStyle w:val="08-Tabelageral"/>
              <w:jc w:val="center"/>
              <w:cnfStyle w:val="000000000000" w:firstRow="0" w:lastRow="0" w:firstColumn="0" w:lastColumn="0" w:oddVBand="0" w:evenVBand="0" w:oddHBand="0" w:evenHBand="0" w:firstRowFirstColumn="0" w:firstRowLastColumn="0" w:lastRowFirstColumn="0" w:lastRowLastColumn="0"/>
              <w:rPr>
                <w:b/>
                <w:bCs/>
              </w:rPr>
            </w:pPr>
          </w:p>
        </w:tc>
        <w:tc>
          <w:tcPr>
            <w:tcW w:w="1276" w:type="dxa"/>
            <w:tcBorders>
              <w:top w:val="nil"/>
              <w:left w:val="nil"/>
              <w:bottom w:val="nil"/>
              <w:right w:val="nil"/>
            </w:tcBorders>
            <w:shd w:val="clear" w:color="auto" w:fill="FFFFFF" w:themeFill="background1"/>
          </w:tcPr>
          <w:p w14:paraId="164B6545" w14:textId="77777777" w:rsidR="008B7E19" w:rsidRPr="00BD450B" w:rsidRDefault="008B7E19" w:rsidP="008B7E19">
            <w:pPr>
              <w:pStyle w:val="08-Tabelageral"/>
              <w:ind w:left="113"/>
              <w:cnfStyle w:val="000000000000" w:firstRow="0" w:lastRow="0" w:firstColumn="0" w:lastColumn="0" w:oddVBand="0" w:evenVBand="0" w:oddHBand="0" w:evenHBand="0" w:firstRowFirstColumn="0" w:firstRowLastColumn="0" w:lastRowFirstColumn="0" w:lastRowLastColumn="0"/>
              <w:rPr>
                <w:b/>
              </w:rPr>
            </w:pPr>
          </w:p>
        </w:tc>
        <w:tc>
          <w:tcPr>
            <w:tcW w:w="1559" w:type="dxa"/>
            <w:tcBorders>
              <w:top w:val="nil"/>
              <w:left w:val="nil"/>
              <w:bottom w:val="nil"/>
              <w:right w:val="nil"/>
            </w:tcBorders>
            <w:shd w:val="clear" w:color="auto" w:fill="FFFFFF" w:themeFill="background1"/>
          </w:tcPr>
          <w:p w14:paraId="6578D564" w14:textId="77777777" w:rsidR="008B7E19" w:rsidRPr="00BD450B" w:rsidRDefault="008B7E19" w:rsidP="008B7E19">
            <w:pPr>
              <w:pStyle w:val="08-Tabelageral"/>
              <w:ind w:left="113"/>
              <w:cnfStyle w:val="000000000000" w:firstRow="0" w:lastRow="0" w:firstColumn="0" w:lastColumn="0" w:oddVBand="0" w:evenVBand="0" w:oddHBand="0" w:evenHBand="0" w:firstRowFirstColumn="0" w:firstRowLastColumn="0" w:lastRowFirstColumn="0" w:lastRowLastColumn="0"/>
              <w:rPr>
                <w:b/>
              </w:rPr>
            </w:pPr>
          </w:p>
        </w:tc>
        <w:tc>
          <w:tcPr>
            <w:tcW w:w="280" w:type="dxa"/>
            <w:tcBorders>
              <w:top w:val="nil"/>
              <w:bottom w:val="nil"/>
            </w:tcBorders>
            <w:shd w:val="clear" w:color="auto" w:fill="FFFFFF" w:themeFill="background1"/>
            <w:vAlign w:val="center"/>
          </w:tcPr>
          <w:p w14:paraId="679F488C" w14:textId="77777777" w:rsidR="008B7E19" w:rsidRPr="00BD450B" w:rsidRDefault="008B7E19" w:rsidP="008B7E19">
            <w:pPr>
              <w:pStyle w:val="08-Tabelageral"/>
              <w:ind w:left="113"/>
              <w:cnfStyle w:val="000000000000" w:firstRow="0" w:lastRow="0" w:firstColumn="0" w:lastColumn="0" w:oddVBand="0" w:evenVBand="0" w:oddHBand="0" w:evenHBand="0" w:firstRowFirstColumn="0" w:firstRowLastColumn="0" w:lastRowFirstColumn="0" w:lastRowLastColumn="0"/>
              <w:rPr>
                <w:b/>
              </w:rPr>
            </w:pPr>
          </w:p>
        </w:tc>
        <w:tc>
          <w:tcPr>
            <w:tcW w:w="1279" w:type="dxa"/>
            <w:tcBorders>
              <w:top w:val="nil"/>
              <w:left w:val="nil"/>
              <w:bottom w:val="nil"/>
              <w:right w:val="nil"/>
            </w:tcBorders>
            <w:shd w:val="clear" w:color="auto" w:fill="FFFFFF" w:themeFill="background1"/>
          </w:tcPr>
          <w:p w14:paraId="64AF204A" w14:textId="77777777" w:rsidR="008B7E19" w:rsidRPr="00BD450B" w:rsidRDefault="008B7E19" w:rsidP="008B7E19">
            <w:pPr>
              <w:pStyle w:val="08-Tabelageral"/>
              <w:ind w:left="113"/>
              <w:cnfStyle w:val="000000000000" w:firstRow="0" w:lastRow="0" w:firstColumn="0" w:lastColumn="0" w:oddVBand="0" w:evenVBand="0" w:oddHBand="0" w:evenHBand="0" w:firstRowFirstColumn="0" w:firstRowLastColumn="0" w:lastRowFirstColumn="0" w:lastRowLastColumn="0"/>
              <w:rPr>
                <w:b/>
              </w:rPr>
            </w:pPr>
          </w:p>
        </w:tc>
        <w:tc>
          <w:tcPr>
            <w:tcW w:w="1559" w:type="dxa"/>
            <w:tcBorders>
              <w:top w:val="nil"/>
              <w:left w:val="nil"/>
              <w:bottom w:val="nil"/>
              <w:right w:val="nil"/>
            </w:tcBorders>
            <w:shd w:val="clear" w:color="auto" w:fill="FFFFFF" w:themeFill="background1"/>
          </w:tcPr>
          <w:p w14:paraId="2D769345" w14:textId="77777777" w:rsidR="008B7E19" w:rsidRPr="00BD450B" w:rsidRDefault="008B7E19" w:rsidP="008B7E19">
            <w:pPr>
              <w:pStyle w:val="08-Tabelageral"/>
              <w:ind w:left="113"/>
              <w:cnfStyle w:val="000000000000" w:firstRow="0" w:lastRow="0" w:firstColumn="0" w:lastColumn="0" w:oddVBand="0" w:evenVBand="0" w:oddHBand="0" w:evenHBand="0" w:firstRowFirstColumn="0" w:firstRowLastColumn="0" w:lastRowFirstColumn="0" w:lastRowLastColumn="0"/>
              <w:rPr>
                <w:b/>
              </w:rPr>
            </w:pPr>
          </w:p>
        </w:tc>
      </w:tr>
      <w:tr w:rsidR="008B7E19" w:rsidRPr="00BD450B" w14:paraId="6C1B690F"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auto"/>
            <w:vAlign w:val="center"/>
          </w:tcPr>
          <w:p w14:paraId="4D25D369" w14:textId="77777777" w:rsidR="008B7E19" w:rsidRPr="00BD450B" w:rsidRDefault="008B7E19" w:rsidP="008B7E19">
            <w:pPr>
              <w:pStyle w:val="08-Tabelageral"/>
              <w:jc w:val="left"/>
            </w:pPr>
            <w:r w:rsidRPr="00BD450B">
              <w:t>Depreciation and amortization</w:t>
            </w:r>
          </w:p>
        </w:tc>
        <w:tc>
          <w:tcPr>
            <w:tcW w:w="709" w:type="dxa"/>
            <w:tcBorders>
              <w:top w:val="nil"/>
              <w:bottom w:val="nil"/>
            </w:tcBorders>
            <w:shd w:val="clear" w:color="auto" w:fill="auto"/>
            <w:vAlign w:val="center"/>
          </w:tcPr>
          <w:p w14:paraId="3F2C3E1C" w14:textId="77777777" w:rsidR="008B7E19" w:rsidRPr="00BD450B" w:rsidRDefault="008B7E19" w:rsidP="008B7E19">
            <w:pPr>
              <w:pStyle w:val="08-Tabelageral"/>
              <w:ind w:left="113"/>
              <w:jc w:val="center"/>
              <w:cnfStyle w:val="000000100000" w:firstRow="0" w:lastRow="0" w:firstColumn="0" w:lastColumn="0" w:oddVBand="0" w:evenVBand="0" w:oddHBand="1" w:evenHBand="0" w:firstRowFirstColumn="0" w:firstRowLastColumn="0" w:lastRowFirstColumn="0" w:lastRowLastColumn="0"/>
              <w:rPr>
                <w:b/>
              </w:rPr>
            </w:pPr>
            <w:r w:rsidRPr="00BD450B">
              <w:rPr>
                <w:b/>
              </w:rPr>
              <w:t>[13]</w:t>
            </w:r>
          </w:p>
        </w:tc>
        <w:tc>
          <w:tcPr>
            <w:tcW w:w="1276" w:type="dxa"/>
            <w:tcBorders>
              <w:top w:val="nil"/>
              <w:left w:val="nil"/>
              <w:bottom w:val="nil"/>
              <w:right w:val="nil"/>
            </w:tcBorders>
            <w:shd w:val="clear" w:color="auto" w:fill="FFFFFF" w:themeFill="background1"/>
          </w:tcPr>
          <w:p w14:paraId="1F577F48" w14:textId="77777777" w:rsidR="008B7E19" w:rsidRPr="00BD450B"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b/>
              </w:rPr>
            </w:pPr>
            <w:r w:rsidRPr="00BD450B">
              <w:rPr>
                <w:b/>
              </w:rPr>
              <w:t>(82)</w:t>
            </w:r>
          </w:p>
        </w:tc>
        <w:tc>
          <w:tcPr>
            <w:tcW w:w="1559" w:type="dxa"/>
            <w:tcBorders>
              <w:top w:val="nil"/>
              <w:left w:val="nil"/>
              <w:bottom w:val="nil"/>
              <w:right w:val="nil"/>
            </w:tcBorders>
            <w:shd w:val="clear" w:color="auto" w:fill="FFFFFF" w:themeFill="background1"/>
          </w:tcPr>
          <w:p w14:paraId="7ABAAF17" w14:textId="77777777" w:rsidR="008B7E19" w:rsidRPr="00BD450B"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b/>
              </w:rPr>
            </w:pPr>
            <w:r w:rsidRPr="00BD450B">
              <w:rPr>
                <w:b/>
              </w:rPr>
              <w:t>(73)</w:t>
            </w:r>
          </w:p>
        </w:tc>
        <w:tc>
          <w:tcPr>
            <w:tcW w:w="280" w:type="dxa"/>
            <w:tcBorders>
              <w:top w:val="nil"/>
              <w:bottom w:val="nil"/>
            </w:tcBorders>
            <w:shd w:val="clear" w:color="auto" w:fill="FFFFFF" w:themeFill="background1"/>
            <w:vAlign w:val="center"/>
          </w:tcPr>
          <w:p w14:paraId="66DBFF90" w14:textId="77777777" w:rsidR="008B7E19" w:rsidRPr="00BD450B"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b/>
              </w:rPr>
            </w:pPr>
          </w:p>
        </w:tc>
        <w:tc>
          <w:tcPr>
            <w:tcW w:w="1279" w:type="dxa"/>
            <w:tcBorders>
              <w:top w:val="nil"/>
              <w:left w:val="nil"/>
              <w:bottom w:val="nil"/>
              <w:right w:val="nil"/>
            </w:tcBorders>
            <w:shd w:val="clear" w:color="auto" w:fill="FFFFFF" w:themeFill="background1"/>
          </w:tcPr>
          <w:p w14:paraId="20E81B0B" w14:textId="77777777" w:rsidR="008B7E19" w:rsidRPr="00BD450B"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b/>
              </w:rPr>
            </w:pPr>
            <w:r w:rsidRPr="00BD450B">
              <w:rPr>
                <w:b/>
              </w:rPr>
              <w:t>(645)</w:t>
            </w:r>
          </w:p>
        </w:tc>
        <w:tc>
          <w:tcPr>
            <w:tcW w:w="1559" w:type="dxa"/>
            <w:tcBorders>
              <w:top w:val="nil"/>
              <w:left w:val="nil"/>
              <w:bottom w:val="nil"/>
              <w:right w:val="nil"/>
            </w:tcBorders>
            <w:shd w:val="clear" w:color="auto" w:fill="FFFFFF" w:themeFill="background1"/>
          </w:tcPr>
          <w:p w14:paraId="036245C6" w14:textId="77777777" w:rsidR="008B7E19" w:rsidRPr="00BD450B"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b/>
              </w:rPr>
            </w:pPr>
            <w:r w:rsidRPr="00BD450B">
              <w:rPr>
                <w:b/>
              </w:rPr>
              <w:t>(613)</w:t>
            </w:r>
          </w:p>
        </w:tc>
      </w:tr>
      <w:tr w:rsidR="008B7E19" w:rsidRPr="00BD450B" w14:paraId="3322808D" w14:textId="77777777" w:rsidTr="008B7E19">
        <w:trPr>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auto"/>
            <w:vAlign w:val="center"/>
          </w:tcPr>
          <w:p w14:paraId="729A6420" w14:textId="77777777" w:rsidR="008B7E19" w:rsidRPr="00BD450B" w:rsidRDefault="008B7E19" w:rsidP="008B7E19">
            <w:pPr>
              <w:pStyle w:val="08-Tabelageral"/>
              <w:jc w:val="left"/>
            </w:pPr>
          </w:p>
        </w:tc>
        <w:tc>
          <w:tcPr>
            <w:tcW w:w="709" w:type="dxa"/>
            <w:tcBorders>
              <w:top w:val="nil"/>
              <w:bottom w:val="nil"/>
            </w:tcBorders>
            <w:shd w:val="clear" w:color="auto" w:fill="auto"/>
            <w:vAlign w:val="center"/>
          </w:tcPr>
          <w:p w14:paraId="28000D3F" w14:textId="77777777" w:rsidR="008B7E19" w:rsidRPr="00BD450B" w:rsidRDefault="008B7E19" w:rsidP="008B7E19">
            <w:pPr>
              <w:pStyle w:val="08-Tabelageral"/>
              <w:jc w:val="center"/>
              <w:cnfStyle w:val="000000000000" w:firstRow="0" w:lastRow="0" w:firstColumn="0" w:lastColumn="0" w:oddVBand="0" w:evenVBand="0" w:oddHBand="0" w:evenHBand="0" w:firstRowFirstColumn="0" w:firstRowLastColumn="0" w:lastRowFirstColumn="0" w:lastRowLastColumn="0"/>
              <w:rPr>
                <w:b/>
              </w:rPr>
            </w:pPr>
          </w:p>
        </w:tc>
        <w:tc>
          <w:tcPr>
            <w:tcW w:w="1276" w:type="dxa"/>
            <w:tcBorders>
              <w:top w:val="nil"/>
              <w:left w:val="nil"/>
              <w:bottom w:val="nil"/>
              <w:right w:val="nil"/>
            </w:tcBorders>
            <w:shd w:val="clear" w:color="auto" w:fill="FFFFFF" w:themeFill="background1"/>
          </w:tcPr>
          <w:p w14:paraId="2508F9D6" w14:textId="77777777" w:rsidR="008B7E19" w:rsidRPr="00BD450B"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b/>
              </w:rPr>
            </w:pPr>
          </w:p>
        </w:tc>
        <w:tc>
          <w:tcPr>
            <w:tcW w:w="1559" w:type="dxa"/>
            <w:tcBorders>
              <w:top w:val="nil"/>
              <w:left w:val="nil"/>
              <w:bottom w:val="nil"/>
              <w:right w:val="nil"/>
            </w:tcBorders>
            <w:shd w:val="clear" w:color="auto" w:fill="FFFFFF" w:themeFill="background1"/>
          </w:tcPr>
          <w:p w14:paraId="64655950" w14:textId="77777777" w:rsidR="008B7E19" w:rsidRPr="00BD450B"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b/>
              </w:rPr>
            </w:pPr>
          </w:p>
        </w:tc>
        <w:tc>
          <w:tcPr>
            <w:tcW w:w="280" w:type="dxa"/>
            <w:tcBorders>
              <w:top w:val="nil"/>
              <w:bottom w:val="nil"/>
            </w:tcBorders>
            <w:shd w:val="clear" w:color="auto" w:fill="FFFFFF" w:themeFill="background1"/>
            <w:vAlign w:val="center"/>
          </w:tcPr>
          <w:p w14:paraId="1F203259" w14:textId="77777777" w:rsidR="008B7E19" w:rsidRPr="00BD450B"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b/>
              </w:rPr>
            </w:pPr>
          </w:p>
        </w:tc>
        <w:tc>
          <w:tcPr>
            <w:tcW w:w="1279" w:type="dxa"/>
            <w:tcBorders>
              <w:top w:val="nil"/>
              <w:left w:val="nil"/>
              <w:bottom w:val="nil"/>
              <w:right w:val="nil"/>
            </w:tcBorders>
            <w:shd w:val="clear" w:color="auto" w:fill="FFFFFF" w:themeFill="background1"/>
          </w:tcPr>
          <w:p w14:paraId="31384378" w14:textId="77777777" w:rsidR="008B7E19" w:rsidRPr="00BD450B"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b/>
              </w:rPr>
            </w:pPr>
          </w:p>
        </w:tc>
        <w:tc>
          <w:tcPr>
            <w:tcW w:w="1559" w:type="dxa"/>
            <w:tcBorders>
              <w:top w:val="nil"/>
              <w:left w:val="nil"/>
              <w:bottom w:val="nil"/>
              <w:right w:val="nil"/>
            </w:tcBorders>
            <w:shd w:val="clear" w:color="auto" w:fill="FFFFFF" w:themeFill="background1"/>
          </w:tcPr>
          <w:p w14:paraId="568122D7" w14:textId="77777777" w:rsidR="008B7E19" w:rsidRPr="00BD450B"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b/>
              </w:rPr>
            </w:pPr>
          </w:p>
        </w:tc>
      </w:tr>
      <w:tr w:rsidR="008B7E19" w:rsidRPr="00BD450B" w14:paraId="10F81BEB"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auto"/>
            <w:vAlign w:val="center"/>
          </w:tcPr>
          <w:p w14:paraId="4DAA7105" w14:textId="77777777" w:rsidR="008B7E19" w:rsidRPr="00BD450B" w:rsidRDefault="008B7E19" w:rsidP="008B7E19">
            <w:pPr>
              <w:pStyle w:val="08-Tabelageral"/>
              <w:jc w:val="left"/>
              <w:rPr>
                <w:lang w:val="en-US"/>
              </w:rPr>
            </w:pPr>
            <w:r w:rsidRPr="00BD450B">
              <w:rPr>
                <w:lang w:val="en-US"/>
              </w:rPr>
              <w:t>Net Added Value Generated by the Entity</w:t>
            </w:r>
          </w:p>
        </w:tc>
        <w:tc>
          <w:tcPr>
            <w:tcW w:w="709" w:type="dxa"/>
            <w:tcBorders>
              <w:top w:val="nil"/>
              <w:bottom w:val="nil"/>
            </w:tcBorders>
            <w:shd w:val="clear" w:color="auto" w:fill="auto"/>
            <w:vAlign w:val="center"/>
          </w:tcPr>
          <w:p w14:paraId="1EBEB7D1" w14:textId="77777777" w:rsidR="008B7E19" w:rsidRPr="00BD450B" w:rsidRDefault="008B7E19" w:rsidP="008B7E19">
            <w:pPr>
              <w:pStyle w:val="08-Tabelageral"/>
              <w:jc w:val="center"/>
              <w:cnfStyle w:val="000000100000" w:firstRow="0" w:lastRow="0" w:firstColumn="0" w:lastColumn="0" w:oddVBand="0" w:evenVBand="0" w:oddHBand="1" w:evenHBand="0" w:firstRowFirstColumn="0" w:firstRowLastColumn="0" w:lastRowFirstColumn="0" w:lastRowLastColumn="0"/>
              <w:rPr>
                <w:b/>
                <w:lang w:val="en-US"/>
              </w:rPr>
            </w:pPr>
          </w:p>
        </w:tc>
        <w:tc>
          <w:tcPr>
            <w:tcW w:w="1276" w:type="dxa"/>
            <w:tcBorders>
              <w:top w:val="nil"/>
              <w:left w:val="nil"/>
              <w:bottom w:val="nil"/>
              <w:right w:val="nil"/>
            </w:tcBorders>
            <w:shd w:val="clear" w:color="auto" w:fill="FFFFFF" w:themeFill="background1"/>
          </w:tcPr>
          <w:p w14:paraId="159E8F17" w14:textId="77777777" w:rsidR="008B7E19" w:rsidRPr="00BD450B"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b/>
                <w:bCs/>
              </w:rPr>
            </w:pPr>
            <w:r w:rsidRPr="00BD450B">
              <w:rPr>
                <w:b/>
              </w:rPr>
              <w:t>1</w:t>
            </w:r>
            <w:r>
              <w:rPr>
                <w:b/>
              </w:rPr>
              <w:t>,</w:t>
            </w:r>
            <w:r w:rsidRPr="00BD450B">
              <w:rPr>
                <w:b/>
              </w:rPr>
              <w:t>582</w:t>
            </w:r>
          </w:p>
        </w:tc>
        <w:tc>
          <w:tcPr>
            <w:tcW w:w="1559" w:type="dxa"/>
            <w:tcBorders>
              <w:top w:val="nil"/>
              <w:left w:val="nil"/>
              <w:bottom w:val="nil"/>
              <w:right w:val="nil"/>
            </w:tcBorders>
            <w:shd w:val="clear" w:color="auto" w:fill="FFFFFF" w:themeFill="background1"/>
          </w:tcPr>
          <w:p w14:paraId="7EE427BD" w14:textId="77777777" w:rsidR="008B7E19" w:rsidRPr="00BD450B"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b/>
                <w:bCs/>
              </w:rPr>
            </w:pPr>
            <w:r w:rsidRPr="00BD450B">
              <w:rPr>
                <w:b/>
              </w:rPr>
              <w:t>753</w:t>
            </w:r>
          </w:p>
        </w:tc>
        <w:tc>
          <w:tcPr>
            <w:tcW w:w="280" w:type="dxa"/>
            <w:tcBorders>
              <w:top w:val="nil"/>
              <w:bottom w:val="nil"/>
            </w:tcBorders>
            <w:shd w:val="clear" w:color="auto" w:fill="FFFFFF" w:themeFill="background1"/>
            <w:vAlign w:val="center"/>
          </w:tcPr>
          <w:p w14:paraId="11D57B51" w14:textId="77777777" w:rsidR="008B7E19" w:rsidRPr="00BD450B"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b/>
                <w:bCs/>
              </w:rPr>
            </w:pPr>
          </w:p>
        </w:tc>
        <w:tc>
          <w:tcPr>
            <w:tcW w:w="1279" w:type="dxa"/>
            <w:tcBorders>
              <w:top w:val="nil"/>
              <w:left w:val="nil"/>
              <w:bottom w:val="nil"/>
              <w:right w:val="nil"/>
            </w:tcBorders>
            <w:shd w:val="clear" w:color="auto" w:fill="FFFFFF" w:themeFill="background1"/>
          </w:tcPr>
          <w:p w14:paraId="45E89D6E" w14:textId="77777777" w:rsidR="008B7E19" w:rsidRPr="00BD450B"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b/>
                <w:bCs/>
              </w:rPr>
            </w:pPr>
            <w:r w:rsidRPr="00BD450B">
              <w:rPr>
                <w:b/>
              </w:rPr>
              <w:t>2</w:t>
            </w:r>
            <w:r>
              <w:rPr>
                <w:b/>
              </w:rPr>
              <w:t>,</w:t>
            </w:r>
            <w:r w:rsidRPr="00BD450B">
              <w:rPr>
                <w:b/>
              </w:rPr>
              <w:t>272</w:t>
            </w:r>
            <w:r>
              <w:rPr>
                <w:b/>
              </w:rPr>
              <w:t>,</w:t>
            </w:r>
            <w:r w:rsidRPr="00BD450B">
              <w:rPr>
                <w:b/>
              </w:rPr>
              <w:t>073</w:t>
            </w:r>
          </w:p>
        </w:tc>
        <w:tc>
          <w:tcPr>
            <w:tcW w:w="1559" w:type="dxa"/>
            <w:tcBorders>
              <w:top w:val="nil"/>
              <w:left w:val="nil"/>
              <w:bottom w:val="nil"/>
              <w:right w:val="nil"/>
            </w:tcBorders>
            <w:shd w:val="clear" w:color="auto" w:fill="FFFFFF" w:themeFill="background1"/>
          </w:tcPr>
          <w:p w14:paraId="07EC57FC" w14:textId="77777777" w:rsidR="008B7E19" w:rsidRPr="00BD450B"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b/>
                <w:bCs/>
              </w:rPr>
            </w:pPr>
            <w:r w:rsidRPr="00BD450B">
              <w:rPr>
                <w:b/>
              </w:rPr>
              <w:t>1</w:t>
            </w:r>
            <w:r>
              <w:rPr>
                <w:b/>
              </w:rPr>
              <w:t>,</w:t>
            </w:r>
            <w:r w:rsidRPr="00BD450B">
              <w:rPr>
                <w:b/>
              </w:rPr>
              <w:t>954</w:t>
            </w:r>
            <w:r>
              <w:rPr>
                <w:b/>
              </w:rPr>
              <w:t>,</w:t>
            </w:r>
            <w:r w:rsidRPr="00BD450B">
              <w:rPr>
                <w:b/>
              </w:rPr>
              <w:t>354</w:t>
            </w:r>
          </w:p>
        </w:tc>
      </w:tr>
      <w:tr w:rsidR="008B7E19" w:rsidRPr="00BD450B" w14:paraId="773FA782" w14:textId="77777777" w:rsidTr="008B7E19">
        <w:trPr>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auto"/>
            <w:vAlign w:val="center"/>
          </w:tcPr>
          <w:p w14:paraId="1953B0C8" w14:textId="77777777" w:rsidR="008B7E19" w:rsidRPr="00BD450B" w:rsidRDefault="008B7E19" w:rsidP="008B7E19">
            <w:pPr>
              <w:pStyle w:val="08-Tabelageral"/>
              <w:jc w:val="left"/>
              <w:rPr>
                <w:bCs w:val="0"/>
              </w:rPr>
            </w:pPr>
            <w:r w:rsidRPr="00BD450B">
              <w:rPr>
                <w:bCs w:val="0"/>
              </w:rPr>
              <w:t> </w:t>
            </w:r>
          </w:p>
        </w:tc>
        <w:tc>
          <w:tcPr>
            <w:tcW w:w="709" w:type="dxa"/>
            <w:tcBorders>
              <w:top w:val="nil"/>
              <w:bottom w:val="nil"/>
            </w:tcBorders>
            <w:shd w:val="clear" w:color="auto" w:fill="auto"/>
            <w:vAlign w:val="center"/>
          </w:tcPr>
          <w:p w14:paraId="3AB1BB27" w14:textId="77777777" w:rsidR="008B7E19" w:rsidRPr="00BD450B" w:rsidRDefault="008B7E19" w:rsidP="008B7E19">
            <w:pPr>
              <w:pStyle w:val="08-Tabelageral"/>
              <w:jc w:val="center"/>
              <w:cnfStyle w:val="000000000000" w:firstRow="0" w:lastRow="0" w:firstColumn="0" w:lastColumn="0" w:oddVBand="0" w:evenVBand="0" w:oddHBand="0" w:evenHBand="0" w:firstRowFirstColumn="0" w:firstRowLastColumn="0" w:lastRowFirstColumn="0" w:lastRowLastColumn="0"/>
              <w:rPr>
                <w:b/>
              </w:rPr>
            </w:pPr>
          </w:p>
        </w:tc>
        <w:tc>
          <w:tcPr>
            <w:tcW w:w="1276" w:type="dxa"/>
            <w:tcBorders>
              <w:top w:val="nil"/>
              <w:left w:val="nil"/>
              <w:bottom w:val="nil"/>
              <w:right w:val="nil"/>
            </w:tcBorders>
            <w:shd w:val="clear" w:color="auto" w:fill="FFFFFF" w:themeFill="background1"/>
          </w:tcPr>
          <w:p w14:paraId="4F65A07B" w14:textId="77777777" w:rsidR="008B7E19" w:rsidRPr="00BD450B" w:rsidRDefault="008B7E19" w:rsidP="008B7E19">
            <w:pPr>
              <w:pStyle w:val="08-Tabelageral"/>
              <w:ind w:left="113"/>
              <w:cnfStyle w:val="000000000000" w:firstRow="0" w:lastRow="0" w:firstColumn="0" w:lastColumn="0" w:oddVBand="0" w:evenVBand="0" w:oddHBand="0" w:evenHBand="0" w:firstRowFirstColumn="0" w:firstRowLastColumn="0" w:lastRowFirstColumn="0" w:lastRowLastColumn="0"/>
              <w:rPr>
                <w:b/>
              </w:rPr>
            </w:pPr>
          </w:p>
        </w:tc>
        <w:tc>
          <w:tcPr>
            <w:tcW w:w="1559" w:type="dxa"/>
            <w:tcBorders>
              <w:top w:val="nil"/>
              <w:left w:val="nil"/>
              <w:bottom w:val="nil"/>
              <w:right w:val="nil"/>
            </w:tcBorders>
            <w:shd w:val="clear" w:color="auto" w:fill="FFFFFF" w:themeFill="background1"/>
          </w:tcPr>
          <w:p w14:paraId="08CA7C4F" w14:textId="77777777" w:rsidR="008B7E19" w:rsidRPr="00BD450B" w:rsidRDefault="008B7E19" w:rsidP="008B7E19">
            <w:pPr>
              <w:pStyle w:val="08-Tabelageral"/>
              <w:ind w:left="113"/>
              <w:cnfStyle w:val="000000000000" w:firstRow="0" w:lastRow="0" w:firstColumn="0" w:lastColumn="0" w:oddVBand="0" w:evenVBand="0" w:oddHBand="0" w:evenHBand="0" w:firstRowFirstColumn="0" w:firstRowLastColumn="0" w:lastRowFirstColumn="0" w:lastRowLastColumn="0"/>
              <w:rPr>
                <w:b/>
              </w:rPr>
            </w:pPr>
          </w:p>
        </w:tc>
        <w:tc>
          <w:tcPr>
            <w:tcW w:w="280" w:type="dxa"/>
            <w:tcBorders>
              <w:top w:val="nil"/>
              <w:bottom w:val="nil"/>
            </w:tcBorders>
            <w:shd w:val="clear" w:color="auto" w:fill="FFFFFF" w:themeFill="background1"/>
            <w:vAlign w:val="center"/>
          </w:tcPr>
          <w:p w14:paraId="5B0F8C35" w14:textId="77777777" w:rsidR="008B7E19" w:rsidRPr="00BD450B" w:rsidRDefault="008B7E19" w:rsidP="008B7E19">
            <w:pPr>
              <w:pStyle w:val="08-Tabelageral"/>
              <w:ind w:left="113"/>
              <w:cnfStyle w:val="000000000000" w:firstRow="0" w:lastRow="0" w:firstColumn="0" w:lastColumn="0" w:oddVBand="0" w:evenVBand="0" w:oddHBand="0" w:evenHBand="0" w:firstRowFirstColumn="0" w:firstRowLastColumn="0" w:lastRowFirstColumn="0" w:lastRowLastColumn="0"/>
              <w:rPr>
                <w:b/>
              </w:rPr>
            </w:pPr>
          </w:p>
        </w:tc>
        <w:tc>
          <w:tcPr>
            <w:tcW w:w="1279" w:type="dxa"/>
            <w:tcBorders>
              <w:top w:val="nil"/>
              <w:left w:val="nil"/>
              <w:bottom w:val="nil"/>
              <w:right w:val="nil"/>
            </w:tcBorders>
            <w:shd w:val="clear" w:color="auto" w:fill="FFFFFF" w:themeFill="background1"/>
          </w:tcPr>
          <w:p w14:paraId="7E82BF37" w14:textId="77777777" w:rsidR="008B7E19" w:rsidRPr="00BD450B" w:rsidRDefault="008B7E19" w:rsidP="008B7E19">
            <w:pPr>
              <w:pStyle w:val="08-Tabelageral"/>
              <w:ind w:left="113"/>
              <w:cnfStyle w:val="000000000000" w:firstRow="0" w:lastRow="0" w:firstColumn="0" w:lastColumn="0" w:oddVBand="0" w:evenVBand="0" w:oddHBand="0" w:evenHBand="0" w:firstRowFirstColumn="0" w:firstRowLastColumn="0" w:lastRowFirstColumn="0" w:lastRowLastColumn="0"/>
              <w:rPr>
                <w:b/>
              </w:rPr>
            </w:pPr>
          </w:p>
        </w:tc>
        <w:tc>
          <w:tcPr>
            <w:tcW w:w="1559" w:type="dxa"/>
            <w:tcBorders>
              <w:top w:val="nil"/>
              <w:left w:val="nil"/>
              <w:bottom w:val="nil"/>
              <w:right w:val="nil"/>
            </w:tcBorders>
            <w:shd w:val="clear" w:color="auto" w:fill="FFFFFF" w:themeFill="background1"/>
          </w:tcPr>
          <w:p w14:paraId="78EEABBF" w14:textId="77777777" w:rsidR="008B7E19" w:rsidRPr="00BD450B" w:rsidRDefault="008B7E19" w:rsidP="008B7E19">
            <w:pPr>
              <w:pStyle w:val="08-Tabelageral"/>
              <w:ind w:left="113"/>
              <w:cnfStyle w:val="000000000000" w:firstRow="0" w:lastRow="0" w:firstColumn="0" w:lastColumn="0" w:oddVBand="0" w:evenVBand="0" w:oddHBand="0" w:evenHBand="0" w:firstRowFirstColumn="0" w:firstRowLastColumn="0" w:lastRowFirstColumn="0" w:lastRowLastColumn="0"/>
              <w:rPr>
                <w:b/>
              </w:rPr>
            </w:pPr>
          </w:p>
        </w:tc>
      </w:tr>
      <w:tr w:rsidR="008B7E19" w:rsidRPr="00BD450B" w14:paraId="4511AB79"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auto"/>
            <w:vAlign w:val="center"/>
          </w:tcPr>
          <w:p w14:paraId="600A206F" w14:textId="77777777" w:rsidR="008B7E19" w:rsidRPr="00BD450B" w:rsidRDefault="008B7E19" w:rsidP="008B7E19">
            <w:pPr>
              <w:pStyle w:val="08-Tabelageral"/>
              <w:jc w:val="left"/>
              <w:rPr>
                <w:lang w:val="en-US"/>
              </w:rPr>
            </w:pPr>
            <w:r w:rsidRPr="00BD450B">
              <w:rPr>
                <w:lang w:val="en-US"/>
              </w:rPr>
              <w:t>Added Value Received Through Transfer</w:t>
            </w:r>
          </w:p>
        </w:tc>
        <w:tc>
          <w:tcPr>
            <w:tcW w:w="709" w:type="dxa"/>
            <w:tcBorders>
              <w:top w:val="nil"/>
              <w:bottom w:val="nil"/>
            </w:tcBorders>
            <w:shd w:val="clear" w:color="auto" w:fill="auto"/>
            <w:vAlign w:val="center"/>
          </w:tcPr>
          <w:p w14:paraId="7F8B260D" w14:textId="77777777" w:rsidR="008B7E19" w:rsidRPr="00BD450B" w:rsidRDefault="008B7E19" w:rsidP="008B7E19">
            <w:pPr>
              <w:pStyle w:val="08-Tabelageral"/>
              <w:jc w:val="center"/>
              <w:cnfStyle w:val="000000100000" w:firstRow="0" w:lastRow="0" w:firstColumn="0" w:lastColumn="0" w:oddVBand="0" w:evenVBand="0" w:oddHBand="1" w:evenHBand="0" w:firstRowFirstColumn="0" w:firstRowLastColumn="0" w:lastRowFirstColumn="0" w:lastRowLastColumn="0"/>
              <w:rPr>
                <w:b/>
                <w:lang w:val="en-US"/>
              </w:rPr>
            </w:pPr>
          </w:p>
        </w:tc>
        <w:tc>
          <w:tcPr>
            <w:tcW w:w="1276" w:type="dxa"/>
            <w:tcBorders>
              <w:top w:val="nil"/>
              <w:left w:val="nil"/>
              <w:bottom w:val="nil"/>
              <w:right w:val="nil"/>
            </w:tcBorders>
            <w:shd w:val="clear" w:color="auto" w:fill="auto"/>
          </w:tcPr>
          <w:p w14:paraId="183FB7DD" w14:textId="77777777" w:rsidR="008B7E19" w:rsidRPr="00BD450B"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b/>
                <w:bCs/>
              </w:rPr>
            </w:pPr>
            <w:r w:rsidRPr="00BD450B">
              <w:rPr>
                <w:b/>
              </w:rPr>
              <w:t>3</w:t>
            </w:r>
            <w:r>
              <w:rPr>
                <w:b/>
              </w:rPr>
              <w:t>,</w:t>
            </w:r>
            <w:r w:rsidRPr="00BD450B">
              <w:rPr>
                <w:b/>
              </w:rPr>
              <w:t>816</w:t>
            </w:r>
            <w:r>
              <w:rPr>
                <w:b/>
              </w:rPr>
              <w:t>,</w:t>
            </w:r>
            <w:r w:rsidRPr="00BD450B">
              <w:rPr>
                <w:b/>
              </w:rPr>
              <w:t>248</w:t>
            </w:r>
          </w:p>
        </w:tc>
        <w:tc>
          <w:tcPr>
            <w:tcW w:w="1559" w:type="dxa"/>
            <w:tcBorders>
              <w:top w:val="nil"/>
              <w:left w:val="nil"/>
              <w:bottom w:val="nil"/>
              <w:right w:val="nil"/>
            </w:tcBorders>
            <w:shd w:val="clear" w:color="auto" w:fill="auto"/>
          </w:tcPr>
          <w:p w14:paraId="5F7D4591" w14:textId="77777777" w:rsidR="008B7E19" w:rsidRPr="00BD450B"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b/>
                <w:bCs/>
              </w:rPr>
            </w:pPr>
            <w:r w:rsidRPr="00BD450B">
              <w:rPr>
                <w:b/>
              </w:rPr>
              <w:t>2</w:t>
            </w:r>
            <w:r>
              <w:rPr>
                <w:b/>
              </w:rPr>
              <w:t>,</w:t>
            </w:r>
            <w:r w:rsidRPr="00BD450B">
              <w:rPr>
                <w:b/>
              </w:rPr>
              <w:t>749</w:t>
            </w:r>
            <w:r>
              <w:rPr>
                <w:b/>
              </w:rPr>
              <w:t>,</w:t>
            </w:r>
            <w:r w:rsidRPr="00BD450B">
              <w:rPr>
                <w:b/>
              </w:rPr>
              <w:t>109</w:t>
            </w:r>
          </w:p>
        </w:tc>
        <w:tc>
          <w:tcPr>
            <w:tcW w:w="280" w:type="dxa"/>
            <w:tcBorders>
              <w:top w:val="nil"/>
              <w:left w:val="nil"/>
              <w:bottom w:val="nil"/>
              <w:right w:val="nil"/>
            </w:tcBorders>
            <w:shd w:val="clear" w:color="auto" w:fill="auto"/>
            <w:vAlign w:val="center"/>
          </w:tcPr>
          <w:p w14:paraId="63E2B2ED" w14:textId="77777777" w:rsidR="008B7E19" w:rsidRPr="00BD450B"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b/>
                <w:bCs/>
              </w:rPr>
            </w:pPr>
          </w:p>
        </w:tc>
        <w:tc>
          <w:tcPr>
            <w:tcW w:w="1279" w:type="dxa"/>
            <w:tcBorders>
              <w:top w:val="nil"/>
              <w:left w:val="nil"/>
              <w:bottom w:val="nil"/>
              <w:right w:val="nil"/>
            </w:tcBorders>
            <w:shd w:val="clear" w:color="auto" w:fill="auto"/>
          </w:tcPr>
          <w:p w14:paraId="0AF7137B" w14:textId="77777777" w:rsidR="008B7E19" w:rsidRPr="00BD450B"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b/>
                <w:bCs/>
              </w:rPr>
            </w:pPr>
            <w:r w:rsidRPr="00BD450B">
              <w:rPr>
                <w:b/>
              </w:rPr>
              <w:t>2</w:t>
            </w:r>
            <w:r>
              <w:rPr>
                <w:b/>
              </w:rPr>
              <w:t>,</w:t>
            </w:r>
            <w:r w:rsidRPr="00BD450B">
              <w:rPr>
                <w:b/>
              </w:rPr>
              <w:t>612</w:t>
            </w:r>
            <w:r>
              <w:rPr>
                <w:b/>
              </w:rPr>
              <w:t>,</w:t>
            </w:r>
            <w:r w:rsidRPr="00BD450B">
              <w:rPr>
                <w:b/>
              </w:rPr>
              <w:t>981</w:t>
            </w:r>
          </w:p>
        </w:tc>
        <w:tc>
          <w:tcPr>
            <w:tcW w:w="1559" w:type="dxa"/>
            <w:tcBorders>
              <w:top w:val="nil"/>
              <w:left w:val="nil"/>
              <w:bottom w:val="nil"/>
              <w:right w:val="nil"/>
            </w:tcBorders>
            <w:shd w:val="clear" w:color="auto" w:fill="auto"/>
          </w:tcPr>
          <w:p w14:paraId="43B2FFF1" w14:textId="77777777" w:rsidR="008B7E19" w:rsidRPr="00BD450B"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b/>
                <w:bCs/>
              </w:rPr>
            </w:pPr>
            <w:r w:rsidRPr="00BD450B">
              <w:rPr>
                <w:b/>
              </w:rPr>
              <w:t>1</w:t>
            </w:r>
            <w:r>
              <w:rPr>
                <w:b/>
              </w:rPr>
              <w:t>,</w:t>
            </w:r>
            <w:r w:rsidRPr="00BD450B">
              <w:rPr>
                <w:b/>
              </w:rPr>
              <w:t>704</w:t>
            </w:r>
            <w:r>
              <w:rPr>
                <w:b/>
              </w:rPr>
              <w:t>,</w:t>
            </w:r>
            <w:r w:rsidRPr="00BD450B">
              <w:rPr>
                <w:b/>
              </w:rPr>
              <w:t>663</w:t>
            </w:r>
          </w:p>
        </w:tc>
      </w:tr>
      <w:tr w:rsidR="008B7E19" w:rsidRPr="005F0714" w14:paraId="33E1E739" w14:textId="77777777" w:rsidTr="008B7E19">
        <w:trPr>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auto"/>
            <w:vAlign w:val="center"/>
          </w:tcPr>
          <w:p w14:paraId="51EC2283" w14:textId="77777777" w:rsidR="008B7E19" w:rsidRPr="00BD6C7E" w:rsidRDefault="008B7E19" w:rsidP="008B7E19">
            <w:pPr>
              <w:pStyle w:val="08-Tabelageral"/>
              <w:ind w:left="113"/>
              <w:jc w:val="left"/>
              <w:rPr>
                <w:b w:val="0"/>
                <w:lang w:val="en-US"/>
              </w:rPr>
            </w:pPr>
            <w:r w:rsidRPr="00BD6C7E">
              <w:rPr>
                <w:b w:val="0"/>
                <w:lang w:val="en-US"/>
              </w:rPr>
              <w:t>Equity in the earnings of associates</w:t>
            </w:r>
          </w:p>
        </w:tc>
        <w:tc>
          <w:tcPr>
            <w:tcW w:w="709" w:type="dxa"/>
            <w:tcBorders>
              <w:top w:val="nil"/>
              <w:bottom w:val="nil"/>
            </w:tcBorders>
            <w:shd w:val="clear" w:color="auto" w:fill="auto"/>
            <w:vAlign w:val="center"/>
          </w:tcPr>
          <w:p w14:paraId="6AF4E875" w14:textId="77777777" w:rsidR="008B7E19" w:rsidRPr="00165BD7" w:rsidRDefault="008B7E19" w:rsidP="008B7E19">
            <w:pPr>
              <w:pStyle w:val="08-Tabelageral"/>
              <w:ind w:left="113"/>
              <w:jc w:val="center"/>
              <w:cnfStyle w:val="000000000000" w:firstRow="0" w:lastRow="0" w:firstColumn="0" w:lastColumn="0" w:oddVBand="0" w:evenVBand="0" w:oddHBand="0" w:evenHBand="0" w:firstRowFirstColumn="0" w:firstRowLastColumn="0" w:lastRowFirstColumn="0" w:lastRowLastColumn="0"/>
            </w:pPr>
            <w:r w:rsidRPr="00B10394">
              <w:t>[7</w:t>
            </w:r>
            <w:r>
              <w:t>.b</w:t>
            </w:r>
            <w:r w:rsidRPr="00B10394">
              <w:t>]</w:t>
            </w:r>
          </w:p>
        </w:tc>
        <w:tc>
          <w:tcPr>
            <w:tcW w:w="1276" w:type="dxa"/>
            <w:tcBorders>
              <w:top w:val="nil"/>
              <w:left w:val="nil"/>
              <w:bottom w:val="nil"/>
              <w:right w:val="nil"/>
            </w:tcBorders>
            <w:shd w:val="clear" w:color="auto" w:fill="auto"/>
          </w:tcPr>
          <w:p w14:paraId="5086CDC9" w14:textId="77777777" w:rsidR="008B7E19" w:rsidRPr="005F0714" w:rsidRDefault="008B7E19" w:rsidP="008B7E19">
            <w:pPr>
              <w:pStyle w:val="08-Tabelageral"/>
              <w:ind w:left="113"/>
              <w:cnfStyle w:val="000000000000" w:firstRow="0" w:lastRow="0" w:firstColumn="0" w:lastColumn="0" w:oddVBand="0" w:evenVBand="0" w:oddHBand="0" w:evenHBand="0" w:firstRowFirstColumn="0" w:firstRowLastColumn="0" w:lastRowFirstColumn="0" w:lastRowLastColumn="0"/>
            </w:pPr>
            <w:r w:rsidRPr="00035FEE">
              <w:t>3</w:t>
            </w:r>
            <w:r>
              <w:t>,</w:t>
            </w:r>
            <w:r w:rsidRPr="00035FEE">
              <w:t>722</w:t>
            </w:r>
            <w:r>
              <w:t>,</w:t>
            </w:r>
            <w:r w:rsidRPr="00035FEE">
              <w:t>987</w:t>
            </w:r>
          </w:p>
        </w:tc>
        <w:tc>
          <w:tcPr>
            <w:tcW w:w="1559" w:type="dxa"/>
            <w:tcBorders>
              <w:top w:val="nil"/>
              <w:left w:val="nil"/>
              <w:bottom w:val="nil"/>
              <w:right w:val="nil"/>
            </w:tcBorders>
            <w:shd w:val="clear" w:color="auto" w:fill="auto"/>
          </w:tcPr>
          <w:p w14:paraId="5E916678" w14:textId="77777777" w:rsidR="008B7E19" w:rsidRPr="005F0714" w:rsidRDefault="008B7E19" w:rsidP="008B7E19">
            <w:pPr>
              <w:pStyle w:val="08-Tabelageral"/>
              <w:ind w:left="113"/>
              <w:cnfStyle w:val="000000000000" w:firstRow="0" w:lastRow="0" w:firstColumn="0" w:lastColumn="0" w:oddVBand="0" w:evenVBand="0" w:oddHBand="0" w:evenHBand="0" w:firstRowFirstColumn="0" w:firstRowLastColumn="0" w:lastRowFirstColumn="0" w:lastRowLastColumn="0"/>
            </w:pPr>
            <w:r w:rsidRPr="00035FEE">
              <w:t>2</w:t>
            </w:r>
            <w:r>
              <w:t>,</w:t>
            </w:r>
            <w:r w:rsidRPr="00035FEE">
              <w:t>713</w:t>
            </w:r>
            <w:r>
              <w:t>,</w:t>
            </w:r>
            <w:r w:rsidRPr="00035FEE">
              <w:t>914</w:t>
            </w:r>
          </w:p>
        </w:tc>
        <w:tc>
          <w:tcPr>
            <w:tcW w:w="280" w:type="dxa"/>
            <w:tcBorders>
              <w:top w:val="nil"/>
              <w:left w:val="nil"/>
              <w:bottom w:val="nil"/>
              <w:right w:val="nil"/>
            </w:tcBorders>
            <w:shd w:val="clear" w:color="auto" w:fill="auto"/>
            <w:vAlign w:val="center"/>
          </w:tcPr>
          <w:p w14:paraId="0B14EA41" w14:textId="77777777" w:rsidR="008B7E19" w:rsidRPr="005F0714" w:rsidRDefault="008B7E19" w:rsidP="008B7E19">
            <w:pPr>
              <w:pStyle w:val="08-Tabelageral"/>
              <w:ind w:left="113"/>
              <w:cnfStyle w:val="000000000000" w:firstRow="0" w:lastRow="0" w:firstColumn="0" w:lastColumn="0" w:oddVBand="0" w:evenVBand="0" w:oddHBand="0" w:evenHBand="0" w:firstRowFirstColumn="0" w:firstRowLastColumn="0" w:lastRowFirstColumn="0" w:lastRowLastColumn="0"/>
            </w:pPr>
          </w:p>
        </w:tc>
        <w:tc>
          <w:tcPr>
            <w:tcW w:w="1279" w:type="dxa"/>
            <w:tcBorders>
              <w:top w:val="nil"/>
              <w:left w:val="nil"/>
              <w:bottom w:val="nil"/>
              <w:right w:val="nil"/>
            </w:tcBorders>
            <w:shd w:val="clear" w:color="auto" w:fill="auto"/>
          </w:tcPr>
          <w:p w14:paraId="3C6B7F3A" w14:textId="77777777" w:rsidR="008B7E19" w:rsidRPr="005F0714" w:rsidRDefault="008B7E19" w:rsidP="008B7E19">
            <w:pPr>
              <w:pStyle w:val="08-Tabelageral"/>
              <w:ind w:left="113"/>
              <w:cnfStyle w:val="000000000000" w:firstRow="0" w:lastRow="0" w:firstColumn="0" w:lastColumn="0" w:oddVBand="0" w:evenVBand="0" w:oddHBand="0" w:evenHBand="0" w:firstRowFirstColumn="0" w:firstRowLastColumn="0" w:lastRowFirstColumn="0" w:lastRowLastColumn="0"/>
            </w:pPr>
            <w:r w:rsidRPr="00CB726D">
              <w:t>2</w:t>
            </w:r>
            <w:r>
              <w:t>,</w:t>
            </w:r>
            <w:r w:rsidRPr="00CB726D">
              <w:t>285</w:t>
            </w:r>
            <w:r>
              <w:t>,</w:t>
            </w:r>
            <w:r w:rsidRPr="00CB726D">
              <w:t>751</w:t>
            </w:r>
          </w:p>
        </w:tc>
        <w:tc>
          <w:tcPr>
            <w:tcW w:w="1559" w:type="dxa"/>
            <w:tcBorders>
              <w:top w:val="nil"/>
              <w:left w:val="nil"/>
              <w:bottom w:val="nil"/>
              <w:right w:val="nil"/>
            </w:tcBorders>
            <w:shd w:val="clear" w:color="auto" w:fill="auto"/>
          </w:tcPr>
          <w:p w14:paraId="02FCB615" w14:textId="77777777" w:rsidR="008B7E19" w:rsidRPr="005F0714" w:rsidRDefault="008B7E19" w:rsidP="008B7E19">
            <w:pPr>
              <w:pStyle w:val="08-Tabelageral"/>
              <w:ind w:left="113"/>
              <w:cnfStyle w:val="000000000000" w:firstRow="0" w:lastRow="0" w:firstColumn="0" w:lastColumn="0" w:oddVBand="0" w:evenVBand="0" w:oddHBand="0" w:evenHBand="0" w:firstRowFirstColumn="0" w:firstRowLastColumn="0" w:lastRowFirstColumn="0" w:lastRowLastColumn="0"/>
            </w:pPr>
            <w:r w:rsidRPr="00CB726D">
              <w:t>1</w:t>
            </w:r>
            <w:r>
              <w:t>,</w:t>
            </w:r>
            <w:r w:rsidRPr="00CB726D">
              <w:t>500</w:t>
            </w:r>
            <w:r>
              <w:t>,</w:t>
            </w:r>
            <w:r w:rsidRPr="00CB726D">
              <w:t>108</w:t>
            </w:r>
          </w:p>
        </w:tc>
      </w:tr>
      <w:tr w:rsidR="008B7E19" w:rsidRPr="005F0714" w14:paraId="589DEE0D"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auto"/>
            <w:vAlign w:val="center"/>
          </w:tcPr>
          <w:p w14:paraId="7C7033E6" w14:textId="77777777" w:rsidR="008B7E19" w:rsidRPr="009768B6" w:rsidRDefault="008B7E19" w:rsidP="008B7E19">
            <w:pPr>
              <w:pStyle w:val="08-Tabelageral"/>
              <w:ind w:left="113"/>
              <w:jc w:val="left"/>
              <w:rPr>
                <w:b w:val="0"/>
              </w:rPr>
            </w:pPr>
            <w:r w:rsidRPr="009768B6">
              <w:rPr>
                <w:b w:val="0"/>
              </w:rPr>
              <w:t>Financial income</w:t>
            </w:r>
          </w:p>
        </w:tc>
        <w:tc>
          <w:tcPr>
            <w:tcW w:w="709" w:type="dxa"/>
            <w:tcBorders>
              <w:top w:val="nil"/>
              <w:bottom w:val="nil"/>
            </w:tcBorders>
            <w:shd w:val="clear" w:color="auto" w:fill="auto"/>
            <w:vAlign w:val="center"/>
          </w:tcPr>
          <w:p w14:paraId="7783E641" w14:textId="77777777" w:rsidR="008B7E19" w:rsidRPr="00165BD7" w:rsidRDefault="008B7E19" w:rsidP="008B7E19">
            <w:pPr>
              <w:pStyle w:val="08-Tabelageral"/>
              <w:ind w:left="113"/>
              <w:jc w:val="center"/>
              <w:cnfStyle w:val="000000100000" w:firstRow="0" w:lastRow="0" w:firstColumn="0" w:lastColumn="0" w:oddVBand="0" w:evenVBand="0" w:oddHBand="1" w:evenHBand="0" w:firstRowFirstColumn="0" w:firstRowLastColumn="0" w:lastRowFirstColumn="0" w:lastRowLastColumn="0"/>
            </w:pPr>
            <w:r>
              <w:t>[14]</w:t>
            </w:r>
          </w:p>
        </w:tc>
        <w:tc>
          <w:tcPr>
            <w:tcW w:w="1276" w:type="dxa"/>
            <w:tcBorders>
              <w:top w:val="nil"/>
              <w:left w:val="nil"/>
              <w:bottom w:val="nil"/>
              <w:right w:val="nil"/>
            </w:tcBorders>
            <w:shd w:val="clear" w:color="auto" w:fill="auto"/>
          </w:tcPr>
          <w:p w14:paraId="1A253471" w14:textId="77777777" w:rsidR="008B7E19" w:rsidRPr="005F0714" w:rsidRDefault="008B7E19" w:rsidP="008B7E19">
            <w:pPr>
              <w:pStyle w:val="08-Tabelageral"/>
              <w:ind w:left="113"/>
              <w:cnfStyle w:val="000000100000" w:firstRow="0" w:lastRow="0" w:firstColumn="0" w:lastColumn="0" w:oddVBand="0" w:evenVBand="0" w:oddHBand="1" w:evenHBand="0" w:firstRowFirstColumn="0" w:firstRowLastColumn="0" w:lastRowFirstColumn="0" w:lastRowLastColumn="0"/>
            </w:pPr>
            <w:r w:rsidRPr="00035FEE">
              <w:t>93</w:t>
            </w:r>
            <w:r>
              <w:t>,</w:t>
            </w:r>
            <w:r w:rsidRPr="00035FEE">
              <w:t>261</w:t>
            </w:r>
          </w:p>
        </w:tc>
        <w:tc>
          <w:tcPr>
            <w:tcW w:w="1559" w:type="dxa"/>
            <w:tcBorders>
              <w:top w:val="nil"/>
              <w:left w:val="nil"/>
              <w:bottom w:val="nil"/>
              <w:right w:val="nil"/>
            </w:tcBorders>
            <w:shd w:val="clear" w:color="auto" w:fill="auto"/>
          </w:tcPr>
          <w:p w14:paraId="20598B06" w14:textId="77777777" w:rsidR="008B7E19" w:rsidRPr="005F0714" w:rsidRDefault="008B7E19" w:rsidP="008B7E19">
            <w:pPr>
              <w:pStyle w:val="08-Tabelageral"/>
              <w:ind w:left="113"/>
              <w:cnfStyle w:val="000000100000" w:firstRow="0" w:lastRow="0" w:firstColumn="0" w:lastColumn="0" w:oddVBand="0" w:evenVBand="0" w:oddHBand="1" w:evenHBand="0" w:firstRowFirstColumn="0" w:firstRowLastColumn="0" w:lastRowFirstColumn="0" w:lastRowLastColumn="0"/>
            </w:pPr>
            <w:r w:rsidRPr="00035FEE">
              <w:t>35</w:t>
            </w:r>
            <w:r>
              <w:t>,</w:t>
            </w:r>
            <w:r w:rsidRPr="00035FEE">
              <w:t>195</w:t>
            </w:r>
          </w:p>
        </w:tc>
        <w:tc>
          <w:tcPr>
            <w:tcW w:w="280" w:type="dxa"/>
            <w:tcBorders>
              <w:top w:val="nil"/>
              <w:left w:val="nil"/>
              <w:bottom w:val="nil"/>
              <w:right w:val="nil"/>
            </w:tcBorders>
            <w:shd w:val="clear" w:color="auto" w:fill="auto"/>
            <w:vAlign w:val="center"/>
          </w:tcPr>
          <w:p w14:paraId="263732F5" w14:textId="77777777" w:rsidR="008B7E19" w:rsidRPr="005F0714" w:rsidRDefault="008B7E19" w:rsidP="008B7E19">
            <w:pPr>
              <w:pStyle w:val="08-Tabelageral"/>
              <w:ind w:left="113"/>
              <w:cnfStyle w:val="000000100000" w:firstRow="0" w:lastRow="0" w:firstColumn="0" w:lastColumn="0" w:oddVBand="0" w:evenVBand="0" w:oddHBand="1" w:evenHBand="0" w:firstRowFirstColumn="0" w:firstRowLastColumn="0" w:lastRowFirstColumn="0" w:lastRowLastColumn="0"/>
            </w:pPr>
          </w:p>
        </w:tc>
        <w:tc>
          <w:tcPr>
            <w:tcW w:w="1279" w:type="dxa"/>
            <w:tcBorders>
              <w:top w:val="nil"/>
              <w:left w:val="nil"/>
              <w:bottom w:val="nil"/>
              <w:right w:val="nil"/>
            </w:tcBorders>
            <w:shd w:val="clear" w:color="auto" w:fill="auto"/>
          </w:tcPr>
          <w:p w14:paraId="2EAAA950" w14:textId="77777777" w:rsidR="008B7E19" w:rsidRPr="005F0714" w:rsidRDefault="008B7E19" w:rsidP="008B7E19">
            <w:pPr>
              <w:pStyle w:val="08-Tabelageral"/>
              <w:ind w:left="113"/>
              <w:cnfStyle w:val="000000100000" w:firstRow="0" w:lastRow="0" w:firstColumn="0" w:lastColumn="0" w:oddVBand="0" w:evenVBand="0" w:oddHBand="1" w:evenHBand="0" w:firstRowFirstColumn="0" w:firstRowLastColumn="0" w:lastRowFirstColumn="0" w:lastRowLastColumn="0"/>
            </w:pPr>
            <w:r w:rsidRPr="00CB726D">
              <w:t>327</w:t>
            </w:r>
            <w:r>
              <w:t>,</w:t>
            </w:r>
            <w:r w:rsidRPr="00CB726D">
              <w:t>230</w:t>
            </w:r>
          </w:p>
        </w:tc>
        <w:tc>
          <w:tcPr>
            <w:tcW w:w="1559" w:type="dxa"/>
            <w:tcBorders>
              <w:top w:val="nil"/>
              <w:left w:val="nil"/>
              <w:bottom w:val="nil"/>
              <w:right w:val="nil"/>
            </w:tcBorders>
            <w:shd w:val="clear" w:color="auto" w:fill="auto"/>
          </w:tcPr>
          <w:p w14:paraId="642E2067" w14:textId="77777777" w:rsidR="008B7E19" w:rsidRPr="005F0714" w:rsidRDefault="008B7E19" w:rsidP="008B7E19">
            <w:pPr>
              <w:pStyle w:val="08-Tabelageral"/>
              <w:ind w:left="113"/>
              <w:cnfStyle w:val="000000100000" w:firstRow="0" w:lastRow="0" w:firstColumn="0" w:lastColumn="0" w:oddVBand="0" w:evenVBand="0" w:oddHBand="1" w:evenHBand="0" w:firstRowFirstColumn="0" w:firstRowLastColumn="0" w:lastRowFirstColumn="0" w:lastRowLastColumn="0"/>
            </w:pPr>
            <w:r w:rsidRPr="00CB726D">
              <w:t>204</w:t>
            </w:r>
            <w:r>
              <w:t>,</w:t>
            </w:r>
            <w:r w:rsidRPr="00CB726D">
              <w:t>555</w:t>
            </w:r>
          </w:p>
        </w:tc>
      </w:tr>
      <w:tr w:rsidR="008B7E19" w:rsidRPr="001D6BE8" w14:paraId="135599FF" w14:textId="77777777" w:rsidTr="008B7E19">
        <w:trPr>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auto"/>
            <w:vAlign w:val="center"/>
          </w:tcPr>
          <w:p w14:paraId="3DC2525F" w14:textId="77777777" w:rsidR="008B7E19" w:rsidRPr="00924161" w:rsidRDefault="008B7E19" w:rsidP="008B7E19">
            <w:pPr>
              <w:pStyle w:val="08-Tabelageral"/>
              <w:jc w:val="left"/>
              <w:rPr>
                <w:b w:val="0"/>
                <w:bCs w:val="0"/>
              </w:rPr>
            </w:pPr>
            <w:r w:rsidRPr="00924161">
              <w:rPr>
                <w:b w:val="0"/>
                <w:bCs w:val="0"/>
              </w:rPr>
              <w:t> </w:t>
            </w:r>
          </w:p>
        </w:tc>
        <w:tc>
          <w:tcPr>
            <w:tcW w:w="709" w:type="dxa"/>
            <w:tcBorders>
              <w:top w:val="nil"/>
              <w:bottom w:val="nil"/>
            </w:tcBorders>
            <w:shd w:val="clear" w:color="auto" w:fill="auto"/>
            <w:vAlign w:val="center"/>
          </w:tcPr>
          <w:p w14:paraId="62DEE4B2" w14:textId="77777777" w:rsidR="008B7E19" w:rsidRPr="00165BD7" w:rsidRDefault="008B7E19" w:rsidP="008B7E19">
            <w:pPr>
              <w:pStyle w:val="08-Tabelageral"/>
              <w:jc w:val="center"/>
              <w:cnfStyle w:val="000000000000" w:firstRow="0" w:lastRow="0" w:firstColumn="0" w:lastColumn="0" w:oddVBand="0" w:evenVBand="0" w:oddHBand="0" w:evenHBand="0" w:firstRowFirstColumn="0" w:firstRowLastColumn="0" w:lastRowFirstColumn="0" w:lastRowLastColumn="0"/>
            </w:pPr>
          </w:p>
        </w:tc>
        <w:tc>
          <w:tcPr>
            <w:tcW w:w="1276" w:type="dxa"/>
            <w:tcBorders>
              <w:top w:val="nil"/>
              <w:left w:val="nil"/>
              <w:bottom w:val="nil"/>
              <w:right w:val="nil"/>
            </w:tcBorders>
            <w:shd w:val="clear" w:color="auto" w:fill="auto"/>
          </w:tcPr>
          <w:p w14:paraId="1BF866DE" w14:textId="77777777" w:rsidR="008B7E19" w:rsidRPr="008A41F6"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b/>
                <w:szCs w:val="14"/>
              </w:rPr>
            </w:pPr>
          </w:p>
        </w:tc>
        <w:tc>
          <w:tcPr>
            <w:tcW w:w="1559" w:type="dxa"/>
            <w:tcBorders>
              <w:top w:val="nil"/>
              <w:left w:val="nil"/>
              <w:bottom w:val="nil"/>
              <w:right w:val="nil"/>
            </w:tcBorders>
            <w:shd w:val="clear" w:color="auto" w:fill="auto"/>
          </w:tcPr>
          <w:p w14:paraId="238F2333" w14:textId="77777777" w:rsidR="008B7E19" w:rsidRPr="008A41F6"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b/>
              </w:rPr>
            </w:pPr>
          </w:p>
        </w:tc>
        <w:tc>
          <w:tcPr>
            <w:tcW w:w="280" w:type="dxa"/>
            <w:tcBorders>
              <w:top w:val="nil"/>
              <w:left w:val="nil"/>
              <w:bottom w:val="nil"/>
              <w:right w:val="nil"/>
            </w:tcBorders>
            <w:shd w:val="clear" w:color="auto" w:fill="auto"/>
            <w:vAlign w:val="center"/>
          </w:tcPr>
          <w:p w14:paraId="4546191E" w14:textId="77777777" w:rsidR="008B7E19" w:rsidRPr="008A41F6"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b/>
                <w:szCs w:val="14"/>
              </w:rPr>
            </w:pPr>
          </w:p>
        </w:tc>
        <w:tc>
          <w:tcPr>
            <w:tcW w:w="1279" w:type="dxa"/>
            <w:tcBorders>
              <w:top w:val="nil"/>
              <w:left w:val="nil"/>
              <w:bottom w:val="nil"/>
              <w:right w:val="nil"/>
            </w:tcBorders>
            <w:shd w:val="clear" w:color="auto" w:fill="auto"/>
          </w:tcPr>
          <w:p w14:paraId="2D3E7994" w14:textId="77777777" w:rsidR="008B7E19" w:rsidRPr="008A41F6"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b/>
                <w:szCs w:val="14"/>
              </w:rPr>
            </w:pPr>
          </w:p>
        </w:tc>
        <w:tc>
          <w:tcPr>
            <w:tcW w:w="1559" w:type="dxa"/>
            <w:tcBorders>
              <w:top w:val="nil"/>
              <w:left w:val="nil"/>
              <w:bottom w:val="nil"/>
              <w:right w:val="nil"/>
            </w:tcBorders>
            <w:shd w:val="clear" w:color="auto" w:fill="auto"/>
          </w:tcPr>
          <w:p w14:paraId="50CAE8E6" w14:textId="77777777" w:rsidR="008B7E19" w:rsidRPr="008A41F6"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b/>
              </w:rPr>
            </w:pPr>
          </w:p>
        </w:tc>
      </w:tr>
      <w:tr w:rsidR="008B7E19" w:rsidRPr="00BD450B" w14:paraId="2251A354"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auto"/>
            <w:vAlign w:val="center"/>
          </w:tcPr>
          <w:p w14:paraId="56018854" w14:textId="77777777" w:rsidR="008B7E19" w:rsidRPr="00BD450B" w:rsidRDefault="008B7E19" w:rsidP="008B7E19">
            <w:pPr>
              <w:pStyle w:val="08-Tabelageral"/>
              <w:jc w:val="left"/>
              <w:rPr>
                <w:lang w:val="en-US"/>
              </w:rPr>
            </w:pPr>
            <w:r w:rsidRPr="00BD450B">
              <w:rPr>
                <w:lang w:val="en-US"/>
              </w:rPr>
              <w:t>Total Added Value to Distribute</w:t>
            </w:r>
          </w:p>
        </w:tc>
        <w:tc>
          <w:tcPr>
            <w:tcW w:w="709" w:type="dxa"/>
            <w:tcBorders>
              <w:top w:val="nil"/>
              <w:bottom w:val="nil"/>
            </w:tcBorders>
            <w:shd w:val="clear" w:color="auto" w:fill="auto"/>
            <w:vAlign w:val="center"/>
          </w:tcPr>
          <w:p w14:paraId="13D7DD4E" w14:textId="77777777" w:rsidR="008B7E19" w:rsidRPr="00BD450B" w:rsidRDefault="008B7E19" w:rsidP="008B7E19">
            <w:pPr>
              <w:pStyle w:val="08-Tabelageral"/>
              <w:jc w:val="center"/>
              <w:cnfStyle w:val="000000100000" w:firstRow="0" w:lastRow="0" w:firstColumn="0" w:lastColumn="0" w:oddVBand="0" w:evenVBand="0" w:oddHBand="1" w:evenHBand="0" w:firstRowFirstColumn="0" w:firstRowLastColumn="0" w:lastRowFirstColumn="0" w:lastRowLastColumn="0"/>
              <w:rPr>
                <w:b/>
                <w:lang w:val="en-US"/>
              </w:rPr>
            </w:pPr>
          </w:p>
        </w:tc>
        <w:tc>
          <w:tcPr>
            <w:tcW w:w="1276" w:type="dxa"/>
            <w:tcBorders>
              <w:top w:val="nil"/>
              <w:left w:val="nil"/>
              <w:bottom w:val="nil"/>
              <w:right w:val="nil"/>
            </w:tcBorders>
            <w:shd w:val="clear" w:color="auto" w:fill="auto"/>
          </w:tcPr>
          <w:p w14:paraId="5B51A432" w14:textId="77777777" w:rsidR="008B7E19" w:rsidRPr="00BD450B"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b/>
                <w:bCs/>
              </w:rPr>
            </w:pPr>
            <w:r w:rsidRPr="00BD450B">
              <w:rPr>
                <w:b/>
              </w:rPr>
              <w:t>3</w:t>
            </w:r>
            <w:r>
              <w:rPr>
                <w:b/>
              </w:rPr>
              <w:t>,</w:t>
            </w:r>
            <w:r w:rsidRPr="00BD450B">
              <w:rPr>
                <w:b/>
              </w:rPr>
              <w:t>817</w:t>
            </w:r>
            <w:r>
              <w:rPr>
                <w:b/>
              </w:rPr>
              <w:t>,</w:t>
            </w:r>
            <w:r w:rsidRPr="00BD450B">
              <w:rPr>
                <w:b/>
              </w:rPr>
              <w:t>830</w:t>
            </w:r>
          </w:p>
        </w:tc>
        <w:tc>
          <w:tcPr>
            <w:tcW w:w="1559" w:type="dxa"/>
            <w:tcBorders>
              <w:top w:val="nil"/>
              <w:left w:val="nil"/>
              <w:bottom w:val="nil"/>
              <w:right w:val="nil"/>
            </w:tcBorders>
            <w:shd w:val="clear" w:color="auto" w:fill="auto"/>
          </w:tcPr>
          <w:p w14:paraId="6614E81B" w14:textId="77777777" w:rsidR="008B7E19" w:rsidRPr="00BD450B"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b/>
                <w:bCs/>
              </w:rPr>
            </w:pPr>
            <w:r w:rsidRPr="00BD450B">
              <w:rPr>
                <w:b/>
              </w:rPr>
              <w:t>2</w:t>
            </w:r>
            <w:r>
              <w:rPr>
                <w:b/>
              </w:rPr>
              <w:t>,</w:t>
            </w:r>
            <w:r w:rsidRPr="00BD450B">
              <w:rPr>
                <w:b/>
              </w:rPr>
              <w:t>749</w:t>
            </w:r>
            <w:r>
              <w:rPr>
                <w:b/>
              </w:rPr>
              <w:t>,</w:t>
            </w:r>
            <w:r w:rsidRPr="00BD450B">
              <w:rPr>
                <w:b/>
              </w:rPr>
              <w:t>862</w:t>
            </w:r>
          </w:p>
        </w:tc>
        <w:tc>
          <w:tcPr>
            <w:tcW w:w="280" w:type="dxa"/>
            <w:tcBorders>
              <w:top w:val="nil"/>
              <w:left w:val="nil"/>
              <w:bottom w:val="nil"/>
              <w:right w:val="nil"/>
            </w:tcBorders>
            <w:shd w:val="clear" w:color="auto" w:fill="auto"/>
            <w:vAlign w:val="center"/>
          </w:tcPr>
          <w:p w14:paraId="4B193AC2" w14:textId="77777777" w:rsidR="008B7E19" w:rsidRPr="00BD450B"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b/>
                <w:bCs/>
              </w:rPr>
            </w:pPr>
          </w:p>
        </w:tc>
        <w:tc>
          <w:tcPr>
            <w:tcW w:w="1279" w:type="dxa"/>
            <w:tcBorders>
              <w:top w:val="nil"/>
              <w:left w:val="nil"/>
              <w:bottom w:val="nil"/>
              <w:right w:val="nil"/>
            </w:tcBorders>
            <w:shd w:val="clear" w:color="auto" w:fill="auto"/>
          </w:tcPr>
          <w:p w14:paraId="21F01459" w14:textId="77777777" w:rsidR="008B7E19" w:rsidRPr="00BD450B"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b/>
                <w:bCs/>
              </w:rPr>
            </w:pPr>
            <w:r w:rsidRPr="00BD450B">
              <w:rPr>
                <w:b/>
              </w:rPr>
              <w:t>4</w:t>
            </w:r>
            <w:r>
              <w:rPr>
                <w:b/>
              </w:rPr>
              <w:t>,</w:t>
            </w:r>
            <w:r w:rsidRPr="00BD450B">
              <w:rPr>
                <w:b/>
              </w:rPr>
              <w:t>885</w:t>
            </w:r>
            <w:r>
              <w:rPr>
                <w:b/>
              </w:rPr>
              <w:t>,</w:t>
            </w:r>
            <w:r w:rsidRPr="00BD450B">
              <w:rPr>
                <w:b/>
              </w:rPr>
              <w:t>054</w:t>
            </w:r>
          </w:p>
        </w:tc>
        <w:tc>
          <w:tcPr>
            <w:tcW w:w="1559" w:type="dxa"/>
            <w:tcBorders>
              <w:top w:val="nil"/>
              <w:left w:val="nil"/>
              <w:bottom w:val="nil"/>
              <w:right w:val="nil"/>
            </w:tcBorders>
            <w:shd w:val="clear" w:color="auto" w:fill="auto"/>
          </w:tcPr>
          <w:p w14:paraId="12495514" w14:textId="77777777" w:rsidR="008B7E19" w:rsidRPr="00BD450B"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b/>
                <w:bCs/>
              </w:rPr>
            </w:pPr>
            <w:r w:rsidRPr="00BD450B">
              <w:rPr>
                <w:b/>
              </w:rPr>
              <w:t>3</w:t>
            </w:r>
            <w:r>
              <w:rPr>
                <w:b/>
              </w:rPr>
              <w:t>,</w:t>
            </w:r>
            <w:r w:rsidRPr="00BD450B">
              <w:rPr>
                <w:b/>
              </w:rPr>
              <w:t>659</w:t>
            </w:r>
            <w:r>
              <w:rPr>
                <w:b/>
              </w:rPr>
              <w:t>,</w:t>
            </w:r>
            <w:r w:rsidRPr="00BD450B">
              <w:rPr>
                <w:b/>
              </w:rPr>
              <w:t>017</w:t>
            </w:r>
          </w:p>
        </w:tc>
      </w:tr>
      <w:tr w:rsidR="008B7E19" w:rsidRPr="00BD450B" w14:paraId="0442F10E" w14:textId="77777777" w:rsidTr="008B7E19">
        <w:trPr>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auto"/>
            <w:vAlign w:val="center"/>
          </w:tcPr>
          <w:p w14:paraId="30F396CC" w14:textId="77777777" w:rsidR="008B7E19" w:rsidRPr="00BD450B" w:rsidRDefault="008B7E19" w:rsidP="008B7E19">
            <w:pPr>
              <w:pStyle w:val="08-Tabelageral"/>
              <w:jc w:val="left"/>
              <w:rPr>
                <w:bCs w:val="0"/>
              </w:rPr>
            </w:pPr>
            <w:r w:rsidRPr="00BD450B">
              <w:rPr>
                <w:bCs w:val="0"/>
              </w:rPr>
              <w:t> </w:t>
            </w:r>
          </w:p>
        </w:tc>
        <w:tc>
          <w:tcPr>
            <w:tcW w:w="709" w:type="dxa"/>
            <w:tcBorders>
              <w:top w:val="nil"/>
              <w:bottom w:val="nil"/>
            </w:tcBorders>
            <w:shd w:val="clear" w:color="auto" w:fill="auto"/>
            <w:vAlign w:val="center"/>
          </w:tcPr>
          <w:p w14:paraId="0BECDC51" w14:textId="77777777" w:rsidR="008B7E19" w:rsidRPr="00BD450B" w:rsidRDefault="008B7E19" w:rsidP="008B7E19">
            <w:pPr>
              <w:pStyle w:val="08-Tabelageral"/>
              <w:jc w:val="center"/>
              <w:cnfStyle w:val="000000000000" w:firstRow="0" w:lastRow="0" w:firstColumn="0" w:lastColumn="0" w:oddVBand="0" w:evenVBand="0" w:oddHBand="0" w:evenHBand="0" w:firstRowFirstColumn="0" w:firstRowLastColumn="0" w:lastRowFirstColumn="0" w:lastRowLastColumn="0"/>
              <w:rPr>
                <w:b/>
              </w:rPr>
            </w:pPr>
          </w:p>
        </w:tc>
        <w:tc>
          <w:tcPr>
            <w:tcW w:w="1276" w:type="dxa"/>
            <w:tcBorders>
              <w:top w:val="nil"/>
              <w:left w:val="nil"/>
              <w:bottom w:val="nil"/>
              <w:right w:val="nil"/>
            </w:tcBorders>
            <w:shd w:val="clear" w:color="auto" w:fill="auto"/>
          </w:tcPr>
          <w:p w14:paraId="18CCB87D" w14:textId="77777777" w:rsidR="008B7E19" w:rsidRPr="00BD450B"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b/>
                <w:szCs w:val="14"/>
              </w:rPr>
            </w:pPr>
          </w:p>
        </w:tc>
        <w:tc>
          <w:tcPr>
            <w:tcW w:w="1559" w:type="dxa"/>
            <w:tcBorders>
              <w:top w:val="nil"/>
              <w:left w:val="nil"/>
              <w:bottom w:val="nil"/>
              <w:right w:val="nil"/>
            </w:tcBorders>
            <w:shd w:val="clear" w:color="auto" w:fill="auto"/>
          </w:tcPr>
          <w:p w14:paraId="00CE5B92" w14:textId="77777777" w:rsidR="008B7E19" w:rsidRPr="00BD450B"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b/>
              </w:rPr>
            </w:pPr>
          </w:p>
        </w:tc>
        <w:tc>
          <w:tcPr>
            <w:tcW w:w="280" w:type="dxa"/>
            <w:tcBorders>
              <w:top w:val="nil"/>
              <w:left w:val="nil"/>
              <w:bottom w:val="nil"/>
              <w:right w:val="nil"/>
            </w:tcBorders>
            <w:shd w:val="clear" w:color="auto" w:fill="auto"/>
            <w:vAlign w:val="center"/>
          </w:tcPr>
          <w:p w14:paraId="079BA072" w14:textId="77777777" w:rsidR="008B7E19" w:rsidRPr="00BD450B"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b/>
                <w:szCs w:val="14"/>
              </w:rPr>
            </w:pPr>
          </w:p>
        </w:tc>
        <w:tc>
          <w:tcPr>
            <w:tcW w:w="1279" w:type="dxa"/>
            <w:tcBorders>
              <w:top w:val="nil"/>
              <w:left w:val="nil"/>
              <w:bottom w:val="nil"/>
              <w:right w:val="nil"/>
            </w:tcBorders>
            <w:shd w:val="clear" w:color="auto" w:fill="auto"/>
          </w:tcPr>
          <w:p w14:paraId="7866F5ED" w14:textId="77777777" w:rsidR="008B7E19" w:rsidRPr="00BD450B"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b/>
                <w:szCs w:val="14"/>
              </w:rPr>
            </w:pPr>
          </w:p>
        </w:tc>
        <w:tc>
          <w:tcPr>
            <w:tcW w:w="1559" w:type="dxa"/>
            <w:tcBorders>
              <w:top w:val="nil"/>
              <w:left w:val="nil"/>
              <w:bottom w:val="nil"/>
              <w:right w:val="nil"/>
            </w:tcBorders>
            <w:shd w:val="clear" w:color="auto" w:fill="auto"/>
          </w:tcPr>
          <w:p w14:paraId="20F57980" w14:textId="77777777" w:rsidR="008B7E19" w:rsidRPr="00BD450B"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b/>
              </w:rPr>
            </w:pPr>
          </w:p>
        </w:tc>
      </w:tr>
      <w:tr w:rsidR="008B7E19" w:rsidRPr="00BD450B" w14:paraId="22A9494C"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auto"/>
            <w:vAlign w:val="center"/>
          </w:tcPr>
          <w:p w14:paraId="1726597D" w14:textId="77777777" w:rsidR="008B7E19" w:rsidRPr="00BD450B" w:rsidRDefault="008B7E19" w:rsidP="008B7E19">
            <w:pPr>
              <w:pStyle w:val="08-Tabelageral"/>
              <w:jc w:val="left"/>
            </w:pPr>
            <w:r w:rsidRPr="00BD450B">
              <w:t>Distribution of Added Value</w:t>
            </w:r>
          </w:p>
        </w:tc>
        <w:tc>
          <w:tcPr>
            <w:tcW w:w="709" w:type="dxa"/>
            <w:tcBorders>
              <w:top w:val="nil"/>
              <w:bottom w:val="nil"/>
            </w:tcBorders>
            <w:shd w:val="clear" w:color="auto" w:fill="auto"/>
            <w:vAlign w:val="center"/>
          </w:tcPr>
          <w:p w14:paraId="3543DB1D" w14:textId="77777777" w:rsidR="008B7E19" w:rsidRPr="00BD450B" w:rsidRDefault="008B7E19" w:rsidP="008B7E19">
            <w:pPr>
              <w:pStyle w:val="08-Tabelageral"/>
              <w:jc w:val="center"/>
              <w:cnfStyle w:val="000000100000" w:firstRow="0" w:lastRow="0" w:firstColumn="0" w:lastColumn="0" w:oddVBand="0" w:evenVBand="0" w:oddHBand="1" w:evenHBand="0" w:firstRowFirstColumn="0" w:firstRowLastColumn="0" w:lastRowFirstColumn="0" w:lastRowLastColumn="0"/>
              <w:rPr>
                <w:b/>
              </w:rPr>
            </w:pPr>
          </w:p>
        </w:tc>
        <w:tc>
          <w:tcPr>
            <w:tcW w:w="1276" w:type="dxa"/>
            <w:tcBorders>
              <w:top w:val="nil"/>
              <w:left w:val="nil"/>
              <w:bottom w:val="nil"/>
              <w:right w:val="nil"/>
            </w:tcBorders>
            <w:shd w:val="clear" w:color="auto" w:fill="auto"/>
          </w:tcPr>
          <w:p w14:paraId="0739C50D" w14:textId="77777777" w:rsidR="008B7E19" w:rsidRPr="00BD450B"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b/>
                <w:bCs/>
              </w:rPr>
            </w:pPr>
            <w:r w:rsidRPr="00BD450B">
              <w:rPr>
                <w:b/>
              </w:rPr>
              <w:t>3</w:t>
            </w:r>
            <w:r>
              <w:rPr>
                <w:b/>
              </w:rPr>
              <w:t>,</w:t>
            </w:r>
            <w:r w:rsidRPr="00BD450B">
              <w:rPr>
                <w:b/>
              </w:rPr>
              <w:t>817</w:t>
            </w:r>
            <w:r>
              <w:rPr>
                <w:b/>
              </w:rPr>
              <w:t>,</w:t>
            </w:r>
            <w:r w:rsidRPr="00BD450B">
              <w:rPr>
                <w:b/>
              </w:rPr>
              <w:t>830</w:t>
            </w:r>
          </w:p>
        </w:tc>
        <w:tc>
          <w:tcPr>
            <w:tcW w:w="1559" w:type="dxa"/>
            <w:tcBorders>
              <w:top w:val="nil"/>
              <w:left w:val="nil"/>
              <w:bottom w:val="nil"/>
              <w:right w:val="nil"/>
            </w:tcBorders>
            <w:shd w:val="clear" w:color="auto" w:fill="auto"/>
          </w:tcPr>
          <w:p w14:paraId="4E492B36" w14:textId="77777777" w:rsidR="008B7E19" w:rsidRPr="00BD450B"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b/>
                <w:bCs/>
              </w:rPr>
            </w:pPr>
            <w:r w:rsidRPr="00BD450B">
              <w:rPr>
                <w:b/>
              </w:rPr>
              <w:t>2</w:t>
            </w:r>
            <w:r>
              <w:rPr>
                <w:b/>
              </w:rPr>
              <w:t>,</w:t>
            </w:r>
            <w:r w:rsidRPr="00BD450B">
              <w:rPr>
                <w:b/>
              </w:rPr>
              <w:t>749</w:t>
            </w:r>
            <w:r>
              <w:rPr>
                <w:b/>
              </w:rPr>
              <w:t>,</w:t>
            </w:r>
            <w:r w:rsidRPr="00BD450B">
              <w:rPr>
                <w:b/>
              </w:rPr>
              <w:t>862</w:t>
            </w:r>
          </w:p>
        </w:tc>
        <w:tc>
          <w:tcPr>
            <w:tcW w:w="280" w:type="dxa"/>
            <w:tcBorders>
              <w:top w:val="nil"/>
              <w:left w:val="nil"/>
              <w:bottom w:val="nil"/>
              <w:right w:val="nil"/>
            </w:tcBorders>
            <w:shd w:val="clear" w:color="auto" w:fill="auto"/>
            <w:vAlign w:val="center"/>
          </w:tcPr>
          <w:p w14:paraId="680B85E4" w14:textId="77777777" w:rsidR="008B7E19" w:rsidRPr="00BD450B"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b/>
                <w:bCs/>
              </w:rPr>
            </w:pPr>
          </w:p>
        </w:tc>
        <w:tc>
          <w:tcPr>
            <w:tcW w:w="1279" w:type="dxa"/>
            <w:tcBorders>
              <w:top w:val="nil"/>
              <w:left w:val="nil"/>
              <w:bottom w:val="nil"/>
              <w:right w:val="nil"/>
            </w:tcBorders>
            <w:shd w:val="clear" w:color="auto" w:fill="auto"/>
          </w:tcPr>
          <w:p w14:paraId="1D1C5C6A" w14:textId="77777777" w:rsidR="008B7E19" w:rsidRPr="00BD450B"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b/>
                <w:bCs/>
              </w:rPr>
            </w:pPr>
            <w:r w:rsidRPr="00BD450B">
              <w:rPr>
                <w:b/>
              </w:rPr>
              <w:t>4</w:t>
            </w:r>
            <w:r>
              <w:rPr>
                <w:b/>
              </w:rPr>
              <w:t>,</w:t>
            </w:r>
            <w:r w:rsidRPr="00BD450B">
              <w:rPr>
                <w:b/>
              </w:rPr>
              <w:t>885</w:t>
            </w:r>
            <w:r>
              <w:rPr>
                <w:b/>
              </w:rPr>
              <w:t>,</w:t>
            </w:r>
            <w:r w:rsidRPr="00BD450B">
              <w:rPr>
                <w:b/>
              </w:rPr>
              <w:t>054</w:t>
            </w:r>
          </w:p>
        </w:tc>
        <w:tc>
          <w:tcPr>
            <w:tcW w:w="1559" w:type="dxa"/>
            <w:tcBorders>
              <w:top w:val="nil"/>
              <w:left w:val="nil"/>
              <w:bottom w:val="nil"/>
              <w:right w:val="nil"/>
            </w:tcBorders>
            <w:shd w:val="clear" w:color="auto" w:fill="auto"/>
          </w:tcPr>
          <w:p w14:paraId="64120727" w14:textId="77777777" w:rsidR="008B7E19" w:rsidRPr="00BD450B"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b/>
                <w:bCs/>
              </w:rPr>
            </w:pPr>
            <w:r w:rsidRPr="00BD450B">
              <w:rPr>
                <w:b/>
              </w:rPr>
              <w:t>3</w:t>
            </w:r>
            <w:r>
              <w:rPr>
                <w:b/>
              </w:rPr>
              <w:t>,</w:t>
            </w:r>
            <w:r w:rsidRPr="00BD450B">
              <w:rPr>
                <w:b/>
              </w:rPr>
              <w:t>659</w:t>
            </w:r>
            <w:r>
              <w:rPr>
                <w:b/>
              </w:rPr>
              <w:t>,</w:t>
            </w:r>
            <w:r w:rsidRPr="00BD450B">
              <w:rPr>
                <w:b/>
              </w:rPr>
              <w:t>017</w:t>
            </w:r>
          </w:p>
        </w:tc>
      </w:tr>
      <w:tr w:rsidR="008B7E19" w:rsidRPr="00BD450B" w14:paraId="15290987" w14:textId="77777777" w:rsidTr="008B7E19">
        <w:trPr>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auto"/>
            <w:vAlign w:val="center"/>
          </w:tcPr>
          <w:p w14:paraId="536DB230" w14:textId="77777777" w:rsidR="008B7E19" w:rsidRPr="00BD450B" w:rsidRDefault="008B7E19" w:rsidP="008B7E19">
            <w:pPr>
              <w:pStyle w:val="08-Tabelageral"/>
              <w:ind w:left="113"/>
              <w:jc w:val="left"/>
            </w:pPr>
            <w:r w:rsidRPr="00BD450B">
              <w:t>Personnel</w:t>
            </w:r>
          </w:p>
        </w:tc>
        <w:tc>
          <w:tcPr>
            <w:tcW w:w="709" w:type="dxa"/>
            <w:tcBorders>
              <w:top w:val="nil"/>
              <w:bottom w:val="nil"/>
            </w:tcBorders>
            <w:shd w:val="clear" w:color="auto" w:fill="auto"/>
            <w:vAlign w:val="center"/>
          </w:tcPr>
          <w:p w14:paraId="3259C384" w14:textId="77777777" w:rsidR="008B7E19" w:rsidRPr="00BD450B" w:rsidRDefault="008B7E19" w:rsidP="008B7E19">
            <w:pPr>
              <w:pStyle w:val="08-Tabelageral"/>
              <w:ind w:left="113"/>
              <w:jc w:val="center"/>
              <w:cnfStyle w:val="000000000000" w:firstRow="0" w:lastRow="0" w:firstColumn="0" w:lastColumn="0" w:oddVBand="0" w:evenVBand="0" w:oddHBand="0" w:evenHBand="0" w:firstRowFirstColumn="0" w:firstRowLastColumn="0" w:lastRowFirstColumn="0" w:lastRowLastColumn="0"/>
              <w:rPr>
                <w:b/>
              </w:rPr>
            </w:pPr>
          </w:p>
        </w:tc>
        <w:tc>
          <w:tcPr>
            <w:tcW w:w="1276" w:type="dxa"/>
            <w:tcBorders>
              <w:top w:val="nil"/>
              <w:left w:val="nil"/>
              <w:bottom w:val="nil"/>
              <w:right w:val="nil"/>
            </w:tcBorders>
            <w:shd w:val="clear" w:color="auto" w:fill="auto"/>
          </w:tcPr>
          <w:p w14:paraId="38AE5DE5" w14:textId="77777777" w:rsidR="008B7E19" w:rsidRPr="00BD450B" w:rsidRDefault="008B7E19" w:rsidP="008B7E19">
            <w:pPr>
              <w:pStyle w:val="08-Tabelageral"/>
              <w:ind w:left="113"/>
              <w:cnfStyle w:val="000000000000" w:firstRow="0" w:lastRow="0" w:firstColumn="0" w:lastColumn="0" w:oddVBand="0" w:evenVBand="0" w:oddHBand="0" w:evenHBand="0" w:firstRowFirstColumn="0" w:firstRowLastColumn="0" w:lastRowFirstColumn="0" w:lastRowLastColumn="0"/>
              <w:rPr>
                <w:rFonts w:cs="Arial"/>
                <w:b/>
                <w:szCs w:val="14"/>
              </w:rPr>
            </w:pPr>
            <w:r w:rsidRPr="00BD450B">
              <w:rPr>
                <w:b/>
              </w:rPr>
              <w:t>5</w:t>
            </w:r>
            <w:r>
              <w:rPr>
                <w:b/>
              </w:rPr>
              <w:t>,</w:t>
            </w:r>
            <w:r w:rsidRPr="00BD450B">
              <w:rPr>
                <w:b/>
              </w:rPr>
              <w:t>906</w:t>
            </w:r>
          </w:p>
        </w:tc>
        <w:tc>
          <w:tcPr>
            <w:tcW w:w="1559" w:type="dxa"/>
            <w:tcBorders>
              <w:top w:val="nil"/>
              <w:left w:val="nil"/>
              <w:bottom w:val="nil"/>
              <w:right w:val="nil"/>
            </w:tcBorders>
            <w:shd w:val="clear" w:color="auto" w:fill="auto"/>
          </w:tcPr>
          <w:p w14:paraId="1454E3D9" w14:textId="77777777" w:rsidR="008B7E19" w:rsidRPr="00BD450B" w:rsidRDefault="008B7E19" w:rsidP="008B7E19">
            <w:pPr>
              <w:pStyle w:val="08-Tabelageral"/>
              <w:ind w:left="113"/>
              <w:cnfStyle w:val="000000000000" w:firstRow="0" w:lastRow="0" w:firstColumn="0" w:lastColumn="0" w:oddVBand="0" w:evenVBand="0" w:oddHBand="0" w:evenHBand="0" w:firstRowFirstColumn="0" w:firstRowLastColumn="0" w:lastRowFirstColumn="0" w:lastRowLastColumn="0"/>
              <w:rPr>
                <w:b/>
              </w:rPr>
            </w:pPr>
            <w:r w:rsidRPr="00BD450B">
              <w:rPr>
                <w:b/>
              </w:rPr>
              <w:t>5</w:t>
            </w:r>
            <w:r>
              <w:rPr>
                <w:b/>
              </w:rPr>
              <w:t>,</w:t>
            </w:r>
            <w:r w:rsidRPr="00BD450B">
              <w:rPr>
                <w:b/>
              </w:rPr>
              <w:t>940</w:t>
            </w:r>
          </w:p>
        </w:tc>
        <w:tc>
          <w:tcPr>
            <w:tcW w:w="280" w:type="dxa"/>
            <w:tcBorders>
              <w:top w:val="nil"/>
              <w:left w:val="nil"/>
              <w:bottom w:val="nil"/>
              <w:right w:val="nil"/>
            </w:tcBorders>
            <w:shd w:val="clear" w:color="auto" w:fill="auto"/>
            <w:vAlign w:val="center"/>
          </w:tcPr>
          <w:p w14:paraId="17B5C484" w14:textId="77777777" w:rsidR="008B7E19" w:rsidRPr="00BD450B" w:rsidRDefault="008B7E19" w:rsidP="008B7E19">
            <w:pPr>
              <w:pStyle w:val="08-Tabelageral"/>
              <w:ind w:left="113"/>
              <w:cnfStyle w:val="000000000000" w:firstRow="0" w:lastRow="0" w:firstColumn="0" w:lastColumn="0" w:oddVBand="0" w:evenVBand="0" w:oddHBand="0" w:evenHBand="0" w:firstRowFirstColumn="0" w:firstRowLastColumn="0" w:lastRowFirstColumn="0" w:lastRowLastColumn="0"/>
              <w:rPr>
                <w:b/>
              </w:rPr>
            </w:pPr>
          </w:p>
        </w:tc>
        <w:tc>
          <w:tcPr>
            <w:tcW w:w="1279" w:type="dxa"/>
            <w:tcBorders>
              <w:top w:val="nil"/>
              <w:left w:val="nil"/>
              <w:bottom w:val="nil"/>
              <w:right w:val="nil"/>
            </w:tcBorders>
            <w:shd w:val="clear" w:color="auto" w:fill="auto"/>
          </w:tcPr>
          <w:p w14:paraId="3340B6C6" w14:textId="77777777" w:rsidR="008B7E19" w:rsidRPr="00BD450B" w:rsidRDefault="008B7E19" w:rsidP="008B7E19">
            <w:pPr>
              <w:pStyle w:val="08-Tabelageral"/>
              <w:ind w:left="113"/>
              <w:cnfStyle w:val="000000000000" w:firstRow="0" w:lastRow="0" w:firstColumn="0" w:lastColumn="0" w:oddVBand="0" w:evenVBand="0" w:oddHBand="0" w:evenHBand="0" w:firstRowFirstColumn="0" w:firstRowLastColumn="0" w:lastRowFirstColumn="0" w:lastRowLastColumn="0"/>
              <w:rPr>
                <w:rFonts w:cs="Arial"/>
                <w:b/>
                <w:szCs w:val="14"/>
              </w:rPr>
            </w:pPr>
            <w:r w:rsidRPr="00BD450B">
              <w:rPr>
                <w:b/>
              </w:rPr>
              <w:t>35</w:t>
            </w:r>
            <w:r>
              <w:rPr>
                <w:b/>
              </w:rPr>
              <w:t>,</w:t>
            </w:r>
            <w:r w:rsidRPr="00BD450B">
              <w:rPr>
                <w:b/>
              </w:rPr>
              <w:t>366</w:t>
            </w:r>
          </w:p>
        </w:tc>
        <w:tc>
          <w:tcPr>
            <w:tcW w:w="1559" w:type="dxa"/>
            <w:tcBorders>
              <w:top w:val="nil"/>
              <w:left w:val="nil"/>
              <w:bottom w:val="nil"/>
              <w:right w:val="nil"/>
            </w:tcBorders>
            <w:shd w:val="clear" w:color="auto" w:fill="auto"/>
          </w:tcPr>
          <w:p w14:paraId="54B093F5" w14:textId="77777777" w:rsidR="008B7E19" w:rsidRPr="00BD450B" w:rsidRDefault="008B7E19" w:rsidP="008B7E19">
            <w:pPr>
              <w:pStyle w:val="08-Tabelageral"/>
              <w:ind w:left="113"/>
              <w:cnfStyle w:val="000000000000" w:firstRow="0" w:lastRow="0" w:firstColumn="0" w:lastColumn="0" w:oddVBand="0" w:evenVBand="0" w:oddHBand="0" w:evenHBand="0" w:firstRowFirstColumn="0" w:firstRowLastColumn="0" w:lastRowFirstColumn="0" w:lastRowLastColumn="0"/>
              <w:rPr>
                <w:b/>
              </w:rPr>
            </w:pPr>
            <w:r w:rsidRPr="00BD450B">
              <w:rPr>
                <w:b/>
              </w:rPr>
              <w:t>29</w:t>
            </w:r>
            <w:r>
              <w:rPr>
                <w:b/>
              </w:rPr>
              <w:t>,</w:t>
            </w:r>
            <w:r w:rsidRPr="00BD450B">
              <w:rPr>
                <w:b/>
              </w:rPr>
              <w:t>291</w:t>
            </w:r>
          </w:p>
        </w:tc>
      </w:tr>
      <w:tr w:rsidR="008B7E19" w:rsidRPr="009C6064" w14:paraId="15A8BB8F"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auto"/>
          </w:tcPr>
          <w:p w14:paraId="625F4C9E" w14:textId="77777777" w:rsidR="008B7E19" w:rsidRPr="00FD7EA2" w:rsidRDefault="008B7E19" w:rsidP="008B7E19">
            <w:pPr>
              <w:pStyle w:val="08-Tabelageral"/>
              <w:ind w:left="113" w:firstLine="63"/>
              <w:jc w:val="left"/>
              <w:rPr>
                <w:b w:val="0"/>
                <w:lang w:val="en-US"/>
              </w:rPr>
            </w:pPr>
            <w:r w:rsidRPr="00FD7EA2">
              <w:rPr>
                <w:b w:val="0"/>
                <w:lang w:val="en-US"/>
              </w:rPr>
              <w:t>Direct remuneration - Earnings and fees</w:t>
            </w:r>
          </w:p>
        </w:tc>
        <w:tc>
          <w:tcPr>
            <w:tcW w:w="709" w:type="dxa"/>
            <w:tcBorders>
              <w:top w:val="nil"/>
              <w:bottom w:val="nil"/>
            </w:tcBorders>
            <w:shd w:val="clear" w:color="auto" w:fill="auto"/>
            <w:vAlign w:val="center"/>
          </w:tcPr>
          <w:p w14:paraId="7D0B3BA9" w14:textId="77777777" w:rsidR="008B7E19" w:rsidRPr="00FD7EA2" w:rsidRDefault="008B7E19" w:rsidP="008B7E19">
            <w:pPr>
              <w:pStyle w:val="08-Tabelageral"/>
              <w:ind w:left="113"/>
              <w:jc w:val="center"/>
              <w:cnfStyle w:val="000000100000" w:firstRow="0" w:lastRow="0" w:firstColumn="0" w:lastColumn="0" w:oddVBand="0" w:evenVBand="0" w:oddHBand="1" w:evenHBand="0" w:firstRowFirstColumn="0" w:firstRowLastColumn="0" w:lastRowFirstColumn="0" w:lastRowLastColumn="0"/>
              <w:rPr>
                <w:b/>
                <w:lang w:val="en-US"/>
              </w:rPr>
            </w:pPr>
          </w:p>
        </w:tc>
        <w:tc>
          <w:tcPr>
            <w:tcW w:w="1276" w:type="dxa"/>
            <w:tcBorders>
              <w:top w:val="nil"/>
              <w:left w:val="nil"/>
              <w:bottom w:val="nil"/>
              <w:right w:val="nil"/>
            </w:tcBorders>
            <w:shd w:val="clear" w:color="auto" w:fill="auto"/>
          </w:tcPr>
          <w:p w14:paraId="32FCC2AC" w14:textId="77777777" w:rsidR="008B7E19" w:rsidRPr="009C6064" w:rsidRDefault="008B7E19" w:rsidP="008B7E19">
            <w:pPr>
              <w:pStyle w:val="08-Tabelageral"/>
              <w:ind w:left="113"/>
              <w:cnfStyle w:val="000000100000" w:firstRow="0" w:lastRow="0" w:firstColumn="0" w:lastColumn="0" w:oddVBand="0" w:evenVBand="0" w:oddHBand="1" w:evenHBand="0" w:firstRowFirstColumn="0" w:firstRowLastColumn="0" w:lastRowFirstColumn="0" w:lastRowLastColumn="0"/>
              <w:rPr>
                <w:rFonts w:cs="Arial"/>
                <w:b/>
                <w:szCs w:val="14"/>
              </w:rPr>
            </w:pPr>
            <w:r w:rsidRPr="00035FEE">
              <w:t>4</w:t>
            </w:r>
            <w:r>
              <w:t>,</w:t>
            </w:r>
            <w:r w:rsidRPr="00035FEE">
              <w:t>146</w:t>
            </w:r>
          </w:p>
        </w:tc>
        <w:tc>
          <w:tcPr>
            <w:tcW w:w="1559" w:type="dxa"/>
            <w:tcBorders>
              <w:top w:val="nil"/>
              <w:left w:val="nil"/>
              <w:bottom w:val="nil"/>
              <w:right w:val="nil"/>
            </w:tcBorders>
            <w:shd w:val="clear" w:color="auto" w:fill="auto"/>
          </w:tcPr>
          <w:p w14:paraId="25C51920" w14:textId="77777777" w:rsidR="008B7E19" w:rsidRPr="009C6064" w:rsidRDefault="008B7E19" w:rsidP="008B7E19">
            <w:pPr>
              <w:pStyle w:val="08-Tabelageral"/>
              <w:ind w:left="113"/>
              <w:cnfStyle w:val="000000100000" w:firstRow="0" w:lastRow="0" w:firstColumn="0" w:lastColumn="0" w:oddVBand="0" w:evenVBand="0" w:oddHBand="1" w:evenHBand="0" w:firstRowFirstColumn="0" w:firstRowLastColumn="0" w:lastRowFirstColumn="0" w:lastRowLastColumn="0"/>
              <w:rPr>
                <w:b/>
              </w:rPr>
            </w:pPr>
            <w:r w:rsidRPr="00035FEE">
              <w:t>4</w:t>
            </w:r>
            <w:r>
              <w:t>,</w:t>
            </w:r>
            <w:r w:rsidRPr="00035FEE">
              <w:t>344</w:t>
            </w:r>
          </w:p>
        </w:tc>
        <w:tc>
          <w:tcPr>
            <w:tcW w:w="280" w:type="dxa"/>
            <w:tcBorders>
              <w:top w:val="nil"/>
              <w:left w:val="nil"/>
              <w:bottom w:val="nil"/>
              <w:right w:val="nil"/>
            </w:tcBorders>
            <w:shd w:val="clear" w:color="auto" w:fill="auto"/>
            <w:vAlign w:val="center"/>
          </w:tcPr>
          <w:p w14:paraId="1561B5E5" w14:textId="77777777" w:rsidR="008B7E19" w:rsidRPr="009C6064" w:rsidRDefault="008B7E19" w:rsidP="008B7E19">
            <w:pPr>
              <w:pStyle w:val="08-Tabelageral"/>
              <w:ind w:left="113"/>
              <w:cnfStyle w:val="000000100000" w:firstRow="0" w:lastRow="0" w:firstColumn="0" w:lastColumn="0" w:oddVBand="0" w:evenVBand="0" w:oddHBand="1" w:evenHBand="0" w:firstRowFirstColumn="0" w:firstRowLastColumn="0" w:lastRowFirstColumn="0" w:lastRowLastColumn="0"/>
              <w:rPr>
                <w:b/>
              </w:rPr>
            </w:pPr>
          </w:p>
        </w:tc>
        <w:tc>
          <w:tcPr>
            <w:tcW w:w="1279" w:type="dxa"/>
            <w:tcBorders>
              <w:top w:val="nil"/>
              <w:left w:val="nil"/>
              <w:bottom w:val="nil"/>
              <w:right w:val="nil"/>
            </w:tcBorders>
            <w:shd w:val="clear" w:color="auto" w:fill="auto"/>
          </w:tcPr>
          <w:p w14:paraId="608BE0CA" w14:textId="77777777" w:rsidR="008B7E19" w:rsidRPr="009C6064" w:rsidRDefault="008B7E19" w:rsidP="008B7E19">
            <w:pPr>
              <w:pStyle w:val="08-Tabelageral"/>
              <w:ind w:left="113"/>
              <w:cnfStyle w:val="000000100000" w:firstRow="0" w:lastRow="0" w:firstColumn="0" w:lastColumn="0" w:oddVBand="0" w:evenVBand="0" w:oddHBand="1" w:evenHBand="0" w:firstRowFirstColumn="0" w:firstRowLastColumn="0" w:lastRowFirstColumn="0" w:lastRowLastColumn="0"/>
              <w:rPr>
                <w:rFonts w:cs="Arial"/>
                <w:b/>
                <w:szCs w:val="14"/>
              </w:rPr>
            </w:pPr>
            <w:r w:rsidRPr="00CB726D">
              <w:t>25</w:t>
            </w:r>
            <w:r>
              <w:t>,</w:t>
            </w:r>
            <w:r w:rsidRPr="00CB726D">
              <w:t>231</w:t>
            </w:r>
          </w:p>
        </w:tc>
        <w:tc>
          <w:tcPr>
            <w:tcW w:w="1559" w:type="dxa"/>
            <w:tcBorders>
              <w:top w:val="nil"/>
              <w:left w:val="nil"/>
              <w:bottom w:val="nil"/>
              <w:right w:val="nil"/>
            </w:tcBorders>
            <w:shd w:val="clear" w:color="auto" w:fill="auto"/>
          </w:tcPr>
          <w:p w14:paraId="713B93F9" w14:textId="77777777" w:rsidR="008B7E19" w:rsidRPr="009C6064" w:rsidRDefault="008B7E19" w:rsidP="008B7E19">
            <w:pPr>
              <w:pStyle w:val="08-Tabelageral"/>
              <w:ind w:left="113"/>
              <w:cnfStyle w:val="000000100000" w:firstRow="0" w:lastRow="0" w:firstColumn="0" w:lastColumn="0" w:oddVBand="0" w:evenVBand="0" w:oddHBand="1" w:evenHBand="0" w:firstRowFirstColumn="0" w:firstRowLastColumn="0" w:lastRowFirstColumn="0" w:lastRowLastColumn="0"/>
              <w:rPr>
                <w:b/>
              </w:rPr>
            </w:pPr>
            <w:r w:rsidRPr="00CB726D">
              <w:t>20</w:t>
            </w:r>
            <w:r>
              <w:t>,</w:t>
            </w:r>
            <w:r w:rsidRPr="00CB726D">
              <w:t>500</w:t>
            </w:r>
          </w:p>
        </w:tc>
      </w:tr>
      <w:tr w:rsidR="008B7E19" w:rsidRPr="009C6064" w14:paraId="76CC381E" w14:textId="77777777" w:rsidTr="008B7E19">
        <w:trPr>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auto"/>
          </w:tcPr>
          <w:p w14:paraId="0530196C" w14:textId="77777777" w:rsidR="008B7E19" w:rsidRPr="009C6064" w:rsidRDefault="008B7E19" w:rsidP="008B7E19">
            <w:pPr>
              <w:pStyle w:val="08-Tabelageral"/>
              <w:ind w:left="113" w:firstLine="63"/>
              <w:jc w:val="left"/>
              <w:rPr>
                <w:b w:val="0"/>
              </w:rPr>
            </w:pPr>
            <w:r w:rsidRPr="00317F11">
              <w:rPr>
                <w:b w:val="0"/>
              </w:rPr>
              <w:t>Benefits and training</w:t>
            </w:r>
          </w:p>
        </w:tc>
        <w:tc>
          <w:tcPr>
            <w:tcW w:w="709" w:type="dxa"/>
            <w:tcBorders>
              <w:top w:val="nil"/>
              <w:bottom w:val="nil"/>
            </w:tcBorders>
            <w:shd w:val="clear" w:color="auto" w:fill="auto"/>
            <w:vAlign w:val="center"/>
          </w:tcPr>
          <w:p w14:paraId="214BE7C1" w14:textId="77777777" w:rsidR="008B7E19" w:rsidRPr="009C6064" w:rsidRDefault="008B7E19" w:rsidP="008B7E19">
            <w:pPr>
              <w:pStyle w:val="08-Tabelageral"/>
              <w:ind w:left="113"/>
              <w:jc w:val="center"/>
              <w:cnfStyle w:val="000000000000" w:firstRow="0" w:lastRow="0" w:firstColumn="0" w:lastColumn="0" w:oddVBand="0" w:evenVBand="0" w:oddHBand="0" w:evenHBand="0" w:firstRowFirstColumn="0" w:firstRowLastColumn="0" w:lastRowFirstColumn="0" w:lastRowLastColumn="0"/>
              <w:rPr>
                <w:b/>
              </w:rPr>
            </w:pPr>
          </w:p>
        </w:tc>
        <w:tc>
          <w:tcPr>
            <w:tcW w:w="1276" w:type="dxa"/>
            <w:tcBorders>
              <w:top w:val="nil"/>
              <w:left w:val="nil"/>
              <w:bottom w:val="nil"/>
              <w:right w:val="nil"/>
            </w:tcBorders>
            <w:shd w:val="clear" w:color="auto" w:fill="auto"/>
          </w:tcPr>
          <w:p w14:paraId="78068E55" w14:textId="77777777" w:rsidR="008B7E19" w:rsidRPr="009C6064" w:rsidRDefault="008B7E19" w:rsidP="008B7E19">
            <w:pPr>
              <w:pStyle w:val="08-Tabelageral"/>
              <w:ind w:left="113"/>
              <w:cnfStyle w:val="000000000000" w:firstRow="0" w:lastRow="0" w:firstColumn="0" w:lastColumn="0" w:oddVBand="0" w:evenVBand="0" w:oddHBand="0" w:evenHBand="0" w:firstRowFirstColumn="0" w:firstRowLastColumn="0" w:lastRowFirstColumn="0" w:lastRowLastColumn="0"/>
              <w:rPr>
                <w:rFonts w:cs="Arial"/>
                <w:b/>
                <w:szCs w:val="14"/>
              </w:rPr>
            </w:pPr>
            <w:r w:rsidRPr="00035FEE">
              <w:t>916</w:t>
            </w:r>
          </w:p>
        </w:tc>
        <w:tc>
          <w:tcPr>
            <w:tcW w:w="1559" w:type="dxa"/>
            <w:tcBorders>
              <w:top w:val="nil"/>
              <w:left w:val="nil"/>
              <w:bottom w:val="nil"/>
              <w:right w:val="nil"/>
            </w:tcBorders>
            <w:shd w:val="clear" w:color="auto" w:fill="auto"/>
          </w:tcPr>
          <w:p w14:paraId="2E8F4E10" w14:textId="77777777" w:rsidR="008B7E19" w:rsidRPr="009C6064" w:rsidRDefault="008B7E19" w:rsidP="008B7E19">
            <w:pPr>
              <w:pStyle w:val="08-Tabelageral"/>
              <w:ind w:left="113"/>
              <w:cnfStyle w:val="000000000000" w:firstRow="0" w:lastRow="0" w:firstColumn="0" w:lastColumn="0" w:oddVBand="0" w:evenVBand="0" w:oddHBand="0" w:evenHBand="0" w:firstRowFirstColumn="0" w:firstRowLastColumn="0" w:lastRowFirstColumn="0" w:lastRowLastColumn="0"/>
              <w:rPr>
                <w:b/>
              </w:rPr>
            </w:pPr>
            <w:r w:rsidRPr="00035FEE">
              <w:t>909</w:t>
            </w:r>
          </w:p>
        </w:tc>
        <w:tc>
          <w:tcPr>
            <w:tcW w:w="280" w:type="dxa"/>
            <w:tcBorders>
              <w:top w:val="nil"/>
              <w:left w:val="nil"/>
              <w:bottom w:val="nil"/>
              <w:right w:val="nil"/>
            </w:tcBorders>
            <w:shd w:val="clear" w:color="auto" w:fill="auto"/>
            <w:vAlign w:val="center"/>
          </w:tcPr>
          <w:p w14:paraId="4AB286F7" w14:textId="77777777" w:rsidR="008B7E19" w:rsidRPr="009C6064" w:rsidRDefault="008B7E19" w:rsidP="008B7E19">
            <w:pPr>
              <w:pStyle w:val="08-Tabelageral"/>
              <w:ind w:left="113"/>
              <w:cnfStyle w:val="000000000000" w:firstRow="0" w:lastRow="0" w:firstColumn="0" w:lastColumn="0" w:oddVBand="0" w:evenVBand="0" w:oddHBand="0" w:evenHBand="0" w:firstRowFirstColumn="0" w:firstRowLastColumn="0" w:lastRowFirstColumn="0" w:lastRowLastColumn="0"/>
              <w:rPr>
                <w:b/>
              </w:rPr>
            </w:pPr>
          </w:p>
        </w:tc>
        <w:tc>
          <w:tcPr>
            <w:tcW w:w="1279" w:type="dxa"/>
            <w:tcBorders>
              <w:top w:val="nil"/>
              <w:left w:val="nil"/>
              <w:bottom w:val="nil"/>
              <w:right w:val="nil"/>
            </w:tcBorders>
            <w:shd w:val="clear" w:color="auto" w:fill="auto"/>
          </w:tcPr>
          <w:p w14:paraId="3DF092B0" w14:textId="77777777" w:rsidR="008B7E19" w:rsidRPr="009C6064" w:rsidRDefault="008B7E19" w:rsidP="008B7E19">
            <w:pPr>
              <w:pStyle w:val="08-Tabelageral"/>
              <w:ind w:left="113"/>
              <w:cnfStyle w:val="000000000000" w:firstRow="0" w:lastRow="0" w:firstColumn="0" w:lastColumn="0" w:oddVBand="0" w:evenVBand="0" w:oddHBand="0" w:evenHBand="0" w:firstRowFirstColumn="0" w:firstRowLastColumn="0" w:lastRowFirstColumn="0" w:lastRowLastColumn="0"/>
              <w:rPr>
                <w:rFonts w:cs="Arial"/>
                <w:b/>
                <w:szCs w:val="14"/>
              </w:rPr>
            </w:pPr>
            <w:r w:rsidRPr="00CB726D">
              <w:t>6</w:t>
            </w:r>
            <w:r>
              <w:t>,</w:t>
            </w:r>
            <w:r w:rsidRPr="00CB726D">
              <w:t>063</w:t>
            </w:r>
          </w:p>
        </w:tc>
        <w:tc>
          <w:tcPr>
            <w:tcW w:w="1559" w:type="dxa"/>
            <w:tcBorders>
              <w:top w:val="nil"/>
              <w:left w:val="nil"/>
              <w:bottom w:val="nil"/>
              <w:right w:val="nil"/>
            </w:tcBorders>
            <w:shd w:val="clear" w:color="auto" w:fill="auto"/>
          </w:tcPr>
          <w:p w14:paraId="5138456D" w14:textId="77777777" w:rsidR="008B7E19" w:rsidRPr="009C6064" w:rsidRDefault="008B7E19" w:rsidP="008B7E19">
            <w:pPr>
              <w:pStyle w:val="08-Tabelageral"/>
              <w:ind w:left="113"/>
              <w:cnfStyle w:val="000000000000" w:firstRow="0" w:lastRow="0" w:firstColumn="0" w:lastColumn="0" w:oddVBand="0" w:evenVBand="0" w:oddHBand="0" w:evenHBand="0" w:firstRowFirstColumn="0" w:firstRowLastColumn="0" w:lastRowFirstColumn="0" w:lastRowLastColumn="0"/>
              <w:rPr>
                <w:b/>
              </w:rPr>
            </w:pPr>
            <w:r w:rsidRPr="00CB726D">
              <w:t>5</w:t>
            </w:r>
            <w:r>
              <w:t>,</w:t>
            </w:r>
            <w:r w:rsidRPr="00CB726D">
              <w:t>273</w:t>
            </w:r>
          </w:p>
        </w:tc>
      </w:tr>
      <w:tr w:rsidR="008B7E19" w:rsidRPr="009C6064" w14:paraId="5C9AE775"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auto"/>
          </w:tcPr>
          <w:p w14:paraId="1391C8B8" w14:textId="77777777" w:rsidR="008B7E19" w:rsidRPr="009C6064" w:rsidRDefault="008B7E19" w:rsidP="008B7E19">
            <w:pPr>
              <w:pStyle w:val="08-Tabelageral"/>
              <w:ind w:left="113" w:firstLine="63"/>
              <w:jc w:val="left"/>
              <w:rPr>
                <w:b w:val="0"/>
              </w:rPr>
            </w:pPr>
            <w:r w:rsidRPr="00317F11">
              <w:rPr>
                <w:b w:val="0"/>
              </w:rPr>
              <w:t>FGTS</w:t>
            </w:r>
          </w:p>
        </w:tc>
        <w:tc>
          <w:tcPr>
            <w:tcW w:w="709" w:type="dxa"/>
            <w:tcBorders>
              <w:top w:val="nil"/>
              <w:bottom w:val="nil"/>
            </w:tcBorders>
            <w:shd w:val="clear" w:color="auto" w:fill="auto"/>
            <w:vAlign w:val="center"/>
          </w:tcPr>
          <w:p w14:paraId="5ACDEB05" w14:textId="77777777" w:rsidR="008B7E19" w:rsidRPr="009C6064" w:rsidRDefault="008B7E19" w:rsidP="008B7E19">
            <w:pPr>
              <w:pStyle w:val="08-Tabelageral"/>
              <w:ind w:left="113"/>
              <w:jc w:val="center"/>
              <w:cnfStyle w:val="000000100000" w:firstRow="0" w:lastRow="0" w:firstColumn="0" w:lastColumn="0" w:oddVBand="0" w:evenVBand="0" w:oddHBand="1" w:evenHBand="0" w:firstRowFirstColumn="0" w:firstRowLastColumn="0" w:lastRowFirstColumn="0" w:lastRowLastColumn="0"/>
              <w:rPr>
                <w:b/>
              </w:rPr>
            </w:pPr>
          </w:p>
        </w:tc>
        <w:tc>
          <w:tcPr>
            <w:tcW w:w="1276" w:type="dxa"/>
            <w:tcBorders>
              <w:top w:val="nil"/>
              <w:left w:val="nil"/>
              <w:bottom w:val="nil"/>
              <w:right w:val="nil"/>
            </w:tcBorders>
            <w:shd w:val="clear" w:color="auto" w:fill="auto"/>
          </w:tcPr>
          <w:p w14:paraId="28BE1727" w14:textId="77777777" w:rsidR="008B7E19" w:rsidRPr="009C6064" w:rsidRDefault="008B7E19" w:rsidP="008B7E19">
            <w:pPr>
              <w:pStyle w:val="08-Tabelageral"/>
              <w:ind w:left="113"/>
              <w:cnfStyle w:val="000000100000" w:firstRow="0" w:lastRow="0" w:firstColumn="0" w:lastColumn="0" w:oddVBand="0" w:evenVBand="0" w:oddHBand="1" w:evenHBand="0" w:firstRowFirstColumn="0" w:firstRowLastColumn="0" w:lastRowFirstColumn="0" w:lastRowLastColumn="0"/>
              <w:rPr>
                <w:rFonts w:cs="Arial"/>
                <w:b/>
                <w:szCs w:val="14"/>
              </w:rPr>
            </w:pPr>
            <w:r w:rsidRPr="00035FEE">
              <w:t>251</w:t>
            </w:r>
          </w:p>
        </w:tc>
        <w:tc>
          <w:tcPr>
            <w:tcW w:w="1559" w:type="dxa"/>
            <w:tcBorders>
              <w:top w:val="nil"/>
              <w:left w:val="nil"/>
              <w:bottom w:val="nil"/>
              <w:right w:val="nil"/>
            </w:tcBorders>
            <w:shd w:val="clear" w:color="auto" w:fill="auto"/>
          </w:tcPr>
          <w:p w14:paraId="1F8B0212" w14:textId="77777777" w:rsidR="008B7E19" w:rsidRPr="009C6064" w:rsidRDefault="008B7E19" w:rsidP="008B7E19">
            <w:pPr>
              <w:pStyle w:val="08-Tabelageral"/>
              <w:ind w:left="113"/>
              <w:cnfStyle w:val="000000100000" w:firstRow="0" w:lastRow="0" w:firstColumn="0" w:lastColumn="0" w:oddVBand="0" w:evenVBand="0" w:oddHBand="1" w:evenHBand="0" w:firstRowFirstColumn="0" w:firstRowLastColumn="0" w:lastRowFirstColumn="0" w:lastRowLastColumn="0"/>
              <w:rPr>
                <w:b/>
              </w:rPr>
            </w:pPr>
            <w:r w:rsidRPr="00035FEE">
              <w:t>257</w:t>
            </w:r>
          </w:p>
        </w:tc>
        <w:tc>
          <w:tcPr>
            <w:tcW w:w="280" w:type="dxa"/>
            <w:tcBorders>
              <w:top w:val="nil"/>
              <w:left w:val="nil"/>
              <w:bottom w:val="nil"/>
              <w:right w:val="nil"/>
            </w:tcBorders>
            <w:shd w:val="clear" w:color="auto" w:fill="auto"/>
            <w:vAlign w:val="center"/>
          </w:tcPr>
          <w:p w14:paraId="32DB2A48" w14:textId="77777777" w:rsidR="008B7E19" w:rsidRPr="009C6064" w:rsidRDefault="008B7E19" w:rsidP="008B7E19">
            <w:pPr>
              <w:pStyle w:val="08-Tabelageral"/>
              <w:ind w:left="113"/>
              <w:cnfStyle w:val="000000100000" w:firstRow="0" w:lastRow="0" w:firstColumn="0" w:lastColumn="0" w:oddVBand="0" w:evenVBand="0" w:oddHBand="1" w:evenHBand="0" w:firstRowFirstColumn="0" w:firstRowLastColumn="0" w:lastRowFirstColumn="0" w:lastRowLastColumn="0"/>
              <w:rPr>
                <w:b/>
              </w:rPr>
            </w:pPr>
          </w:p>
        </w:tc>
        <w:tc>
          <w:tcPr>
            <w:tcW w:w="1279" w:type="dxa"/>
            <w:tcBorders>
              <w:top w:val="nil"/>
              <w:left w:val="nil"/>
              <w:bottom w:val="nil"/>
              <w:right w:val="nil"/>
            </w:tcBorders>
            <w:shd w:val="clear" w:color="auto" w:fill="auto"/>
          </w:tcPr>
          <w:p w14:paraId="1CF1D969" w14:textId="77777777" w:rsidR="008B7E19" w:rsidRPr="009C6064" w:rsidRDefault="008B7E19" w:rsidP="008B7E19">
            <w:pPr>
              <w:pStyle w:val="08-Tabelageral"/>
              <w:ind w:left="113"/>
              <w:cnfStyle w:val="000000100000" w:firstRow="0" w:lastRow="0" w:firstColumn="0" w:lastColumn="0" w:oddVBand="0" w:evenVBand="0" w:oddHBand="1" w:evenHBand="0" w:firstRowFirstColumn="0" w:firstRowLastColumn="0" w:lastRowFirstColumn="0" w:lastRowLastColumn="0"/>
              <w:rPr>
                <w:rFonts w:cs="Arial"/>
                <w:b/>
                <w:szCs w:val="14"/>
              </w:rPr>
            </w:pPr>
            <w:r w:rsidRPr="00CB726D">
              <w:t>1</w:t>
            </w:r>
            <w:r>
              <w:t>,</w:t>
            </w:r>
            <w:r w:rsidRPr="00CB726D">
              <w:t>661</w:t>
            </w:r>
          </w:p>
        </w:tc>
        <w:tc>
          <w:tcPr>
            <w:tcW w:w="1559" w:type="dxa"/>
            <w:tcBorders>
              <w:top w:val="nil"/>
              <w:left w:val="nil"/>
              <w:bottom w:val="nil"/>
              <w:right w:val="nil"/>
            </w:tcBorders>
            <w:shd w:val="clear" w:color="auto" w:fill="auto"/>
          </w:tcPr>
          <w:p w14:paraId="052E4F0A" w14:textId="77777777" w:rsidR="008B7E19" w:rsidRPr="009C6064" w:rsidRDefault="008B7E19" w:rsidP="008B7E19">
            <w:pPr>
              <w:pStyle w:val="08-Tabelageral"/>
              <w:ind w:left="113"/>
              <w:cnfStyle w:val="000000100000" w:firstRow="0" w:lastRow="0" w:firstColumn="0" w:lastColumn="0" w:oddVBand="0" w:evenVBand="0" w:oddHBand="1" w:evenHBand="0" w:firstRowFirstColumn="0" w:firstRowLastColumn="0" w:lastRowFirstColumn="0" w:lastRowLastColumn="0"/>
              <w:rPr>
                <w:b/>
              </w:rPr>
            </w:pPr>
            <w:r w:rsidRPr="00CB726D">
              <w:t>1</w:t>
            </w:r>
            <w:r>
              <w:t>,</w:t>
            </w:r>
            <w:r w:rsidRPr="00CB726D">
              <w:t>369</w:t>
            </w:r>
          </w:p>
        </w:tc>
      </w:tr>
      <w:tr w:rsidR="008B7E19" w:rsidRPr="009C6064" w14:paraId="77E42443" w14:textId="77777777" w:rsidTr="008B7E19">
        <w:trPr>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auto"/>
          </w:tcPr>
          <w:p w14:paraId="3DAE4F84" w14:textId="77777777" w:rsidR="008B7E19" w:rsidRPr="009C6064" w:rsidRDefault="008B7E19" w:rsidP="008B7E19">
            <w:pPr>
              <w:pStyle w:val="08-Tabelageral"/>
              <w:ind w:left="113" w:firstLine="63"/>
              <w:jc w:val="left"/>
              <w:rPr>
                <w:b w:val="0"/>
              </w:rPr>
            </w:pPr>
            <w:r w:rsidRPr="00317F11">
              <w:rPr>
                <w:rStyle w:val="rynqvb"/>
                <w:b w:val="0"/>
                <w:lang w:val="en"/>
              </w:rPr>
              <w:t>Other charges</w:t>
            </w:r>
          </w:p>
        </w:tc>
        <w:tc>
          <w:tcPr>
            <w:tcW w:w="709" w:type="dxa"/>
            <w:tcBorders>
              <w:top w:val="nil"/>
              <w:bottom w:val="nil"/>
            </w:tcBorders>
            <w:shd w:val="clear" w:color="auto" w:fill="auto"/>
            <w:vAlign w:val="center"/>
          </w:tcPr>
          <w:p w14:paraId="632D56E3" w14:textId="77777777" w:rsidR="008B7E19" w:rsidRPr="009C6064" w:rsidRDefault="008B7E19" w:rsidP="008B7E19">
            <w:pPr>
              <w:pStyle w:val="08-Tabelageral"/>
              <w:ind w:left="113"/>
              <w:jc w:val="center"/>
              <w:cnfStyle w:val="000000000000" w:firstRow="0" w:lastRow="0" w:firstColumn="0" w:lastColumn="0" w:oddVBand="0" w:evenVBand="0" w:oddHBand="0" w:evenHBand="0" w:firstRowFirstColumn="0" w:firstRowLastColumn="0" w:lastRowFirstColumn="0" w:lastRowLastColumn="0"/>
              <w:rPr>
                <w:b/>
              </w:rPr>
            </w:pPr>
          </w:p>
        </w:tc>
        <w:tc>
          <w:tcPr>
            <w:tcW w:w="1276" w:type="dxa"/>
            <w:tcBorders>
              <w:top w:val="nil"/>
              <w:left w:val="nil"/>
              <w:bottom w:val="nil"/>
              <w:right w:val="nil"/>
            </w:tcBorders>
            <w:shd w:val="clear" w:color="auto" w:fill="auto"/>
          </w:tcPr>
          <w:p w14:paraId="5D6B3DCC" w14:textId="77777777" w:rsidR="008B7E19" w:rsidRPr="009C6064" w:rsidRDefault="008B7E19" w:rsidP="008B7E19">
            <w:pPr>
              <w:pStyle w:val="08-Tabelageral"/>
              <w:ind w:left="113"/>
              <w:cnfStyle w:val="000000000000" w:firstRow="0" w:lastRow="0" w:firstColumn="0" w:lastColumn="0" w:oddVBand="0" w:evenVBand="0" w:oddHBand="0" w:evenHBand="0" w:firstRowFirstColumn="0" w:firstRowLastColumn="0" w:lastRowFirstColumn="0" w:lastRowLastColumn="0"/>
              <w:rPr>
                <w:rFonts w:cs="Arial"/>
                <w:b/>
                <w:szCs w:val="14"/>
              </w:rPr>
            </w:pPr>
            <w:r w:rsidRPr="00035FEE">
              <w:t>593</w:t>
            </w:r>
          </w:p>
        </w:tc>
        <w:tc>
          <w:tcPr>
            <w:tcW w:w="1559" w:type="dxa"/>
            <w:tcBorders>
              <w:top w:val="nil"/>
              <w:left w:val="nil"/>
              <w:bottom w:val="nil"/>
              <w:right w:val="nil"/>
            </w:tcBorders>
            <w:shd w:val="clear" w:color="auto" w:fill="auto"/>
          </w:tcPr>
          <w:p w14:paraId="762E9432" w14:textId="77777777" w:rsidR="008B7E19" w:rsidRPr="009C6064" w:rsidRDefault="008B7E19" w:rsidP="008B7E19">
            <w:pPr>
              <w:pStyle w:val="08-Tabelageral"/>
              <w:ind w:left="113"/>
              <w:cnfStyle w:val="000000000000" w:firstRow="0" w:lastRow="0" w:firstColumn="0" w:lastColumn="0" w:oddVBand="0" w:evenVBand="0" w:oddHBand="0" w:evenHBand="0" w:firstRowFirstColumn="0" w:firstRowLastColumn="0" w:lastRowFirstColumn="0" w:lastRowLastColumn="0"/>
              <w:rPr>
                <w:b/>
              </w:rPr>
            </w:pPr>
            <w:r w:rsidRPr="00035FEE">
              <w:t>430</w:t>
            </w:r>
          </w:p>
        </w:tc>
        <w:tc>
          <w:tcPr>
            <w:tcW w:w="280" w:type="dxa"/>
            <w:tcBorders>
              <w:top w:val="nil"/>
              <w:left w:val="nil"/>
              <w:bottom w:val="nil"/>
              <w:right w:val="nil"/>
            </w:tcBorders>
            <w:shd w:val="clear" w:color="auto" w:fill="auto"/>
            <w:vAlign w:val="center"/>
          </w:tcPr>
          <w:p w14:paraId="73F8413D" w14:textId="77777777" w:rsidR="008B7E19" w:rsidRPr="009C6064" w:rsidRDefault="008B7E19" w:rsidP="008B7E19">
            <w:pPr>
              <w:pStyle w:val="08-Tabelageral"/>
              <w:ind w:left="113"/>
              <w:cnfStyle w:val="000000000000" w:firstRow="0" w:lastRow="0" w:firstColumn="0" w:lastColumn="0" w:oddVBand="0" w:evenVBand="0" w:oddHBand="0" w:evenHBand="0" w:firstRowFirstColumn="0" w:firstRowLastColumn="0" w:lastRowFirstColumn="0" w:lastRowLastColumn="0"/>
              <w:rPr>
                <w:b/>
              </w:rPr>
            </w:pPr>
          </w:p>
        </w:tc>
        <w:tc>
          <w:tcPr>
            <w:tcW w:w="1279" w:type="dxa"/>
            <w:tcBorders>
              <w:top w:val="nil"/>
              <w:left w:val="nil"/>
              <w:bottom w:val="nil"/>
              <w:right w:val="nil"/>
            </w:tcBorders>
            <w:shd w:val="clear" w:color="auto" w:fill="auto"/>
          </w:tcPr>
          <w:p w14:paraId="15EBC3C3" w14:textId="77777777" w:rsidR="008B7E19" w:rsidRPr="009C6064" w:rsidRDefault="008B7E19" w:rsidP="008B7E19">
            <w:pPr>
              <w:pStyle w:val="08-Tabelageral"/>
              <w:ind w:left="113"/>
              <w:cnfStyle w:val="000000000000" w:firstRow="0" w:lastRow="0" w:firstColumn="0" w:lastColumn="0" w:oddVBand="0" w:evenVBand="0" w:oddHBand="0" w:evenHBand="0" w:firstRowFirstColumn="0" w:firstRowLastColumn="0" w:lastRowFirstColumn="0" w:lastRowLastColumn="0"/>
              <w:rPr>
                <w:rFonts w:cs="Arial"/>
                <w:b/>
                <w:szCs w:val="14"/>
              </w:rPr>
            </w:pPr>
            <w:r w:rsidRPr="00CB726D">
              <w:t>2</w:t>
            </w:r>
            <w:r>
              <w:t>,</w:t>
            </w:r>
            <w:r w:rsidRPr="00CB726D">
              <w:t>411</w:t>
            </w:r>
          </w:p>
        </w:tc>
        <w:tc>
          <w:tcPr>
            <w:tcW w:w="1559" w:type="dxa"/>
            <w:tcBorders>
              <w:top w:val="nil"/>
              <w:left w:val="nil"/>
              <w:bottom w:val="nil"/>
              <w:right w:val="nil"/>
            </w:tcBorders>
            <w:shd w:val="clear" w:color="auto" w:fill="auto"/>
          </w:tcPr>
          <w:p w14:paraId="10C1DA66" w14:textId="77777777" w:rsidR="008B7E19" w:rsidRPr="009C6064" w:rsidRDefault="008B7E19" w:rsidP="008B7E19">
            <w:pPr>
              <w:pStyle w:val="08-Tabelageral"/>
              <w:ind w:left="113"/>
              <w:cnfStyle w:val="000000000000" w:firstRow="0" w:lastRow="0" w:firstColumn="0" w:lastColumn="0" w:oddVBand="0" w:evenVBand="0" w:oddHBand="0" w:evenHBand="0" w:firstRowFirstColumn="0" w:firstRowLastColumn="0" w:lastRowFirstColumn="0" w:lastRowLastColumn="0"/>
              <w:rPr>
                <w:b/>
              </w:rPr>
            </w:pPr>
            <w:r w:rsidRPr="00CB726D">
              <w:t>2</w:t>
            </w:r>
            <w:r>
              <w:t>,</w:t>
            </w:r>
            <w:r w:rsidRPr="00CB726D">
              <w:t>149</w:t>
            </w:r>
          </w:p>
        </w:tc>
      </w:tr>
      <w:tr w:rsidR="008B7E19" w:rsidRPr="00BD450B" w14:paraId="72748DCE"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auto"/>
            <w:vAlign w:val="center"/>
          </w:tcPr>
          <w:p w14:paraId="06501ACD" w14:textId="77777777" w:rsidR="008B7E19" w:rsidRPr="00BD450B" w:rsidRDefault="008B7E19" w:rsidP="008B7E19">
            <w:pPr>
              <w:pStyle w:val="08-Tabelageral"/>
              <w:ind w:left="113"/>
              <w:jc w:val="left"/>
            </w:pPr>
            <w:r w:rsidRPr="00BD450B">
              <w:t>Taxes, fees and contributions</w:t>
            </w:r>
          </w:p>
        </w:tc>
        <w:tc>
          <w:tcPr>
            <w:tcW w:w="709" w:type="dxa"/>
            <w:tcBorders>
              <w:top w:val="nil"/>
              <w:bottom w:val="nil"/>
            </w:tcBorders>
            <w:shd w:val="clear" w:color="auto" w:fill="auto"/>
            <w:vAlign w:val="center"/>
          </w:tcPr>
          <w:p w14:paraId="4A20D2B5" w14:textId="77777777" w:rsidR="008B7E19" w:rsidRPr="00BD450B" w:rsidRDefault="008B7E19" w:rsidP="008B7E19">
            <w:pPr>
              <w:pStyle w:val="08-Tabelageral"/>
              <w:ind w:left="113"/>
              <w:jc w:val="center"/>
              <w:cnfStyle w:val="000000100000" w:firstRow="0" w:lastRow="0" w:firstColumn="0" w:lastColumn="0" w:oddVBand="0" w:evenVBand="0" w:oddHBand="1" w:evenHBand="0" w:firstRowFirstColumn="0" w:firstRowLastColumn="0" w:lastRowFirstColumn="0" w:lastRowLastColumn="0"/>
              <w:rPr>
                <w:b/>
              </w:rPr>
            </w:pPr>
          </w:p>
        </w:tc>
        <w:tc>
          <w:tcPr>
            <w:tcW w:w="1276" w:type="dxa"/>
            <w:tcBorders>
              <w:top w:val="nil"/>
              <w:left w:val="nil"/>
              <w:bottom w:val="nil"/>
              <w:right w:val="nil"/>
            </w:tcBorders>
            <w:shd w:val="clear" w:color="auto" w:fill="auto"/>
          </w:tcPr>
          <w:p w14:paraId="68405859" w14:textId="77777777" w:rsidR="008B7E19" w:rsidRPr="00BD450B" w:rsidRDefault="008B7E19" w:rsidP="008B7E19">
            <w:pPr>
              <w:pStyle w:val="08-Tabelageral"/>
              <w:ind w:left="113"/>
              <w:cnfStyle w:val="000000100000" w:firstRow="0" w:lastRow="0" w:firstColumn="0" w:lastColumn="0" w:oddVBand="0" w:evenVBand="0" w:oddHBand="1" w:evenHBand="0" w:firstRowFirstColumn="0" w:firstRowLastColumn="0" w:lastRowFirstColumn="0" w:lastRowLastColumn="0"/>
              <w:rPr>
                <w:rFonts w:cs="Arial"/>
                <w:b/>
                <w:szCs w:val="14"/>
              </w:rPr>
            </w:pPr>
            <w:r w:rsidRPr="00BD450B">
              <w:rPr>
                <w:b/>
              </w:rPr>
              <w:t>5</w:t>
            </w:r>
            <w:r>
              <w:rPr>
                <w:b/>
              </w:rPr>
              <w:t>,</w:t>
            </w:r>
            <w:r w:rsidRPr="00BD450B">
              <w:rPr>
                <w:b/>
              </w:rPr>
              <w:t>879</w:t>
            </w:r>
          </w:p>
        </w:tc>
        <w:tc>
          <w:tcPr>
            <w:tcW w:w="1559" w:type="dxa"/>
            <w:tcBorders>
              <w:top w:val="nil"/>
              <w:left w:val="nil"/>
              <w:bottom w:val="nil"/>
              <w:right w:val="nil"/>
            </w:tcBorders>
            <w:shd w:val="clear" w:color="auto" w:fill="auto"/>
          </w:tcPr>
          <w:p w14:paraId="078A2C12" w14:textId="77777777" w:rsidR="008B7E19" w:rsidRPr="00BD450B" w:rsidRDefault="008B7E19" w:rsidP="008B7E19">
            <w:pPr>
              <w:pStyle w:val="08-Tabelageral"/>
              <w:ind w:left="113"/>
              <w:cnfStyle w:val="000000100000" w:firstRow="0" w:lastRow="0" w:firstColumn="0" w:lastColumn="0" w:oddVBand="0" w:evenVBand="0" w:oddHBand="1" w:evenHBand="0" w:firstRowFirstColumn="0" w:firstRowLastColumn="0" w:lastRowFirstColumn="0" w:lastRowLastColumn="0"/>
              <w:rPr>
                <w:b/>
              </w:rPr>
            </w:pPr>
            <w:r w:rsidRPr="00BD450B">
              <w:rPr>
                <w:b/>
              </w:rPr>
              <w:t>2</w:t>
            </w:r>
            <w:r>
              <w:rPr>
                <w:b/>
              </w:rPr>
              <w:t>,</w:t>
            </w:r>
            <w:r w:rsidRPr="00BD450B">
              <w:rPr>
                <w:b/>
              </w:rPr>
              <w:t>908</w:t>
            </w:r>
          </w:p>
        </w:tc>
        <w:tc>
          <w:tcPr>
            <w:tcW w:w="280" w:type="dxa"/>
            <w:tcBorders>
              <w:top w:val="nil"/>
              <w:left w:val="nil"/>
              <w:bottom w:val="nil"/>
              <w:right w:val="nil"/>
            </w:tcBorders>
            <w:shd w:val="clear" w:color="auto" w:fill="auto"/>
            <w:vAlign w:val="center"/>
          </w:tcPr>
          <w:p w14:paraId="5AC96AEE" w14:textId="77777777" w:rsidR="008B7E19" w:rsidRPr="00BD450B" w:rsidRDefault="008B7E19" w:rsidP="008B7E19">
            <w:pPr>
              <w:pStyle w:val="08-Tabelageral"/>
              <w:ind w:left="113"/>
              <w:cnfStyle w:val="000000100000" w:firstRow="0" w:lastRow="0" w:firstColumn="0" w:lastColumn="0" w:oddVBand="0" w:evenVBand="0" w:oddHBand="1" w:evenHBand="0" w:firstRowFirstColumn="0" w:firstRowLastColumn="0" w:lastRowFirstColumn="0" w:lastRowLastColumn="0"/>
              <w:rPr>
                <w:b/>
              </w:rPr>
            </w:pPr>
          </w:p>
        </w:tc>
        <w:tc>
          <w:tcPr>
            <w:tcW w:w="1279" w:type="dxa"/>
            <w:tcBorders>
              <w:top w:val="nil"/>
              <w:left w:val="nil"/>
              <w:bottom w:val="nil"/>
              <w:right w:val="nil"/>
            </w:tcBorders>
            <w:shd w:val="clear" w:color="auto" w:fill="auto"/>
          </w:tcPr>
          <w:p w14:paraId="7C1815BB" w14:textId="77777777" w:rsidR="008B7E19" w:rsidRPr="00BD450B" w:rsidRDefault="008B7E19" w:rsidP="008B7E19">
            <w:pPr>
              <w:pStyle w:val="08-Tabelageral"/>
              <w:ind w:left="113"/>
              <w:cnfStyle w:val="000000100000" w:firstRow="0" w:lastRow="0" w:firstColumn="0" w:lastColumn="0" w:oddVBand="0" w:evenVBand="0" w:oddHBand="1" w:evenHBand="0" w:firstRowFirstColumn="0" w:firstRowLastColumn="0" w:lastRowFirstColumn="0" w:lastRowLastColumn="0"/>
              <w:rPr>
                <w:rFonts w:cs="Arial"/>
                <w:b/>
                <w:szCs w:val="14"/>
              </w:rPr>
            </w:pPr>
            <w:r w:rsidRPr="00BD450B">
              <w:rPr>
                <w:b/>
              </w:rPr>
              <w:t>1</w:t>
            </w:r>
            <w:r>
              <w:rPr>
                <w:b/>
              </w:rPr>
              <w:t>,</w:t>
            </w:r>
            <w:r w:rsidRPr="00BD450B">
              <w:rPr>
                <w:b/>
              </w:rPr>
              <w:t>042</w:t>
            </w:r>
            <w:r>
              <w:rPr>
                <w:b/>
              </w:rPr>
              <w:t>,</w:t>
            </w:r>
            <w:r w:rsidRPr="00BD450B">
              <w:rPr>
                <w:b/>
              </w:rPr>
              <w:t>186</w:t>
            </w:r>
          </w:p>
        </w:tc>
        <w:tc>
          <w:tcPr>
            <w:tcW w:w="1559" w:type="dxa"/>
            <w:tcBorders>
              <w:top w:val="nil"/>
              <w:left w:val="nil"/>
              <w:bottom w:val="nil"/>
              <w:right w:val="nil"/>
            </w:tcBorders>
            <w:shd w:val="clear" w:color="auto" w:fill="auto"/>
          </w:tcPr>
          <w:p w14:paraId="4306AF01" w14:textId="77777777" w:rsidR="008B7E19" w:rsidRPr="00BD450B" w:rsidRDefault="008B7E19" w:rsidP="008B7E19">
            <w:pPr>
              <w:pStyle w:val="08-Tabelageral"/>
              <w:ind w:left="113"/>
              <w:cnfStyle w:val="000000100000" w:firstRow="0" w:lastRow="0" w:firstColumn="0" w:lastColumn="0" w:oddVBand="0" w:evenVBand="0" w:oddHBand="1" w:evenHBand="0" w:firstRowFirstColumn="0" w:firstRowLastColumn="0" w:lastRowFirstColumn="0" w:lastRowLastColumn="0"/>
              <w:rPr>
                <w:b/>
              </w:rPr>
            </w:pPr>
            <w:r w:rsidRPr="00BD450B">
              <w:rPr>
                <w:b/>
              </w:rPr>
              <w:t>886</w:t>
            </w:r>
            <w:r>
              <w:rPr>
                <w:b/>
              </w:rPr>
              <w:t>,</w:t>
            </w:r>
            <w:r w:rsidRPr="00BD450B">
              <w:rPr>
                <w:b/>
              </w:rPr>
              <w:t>057</w:t>
            </w:r>
          </w:p>
        </w:tc>
      </w:tr>
      <w:tr w:rsidR="008B7E19" w:rsidRPr="009C6064" w14:paraId="29AAFA62" w14:textId="77777777" w:rsidTr="008B7E19">
        <w:trPr>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auto"/>
            <w:vAlign w:val="center"/>
          </w:tcPr>
          <w:p w14:paraId="7C710CDF" w14:textId="77777777" w:rsidR="008B7E19" w:rsidRDefault="008B7E19" w:rsidP="008B7E19">
            <w:pPr>
              <w:pStyle w:val="08-Tabelageral"/>
              <w:ind w:left="113" w:firstLine="63"/>
              <w:jc w:val="left"/>
              <w:rPr>
                <w:b w:val="0"/>
              </w:rPr>
            </w:pPr>
            <w:r>
              <w:rPr>
                <w:b w:val="0"/>
              </w:rPr>
              <w:t>Federal</w:t>
            </w:r>
          </w:p>
        </w:tc>
        <w:tc>
          <w:tcPr>
            <w:tcW w:w="709" w:type="dxa"/>
            <w:tcBorders>
              <w:top w:val="nil"/>
              <w:bottom w:val="nil"/>
            </w:tcBorders>
            <w:shd w:val="clear" w:color="auto" w:fill="auto"/>
            <w:vAlign w:val="center"/>
          </w:tcPr>
          <w:p w14:paraId="1807BCBA" w14:textId="77777777" w:rsidR="008B7E19" w:rsidRPr="009C6064" w:rsidRDefault="008B7E19" w:rsidP="008B7E19">
            <w:pPr>
              <w:pStyle w:val="08-Tabelageral"/>
              <w:ind w:left="113"/>
              <w:jc w:val="center"/>
              <w:cnfStyle w:val="000000000000" w:firstRow="0" w:lastRow="0" w:firstColumn="0" w:lastColumn="0" w:oddVBand="0" w:evenVBand="0" w:oddHBand="0" w:evenHBand="0" w:firstRowFirstColumn="0" w:firstRowLastColumn="0" w:lastRowFirstColumn="0" w:lastRowLastColumn="0"/>
              <w:rPr>
                <w:b/>
              </w:rPr>
            </w:pPr>
          </w:p>
        </w:tc>
        <w:tc>
          <w:tcPr>
            <w:tcW w:w="1276" w:type="dxa"/>
            <w:tcBorders>
              <w:top w:val="nil"/>
              <w:left w:val="nil"/>
              <w:bottom w:val="nil"/>
              <w:right w:val="nil"/>
            </w:tcBorders>
            <w:shd w:val="clear" w:color="auto" w:fill="auto"/>
          </w:tcPr>
          <w:p w14:paraId="7BDFECD4" w14:textId="77777777" w:rsidR="008B7E19" w:rsidRPr="009C6064" w:rsidRDefault="008B7E19" w:rsidP="008B7E19">
            <w:pPr>
              <w:pStyle w:val="08-Tabelageral"/>
              <w:ind w:left="113"/>
              <w:cnfStyle w:val="000000000000" w:firstRow="0" w:lastRow="0" w:firstColumn="0" w:lastColumn="0" w:oddVBand="0" w:evenVBand="0" w:oddHBand="0" w:evenHBand="0" w:firstRowFirstColumn="0" w:firstRowLastColumn="0" w:lastRowFirstColumn="0" w:lastRowLastColumn="0"/>
              <w:rPr>
                <w:rFonts w:cs="Arial"/>
                <w:b/>
                <w:szCs w:val="14"/>
              </w:rPr>
            </w:pPr>
            <w:r w:rsidRPr="00035FEE">
              <w:t>5</w:t>
            </w:r>
            <w:r>
              <w:t>,</w:t>
            </w:r>
            <w:r w:rsidRPr="00035FEE">
              <w:t>879</w:t>
            </w:r>
          </w:p>
        </w:tc>
        <w:tc>
          <w:tcPr>
            <w:tcW w:w="1559" w:type="dxa"/>
            <w:tcBorders>
              <w:top w:val="nil"/>
              <w:left w:val="nil"/>
              <w:bottom w:val="nil"/>
              <w:right w:val="nil"/>
            </w:tcBorders>
            <w:shd w:val="clear" w:color="auto" w:fill="auto"/>
          </w:tcPr>
          <w:p w14:paraId="588D893C" w14:textId="77777777" w:rsidR="008B7E19" w:rsidRPr="009C6064" w:rsidRDefault="008B7E19" w:rsidP="008B7E19">
            <w:pPr>
              <w:pStyle w:val="08-Tabelageral"/>
              <w:ind w:left="113"/>
              <w:cnfStyle w:val="000000000000" w:firstRow="0" w:lastRow="0" w:firstColumn="0" w:lastColumn="0" w:oddVBand="0" w:evenVBand="0" w:oddHBand="0" w:evenHBand="0" w:firstRowFirstColumn="0" w:firstRowLastColumn="0" w:lastRowFirstColumn="0" w:lastRowLastColumn="0"/>
              <w:rPr>
                <w:b/>
              </w:rPr>
            </w:pPr>
            <w:r w:rsidRPr="00035FEE">
              <w:t>2</w:t>
            </w:r>
            <w:r>
              <w:t>,</w:t>
            </w:r>
            <w:r w:rsidRPr="00035FEE">
              <w:t>908</w:t>
            </w:r>
          </w:p>
        </w:tc>
        <w:tc>
          <w:tcPr>
            <w:tcW w:w="280" w:type="dxa"/>
            <w:tcBorders>
              <w:top w:val="nil"/>
              <w:left w:val="nil"/>
              <w:bottom w:val="nil"/>
              <w:right w:val="nil"/>
            </w:tcBorders>
            <w:shd w:val="clear" w:color="auto" w:fill="auto"/>
            <w:vAlign w:val="center"/>
          </w:tcPr>
          <w:p w14:paraId="48D6A554" w14:textId="77777777" w:rsidR="008B7E19" w:rsidRPr="009C6064" w:rsidRDefault="008B7E19" w:rsidP="008B7E19">
            <w:pPr>
              <w:pStyle w:val="08-Tabelageral"/>
              <w:ind w:left="113"/>
              <w:cnfStyle w:val="000000000000" w:firstRow="0" w:lastRow="0" w:firstColumn="0" w:lastColumn="0" w:oddVBand="0" w:evenVBand="0" w:oddHBand="0" w:evenHBand="0" w:firstRowFirstColumn="0" w:firstRowLastColumn="0" w:lastRowFirstColumn="0" w:lastRowLastColumn="0"/>
              <w:rPr>
                <w:b/>
              </w:rPr>
            </w:pPr>
          </w:p>
        </w:tc>
        <w:tc>
          <w:tcPr>
            <w:tcW w:w="1279" w:type="dxa"/>
            <w:tcBorders>
              <w:top w:val="nil"/>
              <w:left w:val="nil"/>
              <w:bottom w:val="nil"/>
              <w:right w:val="nil"/>
            </w:tcBorders>
            <w:shd w:val="clear" w:color="auto" w:fill="auto"/>
          </w:tcPr>
          <w:p w14:paraId="6D915BE2" w14:textId="77777777" w:rsidR="008B7E19" w:rsidRPr="009C6064" w:rsidRDefault="008B7E19" w:rsidP="008B7E19">
            <w:pPr>
              <w:pStyle w:val="08-Tabelageral"/>
              <w:ind w:left="113"/>
              <w:cnfStyle w:val="000000000000" w:firstRow="0" w:lastRow="0" w:firstColumn="0" w:lastColumn="0" w:oddVBand="0" w:evenVBand="0" w:oddHBand="0" w:evenHBand="0" w:firstRowFirstColumn="0" w:firstRowLastColumn="0" w:lastRowFirstColumn="0" w:lastRowLastColumn="0"/>
              <w:rPr>
                <w:rFonts w:cs="Arial"/>
                <w:b/>
                <w:szCs w:val="14"/>
              </w:rPr>
            </w:pPr>
            <w:r w:rsidRPr="00CB726D">
              <w:t>987</w:t>
            </w:r>
            <w:r>
              <w:t>,</w:t>
            </w:r>
            <w:r w:rsidRPr="00CB726D">
              <w:t>092</w:t>
            </w:r>
          </w:p>
        </w:tc>
        <w:tc>
          <w:tcPr>
            <w:tcW w:w="1559" w:type="dxa"/>
            <w:tcBorders>
              <w:top w:val="nil"/>
              <w:left w:val="nil"/>
              <w:bottom w:val="nil"/>
              <w:right w:val="nil"/>
            </w:tcBorders>
            <w:shd w:val="clear" w:color="auto" w:fill="auto"/>
          </w:tcPr>
          <w:p w14:paraId="7C7EDB2B" w14:textId="77777777" w:rsidR="008B7E19" w:rsidRPr="009C6064" w:rsidRDefault="008B7E19" w:rsidP="008B7E19">
            <w:pPr>
              <w:pStyle w:val="08-Tabelageral"/>
              <w:ind w:left="113"/>
              <w:cnfStyle w:val="000000000000" w:firstRow="0" w:lastRow="0" w:firstColumn="0" w:lastColumn="0" w:oddVBand="0" w:evenVBand="0" w:oddHBand="0" w:evenHBand="0" w:firstRowFirstColumn="0" w:firstRowLastColumn="0" w:lastRowFirstColumn="0" w:lastRowLastColumn="0"/>
              <w:rPr>
                <w:b/>
              </w:rPr>
            </w:pPr>
            <w:r w:rsidRPr="00CB726D">
              <w:t>836</w:t>
            </w:r>
            <w:r>
              <w:t>,</w:t>
            </w:r>
            <w:r w:rsidRPr="00CB726D">
              <w:t>918</w:t>
            </w:r>
          </w:p>
        </w:tc>
      </w:tr>
      <w:tr w:rsidR="008B7E19" w:rsidRPr="009C6064" w14:paraId="641EA2CD"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auto"/>
            <w:vAlign w:val="center"/>
          </w:tcPr>
          <w:p w14:paraId="1F543B86" w14:textId="77777777" w:rsidR="008B7E19" w:rsidRDefault="008B7E19" w:rsidP="008B7E19">
            <w:pPr>
              <w:pStyle w:val="08-Tabelageral"/>
              <w:ind w:left="113" w:firstLine="63"/>
              <w:jc w:val="left"/>
              <w:rPr>
                <w:b w:val="0"/>
              </w:rPr>
            </w:pPr>
            <w:r>
              <w:rPr>
                <w:b w:val="0"/>
              </w:rPr>
              <w:t>Municipal</w:t>
            </w:r>
          </w:p>
        </w:tc>
        <w:tc>
          <w:tcPr>
            <w:tcW w:w="709" w:type="dxa"/>
            <w:tcBorders>
              <w:top w:val="nil"/>
              <w:bottom w:val="nil"/>
            </w:tcBorders>
            <w:shd w:val="clear" w:color="auto" w:fill="auto"/>
            <w:vAlign w:val="center"/>
          </w:tcPr>
          <w:p w14:paraId="7D7C46D0" w14:textId="77777777" w:rsidR="008B7E19" w:rsidRPr="009C6064" w:rsidRDefault="008B7E19" w:rsidP="008B7E19">
            <w:pPr>
              <w:pStyle w:val="08-Tabelageral"/>
              <w:ind w:left="113"/>
              <w:jc w:val="center"/>
              <w:cnfStyle w:val="000000100000" w:firstRow="0" w:lastRow="0" w:firstColumn="0" w:lastColumn="0" w:oddVBand="0" w:evenVBand="0" w:oddHBand="1" w:evenHBand="0" w:firstRowFirstColumn="0" w:firstRowLastColumn="0" w:lastRowFirstColumn="0" w:lastRowLastColumn="0"/>
              <w:rPr>
                <w:b/>
              </w:rPr>
            </w:pPr>
          </w:p>
        </w:tc>
        <w:tc>
          <w:tcPr>
            <w:tcW w:w="1276" w:type="dxa"/>
            <w:tcBorders>
              <w:top w:val="nil"/>
              <w:left w:val="nil"/>
              <w:bottom w:val="nil"/>
              <w:right w:val="nil"/>
            </w:tcBorders>
            <w:shd w:val="clear" w:color="auto" w:fill="auto"/>
          </w:tcPr>
          <w:p w14:paraId="23B5902D" w14:textId="77777777" w:rsidR="008B7E19" w:rsidRPr="009C6064" w:rsidRDefault="008B7E19" w:rsidP="008B7E19">
            <w:pPr>
              <w:pStyle w:val="08-Tabelageral"/>
              <w:ind w:left="113"/>
              <w:cnfStyle w:val="000000100000" w:firstRow="0" w:lastRow="0" w:firstColumn="0" w:lastColumn="0" w:oddVBand="0" w:evenVBand="0" w:oddHBand="1" w:evenHBand="0" w:firstRowFirstColumn="0" w:firstRowLastColumn="0" w:lastRowFirstColumn="0" w:lastRowLastColumn="0"/>
              <w:rPr>
                <w:rFonts w:cs="Arial"/>
                <w:b/>
                <w:szCs w:val="14"/>
              </w:rPr>
            </w:pPr>
            <w:r w:rsidRPr="00035FEE">
              <w:t>--</w:t>
            </w:r>
          </w:p>
        </w:tc>
        <w:tc>
          <w:tcPr>
            <w:tcW w:w="1559" w:type="dxa"/>
            <w:tcBorders>
              <w:top w:val="nil"/>
              <w:left w:val="nil"/>
              <w:bottom w:val="nil"/>
              <w:right w:val="nil"/>
            </w:tcBorders>
            <w:shd w:val="clear" w:color="auto" w:fill="auto"/>
          </w:tcPr>
          <w:p w14:paraId="0768D682" w14:textId="77777777" w:rsidR="008B7E19" w:rsidRPr="009C6064" w:rsidRDefault="008B7E19" w:rsidP="008B7E19">
            <w:pPr>
              <w:pStyle w:val="08-Tabelageral"/>
              <w:ind w:left="113"/>
              <w:cnfStyle w:val="000000100000" w:firstRow="0" w:lastRow="0" w:firstColumn="0" w:lastColumn="0" w:oddVBand="0" w:evenVBand="0" w:oddHBand="1" w:evenHBand="0" w:firstRowFirstColumn="0" w:firstRowLastColumn="0" w:lastRowFirstColumn="0" w:lastRowLastColumn="0"/>
              <w:rPr>
                <w:b/>
              </w:rPr>
            </w:pPr>
            <w:r w:rsidRPr="00035FEE">
              <w:t>--</w:t>
            </w:r>
          </w:p>
        </w:tc>
        <w:tc>
          <w:tcPr>
            <w:tcW w:w="280" w:type="dxa"/>
            <w:tcBorders>
              <w:top w:val="nil"/>
              <w:left w:val="nil"/>
              <w:bottom w:val="nil"/>
              <w:right w:val="nil"/>
            </w:tcBorders>
            <w:shd w:val="clear" w:color="auto" w:fill="auto"/>
            <w:vAlign w:val="center"/>
          </w:tcPr>
          <w:p w14:paraId="5BF9E9A1" w14:textId="77777777" w:rsidR="008B7E19" w:rsidRPr="009C6064" w:rsidRDefault="008B7E19" w:rsidP="008B7E19">
            <w:pPr>
              <w:pStyle w:val="08-Tabelageral"/>
              <w:ind w:left="113"/>
              <w:cnfStyle w:val="000000100000" w:firstRow="0" w:lastRow="0" w:firstColumn="0" w:lastColumn="0" w:oddVBand="0" w:evenVBand="0" w:oddHBand="1" w:evenHBand="0" w:firstRowFirstColumn="0" w:firstRowLastColumn="0" w:lastRowFirstColumn="0" w:lastRowLastColumn="0"/>
              <w:rPr>
                <w:b/>
              </w:rPr>
            </w:pPr>
          </w:p>
        </w:tc>
        <w:tc>
          <w:tcPr>
            <w:tcW w:w="1279" w:type="dxa"/>
            <w:tcBorders>
              <w:top w:val="nil"/>
              <w:left w:val="nil"/>
              <w:bottom w:val="nil"/>
              <w:right w:val="nil"/>
            </w:tcBorders>
            <w:shd w:val="clear" w:color="auto" w:fill="auto"/>
          </w:tcPr>
          <w:p w14:paraId="1D84AC5E" w14:textId="77777777" w:rsidR="008B7E19" w:rsidRPr="009C6064" w:rsidRDefault="008B7E19" w:rsidP="008B7E19">
            <w:pPr>
              <w:pStyle w:val="08-Tabelageral"/>
              <w:ind w:left="113"/>
              <w:cnfStyle w:val="000000100000" w:firstRow="0" w:lastRow="0" w:firstColumn="0" w:lastColumn="0" w:oddVBand="0" w:evenVBand="0" w:oddHBand="1" w:evenHBand="0" w:firstRowFirstColumn="0" w:firstRowLastColumn="0" w:lastRowFirstColumn="0" w:lastRowLastColumn="0"/>
              <w:rPr>
                <w:rFonts w:cs="Arial"/>
                <w:b/>
                <w:szCs w:val="14"/>
              </w:rPr>
            </w:pPr>
            <w:r w:rsidRPr="00CB726D">
              <w:t>55</w:t>
            </w:r>
            <w:r>
              <w:t>,</w:t>
            </w:r>
            <w:r w:rsidRPr="00CB726D">
              <w:t>094</w:t>
            </w:r>
          </w:p>
        </w:tc>
        <w:tc>
          <w:tcPr>
            <w:tcW w:w="1559" w:type="dxa"/>
            <w:tcBorders>
              <w:top w:val="nil"/>
              <w:left w:val="nil"/>
              <w:bottom w:val="nil"/>
              <w:right w:val="nil"/>
            </w:tcBorders>
            <w:shd w:val="clear" w:color="auto" w:fill="auto"/>
          </w:tcPr>
          <w:p w14:paraId="05D554B0" w14:textId="77777777" w:rsidR="008B7E19" w:rsidRPr="009C6064" w:rsidRDefault="008B7E19" w:rsidP="008B7E19">
            <w:pPr>
              <w:pStyle w:val="08-Tabelageral"/>
              <w:ind w:left="113"/>
              <w:cnfStyle w:val="000000100000" w:firstRow="0" w:lastRow="0" w:firstColumn="0" w:lastColumn="0" w:oddVBand="0" w:evenVBand="0" w:oddHBand="1" w:evenHBand="0" w:firstRowFirstColumn="0" w:firstRowLastColumn="0" w:lastRowFirstColumn="0" w:lastRowLastColumn="0"/>
              <w:rPr>
                <w:b/>
              </w:rPr>
            </w:pPr>
            <w:r w:rsidRPr="00CB726D">
              <w:t>49</w:t>
            </w:r>
            <w:r>
              <w:t>,</w:t>
            </w:r>
            <w:r w:rsidRPr="00CB726D">
              <w:t>139</w:t>
            </w:r>
          </w:p>
        </w:tc>
      </w:tr>
      <w:tr w:rsidR="008B7E19" w:rsidRPr="00BD450B" w14:paraId="260BDF5C" w14:textId="77777777" w:rsidTr="008B7E19">
        <w:trPr>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auto"/>
            <w:vAlign w:val="center"/>
          </w:tcPr>
          <w:p w14:paraId="06587B87" w14:textId="77777777" w:rsidR="008B7E19" w:rsidRPr="00BD450B" w:rsidRDefault="008B7E19" w:rsidP="008B7E19">
            <w:pPr>
              <w:pStyle w:val="08-Tabelageral"/>
              <w:ind w:left="113"/>
              <w:jc w:val="left"/>
              <w:rPr>
                <w:lang w:val="en-US"/>
              </w:rPr>
            </w:pPr>
            <w:r w:rsidRPr="00BD450B">
              <w:rPr>
                <w:lang w:val="en-US"/>
              </w:rPr>
              <w:t>Remuneration of third-party capital</w:t>
            </w:r>
          </w:p>
        </w:tc>
        <w:tc>
          <w:tcPr>
            <w:tcW w:w="709" w:type="dxa"/>
            <w:tcBorders>
              <w:top w:val="nil"/>
              <w:bottom w:val="nil"/>
            </w:tcBorders>
            <w:shd w:val="clear" w:color="auto" w:fill="auto"/>
            <w:vAlign w:val="center"/>
          </w:tcPr>
          <w:p w14:paraId="0B87907C" w14:textId="77777777" w:rsidR="008B7E19" w:rsidRPr="00BD450B" w:rsidRDefault="008B7E19" w:rsidP="008B7E19">
            <w:pPr>
              <w:pStyle w:val="08-Tabelageral"/>
              <w:ind w:left="113"/>
              <w:jc w:val="center"/>
              <w:cnfStyle w:val="000000000000" w:firstRow="0" w:lastRow="0" w:firstColumn="0" w:lastColumn="0" w:oddVBand="0" w:evenVBand="0" w:oddHBand="0" w:evenHBand="0" w:firstRowFirstColumn="0" w:firstRowLastColumn="0" w:lastRowFirstColumn="0" w:lastRowLastColumn="0"/>
              <w:rPr>
                <w:b/>
                <w:lang w:val="en-US"/>
              </w:rPr>
            </w:pPr>
          </w:p>
        </w:tc>
        <w:tc>
          <w:tcPr>
            <w:tcW w:w="1276" w:type="dxa"/>
            <w:tcBorders>
              <w:top w:val="nil"/>
              <w:left w:val="nil"/>
              <w:bottom w:val="nil"/>
              <w:right w:val="nil"/>
            </w:tcBorders>
            <w:shd w:val="clear" w:color="auto" w:fill="auto"/>
          </w:tcPr>
          <w:p w14:paraId="6ABE9F7D" w14:textId="77777777" w:rsidR="008B7E19" w:rsidRPr="00BD450B" w:rsidRDefault="008B7E19" w:rsidP="008B7E19">
            <w:pPr>
              <w:pStyle w:val="08-Tabelageral"/>
              <w:ind w:left="113"/>
              <w:cnfStyle w:val="000000000000" w:firstRow="0" w:lastRow="0" w:firstColumn="0" w:lastColumn="0" w:oddVBand="0" w:evenVBand="0" w:oddHBand="0" w:evenHBand="0" w:firstRowFirstColumn="0" w:firstRowLastColumn="0" w:lastRowFirstColumn="0" w:lastRowLastColumn="0"/>
              <w:rPr>
                <w:b/>
              </w:rPr>
            </w:pPr>
            <w:r w:rsidRPr="00BD450B">
              <w:rPr>
                <w:b/>
              </w:rPr>
              <w:t>80</w:t>
            </w:r>
            <w:r>
              <w:rPr>
                <w:b/>
              </w:rPr>
              <w:t>,</w:t>
            </w:r>
            <w:r w:rsidRPr="00BD450B">
              <w:rPr>
                <w:b/>
              </w:rPr>
              <w:t>913</w:t>
            </w:r>
          </w:p>
        </w:tc>
        <w:tc>
          <w:tcPr>
            <w:tcW w:w="1559" w:type="dxa"/>
            <w:tcBorders>
              <w:top w:val="nil"/>
              <w:left w:val="nil"/>
              <w:bottom w:val="nil"/>
              <w:right w:val="nil"/>
            </w:tcBorders>
            <w:shd w:val="clear" w:color="auto" w:fill="auto"/>
          </w:tcPr>
          <w:p w14:paraId="2DF97253" w14:textId="77777777" w:rsidR="008B7E19" w:rsidRPr="00BD450B" w:rsidRDefault="008B7E19" w:rsidP="008B7E19">
            <w:pPr>
              <w:pStyle w:val="08-Tabelageral"/>
              <w:ind w:left="113"/>
              <w:cnfStyle w:val="000000000000" w:firstRow="0" w:lastRow="0" w:firstColumn="0" w:lastColumn="0" w:oddVBand="0" w:evenVBand="0" w:oddHBand="0" w:evenHBand="0" w:firstRowFirstColumn="0" w:firstRowLastColumn="0" w:lastRowFirstColumn="0" w:lastRowLastColumn="0"/>
              <w:rPr>
                <w:b/>
              </w:rPr>
            </w:pPr>
            <w:r w:rsidRPr="00BD450B">
              <w:rPr>
                <w:b/>
              </w:rPr>
              <w:t>27</w:t>
            </w:r>
            <w:r>
              <w:rPr>
                <w:b/>
              </w:rPr>
              <w:t>,</w:t>
            </w:r>
            <w:r w:rsidRPr="00BD450B">
              <w:rPr>
                <w:b/>
              </w:rPr>
              <w:t>770</w:t>
            </w:r>
          </w:p>
        </w:tc>
        <w:tc>
          <w:tcPr>
            <w:tcW w:w="280" w:type="dxa"/>
            <w:tcBorders>
              <w:top w:val="nil"/>
              <w:left w:val="nil"/>
              <w:bottom w:val="nil"/>
              <w:right w:val="nil"/>
            </w:tcBorders>
            <w:shd w:val="clear" w:color="auto" w:fill="auto"/>
            <w:vAlign w:val="center"/>
          </w:tcPr>
          <w:p w14:paraId="55A3B3EA" w14:textId="77777777" w:rsidR="008B7E19" w:rsidRPr="00BD450B" w:rsidRDefault="008B7E19" w:rsidP="008B7E19">
            <w:pPr>
              <w:pStyle w:val="08-Tabelageral"/>
              <w:ind w:left="113"/>
              <w:cnfStyle w:val="000000000000" w:firstRow="0" w:lastRow="0" w:firstColumn="0" w:lastColumn="0" w:oddVBand="0" w:evenVBand="0" w:oddHBand="0" w:evenHBand="0" w:firstRowFirstColumn="0" w:firstRowLastColumn="0" w:lastRowFirstColumn="0" w:lastRowLastColumn="0"/>
              <w:rPr>
                <w:b/>
              </w:rPr>
            </w:pPr>
          </w:p>
        </w:tc>
        <w:tc>
          <w:tcPr>
            <w:tcW w:w="1279" w:type="dxa"/>
            <w:tcBorders>
              <w:top w:val="nil"/>
              <w:left w:val="nil"/>
              <w:bottom w:val="nil"/>
              <w:right w:val="nil"/>
            </w:tcBorders>
            <w:shd w:val="clear" w:color="auto" w:fill="auto"/>
          </w:tcPr>
          <w:p w14:paraId="043A0914" w14:textId="77777777" w:rsidR="008B7E19" w:rsidRPr="00BD450B" w:rsidRDefault="008B7E19" w:rsidP="008B7E19">
            <w:pPr>
              <w:pStyle w:val="08-Tabelageral"/>
              <w:ind w:left="113"/>
              <w:cnfStyle w:val="000000000000" w:firstRow="0" w:lastRow="0" w:firstColumn="0" w:lastColumn="0" w:oddVBand="0" w:evenVBand="0" w:oddHBand="0" w:evenHBand="0" w:firstRowFirstColumn="0" w:firstRowLastColumn="0" w:lastRowFirstColumn="0" w:lastRowLastColumn="0"/>
              <w:rPr>
                <w:b/>
              </w:rPr>
            </w:pPr>
            <w:r w:rsidRPr="00BD450B">
              <w:rPr>
                <w:b/>
              </w:rPr>
              <w:t>82</w:t>
            </w:r>
            <w:r>
              <w:rPr>
                <w:b/>
              </w:rPr>
              <w:t>,</w:t>
            </w:r>
            <w:r w:rsidRPr="00BD450B">
              <w:rPr>
                <w:b/>
              </w:rPr>
              <w:t>370</w:t>
            </w:r>
          </w:p>
        </w:tc>
        <w:tc>
          <w:tcPr>
            <w:tcW w:w="1559" w:type="dxa"/>
            <w:tcBorders>
              <w:top w:val="nil"/>
              <w:left w:val="nil"/>
              <w:bottom w:val="nil"/>
              <w:right w:val="nil"/>
            </w:tcBorders>
            <w:shd w:val="clear" w:color="auto" w:fill="auto"/>
          </w:tcPr>
          <w:p w14:paraId="417AFB6A" w14:textId="77777777" w:rsidR="008B7E19" w:rsidRPr="00BD450B" w:rsidRDefault="008B7E19" w:rsidP="008B7E19">
            <w:pPr>
              <w:pStyle w:val="08-Tabelageral"/>
              <w:ind w:left="113"/>
              <w:cnfStyle w:val="000000000000" w:firstRow="0" w:lastRow="0" w:firstColumn="0" w:lastColumn="0" w:oddVBand="0" w:evenVBand="0" w:oddHBand="0" w:evenHBand="0" w:firstRowFirstColumn="0" w:firstRowLastColumn="0" w:lastRowFirstColumn="0" w:lastRowLastColumn="0"/>
              <w:rPr>
                <w:b/>
              </w:rPr>
            </w:pPr>
            <w:r w:rsidRPr="00BD450B">
              <w:rPr>
                <w:b/>
              </w:rPr>
              <w:t>30</w:t>
            </w:r>
            <w:r>
              <w:rPr>
                <w:b/>
              </w:rPr>
              <w:t>,</w:t>
            </w:r>
            <w:r w:rsidRPr="00BD450B">
              <w:rPr>
                <w:b/>
              </w:rPr>
              <w:t>425</w:t>
            </w:r>
          </w:p>
        </w:tc>
      </w:tr>
      <w:tr w:rsidR="008B7E19" w:rsidRPr="009C6064" w14:paraId="4C4A8FF2"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auto"/>
            <w:vAlign w:val="center"/>
          </w:tcPr>
          <w:p w14:paraId="30849BB3" w14:textId="77777777" w:rsidR="008B7E19" w:rsidRDefault="008B7E19" w:rsidP="008B7E19">
            <w:pPr>
              <w:pStyle w:val="08-Tabelageral"/>
              <w:ind w:left="176"/>
              <w:jc w:val="left"/>
              <w:rPr>
                <w:b w:val="0"/>
              </w:rPr>
            </w:pPr>
            <w:r w:rsidRPr="0001687E">
              <w:rPr>
                <w:b w:val="0"/>
              </w:rPr>
              <w:t>Interest</w:t>
            </w:r>
          </w:p>
        </w:tc>
        <w:tc>
          <w:tcPr>
            <w:tcW w:w="709" w:type="dxa"/>
            <w:tcBorders>
              <w:top w:val="nil"/>
              <w:bottom w:val="nil"/>
            </w:tcBorders>
            <w:shd w:val="clear" w:color="auto" w:fill="auto"/>
            <w:vAlign w:val="center"/>
          </w:tcPr>
          <w:p w14:paraId="6A55DC3F" w14:textId="77777777" w:rsidR="008B7E19" w:rsidRPr="00DE24BE" w:rsidRDefault="008B7E19" w:rsidP="008B7E19">
            <w:pPr>
              <w:pStyle w:val="08-Tabelageral"/>
              <w:ind w:left="94"/>
              <w:jc w:val="center"/>
              <w:cnfStyle w:val="000000100000" w:firstRow="0" w:lastRow="0" w:firstColumn="0" w:lastColumn="0" w:oddVBand="0" w:evenVBand="0" w:oddHBand="1" w:evenHBand="0" w:firstRowFirstColumn="0" w:firstRowLastColumn="0" w:lastRowFirstColumn="0" w:lastRowLastColumn="0"/>
            </w:pPr>
            <w:r w:rsidRPr="00DE24BE">
              <w:t>[14]</w:t>
            </w:r>
          </w:p>
        </w:tc>
        <w:tc>
          <w:tcPr>
            <w:tcW w:w="1276" w:type="dxa"/>
            <w:tcBorders>
              <w:top w:val="nil"/>
              <w:left w:val="nil"/>
              <w:bottom w:val="nil"/>
              <w:right w:val="nil"/>
            </w:tcBorders>
            <w:shd w:val="clear" w:color="auto" w:fill="auto"/>
          </w:tcPr>
          <w:p w14:paraId="7AEF3BE4" w14:textId="77777777" w:rsidR="008B7E19" w:rsidRPr="009C6064" w:rsidRDefault="008B7E19" w:rsidP="008B7E19">
            <w:pPr>
              <w:pStyle w:val="08-Tabelageral"/>
              <w:ind w:left="113"/>
              <w:cnfStyle w:val="000000100000" w:firstRow="0" w:lastRow="0" w:firstColumn="0" w:lastColumn="0" w:oddVBand="0" w:evenVBand="0" w:oddHBand="1" w:evenHBand="0" w:firstRowFirstColumn="0" w:firstRowLastColumn="0" w:lastRowFirstColumn="0" w:lastRowLastColumn="0"/>
              <w:rPr>
                <w:rFonts w:cs="Arial"/>
                <w:b/>
                <w:szCs w:val="14"/>
              </w:rPr>
            </w:pPr>
            <w:r w:rsidRPr="00035FEE">
              <w:t>80</w:t>
            </w:r>
            <w:r>
              <w:t>,</w:t>
            </w:r>
            <w:r w:rsidRPr="00035FEE">
              <w:t>547</w:t>
            </w:r>
          </w:p>
        </w:tc>
        <w:tc>
          <w:tcPr>
            <w:tcW w:w="1559" w:type="dxa"/>
            <w:tcBorders>
              <w:top w:val="nil"/>
              <w:left w:val="nil"/>
              <w:bottom w:val="nil"/>
              <w:right w:val="nil"/>
            </w:tcBorders>
            <w:shd w:val="clear" w:color="auto" w:fill="auto"/>
          </w:tcPr>
          <w:p w14:paraId="46D9A652" w14:textId="77777777" w:rsidR="008B7E19" w:rsidRPr="009C6064" w:rsidRDefault="008B7E19" w:rsidP="008B7E19">
            <w:pPr>
              <w:pStyle w:val="08-Tabelageral"/>
              <w:ind w:left="113"/>
              <w:cnfStyle w:val="000000100000" w:firstRow="0" w:lastRow="0" w:firstColumn="0" w:lastColumn="0" w:oddVBand="0" w:evenVBand="0" w:oddHBand="1" w:evenHBand="0" w:firstRowFirstColumn="0" w:firstRowLastColumn="0" w:lastRowFirstColumn="0" w:lastRowLastColumn="0"/>
              <w:rPr>
                <w:b/>
              </w:rPr>
            </w:pPr>
            <w:r w:rsidRPr="00035FEE">
              <w:t>27</w:t>
            </w:r>
            <w:r>
              <w:t>,</w:t>
            </w:r>
            <w:r w:rsidRPr="00035FEE">
              <w:t>357</w:t>
            </w:r>
          </w:p>
        </w:tc>
        <w:tc>
          <w:tcPr>
            <w:tcW w:w="280" w:type="dxa"/>
            <w:tcBorders>
              <w:top w:val="nil"/>
              <w:left w:val="nil"/>
              <w:bottom w:val="nil"/>
              <w:right w:val="nil"/>
            </w:tcBorders>
            <w:shd w:val="clear" w:color="auto" w:fill="auto"/>
            <w:vAlign w:val="center"/>
          </w:tcPr>
          <w:p w14:paraId="26CE6172" w14:textId="77777777" w:rsidR="008B7E19" w:rsidRPr="009C6064" w:rsidRDefault="008B7E19" w:rsidP="008B7E19">
            <w:pPr>
              <w:pStyle w:val="08-Tabelageral"/>
              <w:ind w:left="113"/>
              <w:cnfStyle w:val="000000100000" w:firstRow="0" w:lastRow="0" w:firstColumn="0" w:lastColumn="0" w:oddVBand="0" w:evenVBand="0" w:oddHBand="1" w:evenHBand="0" w:firstRowFirstColumn="0" w:firstRowLastColumn="0" w:lastRowFirstColumn="0" w:lastRowLastColumn="0"/>
              <w:rPr>
                <w:b/>
              </w:rPr>
            </w:pPr>
          </w:p>
        </w:tc>
        <w:tc>
          <w:tcPr>
            <w:tcW w:w="1279" w:type="dxa"/>
            <w:tcBorders>
              <w:top w:val="nil"/>
              <w:left w:val="nil"/>
              <w:bottom w:val="nil"/>
              <w:right w:val="nil"/>
            </w:tcBorders>
            <w:shd w:val="clear" w:color="auto" w:fill="auto"/>
          </w:tcPr>
          <w:p w14:paraId="567D1B18" w14:textId="77777777" w:rsidR="008B7E19" w:rsidRPr="009C6064" w:rsidRDefault="008B7E19" w:rsidP="008B7E19">
            <w:pPr>
              <w:pStyle w:val="08-Tabelageral"/>
              <w:ind w:left="113"/>
              <w:cnfStyle w:val="000000100000" w:firstRow="0" w:lastRow="0" w:firstColumn="0" w:lastColumn="0" w:oddVBand="0" w:evenVBand="0" w:oddHBand="1" w:evenHBand="0" w:firstRowFirstColumn="0" w:firstRowLastColumn="0" w:lastRowFirstColumn="0" w:lastRowLastColumn="0"/>
              <w:rPr>
                <w:rFonts w:cs="Arial"/>
                <w:b/>
                <w:szCs w:val="14"/>
              </w:rPr>
            </w:pPr>
            <w:r w:rsidRPr="00CB726D">
              <w:t>80</w:t>
            </w:r>
            <w:r>
              <w:t>,</w:t>
            </w:r>
            <w:r w:rsidRPr="00CB726D">
              <w:t>728</w:t>
            </w:r>
          </w:p>
        </w:tc>
        <w:tc>
          <w:tcPr>
            <w:tcW w:w="1559" w:type="dxa"/>
            <w:tcBorders>
              <w:top w:val="nil"/>
              <w:left w:val="nil"/>
              <w:bottom w:val="nil"/>
              <w:right w:val="nil"/>
            </w:tcBorders>
            <w:shd w:val="clear" w:color="auto" w:fill="auto"/>
          </w:tcPr>
          <w:p w14:paraId="188548E7" w14:textId="77777777" w:rsidR="008B7E19" w:rsidRPr="009C6064" w:rsidRDefault="008B7E19" w:rsidP="008B7E19">
            <w:pPr>
              <w:pStyle w:val="08-Tabelageral"/>
              <w:ind w:left="113"/>
              <w:cnfStyle w:val="000000100000" w:firstRow="0" w:lastRow="0" w:firstColumn="0" w:lastColumn="0" w:oddVBand="0" w:evenVBand="0" w:oddHBand="1" w:evenHBand="0" w:firstRowFirstColumn="0" w:firstRowLastColumn="0" w:lastRowFirstColumn="0" w:lastRowLastColumn="0"/>
              <w:rPr>
                <w:b/>
              </w:rPr>
            </w:pPr>
            <w:r w:rsidRPr="00CB726D">
              <w:t>28</w:t>
            </w:r>
            <w:r>
              <w:t>,</w:t>
            </w:r>
            <w:r w:rsidRPr="00CB726D">
              <w:t>638</w:t>
            </w:r>
          </w:p>
        </w:tc>
      </w:tr>
      <w:tr w:rsidR="008B7E19" w:rsidRPr="009C6064" w14:paraId="5DB8D5C1" w14:textId="77777777" w:rsidTr="008B7E19">
        <w:trPr>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auto"/>
            <w:vAlign w:val="center"/>
          </w:tcPr>
          <w:p w14:paraId="6381226F" w14:textId="77777777" w:rsidR="008B7E19" w:rsidRPr="009C6064" w:rsidRDefault="008B7E19" w:rsidP="008B7E19">
            <w:pPr>
              <w:pStyle w:val="08-Tabelageral"/>
              <w:ind w:left="176"/>
              <w:jc w:val="left"/>
              <w:rPr>
                <w:b w:val="0"/>
              </w:rPr>
            </w:pPr>
            <w:r w:rsidRPr="007305B1">
              <w:rPr>
                <w:rStyle w:val="rynqvb"/>
                <w:b w:val="0"/>
                <w:lang w:val="en"/>
              </w:rPr>
              <w:t>Rents</w:t>
            </w:r>
          </w:p>
        </w:tc>
        <w:tc>
          <w:tcPr>
            <w:tcW w:w="709" w:type="dxa"/>
            <w:tcBorders>
              <w:top w:val="nil"/>
              <w:bottom w:val="nil"/>
            </w:tcBorders>
            <w:shd w:val="clear" w:color="auto" w:fill="auto"/>
            <w:vAlign w:val="center"/>
          </w:tcPr>
          <w:p w14:paraId="6C12EF43" w14:textId="77777777" w:rsidR="008B7E19" w:rsidRPr="009C6064" w:rsidRDefault="008B7E19" w:rsidP="008B7E19">
            <w:pPr>
              <w:pStyle w:val="08-Tabelageral"/>
              <w:ind w:left="113"/>
              <w:jc w:val="center"/>
              <w:cnfStyle w:val="000000000000" w:firstRow="0" w:lastRow="0" w:firstColumn="0" w:lastColumn="0" w:oddVBand="0" w:evenVBand="0" w:oddHBand="0" w:evenHBand="0" w:firstRowFirstColumn="0" w:firstRowLastColumn="0" w:lastRowFirstColumn="0" w:lastRowLastColumn="0"/>
              <w:rPr>
                <w:b/>
              </w:rPr>
            </w:pPr>
          </w:p>
        </w:tc>
        <w:tc>
          <w:tcPr>
            <w:tcW w:w="1276" w:type="dxa"/>
            <w:tcBorders>
              <w:top w:val="nil"/>
              <w:left w:val="nil"/>
              <w:bottom w:val="nil"/>
              <w:right w:val="nil"/>
            </w:tcBorders>
            <w:shd w:val="clear" w:color="auto" w:fill="auto"/>
          </w:tcPr>
          <w:p w14:paraId="2D71CF9B" w14:textId="77777777" w:rsidR="008B7E19" w:rsidRPr="009C6064" w:rsidRDefault="008B7E19" w:rsidP="008B7E19">
            <w:pPr>
              <w:pStyle w:val="08-Tabelageral"/>
              <w:ind w:left="113"/>
              <w:cnfStyle w:val="000000000000" w:firstRow="0" w:lastRow="0" w:firstColumn="0" w:lastColumn="0" w:oddVBand="0" w:evenVBand="0" w:oddHBand="0" w:evenHBand="0" w:firstRowFirstColumn="0" w:firstRowLastColumn="0" w:lastRowFirstColumn="0" w:lastRowLastColumn="0"/>
              <w:rPr>
                <w:rFonts w:cs="Arial"/>
                <w:b/>
                <w:szCs w:val="14"/>
              </w:rPr>
            </w:pPr>
            <w:r w:rsidRPr="00035FEE">
              <w:t>366</w:t>
            </w:r>
          </w:p>
        </w:tc>
        <w:tc>
          <w:tcPr>
            <w:tcW w:w="1559" w:type="dxa"/>
            <w:tcBorders>
              <w:top w:val="nil"/>
              <w:left w:val="nil"/>
              <w:bottom w:val="nil"/>
              <w:right w:val="nil"/>
            </w:tcBorders>
            <w:shd w:val="clear" w:color="auto" w:fill="auto"/>
          </w:tcPr>
          <w:p w14:paraId="0236474D" w14:textId="77777777" w:rsidR="008B7E19" w:rsidRPr="009C6064" w:rsidRDefault="008B7E19" w:rsidP="008B7E19">
            <w:pPr>
              <w:pStyle w:val="08-Tabelageral"/>
              <w:ind w:left="113"/>
              <w:cnfStyle w:val="000000000000" w:firstRow="0" w:lastRow="0" w:firstColumn="0" w:lastColumn="0" w:oddVBand="0" w:evenVBand="0" w:oddHBand="0" w:evenHBand="0" w:firstRowFirstColumn="0" w:firstRowLastColumn="0" w:lastRowFirstColumn="0" w:lastRowLastColumn="0"/>
              <w:rPr>
                <w:b/>
              </w:rPr>
            </w:pPr>
            <w:r w:rsidRPr="00035FEE">
              <w:t>413</w:t>
            </w:r>
          </w:p>
        </w:tc>
        <w:tc>
          <w:tcPr>
            <w:tcW w:w="280" w:type="dxa"/>
            <w:tcBorders>
              <w:top w:val="nil"/>
              <w:left w:val="nil"/>
              <w:bottom w:val="nil"/>
              <w:right w:val="nil"/>
            </w:tcBorders>
            <w:shd w:val="clear" w:color="auto" w:fill="auto"/>
            <w:vAlign w:val="center"/>
          </w:tcPr>
          <w:p w14:paraId="775A0E37" w14:textId="77777777" w:rsidR="008B7E19" w:rsidRPr="009C6064" w:rsidRDefault="008B7E19" w:rsidP="008B7E19">
            <w:pPr>
              <w:pStyle w:val="08-Tabelageral"/>
              <w:ind w:left="113"/>
              <w:cnfStyle w:val="000000000000" w:firstRow="0" w:lastRow="0" w:firstColumn="0" w:lastColumn="0" w:oddVBand="0" w:evenVBand="0" w:oddHBand="0" w:evenHBand="0" w:firstRowFirstColumn="0" w:firstRowLastColumn="0" w:lastRowFirstColumn="0" w:lastRowLastColumn="0"/>
              <w:rPr>
                <w:b/>
              </w:rPr>
            </w:pPr>
          </w:p>
        </w:tc>
        <w:tc>
          <w:tcPr>
            <w:tcW w:w="1279" w:type="dxa"/>
            <w:tcBorders>
              <w:top w:val="nil"/>
              <w:left w:val="nil"/>
              <w:bottom w:val="nil"/>
              <w:right w:val="nil"/>
            </w:tcBorders>
            <w:shd w:val="clear" w:color="auto" w:fill="auto"/>
          </w:tcPr>
          <w:p w14:paraId="54E04B7E" w14:textId="77777777" w:rsidR="008B7E19" w:rsidRPr="009C6064" w:rsidRDefault="008B7E19" w:rsidP="008B7E19">
            <w:pPr>
              <w:pStyle w:val="08-Tabelageral"/>
              <w:ind w:left="113"/>
              <w:cnfStyle w:val="000000000000" w:firstRow="0" w:lastRow="0" w:firstColumn="0" w:lastColumn="0" w:oddVBand="0" w:evenVBand="0" w:oddHBand="0" w:evenHBand="0" w:firstRowFirstColumn="0" w:firstRowLastColumn="0" w:lastRowFirstColumn="0" w:lastRowLastColumn="0"/>
              <w:rPr>
                <w:rFonts w:cs="Arial"/>
                <w:b/>
                <w:szCs w:val="14"/>
              </w:rPr>
            </w:pPr>
            <w:r w:rsidRPr="00CB726D">
              <w:t>1</w:t>
            </w:r>
            <w:r>
              <w:t>,</w:t>
            </w:r>
            <w:r w:rsidRPr="00CB726D">
              <w:t>642</w:t>
            </w:r>
          </w:p>
        </w:tc>
        <w:tc>
          <w:tcPr>
            <w:tcW w:w="1559" w:type="dxa"/>
            <w:tcBorders>
              <w:top w:val="nil"/>
              <w:left w:val="nil"/>
              <w:bottom w:val="nil"/>
              <w:right w:val="nil"/>
            </w:tcBorders>
            <w:shd w:val="clear" w:color="auto" w:fill="auto"/>
          </w:tcPr>
          <w:p w14:paraId="3BBD06C0" w14:textId="77777777" w:rsidR="008B7E19" w:rsidRPr="009C6064" w:rsidRDefault="008B7E19" w:rsidP="008B7E19">
            <w:pPr>
              <w:pStyle w:val="08-Tabelageral"/>
              <w:ind w:left="113"/>
              <w:cnfStyle w:val="000000000000" w:firstRow="0" w:lastRow="0" w:firstColumn="0" w:lastColumn="0" w:oddVBand="0" w:evenVBand="0" w:oddHBand="0" w:evenHBand="0" w:firstRowFirstColumn="0" w:firstRowLastColumn="0" w:lastRowFirstColumn="0" w:lastRowLastColumn="0"/>
              <w:rPr>
                <w:b/>
              </w:rPr>
            </w:pPr>
            <w:r w:rsidRPr="00CB726D">
              <w:t>1</w:t>
            </w:r>
            <w:r>
              <w:t>,</w:t>
            </w:r>
            <w:r w:rsidRPr="00CB726D">
              <w:t>787</w:t>
            </w:r>
          </w:p>
        </w:tc>
      </w:tr>
      <w:tr w:rsidR="008B7E19" w:rsidRPr="00BD450B" w14:paraId="5D0EBA3E"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auto"/>
            <w:vAlign w:val="center"/>
          </w:tcPr>
          <w:p w14:paraId="16ED3D6F" w14:textId="77777777" w:rsidR="008B7E19" w:rsidRPr="00BD450B" w:rsidRDefault="008B7E19" w:rsidP="008B7E19">
            <w:pPr>
              <w:pStyle w:val="08-Tabelageral"/>
              <w:ind w:left="113"/>
              <w:jc w:val="left"/>
            </w:pPr>
            <w:r w:rsidRPr="00BD450B">
              <w:t>Equity remuneration</w:t>
            </w:r>
          </w:p>
        </w:tc>
        <w:tc>
          <w:tcPr>
            <w:tcW w:w="709" w:type="dxa"/>
            <w:tcBorders>
              <w:top w:val="nil"/>
              <w:bottom w:val="nil"/>
            </w:tcBorders>
            <w:shd w:val="clear" w:color="auto" w:fill="auto"/>
            <w:vAlign w:val="center"/>
          </w:tcPr>
          <w:p w14:paraId="265A8984" w14:textId="77777777" w:rsidR="008B7E19" w:rsidRPr="00BD450B" w:rsidRDefault="008B7E19" w:rsidP="008B7E19">
            <w:pPr>
              <w:pStyle w:val="08-Tabelageral"/>
              <w:ind w:left="113"/>
              <w:jc w:val="center"/>
              <w:cnfStyle w:val="000000100000" w:firstRow="0" w:lastRow="0" w:firstColumn="0" w:lastColumn="0" w:oddVBand="0" w:evenVBand="0" w:oddHBand="1" w:evenHBand="0" w:firstRowFirstColumn="0" w:firstRowLastColumn="0" w:lastRowFirstColumn="0" w:lastRowLastColumn="0"/>
              <w:rPr>
                <w:b/>
              </w:rPr>
            </w:pPr>
          </w:p>
        </w:tc>
        <w:tc>
          <w:tcPr>
            <w:tcW w:w="1276" w:type="dxa"/>
            <w:tcBorders>
              <w:top w:val="nil"/>
              <w:left w:val="nil"/>
              <w:bottom w:val="nil"/>
              <w:right w:val="nil"/>
            </w:tcBorders>
            <w:shd w:val="clear" w:color="auto" w:fill="auto"/>
          </w:tcPr>
          <w:p w14:paraId="7A5A5DA6" w14:textId="77777777" w:rsidR="008B7E19" w:rsidRPr="00BD450B" w:rsidRDefault="008B7E19" w:rsidP="008B7E19">
            <w:pPr>
              <w:pStyle w:val="08-Tabelageral"/>
              <w:ind w:left="113"/>
              <w:cnfStyle w:val="000000100000" w:firstRow="0" w:lastRow="0" w:firstColumn="0" w:lastColumn="0" w:oddVBand="0" w:evenVBand="0" w:oddHBand="1" w:evenHBand="0" w:firstRowFirstColumn="0" w:firstRowLastColumn="0" w:lastRowFirstColumn="0" w:lastRowLastColumn="0"/>
              <w:rPr>
                <w:b/>
              </w:rPr>
            </w:pPr>
            <w:r w:rsidRPr="00BD450B">
              <w:rPr>
                <w:b/>
              </w:rPr>
              <w:t>3</w:t>
            </w:r>
            <w:r>
              <w:rPr>
                <w:b/>
              </w:rPr>
              <w:t>,</w:t>
            </w:r>
            <w:r w:rsidRPr="00BD450B">
              <w:rPr>
                <w:b/>
              </w:rPr>
              <w:t>725</w:t>
            </w:r>
            <w:r>
              <w:rPr>
                <w:b/>
              </w:rPr>
              <w:t>,</w:t>
            </w:r>
            <w:r w:rsidRPr="00BD450B">
              <w:rPr>
                <w:b/>
              </w:rPr>
              <w:t>132</w:t>
            </w:r>
          </w:p>
        </w:tc>
        <w:tc>
          <w:tcPr>
            <w:tcW w:w="1559" w:type="dxa"/>
            <w:tcBorders>
              <w:top w:val="nil"/>
              <w:left w:val="nil"/>
              <w:bottom w:val="nil"/>
              <w:right w:val="nil"/>
            </w:tcBorders>
            <w:shd w:val="clear" w:color="auto" w:fill="auto"/>
          </w:tcPr>
          <w:p w14:paraId="77C79B31" w14:textId="77777777" w:rsidR="008B7E19" w:rsidRPr="00BD450B" w:rsidRDefault="008B7E19" w:rsidP="008B7E19">
            <w:pPr>
              <w:pStyle w:val="08-Tabelageral"/>
              <w:ind w:left="113"/>
              <w:cnfStyle w:val="000000100000" w:firstRow="0" w:lastRow="0" w:firstColumn="0" w:lastColumn="0" w:oddVBand="0" w:evenVBand="0" w:oddHBand="1" w:evenHBand="0" w:firstRowFirstColumn="0" w:firstRowLastColumn="0" w:lastRowFirstColumn="0" w:lastRowLastColumn="0"/>
              <w:rPr>
                <w:b/>
              </w:rPr>
            </w:pPr>
            <w:r w:rsidRPr="00BD450B">
              <w:rPr>
                <w:b/>
              </w:rPr>
              <w:t>2</w:t>
            </w:r>
            <w:r>
              <w:rPr>
                <w:b/>
              </w:rPr>
              <w:t>,</w:t>
            </w:r>
            <w:r w:rsidRPr="00BD450B">
              <w:rPr>
                <w:b/>
              </w:rPr>
              <w:t>713</w:t>
            </w:r>
            <w:r>
              <w:rPr>
                <w:b/>
              </w:rPr>
              <w:t>,</w:t>
            </w:r>
            <w:r w:rsidRPr="00BD450B">
              <w:rPr>
                <w:b/>
              </w:rPr>
              <w:t>244</w:t>
            </w:r>
          </w:p>
        </w:tc>
        <w:tc>
          <w:tcPr>
            <w:tcW w:w="280" w:type="dxa"/>
            <w:tcBorders>
              <w:top w:val="nil"/>
              <w:left w:val="nil"/>
              <w:bottom w:val="nil"/>
              <w:right w:val="nil"/>
            </w:tcBorders>
            <w:shd w:val="clear" w:color="auto" w:fill="auto"/>
            <w:vAlign w:val="center"/>
          </w:tcPr>
          <w:p w14:paraId="3F99AA9A" w14:textId="77777777" w:rsidR="008B7E19" w:rsidRPr="00BD450B" w:rsidRDefault="008B7E19" w:rsidP="008B7E19">
            <w:pPr>
              <w:pStyle w:val="08-Tabelageral"/>
              <w:ind w:left="113"/>
              <w:cnfStyle w:val="000000100000" w:firstRow="0" w:lastRow="0" w:firstColumn="0" w:lastColumn="0" w:oddVBand="0" w:evenVBand="0" w:oddHBand="1" w:evenHBand="0" w:firstRowFirstColumn="0" w:firstRowLastColumn="0" w:lastRowFirstColumn="0" w:lastRowLastColumn="0"/>
              <w:rPr>
                <w:b/>
              </w:rPr>
            </w:pPr>
          </w:p>
        </w:tc>
        <w:tc>
          <w:tcPr>
            <w:tcW w:w="1279" w:type="dxa"/>
            <w:tcBorders>
              <w:top w:val="nil"/>
              <w:left w:val="nil"/>
              <w:bottom w:val="nil"/>
              <w:right w:val="nil"/>
            </w:tcBorders>
            <w:shd w:val="clear" w:color="auto" w:fill="auto"/>
          </w:tcPr>
          <w:p w14:paraId="05329CE8" w14:textId="77777777" w:rsidR="008B7E19" w:rsidRPr="00BD450B" w:rsidRDefault="008B7E19" w:rsidP="008B7E19">
            <w:pPr>
              <w:pStyle w:val="08-Tabelageral"/>
              <w:ind w:left="113"/>
              <w:cnfStyle w:val="000000100000" w:firstRow="0" w:lastRow="0" w:firstColumn="0" w:lastColumn="0" w:oddVBand="0" w:evenVBand="0" w:oddHBand="1" w:evenHBand="0" w:firstRowFirstColumn="0" w:firstRowLastColumn="0" w:lastRowFirstColumn="0" w:lastRowLastColumn="0"/>
              <w:rPr>
                <w:b/>
              </w:rPr>
            </w:pPr>
            <w:r w:rsidRPr="00BD450B">
              <w:rPr>
                <w:b/>
              </w:rPr>
              <w:t>3</w:t>
            </w:r>
            <w:r>
              <w:rPr>
                <w:b/>
              </w:rPr>
              <w:t>,</w:t>
            </w:r>
            <w:r w:rsidRPr="00BD450B">
              <w:rPr>
                <w:b/>
              </w:rPr>
              <w:t>725</w:t>
            </w:r>
            <w:r>
              <w:rPr>
                <w:b/>
              </w:rPr>
              <w:t>,</w:t>
            </w:r>
            <w:r w:rsidRPr="00BD450B">
              <w:rPr>
                <w:b/>
              </w:rPr>
              <w:t>132</w:t>
            </w:r>
          </w:p>
        </w:tc>
        <w:tc>
          <w:tcPr>
            <w:tcW w:w="1559" w:type="dxa"/>
            <w:tcBorders>
              <w:top w:val="nil"/>
              <w:left w:val="nil"/>
              <w:bottom w:val="nil"/>
              <w:right w:val="nil"/>
            </w:tcBorders>
            <w:shd w:val="clear" w:color="auto" w:fill="auto"/>
          </w:tcPr>
          <w:p w14:paraId="01BA2449" w14:textId="77777777" w:rsidR="008B7E19" w:rsidRPr="00BD450B" w:rsidRDefault="008B7E19" w:rsidP="008B7E19">
            <w:pPr>
              <w:pStyle w:val="08-Tabelageral"/>
              <w:ind w:left="113"/>
              <w:cnfStyle w:val="000000100000" w:firstRow="0" w:lastRow="0" w:firstColumn="0" w:lastColumn="0" w:oddVBand="0" w:evenVBand="0" w:oddHBand="1" w:evenHBand="0" w:firstRowFirstColumn="0" w:firstRowLastColumn="0" w:lastRowFirstColumn="0" w:lastRowLastColumn="0"/>
              <w:rPr>
                <w:b/>
              </w:rPr>
            </w:pPr>
            <w:r w:rsidRPr="00BD450B">
              <w:rPr>
                <w:b/>
              </w:rPr>
              <w:t>2</w:t>
            </w:r>
            <w:r>
              <w:rPr>
                <w:b/>
              </w:rPr>
              <w:t>,</w:t>
            </w:r>
            <w:r w:rsidRPr="00BD450B">
              <w:rPr>
                <w:b/>
              </w:rPr>
              <w:t>713</w:t>
            </w:r>
            <w:r>
              <w:rPr>
                <w:b/>
              </w:rPr>
              <w:t>,</w:t>
            </w:r>
            <w:r w:rsidRPr="00BD450B">
              <w:rPr>
                <w:b/>
              </w:rPr>
              <w:t>244</w:t>
            </w:r>
          </w:p>
        </w:tc>
      </w:tr>
      <w:tr w:rsidR="008B7E19" w:rsidRPr="00D7227A" w14:paraId="3398D885" w14:textId="77777777" w:rsidTr="008B7E19">
        <w:trPr>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auto"/>
            <w:vAlign w:val="center"/>
          </w:tcPr>
          <w:p w14:paraId="190BBF6F" w14:textId="77777777" w:rsidR="008B7E19" w:rsidRPr="00D7227A" w:rsidRDefault="008B7E19" w:rsidP="008B7E19">
            <w:pPr>
              <w:pStyle w:val="08-Tabelageral"/>
              <w:ind w:left="176"/>
              <w:jc w:val="left"/>
            </w:pPr>
            <w:r w:rsidRPr="00BD450B">
              <w:rPr>
                <w:b w:val="0"/>
              </w:rPr>
              <w:t>Dividends</w:t>
            </w:r>
          </w:p>
        </w:tc>
        <w:tc>
          <w:tcPr>
            <w:tcW w:w="709" w:type="dxa"/>
            <w:tcBorders>
              <w:top w:val="nil"/>
              <w:bottom w:val="nil"/>
            </w:tcBorders>
            <w:shd w:val="clear" w:color="auto" w:fill="auto"/>
            <w:vAlign w:val="center"/>
          </w:tcPr>
          <w:p w14:paraId="72BBC6CF" w14:textId="77777777" w:rsidR="008B7E19" w:rsidRPr="00D7227A" w:rsidRDefault="008B7E19" w:rsidP="008B7E19">
            <w:pPr>
              <w:pStyle w:val="08-Tabelageral"/>
              <w:ind w:left="113"/>
              <w:jc w:val="center"/>
              <w:cnfStyle w:val="000000000000" w:firstRow="0" w:lastRow="0" w:firstColumn="0" w:lastColumn="0" w:oddVBand="0" w:evenVBand="0" w:oddHBand="0" w:evenHBand="0" w:firstRowFirstColumn="0" w:firstRowLastColumn="0" w:lastRowFirstColumn="0" w:lastRowLastColumn="0"/>
              <w:rPr>
                <w:b/>
              </w:rPr>
            </w:pPr>
          </w:p>
        </w:tc>
        <w:tc>
          <w:tcPr>
            <w:tcW w:w="1276" w:type="dxa"/>
            <w:tcBorders>
              <w:top w:val="nil"/>
              <w:left w:val="nil"/>
              <w:bottom w:val="nil"/>
              <w:right w:val="nil"/>
            </w:tcBorders>
            <w:shd w:val="clear" w:color="auto" w:fill="auto"/>
          </w:tcPr>
          <w:p w14:paraId="28C6E9F6" w14:textId="77777777" w:rsidR="008B7E19" w:rsidRPr="00D7227A" w:rsidRDefault="008B7E19" w:rsidP="008B7E19">
            <w:pPr>
              <w:pStyle w:val="08-Tabelageral"/>
              <w:ind w:left="113"/>
              <w:cnfStyle w:val="000000000000" w:firstRow="0" w:lastRow="0" w:firstColumn="0" w:lastColumn="0" w:oddVBand="0" w:evenVBand="0" w:oddHBand="0" w:evenHBand="0" w:firstRowFirstColumn="0" w:firstRowLastColumn="0" w:lastRowFirstColumn="0" w:lastRowLastColumn="0"/>
              <w:rPr>
                <w:rFonts w:cs="Arial"/>
                <w:b/>
                <w:szCs w:val="14"/>
                <w:lang w:eastAsia="en-US"/>
              </w:rPr>
            </w:pPr>
            <w:r w:rsidRPr="00035FEE">
              <w:t>3</w:t>
            </w:r>
            <w:r>
              <w:t>,</w:t>
            </w:r>
            <w:r w:rsidRPr="00035FEE">
              <w:t>210</w:t>
            </w:r>
            <w:r>
              <w:t>,</w:t>
            </w:r>
            <w:r w:rsidRPr="00035FEE">
              <w:t>000</w:t>
            </w:r>
          </w:p>
        </w:tc>
        <w:tc>
          <w:tcPr>
            <w:tcW w:w="1559" w:type="dxa"/>
            <w:tcBorders>
              <w:top w:val="nil"/>
              <w:left w:val="nil"/>
              <w:bottom w:val="nil"/>
              <w:right w:val="nil"/>
            </w:tcBorders>
            <w:shd w:val="clear" w:color="auto" w:fill="auto"/>
          </w:tcPr>
          <w:p w14:paraId="720A5875" w14:textId="77777777" w:rsidR="008B7E19" w:rsidRPr="00D7227A" w:rsidRDefault="008B7E19" w:rsidP="008B7E19">
            <w:pPr>
              <w:pStyle w:val="08-Tabelageral"/>
              <w:ind w:left="113"/>
              <w:cnfStyle w:val="000000000000" w:firstRow="0" w:lastRow="0" w:firstColumn="0" w:lastColumn="0" w:oddVBand="0" w:evenVBand="0" w:oddHBand="0" w:evenHBand="0" w:firstRowFirstColumn="0" w:firstRowLastColumn="0" w:lastRowFirstColumn="0" w:lastRowLastColumn="0"/>
              <w:rPr>
                <w:rFonts w:cs="Arial"/>
                <w:b/>
                <w:szCs w:val="14"/>
                <w:lang w:eastAsia="en-US"/>
              </w:rPr>
            </w:pPr>
            <w:r w:rsidRPr="00035FEE">
              <w:t>2</w:t>
            </w:r>
            <w:r>
              <w:t>,</w:t>
            </w:r>
            <w:r w:rsidRPr="00035FEE">
              <w:t>068</w:t>
            </w:r>
            <w:r>
              <w:t>,</w:t>
            </w:r>
            <w:r w:rsidRPr="00035FEE">
              <w:t>642</w:t>
            </w:r>
          </w:p>
        </w:tc>
        <w:tc>
          <w:tcPr>
            <w:tcW w:w="280" w:type="dxa"/>
            <w:tcBorders>
              <w:top w:val="nil"/>
              <w:left w:val="nil"/>
              <w:bottom w:val="nil"/>
              <w:right w:val="nil"/>
            </w:tcBorders>
            <w:shd w:val="clear" w:color="auto" w:fill="auto"/>
            <w:vAlign w:val="center"/>
          </w:tcPr>
          <w:p w14:paraId="11F07565" w14:textId="77777777" w:rsidR="008B7E19" w:rsidRPr="00D7227A" w:rsidRDefault="008B7E19" w:rsidP="008B7E19">
            <w:pPr>
              <w:pStyle w:val="08-Tabelageral"/>
              <w:ind w:left="113"/>
              <w:cnfStyle w:val="000000000000" w:firstRow="0" w:lastRow="0" w:firstColumn="0" w:lastColumn="0" w:oddVBand="0" w:evenVBand="0" w:oddHBand="0" w:evenHBand="0" w:firstRowFirstColumn="0" w:firstRowLastColumn="0" w:lastRowFirstColumn="0" w:lastRowLastColumn="0"/>
              <w:rPr>
                <w:b/>
              </w:rPr>
            </w:pPr>
          </w:p>
        </w:tc>
        <w:tc>
          <w:tcPr>
            <w:tcW w:w="1279" w:type="dxa"/>
            <w:tcBorders>
              <w:top w:val="nil"/>
              <w:left w:val="nil"/>
              <w:bottom w:val="nil"/>
              <w:right w:val="nil"/>
            </w:tcBorders>
            <w:shd w:val="clear" w:color="auto" w:fill="auto"/>
          </w:tcPr>
          <w:p w14:paraId="50D464F4" w14:textId="77777777" w:rsidR="008B7E19" w:rsidRPr="00D7227A" w:rsidRDefault="008B7E19" w:rsidP="008B7E19">
            <w:pPr>
              <w:pStyle w:val="08-Tabelageral"/>
              <w:ind w:left="113"/>
              <w:cnfStyle w:val="000000000000" w:firstRow="0" w:lastRow="0" w:firstColumn="0" w:lastColumn="0" w:oddVBand="0" w:evenVBand="0" w:oddHBand="0" w:evenHBand="0" w:firstRowFirstColumn="0" w:firstRowLastColumn="0" w:lastRowFirstColumn="0" w:lastRowLastColumn="0"/>
              <w:rPr>
                <w:rFonts w:cs="Arial"/>
                <w:b/>
                <w:szCs w:val="14"/>
                <w:lang w:eastAsia="en-US"/>
              </w:rPr>
            </w:pPr>
            <w:r w:rsidRPr="00CB726D">
              <w:t>3</w:t>
            </w:r>
            <w:r>
              <w:t>,</w:t>
            </w:r>
            <w:r w:rsidRPr="00CB726D">
              <w:t>210</w:t>
            </w:r>
            <w:r>
              <w:t>,</w:t>
            </w:r>
            <w:r w:rsidRPr="00CB726D">
              <w:t>000</w:t>
            </w:r>
          </w:p>
        </w:tc>
        <w:tc>
          <w:tcPr>
            <w:tcW w:w="1559" w:type="dxa"/>
            <w:tcBorders>
              <w:top w:val="nil"/>
              <w:left w:val="nil"/>
              <w:bottom w:val="nil"/>
              <w:right w:val="nil"/>
            </w:tcBorders>
            <w:shd w:val="clear" w:color="auto" w:fill="auto"/>
          </w:tcPr>
          <w:p w14:paraId="7F31C67E" w14:textId="77777777" w:rsidR="008B7E19" w:rsidRPr="00D7227A" w:rsidRDefault="008B7E19" w:rsidP="008B7E19">
            <w:pPr>
              <w:pStyle w:val="08-Tabelageral"/>
              <w:ind w:left="113"/>
              <w:cnfStyle w:val="000000000000" w:firstRow="0" w:lastRow="0" w:firstColumn="0" w:lastColumn="0" w:oddVBand="0" w:evenVBand="0" w:oddHBand="0" w:evenHBand="0" w:firstRowFirstColumn="0" w:firstRowLastColumn="0" w:lastRowFirstColumn="0" w:lastRowLastColumn="0"/>
              <w:rPr>
                <w:b/>
                <w:lang w:eastAsia="en-US"/>
              </w:rPr>
            </w:pPr>
            <w:r w:rsidRPr="00CB726D">
              <w:t>2</w:t>
            </w:r>
            <w:r>
              <w:t>,</w:t>
            </w:r>
            <w:r w:rsidRPr="00CB726D">
              <w:t>068</w:t>
            </w:r>
            <w:r>
              <w:t>,</w:t>
            </w:r>
            <w:r w:rsidRPr="00CB726D">
              <w:t>642</w:t>
            </w:r>
          </w:p>
        </w:tc>
      </w:tr>
      <w:tr w:rsidR="008B7E19" w:rsidRPr="005F0714" w14:paraId="08F88288"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single" w:sz="2" w:space="0" w:color="1F4E79" w:themeColor="accent1" w:themeShade="80"/>
            </w:tcBorders>
            <w:shd w:val="clear" w:color="auto" w:fill="auto"/>
            <w:vAlign w:val="center"/>
          </w:tcPr>
          <w:p w14:paraId="09B72CD4" w14:textId="77777777" w:rsidR="008B7E19" w:rsidRPr="00BD450B" w:rsidRDefault="008B7E19" w:rsidP="008B7E19">
            <w:pPr>
              <w:pStyle w:val="08-Tabelageral"/>
              <w:ind w:left="113" w:firstLine="63"/>
              <w:jc w:val="left"/>
              <w:rPr>
                <w:b w:val="0"/>
                <w:bCs w:val="0"/>
                <w:lang w:val="en-US"/>
              </w:rPr>
            </w:pPr>
            <w:r w:rsidRPr="00BD450B">
              <w:rPr>
                <w:rStyle w:val="shorttext"/>
                <w:b w:val="0"/>
                <w:bCs w:val="0"/>
                <w:lang w:val="en"/>
              </w:rPr>
              <w:t>Retained earnings for the period</w:t>
            </w:r>
          </w:p>
        </w:tc>
        <w:tc>
          <w:tcPr>
            <w:tcW w:w="709" w:type="dxa"/>
            <w:tcBorders>
              <w:top w:val="nil"/>
              <w:bottom w:val="single" w:sz="2" w:space="0" w:color="1F4E79" w:themeColor="accent1" w:themeShade="80"/>
            </w:tcBorders>
            <w:shd w:val="clear" w:color="auto" w:fill="auto"/>
            <w:vAlign w:val="center"/>
          </w:tcPr>
          <w:p w14:paraId="533F7191" w14:textId="77777777" w:rsidR="008B7E19" w:rsidRPr="00BD450B" w:rsidRDefault="008B7E19" w:rsidP="008B7E19">
            <w:pPr>
              <w:pStyle w:val="08-Tabelageral"/>
              <w:ind w:left="113"/>
              <w:jc w:val="center"/>
              <w:cnfStyle w:val="000000100000" w:firstRow="0" w:lastRow="0" w:firstColumn="0" w:lastColumn="0" w:oddVBand="0" w:evenVBand="0" w:oddHBand="1" w:evenHBand="0" w:firstRowFirstColumn="0" w:firstRowLastColumn="0" w:lastRowFirstColumn="0" w:lastRowLastColumn="0"/>
              <w:rPr>
                <w:b/>
                <w:lang w:val="en-US"/>
              </w:rPr>
            </w:pPr>
          </w:p>
        </w:tc>
        <w:tc>
          <w:tcPr>
            <w:tcW w:w="1276" w:type="dxa"/>
            <w:tcBorders>
              <w:top w:val="nil"/>
              <w:left w:val="nil"/>
              <w:bottom w:val="single" w:sz="2" w:space="0" w:color="1F4E79" w:themeColor="accent1" w:themeShade="80"/>
              <w:right w:val="nil"/>
            </w:tcBorders>
            <w:shd w:val="clear" w:color="auto" w:fill="auto"/>
          </w:tcPr>
          <w:p w14:paraId="43F4BC7D" w14:textId="77777777" w:rsidR="008B7E19" w:rsidRPr="00BD450B" w:rsidRDefault="008B7E19" w:rsidP="008B7E19">
            <w:pPr>
              <w:pStyle w:val="08-Tabelageral"/>
              <w:ind w:left="113"/>
              <w:cnfStyle w:val="000000100000" w:firstRow="0" w:lastRow="0" w:firstColumn="0" w:lastColumn="0" w:oddVBand="0" w:evenVBand="0" w:oddHBand="1" w:evenHBand="0" w:firstRowFirstColumn="0" w:firstRowLastColumn="0" w:lastRowFirstColumn="0" w:lastRowLastColumn="0"/>
            </w:pPr>
            <w:r w:rsidRPr="00035FEE">
              <w:t>515</w:t>
            </w:r>
            <w:r>
              <w:t>,</w:t>
            </w:r>
            <w:r w:rsidRPr="00035FEE">
              <w:t>132</w:t>
            </w:r>
          </w:p>
        </w:tc>
        <w:tc>
          <w:tcPr>
            <w:tcW w:w="1559" w:type="dxa"/>
            <w:tcBorders>
              <w:top w:val="nil"/>
              <w:left w:val="nil"/>
              <w:bottom w:val="single" w:sz="2" w:space="0" w:color="1F4E79" w:themeColor="accent1" w:themeShade="80"/>
              <w:right w:val="nil"/>
            </w:tcBorders>
            <w:shd w:val="clear" w:color="auto" w:fill="auto"/>
          </w:tcPr>
          <w:p w14:paraId="1EEFE812" w14:textId="77777777" w:rsidR="008B7E19" w:rsidRPr="00BD450B" w:rsidRDefault="008B7E19" w:rsidP="008B7E19">
            <w:pPr>
              <w:pStyle w:val="08-Tabelageral"/>
              <w:ind w:left="113"/>
              <w:cnfStyle w:val="000000100000" w:firstRow="0" w:lastRow="0" w:firstColumn="0" w:lastColumn="0" w:oddVBand="0" w:evenVBand="0" w:oddHBand="1" w:evenHBand="0" w:firstRowFirstColumn="0" w:firstRowLastColumn="0" w:lastRowFirstColumn="0" w:lastRowLastColumn="0"/>
            </w:pPr>
            <w:r w:rsidRPr="00035FEE">
              <w:t>644</w:t>
            </w:r>
            <w:r>
              <w:t>,</w:t>
            </w:r>
            <w:r w:rsidRPr="00035FEE">
              <w:t>602</w:t>
            </w:r>
          </w:p>
        </w:tc>
        <w:tc>
          <w:tcPr>
            <w:tcW w:w="280" w:type="dxa"/>
            <w:tcBorders>
              <w:top w:val="nil"/>
              <w:left w:val="nil"/>
              <w:bottom w:val="single" w:sz="2" w:space="0" w:color="1F4E79" w:themeColor="accent1" w:themeShade="80"/>
              <w:right w:val="nil"/>
            </w:tcBorders>
            <w:shd w:val="clear" w:color="auto" w:fill="auto"/>
            <w:vAlign w:val="center"/>
          </w:tcPr>
          <w:p w14:paraId="74A6BA26" w14:textId="77777777" w:rsidR="008B7E19" w:rsidRPr="00BD450B" w:rsidRDefault="008B7E19" w:rsidP="008B7E19">
            <w:pPr>
              <w:pStyle w:val="08-Tabelageral"/>
              <w:ind w:left="113"/>
              <w:cnfStyle w:val="000000100000" w:firstRow="0" w:lastRow="0" w:firstColumn="0" w:lastColumn="0" w:oddVBand="0" w:evenVBand="0" w:oddHBand="1" w:evenHBand="0" w:firstRowFirstColumn="0" w:firstRowLastColumn="0" w:lastRowFirstColumn="0" w:lastRowLastColumn="0"/>
            </w:pPr>
          </w:p>
        </w:tc>
        <w:tc>
          <w:tcPr>
            <w:tcW w:w="1279" w:type="dxa"/>
            <w:tcBorders>
              <w:top w:val="nil"/>
              <w:left w:val="nil"/>
              <w:bottom w:val="single" w:sz="2" w:space="0" w:color="1F4E79" w:themeColor="accent1" w:themeShade="80"/>
              <w:right w:val="nil"/>
            </w:tcBorders>
            <w:shd w:val="clear" w:color="auto" w:fill="auto"/>
          </w:tcPr>
          <w:p w14:paraId="3B404C2D" w14:textId="77777777" w:rsidR="008B7E19" w:rsidRPr="00BD450B" w:rsidRDefault="008B7E19" w:rsidP="008B7E19">
            <w:pPr>
              <w:pStyle w:val="08-Tabelageral"/>
              <w:ind w:left="113"/>
              <w:cnfStyle w:val="000000100000" w:firstRow="0" w:lastRow="0" w:firstColumn="0" w:lastColumn="0" w:oddVBand="0" w:evenVBand="0" w:oddHBand="1" w:evenHBand="0" w:firstRowFirstColumn="0" w:firstRowLastColumn="0" w:lastRowFirstColumn="0" w:lastRowLastColumn="0"/>
            </w:pPr>
            <w:r w:rsidRPr="00CB726D">
              <w:t>515</w:t>
            </w:r>
            <w:r>
              <w:t>,</w:t>
            </w:r>
            <w:r w:rsidRPr="00CB726D">
              <w:t>132</w:t>
            </w:r>
          </w:p>
        </w:tc>
        <w:tc>
          <w:tcPr>
            <w:tcW w:w="1559" w:type="dxa"/>
            <w:tcBorders>
              <w:top w:val="nil"/>
              <w:left w:val="nil"/>
              <w:bottom w:val="single" w:sz="2" w:space="0" w:color="1F4E79" w:themeColor="accent1" w:themeShade="80"/>
              <w:right w:val="nil"/>
            </w:tcBorders>
            <w:shd w:val="clear" w:color="auto" w:fill="auto"/>
          </w:tcPr>
          <w:p w14:paraId="2CB7244E" w14:textId="77777777" w:rsidR="008B7E19" w:rsidRPr="00BA3C79" w:rsidRDefault="008B7E19" w:rsidP="008B7E19">
            <w:pPr>
              <w:pStyle w:val="08-Tabelageral"/>
              <w:ind w:left="113"/>
              <w:cnfStyle w:val="000000100000" w:firstRow="0" w:lastRow="0" w:firstColumn="0" w:lastColumn="0" w:oddVBand="0" w:evenVBand="0" w:oddHBand="1" w:evenHBand="0" w:firstRowFirstColumn="0" w:firstRowLastColumn="0" w:lastRowFirstColumn="0" w:lastRowLastColumn="0"/>
            </w:pPr>
            <w:r w:rsidRPr="00CB726D">
              <w:t>644</w:t>
            </w:r>
            <w:r>
              <w:t>,</w:t>
            </w:r>
            <w:r w:rsidRPr="00CB726D">
              <w:t>602</w:t>
            </w:r>
          </w:p>
        </w:tc>
      </w:tr>
    </w:tbl>
    <w:p w14:paraId="40B445BE" w14:textId="77777777" w:rsidR="008B7E19" w:rsidRPr="00BD6C7E" w:rsidRDefault="008B7E19" w:rsidP="008B7E19">
      <w:pPr>
        <w:rPr>
          <w:rFonts w:cs="Arial"/>
          <w:sz w:val="14"/>
          <w:szCs w:val="14"/>
          <w:lang w:val="en-US"/>
        </w:rPr>
      </w:pPr>
      <w:r w:rsidRPr="00636ED4">
        <w:rPr>
          <w:rFonts w:eastAsia="Times New Roman" w:cs="Times New Roman"/>
          <w:spacing w:val="-2"/>
          <w:sz w:val="14"/>
          <w:szCs w:val="18"/>
          <w:lang w:val="en-US" w:eastAsia="pt-BR"/>
        </w:rPr>
        <w:t>The explanatory notes are an integral part of the interim financial statements. The opening balance sheet and restatements refer</w:t>
      </w:r>
      <w:r>
        <w:rPr>
          <w:rFonts w:eastAsia="Times New Roman" w:cs="Times New Roman"/>
          <w:spacing w:val="-2"/>
          <w:sz w:val="14"/>
          <w:szCs w:val="18"/>
          <w:lang w:val="en-US" w:eastAsia="pt-BR"/>
        </w:rPr>
        <w:t xml:space="preserve"> </w:t>
      </w:r>
      <w:r w:rsidRPr="00F26C4B">
        <w:rPr>
          <w:rFonts w:eastAsia="Times New Roman" w:cs="Times New Roman"/>
          <w:spacing w:val="-2"/>
          <w:sz w:val="14"/>
          <w:szCs w:val="18"/>
          <w:lang w:val="en-US" w:eastAsia="pt-BR"/>
        </w:rPr>
        <w:t>mainly</w:t>
      </w:r>
      <w:r w:rsidRPr="00636ED4">
        <w:rPr>
          <w:rFonts w:eastAsia="Times New Roman" w:cs="Times New Roman"/>
          <w:spacing w:val="-2"/>
          <w:sz w:val="14"/>
          <w:szCs w:val="18"/>
          <w:lang w:val="en-US" w:eastAsia="pt-BR"/>
        </w:rPr>
        <w:t xml:space="preserve"> to the adoption of CPC 50 [IFRS 17] – Insurance Contracts and CPC 48 [IFRS 9] – Financial Instruments, whose effects are detailed in Note 03 - Presentation of Financial Statements.</w:t>
      </w:r>
    </w:p>
    <w:p w14:paraId="1889960C" w14:textId="7627B50F" w:rsidR="00822FBD" w:rsidRPr="00C72009" w:rsidRDefault="00822FBD">
      <w:pPr>
        <w:rPr>
          <w:rFonts w:cs="Arial"/>
          <w:b/>
          <w:spacing w:val="-2"/>
          <w:sz w:val="20"/>
          <w:lang w:val="en-US"/>
        </w:rPr>
      </w:pPr>
      <w:r w:rsidRPr="00C72009">
        <w:rPr>
          <w:rFonts w:cs="Arial"/>
          <w:b/>
          <w:spacing w:val="-2"/>
          <w:sz w:val="20"/>
          <w:lang w:val="en-US"/>
        </w:rPr>
        <w:br w:type="page"/>
      </w:r>
    </w:p>
    <w:p w14:paraId="69D09259" w14:textId="023CE0B4" w:rsidR="00054E01" w:rsidRPr="00613FF1" w:rsidRDefault="006D4EB8" w:rsidP="000A7249">
      <w:pPr>
        <w:pStyle w:val="Ttulo1"/>
      </w:pPr>
      <w:bookmarkStart w:id="14" w:name="_Toc110438600"/>
      <w:bookmarkStart w:id="15" w:name="_Toc141966678"/>
      <w:r w:rsidRPr="00613FF1">
        <w:t>EXPLANATORY NOTES TO THE FINANCIAL STATEMENTS</w:t>
      </w:r>
      <w:bookmarkEnd w:id="14"/>
      <w:bookmarkEnd w:id="15"/>
    </w:p>
    <w:p w14:paraId="36A44041" w14:textId="3979EE8D" w:rsidR="008B7E19" w:rsidRPr="00381A79" w:rsidRDefault="008B7E19" w:rsidP="00381A79">
      <w:pPr>
        <w:pStyle w:val="02-TtulodeNota"/>
        <w:rPr>
          <w:bCs/>
          <w:color w:val="1F4E79" w:themeColor="accent1" w:themeShade="80"/>
        </w:rPr>
      </w:pPr>
      <w:bookmarkStart w:id="16" w:name="_Toc141966679"/>
      <w:r w:rsidRPr="00381A79">
        <w:rPr>
          <w:color w:val="1F4E79" w:themeColor="accent1" w:themeShade="80"/>
        </w:rPr>
        <w:t>1 - OPERATIONAL CONTEXT</w:t>
      </w:r>
      <w:bookmarkEnd w:id="16"/>
    </w:p>
    <w:p w14:paraId="5641BCA0" w14:textId="77777777" w:rsidR="008B7E19" w:rsidRPr="00F66E79" w:rsidRDefault="008B7E19">
      <w:pPr>
        <w:pStyle w:val="05-Textonormal"/>
        <w:rPr>
          <w:lang w:val="en-US"/>
        </w:rPr>
      </w:pPr>
      <w:r w:rsidRPr="00F66E79">
        <w:rPr>
          <w:lang w:val="en-US"/>
        </w:rPr>
        <w:t>BB Seguridade Participações S.A. (“BB Seguridade” or “Company”) is a</w:t>
      </w:r>
      <w:r w:rsidRPr="00F66E79">
        <w:rPr>
          <w:i/>
          <w:lang w:val="en-US"/>
        </w:rPr>
        <w:t xml:space="preserve"> holding</w:t>
      </w:r>
      <w:r w:rsidRPr="00F66E79">
        <w:rPr>
          <w:lang w:val="en-US"/>
        </w:rPr>
        <w:t xml:space="preserve"> company controlled by Banco do Brasil SA, incorporated on December 20th, 2012, which operates in insurance business. It is a publicly-held corporation and its shares are traded on the Novo Mercado segment of B3 SA - Brazil, Stock, Counter, under the code “BBSE3”, and its ADRs (</w:t>
      </w:r>
      <w:r w:rsidRPr="00F66E79">
        <w:rPr>
          <w:i/>
          <w:lang w:val="en-US"/>
        </w:rPr>
        <w:t>American Depositary Receipts</w:t>
      </w:r>
      <w:r w:rsidRPr="00F66E79">
        <w:rPr>
          <w:lang w:val="en-US"/>
        </w:rPr>
        <w:t>) on the</w:t>
      </w:r>
      <w:r w:rsidRPr="00F66E79">
        <w:rPr>
          <w:i/>
          <w:lang w:val="en-US"/>
        </w:rPr>
        <w:t xml:space="preserve"> Over-the-Counter</w:t>
      </w:r>
      <w:r w:rsidRPr="00F66E79">
        <w:rPr>
          <w:lang w:val="en-US"/>
        </w:rPr>
        <w:t xml:space="preserve"> market in the United States of America under the code “BBSEY”.</w:t>
      </w:r>
    </w:p>
    <w:p w14:paraId="32EE3D1D" w14:textId="77777777" w:rsidR="008B7E19" w:rsidRPr="00F66E79" w:rsidRDefault="008B7E19">
      <w:pPr>
        <w:pStyle w:val="05-Textonormal"/>
        <w:rPr>
          <w:lang w:val="en-US"/>
        </w:rPr>
      </w:pPr>
      <w:r w:rsidRPr="00F66E79">
        <w:rPr>
          <w:lang w:val="en-US"/>
        </w:rPr>
        <w:t>It is registered with the CNPJ under No. 17.344.597/0001-94 and headquartered in the Northern Local Government Sector, Quadra 05, Lote B, Torre Sul, 3rd Floor, Banco do Brasil Building, Asa Norte, Brasília, Distrito Federal, Brazil.</w:t>
      </w:r>
    </w:p>
    <w:p w14:paraId="78AB4617" w14:textId="77777777" w:rsidR="008B7E19" w:rsidRPr="00F66E79" w:rsidRDefault="008B7E19">
      <w:pPr>
        <w:pStyle w:val="05-Textonormal"/>
        <w:rPr>
          <w:lang w:val="en-US"/>
        </w:rPr>
      </w:pPr>
      <w:r w:rsidRPr="00F66E79">
        <w:rPr>
          <w:lang w:val="en-US"/>
        </w:rPr>
        <w:t>Its corporate purpose is to participate in insurance companies, capitalization companies, open supplementary pension entities and private health care plans, as well as in other companies whose corporate purpose is the brokerage and feasibility of business involving insurance companies in the elementary, life, health, capitalization, pension and asset management fields.</w:t>
      </w:r>
    </w:p>
    <w:p w14:paraId="5DACE846" w14:textId="77777777" w:rsidR="008B7E19" w:rsidRPr="00F66E79" w:rsidRDefault="008B7E19">
      <w:pPr>
        <w:pStyle w:val="05-Textonormal"/>
        <w:rPr>
          <w:lang w:val="en-US"/>
        </w:rPr>
      </w:pPr>
      <w:r w:rsidRPr="00F66E79">
        <w:rPr>
          <w:lang w:val="en-US"/>
        </w:rPr>
        <w:t>BB Seguridade has, among its equity stake, two wholly-owned</w:t>
      </w:r>
      <w:r>
        <w:rPr>
          <w:lang w:val="en-US"/>
        </w:rPr>
        <w:t xml:space="preserve"> </w:t>
      </w:r>
      <w:r w:rsidRPr="00F66E79">
        <w:rPr>
          <w:lang w:val="en-US"/>
        </w:rPr>
        <w:t>subsidiaries, BB Seguros Participações S.A. ("BB Seguros") and BB Corretora de Seguros e Administradora de Bens S.A. ("BB Corretora"), the corporate structure that makes up the BB Seguridade Group ("Group").</w:t>
      </w:r>
    </w:p>
    <w:p w14:paraId="4D57B273" w14:textId="77777777" w:rsidR="008B7E19" w:rsidRPr="00F66E79" w:rsidRDefault="008B7E19">
      <w:pPr>
        <w:pStyle w:val="05-Textonormal"/>
        <w:rPr>
          <w:lang w:val="en-US"/>
        </w:rPr>
      </w:pPr>
      <w:r w:rsidRPr="00F66E79">
        <w:rPr>
          <w:lang w:val="en-US"/>
        </w:rPr>
        <w:t>Such stake is currently organized into two segments: risk and accumulation businesses, which operate insurance, open pension funds, capitalization and dental care plans products through BB Seguros with private partners; and distribution business, which sells insurance, open pension funds, capitalization bonds and private dental care plans, through BB Corretora, in addition to an investment that operates in the distribution of insurance products through digital channels.</w:t>
      </w:r>
    </w:p>
    <w:p w14:paraId="3865CAA2" w14:textId="77777777" w:rsidR="008B7E19" w:rsidRDefault="008B7E19" w:rsidP="008B7E19">
      <w:pPr>
        <w:pStyle w:val="05-Textonormal"/>
        <w:rPr>
          <w:lang w:val="en-US"/>
        </w:rPr>
      </w:pPr>
      <w:r w:rsidRPr="00F66E79">
        <w:rPr>
          <w:lang w:val="en-US"/>
        </w:rPr>
        <w:t>In the risk and accumulation business, the Group operates through stakes in the companies BB M</w:t>
      </w:r>
      <w:r>
        <w:rPr>
          <w:lang w:val="en-US"/>
        </w:rPr>
        <w:t>APFRE</w:t>
      </w:r>
      <w:r w:rsidRPr="00F66E79">
        <w:rPr>
          <w:lang w:val="en-US"/>
        </w:rPr>
        <w:t>, Brasilprev, Brasilcap and Brasildental, which are directly invested in by BB Seguros, and indirectly in the companies</w:t>
      </w:r>
      <w:r>
        <w:rPr>
          <w:lang w:val="en-US"/>
        </w:rPr>
        <w:t xml:space="preserve"> </w:t>
      </w:r>
      <w:r w:rsidRPr="00F66E79">
        <w:rPr>
          <w:lang w:val="en-US"/>
        </w:rPr>
        <w:t>Brasilseg and Aliança do Brasil Seguros, subsidiaries of BB M</w:t>
      </w:r>
      <w:r>
        <w:rPr>
          <w:lang w:val="en-US"/>
        </w:rPr>
        <w:t>APFRE</w:t>
      </w:r>
      <w:r w:rsidRPr="00F66E79">
        <w:rPr>
          <w:lang w:val="en-US"/>
        </w:rPr>
        <w:t xml:space="preserve">. In the distribution business, </w:t>
      </w:r>
      <w:r w:rsidRPr="00BD3B12">
        <w:rPr>
          <w:lang w:val="en-US"/>
        </w:rPr>
        <w:t>it operates through BB Corretora, which holds a stake in the investee Ciclic</w:t>
      </w:r>
      <w:r>
        <w:rPr>
          <w:lang w:val="en-US"/>
        </w:rPr>
        <w:t>.</w:t>
      </w:r>
    </w:p>
    <w:p w14:paraId="341B6F0F" w14:textId="77777777" w:rsidR="008B7E19" w:rsidRDefault="008B7E19" w:rsidP="008B7E19">
      <w:pPr>
        <w:pStyle w:val="05-Textonormal"/>
        <w:rPr>
          <w:lang w:val="en-US"/>
        </w:rPr>
      </w:pPr>
      <w:r w:rsidRPr="00A97AA9">
        <w:rPr>
          <w:lang w:val="en-US"/>
        </w:rPr>
        <w:t>We present below the corporate structure of the Company:</w:t>
      </w:r>
    </w:p>
    <w:p w14:paraId="1B8073DC" w14:textId="77777777" w:rsidR="008B7E19" w:rsidRDefault="008B7E19" w:rsidP="008B7E19">
      <w:pPr>
        <w:pStyle w:val="05-Textonormal"/>
        <w:rPr>
          <w:lang w:val="en-US"/>
        </w:rPr>
      </w:pPr>
      <w:r>
        <w:rPr>
          <w:noProof/>
        </w:rPr>
        <w:drawing>
          <wp:inline distT="0" distB="0" distL="0" distR="0" wp14:anchorId="7C99FBEE" wp14:editId="3A62CD87">
            <wp:extent cx="6120130" cy="3695700"/>
            <wp:effectExtent l="0" t="0" r="0" b="0"/>
            <wp:docPr id="13" name="Imagem 13" descr="Diagra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m 13" descr="Diagrama&#10;&#10;Descrição gerada automaticamente"/>
                    <pic:cNvPicPr/>
                  </pic:nvPicPr>
                  <pic:blipFill>
                    <a:blip r:embed="rId30"/>
                    <a:stretch>
                      <a:fillRect/>
                    </a:stretch>
                  </pic:blipFill>
                  <pic:spPr>
                    <a:xfrm>
                      <a:off x="0" y="0"/>
                      <a:ext cx="6120130" cy="3695700"/>
                    </a:xfrm>
                    <a:prstGeom prst="rect">
                      <a:avLst/>
                    </a:prstGeom>
                  </pic:spPr>
                </pic:pic>
              </a:graphicData>
            </a:graphic>
          </wp:inline>
        </w:drawing>
      </w:r>
    </w:p>
    <w:p w14:paraId="29E9777F" w14:textId="77777777" w:rsidR="008B7E19" w:rsidRPr="009A2AAD" w:rsidRDefault="008B7E19" w:rsidP="008B7E19">
      <w:pPr>
        <w:pStyle w:val="05-Textonormal"/>
        <w:rPr>
          <w:lang w:val="en-US"/>
        </w:rPr>
      </w:pPr>
      <w:r w:rsidRPr="009A2AAD">
        <w:rPr>
          <w:lang w:val="en-US"/>
        </w:rPr>
        <w:t xml:space="preserve">BB MAPFRE has a direct stake in the companies Brasilseg Companhia de Seguros and Aliança do Brasil Seguros S.A. and indirect </w:t>
      </w:r>
      <w:r>
        <w:rPr>
          <w:lang w:val="en-US"/>
        </w:rPr>
        <w:t>in the company</w:t>
      </w:r>
      <w:r w:rsidRPr="009A2AAD">
        <w:rPr>
          <w:lang w:val="en-US"/>
        </w:rPr>
        <w:t xml:space="preserve"> Broto S.A. (invested by Brasilseg)</w:t>
      </w:r>
      <w:r>
        <w:rPr>
          <w:lang w:val="en-US"/>
        </w:rPr>
        <w:t>.</w:t>
      </w:r>
    </w:p>
    <w:p w14:paraId="79963BCA" w14:textId="6E832D9E" w:rsidR="008B7E19" w:rsidRPr="005B5353" w:rsidRDefault="008B7E19" w:rsidP="005B5353">
      <w:pPr>
        <w:pStyle w:val="02-TtulodeNota"/>
        <w:keepNext/>
        <w:keepLines/>
        <w:pageBreakBefore/>
        <w:rPr>
          <w:color w:val="1F4E79" w:themeColor="accent1" w:themeShade="80"/>
          <w:lang w:val="en-US"/>
        </w:rPr>
      </w:pPr>
      <w:bookmarkStart w:id="17" w:name="_Toc141966680"/>
      <w:r w:rsidRPr="005B5353">
        <w:rPr>
          <w:color w:val="1F4E79" w:themeColor="accent1" w:themeShade="80"/>
          <w:lang w:val="en-US"/>
        </w:rPr>
        <w:t>2 – ACQUISITIONS, DISPOSALS AND CORPORATE RESTRUCTURINGS</w:t>
      </w:r>
      <w:bookmarkEnd w:id="17"/>
    </w:p>
    <w:p w14:paraId="1380B064" w14:textId="77777777" w:rsidR="008B7E19" w:rsidRPr="005A67AD" w:rsidRDefault="008B7E19" w:rsidP="008B7E19">
      <w:pPr>
        <w:pStyle w:val="05-Textonormal"/>
        <w:rPr>
          <w:b/>
          <w:snapToGrid w:val="0"/>
          <w:color w:val="1F4E79" w:themeColor="accent1" w:themeShade="80"/>
          <w:lang w:val="en-US"/>
        </w:rPr>
      </w:pPr>
      <w:r w:rsidRPr="005A67AD">
        <w:rPr>
          <w:b/>
          <w:snapToGrid w:val="0"/>
          <w:color w:val="1F4E79" w:themeColor="accent1" w:themeShade="80"/>
          <w:lang w:val="en-US"/>
        </w:rPr>
        <w:t>a) Broto S.A.</w:t>
      </w:r>
    </w:p>
    <w:p w14:paraId="4AFBB77B" w14:textId="77777777" w:rsidR="008B7E19" w:rsidRPr="005A67AD" w:rsidRDefault="008B7E19" w:rsidP="008B7E19">
      <w:pPr>
        <w:pStyle w:val="05-Textonormal"/>
        <w:rPr>
          <w:lang w:val="en-US"/>
        </w:rPr>
      </w:pPr>
      <w:r w:rsidRPr="005A67AD">
        <w:rPr>
          <w:lang w:val="en-US"/>
        </w:rPr>
        <w:t xml:space="preserve">In line with the Notice to the Market released on October 13, 2022, the Board of Directors of BB Seguridade has approved the execution of the final agreements regarding the creation of a new company named Broto S.A. (Broto), </w:t>
      </w:r>
      <w:r>
        <w:rPr>
          <w:lang w:val="en-US"/>
        </w:rPr>
        <w:t xml:space="preserve">for </w:t>
      </w:r>
      <w:r w:rsidRPr="005A67AD">
        <w:rPr>
          <w:lang w:val="en-US"/>
        </w:rPr>
        <w:t>run the businesses of the Broto Digital Platform, in a partnership between Brasilseg Companhia de Seguros (Brasilseg or Insurance Company), an investee of BB Seguros Participações S.A. (BB Seguros), with Banco do Brasil S.A. (BB).</w:t>
      </w:r>
    </w:p>
    <w:p w14:paraId="35BACAA4" w14:textId="77777777" w:rsidR="008B7E19" w:rsidRPr="005A67AD" w:rsidRDefault="008B7E19" w:rsidP="008B7E19">
      <w:pPr>
        <w:pStyle w:val="05-Textonormal"/>
        <w:rPr>
          <w:snapToGrid w:val="0"/>
          <w:lang w:val="en-US"/>
        </w:rPr>
      </w:pPr>
      <w:r w:rsidRPr="005A67AD">
        <w:rPr>
          <w:lang w:val="en-US"/>
        </w:rPr>
        <w:t>The Broto’s capital has the following distribution:</w:t>
      </w:r>
    </w:p>
    <w:tbl>
      <w:tblPr>
        <w:tblStyle w:val="TabeladeLista6Colorida-nfase5"/>
        <w:tblW w:w="9642" w:type="dxa"/>
        <w:jc w:val="center"/>
        <w:tblLayout w:type="fixed"/>
        <w:tblLook w:val="04A0" w:firstRow="1" w:lastRow="0" w:firstColumn="1" w:lastColumn="0" w:noHBand="0" w:noVBand="1"/>
      </w:tblPr>
      <w:tblGrid>
        <w:gridCol w:w="2552"/>
        <w:gridCol w:w="2362"/>
        <w:gridCol w:w="2362"/>
        <w:gridCol w:w="2366"/>
      </w:tblGrid>
      <w:tr w:rsidR="008B7E19" w14:paraId="7457807A" w14:textId="77777777" w:rsidTr="00381A79">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552" w:type="dxa"/>
            <w:vMerge w:val="restart"/>
            <w:tcBorders>
              <w:top w:val="single" w:sz="2" w:space="0" w:color="1F4E79" w:themeColor="accent1" w:themeShade="80"/>
              <w:left w:val="nil"/>
              <w:bottom w:val="single" w:sz="2" w:space="0" w:color="1F4E79" w:themeColor="accent1" w:themeShade="80"/>
              <w:right w:val="nil"/>
            </w:tcBorders>
            <w:vAlign w:val="center"/>
            <w:hideMark/>
          </w:tcPr>
          <w:p w14:paraId="59FCD110" w14:textId="77777777" w:rsidR="008B7E19" w:rsidRDefault="008B7E19">
            <w:pPr>
              <w:rPr>
                <w:rFonts w:cs="Arial"/>
                <w:szCs w:val="18"/>
              </w:rPr>
            </w:pPr>
            <w:r w:rsidRPr="0016495E">
              <w:rPr>
                <w:rFonts w:cs="Arial"/>
                <w:sz w:val="14"/>
                <w:szCs w:val="14"/>
              </w:rPr>
              <w:t>Shareholders</w:t>
            </w:r>
          </w:p>
        </w:tc>
        <w:tc>
          <w:tcPr>
            <w:tcW w:w="7090" w:type="dxa"/>
            <w:gridSpan w:val="3"/>
            <w:tcBorders>
              <w:top w:val="single" w:sz="2" w:space="0" w:color="1F4E79" w:themeColor="accent1" w:themeShade="80"/>
              <w:left w:val="nil"/>
              <w:bottom w:val="single" w:sz="2" w:space="0" w:color="1F4E79" w:themeColor="accent1" w:themeShade="80"/>
              <w:right w:val="nil"/>
            </w:tcBorders>
            <w:vAlign w:val="center"/>
            <w:hideMark/>
          </w:tcPr>
          <w:p w14:paraId="52ED4AB2" w14:textId="77777777" w:rsidR="008B7E19" w:rsidRDefault="008B7E19">
            <w:pPr>
              <w:keepNext/>
              <w:keepLines/>
              <w:spacing w:before="40" w:after="40"/>
              <w:jc w:val="center"/>
              <w:cnfStyle w:val="100000000000" w:firstRow="1" w:lastRow="0" w:firstColumn="0" w:lastColumn="0" w:oddVBand="0" w:evenVBand="0" w:oddHBand="0" w:evenHBand="0" w:firstRowFirstColumn="0" w:firstRowLastColumn="0" w:lastRowFirstColumn="0" w:lastRowLastColumn="0"/>
              <w:rPr>
                <w:rFonts w:eastAsia="Times New Roman" w:cs="Arial"/>
                <w:bCs w:val="0"/>
                <w:spacing w:val="-2"/>
                <w:sz w:val="14"/>
                <w:szCs w:val="14"/>
              </w:rPr>
            </w:pPr>
            <w:r>
              <w:rPr>
                <w:rFonts w:eastAsia="Times New Roman" w:cs="Arial"/>
                <w:spacing w:val="-2"/>
                <w:sz w:val="14"/>
                <w:szCs w:val="14"/>
              </w:rPr>
              <w:t>Stake (%)</w:t>
            </w:r>
          </w:p>
        </w:tc>
      </w:tr>
      <w:tr w:rsidR="008B7E19" w14:paraId="1220B2E6" w14:textId="77777777" w:rsidTr="00381A7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552" w:type="dxa"/>
            <w:vMerge/>
            <w:tcBorders>
              <w:top w:val="single" w:sz="2" w:space="0" w:color="1F4E79" w:themeColor="accent1" w:themeShade="80"/>
              <w:left w:val="nil"/>
              <w:bottom w:val="single" w:sz="2" w:space="0" w:color="1F4E79" w:themeColor="accent1" w:themeShade="80"/>
              <w:right w:val="nil"/>
            </w:tcBorders>
            <w:vAlign w:val="center"/>
            <w:hideMark/>
          </w:tcPr>
          <w:p w14:paraId="5BE8C526" w14:textId="77777777" w:rsidR="008B7E19" w:rsidRDefault="008B7E19">
            <w:pPr>
              <w:rPr>
                <w:rFonts w:cs="Arial"/>
                <w:szCs w:val="18"/>
              </w:rPr>
            </w:pPr>
          </w:p>
        </w:tc>
        <w:tc>
          <w:tcPr>
            <w:tcW w:w="2362" w:type="dxa"/>
            <w:tcBorders>
              <w:top w:val="single" w:sz="2" w:space="0" w:color="1F4E79" w:themeColor="accent1" w:themeShade="80"/>
              <w:left w:val="nil"/>
              <w:bottom w:val="single" w:sz="2" w:space="0" w:color="1F4E79" w:themeColor="accent1" w:themeShade="80"/>
              <w:right w:val="nil"/>
            </w:tcBorders>
            <w:shd w:val="clear" w:color="auto" w:fill="auto"/>
            <w:vAlign w:val="center"/>
            <w:hideMark/>
          </w:tcPr>
          <w:p w14:paraId="0BE03453" w14:textId="77777777" w:rsidR="008B7E19" w:rsidRDefault="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4"/>
              </w:rPr>
            </w:pPr>
            <w:r>
              <w:rPr>
                <w:rFonts w:eastAsia="Times New Roman" w:cs="Arial"/>
                <w:b/>
                <w:spacing w:val="-2"/>
                <w:sz w:val="14"/>
                <w:szCs w:val="14"/>
              </w:rPr>
              <w:t>Voting</w:t>
            </w:r>
            <w:r w:rsidRPr="0016495E">
              <w:rPr>
                <w:rFonts w:eastAsia="Times New Roman" w:cs="Arial"/>
                <w:b/>
                <w:spacing w:val="-2"/>
                <w:sz w:val="14"/>
                <w:szCs w:val="14"/>
              </w:rPr>
              <w:t xml:space="preserve"> Shares</w:t>
            </w:r>
          </w:p>
        </w:tc>
        <w:tc>
          <w:tcPr>
            <w:tcW w:w="2362" w:type="dxa"/>
            <w:tcBorders>
              <w:top w:val="single" w:sz="2" w:space="0" w:color="1F4E79" w:themeColor="accent1" w:themeShade="80"/>
              <w:left w:val="nil"/>
              <w:bottom w:val="single" w:sz="2" w:space="0" w:color="1F4E79" w:themeColor="accent1" w:themeShade="80"/>
              <w:right w:val="nil"/>
            </w:tcBorders>
            <w:shd w:val="clear" w:color="auto" w:fill="auto"/>
            <w:vAlign w:val="center"/>
            <w:hideMark/>
          </w:tcPr>
          <w:p w14:paraId="33440EBF" w14:textId="77777777" w:rsidR="008B7E19" w:rsidRDefault="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4"/>
              </w:rPr>
            </w:pPr>
            <w:r w:rsidRPr="0016495E">
              <w:rPr>
                <w:rFonts w:eastAsia="Times New Roman" w:cs="Arial"/>
                <w:b/>
                <w:spacing w:val="-2"/>
                <w:sz w:val="14"/>
                <w:szCs w:val="14"/>
              </w:rPr>
              <w:t>Preferred Shares</w:t>
            </w:r>
          </w:p>
        </w:tc>
        <w:tc>
          <w:tcPr>
            <w:tcW w:w="2366" w:type="dxa"/>
            <w:tcBorders>
              <w:top w:val="single" w:sz="2" w:space="0" w:color="1F4E79" w:themeColor="accent1" w:themeShade="80"/>
              <w:left w:val="nil"/>
              <w:bottom w:val="single" w:sz="2" w:space="0" w:color="1F4E79" w:themeColor="accent1" w:themeShade="80"/>
              <w:right w:val="nil"/>
            </w:tcBorders>
            <w:shd w:val="clear" w:color="auto" w:fill="auto"/>
            <w:vAlign w:val="center"/>
            <w:hideMark/>
          </w:tcPr>
          <w:p w14:paraId="54F690E0" w14:textId="77777777" w:rsidR="008B7E19" w:rsidRDefault="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4"/>
              </w:rPr>
            </w:pPr>
            <w:r>
              <w:rPr>
                <w:rFonts w:eastAsia="Times New Roman" w:cs="Arial"/>
                <w:b/>
                <w:spacing w:val="-2"/>
                <w:sz w:val="14"/>
                <w:szCs w:val="14"/>
              </w:rPr>
              <w:t>Total</w:t>
            </w:r>
          </w:p>
        </w:tc>
      </w:tr>
      <w:tr w:rsidR="008B7E19" w14:paraId="0130A850" w14:textId="77777777" w:rsidTr="00381A79">
        <w:trPr>
          <w:trHeight w:val="238"/>
          <w:jc w:val="center"/>
        </w:trPr>
        <w:tc>
          <w:tcPr>
            <w:cnfStyle w:val="001000000000" w:firstRow="0" w:lastRow="0" w:firstColumn="1" w:lastColumn="0" w:oddVBand="0" w:evenVBand="0" w:oddHBand="0" w:evenHBand="0" w:firstRowFirstColumn="0" w:firstRowLastColumn="0" w:lastRowFirstColumn="0" w:lastRowLastColumn="0"/>
            <w:tcW w:w="2552" w:type="dxa"/>
            <w:tcBorders>
              <w:top w:val="single" w:sz="2" w:space="0" w:color="1F4E79" w:themeColor="accent1" w:themeShade="80"/>
              <w:left w:val="nil"/>
              <w:bottom w:val="nil"/>
              <w:right w:val="nil"/>
            </w:tcBorders>
            <w:vAlign w:val="center"/>
            <w:hideMark/>
          </w:tcPr>
          <w:p w14:paraId="0B7BED03" w14:textId="77777777" w:rsidR="008B7E19" w:rsidRDefault="008B7E19">
            <w:pPr>
              <w:keepNext/>
              <w:keepLines/>
              <w:spacing w:before="40" w:after="40"/>
              <w:rPr>
                <w:rFonts w:eastAsia="Times New Roman" w:cs="Arial"/>
                <w:b w:val="0"/>
                <w:spacing w:val="-2"/>
                <w:sz w:val="14"/>
                <w:szCs w:val="14"/>
              </w:rPr>
            </w:pPr>
            <w:r>
              <w:rPr>
                <w:rFonts w:eastAsia="Times New Roman" w:cs="Arial"/>
                <w:b w:val="0"/>
                <w:spacing w:val="-2"/>
                <w:sz w:val="14"/>
                <w:szCs w:val="14"/>
              </w:rPr>
              <w:t>BB</w:t>
            </w:r>
          </w:p>
        </w:tc>
        <w:tc>
          <w:tcPr>
            <w:tcW w:w="2362" w:type="dxa"/>
            <w:tcBorders>
              <w:top w:val="single" w:sz="2" w:space="0" w:color="1F4E79" w:themeColor="accent1" w:themeShade="80"/>
              <w:left w:val="nil"/>
              <w:bottom w:val="nil"/>
              <w:right w:val="nil"/>
            </w:tcBorders>
            <w:vAlign w:val="center"/>
            <w:hideMark/>
          </w:tcPr>
          <w:p w14:paraId="2C403C32" w14:textId="77777777" w:rsidR="008B7E19" w:rsidRDefault="008B7E19">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8"/>
              </w:rPr>
            </w:pPr>
            <w:r>
              <w:rPr>
                <w:rFonts w:eastAsia="Times New Roman" w:cs="Arial"/>
                <w:spacing w:val="-2"/>
                <w:sz w:val="14"/>
                <w:szCs w:val="18"/>
              </w:rPr>
              <w:t>--</w:t>
            </w:r>
          </w:p>
        </w:tc>
        <w:tc>
          <w:tcPr>
            <w:tcW w:w="2362" w:type="dxa"/>
            <w:tcBorders>
              <w:top w:val="single" w:sz="2" w:space="0" w:color="1F4E79" w:themeColor="accent1" w:themeShade="80"/>
              <w:left w:val="nil"/>
              <w:bottom w:val="nil"/>
              <w:right w:val="nil"/>
            </w:tcBorders>
            <w:vAlign w:val="center"/>
            <w:hideMark/>
          </w:tcPr>
          <w:p w14:paraId="3752152B" w14:textId="77777777" w:rsidR="008B7E19" w:rsidRDefault="008B7E19">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8"/>
              </w:rPr>
            </w:pPr>
            <w:r>
              <w:rPr>
                <w:rFonts w:eastAsia="Times New Roman" w:cs="Arial"/>
                <w:spacing w:val="-2"/>
                <w:sz w:val="14"/>
                <w:szCs w:val="18"/>
              </w:rPr>
              <w:t>100</w:t>
            </w:r>
          </w:p>
        </w:tc>
        <w:tc>
          <w:tcPr>
            <w:tcW w:w="2366" w:type="dxa"/>
            <w:tcBorders>
              <w:top w:val="single" w:sz="2" w:space="0" w:color="1F4E79" w:themeColor="accent1" w:themeShade="80"/>
              <w:left w:val="nil"/>
              <w:bottom w:val="nil"/>
              <w:right w:val="nil"/>
            </w:tcBorders>
            <w:vAlign w:val="center"/>
            <w:hideMark/>
          </w:tcPr>
          <w:p w14:paraId="6302E5A4" w14:textId="77777777" w:rsidR="008B7E19" w:rsidRDefault="008B7E19">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8"/>
              </w:rPr>
            </w:pPr>
            <w:r>
              <w:rPr>
                <w:rFonts w:eastAsia="Times New Roman" w:cs="Arial"/>
                <w:spacing w:val="-2"/>
                <w:sz w:val="14"/>
                <w:szCs w:val="18"/>
              </w:rPr>
              <w:t>50</w:t>
            </w:r>
          </w:p>
        </w:tc>
      </w:tr>
      <w:tr w:rsidR="008B7E19" w14:paraId="403EFAFC" w14:textId="77777777" w:rsidTr="00381A7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552" w:type="dxa"/>
            <w:tcBorders>
              <w:top w:val="nil"/>
              <w:left w:val="nil"/>
              <w:bottom w:val="single" w:sz="2" w:space="0" w:color="1F4E79" w:themeColor="accent1" w:themeShade="80"/>
              <w:right w:val="nil"/>
            </w:tcBorders>
            <w:shd w:val="clear" w:color="auto" w:fill="auto"/>
            <w:vAlign w:val="center"/>
            <w:hideMark/>
          </w:tcPr>
          <w:p w14:paraId="42B5AF79" w14:textId="77777777" w:rsidR="008B7E19" w:rsidRPr="0016495E" w:rsidRDefault="008B7E19">
            <w:pPr>
              <w:keepNext/>
              <w:keepLines/>
              <w:spacing w:before="40" w:after="40"/>
              <w:rPr>
                <w:rFonts w:eastAsia="Times New Roman" w:cs="Arial"/>
                <w:b w:val="0"/>
                <w:spacing w:val="-2"/>
                <w:sz w:val="14"/>
                <w:szCs w:val="14"/>
              </w:rPr>
            </w:pPr>
            <w:r w:rsidRPr="0016495E">
              <w:rPr>
                <w:rFonts w:eastAsia="Times New Roman" w:cs="Arial"/>
                <w:b w:val="0"/>
                <w:spacing w:val="-2"/>
                <w:sz w:val="14"/>
                <w:szCs w:val="14"/>
              </w:rPr>
              <w:t>Brasilseg</w:t>
            </w:r>
          </w:p>
        </w:tc>
        <w:tc>
          <w:tcPr>
            <w:tcW w:w="2362" w:type="dxa"/>
            <w:tcBorders>
              <w:top w:val="nil"/>
              <w:left w:val="nil"/>
              <w:bottom w:val="single" w:sz="2" w:space="0" w:color="1F4E79" w:themeColor="accent1" w:themeShade="80"/>
              <w:right w:val="nil"/>
            </w:tcBorders>
            <w:shd w:val="clear" w:color="auto" w:fill="auto"/>
            <w:vAlign w:val="center"/>
            <w:hideMark/>
          </w:tcPr>
          <w:p w14:paraId="4F198774" w14:textId="77777777" w:rsidR="008B7E19" w:rsidRPr="0016495E" w:rsidRDefault="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8"/>
              </w:rPr>
            </w:pPr>
            <w:r w:rsidRPr="0016495E">
              <w:rPr>
                <w:rFonts w:eastAsia="Times New Roman" w:cs="Arial"/>
                <w:spacing w:val="-2"/>
                <w:sz w:val="14"/>
                <w:szCs w:val="18"/>
              </w:rPr>
              <w:t>100</w:t>
            </w:r>
          </w:p>
        </w:tc>
        <w:tc>
          <w:tcPr>
            <w:tcW w:w="2362" w:type="dxa"/>
            <w:tcBorders>
              <w:top w:val="nil"/>
              <w:left w:val="nil"/>
              <w:bottom w:val="single" w:sz="2" w:space="0" w:color="1F4E79" w:themeColor="accent1" w:themeShade="80"/>
              <w:right w:val="nil"/>
            </w:tcBorders>
            <w:shd w:val="clear" w:color="auto" w:fill="auto"/>
            <w:vAlign w:val="center"/>
            <w:hideMark/>
          </w:tcPr>
          <w:p w14:paraId="216E51EC" w14:textId="77777777" w:rsidR="008B7E19" w:rsidRPr="0016495E" w:rsidRDefault="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8"/>
              </w:rPr>
            </w:pPr>
            <w:r w:rsidRPr="0016495E">
              <w:rPr>
                <w:rFonts w:eastAsia="Times New Roman" w:cs="Arial"/>
                <w:spacing w:val="-2"/>
                <w:sz w:val="14"/>
                <w:szCs w:val="18"/>
              </w:rPr>
              <w:t>--</w:t>
            </w:r>
          </w:p>
        </w:tc>
        <w:tc>
          <w:tcPr>
            <w:tcW w:w="2366" w:type="dxa"/>
            <w:tcBorders>
              <w:top w:val="nil"/>
              <w:left w:val="nil"/>
              <w:bottom w:val="single" w:sz="2" w:space="0" w:color="1F4E79" w:themeColor="accent1" w:themeShade="80"/>
              <w:right w:val="nil"/>
            </w:tcBorders>
            <w:shd w:val="clear" w:color="auto" w:fill="auto"/>
            <w:vAlign w:val="center"/>
            <w:hideMark/>
          </w:tcPr>
          <w:p w14:paraId="204989FA" w14:textId="77777777" w:rsidR="008B7E19" w:rsidRDefault="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8"/>
              </w:rPr>
            </w:pPr>
            <w:r w:rsidRPr="0016495E">
              <w:rPr>
                <w:rFonts w:eastAsia="Times New Roman" w:cs="Arial"/>
                <w:spacing w:val="-2"/>
                <w:sz w:val="14"/>
                <w:szCs w:val="18"/>
              </w:rPr>
              <w:t>50</w:t>
            </w:r>
          </w:p>
        </w:tc>
      </w:tr>
    </w:tbl>
    <w:p w14:paraId="4B2F741B" w14:textId="77777777" w:rsidR="008B7E19" w:rsidRPr="005A67AD" w:rsidRDefault="008B7E19" w:rsidP="008B7E19">
      <w:pPr>
        <w:pStyle w:val="05-Textonormal"/>
        <w:rPr>
          <w:snapToGrid w:val="0"/>
          <w:lang w:val="en-US"/>
        </w:rPr>
      </w:pPr>
      <w:r w:rsidRPr="005A67AD">
        <w:rPr>
          <w:snapToGrid w:val="0"/>
          <w:lang w:val="en-US"/>
        </w:rPr>
        <w:t>Brasilseg invested R$ 31.2 million in Broto to achieve the economic stake provided in the aforementioned table (50%), being the amount composed part of cash and the other part of assets related to the Broto Platform, that were held by the Insurance Company. The same amount was invested by BB to subscribe and pay in the shares corresponding to the other 50% economic stake of the new company.</w:t>
      </w:r>
    </w:p>
    <w:p w14:paraId="7686127C" w14:textId="77777777" w:rsidR="008B7E19" w:rsidRPr="005A67AD" w:rsidRDefault="008B7E19" w:rsidP="008B7E19">
      <w:pPr>
        <w:pStyle w:val="05-Textonormal"/>
        <w:rPr>
          <w:snapToGrid w:val="0"/>
          <w:lang w:val="en-US"/>
        </w:rPr>
      </w:pPr>
      <w:r w:rsidRPr="005A67AD">
        <w:rPr>
          <w:snapToGrid w:val="0"/>
          <w:lang w:val="en-US"/>
        </w:rPr>
        <w:t>Brasilseg keep the access to Broto Platform to sell its insurances, and it is granted to BB Corretora de Seguros e Administradora de Bens S.A. (BB Corretora), a wholly-owned company of BB Seguridade, the exclusivity to intermediating the commercialization of such products.</w:t>
      </w:r>
    </w:p>
    <w:p w14:paraId="108027B8" w14:textId="77777777" w:rsidR="008B7E19" w:rsidRPr="005A67AD" w:rsidRDefault="008B7E19" w:rsidP="008B7E19">
      <w:pPr>
        <w:pStyle w:val="05-Textonormal"/>
        <w:rPr>
          <w:snapToGrid w:val="0"/>
          <w:lang w:val="en-US"/>
        </w:rPr>
      </w:pPr>
      <w:r w:rsidRPr="005A67AD">
        <w:rPr>
          <w:snapToGrid w:val="0"/>
          <w:lang w:val="en-US"/>
        </w:rPr>
        <w:t>On October 28, 2022, Brasilseg, BB and BB Corretora signed, with the intervention and consent of MAPFRE Brasil Participações S.A., BB Seguros and Aliança do Brasil Seguros S.A., the Investment Agreement, establishing, among others, the terms and conditions mentioned above necessary for the constitution of the company Broto. From the implementation of the Precedent Conditions described in the Investment Agreement, related to obtaining the respective regulatory and legal approvals, the operation was consummated on January 4, 2023, the date considered as the closing of the operation and from which the following acts were practiced:</w:t>
      </w:r>
    </w:p>
    <w:p w14:paraId="1F807D4F" w14:textId="77777777" w:rsidR="008B7E19" w:rsidRPr="005A67AD" w:rsidRDefault="008B7E19" w:rsidP="008B7E19">
      <w:pPr>
        <w:pStyle w:val="05-Textonormal"/>
        <w:rPr>
          <w:snapToGrid w:val="0"/>
          <w:lang w:val="en-US"/>
        </w:rPr>
      </w:pPr>
      <w:r w:rsidRPr="005A67AD">
        <w:rPr>
          <w:snapToGrid w:val="0"/>
          <w:lang w:val="en-US"/>
        </w:rPr>
        <w:t>a. formalization of the Shareholders' Agreement and the Operating Agreements for the sale of products at Broto. The first one was signed between Broto and BB, for the distribution of banking and financial products, and the second one was signed between Broto, Brasilseg, ABS and BB Corretora for the distribution of insurance products;</w:t>
      </w:r>
    </w:p>
    <w:p w14:paraId="1F5413C5" w14:textId="77777777" w:rsidR="008B7E19" w:rsidRPr="005A67AD" w:rsidRDefault="008B7E19" w:rsidP="008B7E19">
      <w:pPr>
        <w:pStyle w:val="05-Textonormal"/>
        <w:rPr>
          <w:snapToGrid w:val="0"/>
          <w:lang w:val="en-US"/>
        </w:rPr>
      </w:pPr>
      <w:r w:rsidRPr="005A67AD">
        <w:rPr>
          <w:snapToGrid w:val="0"/>
          <w:lang w:val="en-US"/>
        </w:rPr>
        <w:t>b. Broto's First General Meeting, with the signature of the respective minutes and the respective share subscription forms; deliberation of the Bylaws; subscription and payment of share capital; and election of its Executive Board.</w:t>
      </w:r>
    </w:p>
    <w:p w14:paraId="77873EC2" w14:textId="77777777" w:rsidR="008B7E19" w:rsidRDefault="008B7E19" w:rsidP="008B7E19">
      <w:pPr>
        <w:pStyle w:val="05-Textonormal"/>
        <w:rPr>
          <w:lang w:val="en-US"/>
        </w:rPr>
      </w:pPr>
      <w:r w:rsidRPr="005A67AD">
        <w:rPr>
          <w:snapToGrid w:val="0"/>
          <w:lang w:val="en-US"/>
        </w:rPr>
        <w:t>The corporate documents provide for the granting, by Brasilseg, of a purchase option to BB - not yet exercised - over all of its shares in Broto, exercisable upon payment of the entire amount contributed by the Insurance Company to Broto, restated by the CDI rate accumulated in the period, within a period of up to 12 months, counted from the date of signature of the Shareholders' Agreement, extendable for an equal period.</w:t>
      </w:r>
    </w:p>
    <w:p w14:paraId="1A7FA2A6" w14:textId="77777777" w:rsidR="008B7E19" w:rsidRPr="0042577F" w:rsidRDefault="008B7E19" w:rsidP="008B7E19">
      <w:pPr>
        <w:pStyle w:val="05-Textonormal"/>
        <w:rPr>
          <w:b/>
          <w:snapToGrid w:val="0"/>
          <w:color w:val="1F4E79" w:themeColor="accent1" w:themeShade="80"/>
        </w:rPr>
      </w:pPr>
      <w:r>
        <w:rPr>
          <w:b/>
          <w:snapToGrid w:val="0"/>
          <w:color w:val="1F4E79" w:themeColor="accent1" w:themeShade="80"/>
        </w:rPr>
        <w:t>b</w:t>
      </w:r>
      <w:r w:rsidRPr="0042577F">
        <w:rPr>
          <w:b/>
          <w:snapToGrid w:val="0"/>
          <w:color w:val="1F4E79" w:themeColor="accent1" w:themeShade="80"/>
        </w:rPr>
        <w:t xml:space="preserve">) Brasilcap Capitalização S.A. </w:t>
      </w:r>
    </w:p>
    <w:p w14:paraId="2D8F6BAF" w14:textId="77777777" w:rsidR="008B7E19" w:rsidRPr="005A67AD" w:rsidRDefault="008B7E19" w:rsidP="008B7E19">
      <w:pPr>
        <w:pStyle w:val="05-Textonormal"/>
        <w:rPr>
          <w:rStyle w:val="y2iqfc"/>
          <w:lang w:val="en-US"/>
        </w:rPr>
      </w:pPr>
      <w:r w:rsidRPr="005A67AD">
        <w:rPr>
          <w:rStyle w:val="y2iqfc"/>
          <w:lang w:val="en-US"/>
        </w:rPr>
        <w:t>On December 31, 2021, Brasilcap’s ESM approved the company’s capital increase from R$ 254,392,710.76 to R$ 354,398,110.76, through the issuance of 76,340,000 preferred shares, all nominative with no par value, by the price of R$  1.31 each, in compliance with Article 170, § 1, of Federal Law Nr. 6,404 of 1976, capitalized by credits resulting from the private instrument ”Advances For Future Capital Increases”, concluded on December 22, 2021, between Brasilcap and its shareholders BB Seguros Participações S.A., Icatu Seguros S.A. and Companhia de Seguros Aliança da Bahia.</w:t>
      </w:r>
    </w:p>
    <w:p w14:paraId="7222E6F2" w14:textId="77777777" w:rsidR="008B7E19" w:rsidRPr="005A67AD" w:rsidRDefault="008B7E19" w:rsidP="008B7E19">
      <w:pPr>
        <w:pStyle w:val="05-Textonormal"/>
        <w:rPr>
          <w:rStyle w:val="y2iqfc"/>
          <w:lang w:val="en-US"/>
        </w:rPr>
      </w:pPr>
      <w:r w:rsidRPr="005A67AD">
        <w:rPr>
          <w:rStyle w:val="y2iqfc"/>
          <w:lang w:val="en-US"/>
        </w:rPr>
        <w:t>BB Seguros Participações S.A. subscribed in the proportion of its current economic stake, 50,888,244 preferred shares, equivalent to R$ 66,663,599.64, while Icatu Seguros S.A. subscribed 12,725,878 preferred shares, equivalent to R$ 16,670,900.18, and Companhia de Seguros Aliança da Bahia subscribed 12,085,282 preferred shares, equivalent to R$ 15,831,719.42. In addition, through the capitalization of credits arising from the Advances for Future Capital Increases, Icatu Seguros S.A. subscribed 328,568 preferred shares, equivalent to R$ 430,424.08 and Companhia de Seguros Aliança da Bahia subscribed 312,028 preferred shares, equivalent to R$ 408,756.68, on the condition that, and to the extent that, the other Brasilcap’s minority shareholders do not exercise their preemptive right. The issuance maintained unchanged the current economic stake held by BB Seguros Participações S.A. in Brasilcap’s total capital.</w:t>
      </w:r>
    </w:p>
    <w:p w14:paraId="4002D1F8" w14:textId="77777777" w:rsidR="008B7E19" w:rsidRPr="005A67AD" w:rsidRDefault="008B7E19" w:rsidP="008B7E19">
      <w:pPr>
        <w:pStyle w:val="05-Textonormal"/>
        <w:rPr>
          <w:rStyle w:val="y2iqfc"/>
          <w:lang w:val="en-US"/>
        </w:rPr>
      </w:pPr>
      <w:r w:rsidRPr="005A67AD">
        <w:rPr>
          <w:rStyle w:val="y2iqfc"/>
          <w:lang w:val="en-US"/>
        </w:rPr>
        <w:t>Thus, Brasilcap's paid in capital amounted to R$ 354,398,110.76, divided into 216,010,804 common shares, all nominative with no par value, and 184,329,196 preferred shares, all nominative with no par value.</w:t>
      </w:r>
    </w:p>
    <w:p w14:paraId="473DDAE7" w14:textId="77777777" w:rsidR="008B7E19" w:rsidRPr="005A67AD" w:rsidRDefault="008B7E19" w:rsidP="008B7E19">
      <w:pPr>
        <w:pStyle w:val="05-Textonormal"/>
        <w:rPr>
          <w:rStyle w:val="y2iqfc"/>
          <w:lang w:val="en-US"/>
        </w:rPr>
      </w:pPr>
      <w:r w:rsidRPr="005A67AD">
        <w:rPr>
          <w:rStyle w:val="y2iqfc"/>
          <w:lang w:val="en-US"/>
        </w:rPr>
        <w:t>Considering that the minority shareholders did not exercise their preemptive rights within the allowed period, BB Seguros, due to the terms agreed through the Subscription Commitment Instrument and Other Covenants, started the necessary procedures for the acquisition of the preferred shares, in order to equalize the shareholding proportion held by the majority shareholders before the contribution of capital.</w:t>
      </w:r>
    </w:p>
    <w:p w14:paraId="2B03B885" w14:textId="77777777" w:rsidR="008B7E19" w:rsidRPr="005A67AD" w:rsidRDefault="008B7E19" w:rsidP="008B7E19">
      <w:pPr>
        <w:pStyle w:val="05-Textonormal"/>
        <w:rPr>
          <w:rStyle w:val="y2iqfc"/>
          <w:lang w:val="en-US"/>
        </w:rPr>
      </w:pPr>
      <w:r w:rsidRPr="005A67AD">
        <w:rPr>
          <w:rStyle w:val="y2iqfc"/>
          <w:lang w:val="en-US"/>
        </w:rPr>
        <w:t>On November 25, 2022, the necessary procedures for the acquisition of preferred shares by BB Seguros Participações S.A. were completed through (i) the signing of the terms of transfer of preferred shares, through which Icatu Seguros S.A. transferred 220,877 preferred shares owned by itself to BB Seguros Participações S.A. and Companhia de Seguros Aliança da Bahia transferred 209,758 preferred shares owned by itself to BB Seguros Participações S.A, and, (ii) the financial settlement by BB Seguros Participações S.A., at a issue price of R$ 1.31 per share, plus monetary restatement by the CDI (interbank deposit rate) plus 1% (one percent) per year, applicable pro rata as of December 31, 2021.</w:t>
      </w:r>
    </w:p>
    <w:p w14:paraId="48CA8FAC" w14:textId="77777777" w:rsidR="008B7E19" w:rsidRPr="005A67AD" w:rsidRDefault="008B7E19" w:rsidP="008B7E19">
      <w:pPr>
        <w:pStyle w:val="05-Textonormal"/>
        <w:rPr>
          <w:lang w:val="en-US"/>
        </w:rPr>
      </w:pPr>
      <w:r>
        <w:rPr>
          <w:rFonts w:cs="Arial"/>
          <w:lang w:val="en-US"/>
        </w:rPr>
        <w:t>Since November 25, 2022</w:t>
      </w:r>
      <w:r>
        <w:rPr>
          <w:rStyle w:val="y2iqfc"/>
          <w:rFonts w:cs="Arial"/>
          <w:lang w:val="en-US"/>
        </w:rPr>
        <w:t xml:space="preserve">, </w:t>
      </w:r>
      <w:r w:rsidRPr="009B63CB">
        <w:rPr>
          <w:rStyle w:val="y2iqfc"/>
          <w:rFonts w:cs="Arial"/>
          <w:lang w:val="en-US"/>
        </w:rPr>
        <w:t>when: (i) BB Seguros held 86.192% of preferred shares and 66.660% of the total; (ii) Icatu held 7.082% of preferred shares and 16.752% of the total; and (iii) Aliança da Bahia held 6.726% of preferred shares and 15.909% of the total</w:t>
      </w:r>
      <w:r>
        <w:rPr>
          <w:rStyle w:val="y2iqfc"/>
          <w:rFonts w:cs="Arial"/>
          <w:lang w:val="en-US"/>
        </w:rPr>
        <w:t xml:space="preserve">, Brasilcap’s capital, fully subscribed and paid in, has been </w:t>
      </w:r>
      <w:r w:rsidRPr="005A67AD">
        <w:rPr>
          <w:rStyle w:val="y2iqfc"/>
          <w:rFonts w:cs="Arial"/>
          <w:lang w:val="en-US"/>
        </w:rPr>
        <w:t xml:space="preserve">distributed between shareholders as </w:t>
      </w:r>
      <w:r w:rsidRPr="005A67AD">
        <w:rPr>
          <w:lang w:val="en-US"/>
        </w:rPr>
        <w:t>follows:</w:t>
      </w:r>
    </w:p>
    <w:tbl>
      <w:tblPr>
        <w:tblStyle w:val="TabeladeLista6Colorida-nfase5"/>
        <w:tblW w:w="9639" w:type="dxa"/>
        <w:jc w:val="center"/>
        <w:tblLayout w:type="fixed"/>
        <w:tblLook w:val="04A0" w:firstRow="1" w:lastRow="0" w:firstColumn="1" w:lastColumn="0" w:noHBand="0" w:noVBand="1"/>
      </w:tblPr>
      <w:tblGrid>
        <w:gridCol w:w="2552"/>
        <w:gridCol w:w="1181"/>
        <w:gridCol w:w="1181"/>
        <w:gridCol w:w="1181"/>
        <w:gridCol w:w="1181"/>
        <w:gridCol w:w="1181"/>
        <w:gridCol w:w="1182"/>
      </w:tblGrid>
      <w:tr w:rsidR="008B7E19" w:rsidRPr="00B05866" w14:paraId="59DE1A9E" w14:textId="77777777" w:rsidTr="00381A79">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552" w:type="dxa"/>
            <w:vMerge w:val="restart"/>
            <w:tcBorders>
              <w:top w:val="single" w:sz="2" w:space="0" w:color="1F4E79" w:themeColor="accent1" w:themeShade="80"/>
              <w:bottom w:val="single" w:sz="2" w:space="0" w:color="1F4E79" w:themeColor="accent1" w:themeShade="80"/>
            </w:tcBorders>
            <w:shd w:val="clear" w:color="auto" w:fill="auto"/>
            <w:vAlign w:val="center"/>
            <w:hideMark/>
          </w:tcPr>
          <w:p w14:paraId="1DF68CA8" w14:textId="77777777" w:rsidR="008B7E19" w:rsidRPr="00B05866" w:rsidRDefault="008B7E19" w:rsidP="008B7E19">
            <w:pPr>
              <w:rPr>
                <w:rFonts w:cs="Arial"/>
                <w:szCs w:val="18"/>
              </w:rPr>
            </w:pPr>
            <w:r w:rsidRPr="00DC796F">
              <w:rPr>
                <w:rFonts w:cs="Arial"/>
                <w:sz w:val="14"/>
                <w:szCs w:val="14"/>
              </w:rPr>
              <w:t>Shareholders</w:t>
            </w:r>
          </w:p>
        </w:tc>
        <w:tc>
          <w:tcPr>
            <w:tcW w:w="2362" w:type="dxa"/>
            <w:gridSpan w:val="2"/>
            <w:tcBorders>
              <w:top w:val="single" w:sz="2" w:space="0" w:color="1F4E79" w:themeColor="accent1" w:themeShade="80"/>
              <w:bottom w:val="single" w:sz="2" w:space="0" w:color="1F4E79" w:themeColor="accent1" w:themeShade="80"/>
            </w:tcBorders>
            <w:shd w:val="clear" w:color="auto" w:fill="auto"/>
            <w:vAlign w:val="center"/>
            <w:hideMark/>
          </w:tcPr>
          <w:p w14:paraId="167ED456" w14:textId="77777777" w:rsidR="008B7E19" w:rsidRPr="00B05866" w:rsidRDefault="008B7E19" w:rsidP="008B7E19">
            <w:pPr>
              <w:keepNext/>
              <w:keepLines/>
              <w:spacing w:before="40" w:after="40"/>
              <w:jc w:val="center"/>
              <w:cnfStyle w:val="100000000000" w:firstRow="1" w:lastRow="0" w:firstColumn="0" w:lastColumn="0" w:oddVBand="0" w:evenVBand="0" w:oddHBand="0" w:evenHBand="0" w:firstRowFirstColumn="0" w:firstRowLastColumn="0" w:lastRowFirstColumn="0" w:lastRowLastColumn="0"/>
              <w:rPr>
                <w:rFonts w:eastAsia="Times New Roman" w:cs="Arial"/>
                <w:bCs w:val="0"/>
                <w:spacing w:val="-2"/>
                <w:sz w:val="14"/>
                <w:szCs w:val="14"/>
              </w:rPr>
            </w:pPr>
            <w:r w:rsidRPr="00DC796F">
              <w:rPr>
                <w:rFonts w:eastAsia="Times New Roman" w:cs="Arial"/>
                <w:spacing w:val="-2"/>
                <w:sz w:val="14"/>
                <w:szCs w:val="14"/>
              </w:rPr>
              <w:t>Common Shares</w:t>
            </w:r>
          </w:p>
        </w:tc>
        <w:tc>
          <w:tcPr>
            <w:tcW w:w="2362" w:type="dxa"/>
            <w:gridSpan w:val="2"/>
            <w:tcBorders>
              <w:top w:val="single" w:sz="2" w:space="0" w:color="1F4E79" w:themeColor="accent1" w:themeShade="80"/>
              <w:bottom w:val="single" w:sz="2" w:space="0" w:color="1F4E79" w:themeColor="accent1" w:themeShade="80"/>
            </w:tcBorders>
            <w:shd w:val="clear" w:color="auto" w:fill="auto"/>
            <w:vAlign w:val="center"/>
            <w:hideMark/>
          </w:tcPr>
          <w:p w14:paraId="1AA4AFC6" w14:textId="77777777" w:rsidR="008B7E19" w:rsidRPr="00B05866" w:rsidRDefault="008B7E19" w:rsidP="008B7E19">
            <w:pPr>
              <w:keepNext/>
              <w:keepLines/>
              <w:spacing w:before="40" w:after="40"/>
              <w:jc w:val="center"/>
              <w:cnfStyle w:val="100000000000" w:firstRow="1" w:lastRow="0" w:firstColumn="0" w:lastColumn="0" w:oddVBand="0" w:evenVBand="0" w:oddHBand="0" w:evenHBand="0" w:firstRowFirstColumn="0" w:firstRowLastColumn="0" w:lastRowFirstColumn="0" w:lastRowLastColumn="0"/>
              <w:rPr>
                <w:rFonts w:eastAsia="Times New Roman" w:cs="Arial"/>
                <w:bCs w:val="0"/>
                <w:spacing w:val="-2"/>
                <w:sz w:val="14"/>
                <w:szCs w:val="14"/>
              </w:rPr>
            </w:pPr>
            <w:r w:rsidRPr="00DC796F">
              <w:rPr>
                <w:rFonts w:eastAsia="Times New Roman" w:cs="Arial"/>
                <w:spacing w:val="-2"/>
                <w:sz w:val="14"/>
                <w:szCs w:val="14"/>
              </w:rPr>
              <w:t>Preferred Shares</w:t>
            </w:r>
          </w:p>
        </w:tc>
        <w:tc>
          <w:tcPr>
            <w:tcW w:w="2363" w:type="dxa"/>
            <w:gridSpan w:val="2"/>
            <w:tcBorders>
              <w:top w:val="single" w:sz="2" w:space="0" w:color="1F4E79" w:themeColor="accent1" w:themeShade="80"/>
              <w:bottom w:val="single" w:sz="2" w:space="0" w:color="1F4E79" w:themeColor="accent1" w:themeShade="80"/>
            </w:tcBorders>
            <w:shd w:val="clear" w:color="auto" w:fill="auto"/>
            <w:vAlign w:val="center"/>
            <w:hideMark/>
          </w:tcPr>
          <w:p w14:paraId="3AF8122D" w14:textId="77777777" w:rsidR="008B7E19" w:rsidRPr="00B05866" w:rsidRDefault="008B7E19" w:rsidP="008B7E19">
            <w:pPr>
              <w:keepNext/>
              <w:keepLines/>
              <w:spacing w:before="40" w:after="40"/>
              <w:jc w:val="center"/>
              <w:cnfStyle w:val="100000000000" w:firstRow="1" w:lastRow="0" w:firstColumn="0" w:lastColumn="0" w:oddVBand="0" w:evenVBand="0" w:oddHBand="0" w:evenHBand="0" w:firstRowFirstColumn="0" w:firstRowLastColumn="0" w:lastRowFirstColumn="0" w:lastRowLastColumn="0"/>
              <w:rPr>
                <w:rFonts w:eastAsia="Times New Roman" w:cs="Arial"/>
                <w:bCs w:val="0"/>
                <w:spacing w:val="-2"/>
                <w:sz w:val="14"/>
                <w:szCs w:val="14"/>
              </w:rPr>
            </w:pPr>
            <w:r w:rsidRPr="00B05866">
              <w:rPr>
                <w:rFonts w:eastAsia="Times New Roman" w:cs="Arial"/>
                <w:spacing w:val="-2"/>
                <w:sz w:val="14"/>
                <w:szCs w:val="14"/>
              </w:rPr>
              <w:t>Total</w:t>
            </w:r>
          </w:p>
        </w:tc>
      </w:tr>
      <w:tr w:rsidR="008B7E19" w:rsidRPr="00B05866" w14:paraId="75A01B07" w14:textId="77777777" w:rsidTr="00381A7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552" w:type="dxa"/>
            <w:vMerge/>
            <w:tcBorders>
              <w:top w:val="single" w:sz="2" w:space="0" w:color="1F4E79" w:themeColor="accent1" w:themeShade="80"/>
              <w:bottom w:val="single" w:sz="2" w:space="0" w:color="1F4E79" w:themeColor="accent1" w:themeShade="80"/>
            </w:tcBorders>
            <w:shd w:val="clear" w:color="auto" w:fill="auto"/>
            <w:hideMark/>
          </w:tcPr>
          <w:p w14:paraId="38B00A2C" w14:textId="77777777" w:rsidR="008B7E19" w:rsidRPr="00B05866" w:rsidRDefault="008B7E19" w:rsidP="008B7E19">
            <w:pPr>
              <w:rPr>
                <w:rFonts w:cs="Arial"/>
                <w:szCs w:val="18"/>
              </w:rPr>
            </w:pPr>
          </w:p>
        </w:tc>
        <w:tc>
          <w:tcPr>
            <w:tcW w:w="1181" w:type="dxa"/>
            <w:tcBorders>
              <w:top w:val="single" w:sz="2" w:space="0" w:color="1F4E79" w:themeColor="accent1" w:themeShade="80"/>
              <w:bottom w:val="single" w:sz="2" w:space="0" w:color="1F4E79" w:themeColor="accent1" w:themeShade="80"/>
            </w:tcBorders>
            <w:shd w:val="clear" w:color="auto" w:fill="auto"/>
            <w:vAlign w:val="center"/>
            <w:hideMark/>
          </w:tcPr>
          <w:p w14:paraId="54830D9A" w14:textId="77777777" w:rsidR="008B7E19" w:rsidRPr="00B05866"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4"/>
              </w:rPr>
            </w:pPr>
            <w:r w:rsidRPr="00DC796F">
              <w:rPr>
                <w:rFonts w:eastAsia="Times New Roman" w:cs="Arial"/>
                <w:b/>
                <w:spacing w:val="-2"/>
                <w:sz w:val="14"/>
                <w:szCs w:val="14"/>
              </w:rPr>
              <w:t>Amount</w:t>
            </w:r>
          </w:p>
        </w:tc>
        <w:tc>
          <w:tcPr>
            <w:tcW w:w="1181" w:type="dxa"/>
            <w:tcBorders>
              <w:top w:val="single" w:sz="2" w:space="0" w:color="1F4E79" w:themeColor="accent1" w:themeShade="80"/>
              <w:bottom w:val="single" w:sz="2" w:space="0" w:color="1F4E79" w:themeColor="accent1" w:themeShade="80"/>
            </w:tcBorders>
            <w:shd w:val="clear" w:color="auto" w:fill="auto"/>
            <w:vAlign w:val="center"/>
            <w:hideMark/>
          </w:tcPr>
          <w:p w14:paraId="42ADC20F" w14:textId="77777777" w:rsidR="008B7E19" w:rsidRPr="00B05866"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4"/>
              </w:rPr>
            </w:pPr>
            <w:r w:rsidRPr="00B05866">
              <w:rPr>
                <w:rFonts w:eastAsia="Times New Roman" w:cs="Arial"/>
                <w:b/>
                <w:spacing w:val="-2"/>
                <w:sz w:val="14"/>
                <w:szCs w:val="14"/>
              </w:rPr>
              <w:t>%</w:t>
            </w:r>
          </w:p>
        </w:tc>
        <w:tc>
          <w:tcPr>
            <w:tcW w:w="1181" w:type="dxa"/>
            <w:tcBorders>
              <w:top w:val="single" w:sz="2" w:space="0" w:color="1F4E79" w:themeColor="accent1" w:themeShade="80"/>
              <w:bottom w:val="single" w:sz="2" w:space="0" w:color="1F4E79" w:themeColor="accent1" w:themeShade="80"/>
            </w:tcBorders>
            <w:shd w:val="clear" w:color="auto" w:fill="auto"/>
            <w:vAlign w:val="center"/>
            <w:hideMark/>
          </w:tcPr>
          <w:p w14:paraId="1EFA8F9E" w14:textId="77777777" w:rsidR="008B7E19" w:rsidRPr="00B05866"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4"/>
              </w:rPr>
            </w:pPr>
            <w:r w:rsidRPr="00DC796F">
              <w:rPr>
                <w:rFonts w:eastAsia="Times New Roman" w:cs="Arial"/>
                <w:b/>
                <w:spacing w:val="-2"/>
                <w:sz w:val="14"/>
                <w:szCs w:val="14"/>
              </w:rPr>
              <w:t>Amount</w:t>
            </w:r>
          </w:p>
        </w:tc>
        <w:tc>
          <w:tcPr>
            <w:tcW w:w="1181" w:type="dxa"/>
            <w:tcBorders>
              <w:top w:val="single" w:sz="2" w:space="0" w:color="1F4E79" w:themeColor="accent1" w:themeShade="80"/>
              <w:bottom w:val="single" w:sz="2" w:space="0" w:color="1F4E79" w:themeColor="accent1" w:themeShade="80"/>
            </w:tcBorders>
            <w:shd w:val="clear" w:color="auto" w:fill="auto"/>
            <w:vAlign w:val="center"/>
            <w:hideMark/>
          </w:tcPr>
          <w:p w14:paraId="0D6475E5" w14:textId="77777777" w:rsidR="008B7E19" w:rsidRPr="00B05866"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4"/>
              </w:rPr>
            </w:pPr>
            <w:r w:rsidRPr="00B05866">
              <w:rPr>
                <w:rFonts w:eastAsia="Times New Roman" w:cs="Arial"/>
                <w:b/>
                <w:spacing w:val="-2"/>
                <w:sz w:val="14"/>
                <w:szCs w:val="14"/>
              </w:rPr>
              <w:t>%</w:t>
            </w:r>
          </w:p>
        </w:tc>
        <w:tc>
          <w:tcPr>
            <w:tcW w:w="1181" w:type="dxa"/>
            <w:tcBorders>
              <w:top w:val="single" w:sz="2" w:space="0" w:color="1F4E79" w:themeColor="accent1" w:themeShade="80"/>
              <w:bottom w:val="single" w:sz="2" w:space="0" w:color="1F4E79" w:themeColor="accent1" w:themeShade="80"/>
            </w:tcBorders>
            <w:shd w:val="clear" w:color="auto" w:fill="auto"/>
            <w:vAlign w:val="center"/>
            <w:hideMark/>
          </w:tcPr>
          <w:p w14:paraId="620B8F55" w14:textId="77777777" w:rsidR="008B7E19" w:rsidRPr="00B05866"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4"/>
              </w:rPr>
            </w:pPr>
            <w:r w:rsidRPr="00DC796F">
              <w:rPr>
                <w:rFonts w:eastAsia="Times New Roman" w:cs="Arial"/>
                <w:b/>
                <w:spacing w:val="-2"/>
                <w:sz w:val="14"/>
                <w:szCs w:val="14"/>
              </w:rPr>
              <w:t>Amount</w:t>
            </w:r>
          </w:p>
        </w:tc>
        <w:tc>
          <w:tcPr>
            <w:tcW w:w="1182" w:type="dxa"/>
            <w:tcBorders>
              <w:top w:val="single" w:sz="2" w:space="0" w:color="1F4E79" w:themeColor="accent1" w:themeShade="80"/>
              <w:bottom w:val="single" w:sz="2" w:space="0" w:color="1F4E79" w:themeColor="accent1" w:themeShade="80"/>
            </w:tcBorders>
            <w:shd w:val="clear" w:color="auto" w:fill="auto"/>
            <w:vAlign w:val="center"/>
            <w:hideMark/>
          </w:tcPr>
          <w:p w14:paraId="7086921B" w14:textId="77777777" w:rsidR="008B7E19" w:rsidRPr="00B05866"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4"/>
              </w:rPr>
            </w:pPr>
            <w:r w:rsidRPr="00B05866">
              <w:rPr>
                <w:rFonts w:eastAsia="Times New Roman" w:cs="Arial"/>
                <w:b/>
                <w:spacing w:val="-2"/>
                <w:sz w:val="14"/>
                <w:szCs w:val="14"/>
              </w:rPr>
              <w:t>%</w:t>
            </w:r>
          </w:p>
        </w:tc>
      </w:tr>
      <w:tr w:rsidR="008B7E19" w:rsidRPr="00B05866" w14:paraId="6FDA62C3" w14:textId="77777777" w:rsidTr="00381A79">
        <w:trPr>
          <w:trHeight w:val="238"/>
          <w:jc w:val="center"/>
        </w:trPr>
        <w:tc>
          <w:tcPr>
            <w:cnfStyle w:val="001000000000" w:firstRow="0" w:lastRow="0" w:firstColumn="1" w:lastColumn="0" w:oddVBand="0" w:evenVBand="0" w:oddHBand="0" w:evenHBand="0" w:firstRowFirstColumn="0" w:firstRowLastColumn="0" w:lastRowFirstColumn="0" w:lastRowLastColumn="0"/>
            <w:tcW w:w="2552" w:type="dxa"/>
            <w:tcBorders>
              <w:top w:val="single" w:sz="2" w:space="0" w:color="1F4E79" w:themeColor="accent1" w:themeShade="80"/>
              <w:bottom w:val="nil"/>
            </w:tcBorders>
            <w:shd w:val="clear" w:color="auto" w:fill="auto"/>
            <w:vAlign w:val="center"/>
            <w:hideMark/>
          </w:tcPr>
          <w:p w14:paraId="1A39DA40" w14:textId="77777777" w:rsidR="008B7E19" w:rsidRPr="00040CC8" w:rsidRDefault="008B7E19" w:rsidP="008B7E19">
            <w:pPr>
              <w:keepNext/>
              <w:keepLines/>
              <w:spacing w:before="40" w:after="40"/>
              <w:rPr>
                <w:rFonts w:eastAsia="Times New Roman" w:cs="Arial"/>
                <w:b w:val="0"/>
                <w:spacing w:val="-2"/>
                <w:sz w:val="14"/>
                <w:szCs w:val="14"/>
              </w:rPr>
            </w:pPr>
            <w:r w:rsidRPr="00040CC8">
              <w:rPr>
                <w:rFonts w:eastAsia="Times New Roman" w:cs="Arial"/>
                <w:b w:val="0"/>
                <w:spacing w:val="-2"/>
                <w:sz w:val="14"/>
                <w:szCs w:val="14"/>
              </w:rPr>
              <w:t>BB Seguros</w:t>
            </w:r>
          </w:p>
        </w:tc>
        <w:tc>
          <w:tcPr>
            <w:tcW w:w="1181" w:type="dxa"/>
            <w:tcBorders>
              <w:top w:val="single" w:sz="2" w:space="0" w:color="1F4E79" w:themeColor="accent1" w:themeShade="80"/>
              <w:bottom w:val="nil"/>
            </w:tcBorders>
            <w:shd w:val="clear" w:color="auto" w:fill="auto"/>
            <w:vAlign w:val="center"/>
            <w:hideMark/>
          </w:tcPr>
          <w:p w14:paraId="387682B9" w14:textId="77777777" w:rsidR="008B7E19" w:rsidRPr="00040CC8" w:rsidRDefault="008B7E19" w:rsidP="008B7E19">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color w:val="auto"/>
                <w:spacing w:val="-2"/>
                <w:sz w:val="14"/>
                <w:szCs w:val="18"/>
              </w:rPr>
            </w:pPr>
            <w:r w:rsidRPr="00040CC8">
              <w:rPr>
                <w:rFonts w:eastAsia="Times New Roman" w:cs="Arial"/>
                <w:color w:val="auto"/>
                <w:spacing w:val="-2"/>
                <w:sz w:val="14"/>
                <w:szCs w:val="18"/>
              </w:rPr>
              <w:t>107</w:t>
            </w:r>
            <w:r>
              <w:rPr>
                <w:rFonts w:eastAsia="Times New Roman" w:cs="Arial"/>
                <w:color w:val="auto"/>
                <w:spacing w:val="-2"/>
                <w:sz w:val="14"/>
                <w:szCs w:val="18"/>
              </w:rPr>
              <w:t>,</w:t>
            </w:r>
            <w:r w:rsidRPr="00040CC8">
              <w:rPr>
                <w:rFonts w:eastAsia="Times New Roman" w:cs="Arial"/>
                <w:color w:val="auto"/>
                <w:spacing w:val="-2"/>
                <w:sz w:val="14"/>
                <w:szCs w:val="18"/>
              </w:rPr>
              <w:t>989</w:t>
            </w:r>
            <w:r>
              <w:rPr>
                <w:rFonts w:eastAsia="Times New Roman" w:cs="Arial"/>
                <w:color w:val="auto"/>
                <w:spacing w:val="-2"/>
                <w:sz w:val="14"/>
                <w:szCs w:val="18"/>
              </w:rPr>
              <w:t>,</w:t>
            </w:r>
            <w:r w:rsidRPr="00040CC8">
              <w:rPr>
                <w:rFonts w:eastAsia="Times New Roman" w:cs="Arial"/>
                <w:color w:val="auto"/>
                <w:spacing w:val="-2"/>
                <w:sz w:val="14"/>
                <w:szCs w:val="18"/>
              </w:rPr>
              <w:t>204</w:t>
            </w:r>
          </w:p>
        </w:tc>
        <w:tc>
          <w:tcPr>
            <w:tcW w:w="1181" w:type="dxa"/>
            <w:tcBorders>
              <w:top w:val="single" w:sz="2" w:space="0" w:color="1F4E79" w:themeColor="accent1" w:themeShade="80"/>
              <w:bottom w:val="nil"/>
            </w:tcBorders>
            <w:shd w:val="clear" w:color="auto" w:fill="auto"/>
            <w:vAlign w:val="center"/>
            <w:hideMark/>
          </w:tcPr>
          <w:p w14:paraId="3581B2E6" w14:textId="77777777" w:rsidR="008B7E19" w:rsidRPr="00040CC8" w:rsidRDefault="008B7E19" w:rsidP="008B7E19">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8"/>
              </w:rPr>
            </w:pPr>
            <w:r w:rsidRPr="00040CC8">
              <w:rPr>
                <w:rFonts w:eastAsia="Times New Roman" w:cs="Arial"/>
                <w:spacing w:val="-2"/>
                <w:sz w:val="14"/>
                <w:szCs w:val="18"/>
              </w:rPr>
              <w:t>49</w:t>
            </w:r>
            <w:r>
              <w:rPr>
                <w:rFonts w:eastAsia="Times New Roman" w:cs="Arial"/>
                <w:spacing w:val="-2"/>
                <w:sz w:val="14"/>
                <w:szCs w:val="18"/>
              </w:rPr>
              <w:t>.</w:t>
            </w:r>
            <w:r w:rsidRPr="00040CC8">
              <w:rPr>
                <w:rFonts w:eastAsia="Times New Roman" w:cs="Arial"/>
                <w:spacing w:val="-2"/>
                <w:sz w:val="14"/>
                <w:szCs w:val="18"/>
              </w:rPr>
              <w:t>99</w:t>
            </w:r>
            <w:r>
              <w:rPr>
                <w:rFonts w:eastAsia="Times New Roman" w:cs="Arial"/>
                <w:spacing w:val="-2"/>
                <w:sz w:val="14"/>
                <w:szCs w:val="18"/>
              </w:rPr>
              <w:t>2</w:t>
            </w:r>
          </w:p>
        </w:tc>
        <w:tc>
          <w:tcPr>
            <w:tcW w:w="1181" w:type="dxa"/>
            <w:tcBorders>
              <w:top w:val="single" w:sz="2" w:space="0" w:color="1F4E79" w:themeColor="accent1" w:themeShade="80"/>
              <w:bottom w:val="nil"/>
            </w:tcBorders>
            <w:shd w:val="clear" w:color="auto" w:fill="auto"/>
            <w:vAlign w:val="center"/>
            <w:hideMark/>
          </w:tcPr>
          <w:p w14:paraId="4BB8E42A" w14:textId="77777777" w:rsidR="008B7E19" w:rsidRPr="00040CC8" w:rsidRDefault="008B7E19" w:rsidP="008B7E19">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color w:val="auto"/>
                <w:spacing w:val="-2"/>
                <w:sz w:val="14"/>
                <w:szCs w:val="18"/>
              </w:rPr>
            </w:pPr>
            <w:r w:rsidRPr="00040CC8">
              <w:rPr>
                <w:rFonts w:eastAsia="Times New Roman" w:cs="Arial"/>
                <w:color w:val="auto"/>
                <w:spacing w:val="-2"/>
                <w:sz w:val="14"/>
                <w:szCs w:val="18"/>
              </w:rPr>
              <w:t>159</w:t>
            </w:r>
            <w:r>
              <w:rPr>
                <w:rFonts w:eastAsia="Times New Roman" w:cs="Arial"/>
                <w:color w:val="auto"/>
                <w:spacing w:val="-2"/>
                <w:sz w:val="14"/>
                <w:szCs w:val="18"/>
              </w:rPr>
              <w:t>,</w:t>
            </w:r>
            <w:r w:rsidRPr="00040CC8">
              <w:rPr>
                <w:rFonts w:eastAsia="Times New Roman" w:cs="Arial"/>
                <w:color w:val="auto"/>
                <w:spacing w:val="-2"/>
                <w:sz w:val="14"/>
                <w:szCs w:val="18"/>
              </w:rPr>
              <w:t>308</w:t>
            </w:r>
            <w:r>
              <w:rPr>
                <w:rFonts w:eastAsia="Times New Roman" w:cs="Arial"/>
                <w:color w:val="auto"/>
                <w:spacing w:val="-2"/>
                <w:sz w:val="14"/>
                <w:szCs w:val="18"/>
              </w:rPr>
              <w:t>,</w:t>
            </w:r>
            <w:r w:rsidRPr="00040CC8">
              <w:rPr>
                <w:rFonts w:eastAsia="Times New Roman" w:cs="Arial"/>
                <w:color w:val="auto"/>
                <w:spacing w:val="-2"/>
                <w:sz w:val="14"/>
                <w:szCs w:val="18"/>
              </w:rPr>
              <w:t>075</w:t>
            </w:r>
          </w:p>
        </w:tc>
        <w:tc>
          <w:tcPr>
            <w:tcW w:w="1181" w:type="dxa"/>
            <w:tcBorders>
              <w:top w:val="single" w:sz="2" w:space="0" w:color="1F4E79" w:themeColor="accent1" w:themeShade="80"/>
              <w:bottom w:val="nil"/>
            </w:tcBorders>
            <w:shd w:val="clear" w:color="auto" w:fill="auto"/>
            <w:vAlign w:val="center"/>
            <w:hideMark/>
          </w:tcPr>
          <w:p w14:paraId="0F160B75" w14:textId="77777777" w:rsidR="008B7E19" w:rsidRPr="00040CC8" w:rsidRDefault="008B7E19" w:rsidP="008B7E19">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8"/>
              </w:rPr>
            </w:pPr>
            <w:r w:rsidRPr="00040CC8">
              <w:rPr>
                <w:rFonts w:eastAsia="Times New Roman" w:cs="Arial"/>
                <w:spacing w:val="-2"/>
                <w:sz w:val="14"/>
                <w:szCs w:val="18"/>
              </w:rPr>
              <w:t>86</w:t>
            </w:r>
            <w:r>
              <w:rPr>
                <w:rFonts w:eastAsia="Times New Roman" w:cs="Arial"/>
                <w:spacing w:val="-2"/>
                <w:sz w:val="14"/>
                <w:szCs w:val="18"/>
              </w:rPr>
              <w:t>.</w:t>
            </w:r>
            <w:r w:rsidRPr="00040CC8">
              <w:rPr>
                <w:rFonts w:eastAsia="Times New Roman" w:cs="Arial"/>
                <w:spacing w:val="-2"/>
                <w:sz w:val="14"/>
                <w:szCs w:val="18"/>
              </w:rPr>
              <w:t>4</w:t>
            </w:r>
            <w:r>
              <w:rPr>
                <w:rFonts w:eastAsia="Times New Roman" w:cs="Arial"/>
                <w:spacing w:val="-2"/>
                <w:sz w:val="14"/>
                <w:szCs w:val="18"/>
              </w:rPr>
              <w:t xml:space="preserve">26 </w:t>
            </w:r>
            <w:r w:rsidRPr="00042200">
              <w:rPr>
                <w:rFonts w:eastAsia="Times New Roman" w:cs="Arial"/>
                <w:spacing w:val="-2"/>
                <w:sz w:val="14"/>
                <w:szCs w:val="18"/>
                <w:vertAlign w:val="superscript"/>
              </w:rPr>
              <w:t>(1)</w:t>
            </w:r>
          </w:p>
        </w:tc>
        <w:tc>
          <w:tcPr>
            <w:tcW w:w="1181" w:type="dxa"/>
            <w:tcBorders>
              <w:top w:val="single" w:sz="2" w:space="0" w:color="1F4E79" w:themeColor="accent1" w:themeShade="80"/>
              <w:bottom w:val="nil"/>
            </w:tcBorders>
            <w:shd w:val="clear" w:color="auto" w:fill="auto"/>
            <w:vAlign w:val="center"/>
            <w:hideMark/>
          </w:tcPr>
          <w:p w14:paraId="5BC24611" w14:textId="77777777" w:rsidR="008B7E19" w:rsidRPr="00040CC8" w:rsidRDefault="008B7E19" w:rsidP="008B7E19">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color w:val="auto"/>
                <w:spacing w:val="-2"/>
                <w:sz w:val="14"/>
                <w:szCs w:val="18"/>
              </w:rPr>
            </w:pPr>
            <w:r w:rsidRPr="00040CC8">
              <w:rPr>
                <w:rFonts w:eastAsia="Times New Roman" w:cs="Arial"/>
                <w:color w:val="auto"/>
                <w:spacing w:val="-2"/>
                <w:sz w:val="14"/>
                <w:szCs w:val="18"/>
              </w:rPr>
              <w:t>267</w:t>
            </w:r>
            <w:r>
              <w:rPr>
                <w:rFonts w:eastAsia="Times New Roman" w:cs="Arial"/>
                <w:color w:val="auto"/>
                <w:spacing w:val="-2"/>
                <w:sz w:val="14"/>
                <w:szCs w:val="18"/>
              </w:rPr>
              <w:t>,</w:t>
            </w:r>
            <w:r w:rsidRPr="00040CC8">
              <w:rPr>
                <w:rFonts w:eastAsia="Times New Roman" w:cs="Arial"/>
                <w:color w:val="auto"/>
                <w:spacing w:val="-2"/>
                <w:sz w:val="14"/>
                <w:szCs w:val="18"/>
              </w:rPr>
              <w:t>297</w:t>
            </w:r>
            <w:r>
              <w:rPr>
                <w:rFonts w:eastAsia="Times New Roman" w:cs="Arial"/>
                <w:color w:val="auto"/>
                <w:spacing w:val="-2"/>
                <w:sz w:val="14"/>
                <w:szCs w:val="18"/>
              </w:rPr>
              <w:t>,</w:t>
            </w:r>
            <w:r w:rsidRPr="00040CC8">
              <w:rPr>
                <w:rFonts w:eastAsia="Times New Roman" w:cs="Arial"/>
                <w:color w:val="auto"/>
                <w:spacing w:val="-2"/>
                <w:sz w:val="14"/>
                <w:szCs w:val="18"/>
              </w:rPr>
              <w:t>279</w:t>
            </w:r>
          </w:p>
        </w:tc>
        <w:tc>
          <w:tcPr>
            <w:tcW w:w="1182" w:type="dxa"/>
            <w:tcBorders>
              <w:top w:val="single" w:sz="2" w:space="0" w:color="1F4E79" w:themeColor="accent1" w:themeShade="80"/>
              <w:bottom w:val="nil"/>
            </w:tcBorders>
            <w:shd w:val="clear" w:color="auto" w:fill="auto"/>
            <w:vAlign w:val="center"/>
            <w:hideMark/>
          </w:tcPr>
          <w:p w14:paraId="4706EDB7" w14:textId="77777777" w:rsidR="008B7E19" w:rsidRPr="00040CC8" w:rsidRDefault="008B7E19" w:rsidP="008B7E19">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8"/>
              </w:rPr>
            </w:pPr>
            <w:r w:rsidRPr="00040CC8">
              <w:rPr>
                <w:rFonts w:eastAsia="Times New Roman" w:cs="Arial"/>
                <w:spacing w:val="-2"/>
                <w:sz w:val="14"/>
                <w:szCs w:val="18"/>
              </w:rPr>
              <w:t>66</w:t>
            </w:r>
            <w:r>
              <w:rPr>
                <w:rFonts w:eastAsia="Times New Roman" w:cs="Arial"/>
                <w:spacing w:val="-2"/>
                <w:sz w:val="14"/>
                <w:szCs w:val="18"/>
              </w:rPr>
              <w:t>.</w:t>
            </w:r>
            <w:r w:rsidRPr="00040CC8">
              <w:rPr>
                <w:rFonts w:eastAsia="Times New Roman" w:cs="Arial"/>
                <w:spacing w:val="-2"/>
                <w:sz w:val="14"/>
                <w:szCs w:val="18"/>
              </w:rPr>
              <w:t>7</w:t>
            </w:r>
            <w:r>
              <w:rPr>
                <w:rFonts w:eastAsia="Times New Roman" w:cs="Arial"/>
                <w:spacing w:val="-2"/>
                <w:sz w:val="14"/>
                <w:szCs w:val="18"/>
              </w:rPr>
              <w:t xml:space="preserve">68 </w:t>
            </w:r>
            <w:r w:rsidRPr="00042200">
              <w:rPr>
                <w:rFonts w:eastAsia="Times New Roman" w:cs="Arial"/>
                <w:spacing w:val="-2"/>
                <w:sz w:val="14"/>
                <w:szCs w:val="18"/>
                <w:vertAlign w:val="superscript"/>
              </w:rPr>
              <w:t>(1)</w:t>
            </w:r>
          </w:p>
        </w:tc>
      </w:tr>
      <w:tr w:rsidR="008B7E19" w:rsidRPr="00B05866" w14:paraId="790131B1" w14:textId="77777777" w:rsidTr="00381A7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552" w:type="dxa"/>
            <w:tcBorders>
              <w:top w:val="nil"/>
              <w:bottom w:val="nil"/>
            </w:tcBorders>
            <w:shd w:val="clear" w:color="auto" w:fill="auto"/>
            <w:vAlign w:val="center"/>
            <w:hideMark/>
          </w:tcPr>
          <w:p w14:paraId="280BD884" w14:textId="77777777" w:rsidR="008B7E19" w:rsidRPr="00040CC8" w:rsidRDefault="008B7E19" w:rsidP="008B7E19">
            <w:pPr>
              <w:keepNext/>
              <w:keepLines/>
              <w:spacing w:before="40" w:after="40"/>
              <w:rPr>
                <w:rFonts w:eastAsia="Times New Roman" w:cs="Arial"/>
                <w:b w:val="0"/>
                <w:spacing w:val="-2"/>
                <w:sz w:val="14"/>
                <w:szCs w:val="18"/>
              </w:rPr>
            </w:pPr>
            <w:r w:rsidRPr="00040CC8">
              <w:rPr>
                <w:rFonts w:eastAsia="Times New Roman" w:cs="Arial"/>
                <w:b w:val="0"/>
                <w:spacing w:val="-2"/>
                <w:sz w:val="14"/>
                <w:szCs w:val="18"/>
              </w:rPr>
              <w:t>Icatu</w:t>
            </w:r>
          </w:p>
        </w:tc>
        <w:tc>
          <w:tcPr>
            <w:tcW w:w="1181" w:type="dxa"/>
            <w:tcBorders>
              <w:top w:val="nil"/>
              <w:bottom w:val="nil"/>
            </w:tcBorders>
            <w:shd w:val="clear" w:color="auto" w:fill="auto"/>
            <w:vAlign w:val="center"/>
            <w:hideMark/>
          </w:tcPr>
          <w:p w14:paraId="697DF53A" w14:textId="77777777" w:rsidR="008B7E19" w:rsidRPr="00040CC8"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color w:val="auto"/>
                <w:spacing w:val="-2"/>
                <w:sz w:val="14"/>
                <w:szCs w:val="18"/>
              </w:rPr>
            </w:pPr>
            <w:r w:rsidRPr="00040CC8">
              <w:rPr>
                <w:rFonts w:eastAsia="Times New Roman" w:cs="Arial"/>
                <w:color w:val="auto"/>
                <w:spacing w:val="-2"/>
                <w:sz w:val="14"/>
                <w:szCs w:val="18"/>
              </w:rPr>
              <w:t>54</w:t>
            </w:r>
            <w:r>
              <w:rPr>
                <w:rFonts w:eastAsia="Times New Roman" w:cs="Arial"/>
                <w:color w:val="auto"/>
                <w:spacing w:val="-2"/>
                <w:sz w:val="14"/>
                <w:szCs w:val="18"/>
              </w:rPr>
              <w:t>,</w:t>
            </w:r>
            <w:r w:rsidRPr="00040CC8">
              <w:rPr>
                <w:rFonts w:eastAsia="Times New Roman" w:cs="Arial"/>
                <w:color w:val="auto"/>
                <w:spacing w:val="-2"/>
                <w:sz w:val="14"/>
                <w:szCs w:val="18"/>
              </w:rPr>
              <w:t>010</w:t>
            </w:r>
            <w:r>
              <w:rPr>
                <w:rFonts w:eastAsia="Times New Roman" w:cs="Arial"/>
                <w:color w:val="auto"/>
                <w:spacing w:val="-2"/>
                <w:sz w:val="14"/>
                <w:szCs w:val="18"/>
              </w:rPr>
              <w:t>,</w:t>
            </w:r>
            <w:r w:rsidRPr="00040CC8">
              <w:rPr>
                <w:rFonts w:eastAsia="Times New Roman" w:cs="Arial"/>
                <w:color w:val="auto"/>
                <w:spacing w:val="-2"/>
                <w:sz w:val="14"/>
                <w:szCs w:val="18"/>
              </w:rPr>
              <w:t>799</w:t>
            </w:r>
          </w:p>
        </w:tc>
        <w:tc>
          <w:tcPr>
            <w:tcW w:w="1181" w:type="dxa"/>
            <w:tcBorders>
              <w:top w:val="nil"/>
              <w:bottom w:val="nil"/>
            </w:tcBorders>
            <w:shd w:val="clear" w:color="auto" w:fill="auto"/>
            <w:vAlign w:val="center"/>
            <w:hideMark/>
          </w:tcPr>
          <w:p w14:paraId="20359188" w14:textId="77777777" w:rsidR="008B7E19" w:rsidRPr="00040CC8"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8"/>
              </w:rPr>
            </w:pPr>
            <w:r w:rsidRPr="00040CC8">
              <w:rPr>
                <w:rFonts w:eastAsia="Times New Roman" w:cs="Arial"/>
                <w:spacing w:val="-2"/>
                <w:sz w:val="14"/>
                <w:szCs w:val="18"/>
              </w:rPr>
              <w:t>25</w:t>
            </w:r>
            <w:r>
              <w:rPr>
                <w:rFonts w:eastAsia="Times New Roman" w:cs="Arial"/>
                <w:spacing w:val="-2"/>
                <w:sz w:val="14"/>
                <w:szCs w:val="18"/>
              </w:rPr>
              <w:t>.</w:t>
            </w:r>
            <w:r w:rsidRPr="00040CC8">
              <w:rPr>
                <w:rFonts w:eastAsia="Times New Roman" w:cs="Arial"/>
                <w:spacing w:val="-2"/>
                <w:sz w:val="14"/>
                <w:szCs w:val="18"/>
              </w:rPr>
              <w:t>00</w:t>
            </w:r>
            <w:r>
              <w:rPr>
                <w:rFonts w:eastAsia="Times New Roman" w:cs="Arial"/>
                <w:spacing w:val="-2"/>
                <w:sz w:val="14"/>
                <w:szCs w:val="18"/>
              </w:rPr>
              <w:t>4</w:t>
            </w:r>
          </w:p>
        </w:tc>
        <w:tc>
          <w:tcPr>
            <w:tcW w:w="1181" w:type="dxa"/>
            <w:tcBorders>
              <w:top w:val="nil"/>
              <w:bottom w:val="nil"/>
            </w:tcBorders>
            <w:shd w:val="clear" w:color="auto" w:fill="auto"/>
            <w:vAlign w:val="center"/>
            <w:hideMark/>
          </w:tcPr>
          <w:p w14:paraId="421CD19E" w14:textId="77777777" w:rsidR="008B7E19" w:rsidRPr="00040CC8"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color w:val="auto"/>
                <w:spacing w:val="-2"/>
                <w:sz w:val="14"/>
                <w:szCs w:val="18"/>
              </w:rPr>
            </w:pPr>
            <w:r w:rsidRPr="00040CC8">
              <w:rPr>
                <w:rFonts w:eastAsia="Times New Roman" w:cs="Arial"/>
                <w:color w:val="auto"/>
                <w:spacing w:val="-2"/>
                <w:sz w:val="14"/>
                <w:szCs w:val="18"/>
              </w:rPr>
              <w:t>12</w:t>
            </w:r>
            <w:r>
              <w:rPr>
                <w:rFonts w:eastAsia="Times New Roman" w:cs="Arial"/>
                <w:color w:val="auto"/>
                <w:spacing w:val="-2"/>
                <w:sz w:val="14"/>
                <w:szCs w:val="18"/>
              </w:rPr>
              <w:t>,</w:t>
            </w:r>
            <w:r w:rsidRPr="00040CC8">
              <w:rPr>
                <w:rFonts w:eastAsia="Times New Roman" w:cs="Arial"/>
                <w:color w:val="auto"/>
                <w:spacing w:val="-2"/>
                <w:sz w:val="14"/>
                <w:szCs w:val="18"/>
              </w:rPr>
              <w:t>833</w:t>
            </w:r>
            <w:r>
              <w:rPr>
                <w:rFonts w:eastAsia="Times New Roman" w:cs="Arial"/>
                <w:color w:val="auto"/>
                <w:spacing w:val="-2"/>
                <w:sz w:val="14"/>
                <w:szCs w:val="18"/>
              </w:rPr>
              <w:t>,</w:t>
            </w:r>
            <w:r w:rsidRPr="00040CC8">
              <w:rPr>
                <w:rFonts w:eastAsia="Times New Roman" w:cs="Arial"/>
                <w:color w:val="auto"/>
                <w:spacing w:val="-2"/>
                <w:sz w:val="14"/>
                <w:szCs w:val="18"/>
              </w:rPr>
              <w:t>569</w:t>
            </w:r>
          </w:p>
        </w:tc>
        <w:tc>
          <w:tcPr>
            <w:tcW w:w="1181" w:type="dxa"/>
            <w:tcBorders>
              <w:top w:val="nil"/>
              <w:bottom w:val="nil"/>
            </w:tcBorders>
            <w:shd w:val="clear" w:color="auto" w:fill="auto"/>
            <w:vAlign w:val="center"/>
            <w:hideMark/>
          </w:tcPr>
          <w:p w14:paraId="66A2719D" w14:textId="77777777" w:rsidR="008B7E19" w:rsidRPr="00040CC8"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8"/>
              </w:rPr>
            </w:pPr>
            <w:r w:rsidRPr="00040CC8">
              <w:rPr>
                <w:rFonts w:eastAsia="Times New Roman" w:cs="Arial"/>
                <w:spacing w:val="-2"/>
                <w:sz w:val="14"/>
                <w:szCs w:val="18"/>
              </w:rPr>
              <w:t>6</w:t>
            </w:r>
            <w:r>
              <w:rPr>
                <w:rFonts w:eastAsia="Times New Roman" w:cs="Arial"/>
                <w:spacing w:val="-2"/>
                <w:sz w:val="14"/>
                <w:szCs w:val="18"/>
              </w:rPr>
              <w:t>.</w:t>
            </w:r>
            <w:r w:rsidRPr="00040CC8">
              <w:rPr>
                <w:rFonts w:eastAsia="Times New Roman" w:cs="Arial"/>
                <w:spacing w:val="-2"/>
                <w:sz w:val="14"/>
                <w:szCs w:val="18"/>
              </w:rPr>
              <w:t>96</w:t>
            </w:r>
            <w:r>
              <w:rPr>
                <w:rFonts w:eastAsia="Times New Roman" w:cs="Arial"/>
                <w:spacing w:val="-2"/>
                <w:sz w:val="14"/>
                <w:szCs w:val="18"/>
              </w:rPr>
              <w:t xml:space="preserve">2 </w:t>
            </w:r>
            <w:r w:rsidRPr="00042200">
              <w:rPr>
                <w:rFonts w:eastAsia="Times New Roman" w:cs="Arial"/>
                <w:spacing w:val="-2"/>
                <w:sz w:val="14"/>
                <w:szCs w:val="18"/>
                <w:vertAlign w:val="superscript"/>
              </w:rPr>
              <w:t>(2)</w:t>
            </w:r>
          </w:p>
        </w:tc>
        <w:tc>
          <w:tcPr>
            <w:tcW w:w="1181" w:type="dxa"/>
            <w:tcBorders>
              <w:top w:val="nil"/>
              <w:bottom w:val="nil"/>
            </w:tcBorders>
            <w:shd w:val="clear" w:color="auto" w:fill="auto"/>
            <w:vAlign w:val="center"/>
            <w:hideMark/>
          </w:tcPr>
          <w:p w14:paraId="00ED7E5D" w14:textId="77777777" w:rsidR="008B7E19" w:rsidRPr="00040CC8"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color w:val="auto"/>
                <w:spacing w:val="-2"/>
                <w:sz w:val="14"/>
                <w:szCs w:val="18"/>
              </w:rPr>
            </w:pPr>
            <w:r w:rsidRPr="00040CC8">
              <w:rPr>
                <w:rFonts w:eastAsia="Times New Roman" w:cs="Arial"/>
                <w:color w:val="auto"/>
                <w:spacing w:val="-2"/>
                <w:sz w:val="14"/>
                <w:szCs w:val="18"/>
              </w:rPr>
              <w:t>66</w:t>
            </w:r>
            <w:r>
              <w:rPr>
                <w:rFonts w:eastAsia="Times New Roman" w:cs="Arial"/>
                <w:color w:val="auto"/>
                <w:spacing w:val="-2"/>
                <w:sz w:val="14"/>
                <w:szCs w:val="18"/>
              </w:rPr>
              <w:t>,</w:t>
            </w:r>
            <w:r w:rsidRPr="00040CC8">
              <w:rPr>
                <w:rFonts w:eastAsia="Times New Roman" w:cs="Arial"/>
                <w:color w:val="auto"/>
                <w:spacing w:val="-2"/>
                <w:sz w:val="14"/>
                <w:szCs w:val="18"/>
              </w:rPr>
              <w:t>844</w:t>
            </w:r>
            <w:r>
              <w:rPr>
                <w:rFonts w:eastAsia="Times New Roman" w:cs="Arial"/>
                <w:color w:val="auto"/>
                <w:spacing w:val="-2"/>
                <w:sz w:val="14"/>
                <w:szCs w:val="18"/>
              </w:rPr>
              <w:t>,</w:t>
            </w:r>
            <w:r w:rsidRPr="00040CC8">
              <w:rPr>
                <w:rFonts w:eastAsia="Times New Roman" w:cs="Arial"/>
                <w:color w:val="auto"/>
                <w:spacing w:val="-2"/>
                <w:sz w:val="14"/>
                <w:szCs w:val="18"/>
              </w:rPr>
              <w:t>368</w:t>
            </w:r>
          </w:p>
        </w:tc>
        <w:tc>
          <w:tcPr>
            <w:tcW w:w="1182" w:type="dxa"/>
            <w:tcBorders>
              <w:top w:val="nil"/>
              <w:bottom w:val="nil"/>
            </w:tcBorders>
            <w:shd w:val="clear" w:color="auto" w:fill="auto"/>
            <w:vAlign w:val="center"/>
            <w:hideMark/>
          </w:tcPr>
          <w:p w14:paraId="32155F99" w14:textId="77777777" w:rsidR="008B7E19" w:rsidRPr="00040CC8"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8"/>
              </w:rPr>
            </w:pPr>
            <w:r w:rsidRPr="00040CC8">
              <w:rPr>
                <w:rFonts w:eastAsia="Times New Roman" w:cs="Arial"/>
                <w:spacing w:val="-2"/>
                <w:sz w:val="14"/>
                <w:szCs w:val="18"/>
              </w:rPr>
              <w:t>16</w:t>
            </w:r>
            <w:r>
              <w:rPr>
                <w:rFonts w:eastAsia="Times New Roman" w:cs="Arial"/>
                <w:spacing w:val="-2"/>
                <w:sz w:val="14"/>
                <w:szCs w:val="18"/>
              </w:rPr>
              <w:t>.69</w:t>
            </w:r>
            <w:r w:rsidRPr="00040CC8">
              <w:rPr>
                <w:rFonts w:eastAsia="Times New Roman" w:cs="Arial"/>
                <w:spacing w:val="-2"/>
                <w:sz w:val="14"/>
                <w:szCs w:val="18"/>
              </w:rPr>
              <w:t>7</w:t>
            </w:r>
            <w:r>
              <w:rPr>
                <w:rFonts w:eastAsia="Times New Roman" w:cs="Arial"/>
                <w:spacing w:val="-2"/>
                <w:sz w:val="14"/>
                <w:szCs w:val="18"/>
              </w:rPr>
              <w:t xml:space="preserve"> </w:t>
            </w:r>
            <w:r w:rsidRPr="00042200">
              <w:rPr>
                <w:rFonts w:eastAsia="Times New Roman" w:cs="Arial"/>
                <w:spacing w:val="-2"/>
                <w:sz w:val="14"/>
                <w:szCs w:val="18"/>
                <w:vertAlign w:val="superscript"/>
              </w:rPr>
              <w:t>(2)</w:t>
            </w:r>
          </w:p>
        </w:tc>
      </w:tr>
      <w:tr w:rsidR="008B7E19" w:rsidRPr="00B05866" w14:paraId="1B74C2EF" w14:textId="77777777" w:rsidTr="00381A79">
        <w:trPr>
          <w:trHeight w:val="238"/>
          <w:jc w:val="center"/>
        </w:trPr>
        <w:tc>
          <w:tcPr>
            <w:cnfStyle w:val="001000000000" w:firstRow="0" w:lastRow="0" w:firstColumn="1" w:lastColumn="0" w:oddVBand="0" w:evenVBand="0" w:oddHBand="0" w:evenHBand="0" w:firstRowFirstColumn="0" w:firstRowLastColumn="0" w:lastRowFirstColumn="0" w:lastRowLastColumn="0"/>
            <w:tcW w:w="2552" w:type="dxa"/>
            <w:tcBorders>
              <w:top w:val="nil"/>
              <w:bottom w:val="nil"/>
            </w:tcBorders>
            <w:shd w:val="clear" w:color="auto" w:fill="auto"/>
            <w:vAlign w:val="center"/>
          </w:tcPr>
          <w:p w14:paraId="3DDC5916" w14:textId="77777777" w:rsidR="008B7E19" w:rsidRPr="00040CC8" w:rsidRDefault="008B7E19" w:rsidP="008B7E19">
            <w:pPr>
              <w:keepNext/>
              <w:keepLines/>
              <w:spacing w:before="40" w:after="40"/>
              <w:rPr>
                <w:rFonts w:eastAsia="Times New Roman" w:cs="Arial"/>
                <w:b w:val="0"/>
                <w:spacing w:val="-2"/>
                <w:sz w:val="14"/>
                <w:szCs w:val="18"/>
              </w:rPr>
            </w:pPr>
            <w:r w:rsidRPr="00040CC8">
              <w:rPr>
                <w:rFonts w:eastAsia="Times New Roman" w:cs="Arial"/>
                <w:b w:val="0"/>
                <w:spacing w:val="-2"/>
                <w:sz w:val="14"/>
                <w:szCs w:val="18"/>
              </w:rPr>
              <w:t>Aliança da Bahia</w:t>
            </w:r>
          </w:p>
        </w:tc>
        <w:tc>
          <w:tcPr>
            <w:tcW w:w="1181" w:type="dxa"/>
            <w:tcBorders>
              <w:top w:val="nil"/>
              <w:bottom w:val="nil"/>
            </w:tcBorders>
            <w:shd w:val="clear" w:color="auto" w:fill="auto"/>
            <w:vAlign w:val="center"/>
          </w:tcPr>
          <w:p w14:paraId="495273F0" w14:textId="77777777" w:rsidR="008B7E19" w:rsidRPr="00040CC8" w:rsidRDefault="008B7E19" w:rsidP="008B7E19">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color w:val="auto"/>
                <w:spacing w:val="-2"/>
                <w:sz w:val="14"/>
                <w:szCs w:val="18"/>
              </w:rPr>
            </w:pPr>
            <w:r w:rsidRPr="00040CC8">
              <w:rPr>
                <w:rFonts w:eastAsia="Times New Roman" w:cs="Arial"/>
                <w:color w:val="auto"/>
                <w:spacing w:val="-2"/>
                <w:sz w:val="14"/>
                <w:szCs w:val="18"/>
              </w:rPr>
              <w:t>51</w:t>
            </w:r>
            <w:r>
              <w:rPr>
                <w:rFonts w:eastAsia="Times New Roman" w:cs="Arial"/>
                <w:color w:val="auto"/>
                <w:spacing w:val="-2"/>
                <w:sz w:val="14"/>
                <w:szCs w:val="18"/>
              </w:rPr>
              <w:t>,</w:t>
            </w:r>
            <w:r w:rsidRPr="00040CC8">
              <w:rPr>
                <w:rFonts w:eastAsia="Times New Roman" w:cs="Arial"/>
                <w:color w:val="auto"/>
                <w:spacing w:val="-2"/>
                <w:sz w:val="14"/>
                <w:szCs w:val="18"/>
              </w:rPr>
              <w:t>292</w:t>
            </w:r>
            <w:r>
              <w:rPr>
                <w:rFonts w:eastAsia="Times New Roman" w:cs="Arial"/>
                <w:color w:val="auto"/>
                <w:spacing w:val="-2"/>
                <w:sz w:val="14"/>
                <w:szCs w:val="18"/>
              </w:rPr>
              <w:t>,</w:t>
            </w:r>
            <w:r w:rsidRPr="00040CC8">
              <w:rPr>
                <w:rFonts w:eastAsia="Times New Roman" w:cs="Arial"/>
                <w:color w:val="auto"/>
                <w:spacing w:val="-2"/>
                <w:sz w:val="14"/>
                <w:szCs w:val="18"/>
              </w:rPr>
              <w:t>002</w:t>
            </w:r>
          </w:p>
        </w:tc>
        <w:tc>
          <w:tcPr>
            <w:tcW w:w="1181" w:type="dxa"/>
            <w:tcBorders>
              <w:top w:val="nil"/>
              <w:bottom w:val="nil"/>
            </w:tcBorders>
            <w:shd w:val="clear" w:color="auto" w:fill="auto"/>
            <w:vAlign w:val="center"/>
          </w:tcPr>
          <w:p w14:paraId="7B369AF2" w14:textId="77777777" w:rsidR="008B7E19" w:rsidRPr="00040CC8" w:rsidRDefault="008B7E19" w:rsidP="008B7E19">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8"/>
              </w:rPr>
            </w:pPr>
            <w:r w:rsidRPr="00040CC8">
              <w:rPr>
                <w:rFonts w:eastAsia="Times New Roman" w:cs="Arial"/>
                <w:spacing w:val="-2"/>
                <w:sz w:val="14"/>
                <w:szCs w:val="18"/>
              </w:rPr>
              <w:t>23</w:t>
            </w:r>
            <w:r>
              <w:rPr>
                <w:rFonts w:eastAsia="Times New Roman" w:cs="Arial"/>
                <w:spacing w:val="-2"/>
                <w:sz w:val="14"/>
                <w:szCs w:val="18"/>
              </w:rPr>
              <w:t>.</w:t>
            </w:r>
            <w:r w:rsidRPr="00040CC8">
              <w:rPr>
                <w:rFonts w:eastAsia="Times New Roman" w:cs="Arial"/>
                <w:spacing w:val="-2"/>
                <w:sz w:val="14"/>
                <w:szCs w:val="18"/>
              </w:rPr>
              <w:t>7</w:t>
            </w:r>
            <w:r>
              <w:rPr>
                <w:rFonts w:eastAsia="Times New Roman" w:cs="Arial"/>
                <w:spacing w:val="-2"/>
                <w:sz w:val="14"/>
                <w:szCs w:val="18"/>
              </w:rPr>
              <w:t>4</w:t>
            </w:r>
            <w:r w:rsidRPr="00040CC8">
              <w:rPr>
                <w:rFonts w:eastAsia="Times New Roman" w:cs="Arial"/>
                <w:spacing w:val="-2"/>
                <w:sz w:val="14"/>
                <w:szCs w:val="18"/>
              </w:rPr>
              <w:t>5</w:t>
            </w:r>
          </w:p>
        </w:tc>
        <w:tc>
          <w:tcPr>
            <w:tcW w:w="1181" w:type="dxa"/>
            <w:tcBorders>
              <w:top w:val="nil"/>
              <w:bottom w:val="nil"/>
            </w:tcBorders>
            <w:shd w:val="clear" w:color="auto" w:fill="auto"/>
            <w:vAlign w:val="center"/>
          </w:tcPr>
          <w:p w14:paraId="78E3312B" w14:textId="77777777" w:rsidR="008B7E19" w:rsidRPr="00040CC8" w:rsidRDefault="008B7E19" w:rsidP="008B7E19">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color w:val="auto"/>
                <w:spacing w:val="-2"/>
                <w:sz w:val="14"/>
                <w:szCs w:val="18"/>
              </w:rPr>
            </w:pPr>
            <w:r w:rsidRPr="00040CC8">
              <w:rPr>
                <w:rFonts w:eastAsia="Times New Roman" w:cs="Arial"/>
                <w:color w:val="auto"/>
                <w:spacing w:val="-2"/>
                <w:sz w:val="14"/>
                <w:szCs w:val="18"/>
              </w:rPr>
              <w:t>12</w:t>
            </w:r>
            <w:r>
              <w:rPr>
                <w:rFonts w:eastAsia="Times New Roman" w:cs="Arial"/>
                <w:color w:val="auto"/>
                <w:spacing w:val="-2"/>
                <w:sz w:val="14"/>
                <w:szCs w:val="18"/>
              </w:rPr>
              <w:t>,</w:t>
            </w:r>
            <w:r w:rsidRPr="00040CC8">
              <w:rPr>
                <w:rFonts w:eastAsia="Times New Roman" w:cs="Arial"/>
                <w:color w:val="auto"/>
                <w:spacing w:val="-2"/>
                <w:sz w:val="14"/>
                <w:szCs w:val="18"/>
              </w:rPr>
              <w:t>187</w:t>
            </w:r>
            <w:r>
              <w:rPr>
                <w:rFonts w:eastAsia="Times New Roman" w:cs="Arial"/>
                <w:color w:val="auto"/>
                <w:spacing w:val="-2"/>
                <w:sz w:val="14"/>
                <w:szCs w:val="18"/>
              </w:rPr>
              <w:t>,</w:t>
            </w:r>
            <w:r w:rsidRPr="00040CC8">
              <w:rPr>
                <w:rFonts w:eastAsia="Times New Roman" w:cs="Arial"/>
                <w:color w:val="auto"/>
                <w:spacing w:val="-2"/>
                <w:sz w:val="14"/>
                <w:szCs w:val="18"/>
              </w:rPr>
              <w:t>552</w:t>
            </w:r>
          </w:p>
        </w:tc>
        <w:tc>
          <w:tcPr>
            <w:tcW w:w="1181" w:type="dxa"/>
            <w:tcBorders>
              <w:top w:val="nil"/>
              <w:bottom w:val="nil"/>
            </w:tcBorders>
            <w:shd w:val="clear" w:color="auto" w:fill="auto"/>
            <w:vAlign w:val="center"/>
          </w:tcPr>
          <w:p w14:paraId="3EE2372E" w14:textId="77777777" w:rsidR="008B7E19" w:rsidRPr="00040CC8" w:rsidRDefault="008B7E19" w:rsidP="008B7E19">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8"/>
              </w:rPr>
            </w:pPr>
            <w:r w:rsidRPr="00040CC8">
              <w:rPr>
                <w:rFonts w:eastAsia="Times New Roman" w:cs="Arial"/>
                <w:spacing w:val="-2"/>
                <w:sz w:val="14"/>
                <w:szCs w:val="18"/>
              </w:rPr>
              <w:t>6</w:t>
            </w:r>
            <w:r>
              <w:rPr>
                <w:rFonts w:eastAsia="Times New Roman" w:cs="Arial"/>
                <w:spacing w:val="-2"/>
                <w:sz w:val="14"/>
                <w:szCs w:val="18"/>
              </w:rPr>
              <w:t>.</w:t>
            </w:r>
            <w:r w:rsidRPr="00040CC8">
              <w:rPr>
                <w:rFonts w:eastAsia="Times New Roman" w:cs="Arial"/>
                <w:spacing w:val="-2"/>
                <w:sz w:val="14"/>
                <w:szCs w:val="18"/>
              </w:rPr>
              <w:t>61</w:t>
            </w:r>
            <w:r>
              <w:rPr>
                <w:rFonts w:eastAsia="Times New Roman" w:cs="Arial"/>
                <w:spacing w:val="-2"/>
                <w:sz w:val="14"/>
                <w:szCs w:val="18"/>
              </w:rPr>
              <w:t xml:space="preserve">2 </w:t>
            </w:r>
            <w:r w:rsidRPr="00042200">
              <w:rPr>
                <w:rFonts w:eastAsia="Times New Roman" w:cs="Arial"/>
                <w:spacing w:val="-2"/>
                <w:sz w:val="14"/>
                <w:szCs w:val="18"/>
                <w:vertAlign w:val="superscript"/>
              </w:rPr>
              <w:t>(3)</w:t>
            </w:r>
          </w:p>
        </w:tc>
        <w:tc>
          <w:tcPr>
            <w:tcW w:w="1181" w:type="dxa"/>
            <w:tcBorders>
              <w:top w:val="nil"/>
              <w:bottom w:val="nil"/>
            </w:tcBorders>
            <w:shd w:val="clear" w:color="auto" w:fill="auto"/>
            <w:vAlign w:val="center"/>
          </w:tcPr>
          <w:p w14:paraId="076BC398" w14:textId="77777777" w:rsidR="008B7E19" w:rsidRPr="00040CC8" w:rsidRDefault="008B7E19" w:rsidP="008B7E19">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color w:val="auto"/>
                <w:spacing w:val="-2"/>
                <w:sz w:val="14"/>
                <w:szCs w:val="18"/>
              </w:rPr>
            </w:pPr>
            <w:r w:rsidRPr="00040CC8">
              <w:rPr>
                <w:rFonts w:eastAsia="Times New Roman" w:cs="Arial"/>
                <w:color w:val="auto"/>
                <w:spacing w:val="-2"/>
                <w:sz w:val="14"/>
                <w:szCs w:val="18"/>
              </w:rPr>
              <w:t>63</w:t>
            </w:r>
            <w:r>
              <w:rPr>
                <w:rFonts w:eastAsia="Times New Roman" w:cs="Arial"/>
                <w:color w:val="auto"/>
                <w:spacing w:val="-2"/>
                <w:sz w:val="14"/>
                <w:szCs w:val="18"/>
              </w:rPr>
              <w:t>,</w:t>
            </w:r>
            <w:r w:rsidRPr="00040CC8">
              <w:rPr>
                <w:rFonts w:eastAsia="Times New Roman" w:cs="Arial"/>
                <w:color w:val="auto"/>
                <w:spacing w:val="-2"/>
                <w:sz w:val="14"/>
                <w:szCs w:val="18"/>
              </w:rPr>
              <w:t>479</w:t>
            </w:r>
            <w:r>
              <w:rPr>
                <w:rFonts w:eastAsia="Times New Roman" w:cs="Arial"/>
                <w:color w:val="auto"/>
                <w:spacing w:val="-2"/>
                <w:sz w:val="14"/>
                <w:szCs w:val="18"/>
              </w:rPr>
              <w:t>,</w:t>
            </w:r>
            <w:r w:rsidRPr="00040CC8">
              <w:rPr>
                <w:rFonts w:eastAsia="Times New Roman" w:cs="Arial"/>
                <w:color w:val="auto"/>
                <w:spacing w:val="-2"/>
                <w:sz w:val="14"/>
                <w:szCs w:val="18"/>
              </w:rPr>
              <w:t>554</w:t>
            </w:r>
          </w:p>
        </w:tc>
        <w:tc>
          <w:tcPr>
            <w:tcW w:w="1182" w:type="dxa"/>
            <w:tcBorders>
              <w:top w:val="nil"/>
              <w:bottom w:val="nil"/>
            </w:tcBorders>
            <w:shd w:val="clear" w:color="auto" w:fill="auto"/>
            <w:vAlign w:val="center"/>
          </w:tcPr>
          <w:p w14:paraId="4C3B5690" w14:textId="77777777" w:rsidR="008B7E19" w:rsidRPr="00040CC8" w:rsidRDefault="008B7E19" w:rsidP="008B7E19">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8"/>
              </w:rPr>
            </w:pPr>
            <w:r w:rsidRPr="00040CC8">
              <w:rPr>
                <w:rFonts w:eastAsia="Times New Roman" w:cs="Arial"/>
                <w:spacing w:val="-2"/>
                <w:sz w:val="14"/>
                <w:szCs w:val="18"/>
              </w:rPr>
              <w:t>15</w:t>
            </w:r>
            <w:r>
              <w:rPr>
                <w:rFonts w:eastAsia="Times New Roman" w:cs="Arial"/>
                <w:spacing w:val="-2"/>
                <w:sz w:val="14"/>
                <w:szCs w:val="18"/>
              </w:rPr>
              <w:t>.</w:t>
            </w:r>
            <w:r w:rsidRPr="00040CC8">
              <w:rPr>
                <w:rFonts w:eastAsia="Times New Roman" w:cs="Arial"/>
                <w:spacing w:val="-2"/>
                <w:sz w:val="14"/>
                <w:szCs w:val="18"/>
              </w:rPr>
              <w:t>8</w:t>
            </w:r>
            <w:r>
              <w:rPr>
                <w:rFonts w:eastAsia="Times New Roman" w:cs="Arial"/>
                <w:spacing w:val="-2"/>
                <w:sz w:val="14"/>
                <w:szCs w:val="18"/>
              </w:rPr>
              <w:t>5</w:t>
            </w:r>
            <w:r w:rsidRPr="00040CC8">
              <w:rPr>
                <w:rFonts w:eastAsia="Times New Roman" w:cs="Arial"/>
                <w:spacing w:val="-2"/>
                <w:sz w:val="14"/>
                <w:szCs w:val="18"/>
              </w:rPr>
              <w:t>6</w:t>
            </w:r>
            <w:r>
              <w:rPr>
                <w:rFonts w:eastAsia="Times New Roman" w:cs="Arial"/>
                <w:spacing w:val="-2"/>
                <w:sz w:val="14"/>
                <w:szCs w:val="18"/>
              </w:rPr>
              <w:t xml:space="preserve"> </w:t>
            </w:r>
            <w:r w:rsidRPr="00042200">
              <w:rPr>
                <w:rFonts w:eastAsia="Times New Roman" w:cs="Arial"/>
                <w:spacing w:val="-2"/>
                <w:sz w:val="14"/>
                <w:szCs w:val="18"/>
                <w:vertAlign w:val="superscript"/>
              </w:rPr>
              <w:t>(3)</w:t>
            </w:r>
          </w:p>
        </w:tc>
      </w:tr>
      <w:tr w:rsidR="008B7E19" w:rsidRPr="00B05866" w14:paraId="248BD37E" w14:textId="77777777" w:rsidTr="00381A7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552" w:type="dxa"/>
            <w:tcBorders>
              <w:top w:val="nil"/>
              <w:bottom w:val="nil"/>
            </w:tcBorders>
            <w:shd w:val="clear" w:color="auto" w:fill="auto"/>
            <w:vAlign w:val="bottom"/>
          </w:tcPr>
          <w:p w14:paraId="6966FE86" w14:textId="77777777" w:rsidR="008B7E19" w:rsidRPr="00040CC8" w:rsidRDefault="008B7E19" w:rsidP="008B7E19">
            <w:pPr>
              <w:keepNext/>
              <w:keepLines/>
              <w:spacing w:before="40" w:after="40"/>
              <w:rPr>
                <w:rFonts w:eastAsia="Times New Roman" w:cs="Arial"/>
                <w:b w:val="0"/>
                <w:spacing w:val="-2"/>
                <w:sz w:val="14"/>
                <w:szCs w:val="18"/>
              </w:rPr>
            </w:pPr>
            <w:r w:rsidRPr="003C702C">
              <w:rPr>
                <w:rFonts w:eastAsia="Times New Roman" w:cs="Arial"/>
                <w:b w:val="0"/>
                <w:spacing w:val="-2"/>
                <w:sz w:val="14"/>
                <w:szCs w:val="18"/>
              </w:rPr>
              <w:t>Other</w:t>
            </w:r>
          </w:p>
        </w:tc>
        <w:tc>
          <w:tcPr>
            <w:tcW w:w="1181" w:type="dxa"/>
            <w:tcBorders>
              <w:top w:val="nil"/>
              <w:bottom w:val="nil"/>
            </w:tcBorders>
            <w:shd w:val="clear" w:color="auto" w:fill="auto"/>
            <w:vAlign w:val="center"/>
          </w:tcPr>
          <w:p w14:paraId="2F3F4142" w14:textId="77777777" w:rsidR="008B7E19" w:rsidRPr="00040CC8"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color w:val="auto"/>
                <w:spacing w:val="-2"/>
                <w:sz w:val="14"/>
                <w:szCs w:val="18"/>
              </w:rPr>
            </w:pPr>
            <w:r w:rsidRPr="00040CC8">
              <w:rPr>
                <w:rFonts w:eastAsia="Times New Roman" w:cs="Arial"/>
                <w:color w:val="auto"/>
                <w:spacing w:val="-2"/>
                <w:sz w:val="14"/>
                <w:szCs w:val="18"/>
              </w:rPr>
              <w:t>2</w:t>
            </w:r>
            <w:r>
              <w:rPr>
                <w:rFonts w:eastAsia="Times New Roman" w:cs="Arial"/>
                <w:color w:val="auto"/>
                <w:spacing w:val="-2"/>
                <w:sz w:val="14"/>
                <w:szCs w:val="18"/>
              </w:rPr>
              <w:t>,</w:t>
            </w:r>
            <w:r w:rsidRPr="00040CC8">
              <w:rPr>
                <w:rFonts w:eastAsia="Times New Roman" w:cs="Arial"/>
                <w:color w:val="auto"/>
                <w:spacing w:val="-2"/>
                <w:sz w:val="14"/>
                <w:szCs w:val="18"/>
              </w:rPr>
              <w:t>718</w:t>
            </w:r>
            <w:r>
              <w:rPr>
                <w:rFonts w:eastAsia="Times New Roman" w:cs="Arial"/>
                <w:color w:val="auto"/>
                <w:spacing w:val="-2"/>
                <w:sz w:val="14"/>
                <w:szCs w:val="18"/>
              </w:rPr>
              <w:t>,</w:t>
            </w:r>
            <w:r w:rsidRPr="00040CC8">
              <w:rPr>
                <w:rFonts w:eastAsia="Times New Roman" w:cs="Arial"/>
                <w:color w:val="auto"/>
                <w:spacing w:val="-2"/>
                <w:sz w:val="14"/>
                <w:szCs w:val="18"/>
              </w:rPr>
              <w:t>799</w:t>
            </w:r>
          </w:p>
        </w:tc>
        <w:tc>
          <w:tcPr>
            <w:tcW w:w="1181" w:type="dxa"/>
            <w:tcBorders>
              <w:top w:val="nil"/>
              <w:bottom w:val="nil"/>
            </w:tcBorders>
            <w:shd w:val="clear" w:color="auto" w:fill="auto"/>
            <w:vAlign w:val="center"/>
          </w:tcPr>
          <w:p w14:paraId="28B74E01" w14:textId="77777777" w:rsidR="008B7E19" w:rsidRPr="00040CC8"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8"/>
              </w:rPr>
            </w:pPr>
            <w:r w:rsidRPr="00040CC8">
              <w:rPr>
                <w:rFonts w:eastAsia="Times New Roman" w:cs="Arial"/>
                <w:spacing w:val="-2"/>
                <w:sz w:val="14"/>
                <w:szCs w:val="18"/>
              </w:rPr>
              <w:t>1</w:t>
            </w:r>
            <w:r>
              <w:rPr>
                <w:rFonts w:eastAsia="Times New Roman" w:cs="Arial"/>
                <w:spacing w:val="-2"/>
                <w:sz w:val="14"/>
                <w:szCs w:val="18"/>
              </w:rPr>
              <w:t>.</w:t>
            </w:r>
            <w:r w:rsidRPr="00040CC8">
              <w:rPr>
                <w:rFonts w:eastAsia="Times New Roman" w:cs="Arial"/>
                <w:spacing w:val="-2"/>
                <w:sz w:val="14"/>
                <w:szCs w:val="18"/>
              </w:rPr>
              <w:t>2</w:t>
            </w:r>
            <w:r>
              <w:rPr>
                <w:rFonts w:eastAsia="Times New Roman" w:cs="Arial"/>
                <w:spacing w:val="-2"/>
                <w:sz w:val="14"/>
                <w:szCs w:val="18"/>
              </w:rPr>
              <w:t>59</w:t>
            </w:r>
          </w:p>
        </w:tc>
        <w:tc>
          <w:tcPr>
            <w:tcW w:w="1181" w:type="dxa"/>
            <w:tcBorders>
              <w:top w:val="nil"/>
              <w:bottom w:val="nil"/>
            </w:tcBorders>
            <w:shd w:val="clear" w:color="auto" w:fill="auto"/>
            <w:vAlign w:val="center"/>
          </w:tcPr>
          <w:p w14:paraId="1B384BB7" w14:textId="77777777" w:rsidR="008B7E19" w:rsidRPr="00040CC8"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color w:val="auto"/>
                <w:spacing w:val="-2"/>
                <w:sz w:val="14"/>
                <w:szCs w:val="18"/>
              </w:rPr>
            </w:pPr>
            <w:r w:rsidRPr="00040CC8">
              <w:rPr>
                <w:rFonts w:eastAsia="Times New Roman" w:cs="Arial"/>
                <w:color w:val="auto"/>
                <w:spacing w:val="-2"/>
                <w:sz w:val="14"/>
                <w:szCs w:val="18"/>
              </w:rPr>
              <w:t>-</w:t>
            </w:r>
          </w:p>
        </w:tc>
        <w:tc>
          <w:tcPr>
            <w:tcW w:w="1181" w:type="dxa"/>
            <w:tcBorders>
              <w:top w:val="nil"/>
              <w:bottom w:val="nil"/>
            </w:tcBorders>
            <w:shd w:val="clear" w:color="auto" w:fill="auto"/>
            <w:vAlign w:val="center"/>
          </w:tcPr>
          <w:p w14:paraId="59BD6CAB" w14:textId="77777777" w:rsidR="008B7E19" w:rsidRPr="00040CC8"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8"/>
              </w:rPr>
            </w:pPr>
            <w:r w:rsidRPr="00040CC8">
              <w:rPr>
                <w:rFonts w:eastAsia="Times New Roman" w:cs="Arial"/>
                <w:spacing w:val="-2"/>
                <w:sz w:val="14"/>
                <w:szCs w:val="18"/>
              </w:rPr>
              <w:t>-</w:t>
            </w:r>
          </w:p>
        </w:tc>
        <w:tc>
          <w:tcPr>
            <w:tcW w:w="1181" w:type="dxa"/>
            <w:tcBorders>
              <w:top w:val="nil"/>
              <w:bottom w:val="nil"/>
            </w:tcBorders>
            <w:shd w:val="clear" w:color="auto" w:fill="auto"/>
            <w:vAlign w:val="center"/>
          </w:tcPr>
          <w:p w14:paraId="52FEB702" w14:textId="77777777" w:rsidR="008B7E19" w:rsidRPr="00040CC8"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color w:val="auto"/>
                <w:spacing w:val="-2"/>
                <w:sz w:val="14"/>
                <w:szCs w:val="18"/>
              </w:rPr>
            </w:pPr>
            <w:r w:rsidRPr="00040CC8">
              <w:rPr>
                <w:rFonts w:eastAsia="Times New Roman" w:cs="Arial"/>
                <w:color w:val="auto"/>
                <w:spacing w:val="-2"/>
                <w:sz w:val="14"/>
                <w:szCs w:val="18"/>
              </w:rPr>
              <w:t>2</w:t>
            </w:r>
            <w:r>
              <w:rPr>
                <w:rFonts w:eastAsia="Times New Roman" w:cs="Arial"/>
                <w:color w:val="auto"/>
                <w:spacing w:val="-2"/>
                <w:sz w:val="14"/>
                <w:szCs w:val="18"/>
              </w:rPr>
              <w:t>,</w:t>
            </w:r>
            <w:r w:rsidRPr="00040CC8">
              <w:rPr>
                <w:rFonts w:eastAsia="Times New Roman" w:cs="Arial"/>
                <w:color w:val="auto"/>
                <w:spacing w:val="-2"/>
                <w:sz w:val="14"/>
                <w:szCs w:val="18"/>
              </w:rPr>
              <w:t>718</w:t>
            </w:r>
            <w:r>
              <w:rPr>
                <w:rFonts w:eastAsia="Times New Roman" w:cs="Arial"/>
                <w:color w:val="auto"/>
                <w:spacing w:val="-2"/>
                <w:sz w:val="14"/>
                <w:szCs w:val="18"/>
              </w:rPr>
              <w:t>,</w:t>
            </w:r>
            <w:r w:rsidRPr="00040CC8">
              <w:rPr>
                <w:rFonts w:eastAsia="Times New Roman" w:cs="Arial"/>
                <w:color w:val="auto"/>
                <w:spacing w:val="-2"/>
                <w:sz w:val="14"/>
                <w:szCs w:val="18"/>
              </w:rPr>
              <w:t>799</w:t>
            </w:r>
          </w:p>
        </w:tc>
        <w:tc>
          <w:tcPr>
            <w:tcW w:w="1182" w:type="dxa"/>
            <w:tcBorders>
              <w:top w:val="nil"/>
              <w:bottom w:val="nil"/>
            </w:tcBorders>
            <w:shd w:val="clear" w:color="auto" w:fill="auto"/>
            <w:vAlign w:val="center"/>
          </w:tcPr>
          <w:p w14:paraId="10BFAE3B" w14:textId="77777777" w:rsidR="008B7E19" w:rsidRPr="00040CC8"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8"/>
              </w:rPr>
            </w:pPr>
            <w:r w:rsidRPr="00040CC8">
              <w:rPr>
                <w:rFonts w:eastAsia="Times New Roman" w:cs="Arial"/>
                <w:spacing w:val="-2"/>
                <w:sz w:val="14"/>
                <w:szCs w:val="18"/>
              </w:rPr>
              <w:t>0</w:t>
            </w:r>
            <w:r>
              <w:rPr>
                <w:rFonts w:eastAsia="Times New Roman" w:cs="Arial"/>
                <w:spacing w:val="-2"/>
                <w:sz w:val="14"/>
                <w:szCs w:val="18"/>
              </w:rPr>
              <w:t>.</w:t>
            </w:r>
            <w:r w:rsidRPr="00040CC8">
              <w:rPr>
                <w:rFonts w:eastAsia="Times New Roman" w:cs="Arial"/>
                <w:spacing w:val="-2"/>
                <w:sz w:val="14"/>
                <w:szCs w:val="18"/>
              </w:rPr>
              <w:t>6</w:t>
            </w:r>
            <w:r>
              <w:rPr>
                <w:rFonts w:eastAsia="Times New Roman" w:cs="Arial"/>
                <w:spacing w:val="-2"/>
                <w:sz w:val="14"/>
                <w:szCs w:val="18"/>
              </w:rPr>
              <w:t>79</w:t>
            </w:r>
          </w:p>
        </w:tc>
      </w:tr>
      <w:tr w:rsidR="008B7E19" w:rsidRPr="00375AF3" w14:paraId="36B34CD2" w14:textId="77777777" w:rsidTr="00381A79">
        <w:trPr>
          <w:trHeight w:val="238"/>
          <w:jc w:val="center"/>
        </w:trPr>
        <w:tc>
          <w:tcPr>
            <w:cnfStyle w:val="001000000000" w:firstRow="0" w:lastRow="0" w:firstColumn="1" w:lastColumn="0" w:oddVBand="0" w:evenVBand="0" w:oddHBand="0" w:evenHBand="0" w:firstRowFirstColumn="0" w:firstRowLastColumn="0" w:lastRowFirstColumn="0" w:lastRowLastColumn="0"/>
            <w:tcW w:w="2552" w:type="dxa"/>
            <w:tcBorders>
              <w:top w:val="nil"/>
              <w:bottom w:val="single" w:sz="2" w:space="0" w:color="1F4E79" w:themeColor="accent1" w:themeShade="80"/>
            </w:tcBorders>
            <w:shd w:val="clear" w:color="auto" w:fill="auto"/>
            <w:vAlign w:val="center"/>
            <w:hideMark/>
          </w:tcPr>
          <w:p w14:paraId="233D5C3F" w14:textId="77777777" w:rsidR="008B7E19" w:rsidRPr="00375AF3" w:rsidRDefault="008B7E19" w:rsidP="008B7E19">
            <w:pPr>
              <w:keepNext/>
              <w:keepLines/>
              <w:spacing w:before="40" w:after="40"/>
              <w:rPr>
                <w:rFonts w:eastAsia="Times New Roman" w:cs="Arial"/>
                <w:spacing w:val="-2"/>
                <w:sz w:val="14"/>
                <w:szCs w:val="14"/>
              </w:rPr>
            </w:pPr>
            <w:r w:rsidRPr="00375AF3">
              <w:rPr>
                <w:rFonts w:eastAsia="Times New Roman" w:cs="Arial"/>
                <w:spacing w:val="-2"/>
                <w:sz w:val="14"/>
                <w:szCs w:val="14"/>
              </w:rPr>
              <w:t>Total</w:t>
            </w:r>
          </w:p>
        </w:tc>
        <w:tc>
          <w:tcPr>
            <w:tcW w:w="1181" w:type="dxa"/>
            <w:tcBorders>
              <w:top w:val="nil"/>
              <w:bottom w:val="single" w:sz="2" w:space="0" w:color="1F4E79" w:themeColor="accent1" w:themeShade="80"/>
            </w:tcBorders>
            <w:shd w:val="clear" w:color="auto" w:fill="auto"/>
            <w:vAlign w:val="center"/>
            <w:hideMark/>
          </w:tcPr>
          <w:p w14:paraId="04089DB4" w14:textId="77777777" w:rsidR="008B7E19" w:rsidRPr="00375AF3" w:rsidRDefault="008B7E19" w:rsidP="008B7E19">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b/>
                <w:spacing w:val="-2"/>
                <w:sz w:val="14"/>
                <w:szCs w:val="18"/>
              </w:rPr>
            </w:pPr>
            <w:r w:rsidRPr="00131713">
              <w:rPr>
                <w:rFonts w:eastAsia="Times New Roman" w:cs="Arial"/>
                <w:b/>
                <w:bCs/>
                <w:color w:val="000000"/>
                <w:sz w:val="14"/>
                <w:szCs w:val="14"/>
                <w:lang w:eastAsia="pt-BR"/>
              </w:rPr>
              <w:t>216</w:t>
            </w:r>
            <w:r>
              <w:rPr>
                <w:rFonts w:eastAsia="Times New Roman" w:cs="Arial"/>
                <w:b/>
                <w:bCs/>
                <w:color w:val="000000"/>
                <w:sz w:val="14"/>
                <w:szCs w:val="14"/>
                <w:lang w:eastAsia="pt-BR"/>
              </w:rPr>
              <w:t>,</w:t>
            </w:r>
            <w:r w:rsidRPr="00131713">
              <w:rPr>
                <w:rFonts w:eastAsia="Times New Roman" w:cs="Arial"/>
                <w:b/>
                <w:bCs/>
                <w:color w:val="000000"/>
                <w:sz w:val="14"/>
                <w:szCs w:val="14"/>
                <w:lang w:eastAsia="pt-BR"/>
              </w:rPr>
              <w:t>010</w:t>
            </w:r>
            <w:r>
              <w:rPr>
                <w:rFonts w:eastAsia="Times New Roman" w:cs="Arial"/>
                <w:b/>
                <w:bCs/>
                <w:color w:val="000000"/>
                <w:sz w:val="14"/>
                <w:szCs w:val="14"/>
                <w:lang w:eastAsia="pt-BR"/>
              </w:rPr>
              <w:t>,</w:t>
            </w:r>
            <w:r w:rsidRPr="00131713">
              <w:rPr>
                <w:rFonts w:eastAsia="Times New Roman" w:cs="Arial"/>
                <w:b/>
                <w:bCs/>
                <w:color w:val="000000"/>
                <w:sz w:val="14"/>
                <w:szCs w:val="14"/>
                <w:lang w:eastAsia="pt-BR"/>
              </w:rPr>
              <w:t>804</w:t>
            </w:r>
          </w:p>
        </w:tc>
        <w:tc>
          <w:tcPr>
            <w:tcW w:w="1181" w:type="dxa"/>
            <w:tcBorders>
              <w:top w:val="nil"/>
              <w:bottom w:val="single" w:sz="2" w:space="0" w:color="1F4E79" w:themeColor="accent1" w:themeShade="80"/>
            </w:tcBorders>
            <w:shd w:val="clear" w:color="auto" w:fill="auto"/>
            <w:vAlign w:val="center"/>
            <w:hideMark/>
          </w:tcPr>
          <w:p w14:paraId="5996BA70" w14:textId="77777777" w:rsidR="008B7E19" w:rsidRPr="00375AF3" w:rsidRDefault="008B7E19" w:rsidP="008B7E19">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b/>
                <w:spacing w:val="-2"/>
                <w:sz w:val="14"/>
                <w:szCs w:val="18"/>
              </w:rPr>
            </w:pPr>
            <w:r w:rsidRPr="00375AF3">
              <w:rPr>
                <w:rFonts w:eastAsia="Times New Roman" w:cs="Arial"/>
                <w:b/>
                <w:spacing w:val="-2"/>
                <w:sz w:val="14"/>
                <w:szCs w:val="18"/>
              </w:rPr>
              <w:t>100</w:t>
            </w:r>
            <w:r>
              <w:rPr>
                <w:rFonts w:eastAsia="Times New Roman" w:cs="Arial"/>
                <w:b/>
                <w:spacing w:val="-2"/>
                <w:sz w:val="14"/>
                <w:szCs w:val="18"/>
              </w:rPr>
              <w:t>.</w:t>
            </w:r>
            <w:r w:rsidRPr="00375AF3">
              <w:rPr>
                <w:rFonts w:eastAsia="Times New Roman" w:cs="Arial"/>
                <w:b/>
                <w:spacing w:val="-2"/>
                <w:sz w:val="14"/>
                <w:szCs w:val="18"/>
              </w:rPr>
              <w:t>000</w:t>
            </w:r>
          </w:p>
        </w:tc>
        <w:tc>
          <w:tcPr>
            <w:tcW w:w="1181" w:type="dxa"/>
            <w:tcBorders>
              <w:top w:val="nil"/>
              <w:bottom w:val="single" w:sz="2" w:space="0" w:color="1F4E79" w:themeColor="accent1" w:themeShade="80"/>
            </w:tcBorders>
            <w:shd w:val="clear" w:color="auto" w:fill="auto"/>
            <w:vAlign w:val="center"/>
            <w:hideMark/>
          </w:tcPr>
          <w:p w14:paraId="067B2F6F" w14:textId="77777777" w:rsidR="008B7E19" w:rsidRPr="00375AF3" w:rsidRDefault="008B7E19" w:rsidP="008B7E19">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b/>
                <w:color w:val="FF0000"/>
                <w:spacing w:val="-2"/>
                <w:sz w:val="14"/>
                <w:szCs w:val="18"/>
              </w:rPr>
            </w:pPr>
            <w:r w:rsidRPr="00131713">
              <w:rPr>
                <w:rFonts w:eastAsia="Times New Roman" w:cs="Arial"/>
                <w:b/>
                <w:bCs/>
                <w:color w:val="000000"/>
                <w:sz w:val="14"/>
                <w:szCs w:val="14"/>
                <w:lang w:eastAsia="pt-BR"/>
              </w:rPr>
              <w:t>184</w:t>
            </w:r>
            <w:r>
              <w:rPr>
                <w:rFonts w:eastAsia="Times New Roman" w:cs="Arial"/>
                <w:b/>
                <w:bCs/>
                <w:color w:val="000000"/>
                <w:sz w:val="14"/>
                <w:szCs w:val="14"/>
                <w:lang w:eastAsia="pt-BR"/>
              </w:rPr>
              <w:t>,</w:t>
            </w:r>
            <w:r w:rsidRPr="00131713">
              <w:rPr>
                <w:rFonts w:eastAsia="Times New Roman" w:cs="Arial"/>
                <w:b/>
                <w:bCs/>
                <w:color w:val="000000"/>
                <w:sz w:val="14"/>
                <w:szCs w:val="14"/>
                <w:lang w:eastAsia="pt-BR"/>
              </w:rPr>
              <w:t>329</w:t>
            </w:r>
            <w:r>
              <w:rPr>
                <w:rFonts w:eastAsia="Times New Roman" w:cs="Arial"/>
                <w:b/>
                <w:bCs/>
                <w:color w:val="000000"/>
                <w:sz w:val="14"/>
                <w:szCs w:val="14"/>
                <w:lang w:eastAsia="pt-BR"/>
              </w:rPr>
              <w:t>,</w:t>
            </w:r>
            <w:r w:rsidRPr="00131713">
              <w:rPr>
                <w:rFonts w:eastAsia="Times New Roman" w:cs="Arial"/>
                <w:b/>
                <w:bCs/>
                <w:color w:val="000000"/>
                <w:sz w:val="14"/>
                <w:szCs w:val="14"/>
                <w:lang w:eastAsia="pt-BR"/>
              </w:rPr>
              <w:t>196</w:t>
            </w:r>
          </w:p>
        </w:tc>
        <w:tc>
          <w:tcPr>
            <w:tcW w:w="1181" w:type="dxa"/>
            <w:tcBorders>
              <w:top w:val="nil"/>
              <w:bottom w:val="single" w:sz="2" w:space="0" w:color="1F4E79" w:themeColor="accent1" w:themeShade="80"/>
            </w:tcBorders>
            <w:shd w:val="clear" w:color="auto" w:fill="auto"/>
            <w:vAlign w:val="center"/>
            <w:hideMark/>
          </w:tcPr>
          <w:p w14:paraId="3ED77982" w14:textId="77777777" w:rsidR="008B7E19" w:rsidRPr="00375AF3" w:rsidRDefault="008B7E19" w:rsidP="008B7E19">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b/>
                <w:spacing w:val="-2"/>
                <w:sz w:val="14"/>
                <w:szCs w:val="18"/>
              </w:rPr>
            </w:pPr>
            <w:r w:rsidRPr="00375AF3">
              <w:rPr>
                <w:rFonts w:eastAsia="Times New Roman" w:cs="Arial"/>
                <w:b/>
                <w:spacing w:val="-2"/>
                <w:sz w:val="14"/>
                <w:szCs w:val="18"/>
              </w:rPr>
              <w:t>100</w:t>
            </w:r>
            <w:r>
              <w:rPr>
                <w:rFonts w:eastAsia="Times New Roman" w:cs="Arial"/>
                <w:b/>
                <w:spacing w:val="-2"/>
                <w:sz w:val="14"/>
                <w:szCs w:val="18"/>
              </w:rPr>
              <w:t>.</w:t>
            </w:r>
            <w:r w:rsidRPr="00375AF3">
              <w:rPr>
                <w:rFonts w:eastAsia="Times New Roman" w:cs="Arial"/>
                <w:b/>
                <w:spacing w:val="-2"/>
                <w:sz w:val="14"/>
                <w:szCs w:val="18"/>
              </w:rPr>
              <w:t>000</w:t>
            </w:r>
          </w:p>
        </w:tc>
        <w:tc>
          <w:tcPr>
            <w:tcW w:w="1181" w:type="dxa"/>
            <w:tcBorders>
              <w:top w:val="nil"/>
              <w:bottom w:val="single" w:sz="2" w:space="0" w:color="1F4E79" w:themeColor="accent1" w:themeShade="80"/>
            </w:tcBorders>
            <w:shd w:val="clear" w:color="auto" w:fill="auto"/>
            <w:vAlign w:val="center"/>
            <w:hideMark/>
          </w:tcPr>
          <w:p w14:paraId="6B5D554D" w14:textId="77777777" w:rsidR="008B7E19" w:rsidRPr="00375AF3" w:rsidRDefault="008B7E19" w:rsidP="008B7E19">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b/>
                <w:color w:val="FF0000"/>
                <w:spacing w:val="-2"/>
                <w:sz w:val="14"/>
                <w:szCs w:val="18"/>
              </w:rPr>
            </w:pPr>
            <w:r w:rsidRPr="00131713">
              <w:rPr>
                <w:rFonts w:eastAsia="Times New Roman" w:cs="Arial"/>
                <w:b/>
                <w:bCs/>
                <w:color w:val="000000"/>
                <w:sz w:val="14"/>
                <w:szCs w:val="14"/>
                <w:lang w:eastAsia="pt-BR"/>
              </w:rPr>
              <w:t>400</w:t>
            </w:r>
            <w:r>
              <w:rPr>
                <w:rFonts w:eastAsia="Times New Roman" w:cs="Arial"/>
                <w:b/>
                <w:bCs/>
                <w:color w:val="000000"/>
                <w:sz w:val="14"/>
                <w:szCs w:val="14"/>
                <w:lang w:eastAsia="pt-BR"/>
              </w:rPr>
              <w:t>,</w:t>
            </w:r>
            <w:r w:rsidRPr="00131713">
              <w:rPr>
                <w:rFonts w:eastAsia="Times New Roman" w:cs="Arial"/>
                <w:b/>
                <w:bCs/>
                <w:color w:val="000000"/>
                <w:sz w:val="14"/>
                <w:szCs w:val="14"/>
                <w:lang w:eastAsia="pt-BR"/>
              </w:rPr>
              <w:t>340</w:t>
            </w:r>
            <w:r>
              <w:rPr>
                <w:rFonts w:eastAsia="Times New Roman" w:cs="Arial"/>
                <w:b/>
                <w:bCs/>
                <w:color w:val="000000"/>
                <w:sz w:val="14"/>
                <w:szCs w:val="14"/>
                <w:lang w:eastAsia="pt-BR"/>
              </w:rPr>
              <w:t>,</w:t>
            </w:r>
            <w:r w:rsidRPr="00131713">
              <w:rPr>
                <w:rFonts w:eastAsia="Times New Roman" w:cs="Arial"/>
                <w:b/>
                <w:bCs/>
                <w:color w:val="000000"/>
                <w:sz w:val="14"/>
                <w:szCs w:val="14"/>
                <w:lang w:eastAsia="pt-BR"/>
              </w:rPr>
              <w:t>000</w:t>
            </w:r>
          </w:p>
        </w:tc>
        <w:tc>
          <w:tcPr>
            <w:tcW w:w="1182" w:type="dxa"/>
            <w:tcBorders>
              <w:top w:val="nil"/>
              <w:bottom w:val="single" w:sz="2" w:space="0" w:color="1F4E79" w:themeColor="accent1" w:themeShade="80"/>
            </w:tcBorders>
            <w:shd w:val="clear" w:color="auto" w:fill="auto"/>
            <w:vAlign w:val="center"/>
            <w:hideMark/>
          </w:tcPr>
          <w:p w14:paraId="769E6C72" w14:textId="77777777" w:rsidR="008B7E19" w:rsidRPr="00375AF3" w:rsidRDefault="008B7E19" w:rsidP="008B7E19">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b/>
                <w:spacing w:val="-2"/>
                <w:sz w:val="14"/>
                <w:szCs w:val="18"/>
              </w:rPr>
            </w:pPr>
            <w:r w:rsidRPr="00375AF3">
              <w:rPr>
                <w:rFonts w:eastAsia="Times New Roman" w:cs="Arial"/>
                <w:b/>
                <w:spacing w:val="-2"/>
                <w:sz w:val="14"/>
                <w:szCs w:val="18"/>
              </w:rPr>
              <w:t>100</w:t>
            </w:r>
            <w:r>
              <w:rPr>
                <w:rFonts w:eastAsia="Times New Roman" w:cs="Arial"/>
                <w:b/>
                <w:spacing w:val="-2"/>
                <w:sz w:val="14"/>
                <w:szCs w:val="18"/>
              </w:rPr>
              <w:t>.</w:t>
            </w:r>
            <w:r w:rsidRPr="00375AF3">
              <w:rPr>
                <w:rFonts w:eastAsia="Times New Roman" w:cs="Arial"/>
                <w:b/>
                <w:spacing w:val="-2"/>
                <w:sz w:val="14"/>
                <w:szCs w:val="18"/>
              </w:rPr>
              <w:t>000</w:t>
            </w:r>
          </w:p>
        </w:tc>
      </w:tr>
    </w:tbl>
    <w:p w14:paraId="1796F46D" w14:textId="77777777" w:rsidR="008B7E19" w:rsidRPr="00D1698F" w:rsidRDefault="008B7E19" w:rsidP="008B7E19">
      <w:pPr>
        <w:pStyle w:val="05-Textonormal"/>
      </w:pPr>
    </w:p>
    <w:p w14:paraId="6806DFFA" w14:textId="7F6862AC" w:rsidR="008B7E19" w:rsidRPr="00381A79" w:rsidRDefault="008B7E19" w:rsidP="00381A79">
      <w:pPr>
        <w:pStyle w:val="02-TtulodeNota"/>
        <w:rPr>
          <w:bCs/>
          <w:color w:val="1F4E79" w:themeColor="accent1" w:themeShade="80"/>
        </w:rPr>
      </w:pPr>
      <w:bookmarkStart w:id="18" w:name="OLE_LINK1"/>
      <w:bookmarkStart w:id="19" w:name="_Toc141966681"/>
      <w:r w:rsidRPr="00381A79">
        <w:rPr>
          <w:color w:val="1F4E79" w:themeColor="accent1" w:themeShade="80"/>
        </w:rPr>
        <w:t>3 – PRESENTATION OF INTERIM FINANCIAL STATEMENTS</w:t>
      </w:r>
      <w:bookmarkEnd w:id="19"/>
    </w:p>
    <w:p w14:paraId="6ACB7AD8" w14:textId="77777777" w:rsidR="008B7E19" w:rsidRPr="00181C9B" w:rsidRDefault="008B7E19" w:rsidP="008B7E19">
      <w:pPr>
        <w:pStyle w:val="03-SubttulodeNota"/>
        <w:rPr>
          <w:color w:val="1F4E79" w:themeColor="accent1" w:themeShade="80"/>
          <w:sz w:val="18"/>
          <w:lang w:val="en-US"/>
        </w:rPr>
      </w:pPr>
      <w:r w:rsidRPr="00181C9B">
        <w:rPr>
          <w:color w:val="1F4E79" w:themeColor="accent1" w:themeShade="80"/>
          <w:sz w:val="18"/>
          <w:lang w:val="en-US"/>
        </w:rPr>
        <w:t>a) Statement of Compliance</w:t>
      </w:r>
    </w:p>
    <w:p w14:paraId="1B34A86E" w14:textId="77777777" w:rsidR="008B7E19" w:rsidRPr="00F62FB1" w:rsidRDefault="008B7E19" w:rsidP="008B7E19">
      <w:pPr>
        <w:pStyle w:val="05-Textonormal"/>
        <w:rPr>
          <w:lang w:val="en-US"/>
        </w:rPr>
      </w:pPr>
      <w:r w:rsidRPr="00F62FB1">
        <w:rPr>
          <w:lang w:val="en-US"/>
        </w:rPr>
        <w:t>The consolidated interim financial statements were prepared and are being presented in accordance with the International Financial Reporting Standards (IFRS), issued by the International Accounting Standards Board (IASB) and with the accounting practices adopted in Brazil.</w:t>
      </w:r>
    </w:p>
    <w:p w14:paraId="4E2E5675" w14:textId="77777777" w:rsidR="008B7E19" w:rsidRDefault="008B7E19" w:rsidP="008B7E19">
      <w:pPr>
        <w:pStyle w:val="05-Textonormal"/>
        <w:rPr>
          <w:lang w:val="en-US"/>
        </w:rPr>
      </w:pPr>
      <w:r w:rsidRPr="00F62FB1">
        <w:rPr>
          <w:lang w:val="en-US"/>
        </w:rPr>
        <w:t>The individual interim financial statements have been prepared in accordance with the accounting guidelines derived from Brazilian corporation law and are presented in compliance with accounting practices adopted in Brazil, including pronouncements issued by the Comitê de Pronunciamentos Contábeis – CPC (Accounting Pronouncements Committee), approved by Conselho Federal de Contabilidade – CFC (Federal Accounting Council).</w:t>
      </w:r>
    </w:p>
    <w:p w14:paraId="62B79FD1" w14:textId="77777777" w:rsidR="008B7E19" w:rsidRPr="00E06C01" w:rsidRDefault="008B7E19" w:rsidP="008B7E19">
      <w:pPr>
        <w:pStyle w:val="05-Textonormal"/>
        <w:keepNext/>
        <w:keepLines/>
        <w:rPr>
          <w:lang w:val="en-US"/>
        </w:rPr>
      </w:pPr>
      <w:r w:rsidRPr="000F6F5F">
        <w:rPr>
          <w:lang w:val="en-US"/>
        </w:rPr>
        <w:t xml:space="preserve">All the relevant information specific to the </w:t>
      </w:r>
      <w:r>
        <w:rPr>
          <w:lang w:val="en-US"/>
        </w:rPr>
        <w:t xml:space="preserve">interim </w:t>
      </w:r>
      <w:r w:rsidRPr="000F6F5F">
        <w:rPr>
          <w:lang w:val="en-US"/>
        </w:rPr>
        <w:t xml:space="preserve">financial statements are evidenced and correspond to those used </w:t>
      </w:r>
      <w:r w:rsidRPr="007B6E1F">
        <w:rPr>
          <w:lang w:val="en-US"/>
        </w:rPr>
        <w:t>by the Company's Management</w:t>
      </w:r>
      <w:r>
        <w:rPr>
          <w:lang w:val="en-US"/>
        </w:rPr>
        <w:t>.</w:t>
      </w:r>
    </w:p>
    <w:p w14:paraId="397B028C" w14:textId="77777777" w:rsidR="008B7E19" w:rsidRDefault="008B7E19" w:rsidP="008B7E19">
      <w:pPr>
        <w:pStyle w:val="05-Textonormal"/>
        <w:keepNext/>
        <w:keepLines/>
        <w:rPr>
          <w:lang w:val="en-US"/>
        </w:rPr>
      </w:pPr>
      <w:r w:rsidRPr="00E06C01">
        <w:rPr>
          <w:lang w:val="en-US"/>
        </w:rPr>
        <w:t>These</w:t>
      </w:r>
      <w:r>
        <w:rPr>
          <w:lang w:val="en-US"/>
        </w:rPr>
        <w:t xml:space="preserve"> interim</w:t>
      </w:r>
      <w:r w:rsidRPr="00E06C01">
        <w:rPr>
          <w:lang w:val="en-US"/>
        </w:rPr>
        <w:t xml:space="preserve"> financial statements were approved and authorized by BB Seguridade's </w:t>
      </w:r>
      <w:r>
        <w:rPr>
          <w:rStyle w:val="rynqvb"/>
          <w:lang w:val="en"/>
        </w:rPr>
        <w:t>Executive Board</w:t>
      </w:r>
      <w:r w:rsidRPr="00E06C01">
        <w:rPr>
          <w:lang w:val="en-US"/>
        </w:rPr>
        <w:t xml:space="preserve"> on </w:t>
      </w:r>
      <w:r>
        <w:rPr>
          <w:lang w:val="en-US"/>
        </w:rPr>
        <w:t>Aug 04</w:t>
      </w:r>
      <w:r w:rsidRPr="00E06C01">
        <w:rPr>
          <w:lang w:val="en-US"/>
        </w:rPr>
        <w:t>, 202</w:t>
      </w:r>
      <w:r>
        <w:rPr>
          <w:lang w:val="en-US"/>
        </w:rPr>
        <w:t>3.</w:t>
      </w:r>
    </w:p>
    <w:p w14:paraId="3F1D84BC" w14:textId="77777777" w:rsidR="008B7E19" w:rsidRPr="00181C9B" w:rsidRDefault="008B7E19" w:rsidP="008B7E19">
      <w:pPr>
        <w:pStyle w:val="03-SubttulodeNota"/>
        <w:rPr>
          <w:color w:val="1F4E79" w:themeColor="accent1" w:themeShade="80"/>
          <w:sz w:val="18"/>
          <w:szCs w:val="18"/>
          <w:lang w:val="en-US"/>
        </w:rPr>
      </w:pPr>
      <w:r w:rsidRPr="00181C9B">
        <w:rPr>
          <w:color w:val="1F4E79" w:themeColor="accent1" w:themeShade="80"/>
          <w:sz w:val="18"/>
          <w:szCs w:val="18"/>
          <w:lang w:val="en-US"/>
        </w:rPr>
        <w:t>b) Continuity</w:t>
      </w:r>
    </w:p>
    <w:p w14:paraId="6A79EBE6" w14:textId="77777777" w:rsidR="008B7E19" w:rsidRPr="00715A04" w:rsidRDefault="008B7E19" w:rsidP="008B7E19">
      <w:pPr>
        <w:pStyle w:val="05-Textonormal1"/>
        <w:rPr>
          <w:lang w:val="en-US"/>
        </w:rPr>
      </w:pPr>
      <w:r w:rsidRPr="000158CB">
        <w:rPr>
          <w:lang w:val="en-US"/>
        </w:rPr>
        <w:t xml:space="preserve">Management evaluated the capacity of BB Seguridade to continue normally operating </w:t>
      </w:r>
      <w:r>
        <w:rPr>
          <w:rStyle w:val="tlid-translation"/>
          <w:lang w:val="en"/>
        </w:rPr>
        <w:t>and it is convinced that it has the resources to continue its business in the future.</w:t>
      </w:r>
      <w:r w:rsidRPr="000158CB">
        <w:rPr>
          <w:lang w:val="en-US"/>
        </w:rPr>
        <w:t xml:space="preserve"> </w:t>
      </w:r>
      <w:r>
        <w:rPr>
          <w:rStyle w:val="tlid-translation"/>
          <w:lang w:val="en"/>
        </w:rPr>
        <w:t>In addition, Management is not aware of any material uncertainties that could generate significant doubts about its ability to continue operating, Accordingly, these consolidated and individual financial statements were prepared based on the assumption of operating continuity.</w:t>
      </w:r>
    </w:p>
    <w:p w14:paraId="625BBAF5" w14:textId="77777777" w:rsidR="008B7E19" w:rsidRPr="00181C9B" w:rsidRDefault="008B7E19" w:rsidP="008B7E19">
      <w:pPr>
        <w:pStyle w:val="03-SubttulodeNota"/>
        <w:rPr>
          <w:color w:val="1F4E79" w:themeColor="accent1" w:themeShade="80"/>
          <w:sz w:val="18"/>
          <w:szCs w:val="18"/>
          <w:lang w:val="en-US"/>
        </w:rPr>
      </w:pPr>
      <w:r w:rsidRPr="00181C9B">
        <w:rPr>
          <w:color w:val="1F4E79" w:themeColor="accent1" w:themeShade="80"/>
          <w:sz w:val="18"/>
          <w:szCs w:val="18"/>
          <w:lang w:val="en-US"/>
        </w:rPr>
        <w:t>c) Measurement Basis of Assets and Liabilities</w:t>
      </w:r>
    </w:p>
    <w:p w14:paraId="74203220" w14:textId="77777777" w:rsidR="008B7E19" w:rsidRPr="00B15324" w:rsidRDefault="008B7E19" w:rsidP="008B7E19">
      <w:pPr>
        <w:pStyle w:val="05-Textonormal"/>
        <w:rPr>
          <w:lang w:val="en-US"/>
        </w:rPr>
      </w:pPr>
      <w:r w:rsidRPr="00001B11">
        <w:rPr>
          <w:lang w:val="en-US"/>
        </w:rPr>
        <w:t xml:space="preserve">These individual and consolidated </w:t>
      </w:r>
      <w:r>
        <w:rPr>
          <w:lang w:val="en-US"/>
        </w:rPr>
        <w:t xml:space="preserve">interim </w:t>
      </w:r>
      <w:r w:rsidRPr="00001B11">
        <w:rPr>
          <w:lang w:val="en-US"/>
        </w:rPr>
        <w:t>financial statements have been prepared using historical cost as the measurement basis, except for financial assets measured at fair value through profit or loss</w:t>
      </w:r>
      <w:r>
        <w:rPr>
          <w:lang w:val="en-US"/>
        </w:rPr>
        <w:t>.</w:t>
      </w:r>
    </w:p>
    <w:p w14:paraId="122FEFC3" w14:textId="77777777" w:rsidR="008B7E19" w:rsidRPr="00181C9B" w:rsidRDefault="008B7E19" w:rsidP="008B7E19">
      <w:pPr>
        <w:pStyle w:val="03-SubttulodeNota"/>
        <w:rPr>
          <w:color w:val="1F4E79" w:themeColor="accent1" w:themeShade="80"/>
          <w:sz w:val="18"/>
          <w:szCs w:val="18"/>
          <w:lang w:val="en-US"/>
        </w:rPr>
      </w:pPr>
      <w:r w:rsidRPr="00181C9B">
        <w:rPr>
          <w:color w:val="1F4E79" w:themeColor="accent1" w:themeShade="80"/>
          <w:sz w:val="18"/>
          <w:szCs w:val="18"/>
          <w:lang w:val="en-US"/>
        </w:rPr>
        <w:t>d) Functional and Presentation Currency</w:t>
      </w:r>
    </w:p>
    <w:p w14:paraId="540DC250" w14:textId="77777777" w:rsidR="008B7E19" w:rsidRPr="00EE5BC5" w:rsidRDefault="008B7E19" w:rsidP="008B7E19">
      <w:pPr>
        <w:pStyle w:val="03-SubttulodeNota"/>
        <w:rPr>
          <w:b w:val="0"/>
          <w:sz w:val="18"/>
          <w:szCs w:val="18"/>
          <w:lang w:val="en-US"/>
        </w:rPr>
      </w:pPr>
      <w:r w:rsidRPr="007B6E1F">
        <w:rPr>
          <w:b w:val="0"/>
          <w:sz w:val="18"/>
          <w:szCs w:val="18"/>
          <w:lang w:val="en-US"/>
        </w:rPr>
        <w:t>BB Seguridade's interim financial statements, for functional and presentation currency purposes, are presented in Reais (R$).</w:t>
      </w:r>
    </w:p>
    <w:p w14:paraId="2EE452ED" w14:textId="77777777" w:rsidR="008B7E19" w:rsidRPr="00181C9B" w:rsidRDefault="008B7E19" w:rsidP="008B7E19">
      <w:pPr>
        <w:pStyle w:val="03-SubttulodeNota"/>
        <w:rPr>
          <w:color w:val="1F4E79" w:themeColor="accent1" w:themeShade="80"/>
          <w:sz w:val="18"/>
          <w:szCs w:val="18"/>
          <w:lang w:val="en-US"/>
        </w:rPr>
      </w:pPr>
      <w:r w:rsidRPr="00181C9B">
        <w:rPr>
          <w:color w:val="1F4E79" w:themeColor="accent1" w:themeShade="80"/>
          <w:sz w:val="18"/>
          <w:szCs w:val="18"/>
          <w:lang w:val="en-US"/>
        </w:rPr>
        <w:t>e) Consolidation Basis</w:t>
      </w:r>
    </w:p>
    <w:p w14:paraId="084E1C1A" w14:textId="77777777" w:rsidR="008B7E19" w:rsidRDefault="008B7E19" w:rsidP="008B7E19">
      <w:pPr>
        <w:pStyle w:val="05-Textonormal"/>
        <w:rPr>
          <w:lang w:val="en-US"/>
        </w:rPr>
      </w:pPr>
      <w:r w:rsidRPr="00B15324">
        <w:rPr>
          <w:lang w:val="en-US"/>
        </w:rPr>
        <w:t xml:space="preserve">The consolidated </w:t>
      </w:r>
      <w:r>
        <w:rPr>
          <w:lang w:val="en-US"/>
        </w:rPr>
        <w:t xml:space="preserve">interim </w:t>
      </w:r>
      <w:r w:rsidRPr="00B15324">
        <w:rPr>
          <w:lang w:val="en-US"/>
        </w:rPr>
        <w:t xml:space="preserve">financial statements of the </w:t>
      </w:r>
      <w:r>
        <w:rPr>
          <w:lang w:val="en-US"/>
        </w:rPr>
        <w:t xml:space="preserve">BB Seguridade and </w:t>
      </w:r>
      <w:r w:rsidRPr="00A01BD8">
        <w:rPr>
          <w:lang w:val="en-US"/>
        </w:rPr>
        <w:t>subsidiaries</w:t>
      </w:r>
      <w:r>
        <w:rPr>
          <w:lang w:val="en-US"/>
        </w:rPr>
        <w:t xml:space="preserve"> are</w:t>
      </w:r>
      <w:r w:rsidRPr="00B15324">
        <w:rPr>
          <w:lang w:val="en-US"/>
        </w:rPr>
        <w:t xml:space="preserve"> include</w:t>
      </w:r>
      <w:r>
        <w:rPr>
          <w:lang w:val="en-US"/>
        </w:rPr>
        <w:t>d</w:t>
      </w:r>
      <w:r w:rsidRPr="00B15324">
        <w:rPr>
          <w:lang w:val="en-US"/>
        </w:rPr>
        <w:t xml:space="preserve"> the consolidation of assets and </w:t>
      </w:r>
      <w:r>
        <w:rPr>
          <w:lang w:val="en-US"/>
        </w:rPr>
        <w:t xml:space="preserve">liabilities from BB Seguridade </w:t>
      </w:r>
      <w:r w:rsidRPr="00B15324">
        <w:rPr>
          <w:lang w:val="en-US"/>
        </w:rPr>
        <w:t xml:space="preserve">and </w:t>
      </w:r>
      <w:r>
        <w:rPr>
          <w:lang w:val="en-US"/>
        </w:rPr>
        <w:t>its</w:t>
      </w:r>
      <w:r w:rsidRPr="00B15324">
        <w:rPr>
          <w:lang w:val="en-US"/>
        </w:rPr>
        <w:t xml:space="preserve"> controlled entities, as follows:</w:t>
      </w:r>
    </w:p>
    <w:tbl>
      <w:tblPr>
        <w:tblStyle w:val="TabeladeLista6Colorida-nfase5"/>
        <w:tblW w:w="9640" w:type="dxa"/>
        <w:jc w:val="center"/>
        <w:tblBorders>
          <w:top w:val="single" w:sz="2" w:space="0" w:color="1F4E79" w:themeColor="accent1" w:themeShade="80"/>
          <w:bottom w:val="single" w:sz="2" w:space="0" w:color="1F4E79" w:themeColor="accent1" w:themeShade="80"/>
          <w:insideH w:val="single" w:sz="2" w:space="0" w:color="1F4E79" w:themeColor="accent1" w:themeShade="80"/>
        </w:tblBorders>
        <w:tblLook w:val="04A0" w:firstRow="1" w:lastRow="0" w:firstColumn="1" w:lastColumn="0" w:noHBand="0" w:noVBand="1"/>
      </w:tblPr>
      <w:tblGrid>
        <w:gridCol w:w="3698"/>
        <w:gridCol w:w="604"/>
        <w:gridCol w:w="1085"/>
        <w:gridCol w:w="1276"/>
        <w:gridCol w:w="283"/>
        <w:gridCol w:w="1276"/>
        <w:gridCol w:w="1418"/>
      </w:tblGrid>
      <w:tr w:rsidR="008B7E19" w:rsidRPr="0048242D" w14:paraId="41986AA6" w14:textId="77777777" w:rsidTr="00381A79">
        <w:trPr>
          <w:cnfStyle w:val="100000000000" w:firstRow="1" w:lastRow="0" w:firstColumn="0" w:lastColumn="0" w:oddVBand="0" w:evenVBand="0" w:oddHBand="0" w:evenHBand="0" w:firstRowFirstColumn="0" w:firstRowLastColumn="0" w:lastRowFirstColumn="0" w:lastRowLastColumn="0"/>
          <w:trHeight w:hRule="exact" w:val="283"/>
          <w:jc w:val="center"/>
        </w:trPr>
        <w:tc>
          <w:tcPr>
            <w:cnfStyle w:val="001000000000" w:firstRow="0" w:lastRow="0" w:firstColumn="1" w:lastColumn="0" w:oddVBand="0" w:evenVBand="0" w:oddHBand="0" w:evenHBand="0" w:firstRowFirstColumn="0" w:firstRowLastColumn="0" w:lastRowFirstColumn="0" w:lastRowLastColumn="0"/>
            <w:tcW w:w="3698" w:type="dxa"/>
            <w:vMerge w:val="restart"/>
            <w:tcBorders>
              <w:bottom w:val="none" w:sz="0" w:space="0" w:color="auto"/>
            </w:tcBorders>
            <w:shd w:val="clear" w:color="auto" w:fill="auto"/>
            <w:vAlign w:val="center"/>
          </w:tcPr>
          <w:p w14:paraId="3798C84B" w14:textId="77777777" w:rsidR="008B7E19" w:rsidRPr="0048242D" w:rsidRDefault="008B7E19" w:rsidP="008B7E19">
            <w:pPr>
              <w:pStyle w:val="08-Tabelageral"/>
              <w:jc w:val="left"/>
              <w:rPr>
                <w:rFonts w:cs="Arial"/>
                <w:b w:val="0"/>
                <w:color w:val="auto"/>
                <w:sz w:val="18"/>
              </w:rPr>
            </w:pPr>
            <w:r>
              <w:rPr>
                <w:rFonts w:cs="Arial"/>
                <w:color w:val="auto"/>
              </w:rPr>
              <w:t>Company</w:t>
            </w:r>
          </w:p>
        </w:tc>
        <w:tc>
          <w:tcPr>
            <w:tcW w:w="604" w:type="dxa"/>
            <w:tcBorders>
              <w:bottom w:val="nil"/>
            </w:tcBorders>
            <w:shd w:val="clear" w:color="auto" w:fill="auto"/>
          </w:tcPr>
          <w:p w14:paraId="7B48BD95" w14:textId="77777777" w:rsidR="008B7E19" w:rsidRPr="0048242D" w:rsidRDefault="008B7E19" w:rsidP="008B7E19">
            <w:pPr>
              <w:jc w:val="center"/>
              <w:cnfStyle w:val="100000000000" w:firstRow="1" w:lastRow="0" w:firstColumn="0" w:lastColumn="0" w:oddVBand="0" w:evenVBand="0" w:oddHBand="0" w:evenHBand="0" w:firstRowFirstColumn="0" w:firstRowLastColumn="0" w:lastRowFirstColumn="0" w:lastRowLastColumn="0"/>
              <w:rPr>
                <w:rFonts w:cs="Arial"/>
                <w:b w:val="0"/>
                <w:color w:val="auto"/>
                <w:szCs w:val="18"/>
              </w:rPr>
            </w:pPr>
          </w:p>
        </w:tc>
        <w:tc>
          <w:tcPr>
            <w:tcW w:w="1085" w:type="dxa"/>
            <w:vMerge w:val="restart"/>
            <w:tcBorders>
              <w:bottom w:val="none" w:sz="0" w:space="0" w:color="auto"/>
            </w:tcBorders>
            <w:shd w:val="clear" w:color="auto" w:fill="auto"/>
            <w:vAlign w:val="center"/>
          </w:tcPr>
          <w:p w14:paraId="309E0340" w14:textId="77777777" w:rsidR="008B7E19" w:rsidRPr="0048242D" w:rsidRDefault="008B7E19" w:rsidP="008B7E19">
            <w:pPr>
              <w:pStyle w:val="08-Tabelageral"/>
              <w:cnfStyle w:val="100000000000" w:firstRow="1" w:lastRow="0" w:firstColumn="0" w:lastColumn="0" w:oddVBand="0" w:evenVBand="0" w:oddHBand="0" w:evenHBand="0" w:firstRowFirstColumn="0" w:firstRowLastColumn="0" w:lastRowFirstColumn="0" w:lastRowLastColumn="0"/>
              <w:rPr>
                <w:rFonts w:cs="Arial"/>
                <w:bCs w:val="0"/>
                <w:color w:val="auto"/>
              </w:rPr>
            </w:pPr>
            <w:r>
              <w:rPr>
                <w:rFonts w:cs="Arial"/>
                <w:color w:val="auto"/>
              </w:rPr>
              <w:t>Activity</w:t>
            </w:r>
          </w:p>
        </w:tc>
        <w:tc>
          <w:tcPr>
            <w:tcW w:w="1276" w:type="dxa"/>
            <w:vMerge w:val="restart"/>
            <w:tcBorders>
              <w:bottom w:val="none" w:sz="0" w:space="0" w:color="auto"/>
            </w:tcBorders>
            <w:shd w:val="clear" w:color="auto" w:fill="auto"/>
            <w:vAlign w:val="center"/>
          </w:tcPr>
          <w:p w14:paraId="38EF8D7C" w14:textId="77777777" w:rsidR="008B7E19" w:rsidRPr="0048242D" w:rsidRDefault="008B7E19" w:rsidP="008B7E19">
            <w:pPr>
              <w:pStyle w:val="08-Tabelageral"/>
              <w:cnfStyle w:val="100000000000" w:firstRow="1" w:lastRow="0" w:firstColumn="0" w:lastColumn="0" w:oddVBand="0" w:evenVBand="0" w:oddHBand="0" w:evenHBand="0" w:firstRowFirstColumn="0" w:firstRowLastColumn="0" w:lastRowFirstColumn="0" w:lastRowLastColumn="0"/>
              <w:rPr>
                <w:rFonts w:cs="Arial"/>
                <w:color w:val="auto"/>
              </w:rPr>
            </w:pPr>
            <w:r w:rsidRPr="00E756D3">
              <w:t>Country of constitution</w:t>
            </w:r>
          </w:p>
        </w:tc>
        <w:tc>
          <w:tcPr>
            <w:tcW w:w="283" w:type="dxa"/>
            <w:tcBorders>
              <w:bottom w:val="nil"/>
            </w:tcBorders>
            <w:shd w:val="clear" w:color="auto" w:fill="auto"/>
          </w:tcPr>
          <w:p w14:paraId="5913A2B7" w14:textId="77777777" w:rsidR="008B7E19" w:rsidRPr="0048242D" w:rsidRDefault="008B7E19" w:rsidP="008B7E19">
            <w:pPr>
              <w:jc w:val="center"/>
              <w:cnfStyle w:val="100000000000" w:firstRow="1" w:lastRow="0" w:firstColumn="0" w:lastColumn="0" w:oddVBand="0" w:evenVBand="0" w:oddHBand="0" w:evenHBand="0" w:firstRowFirstColumn="0" w:firstRowLastColumn="0" w:lastRowFirstColumn="0" w:lastRowLastColumn="0"/>
              <w:rPr>
                <w:rFonts w:cs="Arial"/>
                <w:color w:val="auto"/>
                <w:szCs w:val="18"/>
              </w:rPr>
            </w:pPr>
          </w:p>
        </w:tc>
        <w:tc>
          <w:tcPr>
            <w:tcW w:w="2694" w:type="dxa"/>
            <w:gridSpan w:val="2"/>
            <w:tcBorders>
              <w:bottom w:val="nil"/>
            </w:tcBorders>
            <w:shd w:val="clear" w:color="auto" w:fill="auto"/>
            <w:vAlign w:val="center"/>
          </w:tcPr>
          <w:p w14:paraId="61562A0F" w14:textId="77777777" w:rsidR="008B7E19" w:rsidRPr="0048242D" w:rsidRDefault="008B7E19" w:rsidP="008B7E19">
            <w:pPr>
              <w:jc w:val="center"/>
              <w:cnfStyle w:val="100000000000" w:firstRow="1" w:lastRow="0" w:firstColumn="0" w:lastColumn="0" w:oddVBand="0" w:evenVBand="0" w:oddHBand="0" w:evenHBand="0" w:firstRowFirstColumn="0" w:firstRowLastColumn="0" w:lastRowFirstColumn="0" w:lastRowLastColumn="0"/>
              <w:rPr>
                <w:rFonts w:cs="Arial"/>
                <w:color w:val="auto"/>
                <w:szCs w:val="18"/>
              </w:rPr>
            </w:pPr>
            <w:r w:rsidRPr="0048242D">
              <w:rPr>
                <w:rFonts w:cs="Arial"/>
                <w:color w:val="auto"/>
                <w:sz w:val="14"/>
                <w:szCs w:val="18"/>
              </w:rPr>
              <w:t xml:space="preserve">% </w:t>
            </w:r>
            <w:r>
              <w:rPr>
                <w:rFonts w:cs="Arial"/>
                <w:color w:val="auto"/>
                <w:sz w:val="14"/>
                <w:szCs w:val="18"/>
              </w:rPr>
              <w:t>Share</w:t>
            </w:r>
          </w:p>
        </w:tc>
      </w:tr>
      <w:tr w:rsidR="008B7E19" w:rsidRPr="0048242D" w14:paraId="7100A284" w14:textId="77777777" w:rsidTr="00381A79">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3698" w:type="dxa"/>
            <w:vMerge/>
            <w:tcBorders>
              <w:bottom w:val="single" w:sz="2" w:space="0" w:color="1F4E79" w:themeColor="accent1" w:themeShade="80"/>
            </w:tcBorders>
            <w:shd w:val="clear" w:color="auto" w:fill="auto"/>
          </w:tcPr>
          <w:p w14:paraId="0F403D0C" w14:textId="77777777" w:rsidR="008B7E19" w:rsidRPr="0048242D" w:rsidRDefault="008B7E19" w:rsidP="008B7E19">
            <w:pPr>
              <w:pStyle w:val="08-Tabelageral"/>
              <w:jc w:val="left"/>
              <w:rPr>
                <w:rFonts w:cs="Arial"/>
                <w:color w:val="auto"/>
              </w:rPr>
            </w:pPr>
          </w:p>
        </w:tc>
        <w:tc>
          <w:tcPr>
            <w:tcW w:w="604" w:type="dxa"/>
            <w:tcBorders>
              <w:top w:val="nil"/>
              <w:bottom w:val="single" w:sz="2" w:space="0" w:color="1F4E79" w:themeColor="accent1" w:themeShade="80"/>
            </w:tcBorders>
            <w:shd w:val="clear" w:color="auto" w:fill="auto"/>
          </w:tcPr>
          <w:p w14:paraId="2E72A790" w14:textId="77777777" w:rsidR="008B7E19" w:rsidRPr="0048242D" w:rsidRDefault="008B7E19" w:rsidP="008B7E19">
            <w:pPr>
              <w:pStyle w:val="08-Tabelageral"/>
              <w:jc w:val="center"/>
              <w:cnfStyle w:val="000000100000" w:firstRow="0" w:lastRow="0" w:firstColumn="0" w:lastColumn="0" w:oddVBand="0" w:evenVBand="0" w:oddHBand="1" w:evenHBand="0" w:firstRowFirstColumn="0" w:firstRowLastColumn="0" w:lastRowFirstColumn="0" w:lastRowLastColumn="0"/>
              <w:rPr>
                <w:rFonts w:cs="Arial"/>
                <w:b/>
                <w:color w:val="auto"/>
              </w:rPr>
            </w:pPr>
          </w:p>
        </w:tc>
        <w:tc>
          <w:tcPr>
            <w:tcW w:w="1085" w:type="dxa"/>
            <w:vMerge/>
            <w:tcBorders>
              <w:bottom w:val="single" w:sz="2" w:space="0" w:color="1F4E79" w:themeColor="accent1" w:themeShade="80"/>
            </w:tcBorders>
            <w:shd w:val="clear" w:color="auto" w:fill="auto"/>
          </w:tcPr>
          <w:p w14:paraId="7F930D9C" w14:textId="77777777" w:rsidR="008B7E19" w:rsidRPr="0048242D" w:rsidRDefault="008B7E19" w:rsidP="008B7E19">
            <w:pPr>
              <w:pStyle w:val="08-Tabelageral"/>
              <w:jc w:val="center"/>
              <w:cnfStyle w:val="000000100000" w:firstRow="0" w:lastRow="0" w:firstColumn="0" w:lastColumn="0" w:oddVBand="0" w:evenVBand="0" w:oddHBand="1" w:evenHBand="0" w:firstRowFirstColumn="0" w:firstRowLastColumn="0" w:lastRowFirstColumn="0" w:lastRowLastColumn="0"/>
              <w:rPr>
                <w:rFonts w:cs="Arial"/>
                <w:b/>
                <w:color w:val="auto"/>
              </w:rPr>
            </w:pPr>
          </w:p>
        </w:tc>
        <w:tc>
          <w:tcPr>
            <w:tcW w:w="1276" w:type="dxa"/>
            <w:vMerge/>
            <w:tcBorders>
              <w:bottom w:val="single" w:sz="2" w:space="0" w:color="1F4E79" w:themeColor="accent1" w:themeShade="80"/>
            </w:tcBorders>
            <w:shd w:val="clear" w:color="auto" w:fill="auto"/>
          </w:tcPr>
          <w:p w14:paraId="477E12C2" w14:textId="77777777" w:rsidR="008B7E19" w:rsidRPr="0048242D" w:rsidRDefault="008B7E19" w:rsidP="008B7E19">
            <w:pPr>
              <w:pStyle w:val="08-Tabelageral"/>
              <w:jc w:val="center"/>
              <w:cnfStyle w:val="000000100000" w:firstRow="0" w:lastRow="0" w:firstColumn="0" w:lastColumn="0" w:oddVBand="0" w:evenVBand="0" w:oddHBand="1" w:evenHBand="0" w:firstRowFirstColumn="0" w:firstRowLastColumn="0" w:lastRowFirstColumn="0" w:lastRowLastColumn="0"/>
              <w:rPr>
                <w:rFonts w:cs="Arial"/>
                <w:b/>
                <w:color w:val="auto"/>
              </w:rPr>
            </w:pPr>
          </w:p>
        </w:tc>
        <w:tc>
          <w:tcPr>
            <w:tcW w:w="283" w:type="dxa"/>
            <w:tcBorders>
              <w:top w:val="nil"/>
              <w:bottom w:val="single" w:sz="2" w:space="0" w:color="1F4E79" w:themeColor="accent1" w:themeShade="80"/>
            </w:tcBorders>
            <w:shd w:val="clear" w:color="auto" w:fill="auto"/>
          </w:tcPr>
          <w:p w14:paraId="4AA26455" w14:textId="77777777" w:rsidR="008B7E19" w:rsidRPr="0048242D" w:rsidRDefault="008B7E19" w:rsidP="008B7E19">
            <w:pPr>
              <w:pStyle w:val="08-Tabelageral"/>
              <w:jc w:val="center"/>
              <w:cnfStyle w:val="000000100000" w:firstRow="0" w:lastRow="0" w:firstColumn="0" w:lastColumn="0" w:oddVBand="0" w:evenVBand="0" w:oddHBand="1" w:evenHBand="0" w:firstRowFirstColumn="0" w:firstRowLastColumn="0" w:lastRowFirstColumn="0" w:lastRowLastColumn="0"/>
              <w:rPr>
                <w:rFonts w:cs="Arial"/>
                <w:b/>
                <w:color w:val="auto"/>
              </w:rPr>
            </w:pPr>
          </w:p>
        </w:tc>
        <w:tc>
          <w:tcPr>
            <w:tcW w:w="1276" w:type="dxa"/>
            <w:tcBorders>
              <w:top w:val="nil"/>
              <w:bottom w:val="single" w:sz="2" w:space="0" w:color="1F4E79" w:themeColor="accent1" w:themeShade="80"/>
            </w:tcBorders>
            <w:shd w:val="clear" w:color="auto" w:fill="auto"/>
          </w:tcPr>
          <w:p w14:paraId="52EFF223" w14:textId="77777777" w:rsidR="008B7E19" w:rsidRPr="0048242D"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b/>
                <w:color w:val="auto"/>
              </w:rPr>
            </w:pPr>
            <w:r>
              <w:rPr>
                <w:rFonts w:cs="Arial"/>
                <w:b/>
                <w:color w:val="auto"/>
              </w:rPr>
              <w:t>June 30, 2023</w:t>
            </w:r>
          </w:p>
        </w:tc>
        <w:tc>
          <w:tcPr>
            <w:tcW w:w="1418" w:type="dxa"/>
            <w:tcBorders>
              <w:top w:val="nil"/>
              <w:bottom w:val="single" w:sz="2" w:space="0" w:color="1F4E79" w:themeColor="accent1" w:themeShade="80"/>
            </w:tcBorders>
            <w:shd w:val="clear" w:color="auto" w:fill="auto"/>
          </w:tcPr>
          <w:p w14:paraId="5A28F9B6" w14:textId="77777777" w:rsidR="008B7E19" w:rsidRPr="0048242D"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b/>
                <w:color w:val="auto"/>
              </w:rPr>
            </w:pPr>
            <w:r>
              <w:rPr>
                <w:rFonts w:cs="Arial"/>
                <w:b/>
                <w:color w:val="auto"/>
              </w:rPr>
              <w:t>Dec 31, 2022</w:t>
            </w:r>
          </w:p>
        </w:tc>
      </w:tr>
      <w:tr w:rsidR="008B7E19" w:rsidRPr="0048242D" w14:paraId="26076412" w14:textId="77777777" w:rsidTr="00381A79">
        <w:trPr>
          <w:trHeight w:hRule="exact" w:val="238"/>
          <w:jc w:val="center"/>
        </w:trPr>
        <w:tc>
          <w:tcPr>
            <w:cnfStyle w:val="001000000000" w:firstRow="0" w:lastRow="0" w:firstColumn="1" w:lastColumn="0" w:oddVBand="0" w:evenVBand="0" w:oddHBand="0" w:evenHBand="0" w:firstRowFirstColumn="0" w:firstRowLastColumn="0" w:lastRowFirstColumn="0" w:lastRowLastColumn="0"/>
            <w:tcW w:w="3698" w:type="dxa"/>
            <w:tcBorders>
              <w:bottom w:val="nil"/>
            </w:tcBorders>
            <w:shd w:val="clear" w:color="auto" w:fill="auto"/>
          </w:tcPr>
          <w:p w14:paraId="40679545" w14:textId="77777777" w:rsidR="008B7E19" w:rsidRPr="0048242D" w:rsidRDefault="008B7E19" w:rsidP="008B7E19">
            <w:pPr>
              <w:pStyle w:val="08-Tabelageral"/>
              <w:jc w:val="left"/>
              <w:rPr>
                <w:rFonts w:cs="Arial"/>
                <w:b w:val="0"/>
                <w:bCs w:val="0"/>
                <w:color w:val="auto"/>
                <w:szCs w:val="14"/>
              </w:rPr>
            </w:pPr>
            <w:r w:rsidRPr="0048242D">
              <w:rPr>
                <w:rFonts w:cs="Arial"/>
                <w:b w:val="0"/>
                <w:color w:val="auto"/>
                <w:szCs w:val="14"/>
              </w:rPr>
              <w:t>BB Seguros</w:t>
            </w:r>
            <w:r>
              <w:rPr>
                <w:rFonts w:cs="Arial"/>
                <w:b w:val="0"/>
                <w:color w:val="auto"/>
                <w:szCs w:val="14"/>
              </w:rPr>
              <w:t xml:space="preserve"> Participações S.A.</w:t>
            </w:r>
          </w:p>
        </w:tc>
        <w:tc>
          <w:tcPr>
            <w:tcW w:w="604" w:type="dxa"/>
            <w:tcBorders>
              <w:bottom w:val="nil"/>
            </w:tcBorders>
            <w:shd w:val="clear" w:color="auto" w:fill="auto"/>
            <w:vAlign w:val="center"/>
          </w:tcPr>
          <w:p w14:paraId="60D64085" w14:textId="77777777" w:rsidR="008B7E19" w:rsidRPr="0048242D" w:rsidRDefault="008B7E19" w:rsidP="008B7E19">
            <w:pPr>
              <w:pStyle w:val="08-Tabelageral"/>
              <w:jc w:val="center"/>
              <w:cnfStyle w:val="000000000000" w:firstRow="0" w:lastRow="0" w:firstColumn="0" w:lastColumn="0" w:oddVBand="0" w:evenVBand="0" w:oddHBand="0" w:evenHBand="0" w:firstRowFirstColumn="0" w:firstRowLastColumn="0" w:lastRowFirstColumn="0" w:lastRowLastColumn="0"/>
              <w:rPr>
                <w:rFonts w:cs="Arial"/>
                <w:color w:val="auto"/>
                <w:szCs w:val="14"/>
              </w:rPr>
            </w:pPr>
          </w:p>
        </w:tc>
        <w:tc>
          <w:tcPr>
            <w:tcW w:w="1085" w:type="dxa"/>
            <w:tcBorders>
              <w:bottom w:val="nil"/>
            </w:tcBorders>
            <w:shd w:val="clear" w:color="auto" w:fill="auto"/>
            <w:vAlign w:val="center"/>
          </w:tcPr>
          <w:p w14:paraId="167620F6" w14:textId="77777777" w:rsidR="008B7E19" w:rsidRPr="0048242D"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color w:val="auto"/>
                <w:szCs w:val="14"/>
              </w:rPr>
            </w:pPr>
            <w:r w:rsidRPr="0048242D">
              <w:rPr>
                <w:rFonts w:cs="Arial"/>
                <w:color w:val="auto"/>
                <w:szCs w:val="14"/>
              </w:rPr>
              <w:t>Holding</w:t>
            </w:r>
          </w:p>
        </w:tc>
        <w:tc>
          <w:tcPr>
            <w:tcW w:w="1276" w:type="dxa"/>
            <w:tcBorders>
              <w:bottom w:val="nil"/>
            </w:tcBorders>
            <w:shd w:val="clear" w:color="auto" w:fill="auto"/>
            <w:vAlign w:val="center"/>
          </w:tcPr>
          <w:p w14:paraId="4CDB2D65" w14:textId="77777777" w:rsidR="008B7E19" w:rsidRPr="0048242D"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color w:val="auto"/>
              </w:rPr>
            </w:pPr>
            <w:r>
              <w:rPr>
                <w:rFonts w:cs="Arial"/>
                <w:color w:val="auto"/>
              </w:rPr>
              <w:t>Braz</w:t>
            </w:r>
            <w:r w:rsidRPr="0048242D">
              <w:rPr>
                <w:rFonts w:cs="Arial"/>
                <w:color w:val="auto"/>
              </w:rPr>
              <w:t>il</w:t>
            </w:r>
          </w:p>
        </w:tc>
        <w:tc>
          <w:tcPr>
            <w:tcW w:w="283" w:type="dxa"/>
            <w:tcBorders>
              <w:bottom w:val="nil"/>
            </w:tcBorders>
            <w:shd w:val="clear" w:color="auto" w:fill="auto"/>
            <w:vAlign w:val="center"/>
          </w:tcPr>
          <w:p w14:paraId="0F696618" w14:textId="77777777" w:rsidR="008B7E19" w:rsidRPr="0048242D"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color w:val="auto"/>
                <w:szCs w:val="14"/>
              </w:rPr>
            </w:pPr>
          </w:p>
        </w:tc>
        <w:tc>
          <w:tcPr>
            <w:tcW w:w="1276" w:type="dxa"/>
            <w:tcBorders>
              <w:bottom w:val="nil"/>
            </w:tcBorders>
            <w:shd w:val="clear" w:color="auto" w:fill="auto"/>
            <w:vAlign w:val="center"/>
          </w:tcPr>
          <w:p w14:paraId="597E577F" w14:textId="77777777" w:rsidR="008B7E19" w:rsidRPr="0048242D"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color w:val="auto"/>
                <w:szCs w:val="14"/>
              </w:rPr>
            </w:pPr>
            <w:r w:rsidRPr="0048242D">
              <w:rPr>
                <w:rFonts w:cs="Arial"/>
                <w:color w:val="auto"/>
                <w:szCs w:val="14"/>
              </w:rPr>
              <w:t xml:space="preserve">100% </w:t>
            </w:r>
          </w:p>
        </w:tc>
        <w:tc>
          <w:tcPr>
            <w:tcW w:w="1418" w:type="dxa"/>
            <w:tcBorders>
              <w:bottom w:val="nil"/>
            </w:tcBorders>
            <w:shd w:val="clear" w:color="auto" w:fill="auto"/>
            <w:vAlign w:val="center"/>
          </w:tcPr>
          <w:p w14:paraId="5EEF867D" w14:textId="77777777" w:rsidR="008B7E19" w:rsidRPr="0048242D"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color w:val="auto"/>
              </w:rPr>
            </w:pPr>
            <w:r w:rsidRPr="0048242D">
              <w:rPr>
                <w:rFonts w:cs="Arial"/>
                <w:color w:val="auto"/>
              </w:rPr>
              <w:t>100%</w:t>
            </w:r>
          </w:p>
        </w:tc>
      </w:tr>
      <w:tr w:rsidR="008B7E19" w:rsidRPr="0048242D" w14:paraId="7D680328" w14:textId="77777777" w:rsidTr="00381A79">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3698" w:type="dxa"/>
            <w:tcBorders>
              <w:top w:val="nil"/>
            </w:tcBorders>
            <w:shd w:val="clear" w:color="auto" w:fill="auto"/>
          </w:tcPr>
          <w:p w14:paraId="0496C748" w14:textId="77777777" w:rsidR="008B7E19" w:rsidRPr="0048242D" w:rsidRDefault="008B7E19" w:rsidP="008B7E19">
            <w:pPr>
              <w:pStyle w:val="08-Tabelageral"/>
              <w:jc w:val="left"/>
              <w:rPr>
                <w:rFonts w:cs="Arial"/>
                <w:b w:val="0"/>
                <w:color w:val="auto"/>
              </w:rPr>
            </w:pPr>
            <w:r w:rsidRPr="0048242D">
              <w:rPr>
                <w:rFonts w:cs="Arial"/>
                <w:b w:val="0"/>
                <w:color w:val="auto"/>
              </w:rPr>
              <w:t>BB Corretora</w:t>
            </w:r>
            <w:r>
              <w:rPr>
                <w:rFonts w:cs="Arial"/>
                <w:b w:val="0"/>
                <w:color w:val="auto"/>
              </w:rPr>
              <w:t xml:space="preserve"> de Seguros e Administradora de Bens S.A.</w:t>
            </w:r>
          </w:p>
          <w:p w14:paraId="2767C63C" w14:textId="77777777" w:rsidR="008B7E19" w:rsidRPr="0048242D" w:rsidRDefault="008B7E19" w:rsidP="008B7E19">
            <w:pPr>
              <w:pStyle w:val="08-Tabelageral"/>
              <w:jc w:val="left"/>
              <w:rPr>
                <w:rFonts w:cs="Arial"/>
                <w:b w:val="0"/>
                <w:color w:val="auto"/>
                <w:szCs w:val="14"/>
              </w:rPr>
            </w:pPr>
          </w:p>
        </w:tc>
        <w:tc>
          <w:tcPr>
            <w:tcW w:w="604" w:type="dxa"/>
            <w:tcBorders>
              <w:top w:val="nil"/>
            </w:tcBorders>
            <w:shd w:val="clear" w:color="auto" w:fill="auto"/>
            <w:vAlign w:val="center"/>
          </w:tcPr>
          <w:p w14:paraId="532CC4A9" w14:textId="77777777" w:rsidR="008B7E19" w:rsidRPr="0048242D" w:rsidRDefault="008B7E19" w:rsidP="008B7E19">
            <w:pPr>
              <w:pStyle w:val="08-Tabelageral"/>
              <w:ind w:left="-119" w:firstLine="119"/>
              <w:jc w:val="center"/>
              <w:cnfStyle w:val="000000100000" w:firstRow="0" w:lastRow="0" w:firstColumn="0" w:lastColumn="0" w:oddVBand="0" w:evenVBand="0" w:oddHBand="1" w:evenHBand="0" w:firstRowFirstColumn="0" w:firstRowLastColumn="0" w:lastRowFirstColumn="0" w:lastRowLastColumn="0"/>
              <w:rPr>
                <w:rFonts w:cs="Arial"/>
                <w:color w:val="auto"/>
                <w:szCs w:val="14"/>
              </w:rPr>
            </w:pPr>
          </w:p>
        </w:tc>
        <w:tc>
          <w:tcPr>
            <w:tcW w:w="1085" w:type="dxa"/>
            <w:tcBorders>
              <w:top w:val="nil"/>
            </w:tcBorders>
            <w:shd w:val="clear" w:color="auto" w:fill="auto"/>
            <w:vAlign w:val="center"/>
          </w:tcPr>
          <w:p w14:paraId="77817191" w14:textId="77777777" w:rsidR="008B7E19" w:rsidRPr="0048242D"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color w:val="auto"/>
                <w:szCs w:val="14"/>
              </w:rPr>
            </w:pPr>
            <w:r w:rsidRPr="00CB214C">
              <w:rPr>
                <w:rFonts w:cs="Arial"/>
                <w:color w:val="auto"/>
                <w:szCs w:val="14"/>
              </w:rPr>
              <w:t>Brokerage</w:t>
            </w:r>
          </w:p>
        </w:tc>
        <w:tc>
          <w:tcPr>
            <w:tcW w:w="1276" w:type="dxa"/>
            <w:tcBorders>
              <w:top w:val="nil"/>
            </w:tcBorders>
            <w:shd w:val="clear" w:color="auto" w:fill="auto"/>
            <w:vAlign w:val="center"/>
          </w:tcPr>
          <w:p w14:paraId="3BEEB047" w14:textId="77777777" w:rsidR="008B7E19" w:rsidRPr="0048242D"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color w:val="auto"/>
              </w:rPr>
            </w:pPr>
            <w:r>
              <w:rPr>
                <w:rFonts w:cs="Arial"/>
                <w:color w:val="auto"/>
              </w:rPr>
              <w:t>Braz</w:t>
            </w:r>
            <w:r w:rsidRPr="0048242D">
              <w:rPr>
                <w:rFonts w:cs="Arial"/>
                <w:color w:val="auto"/>
              </w:rPr>
              <w:t>il</w:t>
            </w:r>
          </w:p>
        </w:tc>
        <w:tc>
          <w:tcPr>
            <w:tcW w:w="283" w:type="dxa"/>
            <w:tcBorders>
              <w:top w:val="nil"/>
            </w:tcBorders>
            <w:shd w:val="clear" w:color="auto" w:fill="auto"/>
            <w:vAlign w:val="center"/>
          </w:tcPr>
          <w:p w14:paraId="4EED5D26" w14:textId="77777777" w:rsidR="008B7E19" w:rsidRPr="0048242D"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color w:val="auto"/>
                <w:szCs w:val="14"/>
              </w:rPr>
            </w:pPr>
          </w:p>
        </w:tc>
        <w:tc>
          <w:tcPr>
            <w:tcW w:w="1276" w:type="dxa"/>
            <w:tcBorders>
              <w:top w:val="nil"/>
            </w:tcBorders>
            <w:shd w:val="clear" w:color="auto" w:fill="auto"/>
            <w:vAlign w:val="center"/>
          </w:tcPr>
          <w:p w14:paraId="031B4DFB" w14:textId="77777777" w:rsidR="008B7E19" w:rsidRPr="0048242D"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color w:val="auto"/>
                <w:szCs w:val="14"/>
              </w:rPr>
            </w:pPr>
            <w:r w:rsidRPr="0048242D">
              <w:rPr>
                <w:rFonts w:cs="Arial"/>
                <w:color w:val="auto"/>
                <w:szCs w:val="14"/>
              </w:rPr>
              <w:t>100%</w:t>
            </w:r>
          </w:p>
        </w:tc>
        <w:tc>
          <w:tcPr>
            <w:tcW w:w="1418" w:type="dxa"/>
            <w:tcBorders>
              <w:top w:val="nil"/>
            </w:tcBorders>
            <w:shd w:val="clear" w:color="auto" w:fill="auto"/>
            <w:vAlign w:val="center"/>
          </w:tcPr>
          <w:p w14:paraId="498B3B1F" w14:textId="77777777" w:rsidR="008B7E19" w:rsidRPr="0048242D"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color w:val="auto"/>
              </w:rPr>
            </w:pPr>
            <w:r w:rsidRPr="0048242D">
              <w:rPr>
                <w:rFonts w:cs="Arial"/>
                <w:color w:val="auto"/>
              </w:rPr>
              <w:t>100%</w:t>
            </w:r>
          </w:p>
        </w:tc>
      </w:tr>
    </w:tbl>
    <w:p w14:paraId="1A4DFFC8" w14:textId="77777777" w:rsidR="008B7E19" w:rsidRDefault="008B7E19" w:rsidP="008B7E19">
      <w:pPr>
        <w:pStyle w:val="05-Textonormal"/>
        <w:rPr>
          <w:lang w:val="en-US"/>
        </w:rPr>
      </w:pPr>
      <w:r w:rsidRPr="00B15324">
        <w:rPr>
          <w:lang w:val="en-US"/>
        </w:rPr>
        <w:t>The intra-group balances and transactions,</w:t>
      </w:r>
      <w:r>
        <w:rPr>
          <w:lang w:val="en-US"/>
        </w:rPr>
        <w:t xml:space="preserve"> such</w:t>
      </w:r>
      <w:r w:rsidRPr="00B15324">
        <w:rPr>
          <w:lang w:val="en-US"/>
        </w:rPr>
        <w:t xml:space="preserve"> as any unrealized income or expenses on transactions between companies</w:t>
      </w:r>
      <w:r>
        <w:rPr>
          <w:lang w:val="en-US"/>
        </w:rPr>
        <w:t xml:space="preserve"> </w:t>
      </w:r>
      <w:r w:rsidRPr="00F30DA7">
        <w:rPr>
          <w:lang w:val="en-US"/>
        </w:rPr>
        <w:t>of the consolidated</w:t>
      </w:r>
      <w:r w:rsidRPr="00B15324">
        <w:rPr>
          <w:lang w:val="en-US"/>
        </w:rPr>
        <w:t>, are eliminated in preparing the consolidated financial statements</w:t>
      </w:r>
      <w:r>
        <w:rPr>
          <w:lang w:val="en-US"/>
        </w:rPr>
        <w:t>.</w:t>
      </w:r>
    </w:p>
    <w:p w14:paraId="3D5A6503" w14:textId="77777777" w:rsidR="008B7E19" w:rsidRPr="00126209" w:rsidRDefault="008B7E19" w:rsidP="008B7E19">
      <w:pPr>
        <w:pStyle w:val="03-SubttulodeNota"/>
        <w:keepNext/>
        <w:rPr>
          <w:color w:val="1F4E79" w:themeColor="accent1" w:themeShade="80"/>
          <w:sz w:val="18"/>
          <w:szCs w:val="18"/>
          <w:lang w:val="en-US"/>
        </w:rPr>
      </w:pPr>
      <w:r w:rsidRPr="00126209">
        <w:rPr>
          <w:color w:val="1F4E79" w:themeColor="accent1" w:themeShade="80"/>
          <w:sz w:val="18"/>
          <w:szCs w:val="18"/>
          <w:lang w:val="en-US"/>
        </w:rPr>
        <w:t>f) Seasonality of Operations</w:t>
      </w:r>
    </w:p>
    <w:p w14:paraId="4FE1F742" w14:textId="77777777" w:rsidR="008B7E19" w:rsidRDefault="008B7E19" w:rsidP="008B7E19">
      <w:pPr>
        <w:pStyle w:val="05-Textonormal"/>
        <w:rPr>
          <w:szCs w:val="22"/>
          <w:lang w:val="en"/>
        </w:rPr>
      </w:pPr>
      <w:r w:rsidRPr="00B15324">
        <w:rPr>
          <w:lang w:val="en-US"/>
        </w:rPr>
        <w:t xml:space="preserve">BB Seguridade and its </w:t>
      </w:r>
      <w:r w:rsidRPr="00F30DA7">
        <w:rPr>
          <w:lang w:val="en-US"/>
        </w:rPr>
        <w:t xml:space="preserve">owned </w:t>
      </w:r>
      <w:r w:rsidRPr="00B15324">
        <w:rPr>
          <w:lang w:val="en-US"/>
        </w:rPr>
        <w:t xml:space="preserve">subsidiaries consider the nature of </w:t>
      </w:r>
      <w:r>
        <w:rPr>
          <w:lang w:val="en-US"/>
        </w:rPr>
        <w:t>their</w:t>
      </w:r>
      <w:r w:rsidRPr="00B15324">
        <w:rPr>
          <w:lang w:val="en-US"/>
        </w:rPr>
        <w:t xml:space="preserve"> transactions as non-seasonal and </w:t>
      </w:r>
      <w:r>
        <w:rPr>
          <w:lang w:val="en-US"/>
        </w:rPr>
        <w:t>non-</w:t>
      </w:r>
      <w:r w:rsidRPr="00B15324">
        <w:rPr>
          <w:lang w:val="en-US"/>
        </w:rPr>
        <w:t>cyclical, taking into account the activities carried out by the Group</w:t>
      </w:r>
      <w:r>
        <w:rPr>
          <w:lang w:val="en-US"/>
        </w:rPr>
        <w:t>.</w:t>
      </w:r>
      <w:r w:rsidRPr="00B15324">
        <w:rPr>
          <w:lang w:val="en-US"/>
        </w:rPr>
        <w:t xml:space="preserve"> Consequently, no specific disclosures are provided in these notes</w:t>
      </w:r>
      <w:r>
        <w:rPr>
          <w:lang w:val="en-US"/>
        </w:rPr>
        <w:t>.</w:t>
      </w:r>
    </w:p>
    <w:p w14:paraId="2AD790A5" w14:textId="77777777" w:rsidR="008B7E19" w:rsidRPr="00181C9B" w:rsidRDefault="008B7E19" w:rsidP="008B7E19">
      <w:pPr>
        <w:pStyle w:val="03-SubttulodeNota"/>
        <w:keepNext/>
        <w:rPr>
          <w:color w:val="1F4E79" w:themeColor="accent1" w:themeShade="80"/>
          <w:sz w:val="18"/>
          <w:szCs w:val="18"/>
          <w:lang w:val="en-US"/>
        </w:rPr>
      </w:pPr>
      <w:r w:rsidRPr="00181C9B">
        <w:rPr>
          <w:color w:val="1F4E79" w:themeColor="accent1" w:themeShade="80"/>
          <w:sz w:val="18"/>
          <w:szCs w:val="18"/>
          <w:lang w:val="en-US"/>
        </w:rPr>
        <w:t>g) Main Judgments and Accouting Estimates</w:t>
      </w:r>
    </w:p>
    <w:p w14:paraId="2AD4D279" w14:textId="77777777" w:rsidR="008B7E19" w:rsidRPr="008573F3" w:rsidRDefault="008B7E19" w:rsidP="008B7E19">
      <w:pPr>
        <w:pStyle w:val="05-Textonormal"/>
        <w:keepNext/>
        <w:keepLines/>
        <w:rPr>
          <w:lang w:val="en-US"/>
        </w:rPr>
      </w:pPr>
      <w:r w:rsidRPr="008573F3">
        <w:rPr>
          <w:lang w:val="en-US"/>
        </w:rPr>
        <w:t xml:space="preserve">The preparation of the financial statements in </w:t>
      </w:r>
      <w:r w:rsidRPr="002D4376">
        <w:rPr>
          <w:lang w:val="en-US"/>
        </w:rPr>
        <w:t>accordance with CPCs and IFRS requires</w:t>
      </w:r>
      <w:r w:rsidRPr="008573F3">
        <w:rPr>
          <w:lang w:val="en-US"/>
        </w:rPr>
        <w:t xml:space="preserve"> that the Management make judgments and estimates affecting the recognized amounts referring to assets, liabilities, income and expenses</w:t>
      </w:r>
      <w:r>
        <w:rPr>
          <w:lang w:val="en-US"/>
        </w:rPr>
        <w:t>,</w:t>
      </w:r>
      <w:r w:rsidRPr="008573F3">
        <w:rPr>
          <w:lang w:val="en-US"/>
        </w:rPr>
        <w:t xml:space="preserve"> Estimates and assumptions adopted are</w:t>
      </w:r>
      <w:r>
        <w:rPr>
          <w:lang w:val="en-US"/>
        </w:rPr>
        <w:t xml:space="preserve"> </w:t>
      </w:r>
      <w:r w:rsidRPr="008573F3">
        <w:rPr>
          <w:lang w:val="en-US"/>
        </w:rPr>
        <w:t>analyzed on a continuous basis, and revisions are carried out and recognized in the period in which the estimate is reevaluated, with prospective effects</w:t>
      </w:r>
      <w:r>
        <w:rPr>
          <w:lang w:val="en-US"/>
        </w:rPr>
        <w:t>,</w:t>
      </w:r>
      <w:r w:rsidRPr="008573F3">
        <w:rPr>
          <w:lang w:val="en-US"/>
        </w:rPr>
        <w:t xml:space="preserve"> The actual results obtained may be different from estimates used herein</w:t>
      </w:r>
      <w:r>
        <w:rPr>
          <w:lang w:val="en-US"/>
        </w:rPr>
        <w:t>.</w:t>
      </w:r>
    </w:p>
    <w:p w14:paraId="419B3F34" w14:textId="77777777" w:rsidR="008B7E19" w:rsidRPr="008573F3" w:rsidRDefault="008B7E19" w:rsidP="008B7E19">
      <w:pPr>
        <w:pStyle w:val="05-Textonormal"/>
        <w:rPr>
          <w:lang w:val="en-US"/>
        </w:rPr>
      </w:pPr>
      <w:r w:rsidRPr="008573F3">
        <w:rPr>
          <w:lang w:val="en-US"/>
        </w:rPr>
        <w:t xml:space="preserve">Taking into consideration that there are certain alternatives to accounting treatments, the results </w:t>
      </w:r>
      <w:r>
        <w:rPr>
          <w:lang w:val="en-US"/>
        </w:rPr>
        <w:t xml:space="preserve">that </w:t>
      </w:r>
      <w:r w:rsidRPr="008573F3">
        <w:rPr>
          <w:lang w:val="en-US"/>
        </w:rPr>
        <w:t>are disclosed</w:t>
      </w:r>
      <w:r w:rsidRPr="008573F3">
        <w:rPr>
          <w:rFonts w:cs="Arial"/>
          <w:lang w:val="en-US"/>
        </w:rPr>
        <w:t xml:space="preserve"> </w:t>
      </w:r>
      <w:r w:rsidRPr="008573F3">
        <w:rPr>
          <w:lang w:val="en-US"/>
        </w:rPr>
        <w:t>could be different, in the event a different treatment</w:t>
      </w:r>
      <w:r>
        <w:rPr>
          <w:lang w:val="en-US"/>
        </w:rPr>
        <w:t xml:space="preserve"> had</w:t>
      </w:r>
      <w:r w:rsidRPr="00D83A01">
        <w:rPr>
          <w:color w:val="FF0000"/>
          <w:lang w:val="en-US"/>
        </w:rPr>
        <w:t xml:space="preserve"> </w:t>
      </w:r>
      <w:r>
        <w:rPr>
          <w:lang w:val="en-US"/>
        </w:rPr>
        <w:t>b</w:t>
      </w:r>
      <w:r w:rsidRPr="008573F3">
        <w:rPr>
          <w:lang w:val="en-US"/>
        </w:rPr>
        <w:t>een chosen</w:t>
      </w:r>
      <w:r>
        <w:rPr>
          <w:lang w:val="en-US"/>
        </w:rPr>
        <w:t>,</w:t>
      </w:r>
      <w:r w:rsidRPr="008573F3">
        <w:rPr>
          <w:lang w:val="en-US"/>
        </w:rPr>
        <w:t xml:space="preserve"> Management considers that the choices made are appropriate and that the financial statements fairly present the consolidated financial position of BB Seguridade and the result of its operations in all material aspects</w:t>
      </w:r>
      <w:r>
        <w:rPr>
          <w:lang w:val="en-US"/>
        </w:rPr>
        <w:t>.</w:t>
      </w:r>
    </w:p>
    <w:p w14:paraId="7BD48029" w14:textId="77777777" w:rsidR="008B7E19" w:rsidRDefault="008B7E19" w:rsidP="008B7E19">
      <w:pPr>
        <w:pStyle w:val="05-Textonormal"/>
        <w:rPr>
          <w:lang w:val="en-US"/>
        </w:rPr>
      </w:pPr>
      <w:r w:rsidRPr="008573F3">
        <w:rPr>
          <w:lang w:val="en-US"/>
        </w:rPr>
        <w:t xml:space="preserve">Significant assets and liabilities subject to these estimates and assumptions encompass items for which </w:t>
      </w:r>
      <w:r>
        <w:rPr>
          <w:lang w:val="en-US"/>
        </w:rPr>
        <w:t>an evaluation</w:t>
      </w:r>
      <w:r w:rsidRPr="008573F3">
        <w:rPr>
          <w:lang w:val="en-US"/>
        </w:rPr>
        <w:t xml:space="preserve"> at fair value is necessary</w:t>
      </w:r>
      <w:r>
        <w:rPr>
          <w:lang w:val="en-US"/>
        </w:rPr>
        <w:t>.</w:t>
      </w:r>
      <w:r w:rsidRPr="008573F3">
        <w:rPr>
          <w:lang w:val="en-US"/>
        </w:rPr>
        <w:t xml:space="preserve"> The most relevant applications of the exercise on estimates judgments and usage occur in:</w:t>
      </w:r>
      <w:r>
        <w:rPr>
          <w:lang w:val="en-US"/>
        </w:rPr>
        <w:t xml:space="preserve"> </w:t>
      </w:r>
      <w:r w:rsidRPr="00D83A01">
        <w:rPr>
          <w:lang w:val="en-US"/>
        </w:rPr>
        <w:t xml:space="preserve">Fair </w:t>
      </w:r>
      <w:r>
        <w:rPr>
          <w:lang w:val="en-US"/>
        </w:rPr>
        <w:t>v</w:t>
      </w:r>
      <w:r w:rsidRPr="00D83A01">
        <w:rPr>
          <w:lang w:val="en-US"/>
        </w:rPr>
        <w:t xml:space="preserve">alue of </w:t>
      </w:r>
      <w:r>
        <w:rPr>
          <w:lang w:val="en-US"/>
        </w:rPr>
        <w:t>F</w:t>
      </w:r>
      <w:r w:rsidRPr="00D83A01">
        <w:rPr>
          <w:lang w:val="en-US"/>
        </w:rPr>
        <w:t xml:space="preserve">inancial </w:t>
      </w:r>
      <w:r>
        <w:rPr>
          <w:lang w:val="en-US"/>
        </w:rPr>
        <w:t>I</w:t>
      </w:r>
      <w:r w:rsidRPr="00D83A01">
        <w:rPr>
          <w:lang w:val="en-US"/>
        </w:rPr>
        <w:t>nstruments</w:t>
      </w:r>
      <w:r>
        <w:rPr>
          <w:lang w:val="en-US"/>
        </w:rPr>
        <w:t xml:space="preserve">, </w:t>
      </w:r>
      <w:r w:rsidRPr="00D83A01">
        <w:rPr>
          <w:lang w:val="en-US"/>
        </w:rPr>
        <w:t xml:space="preserve">Impairment of </w:t>
      </w:r>
      <w:r>
        <w:rPr>
          <w:lang w:val="en-US"/>
        </w:rPr>
        <w:t>F</w:t>
      </w:r>
      <w:r w:rsidRPr="00D83A01">
        <w:rPr>
          <w:lang w:val="en-US"/>
        </w:rPr>
        <w:t xml:space="preserve">inancial </w:t>
      </w:r>
      <w:r>
        <w:rPr>
          <w:lang w:val="en-US"/>
        </w:rPr>
        <w:t>A</w:t>
      </w:r>
      <w:r w:rsidRPr="00D83A01">
        <w:rPr>
          <w:lang w:val="en-US"/>
        </w:rPr>
        <w:t>ssets</w:t>
      </w:r>
      <w:r>
        <w:rPr>
          <w:lang w:val="en-US"/>
        </w:rPr>
        <w:t xml:space="preserve">, </w:t>
      </w:r>
      <w:r w:rsidRPr="00D83A01">
        <w:rPr>
          <w:lang w:val="en-US"/>
        </w:rPr>
        <w:t xml:space="preserve">Impairment of </w:t>
      </w:r>
      <w:r>
        <w:rPr>
          <w:lang w:val="en-US"/>
        </w:rPr>
        <w:t>No</w:t>
      </w:r>
      <w:r w:rsidRPr="00D83A01">
        <w:rPr>
          <w:lang w:val="en-US"/>
        </w:rPr>
        <w:t>n-</w:t>
      </w:r>
      <w:r>
        <w:rPr>
          <w:lang w:val="en-US"/>
        </w:rPr>
        <w:t>F</w:t>
      </w:r>
      <w:r w:rsidRPr="00D83A01">
        <w:rPr>
          <w:lang w:val="en-US"/>
        </w:rPr>
        <w:t xml:space="preserve">inancial </w:t>
      </w:r>
      <w:r>
        <w:rPr>
          <w:lang w:val="en-US"/>
        </w:rPr>
        <w:t>A</w:t>
      </w:r>
      <w:r w:rsidRPr="00D83A01">
        <w:rPr>
          <w:lang w:val="en-US"/>
        </w:rPr>
        <w:t>ssets</w:t>
      </w:r>
      <w:r>
        <w:rPr>
          <w:lang w:val="en-US"/>
        </w:rPr>
        <w:t xml:space="preserve">, </w:t>
      </w:r>
      <w:r w:rsidRPr="00D83A01">
        <w:rPr>
          <w:lang w:val="en-US"/>
        </w:rPr>
        <w:t xml:space="preserve">Income </w:t>
      </w:r>
      <w:r>
        <w:rPr>
          <w:lang w:val="en-US"/>
        </w:rPr>
        <w:t>T</w:t>
      </w:r>
      <w:r w:rsidRPr="00D83A01">
        <w:rPr>
          <w:lang w:val="en-US"/>
        </w:rPr>
        <w:t>axes</w:t>
      </w:r>
      <w:r>
        <w:rPr>
          <w:lang w:val="en-US"/>
        </w:rPr>
        <w:t xml:space="preserve">, </w:t>
      </w:r>
      <w:r w:rsidRPr="00D83A01">
        <w:rPr>
          <w:lang w:val="en-US"/>
        </w:rPr>
        <w:t xml:space="preserve">Deferred </w:t>
      </w:r>
      <w:r>
        <w:rPr>
          <w:lang w:val="en-US"/>
        </w:rPr>
        <w:t>T</w:t>
      </w:r>
      <w:r w:rsidRPr="00D83A01">
        <w:rPr>
          <w:lang w:val="en-US"/>
        </w:rPr>
        <w:t>axes</w:t>
      </w:r>
      <w:r>
        <w:rPr>
          <w:lang w:val="en-US"/>
        </w:rPr>
        <w:t xml:space="preserve"> and </w:t>
      </w:r>
      <w:r w:rsidRPr="0055525C">
        <w:rPr>
          <w:lang w:val="en-US"/>
        </w:rPr>
        <w:t>Provisions and Contingent Liabilities</w:t>
      </w:r>
      <w:bookmarkEnd w:id="18"/>
      <w:r>
        <w:rPr>
          <w:lang w:val="en-US"/>
        </w:rPr>
        <w:t>.</w:t>
      </w:r>
    </w:p>
    <w:p w14:paraId="22458FAB" w14:textId="77777777" w:rsidR="008B7E19" w:rsidRDefault="008B7E19" w:rsidP="008B7E19">
      <w:pPr>
        <w:pStyle w:val="05-Textonormal"/>
        <w:rPr>
          <w:lang w:val="en-US"/>
        </w:rPr>
      </w:pPr>
    </w:p>
    <w:p w14:paraId="61A566D0" w14:textId="77777777" w:rsidR="008B7E19" w:rsidRDefault="008B7E19" w:rsidP="008B7E19">
      <w:pPr>
        <w:pStyle w:val="03-SubttulodeNota"/>
        <w:keepNext/>
        <w:rPr>
          <w:color w:val="1F4E79" w:themeColor="accent1" w:themeShade="80"/>
          <w:sz w:val="18"/>
          <w:szCs w:val="18"/>
          <w:lang w:val="en-US"/>
        </w:rPr>
      </w:pPr>
      <w:r w:rsidRPr="00126209">
        <w:rPr>
          <w:color w:val="1F4E79" w:themeColor="accent1" w:themeShade="80"/>
          <w:sz w:val="18"/>
          <w:szCs w:val="18"/>
          <w:lang w:val="en-US"/>
        </w:rPr>
        <w:t xml:space="preserve">h) </w:t>
      </w:r>
      <w:r w:rsidRPr="0043117D">
        <w:rPr>
          <w:color w:val="1F4E79" w:themeColor="accent1" w:themeShade="80"/>
          <w:sz w:val="18"/>
          <w:szCs w:val="18"/>
          <w:lang w:val="en-US"/>
        </w:rPr>
        <w:t>Initial adoption of CPC 50 [IFRS 17] and CPC 48 [IFRS 9] for operating investees that sell insurance contracts</w:t>
      </w:r>
    </w:p>
    <w:p w14:paraId="216635A5" w14:textId="77777777" w:rsidR="008B7E19" w:rsidRPr="0084275E" w:rsidRDefault="008B7E19" w:rsidP="008B7E19">
      <w:pPr>
        <w:pStyle w:val="03-SubttulodeNota"/>
        <w:keepNext/>
        <w:rPr>
          <w:rFonts w:cs="Arial"/>
          <w:b w:val="0"/>
          <w:spacing w:val="0"/>
          <w:kern w:val="20"/>
          <w:sz w:val="18"/>
          <w:lang w:val="en-US"/>
        </w:rPr>
      </w:pPr>
      <w:r w:rsidRPr="0084275E">
        <w:rPr>
          <w:rFonts w:cs="Arial"/>
          <w:b w:val="0"/>
          <w:spacing w:val="0"/>
          <w:kern w:val="20"/>
          <w:sz w:val="18"/>
          <w:lang w:val="en-US"/>
        </w:rPr>
        <w:t>The investee companies impacted by these standards, due to the initial adoption as of January 2023, carried out, for the purposes of the transition requirements of the standards, the application by the retrospective or fair value approach. Such impacts were reflected in the financial statements of BB Seguridade, with effects on Investments in Shareholdings and Equity.</w:t>
      </w:r>
    </w:p>
    <w:p w14:paraId="6924CCFC" w14:textId="77777777" w:rsidR="008B7E19" w:rsidRDefault="008B7E19" w:rsidP="008B7E19">
      <w:pPr>
        <w:pStyle w:val="03-SubttulodeNota"/>
        <w:keepNext/>
        <w:rPr>
          <w:rFonts w:cs="Arial"/>
          <w:b w:val="0"/>
          <w:spacing w:val="0"/>
          <w:kern w:val="20"/>
          <w:sz w:val="18"/>
          <w:lang w:val="en-US"/>
        </w:rPr>
      </w:pPr>
      <w:r w:rsidRPr="0084275E">
        <w:rPr>
          <w:rFonts w:cs="Arial"/>
          <w:b w:val="0"/>
          <w:spacing w:val="0"/>
          <w:kern w:val="20"/>
          <w:sz w:val="18"/>
          <w:lang w:val="en-US"/>
        </w:rPr>
        <w:t>The impacts on the presentation of accounting information, proportional to equity interests, for comparison purposes are shown in the tables below:</w:t>
      </w:r>
    </w:p>
    <w:p w14:paraId="43D8DBC7" w14:textId="77777777" w:rsidR="008B7E19" w:rsidRPr="0084275E" w:rsidRDefault="008B7E19" w:rsidP="008B7E19">
      <w:pPr>
        <w:pStyle w:val="03-SubttulodeNota"/>
        <w:keepNext/>
        <w:rPr>
          <w:color w:val="1F4E79" w:themeColor="accent1" w:themeShade="80"/>
          <w:lang w:val="en-US"/>
        </w:rPr>
      </w:pPr>
      <w:r w:rsidRPr="0084275E">
        <w:rPr>
          <w:color w:val="1F4E79" w:themeColor="accent1" w:themeShade="80"/>
          <w:lang w:val="en-US"/>
        </w:rPr>
        <w:t>Investments in Associates</w:t>
      </w:r>
    </w:p>
    <w:p w14:paraId="71744146" w14:textId="77777777" w:rsidR="008B7E19" w:rsidRDefault="008B7E19" w:rsidP="008B7E19">
      <w:pPr>
        <w:spacing w:after="0" w:line="240" w:lineRule="auto"/>
        <w:jc w:val="right"/>
        <w:rPr>
          <w:rFonts w:cs="Arial"/>
          <w:b/>
          <w:sz w:val="14"/>
          <w:lang w:eastAsia="pt-BR"/>
        </w:rPr>
      </w:pPr>
      <w:r w:rsidRPr="00FC6C4B">
        <w:rPr>
          <w:rFonts w:cs="Arial"/>
          <w:b/>
          <w:sz w:val="14"/>
          <w:lang w:eastAsia="pt-BR"/>
        </w:rPr>
        <w:t xml:space="preserve">R$ </w:t>
      </w:r>
      <w:r>
        <w:rPr>
          <w:rFonts w:cs="Arial"/>
          <w:b/>
          <w:sz w:val="14"/>
          <w:lang w:eastAsia="pt-BR"/>
        </w:rPr>
        <w:t>thousand</w:t>
      </w:r>
    </w:p>
    <w:tbl>
      <w:tblPr>
        <w:tblW w:w="5000" w:type="pct"/>
        <w:jc w:val="center"/>
        <w:tblBorders>
          <w:top w:val="single" w:sz="2" w:space="0" w:color="1F4E79" w:themeColor="accent1" w:themeShade="80"/>
          <w:bottom w:val="single" w:sz="2" w:space="0" w:color="1F4E79" w:themeColor="accent1" w:themeShade="80"/>
        </w:tblBorders>
        <w:tblLook w:val="04A0" w:firstRow="1" w:lastRow="0" w:firstColumn="1" w:lastColumn="0" w:noHBand="0" w:noVBand="1"/>
      </w:tblPr>
      <w:tblGrid>
        <w:gridCol w:w="4204"/>
        <w:gridCol w:w="1883"/>
        <w:gridCol w:w="1883"/>
        <w:gridCol w:w="1884"/>
      </w:tblGrid>
      <w:tr w:rsidR="008B7E19" w14:paraId="454119CF" w14:textId="77777777" w:rsidTr="008B7E19">
        <w:trPr>
          <w:trHeight w:val="238"/>
          <w:jc w:val="center"/>
        </w:trPr>
        <w:tc>
          <w:tcPr>
            <w:tcW w:w="4111" w:type="dxa"/>
            <w:tcBorders>
              <w:top w:val="single" w:sz="2" w:space="0" w:color="1F4E79" w:themeColor="accent1" w:themeShade="80"/>
              <w:left w:val="nil"/>
              <w:bottom w:val="single" w:sz="2" w:space="0" w:color="1F4E79" w:themeColor="accent1" w:themeShade="80"/>
              <w:right w:val="nil"/>
            </w:tcBorders>
            <w:vAlign w:val="center"/>
            <w:hideMark/>
          </w:tcPr>
          <w:p w14:paraId="13F90E6C" w14:textId="77777777" w:rsidR="008B7E19" w:rsidRDefault="008B7E19">
            <w:pPr>
              <w:pStyle w:val="08-Tabelageral"/>
              <w:spacing w:line="256" w:lineRule="auto"/>
              <w:jc w:val="center"/>
              <w:rPr>
                <w:rFonts w:cs="Arial"/>
                <w:b/>
                <w:bCs/>
                <w:szCs w:val="14"/>
                <w:lang w:eastAsia="en-US"/>
              </w:rPr>
            </w:pPr>
            <w:r w:rsidRPr="0084275E">
              <w:rPr>
                <w:rFonts w:cs="Arial"/>
                <w:b/>
                <w:bCs/>
                <w:szCs w:val="14"/>
                <w:lang w:eastAsia="en-US"/>
              </w:rPr>
              <w:t>Investments in Associates</w:t>
            </w:r>
          </w:p>
        </w:tc>
        <w:tc>
          <w:tcPr>
            <w:tcW w:w="1842" w:type="dxa"/>
            <w:tcBorders>
              <w:top w:val="single" w:sz="2" w:space="0" w:color="1F4E79" w:themeColor="accent1" w:themeShade="80"/>
              <w:left w:val="nil"/>
              <w:bottom w:val="single" w:sz="2" w:space="0" w:color="1F4E79" w:themeColor="accent1" w:themeShade="80"/>
              <w:right w:val="nil"/>
            </w:tcBorders>
            <w:vAlign w:val="center"/>
            <w:hideMark/>
          </w:tcPr>
          <w:p w14:paraId="54AAFF9A" w14:textId="77777777" w:rsidR="008B7E19" w:rsidRDefault="008B7E19">
            <w:pPr>
              <w:pStyle w:val="08-Tabelageral"/>
              <w:spacing w:line="256" w:lineRule="auto"/>
              <w:jc w:val="center"/>
              <w:rPr>
                <w:rFonts w:cs="Arial"/>
                <w:b/>
                <w:bCs/>
                <w:szCs w:val="14"/>
                <w:lang w:eastAsia="en-US"/>
              </w:rPr>
            </w:pPr>
            <w:r>
              <w:rPr>
                <w:rFonts w:cs="Arial"/>
                <w:b/>
                <w:bCs/>
                <w:szCs w:val="14"/>
                <w:lang w:eastAsia="en-US"/>
              </w:rPr>
              <w:t xml:space="preserve">Balance em </w:t>
            </w:r>
            <w:r w:rsidRPr="00681217">
              <w:rPr>
                <w:rFonts w:cs="Arial"/>
                <w:b/>
                <w:bCs/>
                <w:szCs w:val="14"/>
                <w:lang w:val="en-US"/>
              </w:rPr>
              <w:t>Dec 31, 2021</w:t>
            </w:r>
          </w:p>
        </w:tc>
        <w:tc>
          <w:tcPr>
            <w:tcW w:w="1842" w:type="dxa"/>
            <w:tcBorders>
              <w:top w:val="single" w:sz="2" w:space="0" w:color="1F4E79" w:themeColor="accent1" w:themeShade="80"/>
              <w:left w:val="nil"/>
              <w:bottom w:val="single" w:sz="2" w:space="0" w:color="1F4E79" w:themeColor="accent1" w:themeShade="80"/>
              <w:right w:val="nil"/>
            </w:tcBorders>
            <w:vAlign w:val="center"/>
            <w:hideMark/>
          </w:tcPr>
          <w:p w14:paraId="3F1CA3E4" w14:textId="77777777" w:rsidR="008B7E19" w:rsidRDefault="008B7E19">
            <w:pPr>
              <w:pStyle w:val="08-Tabelageral"/>
              <w:spacing w:line="256" w:lineRule="auto"/>
              <w:jc w:val="center"/>
              <w:rPr>
                <w:rFonts w:cs="Arial"/>
                <w:b/>
                <w:bCs/>
                <w:szCs w:val="14"/>
                <w:lang w:eastAsia="en-US"/>
              </w:rPr>
            </w:pPr>
            <w:r w:rsidRPr="0084275E">
              <w:rPr>
                <w:rFonts w:cs="Arial"/>
                <w:b/>
                <w:bCs/>
                <w:lang w:eastAsia="en-US"/>
              </w:rPr>
              <w:t>Impacts of initial adoption</w:t>
            </w:r>
          </w:p>
        </w:tc>
        <w:tc>
          <w:tcPr>
            <w:tcW w:w="1843" w:type="dxa"/>
            <w:tcBorders>
              <w:top w:val="single" w:sz="2" w:space="0" w:color="1F4E79" w:themeColor="accent1" w:themeShade="80"/>
              <w:left w:val="nil"/>
              <w:bottom w:val="single" w:sz="2" w:space="0" w:color="1F4E79" w:themeColor="accent1" w:themeShade="80"/>
              <w:right w:val="nil"/>
            </w:tcBorders>
            <w:vAlign w:val="center"/>
            <w:hideMark/>
          </w:tcPr>
          <w:p w14:paraId="48C83FB7" w14:textId="77777777" w:rsidR="008B7E19" w:rsidRDefault="008B7E19">
            <w:pPr>
              <w:pStyle w:val="08-Tabelageral"/>
              <w:spacing w:line="256" w:lineRule="auto"/>
              <w:jc w:val="center"/>
              <w:rPr>
                <w:rFonts w:cs="Arial"/>
                <w:b/>
                <w:bCs/>
                <w:szCs w:val="14"/>
                <w:lang w:eastAsia="en-US"/>
              </w:rPr>
            </w:pPr>
            <w:r>
              <w:rPr>
                <w:rFonts w:cs="Arial"/>
                <w:b/>
                <w:bCs/>
                <w:szCs w:val="14"/>
                <w:lang w:eastAsia="en-US"/>
              </w:rPr>
              <w:t xml:space="preserve">Balance </w:t>
            </w:r>
            <w:r>
              <w:rPr>
                <w:rFonts w:cs="Arial"/>
                <w:b/>
                <w:bCs/>
                <w:szCs w:val="14"/>
                <w:lang w:val="en-US"/>
              </w:rPr>
              <w:t>Jan</w:t>
            </w:r>
            <w:r w:rsidRPr="00681217">
              <w:rPr>
                <w:rFonts w:cs="Arial"/>
                <w:b/>
                <w:bCs/>
                <w:szCs w:val="14"/>
                <w:lang w:val="en-US"/>
              </w:rPr>
              <w:t xml:space="preserve"> </w:t>
            </w:r>
            <w:r>
              <w:rPr>
                <w:rFonts w:cs="Arial"/>
                <w:b/>
                <w:bCs/>
                <w:szCs w:val="14"/>
                <w:lang w:val="en-US"/>
              </w:rPr>
              <w:t>0</w:t>
            </w:r>
            <w:r w:rsidRPr="00681217">
              <w:rPr>
                <w:rFonts w:cs="Arial"/>
                <w:b/>
                <w:bCs/>
                <w:szCs w:val="14"/>
                <w:lang w:val="en-US"/>
              </w:rPr>
              <w:t>1, 202</w:t>
            </w:r>
            <w:r>
              <w:rPr>
                <w:rFonts w:cs="Arial"/>
                <w:b/>
                <w:bCs/>
                <w:szCs w:val="14"/>
                <w:lang w:val="en-US"/>
              </w:rPr>
              <w:t>2</w:t>
            </w:r>
          </w:p>
        </w:tc>
      </w:tr>
      <w:tr w:rsidR="008B7E19" w14:paraId="0EA02812" w14:textId="77777777" w:rsidTr="008B7E19">
        <w:trPr>
          <w:trHeight w:val="238"/>
          <w:jc w:val="center"/>
        </w:trPr>
        <w:tc>
          <w:tcPr>
            <w:tcW w:w="4111" w:type="dxa"/>
            <w:tcBorders>
              <w:top w:val="single" w:sz="2" w:space="0" w:color="1F4E79" w:themeColor="accent1" w:themeShade="80"/>
              <w:left w:val="nil"/>
              <w:bottom w:val="nil"/>
              <w:right w:val="nil"/>
            </w:tcBorders>
            <w:hideMark/>
          </w:tcPr>
          <w:p w14:paraId="6D87FB3B" w14:textId="77777777" w:rsidR="008B7E19" w:rsidRDefault="008B7E19" w:rsidP="008B7E19">
            <w:pPr>
              <w:pStyle w:val="08-Tabelageral"/>
              <w:spacing w:line="256" w:lineRule="auto"/>
              <w:ind w:left="113"/>
              <w:jc w:val="left"/>
              <w:rPr>
                <w:rFonts w:cs="Arial"/>
                <w:szCs w:val="14"/>
                <w:lang w:eastAsia="en-US"/>
              </w:rPr>
            </w:pPr>
            <w:r>
              <w:rPr>
                <w:rFonts w:cs="Arial"/>
                <w:szCs w:val="14"/>
                <w:lang w:eastAsia="en-US"/>
              </w:rPr>
              <w:t>BB MAPFRE Participações S.A.</w:t>
            </w:r>
          </w:p>
        </w:tc>
        <w:tc>
          <w:tcPr>
            <w:tcW w:w="1842" w:type="dxa"/>
            <w:tcBorders>
              <w:top w:val="single" w:sz="2" w:space="0" w:color="1F4E79" w:themeColor="accent1" w:themeShade="80"/>
              <w:left w:val="nil"/>
              <w:bottom w:val="nil"/>
              <w:right w:val="nil"/>
            </w:tcBorders>
            <w:hideMark/>
          </w:tcPr>
          <w:p w14:paraId="14BDE8E4" w14:textId="77777777" w:rsidR="008B7E19" w:rsidRDefault="008B7E19" w:rsidP="008B7E19">
            <w:pPr>
              <w:pStyle w:val="08-Tabelageral"/>
              <w:spacing w:line="256" w:lineRule="auto"/>
              <w:rPr>
                <w:rFonts w:cs="Arial"/>
                <w:szCs w:val="14"/>
                <w:highlight w:val="yellow"/>
                <w:lang w:eastAsia="en-US"/>
              </w:rPr>
            </w:pPr>
            <w:r w:rsidRPr="00C77A85">
              <w:t>2</w:t>
            </w:r>
            <w:r>
              <w:t>,</w:t>
            </w:r>
            <w:r w:rsidRPr="00C77A85">
              <w:t>337</w:t>
            </w:r>
            <w:r>
              <w:t>,</w:t>
            </w:r>
            <w:r w:rsidRPr="00C77A85">
              <w:t>086</w:t>
            </w:r>
          </w:p>
        </w:tc>
        <w:tc>
          <w:tcPr>
            <w:tcW w:w="1842" w:type="dxa"/>
            <w:tcBorders>
              <w:top w:val="single" w:sz="2" w:space="0" w:color="1F4E79" w:themeColor="accent1" w:themeShade="80"/>
              <w:left w:val="nil"/>
              <w:bottom w:val="nil"/>
              <w:right w:val="nil"/>
            </w:tcBorders>
            <w:hideMark/>
          </w:tcPr>
          <w:p w14:paraId="549C4061" w14:textId="77777777" w:rsidR="008B7E19" w:rsidRDefault="008B7E19" w:rsidP="008B7E19">
            <w:pPr>
              <w:pStyle w:val="08-Tabelageral"/>
              <w:spacing w:line="256" w:lineRule="auto"/>
              <w:rPr>
                <w:rFonts w:cs="Arial"/>
                <w:szCs w:val="14"/>
                <w:lang w:eastAsia="en-US"/>
              </w:rPr>
            </w:pPr>
            <w:r w:rsidRPr="00C77A85">
              <w:t>278</w:t>
            </w:r>
            <w:r>
              <w:t>,</w:t>
            </w:r>
            <w:r w:rsidRPr="00C77A85">
              <w:t>179</w:t>
            </w:r>
          </w:p>
        </w:tc>
        <w:tc>
          <w:tcPr>
            <w:tcW w:w="1843" w:type="dxa"/>
            <w:tcBorders>
              <w:top w:val="single" w:sz="2" w:space="0" w:color="1F4E79" w:themeColor="accent1" w:themeShade="80"/>
              <w:left w:val="nil"/>
              <w:bottom w:val="nil"/>
              <w:right w:val="nil"/>
            </w:tcBorders>
            <w:hideMark/>
          </w:tcPr>
          <w:p w14:paraId="095EA302" w14:textId="77777777" w:rsidR="008B7E19" w:rsidRDefault="008B7E19" w:rsidP="008B7E19">
            <w:pPr>
              <w:pStyle w:val="08-Tabelageral"/>
              <w:spacing w:line="256" w:lineRule="auto"/>
              <w:rPr>
                <w:rFonts w:cs="Arial"/>
                <w:szCs w:val="14"/>
                <w:highlight w:val="yellow"/>
                <w:lang w:eastAsia="en-US"/>
              </w:rPr>
            </w:pPr>
            <w:r w:rsidRPr="00C77A85">
              <w:t>2</w:t>
            </w:r>
            <w:r>
              <w:t>,</w:t>
            </w:r>
            <w:r w:rsidRPr="00C77A85">
              <w:t>615</w:t>
            </w:r>
            <w:r>
              <w:t>,</w:t>
            </w:r>
            <w:r w:rsidRPr="00C77A85">
              <w:t>265</w:t>
            </w:r>
          </w:p>
        </w:tc>
      </w:tr>
      <w:tr w:rsidR="008B7E19" w14:paraId="28E0750C" w14:textId="77777777" w:rsidTr="008B7E19">
        <w:trPr>
          <w:trHeight w:val="238"/>
          <w:jc w:val="center"/>
        </w:trPr>
        <w:tc>
          <w:tcPr>
            <w:tcW w:w="4111" w:type="dxa"/>
            <w:tcBorders>
              <w:top w:val="nil"/>
              <w:left w:val="nil"/>
              <w:bottom w:val="nil"/>
              <w:right w:val="nil"/>
            </w:tcBorders>
            <w:hideMark/>
          </w:tcPr>
          <w:p w14:paraId="312DF1B0" w14:textId="77777777" w:rsidR="008B7E19" w:rsidRDefault="008B7E19" w:rsidP="008B7E19">
            <w:pPr>
              <w:pStyle w:val="08-Tabelageral"/>
              <w:spacing w:line="256" w:lineRule="auto"/>
              <w:ind w:left="113"/>
              <w:jc w:val="left"/>
              <w:rPr>
                <w:rFonts w:cs="Arial"/>
                <w:szCs w:val="14"/>
                <w:lang w:eastAsia="en-US"/>
              </w:rPr>
            </w:pPr>
            <w:r>
              <w:rPr>
                <w:rFonts w:cs="Arial"/>
                <w:szCs w:val="14"/>
                <w:lang w:eastAsia="en-US"/>
              </w:rPr>
              <w:t>Brasilprev Seguros e Previdência S.A.</w:t>
            </w:r>
          </w:p>
        </w:tc>
        <w:tc>
          <w:tcPr>
            <w:tcW w:w="1842" w:type="dxa"/>
            <w:tcBorders>
              <w:top w:val="nil"/>
              <w:left w:val="nil"/>
              <w:bottom w:val="nil"/>
              <w:right w:val="nil"/>
            </w:tcBorders>
            <w:hideMark/>
          </w:tcPr>
          <w:p w14:paraId="4A9DBACA" w14:textId="77777777" w:rsidR="008B7E19" w:rsidRDefault="008B7E19" w:rsidP="008B7E19">
            <w:pPr>
              <w:pStyle w:val="08-Tabelageral"/>
              <w:spacing w:line="256" w:lineRule="auto"/>
              <w:rPr>
                <w:rFonts w:cs="Arial"/>
                <w:szCs w:val="14"/>
                <w:lang w:eastAsia="en-US"/>
              </w:rPr>
            </w:pPr>
            <w:r w:rsidRPr="00C77A85">
              <w:t>4</w:t>
            </w:r>
            <w:r>
              <w:t>,</w:t>
            </w:r>
            <w:r w:rsidRPr="00C77A85">
              <w:t>354</w:t>
            </w:r>
            <w:r>
              <w:t>,</w:t>
            </w:r>
            <w:r w:rsidRPr="00C77A85">
              <w:t>377</w:t>
            </w:r>
          </w:p>
        </w:tc>
        <w:tc>
          <w:tcPr>
            <w:tcW w:w="1842" w:type="dxa"/>
            <w:tcBorders>
              <w:top w:val="nil"/>
              <w:left w:val="nil"/>
              <w:bottom w:val="nil"/>
              <w:right w:val="nil"/>
            </w:tcBorders>
            <w:hideMark/>
          </w:tcPr>
          <w:p w14:paraId="2013A6A9" w14:textId="77777777" w:rsidR="008B7E19" w:rsidRDefault="008B7E19" w:rsidP="008B7E19">
            <w:pPr>
              <w:pStyle w:val="08-Tabelageral"/>
              <w:spacing w:line="256" w:lineRule="auto"/>
              <w:rPr>
                <w:rFonts w:cs="Arial"/>
                <w:szCs w:val="14"/>
                <w:lang w:eastAsia="en-US"/>
              </w:rPr>
            </w:pPr>
            <w:r w:rsidRPr="00C77A85">
              <w:t>(93</w:t>
            </w:r>
            <w:r>
              <w:t>,</w:t>
            </w:r>
            <w:r w:rsidRPr="00C77A85">
              <w:t>082)</w:t>
            </w:r>
          </w:p>
        </w:tc>
        <w:tc>
          <w:tcPr>
            <w:tcW w:w="1843" w:type="dxa"/>
            <w:tcBorders>
              <w:top w:val="nil"/>
              <w:left w:val="nil"/>
              <w:bottom w:val="nil"/>
              <w:right w:val="nil"/>
            </w:tcBorders>
            <w:hideMark/>
          </w:tcPr>
          <w:p w14:paraId="2CED5B9E" w14:textId="77777777" w:rsidR="008B7E19" w:rsidRDefault="008B7E19" w:rsidP="008B7E19">
            <w:pPr>
              <w:pStyle w:val="08-Tabelageral"/>
              <w:spacing w:line="256" w:lineRule="auto"/>
              <w:rPr>
                <w:rFonts w:cs="Arial"/>
                <w:szCs w:val="14"/>
                <w:lang w:eastAsia="en-US"/>
              </w:rPr>
            </w:pPr>
            <w:r w:rsidRPr="00C77A85">
              <w:t>4</w:t>
            </w:r>
            <w:r>
              <w:t>,</w:t>
            </w:r>
            <w:r w:rsidRPr="00C77A85">
              <w:t>261</w:t>
            </w:r>
            <w:r>
              <w:t>,</w:t>
            </w:r>
            <w:r w:rsidRPr="00C77A85">
              <w:t>295</w:t>
            </w:r>
          </w:p>
        </w:tc>
      </w:tr>
      <w:tr w:rsidR="008B7E19" w14:paraId="751C0FEC" w14:textId="77777777" w:rsidTr="008B7E19">
        <w:trPr>
          <w:trHeight w:val="238"/>
          <w:jc w:val="center"/>
        </w:trPr>
        <w:tc>
          <w:tcPr>
            <w:tcW w:w="4111" w:type="dxa"/>
            <w:tcBorders>
              <w:top w:val="nil"/>
              <w:left w:val="nil"/>
              <w:bottom w:val="nil"/>
              <w:right w:val="nil"/>
            </w:tcBorders>
            <w:hideMark/>
          </w:tcPr>
          <w:p w14:paraId="45F70D20" w14:textId="77777777" w:rsidR="008B7E19" w:rsidRDefault="008B7E19" w:rsidP="008B7E19">
            <w:pPr>
              <w:pStyle w:val="08-Tabelageral"/>
              <w:spacing w:line="256" w:lineRule="auto"/>
              <w:ind w:left="113"/>
              <w:jc w:val="left"/>
              <w:rPr>
                <w:rFonts w:cs="Arial"/>
                <w:szCs w:val="14"/>
                <w:lang w:eastAsia="en-US"/>
              </w:rPr>
            </w:pPr>
            <w:r>
              <w:rPr>
                <w:rFonts w:cs="Arial"/>
                <w:szCs w:val="14"/>
                <w:lang w:eastAsia="en-US"/>
              </w:rPr>
              <w:t>Brasildental Operadora de Planos Odontológicos S.A.</w:t>
            </w:r>
          </w:p>
        </w:tc>
        <w:tc>
          <w:tcPr>
            <w:tcW w:w="1842" w:type="dxa"/>
            <w:tcBorders>
              <w:top w:val="nil"/>
              <w:left w:val="nil"/>
              <w:bottom w:val="nil"/>
              <w:right w:val="nil"/>
            </w:tcBorders>
            <w:hideMark/>
          </w:tcPr>
          <w:p w14:paraId="31BF4E35" w14:textId="77777777" w:rsidR="008B7E19" w:rsidRDefault="008B7E19" w:rsidP="008B7E19">
            <w:pPr>
              <w:pStyle w:val="08-Tabelageral"/>
              <w:spacing w:line="256" w:lineRule="auto"/>
              <w:rPr>
                <w:rFonts w:cs="Arial"/>
                <w:szCs w:val="14"/>
                <w:lang w:eastAsia="en-US"/>
              </w:rPr>
            </w:pPr>
            <w:r w:rsidRPr="00C77A85">
              <w:t>16</w:t>
            </w:r>
            <w:r>
              <w:t>,</w:t>
            </w:r>
            <w:r w:rsidRPr="00C77A85">
              <w:t>088</w:t>
            </w:r>
          </w:p>
        </w:tc>
        <w:tc>
          <w:tcPr>
            <w:tcW w:w="1842" w:type="dxa"/>
            <w:tcBorders>
              <w:top w:val="nil"/>
              <w:left w:val="nil"/>
              <w:bottom w:val="nil"/>
              <w:right w:val="nil"/>
            </w:tcBorders>
            <w:hideMark/>
          </w:tcPr>
          <w:p w14:paraId="132808F8" w14:textId="77777777" w:rsidR="008B7E19" w:rsidRDefault="008B7E19" w:rsidP="008B7E19">
            <w:pPr>
              <w:pStyle w:val="08-Tabelageral"/>
              <w:spacing w:line="256" w:lineRule="auto"/>
              <w:rPr>
                <w:rFonts w:cs="Arial"/>
                <w:szCs w:val="14"/>
                <w:lang w:eastAsia="en-US"/>
              </w:rPr>
            </w:pPr>
            <w:r w:rsidRPr="00C77A85">
              <w:t>1</w:t>
            </w:r>
            <w:r>
              <w:t>,</w:t>
            </w:r>
            <w:r w:rsidRPr="00C77A85">
              <w:t>888</w:t>
            </w:r>
          </w:p>
        </w:tc>
        <w:tc>
          <w:tcPr>
            <w:tcW w:w="1843" w:type="dxa"/>
            <w:tcBorders>
              <w:top w:val="nil"/>
              <w:left w:val="nil"/>
              <w:bottom w:val="nil"/>
              <w:right w:val="nil"/>
            </w:tcBorders>
            <w:hideMark/>
          </w:tcPr>
          <w:p w14:paraId="01ECD10A" w14:textId="77777777" w:rsidR="008B7E19" w:rsidRDefault="008B7E19" w:rsidP="008B7E19">
            <w:pPr>
              <w:pStyle w:val="08-Tabelageral"/>
              <w:spacing w:line="256" w:lineRule="auto"/>
              <w:rPr>
                <w:rFonts w:cs="Arial"/>
                <w:szCs w:val="14"/>
                <w:lang w:eastAsia="en-US"/>
              </w:rPr>
            </w:pPr>
            <w:r w:rsidRPr="00C77A85">
              <w:t>17</w:t>
            </w:r>
            <w:r>
              <w:t>,</w:t>
            </w:r>
            <w:r w:rsidRPr="00C77A85">
              <w:t>976</w:t>
            </w:r>
          </w:p>
        </w:tc>
      </w:tr>
      <w:tr w:rsidR="008B7E19" w14:paraId="408A6097" w14:textId="77777777" w:rsidTr="008B7E19">
        <w:trPr>
          <w:trHeight w:val="238"/>
          <w:jc w:val="center"/>
        </w:trPr>
        <w:tc>
          <w:tcPr>
            <w:tcW w:w="4111" w:type="dxa"/>
            <w:tcBorders>
              <w:top w:val="nil"/>
              <w:left w:val="nil"/>
              <w:bottom w:val="nil"/>
              <w:right w:val="nil"/>
            </w:tcBorders>
            <w:hideMark/>
          </w:tcPr>
          <w:p w14:paraId="509BBFC8" w14:textId="77777777" w:rsidR="008B7E19" w:rsidRDefault="008B7E19" w:rsidP="008B7E19">
            <w:pPr>
              <w:pStyle w:val="08-Tabelageral"/>
              <w:spacing w:line="256" w:lineRule="auto"/>
              <w:ind w:left="113"/>
              <w:jc w:val="left"/>
              <w:rPr>
                <w:rFonts w:cs="Arial"/>
                <w:lang w:eastAsia="en-US"/>
              </w:rPr>
            </w:pPr>
            <w:r>
              <w:rPr>
                <w:rFonts w:cs="Arial"/>
                <w:lang w:eastAsia="en-US"/>
              </w:rPr>
              <w:t xml:space="preserve">Brasilcap Capitalização S.A. </w:t>
            </w:r>
            <w:r>
              <w:rPr>
                <w:rFonts w:cs="Arial"/>
                <w:vertAlign w:val="superscript"/>
                <w:lang w:eastAsia="en-US"/>
              </w:rPr>
              <w:t>(1)</w:t>
            </w:r>
          </w:p>
        </w:tc>
        <w:tc>
          <w:tcPr>
            <w:tcW w:w="1842" w:type="dxa"/>
            <w:tcBorders>
              <w:top w:val="nil"/>
              <w:left w:val="nil"/>
              <w:bottom w:val="nil"/>
              <w:right w:val="nil"/>
            </w:tcBorders>
            <w:hideMark/>
          </w:tcPr>
          <w:p w14:paraId="02192D8F" w14:textId="77777777" w:rsidR="008B7E19" w:rsidRDefault="008B7E19" w:rsidP="008B7E19">
            <w:pPr>
              <w:pStyle w:val="08-Tabelageral"/>
              <w:spacing w:line="256" w:lineRule="auto"/>
              <w:rPr>
                <w:rFonts w:cs="Arial"/>
                <w:szCs w:val="14"/>
                <w:lang w:eastAsia="en-US"/>
              </w:rPr>
            </w:pPr>
            <w:r w:rsidRPr="00C77A85">
              <w:t>427</w:t>
            </w:r>
            <w:r>
              <w:t>,</w:t>
            </w:r>
            <w:r w:rsidRPr="00C77A85">
              <w:t>840</w:t>
            </w:r>
          </w:p>
        </w:tc>
        <w:tc>
          <w:tcPr>
            <w:tcW w:w="1842" w:type="dxa"/>
            <w:tcBorders>
              <w:top w:val="nil"/>
              <w:left w:val="nil"/>
              <w:bottom w:val="nil"/>
              <w:right w:val="nil"/>
            </w:tcBorders>
            <w:hideMark/>
          </w:tcPr>
          <w:p w14:paraId="1AF56885" w14:textId="77777777" w:rsidR="008B7E19" w:rsidRDefault="008B7E19" w:rsidP="008B7E19">
            <w:pPr>
              <w:pStyle w:val="08-Tabelageral"/>
              <w:spacing w:line="256" w:lineRule="auto"/>
              <w:rPr>
                <w:rFonts w:cs="Arial"/>
                <w:szCs w:val="14"/>
                <w:lang w:eastAsia="en-US"/>
              </w:rPr>
            </w:pPr>
            <w:r w:rsidRPr="00C77A85">
              <w:t>--</w:t>
            </w:r>
          </w:p>
        </w:tc>
        <w:tc>
          <w:tcPr>
            <w:tcW w:w="1843" w:type="dxa"/>
            <w:tcBorders>
              <w:top w:val="nil"/>
              <w:left w:val="nil"/>
              <w:bottom w:val="nil"/>
              <w:right w:val="nil"/>
            </w:tcBorders>
            <w:hideMark/>
          </w:tcPr>
          <w:p w14:paraId="53B7782E" w14:textId="77777777" w:rsidR="008B7E19" w:rsidRDefault="008B7E19" w:rsidP="008B7E19">
            <w:pPr>
              <w:pStyle w:val="08-Tabelageral"/>
              <w:spacing w:line="256" w:lineRule="auto"/>
              <w:rPr>
                <w:rFonts w:cs="Arial"/>
                <w:szCs w:val="14"/>
                <w:lang w:eastAsia="en-US"/>
              </w:rPr>
            </w:pPr>
            <w:r w:rsidRPr="00C77A85">
              <w:t>427</w:t>
            </w:r>
            <w:r>
              <w:t>,</w:t>
            </w:r>
            <w:r w:rsidRPr="00C77A85">
              <w:t>840</w:t>
            </w:r>
          </w:p>
        </w:tc>
      </w:tr>
      <w:tr w:rsidR="008B7E19" w14:paraId="3B5AA701" w14:textId="77777777" w:rsidTr="008B7E19">
        <w:trPr>
          <w:trHeight w:val="238"/>
          <w:jc w:val="center"/>
        </w:trPr>
        <w:tc>
          <w:tcPr>
            <w:tcW w:w="4111" w:type="dxa"/>
            <w:tcBorders>
              <w:top w:val="nil"/>
              <w:left w:val="nil"/>
              <w:bottom w:val="nil"/>
              <w:right w:val="nil"/>
            </w:tcBorders>
            <w:hideMark/>
          </w:tcPr>
          <w:p w14:paraId="17A85F91" w14:textId="77777777" w:rsidR="008B7E19" w:rsidRDefault="008B7E19" w:rsidP="008B7E19">
            <w:pPr>
              <w:pStyle w:val="08-Tabelageral"/>
              <w:spacing w:line="256" w:lineRule="auto"/>
              <w:ind w:left="113"/>
              <w:jc w:val="left"/>
              <w:rPr>
                <w:rFonts w:cs="Arial"/>
                <w:lang w:eastAsia="en-US"/>
              </w:rPr>
            </w:pPr>
            <w:r>
              <w:rPr>
                <w:rFonts w:cs="Arial"/>
                <w:lang w:eastAsia="en-US"/>
              </w:rPr>
              <w:t xml:space="preserve">Ciclic Corretora de Seguros S.A. </w:t>
            </w:r>
            <w:r>
              <w:rPr>
                <w:rFonts w:cs="Arial"/>
                <w:vertAlign w:val="superscript"/>
                <w:lang w:eastAsia="en-US"/>
              </w:rPr>
              <w:t>(1)</w:t>
            </w:r>
          </w:p>
        </w:tc>
        <w:tc>
          <w:tcPr>
            <w:tcW w:w="1842" w:type="dxa"/>
            <w:tcBorders>
              <w:top w:val="nil"/>
              <w:left w:val="nil"/>
              <w:bottom w:val="nil"/>
              <w:right w:val="nil"/>
            </w:tcBorders>
            <w:hideMark/>
          </w:tcPr>
          <w:p w14:paraId="316707EE" w14:textId="77777777" w:rsidR="008B7E19" w:rsidRDefault="008B7E19" w:rsidP="008B7E19">
            <w:pPr>
              <w:pStyle w:val="08-Tabelageral"/>
              <w:spacing w:line="256" w:lineRule="auto"/>
              <w:rPr>
                <w:rFonts w:cs="Arial"/>
                <w:szCs w:val="14"/>
                <w:lang w:eastAsia="en-US"/>
              </w:rPr>
            </w:pPr>
            <w:r w:rsidRPr="00C77A85">
              <w:t>1</w:t>
            </w:r>
            <w:r>
              <w:t>,</w:t>
            </w:r>
            <w:r w:rsidRPr="00C77A85">
              <w:t>850</w:t>
            </w:r>
          </w:p>
        </w:tc>
        <w:tc>
          <w:tcPr>
            <w:tcW w:w="1842" w:type="dxa"/>
            <w:tcBorders>
              <w:top w:val="nil"/>
              <w:left w:val="nil"/>
              <w:bottom w:val="nil"/>
              <w:right w:val="nil"/>
            </w:tcBorders>
            <w:hideMark/>
          </w:tcPr>
          <w:p w14:paraId="58A80F86" w14:textId="77777777" w:rsidR="008B7E19" w:rsidRDefault="008B7E19" w:rsidP="008B7E19">
            <w:pPr>
              <w:pStyle w:val="08-Tabelageral"/>
              <w:spacing w:line="256" w:lineRule="auto"/>
              <w:rPr>
                <w:rFonts w:cs="Arial"/>
                <w:lang w:eastAsia="en-US"/>
              </w:rPr>
            </w:pPr>
            <w:r w:rsidRPr="00C77A85">
              <w:t>--</w:t>
            </w:r>
          </w:p>
        </w:tc>
        <w:tc>
          <w:tcPr>
            <w:tcW w:w="1843" w:type="dxa"/>
            <w:tcBorders>
              <w:top w:val="nil"/>
              <w:left w:val="nil"/>
              <w:bottom w:val="nil"/>
              <w:right w:val="nil"/>
            </w:tcBorders>
            <w:hideMark/>
          </w:tcPr>
          <w:p w14:paraId="42686E42" w14:textId="77777777" w:rsidR="008B7E19" w:rsidRDefault="008B7E19" w:rsidP="008B7E19">
            <w:pPr>
              <w:pStyle w:val="08-Tabelageral"/>
              <w:spacing w:line="256" w:lineRule="auto"/>
              <w:rPr>
                <w:rFonts w:cs="Arial"/>
                <w:szCs w:val="14"/>
                <w:lang w:eastAsia="en-US"/>
              </w:rPr>
            </w:pPr>
            <w:r w:rsidRPr="00C77A85">
              <w:t>1</w:t>
            </w:r>
            <w:r>
              <w:t>,</w:t>
            </w:r>
            <w:r w:rsidRPr="00C77A85">
              <w:t>850</w:t>
            </w:r>
          </w:p>
        </w:tc>
      </w:tr>
      <w:tr w:rsidR="008B7E19" w14:paraId="5924185C" w14:textId="77777777" w:rsidTr="008B7E19">
        <w:trPr>
          <w:trHeight w:val="238"/>
          <w:jc w:val="center"/>
        </w:trPr>
        <w:tc>
          <w:tcPr>
            <w:tcW w:w="4111" w:type="dxa"/>
            <w:tcBorders>
              <w:top w:val="nil"/>
              <w:left w:val="nil"/>
              <w:bottom w:val="single" w:sz="2" w:space="0" w:color="1F4E79" w:themeColor="accent1" w:themeShade="80"/>
              <w:right w:val="nil"/>
            </w:tcBorders>
            <w:hideMark/>
          </w:tcPr>
          <w:p w14:paraId="1FC5A0B7" w14:textId="77777777" w:rsidR="008B7E19" w:rsidRDefault="008B7E19" w:rsidP="008B7E19">
            <w:pPr>
              <w:pStyle w:val="08-Tabelageral"/>
              <w:spacing w:line="256" w:lineRule="auto"/>
              <w:jc w:val="left"/>
              <w:rPr>
                <w:rFonts w:cs="Arial"/>
                <w:b/>
                <w:bCs/>
                <w:lang w:eastAsia="en-US"/>
              </w:rPr>
            </w:pPr>
            <w:r>
              <w:rPr>
                <w:rFonts w:cs="Arial"/>
                <w:b/>
                <w:bCs/>
                <w:lang w:eastAsia="en-US"/>
              </w:rPr>
              <w:t>Total</w:t>
            </w:r>
          </w:p>
        </w:tc>
        <w:tc>
          <w:tcPr>
            <w:tcW w:w="1842" w:type="dxa"/>
            <w:tcBorders>
              <w:top w:val="nil"/>
              <w:left w:val="nil"/>
              <w:bottom w:val="single" w:sz="2" w:space="0" w:color="1F4E79" w:themeColor="accent1" w:themeShade="80"/>
              <w:right w:val="nil"/>
            </w:tcBorders>
            <w:hideMark/>
          </w:tcPr>
          <w:p w14:paraId="7BB34DAA" w14:textId="77777777" w:rsidR="008B7E19" w:rsidRDefault="008B7E19" w:rsidP="008B7E19">
            <w:pPr>
              <w:pStyle w:val="08-Tabelageral"/>
              <w:spacing w:line="256" w:lineRule="auto"/>
              <w:rPr>
                <w:rFonts w:cs="Arial"/>
                <w:b/>
                <w:bCs/>
                <w:szCs w:val="14"/>
                <w:lang w:eastAsia="en-US"/>
              </w:rPr>
            </w:pPr>
            <w:r w:rsidRPr="00C77A85">
              <w:rPr>
                <w:b/>
                <w:bCs/>
              </w:rPr>
              <w:t>7</w:t>
            </w:r>
            <w:r>
              <w:rPr>
                <w:b/>
                <w:bCs/>
              </w:rPr>
              <w:t>,</w:t>
            </w:r>
            <w:r w:rsidRPr="00C77A85">
              <w:rPr>
                <w:b/>
                <w:bCs/>
              </w:rPr>
              <w:t>137</w:t>
            </w:r>
            <w:r>
              <w:rPr>
                <w:b/>
                <w:bCs/>
              </w:rPr>
              <w:t>,</w:t>
            </w:r>
            <w:r w:rsidRPr="00C77A85">
              <w:rPr>
                <w:b/>
                <w:bCs/>
              </w:rPr>
              <w:t>241</w:t>
            </w:r>
          </w:p>
        </w:tc>
        <w:tc>
          <w:tcPr>
            <w:tcW w:w="1842" w:type="dxa"/>
            <w:tcBorders>
              <w:top w:val="nil"/>
              <w:left w:val="nil"/>
              <w:bottom w:val="single" w:sz="2" w:space="0" w:color="1F4E79" w:themeColor="accent1" w:themeShade="80"/>
              <w:right w:val="nil"/>
            </w:tcBorders>
            <w:hideMark/>
          </w:tcPr>
          <w:p w14:paraId="28B77403" w14:textId="77777777" w:rsidR="008B7E19" w:rsidRDefault="008B7E19" w:rsidP="008B7E19">
            <w:pPr>
              <w:pStyle w:val="08-Tabelageral"/>
              <w:spacing w:line="256" w:lineRule="auto"/>
              <w:rPr>
                <w:rFonts w:cs="Arial"/>
                <w:b/>
                <w:bCs/>
                <w:szCs w:val="14"/>
                <w:lang w:eastAsia="en-US"/>
              </w:rPr>
            </w:pPr>
            <w:r w:rsidRPr="00C77A85">
              <w:rPr>
                <w:b/>
                <w:bCs/>
              </w:rPr>
              <w:t>186</w:t>
            </w:r>
            <w:r>
              <w:rPr>
                <w:b/>
                <w:bCs/>
              </w:rPr>
              <w:t>,</w:t>
            </w:r>
            <w:r w:rsidRPr="00C77A85">
              <w:rPr>
                <w:b/>
                <w:bCs/>
              </w:rPr>
              <w:t>985</w:t>
            </w:r>
          </w:p>
        </w:tc>
        <w:tc>
          <w:tcPr>
            <w:tcW w:w="1843" w:type="dxa"/>
            <w:tcBorders>
              <w:top w:val="nil"/>
              <w:left w:val="nil"/>
              <w:bottom w:val="single" w:sz="2" w:space="0" w:color="1F4E79" w:themeColor="accent1" w:themeShade="80"/>
              <w:right w:val="nil"/>
            </w:tcBorders>
            <w:hideMark/>
          </w:tcPr>
          <w:p w14:paraId="20EA574E" w14:textId="77777777" w:rsidR="008B7E19" w:rsidRDefault="008B7E19" w:rsidP="008B7E19">
            <w:pPr>
              <w:pStyle w:val="08-Tabelageral"/>
              <w:spacing w:line="256" w:lineRule="auto"/>
              <w:rPr>
                <w:rFonts w:cs="Arial"/>
                <w:b/>
                <w:bCs/>
                <w:szCs w:val="14"/>
                <w:lang w:eastAsia="en-US"/>
              </w:rPr>
            </w:pPr>
            <w:r w:rsidRPr="00C52A68">
              <w:rPr>
                <w:b/>
                <w:bCs/>
              </w:rPr>
              <w:t>7</w:t>
            </w:r>
            <w:r>
              <w:rPr>
                <w:b/>
                <w:bCs/>
              </w:rPr>
              <w:t>,</w:t>
            </w:r>
            <w:r w:rsidRPr="00C52A68">
              <w:rPr>
                <w:b/>
                <w:bCs/>
              </w:rPr>
              <w:t>324</w:t>
            </w:r>
            <w:r>
              <w:rPr>
                <w:b/>
                <w:bCs/>
              </w:rPr>
              <w:t>,</w:t>
            </w:r>
            <w:r w:rsidRPr="00C52A68">
              <w:rPr>
                <w:b/>
                <w:bCs/>
              </w:rPr>
              <w:t>226</w:t>
            </w:r>
          </w:p>
        </w:tc>
      </w:tr>
    </w:tbl>
    <w:p w14:paraId="58C77722" w14:textId="77777777" w:rsidR="008B7E19" w:rsidRPr="000010FF" w:rsidRDefault="008B7E19" w:rsidP="00882B41">
      <w:pPr>
        <w:pStyle w:val="PargrafodaLista"/>
        <w:numPr>
          <w:ilvl w:val="0"/>
          <w:numId w:val="24"/>
        </w:numPr>
        <w:jc w:val="both"/>
        <w:rPr>
          <w:rFonts w:ascii="Arial" w:hAnsi="Arial" w:cs="Arial"/>
          <w:sz w:val="14"/>
          <w:szCs w:val="14"/>
          <w:lang w:val="en-US" w:eastAsia="pt-BR"/>
        </w:rPr>
      </w:pPr>
      <w:bookmarkStart w:id="20" w:name="_Hlk133916539"/>
      <w:r w:rsidRPr="000010FF">
        <w:rPr>
          <w:rFonts w:ascii="Arial" w:hAnsi="Arial" w:cs="Arial"/>
          <w:sz w:val="14"/>
          <w:szCs w:val="14"/>
          <w:lang w:val="en-US" w:eastAsia="pt-BR"/>
        </w:rPr>
        <w:t>CPC 50 [IFRS 17] does not apply and CPC 48 [IFRS 9] was already adopted.</w:t>
      </w:r>
    </w:p>
    <w:bookmarkEnd w:id="20"/>
    <w:p w14:paraId="77323AE6" w14:textId="77777777" w:rsidR="008B7E19" w:rsidRDefault="008B7E19" w:rsidP="008B7E19">
      <w:pPr>
        <w:pStyle w:val="03-SubttulodeNota"/>
        <w:keepNext/>
        <w:rPr>
          <w:color w:val="1F4E79" w:themeColor="accent1" w:themeShade="80"/>
        </w:rPr>
      </w:pPr>
      <w:r w:rsidRPr="00F62FB1">
        <w:rPr>
          <w:color w:val="1F4E79" w:themeColor="accent1" w:themeShade="80"/>
        </w:rPr>
        <w:t>Equity</w:t>
      </w:r>
    </w:p>
    <w:p w14:paraId="5D0A8ACE" w14:textId="77777777" w:rsidR="008B7E19" w:rsidRPr="00D44604" w:rsidRDefault="008B7E19" w:rsidP="008B7E19">
      <w:pPr>
        <w:spacing w:after="0" w:line="240" w:lineRule="auto"/>
        <w:jc w:val="right"/>
        <w:rPr>
          <w:rFonts w:cs="Arial"/>
          <w:b/>
          <w:sz w:val="14"/>
          <w:lang w:eastAsia="pt-BR"/>
        </w:rPr>
      </w:pPr>
      <w:r w:rsidRPr="00FC6C4B">
        <w:rPr>
          <w:rFonts w:cs="Arial"/>
          <w:b/>
          <w:sz w:val="14"/>
          <w:lang w:eastAsia="pt-BR"/>
        </w:rPr>
        <w:t>R$ thousand</w:t>
      </w:r>
    </w:p>
    <w:tbl>
      <w:tblPr>
        <w:tblW w:w="9639" w:type="dxa"/>
        <w:jc w:val="center"/>
        <w:tblBorders>
          <w:top w:val="single" w:sz="2" w:space="0" w:color="1F4E79" w:themeColor="accent1" w:themeShade="80"/>
          <w:bottom w:val="single" w:sz="2" w:space="0" w:color="1F4E79" w:themeColor="accent1" w:themeShade="80"/>
        </w:tblBorders>
        <w:tblLook w:val="04A0" w:firstRow="1" w:lastRow="0" w:firstColumn="1" w:lastColumn="0" w:noHBand="0" w:noVBand="1"/>
      </w:tblPr>
      <w:tblGrid>
        <w:gridCol w:w="7372"/>
        <w:gridCol w:w="2267"/>
      </w:tblGrid>
      <w:tr w:rsidR="008B7E19" w:rsidRPr="002D7970" w14:paraId="44699A89" w14:textId="77777777" w:rsidTr="008B7E19">
        <w:trPr>
          <w:trHeight w:val="238"/>
          <w:jc w:val="center"/>
        </w:trPr>
        <w:tc>
          <w:tcPr>
            <w:tcW w:w="9639" w:type="dxa"/>
            <w:gridSpan w:val="2"/>
            <w:tcBorders>
              <w:top w:val="single" w:sz="2" w:space="0" w:color="1F4E79" w:themeColor="accent1" w:themeShade="80"/>
              <w:bottom w:val="single" w:sz="2" w:space="0" w:color="1F4E79" w:themeColor="accent1" w:themeShade="80"/>
            </w:tcBorders>
            <w:shd w:val="clear" w:color="auto" w:fill="auto"/>
          </w:tcPr>
          <w:p w14:paraId="787BE769" w14:textId="77777777" w:rsidR="008B7E19" w:rsidRPr="000010FF" w:rsidRDefault="008B7E19" w:rsidP="008B7E19">
            <w:pPr>
              <w:pStyle w:val="08-Tabelageral"/>
              <w:jc w:val="center"/>
              <w:rPr>
                <w:rFonts w:cs="Arial"/>
                <w:b/>
                <w:szCs w:val="14"/>
                <w:lang w:val="en-US"/>
              </w:rPr>
            </w:pPr>
            <w:r w:rsidRPr="000010FF">
              <w:rPr>
                <w:rFonts w:cs="Arial"/>
                <w:b/>
                <w:szCs w:val="14"/>
                <w:lang w:val="en-US"/>
              </w:rPr>
              <w:t xml:space="preserve">Equity Reconciliation - Effects of the adoption of CPC 50 [IFRS 17] and CPC 48 [IFRS 9] for operating investees that sell insurance contracts </w:t>
            </w:r>
            <w:r w:rsidRPr="000010FF">
              <w:rPr>
                <w:rFonts w:cs="Arial"/>
                <w:b/>
                <w:szCs w:val="14"/>
                <w:vertAlign w:val="superscript"/>
                <w:lang w:val="en-US"/>
              </w:rPr>
              <w:t>(1)</w:t>
            </w:r>
          </w:p>
        </w:tc>
      </w:tr>
      <w:tr w:rsidR="008B7E19" w:rsidRPr="00681217" w14:paraId="1D5C75AB" w14:textId="77777777" w:rsidTr="008B7E19">
        <w:trPr>
          <w:trHeight w:val="238"/>
          <w:jc w:val="center"/>
        </w:trPr>
        <w:tc>
          <w:tcPr>
            <w:tcW w:w="7372" w:type="dxa"/>
            <w:tcBorders>
              <w:top w:val="single" w:sz="2" w:space="0" w:color="1F4E79" w:themeColor="accent1" w:themeShade="80"/>
            </w:tcBorders>
            <w:shd w:val="clear" w:color="auto" w:fill="auto"/>
            <w:vAlign w:val="center"/>
          </w:tcPr>
          <w:p w14:paraId="225A491F" w14:textId="77777777" w:rsidR="008B7E19" w:rsidRPr="00681217" w:rsidRDefault="008B7E19" w:rsidP="008B7E19">
            <w:pPr>
              <w:pStyle w:val="08-Tabelageral"/>
              <w:jc w:val="left"/>
              <w:rPr>
                <w:rFonts w:cs="Arial"/>
                <w:b/>
                <w:bCs/>
                <w:szCs w:val="14"/>
              </w:rPr>
            </w:pPr>
            <w:r w:rsidRPr="00681217">
              <w:rPr>
                <w:rFonts w:cs="Arial"/>
                <w:b/>
                <w:bCs/>
                <w:szCs w:val="14"/>
              </w:rPr>
              <w:t xml:space="preserve">Equity on </w:t>
            </w:r>
            <w:r w:rsidRPr="00681217">
              <w:rPr>
                <w:rFonts w:cs="Arial"/>
                <w:b/>
                <w:bCs/>
                <w:szCs w:val="14"/>
                <w:lang w:val="en-US"/>
              </w:rPr>
              <w:t>Dec 31, 2021</w:t>
            </w:r>
          </w:p>
        </w:tc>
        <w:tc>
          <w:tcPr>
            <w:tcW w:w="2267" w:type="dxa"/>
            <w:tcBorders>
              <w:top w:val="single" w:sz="2" w:space="0" w:color="1F4E79" w:themeColor="accent1" w:themeShade="80"/>
            </w:tcBorders>
            <w:shd w:val="clear" w:color="auto" w:fill="auto"/>
            <w:vAlign w:val="center"/>
          </w:tcPr>
          <w:p w14:paraId="7CB3EB72" w14:textId="77777777" w:rsidR="008B7E19" w:rsidRPr="00681217" w:rsidRDefault="008B7E19" w:rsidP="008B7E19">
            <w:pPr>
              <w:pStyle w:val="08-Tabelageral"/>
              <w:rPr>
                <w:rFonts w:cs="Arial"/>
                <w:b/>
                <w:bCs/>
                <w:szCs w:val="14"/>
              </w:rPr>
            </w:pPr>
            <w:r w:rsidRPr="00C77A85">
              <w:rPr>
                <w:rFonts w:cs="Arial"/>
                <w:b/>
                <w:bCs/>
                <w:szCs w:val="14"/>
              </w:rPr>
              <w:t>7</w:t>
            </w:r>
            <w:r>
              <w:rPr>
                <w:rFonts w:cs="Arial"/>
                <w:b/>
                <w:bCs/>
                <w:szCs w:val="14"/>
              </w:rPr>
              <w:t>,</w:t>
            </w:r>
            <w:r w:rsidRPr="00C77A85">
              <w:rPr>
                <w:rFonts w:cs="Arial"/>
                <w:b/>
                <w:bCs/>
                <w:szCs w:val="14"/>
              </w:rPr>
              <w:t>281</w:t>
            </w:r>
            <w:r>
              <w:rPr>
                <w:rFonts w:cs="Arial"/>
                <w:b/>
                <w:bCs/>
                <w:szCs w:val="14"/>
              </w:rPr>
              <w:t>,</w:t>
            </w:r>
            <w:r w:rsidRPr="00C77A85">
              <w:rPr>
                <w:rFonts w:cs="Arial"/>
                <w:b/>
                <w:bCs/>
                <w:szCs w:val="14"/>
              </w:rPr>
              <w:t>416</w:t>
            </w:r>
          </w:p>
        </w:tc>
      </w:tr>
      <w:tr w:rsidR="008B7E19" w:rsidRPr="00681217" w14:paraId="46C3BF6A" w14:textId="77777777" w:rsidTr="008B7E19">
        <w:trPr>
          <w:trHeight w:val="238"/>
          <w:jc w:val="center"/>
        </w:trPr>
        <w:tc>
          <w:tcPr>
            <w:tcW w:w="7372" w:type="dxa"/>
            <w:shd w:val="clear" w:color="auto" w:fill="auto"/>
          </w:tcPr>
          <w:p w14:paraId="7F1AE155" w14:textId="77777777" w:rsidR="008B7E19" w:rsidRPr="00681217" w:rsidRDefault="008B7E19" w:rsidP="008B7E19">
            <w:pPr>
              <w:pStyle w:val="08-Tabelageral"/>
              <w:ind w:left="113"/>
              <w:jc w:val="left"/>
              <w:rPr>
                <w:rFonts w:cs="Arial"/>
                <w:szCs w:val="14"/>
              </w:rPr>
            </w:pPr>
            <w:r w:rsidRPr="00681217">
              <w:rPr>
                <w:rFonts w:cs="Arial"/>
                <w:szCs w:val="14"/>
              </w:rPr>
              <w:t>BB MAPFRE Participações S.A.</w:t>
            </w:r>
          </w:p>
        </w:tc>
        <w:tc>
          <w:tcPr>
            <w:tcW w:w="2267" w:type="dxa"/>
            <w:shd w:val="clear" w:color="auto" w:fill="auto"/>
            <w:vAlign w:val="center"/>
          </w:tcPr>
          <w:p w14:paraId="45436D45" w14:textId="77777777" w:rsidR="008B7E19" w:rsidRPr="00681217" w:rsidRDefault="008B7E19" w:rsidP="008B7E19">
            <w:pPr>
              <w:pStyle w:val="08-Tabelageral"/>
              <w:rPr>
                <w:rFonts w:cs="Arial"/>
                <w:szCs w:val="14"/>
              </w:rPr>
            </w:pPr>
            <w:r w:rsidRPr="00C77A85">
              <w:t>278</w:t>
            </w:r>
            <w:r>
              <w:t>,</w:t>
            </w:r>
            <w:r w:rsidRPr="00C77A85">
              <w:t>179</w:t>
            </w:r>
          </w:p>
        </w:tc>
      </w:tr>
      <w:tr w:rsidR="008B7E19" w:rsidRPr="00681217" w14:paraId="2A3990BF" w14:textId="77777777" w:rsidTr="008B7E19">
        <w:trPr>
          <w:trHeight w:val="238"/>
          <w:jc w:val="center"/>
        </w:trPr>
        <w:tc>
          <w:tcPr>
            <w:tcW w:w="7372" w:type="dxa"/>
            <w:shd w:val="clear" w:color="auto" w:fill="auto"/>
          </w:tcPr>
          <w:p w14:paraId="5E932D0F" w14:textId="77777777" w:rsidR="008B7E19" w:rsidRPr="00681217" w:rsidRDefault="008B7E19" w:rsidP="008B7E19">
            <w:pPr>
              <w:pStyle w:val="08-Tabelageral"/>
              <w:ind w:left="113"/>
              <w:jc w:val="left"/>
              <w:rPr>
                <w:rFonts w:cs="Arial"/>
                <w:szCs w:val="14"/>
              </w:rPr>
            </w:pPr>
            <w:r w:rsidRPr="00681217">
              <w:rPr>
                <w:rFonts w:cs="Arial"/>
                <w:szCs w:val="14"/>
              </w:rPr>
              <w:t>Brasilprev Seguros e Previdência S.A.</w:t>
            </w:r>
          </w:p>
        </w:tc>
        <w:tc>
          <w:tcPr>
            <w:tcW w:w="2267" w:type="dxa"/>
            <w:shd w:val="clear" w:color="auto" w:fill="auto"/>
            <w:vAlign w:val="center"/>
          </w:tcPr>
          <w:p w14:paraId="4F347356" w14:textId="77777777" w:rsidR="008B7E19" w:rsidRPr="00681217" w:rsidRDefault="008B7E19" w:rsidP="008B7E19">
            <w:pPr>
              <w:pStyle w:val="08-Tabelageral"/>
              <w:rPr>
                <w:rFonts w:cs="Arial"/>
                <w:szCs w:val="14"/>
              </w:rPr>
            </w:pPr>
            <w:r w:rsidRPr="00C77A85">
              <w:t>(93</w:t>
            </w:r>
            <w:r>
              <w:t>,</w:t>
            </w:r>
            <w:r w:rsidRPr="00C77A85">
              <w:t>082)</w:t>
            </w:r>
          </w:p>
        </w:tc>
      </w:tr>
      <w:tr w:rsidR="008B7E19" w:rsidRPr="00681217" w14:paraId="1F2D2A6E" w14:textId="77777777" w:rsidTr="008B7E19">
        <w:trPr>
          <w:trHeight w:val="238"/>
          <w:jc w:val="center"/>
        </w:trPr>
        <w:tc>
          <w:tcPr>
            <w:tcW w:w="7372" w:type="dxa"/>
            <w:shd w:val="clear" w:color="auto" w:fill="auto"/>
          </w:tcPr>
          <w:p w14:paraId="7D72B571" w14:textId="77777777" w:rsidR="008B7E19" w:rsidRPr="00681217" w:rsidRDefault="008B7E19" w:rsidP="008B7E19">
            <w:pPr>
              <w:pStyle w:val="08-Tabelageral"/>
              <w:ind w:left="113"/>
              <w:jc w:val="left"/>
              <w:rPr>
                <w:rFonts w:cs="Arial"/>
                <w:szCs w:val="14"/>
              </w:rPr>
            </w:pPr>
            <w:r w:rsidRPr="00681217">
              <w:rPr>
                <w:rFonts w:cs="Arial"/>
                <w:szCs w:val="14"/>
              </w:rPr>
              <w:t>Brasildental Operadora de Planos Odontológicos S.A.</w:t>
            </w:r>
          </w:p>
        </w:tc>
        <w:tc>
          <w:tcPr>
            <w:tcW w:w="2267" w:type="dxa"/>
            <w:shd w:val="clear" w:color="auto" w:fill="auto"/>
            <w:vAlign w:val="center"/>
          </w:tcPr>
          <w:p w14:paraId="34A7A9E3" w14:textId="77777777" w:rsidR="008B7E19" w:rsidRPr="00681217" w:rsidRDefault="008B7E19" w:rsidP="008B7E19">
            <w:pPr>
              <w:pStyle w:val="08-Tabelageral"/>
              <w:rPr>
                <w:rFonts w:cs="Arial"/>
                <w:szCs w:val="14"/>
              </w:rPr>
            </w:pPr>
            <w:r w:rsidRPr="00C77A85">
              <w:rPr>
                <w:rFonts w:cs="Arial"/>
                <w:szCs w:val="14"/>
              </w:rPr>
              <w:t>1</w:t>
            </w:r>
            <w:r>
              <w:rPr>
                <w:rFonts w:cs="Arial"/>
                <w:szCs w:val="14"/>
              </w:rPr>
              <w:t>,</w:t>
            </w:r>
            <w:r w:rsidRPr="00C77A85">
              <w:rPr>
                <w:rFonts w:cs="Arial"/>
                <w:szCs w:val="14"/>
              </w:rPr>
              <w:t>888</w:t>
            </w:r>
          </w:p>
        </w:tc>
      </w:tr>
      <w:tr w:rsidR="008B7E19" w:rsidRPr="0048242D" w14:paraId="28F678CF" w14:textId="77777777" w:rsidTr="008B7E19">
        <w:trPr>
          <w:trHeight w:val="238"/>
          <w:jc w:val="center"/>
        </w:trPr>
        <w:tc>
          <w:tcPr>
            <w:tcW w:w="7372" w:type="dxa"/>
            <w:shd w:val="clear" w:color="auto" w:fill="auto"/>
          </w:tcPr>
          <w:p w14:paraId="22C183F2" w14:textId="77777777" w:rsidR="008B7E19" w:rsidRPr="00681217" w:rsidRDefault="008B7E19" w:rsidP="008B7E19">
            <w:pPr>
              <w:pStyle w:val="08-Tabelageral"/>
              <w:jc w:val="left"/>
              <w:rPr>
                <w:rFonts w:cs="Arial"/>
                <w:b/>
                <w:bCs/>
                <w:szCs w:val="14"/>
                <w:lang w:val="en-US"/>
              </w:rPr>
            </w:pPr>
            <w:r w:rsidRPr="00681217">
              <w:rPr>
                <w:rFonts w:cs="Arial"/>
                <w:b/>
                <w:bCs/>
                <w:szCs w:val="14"/>
                <w:lang w:val="en-US"/>
              </w:rPr>
              <w:t>Equity on Jan 01, 2022, after adjustments to CPC 50 [IFRS 17] and CPC 48 [IFRS 9]</w:t>
            </w:r>
          </w:p>
        </w:tc>
        <w:tc>
          <w:tcPr>
            <w:tcW w:w="2267" w:type="dxa"/>
            <w:shd w:val="clear" w:color="auto" w:fill="auto"/>
            <w:vAlign w:val="center"/>
          </w:tcPr>
          <w:p w14:paraId="74EFA76A" w14:textId="77777777" w:rsidR="008B7E19" w:rsidRPr="00681217" w:rsidRDefault="008B7E19" w:rsidP="008B7E19">
            <w:pPr>
              <w:pStyle w:val="08-Tabelageral"/>
              <w:rPr>
                <w:rFonts w:cs="Arial"/>
                <w:b/>
                <w:bCs/>
                <w:szCs w:val="14"/>
              </w:rPr>
            </w:pPr>
            <w:r w:rsidRPr="00C77A85">
              <w:rPr>
                <w:rFonts w:cs="Arial"/>
                <w:b/>
                <w:bCs/>
                <w:szCs w:val="14"/>
              </w:rPr>
              <w:t>7</w:t>
            </w:r>
            <w:r>
              <w:rPr>
                <w:rFonts w:cs="Arial"/>
                <w:b/>
                <w:bCs/>
                <w:szCs w:val="14"/>
              </w:rPr>
              <w:t>,</w:t>
            </w:r>
            <w:r w:rsidRPr="00C77A85">
              <w:rPr>
                <w:rFonts w:cs="Arial"/>
                <w:b/>
                <w:bCs/>
                <w:szCs w:val="14"/>
              </w:rPr>
              <w:t>468</w:t>
            </w:r>
            <w:r>
              <w:rPr>
                <w:rFonts w:cs="Arial"/>
                <w:b/>
                <w:bCs/>
                <w:szCs w:val="14"/>
              </w:rPr>
              <w:t>,</w:t>
            </w:r>
            <w:r w:rsidRPr="00C77A85">
              <w:rPr>
                <w:rFonts w:cs="Arial"/>
                <w:b/>
                <w:bCs/>
                <w:szCs w:val="14"/>
              </w:rPr>
              <w:t>401</w:t>
            </w:r>
          </w:p>
        </w:tc>
      </w:tr>
    </w:tbl>
    <w:p w14:paraId="128554E0" w14:textId="77777777" w:rsidR="008B7E19" w:rsidRPr="0084275E" w:rsidRDefault="008B7E19" w:rsidP="008B7E19">
      <w:pPr>
        <w:pStyle w:val="03-SubttulodeNota"/>
        <w:keepNext/>
        <w:keepLines/>
        <w:pageBreakBefore/>
        <w:rPr>
          <w:bCs/>
          <w:color w:val="1F4E79" w:themeColor="accent1" w:themeShade="80"/>
          <w:lang w:val="en-US"/>
        </w:rPr>
      </w:pPr>
      <w:r w:rsidRPr="0084275E">
        <w:rPr>
          <w:bCs/>
          <w:color w:val="1F4E79" w:themeColor="accent1" w:themeShade="80"/>
          <w:lang w:val="en-US"/>
        </w:rPr>
        <w:t>i) Restatement for Comparability Effects</w:t>
      </w:r>
    </w:p>
    <w:p w14:paraId="2015C748" w14:textId="77777777" w:rsidR="008B7E19" w:rsidRPr="00381A79" w:rsidRDefault="008B7E19" w:rsidP="00381A79">
      <w:pPr>
        <w:pStyle w:val="03-SubttulodeNota"/>
        <w:rPr>
          <w:bCs/>
          <w:color w:val="1F4E79" w:themeColor="accent1" w:themeShade="80"/>
        </w:rPr>
      </w:pPr>
      <w:r w:rsidRPr="00381A79">
        <w:rPr>
          <w:color w:val="1F4E79" w:themeColor="accent1" w:themeShade="80"/>
        </w:rPr>
        <w:t>Balance Sheet</w:t>
      </w:r>
    </w:p>
    <w:p w14:paraId="7E8AC794" w14:textId="77777777" w:rsidR="008B7E19" w:rsidRPr="00D44604" w:rsidRDefault="008B7E19" w:rsidP="008B7E19">
      <w:pPr>
        <w:spacing w:after="0" w:line="240" w:lineRule="auto"/>
        <w:jc w:val="right"/>
        <w:rPr>
          <w:rFonts w:cs="Arial"/>
          <w:b/>
          <w:sz w:val="14"/>
          <w:lang w:eastAsia="pt-BR"/>
        </w:rPr>
      </w:pPr>
      <w:r w:rsidRPr="00FC6C4B">
        <w:rPr>
          <w:rFonts w:cs="Arial"/>
          <w:b/>
          <w:sz w:val="14"/>
          <w:lang w:eastAsia="pt-BR"/>
        </w:rPr>
        <w:t>R$ thousand</w:t>
      </w:r>
    </w:p>
    <w:tbl>
      <w:tblPr>
        <w:tblW w:w="9639" w:type="dxa"/>
        <w:jc w:val="center"/>
        <w:tblLook w:val="04A0" w:firstRow="1" w:lastRow="0" w:firstColumn="1" w:lastColumn="0" w:noHBand="0" w:noVBand="1"/>
      </w:tblPr>
      <w:tblGrid>
        <w:gridCol w:w="4519"/>
        <w:gridCol w:w="1526"/>
        <w:gridCol w:w="1797"/>
        <w:gridCol w:w="1797"/>
      </w:tblGrid>
      <w:tr w:rsidR="008B7E19" w:rsidRPr="002F06CE" w14:paraId="02FB53EE" w14:textId="77777777" w:rsidTr="008B7E19">
        <w:trPr>
          <w:trHeight w:val="238"/>
          <w:jc w:val="center"/>
        </w:trPr>
        <w:tc>
          <w:tcPr>
            <w:tcW w:w="4519" w:type="dxa"/>
            <w:tcBorders>
              <w:top w:val="single" w:sz="2" w:space="0" w:color="1F4E79" w:themeColor="accent1" w:themeShade="80"/>
              <w:bottom w:val="single" w:sz="2" w:space="0" w:color="1F4E79" w:themeColor="accent1" w:themeShade="80"/>
            </w:tcBorders>
          </w:tcPr>
          <w:p w14:paraId="2D178256" w14:textId="77777777" w:rsidR="008B7E19" w:rsidRPr="002F06CE" w:rsidRDefault="008B7E19" w:rsidP="008B7E19">
            <w:pPr>
              <w:pStyle w:val="08-Tabelageral"/>
              <w:jc w:val="left"/>
              <w:rPr>
                <w:rFonts w:cs="Arial"/>
                <w:b/>
                <w:bCs/>
                <w:szCs w:val="14"/>
              </w:rPr>
            </w:pPr>
          </w:p>
        </w:tc>
        <w:tc>
          <w:tcPr>
            <w:tcW w:w="5120" w:type="dxa"/>
            <w:gridSpan w:val="3"/>
            <w:tcBorders>
              <w:top w:val="single" w:sz="2" w:space="0" w:color="1F4E79" w:themeColor="accent1" w:themeShade="80"/>
              <w:bottom w:val="single" w:sz="2" w:space="0" w:color="1F4E79" w:themeColor="accent1" w:themeShade="80"/>
            </w:tcBorders>
          </w:tcPr>
          <w:p w14:paraId="79EFE399" w14:textId="77777777" w:rsidR="008B7E19" w:rsidRPr="002F06CE" w:rsidRDefault="008B7E19" w:rsidP="008B7E19">
            <w:pPr>
              <w:pStyle w:val="08-Tabelageral"/>
              <w:jc w:val="center"/>
              <w:rPr>
                <w:rFonts w:cs="Arial"/>
                <w:b/>
                <w:bCs/>
                <w:szCs w:val="14"/>
              </w:rPr>
            </w:pPr>
            <w:r w:rsidRPr="002F06CE">
              <w:rPr>
                <w:rFonts w:cs="Arial"/>
                <w:b/>
                <w:bCs/>
              </w:rPr>
              <w:t>Parent</w:t>
            </w:r>
          </w:p>
        </w:tc>
      </w:tr>
      <w:tr w:rsidR="008B7E19" w:rsidRPr="00E00C9B" w14:paraId="5FD50612" w14:textId="77777777" w:rsidTr="008B7E19">
        <w:trPr>
          <w:trHeight w:val="238"/>
          <w:jc w:val="center"/>
        </w:trPr>
        <w:tc>
          <w:tcPr>
            <w:tcW w:w="4519" w:type="dxa"/>
            <w:tcBorders>
              <w:top w:val="single" w:sz="2" w:space="0" w:color="1F4E79" w:themeColor="accent1" w:themeShade="80"/>
              <w:bottom w:val="single" w:sz="2" w:space="0" w:color="1F4E79" w:themeColor="accent1" w:themeShade="80"/>
            </w:tcBorders>
          </w:tcPr>
          <w:p w14:paraId="7ECF81F0" w14:textId="77777777" w:rsidR="008B7E19" w:rsidRPr="00E00C9B" w:rsidRDefault="008B7E19" w:rsidP="008B7E19">
            <w:pPr>
              <w:pStyle w:val="08-Tabelageral"/>
              <w:jc w:val="left"/>
              <w:rPr>
                <w:rFonts w:cs="Arial"/>
                <w:b/>
                <w:bCs/>
                <w:szCs w:val="14"/>
              </w:rPr>
            </w:pPr>
          </w:p>
        </w:tc>
        <w:tc>
          <w:tcPr>
            <w:tcW w:w="1526" w:type="dxa"/>
            <w:tcBorders>
              <w:top w:val="single" w:sz="2" w:space="0" w:color="1F4E79" w:themeColor="accent1" w:themeShade="80"/>
              <w:bottom w:val="single" w:sz="2" w:space="0" w:color="1F4E79" w:themeColor="accent1" w:themeShade="80"/>
            </w:tcBorders>
          </w:tcPr>
          <w:p w14:paraId="79B8C208" w14:textId="77777777" w:rsidR="008B7E19" w:rsidRPr="00C80F9A" w:rsidRDefault="008B7E19" w:rsidP="008B7E19">
            <w:pPr>
              <w:pStyle w:val="08-Tabelageral"/>
              <w:rPr>
                <w:rFonts w:cs="Arial"/>
                <w:b/>
                <w:bCs/>
                <w:szCs w:val="14"/>
              </w:rPr>
            </w:pPr>
          </w:p>
        </w:tc>
        <w:tc>
          <w:tcPr>
            <w:tcW w:w="1797" w:type="dxa"/>
            <w:tcBorders>
              <w:top w:val="single" w:sz="2" w:space="0" w:color="1F4E79" w:themeColor="accent1" w:themeShade="80"/>
              <w:bottom w:val="single" w:sz="2" w:space="0" w:color="1F4E79" w:themeColor="accent1" w:themeShade="80"/>
            </w:tcBorders>
          </w:tcPr>
          <w:p w14:paraId="3FF8A8C3" w14:textId="77777777" w:rsidR="008B7E19" w:rsidRPr="00C80F9A" w:rsidRDefault="008B7E19" w:rsidP="008B7E19">
            <w:pPr>
              <w:pStyle w:val="08-Tabelageral"/>
              <w:rPr>
                <w:rFonts w:cs="Arial"/>
                <w:b/>
                <w:bCs/>
                <w:szCs w:val="14"/>
              </w:rPr>
            </w:pPr>
            <w:r w:rsidRPr="000010FF">
              <w:rPr>
                <w:rFonts w:cs="Arial"/>
                <w:b/>
                <w:bCs/>
                <w:szCs w:val="14"/>
                <w:lang w:val="en-US"/>
              </w:rPr>
              <w:t>Dec 31, 202</w:t>
            </w:r>
            <w:r>
              <w:rPr>
                <w:rFonts w:cs="Arial"/>
                <w:b/>
                <w:bCs/>
                <w:szCs w:val="14"/>
                <w:lang w:val="en-US"/>
              </w:rPr>
              <w:t>2</w:t>
            </w:r>
          </w:p>
        </w:tc>
        <w:tc>
          <w:tcPr>
            <w:tcW w:w="1797" w:type="dxa"/>
            <w:tcBorders>
              <w:top w:val="single" w:sz="2" w:space="0" w:color="1F4E79" w:themeColor="accent1" w:themeShade="80"/>
              <w:bottom w:val="single" w:sz="2" w:space="0" w:color="1F4E79" w:themeColor="accent1" w:themeShade="80"/>
            </w:tcBorders>
          </w:tcPr>
          <w:p w14:paraId="416F246B" w14:textId="77777777" w:rsidR="008B7E19" w:rsidRPr="00C80F9A" w:rsidRDefault="008B7E19" w:rsidP="008B7E19">
            <w:pPr>
              <w:pStyle w:val="08-Tabelageral"/>
              <w:rPr>
                <w:rFonts w:cs="Arial"/>
                <w:b/>
                <w:bCs/>
                <w:szCs w:val="14"/>
              </w:rPr>
            </w:pPr>
          </w:p>
        </w:tc>
      </w:tr>
      <w:tr w:rsidR="008B7E19" w:rsidRPr="00E00C9B" w14:paraId="5A499751" w14:textId="77777777" w:rsidTr="008B7E19">
        <w:trPr>
          <w:trHeight w:val="238"/>
          <w:jc w:val="center"/>
        </w:trPr>
        <w:tc>
          <w:tcPr>
            <w:tcW w:w="4519" w:type="dxa"/>
            <w:tcBorders>
              <w:top w:val="single" w:sz="2" w:space="0" w:color="1F4E79" w:themeColor="accent1" w:themeShade="80"/>
              <w:bottom w:val="single" w:sz="2" w:space="0" w:color="1F4E79" w:themeColor="accent1" w:themeShade="80"/>
            </w:tcBorders>
          </w:tcPr>
          <w:p w14:paraId="0A56BB48" w14:textId="77777777" w:rsidR="008B7E19" w:rsidRPr="00E00C9B" w:rsidRDefault="008B7E19" w:rsidP="008B7E19">
            <w:pPr>
              <w:pStyle w:val="08-Tabelageral"/>
              <w:jc w:val="left"/>
              <w:rPr>
                <w:rFonts w:cs="Arial"/>
                <w:b/>
                <w:bCs/>
                <w:szCs w:val="14"/>
              </w:rPr>
            </w:pPr>
          </w:p>
        </w:tc>
        <w:tc>
          <w:tcPr>
            <w:tcW w:w="1526" w:type="dxa"/>
            <w:tcBorders>
              <w:top w:val="single" w:sz="2" w:space="0" w:color="1F4E79" w:themeColor="accent1" w:themeShade="80"/>
              <w:bottom w:val="single" w:sz="2" w:space="0" w:color="1F4E79" w:themeColor="accent1" w:themeShade="80"/>
            </w:tcBorders>
          </w:tcPr>
          <w:p w14:paraId="3C5B6B5C" w14:textId="77777777" w:rsidR="008B7E19" w:rsidRPr="00C80F9A" w:rsidRDefault="008B7E19" w:rsidP="008B7E19">
            <w:pPr>
              <w:pStyle w:val="08-Tabelageral"/>
              <w:rPr>
                <w:rFonts w:cs="Arial"/>
                <w:b/>
                <w:bCs/>
                <w:szCs w:val="14"/>
              </w:rPr>
            </w:pPr>
            <w:r>
              <w:rPr>
                <w:rFonts w:cs="Arial"/>
                <w:b/>
                <w:bCs/>
                <w:szCs w:val="14"/>
              </w:rPr>
              <w:t>Original report</w:t>
            </w:r>
          </w:p>
        </w:tc>
        <w:tc>
          <w:tcPr>
            <w:tcW w:w="1797" w:type="dxa"/>
            <w:tcBorders>
              <w:top w:val="single" w:sz="2" w:space="0" w:color="1F4E79" w:themeColor="accent1" w:themeShade="80"/>
              <w:bottom w:val="single" w:sz="2" w:space="0" w:color="1F4E79" w:themeColor="accent1" w:themeShade="80"/>
            </w:tcBorders>
          </w:tcPr>
          <w:p w14:paraId="1A3276B9" w14:textId="77777777" w:rsidR="008B7E19" w:rsidRPr="00C80F9A" w:rsidRDefault="008B7E19" w:rsidP="008B7E19">
            <w:pPr>
              <w:pStyle w:val="08-Tabelageral"/>
              <w:rPr>
                <w:rFonts w:cs="Arial"/>
                <w:b/>
                <w:bCs/>
                <w:szCs w:val="14"/>
              </w:rPr>
            </w:pPr>
            <w:r>
              <w:rPr>
                <w:rFonts w:cs="Arial"/>
                <w:b/>
                <w:bCs/>
                <w:szCs w:val="14"/>
              </w:rPr>
              <w:t>Adjustments</w:t>
            </w:r>
          </w:p>
        </w:tc>
        <w:tc>
          <w:tcPr>
            <w:tcW w:w="1797" w:type="dxa"/>
            <w:tcBorders>
              <w:top w:val="single" w:sz="2" w:space="0" w:color="1F4E79" w:themeColor="accent1" w:themeShade="80"/>
              <w:bottom w:val="single" w:sz="2" w:space="0" w:color="1F4E79" w:themeColor="accent1" w:themeShade="80"/>
            </w:tcBorders>
          </w:tcPr>
          <w:p w14:paraId="1D0169EE" w14:textId="77777777" w:rsidR="008B7E19" w:rsidRPr="00C80F9A" w:rsidRDefault="008B7E19" w:rsidP="008B7E19">
            <w:pPr>
              <w:pStyle w:val="08-Tabelageral"/>
              <w:rPr>
                <w:rFonts w:cs="Arial"/>
                <w:b/>
                <w:bCs/>
                <w:szCs w:val="14"/>
              </w:rPr>
            </w:pPr>
            <w:r>
              <w:rPr>
                <w:rFonts w:cs="Arial"/>
                <w:b/>
                <w:bCs/>
                <w:szCs w:val="14"/>
              </w:rPr>
              <w:t>Restated balances</w:t>
            </w:r>
          </w:p>
        </w:tc>
      </w:tr>
      <w:tr w:rsidR="008B7E19" w:rsidRPr="000A4B1A" w14:paraId="4B5983BE" w14:textId="77777777" w:rsidTr="008B7E19">
        <w:trPr>
          <w:trHeight w:val="238"/>
          <w:jc w:val="center"/>
        </w:trPr>
        <w:tc>
          <w:tcPr>
            <w:tcW w:w="4519" w:type="dxa"/>
            <w:tcBorders>
              <w:top w:val="single" w:sz="2" w:space="0" w:color="1F4E79" w:themeColor="accent1" w:themeShade="80"/>
            </w:tcBorders>
            <w:vAlign w:val="center"/>
          </w:tcPr>
          <w:p w14:paraId="543EDFAF" w14:textId="77777777" w:rsidR="008B7E19" w:rsidRPr="000A4B1A" w:rsidRDefault="008B7E19" w:rsidP="008B7E19">
            <w:pPr>
              <w:pStyle w:val="08-Tabelageral"/>
              <w:jc w:val="left"/>
              <w:rPr>
                <w:rFonts w:cs="Arial"/>
                <w:b/>
                <w:bCs/>
                <w:szCs w:val="14"/>
              </w:rPr>
            </w:pPr>
            <w:r w:rsidRPr="000A4B1A">
              <w:rPr>
                <w:rFonts w:cs="Arial"/>
                <w:b/>
                <w:bCs/>
                <w:szCs w:val="14"/>
              </w:rPr>
              <w:t>Current Assets</w:t>
            </w:r>
          </w:p>
        </w:tc>
        <w:tc>
          <w:tcPr>
            <w:tcW w:w="1526" w:type="dxa"/>
            <w:tcBorders>
              <w:top w:val="single" w:sz="2" w:space="0" w:color="1F4E79" w:themeColor="accent1" w:themeShade="80"/>
            </w:tcBorders>
          </w:tcPr>
          <w:p w14:paraId="0B180D93" w14:textId="77777777" w:rsidR="008B7E19" w:rsidRPr="000A4B1A" w:rsidRDefault="008B7E19" w:rsidP="008B7E19">
            <w:pPr>
              <w:pStyle w:val="08-Tabelageral"/>
              <w:rPr>
                <w:rFonts w:cs="Arial"/>
                <w:b/>
                <w:bCs/>
                <w:szCs w:val="14"/>
                <w:highlight w:val="yellow"/>
              </w:rPr>
            </w:pPr>
            <w:r w:rsidRPr="00A728BD">
              <w:rPr>
                <w:rFonts w:cs="Arial"/>
                <w:b/>
                <w:bCs/>
                <w:color w:val="000000"/>
                <w:szCs w:val="14"/>
              </w:rPr>
              <w:t>3</w:t>
            </w:r>
            <w:r>
              <w:rPr>
                <w:rFonts w:cs="Arial"/>
                <w:b/>
                <w:bCs/>
                <w:color w:val="000000"/>
                <w:szCs w:val="14"/>
              </w:rPr>
              <w:t>,</w:t>
            </w:r>
            <w:r w:rsidRPr="00A728BD">
              <w:rPr>
                <w:rFonts w:cs="Arial"/>
                <w:b/>
                <w:bCs/>
                <w:color w:val="000000"/>
                <w:szCs w:val="14"/>
              </w:rPr>
              <w:t>768</w:t>
            </w:r>
            <w:r>
              <w:rPr>
                <w:rFonts w:cs="Arial"/>
                <w:b/>
                <w:bCs/>
                <w:color w:val="000000"/>
                <w:szCs w:val="14"/>
              </w:rPr>
              <w:t>,</w:t>
            </w:r>
            <w:r w:rsidRPr="00A728BD">
              <w:rPr>
                <w:rFonts w:cs="Arial"/>
                <w:b/>
                <w:bCs/>
                <w:color w:val="000000"/>
                <w:szCs w:val="14"/>
              </w:rPr>
              <w:t>306</w:t>
            </w:r>
          </w:p>
        </w:tc>
        <w:tc>
          <w:tcPr>
            <w:tcW w:w="1797" w:type="dxa"/>
            <w:tcBorders>
              <w:top w:val="single" w:sz="2" w:space="0" w:color="1F4E79" w:themeColor="accent1" w:themeShade="80"/>
            </w:tcBorders>
          </w:tcPr>
          <w:p w14:paraId="34CD8171" w14:textId="77777777" w:rsidR="008B7E19" w:rsidRPr="000A4B1A" w:rsidRDefault="008B7E19" w:rsidP="008B7E19">
            <w:pPr>
              <w:pStyle w:val="08-Tabelageral"/>
              <w:rPr>
                <w:rFonts w:cs="Arial"/>
                <w:b/>
                <w:bCs/>
                <w:szCs w:val="14"/>
              </w:rPr>
            </w:pPr>
            <w:r w:rsidRPr="00D240FE">
              <w:rPr>
                <w:rFonts w:cs="Arial"/>
                <w:b/>
                <w:bCs/>
                <w:color w:val="000000"/>
                <w:szCs w:val="14"/>
              </w:rPr>
              <w:t>--</w:t>
            </w:r>
          </w:p>
        </w:tc>
        <w:tc>
          <w:tcPr>
            <w:tcW w:w="1797" w:type="dxa"/>
            <w:tcBorders>
              <w:top w:val="single" w:sz="2" w:space="0" w:color="1F4E79" w:themeColor="accent1" w:themeShade="80"/>
            </w:tcBorders>
          </w:tcPr>
          <w:p w14:paraId="4AEB9900" w14:textId="77777777" w:rsidR="008B7E19" w:rsidRPr="000A4B1A" w:rsidRDefault="008B7E19" w:rsidP="008B7E19">
            <w:pPr>
              <w:pStyle w:val="08-Tabelageral"/>
              <w:rPr>
                <w:rFonts w:cs="Arial"/>
                <w:b/>
                <w:bCs/>
                <w:szCs w:val="14"/>
              </w:rPr>
            </w:pPr>
            <w:r w:rsidRPr="00A728BD">
              <w:rPr>
                <w:rFonts w:cs="Arial"/>
                <w:b/>
                <w:bCs/>
                <w:color w:val="000000"/>
                <w:szCs w:val="14"/>
              </w:rPr>
              <w:t>3</w:t>
            </w:r>
            <w:r>
              <w:rPr>
                <w:rFonts w:cs="Arial"/>
                <w:b/>
                <w:bCs/>
                <w:color w:val="000000"/>
                <w:szCs w:val="14"/>
              </w:rPr>
              <w:t>,</w:t>
            </w:r>
            <w:r w:rsidRPr="00A728BD">
              <w:rPr>
                <w:rFonts w:cs="Arial"/>
                <w:b/>
                <w:bCs/>
                <w:color w:val="000000"/>
                <w:szCs w:val="14"/>
              </w:rPr>
              <w:t>768</w:t>
            </w:r>
            <w:r>
              <w:rPr>
                <w:rFonts w:cs="Arial"/>
                <w:b/>
                <w:bCs/>
                <w:color w:val="000000"/>
                <w:szCs w:val="14"/>
              </w:rPr>
              <w:t>,</w:t>
            </w:r>
            <w:r w:rsidRPr="00A728BD">
              <w:rPr>
                <w:rFonts w:cs="Arial"/>
                <w:b/>
                <w:bCs/>
                <w:color w:val="000000"/>
                <w:szCs w:val="14"/>
              </w:rPr>
              <w:t>306</w:t>
            </w:r>
          </w:p>
        </w:tc>
      </w:tr>
      <w:tr w:rsidR="008B7E19" w:rsidRPr="000A4B1A" w14:paraId="212260F2" w14:textId="77777777" w:rsidTr="008B7E19">
        <w:trPr>
          <w:trHeight w:val="238"/>
          <w:jc w:val="center"/>
        </w:trPr>
        <w:tc>
          <w:tcPr>
            <w:tcW w:w="4519" w:type="dxa"/>
          </w:tcPr>
          <w:p w14:paraId="441FFBB2" w14:textId="77777777" w:rsidR="008B7E19" w:rsidRPr="000A4B1A" w:rsidRDefault="008B7E19" w:rsidP="008B7E19">
            <w:pPr>
              <w:pStyle w:val="08-Tabelageral"/>
              <w:jc w:val="left"/>
              <w:rPr>
                <w:rFonts w:cs="Arial"/>
                <w:b/>
                <w:bCs/>
                <w:szCs w:val="14"/>
                <w:highlight w:val="yellow"/>
              </w:rPr>
            </w:pPr>
            <w:r w:rsidRPr="000A4B1A">
              <w:rPr>
                <w:rFonts w:cs="Arial"/>
                <w:b/>
                <w:bCs/>
                <w:szCs w:val="14"/>
              </w:rPr>
              <w:t>Non-Current Assets</w:t>
            </w:r>
          </w:p>
        </w:tc>
        <w:tc>
          <w:tcPr>
            <w:tcW w:w="1526" w:type="dxa"/>
          </w:tcPr>
          <w:p w14:paraId="1A07B62E" w14:textId="77777777" w:rsidR="008B7E19" w:rsidRPr="000A4B1A" w:rsidRDefault="008B7E19" w:rsidP="008B7E19">
            <w:pPr>
              <w:pStyle w:val="08-Tabelageral"/>
              <w:rPr>
                <w:rFonts w:cs="Arial"/>
                <w:b/>
                <w:bCs/>
                <w:szCs w:val="14"/>
                <w:highlight w:val="yellow"/>
              </w:rPr>
            </w:pPr>
            <w:r w:rsidRPr="00A728BD">
              <w:rPr>
                <w:rFonts w:cs="Arial"/>
                <w:b/>
                <w:bCs/>
                <w:color w:val="000000"/>
                <w:szCs w:val="14"/>
              </w:rPr>
              <w:t>7</w:t>
            </w:r>
            <w:r>
              <w:rPr>
                <w:rFonts w:cs="Arial"/>
                <w:b/>
                <w:bCs/>
                <w:color w:val="000000"/>
                <w:szCs w:val="14"/>
              </w:rPr>
              <w:t>,</w:t>
            </w:r>
            <w:r w:rsidRPr="00A728BD">
              <w:rPr>
                <w:rFonts w:cs="Arial"/>
                <w:b/>
                <w:bCs/>
                <w:color w:val="000000"/>
                <w:szCs w:val="14"/>
              </w:rPr>
              <w:t>514</w:t>
            </w:r>
            <w:r>
              <w:rPr>
                <w:rFonts w:cs="Arial"/>
                <w:b/>
                <w:bCs/>
                <w:color w:val="000000"/>
                <w:szCs w:val="14"/>
              </w:rPr>
              <w:t>,</w:t>
            </w:r>
            <w:r w:rsidRPr="00A728BD">
              <w:rPr>
                <w:rFonts w:cs="Arial"/>
                <w:b/>
                <w:bCs/>
                <w:color w:val="000000"/>
                <w:szCs w:val="14"/>
              </w:rPr>
              <w:t>118</w:t>
            </w:r>
          </w:p>
        </w:tc>
        <w:tc>
          <w:tcPr>
            <w:tcW w:w="1797" w:type="dxa"/>
          </w:tcPr>
          <w:p w14:paraId="34E4C65F" w14:textId="77777777" w:rsidR="008B7E19" w:rsidRPr="000A4B1A" w:rsidRDefault="008B7E19" w:rsidP="008B7E19">
            <w:pPr>
              <w:pStyle w:val="08-Tabelageral"/>
              <w:rPr>
                <w:rFonts w:cs="Arial"/>
                <w:b/>
                <w:bCs/>
                <w:szCs w:val="14"/>
                <w:highlight w:val="yellow"/>
              </w:rPr>
            </w:pPr>
            <w:r w:rsidRPr="00A728BD">
              <w:rPr>
                <w:rFonts w:cs="Arial"/>
                <w:b/>
                <w:bCs/>
                <w:color w:val="000000"/>
                <w:szCs w:val="14"/>
              </w:rPr>
              <w:t>440</w:t>
            </w:r>
            <w:r>
              <w:rPr>
                <w:rFonts w:cs="Arial"/>
                <w:b/>
                <w:bCs/>
                <w:color w:val="000000"/>
                <w:szCs w:val="14"/>
              </w:rPr>
              <w:t>,</w:t>
            </w:r>
            <w:r w:rsidRPr="00A728BD">
              <w:rPr>
                <w:rFonts w:cs="Arial"/>
                <w:b/>
                <w:bCs/>
                <w:color w:val="000000"/>
                <w:szCs w:val="14"/>
              </w:rPr>
              <w:t>629</w:t>
            </w:r>
          </w:p>
        </w:tc>
        <w:tc>
          <w:tcPr>
            <w:tcW w:w="1797" w:type="dxa"/>
          </w:tcPr>
          <w:p w14:paraId="479B052D" w14:textId="77777777" w:rsidR="008B7E19" w:rsidRPr="000A4B1A" w:rsidRDefault="008B7E19" w:rsidP="008B7E19">
            <w:pPr>
              <w:pStyle w:val="08-Tabelageral"/>
              <w:rPr>
                <w:rFonts w:cs="Arial"/>
                <w:b/>
                <w:bCs/>
                <w:szCs w:val="14"/>
                <w:highlight w:val="yellow"/>
              </w:rPr>
            </w:pPr>
            <w:r w:rsidRPr="00A728BD">
              <w:rPr>
                <w:rFonts w:cs="Arial"/>
                <w:b/>
                <w:bCs/>
                <w:color w:val="000000"/>
                <w:szCs w:val="14"/>
              </w:rPr>
              <w:t>7</w:t>
            </w:r>
            <w:r>
              <w:rPr>
                <w:rFonts w:cs="Arial"/>
                <w:b/>
                <w:bCs/>
                <w:color w:val="000000"/>
                <w:szCs w:val="14"/>
              </w:rPr>
              <w:t>,</w:t>
            </w:r>
            <w:r w:rsidRPr="00A728BD">
              <w:rPr>
                <w:rFonts w:cs="Arial"/>
                <w:b/>
                <w:bCs/>
                <w:color w:val="000000"/>
                <w:szCs w:val="14"/>
              </w:rPr>
              <w:t>954</w:t>
            </w:r>
            <w:r>
              <w:rPr>
                <w:rFonts w:cs="Arial"/>
                <w:b/>
                <w:bCs/>
                <w:color w:val="000000"/>
                <w:szCs w:val="14"/>
              </w:rPr>
              <w:t>,</w:t>
            </w:r>
            <w:r w:rsidRPr="00A728BD">
              <w:rPr>
                <w:rFonts w:cs="Arial"/>
                <w:b/>
                <w:bCs/>
                <w:color w:val="000000"/>
                <w:szCs w:val="14"/>
              </w:rPr>
              <w:t>747</w:t>
            </w:r>
          </w:p>
        </w:tc>
      </w:tr>
      <w:tr w:rsidR="008B7E19" w:rsidRPr="00C80F9A" w14:paraId="6225D6BB" w14:textId="77777777" w:rsidTr="008B7E19">
        <w:trPr>
          <w:trHeight w:val="238"/>
          <w:jc w:val="center"/>
        </w:trPr>
        <w:tc>
          <w:tcPr>
            <w:tcW w:w="4519" w:type="dxa"/>
            <w:vAlign w:val="center"/>
          </w:tcPr>
          <w:p w14:paraId="3EEDF656" w14:textId="77777777" w:rsidR="008B7E19" w:rsidRPr="00F6555D" w:rsidRDefault="008B7E19" w:rsidP="008B7E19">
            <w:pPr>
              <w:pStyle w:val="08-Tabelageral"/>
              <w:ind w:left="113"/>
              <w:jc w:val="left"/>
              <w:rPr>
                <w:rFonts w:cs="Arial"/>
                <w:szCs w:val="14"/>
                <w:lang w:val="en-US"/>
              </w:rPr>
            </w:pPr>
            <w:r w:rsidRPr="00BD6C7E">
              <w:rPr>
                <w:rFonts w:cs="Arial"/>
                <w:szCs w:val="14"/>
                <w:lang w:val="en-US"/>
              </w:rPr>
              <w:t>Financial assets at fair value through profit or loss</w:t>
            </w:r>
          </w:p>
        </w:tc>
        <w:tc>
          <w:tcPr>
            <w:tcW w:w="1526" w:type="dxa"/>
          </w:tcPr>
          <w:p w14:paraId="4A101397" w14:textId="77777777" w:rsidR="008B7E19" w:rsidRPr="00924673" w:rsidRDefault="008B7E19" w:rsidP="008B7E19">
            <w:pPr>
              <w:pStyle w:val="08-Tabelageral"/>
              <w:rPr>
                <w:rFonts w:cs="Arial"/>
                <w:color w:val="000000"/>
                <w:szCs w:val="14"/>
              </w:rPr>
            </w:pPr>
            <w:r w:rsidRPr="00A728BD">
              <w:rPr>
                <w:rFonts w:cs="Arial"/>
                <w:color w:val="000000"/>
                <w:szCs w:val="14"/>
              </w:rPr>
              <w:t>18</w:t>
            </w:r>
            <w:r>
              <w:rPr>
                <w:rFonts w:cs="Arial"/>
                <w:color w:val="000000"/>
                <w:szCs w:val="14"/>
              </w:rPr>
              <w:t>,</w:t>
            </w:r>
            <w:r w:rsidRPr="00A728BD">
              <w:rPr>
                <w:rFonts w:cs="Arial"/>
                <w:color w:val="000000"/>
                <w:szCs w:val="14"/>
              </w:rPr>
              <w:t>064</w:t>
            </w:r>
          </w:p>
        </w:tc>
        <w:tc>
          <w:tcPr>
            <w:tcW w:w="1797" w:type="dxa"/>
          </w:tcPr>
          <w:p w14:paraId="65CC533B" w14:textId="77777777" w:rsidR="008B7E19" w:rsidRPr="00C43B29" w:rsidRDefault="008B7E19" w:rsidP="008B7E19">
            <w:pPr>
              <w:pStyle w:val="08-Tabelageral"/>
              <w:rPr>
                <w:rFonts w:cs="Arial"/>
                <w:szCs w:val="14"/>
              </w:rPr>
            </w:pPr>
            <w:r>
              <w:rPr>
                <w:rFonts w:cs="Arial"/>
                <w:color w:val="000000"/>
                <w:szCs w:val="14"/>
              </w:rPr>
              <w:t>--</w:t>
            </w:r>
          </w:p>
        </w:tc>
        <w:tc>
          <w:tcPr>
            <w:tcW w:w="1797" w:type="dxa"/>
          </w:tcPr>
          <w:p w14:paraId="6AA1F44B" w14:textId="77777777" w:rsidR="008B7E19" w:rsidRPr="00C43B29" w:rsidRDefault="008B7E19" w:rsidP="008B7E19">
            <w:pPr>
              <w:pStyle w:val="08-Tabelageral"/>
              <w:rPr>
                <w:rFonts w:cs="Arial"/>
                <w:color w:val="000000"/>
                <w:szCs w:val="14"/>
              </w:rPr>
            </w:pPr>
            <w:r w:rsidRPr="00A728BD">
              <w:rPr>
                <w:rFonts w:cs="Arial"/>
                <w:color w:val="000000"/>
                <w:szCs w:val="14"/>
              </w:rPr>
              <w:t>18</w:t>
            </w:r>
            <w:r>
              <w:rPr>
                <w:rFonts w:cs="Arial"/>
                <w:color w:val="000000"/>
                <w:szCs w:val="14"/>
              </w:rPr>
              <w:t>,</w:t>
            </w:r>
            <w:r w:rsidRPr="00A728BD">
              <w:rPr>
                <w:rFonts w:cs="Arial"/>
                <w:color w:val="000000"/>
                <w:szCs w:val="14"/>
              </w:rPr>
              <w:t>064</w:t>
            </w:r>
          </w:p>
        </w:tc>
      </w:tr>
      <w:tr w:rsidR="008B7E19" w:rsidRPr="00C80F9A" w14:paraId="0A08C0DA" w14:textId="77777777" w:rsidTr="008B7E19">
        <w:trPr>
          <w:trHeight w:val="238"/>
          <w:jc w:val="center"/>
        </w:trPr>
        <w:tc>
          <w:tcPr>
            <w:tcW w:w="4519" w:type="dxa"/>
            <w:vAlign w:val="center"/>
          </w:tcPr>
          <w:p w14:paraId="60ABBCF1" w14:textId="77777777" w:rsidR="008B7E19" w:rsidRPr="00924673" w:rsidRDefault="008B7E19" w:rsidP="008B7E19">
            <w:pPr>
              <w:pStyle w:val="08-Tabelageral"/>
              <w:ind w:left="113"/>
              <w:jc w:val="left"/>
              <w:rPr>
                <w:rFonts w:cs="Arial"/>
                <w:szCs w:val="14"/>
              </w:rPr>
            </w:pPr>
            <w:r w:rsidRPr="002E2354">
              <w:t>Current tax assets</w:t>
            </w:r>
          </w:p>
        </w:tc>
        <w:tc>
          <w:tcPr>
            <w:tcW w:w="1526" w:type="dxa"/>
          </w:tcPr>
          <w:p w14:paraId="377C50CE" w14:textId="77777777" w:rsidR="008B7E19" w:rsidRPr="00924673" w:rsidRDefault="008B7E19" w:rsidP="008B7E19">
            <w:pPr>
              <w:pStyle w:val="08-Tabelageral"/>
              <w:rPr>
                <w:rFonts w:cs="Arial"/>
                <w:color w:val="000000"/>
                <w:szCs w:val="14"/>
              </w:rPr>
            </w:pPr>
            <w:r w:rsidRPr="00A728BD">
              <w:rPr>
                <w:rFonts w:cs="Arial"/>
                <w:color w:val="000000"/>
                <w:szCs w:val="14"/>
              </w:rPr>
              <w:t>91</w:t>
            </w:r>
            <w:r>
              <w:rPr>
                <w:rFonts w:cs="Arial"/>
                <w:color w:val="000000"/>
                <w:szCs w:val="14"/>
              </w:rPr>
              <w:t>,</w:t>
            </w:r>
            <w:r w:rsidRPr="00A728BD">
              <w:rPr>
                <w:rFonts w:cs="Arial"/>
                <w:color w:val="000000"/>
                <w:szCs w:val="14"/>
              </w:rPr>
              <w:t>308</w:t>
            </w:r>
          </w:p>
        </w:tc>
        <w:tc>
          <w:tcPr>
            <w:tcW w:w="1797" w:type="dxa"/>
          </w:tcPr>
          <w:p w14:paraId="3734ADDA" w14:textId="77777777" w:rsidR="008B7E19" w:rsidRPr="00C43B29" w:rsidRDefault="008B7E19" w:rsidP="008B7E19">
            <w:pPr>
              <w:pStyle w:val="08-Tabelageral"/>
              <w:rPr>
                <w:rFonts w:cs="Arial"/>
                <w:szCs w:val="14"/>
              </w:rPr>
            </w:pPr>
            <w:r>
              <w:rPr>
                <w:rFonts w:cs="Arial"/>
                <w:color w:val="000000"/>
                <w:szCs w:val="14"/>
              </w:rPr>
              <w:t>--</w:t>
            </w:r>
          </w:p>
        </w:tc>
        <w:tc>
          <w:tcPr>
            <w:tcW w:w="1797" w:type="dxa"/>
          </w:tcPr>
          <w:p w14:paraId="7AFE54D1" w14:textId="77777777" w:rsidR="008B7E19" w:rsidRPr="00C43B29" w:rsidRDefault="008B7E19" w:rsidP="008B7E19">
            <w:pPr>
              <w:pStyle w:val="08-Tabelageral"/>
              <w:rPr>
                <w:rFonts w:cs="Arial"/>
                <w:color w:val="000000"/>
                <w:szCs w:val="14"/>
              </w:rPr>
            </w:pPr>
            <w:r w:rsidRPr="00A728BD">
              <w:rPr>
                <w:rFonts w:cs="Arial"/>
                <w:color w:val="000000"/>
                <w:szCs w:val="14"/>
              </w:rPr>
              <w:t>91</w:t>
            </w:r>
            <w:r>
              <w:rPr>
                <w:rFonts w:cs="Arial"/>
                <w:color w:val="000000"/>
                <w:szCs w:val="14"/>
              </w:rPr>
              <w:t>,</w:t>
            </w:r>
            <w:r w:rsidRPr="00A728BD">
              <w:rPr>
                <w:rFonts w:cs="Arial"/>
                <w:color w:val="000000"/>
                <w:szCs w:val="14"/>
              </w:rPr>
              <w:t>308</w:t>
            </w:r>
          </w:p>
        </w:tc>
      </w:tr>
      <w:tr w:rsidR="008B7E19" w:rsidRPr="00C80F9A" w14:paraId="45670B7F" w14:textId="77777777" w:rsidTr="008B7E19">
        <w:trPr>
          <w:trHeight w:val="238"/>
          <w:jc w:val="center"/>
        </w:trPr>
        <w:tc>
          <w:tcPr>
            <w:tcW w:w="4519" w:type="dxa"/>
            <w:vAlign w:val="center"/>
          </w:tcPr>
          <w:p w14:paraId="0CDB2678" w14:textId="77777777" w:rsidR="008B7E19" w:rsidRPr="00924673" w:rsidRDefault="008B7E19" w:rsidP="008B7E19">
            <w:pPr>
              <w:pStyle w:val="08-Tabelageral"/>
              <w:ind w:left="113"/>
              <w:jc w:val="left"/>
              <w:rPr>
                <w:rFonts w:cs="Arial"/>
                <w:szCs w:val="14"/>
              </w:rPr>
            </w:pPr>
            <w:r w:rsidRPr="00C27294">
              <w:rPr>
                <w:rFonts w:cs="Arial"/>
                <w:szCs w:val="14"/>
              </w:rPr>
              <w:t>Deferred tax assets</w:t>
            </w:r>
          </w:p>
        </w:tc>
        <w:tc>
          <w:tcPr>
            <w:tcW w:w="1526" w:type="dxa"/>
          </w:tcPr>
          <w:p w14:paraId="4E5F70B5" w14:textId="77777777" w:rsidR="008B7E19" w:rsidRPr="00924673" w:rsidRDefault="008B7E19" w:rsidP="008B7E19">
            <w:pPr>
              <w:pStyle w:val="08-Tabelageral"/>
              <w:rPr>
                <w:rFonts w:cs="Arial"/>
                <w:color w:val="000000"/>
                <w:szCs w:val="14"/>
              </w:rPr>
            </w:pPr>
            <w:r w:rsidRPr="00A728BD">
              <w:rPr>
                <w:rFonts w:cs="Arial"/>
                <w:color w:val="000000"/>
                <w:szCs w:val="14"/>
              </w:rPr>
              <w:t>28</w:t>
            </w:r>
          </w:p>
        </w:tc>
        <w:tc>
          <w:tcPr>
            <w:tcW w:w="1797" w:type="dxa"/>
          </w:tcPr>
          <w:p w14:paraId="3E73A28D" w14:textId="77777777" w:rsidR="008B7E19" w:rsidRPr="00C43B29" w:rsidRDefault="008B7E19" w:rsidP="008B7E19">
            <w:pPr>
              <w:pStyle w:val="08-Tabelageral"/>
              <w:rPr>
                <w:rFonts w:cs="Arial"/>
                <w:szCs w:val="14"/>
              </w:rPr>
            </w:pPr>
            <w:r>
              <w:rPr>
                <w:rFonts w:cs="Arial"/>
                <w:color w:val="000000"/>
                <w:szCs w:val="14"/>
              </w:rPr>
              <w:t>--</w:t>
            </w:r>
          </w:p>
        </w:tc>
        <w:tc>
          <w:tcPr>
            <w:tcW w:w="1797" w:type="dxa"/>
          </w:tcPr>
          <w:p w14:paraId="752FCA0B" w14:textId="77777777" w:rsidR="008B7E19" w:rsidRPr="00C43B29" w:rsidRDefault="008B7E19" w:rsidP="008B7E19">
            <w:pPr>
              <w:pStyle w:val="08-Tabelageral"/>
              <w:rPr>
                <w:rFonts w:cs="Arial"/>
                <w:color w:val="000000"/>
                <w:szCs w:val="14"/>
              </w:rPr>
            </w:pPr>
            <w:r w:rsidRPr="00A728BD">
              <w:rPr>
                <w:rFonts w:cs="Arial"/>
                <w:color w:val="000000"/>
                <w:szCs w:val="14"/>
              </w:rPr>
              <w:t>28</w:t>
            </w:r>
          </w:p>
        </w:tc>
      </w:tr>
      <w:tr w:rsidR="008B7E19" w:rsidRPr="00C80F9A" w14:paraId="45A53758" w14:textId="77777777" w:rsidTr="008B7E19">
        <w:trPr>
          <w:trHeight w:val="238"/>
          <w:jc w:val="center"/>
        </w:trPr>
        <w:tc>
          <w:tcPr>
            <w:tcW w:w="4519" w:type="dxa"/>
            <w:vAlign w:val="center"/>
          </w:tcPr>
          <w:p w14:paraId="1D30D896" w14:textId="77777777" w:rsidR="008B7E19" w:rsidRPr="00A03B7C" w:rsidRDefault="008B7E19" w:rsidP="008B7E19">
            <w:pPr>
              <w:pStyle w:val="08-Tabelageral"/>
              <w:ind w:left="113"/>
              <w:jc w:val="left"/>
              <w:rPr>
                <w:rFonts w:cs="Arial"/>
                <w:szCs w:val="14"/>
                <w:highlight w:val="yellow"/>
              </w:rPr>
            </w:pPr>
            <w:r w:rsidRPr="00C27294">
              <w:rPr>
                <w:rFonts w:cs="Arial"/>
                <w:szCs w:val="14"/>
              </w:rPr>
              <w:t>Investments in associates</w:t>
            </w:r>
          </w:p>
        </w:tc>
        <w:tc>
          <w:tcPr>
            <w:tcW w:w="1526" w:type="dxa"/>
          </w:tcPr>
          <w:p w14:paraId="75F1B6F9" w14:textId="77777777" w:rsidR="008B7E19" w:rsidRPr="00A03B7C" w:rsidRDefault="008B7E19" w:rsidP="008B7E19">
            <w:pPr>
              <w:pStyle w:val="08-Tabelageral"/>
              <w:rPr>
                <w:rFonts w:cs="Arial"/>
                <w:color w:val="000000"/>
                <w:szCs w:val="14"/>
                <w:highlight w:val="yellow"/>
              </w:rPr>
            </w:pPr>
            <w:r w:rsidRPr="00A728BD">
              <w:rPr>
                <w:rFonts w:cs="Arial"/>
                <w:color w:val="000000"/>
                <w:szCs w:val="14"/>
              </w:rPr>
              <w:t>7</w:t>
            </w:r>
            <w:r>
              <w:rPr>
                <w:rFonts w:cs="Arial"/>
                <w:color w:val="000000"/>
                <w:szCs w:val="14"/>
              </w:rPr>
              <w:t>,</w:t>
            </w:r>
            <w:r w:rsidRPr="00A728BD">
              <w:rPr>
                <w:rFonts w:cs="Arial"/>
                <w:color w:val="000000"/>
                <w:szCs w:val="14"/>
              </w:rPr>
              <w:t>416</w:t>
            </w:r>
            <w:r>
              <w:rPr>
                <w:rFonts w:cs="Arial"/>
                <w:color w:val="000000"/>
                <w:szCs w:val="14"/>
              </w:rPr>
              <w:t>,</w:t>
            </w:r>
            <w:r w:rsidRPr="00A728BD">
              <w:rPr>
                <w:rFonts w:cs="Arial"/>
                <w:color w:val="000000"/>
                <w:szCs w:val="14"/>
              </w:rPr>
              <w:t>770</w:t>
            </w:r>
          </w:p>
        </w:tc>
        <w:tc>
          <w:tcPr>
            <w:tcW w:w="1797" w:type="dxa"/>
          </w:tcPr>
          <w:p w14:paraId="55056F68" w14:textId="77777777" w:rsidR="008B7E19" w:rsidRPr="00A03B7C" w:rsidRDefault="008B7E19" w:rsidP="008B7E19">
            <w:pPr>
              <w:pStyle w:val="08-Tabelageral"/>
              <w:rPr>
                <w:rFonts w:cs="Arial"/>
                <w:szCs w:val="14"/>
                <w:highlight w:val="yellow"/>
              </w:rPr>
            </w:pPr>
            <w:r w:rsidRPr="00A728BD">
              <w:rPr>
                <w:rFonts w:cs="Arial"/>
                <w:color w:val="000000"/>
                <w:szCs w:val="14"/>
              </w:rPr>
              <w:t>440</w:t>
            </w:r>
            <w:r>
              <w:rPr>
                <w:rFonts w:cs="Arial"/>
                <w:color w:val="000000"/>
                <w:szCs w:val="14"/>
              </w:rPr>
              <w:t>,</w:t>
            </w:r>
            <w:r w:rsidRPr="00A728BD">
              <w:rPr>
                <w:rFonts w:cs="Arial"/>
                <w:color w:val="000000"/>
                <w:szCs w:val="14"/>
              </w:rPr>
              <w:t>629</w:t>
            </w:r>
          </w:p>
        </w:tc>
        <w:tc>
          <w:tcPr>
            <w:tcW w:w="1797" w:type="dxa"/>
          </w:tcPr>
          <w:p w14:paraId="4C8FD9D9" w14:textId="77777777" w:rsidR="008B7E19" w:rsidRPr="00C43B29" w:rsidRDefault="008B7E19" w:rsidP="008B7E19">
            <w:pPr>
              <w:pStyle w:val="08-Tabelageral"/>
              <w:rPr>
                <w:rFonts w:cs="Arial"/>
                <w:color w:val="000000"/>
                <w:szCs w:val="14"/>
              </w:rPr>
            </w:pPr>
            <w:r w:rsidRPr="00A728BD">
              <w:rPr>
                <w:rFonts w:cs="Arial"/>
                <w:color w:val="000000"/>
                <w:szCs w:val="14"/>
              </w:rPr>
              <w:t>7</w:t>
            </w:r>
            <w:r>
              <w:rPr>
                <w:rFonts w:cs="Arial"/>
                <w:color w:val="000000"/>
                <w:szCs w:val="14"/>
              </w:rPr>
              <w:t>,</w:t>
            </w:r>
            <w:r w:rsidRPr="00A728BD">
              <w:rPr>
                <w:rFonts w:cs="Arial"/>
                <w:color w:val="000000"/>
                <w:szCs w:val="14"/>
              </w:rPr>
              <w:t>857</w:t>
            </w:r>
            <w:r>
              <w:rPr>
                <w:rFonts w:cs="Arial"/>
                <w:color w:val="000000"/>
                <w:szCs w:val="14"/>
              </w:rPr>
              <w:t>,</w:t>
            </w:r>
            <w:r w:rsidRPr="00A728BD">
              <w:rPr>
                <w:rFonts w:cs="Arial"/>
                <w:color w:val="000000"/>
                <w:szCs w:val="14"/>
              </w:rPr>
              <w:t>399</w:t>
            </w:r>
          </w:p>
        </w:tc>
      </w:tr>
      <w:tr w:rsidR="008B7E19" w:rsidRPr="00C80F9A" w14:paraId="2C46C8F0" w14:textId="77777777" w:rsidTr="008B7E19">
        <w:trPr>
          <w:trHeight w:val="238"/>
          <w:jc w:val="center"/>
        </w:trPr>
        <w:tc>
          <w:tcPr>
            <w:tcW w:w="4519" w:type="dxa"/>
            <w:vAlign w:val="center"/>
          </w:tcPr>
          <w:p w14:paraId="6E48F8D1" w14:textId="77777777" w:rsidR="008B7E19" w:rsidRPr="00924673" w:rsidRDefault="008B7E19" w:rsidP="008B7E19">
            <w:pPr>
              <w:pStyle w:val="08-Tabelageral"/>
              <w:ind w:left="113"/>
              <w:jc w:val="left"/>
              <w:rPr>
                <w:rFonts w:cs="Arial"/>
                <w:szCs w:val="14"/>
              </w:rPr>
            </w:pPr>
            <w:r w:rsidRPr="00DC0B01">
              <w:rPr>
                <w:rFonts w:cs="Arial"/>
                <w:szCs w:val="14"/>
              </w:rPr>
              <w:t>Intangible</w:t>
            </w:r>
          </w:p>
        </w:tc>
        <w:tc>
          <w:tcPr>
            <w:tcW w:w="1526" w:type="dxa"/>
          </w:tcPr>
          <w:p w14:paraId="007E5F91" w14:textId="77777777" w:rsidR="008B7E19" w:rsidRPr="00924673" w:rsidRDefault="008B7E19" w:rsidP="008B7E19">
            <w:pPr>
              <w:pStyle w:val="08-Tabelageral"/>
              <w:rPr>
                <w:rFonts w:cs="Arial"/>
                <w:color w:val="000000"/>
                <w:szCs w:val="14"/>
              </w:rPr>
            </w:pPr>
            <w:r w:rsidRPr="00A728BD">
              <w:rPr>
                <w:rFonts w:cs="Arial"/>
                <w:color w:val="000000"/>
                <w:szCs w:val="14"/>
              </w:rPr>
              <w:t>4</w:t>
            </w:r>
            <w:r>
              <w:rPr>
                <w:rFonts w:cs="Arial"/>
                <w:color w:val="000000"/>
                <w:szCs w:val="14"/>
              </w:rPr>
              <w:t>,</w:t>
            </w:r>
            <w:r w:rsidRPr="00A728BD">
              <w:rPr>
                <w:rFonts w:cs="Arial"/>
                <w:color w:val="000000"/>
                <w:szCs w:val="14"/>
              </w:rPr>
              <w:t>021</w:t>
            </w:r>
          </w:p>
        </w:tc>
        <w:tc>
          <w:tcPr>
            <w:tcW w:w="1797" w:type="dxa"/>
          </w:tcPr>
          <w:p w14:paraId="0B24F80C" w14:textId="77777777" w:rsidR="008B7E19" w:rsidRPr="00C43B29" w:rsidRDefault="008B7E19" w:rsidP="008B7E19">
            <w:pPr>
              <w:pStyle w:val="08-Tabelageral"/>
              <w:rPr>
                <w:rFonts w:cs="Arial"/>
                <w:szCs w:val="14"/>
              </w:rPr>
            </w:pPr>
            <w:r>
              <w:rPr>
                <w:rFonts w:cs="Arial"/>
                <w:color w:val="000000"/>
                <w:szCs w:val="14"/>
              </w:rPr>
              <w:t>--</w:t>
            </w:r>
          </w:p>
        </w:tc>
        <w:tc>
          <w:tcPr>
            <w:tcW w:w="1797" w:type="dxa"/>
          </w:tcPr>
          <w:p w14:paraId="244CAAF2" w14:textId="77777777" w:rsidR="008B7E19" w:rsidRPr="00C43B29" w:rsidRDefault="008B7E19" w:rsidP="008B7E19">
            <w:pPr>
              <w:pStyle w:val="08-Tabelageral"/>
              <w:rPr>
                <w:rFonts w:cs="Arial"/>
                <w:color w:val="000000"/>
                <w:szCs w:val="14"/>
              </w:rPr>
            </w:pPr>
            <w:r w:rsidRPr="00A728BD">
              <w:rPr>
                <w:rFonts w:cs="Arial"/>
                <w:color w:val="000000"/>
                <w:szCs w:val="14"/>
              </w:rPr>
              <w:t>4</w:t>
            </w:r>
            <w:r>
              <w:rPr>
                <w:rFonts w:cs="Arial"/>
                <w:color w:val="000000"/>
                <w:szCs w:val="14"/>
              </w:rPr>
              <w:t>,</w:t>
            </w:r>
            <w:r w:rsidRPr="00A728BD">
              <w:rPr>
                <w:rFonts w:cs="Arial"/>
                <w:color w:val="000000"/>
                <w:szCs w:val="14"/>
              </w:rPr>
              <w:t>021</w:t>
            </w:r>
          </w:p>
        </w:tc>
      </w:tr>
      <w:tr w:rsidR="008B7E19" w:rsidRPr="00C80F9A" w14:paraId="5FD7B19A" w14:textId="77777777" w:rsidTr="008B7E19">
        <w:trPr>
          <w:trHeight w:val="238"/>
          <w:jc w:val="center"/>
        </w:trPr>
        <w:tc>
          <w:tcPr>
            <w:tcW w:w="4519" w:type="dxa"/>
            <w:vAlign w:val="center"/>
          </w:tcPr>
          <w:p w14:paraId="3297782A" w14:textId="77777777" w:rsidR="008B7E19" w:rsidRPr="0038031F" w:rsidRDefault="008B7E19" w:rsidP="008B7E19">
            <w:pPr>
              <w:pStyle w:val="08-Tabelageral"/>
              <w:ind w:left="113"/>
              <w:jc w:val="left"/>
              <w:rPr>
                <w:rFonts w:cs="Arial"/>
                <w:szCs w:val="14"/>
              </w:rPr>
            </w:pPr>
            <w:r w:rsidRPr="00C27294">
              <w:rPr>
                <w:rFonts w:cs="Arial"/>
                <w:szCs w:val="14"/>
              </w:rPr>
              <w:t>Other assets</w:t>
            </w:r>
          </w:p>
        </w:tc>
        <w:tc>
          <w:tcPr>
            <w:tcW w:w="1526" w:type="dxa"/>
          </w:tcPr>
          <w:p w14:paraId="77E9C4B3" w14:textId="77777777" w:rsidR="008B7E19" w:rsidRPr="00924673" w:rsidRDefault="008B7E19" w:rsidP="008B7E19">
            <w:pPr>
              <w:pStyle w:val="08-Tabelageral"/>
              <w:rPr>
                <w:rFonts w:cs="Arial"/>
                <w:color w:val="000000"/>
                <w:szCs w:val="14"/>
              </w:rPr>
            </w:pPr>
            <w:r w:rsidRPr="00A728BD">
              <w:rPr>
                <w:rFonts w:cs="Arial"/>
                <w:color w:val="000000"/>
                <w:szCs w:val="14"/>
              </w:rPr>
              <w:t>9</w:t>
            </w:r>
            <w:r>
              <w:rPr>
                <w:rFonts w:cs="Arial"/>
                <w:color w:val="000000"/>
                <w:szCs w:val="14"/>
              </w:rPr>
              <w:t>,</w:t>
            </w:r>
            <w:r w:rsidRPr="00A728BD">
              <w:rPr>
                <w:rFonts w:cs="Arial"/>
                <w:color w:val="000000"/>
                <w:szCs w:val="14"/>
              </w:rPr>
              <w:t>874</w:t>
            </w:r>
          </w:p>
        </w:tc>
        <w:tc>
          <w:tcPr>
            <w:tcW w:w="1797" w:type="dxa"/>
          </w:tcPr>
          <w:p w14:paraId="5E2BFCA0" w14:textId="77777777" w:rsidR="008B7E19" w:rsidRPr="00C43B29" w:rsidRDefault="008B7E19" w:rsidP="008B7E19">
            <w:pPr>
              <w:pStyle w:val="08-Tabelageral"/>
              <w:rPr>
                <w:rFonts w:cs="Arial"/>
                <w:szCs w:val="14"/>
              </w:rPr>
            </w:pPr>
            <w:r>
              <w:rPr>
                <w:rFonts w:cs="Arial"/>
                <w:color w:val="000000"/>
                <w:szCs w:val="14"/>
              </w:rPr>
              <w:t>--</w:t>
            </w:r>
          </w:p>
        </w:tc>
        <w:tc>
          <w:tcPr>
            <w:tcW w:w="1797" w:type="dxa"/>
          </w:tcPr>
          <w:p w14:paraId="58877671" w14:textId="77777777" w:rsidR="008B7E19" w:rsidRPr="00C43B29" w:rsidRDefault="008B7E19" w:rsidP="008B7E19">
            <w:pPr>
              <w:pStyle w:val="08-Tabelageral"/>
              <w:rPr>
                <w:rFonts w:cs="Arial"/>
                <w:color w:val="000000"/>
                <w:szCs w:val="14"/>
              </w:rPr>
            </w:pPr>
            <w:r w:rsidRPr="00A728BD">
              <w:rPr>
                <w:rFonts w:cs="Arial"/>
                <w:color w:val="000000"/>
                <w:szCs w:val="14"/>
              </w:rPr>
              <w:t>9</w:t>
            </w:r>
            <w:r>
              <w:rPr>
                <w:rFonts w:cs="Arial"/>
                <w:color w:val="000000"/>
                <w:szCs w:val="14"/>
              </w:rPr>
              <w:t>,</w:t>
            </w:r>
            <w:r w:rsidRPr="00A728BD">
              <w:rPr>
                <w:rFonts w:cs="Arial"/>
                <w:color w:val="000000"/>
                <w:szCs w:val="14"/>
              </w:rPr>
              <w:t>874</w:t>
            </w:r>
          </w:p>
        </w:tc>
      </w:tr>
      <w:tr w:rsidR="008B7E19" w:rsidRPr="000A4B1A" w14:paraId="3AA845B4" w14:textId="77777777" w:rsidTr="008B7E19">
        <w:trPr>
          <w:trHeight w:val="238"/>
          <w:jc w:val="center"/>
        </w:trPr>
        <w:tc>
          <w:tcPr>
            <w:tcW w:w="4519" w:type="dxa"/>
            <w:vAlign w:val="center"/>
          </w:tcPr>
          <w:p w14:paraId="70C55801" w14:textId="77777777" w:rsidR="008B7E19" w:rsidRPr="000A4B1A" w:rsidRDefault="008B7E19" w:rsidP="008B7E19">
            <w:pPr>
              <w:pStyle w:val="08-Tabelageral"/>
              <w:jc w:val="left"/>
              <w:rPr>
                <w:rFonts w:cs="Arial"/>
                <w:b/>
                <w:bCs/>
                <w:szCs w:val="14"/>
                <w:highlight w:val="yellow"/>
              </w:rPr>
            </w:pPr>
            <w:r w:rsidRPr="000A4B1A">
              <w:rPr>
                <w:rFonts w:cs="Arial"/>
                <w:b/>
                <w:bCs/>
                <w:szCs w:val="14"/>
              </w:rPr>
              <w:t>Total Assets</w:t>
            </w:r>
          </w:p>
        </w:tc>
        <w:tc>
          <w:tcPr>
            <w:tcW w:w="1526" w:type="dxa"/>
          </w:tcPr>
          <w:p w14:paraId="5DCE1041" w14:textId="77777777" w:rsidR="008B7E19" w:rsidRPr="000A4B1A" w:rsidRDefault="008B7E19" w:rsidP="008B7E19">
            <w:pPr>
              <w:pStyle w:val="08-Tabelageral"/>
              <w:rPr>
                <w:rFonts w:cs="Arial"/>
                <w:b/>
                <w:bCs/>
                <w:szCs w:val="14"/>
                <w:highlight w:val="yellow"/>
              </w:rPr>
            </w:pPr>
            <w:r w:rsidRPr="00A728BD">
              <w:rPr>
                <w:rFonts w:cs="Arial"/>
                <w:b/>
                <w:bCs/>
                <w:color w:val="000000"/>
                <w:szCs w:val="14"/>
              </w:rPr>
              <w:t>11</w:t>
            </w:r>
            <w:r>
              <w:rPr>
                <w:rFonts w:cs="Arial"/>
                <w:b/>
                <w:bCs/>
                <w:color w:val="000000"/>
                <w:szCs w:val="14"/>
              </w:rPr>
              <w:t>,</w:t>
            </w:r>
            <w:r w:rsidRPr="00A728BD">
              <w:rPr>
                <w:rFonts w:cs="Arial"/>
                <w:b/>
                <w:bCs/>
                <w:color w:val="000000"/>
                <w:szCs w:val="14"/>
              </w:rPr>
              <w:t>282</w:t>
            </w:r>
            <w:r>
              <w:rPr>
                <w:rFonts w:cs="Arial"/>
                <w:b/>
                <w:bCs/>
                <w:color w:val="000000"/>
                <w:szCs w:val="14"/>
              </w:rPr>
              <w:t>,</w:t>
            </w:r>
            <w:r w:rsidRPr="00A728BD">
              <w:rPr>
                <w:rFonts w:cs="Arial"/>
                <w:b/>
                <w:bCs/>
                <w:color w:val="000000"/>
                <w:szCs w:val="14"/>
              </w:rPr>
              <w:t>424</w:t>
            </w:r>
          </w:p>
        </w:tc>
        <w:tc>
          <w:tcPr>
            <w:tcW w:w="1797" w:type="dxa"/>
          </w:tcPr>
          <w:p w14:paraId="45526B0D" w14:textId="77777777" w:rsidR="008B7E19" w:rsidRPr="000A4B1A" w:rsidRDefault="008B7E19" w:rsidP="008B7E19">
            <w:pPr>
              <w:pStyle w:val="08-Tabelageral"/>
              <w:rPr>
                <w:rFonts w:cs="Arial"/>
                <w:b/>
                <w:bCs/>
                <w:szCs w:val="14"/>
                <w:highlight w:val="yellow"/>
              </w:rPr>
            </w:pPr>
            <w:r w:rsidRPr="00A728BD">
              <w:rPr>
                <w:rFonts w:cs="Arial"/>
                <w:b/>
                <w:bCs/>
                <w:color w:val="000000"/>
                <w:szCs w:val="14"/>
              </w:rPr>
              <w:t>440</w:t>
            </w:r>
            <w:r>
              <w:rPr>
                <w:rFonts w:cs="Arial"/>
                <w:b/>
                <w:bCs/>
                <w:color w:val="000000"/>
                <w:szCs w:val="14"/>
              </w:rPr>
              <w:t>,</w:t>
            </w:r>
            <w:r w:rsidRPr="00A728BD">
              <w:rPr>
                <w:rFonts w:cs="Arial"/>
                <w:b/>
                <w:bCs/>
                <w:color w:val="000000"/>
                <w:szCs w:val="14"/>
              </w:rPr>
              <w:t>629</w:t>
            </w:r>
          </w:p>
        </w:tc>
        <w:tc>
          <w:tcPr>
            <w:tcW w:w="1797" w:type="dxa"/>
          </w:tcPr>
          <w:p w14:paraId="05E1989C" w14:textId="77777777" w:rsidR="008B7E19" w:rsidRPr="000A4B1A" w:rsidRDefault="008B7E19" w:rsidP="008B7E19">
            <w:pPr>
              <w:pStyle w:val="08-Tabelageral"/>
              <w:rPr>
                <w:rFonts w:cs="Arial"/>
                <w:b/>
                <w:bCs/>
                <w:szCs w:val="14"/>
                <w:highlight w:val="yellow"/>
              </w:rPr>
            </w:pPr>
            <w:r w:rsidRPr="00A728BD">
              <w:rPr>
                <w:rFonts w:cs="Arial"/>
                <w:b/>
                <w:bCs/>
                <w:color w:val="000000"/>
                <w:szCs w:val="14"/>
              </w:rPr>
              <w:t>11</w:t>
            </w:r>
            <w:r>
              <w:rPr>
                <w:rFonts w:cs="Arial"/>
                <w:b/>
                <w:bCs/>
                <w:color w:val="000000"/>
                <w:szCs w:val="14"/>
              </w:rPr>
              <w:t>,</w:t>
            </w:r>
            <w:r w:rsidRPr="00A728BD">
              <w:rPr>
                <w:rFonts w:cs="Arial"/>
                <w:b/>
                <w:bCs/>
                <w:color w:val="000000"/>
                <w:szCs w:val="14"/>
              </w:rPr>
              <w:t>723</w:t>
            </w:r>
            <w:r>
              <w:rPr>
                <w:rFonts w:cs="Arial"/>
                <w:b/>
                <w:bCs/>
                <w:color w:val="000000"/>
                <w:szCs w:val="14"/>
              </w:rPr>
              <w:t>,</w:t>
            </w:r>
            <w:r w:rsidRPr="00A728BD">
              <w:rPr>
                <w:rFonts w:cs="Arial"/>
                <w:b/>
                <w:bCs/>
                <w:color w:val="000000"/>
                <w:szCs w:val="14"/>
              </w:rPr>
              <w:t>053</w:t>
            </w:r>
          </w:p>
        </w:tc>
      </w:tr>
      <w:tr w:rsidR="008B7E19" w:rsidRPr="00C80F9A" w14:paraId="588FE23B" w14:textId="77777777" w:rsidTr="008B7E19">
        <w:trPr>
          <w:trHeight w:val="238"/>
          <w:jc w:val="center"/>
        </w:trPr>
        <w:tc>
          <w:tcPr>
            <w:tcW w:w="4519" w:type="dxa"/>
            <w:vAlign w:val="center"/>
          </w:tcPr>
          <w:p w14:paraId="6486EA99" w14:textId="77777777" w:rsidR="008B7E19" w:rsidRPr="008E5AE4" w:rsidRDefault="008B7E19" w:rsidP="008B7E19">
            <w:pPr>
              <w:pStyle w:val="08-Tabelageral"/>
              <w:jc w:val="left"/>
              <w:rPr>
                <w:rFonts w:cs="Arial"/>
                <w:b/>
                <w:bCs/>
                <w:szCs w:val="14"/>
              </w:rPr>
            </w:pPr>
          </w:p>
        </w:tc>
        <w:tc>
          <w:tcPr>
            <w:tcW w:w="1526" w:type="dxa"/>
          </w:tcPr>
          <w:p w14:paraId="26E2D21D" w14:textId="77777777" w:rsidR="008B7E19" w:rsidRPr="004E249C" w:rsidRDefault="008B7E19" w:rsidP="008B7E19">
            <w:pPr>
              <w:pStyle w:val="08-Tabelageral"/>
              <w:rPr>
                <w:rFonts w:cs="Arial"/>
                <w:b/>
                <w:szCs w:val="14"/>
              </w:rPr>
            </w:pPr>
          </w:p>
        </w:tc>
        <w:tc>
          <w:tcPr>
            <w:tcW w:w="1797" w:type="dxa"/>
          </w:tcPr>
          <w:p w14:paraId="66A376E7" w14:textId="77777777" w:rsidR="008B7E19" w:rsidRPr="00D50DE2" w:rsidRDefault="008B7E19" w:rsidP="008B7E19">
            <w:pPr>
              <w:pStyle w:val="08-Tabelageral"/>
              <w:rPr>
                <w:rFonts w:cs="Arial"/>
                <w:b/>
                <w:bCs/>
                <w:szCs w:val="14"/>
              </w:rPr>
            </w:pPr>
          </w:p>
        </w:tc>
        <w:tc>
          <w:tcPr>
            <w:tcW w:w="1797" w:type="dxa"/>
          </w:tcPr>
          <w:p w14:paraId="281569FD" w14:textId="77777777" w:rsidR="008B7E19" w:rsidRPr="00C43B29" w:rsidRDefault="008B7E19" w:rsidP="008B7E19">
            <w:pPr>
              <w:pStyle w:val="08-Tabelageral"/>
              <w:rPr>
                <w:rFonts w:cs="Arial"/>
                <w:b/>
                <w:szCs w:val="14"/>
              </w:rPr>
            </w:pPr>
          </w:p>
        </w:tc>
      </w:tr>
      <w:tr w:rsidR="008B7E19" w:rsidRPr="002F06CE" w14:paraId="6142B1E5" w14:textId="77777777" w:rsidTr="008B7E19">
        <w:trPr>
          <w:trHeight w:val="238"/>
          <w:jc w:val="center"/>
        </w:trPr>
        <w:tc>
          <w:tcPr>
            <w:tcW w:w="4519" w:type="dxa"/>
            <w:vAlign w:val="center"/>
          </w:tcPr>
          <w:p w14:paraId="22E6CAAD" w14:textId="77777777" w:rsidR="008B7E19" w:rsidRPr="002F06CE" w:rsidRDefault="008B7E19" w:rsidP="008B7E19">
            <w:pPr>
              <w:pStyle w:val="08-Tabelageral"/>
              <w:jc w:val="left"/>
              <w:rPr>
                <w:rFonts w:cs="Arial"/>
                <w:b/>
                <w:bCs/>
                <w:szCs w:val="14"/>
              </w:rPr>
            </w:pPr>
            <w:r w:rsidRPr="002F06CE">
              <w:rPr>
                <w:b/>
                <w:bCs/>
              </w:rPr>
              <w:t>Current Liabilities</w:t>
            </w:r>
          </w:p>
        </w:tc>
        <w:tc>
          <w:tcPr>
            <w:tcW w:w="1526" w:type="dxa"/>
          </w:tcPr>
          <w:p w14:paraId="0AFA0F24" w14:textId="77777777" w:rsidR="008B7E19" w:rsidRPr="002F06CE" w:rsidRDefault="008B7E19" w:rsidP="008B7E19">
            <w:pPr>
              <w:pStyle w:val="08-Tabelageral"/>
              <w:rPr>
                <w:rFonts w:cs="Arial"/>
                <w:b/>
                <w:bCs/>
                <w:szCs w:val="14"/>
              </w:rPr>
            </w:pPr>
            <w:r w:rsidRPr="00A728BD">
              <w:rPr>
                <w:rFonts w:cs="Arial"/>
                <w:b/>
                <w:bCs/>
                <w:color w:val="000000"/>
                <w:szCs w:val="14"/>
              </w:rPr>
              <w:t>3</w:t>
            </w:r>
            <w:r>
              <w:rPr>
                <w:rFonts w:cs="Arial"/>
                <w:b/>
                <w:bCs/>
                <w:color w:val="000000"/>
                <w:szCs w:val="14"/>
              </w:rPr>
              <w:t>,</w:t>
            </w:r>
            <w:r w:rsidRPr="00A728BD">
              <w:rPr>
                <w:rFonts w:cs="Arial"/>
                <w:b/>
                <w:bCs/>
                <w:color w:val="000000"/>
                <w:szCs w:val="14"/>
              </w:rPr>
              <w:t>686</w:t>
            </w:r>
            <w:r>
              <w:rPr>
                <w:rFonts w:cs="Arial"/>
                <w:b/>
                <w:bCs/>
                <w:color w:val="000000"/>
                <w:szCs w:val="14"/>
              </w:rPr>
              <w:t>,</w:t>
            </w:r>
            <w:r w:rsidRPr="00A728BD">
              <w:rPr>
                <w:rFonts w:cs="Arial"/>
                <w:b/>
                <w:bCs/>
                <w:color w:val="000000"/>
                <w:szCs w:val="14"/>
              </w:rPr>
              <w:t>295</w:t>
            </w:r>
          </w:p>
        </w:tc>
        <w:tc>
          <w:tcPr>
            <w:tcW w:w="1797" w:type="dxa"/>
          </w:tcPr>
          <w:p w14:paraId="362385B6" w14:textId="77777777" w:rsidR="008B7E19" w:rsidRPr="002F06CE" w:rsidRDefault="008B7E19" w:rsidP="008B7E19">
            <w:pPr>
              <w:pStyle w:val="08-Tabelageral"/>
              <w:rPr>
                <w:rFonts w:cs="Arial"/>
                <w:b/>
                <w:bCs/>
                <w:szCs w:val="14"/>
              </w:rPr>
            </w:pPr>
            <w:r w:rsidRPr="00D240FE">
              <w:rPr>
                <w:rFonts w:cs="Arial"/>
                <w:b/>
                <w:bCs/>
                <w:color w:val="000000"/>
                <w:szCs w:val="14"/>
              </w:rPr>
              <w:t>--</w:t>
            </w:r>
          </w:p>
        </w:tc>
        <w:tc>
          <w:tcPr>
            <w:tcW w:w="1797" w:type="dxa"/>
          </w:tcPr>
          <w:p w14:paraId="0BCD6259" w14:textId="77777777" w:rsidR="008B7E19" w:rsidRPr="002F06CE" w:rsidRDefault="008B7E19" w:rsidP="008B7E19">
            <w:pPr>
              <w:pStyle w:val="08-Tabelageral"/>
              <w:rPr>
                <w:rFonts w:cs="Arial"/>
                <w:b/>
                <w:bCs/>
                <w:szCs w:val="14"/>
              </w:rPr>
            </w:pPr>
            <w:r w:rsidRPr="00A728BD">
              <w:rPr>
                <w:rFonts w:cs="Arial"/>
                <w:b/>
                <w:bCs/>
                <w:color w:val="000000"/>
                <w:szCs w:val="14"/>
              </w:rPr>
              <w:t>3</w:t>
            </w:r>
            <w:r>
              <w:rPr>
                <w:rFonts w:cs="Arial"/>
                <w:b/>
                <w:bCs/>
                <w:color w:val="000000"/>
                <w:szCs w:val="14"/>
              </w:rPr>
              <w:t>,</w:t>
            </w:r>
            <w:r w:rsidRPr="00A728BD">
              <w:rPr>
                <w:rFonts w:cs="Arial"/>
                <w:b/>
                <w:bCs/>
                <w:color w:val="000000"/>
                <w:szCs w:val="14"/>
              </w:rPr>
              <w:t>686</w:t>
            </w:r>
            <w:r>
              <w:rPr>
                <w:rFonts w:cs="Arial"/>
                <w:b/>
                <w:bCs/>
                <w:color w:val="000000"/>
                <w:szCs w:val="14"/>
              </w:rPr>
              <w:t>,</w:t>
            </w:r>
            <w:r w:rsidRPr="00A728BD">
              <w:rPr>
                <w:rFonts w:cs="Arial"/>
                <w:b/>
                <w:bCs/>
                <w:color w:val="000000"/>
                <w:szCs w:val="14"/>
              </w:rPr>
              <w:t>295</w:t>
            </w:r>
          </w:p>
        </w:tc>
      </w:tr>
      <w:tr w:rsidR="008B7E19" w:rsidRPr="002F06CE" w14:paraId="6924C220" w14:textId="77777777" w:rsidTr="008B7E19">
        <w:trPr>
          <w:trHeight w:val="238"/>
          <w:jc w:val="center"/>
        </w:trPr>
        <w:tc>
          <w:tcPr>
            <w:tcW w:w="4519" w:type="dxa"/>
            <w:vAlign w:val="center"/>
          </w:tcPr>
          <w:p w14:paraId="56AF758F" w14:textId="77777777" w:rsidR="008B7E19" w:rsidRPr="002F06CE" w:rsidRDefault="008B7E19" w:rsidP="008B7E19">
            <w:pPr>
              <w:pStyle w:val="08-Tabelageral"/>
              <w:jc w:val="left"/>
              <w:rPr>
                <w:b/>
                <w:bCs/>
              </w:rPr>
            </w:pPr>
            <w:r w:rsidRPr="002F06CE">
              <w:rPr>
                <w:b/>
                <w:bCs/>
              </w:rPr>
              <w:t>Non-Current Liabilities</w:t>
            </w:r>
          </w:p>
        </w:tc>
        <w:tc>
          <w:tcPr>
            <w:tcW w:w="1526" w:type="dxa"/>
          </w:tcPr>
          <w:p w14:paraId="243DC0D9" w14:textId="77777777" w:rsidR="008B7E19" w:rsidRPr="002F06CE" w:rsidRDefault="008B7E19" w:rsidP="008B7E19">
            <w:pPr>
              <w:pStyle w:val="08-Tabelageral"/>
              <w:rPr>
                <w:rFonts w:cs="Arial"/>
                <w:b/>
                <w:bCs/>
                <w:szCs w:val="14"/>
              </w:rPr>
            </w:pPr>
            <w:r w:rsidRPr="00A728BD">
              <w:rPr>
                <w:rFonts w:cs="Arial"/>
                <w:b/>
                <w:bCs/>
                <w:color w:val="000000"/>
                <w:szCs w:val="14"/>
              </w:rPr>
              <w:t>28</w:t>
            </w:r>
          </w:p>
        </w:tc>
        <w:tc>
          <w:tcPr>
            <w:tcW w:w="1797" w:type="dxa"/>
          </w:tcPr>
          <w:p w14:paraId="701C0CC3" w14:textId="77777777" w:rsidR="008B7E19" w:rsidRPr="002F06CE" w:rsidRDefault="008B7E19" w:rsidP="008B7E19">
            <w:pPr>
              <w:pStyle w:val="08-Tabelageral"/>
              <w:rPr>
                <w:rFonts w:cs="Arial"/>
                <w:b/>
                <w:bCs/>
                <w:szCs w:val="14"/>
              </w:rPr>
            </w:pPr>
            <w:r w:rsidRPr="00D240FE">
              <w:rPr>
                <w:rFonts w:cs="Arial"/>
                <w:b/>
                <w:bCs/>
                <w:color w:val="000000"/>
                <w:szCs w:val="14"/>
              </w:rPr>
              <w:t>--</w:t>
            </w:r>
          </w:p>
        </w:tc>
        <w:tc>
          <w:tcPr>
            <w:tcW w:w="1797" w:type="dxa"/>
          </w:tcPr>
          <w:p w14:paraId="7F227D10" w14:textId="77777777" w:rsidR="008B7E19" w:rsidRPr="002F06CE" w:rsidRDefault="008B7E19" w:rsidP="008B7E19">
            <w:pPr>
              <w:pStyle w:val="08-Tabelageral"/>
              <w:rPr>
                <w:rFonts w:cs="Arial"/>
                <w:b/>
                <w:bCs/>
                <w:szCs w:val="14"/>
              </w:rPr>
            </w:pPr>
            <w:r w:rsidRPr="00A728BD">
              <w:rPr>
                <w:rFonts w:cs="Arial"/>
                <w:b/>
                <w:bCs/>
                <w:color w:val="000000"/>
                <w:szCs w:val="14"/>
              </w:rPr>
              <w:t>28</w:t>
            </w:r>
          </w:p>
        </w:tc>
      </w:tr>
      <w:tr w:rsidR="008B7E19" w:rsidRPr="002F06CE" w14:paraId="571A7AAB" w14:textId="77777777" w:rsidTr="008B7E19">
        <w:trPr>
          <w:trHeight w:val="238"/>
          <w:jc w:val="center"/>
        </w:trPr>
        <w:tc>
          <w:tcPr>
            <w:tcW w:w="4519" w:type="dxa"/>
            <w:vAlign w:val="center"/>
          </w:tcPr>
          <w:p w14:paraId="42383472" w14:textId="77777777" w:rsidR="008B7E19" w:rsidRPr="002F06CE" w:rsidRDefault="008B7E19" w:rsidP="008B7E19">
            <w:pPr>
              <w:pStyle w:val="08-Tabelageral"/>
              <w:jc w:val="left"/>
              <w:rPr>
                <w:b/>
                <w:bCs/>
              </w:rPr>
            </w:pPr>
            <w:r w:rsidRPr="002F06CE">
              <w:rPr>
                <w:b/>
                <w:bCs/>
              </w:rPr>
              <w:t>Total Liabilities</w:t>
            </w:r>
          </w:p>
        </w:tc>
        <w:tc>
          <w:tcPr>
            <w:tcW w:w="1526" w:type="dxa"/>
          </w:tcPr>
          <w:p w14:paraId="0140C5B2" w14:textId="77777777" w:rsidR="008B7E19" w:rsidRPr="002F06CE" w:rsidRDefault="008B7E19" w:rsidP="008B7E19">
            <w:pPr>
              <w:pStyle w:val="08-Tabelageral"/>
              <w:rPr>
                <w:rFonts w:cs="Arial"/>
                <w:b/>
                <w:bCs/>
                <w:szCs w:val="14"/>
              </w:rPr>
            </w:pPr>
            <w:r w:rsidRPr="00A728BD">
              <w:rPr>
                <w:rFonts w:cs="Arial"/>
                <w:b/>
                <w:bCs/>
                <w:color w:val="000000"/>
                <w:szCs w:val="14"/>
              </w:rPr>
              <w:t>3</w:t>
            </w:r>
            <w:r>
              <w:rPr>
                <w:rFonts w:cs="Arial"/>
                <w:b/>
                <w:bCs/>
                <w:color w:val="000000"/>
                <w:szCs w:val="14"/>
              </w:rPr>
              <w:t>,</w:t>
            </w:r>
            <w:r w:rsidRPr="00A728BD">
              <w:rPr>
                <w:rFonts w:cs="Arial"/>
                <w:b/>
                <w:bCs/>
                <w:color w:val="000000"/>
                <w:szCs w:val="14"/>
              </w:rPr>
              <w:t>686</w:t>
            </w:r>
            <w:r>
              <w:rPr>
                <w:rFonts w:cs="Arial"/>
                <w:b/>
                <w:bCs/>
                <w:color w:val="000000"/>
                <w:szCs w:val="14"/>
              </w:rPr>
              <w:t>,</w:t>
            </w:r>
            <w:r w:rsidRPr="00A728BD">
              <w:rPr>
                <w:rFonts w:cs="Arial"/>
                <w:b/>
                <w:bCs/>
                <w:color w:val="000000"/>
                <w:szCs w:val="14"/>
              </w:rPr>
              <w:t>323</w:t>
            </w:r>
          </w:p>
        </w:tc>
        <w:tc>
          <w:tcPr>
            <w:tcW w:w="1797" w:type="dxa"/>
          </w:tcPr>
          <w:p w14:paraId="2CECEDB2" w14:textId="77777777" w:rsidR="008B7E19" w:rsidRPr="002F06CE" w:rsidRDefault="008B7E19" w:rsidP="008B7E19">
            <w:pPr>
              <w:pStyle w:val="08-Tabelageral"/>
              <w:rPr>
                <w:rFonts w:cs="Arial"/>
                <w:b/>
                <w:bCs/>
                <w:szCs w:val="14"/>
              </w:rPr>
            </w:pPr>
            <w:r w:rsidRPr="00D240FE">
              <w:rPr>
                <w:rFonts w:cs="Arial"/>
                <w:b/>
                <w:bCs/>
                <w:color w:val="000000"/>
                <w:szCs w:val="14"/>
              </w:rPr>
              <w:t>--</w:t>
            </w:r>
          </w:p>
        </w:tc>
        <w:tc>
          <w:tcPr>
            <w:tcW w:w="1797" w:type="dxa"/>
          </w:tcPr>
          <w:p w14:paraId="186789B4" w14:textId="77777777" w:rsidR="008B7E19" w:rsidRPr="002F06CE" w:rsidRDefault="008B7E19" w:rsidP="008B7E19">
            <w:pPr>
              <w:pStyle w:val="08-Tabelageral"/>
              <w:rPr>
                <w:rFonts w:cs="Arial"/>
                <w:b/>
                <w:bCs/>
                <w:szCs w:val="14"/>
              </w:rPr>
            </w:pPr>
            <w:r w:rsidRPr="00A728BD">
              <w:rPr>
                <w:rFonts w:cs="Arial"/>
                <w:b/>
                <w:bCs/>
                <w:color w:val="000000"/>
                <w:szCs w:val="14"/>
              </w:rPr>
              <w:t>3</w:t>
            </w:r>
            <w:r>
              <w:rPr>
                <w:rFonts w:cs="Arial"/>
                <w:b/>
                <w:bCs/>
                <w:color w:val="000000"/>
                <w:szCs w:val="14"/>
              </w:rPr>
              <w:t>,</w:t>
            </w:r>
            <w:r w:rsidRPr="00A728BD">
              <w:rPr>
                <w:rFonts w:cs="Arial"/>
                <w:b/>
                <w:bCs/>
                <w:color w:val="000000"/>
                <w:szCs w:val="14"/>
              </w:rPr>
              <w:t>686</w:t>
            </w:r>
            <w:r>
              <w:rPr>
                <w:rFonts w:cs="Arial"/>
                <w:b/>
                <w:bCs/>
                <w:color w:val="000000"/>
                <w:szCs w:val="14"/>
              </w:rPr>
              <w:t>,</w:t>
            </w:r>
            <w:r w:rsidRPr="00A728BD">
              <w:rPr>
                <w:rFonts w:cs="Arial"/>
                <w:b/>
                <w:bCs/>
                <w:color w:val="000000"/>
                <w:szCs w:val="14"/>
              </w:rPr>
              <w:t>323</w:t>
            </w:r>
          </w:p>
        </w:tc>
      </w:tr>
      <w:tr w:rsidR="008B7E19" w:rsidRPr="002F06CE" w14:paraId="28A3F4EF" w14:textId="77777777" w:rsidTr="008B7E19">
        <w:trPr>
          <w:trHeight w:val="238"/>
          <w:jc w:val="center"/>
        </w:trPr>
        <w:tc>
          <w:tcPr>
            <w:tcW w:w="4519" w:type="dxa"/>
            <w:vAlign w:val="center"/>
          </w:tcPr>
          <w:p w14:paraId="2DE0E420" w14:textId="77777777" w:rsidR="008B7E19" w:rsidRPr="002F06CE" w:rsidRDefault="008B7E19" w:rsidP="008B7E19">
            <w:pPr>
              <w:pStyle w:val="08-Tabelageral"/>
              <w:jc w:val="left"/>
              <w:rPr>
                <w:rFonts w:cs="Arial"/>
                <w:b/>
                <w:bCs/>
                <w:szCs w:val="14"/>
                <w:highlight w:val="yellow"/>
              </w:rPr>
            </w:pPr>
            <w:r w:rsidRPr="002F06CE">
              <w:rPr>
                <w:b/>
                <w:bCs/>
              </w:rPr>
              <w:t>Equity</w:t>
            </w:r>
          </w:p>
        </w:tc>
        <w:tc>
          <w:tcPr>
            <w:tcW w:w="1526" w:type="dxa"/>
          </w:tcPr>
          <w:p w14:paraId="279C744C" w14:textId="77777777" w:rsidR="008B7E19" w:rsidRPr="002F06CE" w:rsidRDefault="008B7E19" w:rsidP="008B7E19">
            <w:pPr>
              <w:pStyle w:val="08-Tabelageral"/>
              <w:rPr>
                <w:rFonts w:cs="Arial"/>
                <w:b/>
                <w:bCs/>
                <w:szCs w:val="14"/>
                <w:highlight w:val="yellow"/>
              </w:rPr>
            </w:pPr>
            <w:r w:rsidRPr="00A728BD">
              <w:rPr>
                <w:rFonts w:cs="Arial"/>
                <w:b/>
                <w:bCs/>
                <w:color w:val="000000"/>
                <w:szCs w:val="14"/>
              </w:rPr>
              <w:t>7</w:t>
            </w:r>
            <w:r>
              <w:rPr>
                <w:rFonts w:cs="Arial"/>
                <w:b/>
                <w:bCs/>
                <w:color w:val="000000"/>
                <w:szCs w:val="14"/>
              </w:rPr>
              <w:t>,</w:t>
            </w:r>
            <w:r w:rsidRPr="00A728BD">
              <w:rPr>
                <w:rFonts w:cs="Arial"/>
                <w:b/>
                <w:bCs/>
                <w:color w:val="000000"/>
                <w:szCs w:val="14"/>
              </w:rPr>
              <w:t>596</w:t>
            </w:r>
            <w:r>
              <w:rPr>
                <w:rFonts w:cs="Arial"/>
                <w:b/>
                <w:bCs/>
                <w:color w:val="000000"/>
                <w:szCs w:val="14"/>
              </w:rPr>
              <w:t>,</w:t>
            </w:r>
            <w:r w:rsidRPr="00A728BD">
              <w:rPr>
                <w:rFonts w:cs="Arial"/>
                <w:b/>
                <w:bCs/>
                <w:color w:val="000000"/>
                <w:szCs w:val="14"/>
              </w:rPr>
              <w:t>101</w:t>
            </w:r>
          </w:p>
        </w:tc>
        <w:tc>
          <w:tcPr>
            <w:tcW w:w="1797" w:type="dxa"/>
          </w:tcPr>
          <w:p w14:paraId="382644D4" w14:textId="77777777" w:rsidR="008B7E19" w:rsidRPr="002F06CE" w:rsidRDefault="008B7E19" w:rsidP="008B7E19">
            <w:pPr>
              <w:pStyle w:val="08-Tabelageral"/>
              <w:rPr>
                <w:rFonts w:cs="Arial"/>
                <w:b/>
                <w:bCs/>
                <w:szCs w:val="14"/>
                <w:highlight w:val="yellow"/>
              </w:rPr>
            </w:pPr>
            <w:r w:rsidRPr="00A728BD">
              <w:rPr>
                <w:rFonts w:cs="Arial"/>
                <w:b/>
                <w:bCs/>
                <w:color w:val="000000"/>
                <w:szCs w:val="14"/>
              </w:rPr>
              <w:t>440</w:t>
            </w:r>
            <w:r>
              <w:rPr>
                <w:rFonts w:cs="Arial"/>
                <w:b/>
                <w:bCs/>
                <w:color w:val="000000"/>
                <w:szCs w:val="14"/>
              </w:rPr>
              <w:t>,</w:t>
            </w:r>
            <w:r w:rsidRPr="00A728BD">
              <w:rPr>
                <w:rFonts w:cs="Arial"/>
                <w:b/>
                <w:bCs/>
                <w:color w:val="000000"/>
                <w:szCs w:val="14"/>
              </w:rPr>
              <w:t>629</w:t>
            </w:r>
          </w:p>
        </w:tc>
        <w:tc>
          <w:tcPr>
            <w:tcW w:w="1797" w:type="dxa"/>
          </w:tcPr>
          <w:p w14:paraId="2F2B3BDA" w14:textId="77777777" w:rsidR="008B7E19" w:rsidRPr="002F06CE" w:rsidRDefault="008B7E19" w:rsidP="008B7E19">
            <w:pPr>
              <w:pStyle w:val="08-Tabelageral"/>
              <w:rPr>
                <w:rFonts w:cs="Arial"/>
                <w:b/>
                <w:bCs/>
                <w:szCs w:val="14"/>
              </w:rPr>
            </w:pPr>
            <w:r w:rsidRPr="00A728BD">
              <w:rPr>
                <w:rFonts w:cs="Arial"/>
                <w:b/>
                <w:bCs/>
                <w:color w:val="000000"/>
                <w:szCs w:val="14"/>
              </w:rPr>
              <w:t>8</w:t>
            </w:r>
            <w:r>
              <w:rPr>
                <w:rFonts w:cs="Arial"/>
                <w:b/>
                <w:bCs/>
                <w:color w:val="000000"/>
                <w:szCs w:val="14"/>
              </w:rPr>
              <w:t>,</w:t>
            </w:r>
            <w:r w:rsidRPr="00A728BD">
              <w:rPr>
                <w:rFonts w:cs="Arial"/>
                <w:b/>
                <w:bCs/>
                <w:color w:val="000000"/>
                <w:szCs w:val="14"/>
              </w:rPr>
              <w:t>036</w:t>
            </w:r>
            <w:r>
              <w:rPr>
                <w:rFonts w:cs="Arial"/>
                <w:b/>
                <w:bCs/>
                <w:color w:val="000000"/>
                <w:szCs w:val="14"/>
              </w:rPr>
              <w:t>,</w:t>
            </w:r>
            <w:r w:rsidRPr="00A728BD">
              <w:rPr>
                <w:rFonts w:cs="Arial"/>
                <w:b/>
                <w:bCs/>
                <w:color w:val="000000"/>
                <w:szCs w:val="14"/>
              </w:rPr>
              <w:t>730</w:t>
            </w:r>
          </w:p>
        </w:tc>
      </w:tr>
      <w:tr w:rsidR="008B7E19" w:rsidRPr="00C80F9A" w14:paraId="7044A049" w14:textId="77777777" w:rsidTr="008B7E19">
        <w:trPr>
          <w:trHeight w:val="238"/>
          <w:jc w:val="center"/>
        </w:trPr>
        <w:tc>
          <w:tcPr>
            <w:tcW w:w="4519" w:type="dxa"/>
            <w:vAlign w:val="center"/>
          </w:tcPr>
          <w:p w14:paraId="34F84D64" w14:textId="77777777" w:rsidR="008B7E19" w:rsidRDefault="008B7E19" w:rsidP="008B7E19">
            <w:pPr>
              <w:pStyle w:val="08-Tabelageral"/>
              <w:ind w:left="113"/>
              <w:jc w:val="left"/>
              <w:rPr>
                <w:rFonts w:cs="Arial"/>
                <w:szCs w:val="14"/>
              </w:rPr>
            </w:pPr>
            <w:r w:rsidRPr="00C27294">
              <w:t>Capital</w:t>
            </w:r>
          </w:p>
        </w:tc>
        <w:tc>
          <w:tcPr>
            <w:tcW w:w="1526" w:type="dxa"/>
          </w:tcPr>
          <w:p w14:paraId="34BDC3A1" w14:textId="77777777" w:rsidR="008B7E19" w:rsidRPr="00AA591E" w:rsidRDefault="008B7E19" w:rsidP="008B7E19">
            <w:pPr>
              <w:pStyle w:val="08-Tabelageral"/>
              <w:rPr>
                <w:rFonts w:cs="Arial"/>
                <w:szCs w:val="14"/>
              </w:rPr>
            </w:pPr>
            <w:r w:rsidRPr="00A728BD">
              <w:rPr>
                <w:rFonts w:cs="Arial"/>
                <w:color w:val="000000"/>
                <w:szCs w:val="14"/>
              </w:rPr>
              <w:t>6</w:t>
            </w:r>
            <w:r>
              <w:rPr>
                <w:rFonts w:cs="Arial"/>
                <w:color w:val="000000"/>
                <w:szCs w:val="14"/>
              </w:rPr>
              <w:t>,</w:t>
            </w:r>
            <w:r w:rsidRPr="00A728BD">
              <w:rPr>
                <w:rFonts w:cs="Arial"/>
                <w:color w:val="000000"/>
                <w:szCs w:val="14"/>
              </w:rPr>
              <w:t>269</w:t>
            </w:r>
            <w:r>
              <w:rPr>
                <w:rFonts w:cs="Arial"/>
                <w:color w:val="000000"/>
                <w:szCs w:val="14"/>
              </w:rPr>
              <w:t>,</w:t>
            </w:r>
            <w:r w:rsidRPr="00A728BD">
              <w:rPr>
                <w:rFonts w:cs="Arial"/>
                <w:color w:val="000000"/>
                <w:szCs w:val="14"/>
              </w:rPr>
              <w:t>692</w:t>
            </w:r>
          </w:p>
        </w:tc>
        <w:tc>
          <w:tcPr>
            <w:tcW w:w="1797" w:type="dxa"/>
          </w:tcPr>
          <w:p w14:paraId="6F06CA35" w14:textId="77777777" w:rsidR="008B7E19" w:rsidRPr="00C43B29" w:rsidRDefault="008B7E19" w:rsidP="008B7E19">
            <w:pPr>
              <w:pStyle w:val="08-Tabelageral"/>
              <w:rPr>
                <w:rFonts w:cs="Arial"/>
                <w:szCs w:val="14"/>
              </w:rPr>
            </w:pPr>
            <w:r>
              <w:rPr>
                <w:rFonts w:cs="Arial"/>
                <w:color w:val="000000"/>
                <w:szCs w:val="14"/>
              </w:rPr>
              <w:t>--</w:t>
            </w:r>
          </w:p>
        </w:tc>
        <w:tc>
          <w:tcPr>
            <w:tcW w:w="1797" w:type="dxa"/>
          </w:tcPr>
          <w:p w14:paraId="72884178" w14:textId="77777777" w:rsidR="008B7E19" w:rsidRPr="00C43B29" w:rsidRDefault="008B7E19" w:rsidP="008B7E19">
            <w:pPr>
              <w:pStyle w:val="08-Tabelageral"/>
              <w:rPr>
                <w:rFonts w:cs="Arial"/>
                <w:szCs w:val="14"/>
              </w:rPr>
            </w:pPr>
            <w:r w:rsidRPr="00A728BD">
              <w:rPr>
                <w:rFonts w:cs="Arial"/>
                <w:color w:val="000000"/>
                <w:szCs w:val="14"/>
              </w:rPr>
              <w:t>6</w:t>
            </w:r>
            <w:r>
              <w:rPr>
                <w:rFonts w:cs="Arial"/>
                <w:color w:val="000000"/>
                <w:szCs w:val="14"/>
              </w:rPr>
              <w:t>,</w:t>
            </w:r>
            <w:r w:rsidRPr="00A728BD">
              <w:rPr>
                <w:rFonts w:cs="Arial"/>
                <w:color w:val="000000"/>
                <w:szCs w:val="14"/>
              </w:rPr>
              <w:t>269</w:t>
            </w:r>
            <w:r>
              <w:rPr>
                <w:rFonts w:cs="Arial"/>
                <w:color w:val="000000"/>
                <w:szCs w:val="14"/>
              </w:rPr>
              <w:t>,</w:t>
            </w:r>
            <w:r w:rsidRPr="00A728BD">
              <w:rPr>
                <w:rFonts w:cs="Arial"/>
                <w:color w:val="000000"/>
                <w:szCs w:val="14"/>
              </w:rPr>
              <w:t>692</w:t>
            </w:r>
          </w:p>
        </w:tc>
      </w:tr>
      <w:tr w:rsidR="008B7E19" w:rsidRPr="00C80F9A" w14:paraId="259A8415" w14:textId="77777777" w:rsidTr="008B7E19">
        <w:trPr>
          <w:trHeight w:val="238"/>
          <w:jc w:val="center"/>
        </w:trPr>
        <w:tc>
          <w:tcPr>
            <w:tcW w:w="4519" w:type="dxa"/>
            <w:vAlign w:val="center"/>
          </w:tcPr>
          <w:p w14:paraId="13C60EED" w14:textId="77777777" w:rsidR="008B7E19" w:rsidRDefault="008B7E19" w:rsidP="008B7E19">
            <w:pPr>
              <w:pStyle w:val="08-Tabelageral"/>
              <w:ind w:left="113"/>
              <w:jc w:val="left"/>
              <w:rPr>
                <w:rFonts w:cs="Arial"/>
                <w:szCs w:val="14"/>
              </w:rPr>
            </w:pPr>
            <w:r w:rsidRPr="00C27294">
              <w:t>Capital reserves</w:t>
            </w:r>
          </w:p>
        </w:tc>
        <w:tc>
          <w:tcPr>
            <w:tcW w:w="1526" w:type="dxa"/>
          </w:tcPr>
          <w:p w14:paraId="30375E0F" w14:textId="77777777" w:rsidR="008B7E19" w:rsidRPr="00AA591E" w:rsidRDefault="008B7E19" w:rsidP="008B7E19">
            <w:pPr>
              <w:pStyle w:val="08-Tabelageral"/>
              <w:rPr>
                <w:rFonts w:cs="Arial"/>
                <w:szCs w:val="14"/>
              </w:rPr>
            </w:pPr>
            <w:r w:rsidRPr="00A728BD">
              <w:rPr>
                <w:rFonts w:cs="Arial"/>
                <w:color w:val="000000"/>
                <w:szCs w:val="14"/>
              </w:rPr>
              <w:t>1</w:t>
            </w:r>
            <w:r>
              <w:rPr>
                <w:rFonts w:cs="Arial"/>
                <w:color w:val="000000"/>
                <w:szCs w:val="14"/>
              </w:rPr>
              <w:t>,</w:t>
            </w:r>
            <w:r w:rsidRPr="00A728BD">
              <w:rPr>
                <w:rFonts w:cs="Arial"/>
                <w:color w:val="000000"/>
                <w:szCs w:val="14"/>
              </w:rPr>
              <w:t>571</w:t>
            </w:r>
          </w:p>
        </w:tc>
        <w:tc>
          <w:tcPr>
            <w:tcW w:w="1797" w:type="dxa"/>
          </w:tcPr>
          <w:p w14:paraId="5720359F" w14:textId="77777777" w:rsidR="008B7E19" w:rsidRPr="00C43B29" w:rsidRDefault="008B7E19" w:rsidP="008B7E19">
            <w:pPr>
              <w:pStyle w:val="08-Tabelageral"/>
              <w:rPr>
                <w:rFonts w:cs="Arial"/>
                <w:szCs w:val="14"/>
              </w:rPr>
            </w:pPr>
            <w:r>
              <w:rPr>
                <w:rFonts w:cs="Arial"/>
                <w:color w:val="000000"/>
                <w:szCs w:val="14"/>
              </w:rPr>
              <w:t>--</w:t>
            </w:r>
          </w:p>
        </w:tc>
        <w:tc>
          <w:tcPr>
            <w:tcW w:w="1797" w:type="dxa"/>
          </w:tcPr>
          <w:p w14:paraId="09B5FC3E" w14:textId="77777777" w:rsidR="008B7E19" w:rsidRPr="00C43B29" w:rsidRDefault="008B7E19" w:rsidP="008B7E19">
            <w:pPr>
              <w:pStyle w:val="08-Tabelageral"/>
              <w:rPr>
                <w:rFonts w:cs="Arial"/>
                <w:szCs w:val="14"/>
              </w:rPr>
            </w:pPr>
            <w:r w:rsidRPr="00A728BD">
              <w:rPr>
                <w:rFonts w:cs="Arial"/>
                <w:color w:val="000000"/>
                <w:szCs w:val="14"/>
              </w:rPr>
              <w:t>1</w:t>
            </w:r>
            <w:r>
              <w:rPr>
                <w:rFonts w:cs="Arial"/>
                <w:color w:val="000000"/>
                <w:szCs w:val="14"/>
              </w:rPr>
              <w:t>,</w:t>
            </w:r>
            <w:r w:rsidRPr="00A728BD">
              <w:rPr>
                <w:rFonts w:cs="Arial"/>
                <w:color w:val="000000"/>
                <w:szCs w:val="14"/>
              </w:rPr>
              <w:t>571</w:t>
            </w:r>
          </w:p>
        </w:tc>
      </w:tr>
      <w:tr w:rsidR="008B7E19" w:rsidRPr="00C80F9A" w14:paraId="1F371166" w14:textId="77777777" w:rsidTr="008B7E19">
        <w:trPr>
          <w:trHeight w:val="238"/>
          <w:jc w:val="center"/>
        </w:trPr>
        <w:tc>
          <w:tcPr>
            <w:tcW w:w="4519" w:type="dxa"/>
            <w:vAlign w:val="center"/>
          </w:tcPr>
          <w:p w14:paraId="33C9DDE4" w14:textId="77777777" w:rsidR="008B7E19" w:rsidRDefault="008B7E19" w:rsidP="008B7E19">
            <w:pPr>
              <w:pStyle w:val="08-Tabelageral"/>
              <w:ind w:left="113"/>
              <w:jc w:val="left"/>
              <w:rPr>
                <w:rFonts w:cs="Arial"/>
                <w:szCs w:val="14"/>
              </w:rPr>
            </w:pPr>
            <w:r w:rsidRPr="00C27294">
              <w:t>Income reserves</w:t>
            </w:r>
          </w:p>
        </w:tc>
        <w:tc>
          <w:tcPr>
            <w:tcW w:w="1526" w:type="dxa"/>
          </w:tcPr>
          <w:p w14:paraId="62523982" w14:textId="77777777" w:rsidR="008B7E19" w:rsidRPr="00AA591E" w:rsidRDefault="008B7E19" w:rsidP="008B7E19">
            <w:pPr>
              <w:pStyle w:val="08-Tabelageral"/>
              <w:rPr>
                <w:rFonts w:cs="Arial"/>
                <w:szCs w:val="14"/>
              </w:rPr>
            </w:pPr>
            <w:r w:rsidRPr="00A728BD">
              <w:rPr>
                <w:rFonts w:cs="Arial"/>
                <w:color w:val="000000"/>
                <w:szCs w:val="14"/>
              </w:rPr>
              <w:t>1</w:t>
            </w:r>
            <w:r>
              <w:rPr>
                <w:rFonts w:cs="Arial"/>
                <w:color w:val="000000"/>
                <w:szCs w:val="14"/>
              </w:rPr>
              <w:t>,</w:t>
            </w:r>
            <w:r w:rsidRPr="00A728BD">
              <w:rPr>
                <w:rFonts w:cs="Arial"/>
                <w:color w:val="000000"/>
                <w:szCs w:val="14"/>
              </w:rPr>
              <w:t>552</w:t>
            </w:r>
            <w:r>
              <w:rPr>
                <w:rFonts w:cs="Arial"/>
                <w:color w:val="000000"/>
                <w:szCs w:val="14"/>
              </w:rPr>
              <w:t>,</w:t>
            </w:r>
            <w:r w:rsidRPr="00A728BD">
              <w:rPr>
                <w:rFonts w:cs="Arial"/>
                <w:color w:val="000000"/>
                <w:szCs w:val="14"/>
              </w:rPr>
              <w:t>229</w:t>
            </w:r>
          </w:p>
        </w:tc>
        <w:tc>
          <w:tcPr>
            <w:tcW w:w="1797" w:type="dxa"/>
          </w:tcPr>
          <w:p w14:paraId="07752D96" w14:textId="77777777" w:rsidR="008B7E19" w:rsidRPr="00C43B29" w:rsidRDefault="008B7E19" w:rsidP="008B7E19">
            <w:pPr>
              <w:pStyle w:val="08-Tabelageral"/>
              <w:rPr>
                <w:rFonts w:cs="Arial"/>
                <w:szCs w:val="14"/>
              </w:rPr>
            </w:pPr>
            <w:r>
              <w:rPr>
                <w:rFonts w:cs="Arial"/>
                <w:color w:val="000000"/>
                <w:szCs w:val="14"/>
              </w:rPr>
              <w:t>--</w:t>
            </w:r>
          </w:p>
        </w:tc>
        <w:tc>
          <w:tcPr>
            <w:tcW w:w="1797" w:type="dxa"/>
          </w:tcPr>
          <w:p w14:paraId="3562828C" w14:textId="77777777" w:rsidR="008B7E19" w:rsidRPr="00C43B29" w:rsidRDefault="008B7E19" w:rsidP="008B7E19">
            <w:pPr>
              <w:pStyle w:val="08-Tabelageral"/>
              <w:rPr>
                <w:rFonts w:cs="Arial"/>
                <w:szCs w:val="14"/>
              </w:rPr>
            </w:pPr>
            <w:r w:rsidRPr="00A728BD">
              <w:rPr>
                <w:rFonts w:cs="Arial"/>
                <w:color w:val="000000"/>
                <w:szCs w:val="14"/>
              </w:rPr>
              <w:t>1</w:t>
            </w:r>
            <w:r>
              <w:rPr>
                <w:rFonts w:cs="Arial"/>
                <w:color w:val="000000"/>
                <w:szCs w:val="14"/>
              </w:rPr>
              <w:t>,</w:t>
            </w:r>
            <w:r w:rsidRPr="00A728BD">
              <w:rPr>
                <w:rFonts w:cs="Arial"/>
                <w:color w:val="000000"/>
                <w:szCs w:val="14"/>
              </w:rPr>
              <w:t>552</w:t>
            </w:r>
            <w:r>
              <w:rPr>
                <w:rFonts w:cs="Arial"/>
                <w:color w:val="000000"/>
                <w:szCs w:val="14"/>
              </w:rPr>
              <w:t>,</w:t>
            </w:r>
            <w:r w:rsidRPr="00A728BD">
              <w:rPr>
                <w:rFonts w:cs="Arial"/>
                <w:color w:val="000000"/>
                <w:szCs w:val="14"/>
              </w:rPr>
              <w:t>229</w:t>
            </w:r>
          </w:p>
        </w:tc>
      </w:tr>
      <w:tr w:rsidR="008B7E19" w:rsidRPr="00C80F9A" w14:paraId="512B6D6D" w14:textId="77777777" w:rsidTr="008B7E19">
        <w:trPr>
          <w:trHeight w:val="238"/>
          <w:jc w:val="center"/>
        </w:trPr>
        <w:tc>
          <w:tcPr>
            <w:tcW w:w="4519" w:type="dxa"/>
            <w:vAlign w:val="center"/>
          </w:tcPr>
          <w:p w14:paraId="1EA3360C" w14:textId="77777777" w:rsidR="008B7E19" w:rsidRDefault="008B7E19" w:rsidP="008B7E19">
            <w:pPr>
              <w:pStyle w:val="08-Tabelageral"/>
              <w:ind w:left="113"/>
              <w:jc w:val="left"/>
              <w:rPr>
                <w:rFonts w:cs="Arial"/>
                <w:szCs w:val="14"/>
              </w:rPr>
            </w:pPr>
            <w:r w:rsidRPr="00C27294">
              <w:t>Treasury shares</w:t>
            </w:r>
          </w:p>
        </w:tc>
        <w:tc>
          <w:tcPr>
            <w:tcW w:w="1526" w:type="dxa"/>
          </w:tcPr>
          <w:p w14:paraId="765D227A" w14:textId="77777777" w:rsidR="008B7E19" w:rsidRPr="00AA591E" w:rsidRDefault="008B7E19" w:rsidP="008B7E19">
            <w:pPr>
              <w:pStyle w:val="08-Tabelageral"/>
              <w:rPr>
                <w:rFonts w:cs="Arial"/>
                <w:szCs w:val="14"/>
              </w:rPr>
            </w:pPr>
            <w:r>
              <w:rPr>
                <w:rFonts w:cs="Arial"/>
                <w:color w:val="000000"/>
                <w:szCs w:val="14"/>
              </w:rPr>
              <w:t>(</w:t>
            </w:r>
            <w:r w:rsidRPr="00A728BD">
              <w:rPr>
                <w:rFonts w:cs="Arial"/>
                <w:color w:val="000000"/>
                <w:szCs w:val="14"/>
              </w:rPr>
              <w:t>80</w:t>
            </w:r>
            <w:r>
              <w:rPr>
                <w:rFonts w:cs="Arial"/>
                <w:color w:val="000000"/>
                <w:szCs w:val="14"/>
              </w:rPr>
              <w:t>,</w:t>
            </w:r>
            <w:r w:rsidRPr="00A728BD">
              <w:rPr>
                <w:rFonts w:cs="Arial"/>
                <w:color w:val="000000"/>
                <w:szCs w:val="14"/>
              </w:rPr>
              <w:t>344</w:t>
            </w:r>
            <w:r>
              <w:rPr>
                <w:rFonts w:cs="Arial"/>
                <w:color w:val="000000"/>
                <w:szCs w:val="14"/>
              </w:rPr>
              <w:t>)</w:t>
            </w:r>
          </w:p>
        </w:tc>
        <w:tc>
          <w:tcPr>
            <w:tcW w:w="1797" w:type="dxa"/>
          </w:tcPr>
          <w:p w14:paraId="6E00A465" w14:textId="77777777" w:rsidR="008B7E19" w:rsidRPr="00C43B29" w:rsidRDefault="008B7E19" w:rsidP="008B7E19">
            <w:pPr>
              <w:pStyle w:val="08-Tabelageral"/>
              <w:rPr>
                <w:rFonts w:cs="Arial"/>
                <w:szCs w:val="14"/>
              </w:rPr>
            </w:pPr>
            <w:r>
              <w:rPr>
                <w:rFonts w:cs="Arial"/>
                <w:color w:val="000000"/>
                <w:szCs w:val="14"/>
              </w:rPr>
              <w:t>--</w:t>
            </w:r>
          </w:p>
        </w:tc>
        <w:tc>
          <w:tcPr>
            <w:tcW w:w="1797" w:type="dxa"/>
          </w:tcPr>
          <w:p w14:paraId="29AF9D1F" w14:textId="77777777" w:rsidR="008B7E19" w:rsidRPr="00C43B29" w:rsidRDefault="008B7E19" w:rsidP="008B7E19">
            <w:pPr>
              <w:pStyle w:val="08-Tabelageral"/>
              <w:rPr>
                <w:rFonts w:cs="Arial"/>
                <w:szCs w:val="14"/>
              </w:rPr>
            </w:pPr>
            <w:r>
              <w:rPr>
                <w:rFonts w:cs="Arial"/>
                <w:color w:val="000000"/>
                <w:szCs w:val="14"/>
              </w:rPr>
              <w:t>(</w:t>
            </w:r>
            <w:r w:rsidRPr="00A728BD">
              <w:rPr>
                <w:rFonts w:cs="Arial"/>
                <w:color w:val="000000"/>
                <w:szCs w:val="14"/>
              </w:rPr>
              <w:t>80</w:t>
            </w:r>
            <w:r>
              <w:rPr>
                <w:rFonts w:cs="Arial"/>
                <w:color w:val="000000"/>
                <w:szCs w:val="14"/>
              </w:rPr>
              <w:t>,</w:t>
            </w:r>
            <w:r w:rsidRPr="00A728BD">
              <w:rPr>
                <w:rFonts w:cs="Arial"/>
                <w:color w:val="000000"/>
                <w:szCs w:val="14"/>
              </w:rPr>
              <w:t>344</w:t>
            </w:r>
            <w:r>
              <w:rPr>
                <w:rFonts w:cs="Arial"/>
                <w:color w:val="000000"/>
                <w:szCs w:val="14"/>
              </w:rPr>
              <w:t>)</w:t>
            </w:r>
          </w:p>
        </w:tc>
      </w:tr>
      <w:tr w:rsidR="008B7E19" w:rsidRPr="00A03B7C" w14:paraId="68130261" w14:textId="77777777" w:rsidTr="008B7E19">
        <w:trPr>
          <w:trHeight w:val="238"/>
          <w:jc w:val="center"/>
        </w:trPr>
        <w:tc>
          <w:tcPr>
            <w:tcW w:w="4519" w:type="dxa"/>
            <w:vAlign w:val="center"/>
          </w:tcPr>
          <w:p w14:paraId="0A11CD29" w14:textId="77777777" w:rsidR="008B7E19" w:rsidRPr="00A03B7C" w:rsidRDefault="008B7E19" w:rsidP="008B7E19">
            <w:pPr>
              <w:pStyle w:val="08-Tabelageral"/>
              <w:ind w:left="113"/>
              <w:jc w:val="left"/>
              <w:rPr>
                <w:rFonts w:cs="Arial"/>
                <w:szCs w:val="14"/>
                <w:highlight w:val="yellow"/>
              </w:rPr>
            </w:pPr>
            <w:r w:rsidRPr="00C27294">
              <w:t>Other accumulated comprehensive income</w:t>
            </w:r>
          </w:p>
        </w:tc>
        <w:tc>
          <w:tcPr>
            <w:tcW w:w="1526" w:type="dxa"/>
          </w:tcPr>
          <w:p w14:paraId="67F85A36" w14:textId="77777777" w:rsidR="008B7E19" w:rsidRPr="00A03B7C" w:rsidRDefault="008B7E19" w:rsidP="008B7E19">
            <w:pPr>
              <w:pStyle w:val="08-Tabelageral"/>
              <w:rPr>
                <w:rFonts w:cs="Arial"/>
                <w:szCs w:val="14"/>
                <w:highlight w:val="yellow"/>
              </w:rPr>
            </w:pPr>
            <w:r>
              <w:rPr>
                <w:rFonts w:cs="Arial"/>
                <w:color w:val="000000"/>
                <w:szCs w:val="14"/>
              </w:rPr>
              <w:t>(</w:t>
            </w:r>
            <w:r w:rsidRPr="00A728BD">
              <w:rPr>
                <w:rFonts w:cs="Arial"/>
                <w:color w:val="000000"/>
                <w:szCs w:val="14"/>
              </w:rPr>
              <w:t>147</w:t>
            </w:r>
            <w:r>
              <w:rPr>
                <w:rFonts w:cs="Arial"/>
                <w:color w:val="000000"/>
                <w:szCs w:val="14"/>
              </w:rPr>
              <w:t>,</w:t>
            </w:r>
            <w:r w:rsidRPr="00A728BD">
              <w:rPr>
                <w:rFonts w:cs="Arial"/>
                <w:color w:val="000000"/>
                <w:szCs w:val="14"/>
              </w:rPr>
              <w:t>047</w:t>
            </w:r>
            <w:r>
              <w:rPr>
                <w:rFonts w:cs="Arial"/>
                <w:color w:val="000000"/>
                <w:szCs w:val="14"/>
              </w:rPr>
              <w:t>)</w:t>
            </w:r>
          </w:p>
        </w:tc>
        <w:tc>
          <w:tcPr>
            <w:tcW w:w="1797" w:type="dxa"/>
          </w:tcPr>
          <w:p w14:paraId="3DA9ABEC" w14:textId="77777777" w:rsidR="008B7E19" w:rsidRPr="00A03B7C" w:rsidRDefault="008B7E19" w:rsidP="008B7E19">
            <w:pPr>
              <w:pStyle w:val="08-Tabelageral"/>
              <w:rPr>
                <w:rFonts w:cs="Arial"/>
                <w:szCs w:val="14"/>
                <w:highlight w:val="yellow"/>
              </w:rPr>
            </w:pPr>
            <w:r>
              <w:rPr>
                <w:rFonts w:cs="Arial"/>
                <w:color w:val="000000"/>
                <w:szCs w:val="14"/>
              </w:rPr>
              <w:t>(</w:t>
            </w:r>
            <w:r w:rsidRPr="00A728BD">
              <w:rPr>
                <w:rFonts w:cs="Arial"/>
                <w:color w:val="000000"/>
                <w:szCs w:val="14"/>
              </w:rPr>
              <w:t>194</w:t>
            </w:r>
            <w:r>
              <w:rPr>
                <w:rFonts w:cs="Arial"/>
                <w:color w:val="000000"/>
                <w:szCs w:val="14"/>
              </w:rPr>
              <w:t>,</w:t>
            </w:r>
            <w:r w:rsidRPr="00A728BD">
              <w:rPr>
                <w:rFonts w:cs="Arial"/>
                <w:color w:val="000000"/>
                <w:szCs w:val="14"/>
              </w:rPr>
              <w:t>945</w:t>
            </w:r>
            <w:r>
              <w:rPr>
                <w:rFonts w:cs="Arial"/>
                <w:color w:val="000000"/>
                <w:szCs w:val="14"/>
              </w:rPr>
              <w:t>)</w:t>
            </w:r>
          </w:p>
        </w:tc>
        <w:tc>
          <w:tcPr>
            <w:tcW w:w="1797" w:type="dxa"/>
          </w:tcPr>
          <w:p w14:paraId="31356290" w14:textId="77777777" w:rsidR="008B7E19" w:rsidRPr="00A03B7C" w:rsidRDefault="008B7E19" w:rsidP="008B7E19">
            <w:pPr>
              <w:pStyle w:val="08-Tabelageral"/>
              <w:rPr>
                <w:rFonts w:cs="Arial"/>
                <w:szCs w:val="14"/>
                <w:highlight w:val="yellow"/>
              </w:rPr>
            </w:pPr>
            <w:r>
              <w:rPr>
                <w:rFonts w:cs="Arial"/>
                <w:color w:val="000000"/>
                <w:szCs w:val="14"/>
              </w:rPr>
              <w:t>(</w:t>
            </w:r>
            <w:r w:rsidRPr="00A728BD">
              <w:rPr>
                <w:rFonts w:cs="Arial"/>
                <w:color w:val="000000"/>
                <w:szCs w:val="14"/>
              </w:rPr>
              <w:t>341</w:t>
            </w:r>
            <w:r>
              <w:rPr>
                <w:rFonts w:cs="Arial"/>
                <w:color w:val="000000"/>
                <w:szCs w:val="14"/>
              </w:rPr>
              <w:t>,</w:t>
            </w:r>
            <w:r w:rsidRPr="00A728BD">
              <w:rPr>
                <w:rFonts w:cs="Arial"/>
                <w:color w:val="000000"/>
                <w:szCs w:val="14"/>
              </w:rPr>
              <w:t>992</w:t>
            </w:r>
            <w:r>
              <w:rPr>
                <w:rFonts w:cs="Arial"/>
                <w:color w:val="000000"/>
                <w:szCs w:val="14"/>
              </w:rPr>
              <w:t>)</w:t>
            </w:r>
          </w:p>
        </w:tc>
      </w:tr>
      <w:tr w:rsidR="008B7E19" w:rsidRPr="00C80F9A" w14:paraId="5BB70550" w14:textId="77777777" w:rsidTr="008B7E19">
        <w:trPr>
          <w:trHeight w:val="238"/>
          <w:jc w:val="center"/>
        </w:trPr>
        <w:tc>
          <w:tcPr>
            <w:tcW w:w="4519" w:type="dxa"/>
            <w:vAlign w:val="center"/>
          </w:tcPr>
          <w:p w14:paraId="3C4F3BCC" w14:textId="77777777" w:rsidR="008B7E19" w:rsidRPr="00A03B7C" w:rsidRDefault="008B7E19" w:rsidP="008B7E19">
            <w:pPr>
              <w:pStyle w:val="08-Tabelageral"/>
              <w:ind w:left="113"/>
              <w:jc w:val="left"/>
              <w:rPr>
                <w:rFonts w:cs="Arial"/>
                <w:szCs w:val="14"/>
                <w:highlight w:val="yellow"/>
              </w:rPr>
            </w:pPr>
            <w:r w:rsidRPr="00C34AB2">
              <w:t>Retained earnings</w:t>
            </w:r>
          </w:p>
        </w:tc>
        <w:tc>
          <w:tcPr>
            <w:tcW w:w="1526" w:type="dxa"/>
          </w:tcPr>
          <w:p w14:paraId="46B5E4EA" w14:textId="77777777" w:rsidR="008B7E19" w:rsidRPr="00A03B7C" w:rsidRDefault="008B7E19" w:rsidP="008B7E19">
            <w:pPr>
              <w:pStyle w:val="08-Tabelageral"/>
              <w:rPr>
                <w:rFonts w:cs="Arial"/>
                <w:szCs w:val="14"/>
                <w:highlight w:val="yellow"/>
              </w:rPr>
            </w:pPr>
            <w:r>
              <w:rPr>
                <w:rFonts w:cs="Arial"/>
                <w:color w:val="000000"/>
                <w:szCs w:val="14"/>
              </w:rPr>
              <w:t>--</w:t>
            </w:r>
          </w:p>
        </w:tc>
        <w:tc>
          <w:tcPr>
            <w:tcW w:w="1797" w:type="dxa"/>
          </w:tcPr>
          <w:p w14:paraId="4B1BBCC0" w14:textId="77777777" w:rsidR="008B7E19" w:rsidRPr="00A03B7C" w:rsidRDefault="008B7E19" w:rsidP="008B7E19">
            <w:pPr>
              <w:pStyle w:val="08-Tabelageral"/>
              <w:rPr>
                <w:rFonts w:cs="Arial"/>
                <w:szCs w:val="14"/>
                <w:highlight w:val="yellow"/>
              </w:rPr>
            </w:pPr>
            <w:r w:rsidRPr="00A728BD">
              <w:rPr>
                <w:rFonts w:cs="Arial"/>
                <w:color w:val="000000"/>
                <w:szCs w:val="14"/>
              </w:rPr>
              <w:t>635</w:t>
            </w:r>
            <w:r>
              <w:rPr>
                <w:rFonts w:cs="Arial"/>
                <w:color w:val="000000"/>
                <w:szCs w:val="14"/>
              </w:rPr>
              <w:t>,</w:t>
            </w:r>
            <w:r w:rsidRPr="00A728BD">
              <w:rPr>
                <w:rFonts w:cs="Arial"/>
                <w:color w:val="000000"/>
                <w:szCs w:val="14"/>
              </w:rPr>
              <w:t>574</w:t>
            </w:r>
          </w:p>
        </w:tc>
        <w:tc>
          <w:tcPr>
            <w:tcW w:w="1797" w:type="dxa"/>
          </w:tcPr>
          <w:p w14:paraId="0224E021" w14:textId="77777777" w:rsidR="008B7E19" w:rsidRPr="00C43B29" w:rsidRDefault="008B7E19" w:rsidP="008B7E19">
            <w:pPr>
              <w:pStyle w:val="08-Tabelageral"/>
              <w:rPr>
                <w:rFonts w:cs="Arial"/>
                <w:szCs w:val="14"/>
              </w:rPr>
            </w:pPr>
            <w:r w:rsidRPr="00A728BD">
              <w:rPr>
                <w:rFonts w:cs="Arial"/>
                <w:color w:val="000000"/>
                <w:szCs w:val="14"/>
              </w:rPr>
              <w:t>635</w:t>
            </w:r>
            <w:r>
              <w:rPr>
                <w:rFonts w:cs="Arial"/>
                <w:color w:val="000000"/>
                <w:szCs w:val="14"/>
              </w:rPr>
              <w:t>,</w:t>
            </w:r>
            <w:r w:rsidRPr="00A728BD">
              <w:rPr>
                <w:rFonts w:cs="Arial"/>
                <w:color w:val="000000"/>
                <w:szCs w:val="14"/>
              </w:rPr>
              <w:t>574</w:t>
            </w:r>
          </w:p>
        </w:tc>
      </w:tr>
      <w:tr w:rsidR="008B7E19" w:rsidRPr="002F06CE" w14:paraId="7F69279C" w14:textId="77777777" w:rsidTr="008B7E19">
        <w:trPr>
          <w:trHeight w:val="238"/>
          <w:jc w:val="center"/>
        </w:trPr>
        <w:tc>
          <w:tcPr>
            <w:tcW w:w="4519" w:type="dxa"/>
            <w:tcBorders>
              <w:bottom w:val="single" w:sz="2" w:space="0" w:color="1F4E79" w:themeColor="accent1" w:themeShade="80"/>
            </w:tcBorders>
            <w:vAlign w:val="center"/>
          </w:tcPr>
          <w:p w14:paraId="1753B82B" w14:textId="77777777" w:rsidR="008B7E19" w:rsidRPr="002F06CE" w:rsidRDefault="008B7E19" w:rsidP="008B7E19">
            <w:pPr>
              <w:pStyle w:val="08-Tabelageral"/>
              <w:jc w:val="left"/>
              <w:rPr>
                <w:rFonts w:cs="Arial"/>
                <w:b/>
                <w:bCs/>
                <w:szCs w:val="14"/>
                <w:highlight w:val="yellow"/>
              </w:rPr>
            </w:pPr>
            <w:r w:rsidRPr="002F06CE">
              <w:rPr>
                <w:b/>
                <w:bCs/>
              </w:rPr>
              <w:t>Total Liabilities and Equity</w:t>
            </w:r>
          </w:p>
        </w:tc>
        <w:tc>
          <w:tcPr>
            <w:tcW w:w="1526" w:type="dxa"/>
            <w:tcBorders>
              <w:bottom w:val="single" w:sz="2" w:space="0" w:color="1F4E79" w:themeColor="accent1" w:themeShade="80"/>
            </w:tcBorders>
          </w:tcPr>
          <w:p w14:paraId="01CCF588" w14:textId="77777777" w:rsidR="008B7E19" w:rsidRPr="002F06CE" w:rsidRDefault="008B7E19" w:rsidP="008B7E19">
            <w:pPr>
              <w:pStyle w:val="08-Tabelageral"/>
              <w:rPr>
                <w:rFonts w:cs="Arial"/>
                <w:b/>
                <w:bCs/>
                <w:color w:val="000000"/>
                <w:szCs w:val="14"/>
                <w:highlight w:val="yellow"/>
              </w:rPr>
            </w:pPr>
            <w:r w:rsidRPr="00A728BD">
              <w:rPr>
                <w:rFonts w:cs="Arial"/>
                <w:b/>
                <w:bCs/>
                <w:color w:val="000000"/>
                <w:szCs w:val="14"/>
              </w:rPr>
              <w:t>11</w:t>
            </w:r>
            <w:r>
              <w:rPr>
                <w:rFonts w:cs="Arial"/>
                <w:b/>
                <w:bCs/>
                <w:color w:val="000000"/>
                <w:szCs w:val="14"/>
              </w:rPr>
              <w:t>,</w:t>
            </w:r>
            <w:r w:rsidRPr="00A728BD">
              <w:rPr>
                <w:rFonts w:cs="Arial"/>
                <w:b/>
                <w:bCs/>
                <w:color w:val="000000"/>
                <w:szCs w:val="14"/>
              </w:rPr>
              <w:t>282</w:t>
            </w:r>
            <w:r>
              <w:rPr>
                <w:rFonts w:cs="Arial"/>
                <w:b/>
                <w:bCs/>
                <w:color w:val="000000"/>
                <w:szCs w:val="14"/>
              </w:rPr>
              <w:t>,</w:t>
            </w:r>
            <w:r w:rsidRPr="00A728BD">
              <w:rPr>
                <w:rFonts w:cs="Arial"/>
                <w:b/>
                <w:bCs/>
                <w:color w:val="000000"/>
                <w:szCs w:val="14"/>
              </w:rPr>
              <w:t>424</w:t>
            </w:r>
          </w:p>
        </w:tc>
        <w:tc>
          <w:tcPr>
            <w:tcW w:w="1797" w:type="dxa"/>
            <w:tcBorders>
              <w:bottom w:val="single" w:sz="2" w:space="0" w:color="1F4E79" w:themeColor="accent1" w:themeShade="80"/>
            </w:tcBorders>
          </w:tcPr>
          <w:p w14:paraId="2EF426D1" w14:textId="77777777" w:rsidR="008B7E19" w:rsidRPr="002F06CE" w:rsidRDefault="008B7E19" w:rsidP="008B7E19">
            <w:pPr>
              <w:pStyle w:val="08-Tabelageral"/>
              <w:rPr>
                <w:rFonts w:cs="Arial"/>
                <w:b/>
                <w:bCs/>
                <w:szCs w:val="14"/>
                <w:highlight w:val="yellow"/>
              </w:rPr>
            </w:pPr>
            <w:r w:rsidRPr="00A728BD">
              <w:rPr>
                <w:rFonts w:cs="Arial"/>
                <w:b/>
                <w:bCs/>
                <w:color w:val="000000"/>
                <w:szCs w:val="14"/>
              </w:rPr>
              <w:t>440</w:t>
            </w:r>
            <w:r>
              <w:rPr>
                <w:rFonts w:cs="Arial"/>
                <w:b/>
                <w:bCs/>
                <w:color w:val="000000"/>
                <w:szCs w:val="14"/>
              </w:rPr>
              <w:t>,</w:t>
            </w:r>
            <w:r w:rsidRPr="00A728BD">
              <w:rPr>
                <w:rFonts w:cs="Arial"/>
                <w:b/>
                <w:bCs/>
                <w:color w:val="000000"/>
                <w:szCs w:val="14"/>
              </w:rPr>
              <w:t>629</w:t>
            </w:r>
          </w:p>
        </w:tc>
        <w:tc>
          <w:tcPr>
            <w:tcW w:w="1797" w:type="dxa"/>
            <w:tcBorders>
              <w:bottom w:val="single" w:sz="2" w:space="0" w:color="1F4E79" w:themeColor="accent1" w:themeShade="80"/>
            </w:tcBorders>
          </w:tcPr>
          <w:p w14:paraId="6781F38C" w14:textId="77777777" w:rsidR="008B7E19" w:rsidRPr="002F06CE" w:rsidRDefault="008B7E19" w:rsidP="008B7E19">
            <w:pPr>
              <w:pStyle w:val="08-Tabelageral"/>
              <w:rPr>
                <w:rFonts w:cs="Arial"/>
                <w:b/>
                <w:bCs/>
                <w:color w:val="000000"/>
                <w:szCs w:val="14"/>
              </w:rPr>
            </w:pPr>
            <w:r w:rsidRPr="00A728BD">
              <w:rPr>
                <w:rFonts w:cs="Arial"/>
                <w:b/>
                <w:bCs/>
                <w:color w:val="000000"/>
                <w:szCs w:val="14"/>
              </w:rPr>
              <w:t>11</w:t>
            </w:r>
            <w:r>
              <w:rPr>
                <w:rFonts w:cs="Arial"/>
                <w:b/>
                <w:bCs/>
                <w:color w:val="000000"/>
                <w:szCs w:val="14"/>
              </w:rPr>
              <w:t>,</w:t>
            </w:r>
            <w:r w:rsidRPr="00A728BD">
              <w:rPr>
                <w:rFonts w:cs="Arial"/>
                <w:b/>
                <w:bCs/>
                <w:color w:val="000000"/>
                <w:szCs w:val="14"/>
              </w:rPr>
              <w:t>723</w:t>
            </w:r>
            <w:r>
              <w:rPr>
                <w:rFonts w:cs="Arial"/>
                <w:b/>
                <w:bCs/>
                <w:color w:val="000000"/>
                <w:szCs w:val="14"/>
              </w:rPr>
              <w:t>,</w:t>
            </w:r>
            <w:r w:rsidRPr="00A728BD">
              <w:rPr>
                <w:rFonts w:cs="Arial"/>
                <w:b/>
                <w:bCs/>
                <w:color w:val="000000"/>
                <w:szCs w:val="14"/>
              </w:rPr>
              <w:t>053</w:t>
            </w:r>
          </w:p>
        </w:tc>
      </w:tr>
      <w:tr w:rsidR="008B7E19" w:rsidRPr="00C80F9A" w14:paraId="45A3D337" w14:textId="77777777" w:rsidTr="008B7E19">
        <w:trPr>
          <w:trHeight w:val="238"/>
          <w:jc w:val="center"/>
        </w:trPr>
        <w:tc>
          <w:tcPr>
            <w:tcW w:w="4519" w:type="dxa"/>
            <w:tcBorders>
              <w:top w:val="single" w:sz="2" w:space="0" w:color="1F4E79" w:themeColor="accent1" w:themeShade="80"/>
            </w:tcBorders>
          </w:tcPr>
          <w:p w14:paraId="00217F24" w14:textId="77777777" w:rsidR="008B7E19" w:rsidRPr="005E1F7B" w:rsidRDefault="008B7E19" w:rsidP="008B7E19">
            <w:pPr>
              <w:pStyle w:val="08-Tabelageral"/>
              <w:jc w:val="left"/>
              <w:rPr>
                <w:rFonts w:cs="Arial"/>
                <w:szCs w:val="14"/>
              </w:rPr>
            </w:pPr>
          </w:p>
        </w:tc>
        <w:tc>
          <w:tcPr>
            <w:tcW w:w="1526" w:type="dxa"/>
            <w:tcBorders>
              <w:top w:val="single" w:sz="2" w:space="0" w:color="1F4E79" w:themeColor="accent1" w:themeShade="80"/>
            </w:tcBorders>
          </w:tcPr>
          <w:p w14:paraId="2017381C" w14:textId="77777777" w:rsidR="008B7E19" w:rsidRPr="005E1F7B" w:rsidRDefault="008B7E19" w:rsidP="008B7E19">
            <w:pPr>
              <w:pStyle w:val="08-Tabelageral"/>
              <w:rPr>
                <w:rFonts w:cs="Arial"/>
                <w:color w:val="000000"/>
                <w:szCs w:val="14"/>
              </w:rPr>
            </w:pPr>
          </w:p>
        </w:tc>
        <w:tc>
          <w:tcPr>
            <w:tcW w:w="1797" w:type="dxa"/>
            <w:tcBorders>
              <w:top w:val="single" w:sz="2" w:space="0" w:color="1F4E79" w:themeColor="accent1" w:themeShade="80"/>
            </w:tcBorders>
          </w:tcPr>
          <w:p w14:paraId="35D04E36" w14:textId="77777777" w:rsidR="008B7E19" w:rsidRPr="005E1F7B" w:rsidRDefault="008B7E19" w:rsidP="008B7E19">
            <w:pPr>
              <w:pStyle w:val="08-Tabelageral"/>
              <w:rPr>
                <w:rFonts w:cs="Arial"/>
                <w:szCs w:val="14"/>
              </w:rPr>
            </w:pPr>
          </w:p>
        </w:tc>
        <w:tc>
          <w:tcPr>
            <w:tcW w:w="1797" w:type="dxa"/>
            <w:tcBorders>
              <w:top w:val="single" w:sz="2" w:space="0" w:color="1F4E79" w:themeColor="accent1" w:themeShade="80"/>
            </w:tcBorders>
          </w:tcPr>
          <w:p w14:paraId="13552CC9" w14:textId="77777777" w:rsidR="008B7E19" w:rsidRPr="005E1F7B" w:rsidRDefault="008B7E19" w:rsidP="008B7E19">
            <w:pPr>
              <w:pStyle w:val="08-Tabelageral"/>
              <w:rPr>
                <w:rFonts w:cs="Arial"/>
                <w:color w:val="000000"/>
                <w:szCs w:val="14"/>
              </w:rPr>
            </w:pPr>
          </w:p>
        </w:tc>
      </w:tr>
      <w:tr w:rsidR="008B7E19" w:rsidRPr="00C80F9A" w14:paraId="0C23DBB0" w14:textId="77777777" w:rsidTr="008B7E19">
        <w:trPr>
          <w:trHeight w:val="238"/>
          <w:jc w:val="center"/>
        </w:trPr>
        <w:tc>
          <w:tcPr>
            <w:tcW w:w="4519" w:type="dxa"/>
            <w:tcBorders>
              <w:bottom w:val="single" w:sz="2" w:space="0" w:color="1F4E79" w:themeColor="accent1" w:themeShade="80"/>
            </w:tcBorders>
          </w:tcPr>
          <w:p w14:paraId="38EAC7A9" w14:textId="77777777" w:rsidR="008B7E19" w:rsidRPr="005E1F7B" w:rsidRDefault="008B7E19" w:rsidP="008B7E19">
            <w:pPr>
              <w:pStyle w:val="08-Tabelageral"/>
              <w:jc w:val="left"/>
              <w:rPr>
                <w:rFonts w:cs="Arial"/>
                <w:szCs w:val="14"/>
              </w:rPr>
            </w:pPr>
          </w:p>
        </w:tc>
        <w:tc>
          <w:tcPr>
            <w:tcW w:w="1526" w:type="dxa"/>
            <w:tcBorders>
              <w:bottom w:val="single" w:sz="2" w:space="0" w:color="1F4E79" w:themeColor="accent1" w:themeShade="80"/>
            </w:tcBorders>
          </w:tcPr>
          <w:p w14:paraId="21FA80B4" w14:textId="77777777" w:rsidR="008B7E19" w:rsidRPr="005E1F7B" w:rsidRDefault="008B7E19" w:rsidP="008B7E19">
            <w:pPr>
              <w:pStyle w:val="08-Tabelageral"/>
              <w:rPr>
                <w:rFonts w:cs="Arial"/>
                <w:color w:val="000000"/>
                <w:szCs w:val="14"/>
              </w:rPr>
            </w:pPr>
          </w:p>
        </w:tc>
        <w:tc>
          <w:tcPr>
            <w:tcW w:w="1797" w:type="dxa"/>
            <w:tcBorders>
              <w:bottom w:val="single" w:sz="2" w:space="0" w:color="1F4E79" w:themeColor="accent1" w:themeShade="80"/>
            </w:tcBorders>
          </w:tcPr>
          <w:p w14:paraId="222838DB" w14:textId="77777777" w:rsidR="008B7E19" w:rsidRPr="005E1F7B" w:rsidRDefault="008B7E19" w:rsidP="008B7E19">
            <w:pPr>
              <w:pStyle w:val="08-Tabelageral"/>
              <w:rPr>
                <w:rFonts w:cs="Arial"/>
                <w:szCs w:val="14"/>
              </w:rPr>
            </w:pPr>
          </w:p>
        </w:tc>
        <w:tc>
          <w:tcPr>
            <w:tcW w:w="1797" w:type="dxa"/>
            <w:tcBorders>
              <w:bottom w:val="single" w:sz="2" w:space="0" w:color="1F4E79" w:themeColor="accent1" w:themeShade="80"/>
            </w:tcBorders>
          </w:tcPr>
          <w:p w14:paraId="7C19FDA0" w14:textId="77777777" w:rsidR="008B7E19" w:rsidRPr="001D4E06" w:rsidRDefault="008B7E19" w:rsidP="008B7E19">
            <w:pPr>
              <w:spacing w:after="0" w:line="240" w:lineRule="auto"/>
              <w:jc w:val="right"/>
              <w:rPr>
                <w:rFonts w:cs="Arial"/>
                <w:b/>
                <w:sz w:val="14"/>
                <w:lang w:eastAsia="pt-BR"/>
              </w:rPr>
            </w:pPr>
            <w:r w:rsidRPr="00FC6C4B">
              <w:rPr>
                <w:rFonts w:cs="Arial"/>
                <w:b/>
                <w:sz w:val="14"/>
                <w:lang w:eastAsia="pt-BR"/>
              </w:rPr>
              <w:t>R$ thousand</w:t>
            </w:r>
          </w:p>
        </w:tc>
      </w:tr>
      <w:tr w:rsidR="008B7E19" w:rsidRPr="002F06CE" w14:paraId="0894C174" w14:textId="77777777" w:rsidTr="008B7E19">
        <w:trPr>
          <w:trHeight w:val="238"/>
          <w:jc w:val="center"/>
        </w:trPr>
        <w:tc>
          <w:tcPr>
            <w:tcW w:w="4519" w:type="dxa"/>
            <w:tcBorders>
              <w:top w:val="single" w:sz="2" w:space="0" w:color="1F4E79" w:themeColor="accent1" w:themeShade="80"/>
              <w:bottom w:val="single" w:sz="2" w:space="0" w:color="1F4E79" w:themeColor="accent1" w:themeShade="80"/>
            </w:tcBorders>
          </w:tcPr>
          <w:p w14:paraId="56AFAC74" w14:textId="77777777" w:rsidR="008B7E19" w:rsidRPr="002F06CE" w:rsidRDefault="008B7E19" w:rsidP="008B7E19">
            <w:pPr>
              <w:pStyle w:val="08-Tabelageral"/>
              <w:jc w:val="left"/>
              <w:rPr>
                <w:rFonts w:cs="Arial"/>
                <w:b/>
                <w:bCs/>
                <w:szCs w:val="14"/>
              </w:rPr>
            </w:pPr>
          </w:p>
        </w:tc>
        <w:tc>
          <w:tcPr>
            <w:tcW w:w="5120" w:type="dxa"/>
            <w:gridSpan w:val="3"/>
            <w:tcBorders>
              <w:top w:val="single" w:sz="2" w:space="0" w:color="1F4E79" w:themeColor="accent1" w:themeShade="80"/>
              <w:bottom w:val="single" w:sz="2" w:space="0" w:color="1F4E79" w:themeColor="accent1" w:themeShade="80"/>
            </w:tcBorders>
          </w:tcPr>
          <w:p w14:paraId="2C77BCDA" w14:textId="77777777" w:rsidR="008B7E19" w:rsidRPr="002F06CE" w:rsidRDefault="008B7E19" w:rsidP="008B7E19">
            <w:pPr>
              <w:pStyle w:val="08-Tabelageral"/>
              <w:jc w:val="center"/>
              <w:rPr>
                <w:rFonts w:cs="Arial"/>
                <w:b/>
                <w:bCs/>
                <w:szCs w:val="14"/>
              </w:rPr>
            </w:pPr>
            <w:r w:rsidRPr="002F06CE">
              <w:rPr>
                <w:rFonts w:cs="Arial"/>
                <w:b/>
                <w:bCs/>
              </w:rPr>
              <w:t>Consolidated</w:t>
            </w:r>
          </w:p>
        </w:tc>
      </w:tr>
      <w:tr w:rsidR="008B7E19" w:rsidRPr="00C80F9A" w14:paraId="22ABB9CD" w14:textId="77777777" w:rsidTr="008B7E19">
        <w:trPr>
          <w:trHeight w:val="238"/>
          <w:jc w:val="center"/>
        </w:trPr>
        <w:tc>
          <w:tcPr>
            <w:tcW w:w="4519" w:type="dxa"/>
            <w:tcBorders>
              <w:top w:val="single" w:sz="2" w:space="0" w:color="1F4E79" w:themeColor="accent1" w:themeShade="80"/>
              <w:bottom w:val="single" w:sz="2" w:space="0" w:color="1F4E79" w:themeColor="accent1" w:themeShade="80"/>
            </w:tcBorders>
          </w:tcPr>
          <w:p w14:paraId="4DCE32D7" w14:textId="77777777" w:rsidR="008B7E19" w:rsidRPr="00E00C9B" w:rsidRDefault="008B7E19" w:rsidP="008B7E19">
            <w:pPr>
              <w:pStyle w:val="08-Tabelageral"/>
              <w:jc w:val="left"/>
              <w:rPr>
                <w:rFonts w:cs="Arial"/>
                <w:b/>
                <w:bCs/>
                <w:szCs w:val="14"/>
              </w:rPr>
            </w:pPr>
          </w:p>
        </w:tc>
        <w:tc>
          <w:tcPr>
            <w:tcW w:w="1526" w:type="dxa"/>
            <w:tcBorders>
              <w:top w:val="single" w:sz="2" w:space="0" w:color="1F4E79" w:themeColor="accent1" w:themeShade="80"/>
              <w:bottom w:val="single" w:sz="2" w:space="0" w:color="1F4E79" w:themeColor="accent1" w:themeShade="80"/>
            </w:tcBorders>
          </w:tcPr>
          <w:p w14:paraId="7A8148AE" w14:textId="77777777" w:rsidR="008B7E19" w:rsidRPr="00C80F9A" w:rsidRDefault="008B7E19" w:rsidP="008B7E19">
            <w:pPr>
              <w:pStyle w:val="08-Tabelageral"/>
              <w:rPr>
                <w:rFonts w:cs="Arial"/>
                <w:b/>
                <w:bCs/>
                <w:szCs w:val="14"/>
              </w:rPr>
            </w:pPr>
          </w:p>
        </w:tc>
        <w:tc>
          <w:tcPr>
            <w:tcW w:w="1797" w:type="dxa"/>
            <w:tcBorders>
              <w:top w:val="single" w:sz="2" w:space="0" w:color="1F4E79" w:themeColor="accent1" w:themeShade="80"/>
              <w:bottom w:val="single" w:sz="2" w:space="0" w:color="1F4E79" w:themeColor="accent1" w:themeShade="80"/>
            </w:tcBorders>
          </w:tcPr>
          <w:p w14:paraId="4CCE2E9A" w14:textId="77777777" w:rsidR="008B7E19" w:rsidRPr="00C80F9A" w:rsidRDefault="008B7E19" w:rsidP="008B7E19">
            <w:pPr>
              <w:pStyle w:val="08-Tabelageral"/>
              <w:rPr>
                <w:rFonts w:cs="Arial"/>
                <w:b/>
                <w:bCs/>
                <w:szCs w:val="14"/>
              </w:rPr>
            </w:pPr>
            <w:r w:rsidRPr="000010FF">
              <w:rPr>
                <w:rFonts w:cs="Arial"/>
                <w:b/>
                <w:bCs/>
                <w:szCs w:val="14"/>
                <w:lang w:val="en-US"/>
              </w:rPr>
              <w:t>Dec 31, 202</w:t>
            </w:r>
            <w:r>
              <w:rPr>
                <w:rFonts w:cs="Arial"/>
                <w:b/>
                <w:bCs/>
                <w:szCs w:val="14"/>
                <w:lang w:val="en-US"/>
              </w:rPr>
              <w:t>2</w:t>
            </w:r>
          </w:p>
        </w:tc>
        <w:tc>
          <w:tcPr>
            <w:tcW w:w="1797" w:type="dxa"/>
            <w:tcBorders>
              <w:top w:val="single" w:sz="2" w:space="0" w:color="1F4E79" w:themeColor="accent1" w:themeShade="80"/>
              <w:bottom w:val="single" w:sz="2" w:space="0" w:color="1F4E79" w:themeColor="accent1" w:themeShade="80"/>
            </w:tcBorders>
          </w:tcPr>
          <w:p w14:paraId="1CDE994C" w14:textId="77777777" w:rsidR="008B7E19" w:rsidRPr="00C80F9A" w:rsidRDefault="008B7E19" w:rsidP="008B7E19">
            <w:pPr>
              <w:pStyle w:val="08-Tabelageral"/>
              <w:rPr>
                <w:rFonts w:cs="Arial"/>
                <w:b/>
                <w:bCs/>
                <w:szCs w:val="14"/>
              </w:rPr>
            </w:pPr>
          </w:p>
        </w:tc>
      </w:tr>
      <w:tr w:rsidR="008B7E19" w:rsidRPr="00C80F9A" w14:paraId="56BB211F" w14:textId="77777777" w:rsidTr="008B7E19">
        <w:trPr>
          <w:trHeight w:val="238"/>
          <w:jc w:val="center"/>
        </w:trPr>
        <w:tc>
          <w:tcPr>
            <w:tcW w:w="4519" w:type="dxa"/>
            <w:tcBorders>
              <w:top w:val="single" w:sz="2" w:space="0" w:color="1F4E79" w:themeColor="accent1" w:themeShade="80"/>
              <w:bottom w:val="single" w:sz="2" w:space="0" w:color="1F4E79" w:themeColor="accent1" w:themeShade="80"/>
            </w:tcBorders>
          </w:tcPr>
          <w:p w14:paraId="3103A200" w14:textId="77777777" w:rsidR="008B7E19" w:rsidRPr="00E00C9B" w:rsidRDefault="008B7E19" w:rsidP="008B7E19">
            <w:pPr>
              <w:pStyle w:val="08-Tabelageral"/>
              <w:jc w:val="left"/>
              <w:rPr>
                <w:rFonts w:cs="Arial"/>
                <w:b/>
                <w:bCs/>
                <w:szCs w:val="14"/>
              </w:rPr>
            </w:pPr>
          </w:p>
        </w:tc>
        <w:tc>
          <w:tcPr>
            <w:tcW w:w="1526" w:type="dxa"/>
            <w:tcBorders>
              <w:top w:val="single" w:sz="2" w:space="0" w:color="1F4E79" w:themeColor="accent1" w:themeShade="80"/>
              <w:bottom w:val="single" w:sz="2" w:space="0" w:color="1F4E79" w:themeColor="accent1" w:themeShade="80"/>
            </w:tcBorders>
          </w:tcPr>
          <w:p w14:paraId="736A9A23" w14:textId="77777777" w:rsidR="008B7E19" w:rsidRPr="00C80F9A" w:rsidRDefault="008B7E19" w:rsidP="008B7E19">
            <w:pPr>
              <w:pStyle w:val="08-Tabelageral"/>
              <w:rPr>
                <w:rFonts w:cs="Arial"/>
                <w:b/>
                <w:bCs/>
                <w:szCs w:val="14"/>
              </w:rPr>
            </w:pPr>
            <w:r>
              <w:rPr>
                <w:rFonts w:cs="Arial"/>
                <w:b/>
                <w:bCs/>
                <w:szCs w:val="14"/>
              </w:rPr>
              <w:t>Original report</w:t>
            </w:r>
          </w:p>
        </w:tc>
        <w:tc>
          <w:tcPr>
            <w:tcW w:w="1797" w:type="dxa"/>
            <w:tcBorders>
              <w:top w:val="single" w:sz="2" w:space="0" w:color="1F4E79" w:themeColor="accent1" w:themeShade="80"/>
              <w:bottom w:val="single" w:sz="2" w:space="0" w:color="1F4E79" w:themeColor="accent1" w:themeShade="80"/>
            </w:tcBorders>
          </w:tcPr>
          <w:p w14:paraId="5BA81D22" w14:textId="77777777" w:rsidR="008B7E19" w:rsidRPr="00C80F9A" w:rsidRDefault="008B7E19" w:rsidP="008B7E19">
            <w:pPr>
              <w:pStyle w:val="08-Tabelageral"/>
              <w:rPr>
                <w:rFonts w:cs="Arial"/>
                <w:b/>
                <w:bCs/>
                <w:szCs w:val="14"/>
              </w:rPr>
            </w:pPr>
            <w:r>
              <w:rPr>
                <w:rFonts w:cs="Arial"/>
                <w:b/>
                <w:bCs/>
                <w:szCs w:val="14"/>
              </w:rPr>
              <w:t>Adjustments</w:t>
            </w:r>
          </w:p>
        </w:tc>
        <w:tc>
          <w:tcPr>
            <w:tcW w:w="1797" w:type="dxa"/>
            <w:tcBorders>
              <w:top w:val="single" w:sz="2" w:space="0" w:color="1F4E79" w:themeColor="accent1" w:themeShade="80"/>
              <w:bottom w:val="single" w:sz="2" w:space="0" w:color="1F4E79" w:themeColor="accent1" w:themeShade="80"/>
            </w:tcBorders>
          </w:tcPr>
          <w:p w14:paraId="5B729B42" w14:textId="77777777" w:rsidR="008B7E19" w:rsidRPr="00C80F9A" w:rsidRDefault="008B7E19" w:rsidP="008B7E19">
            <w:pPr>
              <w:pStyle w:val="08-Tabelageral"/>
              <w:rPr>
                <w:rFonts w:cs="Arial"/>
                <w:b/>
                <w:bCs/>
                <w:szCs w:val="14"/>
              </w:rPr>
            </w:pPr>
            <w:r>
              <w:rPr>
                <w:rFonts w:cs="Arial"/>
                <w:b/>
                <w:bCs/>
                <w:szCs w:val="14"/>
              </w:rPr>
              <w:t>Restated balances</w:t>
            </w:r>
          </w:p>
        </w:tc>
      </w:tr>
      <w:tr w:rsidR="008B7E19" w:rsidRPr="00C80F9A" w14:paraId="713F2223" w14:textId="77777777" w:rsidTr="008B7E19">
        <w:trPr>
          <w:trHeight w:val="238"/>
          <w:jc w:val="center"/>
        </w:trPr>
        <w:tc>
          <w:tcPr>
            <w:tcW w:w="4519" w:type="dxa"/>
            <w:tcBorders>
              <w:top w:val="single" w:sz="2" w:space="0" w:color="1F4E79" w:themeColor="accent1" w:themeShade="80"/>
            </w:tcBorders>
            <w:vAlign w:val="center"/>
          </w:tcPr>
          <w:p w14:paraId="63F27C8C" w14:textId="77777777" w:rsidR="008B7E19" w:rsidRPr="00C80F9A" w:rsidRDefault="008B7E19" w:rsidP="008B7E19">
            <w:pPr>
              <w:pStyle w:val="08-Tabelageral"/>
              <w:jc w:val="left"/>
              <w:rPr>
                <w:rFonts w:cs="Arial"/>
                <w:b/>
                <w:bCs/>
                <w:szCs w:val="14"/>
              </w:rPr>
            </w:pPr>
            <w:r w:rsidRPr="000A4B1A">
              <w:rPr>
                <w:rFonts w:cs="Arial"/>
                <w:b/>
                <w:bCs/>
                <w:szCs w:val="14"/>
              </w:rPr>
              <w:t>Current Assets</w:t>
            </w:r>
          </w:p>
        </w:tc>
        <w:tc>
          <w:tcPr>
            <w:tcW w:w="1526" w:type="dxa"/>
            <w:tcBorders>
              <w:top w:val="single" w:sz="2" w:space="0" w:color="1F4E79" w:themeColor="accent1" w:themeShade="80"/>
            </w:tcBorders>
          </w:tcPr>
          <w:p w14:paraId="68A10257" w14:textId="77777777" w:rsidR="008B7E19" w:rsidRPr="00C80F9A" w:rsidRDefault="008B7E19" w:rsidP="008B7E19">
            <w:pPr>
              <w:pStyle w:val="08-Tabelageral"/>
              <w:rPr>
                <w:rFonts w:cs="Arial"/>
                <w:b/>
                <w:bCs/>
                <w:szCs w:val="14"/>
                <w:highlight w:val="yellow"/>
              </w:rPr>
            </w:pPr>
            <w:r w:rsidRPr="00663258">
              <w:rPr>
                <w:b/>
                <w:bCs/>
              </w:rPr>
              <w:t xml:space="preserve"> 7</w:t>
            </w:r>
            <w:r>
              <w:rPr>
                <w:b/>
                <w:bCs/>
              </w:rPr>
              <w:t>,</w:t>
            </w:r>
            <w:r w:rsidRPr="00663258">
              <w:rPr>
                <w:b/>
                <w:bCs/>
              </w:rPr>
              <w:t>221</w:t>
            </w:r>
            <w:r>
              <w:rPr>
                <w:b/>
                <w:bCs/>
              </w:rPr>
              <w:t>,</w:t>
            </w:r>
            <w:r w:rsidRPr="00663258">
              <w:rPr>
                <w:b/>
                <w:bCs/>
              </w:rPr>
              <w:t xml:space="preserve">098 </w:t>
            </w:r>
          </w:p>
        </w:tc>
        <w:tc>
          <w:tcPr>
            <w:tcW w:w="1797" w:type="dxa"/>
            <w:tcBorders>
              <w:top w:val="single" w:sz="2" w:space="0" w:color="1F4E79" w:themeColor="accent1" w:themeShade="80"/>
            </w:tcBorders>
          </w:tcPr>
          <w:p w14:paraId="03E3AAA3" w14:textId="77777777" w:rsidR="008B7E19" w:rsidRPr="007E33FB" w:rsidRDefault="008B7E19" w:rsidP="008B7E19">
            <w:pPr>
              <w:pStyle w:val="08-Tabelageral"/>
              <w:rPr>
                <w:rFonts w:cs="Arial"/>
                <w:b/>
                <w:bCs/>
                <w:szCs w:val="14"/>
              </w:rPr>
            </w:pPr>
            <w:r w:rsidRPr="00663258">
              <w:rPr>
                <w:b/>
                <w:bCs/>
              </w:rPr>
              <w:t xml:space="preserve"> </w:t>
            </w:r>
            <w:r>
              <w:rPr>
                <w:b/>
                <w:bCs/>
              </w:rPr>
              <w:t>--</w:t>
            </w:r>
            <w:r w:rsidRPr="00663258">
              <w:rPr>
                <w:b/>
                <w:bCs/>
              </w:rPr>
              <w:t xml:space="preserve">   </w:t>
            </w:r>
          </w:p>
        </w:tc>
        <w:tc>
          <w:tcPr>
            <w:tcW w:w="1797" w:type="dxa"/>
            <w:tcBorders>
              <w:top w:val="single" w:sz="2" w:space="0" w:color="1F4E79" w:themeColor="accent1" w:themeShade="80"/>
            </w:tcBorders>
          </w:tcPr>
          <w:p w14:paraId="5015D953" w14:textId="77777777" w:rsidR="008B7E19" w:rsidRPr="007E33FB" w:rsidRDefault="008B7E19" w:rsidP="008B7E19">
            <w:pPr>
              <w:pStyle w:val="08-Tabelageral"/>
              <w:rPr>
                <w:rFonts w:cs="Arial"/>
                <w:b/>
                <w:bCs/>
                <w:szCs w:val="14"/>
              </w:rPr>
            </w:pPr>
            <w:r w:rsidRPr="00663258">
              <w:rPr>
                <w:b/>
                <w:bCs/>
              </w:rPr>
              <w:t xml:space="preserve"> 7</w:t>
            </w:r>
            <w:r>
              <w:rPr>
                <w:b/>
                <w:bCs/>
              </w:rPr>
              <w:t>,</w:t>
            </w:r>
            <w:r w:rsidRPr="00663258">
              <w:rPr>
                <w:b/>
                <w:bCs/>
              </w:rPr>
              <w:t>221</w:t>
            </w:r>
            <w:r>
              <w:rPr>
                <w:b/>
                <w:bCs/>
              </w:rPr>
              <w:t>,</w:t>
            </w:r>
            <w:r w:rsidRPr="00663258">
              <w:rPr>
                <w:b/>
                <w:bCs/>
              </w:rPr>
              <w:t xml:space="preserve">098 </w:t>
            </w:r>
          </w:p>
        </w:tc>
      </w:tr>
      <w:tr w:rsidR="008B7E19" w:rsidRPr="00A03B7C" w14:paraId="7EF92838" w14:textId="77777777" w:rsidTr="008B7E19">
        <w:trPr>
          <w:trHeight w:val="238"/>
          <w:jc w:val="center"/>
        </w:trPr>
        <w:tc>
          <w:tcPr>
            <w:tcW w:w="4519" w:type="dxa"/>
          </w:tcPr>
          <w:p w14:paraId="1E0D8284" w14:textId="77777777" w:rsidR="008B7E19" w:rsidRPr="00A03B7C" w:rsidRDefault="008B7E19" w:rsidP="008B7E19">
            <w:pPr>
              <w:pStyle w:val="08-Tabelageral"/>
              <w:jc w:val="left"/>
              <w:rPr>
                <w:rFonts w:cs="Arial"/>
                <w:b/>
                <w:bCs/>
                <w:szCs w:val="14"/>
                <w:highlight w:val="yellow"/>
              </w:rPr>
            </w:pPr>
            <w:r w:rsidRPr="000A4B1A">
              <w:rPr>
                <w:rFonts w:cs="Arial"/>
                <w:b/>
                <w:bCs/>
                <w:szCs w:val="14"/>
              </w:rPr>
              <w:t>Non-Current Assets</w:t>
            </w:r>
          </w:p>
        </w:tc>
        <w:tc>
          <w:tcPr>
            <w:tcW w:w="1526" w:type="dxa"/>
          </w:tcPr>
          <w:p w14:paraId="0754C7B7" w14:textId="77777777" w:rsidR="008B7E19" w:rsidRPr="00A03B7C" w:rsidRDefault="008B7E19" w:rsidP="008B7E19">
            <w:pPr>
              <w:pStyle w:val="08-Tabelageral"/>
              <w:rPr>
                <w:rFonts w:cs="Arial"/>
                <w:b/>
                <w:bCs/>
                <w:szCs w:val="14"/>
                <w:highlight w:val="yellow"/>
              </w:rPr>
            </w:pPr>
            <w:r w:rsidRPr="00663258">
              <w:rPr>
                <w:b/>
                <w:bCs/>
              </w:rPr>
              <w:t xml:space="preserve"> 8</w:t>
            </w:r>
            <w:r>
              <w:rPr>
                <w:b/>
                <w:bCs/>
              </w:rPr>
              <w:t>,</w:t>
            </w:r>
            <w:r w:rsidRPr="00663258">
              <w:rPr>
                <w:b/>
                <w:bCs/>
              </w:rPr>
              <w:t>908</w:t>
            </w:r>
            <w:r>
              <w:rPr>
                <w:b/>
                <w:bCs/>
              </w:rPr>
              <w:t>,</w:t>
            </w:r>
            <w:r w:rsidRPr="00663258">
              <w:rPr>
                <w:b/>
                <w:bCs/>
              </w:rPr>
              <w:t xml:space="preserve">734 </w:t>
            </w:r>
          </w:p>
        </w:tc>
        <w:tc>
          <w:tcPr>
            <w:tcW w:w="1797" w:type="dxa"/>
          </w:tcPr>
          <w:p w14:paraId="5A7E6F13" w14:textId="77777777" w:rsidR="008B7E19" w:rsidRPr="00A03B7C" w:rsidRDefault="008B7E19" w:rsidP="008B7E19">
            <w:pPr>
              <w:pStyle w:val="08-Tabelageral"/>
              <w:rPr>
                <w:rFonts w:cs="Arial"/>
                <w:b/>
                <w:bCs/>
                <w:szCs w:val="14"/>
                <w:highlight w:val="yellow"/>
              </w:rPr>
            </w:pPr>
            <w:r w:rsidRPr="00663258">
              <w:rPr>
                <w:b/>
                <w:bCs/>
              </w:rPr>
              <w:t xml:space="preserve"> 440</w:t>
            </w:r>
            <w:r>
              <w:rPr>
                <w:b/>
                <w:bCs/>
              </w:rPr>
              <w:t>,</w:t>
            </w:r>
            <w:r w:rsidRPr="00663258">
              <w:rPr>
                <w:b/>
                <w:bCs/>
              </w:rPr>
              <w:t xml:space="preserve">629 </w:t>
            </w:r>
          </w:p>
        </w:tc>
        <w:tc>
          <w:tcPr>
            <w:tcW w:w="1797" w:type="dxa"/>
          </w:tcPr>
          <w:p w14:paraId="3F782390" w14:textId="77777777" w:rsidR="008B7E19" w:rsidRPr="00A03B7C" w:rsidRDefault="008B7E19" w:rsidP="008B7E19">
            <w:pPr>
              <w:pStyle w:val="08-Tabelageral"/>
              <w:rPr>
                <w:rFonts w:cs="Arial"/>
                <w:b/>
                <w:bCs/>
                <w:szCs w:val="14"/>
                <w:highlight w:val="yellow"/>
              </w:rPr>
            </w:pPr>
            <w:r w:rsidRPr="00663258">
              <w:rPr>
                <w:b/>
                <w:bCs/>
              </w:rPr>
              <w:t xml:space="preserve"> 9</w:t>
            </w:r>
            <w:r>
              <w:rPr>
                <w:b/>
                <w:bCs/>
              </w:rPr>
              <w:t>,</w:t>
            </w:r>
            <w:r w:rsidRPr="00663258">
              <w:rPr>
                <w:b/>
                <w:bCs/>
              </w:rPr>
              <w:t>349</w:t>
            </w:r>
            <w:r>
              <w:rPr>
                <w:b/>
                <w:bCs/>
              </w:rPr>
              <w:t>,</w:t>
            </w:r>
            <w:r w:rsidRPr="00663258">
              <w:rPr>
                <w:b/>
                <w:bCs/>
              </w:rPr>
              <w:t xml:space="preserve">363 </w:t>
            </w:r>
          </w:p>
        </w:tc>
      </w:tr>
      <w:tr w:rsidR="008B7E19" w:rsidRPr="0068399F" w14:paraId="247B058E" w14:textId="77777777" w:rsidTr="008B7E19">
        <w:trPr>
          <w:trHeight w:val="238"/>
          <w:jc w:val="center"/>
        </w:trPr>
        <w:tc>
          <w:tcPr>
            <w:tcW w:w="4519" w:type="dxa"/>
            <w:vAlign w:val="center"/>
          </w:tcPr>
          <w:p w14:paraId="3788F58A" w14:textId="77777777" w:rsidR="008B7E19" w:rsidRPr="002F06CE" w:rsidRDefault="008B7E19" w:rsidP="008B7E19">
            <w:pPr>
              <w:pStyle w:val="08-Tabelageral"/>
              <w:ind w:left="113"/>
              <w:jc w:val="left"/>
              <w:rPr>
                <w:rFonts w:cs="Arial"/>
                <w:szCs w:val="14"/>
                <w:lang w:val="en-US"/>
              </w:rPr>
            </w:pPr>
            <w:r w:rsidRPr="00BD6C7E">
              <w:rPr>
                <w:rFonts w:cs="Arial"/>
                <w:szCs w:val="14"/>
                <w:lang w:val="en-US"/>
              </w:rPr>
              <w:t>Financial assets at fair value through profit or loss</w:t>
            </w:r>
          </w:p>
        </w:tc>
        <w:tc>
          <w:tcPr>
            <w:tcW w:w="1526" w:type="dxa"/>
          </w:tcPr>
          <w:p w14:paraId="1C407917" w14:textId="77777777" w:rsidR="008B7E19" w:rsidRDefault="008B7E19" w:rsidP="008B7E19">
            <w:pPr>
              <w:pStyle w:val="08-Tabelageral"/>
              <w:rPr>
                <w:rFonts w:cs="Arial"/>
                <w:color w:val="000000"/>
                <w:szCs w:val="14"/>
              </w:rPr>
            </w:pPr>
            <w:r w:rsidRPr="00356E06">
              <w:t xml:space="preserve"> 368</w:t>
            </w:r>
            <w:r>
              <w:t>,</w:t>
            </w:r>
            <w:r w:rsidRPr="00356E06">
              <w:t xml:space="preserve">281 </w:t>
            </w:r>
          </w:p>
        </w:tc>
        <w:tc>
          <w:tcPr>
            <w:tcW w:w="1797" w:type="dxa"/>
          </w:tcPr>
          <w:p w14:paraId="7072258B" w14:textId="77777777" w:rsidR="008B7E19" w:rsidRPr="007E33FB" w:rsidRDefault="008B7E19" w:rsidP="008B7E19">
            <w:pPr>
              <w:pStyle w:val="08-Tabelageral"/>
              <w:rPr>
                <w:rFonts w:cs="Arial"/>
                <w:color w:val="000000"/>
                <w:szCs w:val="14"/>
              </w:rPr>
            </w:pPr>
            <w:r w:rsidRPr="00356E06">
              <w:t xml:space="preserve"> </w:t>
            </w:r>
            <w:r>
              <w:t>--</w:t>
            </w:r>
            <w:r w:rsidRPr="00356E06">
              <w:t xml:space="preserve">   </w:t>
            </w:r>
          </w:p>
        </w:tc>
        <w:tc>
          <w:tcPr>
            <w:tcW w:w="1797" w:type="dxa"/>
          </w:tcPr>
          <w:p w14:paraId="66173C8E" w14:textId="77777777" w:rsidR="008B7E19" w:rsidRPr="007E33FB" w:rsidRDefault="008B7E19" w:rsidP="008B7E19">
            <w:pPr>
              <w:pStyle w:val="08-Tabelageral"/>
              <w:rPr>
                <w:rFonts w:cs="Arial"/>
                <w:color w:val="000000"/>
                <w:szCs w:val="14"/>
              </w:rPr>
            </w:pPr>
            <w:r w:rsidRPr="00356E06">
              <w:t xml:space="preserve"> 368</w:t>
            </w:r>
            <w:r>
              <w:t>,</w:t>
            </w:r>
            <w:r w:rsidRPr="00356E06">
              <w:t xml:space="preserve">281 </w:t>
            </w:r>
          </w:p>
        </w:tc>
      </w:tr>
      <w:tr w:rsidR="008B7E19" w:rsidRPr="0068399F" w14:paraId="073BF6CB" w14:textId="77777777" w:rsidTr="008B7E19">
        <w:trPr>
          <w:trHeight w:val="238"/>
          <w:jc w:val="center"/>
        </w:trPr>
        <w:tc>
          <w:tcPr>
            <w:tcW w:w="4519" w:type="dxa"/>
            <w:vAlign w:val="center"/>
          </w:tcPr>
          <w:p w14:paraId="1E90D6A1" w14:textId="77777777" w:rsidR="008B7E19" w:rsidRPr="001346BC" w:rsidRDefault="008B7E19" w:rsidP="008B7E19">
            <w:pPr>
              <w:pStyle w:val="08-Tabelageral"/>
              <w:ind w:left="113"/>
              <w:jc w:val="left"/>
              <w:rPr>
                <w:rFonts w:cs="Arial"/>
                <w:szCs w:val="14"/>
              </w:rPr>
            </w:pPr>
            <w:r w:rsidRPr="002E2354">
              <w:t>Current tax assets</w:t>
            </w:r>
          </w:p>
        </w:tc>
        <w:tc>
          <w:tcPr>
            <w:tcW w:w="1526" w:type="dxa"/>
          </w:tcPr>
          <w:p w14:paraId="3586A140" w14:textId="77777777" w:rsidR="008B7E19" w:rsidRDefault="008B7E19" w:rsidP="008B7E19">
            <w:pPr>
              <w:pStyle w:val="08-Tabelageral"/>
              <w:rPr>
                <w:rFonts w:cs="Arial"/>
                <w:color w:val="000000"/>
                <w:szCs w:val="14"/>
              </w:rPr>
            </w:pPr>
            <w:r w:rsidRPr="00356E06">
              <w:t xml:space="preserve"> 97</w:t>
            </w:r>
            <w:r>
              <w:t>,</w:t>
            </w:r>
            <w:r w:rsidRPr="00356E06">
              <w:t xml:space="preserve">108 </w:t>
            </w:r>
          </w:p>
        </w:tc>
        <w:tc>
          <w:tcPr>
            <w:tcW w:w="1797" w:type="dxa"/>
          </w:tcPr>
          <w:p w14:paraId="08E4E806" w14:textId="77777777" w:rsidR="008B7E19" w:rsidRPr="007E33FB" w:rsidRDefault="008B7E19" w:rsidP="008B7E19">
            <w:pPr>
              <w:pStyle w:val="08-Tabelageral"/>
              <w:rPr>
                <w:rFonts w:cs="Arial"/>
                <w:color w:val="000000"/>
                <w:szCs w:val="14"/>
              </w:rPr>
            </w:pPr>
            <w:r w:rsidRPr="00356E06">
              <w:t xml:space="preserve"> </w:t>
            </w:r>
            <w:r>
              <w:t>--</w:t>
            </w:r>
            <w:r w:rsidRPr="00356E06">
              <w:t xml:space="preserve">   </w:t>
            </w:r>
          </w:p>
        </w:tc>
        <w:tc>
          <w:tcPr>
            <w:tcW w:w="1797" w:type="dxa"/>
          </w:tcPr>
          <w:p w14:paraId="50A5E481" w14:textId="77777777" w:rsidR="008B7E19" w:rsidRPr="007E33FB" w:rsidRDefault="008B7E19" w:rsidP="008B7E19">
            <w:pPr>
              <w:pStyle w:val="08-Tabelageral"/>
              <w:rPr>
                <w:rFonts w:cs="Arial"/>
                <w:color w:val="000000"/>
                <w:szCs w:val="14"/>
              </w:rPr>
            </w:pPr>
            <w:r w:rsidRPr="00356E06">
              <w:t xml:space="preserve"> 97</w:t>
            </w:r>
            <w:r>
              <w:t>,</w:t>
            </w:r>
            <w:r w:rsidRPr="00356E06">
              <w:t xml:space="preserve">108 </w:t>
            </w:r>
          </w:p>
        </w:tc>
      </w:tr>
      <w:tr w:rsidR="008B7E19" w:rsidRPr="0068399F" w14:paraId="34BB1786" w14:textId="77777777" w:rsidTr="008B7E19">
        <w:trPr>
          <w:trHeight w:val="238"/>
          <w:jc w:val="center"/>
        </w:trPr>
        <w:tc>
          <w:tcPr>
            <w:tcW w:w="4519" w:type="dxa"/>
            <w:vAlign w:val="center"/>
          </w:tcPr>
          <w:p w14:paraId="227779A1" w14:textId="77777777" w:rsidR="008B7E19" w:rsidRPr="001346BC" w:rsidRDefault="008B7E19" w:rsidP="008B7E19">
            <w:pPr>
              <w:pStyle w:val="08-Tabelageral"/>
              <w:ind w:left="113"/>
              <w:jc w:val="left"/>
              <w:rPr>
                <w:rFonts w:cs="Arial"/>
                <w:szCs w:val="14"/>
              </w:rPr>
            </w:pPr>
            <w:r w:rsidRPr="00C27294">
              <w:rPr>
                <w:rFonts w:cs="Arial"/>
                <w:szCs w:val="14"/>
              </w:rPr>
              <w:t>Deferred tax assets</w:t>
            </w:r>
          </w:p>
        </w:tc>
        <w:tc>
          <w:tcPr>
            <w:tcW w:w="1526" w:type="dxa"/>
          </w:tcPr>
          <w:p w14:paraId="5C81CB96" w14:textId="77777777" w:rsidR="008B7E19" w:rsidRDefault="008B7E19" w:rsidP="008B7E19">
            <w:pPr>
              <w:pStyle w:val="08-Tabelageral"/>
              <w:rPr>
                <w:rFonts w:cs="Arial"/>
                <w:color w:val="000000"/>
                <w:szCs w:val="14"/>
              </w:rPr>
            </w:pPr>
            <w:r w:rsidRPr="00356E06">
              <w:t xml:space="preserve"> 7</w:t>
            </w:r>
            <w:r>
              <w:t>,</w:t>
            </w:r>
            <w:r w:rsidRPr="00356E06">
              <w:t xml:space="preserve">773 </w:t>
            </w:r>
          </w:p>
        </w:tc>
        <w:tc>
          <w:tcPr>
            <w:tcW w:w="1797" w:type="dxa"/>
          </w:tcPr>
          <w:p w14:paraId="7A6C18DF" w14:textId="77777777" w:rsidR="008B7E19" w:rsidRPr="007E33FB" w:rsidRDefault="008B7E19" w:rsidP="008B7E19">
            <w:pPr>
              <w:pStyle w:val="08-Tabelageral"/>
              <w:rPr>
                <w:rFonts w:cs="Arial"/>
                <w:color w:val="000000"/>
                <w:szCs w:val="14"/>
              </w:rPr>
            </w:pPr>
            <w:r w:rsidRPr="00356E06">
              <w:t xml:space="preserve"> </w:t>
            </w:r>
            <w:r>
              <w:t>--</w:t>
            </w:r>
            <w:r w:rsidRPr="00356E06">
              <w:t xml:space="preserve">   </w:t>
            </w:r>
          </w:p>
        </w:tc>
        <w:tc>
          <w:tcPr>
            <w:tcW w:w="1797" w:type="dxa"/>
          </w:tcPr>
          <w:p w14:paraId="20032BFC" w14:textId="77777777" w:rsidR="008B7E19" w:rsidRPr="007E33FB" w:rsidRDefault="008B7E19" w:rsidP="008B7E19">
            <w:pPr>
              <w:pStyle w:val="08-Tabelageral"/>
              <w:rPr>
                <w:rFonts w:cs="Arial"/>
                <w:color w:val="000000"/>
                <w:szCs w:val="14"/>
              </w:rPr>
            </w:pPr>
            <w:r w:rsidRPr="00356E06">
              <w:t xml:space="preserve"> 7</w:t>
            </w:r>
            <w:r>
              <w:t>,</w:t>
            </w:r>
            <w:r w:rsidRPr="00356E06">
              <w:t xml:space="preserve">773 </w:t>
            </w:r>
          </w:p>
        </w:tc>
      </w:tr>
      <w:tr w:rsidR="008B7E19" w:rsidRPr="0068399F" w14:paraId="38CCFAB0" w14:textId="77777777" w:rsidTr="008B7E19">
        <w:trPr>
          <w:trHeight w:val="238"/>
          <w:jc w:val="center"/>
        </w:trPr>
        <w:tc>
          <w:tcPr>
            <w:tcW w:w="4519" w:type="dxa"/>
            <w:vAlign w:val="center"/>
          </w:tcPr>
          <w:p w14:paraId="08823345" w14:textId="77777777" w:rsidR="008B7E19" w:rsidRPr="001346BC" w:rsidRDefault="008B7E19" w:rsidP="008B7E19">
            <w:pPr>
              <w:pStyle w:val="08-Tabelageral"/>
              <w:ind w:left="113"/>
              <w:jc w:val="left"/>
              <w:rPr>
                <w:rFonts w:cs="Arial"/>
                <w:szCs w:val="14"/>
              </w:rPr>
            </w:pPr>
            <w:r w:rsidRPr="00C27294">
              <w:rPr>
                <w:rFonts w:cs="Arial"/>
                <w:szCs w:val="14"/>
              </w:rPr>
              <w:t>Commissions receivable</w:t>
            </w:r>
          </w:p>
        </w:tc>
        <w:tc>
          <w:tcPr>
            <w:tcW w:w="1526" w:type="dxa"/>
          </w:tcPr>
          <w:p w14:paraId="05F58B67" w14:textId="77777777" w:rsidR="008B7E19" w:rsidRDefault="008B7E19" w:rsidP="008B7E19">
            <w:pPr>
              <w:pStyle w:val="08-Tabelageral"/>
              <w:rPr>
                <w:rFonts w:cs="Arial"/>
                <w:color w:val="000000"/>
                <w:szCs w:val="14"/>
              </w:rPr>
            </w:pPr>
            <w:r w:rsidRPr="00356E06">
              <w:t xml:space="preserve"> 1</w:t>
            </w:r>
            <w:r>
              <w:t>,</w:t>
            </w:r>
            <w:r w:rsidRPr="00356E06">
              <w:t>823</w:t>
            </w:r>
            <w:r>
              <w:t>,</w:t>
            </w:r>
            <w:r w:rsidRPr="00356E06">
              <w:t xml:space="preserve">246 </w:t>
            </w:r>
          </w:p>
        </w:tc>
        <w:tc>
          <w:tcPr>
            <w:tcW w:w="1797" w:type="dxa"/>
          </w:tcPr>
          <w:p w14:paraId="37F19DC6" w14:textId="77777777" w:rsidR="008B7E19" w:rsidRPr="007E33FB" w:rsidRDefault="008B7E19" w:rsidP="008B7E19">
            <w:pPr>
              <w:pStyle w:val="08-Tabelageral"/>
              <w:rPr>
                <w:rFonts w:cs="Arial"/>
                <w:color w:val="000000"/>
                <w:szCs w:val="14"/>
              </w:rPr>
            </w:pPr>
            <w:r w:rsidRPr="00356E06">
              <w:t xml:space="preserve"> </w:t>
            </w:r>
            <w:r>
              <w:t>--</w:t>
            </w:r>
            <w:r w:rsidRPr="00356E06">
              <w:t xml:space="preserve">   </w:t>
            </w:r>
          </w:p>
        </w:tc>
        <w:tc>
          <w:tcPr>
            <w:tcW w:w="1797" w:type="dxa"/>
          </w:tcPr>
          <w:p w14:paraId="4B3E86FA" w14:textId="77777777" w:rsidR="008B7E19" w:rsidRPr="007E33FB" w:rsidRDefault="008B7E19" w:rsidP="008B7E19">
            <w:pPr>
              <w:pStyle w:val="08-Tabelageral"/>
              <w:rPr>
                <w:rFonts w:cs="Arial"/>
                <w:color w:val="000000"/>
                <w:szCs w:val="14"/>
              </w:rPr>
            </w:pPr>
            <w:r w:rsidRPr="00356E06">
              <w:t xml:space="preserve"> 1</w:t>
            </w:r>
            <w:r>
              <w:t>,</w:t>
            </w:r>
            <w:r w:rsidRPr="00356E06">
              <w:t>823</w:t>
            </w:r>
            <w:r>
              <w:t>,</w:t>
            </w:r>
            <w:r w:rsidRPr="00356E06">
              <w:t xml:space="preserve">246 </w:t>
            </w:r>
          </w:p>
        </w:tc>
      </w:tr>
      <w:tr w:rsidR="008B7E19" w:rsidRPr="0068399F" w14:paraId="00D9F96D" w14:textId="77777777" w:rsidTr="008B7E19">
        <w:trPr>
          <w:trHeight w:val="238"/>
          <w:jc w:val="center"/>
        </w:trPr>
        <w:tc>
          <w:tcPr>
            <w:tcW w:w="4519" w:type="dxa"/>
            <w:vAlign w:val="center"/>
          </w:tcPr>
          <w:p w14:paraId="2ABA11EC" w14:textId="77777777" w:rsidR="008B7E19" w:rsidRPr="00A03B7C" w:rsidRDefault="008B7E19" w:rsidP="008B7E19">
            <w:pPr>
              <w:pStyle w:val="08-Tabelageral"/>
              <w:ind w:left="113"/>
              <w:jc w:val="left"/>
              <w:rPr>
                <w:rFonts w:cs="Arial"/>
                <w:szCs w:val="14"/>
                <w:highlight w:val="yellow"/>
              </w:rPr>
            </w:pPr>
            <w:r w:rsidRPr="00C27294">
              <w:rPr>
                <w:rFonts w:cs="Arial"/>
                <w:szCs w:val="14"/>
              </w:rPr>
              <w:t>Investments in associates</w:t>
            </w:r>
          </w:p>
        </w:tc>
        <w:tc>
          <w:tcPr>
            <w:tcW w:w="1526" w:type="dxa"/>
          </w:tcPr>
          <w:p w14:paraId="3F4E585C" w14:textId="77777777" w:rsidR="008B7E19" w:rsidRPr="00A03B7C" w:rsidRDefault="008B7E19" w:rsidP="008B7E19">
            <w:pPr>
              <w:pStyle w:val="08-Tabelageral"/>
              <w:rPr>
                <w:rFonts w:cs="Arial"/>
                <w:color w:val="000000"/>
                <w:szCs w:val="14"/>
                <w:highlight w:val="yellow"/>
              </w:rPr>
            </w:pPr>
            <w:r w:rsidRPr="00356E06">
              <w:t xml:space="preserve"> 7</w:t>
            </w:r>
            <w:r>
              <w:t>,</w:t>
            </w:r>
            <w:r w:rsidRPr="00356E06">
              <w:t>516</w:t>
            </w:r>
            <w:r>
              <w:t>,</w:t>
            </w:r>
            <w:r w:rsidRPr="00356E06">
              <w:t xml:space="preserve">810 </w:t>
            </w:r>
          </w:p>
        </w:tc>
        <w:tc>
          <w:tcPr>
            <w:tcW w:w="1797" w:type="dxa"/>
          </w:tcPr>
          <w:p w14:paraId="3BA0A228" w14:textId="77777777" w:rsidR="008B7E19" w:rsidRPr="00A03B7C" w:rsidRDefault="008B7E19" w:rsidP="008B7E19">
            <w:pPr>
              <w:pStyle w:val="08-Tabelageral"/>
              <w:rPr>
                <w:rFonts w:cs="Arial"/>
                <w:color w:val="000000"/>
                <w:szCs w:val="14"/>
                <w:highlight w:val="yellow"/>
              </w:rPr>
            </w:pPr>
            <w:r w:rsidRPr="00356E06">
              <w:t xml:space="preserve"> 440</w:t>
            </w:r>
            <w:r>
              <w:t>,</w:t>
            </w:r>
            <w:r w:rsidRPr="00356E06">
              <w:t xml:space="preserve">629 </w:t>
            </w:r>
          </w:p>
        </w:tc>
        <w:tc>
          <w:tcPr>
            <w:tcW w:w="1797" w:type="dxa"/>
          </w:tcPr>
          <w:p w14:paraId="1C799F1E" w14:textId="77777777" w:rsidR="008B7E19" w:rsidRPr="007E33FB" w:rsidRDefault="008B7E19" w:rsidP="008B7E19">
            <w:pPr>
              <w:pStyle w:val="08-Tabelageral"/>
              <w:rPr>
                <w:rFonts w:cs="Arial"/>
                <w:color w:val="000000"/>
                <w:szCs w:val="14"/>
              </w:rPr>
            </w:pPr>
            <w:r w:rsidRPr="00356E06">
              <w:t xml:space="preserve"> 7</w:t>
            </w:r>
            <w:r>
              <w:t>,</w:t>
            </w:r>
            <w:r w:rsidRPr="00356E06">
              <w:t>957</w:t>
            </w:r>
            <w:r>
              <w:t>,</w:t>
            </w:r>
            <w:r w:rsidRPr="00356E06">
              <w:t xml:space="preserve">439 </w:t>
            </w:r>
          </w:p>
        </w:tc>
      </w:tr>
      <w:tr w:rsidR="008B7E19" w:rsidRPr="0068399F" w14:paraId="0C3E051A" w14:textId="77777777" w:rsidTr="008B7E19">
        <w:trPr>
          <w:trHeight w:val="238"/>
          <w:jc w:val="center"/>
        </w:trPr>
        <w:tc>
          <w:tcPr>
            <w:tcW w:w="4519" w:type="dxa"/>
            <w:vAlign w:val="center"/>
          </w:tcPr>
          <w:p w14:paraId="45426E90" w14:textId="77777777" w:rsidR="008B7E19" w:rsidRPr="001346BC" w:rsidRDefault="008B7E19" w:rsidP="008B7E19">
            <w:pPr>
              <w:pStyle w:val="08-Tabelageral"/>
              <w:ind w:left="113"/>
              <w:jc w:val="left"/>
              <w:rPr>
                <w:rFonts w:cs="Arial"/>
                <w:szCs w:val="14"/>
              </w:rPr>
            </w:pPr>
            <w:r w:rsidRPr="00DC0B01">
              <w:rPr>
                <w:rFonts w:cs="Arial"/>
                <w:szCs w:val="14"/>
              </w:rPr>
              <w:t>Intangible</w:t>
            </w:r>
          </w:p>
        </w:tc>
        <w:tc>
          <w:tcPr>
            <w:tcW w:w="1526" w:type="dxa"/>
          </w:tcPr>
          <w:p w14:paraId="20986B59" w14:textId="77777777" w:rsidR="008B7E19" w:rsidRDefault="008B7E19" w:rsidP="008B7E19">
            <w:pPr>
              <w:pStyle w:val="08-Tabelageral"/>
              <w:rPr>
                <w:rFonts w:cs="Arial"/>
                <w:color w:val="000000"/>
                <w:szCs w:val="14"/>
              </w:rPr>
            </w:pPr>
            <w:r w:rsidRPr="00356E06">
              <w:t xml:space="preserve"> 4</w:t>
            </w:r>
            <w:r>
              <w:t>,</w:t>
            </w:r>
            <w:r w:rsidRPr="00356E06">
              <w:t xml:space="preserve">021 </w:t>
            </w:r>
          </w:p>
        </w:tc>
        <w:tc>
          <w:tcPr>
            <w:tcW w:w="1797" w:type="dxa"/>
          </w:tcPr>
          <w:p w14:paraId="125AFCE4" w14:textId="77777777" w:rsidR="008B7E19" w:rsidRPr="007E33FB" w:rsidRDefault="008B7E19" w:rsidP="008B7E19">
            <w:pPr>
              <w:pStyle w:val="08-Tabelageral"/>
              <w:rPr>
                <w:rFonts w:cs="Arial"/>
                <w:color w:val="000000"/>
                <w:szCs w:val="14"/>
              </w:rPr>
            </w:pPr>
            <w:r w:rsidRPr="00356E06">
              <w:t xml:space="preserve"> </w:t>
            </w:r>
            <w:r>
              <w:t>--</w:t>
            </w:r>
            <w:r w:rsidRPr="00356E06">
              <w:t xml:space="preserve">   </w:t>
            </w:r>
          </w:p>
        </w:tc>
        <w:tc>
          <w:tcPr>
            <w:tcW w:w="1797" w:type="dxa"/>
          </w:tcPr>
          <w:p w14:paraId="47A47C36" w14:textId="77777777" w:rsidR="008B7E19" w:rsidRPr="007E33FB" w:rsidRDefault="008B7E19" w:rsidP="008B7E19">
            <w:pPr>
              <w:pStyle w:val="08-Tabelageral"/>
              <w:rPr>
                <w:rFonts w:cs="Arial"/>
                <w:color w:val="000000"/>
                <w:szCs w:val="14"/>
              </w:rPr>
            </w:pPr>
            <w:r w:rsidRPr="00356E06">
              <w:t xml:space="preserve"> 4</w:t>
            </w:r>
            <w:r>
              <w:t>,</w:t>
            </w:r>
            <w:r w:rsidRPr="00356E06">
              <w:t xml:space="preserve">021 </w:t>
            </w:r>
          </w:p>
        </w:tc>
      </w:tr>
      <w:tr w:rsidR="008B7E19" w:rsidRPr="0068399F" w14:paraId="0C262EC8" w14:textId="77777777" w:rsidTr="008B7E19">
        <w:trPr>
          <w:trHeight w:val="238"/>
          <w:jc w:val="center"/>
        </w:trPr>
        <w:tc>
          <w:tcPr>
            <w:tcW w:w="4519" w:type="dxa"/>
            <w:vAlign w:val="center"/>
          </w:tcPr>
          <w:p w14:paraId="425675FC" w14:textId="77777777" w:rsidR="008B7E19" w:rsidRPr="001346BC" w:rsidRDefault="008B7E19" w:rsidP="008B7E19">
            <w:pPr>
              <w:pStyle w:val="08-Tabelageral"/>
              <w:ind w:left="113"/>
              <w:jc w:val="left"/>
              <w:rPr>
                <w:rFonts w:cs="Arial"/>
                <w:szCs w:val="14"/>
              </w:rPr>
            </w:pPr>
            <w:r w:rsidRPr="00C27294">
              <w:rPr>
                <w:rFonts w:cs="Arial"/>
                <w:szCs w:val="14"/>
              </w:rPr>
              <w:t>Other assets</w:t>
            </w:r>
          </w:p>
        </w:tc>
        <w:tc>
          <w:tcPr>
            <w:tcW w:w="1526" w:type="dxa"/>
          </w:tcPr>
          <w:p w14:paraId="09F91F97" w14:textId="77777777" w:rsidR="008B7E19" w:rsidRDefault="008B7E19" w:rsidP="008B7E19">
            <w:pPr>
              <w:pStyle w:val="08-Tabelageral"/>
              <w:rPr>
                <w:rFonts w:cs="Arial"/>
                <w:color w:val="000000"/>
                <w:szCs w:val="14"/>
              </w:rPr>
            </w:pPr>
            <w:r w:rsidRPr="00356E06">
              <w:t xml:space="preserve"> 222</w:t>
            </w:r>
            <w:r>
              <w:t>,</w:t>
            </w:r>
            <w:r w:rsidRPr="00356E06">
              <w:t xml:space="preserve">456 </w:t>
            </w:r>
          </w:p>
        </w:tc>
        <w:tc>
          <w:tcPr>
            <w:tcW w:w="1797" w:type="dxa"/>
          </w:tcPr>
          <w:p w14:paraId="353D8B92" w14:textId="77777777" w:rsidR="008B7E19" w:rsidRPr="007E33FB" w:rsidRDefault="008B7E19" w:rsidP="008B7E19">
            <w:pPr>
              <w:pStyle w:val="08-Tabelageral"/>
              <w:rPr>
                <w:rFonts w:cs="Arial"/>
                <w:color w:val="000000"/>
                <w:szCs w:val="14"/>
              </w:rPr>
            </w:pPr>
            <w:r w:rsidRPr="00356E06">
              <w:t xml:space="preserve"> </w:t>
            </w:r>
            <w:r>
              <w:t>--</w:t>
            </w:r>
            <w:r w:rsidRPr="00356E06">
              <w:t xml:space="preserve">   </w:t>
            </w:r>
          </w:p>
        </w:tc>
        <w:tc>
          <w:tcPr>
            <w:tcW w:w="1797" w:type="dxa"/>
          </w:tcPr>
          <w:p w14:paraId="15201DDC" w14:textId="77777777" w:rsidR="008B7E19" w:rsidRPr="007E33FB" w:rsidRDefault="008B7E19" w:rsidP="008B7E19">
            <w:pPr>
              <w:pStyle w:val="08-Tabelageral"/>
              <w:rPr>
                <w:rFonts w:cs="Arial"/>
                <w:color w:val="000000"/>
                <w:szCs w:val="14"/>
              </w:rPr>
            </w:pPr>
            <w:r w:rsidRPr="00356E06">
              <w:t xml:space="preserve"> 222</w:t>
            </w:r>
            <w:r>
              <w:t>,</w:t>
            </w:r>
            <w:r w:rsidRPr="00356E06">
              <w:t xml:space="preserve">456 </w:t>
            </w:r>
          </w:p>
        </w:tc>
      </w:tr>
      <w:tr w:rsidR="008B7E19" w:rsidRPr="00A03B7C" w14:paraId="7893C573" w14:textId="77777777" w:rsidTr="008B7E19">
        <w:trPr>
          <w:trHeight w:val="238"/>
          <w:jc w:val="center"/>
        </w:trPr>
        <w:tc>
          <w:tcPr>
            <w:tcW w:w="4519" w:type="dxa"/>
            <w:vAlign w:val="center"/>
          </w:tcPr>
          <w:p w14:paraId="2FDD686D" w14:textId="77777777" w:rsidR="008B7E19" w:rsidRPr="00A03B7C" w:rsidRDefault="008B7E19" w:rsidP="008B7E19">
            <w:pPr>
              <w:pStyle w:val="08-Tabelageral"/>
              <w:jc w:val="left"/>
              <w:rPr>
                <w:rFonts w:cs="Arial"/>
                <w:b/>
                <w:bCs/>
                <w:szCs w:val="14"/>
                <w:highlight w:val="yellow"/>
              </w:rPr>
            </w:pPr>
            <w:r w:rsidRPr="000A4B1A">
              <w:rPr>
                <w:rFonts w:cs="Arial"/>
                <w:b/>
                <w:bCs/>
                <w:szCs w:val="14"/>
              </w:rPr>
              <w:t>Total Assets</w:t>
            </w:r>
          </w:p>
        </w:tc>
        <w:tc>
          <w:tcPr>
            <w:tcW w:w="1526" w:type="dxa"/>
          </w:tcPr>
          <w:p w14:paraId="5BFBF929" w14:textId="77777777" w:rsidR="008B7E19" w:rsidRPr="00A03B7C" w:rsidRDefault="008B7E19" w:rsidP="008B7E19">
            <w:pPr>
              <w:pStyle w:val="08-Tabelageral"/>
              <w:rPr>
                <w:rFonts w:cs="Arial"/>
                <w:color w:val="000000"/>
                <w:szCs w:val="14"/>
                <w:highlight w:val="yellow"/>
              </w:rPr>
            </w:pPr>
            <w:r w:rsidRPr="00663258">
              <w:rPr>
                <w:b/>
                <w:bCs/>
              </w:rPr>
              <w:t xml:space="preserve"> 16</w:t>
            </w:r>
            <w:r>
              <w:rPr>
                <w:b/>
                <w:bCs/>
              </w:rPr>
              <w:t>,</w:t>
            </w:r>
            <w:r w:rsidRPr="00663258">
              <w:rPr>
                <w:b/>
                <w:bCs/>
              </w:rPr>
              <w:t>129</w:t>
            </w:r>
            <w:r>
              <w:rPr>
                <w:b/>
                <w:bCs/>
              </w:rPr>
              <w:t>,</w:t>
            </w:r>
            <w:r w:rsidRPr="00663258">
              <w:rPr>
                <w:b/>
                <w:bCs/>
              </w:rPr>
              <w:t xml:space="preserve">832 </w:t>
            </w:r>
          </w:p>
        </w:tc>
        <w:tc>
          <w:tcPr>
            <w:tcW w:w="1797" w:type="dxa"/>
          </w:tcPr>
          <w:p w14:paraId="6C927262" w14:textId="77777777" w:rsidR="008B7E19" w:rsidRPr="00A03B7C" w:rsidRDefault="008B7E19" w:rsidP="008B7E19">
            <w:pPr>
              <w:pStyle w:val="08-Tabelageral"/>
              <w:rPr>
                <w:rFonts w:cs="Arial"/>
                <w:b/>
                <w:bCs/>
                <w:color w:val="000000"/>
                <w:szCs w:val="14"/>
                <w:highlight w:val="yellow"/>
              </w:rPr>
            </w:pPr>
            <w:r w:rsidRPr="00663258">
              <w:rPr>
                <w:b/>
                <w:bCs/>
              </w:rPr>
              <w:t xml:space="preserve"> 440</w:t>
            </w:r>
            <w:r>
              <w:rPr>
                <w:b/>
                <w:bCs/>
              </w:rPr>
              <w:t>,</w:t>
            </w:r>
            <w:r w:rsidRPr="00663258">
              <w:rPr>
                <w:b/>
                <w:bCs/>
              </w:rPr>
              <w:t xml:space="preserve">629 </w:t>
            </w:r>
          </w:p>
        </w:tc>
        <w:tc>
          <w:tcPr>
            <w:tcW w:w="1797" w:type="dxa"/>
          </w:tcPr>
          <w:p w14:paraId="493B074C" w14:textId="77777777" w:rsidR="008B7E19" w:rsidRPr="00A03B7C" w:rsidRDefault="008B7E19" w:rsidP="008B7E19">
            <w:pPr>
              <w:pStyle w:val="08-Tabelageral"/>
              <w:rPr>
                <w:rFonts w:cs="Arial"/>
                <w:color w:val="000000"/>
                <w:szCs w:val="14"/>
                <w:highlight w:val="yellow"/>
              </w:rPr>
            </w:pPr>
            <w:r w:rsidRPr="00663258">
              <w:rPr>
                <w:b/>
                <w:bCs/>
              </w:rPr>
              <w:t xml:space="preserve"> 16</w:t>
            </w:r>
            <w:r>
              <w:rPr>
                <w:b/>
                <w:bCs/>
              </w:rPr>
              <w:t>,</w:t>
            </w:r>
            <w:r w:rsidRPr="00663258">
              <w:rPr>
                <w:b/>
                <w:bCs/>
              </w:rPr>
              <w:t>570</w:t>
            </w:r>
            <w:r>
              <w:rPr>
                <w:b/>
                <w:bCs/>
              </w:rPr>
              <w:t>,</w:t>
            </w:r>
            <w:r w:rsidRPr="00663258">
              <w:rPr>
                <w:b/>
                <w:bCs/>
              </w:rPr>
              <w:t xml:space="preserve">461 </w:t>
            </w:r>
          </w:p>
        </w:tc>
      </w:tr>
      <w:tr w:rsidR="008B7E19" w:rsidRPr="0068399F" w14:paraId="2D29279E" w14:textId="77777777" w:rsidTr="008B7E19">
        <w:trPr>
          <w:trHeight w:val="238"/>
          <w:jc w:val="center"/>
        </w:trPr>
        <w:tc>
          <w:tcPr>
            <w:tcW w:w="4519" w:type="dxa"/>
            <w:vAlign w:val="center"/>
          </w:tcPr>
          <w:p w14:paraId="580ABA9F" w14:textId="77777777" w:rsidR="008B7E19" w:rsidRPr="008E5AE4" w:rsidRDefault="008B7E19" w:rsidP="008B7E19">
            <w:pPr>
              <w:pStyle w:val="08-Tabelageral"/>
              <w:jc w:val="left"/>
              <w:rPr>
                <w:rFonts w:cs="Arial"/>
                <w:b/>
                <w:bCs/>
                <w:szCs w:val="14"/>
              </w:rPr>
            </w:pPr>
          </w:p>
        </w:tc>
        <w:tc>
          <w:tcPr>
            <w:tcW w:w="1526" w:type="dxa"/>
          </w:tcPr>
          <w:p w14:paraId="2EA64AB1" w14:textId="77777777" w:rsidR="008B7E19" w:rsidRPr="00D501B4" w:rsidRDefault="008B7E19" w:rsidP="008B7E19">
            <w:pPr>
              <w:pStyle w:val="08-Tabelageral"/>
              <w:rPr>
                <w:rFonts w:cs="Arial"/>
                <w:b/>
                <w:bCs/>
                <w:szCs w:val="14"/>
              </w:rPr>
            </w:pPr>
          </w:p>
        </w:tc>
        <w:tc>
          <w:tcPr>
            <w:tcW w:w="1797" w:type="dxa"/>
          </w:tcPr>
          <w:p w14:paraId="3C8C357A" w14:textId="77777777" w:rsidR="008B7E19" w:rsidRPr="007E33FB" w:rsidRDefault="008B7E19" w:rsidP="008B7E19">
            <w:pPr>
              <w:pStyle w:val="08-Tabelageral"/>
              <w:rPr>
                <w:rFonts w:cs="Arial"/>
                <w:b/>
                <w:bCs/>
                <w:color w:val="000000"/>
                <w:szCs w:val="14"/>
              </w:rPr>
            </w:pPr>
          </w:p>
        </w:tc>
        <w:tc>
          <w:tcPr>
            <w:tcW w:w="1797" w:type="dxa"/>
          </w:tcPr>
          <w:p w14:paraId="69EC669B" w14:textId="77777777" w:rsidR="008B7E19" w:rsidRPr="007E33FB" w:rsidRDefault="008B7E19" w:rsidP="008B7E19">
            <w:pPr>
              <w:pStyle w:val="08-Tabelageral"/>
              <w:rPr>
                <w:rFonts w:cs="Arial"/>
                <w:b/>
                <w:bCs/>
                <w:color w:val="000000"/>
                <w:szCs w:val="14"/>
              </w:rPr>
            </w:pPr>
          </w:p>
        </w:tc>
      </w:tr>
      <w:tr w:rsidR="008B7E19" w:rsidRPr="0068399F" w14:paraId="62818E5A" w14:textId="77777777" w:rsidTr="008B7E19">
        <w:trPr>
          <w:trHeight w:val="238"/>
          <w:jc w:val="center"/>
        </w:trPr>
        <w:tc>
          <w:tcPr>
            <w:tcW w:w="4519" w:type="dxa"/>
            <w:vAlign w:val="center"/>
          </w:tcPr>
          <w:p w14:paraId="1EE1B40A" w14:textId="77777777" w:rsidR="008B7E19" w:rsidRPr="00C43B29" w:rsidRDefault="008B7E19" w:rsidP="008B7E19">
            <w:pPr>
              <w:pStyle w:val="08-Tabelageral"/>
              <w:jc w:val="left"/>
              <w:rPr>
                <w:rFonts w:cs="Arial"/>
                <w:b/>
                <w:bCs/>
                <w:szCs w:val="14"/>
              </w:rPr>
            </w:pPr>
            <w:r w:rsidRPr="002F06CE">
              <w:rPr>
                <w:b/>
                <w:bCs/>
              </w:rPr>
              <w:t>Current Liabilities</w:t>
            </w:r>
          </w:p>
        </w:tc>
        <w:tc>
          <w:tcPr>
            <w:tcW w:w="1526" w:type="dxa"/>
          </w:tcPr>
          <w:p w14:paraId="53C49CBA" w14:textId="77777777" w:rsidR="008B7E19" w:rsidRDefault="008B7E19" w:rsidP="008B7E19">
            <w:pPr>
              <w:pStyle w:val="08-Tabelageral"/>
              <w:rPr>
                <w:rFonts w:cs="Arial"/>
                <w:color w:val="000000"/>
                <w:szCs w:val="14"/>
              </w:rPr>
            </w:pPr>
            <w:r w:rsidRPr="00663258">
              <w:rPr>
                <w:b/>
                <w:bCs/>
              </w:rPr>
              <w:t xml:space="preserve"> 6</w:t>
            </w:r>
            <w:r>
              <w:rPr>
                <w:b/>
                <w:bCs/>
              </w:rPr>
              <w:t>,</w:t>
            </w:r>
            <w:r w:rsidRPr="00663258">
              <w:rPr>
                <w:b/>
                <w:bCs/>
              </w:rPr>
              <w:t>508</w:t>
            </w:r>
            <w:r>
              <w:rPr>
                <w:b/>
                <w:bCs/>
              </w:rPr>
              <w:t>,</w:t>
            </w:r>
            <w:r w:rsidRPr="00663258">
              <w:rPr>
                <w:b/>
                <w:bCs/>
              </w:rPr>
              <w:t xml:space="preserve">168 </w:t>
            </w:r>
          </w:p>
        </w:tc>
        <w:tc>
          <w:tcPr>
            <w:tcW w:w="1797" w:type="dxa"/>
          </w:tcPr>
          <w:p w14:paraId="38BD7525" w14:textId="77777777" w:rsidR="008B7E19" w:rsidRPr="007E33FB" w:rsidRDefault="008B7E19" w:rsidP="008B7E19">
            <w:pPr>
              <w:pStyle w:val="08-Tabelageral"/>
              <w:rPr>
                <w:rFonts w:cs="Arial"/>
                <w:b/>
                <w:bCs/>
                <w:color w:val="000000"/>
                <w:szCs w:val="14"/>
              </w:rPr>
            </w:pPr>
            <w:r w:rsidRPr="00663258">
              <w:rPr>
                <w:b/>
                <w:bCs/>
              </w:rPr>
              <w:t xml:space="preserve"> --   </w:t>
            </w:r>
          </w:p>
        </w:tc>
        <w:tc>
          <w:tcPr>
            <w:tcW w:w="1797" w:type="dxa"/>
          </w:tcPr>
          <w:p w14:paraId="5743E3A8" w14:textId="77777777" w:rsidR="008B7E19" w:rsidRPr="007E33FB" w:rsidRDefault="008B7E19" w:rsidP="008B7E19">
            <w:pPr>
              <w:pStyle w:val="08-Tabelageral"/>
              <w:rPr>
                <w:rFonts w:cs="Arial"/>
                <w:color w:val="000000"/>
                <w:szCs w:val="14"/>
              </w:rPr>
            </w:pPr>
            <w:r w:rsidRPr="00663258">
              <w:rPr>
                <w:b/>
                <w:bCs/>
              </w:rPr>
              <w:t xml:space="preserve"> 6</w:t>
            </w:r>
            <w:r>
              <w:rPr>
                <w:b/>
                <w:bCs/>
              </w:rPr>
              <w:t>,</w:t>
            </w:r>
            <w:r w:rsidRPr="00663258">
              <w:rPr>
                <w:b/>
                <w:bCs/>
              </w:rPr>
              <w:t>508</w:t>
            </w:r>
            <w:r>
              <w:rPr>
                <w:b/>
                <w:bCs/>
              </w:rPr>
              <w:t>,</w:t>
            </w:r>
            <w:r w:rsidRPr="00663258">
              <w:rPr>
                <w:b/>
                <w:bCs/>
              </w:rPr>
              <w:t xml:space="preserve">168 </w:t>
            </w:r>
          </w:p>
        </w:tc>
      </w:tr>
      <w:tr w:rsidR="008B7E19" w:rsidRPr="0068399F" w14:paraId="0C20BFF3" w14:textId="77777777" w:rsidTr="008B7E19">
        <w:trPr>
          <w:trHeight w:val="238"/>
          <w:jc w:val="center"/>
        </w:trPr>
        <w:tc>
          <w:tcPr>
            <w:tcW w:w="4519" w:type="dxa"/>
            <w:vAlign w:val="center"/>
          </w:tcPr>
          <w:p w14:paraId="1F3F093C" w14:textId="77777777" w:rsidR="008B7E19" w:rsidRPr="00C43B29" w:rsidRDefault="008B7E19" w:rsidP="008B7E19">
            <w:pPr>
              <w:pStyle w:val="08-Tabelageral"/>
              <w:jc w:val="left"/>
              <w:rPr>
                <w:rFonts w:cs="Arial"/>
                <w:b/>
                <w:bCs/>
                <w:szCs w:val="14"/>
              </w:rPr>
            </w:pPr>
            <w:r w:rsidRPr="002F06CE">
              <w:rPr>
                <w:b/>
                <w:bCs/>
              </w:rPr>
              <w:t>Non-Current Liabilities</w:t>
            </w:r>
          </w:p>
        </w:tc>
        <w:tc>
          <w:tcPr>
            <w:tcW w:w="1526" w:type="dxa"/>
          </w:tcPr>
          <w:p w14:paraId="505203E9" w14:textId="77777777" w:rsidR="008B7E19" w:rsidRDefault="008B7E19" w:rsidP="008B7E19">
            <w:pPr>
              <w:pStyle w:val="08-Tabelageral"/>
              <w:rPr>
                <w:rFonts w:cs="Arial"/>
                <w:color w:val="000000"/>
                <w:szCs w:val="14"/>
              </w:rPr>
            </w:pPr>
            <w:r w:rsidRPr="00663258">
              <w:rPr>
                <w:b/>
                <w:bCs/>
              </w:rPr>
              <w:t xml:space="preserve"> 2</w:t>
            </w:r>
            <w:r>
              <w:rPr>
                <w:b/>
                <w:bCs/>
              </w:rPr>
              <w:t>,</w:t>
            </w:r>
            <w:r w:rsidRPr="00663258">
              <w:rPr>
                <w:b/>
                <w:bCs/>
              </w:rPr>
              <w:t>025</w:t>
            </w:r>
            <w:r>
              <w:rPr>
                <w:b/>
                <w:bCs/>
              </w:rPr>
              <w:t>,</w:t>
            </w:r>
            <w:r w:rsidRPr="00663258">
              <w:rPr>
                <w:b/>
                <w:bCs/>
              </w:rPr>
              <w:t xml:space="preserve">563 </w:t>
            </w:r>
          </w:p>
        </w:tc>
        <w:tc>
          <w:tcPr>
            <w:tcW w:w="1797" w:type="dxa"/>
          </w:tcPr>
          <w:p w14:paraId="756CD590" w14:textId="77777777" w:rsidR="008B7E19" w:rsidRPr="007E33FB" w:rsidRDefault="008B7E19" w:rsidP="008B7E19">
            <w:pPr>
              <w:pStyle w:val="08-Tabelageral"/>
              <w:rPr>
                <w:rFonts w:cs="Arial"/>
                <w:b/>
                <w:bCs/>
                <w:color w:val="000000"/>
                <w:szCs w:val="14"/>
              </w:rPr>
            </w:pPr>
            <w:r w:rsidRPr="00663258">
              <w:rPr>
                <w:b/>
                <w:bCs/>
              </w:rPr>
              <w:t xml:space="preserve"> --   </w:t>
            </w:r>
          </w:p>
        </w:tc>
        <w:tc>
          <w:tcPr>
            <w:tcW w:w="1797" w:type="dxa"/>
          </w:tcPr>
          <w:p w14:paraId="6B49DFEF" w14:textId="77777777" w:rsidR="008B7E19" w:rsidRPr="007E33FB" w:rsidRDefault="008B7E19" w:rsidP="008B7E19">
            <w:pPr>
              <w:pStyle w:val="08-Tabelageral"/>
              <w:rPr>
                <w:rFonts w:cs="Arial"/>
                <w:color w:val="000000"/>
                <w:szCs w:val="14"/>
              </w:rPr>
            </w:pPr>
            <w:r w:rsidRPr="00663258">
              <w:rPr>
                <w:b/>
                <w:bCs/>
              </w:rPr>
              <w:t xml:space="preserve"> 2</w:t>
            </w:r>
            <w:r>
              <w:rPr>
                <w:b/>
                <w:bCs/>
              </w:rPr>
              <w:t>,</w:t>
            </w:r>
            <w:r w:rsidRPr="00663258">
              <w:rPr>
                <w:b/>
                <w:bCs/>
              </w:rPr>
              <w:t>025</w:t>
            </w:r>
            <w:r>
              <w:rPr>
                <w:b/>
                <w:bCs/>
              </w:rPr>
              <w:t>,</w:t>
            </w:r>
            <w:r w:rsidRPr="00663258">
              <w:rPr>
                <w:b/>
                <w:bCs/>
              </w:rPr>
              <w:t xml:space="preserve">563 </w:t>
            </w:r>
          </w:p>
        </w:tc>
      </w:tr>
      <w:tr w:rsidR="008B7E19" w:rsidRPr="0068399F" w14:paraId="52CD0FCC" w14:textId="77777777" w:rsidTr="008B7E19">
        <w:trPr>
          <w:trHeight w:val="238"/>
          <w:jc w:val="center"/>
        </w:trPr>
        <w:tc>
          <w:tcPr>
            <w:tcW w:w="4519" w:type="dxa"/>
            <w:vAlign w:val="center"/>
          </w:tcPr>
          <w:p w14:paraId="5F7084F3" w14:textId="77777777" w:rsidR="008B7E19" w:rsidRPr="00C43B29" w:rsidRDefault="008B7E19" w:rsidP="008B7E19">
            <w:pPr>
              <w:pStyle w:val="08-Tabelageral"/>
              <w:jc w:val="left"/>
              <w:rPr>
                <w:rFonts w:cs="Arial"/>
                <w:b/>
                <w:bCs/>
                <w:szCs w:val="14"/>
              </w:rPr>
            </w:pPr>
            <w:r w:rsidRPr="002F06CE">
              <w:rPr>
                <w:b/>
                <w:bCs/>
              </w:rPr>
              <w:t>Total Liabilities</w:t>
            </w:r>
          </w:p>
        </w:tc>
        <w:tc>
          <w:tcPr>
            <w:tcW w:w="1526" w:type="dxa"/>
          </w:tcPr>
          <w:p w14:paraId="7AA9368A" w14:textId="77777777" w:rsidR="008B7E19" w:rsidRPr="00191FE2" w:rsidRDefault="008B7E19" w:rsidP="008B7E19">
            <w:pPr>
              <w:pStyle w:val="08-Tabelageral"/>
              <w:rPr>
                <w:rFonts w:cs="Arial"/>
                <w:b/>
                <w:bCs/>
                <w:szCs w:val="14"/>
              </w:rPr>
            </w:pPr>
            <w:r w:rsidRPr="00663258">
              <w:rPr>
                <w:b/>
                <w:bCs/>
              </w:rPr>
              <w:t xml:space="preserve"> 8</w:t>
            </w:r>
            <w:r>
              <w:rPr>
                <w:b/>
                <w:bCs/>
              </w:rPr>
              <w:t>,</w:t>
            </w:r>
            <w:r w:rsidRPr="00663258">
              <w:rPr>
                <w:b/>
                <w:bCs/>
              </w:rPr>
              <w:t>533</w:t>
            </w:r>
            <w:r>
              <w:rPr>
                <w:b/>
                <w:bCs/>
              </w:rPr>
              <w:t>,</w:t>
            </w:r>
            <w:r w:rsidRPr="00663258">
              <w:rPr>
                <w:b/>
                <w:bCs/>
              </w:rPr>
              <w:t xml:space="preserve">731 </w:t>
            </w:r>
          </w:p>
        </w:tc>
        <w:tc>
          <w:tcPr>
            <w:tcW w:w="1797" w:type="dxa"/>
          </w:tcPr>
          <w:p w14:paraId="489E4B49" w14:textId="77777777" w:rsidR="008B7E19" w:rsidRPr="007E33FB" w:rsidRDefault="008B7E19" w:rsidP="008B7E19">
            <w:pPr>
              <w:pStyle w:val="08-Tabelageral"/>
              <w:rPr>
                <w:rFonts w:cs="Arial"/>
                <w:b/>
                <w:bCs/>
                <w:color w:val="000000"/>
                <w:szCs w:val="14"/>
              </w:rPr>
            </w:pPr>
            <w:r w:rsidRPr="00663258">
              <w:rPr>
                <w:b/>
                <w:bCs/>
              </w:rPr>
              <w:t xml:space="preserve"> --   </w:t>
            </w:r>
          </w:p>
        </w:tc>
        <w:tc>
          <w:tcPr>
            <w:tcW w:w="1797" w:type="dxa"/>
          </w:tcPr>
          <w:p w14:paraId="7BBB12CC" w14:textId="77777777" w:rsidR="008B7E19" w:rsidRPr="007E33FB" w:rsidRDefault="008B7E19" w:rsidP="008B7E19">
            <w:pPr>
              <w:pStyle w:val="08-Tabelageral"/>
              <w:rPr>
                <w:rFonts w:cs="Arial"/>
                <w:b/>
                <w:bCs/>
                <w:szCs w:val="14"/>
              </w:rPr>
            </w:pPr>
            <w:r w:rsidRPr="00663258">
              <w:rPr>
                <w:b/>
                <w:bCs/>
              </w:rPr>
              <w:t xml:space="preserve"> 8</w:t>
            </w:r>
            <w:r>
              <w:rPr>
                <w:b/>
                <w:bCs/>
              </w:rPr>
              <w:t>,</w:t>
            </w:r>
            <w:r w:rsidRPr="00663258">
              <w:rPr>
                <w:b/>
                <w:bCs/>
              </w:rPr>
              <w:t>533</w:t>
            </w:r>
            <w:r>
              <w:rPr>
                <w:b/>
                <w:bCs/>
              </w:rPr>
              <w:t>,</w:t>
            </w:r>
            <w:r w:rsidRPr="00663258">
              <w:rPr>
                <w:b/>
                <w:bCs/>
              </w:rPr>
              <w:t xml:space="preserve">731 </w:t>
            </w:r>
          </w:p>
        </w:tc>
      </w:tr>
      <w:tr w:rsidR="008B7E19" w:rsidRPr="00A03B7C" w14:paraId="79B445B0" w14:textId="77777777" w:rsidTr="008B7E19">
        <w:trPr>
          <w:trHeight w:val="238"/>
          <w:jc w:val="center"/>
        </w:trPr>
        <w:tc>
          <w:tcPr>
            <w:tcW w:w="4519" w:type="dxa"/>
            <w:vAlign w:val="center"/>
          </w:tcPr>
          <w:p w14:paraId="1FE3F056" w14:textId="77777777" w:rsidR="008B7E19" w:rsidRPr="00A03B7C" w:rsidRDefault="008B7E19" w:rsidP="008B7E19">
            <w:pPr>
              <w:pStyle w:val="08-Tabelageral"/>
              <w:jc w:val="left"/>
              <w:rPr>
                <w:rFonts w:cs="Arial"/>
                <w:b/>
                <w:bCs/>
                <w:szCs w:val="14"/>
                <w:highlight w:val="yellow"/>
              </w:rPr>
            </w:pPr>
            <w:r w:rsidRPr="002F06CE">
              <w:rPr>
                <w:b/>
                <w:bCs/>
              </w:rPr>
              <w:t>Equity</w:t>
            </w:r>
          </w:p>
        </w:tc>
        <w:tc>
          <w:tcPr>
            <w:tcW w:w="1526" w:type="dxa"/>
          </w:tcPr>
          <w:p w14:paraId="0687C3F3" w14:textId="77777777" w:rsidR="008B7E19" w:rsidRPr="00A03B7C" w:rsidRDefault="008B7E19" w:rsidP="008B7E19">
            <w:pPr>
              <w:pStyle w:val="08-Tabelageral"/>
              <w:rPr>
                <w:rFonts w:cs="Arial"/>
                <w:color w:val="000000"/>
                <w:szCs w:val="14"/>
                <w:highlight w:val="yellow"/>
              </w:rPr>
            </w:pPr>
            <w:r w:rsidRPr="00663258">
              <w:rPr>
                <w:b/>
                <w:bCs/>
              </w:rPr>
              <w:t xml:space="preserve"> 7</w:t>
            </w:r>
            <w:r>
              <w:rPr>
                <w:b/>
                <w:bCs/>
              </w:rPr>
              <w:t>,</w:t>
            </w:r>
            <w:r w:rsidRPr="00663258">
              <w:rPr>
                <w:b/>
                <w:bCs/>
              </w:rPr>
              <w:t>596</w:t>
            </w:r>
            <w:r>
              <w:rPr>
                <w:b/>
                <w:bCs/>
              </w:rPr>
              <w:t>,</w:t>
            </w:r>
            <w:r w:rsidRPr="00663258">
              <w:rPr>
                <w:b/>
                <w:bCs/>
              </w:rPr>
              <w:t xml:space="preserve">101 </w:t>
            </w:r>
          </w:p>
        </w:tc>
        <w:tc>
          <w:tcPr>
            <w:tcW w:w="1797" w:type="dxa"/>
          </w:tcPr>
          <w:p w14:paraId="2174F74E" w14:textId="77777777" w:rsidR="008B7E19" w:rsidRPr="00A03B7C" w:rsidRDefault="008B7E19" w:rsidP="008B7E19">
            <w:pPr>
              <w:pStyle w:val="08-Tabelageral"/>
              <w:rPr>
                <w:rFonts w:cs="Arial"/>
                <w:b/>
                <w:bCs/>
                <w:color w:val="000000"/>
                <w:szCs w:val="14"/>
                <w:highlight w:val="yellow"/>
              </w:rPr>
            </w:pPr>
            <w:r w:rsidRPr="00663258">
              <w:rPr>
                <w:b/>
                <w:bCs/>
              </w:rPr>
              <w:t xml:space="preserve"> 440</w:t>
            </w:r>
            <w:r>
              <w:rPr>
                <w:b/>
                <w:bCs/>
              </w:rPr>
              <w:t>,</w:t>
            </w:r>
            <w:r w:rsidRPr="00663258">
              <w:rPr>
                <w:b/>
                <w:bCs/>
              </w:rPr>
              <w:t xml:space="preserve">629 </w:t>
            </w:r>
          </w:p>
        </w:tc>
        <w:tc>
          <w:tcPr>
            <w:tcW w:w="1797" w:type="dxa"/>
          </w:tcPr>
          <w:p w14:paraId="1F401D64" w14:textId="77777777" w:rsidR="008B7E19" w:rsidRPr="00A03B7C" w:rsidRDefault="008B7E19" w:rsidP="008B7E19">
            <w:pPr>
              <w:pStyle w:val="08-Tabelageral"/>
              <w:rPr>
                <w:rFonts w:cs="Arial"/>
                <w:color w:val="000000"/>
                <w:szCs w:val="14"/>
                <w:highlight w:val="yellow"/>
              </w:rPr>
            </w:pPr>
            <w:r w:rsidRPr="00663258">
              <w:rPr>
                <w:b/>
                <w:bCs/>
              </w:rPr>
              <w:t xml:space="preserve"> 8</w:t>
            </w:r>
            <w:r>
              <w:rPr>
                <w:b/>
                <w:bCs/>
              </w:rPr>
              <w:t>,</w:t>
            </w:r>
            <w:r w:rsidRPr="00663258">
              <w:rPr>
                <w:b/>
                <w:bCs/>
              </w:rPr>
              <w:t>036</w:t>
            </w:r>
            <w:r>
              <w:rPr>
                <w:b/>
                <w:bCs/>
              </w:rPr>
              <w:t>,</w:t>
            </w:r>
            <w:r w:rsidRPr="00663258">
              <w:rPr>
                <w:b/>
                <w:bCs/>
              </w:rPr>
              <w:t xml:space="preserve">730 </w:t>
            </w:r>
          </w:p>
        </w:tc>
      </w:tr>
      <w:tr w:rsidR="008B7E19" w:rsidRPr="0068399F" w14:paraId="784327C4" w14:textId="77777777" w:rsidTr="008B7E19">
        <w:trPr>
          <w:trHeight w:val="238"/>
          <w:jc w:val="center"/>
        </w:trPr>
        <w:tc>
          <w:tcPr>
            <w:tcW w:w="4519" w:type="dxa"/>
            <w:vAlign w:val="center"/>
          </w:tcPr>
          <w:p w14:paraId="13E27244" w14:textId="77777777" w:rsidR="008B7E19" w:rsidRPr="001346BC" w:rsidRDefault="008B7E19" w:rsidP="008B7E19">
            <w:pPr>
              <w:pStyle w:val="08-Tabelageral"/>
              <w:ind w:left="113"/>
              <w:jc w:val="left"/>
              <w:rPr>
                <w:rFonts w:cs="Arial"/>
                <w:szCs w:val="14"/>
              </w:rPr>
            </w:pPr>
            <w:r w:rsidRPr="00C27294">
              <w:t>Capital</w:t>
            </w:r>
          </w:p>
        </w:tc>
        <w:tc>
          <w:tcPr>
            <w:tcW w:w="1526" w:type="dxa"/>
          </w:tcPr>
          <w:p w14:paraId="714661F5" w14:textId="77777777" w:rsidR="008B7E19" w:rsidRDefault="008B7E19" w:rsidP="008B7E19">
            <w:pPr>
              <w:pStyle w:val="08-Tabelageral"/>
              <w:rPr>
                <w:rFonts w:cs="Arial"/>
                <w:color w:val="000000"/>
                <w:szCs w:val="14"/>
              </w:rPr>
            </w:pPr>
            <w:r w:rsidRPr="00356E06">
              <w:t xml:space="preserve"> 6</w:t>
            </w:r>
            <w:r>
              <w:t>,</w:t>
            </w:r>
            <w:r w:rsidRPr="00356E06">
              <w:t>269</w:t>
            </w:r>
            <w:r>
              <w:t>,</w:t>
            </w:r>
            <w:r w:rsidRPr="00356E06">
              <w:t xml:space="preserve">692 </w:t>
            </w:r>
          </w:p>
        </w:tc>
        <w:tc>
          <w:tcPr>
            <w:tcW w:w="1797" w:type="dxa"/>
          </w:tcPr>
          <w:p w14:paraId="3428EA3E" w14:textId="77777777" w:rsidR="008B7E19" w:rsidRPr="007E33FB" w:rsidRDefault="008B7E19" w:rsidP="008B7E19">
            <w:pPr>
              <w:pStyle w:val="08-Tabelageral"/>
              <w:rPr>
                <w:rFonts w:cs="Arial"/>
                <w:color w:val="000000"/>
                <w:szCs w:val="14"/>
              </w:rPr>
            </w:pPr>
            <w:r w:rsidRPr="00356E06">
              <w:t xml:space="preserve"> </w:t>
            </w:r>
            <w:r>
              <w:t>--</w:t>
            </w:r>
            <w:r w:rsidRPr="00356E06">
              <w:t xml:space="preserve">   </w:t>
            </w:r>
          </w:p>
        </w:tc>
        <w:tc>
          <w:tcPr>
            <w:tcW w:w="1797" w:type="dxa"/>
          </w:tcPr>
          <w:p w14:paraId="20AF1847" w14:textId="77777777" w:rsidR="008B7E19" w:rsidRPr="007E33FB" w:rsidRDefault="008B7E19" w:rsidP="008B7E19">
            <w:pPr>
              <w:pStyle w:val="08-Tabelageral"/>
              <w:rPr>
                <w:rFonts w:cs="Arial"/>
                <w:color w:val="000000"/>
                <w:szCs w:val="14"/>
              </w:rPr>
            </w:pPr>
            <w:r w:rsidRPr="00356E06">
              <w:t xml:space="preserve"> 6</w:t>
            </w:r>
            <w:r>
              <w:t>,</w:t>
            </w:r>
            <w:r w:rsidRPr="00356E06">
              <w:t>269</w:t>
            </w:r>
            <w:r>
              <w:t>,</w:t>
            </w:r>
            <w:r w:rsidRPr="00356E06">
              <w:t xml:space="preserve">692 </w:t>
            </w:r>
          </w:p>
        </w:tc>
      </w:tr>
      <w:tr w:rsidR="008B7E19" w:rsidRPr="0068399F" w14:paraId="56798A7E" w14:textId="77777777" w:rsidTr="008B7E19">
        <w:trPr>
          <w:trHeight w:val="238"/>
          <w:jc w:val="center"/>
        </w:trPr>
        <w:tc>
          <w:tcPr>
            <w:tcW w:w="4519" w:type="dxa"/>
            <w:vAlign w:val="center"/>
          </w:tcPr>
          <w:p w14:paraId="43599173" w14:textId="77777777" w:rsidR="008B7E19" w:rsidRPr="001346BC" w:rsidRDefault="008B7E19" w:rsidP="008B7E19">
            <w:pPr>
              <w:pStyle w:val="08-Tabelageral"/>
              <w:ind w:left="113"/>
              <w:jc w:val="left"/>
              <w:rPr>
                <w:rFonts w:cs="Arial"/>
                <w:szCs w:val="14"/>
              </w:rPr>
            </w:pPr>
            <w:r w:rsidRPr="00C27294">
              <w:t>Capital reserves</w:t>
            </w:r>
          </w:p>
        </w:tc>
        <w:tc>
          <w:tcPr>
            <w:tcW w:w="1526" w:type="dxa"/>
          </w:tcPr>
          <w:p w14:paraId="5E2DBD5F" w14:textId="77777777" w:rsidR="008B7E19" w:rsidRDefault="008B7E19" w:rsidP="008B7E19">
            <w:pPr>
              <w:pStyle w:val="08-Tabelageral"/>
              <w:rPr>
                <w:rFonts w:cs="Arial"/>
                <w:color w:val="000000"/>
                <w:szCs w:val="14"/>
              </w:rPr>
            </w:pPr>
            <w:r w:rsidRPr="00356E06">
              <w:t xml:space="preserve"> 1</w:t>
            </w:r>
            <w:r>
              <w:t>,</w:t>
            </w:r>
            <w:r w:rsidRPr="00356E06">
              <w:t xml:space="preserve">571 </w:t>
            </w:r>
          </w:p>
        </w:tc>
        <w:tc>
          <w:tcPr>
            <w:tcW w:w="1797" w:type="dxa"/>
          </w:tcPr>
          <w:p w14:paraId="1BC6C220" w14:textId="77777777" w:rsidR="008B7E19" w:rsidRPr="007E33FB" w:rsidRDefault="008B7E19" w:rsidP="008B7E19">
            <w:pPr>
              <w:pStyle w:val="08-Tabelageral"/>
              <w:rPr>
                <w:rFonts w:cs="Arial"/>
                <w:color w:val="000000"/>
                <w:szCs w:val="14"/>
              </w:rPr>
            </w:pPr>
            <w:r w:rsidRPr="00356E06">
              <w:t xml:space="preserve"> </w:t>
            </w:r>
            <w:r>
              <w:t>--</w:t>
            </w:r>
            <w:r w:rsidRPr="00356E06">
              <w:t xml:space="preserve">   </w:t>
            </w:r>
          </w:p>
        </w:tc>
        <w:tc>
          <w:tcPr>
            <w:tcW w:w="1797" w:type="dxa"/>
          </w:tcPr>
          <w:p w14:paraId="33120C95" w14:textId="77777777" w:rsidR="008B7E19" w:rsidRPr="007E33FB" w:rsidRDefault="008B7E19" w:rsidP="008B7E19">
            <w:pPr>
              <w:pStyle w:val="08-Tabelageral"/>
              <w:rPr>
                <w:rFonts w:cs="Arial"/>
                <w:color w:val="000000"/>
                <w:szCs w:val="14"/>
              </w:rPr>
            </w:pPr>
            <w:r w:rsidRPr="00356E06">
              <w:t xml:space="preserve"> 1</w:t>
            </w:r>
            <w:r>
              <w:t>,</w:t>
            </w:r>
            <w:r w:rsidRPr="00356E06">
              <w:t xml:space="preserve">571 </w:t>
            </w:r>
          </w:p>
        </w:tc>
      </w:tr>
      <w:tr w:rsidR="008B7E19" w:rsidRPr="0068399F" w14:paraId="668EA3F1" w14:textId="77777777" w:rsidTr="008B7E19">
        <w:trPr>
          <w:trHeight w:val="238"/>
          <w:jc w:val="center"/>
        </w:trPr>
        <w:tc>
          <w:tcPr>
            <w:tcW w:w="4519" w:type="dxa"/>
            <w:vAlign w:val="center"/>
          </w:tcPr>
          <w:p w14:paraId="0FC2DFDD" w14:textId="77777777" w:rsidR="008B7E19" w:rsidRPr="001346BC" w:rsidRDefault="008B7E19" w:rsidP="008B7E19">
            <w:pPr>
              <w:pStyle w:val="08-Tabelageral"/>
              <w:ind w:left="113"/>
              <w:jc w:val="left"/>
              <w:rPr>
                <w:rFonts w:cs="Arial"/>
                <w:szCs w:val="14"/>
              </w:rPr>
            </w:pPr>
            <w:r w:rsidRPr="00C27294">
              <w:t>Income reserves</w:t>
            </w:r>
          </w:p>
        </w:tc>
        <w:tc>
          <w:tcPr>
            <w:tcW w:w="1526" w:type="dxa"/>
          </w:tcPr>
          <w:p w14:paraId="4212DDD4" w14:textId="77777777" w:rsidR="008B7E19" w:rsidRDefault="008B7E19" w:rsidP="008B7E19">
            <w:pPr>
              <w:pStyle w:val="08-Tabelageral"/>
              <w:rPr>
                <w:rFonts w:cs="Arial"/>
                <w:color w:val="000000"/>
                <w:szCs w:val="14"/>
              </w:rPr>
            </w:pPr>
            <w:r w:rsidRPr="00356E06">
              <w:t xml:space="preserve"> 1</w:t>
            </w:r>
            <w:r>
              <w:t>,</w:t>
            </w:r>
            <w:r w:rsidRPr="00356E06">
              <w:t>552</w:t>
            </w:r>
            <w:r>
              <w:t>,</w:t>
            </w:r>
            <w:r w:rsidRPr="00356E06">
              <w:t xml:space="preserve">229 </w:t>
            </w:r>
          </w:p>
        </w:tc>
        <w:tc>
          <w:tcPr>
            <w:tcW w:w="1797" w:type="dxa"/>
          </w:tcPr>
          <w:p w14:paraId="68D4DEDC" w14:textId="77777777" w:rsidR="008B7E19" w:rsidRPr="007E33FB" w:rsidRDefault="008B7E19" w:rsidP="008B7E19">
            <w:pPr>
              <w:pStyle w:val="08-Tabelageral"/>
              <w:rPr>
                <w:rFonts w:cs="Arial"/>
                <w:color w:val="000000"/>
                <w:szCs w:val="14"/>
              </w:rPr>
            </w:pPr>
            <w:r w:rsidRPr="00356E06">
              <w:t xml:space="preserve"> </w:t>
            </w:r>
            <w:r>
              <w:t>--</w:t>
            </w:r>
            <w:r w:rsidRPr="00356E06">
              <w:t xml:space="preserve">   </w:t>
            </w:r>
          </w:p>
        </w:tc>
        <w:tc>
          <w:tcPr>
            <w:tcW w:w="1797" w:type="dxa"/>
          </w:tcPr>
          <w:p w14:paraId="49769DC0" w14:textId="77777777" w:rsidR="008B7E19" w:rsidRPr="007E33FB" w:rsidRDefault="008B7E19" w:rsidP="008B7E19">
            <w:pPr>
              <w:pStyle w:val="08-Tabelageral"/>
              <w:rPr>
                <w:rFonts w:cs="Arial"/>
                <w:color w:val="000000"/>
                <w:szCs w:val="14"/>
              </w:rPr>
            </w:pPr>
            <w:r w:rsidRPr="00356E06">
              <w:t xml:space="preserve"> 1</w:t>
            </w:r>
            <w:r>
              <w:t>,</w:t>
            </w:r>
            <w:r w:rsidRPr="00356E06">
              <w:t>552</w:t>
            </w:r>
            <w:r>
              <w:t>,</w:t>
            </w:r>
            <w:r w:rsidRPr="00356E06">
              <w:t xml:space="preserve">229 </w:t>
            </w:r>
          </w:p>
        </w:tc>
      </w:tr>
      <w:tr w:rsidR="008B7E19" w:rsidRPr="0068399F" w14:paraId="781AB898" w14:textId="77777777" w:rsidTr="008B7E19">
        <w:trPr>
          <w:trHeight w:val="238"/>
          <w:jc w:val="center"/>
        </w:trPr>
        <w:tc>
          <w:tcPr>
            <w:tcW w:w="4519" w:type="dxa"/>
            <w:vAlign w:val="center"/>
          </w:tcPr>
          <w:p w14:paraId="0934428D" w14:textId="77777777" w:rsidR="008B7E19" w:rsidRPr="001346BC" w:rsidRDefault="008B7E19" w:rsidP="008B7E19">
            <w:pPr>
              <w:pStyle w:val="08-Tabelageral"/>
              <w:ind w:left="113"/>
              <w:jc w:val="left"/>
              <w:rPr>
                <w:rFonts w:cs="Arial"/>
                <w:szCs w:val="14"/>
              </w:rPr>
            </w:pPr>
            <w:r w:rsidRPr="00C27294">
              <w:t>Treasury shares</w:t>
            </w:r>
          </w:p>
        </w:tc>
        <w:tc>
          <w:tcPr>
            <w:tcW w:w="1526" w:type="dxa"/>
          </w:tcPr>
          <w:p w14:paraId="34E9C136" w14:textId="77777777" w:rsidR="008B7E19" w:rsidRDefault="008B7E19" w:rsidP="008B7E19">
            <w:pPr>
              <w:pStyle w:val="08-Tabelageral"/>
              <w:rPr>
                <w:rFonts w:cs="Arial"/>
                <w:color w:val="000000"/>
                <w:szCs w:val="14"/>
              </w:rPr>
            </w:pPr>
            <w:r>
              <w:t>(</w:t>
            </w:r>
            <w:r w:rsidRPr="00356E06">
              <w:t>80</w:t>
            </w:r>
            <w:r>
              <w:t>,</w:t>
            </w:r>
            <w:r w:rsidRPr="00356E06">
              <w:t>344</w:t>
            </w:r>
            <w:r>
              <w:t>)</w:t>
            </w:r>
            <w:r w:rsidRPr="00356E06">
              <w:t xml:space="preserve"> </w:t>
            </w:r>
          </w:p>
        </w:tc>
        <w:tc>
          <w:tcPr>
            <w:tcW w:w="1797" w:type="dxa"/>
          </w:tcPr>
          <w:p w14:paraId="06A611FB" w14:textId="77777777" w:rsidR="008B7E19" w:rsidRPr="007E33FB" w:rsidRDefault="008B7E19" w:rsidP="008B7E19">
            <w:pPr>
              <w:pStyle w:val="08-Tabelageral"/>
              <w:rPr>
                <w:rFonts w:cs="Arial"/>
                <w:color w:val="000000"/>
                <w:szCs w:val="14"/>
              </w:rPr>
            </w:pPr>
            <w:r w:rsidRPr="00356E06">
              <w:t xml:space="preserve"> </w:t>
            </w:r>
            <w:r>
              <w:t>--</w:t>
            </w:r>
            <w:r w:rsidRPr="00356E06">
              <w:t xml:space="preserve">   </w:t>
            </w:r>
          </w:p>
        </w:tc>
        <w:tc>
          <w:tcPr>
            <w:tcW w:w="1797" w:type="dxa"/>
          </w:tcPr>
          <w:p w14:paraId="2C0C8A19" w14:textId="77777777" w:rsidR="008B7E19" w:rsidRPr="007E33FB" w:rsidRDefault="008B7E19" w:rsidP="008B7E19">
            <w:pPr>
              <w:pStyle w:val="08-Tabelageral"/>
              <w:rPr>
                <w:rFonts w:cs="Arial"/>
                <w:color w:val="000000"/>
                <w:szCs w:val="14"/>
              </w:rPr>
            </w:pPr>
            <w:r>
              <w:t>(</w:t>
            </w:r>
            <w:r w:rsidRPr="00356E06">
              <w:t>80</w:t>
            </w:r>
            <w:r>
              <w:t>,</w:t>
            </w:r>
            <w:r w:rsidRPr="00356E06">
              <w:t>344</w:t>
            </w:r>
            <w:r>
              <w:t>)</w:t>
            </w:r>
            <w:r w:rsidRPr="00356E06">
              <w:t xml:space="preserve"> </w:t>
            </w:r>
          </w:p>
        </w:tc>
      </w:tr>
      <w:tr w:rsidR="008B7E19" w:rsidRPr="00A03B7C" w14:paraId="66B28797" w14:textId="77777777" w:rsidTr="008B7E19">
        <w:trPr>
          <w:trHeight w:val="238"/>
          <w:jc w:val="center"/>
        </w:trPr>
        <w:tc>
          <w:tcPr>
            <w:tcW w:w="4519" w:type="dxa"/>
            <w:vAlign w:val="center"/>
          </w:tcPr>
          <w:p w14:paraId="3428A56B" w14:textId="77777777" w:rsidR="008B7E19" w:rsidRPr="00A03B7C" w:rsidRDefault="008B7E19" w:rsidP="008B7E19">
            <w:pPr>
              <w:pStyle w:val="08-Tabelageral"/>
              <w:ind w:left="113"/>
              <w:jc w:val="left"/>
              <w:rPr>
                <w:rFonts w:cs="Arial"/>
                <w:szCs w:val="14"/>
                <w:highlight w:val="yellow"/>
              </w:rPr>
            </w:pPr>
            <w:r w:rsidRPr="00C27294">
              <w:t>Other accumulated comprehensive income</w:t>
            </w:r>
          </w:p>
        </w:tc>
        <w:tc>
          <w:tcPr>
            <w:tcW w:w="1526" w:type="dxa"/>
          </w:tcPr>
          <w:p w14:paraId="165EB9A3" w14:textId="77777777" w:rsidR="008B7E19" w:rsidRPr="00A03B7C" w:rsidRDefault="008B7E19" w:rsidP="008B7E19">
            <w:pPr>
              <w:pStyle w:val="08-Tabelageral"/>
              <w:rPr>
                <w:rFonts w:cs="Arial"/>
                <w:color w:val="000000"/>
                <w:szCs w:val="14"/>
                <w:highlight w:val="yellow"/>
              </w:rPr>
            </w:pPr>
            <w:r>
              <w:t>(</w:t>
            </w:r>
            <w:r w:rsidRPr="00356E06">
              <w:t>147</w:t>
            </w:r>
            <w:r>
              <w:t>,</w:t>
            </w:r>
            <w:r w:rsidRPr="00356E06">
              <w:t>047</w:t>
            </w:r>
            <w:r>
              <w:t>)</w:t>
            </w:r>
            <w:r w:rsidRPr="00356E06">
              <w:t xml:space="preserve"> </w:t>
            </w:r>
          </w:p>
        </w:tc>
        <w:tc>
          <w:tcPr>
            <w:tcW w:w="1797" w:type="dxa"/>
          </w:tcPr>
          <w:p w14:paraId="4B046BCB" w14:textId="77777777" w:rsidR="008B7E19" w:rsidRPr="00A03B7C" w:rsidRDefault="008B7E19" w:rsidP="008B7E19">
            <w:pPr>
              <w:pStyle w:val="08-Tabelageral"/>
              <w:rPr>
                <w:rFonts w:cs="Arial"/>
                <w:color w:val="000000"/>
                <w:szCs w:val="14"/>
                <w:highlight w:val="yellow"/>
              </w:rPr>
            </w:pPr>
            <w:r>
              <w:t>(</w:t>
            </w:r>
            <w:r w:rsidRPr="00356E06">
              <w:t>194</w:t>
            </w:r>
            <w:r>
              <w:t>,</w:t>
            </w:r>
            <w:r w:rsidRPr="00356E06">
              <w:t>945</w:t>
            </w:r>
            <w:r>
              <w:t>)</w:t>
            </w:r>
            <w:r w:rsidRPr="00356E06">
              <w:t xml:space="preserve"> </w:t>
            </w:r>
          </w:p>
        </w:tc>
        <w:tc>
          <w:tcPr>
            <w:tcW w:w="1797" w:type="dxa"/>
          </w:tcPr>
          <w:p w14:paraId="03A832D3" w14:textId="77777777" w:rsidR="008B7E19" w:rsidRPr="00A03B7C" w:rsidRDefault="008B7E19" w:rsidP="008B7E19">
            <w:pPr>
              <w:pStyle w:val="08-Tabelageral"/>
              <w:rPr>
                <w:rFonts w:cs="Arial"/>
                <w:color w:val="000000"/>
                <w:szCs w:val="14"/>
                <w:highlight w:val="yellow"/>
              </w:rPr>
            </w:pPr>
            <w:r>
              <w:t>(</w:t>
            </w:r>
            <w:r w:rsidRPr="00356E06">
              <w:t>341</w:t>
            </w:r>
            <w:r>
              <w:t>,</w:t>
            </w:r>
            <w:r w:rsidRPr="00356E06">
              <w:t>992</w:t>
            </w:r>
            <w:r>
              <w:t>)</w:t>
            </w:r>
            <w:r w:rsidRPr="00356E06">
              <w:t xml:space="preserve"> </w:t>
            </w:r>
          </w:p>
        </w:tc>
      </w:tr>
      <w:tr w:rsidR="008B7E19" w:rsidRPr="00A03B7C" w14:paraId="084D183F" w14:textId="77777777" w:rsidTr="008B7E19">
        <w:trPr>
          <w:trHeight w:val="238"/>
          <w:jc w:val="center"/>
        </w:trPr>
        <w:tc>
          <w:tcPr>
            <w:tcW w:w="4519" w:type="dxa"/>
            <w:vAlign w:val="center"/>
          </w:tcPr>
          <w:p w14:paraId="6A089BDF" w14:textId="77777777" w:rsidR="008B7E19" w:rsidRPr="00A03B7C" w:rsidRDefault="008B7E19" w:rsidP="008B7E19">
            <w:pPr>
              <w:pStyle w:val="08-Tabelageral"/>
              <w:ind w:left="113"/>
              <w:jc w:val="left"/>
              <w:rPr>
                <w:rFonts w:cs="Arial"/>
                <w:b/>
                <w:bCs/>
                <w:szCs w:val="14"/>
                <w:highlight w:val="yellow"/>
              </w:rPr>
            </w:pPr>
            <w:r w:rsidRPr="00C34AB2">
              <w:t>Retained earnings</w:t>
            </w:r>
          </w:p>
        </w:tc>
        <w:tc>
          <w:tcPr>
            <w:tcW w:w="1526" w:type="dxa"/>
          </w:tcPr>
          <w:p w14:paraId="6750A90E" w14:textId="77777777" w:rsidR="008B7E19" w:rsidRPr="00A03B7C" w:rsidRDefault="008B7E19" w:rsidP="008B7E19">
            <w:pPr>
              <w:pStyle w:val="08-Tabelageral"/>
              <w:rPr>
                <w:rFonts w:cs="Arial"/>
                <w:b/>
                <w:bCs/>
                <w:szCs w:val="14"/>
                <w:highlight w:val="yellow"/>
              </w:rPr>
            </w:pPr>
            <w:r w:rsidRPr="00356E06">
              <w:t xml:space="preserve"> </w:t>
            </w:r>
            <w:r>
              <w:t>--</w:t>
            </w:r>
            <w:r w:rsidRPr="00356E06">
              <w:t xml:space="preserve">   </w:t>
            </w:r>
          </w:p>
        </w:tc>
        <w:tc>
          <w:tcPr>
            <w:tcW w:w="1797" w:type="dxa"/>
          </w:tcPr>
          <w:p w14:paraId="1C725F45" w14:textId="77777777" w:rsidR="008B7E19" w:rsidRPr="00A03B7C" w:rsidRDefault="008B7E19" w:rsidP="008B7E19">
            <w:pPr>
              <w:pStyle w:val="08-Tabelageral"/>
              <w:rPr>
                <w:rFonts w:cs="Arial"/>
                <w:szCs w:val="14"/>
                <w:highlight w:val="yellow"/>
              </w:rPr>
            </w:pPr>
            <w:r w:rsidRPr="00356E06">
              <w:t xml:space="preserve"> 635</w:t>
            </w:r>
            <w:r>
              <w:t>,</w:t>
            </w:r>
            <w:r w:rsidRPr="00356E06">
              <w:t xml:space="preserve">574 </w:t>
            </w:r>
          </w:p>
        </w:tc>
        <w:tc>
          <w:tcPr>
            <w:tcW w:w="1797" w:type="dxa"/>
          </w:tcPr>
          <w:p w14:paraId="6ABDA418" w14:textId="77777777" w:rsidR="008B7E19" w:rsidRPr="00A03B7C" w:rsidRDefault="008B7E19" w:rsidP="008B7E19">
            <w:pPr>
              <w:pStyle w:val="08-Tabelageral"/>
              <w:rPr>
                <w:rFonts w:cs="Arial"/>
                <w:b/>
                <w:bCs/>
                <w:szCs w:val="14"/>
                <w:highlight w:val="yellow"/>
              </w:rPr>
            </w:pPr>
            <w:r w:rsidRPr="00356E06">
              <w:t xml:space="preserve"> 635</w:t>
            </w:r>
            <w:r>
              <w:t>,</w:t>
            </w:r>
            <w:r w:rsidRPr="00356E06">
              <w:t xml:space="preserve">574 </w:t>
            </w:r>
          </w:p>
        </w:tc>
      </w:tr>
      <w:tr w:rsidR="008B7E19" w:rsidRPr="00A03B7C" w14:paraId="1FF3B950" w14:textId="77777777" w:rsidTr="008B7E19">
        <w:trPr>
          <w:trHeight w:val="238"/>
          <w:jc w:val="center"/>
        </w:trPr>
        <w:tc>
          <w:tcPr>
            <w:tcW w:w="4519" w:type="dxa"/>
            <w:tcBorders>
              <w:bottom w:val="single" w:sz="2" w:space="0" w:color="1F4E79" w:themeColor="accent1" w:themeShade="80"/>
            </w:tcBorders>
            <w:vAlign w:val="center"/>
          </w:tcPr>
          <w:p w14:paraId="10A7CF1A" w14:textId="77777777" w:rsidR="008B7E19" w:rsidRPr="00A03B7C" w:rsidRDefault="008B7E19" w:rsidP="008B7E19">
            <w:pPr>
              <w:pStyle w:val="08-Tabelageral"/>
              <w:jc w:val="left"/>
              <w:rPr>
                <w:rFonts w:cs="Arial"/>
                <w:b/>
                <w:bCs/>
                <w:szCs w:val="14"/>
                <w:highlight w:val="yellow"/>
              </w:rPr>
            </w:pPr>
            <w:r w:rsidRPr="002F06CE">
              <w:rPr>
                <w:b/>
                <w:bCs/>
              </w:rPr>
              <w:t>Total Liabilities and Equity</w:t>
            </w:r>
          </w:p>
        </w:tc>
        <w:tc>
          <w:tcPr>
            <w:tcW w:w="1526" w:type="dxa"/>
            <w:tcBorders>
              <w:bottom w:val="single" w:sz="2" w:space="0" w:color="1F4E79" w:themeColor="accent1" w:themeShade="80"/>
            </w:tcBorders>
          </w:tcPr>
          <w:p w14:paraId="10C0E45A" w14:textId="77777777" w:rsidR="008B7E19" w:rsidRPr="00A03B7C" w:rsidRDefault="008B7E19" w:rsidP="008B7E19">
            <w:pPr>
              <w:pStyle w:val="08-Tabelageral"/>
              <w:rPr>
                <w:rFonts w:cs="Arial"/>
                <w:b/>
                <w:bCs/>
                <w:color w:val="000000"/>
                <w:szCs w:val="14"/>
                <w:highlight w:val="yellow"/>
              </w:rPr>
            </w:pPr>
            <w:r w:rsidRPr="00663258">
              <w:rPr>
                <w:b/>
                <w:bCs/>
              </w:rPr>
              <w:t xml:space="preserve"> 16</w:t>
            </w:r>
            <w:r>
              <w:rPr>
                <w:b/>
                <w:bCs/>
              </w:rPr>
              <w:t>,</w:t>
            </w:r>
            <w:r w:rsidRPr="00663258">
              <w:rPr>
                <w:b/>
                <w:bCs/>
              </w:rPr>
              <w:t>129</w:t>
            </w:r>
            <w:r>
              <w:rPr>
                <w:b/>
                <w:bCs/>
              </w:rPr>
              <w:t>,</w:t>
            </w:r>
            <w:r w:rsidRPr="00663258">
              <w:rPr>
                <w:b/>
                <w:bCs/>
              </w:rPr>
              <w:t xml:space="preserve">832 </w:t>
            </w:r>
          </w:p>
        </w:tc>
        <w:tc>
          <w:tcPr>
            <w:tcW w:w="1797" w:type="dxa"/>
            <w:tcBorders>
              <w:bottom w:val="single" w:sz="2" w:space="0" w:color="1F4E79" w:themeColor="accent1" w:themeShade="80"/>
            </w:tcBorders>
          </w:tcPr>
          <w:p w14:paraId="5305043F" w14:textId="77777777" w:rsidR="008B7E19" w:rsidRPr="00A03B7C" w:rsidRDefault="008B7E19" w:rsidP="008B7E19">
            <w:pPr>
              <w:pStyle w:val="08-Tabelageral"/>
              <w:rPr>
                <w:rFonts w:cs="Arial"/>
                <w:b/>
                <w:bCs/>
                <w:szCs w:val="14"/>
                <w:highlight w:val="yellow"/>
              </w:rPr>
            </w:pPr>
            <w:r w:rsidRPr="00663258">
              <w:rPr>
                <w:b/>
                <w:bCs/>
              </w:rPr>
              <w:t xml:space="preserve"> 440</w:t>
            </w:r>
            <w:r>
              <w:rPr>
                <w:b/>
                <w:bCs/>
              </w:rPr>
              <w:t>,</w:t>
            </w:r>
            <w:r w:rsidRPr="00663258">
              <w:rPr>
                <w:b/>
                <w:bCs/>
              </w:rPr>
              <w:t xml:space="preserve">629 </w:t>
            </w:r>
          </w:p>
        </w:tc>
        <w:tc>
          <w:tcPr>
            <w:tcW w:w="1797" w:type="dxa"/>
            <w:tcBorders>
              <w:bottom w:val="single" w:sz="2" w:space="0" w:color="1F4E79" w:themeColor="accent1" w:themeShade="80"/>
            </w:tcBorders>
          </w:tcPr>
          <w:p w14:paraId="0280BD88" w14:textId="77777777" w:rsidR="008B7E19" w:rsidRPr="00A03B7C" w:rsidRDefault="008B7E19" w:rsidP="008B7E19">
            <w:pPr>
              <w:pStyle w:val="08-Tabelageral"/>
              <w:rPr>
                <w:rFonts w:cs="Arial"/>
                <w:b/>
                <w:bCs/>
                <w:color w:val="000000"/>
                <w:szCs w:val="14"/>
                <w:highlight w:val="yellow"/>
              </w:rPr>
            </w:pPr>
            <w:r w:rsidRPr="00663258">
              <w:rPr>
                <w:b/>
                <w:bCs/>
              </w:rPr>
              <w:t xml:space="preserve"> 16</w:t>
            </w:r>
            <w:r>
              <w:rPr>
                <w:b/>
                <w:bCs/>
              </w:rPr>
              <w:t>,</w:t>
            </w:r>
            <w:r w:rsidRPr="00663258">
              <w:rPr>
                <w:b/>
                <w:bCs/>
              </w:rPr>
              <w:t>570</w:t>
            </w:r>
            <w:r>
              <w:rPr>
                <w:b/>
                <w:bCs/>
              </w:rPr>
              <w:t>,</w:t>
            </w:r>
            <w:r w:rsidRPr="00663258">
              <w:rPr>
                <w:b/>
                <w:bCs/>
              </w:rPr>
              <w:t xml:space="preserve">461 </w:t>
            </w:r>
          </w:p>
        </w:tc>
      </w:tr>
    </w:tbl>
    <w:p w14:paraId="641900AA" w14:textId="77777777" w:rsidR="008B7E19" w:rsidRDefault="008B7E19" w:rsidP="008B7E19">
      <w:pPr>
        <w:rPr>
          <w:lang w:eastAsia="pt-BR"/>
        </w:rPr>
      </w:pPr>
    </w:p>
    <w:p w14:paraId="2E3B58FE" w14:textId="77777777" w:rsidR="008B7E19" w:rsidRPr="00525928" w:rsidRDefault="008B7E19" w:rsidP="008B7E19">
      <w:pPr>
        <w:rPr>
          <w:lang w:eastAsia="pt-BR"/>
        </w:rPr>
      </w:pPr>
    </w:p>
    <w:p w14:paraId="35D1DCF1" w14:textId="77777777" w:rsidR="008B7E19" w:rsidRDefault="008B7E19" w:rsidP="008B7E19">
      <w:pPr>
        <w:pStyle w:val="03-SubttulodeNota"/>
        <w:keepNext/>
        <w:pageBreakBefore/>
        <w:rPr>
          <w:color w:val="1F4E79" w:themeColor="accent1" w:themeShade="80"/>
        </w:rPr>
      </w:pPr>
      <w:r w:rsidRPr="00F62FB1">
        <w:rPr>
          <w:color w:val="1F4E79" w:themeColor="accent1" w:themeShade="80"/>
        </w:rPr>
        <w:t xml:space="preserve">Statement </w:t>
      </w:r>
      <w:r>
        <w:rPr>
          <w:color w:val="1F4E79" w:themeColor="accent1" w:themeShade="80"/>
        </w:rPr>
        <w:t>o</w:t>
      </w:r>
      <w:r w:rsidRPr="00F62FB1">
        <w:rPr>
          <w:color w:val="1F4E79" w:themeColor="accent1" w:themeShade="80"/>
        </w:rPr>
        <w:t>f Income</w:t>
      </w:r>
    </w:p>
    <w:p w14:paraId="4F15ED21" w14:textId="77777777" w:rsidR="008B7E19" w:rsidRPr="00D44604" w:rsidRDefault="008B7E19" w:rsidP="008B7E19">
      <w:pPr>
        <w:spacing w:after="0" w:line="240" w:lineRule="auto"/>
        <w:jc w:val="right"/>
        <w:rPr>
          <w:rFonts w:cs="Arial"/>
          <w:b/>
          <w:sz w:val="14"/>
          <w:lang w:eastAsia="pt-BR"/>
        </w:rPr>
      </w:pPr>
      <w:r w:rsidRPr="00FC6C4B">
        <w:rPr>
          <w:rFonts w:cs="Arial"/>
          <w:b/>
          <w:sz w:val="14"/>
          <w:lang w:eastAsia="pt-BR"/>
        </w:rPr>
        <w:t>R$ thousand</w:t>
      </w:r>
    </w:p>
    <w:tbl>
      <w:tblPr>
        <w:tblW w:w="9854" w:type="dxa"/>
        <w:jc w:val="center"/>
        <w:tblBorders>
          <w:top w:val="single" w:sz="2" w:space="0" w:color="1F4E79" w:themeColor="accent1" w:themeShade="80"/>
          <w:bottom w:val="single" w:sz="2" w:space="0" w:color="1F4E79" w:themeColor="accent1" w:themeShade="80"/>
        </w:tblBorders>
        <w:tblLook w:val="04A0" w:firstRow="1" w:lastRow="0" w:firstColumn="1" w:lastColumn="0" w:noHBand="0" w:noVBand="1"/>
      </w:tblPr>
      <w:tblGrid>
        <w:gridCol w:w="4361"/>
        <w:gridCol w:w="1831"/>
        <w:gridCol w:w="1831"/>
        <w:gridCol w:w="1831"/>
      </w:tblGrid>
      <w:tr w:rsidR="008B7E19" w:rsidRPr="00E00C9B" w14:paraId="5D82E26B" w14:textId="77777777" w:rsidTr="008B7E19">
        <w:trPr>
          <w:trHeight w:val="238"/>
          <w:jc w:val="center"/>
        </w:trPr>
        <w:tc>
          <w:tcPr>
            <w:tcW w:w="4361" w:type="dxa"/>
            <w:tcBorders>
              <w:top w:val="single" w:sz="2" w:space="0" w:color="1F4E79" w:themeColor="accent1" w:themeShade="80"/>
            </w:tcBorders>
            <w:shd w:val="clear" w:color="auto" w:fill="auto"/>
            <w:vAlign w:val="center"/>
          </w:tcPr>
          <w:p w14:paraId="1736F431" w14:textId="77777777" w:rsidR="008B7E19" w:rsidRPr="008F5C2C" w:rsidRDefault="008B7E19" w:rsidP="008B7E19">
            <w:pPr>
              <w:pStyle w:val="08-Tabelageral"/>
              <w:jc w:val="left"/>
              <w:rPr>
                <w:rFonts w:cs="Arial"/>
                <w:b/>
                <w:bCs/>
                <w:szCs w:val="14"/>
              </w:rPr>
            </w:pPr>
          </w:p>
        </w:tc>
        <w:tc>
          <w:tcPr>
            <w:tcW w:w="1831" w:type="dxa"/>
            <w:tcBorders>
              <w:top w:val="single" w:sz="2" w:space="0" w:color="1F4E79" w:themeColor="accent1" w:themeShade="80"/>
            </w:tcBorders>
            <w:shd w:val="clear" w:color="auto" w:fill="auto"/>
            <w:vAlign w:val="center"/>
          </w:tcPr>
          <w:p w14:paraId="3242B02D" w14:textId="77777777" w:rsidR="008B7E19" w:rsidRPr="008F5C2C" w:rsidRDefault="008B7E19" w:rsidP="008B7E19">
            <w:pPr>
              <w:pStyle w:val="08-Tabelageral"/>
              <w:rPr>
                <w:rFonts w:cs="Arial"/>
                <w:b/>
                <w:bCs/>
                <w:szCs w:val="14"/>
              </w:rPr>
            </w:pPr>
          </w:p>
        </w:tc>
        <w:tc>
          <w:tcPr>
            <w:tcW w:w="1831" w:type="dxa"/>
            <w:tcBorders>
              <w:top w:val="single" w:sz="2" w:space="0" w:color="1F4E79" w:themeColor="accent1" w:themeShade="80"/>
            </w:tcBorders>
            <w:shd w:val="clear" w:color="auto" w:fill="auto"/>
          </w:tcPr>
          <w:p w14:paraId="436D86EA" w14:textId="77777777" w:rsidR="008B7E19" w:rsidRPr="008F5C2C" w:rsidRDefault="008B7E19" w:rsidP="008B7E19">
            <w:pPr>
              <w:pStyle w:val="08-Tabelageral"/>
              <w:rPr>
                <w:rFonts w:cs="Arial"/>
                <w:b/>
                <w:bCs/>
                <w:szCs w:val="14"/>
              </w:rPr>
            </w:pPr>
            <w:r>
              <w:rPr>
                <w:rFonts w:cs="Arial"/>
                <w:b/>
                <w:bCs/>
                <w:szCs w:val="14"/>
              </w:rPr>
              <w:t>Parent</w:t>
            </w:r>
          </w:p>
        </w:tc>
        <w:tc>
          <w:tcPr>
            <w:tcW w:w="1831" w:type="dxa"/>
            <w:tcBorders>
              <w:top w:val="single" w:sz="2" w:space="0" w:color="1F4E79" w:themeColor="accent1" w:themeShade="80"/>
            </w:tcBorders>
            <w:shd w:val="clear" w:color="auto" w:fill="auto"/>
          </w:tcPr>
          <w:p w14:paraId="5BDD8D4E" w14:textId="77777777" w:rsidR="008B7E19" w:rsidRPr="008F5C2C" w:rsidRDefault="008B7E19" w:rsidP="008B7E19">
            <w:pPr>
              <w:pStyle w:val="08-Tabelageral"/>
              <w:rPr>
                <w:rFonts w:cs="Arial"/>
                <w:b/>
                <w:bCs/>
                <w:szCs w:val="14"/>
              </w:rPr>
            </w:pPr>
          </w:p>
        </w:tc>
      </w:tr>
      <w:tr w:rsidR="008B7E19" w:rsidRPr="00E00C9B" w14:paraId="7CA6399A" w14:textId="77777777" w:rsidTr="008B7E19">
        <w:trPr>
          <w:trHeight w:val="238"/>
          <w:jc w:val="center"/>
        </w:trPr>
        <w:tc>
          <w:tcPr>
            <w:tcW w:w="4361" w:type="dxa"/>
            <w:tcBorders>
              <w:top w:val="single" w:sz="2" w:space="0" w:color="1F4E79" w:themeColor="accent1" w:themeShade="80"/>
            </w:tcBorders>
            <w:shd w:val="clear" w:color="auto" w:fill="auto"/>
            <w:vAlign w:val="center"/>
          </w:tcPr>
          <w:p w14:paraId="01351118" w14:textId="77777777" w:rsidR="008B7E19" w:rsidRPr="008F5C2C" w:rsidRDefault="008B7E19" w:rsidP="008B7E19">
            <w:pPr>
              <w:pStyle w:val="08-Tabelageral"/>
              <w:jc w:val="left"/>
              <w:rPr>
                <w:rFonts w:cs="Arial"/>
                <w:b/>
                <w:bCs/>
                <w:szCs w:val="14"/>
              </w:rPr>
            </w:pPr>
          </w:p>
        </w:tc>
        <w:tc>
          <w:tcPr>
            <w:tcW w:w="1831" w:type="dxa"/>
            <w:tcBorders>
              <w:top w:val="single" w:sz="2" w:space="0" w:color="1F4E79" w:themeColor="accent1" w:themeShade="80"/>
            </w:tcBorders>
            <w:shd w:val="clear" w:color="auto" w:fill="auto"/>
            <w:vAlign w:val="center"/>
          </w:tcPr>
          <w:p w14:paraId="6BDD809C" w14:textId="77777777" w:rsidR="008B7E19" w:rsidRPr="008F5C2C" w:rsidRDefault="008B7E19" w:rsidP="008B7E19">
            <w:pPr>
              <w:pStyle w:val="08-Tabelageral"/>
              <w:rPr>
                <w:rFonts w:cs="Arial"/>
                <w:b/>
                <w:bCs/>
                <w:szCs w:val="14"/>
              </w:rPr>
            </w:pPr>
          </w:p>
        </w:tc>
        <w:tc>
          <w:tcPr>
            <w:tcW w:w="1831" w:type="dxa"/>
            <w:tcBorders>
              <w:top w:val="single" w:sz="2" w:space="0" w:color="1F4E79" w:themeColor="accent1" w:themeShade="80"/>
            </w:tcBorders>
            <w:shd w:val="clear" w:color="auto" w:fill="auto"/>
          </w:tcPr>
          <w:p w14:paraId="2B9BD809" w14:textId="77777777" w:rsidR="008B7E19" w:rsidRPr="008F5C2C" w:rsidRDefault="008B7E19" w:rsidP="008B7E19">
            <w:pPr>
              <w:pStyle w:val="08-Tabelageral"/>
              <w:jc w:val="center"/>
              <w:rPr>
                <w:rFonts w:cs="Arial"/>
                <w:b/>
                <w:bCs/>
                <w:szCs w:val="14"/>
              </w:rPr>
            </w:pPr>
            <w:r>
              <w:rPr>
                <w:rFonts w:cs="Arial"/>
                <w:b/>
                <w:bCs/>
                <w:szCs w:val="14"/>
              </w:rPr>
              <w:t>2</w:t>
            </w:r>
            <w:r>
              <w:rPr>
                <w:rFonts w:cs="Arial"/>
                <w:b/>
                <w:bCs/>
                <w:szCs w:val="14"/>
                <w:vertAlign w:val="superscript"/>
              </w:rPr>
              <w:t>nd</w:t>
            </w:r>
            <w:r w:rsidRPr="003E392D">
              <w:rPr>
                <w:rFonts w:cs="Arial"/>
                <w:b/>
                <w:bCs/>
                <w:szCs w:val="14"/>
              </w:rPr>
              <w:t xml:space="preserve"> Quarter 202</w:t>
            </w:r>
            <w:r>
              <w:rPr>
                <w:rFonts w:cs="Arial"/>
                <w:b/>
                <w:bCs/>
                <w:szCs w:val="14"/>
              </w:rPr>
              <w:t>2</w:t>
            </w:r>
          </w:p>
        </w:tc>
        <w:tc>
          <w:tcPr>
            <w:tcW w:w="1831" w:type="dxa"/>
            <w:tcBorders>
              <w:top w:val="single" w:sz="2" w:space="0" w:color="1F4E79" w:themeColor="accent1" w:themeShade="80"/>
            </w:tcBorders>
            <w:shd w:val="clear" w:color="auto" w:fill="auto"/>
          </w:tcPr>
          <w:p w14:paraId="14BB9DED" w14:textId="77777777" w:rsidR="008B7E19" w:rsidRPr="008F5C2C" w:rsidRDefault="008B7E19" w:rsidP="008B7E19">
            <w:pPr>
              <w:pStyle w:val="08-Tabelageral"/>
              <w:rPr>
                <w:rFonts w:cs="Arial"/>
                <w:b/>
                <w:bCs/>
                <w:szCs w:val="14"/>
              </w:rPr>
            </w:pPr>
          </w:p>
        </w:tc>
      </w:tr>
      <w:tr w:rsidR="008B7E19" w:rsidRPr="00E00C9B" w14:paraId="47C1B300" w14:textId="77777777" w:rsidTr="008B7E19">
        <w:trPr>
          <w:trHeight w:val="238"/>
          <w:jc w:val="center"/>
        </w:trPr>
        <w:tc>
          <w:tcPr>
            <w:tcW w:w="4361" w:type="dxa"/>
            <w:tcBorders>
              <w:top w:val="single" w:sz="2" w:space="0" w:color="1F4E79" w:themeColor="accent1" w:themeShade="80"/>
            </w:tcBorders>
            <w:shd w:val="clear" w:color="auto" w:fill="auto"/>
            <w:vAlign w:val="center"/>
          </w:tcPr>
          <w:p w14:paraId="0FFCC51B" w14:textId="77777777" w:rsidR="008B7E19" w:rsidRPr="008F5C2C" w:rsidRDefault="008B7E19" w:rsidP="008B7E19">
            <w:pPr>
              <w:pStyle w:val="08-Tabelageral"/>
              <w:jc w:val="left"/>
              <w:rPr>
                <w:rFonts w:cs="Arial"/>
                <w:b/>
                <w:bCs/>
                <w:szCs w:val="14"/>
              </w:rPr>
            </w:pPr>
          </w:p>
        </w:tc>
        <w:tc>
          <w:tcPr>
            <w:tcW w:w="1831" w:type="dxa"/>
            <w:tcBorders>
              <w:top w:val="single" w:sz="2" w:space="0" w:color="1F4E79" w:themeColor="accent1" w:themeShade="80"/>
            </w:tcBorders>
            <w:shd w:val="clear" w:color="auto" w:fill="auto"/>
            <w:vAlign w:val="center"/>
          </w:tcPr>
          <w:p w14:paraId="6F224F88" w14:textId="77777777" w:rsidR="008B7E19" w:rsidRPr="008F5C2C" w:rsidRDefault="008B7E19" w:rsidP="008B7E19">
            <w:pPr>
              <w:pStyle w:val="08-Tabelageral"/>
              <w:rPr>
                <w:rFonts w:cs="Arial"/>
                <w:b/>
                <w:bCs/>
                <w:szCs w:val="14"/>
              </w:rPr>
            </w:pPr>
            <w:r>
              <w:rPr>
                <w:rFonts w:cs="Arial"/>
                <w:b/>
                <w:bCs/>
                <w:szCs w:val="14"/>
              </w:rPr>
              <w:t>Original report</w:t>
            </w:r>
          </w:p>
        </w:tc>
        <w:tc>
          <w:tcPr>
            <w:tcW w:w="1831" w:type="dxa"/>
            <w:tcBorders>
              <w:top w:val="single" w:sz="2" w:space="0" w:color="1F4E79" w:themeColor="accent1" w:themeShade="80"/>
            </w:tcBorders>
            <w:shd w:val="clear" w:color="auto" w:fill="auto"/>
          </w:tcPr>
          <w:p w14:paraId="1252137D" w14:textId="77777777" w:rsidR="008B7E19" w:rsidRPr="008F5C2C" w:rsidRDefault="008B7E19" w:rsidP="008B7E19">
            <w:pPr>
              <w:pStyle w:val="08-Tabelageral"/>
              <w:rPr>
                <w:rFonts w:cs="Arial"/>
                <w:b/>
                <w:bCs/>
                <w:szCs w:val="14"/>
              </w:rPr>
            </w:pPr>
            <w:r>
              <w:rPr>
                <w:rFonts w:cs="Arial"/>
                <w:b/>
                <w:bCs/>
                <w:szCs w:val="14"/>
              </w:rPr>
              <w:t>Adjustments</w:t>
            </w:r>
          </w:p>
        </w:tc>
        <w:tc>
          <w:tcPr>
            <w:tcW w:w="1831" w:type="dxa"/>
            <w:tcBorders>
              <w:top w:val="single" w:sz="2" w:space="0" w:color="1F4E79" w:themeColor="accent1" w:themeShade="80"/>
            </w:tcBorders>
            <w:shd w:val="clear" w:color="auto" w:fill="auto"/>
          </w:tcPr>
          <w:p w14:paraId="71C25848" w14:textId="77777777" w:rsidR="008B7E19" w:rsidRPr="008F5C2C" w:rsidRDefault="008B7E19" w:rsidP="008B7E19">
            <w:pPr>
              <w:pStyle w:val="08-Tabelageral"/>
              <w:rPr>
                <w:rFonts w:cs="Arial"/>
                <w:b/>
                <w:bCs/>
                <w:szCs w:val="14"/>
              </w:rPr>
            </w:pPr>
            <w:r>
              <w:rPr>
                <w:rFonts w:cs="Arial"/>
                <w:b/>
                <w:bCs/>
                <w:szCs w:val="14"/>
              </w:rPr>
              <w:t>Restated balances</w:t>
            </w:r>
          </w:p>
        </w:tc>
      </w:tr>
      <w:tr w:rsidR="008B7E19" w:rsidRPr="00F42AB1" w14:paraId="7CEB62DF" w14:textId="77777777" w:rsidTr="008B7E19">
        <w:trPr>
          <w:trHeight w:val="238"/>
          <w:jc w:val="center"/>
        </w:trPr>
        <w:tc>
          <w:tcPr>
            <w:tcW w:w="4361" w:type="dxa"/>
            <w:tcBorders>
              <w:top w:val="single" w:sz="2" w:space="0" w:color="1F4E79" w:themeColor="accent1" w:themeShade="80"/>
            </w:tcBorders>
            <w:shd w:val="clear" w:color="auto" w:fill="auto"/>
            <w:vAlign w:val="center"/>
          </w:tcPr>
          <w:p w14:paraId="6CFCCFC1" w14:textId="77777777" w:rsidR="008B7E19" w:rsidRPr="00F42AB1" w:rsidRDefault="008B7E19" w:rsidP="008B7E19">
            <w:pPr>
              <w:pStyle w:val="08-Tabelageral"/>
              <w:jc w:val="left"/>
              <w:rPr>
                <w:rFonts w:cs="Arial"/>
                <w:szCs w:val="14"/>
              </w:rPr>
            </w:pPr>
            <w:r w:rsidRPr="00F42AB1">
              <w:rPr>
                <w:rFonts w:cs="Arial"/>
                <w:szCs w:val="14"/>
              </w:rPr>
              <w:t>Operating Income</w:t>
            </w:r>
          </w:p>
        </w:tc>
        <w:tc>
          <w:tcPr>
            <w:tcW w:w="1831" w:type="dxa"/>
            <w:tcBorders>
              <w:top w:val="single" w:sz="2" w:space="0" w:color="1F4E79" w:themeColor="accent1" w:themeShade="80"/>
            </w:tcBorders>
            <w:shd w:val="clear" w:color="auto" w:fill="auto"/>
            <w:vAlign w:val="center"/>
          </w:tcPr>
          <w:p w14:paraId="39BB0744" w14:textId="77777777" w:rsidR="008B7E19" w:rsidRPr="00F42AB1" w:rsidRDefault="008B7E19" w:rsidP="008B7E19">
            <w:pPr>
              <w:pStyle w:val="08-Tabelageral"/>
              <w:rPr>
                <w:rFonts w:cs="Arial"/>
                <w:szCs w:val="14"/>
              </w:rPr>
            </w:pPr>
            <w:r w:rsidRPr="00F42AB1">
              <w:rPr>
                <w:rFonts w:cs="Arial"/>
                <w:szCs w:val="14"/>
              </w:rPr>
              <w:t>1</w:t>
            </w:r>
            <w:r>
              <w:rPr>
                <w:rFonts w:cs="Arial"/>
                <w:szCs w:val="14"/>
              </w:rPr>
              <w:t>,</w:t>
            </w:r>
            <w:r w:rsidRPr="00F42AB1">
              <w:rPr>
                <w:rFonts w:cs="Arial"/>
                <w:szCs w:val="14"/>
              </w:rPr>
              <w:t>407</w:t>
            </w:r>
            <w:r>
              <w:rPr>
                <w:rFonts w:cs="Arial"/>
                <w:szCs w:val="14"/>
              </w:rPr>
              <w:t>,</w:t>
            </w:r>
            <w:r w:rsidRPr="00F42AB1">
              <w:rPr>
                <w:rFonts w:cs="Arial"/>
                <w:szCs w:val="14"/>
              </w:rPr>
              <w:t>388</w:t>
            </w:r>
          </w:p>
        </w:tc>
        <w:tc>
          <w:tcPr>
            <w:tcW w:w="1831" w:type="dxa"/>
            <w:tcBorders>
              <w:top w:val="single" w:sz="2" w:space="0" w:color="1F4E79" w:themeColor="accent1" w:themeShade="80"/>
            </w:tcBorders>
            <w:vAlign w:val="center"/>
          </w:tcPr>
          <w:p w14:paraId="571281C3" w14:textId="77777777" w:rsidR="008B7E19" w:rsidRPr="00F42AB1" w:rsidRDefault="008B7E19" w:rsidP="008B7E19">
            <w:pPr>
              <w:pStyle w:val="08-Tabelageral"/>
              <w:rPr>
                <w:rFonts w:cs="Arial"/>
                <w:szCs w:val="14"/>
              </w:rPr>
            </w:pPr>
            <w:r w:rsidRPr="00F42AB1">
              <w:rPr>
                <w:rFonts w:cs="Arial"/>
                <w:szCs w:val="14"/>
              </w:rPr>
              <w:t>97</w:t>
            </w:r>
            <w:r>
              <w:rPr>
                <w:rFonts w:cs="Arial"/>
                <w:szCs w:val="14"/>
              </w:rPr>
              <w:t>,</w:t>
            </w:r>
            <w:r w:rsidRPr="00F42AB1">
              <w:rPr>
                <w:rFonts w:cs="Arial"/>
                <w:szCs w:val="14"/>
              </w:rPr>
              <w:t>356</w:t>
            </w:r>
          </w:p>
        </w:tc>
        <w:tc>
          <w:tcPr>
            <w:tcW w:w="1831" w:type="dxa"/>
            <w:tcBorders>
              <w:top w:val="single" w:sz="2" w:space="0" w:color="1F4E79" w:themeColor="accent1" w:themeShade="80"/>
            </w:tcBorders>
            <w:vAlign w:val="center"/>
          </w:tcPr>
          <w:p w14:paraId="7C08E94E" w14:textId="77777777" w:rsidR="008B7E19" w:rsidRPr="00F42AB1" w:rsidRDefault="008B7E19" w:rsidP="008B7E19">
            <w:pPr>
              <w:pStyle w:val="08-Tabelageral"/>
              <w:rPr>
                <w:rFonts w:cs="Arial"/>
                <w:szCs w:val="14"/>
              </w:rPr>
            </w:pPr>
            <w:r w:rsidRPr="00F42AB1">
              <w:rPr>
                <w:rFonts w:cs="Arial"/>
                <w:szCs w:val="14"/>
              </w:rPr>
              <w:t>1</w:t>
            </w:r>
            <w:r>
              <w:rPr>
                <w:rFonts w:cs="Arial"/>
                <w:szCs w:val="14"/>
              </w:rPr>
              <w:t>,</w:t>
            </w:r>
            <w:r w:rsidRPr="00F42AB1">
              <w:rPr>
                <w:rFonts w:cs="Arial"/>
                <w:szCs w:val="14"/>
              </w:rPr>
              <w:t>504</w:t>
            </w:r>
            <w:r>
              <w:rPr>
                <w:rFonts w:cs="Arial"/>
                <w:szCs w:val="14"/>
              </w:rPr>
              <w:t>,</w:t>
            </w:r>
            <w:r w:rsidRPr="00F42AB1">
              <w:rPr>
                <w:rFonts w:cs="Arial"/>
                <w:szCs w:val="14"/>
              </w:rPr>
              <w:t>744</w:t>
            </w:r>
          </w:p>
        </w:tc>
      </w:tr>
      <w:tr w:rsidR="008B7E19" w:rsidRPr="00F42AB1" w14:paraId="53259492" w14:textId="77777777" w:rsidTr="008B7E19">
        <w:trPr>
          <w:trHeight w:val="238"/>
          <w:jc w:val="center"/>
        </w:trPr>
        <w:tc>
          <w:tcPr>
            <w:tcW w:w="4361" w:type="dxa"/>
            <w:shd w:val="clear" w:color="auto" w:fill="auto"/>
            <w:vAlign w:val="center"/>
          </w:tcPr>
          <w:p w14:paraId="6D3D09DB" w14:textId="77777777" w:rsidR="008B7E19" w:rsidRPr="00F42AB1" w:rsidRDefault="008B7E19" w:rsidP="008B7E19">
            <w:pPr>
              <w:pStyle w:val="08-Tabelageral"/>
              <w:jc w:val="left"/>
              <w:rPr>
                <w:rFonts w:cs="Arial"/>
                <w:szCs w:val="14"/>
              </w:rPr>
            </w:pPr>
            <w:r w:rsidRPr="00F42AB1">
              <w:rPr>
                <w:rFonts w:cs="Arial"/>
                <w:szCs w:val="14"/>
              </w:rPr>
              <w:t>Equity income</w:t>
            </w:r>
          </w:p>
        </w:tc>
        <w:tc>
          <w:tcPr>
            <w:tcW w:w="1831" w:type="dxa"/>
            <w:shd w:val="clear" w:color="auto" w:fill="auto"/>
            <w:vAlign w:val="center"/>
          </w:tcPr>
          <w:p w14:paraId="59B018B5" w14:textId="77777777" w:rsidR="008B7E19" w:rsidRPr="00F42AB1" w:rsidRDefault="008B7E19" w:rsidP="008B7E19">
            <w:pPr>
              <w:pStyle w:val="08-Tabelageral"/>
              <w:rPr>
                <w:rFonts w:cs="Arial"/>
                <w:szCs w:val="14"/>
              </w:rPr>
            </w:pPr>
            <w:r w:rsidRPr="00F42AB1">
              <w:rPr>
                <w:rFonts w:cs="Arial"/>
                <w:szCs w:val="14"/>
              </w:rPr>
              <w:t>1</w:t>
            </w:r>
            <w:r>
              <w:rPr>
                <w:rFonts w:cs="Arial"/>
                <w:szCs w:val="14"/>
              </w:rPr>
              <w:t>,</w:t>
            </w:r>
            <w:r w:rsidRPr="00F42AB1">
              <w:rPr>
                <w:rFonts w:cs="Arial"/>
                <w:szCs w:val="14"/>
              </w:rPr>
              <w:t>407</w:t>
            </w:r>
            <w:r>
              <w:rPr>
                <w:rFonts w:cs="Arial"/>
                <w:szCs w:val="14"/>
              </w:rPr>
              <w:t>,</w:t>
            </w:r>
            <w:r w:rsidRPr="00F42AB1">
              <w:rPr>
                <w:rFonts w:cs="Arial"/>
                <w:szCs w:val="14"/>
              </w:rPr>
              <w:t>388</w:t>
            </w:r>
          </w:p>
        </w:tc>
        <w:tc>
          <w:tcPr>
            <w:tcW w:w="1831" w:type="dxa"/>
            <w:vAlign w:val="center"/>
          </w:tcPr>
          <w:p w14:paraId="53B0C539" w14:textId="77777777" w:rsidR="008B7E19" w:rsidRPr="00F42AB1" w:rsidRDefault="008B7E19" w:rsidP="008B7E19">
            <w:pPr>
              <w:pStyle w:val="08-Tabelageral"/>
              <w:rPr>
                <w:rFonts w:cs="Arial"/>
                <w:szCs w:val="14"/>
              </w:rPr>
            </w:pPr>
            <w:r w:rsidRPr="00F42AB1">
              <w:rPr>
                <w:rFonts w:cs="Arial"/>
                <w:szCs w:val="14"/>
              </w:rPr>
              <w:t>97</w:t>
            </w:r>
            <w:r>
              <w:rPr>
                <w:rFonts w:cs="Arial"/>
                <w:szCs w:val="14"/>
              </w:rPr>
              <w:t>,</w:t>
            </w:r>
            <w:r w:rsidRPr="00F42AB1">
              <w:rPr>
                <w:rFonts w:cs="Arial"/>
                <w:szCs w:val="14"/>
              </w:rPr>
              <w:t>356</w:t>
            </w:r>
          </w:p>
        </w:tc>
        <w:tc>
          <w:tcPr>
            <w:tcW w:w="1831" w:type="dxa"/>
            <w:vAlign w:val="center"/>
          </w:tcPr>
          <w:p w14:paraId="3F8B0402" w14:textId="77777777" w:rsidR="008B7E19" w:rsidRPr="00F42AB1" w:rsidRDefault="008B7E19" w:rsidP="008B7E19">
            <w:pPr>
              <w:pStyle w:val="08-Tabelageral"/>
              <w:rPr>
                <w:rFonts w:cs="Arial"/>
                <w:szCs w:val="14"/>
              </w:rPr>
            </w:pPr>
            <w:r w:rsidRPr="00F42AB1">
              <w:rPr>
                <w:rFonts w:cs="Arial"/>
                <w:szCs w:val="14"/>
              </w:rPr>
              <w:t>1</w:t>
            </w:r>
            <w:r>
              <w:rPr>
                <w:rFonts w:cs="Arial"/>
                <w:szCs w:val="14"/>
              </w:rPr>
              <w:t>,</w:t>
            </w:r>
            <w:r w:rsidRPr="00F42AB1">
              <w:rPr>
                <w:rFonts w:cs="Arial"/>
                <w:szCs w:val="14"/>
              </w:rPr>
              <w:t>504</w:t>
            </w:r>
            <w:r>
              <w:rPr>
                <w:rFonts w:cs="Arial"/>
                <w:szCs w:val="14"/>
              </w:rPr>
              <w:t>,</w:t>
            </w:r>
            <w:r w:rsidRPr="00F42AB1">
              <w:rPr>
                <w:rFonts w:cs="Arial"/>
                <w:szCs w:val="14"/>
              </w:rPr>
              <w:t>744</w:t>
            </w:r>
          </w:p>
        </w:tc>
      </w:tr>
      <w:tr w:rsidR="008B7E19" w:rsidRPr="00F42AB1" w14:paraId="3447A0BB" w14:textId="77777777" w:rsidTr="008B7E19">
        <w:trPr>
          <w:trHeight w:val="238"/>
          <w:jc w:val="center"/>
        </w:trPr>
        <w:tc>
          <w:tcPr>
            <w:tcW w:w="4361" w:type="dxa"/>
            <w:shd w:val="clear" w:color="auto" w:fill="auto"/>
            <w:vAlign w:val="center"/>
          </w:tcPr>
          <w:p w14:paraId="63C188B1" w14:textId="77777777" w:rsidR="008B7E19" w:rsidRPr="00F42AB1" w:rsidRDefault="008B7E19" w:rsidP="008B7E19">
            <w:pPr>
              <w:pStyle w:val="08-Tabelageral"/>
              <w:jc w:val="left"/>
              <w:rPr>
                <w:rFonts w:cs="Arial"/>
                <w:szCs w:val="14"/>
              </w:rPr>
            </w:pPr>
            <w:r w:rsidRPr="00F42AB1">
              <w:rPr>
                <w:rFonts w:cs="Arial"/>
                <w:szCs w:val="14"/>
              </w:rPr>
              <w:t>Gross Profit</w:t>
            </w:r>
          </w:p>
        </w:tc>
        <w:tc>
          <w:tcPr>
            <w:tcW w:w="1831" w:type="dxa"/>
            <w:shd w:val="clear" w:color="auto" w:fill="auto"/>
            <w:vAlign w:val="center"/>
          </w:tcPr>
          <w:p w14:paraId="12A5DE79" w14:textId="77777777" w:rsidR="008B7E19" w:rsidRPr="00F42AB1" w:rsidRDefault="008B7E19" w:rsidP="008B7E19">
            <w:pPr>
              <w:pStyle w:val="08-Tabelageral"/>
              <w:rPr>
                <w:rFonts w:cs="Arial"/>
                <w:szCs w:val="14"/>
              </w:rPr>
            </w:pPr>
            <w:r w:rsidRPr="00F42AB1">
              <w:rPr>
                <w:rFonts w:cs="Arial"/>
                <w:szCs w:val="14"/>
              </w:rPr>
              <w:t>1</w:t>
            </w:r>
            <w:r>
              <w:rPr>
                <w:rFonts w:cs="Arial"/>
                <w:szCs w:val="14"/>
              </w:rPr>
              <w:t>,</w:t>
            </w:r>
            <w:r w:rsidRPr="00F42AB1">
              <w:rPr>
                <w:rFonts w:cs="Arial"/>
                <w:szCs w:val="14"/>
              </w:rPr>
              <w:t>407</w:t>
            </w:r>
            <w:r>
              <w:rPr>
                <w:rFonts w:cs="Arial"/>
                <w:szCs w:val="14"/>
              </w:rPr>
              <w:t>,</w:t>
            </w:r>
            <w:r w:rsidRPr="00F42AB1">
              <w:rPr>
                <w:rFonts w:cs="Arial"/>
                <w:szCs w:val="14"/>
              </w:rPr>
              <w:t>388</w:t>
            </w:r>
          </w:p>
        </w:tc>
        <w:tc>
          <w:tcPr>
            <w:tcW w:w="1831" w:type="dxa"/>
            <w:vAlign w:val="center"/>
          </w:tcPr>
          <w:p w14:paraId="00547837" w14:textId="77777777" w:rsidR="008B7E19" w:rsidRPr="00F42AB1" w:rsidRDefault="008B7E19" w:rsidP="008B7E19">
            <w:pPr>
              <w:pStyle w:val="08-Tabelageral"/>
              <w:rPr>
                <w:rFonts w:cs="Arial"/>
                <w:szCs w:val="14"/>
              </w:rPr>
            </w:pPr>
            <w:r w:rsidRPr="00F42AB1">
              <w:rPr>
                <w:rFonts w:cs="Arial"/>
                <w:szCs w:val="14"/>
              </w:rPr>
              <w:t>97</w:t>
            </w:r>
            <w:r>
              <w:rPr>
                <w:rFonts w:cs="Arial"/>
                <w:szCs w:val="14"/>
              </w:rPr>
              <w:t>,</w:t>
            </w:r>
            <w:r w:rsidRPr="00F42AB1">
              <w:rPr>
                <w:rFonts w:cs="Arial"/>
                <w:szCs w:val="14"/>
              </w:rPr>
              <w:t>356</w:t>
            </w:r>
          </w:p>
        </w:tc>
        <w:tc>
          <w:tcPr>
            <w:tcW w:w="1831" w:type="dxa"/>
            <w:vAlign w:val="center"/>
          </w:tcPr>
          <w:p w14:paraId="4394888F" w14:textId="77777777" w:rsidR="008B7E19" w:rsidRPr="00F42AB1" w:rsidRDefault="008B7E19" w:rsidP="008B7E19">
            <w:pPr>
              <w:pStyle w:val="08-Tabelageral"/>
              <w:rPr>
                <w:rFonts w:cs="Arial"/>
                <w:szCs w:val="14"/>
              </w:rPr>
            </w:pPr>
            <w:r w:rsidRPr="00F42AB1">
              <w:rPr>
                <w:rFonts w:cs="Arial"/>
                <w:szCs w:val="14"/>
              </w:rPr>
              <w:t>1</w:t>
            </w:r>
            <w:r>
              <w:rPr>
                <w:rFonts w:cs="Arial"/>
                <w:szCs w:val="14"/>
              </w:rPr>
              <w:t>,</w:t>
            </w:r>
            <w:r w:rsidRPr="00F42AB1">
              <w:rPr>
                <w:rFonts w:cs="Arial"/>
                <w:szCs w:val="14"/>
              </w:rPr>
              <w:t>504</w:t>
            </w:r>
            <w:r>
              <w:rPr>
                <w:rFonts w:cs="Arial"/>
                <w:szCs w:val="14"/>
              </w:rPr>
              <w:t>,</w:t>
            </w:r>
            <w:r w:rsidRPr="00F42AB1">
              <w:rPr>
                <w:rFonts w:cs="Arial"/>
                <w:szCs w:val="14"/>
              </w:rPr>
              <w:t>744</w:t>
            </w:r>
          </w:p>
        </w:tc>
      </w:tr>
      <w:tr w:rsidR="008B7E19" w:rsidRPr="00F42AB1" w14:paraId="4E7509AA" w14:textId="77777777" w:rsidTr="008B7E19">
        <w:trPr>
          <w:trHeight w:val="238"/>
          <w:jc w:val="center"/>
        </w:trPr>
        <w:tc>
          <w:tcPr>
            <w:tcW w:w="4361" w:type="dxa"/>
            <w:shd w:val="clear" w:color="auto" w:fill="auto"/>
            <w:vAlign w:val="center"/>
          </w:tcPr>
          <w:p w14:paraId="3AEDF270" w14:textId="77777777" w:rsidR="008B7E19" w:rsidRPr="00F42AB1" w:rsidRDefault="008B7E19" w:rsidP="008B7E19">
            <w:pPr>
              <w:pStyle w:val="08-Tabelageral"/>
              <w:jc w:val="left"/>
              <w:rPr>
                <w:rFonts w:cs="Arial"/>
                <w:szCs w:val="14"/>
              </w:rPr>
            </w:pPr>
            <w:r w:rsidRPr="00F42AB1">
              <w:rPr>
                <w:rFonts w:cs="Arial"/>
                <w:szCs w:val="14"/>
              </w:rPr>
              <w:t>Other Income and Expenses</w:t>
            </w:r>
          </w:p>
        </w:tc>
        <w:tc>
          <w:tcPr>
            <w:tcW w:w="1831" w:type="dxa"/>
            <w:shd w:val="clear" w:color="auto" w:fill="auto"/>
            <w:vAlign w:val="center"/>
          </w:tcPr>
          <w:p w14:paraId="557A779F" w14:textId="77777777" w:rsidR="008B7E19" w:rsidRPr="00F42AB1" w:rsidRDefault="008B7E19" w:rsidP="008B7E19">
            <w:pPr>
              <w:pStyle w:val="08-Tabelageral"/>
              <w:rPr>
                <w:rFonts w:cs="Arial"/>
                <w:szCs w:val="14"/>
              </w:rPr>
            </w:pPr>
            <w:r w:rsidRPr="00F42AB1">
              <w:rPr>
                <w:rFonts w:cs="Arial"/>
                <w:szCs w:val="14"/>
              </w:rPr>
              <w:t>(5</w:t>
            </w:r>
            <w:r>
              <w:rPr>
                <w:rFonts w:cs="Arial"/>
                <w:szCs w:val="14"/>
              </w:rPr>
              <w:t>,</w:t>
            </w:r>
            <w:r w:rsidRPr="00F42AB1">
              <w:rPr>
                <w:rFonts w:cs="Arial"/>
                <w:szCs w:val="14"/>
              </w:rPr>
              <w:t>399)</w:t>
            </w:r>
          </w:p>
        </w:tc>
        <w:tc>
          <w:tcPr>
            <w:tcW w:w="1831" w:type="dxa"/>
            <w:vAlign w:val="center"/>
          </w:tcPr>
          <w:p w14:paraId="564BECCC" w14:textId="77777777" w:rsidR="008B7E19" w:rsidRPr="00F42AB1" w:rsidRDefault="008B7E19" w:rsidP="008B7E19">
            <w:pPr>
              <w:pStyle w:val="08-Tabelageral"/>
              <w:rPr>
                <w:rFonts w:cs="Arial"/>
                <w:szCs w:val="14"/>
              </w:rPr>
            </w:pPr>
            <w:r w:rsidRPr="00F42AB1">
              <w:rPr>
                <w:rFonts w:cs="Arial"/>
                <w:szCs w:val="14"/>
              </w:rPr>
              <w:t>--</w:t>
            </w:r>
          </w:p>
        </w:tc>
        <w:tc>
          <w:tcPr>
            <w:tcW w:w="1831" w:type="dxa"/>
            <w:vAlign w:val="center"/>
          </w:tcPr>
          <w:p w14:paraId="39C82660" w14:textId="77777777" w:rsidR="008B7E19" w:rsidRPr="00F42AB1" w:rsidRDefault="008B7E19" w:rsidP="008B7E19">
            <w:pPr>
              <w:pStyle w:val="08-Tabelageral"/>
              <w:rPr>
                <w:rFonts w:cs="Arial"/>
                <w:szCs w:val="14"/>
              </w:rPr>
            </w:pPr>
            <w:r w:rsidRPr="00F42AB1">
              <w:rPr>
                <w:rFonts w:cs="Arial"/>
                <w:szCs w:val="14"/>
              </w:rPr>
              <w:t>(5</w:t>
            </w:r>
            <w:r>
              <w:rPr>
                <w:rFonts w:cs="Arial"/>
                <w:szCs w:val="14"/>
              </w:rPr>
              <w:t>,</w:t>
            </w:r>
            <w:r w:rsidRPr="00F42AB1">
              <w:rPr>
                <w:rFonts w:cs="Arial"/>
                <w:szCs w:val="14"/>
              </w:rPr>
              <w:t>399)</w:t>
            </w:r>
          </w:p>
        </w:tc>
      </w:tr>
      <w:tr w:rsidR="008B7E19" w:rsidRPr="00F42AB1" w14:paraId="2BA605A0" w14:textId="77777777" w:rsidTr="008B7E19">
        <w:trPr>
          <w:trHeight w:val="238"/>
          <w:jc w:val="center"/>
        </w:trPr>
        <w:tc>
          <w:tcPr>
            <w:tcW w:w="4361" w:type="dxa"/>
            <w:shd w:val="clear" w:color="auto" w:fill="auto"/>
            <w:vAlign w:val="center"/>
          </w:tcPr>
          <w:p w14:paraId="7B00A1F6" w14:textId="77777777" w:rsidR="008B7E19" w:rsidRPr="00F42AB1" w:rsidRDefault="008B7E19" w:rsidP="008B7E19">
            <w:pPr>
              <w:pStyle w:val="08-Tabelageral"/>
              <w:jc w:val="left"/>
              <w:rPr>
                <w:rFonts w:cs="Arial"/>
                <w:szCs w:val="14"/>
                <w:lang w:val="en-US"/>
              </w:rPr>
            </w:pPr>
            <w:r w:rsidRPr="00F42AB1">
              <w:rPr>
                <w:rFonts w:cs="Arial"/>
                <w:szCs w:val="14"/>
                <w:lang w:val="en-US"/>
              </w:rPr>
              <w:t>Income Before Financial Revenue and Expenses</w:t>
            </w:r>
          </w:p>
        </w:tc>
        <w:tc>
          <w:tcPr>
            <w:tcW w:w="1831" w:type="dxa"/>
            <w:shd w:val="clear" w:color="auto" w:fill="auto"/>
            <w:vAlign w:val="center"/>
          </w:tcPr>
          <w:p w14:paraId="62524716" w14:textId="77777777" w:rsidR="008B7E19" w:rsidRPr="00F42AB1" w:rsidRDefault="008B7E19" w:rsidP="008B7E19">
            <w:pPr>
              <w:pStyle w:val="08-Tabelageral"/>
              <w:rPr>
                <w:rFonts w:cs="Arial"/>
                <w:szCs w:val="14"/>
              </w:rPr>
            </w:pPr>
            <w:r w:rsidRPr="00F42AB1">
              <w:rPr>
                <w:rFonts w:cs="Arial"/>
                <w:szCs w:val="14"/>
              </w:rPr>
              <w:t>1</w:t>
            </w:r>
            <w:r>
              <w:rPr>
                <w:rFonts w:cs="Arial"/>
                <w:szCs w:val="14"/>
              </w:rPr>
              <w:t>,</w:t>
            </w:r>
            <w:r w:rsidRPr="00F42AB1">
              <w:rPr>
                <w:rFonts w:cs="Arial"/>
                <w:szCs w:val="14"/>
              </w:rPr>
              <w:t>401</w:t>
            </w:r>
            <w:r>
              <w:rPr>
                <w:rFonts w:cs="Arial"/>
                <w:szCs w:val="14"/>
              </w:rPr>
              <w:t>,</w:t>
            </w:r>
            <w:r w:rsidRPr="00F42AB1">
              <w:rPr>
                <w:rFonts w:cs="Arial"/>
                <w:szCs w:val="14"/>
              </w:rPr>
              <w:t>989</w:t>
            </w:r>
          </w:p>
        </w:tc>
        <w:tc>
          <w:tcPr>
            <w:tcW w:w="1831" w:type="dxa"/>
            <w:vAlign w:val="center"/>
          </w:tcPr>
          <w:p w14:paraId="097E066A" w14:textId="77777777" w:rsidR="008B7E19" w:rsidRPr="00F42AB1" w:rsidRDefault="008B7E19" w:rsidP="008B7E19">
            <w:pPr>
              <w:pStyle w:val="08-Tabelageral"/>
              <w:rPr>
                <w:rFonts w:cs="Arial"/>
                <w:szCs w:val="14"/>
              </w:rPr>
            </w:pPr>
            <w:r w:rsidRPr="00F42AB1">
              <w:rPr>
                <w:rFonts w:cs="Arial"/>
                <w:szCs w:val="14"/>
              </w:rPr>
              <w:t>97</w:t>
            </w:r>
            <w:r>
              <w:rPr>
                <w:rFonts w:cs="Arial"/>
                <w:szCs w:val="14"/>
              </w:rPr>
              <w:t>,</w:t>
            </w:r>
            <w:r w:rsidRPr="00F42AB1">
              <w:rPr>
                <w:rFonts w:cs="Arial"/>
                <w:szCs w:val="14"/>
              </w:rPr>
              <w:t>356</w:t>
            </w:r>
          </w:p>
        </w:tc>
        <w:tc>
          <w:tcPr>
            <w:tcW w:w="1831" w:type="dxa"/>
            <w:vAlign w:val="center"/>
          </w:tcPr>
          <w:p w14:paraId="42C8C7CE" w14:textId="77777777" w:rsidR="008B7E19" w:rsidRPr="00F42AB1" w:rsidRDefault="008B7E19" w:rsidP="008B7E19">
            <w:pPr>
              <w:pStyle w:val="08-Tabelageral"/>
              <w:rPr>
                <w:rFonts w:cs="Arial"/>
                <w:szCs w:val="14"/>
              </w:rPr>
            </w:pPr>
            <w:r w:rsidRPr="00F42AB1">
              <w:rPr>
                <w:rFonts w:cs="Arial"/>
                <w:szCs w:val="14"/>
              </w:rPr>
              <w:t>1</w:t>
            </w:r>
            <w:r>
              <w:rPr>
                <w:rFonts w:cs="Arial"/>
                <w:szCs w:val="14"/>
              </w:rPr>
              <w:t>,</w:t>
            </w:r>
            <w:r w:rsidRPr="00F42AB1">
              <w:rPr>
                <w:rFonts w:cs="Arial"/>
                <w:szCs w:val="14"/>
              </w:rPr>
              <w:t>499</w:t>
            </w:r>
            <w:r>
              <w:rPr>
                <w:rFonts w:cs="Arial"/>
                <w:szCs w:val="14"/>
              </w:rPr>
              <w:t>,</w:t>
            </w:r>
            <w:r w:rsidRPr="00F42AB1">
              <w:rPr>
                <w:rFonts w:cs="Arial"/>
                <w:szCs w:val="14"/>
              </w:rPr>
              <w:t>345</w:t>
            </w:r>
          </w:p>
        </w:tc>
      </w:tr>
      <w:tr w:rsidR="008B7E19" w:rsidRPr="00F42AB1" w14:paraId="77BEF378" w14:textId="77777777" w:rsidTr="008B7E19">
        <w:trPr>
          <w:trHeight w:val="238"/>
          <w:jc w:val="center"/>
        </w:trPr>
        <w:tc>
          <w:tcPr>
            <w:tcW w:w="4361" w:type="dxa"/>
            <w:shd w:val="clear" w:color="auto" w:fill="auto"/>
            <w:vAlign w:val="center"/>
          </w:tcPr>
          <w:p w14:paraId="1B329229" w14:textId="77777777" w:rsidR="008B7E19" w:rsidRPr="00F42AB1" w:rsidRDefault="008B7E19" w:rsidP="008B7E19">
            <w:pPr>
              <w:pStyle w:val="08-Tabelageral"/>
              <w:jc w:val="left"/>
              <w:rPr>
                <w:rFonts w:cs="Arial"/>
                <w:szCs w:val="14"/>
              </w:rPr>
            </w:pPr>
            <w:r w:rsidRPr="00F42AB1">
              <w:rPr>
                <w:rFonts w:cs="Arial"/>
                <w:szCs w:val="14"/>
              </w:rPr>
              <w:t>Financial Result</w:t>
            </w:r>
          </w:p>
        </w:tc>
        <w:tc>
          <w:tcPr>
            <w:tcW w:w="1831" w:type="dxa"/>
            <w:shd w:val="clear" w:color="auto" w:fill="auto"/>
            <w:vAlign w:val="center"/>
          </w:tcPr>
          <w:p w14:paraId="7E1DE9DC" w14:textId="77777777" w:rsidR="008B7E19" w:rsidRPr="00F42AB1" w:rsidRDefault="008B7E19" w:rsidP="008B7E19">
            <w:pPr>
              <w:pStyle w:val="08-Tabelageral"/>
              <w:rPr>
                <w:rFonts w:cs="Arial"/>
                <w:szCs w:val="14"/>
              </w:rPr>
            </w:pPr>
            <w:r w:rsidRPr="00F42AB1">
              <w:rPr>
                <w:rFonts w:cs="Arial"/>
                <w:szCs w:val="14"/>
              </w:rPr>
              <w:t>4</w:t>
            </w:r>
            <w:r>
              <w:rPr>
                <w:rFonts w:cs="Arial"/>
                <w:szCs w:val="14"/>
              </w:rPr>
              <w:t>,</w:t>
            </w:r>
            <w:r w:rsidRPr="00F42AB1">
              <w:rPr>
                <w:rFonts w:cs="Arial"/>
                <w:szCs w:val="14"/>
              </w:rPr>
              <w:t>196</w:t>
            </w:r>
          </w:p>
        </w:tc>
        <w:tc>
          <w:tcPr>
            <w:tcW w:w="1831" w:type="dxa"/>
            <w:vAlign w:val="center"/>
          </w:tcPr>
          <w:p w14:paraId="5CA19B40" w14:textId="77777777" w:rsidR="008B7E19" w:rsidRPr="00F42AB1" w:rsidRDefault="008B7E19" w:rsidP="008B7E19">
            <w:pPr>
              <w:pStyle w:val="08-Tabelageral"/>
              <w:rPr>
                <w:rFonts w:cs="Arial"/>
                <w:szCs w:val="14"/>
              </w:rPr>
            </w:pPr>
            <w:r w:rsidRPr="00F42AB1">
              <w:rPr>
                <w:rFonts w:cs="Arial"/>
                <w:szCs w:val="14"/>
              </w:rPr>
              <w:t>--</w:t>
            </w:r>
          </w:p>
        </w:tc>
        <w:tc>
          <w:tcPr>
            <w:tcW w:w="1831" w:type="dxa"/>
            <w:vAlign w:val="center"/>
          </w:tcPr>
          <w:p w14:paraId="3ECDC9AE" w14:textId="77777777" w:rsidR="008B7E19" w:rsidRPr="00F42AB1" w:rsidRDefault="008B7E19" w:rsidP="008B7E19">
            <w:pPr>
              <w:pStyle w:val="08-Tabelageral"/>
              <w:rPr>
                <w:rFonts w:cs="Arial"/>
                <w:szCs w:val="14"/>
              </w:rPr>
            </w:pPr>
            <w:r w:rsidRPr="00F42AB1">
              <w:rPr>
                <w:rFonts w:cs="Arial"/>
                <w:szCs w:val="14"/>
              </w:rPr>
              <w:t>4</w:t>
            </w:r>
            <w:r>
              <w:rPr>
                <w:rFonts w:cs="Arial"/>
                <w:szCs w:val="14"/>
              </w:rPr>
              <w:t>,</w:t>
            </w:r>
            <w:r w:rsidRPr="00F42AB1">
              <w:rPr>
                <w:rFonts w:cs="Arial"/>
                <w:szCs w:val="14"/>
              </w:rPr>
              <w:t>196</w:t>
            </w:r>
          </w:p>
        </w:tc>
      </w:tr>
      <w:tr w:rsidR="008B7E19" w:rsidRPr="00F42AB1" w14:paraId="15E3485C" w14:textId="77777777" w:rsidTr="008B7E19">
        <w:trPr>
          <w:trHeight w:val="238"/>
          <w:jc w:val="center"/>
        </w:trPr>
        <w:tc>
          <w:tcPr>
            <w:tcW w:w="4361" w:type="dxa"/>
            <w:shd w:val="clear" w:color="auto" w:fill="auto"/>
            <w:vAlign w:val="center"/>
          </w:tcPr>
          <w:p w14:paraId="738F4BEF" w14:textId="77777777" w:rsidR="008B7E19" w:rsidRPr="00F42AB1" w:rsidRDefault="008B7E19" w:rsidP="008B7E19">
            <w:pPr>
              <w:pStyle w:val="08-Tabelageral"/>
              <w:jc w:val="left"/>
              <w:rPr>
                <w:rFonts w:cs="Arial"/>
                <w:szCs w:val="14"/>
              </w:rPr>
            </w:pPr>
            <w:r w:rsidRPr="00F42AB1">
              <w:rPr>
                <w:rFonts w:cs="Arial"/>
                <w:szCs w:val="14"/>
              </w:rPr>
              <w:t>Income before taxes</w:t>
            </w:r>
          </w:p>
        </w:tc>
        <w:tc>
          <w:tcPr>
            <w:tcW w:w="1831" w:type="dxa"/>
            <w:shd w:val="clear" w:color="auto" w:fill="auto"/>
            <w:vAlign w:val="center"/>
          </w:tcPr>
          <w:p w14:paraId="5B610E14" w14:textId="77777777" w:rsidR="008B7E19" w:rsidRPr="00F42AB1" w:rsidRDefault="008B7E19" w:rsidP="008B7E19">
            <w:pPr>
              <w:pStyle w:val="08-Tabelageral"/>
              <w:rPr>
                <w:rFonts w:cs="Arial"/>
                <w:szCs w:val="14"/>
              </w:rPr>
            </w:pPr>
            <w:r w:rsidRPr="00F42AB1">
              <w:rPr>
                <w:rFonts w:cs="Arial"/>
                <w:szCs w:val="14"/>
              </w:rPr>
              <w:t>1</w:t>
            </w:r>
            <w:r>
              <w:rPr>
                <w:rFonts w:cs="Arial"/>
                <w:szCs w:val="14"/>
              </w:rPr>
              <w:t>,</w:t>
            </w:r>
            <w:r w:rsidRPr="00F42AB1">
              <w:rPr>
                <w:rFonts w:cs="Arial"/>
                <w:szCs w:val="14"/>
              </w:rPr>
              <w:t>406</w:t>
            </w:r>
            <w:r>
              <w:rPr>
                <w:rFonts w:cs="Arial"/>
                <w:szCs w:val="14"/>
              </w:rPr>
              <w:t>,</w:t>
            </w:r>
            <w:r w:rsidRPr="00F42AB1">
              <w:rPr>
                <w:rFonts w:cs="Arial"/>
                <w:szCs w:val="14"/>
              </w:rPr>
              <w:t>185</w:t>
            </w:r>
          </w:p>
        </w:tc>
        <w:tc>
          <w:tcPr>
            <w:tcW w:w="1831" w:type="dxa"/>
            <w:vAlign w:val="center"/>
          </w:tcPr>
          <w:p w14:paraId="3565F1A7" w14:textId="77777777" w:rsidR="008B7E19" w:rsidRPr="00F42AB1" w:rsidRDefault="008B7E19" w:rsidP="008B7E19">
            <w:pPr>
              <w:pStyle w:val="08-Tabelageral"/>
              <w:rPr>
                <w:rFonts w:cs="Arial"/>
                <w:szCs w:val="14"/>
              </w:rPr>
            </w:pPr>
            <w:r w:rsidRPr="00F42AB1">
              <w:rPr>
                <w:rFonts w:cs="Arial"/>
                <w:szCs w:val="14"/>
              </w:rPr>
              <w:t>97</w:t>
            </w:r>
            <w:r>
              <w:rPr>
                <w:rFonts w:cs="Arial"/>
                <w:szCs w:val="14"/>
              </w:rPr>
              <w:t>,</w:t>
            </w:r>
            <w:r w:rsidRPr="00F42AB1">
              <w:rPr>
                <w:rFonts w:cs="Arial"/>
                <w:szCs w:val="14"/>
              </w:rPr>
              <w:t>356</w:t>
            </w:r>
          </w:p>
        </w:tc>
        <w:tc>
          <w:tcPr>
            <w:tcW w:w="1831" w:type="dxa"/>
            <w:vAlign w:val="center"/>
          </w:tcPr>
          <w:p w14:paraId="22F46C16" w14:textId="77777777" w:rsidR="008B7E19" w:rsidRPr="00F42AB1" w:rsidRDefault="008B7E19" w:rsidP="008B7E19">
            <w:pPr>
              <w:pStyle w:val="08-Tabelageral"/>
              <w:rPr>
                <w:rFonts w:cs="Arial"/>
                <w:szCs w:val="14"/>
              </w:rPr>
            </w:pPr>
            <w:r w:rsidRPr="00F42AB1">
              <w:rPr>
                <w:rFonts w:cs="Arial"/>
                <w:szCs w:val="14"/>
              </w:rPr>
              <w:t>1</w:t>
            </w:r>
            <w:r>
              <w:rPr>
                <w:rFonts w:cs="Arial"/>
                <w:szCs w:val="14"/>
              </w:rPr>
              <w:t>,</w:t>
            </w:r>
            <w:r w:rsidRPr="00F42AB1">
              <w:rPr>
                <w:rFonts w:cs="Arial"/>
                <w:szCs w:val="14"/>
              </w:rPr>
              <w:t>503</w:t>
            </w:r>
            <w:r>
              <w:rPr>
                <w:rFonts w:cs="Arial"/>
                <w:szCs w:val="14"/>
              </w:rPr>
              <w:t>,</w:t>
            </w:r>
            <w:r w:rsidRPr="00F42AB1">
              <w:rPr>
                <w:rFonts w:cs="Arial"/>
                <w:szCs w:val="14"/>
              </w:rPr>
              <w:t>541</w:t>
            </w:r>
          </w:p>
        </w:tc>
      </w:tr>
      <w:tr w:rsidR="008B7E19" w:rsidRPr="00F42AB1" w14:paraId="08AB1703" w14:textId="77777777" w:rsidTr="008B7E19">
        <w:trPr>
          <w:trHeight w:val="238"/>
          <w:jc w:val="center"/>
        </w:trPr>
        <w:tc>
          <w:tcPr>
            <w:tcW w:w="4361" w:type="dxa"/>
            <w:shd w:val="clear" w:color="auto" w:fill="auto"/>
            <w:vAlign w:val="center"/>
          </w:tcPr>
          <w:p w14:paraId="4B5BA605" w14:textId="77777777" w:rsidR="008B7E19" w:rsidRPr="00F42AB1" w:rsidRDefault="008B7E19" w:rsidP="008B7E19">
            <w:pPr>
              <w:pStyle w:val="08-Tabelageral"/>
              <w:jc w:val="left"/>
              <w:rPr>
                <w:rFonts w:cs="Arial"/>
                <w:szCs w:val="14"/>
                <w:lang w:val="en-US"/>
              </w:rPr>
            </w:pPr>
            <w:r w:rsidRPr="00F42AB1">
              <w:rPr>
                <w:rFonts w:cs="Arial"/>
                <w:szCs w:val="14"/>
                <w:lang w:val="en-US"/>
              </w:rPr>
              <w:t>Taxes</w:t>
            </w:r>
          </w:p>
        </w:tc>
        <w:tc>
          <w:tcPr>
            <w:tcW w:w="1831" w:type="dxa"/>
            <w:shd w:val="clear" w:color="auto" w:fill="auto"/>
            <w:vAlign w:val="center"/>
          </w:tcPr>
          <w:p w14:paraId="15FCFB4A" w14:textId="77777777" w:rsidR="008B7E19" w:rsidRPr="00F42AB1" w:rsidRDefault="008B7E19" w:rsidP="008B7E19">
            <w:pPr>
              <w:pStyle w:val="08-Tabelageral"/>
              <w:rPr>
                <w:rFonts w:cs="Arial"/>
                <w:szCs w:val="14"/>
              </w:rPr>
            </w:pPr>
            <w:r w:rsidRPr="00F42AB1">
              <w:rPr>
                <w:rFonts w:cs="Arial"/>
                <w:szCs w:val="14"/>
              </w:rPr>
              <w:t>186</w:t>
            </w:r>
          </w:p>
        </w:tc>
        <w:tc>
          <w:tcPr>
            <w:tcW w:w="1831" w:type="dxa"/>
            <w:vAlign w:val="center"/>
          </w:tcPr>
          <w:p w14:paraId="254107D2" w14:textId="77777777" w:rsidR="008B7E19" w:rsidRPr="00F42AB1" w:rsidRDefault="008B7E19" w:rsidP="008B7E19">
            <w:pPr>
              <w:pStyle w:val="08-Tabelageral"/>
              <w:rPr>
                <w:rFonts w:cs="Arial"/>
                <w:szCs w:val="14"/>
              </w:rPr>
            </w:pPr>
            <w:r w:rsidRPr="00F42AB1">
              <w:rPr>
                <w:rFonts w:cs="Arial"/>
                <w:szCs w:val="14"/>
              </w:rPr>
              <w:t>--</w:t>
            </w:r>
          </w:p>
        </w:tc>
        <w:tc>
          <w:tcPr>
            <w:tcW w:w="1831" w:type="dxa"/>
            <w:vAlign w:val="center"/>
          </w:tcPr>
          <w:p w14:paraId="4AD5D722" w14:textId="77777777" w:rsidR="008B7E19" w:rsidRPr="00F42AB1" w:rsidRDefault="008B7E19" w:rsidP="008B7E19">
            <w:pPr>
              <w:pStyle w:val="08-Tabelageral"/>
              <w:rPr>
                <w:rFonts w:cs="Arial"/>
                <w:szCs w:val="14"/>
              </w:rPr>
            </w:pPr>
            <w:r w:rsidRPr="00F42AB1">
              <w:rPr>
                <w:rFonts w:cs="Arial"/>
                <w:szCs w:val="14"/>
              </w:rPr>
              <w:t>186</w:t>
            </w:r>
          </w:p>
        </w:tc>
      </w:tr>
      <w:tr w:rsidR="008B7E19" w:rsidRPr="00F42AB1" w14:paraId="76096442" w14:textId="77777777" w:rsidTr="008B7E19">
        <w:trPr>
          <w:trHeight w:val="238"/>
          <w:jc w:val="center"/>
        </w:trPr>
        <w:tc>
          <w:tcPr>
            <w:tcW w:w="4361" w:type="dxa"/>
            <w:shd w:val="clear" w:color="auto" w:fill="auto"/>
            <w:vAlign w:val="center"/>
          </w:tcPr>
          <w:p w14:paraId="269E7188" w14:textId="77777777" w:rsidR="008B7E19" w:rsidRPr="00F42AB1" w:rsidRDefault="008B7E19" w:rsidP="008B7E19">
            <w:pPr>
              <w:pStyle w:val="08-Tabelageral"/>
              <w:jc w:val="left"/>
              <w:rPr>
                <w:rFonts w:cs="Arial"/>
                <w:szCs w:val="14"/>
              </w:rPr>
            </w:pPr>
            <w:r w:rsidRPr="00F42AB1">
              <w:rPr>
                <w:rFonts w:cs="Arial"/>
                <w:szCs w:val="14"/>
              </w:rPr>
              <w:t>Net Income</w:t>
            </w:r>
          </w:p>
        </w:tc>
        <w:tc>
          <w:tcPr>
            <w:tcW w:w="1831" w:type="dxa"/>
            <w:shd w:val="clear" w:color="auto" w:fill="auto"/>
            <w:vAlign w:val="center"/>
          </w:tcPr>
          <w:p w14:paraId="27764506" w14:textId="77777777" w:rsidR="008B7E19" w:rsidRPr="00F42AB1" w:rsidRDefault="008B7E19" w:rsidP="008B7E19">
            <w:pPr>
              <w:pStyle w:val="08-Tabelageral"/>
              <w:rPr>
                <w:rFonts w:cs="Arial"/>
                <w:szCs w:val="14"/>
              </w:rPr>
            </w:pPr>
            <w:r w:rsidRPr="00F42AB1">
              <w:rPr>
                <w:rFonts w:cs="Arial"/>
                <w:szCs w:val="14"/>
              </w:rPr>
              <w:t>1</w:t>
            </w:r>
            <w:r>
              <w:rPr>
                <w:rFonts w:cs="Arial"/>
                <w:szCs w:val="14"/>
              </w:rPr>
              <w:t>,</w:t>
            </w:r>
            <w:r w:rsidRPr="00F42AB1">
              <w:rPr>
                <w:rFonts w:cs="Arial"/>
                <w:szCs w:val="14"/>
              </w:rPr>
              <w:t>406</w:t>
            </w:r>
            <w:r>
              <w:rPr>
                <w:rFonts w:cs="Arial"/>
                <w:szCs w:val="14"/>
              </w:rPr>
              <w:t>,</w:t>
            </w:r>
            <w:r w:rsidRPr="00F42AB1">
              <w:rPr>
                <w:rFonts w:cs="Arial"/>
                <w:szCs w:val="14"/>
              </w:rPr>
              <w:t>371</w:t>
            </w:r>
          </w:p>
        </w:tc>
        <w:tc>
          <w:tcPr>
            <w:tcW w:w="1831" w:type="dxa"/>
            <w:vAlign w:val="center"/>
          </w:tcPr>
          <w:p w14:paraId="7F42D01E" w14:textId="77777777" w:rsidR="008B7E19" w:rsidRPr="00F42AB1" w:rsidRDefault="008B7E19" w:rsidP="008B7E19">
            <w:pPr>
              <w:pStyle w:val="08-Tabelageral"/>
              <w:rPr>
                <w:rFonts w:cs="Arial"/>
                <w:szCs w:val="14"/>
              </w:rPr>
            </w:pPr>
            <w:r w:rsidRPr="00F42AB1">
              <w:rPr>
                <w:rFonts w:cs="Arial"/>
                <w:szCs w:val="14"/>
              </w:rPr>
              <w:t>97</w:t>
            </w:r>
            <w:r>
              <w:rPr>
                <w:rFonts w:cs="Arial"/>
                <w:szCs w:val="14"/>
              </w:rPr>
              <w:t>,</w:t>
            </w:r>
            <w:r w:rsidRPr="00F42AB1">
              <w:rPr>
                <w:rFonts w:cs="Arial"/>
                <w:szCs w:val="14"/>
              </w:rPr>
              <w:t>356</w:t>
            </w:r>
          </w:p>
        </w:tc>
        <w:tc>
          <w:tcPr>
            <w:tcW w:w="1831" w:type="dxa"/>
            <w:vAlign w:val="center"/>
          </w:tcPr>
          <w:p w14:paraId="4137000A" w14:textId="77777777" w:rsidR="008B7E19" w:rsidRPr="00F42AB1" w:rsidRDefault="008B7E19" w:rsidP="008B7E19">
            <w:pPr>
              <w:pStyle w:val="08-Tabelageral"/>
              <w:rPr>
                <w:rFonts w:cs="Arial"/>
                <w:szCs w:val="14"/>
              </w:rPr>
            </w:pPr>
            <w:r w:rsidRPr="00F42AB1">
              <w:rPr>
                <w:rFonts w:cs="Arial"/>
                <w:szCs w:val="14"/>
              </w:rPr>
              <w:t>1</w:t>
            </w:r>
            <w:r>
              <w:rPr>
                <w:rFonts w:cs="Arial"/>
                <w:szCs w:val="14"/>
              </w:rPr>
              <w:t>,</w:t>
            </w:r>
            <w:r w:rsidRPr="00F42AB1">
              <w:rPr>
                <w:rFonts w:cs="Arial"/>
                <w:szCs w:val="14"/>
              </w:rPr>
              <w:t>503</w:t>
            </w:r>
            <w:r>
              <w:rPr>
                <w:rFonts w:cs="Arial"/>
                <w:szCs w:val="14"/>
              </w:rPr>
              <w:t>,</w:t>
            </w:r>
            <w:r w:rsidRPr="00F42AB1">
              <w:rPr>
                <w:rFonts w:cs="Arial"/>
                <w:szCs w:val="14"/>
              </w:rPr>
              <w:t>727</w:t>
            </w:r>
          </w:p>
        </w:tc>
      </w:tr>
    </w:tbl>
    <w:p w14:paraId="61583601" w14:textId="77777777" w:rsidR="008B7E19" w:rsidRDefault="008B7E19" w:rsidP="008B7E19">
      <w:pPr>
        <w:spacing w:after="0"/>
        <w:jc w:val="right"/>
        <w:rPr>
          <w:rFonts w:cs="Arial"/>
          <w:b/>
          <w:bCs/>
          <w:sz w:val="14"/>
          <w:szCs w:val="14"/>
          <w:lang w:eastAsia="pt-BR"/>
        </w:rPr>
      </w:pPr>
    </w:p>
    <w:p w14:paraId="101CB249" w14:textId="77777777" w:rsidR="008B7E19" w:rsidRPr="00D44604" w:rsidRDefault="008B7E19" w:rsidP="008B7E19">
      <w:pPr>
        <w:spacing w:after="0" w:line="240" w:lineRule="auto"/>
        <w:jc w:val="right"/>
        <w:rPr>
          <w:rFonts w:cs="Arial"/>
          <w:b/>
          <w:sz w:val="14"/>
          <w:lang w:eastAsia="pt-BR"/>
        </w:rPr>
      </w:pPr>
      <w:r w:rsidRPr="00FC6C4B">
        <w:rPr>
          <w:rFonts w:cs="Arial"/>
          <w:b/>
          <w:sz w:val="14"/>
          <w:lang w:eastAsia="pt-BR"/>
        </w:rPr>
        <w:t>R$ thousand</w:t>
      </w:r>
    </w:p>
    <w:tbl>
      <w:tblPr>
        <w:tblW w:w="9854" w:type="dxa"/>
        <w:jc w:val="center"/>
        <w:tblBorders>
          <w:top w:val="single" w:sz="2" w:space="0" w:color="1F4E79" w:themeColor="accent1" w:themeShade="80"/>
          <w:bottom w:val="single" w:sz="2" w:space="0" w:color="1F4E79" w:themeColor="accent1" w:themeShade="80"/>
        </w:tblBorders>
        <w:tblLook w:val="04A0" w:firstRow="1" w:lastRow="0" w:firstColumn="1" w:lastColumn="0" w:noHBand="0" w:noVBand="1"/>
      </w:tblPr>
      <w:tblGrid>
        <w:gridCol w:w="4361"/>
        <w:gridCol w:w="1831"/>
        <w:gridCol w:w="1831"/>
        <w:gridCol w:w="1831"/>
      </w:tblGrid>
      <w:tr w:rsidR="008B7E19" w:rsidRPr="00E00C9B" w14:paraId="526EA612" w14:textId="77777777" w:rsidTr="008B7E19">
        <w:trPr>
          <w:trHeight w:val="238"/>
          <w:jc w:val="center"/>
        </w:trPr>
        <w:tc>
          <w:tcPr>
            <w:tcW w:w="4361" w:type="dxa"/>
            <w:tcBorders>
              <w:top w:val="single" w:sz="2" w:space="0" w:color="1F4E79" w:themeColor="accent1" w:themeShade="80"/>
            </w:tcBorders>
            <w:shd w:val="clear" w:color="auto" w:fill="auto"/>
            <w:vAlign w:val="center"/>
          </w:tcPr>
          <w:p w14:paraId="37F05FE7" w14:textId="77777777" w:rsidR="008B7E19" w:rsidRPr="008F5C2C" w:rsidRDefault="008B7E19" w:rsidP="008B7E19">
            <w:pPr>
              <w:pStyle w:val="08-Tabelageral"/>
              <w:jc w:val="left"/>
              <w:rPr>
                <w:rFonts w:cs="Arial"/>
                <w:b/>
                <w:bCs/>
                <w:szCs w:val="14"/>
              </w:rPr>
            </w:pPr>
          </w:p>
        </w:tc>
        <w:tc>
          <w:tcPr>
            <w:tcW w:w="1831" w:type="dxa"/>
            <w:tcBorders>
              <w:top w:val="single" w:sz="2" w:space="0" w:color="1F4E79" w:themeColor="accent1" w:themeShade="80"/>
            </w:tcBorders>
            <w:shd w:val="clear" w:color="auto" w:fill="auto"/>
            <w:vAlign w:val="center"/>
          </w:tcPr>
          <w:p w14:paraId="1B9C0267" w14:textId="77777777" w:rsidR="008B7E19" w:rsidRPr="008F5C2C" w:rsidRDefault="008B7E19" w:rsidP="008B7E19">
            <w:pPr>
              <w:pStyle w:val="08-Tabelageral"/>
              <w:rPr>
                <w:rFonts w:cs="Arial"/>
                <w:b/>
                <w:bCs/>
                <w:szCs w:val="14"/>
              </w:rPr>
            </w:pPr>
          </w:p>
        </w:tc>
        <w:tc>
          <w:tcPr>
            <w:tcW w:w="1831" w:type="dxa"/>
            <w:tcBorders>
              <w:top w:val="single" w:sz="2" w:space="0" w:color="1F4E79" w:themeColor="accent1" w:themeShade="80"/>
            </w:tcBorders>
            <w:shd w:val="clear" w:color="auto" w:fill="auto"/>
          </w:tcPr>
          <w:p w14:paraId="4B14E8F5" w14:textId="77777777" w:rsidR="008B7E19" w:rsidRPr="008F5C2C" w:rsidRDefault="008B7E19" w:rsidP="008B7E19">
            <w:pPr>
              <w:pStyle w:val="08-Tabelageral"/>
              <w:rPr>
                <w:rFonts w:cs="Arial"/>
                <w:b/>
                <w:bCs/>
                <w:szCs w:val="14"/>
              </w:rPr>
            </w:pPr>
            <w:r>
              <w:rPr>
                <w:rFonts w:cs="Arial"/>
                <w:b/>
                <w:bCs/>
                <w:szCs w:val="14"/>
              </w:rPr>
              <w:t>Parent</w:t>
            </w:r>
          </w:p>
        </w:tc>
        <w:tc>
          <w:tcPr>
            <w:tcW w:w="1831" w:type="dxa"/>
            <w:tcBorders>
              <w:top w:val="single" w:sz="2" w:space="0" w:color="1F4E79" w:themeColor="accent1" w:themeShade="80"/>
            </w:tcBorders>
            <w:shd w:val="clear" w:color="auto" w:fill="auto"/>
          </w:tcPr>
          <w:p w14:paraId="7C39DA0A" w14:textId="77777777" w:rsidR="008B7E19" w:rsidRPr="008F5C2C" w:rsidRDefault="008B7E19" w:rsidP="008B7E19">
            <w:pPr>
              <w:pStyle w:val="08-Tabelageral"/>
              <w:rPr>
                <w:rFonts w:cs="Arial"/>
                <w:b/>
                <w:bCs/>
                <w:szCs w:val="14"/>
              </w:rPr>
            </w:pPr>
          </w:p>
        </w:tc>
      </w:tr>
      <w:tr w:rsidR="008B7E19" w:rsidRPr="00E00C9B" w14:paraId="30FB3A55" w14:textId="77777777" w:rsidTr="008B7E19">
        <w:trPr>
          <w:trHeight w:val="238"/>
          <w:jc w:val="center"/>
        </w:trPr>
        <w:tc>
          <w:tcPr>
            <w:tcW w:w="4361" w:type="dxa"/>
            <w:tcBorders>
              <w:top w:val="single" w:sz="2" w:space="0" w:color="1F4E79" w:themeColor="accent1" w:themeShade="80"/>
            </w:tcBorders>
            <w:shd w:val="clear" w:color="auto" w:fill="auto"/>
            <w:vAlign w:val="center"/>
          </w:tcPr>
          <w:p w14:paraId="79E5E4DD" w14:textId="77777777" w:rsidR="008B7E19" w:rsidRPr="008F5C2C" w:rsidRDefault="008B7E19" w:rsidP="008B7E19">
            <w:pPr>
              <w:pStyle w:val="08-Tabelageral"/>
              <w:jc w:val="left"/>
              <w:rPr>
                <w:rFonts w:cs="Arial"/>
                <w:b/>
                <w:bCs/>
                <w:szCs w:val="14"/>
              </w:rPr>
            </w:pPr>
          </w:p>
        </w:tc>
        <w:tc>
          <w:tcPr>
            <w:tcW w:w="1831" w:type="dxa"/>
            <w:tcBorders>
              <w:top w:val="single" w:sz="2" w:space="0" w:color="1F4E79" w:themeColor="accent1" w:themeShade="80"/>
            </w:tcBorders>
            <w:shd w:val="clear" w:color="auto" w:fill="auto"/>
            <w:vAlign w:val="center"/>
          </w:tcPr>
          <w:p w14:paraId="0389FACF" w14:textId="77777777" w:rsidR="008B7E19" w:rsidRPr="008F5C2C" w:rsidRDefault="008B7E19" w:rsidP="008B7E19">
            <w:pPr>
              <w:pStyle w:val="08-Tabelageral"/>
              <w:rPr>
                <w:rFonts w:cs="Arial"/>
                <w:b/>
                <w:bCs/>
                <w:szCs w:val="14"/>
              </w:rPr>
            </w:pPr>
          </w:p>
        </w:tc>
        <w:tc>
          <w:tcPr>
            <w:tcW w:w="1831" w:type="dxa"/>
            <w:tcBorders>
              <w:top w:val="single" w:sz="2" w:space="0" w:color="1F4E79" w:themeColor="accent1" w:themeShade="80"/>
            </w:tcBorders>
            <w:shd w:val="clear" w:color="auto" w:fill="auto"/>
          </w:tcPr>
          <w:p w14:paraId="5F6788E0" w14:textId="77777777" w:rsidR="008B7E19" w:rsidRPr="008F5C2C" w:rsidRDefault="008B7E19" w:rsidP="008B7E19">
            <w:pPr>
              <w:pStyle w:val="08-Tabelageral"/>
              <w:jc w:val="center"/>
              <w:rPr>
                <w:rFonts w:cs="Arial"/>
                <w:b/>
                <w:bCs/>
                <w:szCs w:val="14"/>
              </w:rPr>
            </w:pPr>
            <w:r w:rsidRPr="003E392D">
              <w:rPr>
                <w:rFonts w:cs="Arial"/>
                <w:b/>
                <w:bCs/>
                <w:szCs w:val="14"/>
              </w:rPr>
              <w:t>1</w:t>
            </w:r>
            <w:r w:rsidRPr="003E392D">
              <w:rPr>
                <w:rFonts w:cs="Arial"/>
                <w:b/>
                <w:bCs/>
                <w:szCs w:val="14"/>
                <w:vertAlign w:val="superscript"/>
              </w:rPr>
              <w:t>st</w:t>
            </w:r>
            <w:r w:rsidRPr="003E392D">
              <w:rPr>
                <w:rFonts w:cs="Arial"/>
                <w:b/>
                <w:bCs/>
                <w:szCs w:val="14"/>
              </w:rPr>
              <w:t xml:space="preserve"> Half 202</w:t>
            </w:r>
            <w:r>
              <w:rPr>
                <w:rFonts w:cs="Arial"/>
                <w:b/>
                <w:bCs/>
                <w:szCs w:val="14"/>
              </w:rPr>
              <w:t>2</w:t>
            </w:r>
          </w:p>
        </w:tc>
        <w:tc>
          <w:tcPr>
            <w:tcW w:w="1831" w:type="dxa"/>
            <w:tcBorders>
              <w:top w:val="single" w:sz="2" w:space="0" w:color="1F4E79" w:themeColor="accent1" w:themeShade="80"/>
            </w:tcBorders>
            <w:shd w:val="clear" w:color="auto" w:fill="auto"/>
          </w:tcPr>
          <w:p w14:paraId="21FAE3A0" w14:textId="77777777" w:rsidR="008B7E19" w:rsidRPr="008F5C2C" w:rsidRDefault="008B7E19" w:rsidP="008B7E19">
            <w:pPr>
              <w:pStyle w:val="08-Tabelageral"/>
              <w:rPr>
                <w:rFonts w:cs="Arial"/>
                <w:b/>
                <w:bCs/>
                <w:szCs w:val="14"/>
              </w:rPr>
            </w:pPr>
          </w:p>
        </w:tc>
      </w:tr>
      <w:tr w:rsidR="008B7E19" w:rsidRPr="00E00C9B" w14:paraId="23477A30" w14:textId="77777777" w:rsidTr="008B7E19">
        <w:trPr>
          <w:trHeight w:val="238"/>
          <w:jc w:val="center"/>
        </w:trPr>
        <w:tc>
          <w:tcPr>
            <w:tcW w:w="4361" w:type="dxa"/>
            <w:tcBorders>
              <w:top w:val="single" w:sz="2" w:space="0" w:color="1F4E79" w:themeColor="accent1" w:themeShade="80"/>
            </w:tcBorders>
            <w:shd w:val="clear" w:color="auto" w:fill="auto"/>
            <w:vAlign w:val="center"/>
          </w:tcPr>
          <w:p w14:paraId="30F9941D" w14:textId="77777777" w:rsidR="008B7E19" w:rsidRPr="008F5C2C" w:rsidRDefault="008B7E19" w:rsidP="008B7E19">
            <w:pPr>
              <w:pStyle w:val="08-Tabelageral"/>
              <w:jc w:val="left"/>
              <w:rPr>
                <w:rFonts w:cs="Arial"/>
                <w:b/>
                <w:bCs/>
                <w:szCs w:val="14"/>
              </w:rPr>
            </w:pPr>
          </w:p>
        </w:tc>
        <w:tc>
          <w:tcPr>
            <w:tcW w:w="1831" w:type="dxa"/>
            <w:tcBorders>
              <w:top w:val="single" w:sz="2" w:space="0" w:color="1F4E79" w:themeColor="accent1" w:themeShade="80"/>
            </w:tcBorders>
            <w:shd w:val="clear" w:color="auto" w:fill="auto"/>
            <w:vAlign w:val="center"/>
          </w:tcPr>
          <w:p w14:paraId="71B3F014" w14:textId="77777777" w:rsidR="008B7E19" w:rsidRPr="008F5C2C" w:rsidRDefault="008B7E19" w:rsidP="008B7E19">
            <w:pPr>
              <w:pStyle w:val="08-Tabelageral"/>
              <w:rPr>
                <w:rFonts w:cs="Arial"/>
                <w:b/>
                <w:bCs/>
                <w:szCs w:val="14"/>
              </w:rPr>
            </w:pPr>
            <w:r>
              <w:rPr>
                <w:rFonts w:cs="Arial"/>
                <w:b/>
                <w:bCs/>
                <w:szCs w:val="14"/>
              </w:rPr>
              <w:t>Original report</w:t>
            </w:r>
          </w:p>
        </w:tc>
        <w:tc>
          <w:tcPr>
            <w:tcW w:w="1831" w:type="dxa"/>
            <w:tcBorders>
              <w:top w:val="single" w:sz="2" w:space="0" w:color="1F4E79" w:themeColor="accent1" w:themeShade="80"/>
            </w:tcBorders>
            <w:shd w:val="clear" w:color="auto" w:fill="auto"/>
          </w:tcPr>
          <w:p w14:paraId="1F0E1D6A" w14:textId="77777777" w:rsidR="008B7E19" w:rsidRPr="008F5C2C" w:rsidRDefault="008B7E19" w:rsidP="008B7E19">
            <w:pPr>
              <w:pStyle w:val="08-Tabelageral"/>
              <w:rPr>
                <w:rFonts w:cs="Arial"/>
                <w:b/>
                <w:bCs/>
                <w:szCs w:val="14"/>
              </w:rPr>
            </w:pPr>
            <w:r>
              <w:rPr>
                <w:rFonts w:cs="Arial"/>
                <w:b/>
                <w:bCs/>
                <w:szCs w:val="14"/>
              </w:rPr>
              <w:t>Adjustments</w:t>
            </w:r>
          </w:p>
        </w:tc>
        <w:tc>
          <w:tcPr>
            <w:tcW w:w="1831" w:type="dxa"/>
            <w:tcBorders>
              <w:top w:val="single" w:sz="2" w:space="0" w:color="1F4E79" w:themeColor="accent1" w:themeShade="80"/>
            </w:tcBorders>
            <w:shd w:val="clear" w:color="auto" w:fill="auto"/>
          </w:tcPr>
          <w:p w14:paraId="7B8B1F94" w14:textId="77777777" w:rsidR="008B7E19" w:rsidRPr="008F5C2C" w:rsidRDefault="008B7E19" w:rsidP="008B7E19">
            <w:pPr>
              <w:pStyle w:val="08-Tabelageral"/>
              <w:rPr>
                <w:rFonts w:cs="Arial"/>
                <w:b/>
                <w:bCs/>
                <w:szCs w:val="14"/>
              </w:rPr>
            </w:pPr>
            <w:r>
              <w:rPr>
                <w:rFonts w:cs="Arial"/>
                <w:b/>
                <w:bCs/>
                <w:szCs w:val="14"/>
              </w:rPr>
              <w:t>Restated balances</w:t>
            </w:r>
          </w:p>
        </w:tc>
      </w:tr>
      <w:tr w:rsidR="008B7E19" w:rsidRPr="00F42AB1" w14:paraId="14697ED5" w14:textId="77777777" w:rsidTr="008B7E19">
        <w:trPr>
          <w:trHeight w:val="238"/>
          <w:jc w:val="center"/>
        </w:trPr>
        <w:tc>
          <w:tcPr>
            <w:tcW w:w="4361" w:type="dxa"/>
            <w:tcBorders>
              <w:top w:val="single" w:sz="2" w:space="0" w:color="1F4E79" w:themeColor="accent1" w:themeShade="80"/>
            </w:tcBorders>
            <w:shd w:val="clear" w:color="auto" w:fill="auto"/>
            <w:vAlign w:val="center"/>
          </w:tcPr>
          <w:p w14:paraId="08273C03" w14:textId="77777777" w:rsidR="008B7E19" w:rsidRPr="00F42AB1" w:rsidRDefault="008B7E19" w:rsidP="008B7E19">
            <w:pPr>
              <w:pStyle w:val="08-Tabelageral"/>
              <w:jc w:val="left"/>
              <w:rPr>
                <w:rFonts w:cs="Arial"/>
                <w:szCs w:val="14"/>
              </w:rPr>
            </w:pPr>
            <w:r w:rsidRPr="00F42AB1">
              <w:rPr>
                <w:rFonts w:cs="Arial"/>
                <w:szCs w:val="14"/>
              </w:rPr>
              <w:t>Operating Income</w:t>
            </w:r>
          </w:p>
        </w:tc>
        <w:tc>
          <w:tcPr>
            <w:tcW w:w="1831" w:type="dxa"/>
            <w:tcBorders>
              <w:top w:val="single" w:sz="2" w:space="0" w:color="1F4E79" w:themeColor="accent1" w:themeShade="80"/>
            </w:tcBorders>
            <w:shd w:val="clear" w:color="auto" w:fill="auto"/>
            <w:vAlign w:val="center"/>
          </w:tcPr>
          <w:p w14:paraId="6435F7E2" w14:textId="77777777" w:rsidR="008B7E19" w:rsidRPr="00F42AB1" w:rsidRDefault="008B7E19" w:rsidP="008B7E19">
            <w:pPr>
              <w:pStyle w:val="08-Tabelageral"/>
              <w:rPr>
                <w:rFonts w:cs="Arial"/>
                <w:szCs w:val="14"/>
              </w:rPr>
            </w:pPr>
            <w:r w:rsidRPr="00C57F78">
              <w:rPr>
                <w:rFonts w:cs="Arial"/>
                <w:szCs w:val="14"/>
              </w:rPr>
              <w:t>2</w:t>
            </w:r>
            <w:r>
              <w:rPr>
                <w:rFonts w:cs="Arial"/>
                <w:szCs w:val="14"/>
              </w:rPr>
              <w:t>,</w:t>
            </w:r>
            <w:r w:rsidRPr="00C57F78">
              <w:rPr>
                <w:rFonts w:cs="Arial"/>
                <w:szCs w:val="14"/>
              </w:rPr>
              <w:t>586</w:t>
            </w:r>
            <w:r>
              <w:rPr>
                <w:rFonts w:cs="Arial"/>
                <w:szCs w:val="14"/>
              </w:rPr>
              <w:t>,</w:t>
            </w:r>
            <w:r w:rsidRPr="00C57F78">
              <w:rPr>
                <w:rFonts w:cs="Arial"/>
                <w:szCs w:val="14"/>
              </w:rPr>
              <w:t>472</w:t>
            </w:r>
          </w:p>
        </w:tc>
        <w:tc>
          <w:tcPr>
            <w:tcW w:w="1831" w:type="dxa"/>
            <w:tcBorders>
              <w:top w:val="single" w:sz="2" w:space="0" w:color="1F4E79" w:themeColor="accent1" w:themeShade="80"/>
            </w:tcBorders>
            <w:vAlign w:val="center"/>
          </w:tcPr>
          <w:p w14:paraId="05738D2B" w14:textId="77777777" w:rsidR="008B7E19" w:rsidRPr="00F42AB1" w:rsidRDefault="008B7E19" w:rsidP="008B7E19">
            <w:pPr>
              <w:pStyle w:val="08-Tabelageral"/>
              <w:rPr>
                <w:rFonts w:cs="Arial"/>
                <w:szCs w:val="14"/>
              </w:rPr>
            </w:pPr>
            <w:r w:rsidRPr="00C57F78">
              <w:rPr>
                <w:rFonts w:cs="Arial"/>
                <w:szCs w:val="14"/>
              </w:rPr>
              <w:t>127</w:t>
            </w:r>
            <w:r>
              <w:rPr>
                <w:rFonts w:cs="Arial"/>
                <w:szCs w:val="14"/>
              </w:rPr>
              <w:t>,</w:t>
            </w:r>
            <w:r w:rsidRPr="00C57F78">
              <w:rPr>
                <w:rFonts w:cs="Arial"/>
                <w:szCs w:val="14"/>
              </w:rPr>
              <w:t>442</w:t>
            </w:r>
          </w:p>
        </w:tc>
        <w:tc>
          <w:tcPr>
            <w:tcW w:w="1831" w:type="dxa"/>
            <w:tcBorders>
              <w:top w:val="single" w:sz="2" w:space="0" w:color="1F4E79" w:themeColor="accent1" w:themeShade="80"/>
            </w:tcBorders>
            <w:vAlign w:val="center"/>
          </w:tcPr>
          <w:p w14:paraId="3CFB6BF6" w14:textId="77777777" w:rsidR="008B7E19" w:rsidRPr="00F42AB1" w:rsidRDefault="008B7E19" w:rsidP="008B7E19">
            <w:pPr>
              <w:pStyle w:val="08-Tabelageral"/>
              <w:rPr>
                <w:rFonts w:cs="Arial"/>
                <w:szCs w:val="14"/>
              </w:rPr>
            </w:pPr>
            <w:r w:rsidRPr="00C57F78">
              <w:rPr>
                <w:rFonts w:cs="Arial"/>
                <w:szCs w:val="14"/>
              </w:rPr>
              <w:t>2</w:t>
            </w:r>
            <w:r>
              <w:rPr>
                <w:rFonts w:cs="Arial"/>
                <w:szCs w:val="14"/>
              </w:rPr>
              <w:t>,</w:t>
            </w:r>
            <w:r w:rsidRPr="00C57F78">
              <w:rPr>
                <w:rFonts w:cs="Arial"/>
                <w:szCs w:val="14"/>
              </w:rPr>
              <w:t>713</w:t>
            </w:r>
            <w:r>
              <w:rPr>
                <w:rFonts w:cs="Arial"/>
                <w:szCs w:val="14"/>
              </w:rPr>
              <w:t>,</w:t>
            </w:r>
            <w:r w:rsidRPr="00C57F78">
              <w:rPr>
                <w:rFonts w:cs="Arial"/>
                <w:szCs w:val="14"/>
              </w:rPr>
              <w:t>914</w:t>
            </w:r>
          </w:p>
        </w:tc>
      </w:tr>
      <w:tr w:rsidR="008B7E19" w:rsidRPr="00F42AB1" w14:paraId="1DCF6557" w14:textId="77777777" w:rsidTr="008B7E19">
        <w:trPr>
          <w:trHeight w:val="238"/>
          <w:jc w:val="center"/>
        </w:trPr>
        <w:tc>
          <w:tcPr>
            <w:tcW w:w="4361" w:type="dxa"/>
            <w:shd w:val="clear" w:color="auto" w:fill="auto"/>
            <w:vAlign w:val="center"/>
          </w:tcPr>
          <w:p w14:paraId="2E336947" w14:textId="77777777" w:rsidR="008B7E19" w:rsidRPr="00F42AB1" w:rsidRDefault="008B7E19" w:rsidP="008B7E19">
            <w:pPr>
              <w:pStyle w:val="08-Tabelageral"/>
              <w:jc w:val="left"/>
              <w:rPr>
                <w:rFonts w:cs="Arial"/>
                <w:szCs w:val="14"/>
              </w:rPr>
            </w:pPr>
            <w:r w:rsidRPr="00F42AB1">
              <w:rPr>
                <w:rFonts w:cs="Arial"/>
                <w:szCs w:val="14"/>
              </w:rPr>
              <w:t>Equity income</w:t>
            </w:r>
          </w:p>
        </w:tc>
        <w:tc>
          <w:tcPr>
            <w:tcW w:w="1831" w:type="dxa"/>
            <w:shd w:val="clear" w:color="auto" w:fill="auto"/>
            <w:vAlign w:val="center"/>
          </w:tcPr>
          <w:p w14:paraId="055A8F9B" w14:textId="77777777" w:rsidR="008B7E19" w:rsidRPr="00F42AB1" w:rsidRDefault="008B7E19" w:rsidP="008B7E19">
            <w:pPr>
              <w:pStyle w:val="08-Tabelageral"/>
              <w:rPr>
                <w:rFonts w:cs="Arial"/>
                <w:szCs w:val="14"/>
              </w:rPr>
            </w:pPr>
            <w:r w:rsidRPr="00C57F78">
              <w:rPr>
                <w:rFonts w:cs="Arial"/>
                <w:szCs w:val="14"/>
              </w:rPr>
              <w:t>2</w:t>
            </w:r>
            <w:r>
              <w:rPr>
                <w:rFonts w:cs="Arial"/>
                <w:szCs w:val="14"/>
              </w:rPr>
              <w:t>,</w:t>
            </w:r>
            <w:r w:rsidRPr="00C57F78">
              <w:rPr>
                <w:rFonts w:cs="Arial"/>
                <w:szCs w:val="14"/>
              </w:rPr>
              <w:t>586</w:t>
            </w:r>
            <w:r>
              <w:rPr>
                <w:rFonts w:cs="Arial"/>
                <w:szCs w:val="14"/>
              </w:rPr>
              <w:t>,</w:t>
            </w:r>
            <w:r w:rsidRPr="00C57F78">
              <w:rPr>
                <w:rFonts w:cs="Arial"/>
                <w:szCs w:val="14"/>
              </w:rPr>
              <w:t>472</w:t>
            </w:r>
          </w:p>
        </w:tc>
        <w:tc>
          <w:tcPr>
            <w:tcW w:w="1831" w:type="dxa"/>
            <w:vAlign w:val="center"/>
          </w:tcPr>
          <w:p w14:paraId="7E43D35E" w14:textId="77777777" w:rsidR="008B7E19" w:rsidRPr="00F42AB1" w:rsidRDefault="008B7E19" w:rsidP="008B7E19">
            <w:pPr>
              <w:pStyle w:val="08-Tabelageral"/>
              <w:rPr>
                <w:rFonts w:cs="Arial"/>
                <w:szCs w:val="14"/>
              </w:rPr>
            </w:pPr>
            <w:r w:rsidRPr="00C57F78">
              <w:rPr>
                <w:rFonts w:cs="Arial"/>
                <w:szCs w:val="14"/>
              </w:rPr>
              <w:t>127</w:t>
            </w:r>
            <w:r>
              <w:rPr>
                <w:rFonts w:cs="Arial"/>
                <w:szCs w:val="14"/>
              </w:rPr>
              <w:t>,</w:t>
            </w:r>
            <w:r w:rsidRPr="00C57F78">
              <w:rPr>
                <w:rFonts w:cs="Arial"/>
                <w:szCs w:val="14"/>
              </w:rPr>
              <w:t>442</w:t>
            </w:r>
          </w:p>
        </w:tc>
        <w:tc>
          <w:tcPr>
            <w:tcW w:w="1831" w:type="dxa"/>
            <w:vAlign w:val="center"/>
          </w:tcPr>
          <w:p w14:paraId="0B10C7D8" w14:textId="77777777" w:rsidR="008B7E19" w:rsidRPr="00F42AB1" w:rsidRDefault="008B7E19" w:rsidP="008B7E19">
            <w:pPr>
              <w:pStyle w:val="08-Tabelageral"/>
              <w:rPr>
                <w:rFonts w:cs="Arial"/>
                <w:szCs w:val="14"/>
              </w:rPr>
            </w:pPr>
            <w:r w:rsidRPr="00C57F78">
              <w:rPr>
                <w:rFonts w:cs="Arial"/>
                <w:szCs w:val="14"/>
              </w:rPr>
              <w:t>2</w:t>
            </w:r>
            <w:r>
              <w:rPr>
                <w:rFonts w:cs="Arial"/>
                <w:szCs w:val="14"/>
              </w:rPr>
              <w:t>,</w:t>
            </w:r>
            <w:r w:rsidRPr="00C57F78">
              <w:rPr>
                <w:rFonts w:cs="Arial"/>
                <w:szCs w:val="14"/>
              </w:rPr>
              <w:t>713</w:t>
            </w:r>
            <w:r>
              <w:rPr>
                <w:rFonts w:cs="Arial"/>
                <w:szCs w:val="14"/>
              </w:rPr>
              <w:t>,</w:t>
            </w:r>
            <w:r w:rsidRPr="00C57F78">
              <w:rPr>
                <w:rFonts w:cs="Arial"/>
                <w:szCs w:val="14"/>
              </w:rPr>
              <w:t>914</w:t>
            </w:r>
          </w:p>
        </w:tc>
      </w:tr>
      <w:tr w:rsidR="008B7E19" w:rsidRPr="00F42AB1" w14:paraId="09CFFE92" w14:textId="77777777" w:rsidTr="008B7E19">
        <w:trPr>
          <w:trHeight w:val="238"/>
          <w:jc w:val="center"/>
        </w:trPr>
        <w:tc>
          <w:tcPr>
            <w:tcW w:w="4361" w:type="dxa"/>
            <w:shd w:val="clear" w:color="auto" w:fill="auto"/>
            <w:vAlign w:val="center"/>
          </w:tcPr>
          <w:p w14:paraId="386F731A" w14:textId="77777777" w:rsidR="008B7E19" w:rsidRPr="00F42AB1" w:rsidRDefault="008B7E19" w:rsidP="008B7E19">
            <w:pPr>
              <w:pStyle w:val="08-Tabelageral"/>
              <w:jc w:val="left"/>
              <w:rPr>
                <w:rFonts w:cs="Arial"/>
                <w:szCs w:val="14"/>
              </w:rPr>
            </w:pPr>
            <w:r w:rsidRPr="00F42AB1">
              <w:rPr>
                <w:rFonts w:cs="Arial"/>
                <w:szCs w:val="14"/>
              </w:rPr>
              <w:t>Gross Profit</w:t>
            </w:r>
          </w:p>
        </w:tc>
        <w:tc>
          <w:tcPr>
            <w:tcW w:w="1831" w:type="dxa"/>
            <w:shd w:val="clear" w:color="auto" w:fill="auto"/>
            <w:vAlign w:val="center"/>
          </w:tcPr>
          <w:p w14:paraId="269F84A3" w14:textId="77777777" w:rsidR="008B7E19" w:rsidRPr="00F42AB1" w:rsidRDefault="008B7E19" w:rsidP="008B7E19">
            <w:pPr>
              <w:pStyle w:val="08-Tabelageral"/>
              <w:rPr>
                <w:rFonts w:cs="Arial"/>
                <w:szCs w:val="14"/>
              </w:rPr>
            </w:pPr>
            <w:r w:rsidRPr="00C57F78">
              <w:rPr>
                <w:rFonts w:cs="Arial"/>
                <w:szCs w:val="14"/>
              </w:rPr>
              <w:t>2</w:t>
            </w:r>
            <w:r>
              <w:rPr>
                <w:rFonts w:cs="Arial"/>
                <w:szCs w:val="14"/>
              </w:rPr>
              <w:t>,</w:t>
            </w:r>
            <w:r w:rsidRPr="00C57F78">
              <w:rPr>
                <w:rFonts w:cs="Arial"/>
                <w:szCs w:val="14"/>
              </w:rPr>
              <w:t>586</w:t>
            </w:r>
            <w:r>
              <w:rPr>
                <w:rFonts w:cs="Arial"/>
                <w:szCs w:val="14"/>
              </w:rPr>
              <w:t>,</w:t>
            </w:r>
            <w:r w:rsidRPr="00C57F78">
              <w:rPr>
                <w:rFonts w:cs="Arial"/>
                <w:szCs w:val="14"/>
              </w:rPr>
              <w:t>472</w:t>
            </w:r>
          </w:p>
        </w:tc>
        <w:tc>
          <w:tcPr>
            <w:tcW w:w="1831" w:type="dxa"/>
            <w:vAlign w:val="center"/>
          </w:tcPr>
          <w:p w14:paraId="50B03309" w14:textId="77777777" w:rsidR="008B7E19" w:rsidRPr="00F42AB1" w:rsidRDefault="008B7E19" w:rsidP="008B7E19">
            <w:pPr>
              <w:pStyle w:val="08-Tabelageral"/>
              <w:rPr>
                <w:rFonts w:cs="Arial"/>
                <w:szCs w:val="14"/>
              </w:rPr>
            </w:pPr>
            <w:r w:rsidRPr="00C57F78">
              <w:rPr>
                <w:rFonts w:cs="Arial"/>
                <w:szCs w:val="14"/>
              </w:rPr>
              <w:t>127</w:t>
            </w:r>
            <w:r>
              <w:rPr>
                <w:rFonts w:cs="Arial"/>
                <w:szCs w:val="14"/>
              </w:rPr>
              <w:t>,</w:t>
            </w:r>
            <w:r w:rsidRPr="00C57F78">
              <w:rPr>
                <w:rFonts w:cs="Arial"/>
                <w:szCs w:val="14"/>
              </w:rPr>
              <w:t>442</w:t>
            </w:r>
          </w:p>
        </w:tc>
        <w:tc>
          <w:tcPr>
            <w:tcW w:w="1831" w:type="dxa"/>
            <w:vAlign w:val="center"/>
          </w:tcPr>
          <w:p w14:paraId="12A2C799" w14:textId="77777777" w:rsidR="008B7E19" w:rsidRPr="00F42AB1" w:rsidRDefault="008B7E19" w:rsidP="008B7E19">
            <w:pPr>
              <w:pStyle w:val="08-Tabelageral"/>
              <w:rPr>
                <w:rFonts w:cs="Arial"/>
                <w:szCs w:val="14"/>
              </w:rPr>
            </w:pPr>
            <w:r w:rsidRPr="00C57F78">
              <w:rPr>
                <w:rFonts w:cs="Arial"/>
                <w:szCs w:val="14"/>
              </w:rPr>
              <w:t>2</w:t>
            </w:r>
            <w:r>
              <w:rPr>
                <w:rFonts w:cs="Arial"/>
                <w:szCs w:val="14"/>
              </w:rPr>
              <w:t>,</w:t>
            </w:r>
            <w:r w:rsidRPr="00C57F78">
              <w:rPr>
                <w:rFonts w:cs="Arial"/>
                <w:szCs w:val="14"/>
              </w:rPr>
              <w:t>713</w:t>
            </w:r>
            <w:r>
              <w:rPr>
                <w:rFonts w:cs="Arial"/>
                <w:szCs w:val="14"/>
              </w:rPr>
              <w:t>,</w:t>
            </w:r>
            <w:r w:rsidRPr="00C57F78">
              <w:rPr>
                <w:rFonts w:cs="Arial"/>
                <w:szCs w:val="14"/>
              </w:rPr>
              <w:t>914</w:t>
            </w:r>
          </w:p>
        </w:tc>
      </w:tr>
      <w:tr w:rsidR="008B7E19" w:rsidRPr="00F42AB1" w14:paraId="401110C8" w14:textId="77777777" w:rsidTr="008B7E19">
        <w:trPr>
          <w:trHeight w:val="238"/>
          <w:jc w:val="center"/>
        </w:trPr>
        <w:tc>
          <w:tcPr>
            <w:tcW w:w="4361" w:type="dxa"/>
            <w:shd w:val="clear" w:color="auto" w:fill="auto"/>
            <w:vAlign w:val="center"/>
          </w:tcPr>
          <w:p w14:paraId="0B65CD2E" w14:textId="77777777" w:rsidR="008B7E19" w:rsidRPr="00F42AB1" w:rsidRDefault="008B7E19" w:rsidP="008B7E19">
            <w:pPr>
              <w:pStyle w:val="08-Tabelageral"/>
              <w:jc w:val="left"/>
              <w:rPr>
                <w:rFonts w:cs="Arial"/>
                <w:szCs w:val="14"/>
              </w:rPr>
            </w:pPr>
            <w:r w:rsidRPr="00F42AB1">
              <w:rPr>
                <w:rFonts w:cs="Arial"/>
                <w:szCs w:val="14"/>
              </w:rPr>
              <w:t>Other Income and Expenses</w:t>
            </w:r>
          </w:p>
        </w:tc>
        <w:tc>
          <w:tcPr>
            <w:tcW w:w="1831" w:type="dxa"/>
            <w:shd w:val="clear" w:color="auto" w:fill="auto"/>
            <w:vAlign w:val="center"/>
          </w:tcPr>
          <w:p w14:paraId="5B7D22A5" w14:textId="77777777" w:rsidR="008B7E19" w:rsidRPr="00F42AB1" w:rsidRDefault="008B7E19" w:rsidP="008B7E19">
            <w:pPr>
              <w:pStyle w:val="08-Tabelageral"/>
              <w:rPr>
                <w:rFonts w:cs="Arial"/>
                <w:szCs w:val="14"/>
              </w:rPr>
            </w:pPr>
            <w:r w:rsidRPr="00C57F78">
              <w:rPr>
                <w:rFonts w:cs="Arial"/>
                <w:szCs w:val="14"/>
              </w:rPr>
              <w:t>(8</w:t>
            </w:r>
            <w:r>
              <w:rPr>
                <w:rFonts w:cs="Arial"/>
                <w:szCs w:val="14"/>
              </w:rPr>
              <w:t>,</w:t>
            </w:r>
            <w:r w:rsidRPr="00C57F78">
              <w:rPr>
                <w:rFonts w:cs="Arial"/>
                <w:szCs w:val="14"/>
              </w:rPr>
              <w:t>508)</w:t>
            </w:r>
          </w:p>
        </w:tc>
        <w:tc>
          <w:tcPr>
            <w:tcW w:w="1831" w:type="dxa"/>
            <w:vAlign w:val="center"/>
          </w:tcPr>
          <w:p w14:paraId="6AA6F1F9" w14:textId="77777777" w:rsidR="008B7E19" w:rsidRPr="00F42AB1" w:rsidRDefault="008B7E19" w:rsidP="008B7E19">
            <w:pPr>
              <w:pStyle w:val="08-Tabelageral"/>
              <w:rPr>
                <w:rFonts w:cs="Arial"/>
                <w:szCs w:val="14"/>
              </w:rPr>
            </w:pPr>
            <w:r w:rsidRPr="00C57F78">
              <w:rPr>
                <w:rFonts w:cs="Arial"/>
                <w:szCs w:val="14"/>
              </w:rPr>
              <w:t>--</w:t>
            </w:r>
          </w:p>
        </w:tc>
        <w:tc>
          <w:tcPr>
            <w:tcW w:w="1831" w:type="dxa"/>
            <w:vAlign w:val="center"/>
          </w:tcPr>
          <w:p w14:paraId="219DDC17" w14:textId="77777777" w:rsidR="008B7E19" w:rsidRPr="00F42AB1" w:rsidRDefault="008B7E19" w:rsidP="008B7E19">
            <w:pPr>
              <w:pStyle w:val="08-Tabelageral"/>
              <w:rPr>
                <w:rFonts w:cs="Arial"/>
                <w:szCs w:val="14"/>
              </w:rPr>
            </w:pPr>
            <w:r w:rsidRPr="00C57F78">
              <w:rPr>
                <w:rFonts w:cs="Arial"/>
                <w:szCs w:val="14"/>
              </w:rPr>
              <w:t>(8</w:t>
            </w:r>
            <w:r>
              <w:rPr>
                <w:rFonts w:cs="Arial"/>
                <w:szCs w:val="14"/>
              </w:rPr>
              <w:t>,</w:t>
            </w:r>
            <w:r w:rsidRPr="00C57F78">
              <w:rPr>
                <w:rFonts w:cs="Arial"/>
                <w:szCs w:val="14"/>
              </w:rPr>
              <w:t>508)</w:t>
            </w:r>
          </w:p>
        </w:tc>
      </w:tr>
      <w:tr w:rsidR="008B7E19" w:rsidRPr="00F42AB1" w14:paraId="74703A94" w14:textId="77777777" w:rsidTr="008B7E19">
        <w:trPr>
          <w:trHeight w:val="238"/>
          <w:jc w:val="center"/>
        </w:trPr>
        <w:tc>
          <w:tcPr>
            <w:tcW w:w="4361" w:type="dxa"/>
            <w:shd w:val="clear" w:color="auto" w:fill="auto"/>
            <w:vAlign w:val="center"/>
          </w:tcPr>
          <w:p w14:paraId="69BDABDC" w14:textId="77777777" w:rsidR="008B7E19" w:rsidRPr="00F42AB1" w:rsidRDefault="008B7E19" w:rsidP="008B7E19">
            <w:pPr>
              <w:pStyle w:val="08-Tabelageral"/>
              <w:jc w:val="left"/>
              <w:rPr>
                <w:rFonts w:cs="Arial"/>
                <w:szCs w:val="14"/>
                <w:lang w:val="en-US"/>
              </w:rPr>
            </w:pPr>
            <w:r w:rsidRPr="00F42AB1">
              <w:rPr>
                <w:rFonts w:cs="Arial"/>
                <w:szCs w:val="14"/>
                <w:lang w:val="en-US"/>
              </w:rPr>
              <w:t>Income Before Financial Revenue and Expenses</w:t>
            </w:r>
          </w:p>
        </w:tc>
        <w:tc>
          <w:tcPr>
            <w:tcW w:w="1831" w:type="dxa"/>
            <w:shd w:val="clear" w:color="auto" w:fill="auto"/>
            <w:vAlign w:val="center"/>
          </w:tcPr>
          <w:p w14:paraId="2C7703A5" w14:textId="77777777" w:rsidR="008B7E19" w:rsidRPr="00F42AB1" w:rsidRDefault="008B7E19" w:rsidP="008B7E19">
            <w:pPr>
              <w:pStyle w:val="08-Tabelageral"/>
              <w:rPr>
                <w:rFonts w:cs="Arial"/>
                <w:szCs w:val="14"/>
              </w:rPr>
            </w:pPr>
            <w:r w:rsidRPr="00C57F78">
              <w:rPr>
                <w:rFonts w:cs="Arial"/>
                <w:szCs w:val="14"/>
              </w:rPr>
              <w:t>2</w:t>
            </w:r>
            <w:r>
              <w:rPr>
                <w:rFonts w:cs="Arial"/>
                <w:szCs w:val="14"/>
              </w:rPr>
              <w:t>,</w:t>
            </w:r>
            <w:r w:rsidRPr="00C57F78">
              <w:rPr>
                <w:rFonts w:cs="Arial"/>
                <w:szCs w:val="14"/>
              </w:rPr>
              <w:t>577</w:t>
            </w:r>
            <w:r>
              <w:rPr>
                <w:rFonts w:cs="Arial"/>
                <w:szCs w:val="14"/>
              </w:rPr>
              <w:t>,</w:t>
            </w:r>
            <w:r w:rsidRPr="00C57F78">
              <w:rPr>
                <w:rFonts w:cs="Arial"/>
                <w:szCs w:val="14"/>
              </w:rPr>
              <w:t>964</w:t>
            </w:r>
          </w:p>
        </w:tc>
        <w:tc>
          <w:tcPr>
            <w:tcW w:w="1831" w:type="dxa"/>
            <w:vAlign w:val="center"/>
          </w:tcPr>
          <w:p w14:paraId="6CD399EB" w14:textId="77777777" w:rsidR="008B7E19" w:rsidRPr="00F42AB1" w:rsidRDefault="008B7E19" w:rsidP="008B7E19">
            <w:pPr>
              <w:pStyle w:val="08-Tabelageral"/>
              <w:rPr>
                <w:rFonts w:cs="Arial"/>
                <w:szCs w:val="14"/>
              </w:rPr>
            </w:pPr>
            <w:r w:rsidRPr="00C57F78">
              <w:rPr>
                <w:rFonts w:cs="Arial"/>
                <w:szCs w:val="14"/>
              </w:rPr>
              <w:t>127</w:t>
            </w:r>
            <w:r>
              <w:rPr>
                <w:rFonts w:cs="Arial"/>
                <w:szCs w:val="14"/>
              </w:rPr>
              <w:t>,</w:t>
            </w:r>
            <w:r w:rsidRPr="00C57F78">
              <w:rPr>
                <w:rFonts w:cs="Arial"/>
                <w:szCs w:val="14"/>
              </w:rPr>
              <w:t>442</w:t>
            </w:r>
          </w:p>
        </w:tc>
        <w:tc>
          <w:tcPr>
            <w:tcW w:w="1831" w:type="dxa"/>
            <w:vAlign w:val="center"/>
          </w:tcPr>
          <w:p w14:paraId="0CC4C96E" w14:textId="77777777" w:rsidR="008B7E19" w:rsidRPr="00F42AB1" w:rsidRDefault="008B7E19" w:rsidP="008B7E19">
            <w:pPr>
              <w:pStyle w:val="08-Tabelageral"/>
              <w:rPr>
                <w:rFonts w:cs="Arial"/>
                <w:szCs w:val="14"/>
              </w:rPr>
            </w:pPr>
            <w:r w:rsidRPr="00C57F78">
              <w:rPr>
                <w:rFonts w:cs="Arial"/>
                <w:szCs w:val="14"/>
              </w:rPr>
              <w:t>2</w:t>
            </w:r>
            <w:r>
              <w:rPr>
                <w:rFonts w:cs="Arial"/>
                <w:szCs w:val="14"/>
              </w:rPr>
              <w:t>,</w:t>
            </w:r>
            <w:r w:rsidRPr="00C57F78">
              <w:rPr>
                <w:rFonts w:cs="Arial"/>
                <w:szCs w:val="14"/>
              </w:rPr>
              <w:t>705</w:t>
            </w:r>
            <w:r>
              <w:rPr>
                <w:rFonts w:cs="Arial"/>
                <w:szCs w:val="14"/>
              </w:rPr>
              <w:t>,</w:t>
            </w:r>
            <w:r w:rsidRPr="00C57F78">
              <w:rPr>
                <w:rFonts w:cs="Arial"/>
                <w:szCs w:val="14"/>
              </w:rPr>
              <w:t>406</w:t>
            </w:r>
          </w:p>
        </w:tc>
      </w:tr>
      <w:tr w:rsidR="008B7E19" w:rsidRPr="00F42AB1" w14:paraId="54A02F05" w14:textId="77777777" w:rsidTr="008B7E19">
        <w:trPr>
          <w:trHeight w:val="238"/>
          <w:jc w:val="center"/>
        </w:trPr>
        <w:tc>
          <w:tcPr>
            <w:tcW w:w="4361" w:type="dxa"/>
            <w:shd w:val="clear" w:color="auto" w:fill="auto"/>
            <w:vAlign w:val="center"/>
          </w:tcPr>
          <w:p w14:paraId="108433C2" w14:textId="77777777" w:rsidR="008B7E19" w:rsidRPr="00F42AB1" w:rsidRDefault="008B7E19" w:rsidP="008B7E19">
            <w:pPr>
              <w:pStyle w:val="08-Tabelageral"/>
              <w:jc w:val="left"/>
              <w:rPr>
                <w:rFonts w:cs="Arial"/>
                <w:szCs w:val="14"/>
              </w:rPr>
            </w:pPr>
            <w:r w:rsidRPr="00F42AB1">
              <w:rPr>
                <w:rFonts w:cs="Arial"/>
                <w:szCs w:val="14"/>
              </w:rPr>
              <w:t>Financial Result</w:t>
            </w:r>
          </w:p>
        </w:tc>
        <w:tc>
          <w:tcPr>
            <w:tcW w:w="1831" w:type="dxa"/>
            <w:shd w:val="clear" w:color="auto" w:fill="auto"/>
            <w:vAlign w:val="center"/>
          </w:tcPr>
          <w:p w14:paraId="3AC253D9" w14:textId="77777777" w:rsidR="008B7E19" w:rsidRPr="00F42AB1" w:rsidRDefault="008B7E19" w:rsidP="008B7E19">
            <w:pPr>
              <w:pStyle w:val="08-Tabelageral"/>
              <w:rPr>
                <w:rFonts w:cs="Arial"/>
                <w:szCs w:val="14"/>
              </w:rPr>
            </w:pPr>
            <w:r w:rsidRPr="00C57F78">
              <w:rPr>
                <w:rFonts w:cs="Arial"/>
                <w:szCs w:val="14"/>
              </w:rPr>
              <w:t>7</w:t>
            </w:r>
            <w:r>
              <w:rPr>
                <w:rFonts w:cs="Arial"/>
                <w:szCs w:val="14"/>
              </w:rPr>
              <w:t>,</w:t>
            </w:r>
            <w:r w:rsidRPr="00C57F78">
              <w:rPr>
                <w:rFonts w:cs="Arial"/>
                <w:szCs w:val="14"/>
              </w:rPr>
              <w:t>838</w:t>
            </w:r>
          </w:p>
        </w:tc>
        <w:tc>
          <w:tcPr>
            <w:tcW w:w="1831" w:type="dxa"/>
            <w:vAlign w:val="center"/>
          </w:tcPr>
          <w:p w14:paraId="4C17726A" w14:textId="77777777" w:rsidR="008B7E19" w:rsidRPr="00F42AB1" w:rsidRDefault="008B7E19" w:rsidP="008B7E19">
            <w:pPr>
              <w:pStyle w:val="08-Tabelageral"/>
              <w:rPr>
                <w:rFonts w:cs="Arial"/>
                <w:szCs w:val="14"/>
              </w:rPr>
            </w:pPr>
            <w:r w:rsidRPr="00C57F78">
              <w:rPr>
                <w:rFonts w:cs="Arial"/>
                <w:szCs w:val="14"/>
              </w:rPr>
              <w:t>--</w:t>
            </w:r>
          </w:p>
        </w:tc>
        <w:tc>
          <w:tcPr>
            <w:tcW w:w="1831" w:type="dxa"/>
            <w:vAlign w:val="center"/>
          </w:tcPr>
          <w:p w14:paraId="3A8D2A65" w14:textId="77777777" w:rsidR="008B7E19" w:rsidRPr="00F42AB1" w:rsidRDefault="008B7E19" w:rsidP="008B7E19">
            <w:pPr>
              <w:pStyle w:val="08-Tabelageral"/>
              <w:rPr>
                <w:rFonts w:cs="Arial"/>
                <w:szCs w:val="14"/>
              </w:rPr>
            </w:pPr>
            <w:r w:rsidRPr="00C57F78">
              <w:rPr>
                <w:rFonts w:cs="Arial"/>
                <w:szCs w:val="14"/>
              </w:rPr>
              <w:t>7</w:t>
            </w:r>
            <w:r>
              <w:rPr>
                <w:rFonts w:cs="Arial"/>
                <w:szCs w:val="14"/>
              </w:rPr>
              <w:t>,</w:t>
            </w:r>
            <w:r w:rsidRPr="00C57F78">
              <w:rPr>
                <w:rFonts w:cs="Arial"/>
                <w:szCs w:val="14"/>
              </w:rPr>
              <w:t>838</w:t>
            </w:r>
          </w:p>
        </w:tc>
      </w:tr>
      <w:tr w:rsidR="008B7E19" w:rsidRPr="00F42AB1" w14:paraId="61619F47" w14:textId="77777777" w:rsidTr="008B7E19">
        <w:trPr>
          <w:trHeight w:val="238"/>
          <w:jc w:val="center"/>
        </w:trPr>
        <w:tc>
          <w:tcPr>
            <w:tcW w:w="4361" w:type="dxa"/>
            <w:shd w:val="clear" w:color="auto" w:fill="auto"/>
            <w:vAlign w:val="center"/>
          </w:tcPr>
          <w:p w14:paraId="2038B3DA" w14:textId="77777777" w:rsidR="008B7E19" w:rsidRPr="00F42AB1" w:rsidRDefault="008B7E19" w:rsidP="008B7E19">
            <w:pPr>
              <w:pStyle w:val="08-Tabelageral"/>
              <w:jc w:val="left"/>
              <w:rPr>
                <w:rFonts w:cs="Arial"/>
                <w:szCs w:val="14"/>
              </w:rPr>
            </w:pPr>
            <w:r w:rsidRPr="00F42AB1">
              <w:rPr>
                <w:rFonts w:cs="Arial"/>
                <w:szCs w:val="14"/>
              </w:rPr>
              <w:t>Income before taxes</w:t>
            </w:r>
          </w:p>
        </w:tc>
        <w:tc>
          <w:tcPr>
            <w:tcW w:w="1831" w:type="dxa"/>
            <w:shd w:val="clear" w:color="auto" w:fill="auto"/>
            <w:vAlign w:val="center"/>
          </w:tcPr>
          <w:p w14:paraId="3A586E4A" w14:textId="77777777" w:rsidR="008B7E19" w:rsidRPr="00F42AB1" w:rsidRDefault="008B7E19" w:rsidP="008B7E19">
            <w:pPr>
              <w:pStyle w:val="08-Tabelageral"/>
              <w:rPr>
                <w:rFonts w:cs="Arial"/>
                <w:szCs w:val="14"/>
              </w:rPr>
            </w:pPr>
            <w:r w:rsidRPr="00C57F78">
              <w:rPr>
                <w:rFonts w:cs="Arial"/>
                <w:szCs w:val="14"/>
              </w:rPr>
              <w:t>2</w:t>
            </w:r>
            <w:r>
              <w:rPr>
                <w:rFonts w:cs="Arial"/>
                <w:szCs w:val="14"/>
              </w:rPr>
              <w:t>,</w:t>
            </w:r>
            <w:r w:rsidRPr="00C57F78">
              <w:rPr>
                <w:rFonts w:cs="Arial"/>
                <w:szCs w:val="14"/>
              </w:rPr>
              <w:t>585</w:t>
            </w:r>
            <w:r>
              <w:rPr>
                <w:rFonts w:cs="Arial"/>
                <w:szCs w:val="14"/>
              </w:rPr>
              <w:t>,</w:t>
            </w:r>
            <w:r w:rsidRPr="00C57F78">
              <w:rPr>
                <w:rFonts w:cs="Arial"/>
                <w:szCs w:val="14"/>
              </w:rPr>
              <w:t>802</w:t>
            </w:r>
          </w:p>
        </w:tc>
        <w:tc>
          <w:tcPr>
            <w:tcW w:w="1831" w:type="dxa"/>
            <w:vAlign w:val="center"/>
          </w:tcPr>
          <w:p w14:paraId="6D8BDA48" w14:textId="77777777" w:rsidR="008B7E19" w:rsidRPr="00F42AB1" w:rsidRDefault="008B7E19" w:rsidP="008B7E19">
            <w:pPr>
              <w:pStyle w:val="08-Tabelageral"/>
              <w:rPr>
                <w:rFonts w:cs="Arial"/>
                <w:szCs w:val="14"/>
              </w:rPr>
            </w:pPr>
            <w:r w:rsidRPr="00C57F78">
              <w:rPr>
                <w:rFonts w:cs="Arial"/>
                <w:szCs w:val="14"/>
              </w:rPr>
              <w:t>127</w:t>
            </w:r>
            <w:r>
              <w:rPr>
                <w:rFonts w:cs="Arial"/>
                <w:szCs w:val="14"/>
              </w:rPr>
              <w:t>,</w:t>
            </w:r>
            <w:r w:rsidRPr="00C57F78">
              <w:rPr>
                <w:rFonts w:cs="Arial"/>
                <w:szCs w:val="14"/>
              </w:rPr>
              <w:t>442</w:t>
            </w:r>
          </w:p>
        </w:tc>
        <w:tc>
          <w:tcPr>
            <w:tcW w:w="1831" w:type="dxa"/>
            <w:vAlign w:val="center"/>
          </w:tcPr>
          <w:p w14:paraId="2941EE59" w14:textId="77777777" w:rsidR="008B7E19" w:rsidRPr="00F42AB1" w:rsidRDefault="008B7E19" w:rsidP="008B7E19">
            <w:pPr>
              <w:pStyle w:val="08-Tabelageral"/>
              <w:rPr>
                <w:rFonts w:cs="Arial"/>
                <w:szCs w:val="14"/>
              </w:rPr>
            </w:pPr>
            <w:r w:rsidRPr="00C57F78">
              <w:rPr>
                <w:rFonts w:cs="Arial"/>
                <w:szCs w:val="14"/>
              </w:rPr>
              <w:t>2</w:t>
            </w:r>
            <w:r>
              <w:rPr>
                <w:rFonts w:cs="Arial"/>
                <w:szCs w:val="14"/>
              </w:rPr>
              <w:t>,</w:t>
            </w:r>
            <w:r w:rsidRPr="00C57F78">
              <w:rPr>
                <w:rFonts w:cs="Arial"/>
                <w:szCs w:val="14"/>
              </w:rPr>
              <w:t>713</w:t>
            </w:r>
            <w:r>
              <w:rPr>
                <w:rFonts w:cs="Arial"/>
                <w:szCs w:val="14"/>
              </w:rPr>
              <w:t>,</w:t>
            </w:r>
            <w:r w:rsidRPr="00C57F78">
              <w:rPr>
                <w:rFonts w:cs="Arial"/>
                <w:szCs w:val="14"/>
              </w:rPr>
              <w:t>244</w:t>
            </w:r>
          </w:p>
        </w:tc>
      </w:tr>
      <w:tr w:rsidR="008B7E19" w:rsidRPr="00F42AB1" w14:paraId="42397A3D" w14:textId="77777777" w:rsidTr="008B7E19">
        <w:trPr>
          <w:trHeight w:val="238"/>
          <w:jc w:val="center"/>
        </w:trPr>
        <w:tc>
          <w:tcPr>
            <w:tcW w:w="4361" w:type="dxa"/>
            <w:shd w:val="clear" w:color="auto" w:fill="auto"/>
            <w:vAlign w:val="center"/>
          </w:tcPr>
          <w:p w14:paraId="7928438D" w14:textId="77777777" w:rsidR="008B7E19" w:rsidRPr="00F42AB1" w:rsidRDefault="008B7E19" w:rsidP="008B7E19">
            <w:pPr>
              <w:pStyle w:val="08-Tabelageral"/>
              <w:jc w:val="left"/>
              <w:rPr>
                <w:rFonts w:cs="Arial"/>
                <w:szCs w:val="14"/>
                <w:lang w:val="en-US"/>
              </w:rPr>
            </w:pPr>
            <w:r w:rsidRPr="00F42AB1">
              <w:rPr>
                <w:rFonts w:cs="Arial"/>
                <w:szCs w:val="14"/>
                <w:lang w:val="en-US"/>
              </w:rPr>
              <w:t>Taxes</w:t>
            </w:r>
          </w:p>
        </w:tc>
        <w:tc>
          <w:tcPr>
            <w:tcW w:w="1831" w:type="dxa"/>
            <w:shd w:val="clear" w:color="auto" w:fill="auto"/>
            <w:vAlign w:val="center"/>
          </w:tcPr>
          <w:p w14:paraId="18B4737C" w14:textId="77777777" w:rsidR="008B7E19" w:rsidRPr="00F42AB1" w:rsidRDefault="008B7E19" w:rsidP="008B7E19">
            <w:pPr>
              <w:pStyle w:val="08-Tabelageral"/>
              <w:rPr>
                <w:rFonts w:cs="Arial"/>
                <w:szCs w:val="14"/>
              </w:rPr>
            </w:pPr>
            <w:r w:rsidRPr="00C57F78">
              <w:rPr>
                <w:rFonts w:cs="Arial"/>
                <w:szCs w:val="14"/>
              </w:rPr>
              <w:t>--</w:t>
            </w:r>
          </w:p>
        </w:tc>
        <w:tc>
          <w:tcPr>
            <w:tcW w:w="1831" w:type="dxa"/>
            <w:vAlign w:val="center"/>
          </w:tcPr>
          <w:p w14:paraId="5DBF07E1" w14:textId="77777777" w:rsidR="008B7E19" w:rsidRPr="00F42AB1" w:rsidRDefault="008B7E19" w:rsidP="008B7E19">
            <w:pPr>
              <w:pStyle w:val="08-Tabelageral"/>
              <w:rPr>
                <w:rFonts w:cs="Arial"/>
                <w:szCs w:val="14"/>
              </w:rPr>
            </w:pPr>
            <w:r w:rsidRPr="00C57F78">
              <w:rPr>
                <w:rFonts w:cs="Arial"/>
                <w:szCs w:val="14"/>
              </w:rPr>
              <w:t>--</w:t>
            </w:r>
          </w:p>
        </w:tc>
        <w:tc>
          <w:tcPr>
            <w:tcW w:w="1831" w:type="dxa"/>
            <w:vAlign w:val="center"/>
          </w:tcPr>
          <w:p w14:paraId="049E268C" w14:textId="77777777" w:rsidR="008B7E19" w:rsidRPr="00F42AB1" w:rsidRDefault="008B7E19" w:rsidP="008B7E19">
            <w:pPr>
              <w:pStyle w:val="08-Tabelageral"/>
              <w:rPr>
                <w:rFonts w:cs="Arial"/>
                <w:szCs w:val="14"/>
              </w:rPr>
            </w:pPr>
            <w:r w:rsidRPr="00C57F78">
              <w:rPr>
                <w:rFonts w:cs="Arial"/>
                <w:szCs w:val="14"/>
              </w:rPr>
              <w:t>--</w:t>
            </w:r>
          </w:p>
        </w:tc>
      </w:tr>
      <w:tr w:rsidR="008B7E19" w:rsidRPr="00F42AB1" w14:paraId="5127E73E" w14:textId="77777777" w:rsidTr="008B7E19">
        <w:trPr>
          <w:trHeight w:val="238"/>
          <w:jc w:val="center"/>
        </w:trPr>
        <w:tc>
          <w:tcPr>
            <w:tcW w:w="4361" w:type="dxa"/>
            <w:shd w:val="clear" w:color="auto" w:fill="auto"/>
            <w:vAlign w:val="center"/>
          </w:tcPr>
          <w:p w14:paraId="32134489" w14:textId="77777777" w:rsidR="008B7E19" w:rsidRPr="00F42AB1" w:rsidRDefault="008B7E19" w:rsidP="008B7E19">
            <w:pPr>
              <w:pStyle w:val="08-Tabelageral"/>
              <w:jc w:val="left"/>
              <w:rPr>
                <w:rFonts w:cs="Arial"/>
                <w:szCs w:val="14"/>
              </w:rPr>
            </w:pPr>
            <w:r w:rsidRPr="00F42AB1">
              <w:rPr>
                <w:rFonts w:cs="Arial"/>
                <w:szCs w:val="14"/>
              </w:rPr>
              <w:t>Net Income</w:t>
            </w:r>
          </w:p>
        </w:tc>
        <w:tc>
          <w:tcPr>
            <w:tcW w:w="1831" w:type="dxa"/>
            <w:shd w:val="clear" w:color="auto" w:fill="auto"/>
            <w:vAlign w:val="center"/>
          </w:tcPr>
          <w:p w14:paraId="28391576" w14:textId="77777777" w:rsidR="008B7E19" w:rsidRPr="00F42AB1" w:rsidRDefault="008B7E19" w:rsidP="008B7E19">
            <w:pPr>
              <w:pStyle w:val="08-Tabelageral"/>
              <w:rPr>
                <w:rFonts w:cs="Arial"/>
                <w:szCs w:val="14"/>
              </w:rPr>
            </w:pPr>
            <w:r w:rsidRPr="00C57F78">
              <w:rPr>
                <w:rFonts w:cs="Arial"/>
                <w:szCs w:val="14"/>
              </w:rPr>
              <w:t>2</w:t>
            </w:r>
            <w:r>
              <w:rPr>
                <w:rFonts w:cs="Arial"/>
                <w:szCs w:val="14"/>
              </w:rPr>
              <w:t>,</w:t>
            </w:r>
            <w:r w:rsidRPr="00C57F78">
              <w:rPr>
                <w:rFonts w:cs="Arial"/>
                <w:szCs w:val="14"/>
              </w:rPr>
              <w:t>585</w:t>
            </w:r>
            <w:r>
              <w:rPr>
                <w:rFonts w:cs="Arial"/>
                <w:szCs w:val="14"/>
              </w:rPr>
              <w:t>,</w:t>
            </w:r>
            <w:r w:rsidRPr="00C57F78">
              <w:rPr>
                <w:rFonts w:cs="Arial"/>
                <w:szCs w:val="14"/>
              </w:rPr>
              <w:t>802</w:t>
            </w:r>
          </w:p>
        </w:tc>
        <w:tc>
          <w:tcPr>
            <w:tcW w:w="1831" w:type="dxa"/>
            <w:vAlign w:val="center"/>
          </w:tcPr>
          <w:p w14:paraId="30F9139B" w14:textId="77777777" w:rsidR="008B7E19" w:rsidRPr="00F42AB1" w:rsidRDefault="008B7E19" w:rsidP="008B7E19">
            <w:pPr>
              <w:pStyle w:val="08-Tabelageral"/>
              <w:rPr>
                <w:rFonts w:cs="Arial"/>
                <w:szCs w:val="14"/>
              </w:rPr>
            </w:pPr>
            <w:r w:rsidRPr="00C57F78">
              <w:rPr>
                <w:rFonts w:cs="Arial"/>
                <w:szCs w:val="14"/>
              </w:rPr>
              <w:t>127</w:t>
            </w:r>
            <w:r>
              <w:rPr>
                <w:rFonts w:cs="Arial"/>
                <w:szCs w:val="14"/>
              </w:rPr>
              <w:t>,</w:t>
            </w:r>
            <w:r w:rsidRPr="00C57F78">
              <w:rPr>
                <w:rFonts w:cs="Arial"/>
                <w:szCs w:val="14"/>
              </w:rPr>
              <w:t>442</w:t>
            </w:r>
          </w:p>
        </w:tc>
        <w:tc>
          <w:tcPr>
            <w:tcW w:w="1831" w:type="dxa"/>
            <w:vAlign w:val="center"/>
          </w:tcPr>
          <w:p w14:paraId="5E71DC93" w14:textId="77777777" w:rsidR="008B7E19" w:rsidRPr="00F42AB1" w:rsidRDefault="008B7E19" w:rsidP="008B7E19">
            <w:pPr>
              <w:pStyle w:val="08-Tabelageral"/>
              <w:rPr>
                <w:rFonts w:cs="Arial"/>
                <w:szCs w:val="14"/>
              </w:rPr>
            </w:pPr>
            <w:r w:rsidRPr="00C57F78">
              <w:rPr>
                <w:rFonts w:cs="Arial"/>
                <w:szCs w:val="14"/>
              </w:rPr>
              <w:t>2</w:t>
            </w:r>
            <w:r>
              <w:rPr>
                <w:rFonts w:cs="Arial"/>
                <w:szCs w:val="14"/>
              </w:rPr>
              <w:t>,</w:t>
            </w:r>
            <w:r w:rsidRPr="00C57F78">
              <w:rPr>
                <w:rFonts w:cs="Arial"/>
                <w:szCs w:val="14"/>
              </w:rPr>
              <w:t>713</w:t>
            </w:r>
            <w:r>
              <w:rPr>
                <w:rFonts w:cs="Arial"/>
                <w:szCs w:val="14"/>
              </w:rPr>
              <w:t>,</w:t>
            </w:r>
            <w:r w:rsidRPr="00C57F78">
              <w:rPr>
                <w:rFonts w:cs="Arial"/>
                <w:szCs w:val="14"/>
              </w:rPr>
              <w:t>244</w:t>
            </w:r>
          </w:p>
        </w:tc>
      </w:tr>
    </w:tbl>
    <w:p w14:paraId="02DF0853" w14:textId="77777777" w:rsidR="008B7E19" w:rsidRDefault="008B7E19" w:rsidP="008B7E19">
      <w:pPr>
        <w:spacing w:after="0"/>
        <w:jc w:val="right"/>
        <w:rPr>
          <w:rFonts w:cs="Arial"/>
          <w:b/>
          <w:bCs/>
          <w:sz w:val="14"/>
          <w:szCs w:val="14"/>
          <w:lang w:eastAsia="pt-BR"/>
        </w:rPr>
      </w:pPr>
    </w:p>
    <w:p w14:paraId="414F009D" w14:textId="77777777" w:rsidR="008B7E19" w:rsidRPr="00D44604" w:rsidRDefault="008B7E19" w:rsidP="008B7E19">
      <w:pPr>
        <w:spacing w:after="0" w:line="240" w:lineRule="auto"/>
        <w:jc w:val="right"/>
        <w:rPr>
          <w:rFonts w:cs="Arial"/>
          <w:b/>
          <w:sz w:val="14"/>
          <w:lang w:eastAsia="pt-BR"/>
        </w:rPr>
      </w:pPr>
      <w:r w:rsidRPr="00FC6C4B">
        <w:rPr>
          <w:rFonts w:cs="Arial"/>
          <w:b/>
          <w:sz w:val="14"/>
          <w:lang w:eastAsia="pt-BR"/>
        </w:rPr>
        <w:t>R$ thousand</w:t>
      </w:r>
    </w:p>
    <w:tbl>
      <w:tblPr>
        <w:tblW w:w="9854" w:type="dxa"/>
        <w:jc w:val="center"/>
        <w:tblBorders>
          <w:top w:val="single" w:sz="2" w:space="0" w:color="1F4E79" w:themeColor="accent1" w:themeShade="80"/>
          <w:bottom w:val="single" w:sz="2" w:space="0" w:color="1F4E79" w:themeColor="accent1" w:themeShade="80"/>
        </w:tblBorders>
        <w:tblLook w:val="04A0" w:firstRow="1" w:lastRow="0" w:firstColumn="1" w:lastColumn="0" w:noHBand="0" w:noVBand="1"/>
      </w:tblPr>
      <w:tblGrid>
        <w:gridCol w:w="4361"/>
        <w:gridCol w:w="1831"/>
        <w:gridCol w:w="1831"/>
        <w:gridCol w:w="1831"/>
      </w:tblGrid>
      <w:tr w:rsidR="008B7E19" w:rsidRPr="00E00C9B" w14:paraId="0A4DB810" w14:textId="77777777" w:rsidTr="008B7E19">
        <w:trPr>
          <w:trHeight w:val="238"/>
          <w:jc w:val="center"/>
        </w:trPr>
        <w:tc>
          <w:tcPr>
            <w:tcW w:w="4361" w:type="dxa"/>
            <w:tcBorders>
              <w:top w:val="single" w:sz="2" w:space="0" w:color="1F4E79" w:themeColor="accent1" w:themeShade="80"/>
            </w:tcBorders>
            <w:shd w:val="clear" w:color="auto" w:fill="auto"/>
            <w:vAlign w:val="center"/>
          </w:tcPr>
          <w:p w14:paraId="0ED7642D" w14:textId="77777777" w:rsidR="008B7E19" w:rsidRPr="00E00C9B" w:rsidRDefault="008B7E19" w:rsidP="008B7E19">
            <w:pPr>
              <w:pStyle w:val="08-Tabelageral"/>
              <w:jc w:val="left"/>
              <w:rPr>
                <w:rFonts w:cs="Arial"/>
                <w:b/>
                <w:bCs/>
                <w:szCs w:val="14"/>
              </w:rPr>
            </w:pPr>
          </w:p>
        </w:tc>
        <w:tc>
          <w:tcPr>
            <w:tcW w:w="1831" w:type="dxa"/>
            <w:tcBorders>
              <w:top w:val="single" w:sz="2" w:space="0" w:color="1F4E79" w:themeColor="accent1" w:themeShade="80"/>
            </w:tcBorders>
            <w:shd w:val="clear" w:color="auto" w:fill="auto"/>
            <w:vAlign w:val="center"/>
          </w:tcPr>
          <w:p w14:paraId="782AD45B" w14:textId="77777777" w:rsidR="008B7E19" w:rsidRPr="008F5C2C" w:rsidRDefault="008B7E19" w:rsidP="008B7E19">
            <w:pPr>
              <w:pStyle w:val="08-Tabelageral"/>
              <w:rPr>
                <w:rFonts w:cs="Arial"/>
                <w:b/>
                <w:bCs/>
                <w:szCs w:val="14"/>
              </w:rPr>
            </w:pPr>
          </w:p>
        </w:tc>
        <w:tc>
          <w:tcPr>
            <w:tcW w:w="1831" w:type="dxa"/>
            <w:tcBorders>
              <w:top w:val="single" w:sz="2" w:space="0" w:color="1F4E79" w:themeColor="accent1" w:themeShade="80"/>
            </w:tcBorders>
          </w:tcPr>
          <w:p w14:paraId="1E21A83D" w14:textId="77777777" w:rsidR="008B7E19" w:rsidRPr="008F5C2C" w:rsidRDefault="008B7E19" w:rsidP="008B7E19">
            <w:pPr>
              <w:pStyle w:val="08-Tabelageral"/>
              <w:rPr>
                <w:rFonts w:cs="Arial"/>
                <w:b/>
                <w:bCs/>
                <w:szCs w:val="14"/>
              </w:rPr>
            </w:pPr>
            <w:r>
              <w:rPr>
                <w:rFonts w:cs="Arial"/>
                <w:b/>
                <w:bCs/>
                <w:szCs w:val="14"/>
              </w:rPr>
              <w:t>Consolidated</w:t>
            </w:r>
          </w:p>
        </w:tc>
        <w:tc>
          <w:tcPr>
            <w:tcW w:w="1831" w:type="dxa"/>
            <w:tcBorders>
              <w:top w:val="single" w:sz="2" w:space="0" w:color="1F4E79" w:themeColor="accent1" w:themeShade="80"/>
            </w:tcBorders>
          </w:tcPr>
          <w:p w14:paraId="0C3FE555" w14:textId="77777777" w:rsidR="008B7E19" w:rsidRPr="008F5C2C" w:rsidRDefault="008B7E19" w:rsidP="008B7E19">
            <w:pPr>
              <w:pStyle w:val="08-Tabelageral"/>
              <w:rPr>
                <w:rFonts w:cs="Arial"/>
                <w:b/>
                <w:bCs/>
                <w:szCs w:val="14"/>
              </w:rPr>
            </w:pPr>
          </w:p>
        </w:tc>
      </w:tr>
      <w:tr w:rsidR="008B7E19" w:rsidRPr="00E00C9B" w14:paraId="619F3AC5" w14:textId="77777777" w:rsidTr="008B7E19">
        <w:trPr>
          <w:trHeight w:val="238"/>
          <w:jc w:val="center"/>
        </w:trPr>
        <w:tc>
          <w:tcPr>
            <w:tcW w:w="4361" w:type="dxa"/>
            <w:tcBorders>
              <w:top w:val="single" w:sz="2" w:space="0" w:color="1F4E79" w:themeColor="accent1" w:themeShade="80"/>
            </w:tcBorders>
            <w:shd w:val="clear" w:color="auto" w:fill="auto"/>
            <w:vAlign w:val="center"/>
          </w:tcPr>
          <w:p w14:paraId="629AEA8B" w14:textId="77777777" w:rsidR="008B7E19" w:rsidRPr="00E00C9B" w:rsidRDefault="008B7E19" w:rsidP="008B7E19">
            <w:pPr>
              <w:pStyle w:val="08-Tabelageral"/>
              <w:jc w:val="left"/>
              <w:rPr>
                <w:rFonts w:cs="Arial"/>
                <w:b/>
                <w:bCs/>
                <w:szCs w:val="14"/>
              </w:rPr>
            </w:pPr>
          </w:p>
        </w:tc>
        <w:tc>
          <w:tcPr>
            <w:tcW w:w="1831" w:type="dxa"/>
            <w:tcBorders>
              <w:top w:val="single" w:sz="2" w:space="0" w:color="1F4E79" w:themeColor="accent1" w:themeShade="80"/>
            </w:tcBorders>
            <w:shd w:val="clear" w:color="auto" w:fill="auto"/>
            <w:vAlign w:val="center"/>
          </w:tcPr>
          <w:p w14:paraId="6C24C131" w14:textId="77777777" w:rsidR="008B7E19" w:rsidRPr="008F5C2C" w:rsidRDefault="008B7E19" w:rsidP="008B7E19">
            <w:pPr>
              <w:pStyle w:val="08-Tabelageral"/>
              <w:rPr>
                <w:rFonts w:cs="Arial"/>
                <w:b/>
                <w:bCs/>
                <w:szCs w:val="14"/>
              </w:rPr>
            </w:pPr>
          </w:p>
        </w:tc>
        <w:tc>
          <w:tcPr>
            <w:tcW w:w="1831" w:type="dxa"/>
            <w:tcBorders>
              <w:top w:val="single" w:sz="2" w:space="0" w:color="1F4E79" w:themeColor="accent1" w:themeShade="80"/>
            </w:tcBorders>
          </w:tcPr>
          <w:p w14:paraId="591467D1" w14:textId="77777777" w:rsidR="008B7E19" w:rsidRPr="008F5C2C" w:rsidRDefault="008B7E19" w:rsidP="008B7E19">
            <w:pPr>
              <w:pStyle w:val="08-Tabelageral"/>
              <w:rPr>
                <w:rFonts w:cs="Arial"/>
                <w:b/>
                <w:bCs/>
                <w:szCs w:val="14"/>
              </w:rPr>
            </w:pPr>
            <w:r>
              <w:rPr>
                <w:rFonts w:cs="Arial"/>
                <w:b/>
                <w:bCs/>
                <w:szCs w:val="14"/>
              </w:rPr>
              <w:t>2</w:t>
            </w:r>
            <w:r>
              <w:rPr>
                <w:rFonts w:cs="Arial"/>
                <w:b/>
                <w:bCs/>
                <w:szCs w:val="14"/>
                <w:vertAlign w:val="superscript"/>
              </w:rPr>
              <w:t>nd</w:t>
            </w:r>
            <w:r w:rsidRPr="003E392D">
              <w:rPr>
                <w:rFonts w:cs="Arial"/>
                <w:b/>
                <w:bCs/>
                <w:szCs w:val="14"/>
              </w:rPr>
              <w:t xml:space="preserve"> Quarter 202</w:t>
            </w:r>
            <w:r>
              <w:rPr>
                <w:rFonts w:cs="Arial"/>
                <w:b/>
                <w:bCs/>
                <w:szCs w:val="14"/>
              </w:rPr>
              <w:t>2</w:t>
            </w:r>
          </w:p>
        </w:tc>
        <w:tc>
          <w:tcPr>
            <w:tcW w:w="1831" w:type="dxa"/>
            <w:tcBorders>
              <w:top w:val="single" w:sz="2" w:space="0" w:color="1F4E79" w:themeColor="accent1" w:themeShade="80"/>
            </w:tcBorders>
          </w:tcPr>
          <w:p w14:paraId="7EDF8FDE" w14:textId="77777777" w:rsidR="008B7E19" w:rsidRPr="008F5C2C" w:rsidRDefault="008B7E19" w:rsidP="008B7E19">
            <w:pPr>
              <w:pStyle w:val="08-Tabelageral"/>
              <w:rPr>
                <w:rFonts w:cs="Arial"/>
                <w:b/>
                <w:bCs/>
                <w:szCs w:val="14"/>
              </w:rPr>
            </w:pPr>
          </w:p>
        </w:tc>
      </w:tr>
      <w:tr w:rsidR="008B7E19" w:rsidRPr="00E00C9B" w14:paraId="0FC8A1EB" w14:textId="77777777" w:rsidTr="008B7E19">
        <w:trPr>
          <w:trHeight w:val="238"/>
          <w:jc w:val="center"/>
        </w:trPr>
        <w:tc>
          <w:tcPr>
            <w:tcW w:w="4361" w:type="dxa"/>
            <w:tcBorders>
              <w:top w:val="single" w:sz="2" w:space="0" w:color="1F4E79" w:themeColor="accent1" w:themeShade="80"/>
            </w:tcBorders>
            <w:shd w:val="clear" w:color="auto" w:fill="auto"/>
            <w:vAlign w:val="center"/>
          </w:tcPr>
          <w:p w14:paraId="349E92F9" w14:textId="77777777" w:rsidR="008B7E19" w:rsidRPr="00E00C9B" w:rsidRDefault="008B7E19" w:rsidP="008B7E19">
            <w:pPr>
              <w:pStyle w:val="08-Tabelageral"/>
              <w:jc w:val="left"/>
              <w:rPr>
                <w:rFonts w:cs="Arial"/>
                <w:b/>
                <w:bCs/>
                <w:szCs w:val="14"/>
              </w:rPr>
            </w:pPr>
          </w:p>
        </w:tc>
        <w:tc>
          <w:tcPr>
            <w:tcW w:w="1831" w:type="dxa"/>
            <w:tcBorders>
              <w:top w:val="single" w:sz="2" w:space="0" w:color="1F4E79" w:themeColor="accent1" w:themeShade="80"/>
            </w:tcBorders>
            <w:shd w:val="clear" w:color="auto" w:fill="auto"/>
            <w:vAlign w:val="center"/>
          </w:tcPr>
          <w:p w14:paraId="42793A84" w14:textId="77777777" w:rsidR="008B7E19" w:rsidRPr="008F5C2C" w:rsidRDefault="008B7E19" w:rsidP="008B7E19">
            <w:pPr>
              <w:pStyle w:val="08-Tabelageral"/>
              <w:rPr>
                <w:rFonts w:cs="Arial"/>
                <w:b/>
                <w:bCs/>
                <w:szCs w:val="14"/>
              </w:rPr>
            </w:pPr>
            <w:r>
              <w:rPr>
                <w:rFonts w:cs="Arial"/>
                <w:b/>
                <w:bCs/>
                <w:szCs w:val="14"/>
              </w:rPr>
              <w:t>Original report</w:t>
            </w:r>
          </w:p>
        </w:tc>
        <w:tc>
          <w:tcPr>
            <w:tcW w:w="1831" w:type="dxa"/>
            <w:tcBorders>
              <w:top w:val="single" w:sz="2" w:space="0" w:color="1F4E79" w:themeColor="accent1" w:themeShade="80"/>
            </w:tcBorders>
          </w:tcPr>
          <w:p w14:paraId="3FC6AE8C" w14:textId="77777777" w:rsidR="008B7E19" w:rsidRPr="008F5C2C" w:rsidRDefault="008B7E19" w:rsidP="008B7E19">
            <w:pPr>
              <w:pStyle w:val="08-Tabelageral"/>
              <w:rPr>
                <w:rFonts w:cs="Arial"/>
                <w:b/>
                <w:bCs/>
                <w:szCs w:val="14"/>
              </w:rPr>
            </w:pPr>
            <w:r>
              <w:rPr>
                <w:rFonts w:cs="Arial"/>
                <w:b/>
                <w:bCs/>
                <w:szCs w:val="14"/>
              </w:rPr>
              <w:t>Adjustments</w:t>
            </w:r>
          </w:p>
        </w:tc>
        <w:tc>
          <w:tcPr>
            <w:tcW w:w="1831" w:type="dxa"/>
            <w:tcBorders>
              <w:top w:val="single" w:sz="2" w:space="0" w:color="1F4E79" w:themeColor="accent1" w:themeShade="80"/>
            </w:tcBorders>
          </w:tcPr>
          <w:p w14:paraId="44230D79" w14:textId="77777777" w:rsidR="008B7E19" w:rsidRPr="008F5C2C" w:rsidRDefault="008B7E19" w:rsidP="008B7E19">
            <w:pPr>
              <w:pStyle w:val="08-Tabelageral"/>
              <w:rPr>
                <w:rFonts w:cs="Arial"/>
                <w:b/>
                <w:bCs/>
                <w:szCs w:val="14"/>
              </w:rPr>
            </w:pPr>
            <w:r>
              <w:rPr>
                <w:rFonts w:cs="Arial"/>
                <w:b/>
                <w:bCs/>
                <w:szCs w:val="14"/>
              </w:rPr>
              <w:t>Restated balances</w:t>
            </w:r>
          </w:p>
        </w:tc>
      </w:tr>
      <w:tr w:rsidR="008B7E19" w:rsidRPr="004A53AE" w14:paraId="48EF4971" w14:textId="77777777" w:rsidTr="008B7E19">
        <w:trPr>
          <w:trHeight w:val="238"/>
          <w:jc w:val="center"/>
        </w:trPr>
        <w:tc>
          <w:tcPr>
            <w:tcW w:w="4361" w:type="dxa"/>
            <w:tcBorders>
              <w:top w:val="single" w:sz="2" w:space="0" w:color="1F4E79" w:themeColor="accent1" w:themeShade="80"/>
            </w:tcBorders>
            <w:shd w:val="clear" w:color="auto" w:fill="auto"/>
            <w:vAlign w:val="center"/>
          </w:tcPr>
          <w:p w14:paraId="1EF86860" w14:textId="77777777" w:rsidR="008B7E19" w:rsidRPr="00C33C38" w:rsidRDefault="008B7E19" w:rsidP="008B7E19">
            <w:pPr>
              <w:pStyle w:val="08-Tabelageral"/>
              <w:jc w:val="left"/>
              <w:rPr>
                <w:rFonts w:cs="Arial"/>
                <w:szCs w:val="14"/>
              </w:rPr>
            </w:pPr>
            <w:r w:rsidRPr="00C33C38">
              <w:rPr>
                <w:rFonts w:cs="Arial"/>
                <w:szCs w:val="14"/>
              </w:rPr>
              <w:t>Operating Income</w:t>
            </w:r>
          </w:p>
        </w:tc>
        <w:tc>
          <w:tcPr>
            <w:tcW w:w="1831" w:type="dxa"/>
            <w:tcBorders>
              <w:top w:val="single" w:sz="2" w:space="0" w:color="1F4E79" w:themeColor="accent1" w:themeShade="80"/>
            </w:tcBorders>
            <w:shd w:val="clear" w:color="auto" w:fill="auto"/>
            <w:vAlign w:val="center"/>
          </w:tcPr>
          <w:p w14:paraId="3AC8E099" w14:textId="77777777" w:rsidR="008B7E19" w:rsidRPr="004A53AE" w:rsidRDefault="008B7E19" w:rsidP="008B7E19">
            <w:pPr>
              <w:pStyle w:val="08-Tabelageral"/>
              <w:rPr>
                <w:rFonts w:cs="Arial"/>
                <w:b/>
                <w:bCs/>
                <w:szCs w:val="14"/>
              </w:rPr>
            </w:pPr>
            <w:r w:rsidRPr="00C57F78">
              <w:rPr>
                <w:rFonts w:cs="Arial"/>
                <w:szCs w:val="14"/>
              </w:rPr>
              <w:t>1</w:t>
            </w:r>
            <w:r>
              <w:rPr>
                <w:rFonts w:cs="Arial"/>
                <w:szCs w:val="14"/>
              </w:rPr>
              <w:t>,</w:t>
            </w:r>
            <w:r w:rsidRPr="00C57F78">
              <w:rPr>
                <w:rFonts w:cs="Arial"/>
                <w:szCs w:val="14"/>
              </w:rPr>
              <w:t>716</w:t>
            </w:r>
            <w:r>
              <w:rPr>
                <w:rFonts w:cs="Arial"/>
                <w:szCs w:val="14"/>
              </w:rPr>
              <w:t>,</w:t>
            </w:r>
            <w:r w:rsidRPr="00C57F78">
              <w:rPr>
                <w:rFonts w:cs="Arial"/>
                <w:szCs w:val="14"/>
              </w:rPr>
              <w:t>665</w:t>
            </w:r>
          </w:p>
        </w:tc>
        <w:tc>
          <w:tcPr>
            <w:tcW w:w="1831" w:type="dxa"/>
            <w:tcBorders>
              <w:top w:val="single" w:sz="2" w:space="0" w:color="1F4E79" w:themeColor="accent1" w:themeShade="80"/>
            </w:tcBorders>
            <w:vAlign w:val="center"/>
          </w:tcPr>
          <w:p w14:paraId="475D307D" w14:textId="77777777" w:rsidR="008B7E19" w:rsidRPr="004A53AE" w:rsidRDefault="008B7E19" w:rsidP="008B7E19">
            <w:pPr>
              <w:pStyle w:val="08-Tabelageral"/>
              <w:rPr>
                <w:rFonts w:cs="Arial"/>
                <w:b/>
                <w:bCs/>
                <w:szCs w:val="14"/>
              </w:rPr>
            </w:pPr>
            <w:r w:rsidRPr="00C57F78">
              <w:rPr>
                <w:rFonts w:cs="Arial"/>
                <w:szCs w:val="14"/>
              </w:rPr>
              <w:t>97</w:t>
            </w:r>
            <w:r>
              <w:rPr>
                <w:rFonts w:cs="Arial"/>
                <w:szCs w:val="14"/>
              </w:rPr>
              <w:t>,</w:t>
            </w:r>
            <w:r w:rsidRPr="00C57F78">
              <w:rPr>
                <w:rFonts w:cs="Arial"/>
                <w:szCs w:val="14"/>
              </w:rPr>
              <w:t>356</w:t>
            </w:r>
          </w:p>
        </w:tc>
        <w:tc>
          <w:tcPr>
            <w:tcW w:w="1831" w:type="dxa"/>
            <w:tcBorders>
              <w:top w:val="single" w:sz="2" w:space="0" w:color="1F4E79" w:themeColor="accent1" w:themeShade="80"/>
            </w:tcBorders>
            <w:vAlign w:val="center"/>
          </w:tcPr>
          <w:p w14:paraId="5D19FC42" w14:textId="77777777" w:rsidR="008B7E19" w:rsidRPr="004A53AE" w:rsidRDefault="008B7E19" w:rsidP="008B7E19">
            <w:pPr>
              <w:pStyle w:val="08-Tabelageral"/>
              <w:rPr>
                <w:rFonts w:cs="Arial"/>
                <w:b/>
                <w:bCs/>
                <w:szCs w:val="14"/>
              </w:rPr>
            </w:pPr>
            <w:r w:rsidRPr="00C57F78">
              <w:rPr>
                <w:rFonts w:cs="Arial"/>
                <w:szCs w:val="14"/>
              </w:rPr>
              <w:t>1</w:t>
            </w:r>
            <w:r>
              <w:rPr>
                <w:rFonts w:cs="Arial"/>
                <w:szCs w:val="14"/>
              </w:rPr>
              <w:t>,</w:t>
            </w:r>
            <w:r w:rsidRPr="00C57F78">
              <w:rPr>
                <w:rFonts w:cs="Arial"/>
                <w:szCs w:val="14"/>
              </w:rPr>
              <w:t>814</w:t>
            </w:r>
            <w:r>
              <w:rPr>
                <w:rFonts w:cs="Arial"/>
                <w:szCs w:val="14"/>
              </w:rPr>
              <w:t>,</w:t>
            </w:r>
            <w:r w:rsidRPr="00C57F78">
              <w:rPr>
                <w:rFonts w:cs="Arial"/>
                <w:szCs w:val="14"/>
              </w:rPr>
              <w:t>021</w:t>
            </w:r>
          </w:p>
        </w:tc>
      </w:tr>
      <w:tr w:rsidR="008B7E19" w:rsidRPr="004A53AE" w14:paraId="702778F5" w14:textId="77777777" w:rsidTr="008B7E19">
        <w:trPr>
          <w:trHeight w:val="238"/>
          <w:jc w:val="center"/>
        </w:trPr>
        <w:tc>
          <w:tcPr>
            <w:tcW w:w="4361" w:type="dxa"/>
            <w:shd w:val="clear" w:color="auto" w:fill="auto"/>
            <w:vAlign w:val="center"/>
          </w:tcPr>
          <w:p w14:paraId="1EE1493F" w14:textId="77777777" w:rsidR="008B7E19" w:rsidRPr="00C33C38" w:rsidRDefault="008B7E19" w:rsidP="008B7E19">
            <w:pPr>
              <w:pStyle w:val="08-Tabelageral"/>
              <w:jc w:val="left"/>
              <w:rPr>
                <w:rFonts w:cs="Arial"/>
                <w:szCs w:val="14"/>
              </w:rPr>
            </w:pPr>
            <w:r w:rsidRPr="00C33C38">
              <w:rPr>
                <w:rFonts w:cs="Arial"/>
                <w:szCs w:val="14"/>
              </w:rPr>
              <w:t>Equity income</w:t>
            </w:r>
          </w:p>
        </w:tc>
        <w:tc>
          <w:tcPr>
            <w:tcW w:w="1831" w:type="dxa"/>
            <w:shd w:val="clear" w:color="auto" w:fill="auto"/>
            <w:vAlign w:val="center"/>
          </w:tcPr>
          <w:p w14:paraId="43C3BD85" w14:textId="77777777" w:rsidR="008B7E19" w:rsidRPr="004A53AE" w:rsidRDefault="008B7E19" w:rsidP="008B7E19">
            <w:pPr>
              <w:pStyle w:val="08-Tabelageral"/>
              <w:rPr>
                <w:rFonts w:cs="Arial"/>
                <w:b/>
                <w:bCs/>
                <w:szCs w:val="14"/>
              </w:rPr>
            </w:pPr>
            <w:r w:rsidRPr="00C57F78">
              <w:rPr>
                <w:rFonts w:cs="Arial"/>
                <w:szCs w:val="14"/>
              </w:rPr>
              <w:t>767</w:t>
            </w:r>
            <w:r>
              <w:rPr>
                <w:rFonts w:cs="Arial"/>
                <w:szCs w:val="14"/>
              </w:rPr>
              <w:t>,</w:t>
            </w:r>
            <w:r w:rsidRPr="00C57F78">
              <w:rPr>
                <w:rFonts w:cs="Arial"/>
                <w:szCs w:val="14"/>
              </w:rPr>
              <w:t>383</w:t>
            </w:r>
          </w:p>
        </w:tc>
        <w:tc>
          <w:tcPr>
            <w:tcW w:w="1831" w:type="dxa"/>
            <w:vAlign w:val="center"/>
          </w:tcPr>
          <w:p w14:paraId="474A63AB" w14:textId="77777777" w:rsidR="008B7E19" w:rsidRPr="004A53AE" w:rsidRDefault="008B7E19" w:rsidP="008B7E19">
            <w:pPr>
              <w:pStyle w:val="08-Tabelageral"/>
              <w:rPr>
                <w:rFonts w:cs="Arial"/>
                <w:b/>
                <w:bCs/>
                <w:szCs w:val="14"/>
              </w:rPr>
            </w:pPr>
            <w:r w:rsidRPr="00C57F78">
              <w:rPr>
                <w:rFonts w:cs="Arial"/>
                <w:szCs w:val="14"/>
              </w:rPr>
              <w:t>97</w:t>
            </w:r>
            <w:r>
              <w:rPr>
                <w:rFonts w:cs="Arial"/>
                <w:szCs w:val="14"/>
              </w:rPr>
              <w:t>,</w:t>
            </w:r>
            <w:r w:rsidRPr="00C57F78">
              <w:rPr>
                <w:rFonts w:cs="Arial"/>
                <w:szCs w:val="14"/>
              </w:rPr>
              <w:t>356</w:t>
            </w:r>
          </w:p>
        </w:tc>
        <w:tc>
          <w:tcPr>
            <w:tcW w:w="1831" w:type="dxa"/>
            <w:vAlign w:val="center"/>
          </w:tcPr>
          <w:p w14:paraId="0BDE747C" w14:textId="77777777" w:rsidR="008B7E19" w:rsidRPr="004A53AE" w:rsidRDefault="008B7E19" w:rsidP="008B7E19">
            <w:pPr>
              <w:pStyle w:val="08-Tabelageral"/>
              <w:rPr>
                <w:rFonts w:cs="Arial"/>
                <w:b/>
                <w:bCs/>
                <w:szCs w:val="14"/>
              </w:rPr>
            </w:pPr>
            <w:r w:rsidRPr="00C57F78">
              <w:rPr>
                <w:rFonts w:cs="Arial"/>
                <w:szCs w:val="14"/>
              </w:rPr>
              <w:t>864</w:t>
            </w:r>
            <w:r>
              <w:rPr>
                <w:rFonts w:cs="Arial"/>
                <w:szCs w:val="14"/>
              </w:rPr>
              <w:t>,</w:t>
            </w:r>
            <w:r w:rsidRPr="00C57F78">
              <w:rPr>
                <w:rFonts w:cs="Arial"/>
                <w:szCs w:val="14"/>
              </w:rPr>
              <w:t>739</w:t>
            </w:r>
          </w:p>
        </w:tc>
      </w:tr>
      <w:tr w:rsidR="008B7E19" w:rsidRPr="004A53AE" w14:paraId="60F13787" w14:textId="77777777" w:rsidTr="008B7E19">
        <w:trPr>
          <w:trHeight w:val="238"/>
          <w:jc w:val="center"/>
        </w:trPr>
        <w:tc>
          <w:tcPr>
            <w:tcW w:w="4361" w:type="dxa"/>
            <w:shd w:val="clear" w:color="auto" w:fill="auto"/>
            <w:vAlign w:val="center"/>
          </w:tcPr>
          <w:p w14:paraId="35584CE2" w14:textId="77777777" w:rsidR="008B7E19" w:rsidRPr="00C33C38" w:rsidRDefault="008B7E19" w:rsidP="008B7E19">
            <w:pPr>
              <w:pStyle w:val="08-Tabelageral"/>
              <w:jc w:val="left"/>
              <w:rPr>
                <w:rFonts w:cs="Arial"/>
                <w:szCs w:val="14"/>
              </w:rPr>
            </w:pPr>
            <w:r w:rsidRPr="00C33C38">
              <w:rPr>
                <w:rFonts w:cs="Arial"/>
                <w:szCs w:val="14"/>
              </w:rPr>
              <w:t>Net commissions income</w:t>
            </w:r>
          </w:p>
        </w:tc>
        <w:tc>
          <w:tcPr>
            <w:tcW w:w="1831" w:type="dxa"/>
            <w:shd w:val="clear" w:color="auto" w:fill="auto"/>
            <w:vAlign w:val="center"/>
          </w:tcPr>
          <w:p w14:paraId="178A59F0" w14:textId="77777777" w:rsidR="008B7E19" w:rsidRPr="004A53AE" w:rsidRDefault="008B7E19" w:rsidP="008B7E19">
            <w:pPr>
              <w:pStyle w:val="08-Tabelageral"/>
              <w:rPr>
                <w:rFonts w:cs="Arial"/>
                <w:b/>
                <w:bCs/>
                <w:szCs w:val="14"/>
              </w:rPr>
            </w:pPr>
            <w:r w:rsidRPr="00C57F78">
              <w:rPr>
                <w:rFonts w:cs="Arial"/>
                <w:szCs w:val="14"/>
              </w:rPr>
              <w:t>949</w:t>
            </w:r>
            <w:r>
              <w:rPr>
                <w:rFonts w:cs="Arial"/>
                <w:szCs w:val="14"/>
              </w:rPr>
              <w:t>,</w:t>
            </w:r>
            <w:r w:rsidRPr="00C57F78">
              <w:rPr>
                <w:rFonts w:cs="Arial"/>
                <w:szCs w:val="14"/>
              </w:rPr>
              <w:t>282</w:t>
            </w:r>
          </w:p>
        </w:tc>
        <w:tc>
          <w:tcPr>
            <w:tcW w:w="1831" w:type="dxa"/>
            <w:vAlign w:val="center"/>
          </w:tcPr>
          <w:p w14:paraId="31A90BE1" w14:textId="77777777" w:rsidR="008B7E19" w:rsidRPr="004A53AE" w:rsidRDefault="008B7E19" w:rsidP="008B7E19">
            <w:pPr>
              <w:pStyle w:val="08-Tabelageral"/>
              <w:rPr>
                <w:rFonts w:cs="Arial"/>
                <w:b/>
                <w:bCs/>
                <w:szCs w:val="14"/>
              </w:rPr>
            </w:pPr>
            <w:r w:rsidRPr="00C57F78">
              <w:rPr>
                <w:rFonts w:cs="Arial"/>
                <w:szCs w:val="14"/>
              </w:rPr>
              <w:t>--</w:t>
            </w:r>
          </w:p>
        </w:tc>
        <w:tc>
          <w:tcPr>
            <w:tcW w:w="1831" w:type="dxa"/>
            <w:vAlign w:val="center"/>
          </w:tcPr>
          <w:p w14:paraId="3D39795A" w14:textId="77777777" w:rsidR="008B7E19" w:rsidRPr="004A53AE" w:rsidRDefault="008B7E19" w:rsidP="008B7E19">
            <w:pPr>
              <w:pStyle w:val="08-Tabelageral"/>
              <w:rPr>
                <w:rFonts w:cs="Arial"/>
                <w:b/>
                <w:bCs/>
                <w:szCs w:val="14"/>
              </w:rPr>
            </w:pPr>
            <w:r w:rsidRPr="00C57F78">
              <w:rPr>
                <w:rFonts w:cs="Arial"/>
                <w:szCs w:val="14"/>
              </w:rPr>
              <w:t>949</w:t>
            </w:r>
            <w:r>
              <w:rPr>
                <w:rFonts w:cs="Arial"/>
                <w:szCs w:val="14"/>
              </w:rPr>
              <w:t>,</w:t>
            </w:r>
            <w:r w:rsidRPr="00C57F78">
              <w:rPr>
                <w:rFonts w:cs="Arial"/>
                <w:szCs w:val="14"/>
              </w:rPr>
              <w:t>282</w:t>
            </w:r>
          </w:p>
        </w:tc>
      </w:tr>
      <w:tr w:rsidR="008B7E19" w:rsidRPr="004A53AE" w14:paraId="6DADB6D1" w14:textId="77777777" w:rsidTr="008B7E19">
        <w:trPr>
          <w:trHeight w:val="238"/>
          <w:jc w:val="center"/>
        </w:trPr>
        <w:tc>
          <w:tcPr>
            <w:tcW w:w="4361" w:type="dxa"/>
            <w:shd w:val="clear" w:color="auto" w:fill="auto"/>
            <w:vAlign w:val="center"/>
          </w:tcPr>
          <w:p w14:paraId="20EC1AF9" w14:textId="77777777" w:rsidR="008B7E19" w:rsidRPr="00C33C38" w:rsidRDefault="008B7E19" w:rsidP="008B7E19">
            <w:pPr>
              <w:pStyle w:val="08-Tabelageral"/>
              <w:jc w:val="left"/>
              <w:rPr>
                <w:rFonts w:cs="Arial"/>
                <w:szCs w:val="14"/>
              </w:rPr>
            </w:pPr>
            <w:r w:rsidRPr="00C33C38">
              <w:rPr>
                <w:rFonts w:cs="Arial"/>
                <w:szCs w:val="14"/>
              </w:rPr>
              <w:t>Cost of Services Provided</w:t>
            </w:r>
          </w:p>
        </w:tc>
        <w:tc>
          <w:tcPr>
            <w:tcW w:w="1831" w:type="dxa"/>
            <w:shd w:val="clear" w:color="auto" w:fill="auto"/>
            <w:vAlign w:val="center"/>
          </w:tcPr>
          <w:p w14:paraId="1CD38FA3" w14:textId="77777777" w:rsidR="008B7E19" w:rsidRPr="004A53AE" w:rsidRDefault="008B7E19" w:rsidP="008B7E19">
            <w:pPr>
              <w:pStyle w:val="08-Tabelageral"/>
              <w:rPr>
                <w:rFonts w:cs="Arial"/>
                <w:b/>
                <w:bCs/>
                <w:szCs w:val="14"/>
              </w:rPr>
            </w:pPr>
            <w:r w:rsidRPr="00C57F78">
              <w:rPr>
                <w:rFonts w:cs="Arial"/>
                <w:szCs w:val="14"/>
              </w:rPr>
              <w:t>(53</w:t>
            </w:r>
            <w:r>
              <w:rPr>
                <w:rFonts w:cs="Arial"/>
                <w:szCs w:val="14"/>
              </w:rPr>
              <w:t>,</w:t>
            </w:r>
            <w:r w:rsidRPr="00C57F78">
              <w:rPr>
                <w:rFonts w:cs="Arial"/>
                <w:szCs w:val="14"/>
              </w:rPr>
              <w:t>763)</w:t>
            </w:r>
          </w:p>
        </w:tc>
        <w:tc>
          <w:tcPr>
            <w:tcW w:w="1831" w:type="dxa"/>
            <w:vAlign w:val="center"/>
          </w:tcPr>
          <w:p w14:paraId="7B3A1722" w14:textId="77777777" w:rsidR="008B7E19" w:rsidRPr="004A53AE" w:rsidRDefault="008B7E19" w:rsidP="008B7E19">
            <w:pPr>
              <w:pStyle w:val="08-Tabelageral"/>
              <w:rPr>
                <w:rFonts w:cs="Arial"/>
                <w:b/>
                <w:bCs/>
                <w:szCs w:val="14"/>
              </w:rPr>
            </w:pPr>
            <w:r w:rsidRPr="00C57F78">
              <w:rPr>
                <w:rFonts w:cs="Arial"/>
                <w:szCs w:val="14"/>
              </w:rPr>
              <w:t>--</w:t>
            </w:r>
          </w:p>
        </w:tc>
        <w:tc>
          <w:tcPr>
            <w:tcW w:w="1831" w:type="dxa"/>
            <w:vAlign w:val="center"/>
          </w:tcPr>
          <w:p w14:paraId="7E967905" w14:textId="77777777" w:rsidR="008B7E19" w:rsidRPr="004A53AE" w:rsidRDefault="008B7E19" w:rsidP="008B7E19">
            <w:pPr>
              <w:pStyle w:val="08-Tabelageral"/>
              <w:rPr>
                <w:rFonts w:cs="Arial"/>
                <w:b/>
                <w:bCs/>
                <w:szCs w:val="14"/>
              </w:rPr>
            </w:pPr>
            <w:r w:rsidRPr="00C57F78">
              <w:rPr>
                <w:rFonts w:cs="Arial"/>
                <w:szCs w:val="14"/>
              </w:rPr>
              <w:t>(53</w:t>
            </w:r>
            <w:r>
              <w:rPr>
                <w:rFonts w:cs="Arial"/>
                <w:szCs w:val="14"/>
              </w:rPr>
              <w:t>,</w:t>
            </w:r>
            <w:r w:rsidRPr="00C57F78">
              <w:rPr>
                <w:rFonts w:cs="Arial"/>
                <w:szCs w:val="14"/>
              </w:rPr>
              <w:t>763)</w:t>
            </w:r>
          </w:p>
        </w:tc>
      </w:tr>
      <w:tr w:rsidR="008B7E19" w:rsidRPr="004A53AE" w14:paraId="1A05A3F6" w14:textId="77777777" w:rsidTr="008B7E19">
        <w:trPr>
          <w:trHeight w:val="238"/>
          <w:jc w:val="center"/>
        </w:trPr>
        <w:tc>
          <w:tcPr>
            <w:tcW w:w="4361" w:type="dxa"/>
            <w:shd w:val="clear" w:color="auto" w:fill="auto"/>
            <w:vAlign w:val="center"/>
          </w:tcPr>
          <w:p w14:paraId="3C4B4F76" w14:textId="77777777" w:rsidR="008B7E19" w:rsidRPr="00C33C38" w:rsidRDefault="008B7E19" w:rsidP="008B7E19">
            <w:pPr>
              <w:pStyle w:val="08-Tabelageral"/>
              <w:jc w:val="left"/>
              <w:rPr>
                <w:rFonts w:cs="Arial"/>
                <w:szCs w:val="14"/>
              </w:rPr>
            </w:pPr>
            <w:r w:rsidRPr="00C33C38">
              <w:rPr>
                <w:rFonts w:cs="Arial"/>
                <w:szCs w:val="14"/>
              </w:rPr>
              <w:t>Gross Profit</w:t>
            </w:r>
          </w:p>
        </w:tc>
        <w:tc>
          <w:tcPr>
            <w:tcW w:w="1831" w:type="dxa"/>
            <w:shd w:val="clear" w:color="auto" w:fill="auto"/>
            <w:vAlign w:val="center"/>
          </w:tcPr>
          <w:p w14:paraId="30342C1F" w14:textId="77777777" w:rsidR="008B7E19" w:rsidRPr="004A53AE" w:rsidRDefault="008B7E19" w:rsidP="008B7E19">
            <w:pPr>
              <w:pStyle w:val="08-Tabelageral"/>
              <w:rPr>
                <w:rFonts w:cs="Arial"/>
                <w:b/>
                <w:bCs/>
                <w:szCs w:val="14"/>
              </w:rPr>
            </w:pPr>
            <w:r w:rsidRPr="00C57F78">
              <w:rPr>
                <w:rFonts w:cs="Arial"/>
                <w:szCs w:val="14"/>
              </w:rPr>
              <w:t>1</w:t>
            </w:r>
            <w:r>
              <w:rPr>
                <w:rFonts w:cs="Arial"/>
                <w:szCs w:val="14"/>
              </w:rPr>
              <w:t>,</w:t>
            </w:r>
            <w:r w:rsidRPr="00C57F78">
              <w:rPr>
                <w:rFonts w:cs="Arial"/>
                <w:szCs w:val="14"/>
              </w:rPr>
              <w:t>662</w:t>
            </w:r>
            <w:r>
              <w:rPr>
                <w:rFonts w:cs="Arial"/>
                <w:szCs w:val="14"/>
              </w:rPr>
              <w:t>,</w:t>
            </w:r>
            <w:r w:rsidRPr="00C57F78">
              <w:rPr>
                <w:rFonts w:cs="Arial"/>
                <w:szCs w:val="14"/>
              </w:rPr>
              <w:t>902</w:t>
            </w:r>
          </w:p>
        </w:tc>
        <w:tc>
          <w:tcPr>
            <w:tcW w:w="1831" w:type="dxa"/>
            <w:vAlign w:val="center"/>
          </w:tcPr>
          <w:p w14:paraId="5C8D7B53" w14:textId="77777777" w:rsidR="008B7E19" w:rsidRPr="004A53AE" w:rsidRDefault="008B7E19" w:rsidP="008B7E19">
            <w:pPr>
              <w:pStyle w:val="08-Tabelageral"/>
              <w:rPr>
                <w:rFonts w:cs="Arial"/>
                <w:b/>
                <w:bCs/>
                <w:szCs w:val="14"/>
              </w:rPr>
            </w:pPr>
            <w:r w:rsidRPr="00C57F78">
              <w:rPr>
                <w:rFonts w:cs="Arial"/>
                <w:szCs w:val="14"/>
              </w:rPr>
              <w:t>97</w:t>
            </w:r>
            <w:r>
              <w:rPr>
                <w:rFonts w:cs="Arial"/>
                <w:szCs w:val="14"/>
              </w:rPr>
              <w:t>,</w:t>
            </w:r>
            <w:r w:rsidRPr="00C57F78">
              <w:rPr>
                <w:rFonts w:cs="Arial"/>
                <w:szCs w:val="14"/>
              </w:rPr>
              <w:t>356</w:t>
            </w:r>
          </w:p>
        </w:tc>
        <w:tc>
          <w:tcPr>
            <w:tcW w:w="1831" w:type="dxa"/>
            <w:vAlign w:val="center"/>
          </w:tcPr>
          <w:p w14:paraId="3AC105BB" w14:textId="77777777" w:rsidR="008B7E19" w:rsidRPr="004A53AE" w:rsidRDefault="008B7E19" w:rsidP="008B7E19">
            <w:pPr>
              <w:pStyle w:val="08-Tabelageral"/>
              <w:rPr>
                <w:rFonts w:cs="Arial"/>
                <w:b/>
                <w:bCs/>
                <w:szCs w:val="14"/>
              </w:rPr>
            </w:pPr>
            <w:r w:rsidRPr="00C57F78">
              <w:rPr>
                <w:rFonts w:cs="Arial"/>
                <w:szCs w:val="14"/>
              </w:rPr>
              <w:t>1</w:t>
            </w:r>
            <w:r>
              <w:rPr>
                <w:rFonts w:cs="Arial"/>
                <w:szCs w:val="14"/>
              </w:rPr>
              <w:t>,</w:t>
            </w:r>
            <w:r w:rsidRPr="00C57F78">
              <w:rPr>
                <w:rFonts w:cs="Arial"/>
                <w:szCs w:val="14"/>
              </w:rPr>
              <w:t>760</w:t>
            </w:r>
            <w:r>
              <w:rPr>
                <w:rFonts w:cs="Arial"/>
                <w:szCs w:val="14"/>
              </w:rPr>
              <w:t>,</w:t>
            </w:r>
            <w:r w:rsidRPr="00C57F78">
              <w:rPr>
                <w:rFonts w:cs="Arial"/>
                <w:szCs w:val="14"/>
              </w:rPr>
              <w:t>258</w:t>
            </w:r>
          </w:p>
        </w:tc>
      </w:tr>
      <w:tr w:rsidR="008B7E19" w:rsidRPr="004A53AE" w14:paraId="32B7534F" w14:textId="77777777" w:rsidTr="008B7E19">
        <w:trPr>
          <w:trHeight w:val="238"/>
          <w:jc w:val="center"/>
        </w:trPr>
        <w:tc>
          <w:tcPr>
            <w:tcW w:w="4361" w:type="dxa"/>
            <w:shd w:val="clear" w:color="auto" w:fill="auto"/>
            <w:vAlign w:val="center"/>
          </w:tcPr>
          <w:p w14:paraId="656FE3B7" w14:textId="77777777" w:rsidR="008B7E19" w:rsidRPr="00C33C38" w:rsidRDefault="008B7E19" w:rsidP="008B7E19">
            <w:pPr>
              <w:pStyle w:val="08-Tabelageral"/>
              <w:jc w:val="left"/>
              <w:rPr>
                <w:rFonts w:cs="Arial"/>
                <w:szCs w:val="14"/>
              </w:rPr>
            </w:pPr>
            <w:r w:rsidRPr="00C33C38">
              <w:rPr>
                <w:rFonts w:cs="Arial"/>
                <w:szCs w:val="14"/>
              </w:rPr>
              <w:t>Other Income and Expenses</w:t>
            </w:r>
          </w:p>
        </w:tc>
        <w:tc>
          <w:tcPr>
            <w:tcW w:w="1831" w:type="dxa"/>
            <w:shd w:val="clear" w:color="auto" w:fill="auto"/>
            <w:vAlign w:val="center"/>
          </w:tcPr>
          <w:p w14:paraId="107FCB09" w14:textId="77777777" w:rsidR="008B7E19" w:rsidRPr="004A53AE" w:rsidRDefault="008B7E19" w:rsidP="008B7E19">
            <w:pPr>
              <w:pStyle w:val="08-Tabelageral"/>
              <w:rPr>
                <w:rFonts w:cs="Arial"/>
                <w:b/>
                <w:bCs/>
                <w:szCs w:val="14"/>
              </w:rPr>
            </w:pPr>
            <w:r w:rsidRPr="00C57F78">
              <w:rPr>
                <w:rFonts w:cs="Arial"/>
                <w:szCs w:val="14"/>
              </w:rPr>
              <w:t>(46</w:t>
            </w:r>
            <w:r>
              <w:rPr>
                <w:rFonts w:cs="Arial"/>
                <w:szCs w:val="14"/>
              </w:rPr>
              <w:t>,</w:t>
            </w:r>
            <w:r w:rsidRPr="00C57F78">
              <w:rPr>
                <w:rFonts w:cs="Arial"/>
                <w:szCs w:val="14"/>
              </w:rPr>
              <w:t>007)</w:t>
            </w:r>
          </w:p>
        </w:tc>
        <w:tc>
          <w:tcPr>
            <w:tcW w:w="1831" w:type="dxa"/>
            <w:vAlign w:val="center"/>
          </w:tcPr>
          <w:p w14:paraId="119CCCCC" w14:textId="77777777" w:rsidR="008B7E19" w:rsidRPr="004A53AE" w:rsidRDefault="008B7E19" w:rsidP="008B7E19">
            <w:pPr>
              <w:pStyle w:val="08-Tabelageral"/>
              <w:rPr>
                <w:rFonts w:cs="Arial"/>
                <w:b/>
                <w:bCs/>
                <w:szCs w:val="14"/>
              </w:rPr>
            </w:pPr>
            <w:r w:rsidRPr="00C57F78">
              <w:rPr>
                <w:rFonts w:cs="Arial"/>
                <w:szCs w:val="14"/>
              </w:rPr>
              <w:t>--</w:t>
            </w:r>
          </w:p>
        </w:tc>
        <w:tc>
          <w:tcPr>
            <w:tcW w:w="1831" w:type="dxa"/>
            <w:vAlign w:val="center"/>
          </w:tcPr>
          <w:p w14:paraId="47696E3F" w14:textId="77777777" w:rsidR="008B7E19" w:rsidRPr="004A53AE" w:rsidRDefault="008B7E19" w:rsidP="008B7E19">
            <w:pPr>
              <w:pStyle w:val="08-Tabelageral"/>
              <w:rPr>
                <w:rFonts w:cs="Arial"/>
                <w:b/>
                <w:bCs/>
                <w:szCs w:val="14"/>
              </w:rPr>
            </w:pPr>
            <w:r w:rsidRPr="00C57F78">
              <w:rPr>
                <w:rFonts w:cs="Arial"/>
                <w:szCs w:val="14"/>
              </w:rPr>
              <w:t>(46</w:t>
            </w:r>
            <w:r>
              <w:rPr>
                <w:rFonts w:cs="Arial"/>
                <w:szCs w:val="14"/>
              </w:rPr>
              <w:t>,</w:t>
            </w:r>
            <w:r w:rsidRPr="00C57F78">
              <w:rPr>
                <w:rFonts w:cs="Arial"/>
                <w:szCs w:val="14"/>
              </w:rPr>
              <w:t>007)</w:t>
            </w:r>
          </w:p>
        </w:tc>
      </w:tr>
      <w:tr w:rsidR="008B7E19" w:rsidRPr="004A53AE" w14:paraId="400849FF" w14:textId="77777777" w:rsidTr="008B7E19">
        <w:trPr>
          <w:trHeight w:val="238"/>
          <w:jc w:val="center"/>
        </w:trPr>
        <w:tc>
          <w:tcPr>
            <w:tcW w:w="4361" w:type="dxa"/>
            <w:shd w:val="clear" w:color="auto" w:fill="auto"/>
            <w:vAlign w:val="center"/>
          </w:tcPr>
          <w:p w14:paraId="3E03D12B" w14:textId="77777777" w:rsidR="008B7E19" w:rsidRPr="00C33C38" w:rsidRDefault="008B7E19" w:rsidP="008B7E19">
            <w:pPr>
              <w:pStyle w:val="08-Tabelageral"/>
              <w:jc w:val="left"/>
              <w:rPr>
                <w:rFonts w:cs="Arial"/>
                <w:szCs w:val="14"/>
                <w:lang w:val="en-US"/>
              </w:rPr>
            </w:pPr>
            <w:r w:rsidRPr="00C33C38">
              <w:rPr>
                <w:rFonts w:cs="Arial"/>
                <w:szCs w:val="14"/>
                <w:lang w:val="en-US"/>
              </w:rPr>
              <w:t>Income Before Financial Revenue and Expenses</w:t>
            </w:r>
          </w:p>
        </w:tc>
        <w:tc>
          <w:tcPr>
            <w:tcW w:w="1831" w:type="dxa"/>
            <w:shd w:val="clear" w:color="auto" w:fill="auto"/>
            <w:vAlign w:val="center"/>
          </w:tcPr>
          <w:p w14:paraId="337C45CC" w14:textId="77777777" w:rsidR="008B7E19" w:rsidRPr="004A53AE" w:rsidRDefault="008B7E19" w:rsidP="008B7E19">
            <w:pPr>
              <w:pStyle w:val="08-Tabelageral"/>
              <w:rPr>
                <w:rFonts w:cs="Arial"/>
                <w:b/>
                <w:bCs/>
                <w:szCs w:val="14"/>
              </w:rPr>
            </w:pPr>
            <w:r w:rsidRPr="00C57F78">
              <w:rPr>
                <w:rFonts w:cs="Arial"/>
                <w:szCs w:val="14"/>
              </w:rPr>
              <w:t>1</w:t>
            </w:r>
            <w:r>
              <w:rPr>
                <w:rFonts w:cs="Arial"/>
                <w:szCs w:val="14"/>
              </w:rPr>
              <w:t>,</w:t>
            </w:r>
            <w:r w:rsidRPr="00C57F78">
              <w:rPr>
                <w:rFonts w:cs="Arial"/>
                <w:szCs w:val="14"/>
              </w:rPr>
              <w:t>616</w:t>
            </w:r>
            <w:r>
              <w:rPr>
                <w:rFonts w:cs="Arial"/>
                <w:szCs w:val="14"/>
              </w:rPr>
              <w:t>,</w:t>
            </w:r>
            <w:r w:rsidRPr="00C57F78">
              <w:rPr>
                <w:rFonts w:cs="Arial"/>
                <w:szCs w:val="14"/>
              </w:rPr>
              <w:t>895</w:t>
            </w:r>
          </w:p>
        </w:tc>
        <w:tc>
          <w:tcPr>
            <w:tcW w:w="1831" w:type="dxa"/>
            <w:vAlign w:val="center"/>
          </w:tcPr>
          <w:p w14:paraId="418E8185" w14:textId="77777777" w:rsidR="008B7E19" w:rsidRPr="004A53AE" w:rsidRDefault="008B7E19" w:rsidP="008B7E19">
            <w:pPr>
              <w:pStyle w:val="08-Tabelageral"/>
              <w:rPr>
                <w:rFonts w:cs="Arial"/>
                <w:b/>
                <w:bCs/>
                <w:szCs w:val="14"/>
              </w:rPr>
            </w:pPr>
            <w:r w:rsidRPr="00C57F78">
              <w:rPr>
                <w:rFonts w:cs="Arial"/>
                <w:szCs w:val="14"/>
              </w:rPr>
              <w:t>97</w:t>
            </w:r>
            <w:r>
              <w:rPr>
                <w:rFonts w:cs="Arial"/>
                <w:szCs w:val="14"/>
              </w:rPr>
              <w:t>,</w:t>
            </w:r>
            <w:r w:rsidRPr="00C57F78">
              <w:rPr>
                <w:rFonts w:cs="Arial"/>
                <w:szCs w:val="14"/>
              </w:rPr>
              <w:t>356</w:t>
            </w:r>
          </w:p>
        </w:tc>
        <w:tc>
          <w:tcPr>
            <w:tcW w:w="1831" w:type="dxa"/>
            <w:vAlign w:val="center"/>
          </w:tcPr>
          <w:p w14:paraId="130BA010" w14:textId="77777777" w:rsidR="008B7E19" w:rsidRPr="004A53AE" w:rsidRDefault="008B7E19" w:rsidP="008B7E19">
            <w:pPr>
              <w:pStyle w:val="08-Tabelageral"/>
              <w:rPr>
                <w:rFonts w:cs="Arial"/>
                <w:b/>
                <w:bCs/>
                <w:szCs w:val="14"/>
              </w:rPr>
            </w:pPr>
            <w:r w:rsidRPr="00C57F78">
              <w:rPr>
                <w:rFonts w:cs="Arial"/>
                <w:szCs w:val="14"/>
              </w:rPr>
              <w:t>1</w:t>
            </w:r>
            <w:r>
              <w:rPr>
                <w:rFonts w:cs="Arial"/>
                <w:szCs w:val="14"/>
              </w:rPr>
              <w:t>,</w:t>
            </w:r>
            <w:r w:rsidRPr="00C57F78">
              <w:rPr>
                <w:rFonts w:cs="Arial"/>
                <w:szCs w:val="14"/>
              </w:rPr>
              <w:t>714</w:t>
            </w:r>
            <w:r>
              <w:rPr>
                <w:rFonts w:cs="Arial"/>
                <w:szCs w:val="14"/>
              </w:rPr>
              <w:t>,</w:t>
            </w:r>
            <w:r w:rsidRPr="00C57F78">
              <w:rPr>
                <w:rFonts w:cs="Arial"/>
                <w:szCs w:val="14"/>
              </w:rPr>
              <w:t>251</w:t>
            </w:r>
          </w:p>
        </w:tc>
      </w:tr>
      <w:tr w:rsidR="008B7E19" w:rsidRPr="004A53AE" w14:paraId="7A6E7E84" w14:textId="77777777" w:rsidTr="008B7E19">
        <w:trPr>
          <w:trHeight w:val="238"/>
          <w:jc w:val="center"/>
        </w:trPr>
        <w:tc>
          <w:tcPr>
            <w:tcW w:w="4361" w:type="dxa"/>
            <w:shd w:val="clear" w:color="auto" w:fill="auto"/>
            <w:vAlign w:val="center"/>
          </w:tcPr>
          <w:p w14:paraId="190BA0B8" w14:textId="77777777" w:rsidR="008B7E19" w:rsidRPr="00C33C38" w:rsidRDefault="008B7E19" w:rsidP="008B7E19">
            <w:pPr>
              <w:pStyle w:val="08-Tabelageral"/>
              <w:jc w:val="left"/>
              <w:rPr>
                <w:rFonts w:cs="Arial"/>
                <w:szCs w:val="14"/>
              </w:rPr>
            </w:pPr>
            <w:r w:rsidRPr="00C33C38">
              <w:rPr>
                <w:rFonts w:cs="Arial"/>
                <w:szCs w:val="14"/>
              </w:rPr>
              <w:t>Financial Result</w:t>
            </w:r>
          </w:p>
        </w:tc>
        <w:tc>
          <w:tcPr>
            <w:tcW w:w="1831" w:type="dxa"/>
            <w:shd w:val="clear" w:color="auto" w:fill="auto"/>
            <w:vAlign w:val="center"/>
          </w:tcPr>
          <w:p w14:paraId="6E216797" w14:textId="77777777" w:rsidR="008B7E19" w:rsidRPr="004A53AE" w:rsidRDefault="008B7E19" w:rsidP="008B7E19">
            <w:pPr>
              <w:pStyle w:val="08-Tabelageral"/>
              <w:rPr>
                <w:rFonts w:cs="Arial"/>
                <w:b/>
                <w:bCs/>
                <w:szCs w:val="14"/>
              </w:rPr>
            </w:pPr>
            <w:r w:rsidRPr="00C57F78">
              <w:rPr>
                <w:rFonts w:cs="Arial"/>
                <w:szCs w:val="14"/>
              </w:rPr>
              <w:t>117</w:t>
            </w:r>
            <w:r>
              <w:rPr>
                <w:rFonts w:cs="Arial"/>
                <w:szCs w:val="14"/>
              </w:rPr>
              <w:t>,</w:t>
            </w:r>
            <w:r w:rsidRPr="00C57F78">
              <w:rPr>
                <w:rFonts w:cs="Arial"/>
                <w:szCs w:val="14"/>
              </w:rPr>
              <w:t>775</w:t>
            </w:r>
          </w:p>
        </w:tc>
        <w:tc>
          <w:tcPr>
            <w:tcW w:w="1831" w:type="dxa"/>
            <w:vAlign w:val="center"/>
          </w:tcPr>
          <w:p w14:paraId="12900744" w14:textId="77777777" w:rsidR="008B7E19" w:rsidRPr="004A53AE" w:rsidRDefault="008B7E19" w:rsidP="008B7E19">
            <w:pPr>
              <w:pStyle w:val="08-Tabelageral"/>
              <w:rPr>
                <w:rFonts w:cs="Arial"/>
                <w:b/>
                <w:bCs/>
                <w:szCs w:val="14"/>
              </w:rPr>
            </w:pPr>
            <w:r w:rsidRPr="00C57F78">
              <w:rPr>
                <w:rFonts w:cs="Arial"/>
                <w:szCs w:val="14"/>
              </w:rPr>
              <w:t>--</w:t>
            </w:r>
          </w:p>
        </w:tc>
        <w:tc>
          <w:tcPr>
            <w:tcW w:w="1831" w:type="dxa"/>
            <w:vAlign w:val="center"/>
          </w:tcPr>
          <w:p w14:paraId="3A737579" w14:textId="77777777" w:rsidR="008B7E19" w:rsidRPr="004A53AE" w:rsidRDefault="008B7E19" w:rsidP="008B7E19">
            <w:pPr>
              <w:pStyle w:val="08-Tabelageral"/>
              <w:rPr>
                <w:rFonts w:cs="Arial"/>
                <w:b/>
                <w:bCs/>
                <w:szCs w:val="14"/>
              </w:rPr>
            </w:pPr>
            <w:r w:rsidRPr="00C57F78">
              <w:rPr>
                <w:rFonts w:cs="Arial"/>
                <w:szCs w:val="14"/>
              </w:rPr>
              <w:t>117</w:t>
            </w:r>
            <w:r>
              <w:rPr>
                <w:rFonts w:cs="Arial"/>
                <w:szCs w:val="14"/>
              </w:rPr>
              <w:t>,</w:t>
            </w:r>
            <w:r w:rsidRPr="00C57F78">
              <w:rPr>
                <w:rFonts w:cs="Arial"/>
                <w:szCs w:val="14"/>
              </w:rPr>
              <w:t>775</w:t>
            </w:r>
          </w:p>
        </w:tc>
      </w:tr>
      <w:tr w:rsidR="008B7E19" w:rsidRPr="004A53AE" w14:paraId="6AB60ACE" w14:textId="77777777" w:rsidTr="008B7E19">
        <w:trPr>
          <w:trHeight w:val="238"/>
          <w:jc w:val="center"/>
        </w:trPr>
        <w:tc>
          <w:tcPr>
            <w:tcW w:w="4361" w:type="dxa"/>
            <w:shd w:val="clear" w:color="auto" w:fill="auto"/>
            <w:vAlign w:val="center"/>
          </w:tcPr>
          <w:p w14:paraId="7BF88CCE" w14:textId="77777777" w:rsidR="008B7E19" w:rsidRPr="00C33C38" w:rsidRDefault="008B7E19" w:rsidP="008B7E19">
            <w:pPr>
              <w:pStyle w:val="08-Tabelageral"/>
              <w:jc w:val="left"/>
              <w:rPr>
                <w:rFonts w:cs="Arial"/>
                <w:szCs w:val="14"/>
              </w:rPr>
            </w:pPr>
            <w:r w:rsidRPr="00C33C38">
              <w:rPr>
                <w:rFonts w:cs="Arial"/>
                <w:szCs w:val="14"/>
              </w:rPr>
              <w:t>Income before taxes</w:t>
            </w:r>
          </w:p>
        </w:tc>
        <w:tc>
          <w:tcPr>
            <w:tcW w:w="1831" w:type="dxa"/>
            <w:shd w:val="clear" w:color="auto" w:fill="auto"/>
            <w:vAlign w:val="center"/>
          </w:tcPr>
          <w:p w14:paraId="093EA89C" w14:textId="77777777" w:rsidR="008B7E19" w:rsidRPr="004A53AE" w:rsidRDefault="008B7E19" w:rsidP="008B7E19">
            <w:pPr>
              <w:pStyle w:val="08-Tabelageral"/>
              <w:rPr>
                <w:rFonts w:cs="Arial"/>
                <w:b/>
                <w:bCs/>
                <w:szCs w:val="14"/>
              </w:rPr>
            </w:pPr>
            <w:r w:rsidRPr="00C57F78">
              <w:rPr>
                <w:rFonts w:cs="Arial"/>
                <w:szCs w:val="14"/>
              </w:rPr>
              <w:t>1</w:t>
            </w:r>
            <w:r>
              <w:rPr>
                <w:rFonts w:cs="Arial"/>
                <w:szCs w:val="14"/>
              </w:rPr>
              <w:t>,</w:t>
            </w:r>
            <w:r w:rsidRPr="00C57F78">
              <w:rPr>
                <w:rFonts w:cs="Arial"/>
                <w:szCs w:val="14"/>
              </w:rPr>
              <w:t>734</w:t>
            </w:r>
            <w:r>
              <w:rPr>
                <w:rFonts w:cs="Arial"/>
                <w:szCs w:val="14"/>
              </w:rPr>
              <w:t>,</w:t>
            </w:r>
            <w:r w:rsidRPr="00C57F78">
              <w:rPr>
                <w:rFonts w:cs="Arial"/>
                <w:szCs w:val="14"/>
              </w:rPr>
              <w:t>670</w:t>
            </w:r>
          </w:p>
        </w:tc>
        <w:tc>
          <w:tcPr>
            <w:tcW w:w="1831" w:type="dxa"/>
            <w:vAlign w:val="center"/>
          </w:tcPr>
          <w:p w14:paraId="43D72032" w14:textId="77777777" w:rsidR="008B7E19" w:rsidRPr="004A53AE" w:rsidRDefault="008B7E19" w:rsidP="008B7E19">
            <w:pPr>
              <w:pStyle w:val="08-Tabelageral"/>
              <w:rPr>
                <w:rFonts w:cs="Arial"/>
                <w:b/>
                <w:bCs/>
                <w:szCs w:val="14"/>
              </w:rPr>
            </w:pPr>
            <w:r w:rsidRPr="00C57F78">
              <w:rPr>
                <w:rFonts w:cs="Arial"/>
                <w:szCs w:val="14"/>
              </w:rPr>
              <w:t>97</w:t>
            </w:r>
            <w:r>
              <w:rPr>
                <w:rFonts w:cs="Arial"/>
                <w:szCs w:val="14"/>
              </w:rPr>
              <w:t>,</w:t>
            </w:r>
            <w:r w:rsidRPr="00C57F78">
              <w:rPr>
                <w:rFonts w:cs="Arial"/>
                <w:szCs w:val="14"/>
              </w:rPr>
              <w:t>356</w:t>
            </w:r>
          </w:p>
        </w:tc>
        <w:tc>
          <w:tcPr>
            <w:tcW w:w="1831" w:type="dxa"/>
            <w:vAlign w:val="center"/>
          </w:tcPr>
          <w:p w14:paraId="2EFAE87F" w14:textId="77777777" w:rsidR="008B7E19" w:rsidRPr="004A53AE" w:rsidRDefault="008B7E19" w:rsidP="008B7E19">
            <w:pPr>
              <w:pStyle w:val="08-Tabelageral"/>
              <w:rPr>
                <w:rFonts w:cs="Arial"/>
                <w:b/>
                <w:bCs/>
                <w:szCs w:val="14"/>
              </w:rPr>
            </w:pPr>
            <w:r w:rsidRPr="00C57F78">
              <w:rPr>
                <w:rFonts w:cs="Arial"/>
                <w:szCs w:val="14"/>
              </w:rPr>
              <w:t>1</w:t>
            </w:r>
            <w:r>
              <w:rPr>
                <w:rFonts w:cs="Arial"/>
                <w:szCs w:val="14"/>
              </w:rPr>
              <w:t>,</w:t>
            </w:r>
            <w:r w:rsidRPr="00C57F78">
              <w:rPr>
                <w:rFonts w:cs="Arial"/>
                <w:szCs w:val="14"/>
              </w:rPr>
              <w:t>832</w:t>
            </w:r>
            <w:r>
              <w:rPr>
                <w:rFonts w:cs="Arial"/>
                <w:szCs w:val="14"/>
              </w:rPr>
              <w:t>,</w:t>
            </w:r>
            <w:r w:rsidRPr="00C57F78">
              <w:rPr>
                <w:rFonts w:cs="Arial"/>
                <w:szCs w:val="14"/>
              </w:rPr>
              <w:t>026</w:t>
            </w:r>
          </w:p>
        </w:tc>
      </w:tr>
      <w:tr w:rsidR="008B7E19" w:rsidRPr="004A53AE" w14:paraId="4A93B05F" w14:textId="77777777" w:rsidTr="008B7E19">
        <w:trPr>
          <w:trHeight w:val="238"/>
          <w:jc w:val="center"/>
        </w:trPr>
        <w:tc>
          <w:tcPr>
            <w:tcW w:w="4361" w:type="dxa"/>
            <w:shd w:val="clear" w:color="auto" w:fill="auto"/>
            <w:vAlign w:val="center"/>
          </w:tcPr>
          <w:p w14:paraId="64C9634A" w14:textId="77777777" w:rsidR="008B7E19" w:rsidRPr="00C33C38" w:rsidRDefault="008B7E19" w:rsidP="008B7E19">
            <w:pPr>
              <w:pStyle w:val="08-Tabelageral"/>
              <w:jc w:val="left"/>
              <w:rPr>
                <w:rFonts w:cs="Arial"/>
                <w:szCs w:val="14"/>
                <w:lang w:val="en-US"/>
              </w:rPr>
            </w:pPr>
            <w:r w:rsidRPr="00C33C38">
              <w:rPr>
                <w:rFonts w:cs="Arial"/>
                <w:szCs w:val="14"/>
                <w:lang w:val="en-US"/>
              </w:rPr>
              <w:t>Taxes</w:t>
            </w:r>
          </w:p>
        </w:tc>
        <w:tc>
          <w:tcPr>
            <w:tcW w:w="1831" w:type="dxa"/>
            <w:shd w:val="clear" w:color="auto" w:fill="auto"/>
            <w:vAlign w:val="center"/>
          </w:tcPr>
          <w:p w14:paraId="1CF301A6" w14:textId="77777777" w:rsidR="008B7E19" w:rsidRPr="004A53AE" w:rsidRDefault="008B7E19" w:rsidP="008B7E19">
            <w:pPr>
              <w:pStyle w:val="08-Tabelageral"/>
              <w:rPr>
                <w:rFonts w:cs="Arial"/>
                <w:szCs w:val="14"/>
              </w:rPr>
            </w:pPr>
            <w:r w:rsidRPr="00C57F78">
              <w:rPr>
                <w:rFonts w:cs="Arial"/>
                <w:szCs w:val="14"/>
              </w:rPr>
              <w:t>(328</w:t>
            </w:r>
            <w:r>
              <w:rPr>
                <w:rFonts w:cs="Arial"/>
                <w:szCs w:val="14"/>
              </w:rPr>
              <w:t>,</w:t>
            </w:r>
            <w:r w:rsidRPr="00C57F78">
              <w:rPr>
                <w:rFonts w:cs="Arial"/>
                <w:szCs w:val="14"/>
              </w:rPr>
              <w:t>299)</w:t>
            </w:r>
          </w:p>
        </w:tc>
        <w:tc>
          <w:tcPr>
            <w:tcW w:w="1831" w:type="dxa"/>
            <w:vAlign w:val="center"/>
          </w:tcPr>
          <w:p w14:paraId="31930922" w14:textId="77777777" w:rsidR="008B7E19" w:rsidRPr="004A53AE" w:rsidRDefault="008B7E19" w:rsidP="008B7E19">
            <w:pPr>
              <w:pStyle w:val="08-Tabelageral"/>
              <w:rPr>
                <w:rFonts w:cs="Arial"/>
                <w:szCs w:val="14"/>
              </w:rPr>
            </w:pPr>
            <w:r w:rsidRPr="00C57F78">
              <w:rPr>
                <w:rFonts w:cs="Arial"/>
                <w:szCs w:val="14"/>
              </w:rPr>
              <w:t>--</w:t>
            </w:r>
          </w:p>
        </w:tc>
        <w:tc>
          <w:tcPr>
            <w:tcW w:w="1831" w:type="dxa"/>
            <w:vAlign w:val="center"/>
          </w:tcPr>
          <w:p w14:paraId="70D2304B" w14:textId="77777777" w:rsidR="008B7E19" w:rsidRPr="004A53AE" w:rsidRDefault="008B7E19" w:rsidP="008B7E19">
            <w:pPr>
              <w:pStyle w:val="08-Tabelageral"/>
              <w:rPr>
                <w:rFonts w:cs="Arial"/>
                <w:szCs w:val="14"/>
              </w:rPr>
            </w:pPr>
            <w:r w:rsidRPr="00C57F78">
              <w:rPr>
                <w:rFonts w:cs="Arial"/>
                <w:szCs w:val="14"/>
              </w:rPr>
              <w:t>(328</w:t>
            </w:r>
            <w:r>
              <w:rPr>
                <w:rFonts w:cs="Arial"/>
                <w:szCs w:val="14"/>
              </w:rPr>
              <w:t>,</w:t>
            </w:r>
            <w:r w:rsidRPr="00C57F78">
              <w:rPr>
                <w:rFonts w:cs="Arial"/>
                <w:szCs w:val="14"/>
              </w:rPr>
              <w:t>299)</w:t>
            </w:r>
          </w:p>
        </w:tc>
      </w:tr>
      <w:tr w:rsidR="008B7E19" w:rsidRPr="00A03B7C" w14:paraId="0773DC90" w14:textId="77777777" w:rsidTr="008B7E19">
        <w:trPr>
          <w:trHeight w:val="238"/>
          <w:jc w:val="center"/>
        </w:trPr>
        <w:tc>
          <w:tcPr>
            <w:tcW w:w="4361" w:type="dxa"/>
            <w:shd w:val="clear" w:color="auto" w:fill="auto"/>
            <w:vAlign w:val="center"/>
          </w:tcPr>
          <w:p w14:paraId="1EE2018F" w14:textId="77777777" w:rsidR="008B7E19" w:rsidRPr="00C33C38" w:rsidRDefault="008B7E19" w:rsidP="008B7E19">
            <w:pPr>
              <w:pStyle w:val="08-Tabelageral"/>
              <w:jc w:val="left"/>
              <w:rPr>
                <w:rFonts w:cs="Arial"/>
                <w:szCs w:val="14"/>
              </w:rPr>
            </w:pPr>
            <w:r w:rsidRPr="00C33C38">
              <w:rPr>
                <w:rFonts w:cs="Arial"/>
                <w:szCs w:val="14"/>
              </w:rPr>
              <w:t>Net Income</w:t>
            </w:r>
          </w:p>
        </w:tc>
        <w:tc>
          <w:tcPr>
            <w:tcW w:w="1831" w:type="dxa"/>
            <w:shd w:val="clear" w:color="auto" w:fill="auto"/>
            <w:vAlign w:val="center"/>
          </w:tcPr>
          <w:p w14:paraId="5F6284A4" w14:textId="77777777" w:rsidR="008B7E19" w:rsidRPr="004A53AE" w:rsidRDefault="008B7E19" w:rsidP="008B7E19">
            <w:pPr>
              <w:pStyle w:val="08-Tabelageral"/>
              <w:rPr>
                <w:rFonts w:cs="Arial"/>
                <w:b/>
                <w:bCs/>
                <w:szCs w:val="14"/>
              </w:rPr>
            </w:pPr>
            <w:r w:rsidRPr="00C57F78">
              <w:rPr>
                <w:rFonts w:cs="Arial"/>
                <w:szCs w:val="14"/>
              </w:rPr>
              <w:t>1</w:t>
            </w:r>
            <w:r>
              <w:rPr>
                <w:rFonts w:cs="Arial"/>
                <w:szCs w:val="14"/>
              </w:rPr>
              <w:t>,</w:t>
            </w:r>
            <w:r w:rsidRPr="00C57F78">
              <w:rPr>
                <w:rFonts w:cs="Arial"/>
                <w:szCs w:val="14"/>
              </w:rPr>
              <w:t>406</w:t>
            </w:r>
            <w:r>
              <w:rPr>
                <w:rFonts w:cs="Arial"/>
                <w:szCs w:val="14"/>
              </w:rPr>
              <w:t>,</w:t>
            </w:r>
            <w:r w:rsidRPr="00C57F78">
              <w:rPr>
                <w:rFonts w:cs="Arial"/>
                <w:szCs w:val="14"/>
              </w:rPr>
              <w:t>371</w:t>
            </w:r>
          </w:p>
        </w:tc>
        <w:tc>
          <w:tcPr>
            <w:tcW w:w="1831" w:type="dxa"/>
            <w:vAlign w:val="center"/>
          </w:tcPr>
          <w:p w14:paraId="61878289" w14:textId="77777777" w:rsidR="008B7E19" w:rsidRPr="004A53AE" w:rsidRDefault="008B7E19" w:rsidP="008B7E19">
            <w:pPr>
              <w:pStyle w:val="08-Tabelageral"/>
              <w:rPr>
                <w:rFonts w:cs="Arial"/>
                <w:b/>
                <w:bCs/>
                <w:szCs w:val="14"/>
              </w:rPr>
            </w:pPr>
            <w:r w:rsidRPr="00C57F78">
              <w:rPr>
                <w:rFonts w:cs="Arial"/>
                <w:szCs w:val="14"/>
              </w:rPr>
              <w:t>97</w:t>
            </w:r>
            <w:r>
              <w:rPr>
                <w:rFonts w:cs="Arial"/>
                <w:szCs w:val="14"/>
              </w:rPr>
              <w:t>,</w:t>
            </w:r>
            <w:r w:rsidRPr="00C57F78">
              <w:rPr>
                <w:rFonts w:cs="Arial"/>
                <w:szCs w:val="14"/>
              </w:rPr>
              <w:t>356</w:t>
            </w:r>
          </w:p>
        </w:tc>
        <w:tc>
          <w:tcPr>
            <w:tcW w:w="1831" w:type="dxa"/>
            <w:vAlign w:val="center"/>
          </w:tcPr>
          <w:p w14:paraId="26A79E62" w14:textId="77777777" w:rsidR="008B7E19" w:rsidRPr="004A53AE" w:rsidRDefault="008B7E19" w:rsidP="008B7E19">
            <w:pPr>
              <w:pStyle w:val="08-Tabelageral"/>
              <w:rPr>
                <w:rFonts w:cs="Arial"/>
                <w:b/>
                <w:bCs/>
                <w:szCs w:val="14"/>
              </w:rPr>
            </w:pPr>
            <w:r w:rsidRPr="00C57F78">
              <w:rPr>
                <w:rFonts w:cs="Arial"/>
                <w:szCs w:val="14"/>
              </w:rPr>
              <w:t>1</w:t>
            </w:r>
            <w:r>
              <w:rPr>
                <w:rFonts w:cs="Arial"/>
                <w:szCs w:val="14"/>
              </w:rPr>
              <w:t>,</w:t>
            </w:r>
            <w:r w:rsidRPr="00C57F78">
              <w:rPr>
                <w:rFonts w:cs="Arial"/>
                <w:szCs w:val="14"/>
              </w:rPr>
              <w:t>503</w:t>
            </w:r>
            <w:r>
              <w:rPr>
                <w:rFonts w:cs="Arial"/>
                <w:szCs w:val="14"/>
              </w:rPr>
              <w:t>,</w:t>
            </w:r>
            <w:r w:rsidRPr="00C57F78">
              <w:rPr>
                <w:rFonts w:cs="Arial"/>
                <w:szCs w:val="14"/>
              </w:rPr>
              <w:t>727</w:t>
            </w:r>
          </w:p>
        </w:tc>
      </w:tr>
    </w:tbl>
    <w:p w14:paraId="02E13451" w14:textId="77777777" w:rsidR="008B7E19" w:rsidRDefault="008B7E19" w:rsidP="008B7E19">
      <w:pPr>
        <w:rPr>
          <w:lang w:eastAsia="pt-BR"/>
        </w:rPr>
      </w:pPr>
    </w:p>
    <w:p w14:paraId="14A0BD27" w14:textId="77777777" w:rsidR="008B7E19" w:rsidRDefault="008B7E19" w:rsidP="008B7E19">
      <w:pPr>
        <w:spacing w:after="0"/>
        <w:jc w:val="right"/>
        <w:rPr>
          <w:rFonts w:cs="Arial"/>
          <w:b/>
          <w:bCs/>
          <w:sz w:val="14"/>
          <w:szCs w:val="14"/>
          <w:lang w:eastAsia="pt-BR"/>
        </w:rPr>
      </w:pPr>
    </w:p>
    <w:p w14:paraId="75853DB6" w14:textId="77777777" w:rsidR="008B7E19" w:rsidRPr="00D44604" w:rsidRDefault="008B7E19" w:rsidP="008B7E19">
      <w:pPr>
        <w:pageBreakBefore/>
        <w:spacing w:after="0" w:line="240" w:lineRule="auto"/>
        <w:jc w:val="right"/>
        <w:rPr>
          <w:rFonts w:cs="Arial"/>
          <w:b/>
          <w:sz w:val="14"/>
          <w:lang w:eastAsia="pt-BR"/>
        </w:rPr>
      </w:pPr>
      <w:r w:rsidRPr="00FC6C4B">
        <w:rPr>
          <w:rFonts w:cs="Arial"/>
          <w:b/>
          <w:sz w:val="14"/>
          <w:lang w:eastAsia="pt-BR"/>
        </w:rPr>
        <w:t>R$ thousand</w:t>
      </w:r>
    </w:p>
    <w:tbl>
      <w:tblPr>
        <w:tblW w:w="9854" w:type="dxa"/>
        <w:jc w:val="center"/>
        <w:tblBorders>
          <w:top w:val="single" w:sz="2" w:space="0" w:color="1F4E79" w:themeColor="accent1" w:themeShade="80"/>
          <w:bottom w:val="single" w:sz="2" w:space="0" w:color="1F4E79" w:themeColor="accent1" w:themeShade="80"/>
        </w:tblBorders>
        <w:tblLook w:val="04A0" w:firstRow="1" w:lastRow="0" w:firstColumn="1" w:lastColumn="0" w:noHBand="0" w:noVBand="1"/>
      </w:tblPr>
      <w:tblGrid>
        <w:gridCol w:w="4361"/>
        <w:gridCol w:w="1831"/>
        <w:gridCol w:w="1831"/>
        <w:gridCol w:w="1831"/>
      </w:tblGrid>
      <w:tr w:rsidR="008B7E19" w:rsidRPr="00E00C9B" w14:paraId="5B4D6420" w14:textId="77777777" w:rsidTr="008B7E19">
        <w:trPr>
          <w:trHeight w:val="238"/>
          <w:jc w:val="center"/>
        </w:trPr>
        <w:tc>
          <w:tcPr>
            <w:tcW w:w="4361" w:type="dxa"/>
            <w:tcBorders>
              <w:top w:val="single" w:sz="2" w:space="0" w:color="1F4E79" w:themeColor="accent1" w:themeShade="80"/>
            </w:tcBorders>
            <w:shd w:val="clear" w:color="auto" w:fill="auto"/>
            <w:vAlign w:val="center"/>
          </w:tcPr>
          <w:p w14:paraId="139D56F9" w14:textId="77777777" w:rsidR="008B7E19" w:rsidRPr="00E00C9B" w:rsidRDefault="008B7E19" w:rsidP="008B7E19">
            <w:pPr>
              <w:pStyle w:val="08-Tabelageral"/>
              <w:jc w:val="left"/>
              <w:rPr>
                <w:rFonts w:cs="Arial"/>
                <w:b/>
                <w:bCs/>
                <w:szCs w:val="14"/>
              </w:rPr>
            </w:pPr>
          </w:p>
        </w:tc>
        <w:tc>
          <w:tcPr>
            <w:tcW w:w="1831" w:type="dxa"/>
            <w:tcBorders>
              <w:top w:val="single" w:sz="2" w:space="0" w:color="1F4E79" w:themeColor="accent1" w:themeShade="80"/>
            </w:tcBorders>
            <w:shd w:val="clear" w:color="auto" w:fill="auto"/>
            <w:vAlign w:val="center"/>
          </w:tcPr>
          <w:p w14:paraId="161E38A5" w14:textId="77777777" w:rsidR="008B7E19" w:rsidRPr="008F5C2C" w:rsidRDefault="008B7E19" w:rsidP="008B7E19">
            <w:pPr>
              <w:pStyle w:val="08-Tabelageral"/>
              <w:rPr>
                <w:rFonts w:cs="Arial"/>
                <w:b/>
                <w:bCs/>
                <w:szCs w:val="14"/>
              </w:rPr>
            </w:pPr>
          </w:p>
        </w:tc>
        <w:tc>
          <w:tcPr>
            <w:tcW w:w="1831" w:type="dxa"/>
            <w:tcBorders>
              <w:top w:val="single" w:sz="2" w:space="0" w:color="1F4E79" w:themeColor="accent1" w:themeShade="80"/>
            </w:tcBorders>
          </w:tcPr>
          <w:p w14:paraId="206FCF89" w14:textId="77777777" w:rsidR="008B7E19" w:rsidRPr="008F5C2C" w:rsidRDefault="008B7E19" w:rsidP="008B7E19">
            <w:pPr>
              <w:pStyle w:val="08-Tabelageral"/>
              <w:rPr>
                <w:rFonts w:cs="Arial"/>
                <w:b/>
                <w:bCs/>
                <w:szCs w:val="14"/>
              </w:rPr>
            </w:pPr>
            <w:r>
              <w:rPr>
                <w:rFonts w:cs="Arial"/>
                <w:b/>
                <w:bCs/>
                <w:szCs w:val="14"/>
              </w:rPr>
              <w:t>Consolidated</w:t>
            </w:r>
          </w:p>
        </w:tc>
        <w:tc>
          <w:tcPr>
            <w:tcW w:w="1831" w:type="dxa"/>
            <w:tcBorders>
              <w:top w:val="single" w:sz="2" w:space="0" w:color="1F4E79" w:themeColor="accent1" w:themeShade="80"/>
            </w:tcBorders>
          </w:tcPr>
          <w:p w14:paraId="7C797A15" w14:textId="77777777" w:rsidR="008B7E19" w:rsidRPr="008F5C2C" w:rsidRDefault="008B7E19" w:rsidP="008B7E19">
            <w:pPr>
              <w:pStyle w:val="08-Tabelageral"/>
              <w:rPr>
                <w:rFonts w:cs="Arial"/>
                <w:b/>
                <w:bCs/>
                <w:szCs w:val="14"/>
              </w:rPr>
            </w:pPr>
          </w:p>
        </w:tc>
      </w:tr>
      <w:tr w:rsidR="008B7E19" w:rsidRPr="00E00C9B" w14:paraId="6ECE74AC" w14:textId="77777777" w:rsidTr="008B7E19">
        <w:trPr>
          <w:trHeight w:val="238"/>
          <w:jc w:val="center"/>
        </w:trPr>
        <w:tc>
          <w:tcPr>
            <w:tcW w:w="4361" w:type="dxa"/>
            <w:tcBorders>
              <w:top w:val="single" w:sz="2" w:space="0" w:color="1F4E79" w:themeColor="accent1" w:themeShade="80"/>
            </w:tcBorders>
            <w:shd w:val="clear" w:color="auto" w:fill="auto"/>
            <w:vAlign w:val="center"/>
          </w:tcPr>
          <w:p w14:paraId="4306FA10" w14:textId="77777777" w:rsidR="008B7E19" w:rsidRPr="00E00C9B" w:rsidRDefault="008B7E19" w:rsidP="008B7E19">
            <w:pPr>
              <w:pStyle w:val="08-Tabelageral"/>
              <w:jc w:val="left"/>
              <w:rPr>
                <w:rFonts w:cs="Arial"/>
                <w:b/>
                <w:bCs/>
                <w:szCs w:val="14"/>
              </w:rPr>
            </w:pPr>
          </w:p>
        </w:tc>
        <w:tc>
          <w:tcPr>
            <w:tcW w:w="1831" w:type="dxa"/>
            <w:tcBorders>
              <w:top w:val="single" w:sz="2" w:space="0" w:color="1F4E79" w:themeColor="accent1" w:themeShade="80"/>
            </w:tcBorders>
            <w:shd w:val="clear" w:color="auto" w:fill="auto"/>
            <w:vAlign w:val="center"/>
          </w:tcPr>
          <w:p w14:paraId="7DB41ADD" w14:textId="77777777" w:rsidR="008B7E19" w:rsidRPr="008F5C2C" w:rsidRDefault="008B7E19" w:rsidP="008B7E19">
            <w:pPr>
              <w:pStyle w:val="08-Tabelageral"/>
              <w:rPr>
                <w:rFonts w:cs="Arial"/>
                <w:b/>
                <w:bCs/>
                <w:szCs w:val="14"/>
              </w:rPr>
            </w:pPr>
          </w:p>
        </w:tc>
        <w:tc>
          <w:tcPr>
            <w:tcW w:w="1831" w:type="dxa"/>
            <w:tcBorders>
              <w:top w:val="single" w:sz="2" w:space="0" w:color="1F4E79" w:themeColor="accent1" w:themeShade="80"/>
            </w:tcBorders>
          </w:tcPr>
          <w:p w14:paraId="01779570" w14:textId="77777777" w:rsidR="008B7E19" w:rsidRPr="008F5C2C" w:rsidRDefault="008B7E19" w:rsidP="008B7E19">
            <w:pPr>
              <w:pStyle w:val="08-Tabelageral"/>
              <w:jc w:val="center"/>
              <w:rPr>
                <w:rFonts w:cs="Arial"/>
                <w:b/>
                <w:bCs/>
                <w:szCs w:val="14"/>
              </w:rPr>
            </w:pPr>
            <w:r w:rsidRPr="003E392D">
              <w:rPr>
                <w:rFonts w:cs="Arial"/>
                <w:b/>
                <w:bCs/>
                <w:szCs w:val="14"/>
              </w:rPr>
              <w:t>1</w:t>
            </w:r>
            <w:r w:rsidRPr="003E392D">
              <w:rPr>
                <w:rFonts w:cs="Arial"/>
                <w:b/>
                <w:bCs/>
                <w:szCs w:val="14"/>
                <w:vertAlign w:val="superscript"/>
              </w:rPr>
              <w:t>st</w:t>
            </w:r>
            <w:r w:rsidRPr="003E392D">
              <w:rPr>
                <w:rFonts w:cs="Arial"/>
                <w:b/>
                <w:bCs/>
                <w:szCs w:val="14"/>
              </w:rPr>
              <w:t xml:space="preserve"> Half 202</w:t>
            </w:r>
            <w:r>
              <w:rPr>
                <w:rFonts w:cs="Arial"/>
                <w:b/>
                <w:bCs/>
                <w:szCs w:val="14"/>
              </w:rPr>
              <w:t>2</w:t>
            </w:r>
          </w:p>
        </w:tc>
        <w:tc>
          <w:tcPr>
            <w:tcW w:w="1831" w:type="dxa"/>
            <w:tcBorders>
              <w:top w:val="single" w:sz="2" w:space="0" w:color="1F4E79" w:themeColor="accent1" w:themeShade="80"/>
            </w:tcBorders>
          </w:tcPr>
          <w:p w14:paraId="63AC949F" w14:textId="77777777" w:rsidR="008B7E19" w:rsidRPr="008F5C2C" w:rsidRDefault="008B7E19" w:rsidP="008B7E19">
            <w:pPr>
              <w:pStyle w:val="08-Tabelageral"/>
              <w:rPr>
                <w:rFonts w:cs="Arial"/>
                <w:b/>
                <w:bCs/>
                <w:szCs w:val="14"/>
              </w:rPr>
            </w:pPr>
          </w:p>
        </w:tc>
      </w:tr>
      <w:tr w:rsidR="008B7E19" w:rsidRPr="00E00C9B" w14:paraId="6ECEE357" w14:textId="77777777" w:rsidTr="008B7E19">
        <w:trPr>
          <w:trHeight w:val="238"/>
          <w:jc w:val="center"/>
        </w:trPr>
        <w:tc>
          <w:tcPr>
            <w:tcW w:w="4361" w:type="dxa"/>
            <w:tcBorders>
              <w:top w:val="single" w:sz="2" w:space="0" w:color="1F4E79" w:themeColor="accent1" w:themeShade="80"/>
            </w:tcBorders>
            <w:shd w:val="clear" w:color="auto" w:fill="auto"/>
            <w:vAlign w:val="center"/>
          </w:tcPr>
          <w:p w14:paraId="015ED8C8" w14:textId="77777777" w:rsidR="008B7E19" w:rsidRPr="00E00C9B" w:rsidRDefault="008B7E19" w:rsidP="008B7E19">
            <w:pPr>
              <w:pStyle w:val="08-Tabelageral"/>
              <w:jc w:val="left"/>
              <w:rPr>
                <w:rFonts w:cs="Arial"/>
                <w:b/>
                <w:bCs/>
                <w:szCs w:val="14"/>
              </w:rPr>
            </w:pPr>
          </w:p>
        </w:tc>
        <w:tc>
          <w:tcPr>
            <w:tcW w:w="1831" w:type="dxa"/>
            <w:tcBorders>
              <w:top w:val="single" w:sz="2" w:space="0" w:color="1F4E79" w:themeColor="accent1" w:themeShade="80"/>
            </w:tcBorders>
            <w:shd w:val="clear" w:color="auto" w:fill="auto"/>
            <w:vAlign w:val="center"/>
          </w:tcPr>
          <w:p w14:paraId="2EAF3285" w14:textId="77777777" w:rsidR="008B7E19" w:rsidRPr="008F5C2C" w:rsidRDefault="008B7E19" w:rsidP="008B7E19">
            <w:pPr>
              <w:pStyle w:val="08-Tabelageral"/>
              <w:rPr>
                <w:rFonts w:cs="Arial"/>
                <w:b/>
                <w:bCs/>
                <w:szCs w:val="14"/>
              </w:rPr>
            </w:pPr>
            <w:r>
              <w:rPr>
                <w:rFonts w:cs="Arial"/>
                <w:b/>
                <w:bCs/>
                <w:szCs w:val="14"/>
              </w:rPr>
              <w:t>Original report</w:t>
            </w:r>
          </w:p>
        </w:tc>
        <w:tc>
          <w:tcPr>
            <w:tcW w:w="1831" w:type="dxa"/>
            <w:tcBorders>
              <w:top w:val="single" w:sz="2" w:space="0" w:color="1F4E79" w:themeColor="accent1" w:themeShade="80"/>
            </w:tcBorders>
          </w:tcPr>
          <w:p w14:paraId="1231E532" w14:textId="77777777" w:rsidR="008B7E19" w:rsidRPr="008F5C2C" w:rsidRDefault="008B7E19" w:rsidP="008B7E19">
            <w:pPr>
              <w:pStyle w:val="08-Tabelageral"/>
              <w:rPr>
                <w:rFonts w:cs="Arial"/>
                <w:b/>
                <w:bCs/>
                <w:szCs w:val="14"/>
              </w:rPr>
            </w:pPr>
            <w:r>
              <w:rPr>
                <w:rFonts w:cs="Arial"/>
                <w:b/>
                <w:bCs/>
                <w:szCs w:val="14"/>
              </w:rPr>
              <w:t>Adjustments</w:t>
            </w:r>
          </w:p>
        </w:tc>
        <w:tc>
          <w:tcPr>
            <w:tcW w:w="1831" w:type="dxa"/>
            <w:tcBorders>
              <w:top w:val="single" w:sz="2" w:space="0" w:color="1F4E79" w:themeColor="accent1" w:themeShade="80"/>
            </w:tcBorders>
          </w:tcPr>
          <w:p w14:paraId="1F327C15" w14:textId="77777777" w:rsidR="008B7E19" w:rsidRPr="008F5C2C" w:rsidRDefault="008B7E19" w:rsidP="008B7E19">
            <w:pPr>
              <w:pStyle w:val="08-Tabelageral"/>
              <w:rPr>
                <w:rFonts w:cs="Arial"/>
                <w:b/>
                <w:bCs/>
                <w:szCs w:val="14"/>
              </w:rPr>
            </w:pPr>
            <w:r>
              <w:rPr>
                <w:rFonts w:cs="Arial"/>
                <w:b/>
                <w:bCs/>
                <w:szCs w:val="14"/>
              </w:rPr>
              <w:t>Restated balances</w:t>
            </w:r>
          </w:p>
        </w:tc>
      </w:tr>
      <w:tr w:rsidR="008B7E19" w:rsidRPr="004A53AE" w14:paraId="1614F6BF" w14:textId="77777777" w:rsidTr="008B7E19">
        <w:trPr>
          <w:trHeight w:val="238"/>
          <w:jc w:val="center"/>
        </w:trPr>
        <w:tc>
          <w:tcPr>
            <w:tcW w:w="4361" w:type="dxa"/>
            <w:tcBorders>
              <w:top w:val="single" w:sz="2" w:space="0" w:color="1F4E79" w:themeColor="accent1" w:themeShade="80"/>
            </w:tcBorders>
            <w:shd w:val="clear" w:color="auto" w:fill="auto"/>
            <w:vAlign w:val="center"/>
          </w:tcPr>
          <w:p w14:paraId="11F48186" w14:textId="77777777" w:rsidR="008B7E19" w:rsidRPr="00C33C38" w:rsidRDefault="008B7E19" w:rsidP="008B7E19">
            <w:pPr>
              <w:pStyle w:val="08-Tabelageral"/>
              <w:jc w:val="left"/>
              <w:rPr>
                <w:rFonts w:cs="Arial"/>
                <w:szCs w:val="14"/>
              </w:rPr>
            </w:pPr>
            <w:r w:rsidRPr="00C33C38">
              <w:rPr>
                <w:rFonts w:cs="Arial"/>
                <w:szCs w:val="14"/>
              </w:rPr>
              <w:t>Operating Income</w:t>
            </w:r>
          </w:p>
        </w:tc>
        <w:tc>
          <w:tcPr>
            <w:tcW w:w="1831" w:type="dxa"/>
            <w:tcBorders>
              <w:top w:val="single" w:sz="2" w:space="0" w:color="1F4E79" w:themeColor="accent1" w:themeShade="80"/>
            </w:tcBorders>
            <w:shd w:val="clear" w:color="auto" w:fill="auto"/>
            <w:vAlign w:val="center"/>
          </w:tcPr>
          <w:p w14:paraId="6C19A5C1" w14:textId="77777777" w:rsidR="008B7E19" w:rsidRPr="004A53AE" w:rsidRDefault="008B7E19" w:rsidP="008B7E19">
            <w:pPr>
              <w:pStyle w:val="08-Tabelageral"/>
              <w:rPr>
                <w:rFonts w:cs="Arial"/>
                <w:b/>
                <w:bCs/>
                <w:szCs w:val="14"/>
              </w:rPr>
            </w:pPr>
            <w:r w:rsidRPr="00C57F78">
              <w:rPr>
                <w:rFonts w:cs="Arial"/>
                <w:szCs w:val="14"/>
              </w:rPr>
              <w:t>3</w:t>
            </w:r>
            <w:r>
              <w:rPr>
                <w:rFonts w:cs="Arial"/>
                <w:szCs w:val="14"/>
              </w:rPr>
              <w:t>,</w:t>
            </w:r>
            <w:r w:rsidRPr="00C57F78">
              <w:rPr>
                <w:rFonts w:cs="Arial"/>
                <w:szCs w:val="14"/>
              </w:rPr>
              <w:t>227</w:t>
            </w:r>
            <w:r>
              <w:rPr>
                <w:rFonts w:cs="Arial"/>
                <w:szCs w:val="14"/>
              </w:rPr>
              <w:t>,</w:t>
            </w:r>
            <w:r w:rsidRPr="00C57F78">
              <w:rPr>
                <w:rFonts w:cs="Arial"/>
                <w:szCs w:val="14"/>
              </w:rPr>
              <w:t>973</w:t>
            </w:r>
          </w:p>
        </w:tc>
        <w:tc>
          <w:tcPr>
            <w:tcW w:w="1831" w:type="dxa"/>
            <w:tcBorders>
              <w:top w:val="single" w:sz="2" w:space="0" w:color="1F4E79" w:themeColor="accent1" w:themeShade="80"/>
            </w:tcBorders>
            <w:vAlign w:val="center"/>
          </w:tcPr>
          <w:p w14:paraId="2EF8C02B" w14:textId="77777777" w:rsidR="008B7E19" w:rsidRPr="004A53AE" w:rsidRDefault="008B7E19" w:rsidP="008B7E19">
            <w:pPr>
              <w:pStyle w:val="08-Tabelageral"/>
              <w:rPr>
                <w:rFonts w:cs="Arial"/>
                <w:b/>
                <w:bCs/>
                <w:szCs w:val="14"/>
              </w:rPr>
            </w:pPr>
            <w:r w:rsidRPr="00C57F78">
              <w:rPr>
                <w:rFonts w:cs="Arial"/>
                <w:szCs w:val="14"/>
              </w:rPr>
              <w:t>127</w:t>
            </w:r>
            <w:r>
              <w:rPr>
                <w:rFonts w:cs="Arial"/>
                <w:szCs w:val="14"/>
              </w:rPr>
              <w:t>,</w:t>
            </w:r>
            <w:r w:rsidRPr="00C57F78">
              <w:rPr>
                <w:rFonts w:cs="Arial"/>
                <w:szCs w:val="14"/>
              </w:rPr>
              <w:t>442</w:t>
            </w:r>
          </w:p>
        </w:tc>
        <w:tc>
          <w:tcPr>
            <w:tcW w:w="1831" w:type="dxa"/>
            <w:tcBorders>
              <w:top w:val="single" w:sz="2" w:space="0" w:color="1F4E79" w:themeColor="accent1" w:themeShade="80"/>
            </w:tcBorders>
            <w:vAlign w:val="center"/>
          </w:tcPr>
          <w:p w14:paraId="17F1108F" w14:textId="77777777" w:rsidR="008B7E19" w:rsidRPr="004A53AE" w:rsidRDefault="008B7E19" w:rsidP="008B7E19">
            <w:pPr>
              <w:pStyle w:val="08-Tabelageral"/>
              <w:rPr>
                <w:rFonts w:cs="Arial"/>
                <w:b/>
                <w:bCs/>
                <w:szCs w:val="14"/>
              </w:rPr>
            </w:pPr>
            <w:r w:rsidRPr="00C57F78">
              <w:rPr>
                <w:rFonts w:cs="Arial"/>
                <w:szCs w:val="14"/>
              </w:rPr>
              <w:t>3</w:t>
            </w:r>
            <w:r>
              <w:rPr>
                <w:rFonts w:cs="Arial"/>
                <w:szCs w:val="14"/>
              </w:rPr>
              <w:t>,</w:t>
            </w:r>
            <w:r w:rsidRPr="00C57F78">
              <w:rPr>
                <w:rFonts w:cs="Arial"/>
                <w:szCs w:val="14"/>
              </w:rPr>
              <w:t>355</w:t>
            </w:r>
            <w:r>
              <w:rPr>
                <w:rFonts w:cs="Arial"/>
                <w:szCs w:val="14"/>
              </w:rPr>
              <w:t>,</w:t>
            </w:r>
            <w:r w:rsidRPr="00C57F78">
              <w:rPr>
                <w:rFonts w:cs="Arial"/>
                <w:szCs w:val="14"/>
              </w:rPr>
              <w:t>415</w:t>
            </w:r>
          </w:p>
        </w:tc>
      </w:tr>
      <w:tr w:rsidR="008B7E19" w:rsidRPr="004A53AE" w14:paraId="0980F125" w14:textId="77777777" w:rsidTr="008B7E19">
        <w:trPr>
          <w:trHeight w:val="238"/>
          <w:jc w:val="center"/>
        </w:trPr>
        <w:tc>
          <w:tcPr>
            <w:tcW w:w="4361" w:type="dxa"/>
            <w:shd w:val="clear" w:color="auto" w:fill="auto"/>
            <w:vAlign w:val="center"/>
          </w:tcPr>
          <w:p w14:paraId="3D4ACB16" w14:textId="77777777" w:rsidR="008B7E19" w:rsidRPr="00C33C38" w:rsidRDefault="008B7E19" w:rsidP="008B7E19">
            <w:pPr>
              <w:pStyle w:val="08-Tabelageral"/>
              <w:jc w:val="left"/>
              <w:rPr>
                <w:rFonts w:cs="Arial"/>
                <w:szCs w:val="14"/>
              </w:rPr>
            </w:pPr>
            <w:r w:rsidRPr="00C33C38">
              <w:rPr>
                <w:rFonts w:cs="Arial"/>
                <w:szCs w:val="14"/>
              </w:rPr>
              <w:t>Equity income</w:t>
            </w:r>
          </w:p>
        </w:tc>
        <w:tc>
          <w:tcPr>
            <w:tcW w:w="1831" w:type="dxa"/>
            <w:shd w:val="clear" w:color="auto" w:fill="auto"/>
            <w:vAlign w:val="center"/>
          </w:tcPr>
          <w:p w14:paraId="795DF2B1" w14:textId="77777777" w:rsidR="008B7E19" w:rsidRPr="004A53AE" w:rsidRDefault="008B7E19" w:rsidP="008B7E19">
            <w:pPr>
              <w:pStyle w:val="08-Tabelageral"/>
              <w:rPr>
                <w:rFonts w:cs="Arial"/>
                <w:b/>
                <w:bCs/>
                <w:szCs w:val="14"/>
              </w:rPr>
            </w:pPr>
            <w:r w:rsidRPr="00C57F78">
              <w:rPr>
                <w:rFonts w:cs="Arial"/>
                <w:szCs w:val="14"/>
              </w:rPr>
              <w:t>1</w:t>
            </w:r>
            <w:r>
              <w:rPr>
                <w:rFonts w:cs="Arial"/>
                <w:szCs w:val="14"/>
              </w:rPr>
              <w:t>,</w:t>
            </w:r>
            <w:r w:rsidRPr="00C57F78">
              <w:rPr>
                <w:rFonts w:cs="Arial"/>
                <w:szCs w:val="14"/>
              </w:rPr>
              <w:t>372</w:t>
            </w:r>
            <w:r>
              <w:rPr>
                <w:rFonts w:cs="Arial"/>
                <w:szCs w:val="14"/>
              </w:rPr>
              <w:t>,</w:t>
            </w:r>
            <w:r w:rsidRPr="00C57F78">
              <w:rPr>
                <w:rFonts w:cs="Arial"/>
                <w:szCs w:val="14"/>
              </w:rPr>
              <w:t>666</w:t>
            </w:r>
          </w:p>
        </w:tc>
        <w:tc>
          <w:tcPr>
            <w:tcW w:w="1831" w:type="dxa"/>
            <w:vAlign w:val="center"/>
          </w:tcPr>
          <w:p w14:paraId="24345921" w14:textId="77777777" w:rsidR="008B7E19" w:rsidRPr="004A53AE" w:rsidRDefault="008B7E19" w:rsidP="008B7E19">
            <w:pPr>
              <w:pStyle w:val="08-Tabelageral"/>
              <w:rPr>
                <w:rFonts w:cs="Arial"/>
                <w:b/>
                <w:bCs/>
                <w:szCs w:val="14"/>
              </w:rPr>
            </w:pPr>
            <w:r w:rsidRPr="00C57F78">
              <w:rPr>
                <w:rFonts w:cs="Arial"/>
                <w:szCs w:val="14"/>
              </w:rPr>
              <w:t>127</w:t>
            </w:r>
            <w:r>
              <w:rPr>
                <w:rFonts w:cs="Arial"/>
                <w:szCs w:val="14"/>
              </w:rPr>
              <w:t>,</w:t>
            </w:r>
            <w:r w:rsidRPr="00C57F78">
              <w:rPr>
                <w:rFonts w:cs="Arial"/>
                <w:szCs w:val="14"/>
              </w:rPr>
              <w:t>442</w:t>
            </w:r>
          </w:p>
        </w:tc>
        <w:tc>
          <w:tcPr>
            <w:tcW w:w="1831" w:type="dxa"/>
            <w:vAlign w:val="center"/>
          </w:tcPr>
          <w:p w14:paraId="074BFEF7" w14:textId="77777777" w:rsidR="008B7E19" w:rsidRPr="004A53AE" w:rsidRDefault="008B7E19" w:rsidP="008B7E19">
            <w:pPr>
              <w:pStyle w:val="08-Tabelageral"/>
              <w:rPr>
                <w:rFonts w:cs="Arial"/>
                <w:b/>
                <w:bCs/>
                <w:szCs w:val="14"/>
              </w:rPr>
            </w:pPr>
            <w:r w:rsidRPr="00C57F78">
              <w:rPr>
                <w:rFonts w:cs="Arial"/>
                <w:szCs w:val="14"/>
              </w:rPr>
              <w:t>1</w:t>
            </w:r>
            <w:r>
              <w:rPr>
                <w:rFonts w:cs="Arial"/>
                <w:szCs w:val="14"/>
              </w:rPr>
              <w:t>,</w:t>
            </w:r>
            <w:r w:rsidRPr="00C57F78">
              <w:rPr>
                <w:rFonts w:cs="Arial"/>
                <w:szCs w:val="14"/>
              </w:rPr>
              <w:t>500</w:t>
            </w:r>
            <w:r>
              <w:rPr>
                <w:rFonts w:cs="Arial"/>
                <w:szCs w:val="14"/>
              </w:rPr>
              <w:t>,</w:t>
            </w:r>
            <w:r w:rsidRPr="00C57F78">
              <w:rPr>
                <w:rFonts w:cs="Arial"/>
                <w:szCs w:val="14"/>
              </w:rPr>
              <w:t>108</w:t>
            </w:r>
          </w:p>
        </w:tc>
      </w:tr>
      <w:tr w:rsidR="008B7E19" w:rsidRPr="004A53AE" w14:paraId="6A6F3722" w14:textId="77777777" w:rsidTr="008B7E19">
        <w:trPr>
          <w:trHeight w:val="238"/>
          <w:jc w:val="center"/>
        </w:trPr>
        <w:tc>
          <w:tcPr>
            <w:tcW w:w="4361" w:type="dxa"/>
            <w:shd w:val="clear" w:color="auto" w:fill="auto"/>
            <w:vAlign w:val="center"/>
          </w:tcPr>
          <w:p w14:paraId="32AFE0C0" w14:textId="77777777" w:rsidR="008B7E19" w:rsidRPr="00C33C38" w:rsidRDefault="008B7E19" w:rsidP="008B7E19">
            <w:pPr>
              <w:pStyle w:val="08-Tabelageral"/>
              <w:jc w:val="left"/>
              <w:rPr>
                <w:rFonts w:cs="Arial"/>
                <w:szCs w:val="14"/>
              </w:rPr>
            </w:pPr>
            <w:r w:rsidRPr="00C33C38">
              <w:rPr>
                <w:rFonts w:cs="Arial"/>
                <w:szCs w:val="14"/>
              </w:rPr>
              <w:t>Net commissions income</w:t>
            </w:r>
          </w:p>
        </w:tc>
        <w:tc>
          <w:tcPr>
            <w:tcW w:w="1831" w:type="dxa"/>
            <w:shd w:val="clear" w:color="auto" w:fill="auto"/>
            <w:vAlign w:val="center"/>
          </w:tcPr>
          <w:p w14:paraId="204DE418" w14:textId="77777777" w:rsidR="008B7E19" w:rsidRPr="004A53AE" w:rsidRDefault="008B7E19" w:rsidP="008B7E19">
            <w:pPr>
              <w:pStyle w:val="08-Tabelageral"/>
              <w:rPr>
                <w:rFonts w:cs="Arial"/>
                <w:b/>
                <w:bCs/>
                <w:szCs w:val="14"/>
              </w:rPr>
            </w:pPr>
            <w:r w:rsidRPr="00C57F78">
              <w:rPr>
                <w:rFonts w:cs="Arial"/>
                <w:szCs w:val="14"/>
              </w:rPr>
              <w:t>1</w:t>
            </w:r>
            <w:r>
              <w:rPr>
                <w:rFonts w:cs="Arial"/>
                <w:szCs w:val="14"/>
              </w:rPr>
              <w:t>,</w:t>
            </w:r>
            <w:r w:rsidRPr="00C57F78">
              <w:rPr>
                <w:rFonts w:cs="Arial"/>
                <w:szCs w:val="14"/>
              </w:rPr>
              <w:t>855</w:t>
            </w:r>
            <w:r>
              <w:rPr>
                <w:rFonts w:cs="Arial"/>
                <w:szCs w:val="14"/>
              </w:rPr>
              <w:t>,</w:t>
            </w:r>
            <w:r w:rsidRPr="00C57F78">
              <w:rPr>
                <w:rFonts w:cs="Arial"/>
                <w:szCs w:val="14"/>
              </w:rPr>
              <w:t>307</w:t>
            </w:r>
          </w:p>
        </w:tc>
        <w:tc>
          <w:tcPr>
            <w:tcW w:w="1831" w:type="dxa"/>
            <w:vAlign w:val="center"/>
          </w:tcPr>
          <w:p w14:paraId="673424FD" w14:textId="77777777" w:rsidR="008B7E19" w:rsidRPr="004A53AE" w:rsidRDefault="008B7E19" w:rsidP="008B7E19">
            <w:pPr>
              <w:pStyle w:val="08-Tabelageral"/>
              <w:rPr>
                <w:rFonts w:cs="Arial"/>
                <w:b/>
                <w:bCs/>
                <w:szCs w:val="14"/>
              </w:rPr>
            </w:pPr>
            <w:r w:rsidRPr="00C57F78">
              <w:rPr>
                <w:rFonts w:cs="Arial"/>
                <w:szCs w:val="14"/>
              </w:rPr>
              <w:t>--</w:t>
            </w:r>
          </w:p>
        </w:tc>
        <w:tc>
          <w:tcPr>
            <w:tcW w:w="1831" w:type="dxa"/>
            <w:vAlign w:val="center"/>
          </w:tcPr>
          <w:p w14:paraId="567BE78F" w14:textId="77777777" w:rsidR="008B7E19" w:rsidRPr="004A53AE" w:rsidRDefault="008B7E19" w:rsidP="008B7E19">
            <w:pPr>
              <w:pStyle w:val="08-Tabelageral"/>
              <w:rPr>
                <w:rFonts w:cs="Arial"/>
                <w:b/>
                <w:bCs/>
                <w:szCs w:val="14"/>
              </w:rPr>
            </w:pPr>
            <w:r w:rsidRPr="00C57F78">
              <w:rPr>
                <w:rFonts w:cs="Arial"/>
                <w:szCs w:val="14"/>
              </w:rPr>
              <w:t>1</w:t>
            </w:r>
            <w:r>
              <w:rPr>
                <w:rFonts w:cs="Arial"/>
                <w:szCs w:val="14"/>
              </w:rPr>
              <w:t>,</w:t>
            </w:r>
            <w:r w:rsidRPr="00C57F78">
              <w:rPr>
                <w:rFonts w:cs="Arial"/>
                <w:szCs w:val="14"/>
              </w:rPr>
              <w:t>855</w:t>
            </w:r>
            <w:r>
              <w:rPr>
                <w:rFonts w:cs="Arial"/>
                <w:szCs w:val="14"/>
              </w:rPr>
              <w:t>,</w:t>
            </w:r>
            <w:r w:rsidRPr="00C57F78">
              <w:rPr>
                <w:rFonts w:cs="Arial"/>
                <w:szCs w:val="14"/>
              </w:rPr>
              <w:t>307</w:t>
            </w:r>
          </w:p>
        </w:tc>
      </w:tr>
      <w:tr w:rsidR="008B7E19" w:rsidRPr="004A53AE" w14:paraId="46117A96" w14:textId="77777777" w:rsidTr="008B7E19">
        <w:trPr>
          <w:trHeight w:val="238"/>
          <w:jc w:val="center"/>
        </w:trPr>
        <w:tc>
          <w:tcPr>
            <w:tcW w:w="4361" w:type="dxa"/>
            <w:shd w:val="clear" w:color="auto" w:fill="auto"/>
            <w:vAlign w:val="center"/>
          </w:tcPr>
          <w:p w14:paraId="47A2F98E" w14:textId="77777777" w:rsidR="008B7E19" w:rsidRPr="00C33C38" w:rsidRDefault="008B7E19" w:rsidP="008B7E19">
            <w:pPr>
              <w:pStyle w:val="08-Tabelageral"/>
              <w:jc w:val="left"/>
              <w:rPr>
                <w:rFonts w:cs="Arial"/>
                <w:szCs w:val="14"/>
              </w:rPr>
            </w:pPr>
            <w:r w:rsidRPr="00C33C38">
              <w:rPr>
                <w:rFonts w:cs="Arial"/>
                <w:szCs w:val="14"/>
              </w:rPr>
              <w:t>Cost of Services Provided</w:t>
            </w:r>
          </w:p>
        </w:tc>
        <w:tc>
          <w:tcPr>
            <w:tcW w:w="1831" w:type="dxa"/>
            <w:shd w:val="clear" w:color="auto" w:fill="auto"/>
            <w:vAlign w:val="center"/>
          </w:tcPr>
          <w:p w14:paraId="524C8D22" w14:textId="77777777" w:rsidR="008B7E19" w:rsidRPr="004A53AE" w:rsidRDefault="008B7E19" w:rsidP="008B7E19">
            <w:pPr>
              <w:pStyle w:val="08-Tabelageral"/>
              <w:rPr>
                <w:rFonts w:cs="Arial"/>
                <w:b/>
                <w:bCs/>
                <w:szCs w:val="14"/>
              </w:rPr>
            </w:pPr>
            <w:r w:rsidRPr="00C57F78">
              <w:rPr>
                <w:rFonts w:cs="Arial"/>
                <w:szCs w:val="14"/>
              </w:rPr>
              <w:t>(101</w:t>
            </w:r>
            <w:r>
              <w:rPr>
                <w:rFonts w:cs="Arial"/>
                <w:szCs w:val="14"/>
              </w:rPr>
              <w:t>,</w:t>
            </w:r>
            <w:r w:rsidRPr="00C57F78">
              <w:rPr>
                <w:rFonts w:cs="Arial"/>
                <w:szCs w:val="14"/>
              </w:rPr>
              <w:t>800)</w:t>
            </w:r>
          </w:p>
        </w:tc>
        <w:tc>
          <w:tcPr>
            <w:tcW w:w="1831" w:type="dxa"/>
            <w:vAlign w:val="center"/>
          </w:tcPr>
          <w:p w14:paraId="5DCF354E" w14:textId="77777777" w:rsidR="008B7E19" w:rsidRPr="004A53AE" w:rsidRDefault="008B7E19" w:rsidP="008B7E19">
            <w:pPr>
              <w:pStyle w:val="08-Tabelageral"/>
              <w:rPr>
                <w:rFonts w:cs="Arial"/>
                <w:b/>
                <w:bCs/>
                <w:szCs w:val="14"/>
              </w:rPr>
            </w:pPr>
            <w:r w:rsidRPr="00C57F78">
              <w:rPr>
                <w:rFonts w:cs="Arial"/>
                <w:szCs w:val="14"/>
              </w:rPr>
              <w:t>--</w:t>
            </w:r>
          </w:p>
        </w:tc>
        <w:tc>
          <w:tcPr>
            <w:tcW w:w="1831" w:type="dxa"/>
            <w:vAlign w:val="center"/>
          </w:tcPr>
          <w:p w14:paraId="713CD703" w14:textId="77777777" w:rsidR="008B7E19" w:rsidRPr="004A53AE" w:rsidRDefault="008B7E19" w:rsidP="008B7E19">
            <w:pPr>
              <w:pStyle w:val="08-Tabelageral"/>
              <w:rPr>
                <w:rFonts w:cs="Arial"/>
                <w:b/>
                <w:bCs/>
                <w:szCs w:val="14"/>
              </w:rPr>
            </w:pPr>
            <w:r w:rsidRPr="00C57F78">
              <w:rPr>
                <w:rFonts w:cs="Arial"/>
                <w:szCs w:val="14"/>
              </w:rPr>
              <w:t>(101</w:t>
            </w:r>
            <w:r>
              <w:rPr>
                <w:rFonts w:cs="Arial"/>
                <w:szCs w:val="14"/>
              </w:rPr>
              <w:t>,</w:t>
            </w:r>
            <w:r w:rsidRPr="00C57F78">
              <w:rPr>
                <w:rFonts w:cs="Arial"/>
                <w:szCs w:val="14"/>
              </w:rPr>
              <w:t>800)</w:t>
            </w:r>
          </w:p>
        </w:tc>
      </w:tr>
      <w:tr w:rsidR="008B7E19" w:rsidRPr="004A53AE" w14:paraId="0107080C" w14:textId="77777777" w:rsidTr="008B7E19">
        <w:trPr>
          <w:trHeight w:val="238"/>
          <w:jc w:val="center"/>
        </w:trPr>
        <w:tc>
          <w:tcPr>
            <w:tcW w:w="4361" w:type="dxa"/>
            <w:shd w:val="clear" w:color="auto" w:fill="auto"/>
            <w:vAlign w:val="center"/>
          </w:tcPr>
          <w:p w14:paraId="2798A6EF" w14:textId="77777777" w:rsidR="008B7E19" w:rsidRPr="00C33C38" w:rsidRDefault="008B7E19" w:rsidP="008B7E19">
            <w:pPr>
              <w:pStyle w:val="08-Tabelageral"/>
              <w:jc w:val="left"/>
              <w:rPr>
                <w:rFonts w:cs="Arial"/>
                <w:szCs w:val="14"/>
              </w:rPr>
            </w:pPr>
            <w:r w:rsidRPr="00C33C38">
              <w:rPr>
                <w:rFonts w:cs="Arial"/>
                <w:szCs w:val="14"/>
              </w:rPr>
              <w:t>Gross Profit</w:t>
            </w:r>
          </w:p>
        </w:tc>
        <w:tc>
          <w:tcPr>
            <w:tcW w:w="1831" w:type="dxa"/>
            <w:shd w:val="clear" w:color="auto" w:fill="auto"/>
            <w:vAlign w:val="center"/>
          </w:tcPr>
          <w:p w14:paraId="2648DB85" w14:textId="77777777" w:rsidR="008B7E19" w:rsidRPr="004A53AE" w:rsidRDefault="008B7E19" w:rsidP="008B7E19">
            <w:pPr>
              <w:pStyle w:val="08-Tabelageral"/>
              <w:rPr>
                <w:rFonts w:cs="Arial"/>
                <w:b/>
                <w:bCs/>
                <w:szCs w:val="14"/>
              </w:rPr>
            </w:pPr>
            <w:r w:rsidRPr="00C57F78">
              <w:rPr>
                <w:rFonts w:cs="Arial"/>
                <w:szCs w:val="14"/>
              </w:rPr>
              <w:t>3</w:t>
            </w:r>
            <w:r>
              <w:rPr>
                <w:rFonts w:cs="Arial"/>
                <w:szCs w:val="14"/>
              </w:rPr>
              <w:t>,</w:t>
            </w:r>
            <w:r w:rsidRPr="00C57F78">
              <w:rPr>
                <w:rFonts w:cs="Arial"/>
                <w:szCs w:val="14"/>
              </w:rPr>
              <w:t>126</w:t>
            </w:r>
            <w:r>
              <w:rPr>
                <w:rFonts w:cs="Arial"/>
                <w:szCs w:val="14"/>
              </w:rPr>
              <w:t>,</w:t>
            </w:r>
            <w:r w:rsidRPr="00C57F78">
              <w:rPr>
                <w:rFonts w:cs="Arial"/>
                <w:szCs w:val="14"/>
              </w:rPr>
              <w:t>173</w:t>
            </w:r>
          </w:p>
        </w:tc>
        <w:tc>
          <w:tcPr>
            <w:tcW w:w="1831" w:type="dxa"/>
            <w:vAlign w:val="center"/>
          </w:tcPr>
          <w:p w14:paraId="541A35BD" w14:textId="77777777" w:rsidR="008B7E19" w:rsidRPr="004A53AE" w:rsidRDefault="008B7E19" w:rsidP="008B7E19">
            <w:pPr>
              <w:pStyle w:val="08-Tabelageral"/>
              <w:rPr>
                <w:rFonts w:cs="Arial"/>
                <w:b/>
                <w:bCs/>
                <w:szCs w:val="14"/>
              </w:rPr>
            </w:pPr>
            <w:r w:rsidRPr="00C57F78">
              <w:rPr>
                <w:rFonts w:cs="Arial"/>
                <w:szCs w:val="14"/>
              </w:rPr>
              <w:t>127</w:t>
            </w:r>
            <w:r>
              <w:rPr>
                <w:rFonts w:cs="Arial"/>
                <w:szCs w:val="14"/>
              </w:rPr>
              <w:t>,</w:t>
            </w:r>
            <w:r w:rsidRPr="00C57F78">
              <w:rPr>
                <w:rFonts w:cs="Arial"/>
                <w:szCs w:val="14"/>
              </w:rPr>
              <w:t>442</w:t>
            </w:r>
          </w:p>
        </w:tc>
        <w:tc>
          <w:tcPr>
            <w:tcW w:w="1831" w:type="dxa"/>
            <w:vAlign w:val="center"/>
          </w:tcPr>
          <w:p w14:paraId="0C8C64E3" w14:textId="77777777" w:rsidR="008B7E19" w:rsidRPr="004A53AE" w:rsidRDefault="008B7E19" w:rsidP="008B7E19">
            <w:pPr>
              <w:pStyle w:val="08-Tabelageral"/>
              <w:rPr>
                <w:rFonts w:cs="Arial"/>
                <w:b/>
                <w:bCs/>
                <w:szCs w:val="14"/>
              </w:rPr>
            </w:pPr>
            <w:r w:rsidRPr="00C57F78">
              <w:rPr>
                <w:rFonts w:cs="Arial"/>
                <w:szCs w:val="14"/>
              </w:rPr>
              <w:t>3</w:t>
            </w:r>
            <w:r>
              <w:rPr>
                <w:rFonts w:cs="Arial"/>
                <w:szCs w:val="14"/>
              </w:rPr>
              <w:t>,</w:t>
            </w:r>
            <w:r w:rsidRPr="00C57F78">
              <w:rPr>
                <w:rFonts w:cs="Arial"/>
                <w:szCs w:val="14"/>
              </w:rPr>
              <w:t>253</w:t>
            </w:r>
            <w:r>
              <w:rPr>
                <w:rFonts w:cs="Arial"/>
                <w:szCs w:val="14"/>
              </w:rPr>
              <w:t>,</w:t>
            </w:r>
            <w:r w:rsidRPr="00C57F78">
              <w:rPr>
                <w:rFonts w:cs="Arial"/>
                <w:szCs w:val="14"/>
              </w:rPr>
              <w:t>615</w:t>
            </w:r>
          </w:p>
        </w:tc>
      </w:tr>
      <w:tr w:rsidR="008B7E19" w:rsidRPr="004A53AE" w14:paraId="3003AD98" w14:textId="77777777" w:rsidTr="008B7E19">
        <w:trPr>
          <w:trHeight w:val="238"/>
          <w:jc w:val="center"/>
        </w:trPr>
        <w:tc>
          <w:tcPr>
            <w:tcW w:w="4361" w:type="dxa"/>
            <w:shd w:val="clear" w:color="auto" w:fill="auto"/>
            <w:vAlign w:val="center"/>
          </w:tcPr>
          <w:p w14:paraId="05CC74F4" w14:textId="77777777" w:rsidR="008B7E19" w:rsidRPr="00C33C38" w:rsidRDefault="008B7E19" w:rsidP="008B7E19">
            <w:pPr>
              <w:pStyle w:val="08-Tabelageral"/>
              <w:jc w:val="left"/>
              <w:rPr>
                <w:rFonts w:cs="Arial"/>
                <w:szCs w:val="14"/>
              </w:rPr>
            </w:pPr>
            <w:r w:rsidRPr="00C33C38">
              <w:rPr>
                <w:rFonts w:cs="Arial"/>
                <w:szCs w:val="14"/>
              </w:rPr>
              <w:t>Other Income and Expenses</w:t>
            </w:r>
          </w:p>
        </w:tc>
        <w:tc>
          <w:tcPr>
            <w:tcW w:w="1831" w:type="dxa"/>
            <w:shd w:val="clear" w:color="auto" w:fill="auto"/>
            <w:vAlign w:val="center"/>
          </w:tcPr>
          <w:p w14:paraId="0FAF57C9" w14:textId="77777777" w:rsidR="008B7E19" w:rsidRPr="004A53AE" w:rsidRDefault="008B7E19" w:rsidP="008B7E19">
            <w:pPr>
              <w:pStyle w:val="08-Tabelageral"/>
              <w:rPr>
                <w:rFonts w:cs="Arial"/>
                <w:b/>
                <w:bCs/>
                <w:szCs w:val="14"/>
              </w:rPr>
            </w:pPr>
            <w:r w:rsidRPr="00C57F78">
              <w:rPr>
                <w:rFonts w:cs="Arial"/>
                <w:szCs w:val="14"/>
              </w:rPr>
              <w:t>(88</w:t>
            </w:r>
            <w:r>
              <w:rPr>
                <w:rFonts w:cs="Arial"/>
                <w:szCs w:val="14"/>
              </w:rPr>
              <w:t>,</w:t>
            </w:r>
            <w:r w:rsidRPr="00C57F78">
              <w:rPr>
                <w:rFonts w:cs="Arial"/>
                <w:szCs w:val="14"/>
              </w:rPr>
              <w:t>669)</w:t>
            </w:r>
          </w:p>
        </w:tc>
        <w:tc>
          <w:tcPr>
            <w:tcW w:w="1831" w:type="dxa"/>
            <w:vAlign w:val="center"/>
          </w:tcPr>
          <w:p w14:paraId="54C78042" w14:textId="77777777" w:rsidR="008B7E19" w:rsidRPr="004A53AE" w:rsidRDefault="008B7E19" w:rsidP="008B7E19">
            <w:pPr>
              <w:pStyle w:val="08-Tabelageral"/>
              <w:rPr>
                <w:rFonts w:cs="Arial"/>
                <w:b/>
                <w:bCs/>
                <w:szCs w:val="14"/>
              </w:rPr>
            </w:pPr>
            <w:r w:rsidRPr="00C57F78">
              <w:rPr>
                <w:rFonts w:cs="Arial"/>
                <w:szCs w:val="14"/>
              </w:rPr>
              <w:t>--</w:t>
            </w:r>
          </w:p>
        </w:tc>
        <w:tc>
          <w:tcPr>
            <w:tcW w:w="1831" w:type="dxa"/>
            <w:vAlign w:val="center"/>
          </w:tcPr>
          <w:p w14:paraId="0490546E" w14:textId="77777777" w:rsidR="008B7E19" w:rsidRPr="004A53AE" w:rsidRDefault="008B7E19" w:rsidP="008B7E19">
            <w:pPr>
              <w:pStyle w:val="08-Tabelageral"/>
              <w:rPr>
                <w:rFonts w:cs="Arial"/>
                <w:b/>
                <w:bCs/>
                <w:szCs w:val="14"/>
              </w:rPr>
            </w:pPr>
            <w:r w:rsidRPr="00C57F78">
              <w:rPr>
                <w:rFonts w:cs="Arial"/>
                <w:szCs w:val="14"/>
              </w:rPr>
              <w:t>(88</w:t>
            </w:r>
            <w:r>
              <w:rPr>
                <w:rFonts w:cs="Arial"/>
                <w:szCs w:val="14"/>
              </w:rPr>
              <w:t>,</w:t>
            </w:r>
            <w:r w:rsidRPr="00C57F78">
              <w:rPr>
                <w:rFonts w:cs="Arial"/>
                <w:szCs w:val="14"/>
              </w:rPr>
              <w:t>669)</w:t>
            </w:r>
          </w:p>
        </w:tc>
      </w:tr>
      <w:tr w:rsidR="008B7E19" w:rsidRPr="00C33C38" w14:paraId="5F86F0FD" w14:textId="77777777" w:rsidTr="008B7E19">
        <w:trPr>
          <w:trHeight w:val="238"/>
          <w:jc w:val="center"/>
        </w:trPr>
        <w:tc>
          <w:tcPr>
            <w:tcW w:w="4361" w:type="dxa"/>
            <w:shd w:val="clear" w:color="auto" w:fill="auto"/>
            <w:vAlign w:val="center"/>
          </w:tcPr>
          <w:p w14:paraId="18276B73" w14:textId="77777777" w:rsidR="008B7E19" w:rsidRPr="00C33C38" w:rsidRDefault="008B7E19" w:rsidP="008B7E19">
            <w:pPr>
              <w:pStyle w:val="08-Tabelageral"/>
              <w:jc w:val="left"/>
              <w:rPr>
                <w:rFonts w:cs="Arial"/>
                <w:szCs w:val="14"/>
                <w:lang w:val="en-US"/>
              </w:rPr>
            </w:pPr>
            <w:r w:rsidRPr="00C33C38">
              <w:rPr>
                <w:rFonts w:cs="Arial"/>
                <w:szCs w:val="14"/>
                <w:lang w:val="en-US"/>
              </w:rPr>
              <w:t>Income Before Financial Revenue and Expenses</w:t>
            </w:r>
          </w:p>
        </w:tc>
        <w:tc>
          <w:tcPr>
            <w:tcW w:w="1831" w:type="dxa"/>
            <w:shd w:val="clear" w:color="auto" w:fill="auto"/>
            <w:vAlign w:val="center"/>
          </w:tcPr>
          <w:p w14:paraId="3B51DC57" w14:textId="77777777" w:rsidR="008B7E19" w:rsidRPr="00C33C38" w:rsidRDefault="008B7E19" w:rsidP="008B7E19">
            <w:pPr>
              <w:pStyle w:val="08-Tabelageral"/>
              <w:rPr>
                <w:rFonts w:cs="Arial"/>
                <w:b/>
                <w:bCs/>
                <w:szCs w:val="14"/>
                <w:lang w:val="en-US"/>
              </w:rPr>
            </w:pPr>
            <w:r w:rsidRPr="00C57F78">
              <w:rPr>
                <w:rFonts w:cs="Arial"/>
                <w:szCs w:val="14"/>
              </w:rPr>
              <w:t>3</w:t>
            </w:r>
            <w:r>
              <w:rPr>
                <w:rFonts w:cs="Arial"/>
                <w:szCs w:val="14"/>
              </w:rPr>
              <w:t>,</w:t>
            </w:r>
            <w:r w:rsidRPr="00C57F78">
              <w:rPr>
                <w:rFonts w:cs="Arial"/>
                <w:szCs w:val="14"/>
              </w:rPr>
              <w:t>037</w:t>
            </w:r>
            <w:r>
              <w:rPr>
                <w:rFonts w:cs="Arial"/>
                <w:szCs w:val="14"/>
              </w:rPr>
              <w:t>,</w:t>
            </w:r>
            <w:r w:rsidRPr="00C57F78">
              <w:rPr>
                <w:rFonts w:cs="Arial"/>
                <w:szCs w:val="14"/>
              </w:rPr>
              <w:t>504</w:t>
            </w:r>
          </w:p>
        </w:tc>
        <w:tc>
          <w:tcPr>
            <w:tcW w:w="1831" w:type="dxa"/>
            <w:vAlign w:val="center"/>
          </w:tcPr>
          <w:p w14:paraId="4E7ECCF9" w14:textId="77777777" w:rsidR="008B7E19" w:rsidRPr="00C33C38" w:rsidRDefault="008B7E19" w:rsidP="008B7E19">
            <w:pPr>
              <w:pStyle w:val="08-Tabelageral"/>
              <w:rPr>
                <w:rFonts w:cs="Arial"/>
                <w:b/>
                <w:bCs/>
                <w:szCs w:val="14"/>
                <w:lang w:val="en-US"/>
              </w:rPr>
            </w:pPr>
            <w:r w:rsidRPr="00C57F78">
              <w:rPr>
                <w:rFonts w:cs="Arial"/>
                <w:szCs w:val="14"/>
              </w:rPr>
              <w:t>127</w:t>
            </w:r>
            <w:r>
              <w:rPr>
                <w:rFonts w:cs="Arial"/>
                <w:szCs w:val="14"/>
              </w:rPr>
              <w:t>,</w:t>
            </w:r>
            <w:r w:rsidRPr="00C57F78">
              <w:rPr>
                <w:rFonts w:cs="Arial"/>
                <w:szCs w:val="14"/>
              </w:rPr>
              <w:t>442</w:t>
            </w:r>
          </w:p>
        </w:tc>
        <w:tc>
          <w:tcPr>
            <w:tcW w:w="1831" w:type="dxa"/>
            <w:vAlign w:val="center"/>
          </w:tcPr>
          <w:p w14:paraId="718A3E5A" w14:textId="77777777" w:rsidR="008B7E19" w:rsidRPr="00C33C38" w:rsidRDefault="008B7E19" w:rsidP="008B7E19">
            <w:pPr>
              <w:pStyle w:val="08-Tabelageral"/>
              <w:rPr>
                <w:rFonts w:cs="Arial"/>
                <w:b/>
                <w:bCs/>
                <w:szCs w:val="14"/>
                <w:lang w:val="en-US"/>
              </w:rPr>
            </w:pPr>
            <w:r w:rsidRPr="00C57F78">
              <w:rPr>
                <w:rFonts w:cs="Arial"/>
                <w:szCs w:val="14"/>
              </w:rPr>
              <w:t>3</w:t>
            </w:r>
            <w:r>
              <w:rPr>
                <w:rFonts w:cs="Arial"/>
                <w:szCs w:val="14"/>
              </w:rPr>
              <w:t>,</w:t>
            </w:r>
            <w:r w:rsidRPr="00C57F78">
              <w:rPr>
                <w:rFonts w:cs="Arial"/>
                <w:szCs w:val="14"/>
              </w:rPr>
              <w:t>164</w:t>
            </w:r>
            <w:r>
              <w:rPr>
                <w:rFonts w:cs="Arial"/>
                <w:szCs w:val="14"/>
              </w:rPr>
              <w:t>,</w:t>
            </w:r>
            <w:r w:rsidRPr="00C57F78">
              <w:rPr>
                <w:rFonts w:cs="Arial"/>
                <w:szCs w:val="14"/>
              </w:rPr>
              <w:t>946</w:t>
            </w:r>
          </w:p>
        </w:tc>
      </w:tr>
      <w:tr w:rsidR="008B7E19" w:rsidRPr="004A53AE" w14:paraId="3A56154C" w14:textId="77777777" w:rsidTr="008B7E19">
        <w:trPr>
          <w:trHeight w:val="238"/>
          <w:jc w:val="center"/>
        </w:trPr>
        <w:tc>
          <w:tcPr>
            <w:tcW w:w="4361" w:type="dxa"/>
            <w:shd w:val="clear" w:color="auto" w:fill="auto"/>
            <w:vAlign w:val="center"/>
          </w:tcPr>
          <w:p w14:paraId="56D80222" w14:textId="77777777" w:rsidR="008B7E19" w:rsidRPr="00C33C38" w:rsidRDefault="008B7E19" w:rsidP="008B7E19">
            <w:pPr>
              <w:pStyle w:val="08-Tabelageral"/>
              <w:jc w:val="left"/>
              <w:rPr>
                <w:rFonts w:cs="Arial"/>
                <w:szCs w:val="14"/>
              </w:rPr>
            </w:pPr>
            <w:r w:rsidRPr="00C33C38">
              <w:rPr>
                <w:rFonts w:cs="Arial"/>
                <w:szCs w:val="14"/>
              </w:rPr>
              <w:t>Financial Result</w:t>
            </w:r>
          </w:p>
        </w:tc>
        <w:tc>
          <w:tcPr>
            <w:tcW w:w="1831" w:type="dxa"/>
            <w:shd w:val="clear" w:color="auto" w:fill="auto"/>
            <w:vAlign w:val="center"/>
          </w:tcPr>
          <w:p w14:paraId="37D6C598" w14:textId="77777777" w:rsidR="008B7E19" w:rsidRPr="004A53AE" w:rsidRDefault="008B7E19" w:rsidP="008B7E19">
            <w:pPr>
              <w:pStyle w:val="08-Tabelageral"/>
              <w:rPr>
                <w:rFonts w:cs="Arial"/>
                <w:b/>
                <w:bCs/>
                <w:szCs w:val="14"/>
              </w:rPr>
            </w:pPr>
            <w:r w:rsidRPr="00C57F78">
              <w:rPr>
                <w:rFonts w:cs="Arial"/>
                <w:szCs w:val="14"/>
              </w:rPr>
              <w:t>175</w:t>
            </w:r>
            <w:r>
              <w:rPr>
                <w:rFonts w:cs="Arial"/>
                <w:szCs w:val="14"/>
              </w:rPr>
              <w:t>,</w:t>
            </w:r>
            <w:r w:rsidRPr="00C57F78">
              <w:rPr>
                <w:rFonts w:cs="Arial"/>
                <w:szCs w:val="14"/>
              </w:rPr>
              <w:t>917</w:t>
            </w:r>
          </w:p>
        </w:tc>
        <w:tc>
          <w:tcPr>
            <w:tcW w:w="1831" w:type="dxa"/>
            <w:vAlign w:val="center"/>
          </w:tcPr>
          <w:p w14:paraId="456719A2" w14:textId="77777777" w:rsidR="008B7E19" w:rsidRPr="004A53AE" w:rsidRDefault="008B7E19" w:rsidP="008B7E19">
            <w:pPr>
              <w:pStyle w:val="08-Tabelageral"/>
              <w:rPr>
                <w:rFonts w:cs="Arial"/>
                <w:b/>
                <w:bCs/>
                <w:szCs w:val="14"/>
              </w:rPr>
            </w:pPr>
            <w:r w:rsidRPr="00C57F78">
              <w:rPr>
                <w:rFonts w:cs="Arial"/>
                <w:szCs w:val="14"/>
              </w:rPr>
              <w:t>--</w:t>
            </w:r>
          </w:p>
        </w:tc>
        <w:tc>
          <w:tcPr>
            <w:tcW w:w="1831" w:type="dxa"/>
            <w:vAlign w:val="center"/>
          </w:tcPr>
          <w:p w14:paraId="1F4F2549" w14:textId="77777777" w:rsidR="008B7E19" w:rsidRPr="004A53AE" w:rsidRDefault="008B7E19" w:rsidP="008B7E19">
            <w:pPr>
              <w:pStyle w:val="08-Tabelageral"/>
              <w:rPr>
                <w:rFonts w:cs="Arial"/>
                <w:b/>
                <w:bCs/>
                <w:szCs w:val="14"/>
              </w:rPr>
            </w:pPr>
            <w:r w:rsidRPr="00C57F78">
              <w:rPr>
                <w:rFonts w:cs="Arial"/>
                <w:szCs w:val="14"/>
              </w:rPr>
              <w:t>175</w:t>
            </w:r>
            <w:r>
              <w:rPr>
                <w:rFonts w:cs="Arial"/>
                <w:szCs w:val="14"/>
              </w:rPr>
              <w:t>,</w:t>
            </w:r>
            <w:r w:rsidRPr="00C57F78">
              <w:rPr>
                <w:rFonts w:cs="Arial"/>
                <w:szCs w:val="14"/>
              </w:rPr>
              <w:t>917</w:t>
            </w:r>
          </w:p>
        </w:tc>
      </w:tr>
      <w:tr w:rsidR="008B7E19" w:rsidRPr="004A53AE" w14:paraId="3C63B4B5" w14:textId="77777777" w:rsidTr="008B7E19">
        <w:trPr>
          <w:trHeight w:val="238"/>
          <w:jc w:val="center"/>
        </w:trPr>
        <w:tc>
          <w:tcPr>
            <w:tcW w:w="4361" w:type="dxa"/>
            <w:shd w:val="clear" w:color="auto" w:fill="auto"/>
            <w:vAlign w:val="center"/>
          </w:tcPr>
          <w:p w14:paraId="137BCBCB" w14:textId="77777777" w:rsidR="008B7E19" w:rsidRPr="00C33C38" w:rsidRDefault="008B7E19" w:rsidP="008B7E19">
            <w:pPr>
              <w:pStyle w:val="08-Tabelageral"/>
              <w:jc w:val="left"/>
              <w:rPr>
                <w:rFonts w:cs="Arial"/>
                <w:szCs w:val="14"/>
              </w:rPr>
            </w:pPr>
            <w:r w:rsidRPr="00C33C38">
              <w:rPr>
                <w:rFonts w:cs="Arial"/>
                <w:szCs w:val="14"/>
              </w:rPr>
              <w:t>Income before taxes</w:t>
            </w:r>
          </w:p>
        </w:tc>
        <w:tc>
          <w:tcPr>
            <w:tcW w:w="1831" w:type="dxa"/>
            <w:shd w:val="clear" w:color="auto" w:fill="auto"/>
            <w:vAlign w:val="center"/>
          </w:tcPr>
          <w:p w14:paraId="0F45F3A8" w14:textId="77777777" w:rsidR="008B7E19" w:rsidRPr="004A53AE" w:rsidRDefault="008B7E19" w:rsidP="008B7E19">
            <w:pPr>
              <w:pStyle w:val="08-Tabelageral"/>
              <w:rPr>
                <w:rFonts w:cs="Arial"/>
                <w:b/>
                <w:bCs/>
                <w:szCs w:val="14"/>
              </w:rPr>
            </w:pPr>
            <w:r w:rsidRPr="00C57F78">
              <w:rPr>
                <w:rFonts w:cs="Arial"/>
                <w:szCs w:val="14"/>
              </w:rPr>
              <w:t>3</w:t>
            </w:r>
            <w:r>
              <w:rPr>
                <w:rFonts w:cs="Arial"/>
                <w:szCs w:val="14"/>
              </w:rPr>
              <w:t>,</w:t>
            </w:r>
            <w:r w:rsidRPr="00C57F78">
              <w:rPr>
                <w:rFonts w:cs="Arial"/>
                <w:szCs w:val="14"/>
              </w:rPr>
              <w:t>213</w:t>
            </w:r>
            <w:r>
              <w:rPr>
                <w:rFonts w:cs="Arial"/>
                <w:szCs w:val="14"/>
              </w:rPr>
              <w:t>,</w:t>
            </w:r>
            <w:r w:rsidRPr="00C57F78">
              <w:rPr>
                <w:rFonts w:cs="Arial"/>
                <w:szCs w:val="14"/>
              </w:rPr>
              <w:t>421</w:t>
            </w:r>
          </w:p>
        </w:tc>
        <w:tc>
          <w:tcPr>
            <w:tcW w:w="1831" w:type="dxa"/>
            <w:vAlign w:val="center"/>
          </w:tcPr>
          <w:p w14:paraId="09A11D65" w14:textId="77777777" w:rsidR="008B7E19" w:rsidRPr="004A53AE" w:rsidRDefault="008B7E19" w:rsidP="008B7E19">
            <w:pPr>
              <w:pStyle w:val="08-Tabelageral"/>
              <w:rPr>
                <w:rFonts w:cs="Arial"/>
                <w:b/>
                <w:bCs/>
                <w:szCs w:val="14"/>
              </w:rPr>
            </w:pPr>
            <w:r w:rsidRPr="00C57F78">
              <w:rPr>
                <w:rFonts w:cs="Arial"/>
                <w:szCs w:val="14"/>
              </w:rPr>
              <w:t>127</w:t>
            </w:r>
            <w:r>
              <w:rPr>
                <w:rFonts w:cs="Arial"/>
                <w:szCs w:val="14"/>
              </w:rPr>
              <w:t>,</w:t>
            </w:r>
            <w:r w:rsidRPr="00C57F78">
              <w:rPr>
                <w:rFonts w:cs="Arial"/>
                <w:szCs w:val="14"/>
              </w:rPr>
              <w:t>442</w:t>
            </w:r>
          </w:p>
        </w:tc>
        <w:tc>
          <w:tcPr>
            <w:tcW w:w="1831" w:type="dxa"/>
            <w:vAlign w:val="center"/>
          </w:tcPr>
          <w:p w14:paraId="04F1695C" w14:textId="77777777" w:rsidR="008B7E19" w:rsidRPr="004A53AE" w:rsidRDefault="008B7E19" w:rsidP="008B7E19">
            <w:pPr>
              <w:pStyle w:val="08-Tabelageral"/>
              <w:rPr>
                <w:rFonts w:cs="Arial"/>
                <w:b/>
                <w:bCs/>
                <w:szCs w:val="14"/>
              </w:rPr>
            </w:pPr>
            <w:r w:rsidRPr="00C57F78">
              <w:rPr>
                <w:rFonts w:cs="Arial"/>
                <w:szCs w:val="14"/>
              </w:rPr>
              <w:t>3</w:t>
            </w:r>
            <w:r>
              <w:rPr>
                <w:rFonts w:cs="Arial"/>
                <w:szCs w:val="14"/>
              </w:rPr>
              <w:t>,</w:t>
            </w:r>
            <w:r w:rsidRPr="00C57F78">
              <w:rPr>
                <w:rFonts w:cs="Arial"/>
                <w:szCs w:val="14"/>
              </w:rPr>
              <w:t>340</w:t>
            </w:r>
            <w:r>
              <w:rPr>
                <w:rFonts w:cs="Arial"/>
                <w:szCs w:val="14"/>
              </w:rPr>
              <w:t>,</w:t>
            </w:r>
            <w:r w:rsidRPr="00C57F78">
              <w:rPr>
                <w:rFonts w:cs="Arial"/>
                <w:szCs w:val="14"/>
              </w:rPr>
              <w:t>863</w:t>
            </w:r>
          </w:p>
        </w:tc>
      </w:tr>
      <w:tr w:rsidR="008B7E19" w:rsidRPr="004A53AE" w14:paraId="5D155873" w14:textId="77777777" w:rsidTr="008B7E19">
        <w:trPr>
          <w:trHeight w:val="238"/>
          <w:jc w:val="center"/>
        </w:trPr>
        <w:tc>
          <w:tcPr>
            <w:tcW w:w="4361" w:type="dxa"/>
            <w:shd w:val="clear" w:color="auto" w:fill="auto"/>
            <w:vAlign w:val="center"/>
          </w:tcPr>
          <w:p w14:paraId="581845C4" w14:textId="77777777" w:rsidR="008B7E19" w:rsidRPr="00C33C38" w:rsidRDefault="008B7E19" w:rsidP="008B7E19">
            <w:pPr>
              <w:pStyle w:val="08-Tabelageral"/>
              <w:jc w:val="left"/>
              <w:rPr>
                <w:rFonts w:cs="Arial"/>
                <w:szCs w:val="14"/>
                <w:lang w:val="en-US"/>
              </w:rPr>
            </w:pPr>
            <w:r w:rsidRPr="00C33C38">
              <w:rPr>
                <w:rFonts w:cs="Arial"/>
                <w:szCs w:val="14"/>
                <w:lang w:val="en-US"/>
              </w:rPr>
              <w:t>Taxes</w:t>
            </w:r>
          </w:p>
        </w:tc>
        <w:tc>
          <w:tcPr>
            <w:tcW w:w="1831" w:type="dxa"/>
            <w:shd w:val="clear" w:color="auto" w:fill="auto"/>
            <w:vAlign w:val="center"/>
          </w:tcPr>
          <w:p w14:paraId="36394B04" w14:textId="77777777" w:rsidR="008B7E19" w:rsidRPr="004A53AE" w:rsidRDefault="008B7E19" w:rsidP="008B7E19">
            <w:pPr>
              <w:pStyle w:val="08-Tabelageral"/>
              <w:rPr>
                <w:rFonts w:cs="Arial"/>
                <w:szCs w:val="14"/>
              </w:rPr>
            </w:pPr>
            <w:r w:rsidRPr="00C57F78">
              <w:rPr>
                <w:rFonts w:cs="Arial"/>
                <w:szCs w:val="14"/>
              </w:rPr>
              <w:t>(627</w:t>
            </w:r>
            <w:r>
              <w:rPr>
                <w:rFonts w:cs="Arial"/>
                <w:szCs w:val="14"/>
              </w:rPr>
              <w:t>,</w:t>
            </w:r>
            <w:r w:rsidRPr="00C57F78">
              <w:rPr>
                <w:rFonts w:cs="Arial"/>
                <w:szCs w:val="14"/>
              </w:rPr>
              <w:t>619)</w:t>
            </w:r>
          </w:p>
        </w:tc>
        <w:tc>
          <w:tcPr>
            <w:tcW w:w="1831" w:type="dxa"/>
            <w:vAlign w:val="center"/>
          </w:tcPr>
          <w:p w14:paraId="4EFFB7FC" w14:textId="77777777" w:rsidR="008B7E19" w:rsidRPr="004A53AE" w:rsidRDefault="008B7E19" w:rsidP="008B7E19">
            <w:pPr>
              <w:pStyle w:val="08-Tabelageral"/>
              <w:rPr>
                <w:rFonts w:cs="Arial"/>
                <w:szCs w:val="14"/>
              </w:rPr>
            </w:pPr>
            <w:r w:rsidRPr="00C57F78">
              <w:rPr>
                <w:rFonts w:cs="Arial"/>
                <w:szCs w:val="14"/>
              </w:rPr>
              <w:t>--</w:t>
            </w:r>
          </w:p>
        </w:tc>
        <w:tc>
          <w:tcPr>
            <w:tcW w:w="1831" w:type="dxa"/>
            <w:vAlign w:val="center"/>
          </w:tcPr>
          <w:p w14:paraId="43422F17" w14:textId="77777777" w:rsidR="008B7E19" w:rsidRPr="004A53AE" w:rsidRDefault="008B7E19" w:rsidP="008B7E19">
            <w:pPr>
              <w:pStyle w:val="08-Tabelageral"/>
              <w:rPr>
                <w:rFonts w:cs="Arial"/>
                <w:szCs w:val="14"/>
              </w:rPr>
            </w:pPr>
            <w:r w:rsidRPr="00C57F78">
              <w:rPr>
                <w:rFonts w:cs="Arial"/>
                <w:szCs w:val="14"/>
              </w:rPr>
              <w:t>(627</w:t>
            </w:r>
            <w:r>
              <w:rPr>
                <w:rFonts w:cs="Arial"/>
                <w:szCs w:val="14"/>
              </w:rPr>
              <w:t>,</w:t>
            </w:r>
            <w:r w:rsidRPr="00C57F78">
              <w:rPr>
                <w:rFonts w:cs="Arial"/>
                <w:szCs w:val="14"/>
              </w:rPr>
              <w:t>619)</w:t>
            </w:r>
          </w:p>
        </w:tc>
      </w:tr>
      <w:tr w:rsidR="008B7E19" w:rsidRPr="00A03B7C" w14:paraId="2E1C0888" w14:textId="77777777" w:rsidTr="008B7E19">
        <w:trPr>
          <w:trHeight w:val="238"/>
          <w:jc w:val="center"/>
        </w:trPr>
        <w:tc>
          <w:tcPr>
            <w:tcW w:w="4361" w:type="dxa"/>
            <w:shd w:val="clear" w:color="auto" w:fill="auto"/>
            <w:vAlign w:val="center"/>
          </w:tcPr>
          <w:p w14:paraId="16EF1E7A" w14:textId="77777777" w:rsidR="008B7E19" w:rsidRPr="00C33C38" w:rsidRDefault="008B7E19" w:rsidP="008B7E19">
            <w:pPr>
              <w:pStyle w:val="08-Tabelageral"/>
              <w:jc w:val="left"/>
              <w:rPr>
                <w:rFonts w:cs="Arial"/>
                <w:szCs w:val="14"/>
              </w:rPr>
            </w:pPr>
            <w:r w:rsidRPr="00C33C38">
              <w:rPr>
                <w:rFonts w:cs="Arial"/>
                <w:szCs w:val="14"/>
              </w:rPr>
              <w:t>Net Income</w:t>
            </w:r>
          </w:p>
        </w:tc>
        <w:tc>
          <w:tcPr>
            <w:tcW w:w="1831" w:type="dxa"/>
            <w:shd w:val="clear" w:color="auto" w:fill="auto"/>
            <w:vAlign w:val="center"/>
          </w:tcPr>
          <w:p w14:paraId="6E70FAF8" w14:textId="77777777" w:rsidR="008B7E19" w:rsidRPr="004A53AE" w:rsidRDefault="008B7E19" w:rsidP="008B7E19">
            <w:pPr>
              <w:pStyle w:val="08-Tabelageral"/>
              <w:rPr>
                <w:rFonts w:cs="Arial"/>
                <w:b/>
                <w:bCs/>
                <w:szCs w:val="14"/>
              </w:rPr>
            </w:pPr>
            <w:r w:rsidRPr="00C57F78">
              <w:rPr>
                <w:rFonts w:cs="Arial"/>
                <w:szCs w:val="14"/>
              </w:rPr>
              <w:t>2</w:t>
            </w:r>
            <w:r>
              <w:rPr>
                <w:rFonts w:cs="Arial"/>
                <w:szCs w:val="14"/>
              </w:rPr>
              <w:t>,</w:t>
            </w:r>
            <w:r w:rsidRPr="00C57F78">
              <w:rPr>
                <w:rFonts w:cs="Arial"/>
                <w:szCs w:val="14"/>
              </w:rPr>
              <w:t>585</w:t>
            </w:r>
            <w:r>
              <w:rPr>
                <w:rFonts w:cs="Arial"/>
                <w:szCs w:val="14"/>
              </w:rPr>
              <w:t>,</w:t>
            </w:r>
            <w:r w:rsidRPr="00C57F78">
              <w:rPr>
                <w:rFonts w:cs="Arial"/>
                <w:szCs w:val="14"/>
              </w:rPr>
              <w:t>802</w:t>
            </w:r>
          </w:p>
        </w:tc>
        <w:tc>
          <w:tcPr>
            <w:tcW w:w="1831" w:type="dxa"/>
            <w:vAlign w:val="center"/>
          </w:tcPr>
          <w:p w14:paraId="7F58F553" w14:textId="77777777" w:rsidR="008B7E19" w:rsidRPr="004A53AE" w:rsidRDefault="008B7E19" w:rsidP="008B7E19">
            <w:pPr>
              <w:pStyle w:val="08-Tabelageral"/>
              <w:rPr>
                <w:rFonts w:cs="Arial"/>
                <w:b/>
                <w:bCs/>
                <w:szCs w:val="14"/>
              </w:rPr>
            </w:pPr>
            <w:r w:rsidRPr="00C57F78">
              <w:rPr>
                <w:rFonts w:cs="Arial"/>
                <w:szCs w:val="14"/>
              </w:rPr>
              <w:t>127</w:t>
            </w:r>
            <w:r>
              <w:rPr>
                <w:rFonts w:cs="Arial"/>
                <w:szCs w:val="14"/>
              </w:rPr>
              <w:t>,</w:t>
            </w:r>
            <w:r w:rsidRPr="00C57F78">
              <w:rPr>
                <w:rFonts w:cs="Arial"/>
                <w:szCs w:val="14"/>
              </w:rPr>
              <w:t>442</w:t>
            </w:r>
          </w:p>
        </w:tc>
        <w:tc>
          <w:tcPr>
            <w:tcW w:w="1831" w:type="dxa"/>
            <w:vAlign w:val="center"/>
          </w:tcPr>
          <w:p w14:paraId="12C86D76" w14:textId="77777777" w:rsidR="008B7E19" w:rsidRPr="004A53AE" w:rsidRDefault="008B7E19" w:rsidP="008B7E19">
            <w:pPr>
              <w:pStyle w:val="08-Tabelageral"/>
              <w:rPr>
                <w:rFonts w:cs="Arial"/>
                <w:b/>
                <w:bCs/>
                <w:szCs w:val="14"/>
              </w:rPr>
            </w:pPr>
            <w:r w:rsidRPr="00C57F78">
              <w:rPr>
                <w:rFonts w:cs="Arial"/>
                <w:szCs w:val="14"/>
              </w:rPr>
              <w:t>2</w:t>
            </w:r>
            <w:r>
              <w:rPr>
                <w:rFonts w:cs="Arial"/>
                <w:szCs w:val="14"/>
              </w:rPr>
              <w:t>,</w:t>
            </w:r>
            <w:r w:rsidRPr="00C57F78">
              <w:rPr>
                <w:rFonts w:cs="Arial"/>
                <w:szCs w:val="14"/>
              </w:rPr>
              <w:t>713</w:t>
            </w:r>
            <w:r>
              <w:rPr>
                <w:rFonts w:cs="Arial"/>
                <w:szCs w:val="14"/>
              </w:rPr>
              <w:t>,</w:t>
            </w:r>
            <w:r w:rsidRPr="00C57F78">
              <w:rPr>
                <w:rFonts w:cs="Arial"/>
                <w:szCs w:val="14"/>
              </w:rPr>
              <w:t>244</w:t>
            </w:r>
          </w:p>
        </w:tc>
      </w:tr>
    </w:tbl>
    <w:p w14:paraId="1152356E" w14:textId="77777777" w:rsidR="00381A79" w:rsidRDefault="00381A79" w:rsidP="00381A79">
      <w:pPr>
        <w:pStyle w:val="02-TtulodeNota"/>
        <w:rPr>
          <w:color w:val="1F4E79" w:themeColor="accent1" w:themeShade="80"/>
        </w:rPr>
      </w:pPr>
    </w:p>
    <w:p w14:paraId="048019E2" w14:textId="58B0CA6A" w:rsidR="008B7E19" w:rsidRPr="00882B41" w:rsidRDefault="008B7E19" w:rsidP="00882B41">
      <w:pPr>
        <w:pStyle w:val="03-SubttulodeNota"/>
        <w:rPr>
          <w:bCs/>
          <w:color w:val="1F4E79" w:themeColor="accent1" w:themeShade="80"/>
        </w:rPr>
      </w:pPr>
      <w:r w:rsidRPr="00882B41">
        <w:rPr>
          <w:color w:val="1F4E79" w:themeColor="accent1" w:themeShade="80"/>
        </w:rPr>
        <w:t>Statement of Comprehensive Income</w:t>
      </w:r>
    </w:p>
    <w:p w14:paraId="416DA9B9" w14:textId="77777777" w:rsidR="008B7E19" w:rsidRPr="00D44604" w:rsidRDefault="008B7E19" w:rsidP="008B7E19">
      <w:pPr>
        <w:spacing w:after="0" w:line="240" w:lineRule="auto"/>
        <w:jc w:val="right"/>
        <w:rPr>
          <w:rFonts w:cs="Arial"/>
          <w:b/>
          <w:sz w:val="14"/>
          <w:lang w:eastAsia="pt-BR"/>
        </w:rPr>
      </w:pPr>
      <w:r w:rsidRPr="00FC6C4B">
        <w:rPr>
          <w:rFonts w:cs="Arial"/>
          <w:b/>
          <w:sz w:val="14"/>
          <w:lang w:eastAsia="pt-BR"/>
        </w:rPr>
        <w:t>R$ thousand</w:t>
      </w:r>
    </w:p>
    <w:tbl>
      <w:tblPr>
        <w:tblW w:w="9854" w:type="dxa"/>
        <w:jc w:val="center"/>
        <w:tblBorders>
          <w:top w:val="single" w:sz="2" w:space="0" w:color="1F4E79" w:themeColor="accent1" w:themeShade="80"/>
          <w:bottom w:val="single" w:sz="2" w:space="0" w:color="1F4E79" w:themeColor="accent1" w:themeShade="80"/>
        </w:tblBorders>
        <w:tblLook w:val="04A0" w:firstRow="1" w:lastRow="0" w:firstColumn="1" w:lastColumn="0" w:noHBand="0" w:noVBand="1"/>
      </w:tblPr>
      <w:tblGrid>
        <w:gridCol w:w="4361"/>
        <w:gridCol w:w="1831"/>
        <w:gridCol w:w="1831"/>
        <w:gridCol w:w="1831"/>
      </w:tblGrid>
      <w:tr w:rsidR="008B7E19" w:rsidRPr="00E00C9B" w14:paraId="0DF64503" w14:textId="77777777" w:rsidTr="008B7E19">
        <w:trPr>
          <w:trHeight w:val="238"/>
          <w:jc w:val="center"/>
        </w:trPr>
        <w:tc>
          <w:tcPr>
            <w:tcW w:w="4361" w:type="dxa"/>
            <w:tcBorders>
              <w:top w:val="single" w:sz="2" w:space="0" w:color="1F4E79" w:themeColor="accent1" w:themeShade="80"/>
            </w:tcBorders>
            <w:shd w:val="clear" w:color="auto" w:fill="auto"/>
            <w:vAlign w:val="center"/>
          </w:tcPr>
          <w:p w14:paraId="27150802" w14:textId="77777777" w:rsidR="008B7E19" w:rsidRPr="00E00C9B" w:rsidRDefault="008B7E19" w:rsidP="008B7E19">
            <w:pPr>
              <w:pStyle w:val="08-Tabelageral"/>
              <w:jc w:val="left"/>
              <w:rPr>
                <w:rFonts w:cs="Arial"/>
                <w:b/>
                <w:bCs/>
                <w:szCs w:val="14"/>
              </w:rPr>
            </w:pPr>
          </w:p>
        </w:tc>
        <w:tc>
          <w:tcPr>
            <w:tcW w:w="5493" w:type="dxa"/>
            <w:gridSpan w:val="3"/>
            <w:tcBorders>
              <w:top w:val="single" w:sz="2" w:space="0" w:color="1F4E79" w:themeColor="accent1" w:themeShade="80"/>
            </w:tcBorders>
            <w:shd w:val="clear" w:color="auto" w:fill="auto"/>
            <w:vAlign w:val="center"/>
          </w:tcPr>
          <w:p w14:paraId="6CE0FA7B" w14:textId="77777777" w:rsidR="008B7E19" w:rsidRPr="00C80F9A" w:rsidRDefault="008B7E19" w:rsidP="008B7E19">
            <w:pPr>
              <w:pStyle w:val="08-Tabelageral"/>
              <w:jc w:val="center"/>
              <w:rPr>
                <w:rFonts w:cs="Arial"/>
                <w:b/>
                <w:bCs/>
                <w:szCs w:val="14"/>
              </w:rPr>
            </w:pPr>
            <w:r>
              <w:rPr>
                <w:rFonts w:cs="Arial"/>
                <w:b/>
                <w:bCs/>
                <w:szCs w:val="14"/>
              </w:rPr>
              <w:t>Parent</w:t>
            </w:r>
            <w:r w:rsidRPr="00C80F9A">
              <w:rPr>
                <w:rFonts w:cs="Arial"/>
                <w:b/>
                <w:bCs/>
                <w:szCs w:val="14"/>
              </w:rPr>
              <w:t xml:space="preserve"> </w:t>
            </w:r>
            <w:r>
              <w:rPr>
                <w:rFonts w:cs="Arial"/>
                <w:b/>
                <w:bCs/>
                <w:szCs w:val="14"/>
              </w:rPr>
              <w:t>and</w:t>
            </w:r>
            <w:r w:rsidRPr="00C80F9A">
              <w:rPr>
                <w:rFonts w:cs="Arial"/>
                <w:b/>
                <w:bCs/>
                <w:szCs w:val="14"/>
              </w:rPr>
              <w:t xml:space="preserve"> </w:t>
            </w:r>
            <w:r>
              <w:rPr>
                <w:rFonts w:cs="Arial"/>
                <w:b/>
                <w:bCs/>
                <w:szCs w:val="14"/>
              </w:rPr>
              <w:t>Consolidated</w:t>
            </w:r>
          </w:p>
        </w:tc>
      </w:tr>
      <w:tr w:rsidR="008B7E19" w:rsidRPr="00E00C9B" w14:paraId="7A80C9BF" w14:textId="77777777" w:rsidTr="008B7E19">
        <w:trPr>
          <w:trHeight w:val="238"/>
          <w:jc w:val="center"/>
        </w:trPr>
        <w:tc>
          <w:tcPr>
            <w:tcW w:w="4361" w:type="dxa"/>
            <w:tcBorders>
              <w:top w:val="single" w:sz="2" w:space="0" w:color="1F4E79" w:themeColor="accent1" w:themeShade="80"/>
            </w:tcBorders>
            <w:shd w:val="clear" w:color="auto" w:fill="auto"/>
            <w:vAlign w:val="center"/>
          </w:tcPr>
          <w:p w14:paraId="3BC22F2D" w14:textId="77777777" w:rsidR="008B7E19" w:rsidRPr="00E00C9B" w:rsidRDefault="008B7E19" w:rsidP="008B7E19">
            <w:pPr>
              <w:pStyle w:val="08-Tabelageral"/>
              <w:jc w:val="left"/>
              <w:rPr>
                <w:rFonts w:cs="Arial"/>
                <w:b/>
                <w:bCs/>
                <w:szCs w:val="14"/>
              </w:rPr>
            </w:pPr>
          </w:p>
        </w:tc>
        <w:tc>
          <w:tcPr>
            <w:tcW w:w="1831" w:type="dxa"/>
            <w:tcBorders>
              <w:top w:val="single" w:sz="2" w:space="0" w:color="1F4E79" w:themeColor="accent1" w:themeShade="80"/>
            </w:tcBorders>
            <w:shd w:val="clear" w:color="auto" w:fill="auto"/>
            <w:vAlign w:val="center"/>
          </w:tcPr>
          <w:p w14:paraId="239895D6" w14:textId="77777777" w:rsidR="008B7E19" w:rsidRPr="00C80F9A" w:rsidRDefault="008B7E19" w:rsidP="008B7E19">
            <w:pPr>
              <w:pStyle w:val="08-Tabelageral"/>
              <w:rPr>
                <w:rFonts w:cs="Arial"/>
                <w:b/>
                <w:bCs/>
                <w:szCs w:val="14"/>
              </w:rPr>
            </w:pPr>
          </w:p>
        </w:tc>
        <w:tc>
          <w:tcPr>
            <w:tcW w:w="1831" w:type="dxa"/>
            <w:tcBorders>
              <w:top w:val="single" w:sz="2" w:space="0" w:color="1F4E79" w:themeColor="accent1" w:themeShade="80"/>
            </w:tcBorders>
          </w:tcPr>
          <w:p w14:paraId="2FB8E6F8" w14:textId="77777777" w:rsidR="008B7E19" w:rsidRPr="00C80F9A" w:rsidRDefault="008B7E19" w:rsidP="008B7E19">
            <w:pPr>
              <w:pStyle w:val="08-Tabelageral"/>
              <w:rPr>
                <w:rFonts w:cs="Arial"/>
                <w:b/>
                <w:bCs/>
                <w:szCs w:val="14"/>
              </w:rPr>
            </w:pPr>
            <w:r>
              <w:rPr>
                <w:rFonts w:cs="Arial"/>
                <w:b/>
                <w:bCs/>
                <w:szCs w:val="14"/>
              </w:rPr>
              <w:t>2</w:t>
            </w:r>
            <w:r>
              <w:rPr>
                <w:rFonts w:cs="Arial"/>
                <w:b/>
                <w:bCs/>
                <w:szCs w:val="14"/>
                <w:vertAlign w:val="superscript"/>
              </w:rPr>
              <w:t>nd</w:t>
            </w:r>
            <w:r w:rsidRPr="003E392D">
              <w:rPr>
                <w:rFonts w:cs="Arial"/>
                <w:b/>
                <w:bCs/>
                <w:szCs w:val="14"/>
              </w:rPr>
              <w:t xml:space="preserve"> Quarter 202</w:t>
            </w:r>
            <w:r>
              <w:rPr>
                <w:rFonts w:cs="Arial"/>
                <w:b/>
                <w:bCs/>
                <w:szCs w:val="14"/>
              </w:rPr>
              <w:t>2</w:t>
            </w:r>
          </w:p>
        </w:tc>
        <w:tc>
          <w:tcPr>
            <w:tcW w:w="1831" w:type="dxa"/>
            <w:tcBorders>
              <w:top w:val="single" w:sz="2" w:space="0" w:color="1F4E79" w:themeColor="accent1" w:themeShade="80"/>
            </w:tcBorders>
          </w:tcPr>
          <w:p w14:paraId="638182B8" w14:textId="77777777" w:rsidR="008B7E19" w:rsidRPr="00C80F9A" w:rsidRDefault="008B7E19" w:rsidP="008B7E19">
            <w:pPr>
              <w:pStyle w:val="08-Tabelageral"/>
              <w:rPr>
                <w:rFonts w:cs="Arial"/>
                <w:b/>
                <w:bCs/>
                <w:szCs w:val="14"/>
              </w:rPr>
            </w:pPr>
          </w:p>
        </w:tc>
      </w:tr>
      <w:tr w:rsidR="008B7E19" w:rsidRPr="00E00C9B" w14:paraId="5C5BB9A2" w14:textId="77777777" w:rsidTr="008B7E19">
        <w:trPr>
          <w:trHeight w:val="238"/>
          <w:jc w:val="center"/>
        </w:trPr>
        <w:tc>
          <w:tcPr>
            <w:tcW w:w="4361" w:type="dxa"/>
            <w:tcBorders>
              <w:top w:val="single" w:sz="2" w:space="0" w:color="1F4E79" w:themeColor="accent1" w:themeShade="80"/>
            </w:tcBorders>
            <w:shd w:val="clear" w:color="auto" w:fill="auto"/>
            <w:vAlign w:val="center"/>
          </w:tcPr>
          <w:p w14:paraId="39C89CB9" w14:textId="77777777" w:rsidR="008B7E19" w:rsidRPr="00E00C9B" w:rsidRDefault="008B7E19" w:rsidP="008B7E19">
            <w:pPr>
              <w:pStyle w:val="08-Tabelageral"/>
              <w:jc w:val="left"/>
              <w:rPr>
                <w:rFonts w:cs="Arial"/>
                <w:b/>
                <w:bCs/>
                <w:szCs w:val="14"/>
              </w:rPr>
            </w:pPr>
          </w:p>
        </w:tc>
        <w:tc>
          <w:tcPr>
            <w:tcW w:w="1831" w:type="dxa"/>
            <w:tcBorders>
              <w:top w:val="single" w:sz="2" w:space="0" w:color="1F4E79" w:themeColor="accent1" w:themeShade="80"/>
            </w:tcBorders>
            <w:shd w:val="clear" w:color="auto" w:fill="auto"/>
            <w:vAlign w:val="center"/>
          </w:tcPr>
          <w:p w14:paraId="60313441" w14:textId="77777777" w:rsidR="008B7E19" w:rsidRPr="00C80F9A" w:rsidRDefault="008B7E19" w:rsidP="008B7E19">
            <w:pPr>
              <w:pStyle w:val="08-Tabelageral"/>
              <w:rPr>
                <w:rFonts w:cs="Arial"/>
                <w:b/>
                <w:bCs/>
                <w:szCs w:val="14"/>
              </w:rPr>
            </w:pPr>
            <w:r>
              <w:rPr>
                <w:rFonts w:cs="Arial"/>
                <w:b/>
                <w:bCs/>
                <w:szCs w:val="14"/>
              </w:rPr>
              <w:t>Original report</w:t>
            </w:r>
          </w:p>
        </w:tc>
        <w:tc>
          <w:tcPr>
            <w:tcW w:w="1831" w:type="dxa"/>
            <w:tcBorders>
              <w:top w:val="single" w:sz="2" w:space="0" w:color="1F4E79" w:themeColor="accent1" w:themeShade="80"/>
            </w:tcBorders>
          </w:tcPr>
          <w:p w14:paraId="5AAE93A7" w14:textId="77777777" w:rsidR="008B7E19" w:rsidRPr="00C80F9A" w:rsidRDefault="008B7E19" w:rsidP="008B7E19">
            <w:pPr>
              <w:pStyle w:val="08-Tabelageral"/>
              <w:rPr>
                <w:rFonts w:cs="Arial"/>
                <w:b/>
                <w:bCs/>
                <w:szCs w:val="14"/>
              </w:rPr>
            </w:pPr>
            <w:r>
              <w:rPr>
                <w:rFonts w:cs="Arial"/>
                <w:b/>
                <w:bCs/>
                <w:szCs w:val="14"/>
              </w:rPr>
              <w:t>Adjustments</w:t>
            </w:r>
          </w:p>
        </w:tc>
        <w:tc>
          <w:tcPr>
            <w:tcW w:w="1831" w:type="dxa"/>
            <w:tcBorders>
              <w:top w:val="single" w:sz="2" w:space="0" w:color="1F4E79" w:themeColor="accent1" w:themeShade="80"/>
            </w:tcBorders>
          </w:tcPr>
          <w:p w14:paraId="7663590A" w14:textId="77777777" w:rsidR="008B7E19" w:rsidRPr="00C80F9A" w:rsidRDefault="008B7E19" w:rsidP="008B7E19">
            <w:pPr>
              <w:pStyle w:val="08-Tabelageral"/>
              <w:rPr>
                <w:rFonts w:cs="Arial"/>
                <w:b/>
                <w:bCs/>
                <w:szCs w:val="14"/>
              </w:rPr>
            </w:pPr>
            <w:r>
              <w:rPr>
                <w:rFonts w:cs="Arial"/>
                <w:b/>
                <w:bCs/>
                <w:szCs w:val="14"/>
              </w:rPr>
              <w:t>Restated balances</w:t>
            </w:r>
          </w:p>
        </w:tc>
      </w:tr>
      <w:tr w:rsidR="008B7E19" w:rsidRPr="00A03B7C" w14:paraId="25204816" w14:textId="77777777" w:rsidTr="008B7E19">
        <w:trPr>
          <w:trHeight w:val="238"/>
          <w:jc w:val="center"/>
        </w:trPr>
        <w:tc>
          <w:tcPr>
            <w:tcW w:w="4361" w:type="dxa"/>
            <w:tcBorders>
              <w:top w:val="single" w:sz="2" w:space="0" w:color="1F4E79" w:themeColor="accent1" w:themeShade="80"/>
            </w:tcBorders>
            <w:shd w:val="clear" w:color="auto" w:fill="auto"/>
            <w:vAlign w:val="center"/>
          </w:tcPr>
          <w:p w14:paraId="45ED765C" w14:textId="77777777" w:rsidR="008B7E19" w:rsidRPr="00A03B7C" w:rsidRDefault="008B7E19" w:rsidP="008B7E19">
            <w:pPr>
              <w:pStyle w:val="08-Tabelageral"/>
              <w:jc w:val="left"/>
              <w:rPr>
                <w:rFonts w:cs="Arial"/>
                <w:b/>
                <w:bCs/>
                <w:szCs w:val="14"/>
                <w:highlight w:val="yellow"/>
              </w:rPr>
            </w:pPr>
            <w:r w:rsidRPr="00345AB3">
              <w:rPr>
                <w:rFonts w:cs="Arial"/>
                <w:b/>
                <w:bCs/>
                <w:szCs w:val="14"/>
              </w:rPr>
              <w:t>Net Income</w:t>
            </w:r>
          </w:p>
        </w:tc>
        <w:tc>
          <w:tcPr>
            <w:tcW w:w="1831" w:type="dxa"/>
            <w:tcBorders>
              <w:top w:val="single" w:sz="2" w:space="0" w:color="1F4E79" w:themeColor="accent1" w:themeShade="80"/>
            </w:tcBorders>
            <w:shd w:val="clear" w:color="auto" w:fill="auto"/>
            <w:vAlign w:val="center"/>
          </w:tcPr>
          <w:p w14:paraId="41E28096" w14:textId="77777777" w:rsidR="008B7E19" w:rsidRPr="00A03B7C" w:rsidRDefault="008B7E19" w:rsidP="008B7E19">
            <w:pPr>
              <w:pStyle w:val="08-Tabelageral"/>
              <w:rPr>
                <w:rFonts w:cs="Arial"/>
                <w:b/>
                <w:bCs/>
                <w:szCs w:val="14"/>
                <w:highlight w:val="yellow"/>
              </w:rPr>
            </w:pPr>
            <w:r w:rsidRPr="00C77A85">
              <w:rPr>
                <w:rFonts w:cs="Arial"/>
                <w:b/>
                <w:bCs/>
                <w:szCs w:val="14"/>
              </w:rPr>
              <w:t>1</w:t>
            </w:r>
            <w:r>
              <w:rPr>
                <w:rFonts w:cs="Arial"/>
                <w:b/>
                <w:bCs/>
                <w:szCs w:val="14"/>
              </w:rPr>
              <w:t>,</w:t>
            </w:r>
            <w:r w:rsidRPr="00C77A85">
              <w:rPr>
                <w:rFonts w:cs="Arial"/>
                <w:b/>
                <w:bCs/>
                <w:szCs w:val="14"/>
              </w:rPr>
              <w:t>406</w:t>
            </w:r>
            <w:r>
              <w:rPr>
                <w:rFonts w:cs="Arial"/>
                <w:b/>
                <w:bCs/>
                <w:szCs w:val="14"/>
              </w:rPr>
              <w:t>,</w:t>
            </w:r>
            <w:r w:rsidRPr="00C77A85">
              <w:rPr>
                <w:rFonts w:cs="Arial"/>
                <w:b/>
                <w:bCs/>
                <w:szCs w:val="14"/>
              </w:rPr>
              <w:t>371</w:t>
            </w:r>
          </w:p>
        </w:tc>
        <w:tc>
          <w:tcPr>
            <w:tcW w:w="1831" w:type="dxa"/>
            <w:tcBorders>
              <w:top w:val="single" w:sz="2" w:space="0" w:color="1F4E79" w:themeColor="accent1" w:themeShade="80"/>
            </w:tcBorders>
            <w:vAlign w:val="center"/>
          </w:tcPr>
          <w:p w14:paraId="296BDA2D" w14:textId="77777777" w:rsidR="008B7E19" w:rsidRPr="00A03B7C" w:rsidRDefault="008B7E19" w:rsidP="008B7E19">
            <w:pPr>
              <w:pStyle w:val="08-Tabelageral"/>
              <w:rPr>
                <w:rFonts w:cs="Arial"/>
                <w:b/>
                <w:bCs/>
                <w:szCs w:val="14"/>
                <w:highlight w:val="yellow"/>
              </w:rPr>
            </w:pPr>
            <w:r w:rsidRPr="00C77A85">
              <w:rPr>
                <w:rFonts w:cs="Arial"/>
                <w:b/>
                <w:bCs/>
                <w:szCs w:val="14"/>
              </w:rPr>
              <w:t>97</w:t>
            </w:r>
            <w:r>
              <w:rPr>
                <w:rFonts w:cs="Arial"/>
                <w:b/>
                <w:bCs/>
                <w:szCs w:val="14"/>
              </w:rPr>
              <w:t>,</w:t>
            </w:r>
            <w:r w:rsidRPr="00C77A85">
              <w:rPr>
                <w:rFonts w:cs="Arial"/>
                <w:b/>
                <w:bCs/>
                <w:szCs w:val="14"/>
              </w:rPr>
              <w:t>356</w:t>
            </w:r>
          </w:p>
        </w:tc>
        <w:tc>
          <w:tcPr>
            <w:tcW w:w="1831" w:type="dxa"/>
            <w:tcBorders>
              <w:top w:val="single" w:sz="2" w:space="0" w:color="1F4E79" w:themeColor="accent1" w:themeShade="80"/>
            </w:tcBorders>
            <w:vAlign w:val="center"/>
          </w:tcPr>
          <w:p w14:paraId="299DC877" w14:textId="77777777" w:rsidR="008B7E19" w:rsidRPr="00A03B7C" w:rsidRDefault="008B7E19" w:rsidP="008B7E19">
            <w:pPr>
              <w:pStyle w:val="08-Tabelageral"/>
              <w:rPr>
                <w:rFonts w:cs="Arial"/>
                <w:b/>
                <w:bCs/>
                <w:szCs w:val="14"/>
                <w:highlight w:val="yellow"/>
              </w:rPr>
            </w:pPr>
            <w:r w:rsidRPr="00C77A85">
              <w:rPr>
                <w:rFonts w:cs="Arial"/>
                <w:b/>
                <w:bCs/>
                <w:szCs w:val="14"/>
              </w:rPr>
              <w:t>1</w:t>
            </w:r>
            <w:r>
              <w:rPr>
                <w:rFonts w:cs="Arial"/>
                <w:b/>
                <w:bCs/>
                <w:szCs w:val="14"/>
              </w:rPr>
              <w:t>,</w:t>
            </w:r>
            <w:r w:rsidRPr="00C77A85">
              <w:rPr>
                <w:rFonts w:cs="Arial"/>
                <w:b/>
                <w:bCs/>
                <w:szCs w:val="14"/>
              </w:rPr>
              <w:t>503</w:t>
            </w:r>
            <w:r>
              <w:rPr>
                <w:rFonts w:cs="Arial"/>
                <w:b/>
                <w:bCs/>
                <w:szCs w:val="14"/>
              </w:rPr>
              <w:t>,</w:t>
            </w:r>
            <w:r w:rsidRPr="00C77A85">
              <w:rPr>
                <w:rFonts w:cs="Arial"/>
                <w:b/>
                <w:bCs/>
                <w:szCs w:val="14"/>
              </w:rPr>
              <w:t>727</w:t>
            </w:r>
          </w:p>
        </w:tc>
      </w:tr>
      <w:tr w:rsidR="008B7E19" w:rsidRPr="00C33C38" w14:paraId="2C958362" w14:textId="77777777" w:rsidTr="008B7E19">
        <w:trPr>
          <w:trHeight w:val="238"/>
          <w:jc w:val="center"/>
        </w:trPr>
        <w:tc>
          <w:tcPr>
            <w:tcW w:w="4361" w:type="dxa"/>
            <w:shd w:val="clear" w:color="auto" w:fill="auto"/>
            <w:vAlign w:val="center"/>
          </w:tcPr>
          <w:p w14:paraId="627A3913" w14:textId="77777777" w:rsidR="008B7E19" w:rsidRPr="00C33C38" w:rsidRDefault="008B7E19" w:rsidP="008B7E19">
            <w:pPr>
              <w:pStyle w:val="08-Tabelageral"/>
              <w:ind w:left="113"/>
              <w:jc w:val="left"/>
              <w:rPr>
                <w:rFonts w:cs="Arial"/>
                <w:b/>
                <w:bCs/>
                <w:szCs w:val="14"/>
                <w:highlight w:val="yellow"/>
                <w:lang w:val="en-US"/>
              </w:rPr>
            </w:pPr>
            <w:r w:rsidRPr="00C33C38">
              <w:rPr>
                <w:rStyle w:val="rynqvb"/>
                <w:b/>
                <w:bCs/>
                <w:lang w:val="en"/>
              </w:rPr>
              <w:t>Participation in the comprehensive income of investments in equity interests</w:t>
            </w:r>
          </w:p>
        </w:tc>
        <w:tc>
          <w:tcPr>
            <w:tcW w:w="1831" w:type="dxa"/>
            <w:shd w:val="clear" w:color="auto" w:fill="auto"/>
            <w:vAlign w:val="center"/>
          </w:tcPr>
          <w:p w14:paraId="05EC79E1" w14:textId="77777777" w:rsidR="008B7E19" w:rsidRPr="00C33C38" w:rsidRDefault="008B7E19" w:rsidP="008B7E19">
            <w:pPr>
              <w:pStyle w:val="08-Tabelageral"/>
              <w:rPr>
                <w:rFonts w:cs="Arial"/>
                <w:b/>
                <w:bCs/>
                <w:szCs w:val="14"/>
                <w:highlight w:val="yellow"/>
              </w:rPr>
            </w:pPr>
            <w:r w:rsidRPr="00C33C38">
              <w:rPr>
                <w:rFonts w:cs="Arial"/>
                <w:b/>
                <w:bCs/>
                <w:szCs w:val="14"/>
              </w:rPr>
              <w:t>(13</w:t>
            </w:r>
            <w:r>
              <w:rPr>
                <w:rFonts w:cs="Arial"/>
                <w:b/>
                <w:bCs/>
                <w:szCs w:val="14"/>
              </w:rPr>
              <w:t>,</w:t>
            </w:r>
            <w:r w:rsidRPr="00C33C38">
              <w:rPr>
                <w:rFonts w:cs="Arial"/>
                <w:b/>
                <w:bCs/>
                <w:szCs w:val="14"/>
              </w:rPr>
              <w:t>512)</w:t>
            </w:r>
          </w:p>
        </w:tc>
        <w:tc>
          <w:tcPr>
            <w:tcW w:w="1831" w:type="dxa"/>
            <w:vAlign w:val="center"/>
          </w:tcPr>
          <w:p w14:paraId="5C0C5666" w14:textId="77777777" w:rsidR="008B7E19" w:rsidRPr="00C33C38" w:rsidRDefault="008B7E19" w:rsidP="008B7E19">
            <w:pPr>
              <w:pStyle w:val="08-Tabelageral"/>
              <w:rPr>
                <w:rFonts w:cs="Arial"/>
                <w:b/>
                <w:bCs/>
                <w:szCs w:val="14"/>
                <w:highlight w:val="yellow"/>
              </w:rPr>
            </w:pPr>
            <w:r w:rsidRPr="00C33C38">
              <w:rPr>
                <w:rFonts w:cs="Arial"/>
                <w:b/>
                <w:bCs/>
                <w:szCs w:val="14"/>
              </w:rPr>
              <w:t>114</w:t>
            </w:r>
            <w:r>
              <w:rPr>
                <w:rFonts w:cs="Arial"/>
                <w:b/>
                <w:bCs/>
                <w:szCs w:val="14"/>
              </w:rPr>
              <w:t>,</w:t>
            </w:r>
            <w:r w:rsidRPr="00C33C38">
              <w:rPr>
                <w:rFonts w:cs="Arial"/>
                <w:b/>
                <w:bCs/>
                <w:szCs w:val="14"/>
              </w:rPr>
              <w:t>645</w:t>
            </w:r>
          </w:p>
        </w:tc>
        <w:tc>
          <w:tcPr>
            <w:tcW w:w="1831" w:type="dxa"/>
            <w:vAlign w:val="center"/>
          </w:tcPr>
          <w:p w14:paraId="605B6098" w14:textId="77777777" w:rsidR="008B7E19" w:rsidRPr="00C33C38" w:rsidRDefault="008B7E19" w:rsidP="008B7E19">
            <w:pPr>
              <w:pStyle w:val="08-Tabelageral"/>
              <w:rPr>
                <w:rFonts w:cs="Arial"/>
                <w:b/>
                <w:bCs/>
                <w:szCs w:val="14"/>
                <w:highlight w:val="yellow"/>
              </w:rPr>
            </w:pPr>
            <w:r w:rsidRPr="00C33C38">
              <w:rPr>
                <w:rFonts w:cs="Arial"/>
                <w:b/>
                <w:bCs/>
                <w:szCs w:val="14"/>
              </w:rPr>
              <w:t>101</w:t>
            </w:r>
            <w:r>
              <w:rPr>
                <w:rFonts w:cs="Arial"/>
                <w:b/>
                <w:bCs/>
                <w:szCs w:val="14"/>
              </w:rPr>
              <w:t>,</w:t>
            </w:r>
            <w:r w:rsidRPr="00C33C38">
              <w:rPr>
                <w:rFonts w:cs="Arial"/>
                <w:b/>
                <w:bCs/>
                <w:szCs w:val="14"/>
              </w:rPr>
              <w:t>133</w:t>
            </w:r>
          </w:p>
        </w:tc>
      </w:tr>
      <w:tr w:rsidR="008B7E19" w:rsidRPr="00A579B7" w14:paraId="3A1F8E24" w14:textId="77777777" w:rsidTr="008B7E19">
        <w:trPr>
          <w:trHeight w:val="238"/>
          <w:jc w:val="center"/>
        </w:trPr>
        <w:tc>
          <w:tcPr>
            <w:tcW w:w="4361" w:type="dxa"/>
            <w:shd w:val="clear" w:color="auto" w:fill="auto"/>
            <w:vAlign w:val="center"/>
          </w:tcPr>
          <w:p w14:paraId="7EDE0A1C" w14:textId="77777777" w:rsidR="008B7E19" w:rsidRPr="00311D15" w:rsidRDefault="008B7E19" w:rsidP="008B7E19">
            <w:pPr>
              <w:pStyle w:val="08-Tabelageral"/>
              <w:ind w:left="113"/>
              <w:jc w:val="left"/>
              <w:rPr>
                <w:rFonts w:cs="Arial"/>
                <w:b/>
                <w:bCs/>
                <w:szCs w:val="14"/>
                <w:lang w:val="en-US"/>
              </w:rPr>
            </w:pPr>
            <w:r w:rsidRPr="00311D15">
              <w:rPr>
                <w:rFonts w:cs="Arial"/>
                <w:szCs w:val="14"/>
                <w:lang w:val="en-US"/>
              </w:rPr>
              <w:t>Gains/(losses) on financial assets</w:t>
            </w:r>
          </w:p>
        </w:tc>
        <w:tc>
          <w:tcPr>
            <w:tcW w:w="1831" w:type="dxa"/>
            <w:shd w:val="clear" w:color="auto" w:fill="auto"/>
            <w:vAlign w:val="center"/>
          </w:tcPr>
          <w:p w14:paraId="2736C743" w14:textId="77777777" w:rsidR="008B7E19" w:rsidRPr="0068399F" w:rsidRDefault="008B7E19" w:rsidP="008B7E19">
            <w:pPr>
              <w:pStyle w:val="08-Tabelageral"/>
              <w:rPr>
                <w:rFonts w:cs="Arial"/>
                <w:b/>
                <w:bCs/>
                <w:szCs w:val="14"/>
                <w:highlight w:val="yellow"/>
              </w:rPr>
            </w:pPr>
            <w:r w:rsidRPr="00C57F78">
              <w:rPr>
                <w:rFonts w:cs="Arial"/>
                <w:szCs w:val="14"/>
              </w:rPr>
              <w:t>(22</w:t>
            </w:r>
            <w:r>
              <w:rPr>
                <w:rFonts w:cs="Arial"/>
                <w:szCs w:val="14"/>
              </w:rPr>
              <w:t>,</w:t>
            </w:r>
            <w:r w:rsidRPr="00C57F78">
              <w:rPr>
                <w:rFonts w:cs="Arial"/>
                <w:szCs w:val="14"/>
              </w:rPr>
              <w:t>520)</w:t>
            </w:r>
          </w:p>
        </w:tc>
        <w:tc>
          <w:tcPr>
            <w:tcW w:w="1831" w:type="dxa"/>
            <w:vAlign w:val="center"/>
          </w:tcPr>
          <w:p w14:paraId="7B872F2D" w14:textId="77777777" w:rsidR="008B7E19" w:rsidRPr="0068399F" w:rsidRDefault="008B7E19" w:rsidP="008B7E19">
            <w:pPr>
              <w:pStyle w:val="08-Tabelageral"/>
              <w:rPr>
                <w:rFonts w:cs="Arial"/>
                <w:b/>
                <w:bCs/>
                <w:szCs w:val="14"/>
                <w:highlight w:val="yellow"/>
              </w:rPr>
            </w:pPr>
            <w:r>
              <w:rPr>
                <w:rFonts w:cs="Arial"/>
                <w:szCs w:val="14"/>
              </w:rPr>
              <w:t>--</w:t>
            </w:r>
          </w:p>
        </w:tc>
        <w:tc>
          <w:tcPr>
            <w:tcW w:w="1831" w:type="dxa"/>
            <w:vAlign w:val="center"/>
          </w:tcPr>
          <w:p w14:paraId="0C29C963" w14:textId="77777777" w:rsidR="008B7E19" w:rsidRPr="0068399F" w:rsidRDefault="008B7E19" w:rsidP="008B7E19">
            <w:pPr>
              <w:pStyle w:val="08-Tabelageral"/>
              <w:rPr>
                <w:rFonts w:cs="Arial"/>
                <w:b/>
                <w:bCs/>
                <w:szCs w:val="14"/>
                <w:highlight w:val="yellow"/>
              </w:rPr>
            </w:pPr>
            <w:r w:rsidRPr="00C57F78">
              <w:rPr>
                <w:rFonts w:cs="Arial"/>
                <w:szCs w:val="14"/>
              </w:rPr>
              <w:t>(22</w:t>
            </w:r>
            <w:r>
              <w:rPr>
                <w:rFonts w:cs="Arial"/>
                <w:szCs w:val="14"/>
              </w:rPr>
              <w:t>,</w:t>
            </w:r>
            <w:r w:rsidRPr="00C57F78">
              <w:rPr>
                <w:rFonts w:cs="Arial"/>
                <w:szCs w:val="14"/>
              </w:rPr>
              <w:t>520)</w:t>
            </w:r>
          </w:p>
        </w:tc>
      </w:tr>
      <w:tr w:rsidR="008B7E19" w:rsidRPr="00C33C38" w14:paraId="3962C3FE" w14:textId="77777777" w:rsidTr="008B7E19">
        <w:trPr>
          <w:trHeight w:val="238"/>
          <w:jc w:val="center"/>
        </w:trPr>
        <w:tc>
          <w:tcPr>
            <w:tcW w:w="4361" w:type="dxa"/>
            <w:shd w:val="clear" w:color="auto" w:fill="auto"/>
            <w:vAlign w:val="center"/>
          </w:tcPr>
          <w:p w14:paraId="679CD73D" w14:textId="77777777" w:rsidR="008B7E19" w:rsidRPr="00C33C38" w:rsidRDefault="008B7E19" w:rsidP="008B7E19">
            <w:pPr>
              <w:pStyle w:val="08-Tabelageral"/>
              <w:ind w:left="113"/>
              <w:jc w:val="left"/>
              <w:rPr>
                <w:rFonts w:cs="Arial"/>
                <w:szCs w:val="14"/>
                <w:highlight w:val="yellow"/>
                <w:lang w:val="en-US"/>
              </w:rPr>
            </w:pPr>
            <w:r w:rsidRPr="00C33C38">
              <w:rPr>
                <w:rFonts w:cs="Arial"/>
                <w:szCs w:val="14"/>
                <w:lang w:val="en-US"/>
              </w:rPr>
              <w:t>Effects IFRS 9 [CPC 48] and IFRS 17 [CPC 50]</w:t>
            </w:r>
          </w:p>
        </w:tc>
        <w:tc>
          <w:tcPr>
            <w:tcW w:w="1831" w:type="dxa"/>
            <w:shd w:val="clear" w:color="auto" w:fill="auto"/>
            <w:vAlign w:val="center"/>
          </w:tcPr>
          <w:p w14:paraId="06FA290A" w14:textId="77777777" w:rsidR="008B7E19" w:rsidRPr="00C33C38" w:rsidRDefault="008B7E19" w:rsidP="008B7E19">
            <w:pPr>
              <w:pStyle w:val="08-Tabelageral"/>
              <w:rPr>
                <w:rFonts w:cs="Arial"/>
                <w:szCs w:val="14"/>
                <w:highlight w:val="yellow"/>
                <w:lang w:val="en-US"/>
              </w:rPr>
            </w:pPr>
            <w:r>
              <w:rPr>
                <w:rFonts w:cs="Arial"/>
                <w:szCs w:val="14"/>
              </w:rPr>
              <w:t>--</w:t>
            </w:r>
          </w:p>
        </w:tc>
        <w:tc>
          <w:tcPr>
            <w:tcW w:w="1831" w:type="dxa"/>
            <w:vAlign w:val="center"/>
          </w:tcPr>
          <w:p w14:paraId="46050AFF" w14:textId="77777777" w:rsidR="008B7E19" w:rsidRPr="00C33C38" w:rsidRDefault="008B7E19" w:rsidP="008B7E19">
            <w:pPr>
              <w:pStyle w:val="08-Tabelageral"/>
              <w:rPr>
                <w:rFonts w:cs="Arial"/>
                <w:szCs w:val="14"/>
                <w:highlight w:val="yellow"/>
                <w:lang w:val="en-US"/>
              </w:rPr>
            </w:pPr>
            <w:r w:rsidRPr="00C57F78">
              <w:rPr>
                <w:rFonts w:cs="Arial"/>
                <w:szCs w:val="14"/>
              </w:rPr>
              <w:t>191</w:t>
            </w:r>
            <w:r>
              <w:rPr>
                <w:rFonts w:cs="Arial"/>
                <w:szCs w:val="14"/>
              </w:rPr>
              <w:t>,</w:t>
            </w:r>
            <w:r w:rsidRPr="00C57F78">
              <w:rPr>
                <w:rFonts w:cs="Arial"/>
                <w:szCs w:val="14"/>
              </w:rPr>
              <w:t>075</w:t>
            </w:r>
          </w:p>
        </w:tc>
        <w:tc>
          <w:tcPr>
            <w:tcW w:w="1831" w:type="dxa"/>
            <w:vAlign w:val="center"/>
          </w:tcPr>
          <w:p w14:paraId="4A83B27A" w14:textId="77777777" w:rsidR="008B7E19" w:rsidRPr="00C33C38" w:rsidRDefault="008B7E19" w:rsidP="008B7E19">
            <w:pPr>
              <w:pStyle w:val="08-Tabelageral"/>
              <w:rPr>
                <w:rFonts w:cs="Arial"/>
                <w:szCs w:val="14"/>
                <w:highlight w:val="yellow"/>
                <w:lang w:val="en-US"/>
              </w:rPr>
            </w:pPr>
            <w:r w:rsidRPr="00C57F78">
              <w:rPr>
                <w:rFonts w:cs="Arial"/>
                <w:szCs w:val="14"/>
              </w:rPr>
              <w:t>191</w:t>
            </w:r>
            <w:r>
              <w:rPr>
                <w:rFonts w:cs="Arial"/>
                <w:szCs w:val="14"/>
              </w:rPr>
              <w:t>,</w:t>
            </w:r>
            <w:r w:rsidRPr="00C57F78">
              <w:rPr>
                <w:rFonts w:cs="Arial"/>
                <w:szCs w:val="14"/>
              </w:rPr>
              <w:t>075</w:t>
            </w:r>
          </w:p>
        </w:tc>
      </w:tr>
      <w:tr w:rsidR="008B7E19" w:rsidRPr="00A03B7C" w14:paraId="6514A1B2" w14:textId="77777777" w:rsidTr="008B7E19">
        <w:trPr>
          <w:trHeight w:val="238"/>
          <w:jc w:val="center"/>
        </w:trPr>
        <w:tc>
          <w:tcPr>
            <w:tcW w:w="4361" w:type="dxa"/>
            <w:shd w:val="clear" w:color="auto" w:fill="auto"/>
            <w:vAlign w:val="center"/>
          </w:tcPr>
          <w:p w14:paraId="1D05C0AA" w14:textId="77777777" w:rsidR="008B7E19" w:rsidRPr="00345AB3" w:rsidRDefault="008B7E19" w:rsidP="008B7E19">
            <w:pPr>
              <w:pStyle w:val="08-Tabelageral"/>
              <w:ind w:left="113"/>
              <w:jc w:val="left"/>
              <w:rPr>
                <w:rFonts w:cs="Arial"/>
                <w:b/>
                <w:bCs/>
                <w:szCs w:val="14"/>
                <w:highlight w:val="yellow"/>
              </w:rPr>
            </w:pPr>
            <w:r w:rsidRPr="00345AB3">
              <w:rPr>
                <w:rFonts w:cs="Arial"/>
                <w:b/>
                <w:bCs/>
                <w:szCs w:val="14"/>
              </w:rPr>
              <w:t>Tax effect</w:t>
            </w:r>
          </w:p>
        </w:tc>
        <w:tc>
          <w:tcPr>
            <w:tcW w:w="1831" w:type="dxa"/>
            <w:shd w:val="clear" w:color="auto" w:fill="auto"/>
            <w:vAlign w:val="center"/>
          </w:tcPr>
          <w:p w14:paraId="00BD07FD" w14:textId="77777777" w:rsidR="008B7E19" w:rsidRPr="00A03B7C" w:rsidRDefault="008B7E19" w:rsidP="008B7E19">
            <w:pPr>
              <w:pStyle w:val="08-Tabelageral"/>
              <w:rPr>
                <w:rFonts w:cs="Arial"/>
                <w:szCs w:val="14"/>
                <w:highlight w:val="yellow"/>
              </w:rPr>
            </w:pPr>
            <w:r w:rsidRPr="00C57F78">
              <w:rPr>
                <w:rFonts w:cs="Arial"/>
                <w:szCs w:val="14"/>
              </w:rPr>
              <w:t>9</w:t>
            </w:r>
            <w:r>
              <w:rPr>
                <w:rFonts w:cs="Arial"/>
                <w:szCs w:val="14"/>
              </w:rPr>
              <w:t>,</w:t>
            </w:r>
            <w:r w:rsidRPr="00C57F78">
              <w:rPr>
                <w:rFonts w:cs="Arial"/>
                <w:szCs w:val="14"/>
              </w:rPr>
              <w:t>008</w:t>
            </w:r>
          </w:p>
        </w:tc>
        <w:tc>
          <w:tcPr>
            <w:tcW w:w="1831" w:type="dxa"/>
            <w:vAlign w:val="center"/>
          </w:tcPr>
          <w:p w14:paraId="6EE81A4C" w14:textId="77777777" w:rsidR="008B7E19" w:rsidRPr="00A03B7C" w:rsidRDefault="008B7E19" w:rsidP="008B7E19">
            <w:pPr>
              <w:pStyle w:val="08-Tabelageral"/>
              <w:rPr>
                <w:rFonts w:cs="Arial"/>
                <w:szCs w:val="14"/>
                <w:highlight w:val="yellow"/>
              </w:rPr>
            </w:pPr>
            <w:r w:rsidRPr="00C57F78">
              <w:rPr>
                <w:rFonts w:cs="Arial"/>
                <w:szCs w:val="14"/>
              </w:rPr>
              <w:t>(76</w:t>
            </w:r>
            <w:r>
              <w:rPr>
                <w:rFonts w:cs="Arial"/>
                <w:szCs w:val="14"/>
              </w:rPr>
              <w:t>,</w:t>
            </w:r>
            <w:r w:rsidRPr="00C57F78">
              <w:rPr>
                <w:rFonts w:cs="Arial"/>
                <w:szCs w:val="14"/>
              </w:rPr>
              <w:t>430)</w:t>
            </w:r>
          </w:p>
        </w:tc>
        <w:tc>
          <w:tcPr>
            <w:tcW w:w="1831" w:type="dxa"/>
            <w:vAlign w:val="center"/>
          </w:tcPr>
          <w:p w14:paraId="5945C7F3" w14:textId="77777777" w:rsidR="008B7E19" w:rsidRPr="00A03B7C" w:rsidRDefault="008B7E19" w:rsidP="008B7E19">
            <w:pPr>
              <w:pStyle w:val="08-Tabelageral"/>
              <w:rPr>
                <w:rFonts w:cs="Arial"/>
                <w:szCs w:val="14"/>
                <w:highlight w:val="yellow"/>
              </w:rPr>
            </w:pPr>
            <w:r w:rsidRPr="00C57F78">
              <w:rPr>
                <w:rFonts w:cs="Arial"/>
                <w:szCs w:val="14"/>
              </w:rPr>
              <w:t>(67</w:t>
            </w:r>
            <w:r>
              <w:rPr>
                <w:rFonts w:cs="Arial"/>
                <w:szCs w:val="14"/>
              </w:rPr>
              <w:t>,</w:t>
            </w:r>
            <w:r w:rsidRPr="00C57F78">
              <w:rPr>
                <w:rFonts w:cs="Arial"/>
                <w:szCs w:val="14"/>
              </w:rPr>
              <w:t>422)</w:t>
            </w:r>
          </w:p>
        </w:tc>
      </w:tr>
      <w:tr w:rsidR="008B7E19" w:rsidRPr="00A03B7C" w14:paraId="11F34CA7" w14:textId="77777777" w:rsidTr="008B7E19">
        <w:trPr>
          <w:trHeight w:val="238"/>
          <w:jc w:val="center"/>
        </w:trPr>
        <w:tc>
          <w:tcPr>
            <w:tcW w:w="4361" w:type="dxa"/>
            <w:shd w:val="clear" w:color="auto" w:fill="auto"/>
            <w:vAlign w:val="center"/>
          </w:tcPr>
          <w:p w14:paraId="638C237F" w14:textId="77777777" w:rsidR="008B7E19" w:rsidRPr="00345AB3" w:rsidRDefault="008B7E19" w:rsidP="008B7E19">
            <w:pPr>
              <w:pStyle w:val="08-Tabelageral"/>
              <w:jc w:val="left"/>
              <w:rPr>
                <w:rFonts w:cs="Arial"/>
                <w:b/>
                <w:bCs/>
                <w:szCs w:val="14"/>
                <w:highlight w:val="yellow"/>
              </w:rPr>
            </w:pPr>
            <w:r w:rsidRPr="00345AB3">
              <w:rPr>
                <w:rFonts w:cs="Arial"/>
                <w:b/>
                <w:bCs/>
                <w:szCs w:val="14"/>
              </w:rPr>
              <w:t>Total Comprehensive Income</w:t>
            </w:r>
          </w:p>
        </w:tc>
        <w:tc>
          <w:tcPr>
            <w:tcW w:w="1831" w:type="dxa"/>
            <w:shd w:val="clear" w:color="auto" w:fill="auto"/>
            <w:vAlign w:val="center"/>
          </w:tcPr>
          <w:p w14:paraId="123AA651" w14:textId="77777777" w:rsidR="008B7E19" w:rsidRPr="00A03B7C" w:rsidRDefault="008B7E19" w:rsidP="008B7E19">
            <w:pPr>
              <w:pStyle w:val="08-Tabelageral"/>
              <w:rPr>
                <w:rFonts w:cs="Arial"/>
                <w:b/>
                <w:bCs/>
                <w:szCs w:val="14"/>
                <w:highlight w:val="yellow"/>
              </w:rPr>
            </w:pPr>
            <w:r w:rsidRPr="00C77A85">
              <w:rPr>
                <w:rFonts w:cs="Arial"/>
                <w:b/>
                <w:bCs/>
                <w:szCs w:val="14"/>
              </w:rPr>
              <w:t>1</w:t>
            </w:r>
            <w:r>
              <w:rPr>
                <w:rFonts w:cs="Arial"/>
                <w:b/>
                <w:bCs/>
                <w:szCs w:val="14"/>
              </w:rPr>
              <w:t>,</w:t>
            </w:r>
            <w:r w:rsidRPr="00C77A85">
              <w:rPr>
                <w:rFonts w:cs="Arial"/>
                <w:b/>
                <w:bCs/>
                <w:szCs w:val="14"/>
              </w:rPr>
              <w:t>392</w:t>
            </w:r>
            <w:r>
              <w:rPr>
                <w:rFonts w:cs="Arial"/>
                <w:b/>
                <w:bCs/>
                <w:szCs w:val="14"/>
              </w:rPr>
              <w:t>,</w:t>
            </w:r>
            <w:r w:rsidRPr="00C77A85">
              <w:rPr>
                <w:rFonts w:cs="Arial"/>
                <w:b/>
                <w:bCs/>
                <w:szCs w:val="14"/>
              </w:rPr>
              <w:t>859</w:t>
            </w:r>
          </w:p>
        </w:tc>
        <w:tc>
          <w:tcPr>
            <w:tcW w:w="1831" w:type="dxa"/>
            <w:vAlign w:val="center"/>
          </w:tcPr>
          <w:p w14:paraId="6F0B2978" w14:textId="77777777" w:rsidR="008B7E19" w:rsidRPr="00A03B7C" w:rsidRDefault="008B7E19" w:rsidP="008B7E19">
            <w:pPr>
              <w:pStyle w:val="08-Tabelageral"/>
              <w:rPr>
                <w:rFonts w:cs="Arial"/>
                <w:b/>
                <w:bCs/>
                <w:szCs w:val="14"/>
                <w:highlight w:val="yellow"/>
              </w:rPr>
            </w:pPr>
            <w:r w:rsidRPr="00C77A85">
              <w:rPr>
                <w:rFonts w:cs="Arial"/>
                <w:b/>
                <w:bCs/>
                <w:szCs w:val="14"/>
              </w:rPr>
              <w:t>212</w:t>
            </w:r>
            <w:r>
              <w:rPr>
                <w:rFonts w:cs="Arial"/>
                <w:b/>
                <w:bCs/>
                <w:szCs w:val="14"/>
              </w:rPr>
              <w:t>,</w:t>
            </w:r>
            <w:r w:rsidRPr="00C77A85">
              <w:rPr>
                <w:rFonts w:cs="Arial"/>
                <w:b/>
                <w:bCs/>
                <w:szCs w:val="14"/>
              </w:rPr>
              <w:t>001</w:t>
            </w:r>
          </w:p>
        </w:tc>
        <w:tc>
          <w:tcPr>
            <w:tcW w:w="1831" w:type="dxa"/>
            <w:vAlign w:val="center"/>
          </w:tcPr>
          <w:p w14:paraId="1A42DBB4" w14:textId="77777777" w:rsidR="008B7E19" w:rsidRPr="00A03B7C" w:rsidRDefault="008B7E19" w:rsidP="008B7E19">
            <w:pPr>
              <w:pStyle w:val="08-Tabelageral"/>
              <w:rPr>
                <w:rFonts w:cs="Arial"/>
                <w:b/>
                <w:bCs/>
                <w:szCs w:val="14"/>
                <w:highlight w:val="yellow"/>
              </w:rPr>
            </w:pPr>
            <w:r w:rsidRPr="00C77A85">
              <w:rPr>
                <w:rFonts w:cs="Arial"/>
                <w:b/>
                <w:bCs/>
                <w:szCs w:val="14"/>
              </w:rPr>
              <w:t>1</w:t>
            </w:r>
            <w:r>
              <w:rPr>
                <w:rFonts w:cs="Arial"/>
                <w:b/>
                <w:bCs/>
                <w:szCs w:val="14"/>
              </w:rPr>
              <w:t>,</w:t>
            </w:r>
            <w:r w:rsidRPr="00C77A85">
              <w:rPr>
                <w:rFonts w:cs="Arial"/>
                <w:b/>
                <w:bCs/>
                <w:szCs w:val="14"/>
              </w:rPr>
              <w:t>604</w:t>
            </w:r>
            <w:r>
              <w:rPr>
                <w:rFonts w:cs="Arial"/>
                <w:b/>
                <w:bCs/>
                <w:szCs w:val="14"/>
              </w:rPr>
              <w:t>,</w:t>
            </w:r>
            <w:r w:rsidRPr="00C77A85">
              <w:rPr>
                <w:rFonts w:cs="Arial"/>
                <w:b/>
                <w:bCs/>
                <w:szCs w:val="14"/>
              </w:rPr>
              <w:t>860</w:t>
            </w:r>
          </w:p>
        </w:tc>
      </w:tr>
    </w:tbl>
    <w:p w14:paraId="3DD0685A" w14:textId="77777777" w:rsidR="008B7E19" w:rsidRDefault="008B7E19" w:rsidP="008B7E19">
      <w:pPr>
        <w:spacing w:after="0" w:line="240" w:lineRule="auto"/>
        <w:jc w:val="right"/>
        <w:rPr>
          <w:rFonts w:cs="Arial"/>
          <w:b/>
          <w:sz w:val="14"/>
          <w:lang w:eastAsia="pt-BR"/>
        </w:rPr>
      </w:pPr>
    </w:p>
    <w:p w14:paraId="7F401BAF" w14:textId="77777777" w:rsidR="008B7E19" w:rsidRDefault="008B7E19" w:rsidP="008B7E19">
      <w:pPr>
        <w:spacing w:after="0" w:line="240" w:lineRule="auto"/>
        <w:jc w:val="right"/>
        <w:rPr>
          <w:rFonts w:cs="Arial"/>
          <w:b/>
          <w:sz w:val="14"/>
          <w:lang w:eastAsia="pt-BR"/>
        </w:rPr>
      </w:pPr>
    </w:p>
    <w:p w14:paraId="5973045B" w14:textId="77777777" w:rsidR="008B7E19" w:rsidRPr="00D44604" w:rsidRDefault="008B7E19" w:rsidP="008B7E19">
      <w:pPr>
        <w:spacing w:after="0" w:line="240" w:lineRule="auto"/>
        <w:jc w:val="right"/>
        <w:rPr>
          <w:rFonts w:cs="Arial"/>
          <w:b/>
          <w:sz w:val="14"/>
          <w:lang w:eastAsia="pt-BR"/>
        </w:rPr>
      </w:pPr>
      <w:r w:rsidRPr="00FC6C4B">
        <w:rPr>
          <w:rFonts w:cs="Arial"/>
          <w:b/>
          <w:sz w:val="14"/>
          <w:lang w:eastAsia="pt-BR"/>
        </w:rPr>
        <w:t>R$ thousand</w:t>
      </w:r>
    </w:p>
    <w:tbl>
      <w:tblPr>
        <w:tblW w:w="9854" w:type="dxa"/>
        <w:jc w:val="center"/>
        <w:tblBorders>
          <w:top w:val="single" w:sz="2" w:space="0" w:color="1F4E79" w:themeColor="accent1" w:themeShade="80"/>
          <w:bottom w:val="single" w:sz="2" w:space="0" w:color="1F4E79" w:themeColor="accent1" w:themeShade="80"/>
        </w:tblBorders>
        <w:tblLook w:val="04A0" w:firstRow="1" w:lastRow="0" w:firstColumn="1" w:lastColumn="0" w:noHBand="0" w:noVBand="1"/>
      </w:tblPr>
      <w:tblGrid>
        <w:gridCol w:w="4361"/>
        <w:gridCol w:w="1831"/>
        <w:gridCol w:w="1831"/>
        <w:gridCol w:w="1831"/>
      </w:tblGrid>
      <w:tr w:rsidR="008B7E19" w:rsidRPr="00E00C9B" w14:paraId="41B66386" w14:textId="77777777" w:rsidTr="008B7E19">
        <w:trPr>
          <w:trHeight w:val="238"/>
          <w:jc w:val="center"/>
        </w:trPr>
        <w:tc>
          <w:tcPr>
            <w:tcW w:w="4361" w:type="dxa"/>
            <w:tcBorders>
              <w:top w:val="single" w:sz="2" w:space="0" w:color="1F4E79" w:themeColor="accent1" w:themeShade="80"/>
            </w:tcBorders>
            <w:shd w:val="clear" w:color="auto" w:fill="auto"/>
            <w:vAlign w:val="center"/>
          </w:tcPr>
          <w:p w14:paraId="2C7AF399" w14:textId="77777777" w:rsidR="008B7E19" w:rsidRPr="00E00C9B" w:rsidRDefault="008B7E19" w:rsidP="008B7E19">
            <w:pPr>
              <w:pStyle w:val="08-Tabelageral"/>
              <w:jc w:val="left"/>
              <w:rPr>
                <w:rFonts w:cs="Arial"/>
                <w:b/>
                <w:bCs/>
                <w:szCs w:val="14"/>
              </w:rPr>
            </w:pPr>
          </w:p>
        </w:tc>
        <w:tc>
          <w:tcPr>
            <w:tcW w:w="5493" w:type="dxa"/>
            <w:gridSpan w:val="3"/>
            <w:tcBorders>
              <w:top w:val="single" w:sz="2" w:space="0" w:color="1F4E79" w:themeColor="accent1" w:themeShade="80"/>
            </w:tcBorders>
            <w:shd w:val="clear" w:color="auto" w:fill="auto"/>
            <w:vAlign w:val="center"/>
          </w:tcPr>
          <w:p w14:paraId="03DFF493" w14:textId="77777777" w:rsidR="008B7E19" w:rsidRPr="00C80F9A" w:rsidRDefault="008B7E19" w:rsidP="008B7E19">
            <w:pPr>
              <w:pStyle w:val="08-Tabelageral"/>
              <w:jc w:val="center"/>
              <w:rPr>
                <w:rFonts w:cs="Arial"/>
                <w:b/>
                <w:bCs/>
                <w:szCs w:val="14"/>
              </w:rPr>
            </w:pPr>
            <w:r>
              <w:rPr>
                <w:rFonts w:cs="Arial"/>
                <w:b/>
                <w:bCs/>
                <w:szCs w:val="14"/>
              </w:rPr>
              <w:t>Parent</w:t>
            </w:r>
            <w:r w:rsidRPr="00C80F9A">
              <w:rPr>
                <w:rFonts w:cs="Arial"/>
                <w:b/>
                <w:bCs/>
                <w:szCs w:val="14"/>
              </w:rPr>
              <w:t xml:space="preserve"> </w:t>
            </w:r>
            <w:r>
              <w:rPr>
                <w:rFonts w:cs="Arial"/>
                <w:b/>
                <w:bCs/>
                <w:szCs w:val="14"/>
              </w:rPr>
              <w:t>and</w:t>
            </w:r>
            <w:r w:rsidRPr="00C80F9A">
              <w:rPr>
                <w:rFonts w:cs="Arial"/>
                <w:b/>
                <w:bCs/>
                <w:szCs w:val="14"/>
              </w:rPr>
              <w:t xml:space="preserve"> </w:t>
            </w:r>
            <w:r>
              <w:rPr>
                <w:rFonts w:cs="Arial"/>
                <w:b/>
                <w:bCs/>
                <w:szCs w:val="14"/>
              </w:rPr>
              <w:t>Consolidated</w:t>
            </w:r>
          </w:p>
        </w:tc>
      </w:tr>
      <w:tr w:rsidR="008B7E19" w:rsidRPr="00E00C9B" w14:paraId="4796FB3F" w14:textId="77777777" w:rsidTr="008B7E19">
        <w:trPr>
          <w:trHeight w:val="238"/>
          <w:jc w:val="center"/>
        </w:trPr>
        <w:tc>
          <w:tcPr>
            <w:tcW w:w="4361" w:type="dxa"/>
            <w:tcBorders>
              <w:top w:val="single" w:sz="2" w:space="0" w:color="1F4E79" w:themeColor="accent1" w:themeShade="80"/>
            </w:tcBorders>
            <w:shd w:val="clear" w:color="auto" w:fill="auto"/>
            <w:vAlign w:val="center"/>
          </w:tcPr>
          <w:p w14:paraId="0D14E765" w14:textId="77777777" w:rsidR="008B7E19" w:rsidRPr="00E00C9B" w:rsidRDefault="008B7E19" w:rsidP="008B7E19">
            <w:pPr>
              <w:pStyle w:val="08-Tabelageral"/>
              <w:jc w:val="left"/>
              <w:rPr>
                <w:rFonts w:cs="Arial"/>
                <w:b/>
                <w:bCs/>
                <w:szCs w:val="14"/>
              </w:rPr>
            </w:pPr>
          </w:p>
        </w:tc>
        <w:tc>
          <w:tcPr>
            <w:tcW w:w="1831" w:type="dxa"/>
            <w:tcBorders>
              <w:top w:val="single" w:sz="2" w:space="0" w:color="1F4E79" w:themeColor="accent1" w:themeShade="80"/>
            </w:tcBorders>
            <w:shd w:val="clear" w:color="auto" w:fill="auto"/>
            <w:vAlign w:val="center"/>
          </w:tcPr>
          <w:p w14:paraId="75FDCDC1" w14:textId="77777777" w:rsidR="008B7E19" w:rsidRPr="00C80F9A" w:rsidRDefault="008B7E19" w:rsidP="008B7E19">
            <w:pPr>
              <w:pStyle w:val="08-Tabelageral"/>
              <w:rPr>
                <w:rFonts w:cs="Arial"/>
                <w:b/>
                <w:bCs/>
                <w:szCs w:val="14"/>
              </w:rPr>
            </w:pPr>
          </w:p>
        </w:tc>
        <w:tc>
          <w:tcPr>
            <w:tcW w:w="1831" w:type="dxa"/>
            <w:tcBorders>
              <w:top w:val="single" w:sz="2" w:space="0" w:color="1F4E79" w:themeColor="accent1" w:themeShade="80"/>
            </w:tcBorders>
          </w:tcPr>
          <w:p w14:paraId="24CB4A91" w14:textId="77777777" w:rsidR="008B7E19" w:rsidRPr="00C80F9A" w:rsidRDefault="008B7E19" w:rsidP="008B7E19">
            <w:pPr>
              <w:pStyle w:val="08-Tabelageral"/>
              <w:rPr>
                <w:rFonts w:cs="Arial"/>
                <w:b/>
                <w:bCs/>
                <w:szCs w:val="14"/>
              </w:rPr>
            </w:pPr>
            <w:r w:rsidRPr="003E392D">
              <w:rPr>
                <w:rFonts w:cs="Arial"/>
                <w:b/>
                <w:bCs/>
                <w:szCs w:val="14"/>
              </w:rPr>
              <w:t>1</w:t>
            </w:r>
            <w:r w:rsidRPr="003E392D">
              <w:rPr>
                <w:rFonts w:cs="Arial"/>
                <w:b/>
                <w:bCs/>
                <w:szCs w:val="14"/>
                <w:vertAlign w:val="superscript"/>
              </w:rPr>
              <w:t>st</w:t>
            </w:r>
            <w:r w:rsidRPr="003E392D">
              <w:rPr>
                <w:rFonts w:cs="Arial"/>
                <w:b/>
                <w:bCs/>
                <w:szCs w:val="14"/>
              </w:rPr>
              <w:t xml:space="preserve"> Half 202</w:t>
            </w:r>
            <w:r>
              <w:rPr>
                <w:rFonts w:cs="Arial"/>
                <w:b/>
                <w:bCs/>
                <w:szCs w:val="14"/>
              </w:rPr>
              <w:t>2</w:t>
            </w:r>
          </w:p>
        </w:tc>
        <w:tc>
          <w:tcPr>
            <w:tcW w:w="1831" w:type="dxa"/>
            <w:tcBorders>
              <w:top w:val="single" w:sz="2" w:space="0" w:color="1F4E79" w:themeColor="accent1" w:themeShade="80"/>
            </w:tcBorders>
          </w:tcPr>
          <w:p w14:paraId="25F8746B" w14:textId="77777777" w:rsidR="008B7E19" w:rsidRPr="00C80F9A" w:rsidRDefault="008B7E19" w:rsidP="008B7E19">
            <w:pPr>
              <w:pStyle w:val="08-Tabelageral"/>
              <w:rPr>
                <w:rFonts w:cs="Arial"/>
                <w:b/>
                <w:bCs/>
                <w:szCs w:val="14"/>
              </w:rPr>
            </w:pPr>
          </w:p>
        </w:tc>
      </w:tr>
      <w:tr w:rsidR="008B7E19" w:rsidRPr="00E00C9B" w14:paraId="0DB0D6D1" w14:textId="77777777" w:rsidTr="008B7E19">
        <w:trPr>
          <w:trHeight w:val="238"/>
          <w:jc w:val="center"/>
        </w:trPr>
        <w:tc>
          <w:tcPr>
            <w:tcW w:w="4361" w:type="dxa"/>
            <w:tcBorders>
              <w:top w:val="single" w:sz="2" w:space="0" w:color="1F4E79" w:themeColor="accent1" w:themeShade="80"/>
            </w:tcBorders>
            <w:shd w:val="clear" w:color="auto" w:fill="auto"/>
            <w:vAlign w:val="center"/>
          </w:tcPr>
          <w:p w14:paraId="06317994" w14:textId="77777777" w:rsidR="008B7E19" w:rsidRPr="00E00C9B" w:rsidRDefault="008B7E19" w:rsidP="008B7E19">
            <w:pPr>
              <w:pStyle w:val="08-Tabelageral"/>
              <w:jc w:val="left"/>
              <w:rPr>
                <w:rFonts w:cs="Arial"/>
                <w:b/>
                <w:bCs/>
                <w:szCs w:val="14"/>
              </w:rPr>
            </w:pPr>
          </w:p>
        </w:tc>
        <w:tc>
          <w:tcPr>
            <w:tcW w:w="1831" w:type="dxa"/>
            <w:tcBorders>
              <w:top w:val="single" w:sz="2" w:space="0" w:color="1F4E79" w:themeColor="accent1" w:themeShade="80"/>
            </w:tcBorders>
            <w:shd w:val="clear" w:color="auto" w:fill="auto"/>
            <w:vAlign w:val="center"/>
          </w:tcPr>
          <w:p w14:paraId="3311E680" w14:textId="77777777" w:rsidR="008B7E19" w:rsidRPr="00C80F9A" w:rsidRDefault="008B7E19" w:rsidP="008B7E19">
            <w:pPr>
              <w:pStyle w:val="08-Tabelageral"/>
              <w:rPr>
                <w:rFonts w:cs="Arial"/>
                <w:b/>
                <w:bCs/>
                <w:szCs w:val="14"/>
              </w:rPr>
            </w:pPr>
            <w:r>
              <w:rPr>
                <w:rFonts w:cs="Arial"/>
                <w:b/>
                <w:bCs/>
                <w:szCs w:val="14"/>
              </w:rPr>
              <w:t>Original report</w:t>
            </w:r>
          </w:p>
        </w:tc>
        <w:tc>
          <w:tcPr>
            <w:tcW w:w="1831" w:type="dxa"/>
            <w:tcBorders>
              <w:top w:val="single" w:sz="2" w:space="0" w:color="1F4E79" w:themeColor="accent1" w:themeShade="80"/>
            </w:tcBorders>
          </w:tcPr>
          <w:p w14:paraId="50C49E22" w14:textId="77777777" w:rsidR="008B7E19" w:rsidRPr="00C80F9A" w:rsidRDefault="008B7E19" w:rsidP="008B7E19">
            <w:pPr>
              <w:pStyle w:val="08-Tabelageral"/>
              <w:rPr>
                <w:rFonts w:cs="Arial"/>
                <w:b/>
                <w:bCs/>
                <w:szCs w:val="14"/>
              </w:rPr>
            </w:pPr>
            <w:r>
              <w:rPr>
                <w:rFonts w:cs="Arial"/>
                <w:b/>
                <w:bCs/>
                <w:szCs w:val="14"/>
              </w:rPr>
              <w:t>Adjustments</w:t>
            </w:r>
          </w:p>
        </w:tc>
        <w:tc>
          <w:tcPr>
            <w:tcW w:w="1831" w:type="dxa"/>
            <w:tcBorders>
              <w:top w:val="single" w:sz="2" w:space="0" w:color="1F4E79" w:themeColor="accent1" w:themeShade="80"/>
            </w:tcBorders>
          </w:tcPr>
          <w:p w14:paraId="21F34BD4" w14:textId="77777777" w:rsidR="008B7E19" w:rsidRPr="00C80F9A" w:rsidRDefault="008B7E19" w:rsidP="008B7E19">
            <w:pPr>
              <w:pStyle w:val="08-Tabelageral"/>
              <w:rPr>
                <w:rFonts w:cs="Arial"/>
                <w:b/>
                <w:bCs/>
                <w:szCs w:val="14"/>
              </w:rPr>
            </w:pPr>
            <w:r>
              <w:rPr>
                <w:rFonts w:cs="Arial"/>
                <w:b/>
                <w:bCs/>
                <w:szCs w:val="14"/>
              </w:rPr>
              <w:t>Restated balances</w:t>
            </w:r>
          </w:p>
        </w:tc>
      </w:tr>
      <w:tr w:rsidR="008B7E19" w:rsidRPr="00A03B7C" w14:paraId="3D595B4A" w14:textId="77777777" w:rsidTr="008B7E19">
        <w:trPr>
          <w:trHeight w:val="238"/>
          <w:jc w:val="center"/>
        </w:trPr>
        <w:tc>
          <w:tcPr>
            <w:tcW w:w="4361" w:type="dxa"/>
            <w:tcBorders>
              <w:top w:val="single" w:sz="2" w:space="0" w:color="1F4E79" w:themeColor="accent1" w:themeShade="80"/>
            </w:tcBorders>
            <w:shd w:val="clear" w:color="auto" w:fill="auto"/>
            <w:vAlign w:val="center"/>
          </w:tcPr>
          <w:p w14:paraId="542DB863" w14:textId="77777777" w:rsidR="008B7E19" w:rsidRPr="00A03B7C" w:rsidRDefault="008B7E19" w:rsidP="008B7E19">
            <w:pPr>
              <w:pStyle w:val="08-Tabelageral"/>
              <w:jc w:val="left"/>
              <w:rPr>
                <w:rFonts w:cs="Arial"/>
                <w:b/>
                <w:bCs/>
                <w:szCs w:val="14"/>
                <w:highlight w:val="yellow"/>
              </w:rPr>
            </w:pPr>
            <w:r w:rsidRPr="00345AB3">
              <w:rPr>
                <w:rFonts w:cs="Arial"/>
                <w:b/>
                <w:bCs/>
                <w:szCs w:val="14"/>
              </w:rPr>
              <w:t>Net Income</w:t>
            </w:r>
          </w:p>
        </w:tc>
        <w:tc>
          <w:tcPr>
            <w:tcW w:w="1831" w:type="dxa"/>
            <w:tcBorders>
              <w:top w:val="single" w:sz="2" w:space="0" w:color="1F4E79" w:themeColor="accent1" w:themeShade="80"/>
            </w:tcBorders>
            <w:shd w:val="clear" w:color="auto" w:fill="auto"/>
            <w:vAlign w:val="center"/>
          </w:tcPr>
          <w:p w14:paraId="79078B19" w14:textId="77777777" w:rsidR="008B7E19" w:rsidRPr="00A03B7C" w:rsidRDefault="008B7E19" w:rsidP="008B7E19">
            <w:pPr>
              <w:pStyle w:val="08-Tabelageral"/>
              <w:rPr>
                <w:rFonts w:cs="Arial"/>
                <w:b/>
                <w:bCs/>
                <w:szCs w:val="14"/>
                <w:highlight w:val="yellow"/>
              </w:rPr>
            </w:pPr>
            <w:r w:rsidRPr="00C77A85">
              <w:rPr>
                <w:rFonts w:cs="Arial"/>
                <w:b/>
                <w:bCs/>
                <w:szCs w:val="14"/>
              </w:rPr>
              <w:t>2</w:t>
            </w:r>
            <w:r>
              <w:rPr>
                <w:rFonts w:cs="Arial"/>
                <w:b/>
                <w:bCs/>
                <w:szCs w:val="14"/>
              </w:rPr>
              <w:t>,</w:t>
            </w:r>
            <w:r w:rsidRPr="00C77A85">
              <w:rPr>
                <w:rFonts w:cs="Arial"/>
                <w:b/>
                <w:bCs/>
                <w:szCs w:val="14"/>
              </w:rPr>
              <w:t>585</w:t>
            </w:r>
            <w:r>
              <w:rPr>
                <w:rFonts w:cs="Arial"/>
                <w:b/>
                <w:bCs/>
                <w:szCs w:val="14"/>
              </w:rPr>
              <w:t>,</w:t>
            </w:r>
            <w:r w:rsidRPr="00C77A85">
              <w:rPr>
                <w:rFonts w:cs="Arial"/>
                <w:b/>
                <w:bCs/>
                <w:szCs w:val="14"/>
              </w:rPr>
              <w:t>802</w:t>
            </w:r>
          </w:p>
        </w:tc>
        <w:tc>
          <w:tcPr>
            <w:tcW w:w="1831" w:type="dxa"/>
            <w:tcBorders>
              <w:top w:val="single" w:sz="2" w:space="0" w:color="1F4E79" w:themeColor="accent1" w:themeShade="80"/>
            </w:tcBorders>
            <w:vAlign w:val="center"/>
          </w:tcPr>
          <w:p w14:paraId="317035D2" w14:textId="77777777" w:rsidR="008B7E19" w:rsidRPr="00A03B7C" w:rsidRDefault="008B7E19" w:rsidP="008B7E19">
            <w:pPr>
              <w:pStyle w:val="08-Tabelageral"/>
              <w:rPr>
                <w:rFonts w:cs="Arial"/>
                <w:b/>
                <w:bCs/>
                <w:szCs w:val="14"/>
                <w:highlight w:val="yellow"/>
              </w:rPr>
            </w:pPr>
            <w:r w:rsidRPr="00C77A85">
              <w:rPr>
                <w:rFonts w:cs="Arial"/>
                <w:b/>
                <w:bCs/>
                <w:szCs w:val="14"/>
              </w:rPr>
              <w:t>127</w:t>
            </w:r>
            <w:r>
              <w:rPr>
                <w:rFonts w:cs="Arial"/>
                <w:b/>
                <w:bCs/>
                <w:szCs w:val="14"/>
              </w:rPr>
              <w:t>,</w:t>
            </w:r>
            <w:r w:rsidRPr="00C77A85">
              <w:rPr>
                <w:rFonts w:cs="Arial"/>
                <w:b/>
                <w:bCs/>
                <w:szCs w:val="14"/>
              </w:rPr>
              <w:t>442</w:t>
            </w:r>
          </w:p>
        </w:tc>
        <w:tc>
          <w:tcPr>
            <w:tcW w:w="1831" w:type="dxa"/>
            <w:tcBorders>
              <w:top w:val="single" w:sz="2" w:space="0" w:color="1F4E79" w:themeColor="accent1" w:themeShade="80"/>
            </w:tcBorders>
            <w:vAlign w:val="center"/>
          </w:tcPr>
          <w:p w14:paraId="38CD76F5" w14:textId="77777777" w:rsidR="008B7E19" w:rsidRPr="00A03B7C" w:rsidRDefault="008B7E19" w:rsidP="008B7E19">
            <w:pPr>
              <w:pStyle w:val="08-Tabelageral"/>
              <w:rPr>
                <w:rFonts w:cs="Arial"/>
                <w:b/>
                <w:bCs/>
                <w:szCs w:val="14"/>
                <w:highlight w:val="yellow"/>
              </w:rPr>
            </w:pPr>
            <w:r w:rsidRPr="00C77A85">
              <w:rPr>
                <w:rFonts w:cs="Arial"/>
                <w:b/>
                <w:bCs/>
                <w:szCs w:val="14"/>
              </w:rPr>
              <w:t>2</w:t>
            </w:r>
            <w:r>
              <w:rPr>
                <w:rFonts w:cs="Arial"/>
                <w:b/>
                <w:bCs/>
                <w:szCs w:val="14"/>
              </w:rPr>
              <w:t>,</w:t>
            </w:r>
            <w:r w:rsidRPr="00C77A85">
              <w:rPr>
                <w:rFonts w:cs="Arial"/>
                <w:b/>
                <w:bCs/>
                <w:szCs w:val="14"/>
              </w:rPr>
              <w:t>713</w:t>
            </w:r>
            <w:r>
              <w:rPr>
                <w:rFonts w:cs="Arial"/>
                <w:b/>
                <w:bCs/>
                <w:szCs w:val="14"/>
              </w:rPr>
              <w:t>,</w:t>
            </w:r>
            <w:r w:rsidRPr="00C77A85">
              <w:rPr>
                <w:rFonts w:cs="Arial"/>
                <w:b/>
                <w:bCs/>
                <w:szCs w:val="14"/>
              </w:rPr>
              <w:t>244</w:t>
            </w:r>
          </w:p>
        </w:tc>
      </w:tr>
      <w:tr w:rsidR="008B7E19" w:rsidRPr="00C33C38" w14:paraId="351BFC65" w14:textId="77777777" w:rsidTr="008B7E19">
        <w:trPr>
          <w:trHeight w:val="238"/>
          <w:jc w:val="center"/>
        </w:trPr>
        <w:tc>
          <w:tcPr>
            <w:tcW w:w="4361" w:type="dxa"/>
            <w:shd w:val="clear" w:color="auto" w:fill="auto"/>
            <w:vAlign w:val="center"/>
          </w:tcPr>
          <w:p w14:paraId="280FE7E5" w14:textId="77777777" w:rsidR="008B7E19" w:rsidRPr="00C33C38" w:rsidRDefault="008B7E19" w:rsidP="008B7E19">
            <w:pPr>
              <w:pStyle w:val="08-Tabelageral"/>
              <w:ind w:left="113"/>
              <w:jc w:val="left"/>
              <w:rPr>
                <w:rFonts w:cs="Arial"/>
                <w:b/>
                <w:bCs/>
                <w:szCs w:val="14"/>
                <w:highlight w:val="yellow"/>
                <w:lang w:val="en-US"/>
              </w:rPr>
            </w:pPr>
            <w:r w:rsidRPr="00C33C38">
              <w:rPr>
                <w:rStyle w:val="rynqvb"/>
                <w:b/>
                <w:bCs/>
                <w:lang w:val="en"/>
              </w:rPr>
              <w:t>Participation in the comprehensive income of investments in equity interests</w:t>
            </w:r>
          </w:p>
        </w:tc>
        <w:tc>
          <w:tcPr>
            <w:tcW w:w="1831" w:type="dxa"/>
            <w:shd w:val="clear" w:color="auto" w:fill="auto"/>
            <w:vAlign w:val="center"/>
          </w:tcPr>
          <w:p w14:paraId="05401702" w14:textId="77777777" w:rsidR="008B7E19" w:rsidRPr="00C33C38" w:rsidRDefault="008B7E19" w:rsidP="008B7E19">
            <w:pPr>
              <w:pStyle w:val="08-Tabelageral"/>
              <w:rPr>
                <w:rFonts w:cs="Arial"/>
                <w:b/>
                <w:bCs/>
                <w:szCs w:val="14"/>
                <w:highlight w:val="yellow"/>
                <w:lang w:val="en-US"/>
              </w:rPr>
            </w:pPr>
            <w:r w:rsidRPr="00C33C38">
              <w:rPr>
                <w:rFonts w:cs="Arial"/>
                <w:b/>
                <w:bCs/>
                <w:szCs w:val="14"/>
              </w:rPr>
              <w:t>(29</w:t>
            </w:r>
            <w:r>
              <w:rPr>
                <w:rFonts w:cs="Arial"/>
                <w:b/>
                <w:bCs/>
                <w:szCs w:val="14"/>
              </w:rPr>
              <w:t>,</w:t>
            </w:r>
            <w:r w:rsidRPr="00C33C38">
              <w:rPr>
                <w:rFonts w:cs="Arial"/>
                <w:b/>
                <w:bCs/>
                <w:szCs w:val="14"/>
              </w:rPr>
              <w:t>344)</w:t>
            </w:r>
          </w:p>
        </w:tc>
        <w:tc>
          <w:tcPr>
            <w:tcW w:w="1831" w:type="dxa"/>
            <w:vAlign w:val="center"/>
          </w:tcPr>
          <w:p w14:paraId="06BF60E7" w14:textId="77777777" w:rsidR="008B7E19" w:rsidRPr="00C33C38" w:rsidRDefault="008B7E19" w:rsidP="008B7E19">
            <w:pPr>
              <w:pStyle w:val="08-Tabelageral"/>
              <w:rPr>
                <w:rFonts w:cs="Arial"/>
                <w:b/>
                <w:bCs/>
                <w:szCs w:val="14"/>
                <w:highlight w:val="yellow"/>
                <w:lang w:val="en-US"/>
              </w:rPr>
            </w:pPr>
            <w:r w:rsidRPr="00C33C38">
              <w:rPr>
                <w:rFonts w:cs="Arial"/>
                <w:b/>
                <w:bCs/>
                <w:szCs w:val="14"/>
              </w:rPr>
              <w:t>111</w:t>
            </w:r>
            <w:r>
              <w:rPr>
                <w:rFonts w:cs="Arial"/>
                <w:b/>
                <w:bCs/>
                <w:szCs w:val="14"/>
              </w:rPr>
              <w:t>,</w:t>
            </w:r>
            <w:r w:rsidRPr="00C33C38">
              <w:rPr>
                <w:rFonts w:cs="Arial"/>
                <w:b/>
                <w:bCs/>
                <w:szCs w:val="14"/>
              </w:rPr>
              <w:t>921</w:t>
            </w:r>
          </w:p>
        </w:tc>
        <w:tc>
          <w:tcPr>
            <w:tcW w:w="1831" w:type="dxa"/>
            <w:vAlign w:val="center"/>
          </w:tcPr>
          <w:p w14:paraId="76F521BB" w14:textId="77777777" w:rsidR="008B7E19" w:rsidRPr="00C33C38" w:rsidRDefault="008B7E19" w:rsidP="008B7E19">
            <w:pPr>
              <w:pStyle w:val="08-Tabelageral"/>
              <w:rPr>
                <w:rFonts w:cs="Arial"/>
                <w:b/>
                <w:bCs/>
                <w:szCs w:val="14"/>
                <w:highlight w:val="yellow"/>
                <w:lang w:val="en-US"/>
              </w:rPr>
            </w:pPr>
            <w:r w:rsidRPr="00C33C38">
              <w:rPr>
                <w:rFonts w:cs="Arial"/>
                <w:b/>
                <w:bCs/>
                <w:szCs w:val="14"/>
              </w:rPr>
              <w:t>82</w:t>
            </w:r>
            <w:r>
              <w:rPr>
                <w:rFonts w:cs="Arial"/>
                <w:b/>
                <w:bCs/>
                <w:szCs w:val="14"/>
              </w:rPr>
              <w:t>,</w:t>
            </w:r>
            <w:r w:rsidRPr="00C33C38">
              <w:rPr>
                <w:rFonts w:cs="Arial"/>
                <w:b/>
                <w:bCs/>
                <w:szCs w:val="14"/>
              </w:rPr>
              <w:t>577</w:t>
            </w:r>
          </w:p>
        </w:tc>
      </w:tr>
      <w:tr w:rsidR="008B7E19" w:rsidRPr="00C33C38" w14:paraId="3212C211" w14:textId="77777777" w:rsidTr="008B7E19">
        <w:trPr>
          <w:trHeight w:val="238"/>
          <w:jc w:val="center"/>
        </w:trPr>
        <w:tc>
          <w:tcPr>
            <w:tcW w:w="4361" w:type="dxa"/>
            <w:shd w:val="clear" w:color="auto" w:fill="auto"/>
            <w:vAlign w:val="center"/>
          </w:tcPr>
          <w:p w14:paraId="0DAE731B" w14:textId="77777777" w:rsidR="008B7E19" w:rsidRPr="00311D15" w:rsidRDefault="008B7E19" w:rsidP="008B7E19">
            <w:pPr>
              <w:pStyle w:val="08-Tabelageral"/>
              <w:ind w:left="113"/>
              <w:jc w:val="left"/>
              <w:rPr>
                <w:rFonts w:cs="Arial"/>
                <w:b/>
                <w:bCs/>
                <w:szCs w:val="14"/>
                <w:lang w:val="en-US"/>
              </w:rPr>
            </w:pPr>
            <w:r w:rsidRPr="00311D15">
              <w:rPr>
                <w:rFonts w:cs="Arial"/>
                <w:szCs w:val="14"/>
                <w:lang w:val="en-US"/>
              </w:rPr>
              <w:t>Gains/(losses) on financial assets</w:t>
            </w:r>
          </w:p>
        </w:tc>
        <w:tc>
          <w:tcPr>
            <w:tcW w:w="1831" w:type="dxa"/>
            <w:shd w:val="clear" w:color="auto" w:fill="auto"/>
            <w:vAlign w:val="center"/>
          </w:tcPr>
          <w:p w14:paraId="78828010" w14:textId="77777777" w:rsidR="008B7E19" w:rsidRPr="00C33C38" w:rsidRDefault="008B7E19" w:rsidP="008B7E19">
            <w:pPr>
              <w:pStyle w:val="08-Tabelageral"/>
              <w:rPr>
                <w:rFonts w:cs="Arial"/>
                <w:b/>
                <w:bCs/>
                <w:szCs w:val="14"/>
                <w:highlight w:val="yellow"/>
                <w:lang w:val="en-US"/>
              </w:rPr>
            </w:pPr>
            <w:r w:rsidRPr="00C57F78">
              <w:rPr>
                <w:rFonts w:cs="Arial"/>
                <w:szCs w:val="14"/>
              </w:rPr>
              <w:t>(48</w:t>
            </w:r>
            <w:r>
              <w:rPr>
                <w:rFonts w:cs="Arial"/>
                <w:szCs w:val="14"/>
              </w:rPr>
              <w:t>,</w:t>
            </w:r>
            <w:r w:rsidRPr="00C57F78">
              <w:rPr>
                <w:rFonts w:cs="Arial"/>
                <w:szCs w:val="14"/>
              </w:rPr>
              <w:t>906)</w:t>
            </w:r>
          </w:p>
        </w:tc>
        <w:tc>
          <w:tcPr>
            <w:tcW w:w="1831" w:type="dxa"/>
            <w:vAlign w:val="center"/>
          </w:tcPr>
          <w:p w14:paraId="4177DAED" w14:textId="77777777" w:rsidR="008B7E19" w:rsidRPr="00C33C38" w:rsidRDefault="008B7E19" w:rsidP="008B7E19">
            <w:pPr>
              <w:pStyle w:val="08-Tabelageral"/>
              <w:rPr>
                <w:rFonts w:cs="Arial"/>
                <w:b/>
                <w:bCs/>
                <w:szCs w:val="14"/>
                <w:highlight w:val="yellow"/>
                <w:lang w:val="en-US"/>
              </w:rPr>
            </w:pPr>
            <w:r>
              <w:rPr>
                <w:rFonts w:cs="Arial"/>
                <w:szCs w:val="14"/>
              </w:rPr>
              <w:t>--</w:t>
            </w:r>
          </w:p>
        </w:tc>
        <w:tc>
          <w:tcPr>
            <w:tcW w:w="1831" w:type="dxa"/>
            <w:vAlign w:val="center"/>
          </w:tcPr>
          <w:p w14:paraId="2E168C57" w14:textId="77777777" w:rsidR="008B7E19" w:rsidRPr="00C33C38" w:rsidRDefault="008B7E19" w:rsidP="008B7E19">
            <w:pPr>
              <w:pStyle w:val="08-Tabelageral"/>
              <w:rPr>
                <w:rFonts w:cs="Arial"/>
                <w:b/>
                <w:bCs/>
                <w:szCs w:val="14"/>
                <w:highlight w:val="yellow"/>
                <w:lang w:val="en-US"/>
              </w:rPr>
            </w:pPr>
            <w:r w:rsidRPr="00C57F78">
              <w:rPr>
                <w:rFonts w:cs="Arial"/>
                <w:szCs w:val="14"/>
              </w:rPr>
              <w:t>(48</w:t>
            </w:r>
            <w:r>
              <w:rPr>
                <w:rFonts w:cs="Arial"/>
                <w:szCs w:val="14"/>
              </w:rPr>
              <w:t>,</w:t>
            </w:r>
            <w:r w:rsidRPr="00C57F78">
              <w:rPr>
                <w:rFonts w:cs="Arial"/>
                <w:szCs w:val="14"/>
              </w:rPr>
              <w:t>906)</w:t>
            </w:r>
          </w:p>
        </w:tc>
      </w:tr>
      <w:tr w:rsidR="008B7E19" w:rsidRPr="00C33C38" w14:paraId="74C60F44" w14:textId="77777777" w:rsidTr="008B7E19">
        <w:trPr>
          <w:trHeight w:val="238"/>
          <w:jc w:val="center"/>
        </w:trPr>
        <w:tc>
          <w:tcPr>
            <w:tcW w:w="4361" w:type="dxa"/>
            <w:shd w:val="clear" w:color="auto" w:fill="auto"/>
            <w:vAlign w:val="center"/>
          </w:tcPr>
          <w:p w14:paraId="14ABE590" w14:textId="77777777" w:rsidR="008B7E19" w:rsidRPr="00C33C38" w:rsidRDefault="008B7E19" w:rsidP="008B7E19">
            <w:pPr>
              <w:pStyle w:val="08-Tabelageral"/>
              <w:ind w:left="113"/>
              <w:jc w:val="left"/>
              <w:rPr>
                <w:rFonts w:cs="Arial"/>
                <w:szCs w:val="14"/>
                <w:highlight w:val="yellow"/>
                <w:lang w:val="en-US"/>
              </w:rPr>
            </w:pPr>
            <w:r w:rsidRPr="00C33C38">
              <w:rPr>
                <w:rFonts w:cs="Arial"/>
                <w:szCs w:val="14"/>
                <w:lang w:val="en-US"/>
              </w:rPr>
              <w:t>Effects IFRS 9 [CPC 48] and IFRS 17 [CPC 50]</w:t>
            </w:r>
          </w:p>
        </w:tc>
        <w:tc>
          <w:tcPr>
            <w:tcW w:w="1831" w:type="dxa"/>
            <w:shd w:val="clear" w:color="auto" w:fill="auto"/>
            <w:vAlign w:val="center"/>
          </w:tcPr>
          <w:p w14:paraId="2192818F" w14:textId="77777777" w:rsidR="008B7E19" w:rsidRPr="00C33C38" w:rsidRDefault="008B7E19" w:rsidP="008B7E19">
            <w:pPr>
              <w:pStyle w:val="08-Tabelageral"/>
              <w:rPr>
                <w:rFonts w:cs="Arial"/>
                <w:szCs w:val="14"/>
                <w:highlight w:val="yellow"/>
                <w:lang w:val="en-US"/>
              </w:rPr>
            </w:pPr>
            <w:r>
              <w:rPr>
                <w:rFonts w:cs="Arial"/>
                <w:szCs w:val="14"/>
              </w:rPr>
              <w:t>--</w:t>
            </w:r>
          </w:p>
        </w:tc>
        <w:tc>
          <w:tcPr>
            <w:tcW w:w="1831" w:type="dxa"/>
            <w:vAlign w:val="center"/>
          </w:tcPr>
          <w:p w14:paraId="0C80FFED" w14:textId="77777777" w:rsidR="008B7E19" w:rsidRPr="00C33C38" w:rsidRDefault="008B7E19" w:rsidP="008B7E19">
            <w:pPr>
              <w:pStyle w:val="08-Tabelageral"/>
              <w:rPr>
                <w:rFonts w:cs="Arial"/>
                <w:szCs w:val="14"/>
                <w:highlight w:val="yellow"/>
                <w:lang w:val="en-US"/>
              </w:rPr>
            </w:pPr>
            <w:r w:rsidRPr="00C57F78">
              <w:rPr>
                <w:rFonts w:cs="Arial"/>
                <w:szCs w:val="14"/>
              </w:rPr>
              <w:t>186</w:t>
            </w:r>
            <w:r>
              <w:rPr>
                <w:rFonts w:cs="Arial"/>
                <w:szCs w:val="14"/>
              </w:rPr>
              <w:t>,</w:t>
            </w:r>
            <w:r w:rsidRPr="00C57F78">
              <w:rPr>
                <w:rFonts w:cs="Arial"/>
                <w:szCs w:val="14"/>
              </w:rPr>
              <w:t>535</w:t>
            </w:r>
          </w:p>
        </w:tc>
        <w:tc>
          <w:tcPr>
            <w:tcW w:w="1831" w:type="dxa"/>
            <w:vAlign w:val="center"/>
          </w:tcPr>
          <w:p w14:paraId="4BE6EAAF" w14:textId="77777777" w:rsidR="008B7E19" w:rsidRPr="00C33C38" w:rsidRDefault="008B7E19" w:rsidP="008B7E19">
            <w:pPr>
              <w:pStyle w:val="08-Tabelageral"/>
              <w:rPr>
                <w:rFonts w:cs="Arial"/>
                <w:szCs w:val="14"/>
                <w:highlight w:val="yellow"/>
                <w:lang w:val="en-US"/>
              </w:rPr>
            </w:pPr>
            <w:r w:rsidRPr="00C57F78">
              <w:rPr>
                <w:rFonts w:cs="Arial"/>
                <w:szCs w:val="14"/>
              </w:rPr>
              <w:t>186</w:t>
            </w:r>
            <w:r>
              <w:rPr>
                <w:rFonts w:cs="Arial"/>
                <w:szCs w:val="14"/>
              </w:rPr>
              <w:t>,</w:t>
            </w:r>
            <w:r w:rsidRPr="00C57F78">
              <w:rPr>
                <w:rFonts w:cs="Arial"/>
                <w:szCs w:val="14"/>
              </w:rPr>
              <w:t>535</w:t>
            </w:r>
          </w:p>
        </w:tc>
      </w:tr>
      <w:tr w:rsidR="008B7E19" w:rsidRPr="00C33C38" w14:paraId="260B7BA6" w14:textId="77777777" w:rsidTr="008B7E19">
        <w:trPr>
          <w:trHeight w:val="238"/>
          <w:jc w:val="center"/>
        </w:trPr>
        <w:tc>
          <w:tcPr>
            <w:tcW w:w="4361" w:type="dxa"/>
            <w:shd w:val="clear" w:color="auto" w:fill="auto"/>
            <w:vAlign w:val="center"/>
          </w:tcPr>
          <w:p w14:paraId="6D449FC8" w14:textId="77777777" w:rsidR="008B7E19" w:rsidRPr="00C33C38" w:rsidRDefault="008B7E19" w:rsidP="008B7E19">
            <w:pPr>
              <w:pStyle w:val="08-Tabelageral"/>
              <w:ind w:left="113"/>
              <w:jc w:val="left"/>
              <w:rPr>
                <w:rFonts w:cs="Arial"/>
                <w:szCs w:val="14"/>
                <w:highlight w:val="yellow"/>
              </w:rPr>
            </w:pPr>
            <w:r w:rsidRPr="00C33C38">
              <w:rPr>
                <w:rFonts w:cs="Arial"/>
                <w:szCs w:val="14"/>
              </w:rPr>
              <w:t>Tax effect</w:t>
            </w:r>
          </w:p>
        </w:tc>
        <w:tc>
          <w:tcPr>
            <w:tcW w:w="1831" w:type="dxa"/>
            <w:shd w:val="clear" w:color="auto" w:fill="auto"/>
            <w:vAlign w:val="center"/>
          </w:tcPr>
          <w:p w14:paraId="7CB2B410" w14:textId="77777777" w:rsidR="008B7E19" w:rsidRPr="00C33C38" w:rsidRDefault="008B7E19" w:rsidP="008B7E19">
            <w:pPr>
              <w:pStyle w:val="08-Tabelageral"/>
              <w:rPr>
                <w:rFonts w:cs="Arial"/>
                <w:szCs w:val="14"/>
                <w:highlight w:val="yellow"/>
              </w:rPr>
            </w:pPr>
            <w:r w:rsidRPr="00C33C38">
              <w:rPr>
                <w:rFonts w:cs="Arial"/>
                <w:szCs w:val="14"/>
              </w:rPr>
              <w:t>19</w:t>
            </w:r>
            <w:r>
              <w:rPr>
                <w:rFonts w:cs="Arial"/>
                <w:szCs w:val="14"/>
              </w:rPr>
              <w:t>,</w:t>
            </w:r>
            <w:r w:rsidRPr="00C33C38">
              <w:rPr>
                <w:rFonts w:cs="Arial"/>
                <w:szCs w:val="14"/>
              </w:rPr>
              <w:t>562</w:t>
            </w:r>
          </w:p>
        </w:tc>
        <w:tc>
          <w:tcPr>
            <w:tcW w:w="1831" w:type="dxa"/>
            <w:vAlign w:val="center"/>
          </w:tcPr>
          <w:p w14:paraId="6EB2C61E" w14:textId="77777777" w:rsidR="008B7E19" w:rsidRPr="00C33C38" w:rsidRDefault="008B7E19" w:rsidP="008B7E19">
            <w:pPr>
              <w:pStyle w:val="08-Tabelageral"/>
              <w:rPr>
                <w:rFonts w:cs="Arial"/>
                <w:szCs w:val="14"/>
                <w:highlight w:val="yellow"/>
              </w:rPr>
            </w:pPr>
            <w:r w:rsidRPr="00C33C38">
              <w:rPr>
                <w:rFonts w:cs="Arial"/>
                <w:szCs w:val="14"/>
              </w:rPr>
              <w:t>(74</w:t>
            </w:r>
            <w:r>
              <w:rPr>
                <w:rFonts w:cs="Arial"/>
                <w:szCs w:val="14"/>
              </w:rPr>
              <w:t>,</w:t>
            </w:r>
            <w:r w:rsidRPr="00C33C38">
              <w:rPr>
                <w:rFonts w:cs="Arial"/>
                <w:szCs w:val="14"/>
              </w:rPr>
              <w:t>614)</w:t>
            </w:r>
          </w:p>
        </w:tc>
        <w:tc>
          <w:tcPr>
            <w:tcW w:w="1831" w:type="dxa"/>
            <w:vAlign w:val="center"/>
          </w:tcPr>
          <w:p w14:paraId="5B6753EC" w14:textId="77777777" w:rsidR="008B7E19" w:rsidRPr="00C33C38" w:rsidRDefault="008B7E19" w:rsidP="008B7E19">
            <w:pPr>
              <w:pStyle w:val="08-Tabelageral"/>
              <w:rPr>
                <w:rFonts w:cs="Arial"/>
                <w:szCs w:val="14"/>
                <w:highlight w:val="yellow"/>
              </w:rPr>
            </w:pPr>
            <w:r w:rsidRPr="00C33C38">
              <w:rPr>
                <w:rFonts w:cs="Arial"/>
                <w:szCs w:val="14"/>
              </w:rPr>
              <w:t>(55</w:t>
            </w:r>
            <w:r>
              <w:rPr>
                <w:rFonts w:cs="Arial"/>
                <w:szCs w:val="14"/>
              </w:rPr>
              <w:t>,</w:t>
            </w:r>
            <w:r w:rsidRPr="00C33C38">
              <w:rPr>
                <w:rFonts w:cs="Arial"/>
                <w:szCs w:val="14"/>
              </w:rPr>
              <w:t>052)</w:t>
            </w:r>
          </w:p>
        </w:tc>
      </w:tr>
      <w:tr w:rsidR="008B7E19" w:rsidRPr="00A03B7C" w14:paraId="453DDECB" w14:textId="77777777" w:rsidTr="008B7E19">
        <w:trPr>
          <w:trHeight w:val="238"/>
          <w:jc w:val="center"/>
        </w:trPr>
        <w:tc>
          <w:tcPr>
            <w:tcW w:w="4361" w:type="dxa"/>
            <w:shd w:val="clear" w:color="auto" w:fill="auto"/>
            <w:vAlign w:val="center"/>
          </w:tcPr>
          <w:p w14:paraId="21934CE6" w14:textId="77777777" w:rsidR="008B7E19" w:rsidRPr="00345AB3" w:rsidRDefault="008B7E19" w:rsidP="008B7E19">
            <w:pPr>
              <w:pStyle w:val="08-Tabelageral"/>
              <w:jc w:val="left"/>
              <w:rPr>
                <w:rFonts w:cs="Arial"/>
                <w:b/>
                <w:bCs/>
                <w:szCs w:val="14"/>
                <w:highlight w:val="yellow"/>
              </w:rPr>
            </w:pPr>
            <w:r w:rsidRPr="00345AB3">
              <w:rPr>
                <w:rFonts w:cs="Arial"/>
                <w:b/>
                <w:bCs/>
                <w:szCs w:val="14"/>
              </w:rPr>
              <w:t>Total Comprehensive Income</w:t>
            </w:r>
          </w:p>
        </w:tc>
        <w:tc>
          <w:tcPr>
            <w:tcW w:w="1831" w:type="dxa"/>
            <w:shd w:val="clear" w:color="auto" w:fill="auto"/>
            <w:vAlign w:val="center"/>
          </w:tcPr>
          <w:p w14:paraId="2AF9D2DF" w14:textId="77777777" w:rsidR="008B7E19" w:rsidRPr="00A03B7C" w:rsidRDefault="008B7E19" w:rsidP="008B7E19">
            <w:pPr>
              <w:pStyle w:val="08-Tabelageral"/>
              <w:rPr>
                <w:rFonts w:cs="Arial"/>
                <w:b/>
                <w:bCs/>
                <w:szCs w:val="14"/>
                <w:highlight w:val="yellow"/>
              </w:rPr>
            </w:pPr>
            <w:r w:rsidRPr="00C77A85">
              <w:rPr>
                <w:rFonts w:cs="Arial"/>
                <w:b/>
                <w:bCs/>
                <w:szCs w:val="14"/>
              </w:rPr>
              <w:t>2</w:t>
            </w:r>
            <w:r>
              <w:rPr>
                <w:rFonts w:cs="Arial"/>
                <w:b/>
                <w:bCs/>
                <w:szCs w:val="14"/>
              </w:rPr>
              <w:t>,</w:t>
            </w:r>
            <w:r w:rsidRPr="00C77A85">
              <w:rPr>
                <w:rFonts w:cs="Arial"/>
                <w:b/>
                <w:bCs/>
                <w:szCs w:val="14"/>
              </w:rPr>
              <w:t>556</w:t>
            </w:r>
            <w:r>
              <w:rPr>
                <w:rFonts w:cs="Arial"/>
                <w:b/>
                <w:bCs/>
                <w:szCs w:val="14"/>
              </w:rPr>
              <w:t>,</w:t>
            </w:r>
            <w:r w:rsidRPr="00C77A85">
              <w:rPr>
                <w:rFonts w:cs="Arial"/>
                <w:b/>
                <w:bCs/>
                <w:szCs w:val="14"/>
              </w:rPr>
              <w:t>458</w:t>
            </w:r>
          </w:p>
        </w:tc>
        <w:tc>
          <w:tcPr>
            <w:tcW w:w="1831" w:type="dxa"/>
            <w:vAlign w:val="center"/>
          </w:tcPr>
          <w:p w14:paraId="4D1B7B25" w14:textId="77777777" w:rsidR="008B7E19" w:rsidRPr="00A03B7C" w:rsidRDefault="008B7E19" w:rsidP="008B7E19">
            <w:pPr>
              <w:pStyle w:val="08-Tabelageral"/>
              <w:rPr>
                <w:rFonts w:cs="Arial"/>
                <w:b/>
                <w:bCs/>
                <w:szCs w:val="14"/>
                <w:highlight w:val="yellow"/>
              </w:rPr>
            </w:pPr>
            <w:r w:rsidRPr="00C77A85">
              <w:rPr>
                <w:rFonts w:cs="Arial"/>
                <w:b/>
                <w:bCs/>
                <w:szCs w:val="14"/>
              </w:rPr>
              <w:t>239</w:t>
            </w:r>
            <w:r>
              <w:rPr>
                <w:rFonts w:cs="Arial"/>
                <w:b/>
                <w:bCs/>
                <w:szCs w:val="14"/>
              </w:rPr>
              <w:t>,</w:t>
            </w:r>
            <w:r w:rsidRPr="00C77A85">
              <w:rPr>
                <w:rFonts w:cs="Arial"/>
                <w:b/>
                <w:bCs/>
                <w:szCs w:val="14"/>
              </w:rPr>
              <w:t>363</w:t>
            </w:r>
          </w:p>
        </w:tc>
        <w:tc>
          <w:tcPr>
            <w:tcW w:w="1831" w:type="dxa"/>
            <w:vAlign w:val="center"/>
          </w:tcPr>
          <w:p w14:paraId="325014E2" w14:textId="77777777" w:rsidR="008B7E19" w:rsidRPr="00A03B7C" w:rsidRDefault="008B7E19" w:rsidP="008B7E19">
            <w:pPr>
              <w:pStyle w:val="08-Tabelageral"/>
              <w:rPr>
                <w:rFonts w:cs="Arial"/>
                <w:b/>
                <w:bCs/>
                <w:szCs w:val="14"/>
                <w:highlight w:val="yellow"/>
              </w:rPr>
            </w:pPr>
            <w:r w:rsidRPr="00C77A85">
              <w:rPr>
                <w:rFonts w:cs="Arial"/>
                <w:b/>
                <w:bCs/>
                <w:szCs w:val="14"/>
              </w:rPr>
              <w:t>2</w:t>
            </w:r>
            <w:r>
              <w:rPr>
                <w:rFonts w:cs="Arial"/>
                <w:b/>
                <w:bCs/>
                <w:szCs w:val="14"/>
              </w:rPr>
              <w:t>,</w:t>
            </w:r>
            <w:r w:rsidRPr="00C77A85">
              <w:rPr>
                <w:rFonts w:cs="Arial"/>
                <w:b/>
                <w:bCs/>
                <w:szCs w:val="14"/>
              </w:rPr>
              <w:t>795</w:t>
            </w:r>
            <w:r>
              <w:rPr>
                <w:rFonts w:cs="Arial"/>
                <w:b/>
                <w:bCs/>
                <w:szCs w:val="14"/>
              </w:rPr>
              <w:t>,</w:t>
            </w:r>
            <w:r w:rsidRPr="00C77A85">
              <w:rPr>
                <w:rFonts w:cs="Arial"/>
                <w:b/>
                <w:bCs/>
                <w:szCs w:val="14"/>
              </w:rPr>
              <w:t>821</w:t>
            </w:r>
          </w:p>
        </w:tc>
      </w:tr>
    </w:tbl>
    <w:p w14:paraId="7198F087" w14:textId="77777777" w:rsidR="008B7E19" w:rsidRDefault="008B7E19" w:rsidP="008B7E19">
      <w:pPr>
        <w:pStyle w:val="03-SubttulodeNota"/>
        <w:rPr>
          <w:bCs/>
          <w:color w:val="1F4E79" w:themeColor="accent1" w:themeShade="80"/>
        </w:rPr>
      </w:pPr>
    </w:p>
    <w:p w14:paraId="135062A2" w14:textId="77777777" w:rsidR="008B7E19" w:rsidRDefault="008B7E19" w:rsidP="008B7E19">
      <w:pPr>
        <w:pStyle w:val="03-SubttulodeNota"/>
        <w:keepNext/>
        <w:pageBreakBefore/>
        <w:rPr>
          <w:color w:val="1F4E79" w:themeColor="accent1" w:themeShade="80"/>
        </w:rPr>
      </w:pPr>
      <w:r w:rsidRPr="00311D15">
        <w:rPr>
          <w:color w:val="1F4E79" w:themeColor="accent1" w:themeShade="80"/>
        </w:rPr>
        <w:t xml:space="preserve">Statement </w:t>
      </w:r>
      <w:r>
        <w:rPr>
          <w:color w:val="1F4E79" w:themeColor="accent1" w:themeShade="80"/>
        </w:rPr>
        <w:t>o</w:t>
      </w:r>
      <w:r w:rsidRPr="00311D15">
        <w:rPr>
          <w:color w:val="1F4E79" w:themeColor="accent1" w:themeShade="80"/>
        </w:rPr>
        <w:t>f Cash Flows</w:t>
      </w:r>
    </w:p>
    <w:p w14:paraId="0DE4906F" w14:textId="77777777" w:rsidR="008B7E19" w:rsidRPr="00D44604" w:rsidRDefault="008B7E19" w:rsidP="008B7E19">
      <w:pPr>
        <w:spacing w:after="0" w:line="240" w:lineRule="auto"/>
        <w:jc w:val="right"/>
        <w:rPr>
          <w:rFonts w:cs="Arial"/>
          <w:b/>
          <w:sz w:val="14"/>
          <w:lang w:eastAsia="pt-BR"/>
        </w:rPr>
      </w:pPr>
      <w:r w:rsidRPr="00FC6C4B">
        <w:rPr>
          <w:rFonts w:cs="Arial"/>
          <w:b/>
          <w:sz w:val="14"/>
          <w:lang w:eastAsia="pt-BR"/>
        </w:rPr>
        <w:t>R$ thousand</w:t>
      </w:r>
    </w:p>
    <w:tbl>
      <w:tblPr>
        <w:tblW w:w="9854" w:type="dxa"/>
        <w:jc w:val="center"/>
        <w:tblLook w:val="04A0" w:firstRow="1" w:lastRow="0" w:firstColumn="1" w:lastColumn="0" w:noHBand="0" w:noVBand="1"/>
      </w:tblPr>
      <w:tblGrid>
        <w:gridCol w:w="4644"/>
        <w:gridCol w:w="1548"/>
        <w:gridCol w:w="1831"/>
        <w:gridCol w:w="1831"/>
      </w:tblGrid>
      <w:tr w:rsidR="008B7E19" w:rsidRPr="00E00C9B" w14:paraId="354176B3" w14:textId="77777777" w:rsidTr="008875E7">
        <w:trPr>
          <w:trHeight w:val="238"/>
          <w:jc w:val="center"/>
        </w:trPr>
        <w:tc>
          <w:tcPr>
            <w:tcW w:w="4644" w:type="dxa"/>
            <w:tcBorders>
              <w:top w:val="single" w:sz="2" w:space="0" w:color="1F4E79" w:themeColor="accent1" w:themeShade="80"/>
              <w:bottom w:val="single" w:sz="2" w:space="0" w:color="1F4E79" w:themeColor="accent1" w:themeShade="80"/>
            </w:tcBorders>
          </w:tcPr>
          <w:p w14:paraId="1485B2EA" w14:textId="77777777" w:rsidR="008B7E19" w:rsidRPr="00E00C9B" w:rsidRDefault="008B7E19" w:rsidP="008B7E19">
            <w:pPr>
              <w:pStyle w:val="08-Tabelageral"/>
              <w:jc w:val="left"/>
              <w:rPr>
                <w:rFonts w:cs="Arial"/>
                <w:b/>
                <w:bCs/>
                <w:szCs w:val="14"/>
              </w:rPr>
            </w:pPr>
          </w:p>
        </w:tc>
        <w:tc>
          <w:tcPr>
            <w:tcW w:w="5210" w:type="dxa"/>
            <w:gridSpan w:val="3"/>
            <w:tcBorders>
              <w:top w:val="single" w:sz="2" w:space="0" w:color="1F4E79" w:themeColor="accent1" w:themeShade="80"/>
              <w:bottom w:val="single" w:sz="2" w:space="0" w:color="1F4E79" w:themeColor="accent1" w:themeShade="80"/>
            </w:tcBorders>
          </w:tcPr>
          <w:p w14:paraId="682D8483" w14:textId="77777777" w:rsidR="008B7E19" w:rsidRPr="00C80F9A" w:rsidRDefault="008B7E19" w:rsidP="008B7E19">
            <w:pPr>
              <w:pStyle w:val="08-Tabelageral"/>
              <w:jc w:val="center"/>
              <w:rPr>
                <w:rFonts w:cs="Arial"/>
                <w:b/>
                <w:bCs/>
                <w:szCs w:val="14"/>
              </w:rPr>
            </w:pPr>
            <w:r>
              <w:rPr>
                <w:rFonts w:cs="Arial"/>
                <w:b/>
                <w:bCs/>
                <w:szCs w:val="14"/>
              </w:rPr>
              <w:t>Parent</w:t>
            </w:r>
          </w:p>
        </w:tc>
      </w:tr>
      <w:tr w:rsidR="008B7E19" w:rsidRPr="00E00C9B" w14:paraId="52483FC4" w14:textId="77777777" w:rsidTr="008875E7">
        <w:trPr>
          <w:trHeight w:val="238"/>
          <w:jc w:val="center"/>
        </w:trPr>
        <w:tc>
          <w:tcPr>
            <w:tcW w:w="4644" w:type="dxa"/>
            <w:tcBorders>
              <w:top w:val="single" w:sz="2" w:space="0" w:color="1F4E79" w:themeColor="accent1" w:themeShade="80"/>
              <w:bottom w:val="single" w:sz="2" w:space="0" w:color="1F4E79" w:themeColor="accent1" w:themeShade="80"/>
            </w:tcBorders>
          </w:tcPr>
          <w:p w14:paraId="2B737417" w14:textId="77777777" w:rsidR="008B7E19" w:rsidRPr="00E00C9B" w:rsidRDefault="008B7E19" w:rsidP="008B7E19">
            <w:pPr>
              <w:pStyle w:val="08-Tabelageral"/>
              <w:jc w:val="left"/>
              <w:rPr>
                <w:rFonts w:cs="Arial"/>
                <w:b/>
                <w:bCs/>
                <w:szCs w:val="14"/>
              </w:rPr>
            </w:pPr>
          </w:p>
        </w:tc>
        <w:tc>
          <w:tcPr>
            <w:tcW w:w="1548" w:type="dxa"/>
            <w:tcBorders>
              <w:top w:val="single" w:sz="2" w:space="0" w:color="1F4E79" w:themeColor="accent1" w:themeShade="80"/>
              <w:bottom w:val="single" w:sz="2" w:space="0" w:color="1F4E79" w:themeColor="accent1" w:themeShade="80"/>
            </w:tcBorders>
          </w:tcPr>
          <w:p w14:paraId="07395FA4" w14:textId="77777777" w:rsidR="008B7E19" w:rsidRPr="00C80F9A" w:rsidRDefault="008B7E19" w:rsidP="008B7E19">
            <w:pPr>
              <w:pStyle w:val="08-Tabelageral"/>
              <w:rPr>
                <w:rFonts w:cs="Arial"/>
                <w:b/>
                <w:bCs/>
                <w:szCs w:val="14"/>
              </w:rPr>
            </w:pPr>
          </w:p>
        </w:tc>
        <w:tc>
          <w:tcPr>
            <w:tcW w:w="1831" w:type="dxa"/>
            <w:tcBorders>
              <w:top w:val="single" w:sz="2" w:space="0" w:color="1F4E79" w:themeColor="accent1" w:themeShade="80"/>
              <w:bottom w:val="single" w:sz="2" w:space="0" w:color="1F4E79" w:themeColor="accent1" w:themeShade="80"/>
            </w:tcBorders>
          </w:tcPr>
          <w:p w14:paraId="3F16BC6B" w14:textId="77777777" w:rsidR="008B7E19" w:rsidRPr="00C80F9A" w:rsidRDefault="008B7E19" w:rsidP="008B7E19">
            <w:pPr>
              <w:pStyle w:val="08-Tabelageral"/>
              <w:rPr>
                <w:rFonts w:cs="Arial"/>
                <w:b/>
                <w:bCs/>
                <w:szCs w:val="14"/>
              </w:rPr>
            </w:pPr>
            <w:r w:rsidRPr="003E392D">
              <w:rPr>
                <w:rFonts w:cs="Arial"/>
                <w:b/>
                <w:bCs/>
                <w:szCs w:val="14"/>
              </w:rPr>
              <w:t>1</w:t>
            </w:r>
            <w:r w:rsidRPr="003E392D">
              <w:rPr>
                <w:rFonts w:cs="Arial"/>
                <w:b/>
                <w:bCs/>
                <w:szCs w:val="14"/>
                <w:vertAlign w:val="superscript"/>
              </w:rPr>
              <w:t>st</w:t>
            </w:r>
            <w:r w:rsidRPr="003E392D">
              <w:rPr>
                <w:rFonts w:cs="Arial"/>
                <w:b/>
                <w:bCs/>
                <w:szCs w:val="14"/>
              </w:rPr>
              <w:t xml:space="preserve"> Half 202</w:t>
            </w:r>
            <w:r>
              <w:rPr>
                <w:rFonts w:cs="Arial"/>
                <w:b/>
                <w:bCs/>
                <w:szCs w:val="14"/>
              </w:rPr>
              <w:t>2</w:t>
            </w:r>
          </w:p>
        </w:tc>
        <w:tc>
          <w:tcPr>
            <w:tcW w:w="1831" w:type="dxa"/>
            <w:tcBorders>
              <w:top w:val="single" w:sz="2" w:space="0" w:color="1F4E79" w:themeColor="accent1" w:themeShade="80"/>
              <w:bottom w:val="single" w:sz="2" w:space="0" w:color="1F4E79" w:themeColor="accent1" w:themeShade="80"/>
            </w:tcBorders>
          </w:tcPr>
          <w:p w14:paraId="6647244B" w14:textId="77777777" w:rsidR="008B7E19" w:rsidRPr="00C80F9A" w:rsidRDefault="008B7E19" w:rsidP="008B7E19">
            <w:pPr>
              <w:pStyle w:val="08-Tabelageral"/>
              <w:rPr>
                <w:rFonts w:cs="Arial"/>
                <w:b/>
                <w:bCs/>
                <w:szCs w:val="14"/>
              </w:rPr>
            </w:pPr>
          </w:p>
        </w:tc>
      </w:tr>
      <w:tr w:rsidR="008B7E19" w:rsidRPr="00E00C9B" w14:paraId="7704229F" w14:textId="77777777" w:rsidTr="008875E7">
        <w:trPr>
          <w:trHeight w:val="238"/>
          <w:jc w:val="center"/>
        </w:trPr>
        <w:tc>
          <w:tcPr>
            <w:tcW w:w="4644" w:type="dxa"/>
            <w:tcBorders>
              <w:top w:val="single" w:sz="2" w:space="0" w:color="1F4E79" w:themeColor="accent1" w:themeShade="80"/>
              <w:bottom w:val="single" w:sz="2" w:space="0" w:color="1F4E79" w:themeColor="accent1" w:themeShade="80"/>
            </w:tcBorders>
          </w:tcPr>
          <w:p w14:paraId="38C318F9" w14:textId="77777777" w:rsidR="008B7E19" w:rsidRPr="00E00C9B" w:rsidRDefault="008B7E19" w:rsidP="008B7E19">
            <w:pPr>
              <w:pStyle w:val="08-Tabelageral"/>
              <w:jc w:val="left"/>
              <w:rPr>
                <w:rFonts w:cs="Arial"/>
                <w:b/>
                <w:bCs/>
                <w:szCs w:val="14"/>
              </w:rPr>
            </w:pPr>
          </w:p>
        </w:tc>
        <w:tc>
          <w:tcPr>
            <w:tcW w:w="1548" w:type="dxa"/>
            <w:tcBorders>
              <w:top w:val="single" w:sz="2" w:space="0" w:color="1F4E79" w:themeColor="accent1" w:themeShade="80"/>
              <w:bottom w:val="single" w:sz="2" w:space="0" w:color="1F4E79" w:themeColor="accent1" w:themeShade="80"/>
            </w:tcBorders>
          </w:tcPr>
          <w:p w14:paraId="2FA1C8F9" w14:textId="77777777" w:rsidR="008B7E19" w:rsidRPr="00C80F9A" w:rsidRDefault="008B7E19" w:rsidP="008B7E19">
            <w:pPr>
              <w:pStyle w:val="08-Tabelageral"/>
              <w:rPr>
                <w:rFonts w:cs="Arial"/>
                <w:b/>
                <w:bCs/>
                <w:szCs w:val="14"/>
              </w:rPr>
            </w:pPr>
            <w:r>
              <w:rPr>
                <w:rFonts w:cs="Arial"/>
                <w:b/>
                <w:bCs/>
                <w:szCs w:val="14"/>
              </w:rPr>
              <w:t>Original report</w:t>
            </w:r>
          </w:p>
        </w:tc>
        <w:tc>
          <w:tcPr>
            <w:tcW w:w="1831" w:type="dxa"/>
            <w:tcBorders>
              <w:top w:val="single" w:sz="2" w:space="0" w:color="1F4E79" w:themeColor="accent1" w:themeShade="80"/>
              <w:bottom w:val="single" w:sz="2" w:space="0" w:color="1F4E79" w:themeColor="accent1" w:themeShade="80"/>
            </w:tcBorders>
          </w:tcPr>
          <w:p w14:paraId="6CA7BAFE" w14:textId="77777777" w:rsidR="008B7E19" w:rsidRPr="00C80F9A" w:rsidRDefault="008B7E19" w:rsidP="008B7E19">
            <w:pPr>
              <w:pStyle w:val="08-Tabelageral"/>
              <w:rPr>
                <w:rFonts w:cs="Arial"/>
                <w:b/>
                <w:bCs/>
                <w:szCs w:val="14"/>
              </w:rPr>
            </w:pPr>
            <w:r>
              <w:rPr>
                <w:rFonts w:cs="Arial"/>
                <w:b/>
                <w:bCs/>
                <w:szCs w:val="14"/>
              </w:rPr>
              <w:t>Adjustments</w:t>
            </w:r>
          </w:p>
        </w:tc>
        <w:tc>
          <w:tcPr>
            <w:tcW w:w="1831" w:type="dxa"/>
            <w:tcBorders>
              <w:top w:val="single" w:sz="2" w:space="0" w:color="1F4E79" w:themeColor="accent1" w:themeShade="80"/>
              <w:bottom w:val="single" w:sz="2" w:space="0" w:color="1F4E79" w:themeColor="accent1" w:themeShade="80"/>
            </w:tcBorders>
          </w:tcPr>
          <w:p w14:paraId="79BD8780" w14:textId="77777777" w:rsidR="008B7E19" w:rsidRPr="00C80F9A" w:rsidRDefault="008B7E19" w:rsidP="008B7E19">
            <w:pPr>
              <w:pStyle w:val="08-Tabelageral"/>
              <w:rPr>
                <w:rFonts w:cs="Arial"/>
                <w:b/>
                <w:bCs/>
                <w:szCs w:val="14"/>
              </w:rPr>
            </w:pPr>
            <w:r>
              <w:rPr>
                <w:rFonts w:cs="Arial"/>
                <w:b/>
                <w:bCs/>
                <w:szCs w:val="14"/>
              </w:rPr>
              <w:t>Restated balances</w:t>
            </w:r>
          </w:p>
        </w:tc>
      </w:tr>
      <w:tr w:rsidR="008B7E19" w:rsidRPr="00E33823" w14:paraId="7028A312" w14:textId="77777777" w:rsidTr="008875E7">
        <w:trPr>
          <w:trHeight w:val="238"/>
          <w:jc w:val="center"/>
        </w:trPr>
        <w:tc>
          <w:tcPr>
            <w:tcW w:w="4644" w:type="dxa"/>
            <w:tcBorders>
              <w:top w:val="single" w:sz="2" w:space="0" w:color="1F4E79" w:themeColor="accent1" w:themeShade="80"/>
            </w:tcBorders>
          </w:tcPr>
          <w:p w14:paraId="74B127F8" w14:textId="77777777" w:rsidR="008B7E19" w:rsidRPr="00E33823" w:rsidRDefault="008B7E19" w:rsidP="008B7E19">
            <w:pPr>
              <w:pStyle w:val="08-Tabelageral"/>
              <w:jc w:val="left"/>
              <w:rPr>
                <w:rFonts w:cs="Arial"/>
                <w:b/>
                <w:bCs/>
                <w:szCs w:val="14"/>
              </w:rPr>
            </w:pPr>
            <w:r w:rsidRPr="00E33823">
              <w:rPr>
                <w:b/>
                <w:bCs/>
              </w:rPr>
              <w:t>Net profit</w:t>
            </w:r>
          </w:p>
        </w:tc>
        <w:tc>
          <w:tcPr>
            <w:tcW w:w="1548" w:type="dxa"/>
            <w:tcBorders>
              <w:top w:val="single" w:sz="2" w:space="0" w:color="1F4E79" w:themeColor="accent1" w:themeShade="80"/>
            </w:tcBorders>
            <w:vAlign w:val="center"/>
          </w:tcPr>
          <w:p w14:paraId="4B5738D3" w14:textId="77777777" w:rsidR="008B7E19" w:rsidRPr="00E33823" w:rsidRDefault="008B7E19" w:rsidP="008B7E19">
            <w:pPr>
              <w:pStyle w:val="08-Tabelageral"/>
              <w:rPr>
                <w:rFonts w:cs="Arial"/>
                <w:b/>
                <w:bCs/>
                <w:szCs w:val="14"/>
                <w:highlight w:val="yellow"/>
              </w:rPr>
            </w:pPr>
            <w:r w:rsidRPr="00E33823">
              <w:rPr>
                <w:rFonts w:cs="Arial"/>
                <w:b/>
                <w:bCs/>
                <w:szCs w:val="14"/>
              </w:rPr>
              <w:t>2</w:t>
            </w:r>
            <w:r>
              <w:rPr>
                <w:rFonts w:cs="Arial"/>
                <w:b/>
                <w:bCs/>
                <w:szCs w:val="14"/>
              </w:rPr>
              <w:t>,</w:t>
            </w:r>
            <w:r w:rsidRPr="00E33823">
              <w:rPr>
                <w:rFonts w:cs="Arial"/>
                <w:b/>
                <w:bCs/>
                <w:szCs w:val="14"/>
              </w:rPr>
              <w:t>585</w:t>
            </w:r>
            <w:r>
              <w:rPr>
                <w:rFonts w:cs="Arial"/>
                <w:b/>
                <w:bCs/>
                <w:szCs w:val="14"/>
              </w:rPr>
              <w:t>,</w:t>
            </w:r>
            <w:r w:rsidRPr="00E33823">
              <w:rPr>
                <w:rFonts w:cs="Arial"/>
                <w:b/>
                <w:bCs/>
                <w:szCs w:val="14"/>
              </w:rPr>
              <w:t>802</w:t>
            </w:r>
          </w:p>
        </w:tc>
        <w:tc>
          <w:tcPr>
            <w:tcW w:w="1831" w:type="dxa"/>
            <w:tcBorders>
              <w:top w:val="single" w:sz="2" w:space="0" w:color="1F4E79" w:themeColor="accent1" w:themeShade="80"/>
            </w:tcBorders>
            <w:vAlign w:val="center"/>
          </w:tcPr>
          <w:p w14:paraId="6C2BC77F" w14:textId="77777777" w:rsidR="008B7E19" w:rsidRPr="00E33823" w:rsidRDefault="008B7E19" w:rsidP="008B7E19">
            <w:pPr>
              <w:pStyle w:val="08-Tabelageral"/>
              <w:rPr>
                <w:rFonts w:cs="Arial"/>
                <w:b/>
                <w:bCs/>
                <w:szCs w:val="14"/>
                <w:highlight w:val="yellow"/>
              </w:rPr>
            </w:pPr>
            <w:r w:rsidRPr="00E33823">
              <w:rPr>
                <w:rFonts w:cs="Arial"/>
                <w:b/>
                <w:bCs/>
                <w:szCs w:val="14"/>
              </w:rPr>
              <w:t>127</w:t>
            </w:r>
            <w:r>
              <w:rPr>
                <w:rFonts w:cs="Arial"/>
                <w:b/>
                <w:bCs/>
                <w:szCs w:val="14"/>
              </w:rPr>
              <w:t>,</w:t>
            </w:r>
            <w:r w:rsidRPr="00E33823">
              <w:rPr>
                <w:rFonts w:cs="Arial"/>
                <w:b/>
                <w:bCs/>
                <w:szCs w:val="14"/>
              </w:rPr>
              <w:t>442</w:t>
            </w:r>
          </w:p>
        </w:tc>
        <w:tc>
          <w:tcPr>
            <w:tcW w:w="1831" w:type="dxa"/>
            <w:tcBorders>
              <w:top w:val="single" w:sz="2" w:space="0" w:color="1F4E79" w:themeColor="accent1" w:themeShade="80"/>
            </w:tcBorders>
            <w:vAlign w:val="center"/>
          </w:tcPr>
          <w:p w14:paraId="669152F6" w14:textId="77777777" w:rsidR="008B7E19" w:rsidRPr="00E33823" w:rsidRDefault="008B7E19" w:rsidP="008B7E19">
            <w:pPr>
              <w:pStyle w:val="08-Tabelageral"/>
              <w:rPr>
                <w:rFonts w:cs="Arial"/>
                <w:b/>
                <w:bCs/>
                <w:szCs w:val="14"/>
                <w:highlight w:val="yellow"/>
              </w:rPr>
            </w:pPr>
            <w:r w:rsidRPr="00E33823">
              <w:rPr>
                <w:rFonts w:cs="Arial"/>
                <w:b/>
                <w:bCs/>
                <w:szCs w:val="14"/>
              </w:rPr>
              <w:t>2</w:t>
            </w:r>
            <w:r>
              <w:rPr>
                <w:rFonts w:cs="Arial"/>
                <w:b/>
                <w:bCs/>
                <w:szCs w:val="14"/>
              </w:rPr>
              <w:t>,</w:t>
            </w:r>
            <w:r w:rsidRPr="00E33823">
              <w:rPr>
                <w:rFonts w:cs="Arial"/>
                <w:b/>
                <w:bCs/>
                <w:szCs w:val="14"/>
              </w:rPr>
              <w:t>713</w:t>
            </w:r>
            <w:r>
              <w:rPr>
                <w:rFonts w:cs="Arial"/>
                <w:b/>
                <w:bCs/>
                <w:szCs w:val="14"/>
              </w:rPr>
              <w:t>,</w:t>
            </w:r>
            <w:r w:rsidRPr="00E33823">
              <w:rPr>
                <w:rFonts w:cs="Arial"/>
                <w:b/>
                <w:bCs/>
                <w:szCs w:val="14"/>
              </w:rPr>
              <w:t>244</w:t>
            </w:r>
          </w:p>
        </w:tc>
      </w:tr>
      <w:tr w:rsidR="008B7E19" w:rsidRPr="00A03B7C" w14:paraId="13F10102" w14:textId="77777777" w:rsidTr="008875E7">
        <w:trPr>
          <w:trHeight w:val="238"/>
          <w:jc w:val="center"/>
        </w:trPr>
        <w:tc>
          <w:tcPr>
            <w:tcW w:w="4644" w:type="dxa"/>
            <w:vAlign w:val="center"/>
          </w:tcPr>
          <w:p w14:paraId="6204E578" w14:textId="77777777" w:rsidR="008B7E19" w:rsidRPr="00A03B7C" w:rsidRDefault="008B7E19" w:rsidP="008B7E19">
            <w:pPr>
              <w:pStyle w:val="08-Tabelageral"/>
              <w:ind w:left="113"/>
              <w:jc w:val="left"/>
              <w:rPr>
                <w:rFonts w:cs="Arial"/>
                <w:b/>
                <w:bCs/>
                <w:szCs w:val="14"/>
                <w:highlight w:val="yellow"/>
              </w:rPr>
            </w:pPr>
            <w:r w:rsidRPr="00E03629">
              <w:t>Equity income</w:t>
            </w:r>
          </w:p>
        </w:tc>
        <w:tc>
          <w:tcPr>
            <w:tcW w:w="1548" w:type="dxa"/>
            <w:vAlign w:val="center"/>
          </w:tcPr>
          <w:p w14:paraId="70E41737" w14:textId="77777777" w:rsidR="008B7E19" w:rsidRPr="00A03B7C" w:rsidRDefault="008B7E19" w:rsidP="008B7E19">
            <w:pPr>
              <w:pStyle w:val="08-Tabelageral"/>
              <w:rPr>
                <w:rFonts w:cs="Arial"/>
                <w:b/>
                <w:bCs/>
                <w:szCs w:val="14"/>
                <w:highlight w:val="yellow"/>
              </w:rPr>
            </w:pPr>
            <w:r w:rsidRPr="00265E5E">
              <w:rPr>
                <w:rFonts w:cs="Arial"/>
                <w:szCs w:val="14"/>
              </w:rPr>
              <w:t>(2</w:t>
            </w:r>
            <w:r>
              <w:rPr>
                <w:rFonts w:cs="Arial"/>
                <w:szCs w:val="14"/>
              </w:rPr>
              <w:t>,</w:t>
            </w:r>
            <w:r w:rsidRPr="00265E5E">
              <w:rPr>
                <w:rFonts w:cs="Arial"/>
                <w:szCs w:val="14"/>
              </w:rPr>
              <w:t>586</w:t>
            </w:r>
            <w:r>
              <w:rPr>
                <w:rFonts w:cs="Arial"/>
                <w:szCs w:val="14"/>
              </w:rPr>
              <w:t>,</w:t>
            </w:r>
            <w:r w:rsidRPr="00265E5E">
              <w:rPr>
                <w:rFonts w:cs="Arial"/>
                <w:szCs w:val="14"/>
              </w:rPr>
              <w:t>472)</w:t>
            </w:r>
          </w:p>
        </w:tc>
        <w:tc>
          <w:tcPr>
            <w:tcW w:w="1831" w:type="dxa"/>
            <w:vAlign w:val="center"/>
          </w:tcPr>
          <w:p w14:paraId="795B8506" w14:textId="77777777" w:rsidR="008B7E19" w:rsidRPr="00A03B7C" w:rsidRDefault="008B7E19" w:rsidP="008B7E19">
            <w:pPr>
              <w:pStyle w:val="08-Tabelageral"/>
              <w:rPr>
                <w:rFonts w:cs="Arial"/>
                <w:b/>
                <w:bCs/>
                <w:szCs w:val="14"/>
                <w:highlight w:val="yellow"/>
              </w:rPr>
            </w:pPr>
            <w:r w:rsidRPr="00265E5E">
              <w:rPr>
                <w:rFonts w:cs="Arial"/>
                <w:szCs w:val="14"/>
              </w:rPr>
              <w:t>(127</w:t>
            </w:r>
            <w:r>
              <w:rPr>
                <w:rFonts w:cs="Arial"/>
                <w:szCs w:val="14"/>
              </w:rPr>
              <w:t>,</w:t>
            </w:r>
            <w:r w:rsidRPr="00265E5E">
              <w:rPr>
                <w:rFonts w:cs="Arial"/>
                <w:szCs w:val="14"/>
              </w:rPr>
              <w:t>442)</w:t>
            </w:r>
          </w:p>
        </w:tc>
        <w:tc>
          <w:tcPr>
            <w:tcW w:w="1831" w:type="dxa"/>
            <w:vAlign w:val="center"/>
          </w:tcPr>
          <w:p w14:paraId="470B34AF" w14:textId="77777777" w:rsidR="008B7E19" w:rsidRPr="00A03B7C" w:rsidRDefault="008B7E19" w:rsidP="008B7E19">
            <w:pPr>
              <w:pStyle w:val="08-Tabelageral"/>
              <w:rPr>
                <w:rFonts w:cs="Arial"/>
                <w:b/>
                <w:bCs/>
                <w:szCs w:val="14"/>
                <w:highlight w:val="yellow"/>
              </w:rPr>
            </w:pPr>
            <w:r w:rsidRPr="00265E5E">
              <w:rPr>
                <w:rFonts w:cs="Arial"/>
                <w:szCs w:val="14"/>
              </w:rPr>
              <w:t>(2</w:t>
            </w:r>
            <w:r>
              <w:rPr>
                <w:rFonts w:cs="Arial"/>
                <w:szCs w:val="14"/>
              </w:rPr>
              <w:t>,</w:t>
            </w:r>
            <w:r w:rsidRPr="00265E5E">
              <w:rPr>
                <w:rFonts w:cs="Arial"/>
                <w:szCs w:val="14"/>
              </w:rPr>
              <w:t>713</w:t>
            </w:r>
            <w:r>
              <w:rPr>
                <w:rFonts w:cs="Arial"/>
                <w:szCs w:val="14"/>
              </w:rPr>
              <w:t>,</w:t>
            </w:r>
            <w:r w:rsidRPr="00265E5E">
              <w:rPr>
                <w:rFonts w:cs="Arial"/>
                <w:szCs w:val="14"/>
              </w:rPr>
              <w:t>914)</w:t>
            </w:r>
          </w:p>
        </w:tc>
      </w:tr>
      <w:tr w:rsidR="008B7E19" w:rsidRPr="00E33823" w14:paraId="10504E2A" w14:textId="77777777" w:rsidTr="008875E7">
        <w:trPr>
          <w:trHeight w:val="238"/>
          <w:jc w:val="center"/>
        </w:trPr>
        <w:tc>
          <w:tcPr>
            <w:tcW w:w="4644" w:type="dxa"/>
          </w:tcPr>
          <w:p w14:paraId="1FC05EA1" w14:textId="77777777" w:rsidR="008B7E19" w:rsidRPr="00E33823" w:rsidRDefault="008B7E19" w:rsidP="008B7E19">
            <w:pPr>
              <w:pStyle w:val="08-Tabelageral"/>
              <w:jc w:val="left"/>
              <w:rPr>
                <w:rFonts w:cs="Arial"/>
                <w:b/>
                <w:bCs/>
                <w:szCs w:val="14"/>
              </w:rPr>
            </w:pPr>
            <w:r w:rsidRPr="00E33823">
              <w:rPr>
                <w:rFonts w:cs="Arial"/>
                <w:b/>
                <w:bCs/>
                <w:szCs w:val="14"/>
              </w:rPr>
              <w:t>Adjustment to net profit</w:t>
            </w:r>
          </w:p>
        </w:tc>
        <w:tc>
          <w:tcPr>
            <w:tcW w:w="1548" w:type="dxa"/>
            <w:vAlign w:val="center"/>
          </w:tcPr>
          <w:p w14:paraId="31FB031B" w14:textId="77777777" w:rsidR="008B7E19" w:rsidRPr="00E33823" w:rsidRDefault="008B7E19" w:rsidP="008B7E19">
            <w:pPr>
              <w:pStyle w:val="08-Tabelageral"/>
              <w:rPr>
                <w:rFonts w:cs="Arial"/>
                <w:b/>
                <w:bCs/>
                <w:szCs w:val="14"/>
              </w:rPr>
            </w:pPr>
            <w:r w:rsidRPr="00E33823">
              <w:rPr>
                <w:rFonts w:cs="Arial"/>
                <w:b/>
                <w:bCs/>
                <w:szCs w:val="14"/>
              </w:rPr>
              <w:t>4</w:t>
            </w:r>
            <w:r>
              <w:rPr>
                <w:rFonts w:cs="Arial"/>
                <w:b/>
                <w:bCs/>
                <w:szCs w:val="14"/>
              </w:rPr>
              <w:t>,</w:t>
            </w:r>
            <w:r w:rsidRPr="00E33823">
              <w:rPr>
                <w:rFonts w:cs="Arial"/>
                <w:b/>
                <w:bCs/>
                <w:szCs w:val="14"/>
              </w:rPr>
              <w:t>435</w:t>
            </w:r>
          </w:p>
        </w:tc>
        <w:tc>
          <w:tcPr>
            <w:tcW w:w="1831" w:type="dxa"/>
            <w:vAlign w:val="center"/>
          </w:tcPr>
          <w:p w14:paraId="05B2FAA1" w14:textId="77777777" w:rsidR="008B7E19" w:rsidRPr="00E33823" w:rsidRDefault="008B7E19" w:rsidP="008B7E19">
            <w:pPr>
              <w:pStyle w:val="08-Tabelageral"/>
              <w:rPr>
                <w:rFonts w:cs="Arial"/>
                <w:b/>
                <w:bCs/>
                <w:szCs w:val="14"/>
              </w:rPr>
            </w:pPr>
            <w:r w:rsidRPr="00E33823">
              <w:rPr>
                <w:rFonts w:cs="Arial"/>
                <w:b/>
                <w:bCs/>
                <w:szCs w:val="14"/>
              </w:rPr>
              <w:t>--</w:t>
            </w:r>
          </w:p>
        </w:tc>
        <w:tc>
          <w:tcPr>
            <w:tcW w:w="1831" w:type="dxa"/>
            <w:vAlign w:val="center"/>
          </w:tcPr>
          <w:p w14:paraId="3E45A178" w14:textId="77777777" w:rsidR="008B7E19" w:rsidRPr="00E33823" w:rsidRDefault="008B7E19" w:rsidP="008B7E19">
            <w:pPr>
              <w:pStyle w:val="08-Tabelageral"/>
              <w:rPr>
                <w:rFonts w:cs="Arial"/>
                <w:b/>
                <w:bCs/>
                <w:szCs w:val="14"/>
              </w:rPr>
            </w:pPr>
            <w:r w:rsidRPr="00E33823">
              <w:rPr>
                <w:rFonts w:cs="Arial"/>
                <w:b/>
                <w:bCs/>
                <w:szCs w:val="14"/>
              </w:rPr>
              <w:t>4</w:t>
            </w:r>
            <w:r>
              <w:rPr>
                <w:rFonts w:cs="Arial"/>
                <w:b/>
                <w:bCs/>
                <w:szCs w:val="14"/>
              </w:rPr>
              <w:t>,</w:t>
            </w:r>
            <w:r w:rsidRPr="00E33823">
              <w:rPr>
                <w:rFonts w:cs="Arial"/>
                <w:b/>
                <w:bCs/>
                <w:szCs w:val="14"/>
              </w:rPr>
              <w:t>435</w:t>
            </w:r>
          </w:p>
        </w:tc>
      </w:tr>
      <w:tr w:rsidR="008B7E19" w:rsidRPr="00C80F9A" w14:paraId="0BEEE41A" w14:textId="77777777" w:rsidTr="008875E7">
        <w:trPr>
          <w:trHeight w:val="238"/>
          <w:jc w:val="center"/>
        </w:trPr>
        <w:tc>
          <w:tcPr>
            <w:tcW w:w="4644" w:type="dxa"/>
          </w:tcPr>
          <w:p w14:paraId="73D3655D" w14:textId="77777777" w:rsidR="008B7E19" w:rsidRPr="00311D15" w:rsidRDefault="008B7E19" w:rsidP="008B7E19">
            <w:pPr>
              <w:pStyle w:val="08-Tabelageral"/>
              <w:ind w:left="113"/>
              <w:jc w:val="left"/>
              <w:rPr>
                <w:rFonts w:cs="Arial"/>
                <w:szCs w:val="14"/>
                <w:lang w:val="en-US"/>
              </w:rPr>
            </w:pPr>
            <w:r w:rsidRPr="00311D15">
              <w:rPr>
                <w:rFonts w:cs="Arial"/>
                <w:szCs w:val="14"/>
                <w:lang w:val="en-US"/>
              </w:rPr>
              <w:t>Cash provided by operating activities</w:t>
            </w:r>
          </w:p>
        </w:tc>
        <w:tc>
          <w:tcPr>
            <w:tcW w:w="1548" w:type="dxa"/>
            <w:vAlign w:val="center"/>
          </w:tcPr>
          <w:p w14:paraId="0FE4A543" w14:textId="77777777" w:rsidR="008B7E19" w:rsidRPr="00924673" w:rsidRDefault="008B7E19" w:rsidP="008B7E19">
            <w:pPr>
              <w:pStyle w:val="08-Tabelageral"/>
              <w:rPr>
                <w:rFonts w:cs="Arial"/>
                <w:color w:val="000000"/>
                <w:szCs w:val="14"/>
              </w:rPr>
            </w:pPr>
            <w:r w:rsidRPr="00265E5E">
              <w:rPr>
                <w:rFonts w:cs="Arial"/>
                <w:szCs w:val="14"/>
              </w:rPr>
              <w:t>(15</w:t>
            </w:r>
            <w:r>
              <w:rPr>
                <w:rFonts w:cs="Arial"/>
                <w:szCs w:val="14"/>
              </w:rPr>
              <w:t>,</w:t>
            </w:r>
            <w:r w:rsidRPr="00265E5E">
              <w:rPr>
                <w:rFonts w:cs="Arial"/>
                <w:szCs w:val="14"/>
              </w:rPr>
              <w:t>970)</w:t>
            </w:r>
          </w:p>
        </w:tc>
        <w:tc>
          <w:tcPr>
            <w:tcW w:w="1831" w:type="dxa"/>
            <w:vAlign w:val="center"/>
          </w:tcPr>
          <w:p w14:paraId="51A4B436" w14:textId="77777777" w:rsidR="008B7E19" w:rsidRPr="00924673" w:rsidRDefault="008B7E19" w:rsidP="008B7E19">
            <w:pPr>
              <w:pStyle w:val="08-Tabelageral"/>
              <w:rPr>
                <w:rFonts w:cs="Arial"/>
                <w:szCs w:val="14"/>
              </w:rPr>
            </w:pPr>
            <w:r w:rsidRPr="00265E5E">
              <w:rPr>
                <w:rFonts w:cs="Arial"/>
                <w:b/>
                <w:bCs/>
                <w:szCs w:val="14"/>
              </w:rPr>
              <w:t>--</w:t>
            </w:r>
          </w:p>
        </w:tc>
        <w:tc>
          <w:tcPr>
            <w:tcW w:w="1831" w:type="dxa"/>
            <w:vAlign w:val="center"/>
          </w:tcPr>
          <w:p w14:paraId="36A25049" w14:textId="77777777" w:rsidR="008B7E19" w:rsidRPr="00924673" w:rsidRDefault="008B7E19" w:rsidP="008B7E19">
            <w:pPr>
              <w:pStyle w:val="08-Tabelageral"/>
              <w:rPr>
                <w:rFonts w:cs="Arial"/>
                <w:color w:val="000000"/>
                <w:szCs w:val="14"/>
              </w:rPr>
            </w:pPr>
            <w:r w:rsidRPr="00265E5E">
              <w:rPr>
                <w:rFonts w:cs="Arial"/>
                <w:szCs w:val="14"/>
              </w:rPr>
              <w:t>(15</w:t>
            </w:r>
            <w:r>
              <w:rPr>
                <w:rFonts w:cs="Arial"/>
                <w:szCs w:val="14"/>
              </w:rPr>
              <w:t>,</w:t>
            </w:r>
            <w:r w:rsidRPr="00265E5E">
              <w:rPr>
                <w:rFonts w:cs="Arial"/>
                <w:szCs w:val="14"/>
              </w:rPr>
              <w:t>970)</w:t>
            </w:r>
          </w:p>
        </w:tc>
      </w:tr>
      <w:tr w:rsidR="008B7E19" w:rsidRPr="00C80F9A" w14:paraId="5C4DA603" w14:textId="77777777" w:rsidTr="008875E7">
        <w:trPr>
          <w:trHeight w:val="238"/>
          <w:jc w:val="center"/>
        </w:trPr>
        <w:tc>
          <w:tcPr>
            <w:tcW w:w="4644" w:type="dxa"/>
          </w:tcPr>
          <w:p w14:paraId="66B17C48" w14:textId="77777777" w:rsidR="008B7E19" w:rsidRPr="00311D15" w:rsidRDefault="008B7E19" w:rsidP="008B7E19">
            <w:pPr>
              <w:pStyle w:val="08-Tabelageral"/>
              <w:ind w:left="113"/>
              <w:jc w:val="left"/>
              <w:rPr>
                <w:rFonts w:cs="Arial"/>
                <w:szCs w:val="14"/>
                <w:lang w:val="en-US"/>
              </w:rPr>
            </w:pPr>
            <w:r w:rsidRPr="00311D15">
              <w:rPr>
                <w:rFonts w:cs="Arial"/>
                <w:szCs w:val="14"/>
                <w:lang w:val="en-US"/>
              </w:rPr>
              <w:t>Cash provided by investment activities</w:t>
            </w:r>
          </w:p>
        </w:tc>
        <w:tc>
          <w:tcPr>
            <w:tcW w:w="1548" w:type="dxa"/>
            <w:vAlign w:val="center"/>
          </w:tcPr>
          <w:p w14:paraId="41F9B0E5" w14:textId="77777777" w:rsidR="008B7E19" w:rsidRPr="00924673" w:rsidRDefault="008B7E19" w:rsidP="008B7E19">
            <w:pPr>
              <w:pStyle w:val="08-Tabelageral"/>
              <w:rPr>
                <w:rFonts w:cs="Arial"/>
                <w:color w:val="000000"/>
                <w:szCs w:val="14"/>
              </w:rPr>
            </w:pPr>
            <w:r w:rsidRPr="00265E5E">
              <w:rPr>
                <w:rFonts w:cs="Arial"/>
                <w:szCs w:val="14"/>
              </w:rPr>
              <w:t>1</w:t>
            </w:r>
            <w:r>
              <w:rPr>
                <w:rFonts w:cs="Arial"/>
                <w:szCs w:val="14"/>
              </w:rPr>
              <w:t>,</w:t>
            </w:r>
            <w:r w:rsidRPr="00265E5E">
              <w:rPr>
                <w:rFonts w:cs="Arial"/>
                <w:szCs w:val="14"/>
              </w:rPr>
              <w:t>594</w:t>
            </w:r>
            <w:r>
              <w:rPr>
                <w:rFonts w:cs="Arial"/>
                <w:szCs w:val="14"/>
              </w:rPr>
              <w:t>,</w:t>
            </w:r>
            <w:r w:rsidRPr="00265E5E">
              <w:rPr>
                <w:rFonts w:cs="Arial"/>
                <w:szCs w:val="14"/>
              </w:rPr>
              <w:t>311</w:t>
            </w:r>
          </w:p>
        </w:tc>
        <w:tc>
          <w:tcPr>
            <w:tcW w:w="1831" w:type="dxa"/>
            <w:vAlign w:val="center"/>
          </w:tcPr>
          <w:p w14:paraId="230419C2" w14:textId="77777777" w:rsidR="008B7E19" w:rsidRPr="00924673" w:rsidRDefault="008B7E19" w:rsidP="008B7E19">
            <w:pPr>
              <w:pStyle w:val="08-Tabelageral"/>
              <w:rPr>
                <w:rFonts w:cs="Arial"/>
                <w:szCs w:val="14"/>
              </w:rPr>
            </w:pPr>
            <w:r w:rsidRPr="00265E5E">
              <w:rPr>
                <w:rFonts w:cs="Arial"/>
                <w:b/>
                <w:bCs/>
                <w:szCs w:val="14"/>
              </w:rPr>
              <w:t>--</w:t>
            </w:r>
          </w:p>
        </w:tc>
        <w:tc>
          <w:tcPr>
            <w:tcW w:w="1831" w:type="dxa"/>
            <w:vAlign w:val="center"/>
          </w:tcPr>
          <w:p w14:paraId="6F5CF5C6" w14:textId="77777777" w:rsidR="008B7E19" w:rsidRPr="00924673" w:rsidRDefault="008B7E19" w:rsidP="008B7E19">
            <w:pPr>
              <w:pStyle w:val="08-Tabelageral"/>
              <w:rPr>
                <w:rFonts w:cs="Arial"/>
                <w:color w:val="000000"/>
                <w:szCs w:val="14"/>
              </w:rPr>
            </w:pPr>
            <w:r w:rsidRPr="00265E5E">
              <w:rPr>
                <w:rFonts w:cs="Arial"/>
                <w:szCs w:val="14"/>
              </w:rPr>
              <w:t>1</w:t>
            </w:r>
            <w:r>
              <w:rPr>
                <w:rFonts w:cs="Arial"/>
                <w:szCs w:val="14"/>
              </w:rPr>
              <w:t>,</w:t>
            </w:r>
            <w:r w:rsidRPr="00265E5E">
              <w:rPr>
                <w:rFonts w:cs="Arial"/>
                <w:szCs w:val="14"/>
              </w:rPr>
              <w:t>594</w:t>
            </w:r>
            <w:r>
              <w:rPr>
                <w:rFonts w:cs="Arial"/>
                <w:szCs w:val="14"/>
              </w:rPr>
              <w:t>,</w:t>
            </w:r>
            <w:r w:rsidRPr="00265E5E">
              <w:rPr>
                <w:rFonts w:cs="Arial"/>
                <w:szCs w:val="14"/>
              </w:rPr>
              <w:t>311</w:t>
            </w:r>
          </w:p>
        </w:tc>
      </w:tr>
      <w:tr w:rsidR="008B7E19" w:rsidRPr="00C80F9A" w14:paraId="4D93615E" w14:textId="77777777" w:rsidTr="008875E7">
        <w:trPr>
          <w:trHeight w:val="238"/>
          <w:jc w:val="center"/>
        </w:trPr>
        <w:tc>
          <w:tcPr>
            <w:tcW w:w="4644" w:type="dxa"/>
          </w:tcPr>
          <w:p w14:paraId="29E6AF50" w14:textId="77777777" w:rsidR="008B7E19" w:rsidRPr="006C4325" w:rsidRDefault="008B7E19" w:rsidP="008B7E19">
            <w:pPr>
              <w:pStyle w:val="08-Tabelageral"/>
              <w:ind w:left="113"/>
              <w:jc w:val="left"/>
              <w:rPr>
                <w:rFonts w:cs="Arial"/>
                <w:szCs w:val="14"/>
                <w:lang w:val="en-US"/>
              </w:rPr>
            </w:pPr>
            <w:r w:rsidRPr="006C4325">
              <w:rPr>
                <w:rFonts w:cs="Arial"/>
                <w:szCs w:val="14"/>
                <w:lang w:val="en-US"/>
              </w:rPr>
              <w:t>Cash flow provided by financing activities</w:t>
            </w:r>
          </w:p>
        </w:tc>
        <w:tc>
          <w:tcPr>
            <w:tcW w:w="1548" w:type="dxa"/>
            <w:vAlign w:val="center"/>
          </w:tcPr>
          <w:p w14:paraId="11E04AF6" w14:textId="77777777" w:rsidR="008B7E19" w:rsidRPr="00924673" w:rsidRDefault="008B7E19" w:rsidP="008B7E19">
            <w:pPr>
              <w:pStyle w:val="08-Tabelageral"/>
              <w:rPr>
                <w:rFonts w:cs="Arial"/>
                <w:color w:val="000000"/>
                <w:szCs w:val="14"/>
              </w:rPr>
            </w:pPr>
            <w:r w:rsidRPr="00265E5E">
              <w:rPr>
                <w:rFonts w:cs="Arial"/>
                <w:szCs w:val="14"/>
              </w:rPr>
              <w:t>(1</w:t>
            </w:r>
            <w:r>
              <w:rPr>
                <w:rFonts w:cs="Arial"/>
                <w:szCs w:val="14"/>
              </w:rPr>
              <w:t>,</w:t>
            </w:r>
            <w:r w:rsidRPr="00265E5E">
              <w:rPr>
                <w:rFonts w:cs="Arial"/>
                <w:szCs w:val="14"/>
              </w:rPr>
              <w:t>857</w:t>
            </w:r>
            <w:r>
              <w:rPr>
                <w:rFonts w:cs="Arial"/>
                <w:szCs w:val="14"/>
              </w:rPr>
              <w:t>,</w:t>
            </w:r>
            <w:r w:rsidRPr="00265E5E">
              <w:rPr>
                <w:rFonts w:cs="Arial"/>
                <w:szCs w:val="14"/>
              </w:rPr>
              <w:t>029)</w:t>
            </w:r>
          </w:p>
        </w:tc>
        <w:tc>
          <w:tcPr>
            <w:tcW w:w="1831" w:type="dxa"/>
            <w:vAlign w:val="center"/>
          </w:tcPr>
          <w:p w14:paraId="64A86A00" w14:textId="77777777" w:rsidR="008B7E19" w:rsidRPr="00924673" w:rsidRDefault="008B7E19" w:rsidP="008B7E19">
            <w:pPr>
              <w:pStyle w:val="08-Tabelageral"/>
              <w:rPr>
                <w:rFonts w:cs="Arial"/>
                <w:szCs w:val="14"/>
              </w:rPr>
            </w:pPr>
            <w:r w:rsidRPr="00265E5E">
              <w:rPr>
                <w:rFonts w:cs="Arial"/>
                <w:b/>
                <w:bCs/>
                <w:szCs w:val="14"/>
              </w:rPr>
              <w:t>--</w:t>
            </w:r>
          </w:p>
        </w:tc>
        <w:tc>
          <w:tcPr>
            <w:tcW w:w="1831" w:type="dxa"/>
            <w:vAlign w:val="center"/>
          </w:tcPr>
          <w:p w14:paraId="2BF76967" w14:textId="77777777" w:rsidR="008B7E19" w:rsidRPr="00924673" w:rsidRDefault="008B7E19" w:rsidP="008B7E19">
            <w:pPr>
              <w:pStyle w:val="08-Tabelageral"/>
              <w:rPr>
                <w:rFonts w:cs="Arial"/>
                <w:color w:val="000000"/>
                <w:szCs w:val="14"/>
              </w:rPr>
            </w:pPr>
            <w:r w:rsidRPr="00265E5E">
              <w:rPr>
                <w:rFonts w:cs="Arial"/>
                <w:szCs w:val="14"/>
              </w:rPr>
              <w:t>(1</w:t>
            </w:r>
            <w:r>
              <w:rPr>
                <w:rFonts w:cs="Arial"/>
                <w:szCs w:val="14"/>
              </w:rPr>
              <w:t>,</w:t>
            </w:r>
            <w:r w:rsidRPr="00265E5E">
              <w:rPr>
                <w:rFonts w:cs="Arial"/>
                <w:szCs w:val="14"/>
              </w:rPr>
              <w:t>857</w:t>
            </w:r>
            <w:r>
              <w:rPr>
                <w:rFonts w:cs="Arial"/>
                <w:szCs w:val="14"/>
              </w:rPr>
              <w:t>,</w:t>
            </w:r>
            <w:r w:rsidRPr="00265E5E">
              <w:rPr>
                <w:rFonts w:cs="Arial"/>
                <w:szCs w:val="14"/>
              </w:rPr>
              <w:t>029)</w:t>
            </w:r>
          </w:p>
        </w:tc>
      </w:tr>
      <w:tr w:rsidR="008B7E19" w:rsidRPr="00E33823" w14:paraId="01F88C34" w14:textId="77777777" w:rsidTr="008875E7">
        <w:trPr>
          <w:trHeight w:val="238"/>
          <w:jc w:val="center"/>
        </w:trPr>
        <w:tc>
          <w:tcPr>
            <w:tcW w:w="4644" w:type="dxa"/>
            <w:tcBorders>
              <w:bottom w:val="single" w:sz="2" w:space="0" w:color="1F4E79" w:themeColor="accent1" w:themeShade="80"/>
            </w:tcBorders>
            <w:vAlign w:val="center"/>
          </w:tcPr>
          <w:p w14:paraId="2A0B41E5" w14:textId="77777777" w:rsidR="008B7E19" w:rsidRPr="00E33823" w:rsidRDefault="008B7E19" w:rsidP="008B7E19">
            <w:pPr>
              <w:pStyle w:val="08-Tabelageral"/>
              <w:jc w:val="left"/>
              <w:rPr>
                <w:rFonts w:cs="Arial"/>
                <w:b/>
                <w:bCs/>
                <w:szCs w:val="14"/>
                <w:lang w:val="en-US"/>
              </w:rPr>
            </w:pPr>
            <w:r w:rsidRPr="00E33823">
              <w:rPr>
                <w:b/>
                <w:bCs/>
                <w:lang w:val="en-US"/>
              </w:rPr>
              <w:t>Increase (decrease) in cash and cash equivalents</w:t>
            </w:r>
          </w:p>
        </w:tc>
        <w:tc>
          <w:tcPr>
            <w:tcW w:w="1548" w:type="dxa"/>
            <w:tcBorders>
              <w:bottom w:val="single" w:sz="2" w:space="0" w:color="1F4E79" w:themeColor="accent1" w:themeShade="80"/>
            </w:tcBorders>
            <w:vAlign w:val="center"/>
          </w:tcPr>
          <w:p w14:paraId="0CEBB381" w14:textId="77777777" w:rsidR="008B7E19" w:rsidRPr="00E33823" w:rsidRDefault="008B7E19" w:rsidP="008B7E19">
            <w:pPr>
              <w:pStyle w:val="08-Tabelageral"/>
              <w:rPr>
                <w:rFonts w:cs="Arial"/>
                <w:b/>
                <w:bCs/>
                <w:color w:val="000000"/>
                <w:szCs w:val="14"/>
              </w:rPr>
            </w:pPr>
            <w:r w:rsidRPr="00E33823">
              <w:rPr>
                <w:rFonts w:cs="Arial"/>
                <w:b/>
                <w:bCs/>
                <w:szCs w:val="14"/>
              </w:rPr>
              <w:t>(278</w:t>
            </w:r>
            <w:r>
              <w:rPr>
                <w:rFonts w:cs="Arial"/>
                <w:b/>
                <w:bCs/>
                <w:szCs w:val="14"/>
              </w:rPr>
              <w:t>,</w:t>
            </w:r>
            <w:r w:rsidRPr="00E33823">
              <w:rPr>
                <w:rFonts w:cs="Arial"/>
                <w:b/>
                <w:bCs/>
                <w:szCs w:val="14"/>
              </w:rPr>
              <w:t>688)</w:t>
            </w:r>
          </w:p>
        </w:tc>
        <w:tc>
          <w:tcPr>
            <w:tcW w:w="1831" w:type="dxa"/>
            <w:tcBorders>
              <w:bottom w:val="single" w:sz="2" w:space="0" w:color="1F4E79" w:themeColor="accent1" w:themeShade="80"/>
            </w:tcBorders>
            <w:vAlign w:val="center"/>
          </w:tcPr>
          <w:p w14:paraId="49521003" w14:textId="77777777" w:rsidR="008B7E19" w:rsidRPr="00E33823" w:rsidRDefault="008B7E19" w:rsidP="008B7E19">
            <w:pPr>
              <w:pStyle w:val="08-Tabelageral"/>
              <w:rPr>
                <w:rFonts w:cs="Arial"/>
                <w:b/>
                <w:bCs/>
                <w:szCs w:val="14"/>
              </w:rPr>
            </w:pPr>
            <w:r w:rsidRPr="00E33823">
              <w:rPr>
                <w:rFonts w:cs="Arial"/>
                <w:b/>
                <w:bCs/>
                <w:szCs w:val="14"/>
              </w:rPr>
              <w:t>--</w:t>
            </w:r>
          </w:p>
        </w:tc>
        <w:tc>
          <w:tcPr>
            <w:tcW w:w="1831" w:type="dxa"/>
            <w:tcBorders>
              <w:bottom w:val="single" w:sz="2" w:space="0" w:color="1F4E79" w:themeColor="accent1" w:themeShade="80"/>
            </w:tcBorders>
            <w:vAlign w:val="center"/>
          </w:tcPr>
          <w:p w14:paraId="6C3D2D1C" w14:textId="77777777" w:rsidR="008B7E19" w:rsidRPr="00E33823" w:rsidRDefault="008B7E19" w:rsidP="008B7E19">
            <w:pPr>
              <w:pStyle w:val="08-Tabelageral"/>
              <w:rPr>
                <w:rFonts w:cs="Arial"/>
                <w:b/>
                <w:bCs/>
                <w:color w:val="000000"/>
                <w:szCs w:val="14"/>
              </w:rPr>
            </w:pPr>
            <w:r w:rsidRPr="00E33823">
              <w:rPr>
                <w:rFonts w:cs="Arial"/>
                <w:b/>
                <w:bCs/>
                <w:szCs w:val="14"/>
              </w:rPr>
              <w:t>(278</w:t>
            </w:r>
            <w:r>
              <w:rPr>
                <w:rFonts w:cs="Arial"/>
                <w:b/>
                <w:bCs/>
                <w:szCs w:val="14"/>
              </w:rPr>
              <w:t>,</w:t>
            </w:r>
            <w:r w:rsidRPr="00E33823">
              <w:rPr>
                <w:rFonts w:cs="Arial"/>
                <w:b/>
                <w:bCs/>
                <w:szCs w:val="14"/>
              </w:rPr>
              <w:t>688)</w:t>
            </w:r>
          </w:p>
        </w:tc>
      </w:tr>
      <w:tr w:rsidR="008B7E19" w:rsidRPr="00C80F9A" w14:paraId="3A270819" w14:textId="77777777" w:rsidTr="008875E7">
        <w:trPr>
          <w:trHeight w:val="238"/>
          <w:jc w:val="center"/>
        </w:trPr>
        <w:tc>
          <w:tcPr>
            <w:tcW w:w="4644" w:type="dxa"/>
            <w:tcBorders>
              <w:top w:val="single" w:sz="2" w:space="0" w:color="1F4E79" w:themeColor="accent1" w:themeShade="80"/>
            </w:tcBorders>
          </w:tcPr>
          <w:p w14:paraId="37275246" w14:textId="77777777" w:rsidR="008B7E19" w:rsidRPr="005E1F7B" w:rsidRDefault="008B7E19" w:rsidP="008B7E19">
            <w:pPr>
              <w:pStyle w:val="08-Tabelageral"/>
              <w:jc w:val="left"/>
              <w:rPr>
                <w:rFonts w:cs="Arial"/>
                <w:szCs w:val="14"/>
              </w:rPr>
            </w:pPr>
          </w:p>
        </w:tc>
        <w:tc>
          <w:tcPr>
            <w:tcW w:w="1548" w:type="dxa"/>
            <w:tcBorders>
              <w:top w:val="single" w:sz="2" w:space="0" w:color="1F4E79" w:themeColor="accent1" w:themeShade="80"/>
            </w:tcBorders>
          </w:tcPr>
          <w:p w14:paraId="7A8C27C9" w14:textId="77777777" w:rsidR="008B7E19" w:rsidRPr="005E1F7B" w:rsidRDefault="008B7E19" w:rsidP="008B7E19">
            <w:pPr>
              <w:pStyle w:val="08-Tabelageral"/>
              <w:rPr>
                <w:rFonts w:cs="Arial"/>
                <w:color w:val="000000"/>
                <w:szCs w:val="14"/>
              </w:rPr>
            </w:pPr>
          </w:p>
        </w:tc>
        <w:tc>
          <w:tcPr>
            <w:tcW w:w="1831" w:type="dxa"/>
            <w:tcBorders>
              <w:top w:val="single" w:sz="2" w:space="0" w:color="1F4E79" w:themeColor="accent1" w:themeShade="80"/>
            </w:tcBorders>
          </w:tcPr>
          <w:p w14:paraId="6DDF517D" w14:textId="77777777" w:rsidR="008B7E19" w:rsidRPr="005E1F7B" w:rsidRDefault="008B7E19" w:rsidP="008B7E19">
            <w:pPr>
              <w:pStyle w:val="08-Tabelageral"/>
              <w:rPr>
                <w:rFonts w:cs="Arial"/>
                <w:szCs w:val="14"/>
              </w:rPr>
            </w:pPr>
          </w:p>
        </w:tc>
        <w:tc>
          <w:tcPr>
            <w:tcW w:w="1831" w:type="dxa"/>
            <w:tcBorders>
              <w:top w:val="single" w:sz="2" w:space="0" w:color="1F4E79" w:themeColor="accent1" w:themeShade="80"/>
            </w:tcBorders>
          </w:tcPr>
          <w:p w14:paraId="2B4611D6" w14:textId="77777777" w:rsidR="008B7E19" w:rsidRPr="005E1F7B" w:rsidRDefault="008B7E19" w:rsidP="008B7E19">
            <w:pPr>
              <w:pStyle w:val="08-Tabelageral"/>
              <w:rPr>
                <w:rFonts w:cs="Arial"/>
                <w:color w:val="000000"/>
                <w:szCs w:val="14"/>
              </w:rPr>
            </w:pPr>
          </w:p>
        </w:tc>
      </w:tr>
      <w:tr w:rsidR="008B7E19" w:rsidRPr="00C80F9A" w14:paraId="3BFFA39B" w14:textId="77777777" w:rsidTr="008875E7">
        <w:trPr>
          <w:trHeight w:val="238"/>
          <w:jc w:val="center"/>
        </w:trPr>
        <w:tc>
          <w:tcPr>
            <w:tcW w:w="4644" w:type="dxa"/>
            <w:tcBorders>
              <w:bottom w:val="single" w:sz="2" w:space="0" w:color="1F4E79" w:themeColor="accent1" w:themeShade="80"/>
            </w:tcBorders>
          </w:tcPr>
          <w:p w14:paraId="066E7A42" w14:textId="77777777" w:rsidR="008B7E19" w:rsidRPr="005E1F7B" w:rsidRDefault="008B7E19" w:rsidP="008B7E19">
            <w:pPr>
              <w:pStyle w:val="08-Tabelageral"/>
              <w:jc w:val="left"/>
              <w:rPr>
                <w:rFonts w:cs="Arial"/>
                <w:szCs w:val="14"/>
              </w:rPr>
            </w:pPr>
          </w:p>
        </w:tc>
        <w:tc>
          <w:tcPr>
            <w:tcW w:w="1548" w:type="dxa"/>
            <w:tcBorders>
              <w:bottom w:val="single" w:sz="2" w:space="0" w:color="1F4E79" w:themeColor="accent1" w:themeShade="80"/>
            </w:tcBorders>
          </w:tcPr>
          <w:p w14:paraId="5754DAEA" w14:textId="77777777" w:rsidR="008B7E19" w:rsidRPr="005E1F7B" w:rsidRDefault="008B7E19" w:rsidP="008B7E19">
            <w:pPr>
              <w:pStyle w:val="08-Tabelageral"/>
              <w:rPr>
                <w:rFonts w:cs="Arial"/>
                <w:color w:val="000000"/>
                <w:szCs w:val="14"/>
              </w:rPr>
            </w:pPr>
          </w:p>
        </w:tc>
        <w:tc>
          <w:tcPr>
            <w:tcW w:w="1831" w:type="dxa"/>
            <w:tcBorders>
              <w:bottom w:val="single" w:sz="2" w:space="0" w:color="1F4E79" w:themeColor="accent1" w:themeShade="80"/>
            </w:tcBorders>
          </w:tcPr>
          <w:p w14:paraId="6D5F31E6" w14:textId="77777777" w:rsidR="008B7E19" w:rsidRPr="005E1F7B" w:rsidRDefault="008B7E19" w:rsidP="008B7E19">
            <w:pPr>
              <w:pStyle w:val="08-Tabelageral"/>
              <w:rPr>
                <w:rFonts w:cs="Arial"/>
                <w:szCs w:val="14"/>
              </w:rPr>
            </w:pPr>
          </w:p>
        </w:tc>
        <w:tc>
          <w:tcPr>
            <w:tcW w:w="1831" w:type="dxa"/>
            <w:tcBorders>
              <w:bottom w:val="single" w:sz="2" w:space="0" w:color="1F4E79" w:themeColor="accent1" w:themeShade="80"/>
            </w:tcBorders>
          </w:tcPr>
          <w:p w14:paraId="780A3E29" w14:textId="77777777" w:rsidR="008B7E19" w:rsidRPr="001D4E06" w:rsidRDefault="008B7E19" w:rsidP="008B7E19">
            <w:pPr>
              <w:spacing w:after="0" w:line="240" w:lineRule="auto"/>
              <w:jc w:val="right"/>
              <w:rPr>
                <w:rFonts w:cs="Arial"/>
                <w:b/>
                <w:sz w:val="14"/>
                <w:lang w:eastAsia="pt-BR"/>
              </w:rPr>
            </w:pPr>
            <w:r w:rsidRPr="00FC6C4B">
              <w:rPr>
                <w:rFonts w:cs="Arial"/>
                <w:b/>
                <w:sz w:val="14"/>
                <w:lang w:eastAsia="pt-BR"/>
              </w:rPr>
              <w:t>R$ thousand</w:t>
            </w:r>
          </w:p>
        </w:tc>
      </w:tr>
      <w:tr w:rsidR="008B7E19" w:rsidRPr="00C80F9A" w14:paraId="15E930B5" w14:textId="77777777" w:rsidTr="008875E7">
        <w:trPr>
          <w:trHeight w:val="238"/>
          <w:jc w:val="center"/>
        </w:trPr>
        <w:tc>
          <w:tcPr>
            <w:tcW w:w="4644" w:type="dxa"/>
            <w:tcBorders>
              <w:top w:val="single" w:sz="2" w:space="0" w:color="1F4E79" w:themeColor="accent1" w:themeShade="80"/>
              <w:bottom w:val="single" w:sz="2" w:space="0" w:color="1F4E79" w:themeColor="accent1" w:themeShade="80"/>
            </w:tcBorders>
          </w:tcPr>
          <w:p w14:paraId="59343CC3" w14:textId="77777777" w:rsidR="008B7E19" w:rsidRPr="00E00C9B" w:rsidRDefault="008B7E19" w:rsidP="008B7E19">
            <w:pPr>
              <w:pStyle w:val="08-Tabelageral"/>
              <w:jc w:val="left"/>
              <w:rPr>
                <w:rFonts w:cs="Arial"/>
                <w:b/>
                <w:bCs/>
                <w:szCs w:val="14"/>
              </w:rPr>
            </w:pPr>
          </w:p>
        </w:tc>
        <w:tc>
          <w:tcPr>
            <w:tcW w:w="5210" w:type="dxa"/>
            <w:gridSpan w:val="3"/>
            <w:tcBorders>
              <w:top w:val="single" w:sz="2" w:space="0" w:color="1F4E79" w:themeColor="accent1" w:themeShade="80"/>
              <w:bottom w:val="single" w:sz="2" w:space="0" w:color="1F4E79" w:themeColor="accent1" w:themeShade="80"/>
            </w:tcBorders>
          </w:tcPr>
          <w:p w14:paraId="440BDB4F" w14:textId="77777777" w:rsidR="008B7E19" w:rsidRPr="00C80F9A" w:rsidRDefault="008B7E19" w:rsidP="008B7E19">
            <w:pPr>
              <w:pStyle w:val="08-Tabelageral"/>
              <w:jc w:val="center"/>
              <w:rPr>
                <w:rFonts w:cs="Arial"/>
                <w:b/>
                <w:bCs/>
                <w:szCs w:val="14"/>
              </w:rPr>
            </w:pPr>
            <w:r>
              <w:rPr>
                <w:rFonts w:cs="Arial"/>
                <w:b/>
                <w:bCs/>
                <w:szCs w:val="14"/>
              </w:rPr>
              <w:t>Consolidated</w:t>
            </w:r>
          </w:p>
        </w:tc>
      </w:tr>
      <w:tr w:rsidR="008B7E19" w:rsidRPr="00C80F9A" w14:paraId="2BA9604A" w14:textId="77777777" w:rsidTr="008875E7">
        <w:trPr>
          <w:trHeight w:val="238"/>
          <w:jc w:val="center"/>
        </w:trPr>
        <w:tc>
          <w:tcPr>
            <w:tcW w:w="4644" w:type="dxa"/>
            <w:tcBorders>
              <w:top w:val="single" w:sz="2" w:space="0" w:color="1F4E79" w:themeColor="accent1" w:themeShade="80"/>
              <w:bottom w:val="single" w:sz="2" w:space="0" w:color="1F4E79" w:themeColor="accent1" w:themeShade="80"/>
            </w:tcBorders>
          </w:tcPr>
          <w:p w14:paraId="2DFE3C6A" w14:textId="77777777" w:rsidR="008B7E19" w:rsidRPr="00E00C9B" w:rsidRDefault="008B7E19" w:rsidP="008B7E19">
            <w:pPr>
              <w:pStyle w:val="08-Tabelageral"/>
              <w:jc w:val="left"/>
              <w:rPr>
                <w:rFonts w:cs="Arial"/>
                <w:b/>
                <w:bCs/>
                <w:szCs w:val="14"/>
              </w:rPr>
            </w:pPr>
          </w:p>
        </w:tc>
        <w:tc>
          <w:tcPr>
            <w:tcW w:w="1548" w:type="dxa"/>
            <w:tcBorders>
              <w:top w:val="single" w:sz="2" w:space="0" w:color="1F4E79" w:themeColor="accent1" w:themeShade="80"/>
              <w:bottom w:val="single" w:sz="2" w:space="0" w:color="1F4E79" w:themeColor="accent1" w:themeShade="80"/>
            </w:tcBorders>
          </w:tcPr>
          <w:p w14:paraId="0D606BE1" w14:textId="77777777" w:rsidR="008B7E19" w:rsidRPr="00C80F9A" w:rsidRDefault="008B7E19" w:rsidP="008B7E19">
            <w:pPr>
              <w:pStyle w:val="08-Tabelageral"/>
              <w:rPr>
                <w:rFonts w:cs="Arial"/>
                <w:b/>
                <w:bCs/>
                <w:szCs w:val="14"/>
              </w:rPr>
            </w:pPr>
          </w:p>
        </w:tc>
        <w:tc>
          <w:tcPr>
            <w:tcW w:w="1831" w:type="dxa"/>
            <w:tcBorders>
              <w:top w:val="single" w:sz="2" w:space="0" w:color="1F4E79" w:themeColor="accent1" w:themeShade="80"/>
              <w:bottom w:val="single" w:sz="2" w:space="0" w:color="1F4E79" w:themeColor="accent1" w:themeShade="80"/>
            </w:tcBorders>
          </w:tcPr>
          <w:p w14:paraId="47174126" w14:textId="77777777" w:rsidR="008B7E19" w:rsidRPr="00C80F9A" w:rsidRDefault="008B7E19" w:rsidP="008B7E19">
            <w:pPr>
              <w:pStyle w:val="08-Tabelageral"/>
              <w:rPr>
                <w:rFonts w:cs="Arial"/>
                <w:b/>
                <w:bCs/>
                <w:szCs w:val="14"/>
              </w:rPr>
            </w:pPr>
            <w:r w:rsidRPr="003E392D">
              <w:rPr>
                <w:rFonts w:cs="Arial"/>
                <w:b/>
                <w:bCs/>
                <w:szCs w:val="14"/>
              </w:rPr>
              <w:t>1</w:t>
            </w:r>
            <w:r w:rsidRPr="003E392D">
              <w:rPr>
                <w:rFonts w:cs="Arial"/>
                <w:b/>
                <w:bCs/>
                <w:szCs w:val="14"/>
                <w:vertAlign w:val="superscript"/>
              </w:rPr>
              <w:t>st</w:t>
            </w:r>
            <w:r w:rsidRPr="003E392D">
              <w:rPr>
                <w:rFonts w:cs="Arial"/>
                <w:b/>
                <w:bCs/>
                <w:szCs w:val="14"/>
              </w:rPr>
              <w:t xml:space="preserve"> Half 202</w:t>
            </w:r>
            <w:r>
              <w:rPr>
                <w:rFonts w:cs="Arial"/>
                <w:b/>
                <w:bCs/>
                <w:szCs w:val="14"/>
              </w:rPr>
              <w:t>2</w:t>
            </w:r>
          </w:p>
        </w:tc>
        <w:tc>
          <w:tcPr>
            <w:tcW w:w="1831" w:type="dxa"/>
            <w:tcBorders>
              <w:top w:val="single" w:sz="2" w:space="0" w:color="1F4E79" w:themeColor="accent1" w:themeShade="80"/>
              <w:bottom w:val="single" w:sz="2" w:space="0" w:color="1F4E79" w:themeColor="accent1" w:themeShade="80"/>
            </w:tcBorders>
          </w:tcPr>
          <w:p w14:paraId="622B214D" w14:textId="77777777" w:rsidR="008B7E19" w:rsidRPr="00C80F9A" w:rsidRDefault="008B7E19" w:rsidP="008B7E19">
            <w:pPr>
              <w:pStyle w:val="08-Tabelageral"/>
              <w:rPr>
                <w:rFonts w:cs="Arial"/>
                <w:b/>
                <w:bCs/>
                <w:szCs w:val="14"/>
              </w:rPr>
            </w:pPr>
          </w:p>
        </w:tc>
      </w:tr>
      <w:tr w:rsidR="008B7E19" w:rsidRPr="00C80F9A" w14:paraId="4EDA612B" w14:textId="77777777" w:rsidTr="008875E7">
        <w:trPr>
          <w:trHeight w:val="238"/>
          <w:jc w:val="center"/>
        </w:trPr>
        <w:tc>
          <w:tcPr>
            <w:tcW w:w="4644" w:type="dxa"/>
            <w:tcBorders>
              <w:top w:val="single" w:sz="2" w:space="0" w:color="1F4E79" w:themeColor="accent1" w:themeShade="80"/>
              <w:bottom w:val="single" w:sz="2" w:space="0" w:color="1F4E79" w:themeColor="accent1" w:themeShade="80"/>
            </w:tcBorders>
          </w:tcPr>
          <w:p w14:paraId="1BDFBE24" w14:textId="77777777" w:rsidR="008B7E19" w:rsidRPr="00E00C9B" w:rsidRDefault="008B7E19" w:rsidP="008B7E19">
            <w:pPr>
              <w:pStyle w:val="08-Tabelageral"/>
              <w:jc w:val="left"/>
              <w:rPr>
                <w:rFonts w:cs="Arial"/>
                <w:b/>
                <w:bCs/>
                <w:szCs w:val="14"/>
              </w:rPr>
            </w:pPr>
          </w:p>
        </w:tc>
        <w:tc>
          <w:tcPr>
            <w:tcW w:w="1548" w:type="dxa"/>
            <w:tcBorders>
              <w:top w:val="single" w:sz="2" w:space="0" w:color="1F4E79" w:themeColor="accent1" w:themeShade="80"/>
              <w:bottom w:val="single" w:sz="2" w:space="0" w:color="1F4E79" w:themeColor="accent1" w:themeShade="80"/>
            </w:tcBorders>
          </w:tcPr>
          <w:p w14:paraId="718E3AF3" w14:textId="77777777" w:rsidR="008B7E19" w:rsidRPr="00C80F9A" w:rsidRDefault="008B7E19" w:rsidP="008B7E19">
            <w:pPr>
              <w:pStyle w:val="08-Tabelageral"/>
              <w:rPr>
                <w:rFonts w:cs="Arial"/>
                <w:b/>
                <w:bCs/>
                <w:szCs w:val="14"/>
              </w:rPr>
            </w:pPr>
            <w:r>
              <w:rPr>
                <w:rFonts w:cs="Arial"/>
                <w:b/>
                <w:bCs/>
                <w:szCs w:val="14"/>
              </w:rPr>
              <w:t>Original report</w:t>
            </w:r>
          </w:p>
        </w:tc>
        <w:tc>
          <w:tcPr>
            <w:tcW w:w="1831" w:type="dxa"/>
            <w:tcBorders>
              <w:top w:val="single" w:sz="2" w:space="0" w:color="1F4E79" w:themeColor="accent1" w:themeShade="80"/>
              <w:bottom w:val="single" w:sz="2" w:space="0" w:color="1F4E79" w:themeColor="accent1" w:themeShade="80"/>
            </w:tcBorders>
          </w:tcPr>
          <w:p w14:paraId="78786E3D" w14:textId="77777777" w:rsidR="008B7E19" w:rsidRPr="00C80F9A" w:rsidRDefault="008B7E19" w:rsidP="008B7E19">
            <w:pPr>
              <w:pStyle w:val="08-Tabelageral"/>
              <w:rPr>
                <w:rFonts w:cs="Arial"/>
                <w:b/>
                <w:bCs/>
                <w:szCs w:val="14"/>
              </w:rPr>
            </w:pPr>
            <w:r>
              <w:rPr>
                <w:rFonts w:cs="Arial"/>
                <w:b/>
                <w:bCs/>
                <w:szCs w:val="14"/>
              </w:rPr>
              <w:t>Adjustments</w:t>
            </w:r>
          </w:p>
        </w:tc>
        <w:tc>
          <w:tcPr>
            <w:tcW w:w="1831" w:type="dxa"/>
            <w:tcBorders>
              <w:top w:val="single" w:sz="2" w:space="0" w:color="1F4E79" w:themeColor="accent1" w:themeShade="80"/>
              <w:bottom w:val="single" w:sz="2" w:space="0" w:color="1F4E79" w:themeColor="accent1" w:themeShade="80"/>
            </w:tcBorders>
          </w:tcPr>
          <w:p w14:paraId="3F2A2501" w14:textId="77777777" w:rsidR="008B7E19" w:rsidRPr="00C80F9A" w:rsidRDefault="008B7E19" w:rsidP="008B7E19">
            <w:pPr>
              <w:pStyle w:val="08-Tabelageral"/>
              <w:rPr>
                <w:rFonts w:cs="Arial"/>
                <w:b/>
                <w:bCs/>
                <w:szCs w:val="14"/>
              </w:rPr>
            </w:pPr>
            <w:r>
              <w:rPr>
                <w:rFonts w:cs="Arial"/>
                <w:b/>
                <w:bCs/>
                <w:szCs w:val="14"/>
              </w:rPr>
              <w:t>Restated balances</w:t>
            </w:r>
          </w:p>
        </w:tc>
      </w:tr>
      <w:tr w:rsidR="008B7E19" w:rsidRPr="00E33823" w14:paraId="6895042A" w14:textId="77777777" w:rsidTr="008875E7">
        <w:trPr>
          <w:trHeight w:val="238"/>
          <w:jc w:val="center"/>
        </w:trPr>
        <w:tc>
          <w:tcPr>
            <w:tcW w:w="4644" w:type="dxa"/>
            <w:tcBorders>
              <w:top w:val="single" w:sz="2" w:space="0" w:color="1F4E79" w:themeColor="accent1" w:themeShade="80"/>
            </w:tcBorders>
            <w:shd w:val="clear" w:color="auto" w:fill="auto"/>
          </w:tcPr>
          <w:p w14:paraId="2ACE853D" w14:textId="77777777" w:rsidR="008B7E19" w:rsidRPr="00E33823" w:rsidRDefault="008B7E19" w:rsidP="008B7E19">
            <w:pPr>
              <w:pStyle w:val="08-Tabelageral"/>
              <w:jc w:val="left"/>
              <w:rPr>
                <w:rFonts w:cs="Arial"/>
                <w:b/>
                <w:bCs/>
                <w:szCs w:val="14"/>
              </w:rPr>
            </w:pPr>
            <w:r w:rsidRPr="00E33823">
              <w:rPr>
                <w:b/>
                <w:bCs/>
              </w:rPr>
              <w:t>Net profit</w:t>
            </w:r>
          </w:p>
        </w:tc>
        <w:tc>
          <w:tcPr>
            <w:tcW w:w="1548" w:type="dxa"/>
            <w:tcBorders>
              <w:top w:val="single" w:sz="2" w:space="0" w:color="1F4E79" w:themeColor="accent1" w:themeShade="80"/>
            </w:tcBorders>
            <w:shd w:val="clear" w:color="auto" w:fill="auto"/>
            <w:vAlign w:val="center"/>
          </w:tcPr>
          <w:p w14:paraId="4FDA4E19" w14:textId="77777777" w:rsidR="008B7E19" w:rsidRPr="00E33823" w:rsidRDefault="008B7E19" w:rsidP="008B7E19">
            <w:pPr>
              <w:pStyle w:val="08-Tabelageral"/>
              <w:rPr>
                <w:rFonts w:cs="Arial"/>
                <w:b/>
                <w:bCs/>
                <w:szCs w:val="14"/>
              </w:rPr>
            </w:pPr>
            <w:r w:rsidRPr="00E33823">
              <w:rPr>
                <w:rFonts w:cs="Arial"/>
                <w:b/>
                <w:bCs/>
                <w:szCs w:val="14"/>
              </w:rPr>
              <w:t>2,585,802</w:t>
            </w:r>
          </w:p>
        </w:tc>
        <w:tc>
          <w:tcPr>
            <w:tcW w:w="1831" w:type="dxa"/>
            <w:tcBorders>
              <w:top w:val="single" w:sz="2" w:space="0" w:color="1F4E79" w:themeColor="accent1" w:themeShade="80"/>
            </w:tcBorders>
            <w:shd w:val="clear" w:color="auto" w:fill="auto"/>
            <w:vAlign w:val="center"/>
          </w:tcPr>
          <w:p w14:paraId="04F3063A" w14:textId="77777777" w:rsidR="008B7E19" w:rsidRPr="00E33823" w:rsidRDefault="008B7E19" w:rsidP="008B7E19">
            <w:pPr>
              <w:pStyle w:val="08-Tabelageral"/>
              <w:rPr>
                <w:rFonts w:cs="Arial"/>
                <w:b/>
                <w:bCs/>
                <w:szCs w:val="14"/>
              </w:rPr>
            </w:pPr>
            <w:r w:rsidRPr="00E33823">
              <w:rPr>
                <w:rFonts w:cs="Arial"/>
                <w:b/>
                <w:bCs/>
                <w:szCs w:val="14"/>
              </w:rPr>
              <w:t>127,442</w:t>
            </w:r>
          </w:p>
        </w:tc>
        <w:tc>
          <w:tcPr>
            <w:tcW w:w="1831" w:type="dxa"/>
            <w:tcBorders>
              <w:top w:val="single" w:sz="2" w:space="0" w:color="1F4E79" w:themeColor="accent1" w:themeShade="80"/>
            </w:tcBorders>
            <w:shd w:val="clear" w:color="auto" w:fill="auto"/>
            <w:vAlign w:val="center"/>
          </w:tcPr>
          <w:p w14:paraId="7A429D2F" w14:textId="77777777" w:rsidR="008B7E19" w:rsidRPr="00E33823" w:rsidRDefault="008B7E19" w:rsidP="008B7E19">
            <w:pPr>
              <w:pStyle w:val="08-Tabelageral"/>
              <w:rPr>
                <w:rFonts w:cs="Arial"/>
                <w:b/>
                <w:bCs/>
                <w:szCs w:val="14"/>
              </w:rPr>
            </w:pPr>
            <w:r w:rsidRPr="00E33823">
              <w:rPr>
                <w:rFonts w:cs="Arial"/>
                <w:b/>
                <w:bCs/>
                <w:szCs w:val="14"/>
              </w:rPr>
              <w:t>2,713,244</w:t>
            </w:r>
          </w:p>
        </w:tc>
      </w:tr>
      <w:tr w:rsidR="008B7E19" w:rsidRPr="004A53AE" w14:paraId="2BA3ADDA" w14:textId="77777777" w:rsidTr="008875E7">
        <w:trPr>
          <w:trHeight w:val="238"/>
          <w:jc w:val="center"/>
        </w:trPr>
        <w:tc>
          <w:tcPr>
            <w:tcW w:w="4644" w:type="dxa"/>
            <w:shd w:val="clear" w:color="auto" w:fill="auto"/>
            <w:vAlign w:val="center"/>
          </w:tcPr>
          <w:p w14:paraId="37CDB545" w14:textId="77777777" w:rsidR="008B7E19" w:rsidRPr="004A53AE" w:rsidRDefault="008B7E19" w:rsidP="008B7E19">
            <w:pPr>
              <w:pStyle w:val="08-Tabelageral"/>
              <w:ind w:left="113"/>
              <w:jc w:val="left"/>
              <w:rPr>
                <w:rFonts w:cs="Arial"/>
                <w:b/>
                <w:bCs/>
                <w:szCs w:val="14"/>
              </w:rPr>
            </w:pPr>
            <w:r w:rsidRPr="004A53AE">
              <w:t>Equity income</w:t>
            </w:r>
          </w:p>
        </w:tc>
        <w:tc>
          <w:tcPr>
            <w:tcW w:w="1548" w:type="dxa"/>
            <w:shd w:val="clear" w:color="auto" w:fill="auto"/>
            <w:vAlign w:val="center"/>
          </w:tcPr>
          <w:p w14:paraId="69AFF520" w14:textId="77777777" w:rsidR="008B7E19" w:rsidRPr="004A53AE" w:rsidRDefault="008B7E19" w:rsidP="008B7E19">
            <w:pPr>
              <w:pStyle w:val="08-Tabelageral"/>
              <w:rPr>
                <w:rFonts w:cs="Arial"/>
                <w:b/>
                <w:bCs/>
                <w:szCs w:val="14"/>
              </w:rPr>
            </w:pPr>
            <w:r w:rsidRPr="00265E5E">
              <w:rPr>
                <w:rFonts w:cs="Arial"/>
                <w:szCs w:val="14"/>
              </w:rPr>
              <w:t>(1</w:t>
            </w:r>
            <w:r>
              <w:rPr>
                <w:rFonts w:cs="Arial"/>
                <w:szCs w:val="14"/>
              </w:rPr>
              <w:t>,</w:t>
            </w:r>
            <w:r w:rsidRPr="00265E5E">
              <w:rPr>
                <w:rFonts w:cs="Arial"/>
                <w:szCs w:val="14"/>
              </w:rPr>
              <w:t>372</w:t>
            </w:r>
            <w:r>
              <w:rPr>
                <w:rFonts w:cs="Arial"/>
                <w:szCs w:val="14"/>
              </w:rPr>
              <w:t>,</w:t>
            </w:r>
            <w:r w:rsidRPr="00265E5E">
              <w:rPr>
                <w:rFonts w:cs="Arial"/>
                <w:szCs w:val="14"/>
              </w:rPr>
              <w:t>666)</w:t>
            </w:r>
          </w:p>
        </w:tc>
        <w:tc>
          <w:tcPr>
            <w:tcW w:w="1831" w:type="dxa"/>
            <w:shd w:val="clear" w:color="auto" w:fill="auto"/>
            <w:vAlign w:val="center"/>
          </w:tcPr>
          <w:p w14:paraId="1E5BBD65" w14:textId="77777777" w:rsidR="008B7E19" w:rsidRPr="004A53AE" w:rsidRDefault="008B7E19" w:rsidP="008B7E19">
            <w:pPr>
              <w:pStyle w:val="08-Tabelageral"/>
              <w:rPr>
                <w:rFonts w:cs="Arial"/>
                <w:b/>
                <w:bCs/>
                <w:szCs w:val="14"/>
              </w:rPr>
            </w:pPr>
            <w:r w:rsidRPr="00265E5E">
              <w:rPr>
                <w:rFonts w:cs="Arial"/>
                <w:szCs w:val="14"/>
              </w:rPr>
              <w:t>(127</w:t>
            </w:r>
            <w:r>
              <w:rPr>
                <w:rFonts w:cs="Arial"/>
                <w:szCs w:val="14"/>
              </w:rPr>
              <w:t>,</w:t>
            </w:r>
            <w:r w:rsidRPr="00265E5E">
              <w:rPr>
                <w:rFonts w:cs="Arial"/>
                <w:szCs w:val="14"/>
              </w:rPr>
              <w:t>442)</w:t>
            </w:r>
          </w:p>
        </w:tc>
        <w:tc>
          <w:tcPr>
            <w:tcW w:w="1831" w:type="dxa"/>
            <w:shd w:val="clear" w:color="auto" w:fill="auto"/>
            <w:vAlign w:val="center"/>
          </w:tcPr>
          <w:p w14:paraId="407D8D54" w14:textId="77777777" w:rsidR="008B7E19" w:rsidRPr="004A53AE" w:rsidRDefault="008B7E19" w:rsidP="008B7E19">
            <w:pPr>
              <w:pStyle w:val="08-Tabelageral"/>
              <w:rPr>
                <w:rFonts w:cs="Arial"/>
                <w:b/>
                <w:bCs/>
                <w:szCs w:val="14"/>
              </w:rPr>
            </w:pPr>
            <w:r w:rsidRPr="00265E5E">
              <w:rPr>
                <w:rFonts w:cs="Arial"/>
                <w:szCs w:val="14"/>
              </w:rPr>
              <w:t>(1</w:t>
            </w:r>
            <w:r>
              <w:rPr>
                <w:rFonts w:cs="Arial"/>
                <w:szCs w:val="14"/>
              </w:rPr>
              <w:t>,</w:t>
            </w:r>
            <w:r w:rsidRPr="00265E5E">
              <w:rPr>
                <w:rFonts w:cs="Arial"/>
                <w:szCs w:val="14"/>
              </w:rPr>
              <w:t>500</w:t>
            </w:r>
            <w:r>
              <w:rPr>
                <w:rFonts w:cs="Arial"/>
                <w:szCs w:val="14"/>
              </w:rPr>
              <w:t>,</w:t>
            </w:r>
            <w:r w:rsidRPr="00265E5E">
              <w:rPr>
                <w:rFonts w:cs="Arial"/>
                <w:szCs w:val="14"/>
              </w:rPr>
              <w:t>108)</w:t>
            </w:r>
          </w:p>
        </w:tc>
      </w:tr>
      <w:tr w:rsidR="008B7E19" w:rsidRPr="00E33823" w14:paraId="231040A4" w14:textId="77777777" w:rsidTr="008875E7">
        <w:trPr>
          <w:trHeight w:val="238"/>
          <w:jc w:val="center"/>
        </w:trPr>
        <w:tc>
          <w:tcPr>
            <w:tcW w:w="4644" w:type="dxa"/>
            <w:shd w:val="clear" w:color="auto" w:fill="auto"/>
          </w:tcPr>
          <w:p w14:paraId="415151F9" w14:textId="77777777" w:rsidR="008B7E19" w:rsidRPr="00E33823" w:rsidRDefault="008B7E19" w:rsidP="008B7E19">
            <w:pPr>
              <w:pStyle w:val="08-Tabelageral"/>
              <w:jc w:val="left"/>
              <w:rPr>
                <w:rFonts w:cs="Arial"/>
                <w:b/>
                <w:bCs/>
                <w:szCs w:val="14"/>
              </w:rPr>
            </w:pPr>
            <w:r w:rsidRPr="00E33823">
              <w:rPr>
                <w:rFonts w:cs="Arial"/>
                <w:b/>
                <w:bCs/>
                <w:szCs w:val="14"/>
              </w:rPr>
              <w:t>Adjustment to net profit</w:t>
            </w:r>
          </w:p>
        </w:tc>
        <w:tc>
          <w:tcPr>
            <w:tcW w:w="1548" w:type="dxa"/>
            <w:shd w:val="clear" w:color="auto" w:fill="auto"/>
            <w:vAlign w:val="center"/>
          </w:tcPr>
          <w:p w14:paraId="67C285C3" w14:textId="77777777" w:rsidR="008B7E19" w:rsidRPr="00E33823" w:rsidRDefault="008B7E19" w:rsidP="008B7E19">
            <w:pPr>
              <w:pStyle w:val="08-Tabelageral"/>
              <w:rPr>
                <w:rFonts w:cs="Arial"/>
                <w:b/>
                <w:bCs/>
                <w:szCs w:val="14"/>
              </w:rPr>
            </w:pPr>
            <w:r w:rsidRPr="00E33823">
              <w:rPr>
                <w:rFonts w:cs="Arial"/>
                <w:b/>
                <w:bCs/>
                <w:szCs w:val="14"/>
              </w:rPr>
              <w:t>1,240,304</w:t>
            </w:r>
          </w:p>
        </w:tc>
        <w:tc>
          <w:tcPr>
            <w:tcW w:w="1831" w:type="dxa"/>
            <w:shd w:val="clear" w:color="auto" w:fill="auto"/>
            <w:vAlign w:val="center"/>
          </w:tcPr>
          <w:p w14:paraId="2C926E8C" w14:textId="77777777" w:rsidR="008B7E19" w:rsidRPr="00E33823" w:rsidRDefault="008B7E19" w:rsidP="008B7E19">
            <w:pPr>
              <w:pStyle w:val="08-Tabelageral"/>
              <w:rPr>
                <w:rFonts w:cs="Arial"/>
                <w:b/>
                <w:bCs/>
                <w:szCs w:val="14"/>
              </w:rPr>
            </w:pPr>
            <w:r w:rsidRPr="00E33823">
              <w:rPr>
                <w:rFonts w:cs="Arial"/>
                <w:b/>
                <w:bCs/>
                <w:szCs w:val="14"/>
              </w:rPr>
              <w:t>--</w:t>
            </w:r>
          </w:p>
        </w:tc>
        <w:tc>
          <w:tcPr>
            <w:tcW w:w="1831" w:type="dxa"/>
            <w:shd w:val="clear" w:color="auto" w:fill="auto"/>
            <w:vAlign w:val="center"/>
          </w:tcPr>
          <w:p w14:paraId="08A7A922" w14:textId="77777777" w:rsidR="008B7E19" w:rsidRPr="00E33823" w:rsidRDefault="008B7E19" w:rsidP="008B7E19">
            <w:pPr>
              <w:pStyle w:val="08-Tabelageral"/>
              <w:rPr>
                <w:rFonts w:cs="Arial"/>
                <w:b/>
                <w:bCs/>
                <w:szCs w:val="14"/>
              </w:rPr>
            </w:pPr>
            <w:r w:rsidRPr="00E33823">
              <w:rPr>
                <w:rFonts w:cs="Arial"/>
                <w:b/>
                <w:bCs/>
                <w:szCs w:val="14"/>
              </w:rPr>
              <w:t>1,240,304</w:t>
            </w:r>
          </w:p>
        </w:tc>
      </w:tr>
      <w:tr w:rsidR="008B7E19" w:rsidRPr="00C80F9A" w14:paraId="6795FE87" w14:textId="77777777" w:rsidTr="008875E7">
        <w:trPr>
          <w:trHeight w:val="238"/>
          <w:jc w:val="center"/>
        </w:trPr>
        <w:tc>
          <w:tcPr>
            <w:tcW w:w="4644" w:type="dxa"/>
          </w:tcPr>
          <w:p w14:paraId="418C8B66" w14:textId="77777777" w:rsidR="008B7E19" w:rsidRPr="006C4325" w:rsidRDefault="008B7E19" w:rsidP="008B7E19">
            <w:pPr>
              <w:pStyle w:val="08-Tabelageral"/>
              <w:ind w:left="113"/>
              <w:jc w:val="left"/>
              <w:rPr>
                <w:rFonts w:cs="Arial"/>
                <w:szCs w:val="14"/>
                <w:lang w:val="en-US"/>
              </w:rPr>
            </w:pPr>
            <w:r w:rsidRPr="00311D15">
              <w:rPr>
                <w:rFonts w:cs="Arial"/>
                <w:szCs w:val="14"/>
                <w:lang w:val="en-US"/>
              </w:rPr>
              <w:t>Cash provided by operating activities</w:t>
            </w:r>
          </w:p>
        </w:tc>
        <w:tc>
          <w:tcPr>
            <w:tcW w:w="1548" w:type="dxa"/>
            <w:vAlign w:val="center"/>
          </w:tcPr>
          <w:p w14:paraId="47CCAE42" w14:textId="77777777" w:rsidR="008B7E19" w:rsidRPr="004B4808" w:rsidRDefault="008B7E19" w:rsidP="008B7E19">
            <w:pPr>
              <w:pStyle w:val="08-Tabelageral"/>
              <w:rPr>
                <w:rFonts w:cs="Arial"/>
                <w:b/>
                <w:bCs/>
                <w:color w:val="000000"/>
                <w:szCs w:val="14"/>
              </w:rPr>
            </w:pPr>
            <w:r w:rsidRPr="00265E5E">
              <w:rPr>
                <w:rFonts w:cs="Arial"/>
                <w:szCs w:val="14"/>
              </w:rPr>
              <w:t>1</w:t>
            </w:r>
            <w:r>
              <w:rPr>
                <w:rFonts w:cs="Arial"/>
                <w:szCs w:val="14"/>
              </w:rPr>
              <w:t>,</w:t>
            </w:r>
            <w:r w:rsidRPr="00265E5E">
              <w:rPr>
                <w:rFonts w:cs="Arial"/>
                <w:szCs w:val="14"/>
              </w:rPr>
              <w:t>214</w:t>
            </w:r>
            <w:r>
              <w:rPr>
                <w:rFonts w:cs="Arial"/>
                <w:szCs w:val="14"/>
              </w:rPr>
              <w:t>,</w:t>
            </w:r>
            <w:r w:rsidRPr="00265E5E">
              <w:rPr>
                <w:rFonts w:cs="Arial"/>
                <w:szCs w:val="14"/>
              </w:rPr>
              <w:t>709</w:t>
            </w:r>
          </w:p>
        </w:tc>
        <w:tc>
          <w:tcPr>
            <w:tcW w:w="1831" w:type="dxa"/>
            <w:vAlign w:val="center"/>
          </w:tcPr>
          <w:p w14:paraId="1245EA87" w14:textId="77777777" w:rsidR="008B7E19" w:rsidRDefault="008B7E19" w:rsidP="008B7E19">
            <w:pPr>
              <w:pStyle w:val="08-Tabelageral"/>
              <w:rPr>
                <w:rFonts w:cs="Arial"/>
                <w:b/>
                <w:bCs/>
                <w:szCs w:val="14"/>
              </w:rPr>
            </w:pPr>
            <w:r>
              <w:rPr>
                <w:rFonts w:cs="Arial"/>
                <w:szCs w:val="14"/>
              </w:rPr>
              <w:t>--</w:t>
            </w:r>
          </w:p>
        </w:tc>
        <w:tc>
          <w:tcPr>
            <w:tcW w:w="1831" w:type="dxa"/>
            <w:vAlign w:val="center"/>
          </w:tcPr>
          <w:p w14:paraId="1F42FAA3" w14:textId="77777777" w:rsidR="008B7E19" w:rsidRPr="004B4808" w:rsidRDefault="008B7E19" w:rsidP="008B7E19">
            <w:pPr>
              <w:pStyle w:val="08-Tabelageral"/>
              <w:rPr>
                <w:rFonts w:cs="Arial"/>
                <w:b/>
                <w:bCs/>
                <w:color w:val="000000"/>
                <w:szCs w:val="14"/>
              </w:rPr>
            </w:pPr>
            <w:r w:rsidRPr="00265E5E">
              <w:rPr>
                <w:rFonts w:cs="Arial"/>
                <w:szCs w:val="14"/>
              </w:rPr>
              <w:t>1</w:t>
            </w:r>
            <w:r>
              <w:rPr>
                <w:rFonts w:cs="Arial"/>
                <w:szCs w:val="14"/>
              </w:rPr>
              <w:t>,</w:t>
            </w:r>
            <w:r w:rsidRPr="00265E5E">
              <w:rPr>
                <w:rFonts w:cs="Arial"/>
                <w:szCs w:val="14"/>
              </w:rPr>
              <w:t>214</w:t>
            </w:r>
            <w:r>
              <w:rPr>
                <w:rFonts w:cs="Arial"/>
                <w:szCs w:val="14"/>
              </w:rPr>
              <w:t>,</w:t>
            </w:r>
            <w:r w:rsidRPr="00265E5E">
              <w:rPr>
                <w:rFonts w:cs="Arial"/>
                <w:szCs w:val="14"/>
              </w:rPr>
              <w:t>709</w:t>
            </w:r>
          </w:p>
        </w:tc>
      </w:tr>
      <w:tr w:rsidR="008B7E19" w:rsidRPr="00C80F9A" w14:paraId="77FAD140" w14:textId="77777777" w:rsidTr="008875E7">
        <w:trPr>
          <w:trHeight w:val="238"/>
          <w:jc w:val="center"/>
        </w:trPr>
        <w:tc>
          <w:tcPr>
            <w:tcW w:w="4644" w:type="dxa"/>
          </w:tcPr>
          <w:p w14:paraId="00526D8B" w14:textId="77777777" w:rsidR="008B7E19" w:rsidRPr="006C4325" w:rsidRDefault="008B7E19" w:rsidP="008B7E19">
            <w:pPr>
              <w:pStyle w:val="08-Tabelageral"/>
              <w:ind w:left="113"/>
              <w:jc w:val="left"/>
              <w:rPr>
                <w:rFonts w:cs="Arial"/>
                <w:szCs w:val="14"/>
                <w:lang w:val="en-US"/>
              </w:rPr>
            </w:pPr>
            <w:r w:rsidRPr="00311D15">
              <w:rPr>
                <w:rFonts w:cs="Arial"/>
                <w:szCs w:val="14"/>
                <w:lang w:val="en-US"/>
              </w:rPr>
              <w:t>Cash provided by investment activities</w:t>
            </w:r>
          </w:p>
        </w:tc>
        <w:tc>
          <w:tcPr>
            <w:tcW w:w="1548" w:type="dxa"/>
            <w:vAlign w:val="center"/>
          </w:tcPr>
          <w:p w14:paraId="75412191" w14:textId="77777777" w:rsidR="008B7E19" w:rsidRPr="004B4808" w:rsidRDefault="008B7E19" w:rsidP="008B7E19">
            <w:pPr>
              <w:pStyle w:val="08-Tabelageral"/>
              <w:rPr>
                <w:rFonts w:cs="Arial"/>
                <w:b/>
                <w:bCs/>
                <w:color w:val="000000"/>
                <w:szCs w:val="14"/>
              </w:rPr>
            </w:pPr>
            <w:r w:rsidRPr="00265E5E">
              <w:rPr>
                <w:rFonts w:cs="Arial"/>
                <w:szCs w:val="14"/>
              </w:rPr>
              <w:t>574</w:t>
            </w:r>
            <w:r>
              <w:rPr>
                <w:rFonts w:cs="Arial"/>
                <w:szCs w:val="14"/>
              </w:rPr>
              <w:t>,</w:t>
            </w:r>
            <w:r w:rsidRPr="00265E5E">
              <w:rPr>
                <w:rFonts w:cs="Arial"/>
                <w:szCs w:val="14"/>
              </w:rPr>
              <w:t>997</w:t>
            </w:r>
          </w:p>
        </w:tc>
        <w:tc>
          <w:tcPr>
            <w:tcW w:w="1831" w:type="dxa"/>
            <w:vAlign w:val="center"/>
          </w:tcPr>
          <w:p w14:paraId="5EB1C118" w14:textId="77777777" w:rsidR="008B7E19" w:rsidRDefault="008B7E19" w:rsidP="008B7E19">
            <w:pPr>
              <w:pStyle w:val="08-Tabelageral"/>
              <w:rPr>
                <w:rFonts w:cs="Arial"/>
                <w:b/>
                <w:bCs/>
                <w:szCs w:val="14"/>
              </w:rPr>
            </w:pPr>
            <w:r>
              <w:rPr>
                <w:rFonts w:cs="Arial"/>
                <w:szCs w:val="14"/>
              </w:rPr>
              <w:t>--</w:t>
            </w:r>
          </w:p>
        </w:tc>
        <w:tc>
          <w:tcPr>
            <w:tcW w:w="1831" w:type="dxa"/>
            <w:vAlign w:val="center"/>
          </w:tcPr>
          <w:p w14:paraId="6449A2E3" w14:textId="77777777" w:rsidR="008B7E19" w:rsidRPr="004B4808" w:rsidRDefault="008B7E19" w:rsidP="008B7E19">
            <w:pPr>
              <w:pStyle w:val="08-Tabelageral"/>
              <w:rPr>
                <w:rFonts w:cs="Arial"/>
                <w:b/>
                <w:bCs/>
                <w:color w:val="000000"/>
                <w:szCs w:val="14"/>
              </w:rPr>
            </w:pPr>
            <w:r w:rsidRPr="00265E5E">
              <w:rPr>
                <w:rFonts w:cs="Arial"/>
                <w:szCs w:val="14"/>
              </w:rPr>
              <w:t>574</w:t>
            </w:r>
            <w:r>
              <w:rPr>
                <w:rFonts w:cs="Arial"/>
                <w:szCs w:val="14"/>
              </w:rPr>
              <w:t>,</w:t>
            </w:r>
            <w:r w:rsidRPr="00265E5E">
              <w:rPr>
                <w:rFonts w:cs="Arial"/>
                <w:szCs w:val="14"/>
              </w:rPr>
              <w:t>997</w:t>
            </w:r>
          </w:p>
        </w:tc>
      </w:tr>
      <w:tr w:rsidR="008B7E19" w:rsidRPr="00C80F9A" w14:paraId="416D9F27" w14:textId="77777777" w:rsidTr="008875E7">
        <w:trPr>
          <w:trHeight w:val="238"/>
          <w:jc w:val="center"/>
        </w:trPr>
        <w:tc>
          <w:tcPr>
            <w:tcW w:w="4644" w:type="dxa"/>
          </w:tcPr>
          <w:p w14:paraId="6C3A8EF1" w14:textId="77777777" w:rsidR="008B7E19" w:rsidRPr="006C4325" w:rsidRDefault="008B7E19" w:rsidP="008B7E19">
            <w:pPr>
              <w:pStyle w:val="08-Tabelageral"/>
              <w:ind w:left="113"/>
              <w:jc w:val="left"/>
              <w:rPr>
                <w:rFonts w:cs="Arial"/>
                <w:szCs w:val="14"/>
                <w:lang w:val="en-US"/>
              </w:rPr>
            </w:pPr>
            <w:r w:rsidRPr="006C4325">
              <w:rPr>
                <w:rFonts w:cs="Arial"/>
                <w:szCs w:val="14"/>
                <w:lang w:val="en-US"/>
              </w:rPr>
              <w:t>Cash flow provided by financing activities</w:t>
            </w:r>
          </w:p>
        </w:tc>
        <w:tc>
          <w:tcPr>
            <w:tcW w:w="1548" w:type="dxa"/>
            <w:vAlign w:val="center"/>
          </w:tcPr>
          <w:p w14:paraId="1D8A95C9" w14:textId="77777777" w:rsidR="008B7E19" w:rsidRPr="004B4808" w:rsidRDefault="008B7E19" w:rsidP="008B7E19">
            <w:pPr>
              <w:pStyle w:val="08-Tabelageral"/>
              <w:rPr>
                <w:rFonts w:cs="Arial"/>
                <w:b/>
                <w:bCs/>
                <w:color w:val="000000"/>
                <w:szCs w:val="14"/>
              </w:rPr>
            </w:pPr>
            <w:r w:rsidRPr="00265E5E">
              <w:rPr>
                <w:rFonts w:cs="Arial"/>
                <w:szCs w:val="14"/>
              </w:rPr>
              <w:t>(1</w:t>
            </w:r>
            <w:r>
              <w:rPr>
                <w:rFonts w:cs="Arial"/>
                <w:szCs w:val="14"/>
              </w:rPr>
              <w:t>,</w:t>
            </w:r>
            <w:r w:rsidRPr="00265E5E">
              <w:rPr>
                <w:rFonts w:cs="Arial"/>
                <w:szCs w:val="14"/>
              </w:rPr>
              <w:t>857</w:t>
            </w:r>
            <w:r>
              <w:rPr>
                <w:rFonts w:cs="Arial"/>
                <w:szCs w:val="14"/>
              </w:rPr>
              <w:t>,</w:t>
            </w:r>
            <w:r w:rsidRPr="00265E5E">
              <w:rPr>
                <w:rFonts w:cs="Arial"/>
                <w:szCs w:val="14"/>
              </w:rPr>
              <w:t>029)</w:t>
            </w:r>
          </w:p>
        </w:tc>
        <w:tc>
          <w:tcPr>
            <w:tcW w:w="1831" w:type="dxa"/>
            <w:vAlign w:val="center"/>
          </w:tcPr>
          <w:p w14:paraId="68A0F897" w14:textId="77777777" w:rsidR="008B7E19" w:rsidRDefault="008B7E19" w:rsidP="008B7E19">
            <w:pPr>
              <w:pStyle w:val="08-Tabelageral"/>
              <w:rPr>
                <w:rFonts w:cs="Arial"/>
                <w:b/>
                <w:bCs/>
                <w:szCs w:val="14"/>
              </w:rPr>
            </w:pPr>
            <w:r>
              <w:rPr>
                <w:rFonts w:cs="Arial"/>
                <w:szCs w:val="14"/>
              </w:rPr>
              <w:t>--</w:t>
            </w:r>
          </w:p>
        </w:tc>
        <w:tc>
          <w:tcPr>
            <w:tcW w:w="1831" w:type="dxa"/>
            <w:vAlign w:val="center"/>
          </w:tcPr>
          <w:p w14:paraId="026D9805" w14:textId="77777777" w:rsidR="008B7E19" w:rsidRPr="004B4808" w:rsidRDefault="008B7E19" w:rsidP="008B7E19">
            <w:pPr>
              <w:pStyle w:val="08-Tabelageral"/>
              <w:rPr>
                <w:rFonts w:cs="Arial"/>
                <w:b/>
                <w:bCs/>
                <w:color w:val="000000"/>
                <w:szCs w:val="14"/>
              </w:rPr>
            </w:pPr>
            <w:r w:rsidRPr="00265E5E">
              <w:rPr>
                <w:rFonts w:cs="Arial"/>
                <w:szCs w:val="14"/>
              </w:rPr>
              <w:t>(1</w:t>
            </w:r>
            <w:r>
              <w:rPr>
                <w:rFonts w:cs="Arial"/>
                <w:szCs w:val="14"/>
              </w:rPr>
              <w:t>,</w:t>
            </w:r>
            <w:r w:rsidRPr="00265E5E">
              <w:rPr>
                <w:rFonts w:cs="Arial"/>
                <w:szCs w:val="14"/>
              </w:rPr>
              <w:t>857</w:t>
            </w:r>
            <w:r>
              <w:rPr>
                <w:rFonts w:cs="Arial"/>
                <w:szCs w:val="14"/>
              </w:rPr>
              <w:t>,</w:t>
            </w:r>
            <w:r w:rsidRPr="00265E5E">
              <w:rPr>
                <w:rFonts w:cs="Arial"/>
                <w:szCs w:val="14"/>
              </w:rPr>
              <w:t>029)</w:t>
            </w:r>
          </w:p>
        </w:tc>
      </w:tr>
      <w:tr w:rsidR="008B7E19" w:rsidRPr="00E33823" w14:paraId="157674D9" w14:textId="77777777" w:rsidTr="008875E7">
        <w:trPr>
          <w:trHeight w:val="238"/>
          <w:jc w:val="center"/>
        </w:trPr>
        <w:tc>
          <w:tcPr>
            <w:tcW w:w="4644" w:type="dxa"/>
            <w:tcBorders>
              <w:bottom w:val="single" w:sz="2" w:space="0" w:color="1F4E79" w:themeColor="accent1" w:themeShade="80"/>
            </w:tcBorders>
            <w:vAlign w:val="center"/>
          </w:tcPr>
          <w:p w14:paraId="257F82DF" w14:textId="77777777" w:rsidR="008B7E19" w:rsidRPr="00E33823" w:rsidRDefault="008B7E19" w:rsidP="008B7E19">
            <w:pPr>
              <w:pStyle w:val="08-Tabelageral"/>
              <w:jc w:val="left"/>
              <w:rPr>
                <w:rFonts w:cs="Arial"/>
                <w:b/>
                <w:bCs/>
                <w:szCs w:val="14"/>
                <w:lang w:val="en-US"/>
              </w:rPr>
            </w:pPr>
            <w:r w:rsidRPr="00E33823">
              <w:rPr>
                <w:b/>
                <w:bCs/>
                <w:lang w:val="en-US"/>
              </w:rPr>
              <w:t>Increase (decrease) in cash and cash equivalents</w:t>
            </w:r>
          </w:p>
        </w:tc>
        <w:tc>
          <w:tcPr>
            <w:tcW w:w="1548" w:type="dxa"/>
            <w:tcBorders>
              <w:bottom w:val="single" w:sz="2" w:space="0" w:color="1F4E79" w:themeColor="accent1" w:themeShade="80"/>
            </w:tcBorders>
            <w:vAlign w:val="center"/>
          </w:tcPr>
          <w:p w14:paraId="27CC7E7A" w14:textId="77777777" w:rsidR="008B7E19" w:rsidRPr="00E33823" w:rsidRDefault="008B7E19" w:rsidP="008B7E19">
            <w:pPr>
              <w:pStyle w:val="08-Tabelageral"/>
              <w:rPr>
                <w:rFonts w:cs="Arial"/>
                <w:b/>
                <w:bCs/>
                <w:color w:val="000000"/>
                <w:szCs w:val="14"/>
              </w:rPr>
            </w:pPr>
            <w:r w:rsidRPr="00E33823">
              <w:rPr>
                <w:rFonts w:cs="Arial"/>
                <w:b/>
                <w:bCs/>
                <w:szCs w:val="14"/>
              </w:rPr>
              <w:t>(67,323)</w:t>
            </w:r>
          </w:p>
        </w:tc>
        <w:tc>
          <w:tcPr>
            <w:tcW w:w="1831" w:type="dxa"/>
            <w:tcBorders>
              <w:bottom w:val="single" w:sz="2" w:space="0" w:color="1F4E79" w:themeColor="accent1" w:themeShade="80"/>
            </w:tcBorders>
            <w:vAlign w:val="center"/>
          </w:tcPr>
          <w:p w14:paraId="6B1CE383" w14:textId="77777777" w:rsidR="008B7E19" w:rsidRPr="00E33823" w:rsidRDefault="008B7E19" w:rsidP="008B7E19">
            <w:pPr>
              <w:pStyle w:val="08-Tabelageral"/>
              <w:rPr>
                <w:rFonts w:cs="Arial"/>
                <w:b/>
                <w:bCs/>
                <w:szCs w:val="14"/>
              </w:rPr>
            </w:pPr>
            <w:r w:rsidRPr="00E33823">
              <w:rPr>
                <w:rFonts w:cs="Arial"/>
                <w:b/>
                <w:bCs/>
                <w:szCs w:val="14"/>
              </w:rPr>
              <w:t>--</w:t>
            </w:r>
          </w:p>
        </w:tc>
        <w:tc>
          <w:tcPr>
            <w:tcW w:w="1831" w:type="dxa"/>
            <w:tcBorders>
              <w:bottom w:val="single" w:sz="2" w:space="0" w:color="1F4E79" w:themeColor="accent1" w:themeShade="80"/>
            </w:tcBorders>
            <w:vAlign w:val="center"/>
          </w:tcPr>
          <w:p w14:paraId="4E510696" w14:textId="77777777" w:rsidR="008B7E19" w:rsidRPr="00E33823" w:rsidRDefault="008B7E19" w:rsidP="008B7E19">
            <w:pPr>
              <w:pStyle w:val="08-Tabelageral"/>
              <w:rPr>
                <w:rFonts w:cs="Arial"/>
                <w:b/>
                <w:bCs/>
                <w:color w:val="000000"/>
                <w:szCs w:val="14"/>
              </w:rPr>
            </w:pPr>
            <w:r w:rsidRPr="00E33823">
              <w:rPr>
                <w:rFonts w:cs="Arial"/>
                <w:b/>
                <w:bCs/>
                <w:szCs w:val="14"/>
              </w:rPr>
              <w:t>(67,323)</w:t>
            </w:r>
          </w:p>
        </w:tc>
      </w:tr>
    </w:tbl>
    <w:p w14:paraId="7C6D5FD3" w14:textId="77777777" w:rsidR="008B7E19" w:rsidRDefault="008B7E19" w:rsidP="008B7E19">
      <w:pPr>
        <w:pStyle w:val="03-SubttulodeNota"/>
        <w:rPr>
          <w:color w:val="1F4E79" w:themeColor="accent1" w:themeShade="80"/>
        </w:rPr>
      </w:pPr>
    </w:p>
    <w:p w14:paraId="0B022E4C" w14:textId="77777777" w:rsidR="008B7E19" w:rsidRPr="00FC5B71" w:rsidRDefault="008B7E19" w:rsidP="008B7E19">
      <w:pPr>
        <w:pStyle w:val="03-SubttulodeNota"/>
        <w:rPr>
          <w:color w:val="1F4E79" w:themeColor="accent1" w:themeShade="80"/>
          <w:lang w:val="en-US"/>
        </w:rPr>
      </w:pPr>
      <w:r w:rsidRPr="00E33823">
        <w:rPr>
          <w:color w:val="1F4E79" w:themeColor="accent1" w:themeShade="80"/>
          <w:lang w:val="en-US"/>
        </w:rPr>
        <w:t>Statement of Value Added</w:t>
      </w:r>
    </w:p>
    <w:p w14:paraId="6DB6CAD6" w14:textId="77777777" w:rsidR="008B7E19" w:rsidRDefault="008B7E19" w:rsidP="008B7E19">
      <w:pPr>
        <w:spacing w:before="120" w:after="120"/>
        <w:jc w:val="both"/>
        <w:rPr>
          <w:rStyle w:val="rynqvb"/>
          <w:rFonts w:cs="Arial"/>
          <w:szCs w:val="18"/>
          <w:lang w:val="en"/>
        </w:rPr>
      </w:pPr>
      <w:r w:rsidRPr="00426536">
        <w:rPr>
          <w:rStyle w:val="rynqvb"/>
          <w:rFonts w:cs="Arial"/>
          <w:szCs w:val="18"/>
          <w:lang w:val="en"/>
        </w:rPr>
        <w:t xml:space="preserve">To better adapt to the disclosure requirements of Technical Pronouncement CPC 09 - Added Value Statement and to comply with Official Letter No. 105/2022/CVM/SEP/GEA-5, of October 14, 2022, in the </w:t>
      </w:r>
      <w:r w:rsidRPr="00E33823">
        <w:rPr>
          <w:rStyle w:val="rynqvb"/>
          <w:rFonts w:cs="Arial"/>
          <w:szCs w:val="18"/>
          <w:lang w:val="en"/>
        </w:rPr>
        <w:t>1</w:t>
      </w:r>
      <w:r w:rsidRPr="00E33823">
        <w:rPr>
          <w:rStyle w:val="rynqvb"/>
          <w:rFonts w:cs="Arial"/>
          <w:szCs w:val="18"/>
          <w:vertAlign w:val="superscript"/>
          <w:lang w:val="en"/>
        </w:rPr>
        <w:t>st</w:t>
      </w:r>
      <w:r w:rsidRPr="00E33823">
        <w:rPr>
          <w:rStyle w:val="rynqvb"/>
          <w:rFonts w:cs="Arial"/>
          <w:szCs w:val="18"/>
          <w:lang w:val="en"/>
        </w:rPr>
        <w:t xml:space="preserve"> </w:t>
      </w:r>
      <w:r>
        <w:rPr>
          <w:rStyle w:val="rynqvb"/>
          <w:rFonts w:cs="Arial"/>
          <w:szCs w:val="18"/>
          <w:lang w:val="en"/>
        </w:rPr>
        <w:t xml:space="preserve">of </w:t>
      </w:r>
      <w:r w:rsidRPr="00E33823">
        <w:rPr>
          <w:rStyle w:val="rynqvb"/>
          <w:rFonts w:cs="Arial"/>
          <w:szCs w:val="18"/>
          <w:lang w:val="en"/>
        </w:rPr>
        <w:t>Half 2022</w:t>
      </w:r>
      <w:r w:rsidRPr="00426536">
        <w:rPr>
          <w:rStyle w:val="rynqvb"/>
          <w:rFonts w:cs="Arial"/>
          <w:szCs w:val="18"/>
          <w:lang w:val="en"/>
        </w:rPr>
        <w:t>,</w:t>
      </w:r>
      <w:r w:rsidRPr="00426536">
        <w:rPr>
          <w:rStyle w:val="hwtze"/>
          <w:rFonts w:cs="Arial"/>
          <w:szCs w:val="18"/>
          <w:lang w:val="en"/>
        </w:rPr>
        <w:t xml:space="preserve"> </w:t>
      </w:r>
      <w:r w:rsidRPr="00426536">
        <w:rPr>
          <w:rStyle w:val="rynqvb"/>
          <w:rFonts w:cs="Arial"/>
          <w:szCs w:val="18"/>
          <w:lang w:val="en"/>
        </w:rPr>
        <w:t>certain reclassifications were made in the presentation of the Added Value Statement with the corresponding reclassifications for comparison purposes.</w:t>
      </w:r>
      <w:r w:rsidRPr="00426536">
        <w:rPr>
          <w:rStyle w:val="hwtze"/>
          <w:rFonts w:cs="Arial"/>
          <w:szCs w:val="18"/>
          <w:lang w:val="en"/>
        </w:rPr>
        <w:t xml:space="preserve"> </w:t>
      </w:r>
      <w:r w:rsidRPr="00426536">
        <w:rPr>
          <w:rStyle w:val="rynqvb"/>
          <w:rFonts w:cs="Arial"/>
          <w:szCs w:val="18"/>
          <w:lang w:val="en"/>
        </w:rPr>
        <w:t>Additionally, due to the initial adoption of standards CPC 50 [IFRS 17] and CPC 48 [IFRS 9] for operating investees that sell insurance contracts, there were also adjustments in the respective statement of the parent company and consolidated in the Income from equity investments</w:t>
      </w:r>
      <w:r w:rsidRPr="00426536">
        <w:rPr>
          <w:rStyle w:val="hwtze"/>
          <w:rFonts w:cs="Arial"/>
          <w:szCs w:val="18"/>
          <w:lang w:val="en"/>
        </w:rPr>
        <w:t xml:space="preserve"> </w:t>
      </w:r>
      <w:r w:rsidRPr="00426536">
        <w:rPr>
          <w:rStyle w:val="rynqvb"/>
          <w:rFonts w:cs="Arial"/>
          <w:szCs w:val="18"/>
          <w:lang w:val="en"/>
        </w:rPr>
        <w:t>corporate interests and retained earnings in the period.</w:t>
      </w:r>
    </w:p>
    <w:p w14:paraId="18905A8C" w14:textId="77777777" w:rsidR="008B7E19" w:rsidRDefault="008B7E19" w:rsidP="008B7E19">
      <w:pPr>
        <w:spacing w:before="120" w:after="120"/>
        <w:jc w:val="both"/>
        <w:rPr>
          <w:rStyle w:val="rynqvb"/>
          <w:rFonts w:cs="Arial"/>
          <w:szCs w:val="18"/>
          <w:lang w:val="en"/>
        </w:rPr>
      </w:pPr>
      <w:r w:rsidRPr="00426536">
        <w:rPr>
          <w:rStyle w:val="rynqvb"/>
          <w:rFonts w:cs="Arial"/>
          <w:szCs w:val="18"/>
          <w:lang w:val="en"/>
        </w:rPr>
        <w:t xml:space="preserve"> In the controller's statement, new components were opened in the distribution of added value and reclassification of administrative and personnel expenses, as shown below.</w:t>
      </w:r>
    </w:p>
    <w:p w14:paraId="74EE686D" w14:textId="77777777" w:rsidR="008B7E19" w:rsidRPr="00426536" w:rsidRDefault="008B7E19" w:rsidP="00882B41">
      <w:pPr>
        <w:pStyle w:val="PargrafodaLista"/>
        <w:numPr>
          <w:ilvl w:val="0"/>
          <w:numId w:val="26"/>
        </w:numPr>
        <w:spacing w:before="120" w:after="120"/>
        <w:jc w:val="both"/>
        <w:rPr>
          <w:rStyle w:val="rynqvb"/>
          <w:rFonts w:ascii="Arial" w:hAnsi="Arial" w:cs="Arial"/>
          <w:sz w:val="18"/>
          <w:szCs w:val="18"/>
          <w:lang w:val="en"/>
        </w:rPr>
      </w:pPr>
      <w:r w:rsidRPr="00426536">
        <w:rPr>
          <w:rStyle w:val="rynqvb"/>
          <w:rFonts w:ascii="Arial" w:hAnsi="Arial" w:cs="Arial"/>
          <w:sz w:val="18"/>
          <w:szCs w:val="18"/>
          <w:lang w:val="en"/>
        </w:rPr>
        <w:t xml:space="preserve">Administrative expenses for rents (R$ </w:t>
      </w:r>
      <w:r>
        <w:rPr>
          <w:rStyle w:val="rynqvb"/>
          <w:rFonts w:ascii="Arial" w:hAnsi="Arial" w:cs="Arial"/>
          <w:sz w:val="18"/>
          <w:szCs w:val="18"/>
          <w:lang w:val="en"/>
        </w:rPr>
        <w:t>413</w:t>
      </w:r>
      <w:r w:rsidRPr="00426536">
        <w:rPr>
          <w:rStyle w:val="rynqvb"/>
          <w:rFonts w:ascii="Arial" w:hAnsi="Arial" w:cs="Arial"/>
          <w:sz w:val="18"/>
          <w:szCs w:val="18"/>
          <w:lang w:val="en"/>
        </w:rPr>
        <w:t xml:space="preserve"> thousand);</w:t>
      </w:r>
    </w:p>
    <w:p w14:paraId="792906F2" w14:textId="77777777" w:rsidR="008B7E19" w:rsidRPr="00426536" w:rsidRDefault="008B7E19" w:rsidP="00882B41">
      <w:pPr>
        <w:pStyle w:val="PargrafodaLista"/>
        <w:numPr>
          <w:ilvl w:val="0"/>
          <w:numId w:val="26"/>
        </w:numPr>
        <w:spacing w:before="120" w:after="120"/>
        <w:jc w:val="both"/>
        <w:rPr>
          <w:rStyle w:val="rynqvb"/>
          <w:rFonts w:ascii="Arial" w:eastAsia="Times New Roman" w:hAnsi="Arial" w:cs="Arial"/>
          <w:spacing w:val="-2"/>
          <w:sz w:val="18"/>
          <w:szCs w:val="18"/>
          <w:lang w:val="en-US" w:eastAsia="pt-BR"/>
        </w:rPr>
      </w:pPr>
      <w:r w:rsidRPr="00426536">
        <w:rPr>
          <w:rStyle w:val="rynqvb"/>
          <w:rFonts w:ascii="Arial" w:hAnsi="Arial" w:cs="Arial"/>
          <w:sz w:val="18"/>
          <w:szCs w:val="18"/>
          <w:lang w:val="en"/>
        </w:rPr>
        <w:t xml:space="preserve">Personnel expenses (INSS) for federal taxes (R$ </w:t>
      </w:r>
      <w:r>
        <w:rPr>
          <w:rStyle w:val="rynqvb"/>
          <w:rFonts w:ascii="Arial" w:hAnsi="Arial" w:cs="Arial"/>
          <w:sz w:val="18"/>
          <w:szCs w:val="18"/>
          <w:lang w:val="en"/>
        </w:rPr>
        <w:t>977</w:t>
      </w:r>
      <w:r w:rsidRPr="00426536">
        <w:rPr>
          <w:rStyle w:val="rynqvb"/>
          <w:rFonts w:ascii="Arial" w:hAnsi="Arial" w:cs="Arial"/>
          <w:sz w:val="18"/>
          <w:szCs w:val="18"/>
          <w:lang w:val="en"/>
        </w:rPr>
        <w:t xml:space="preserve"> thousand).</w:t>
      </w:r>
    </w:p>
    <w:p w14:paraId="35FC5ABD" w14:textId="77777777" w:rsidR="008B7E19" w:rsidRPr="00426536" w:rsidRDefault="008B7E19" w:rsidP="008B7E19">
      <w:pPr>
        <w:spacing w:before="120" w:after="120"/>
        <w:jc w:val="both"/>
        <w:rPr>
          <w:rFonts w:eastAsia="Times New Roman" w:cs="Arial"/>
          <w:spacing w:val="-2"/>
          <w:szCs w:val="18"/>
          <w:lang w:val="en-US" w:eastAsia="pt-BR"/>
        </w:rPr>
      </w:pPr>
    </w:p>
    <w:p w14:paraId="2D31E2FF" w14:textId="77777777" w:rsidR="008B7E19" w:rsidRPr="001D4E06" w:rsidRDefault="008B7E19" w:rsidP="008B7E19">
      <w:pPr>
        <w:pStyle w:val="PargrafodaLista"/>
        <w:keepNext/>
        <w:keepLines/>
        <w:pageBreakBefore/>
        <w:spacing w:after="0" w:line="240" w:lineRule="auto"/>
        <w:ind w:left="0"/>
        <w:jc w:val="right"/>
        <w:rPr>
          <w:rFonts w:ascii="Arial" w:hAnsi="Arial" w:cs="Arial"/>
          <w:b/>
          <w:sz w:val="14"/>
          <w:lang w:eastAsia="pt-BR"/>
        </w:rPr>
      </w:pPr>
      <w:r w:rsidRPr="001D4E06">
        <w:rPr>
          <w:rFonts w:ascii="Arial" w:hAnsi="Arial" w:cs="Arial"/>
          <w:b/>
          <w:sz w:val="14"/>
          <w:lang w:eastAsia="pt-BR"/>
        </w:rPr>
        <w:t>R$ thousand</w:t>
      </w:r>
    </w:p>
    <w:tbl>
      <w:tblPr>
        <w:tblStyle w:val="TabeladeLista6Colorida-nfase5"/>
        <w:tblW w:w="9639" w:type="dxa"/>
        <w:jc w:val="center"/>
        <w:tblLayout w:type="fixed"/>
        <w:tblLook w:val="04A0" w:firstRow="1" w:lastRow="0" w:firstColumn="1" w:lastColumn="0" w:noHBand="0" w:noVBand="1"/>
      </w:tblPr>
      <w:tblGrid>
        <w:gridCol w:w="3970"/>
        <w:gridCol w:w="1889"/>
        <w:gridCol w:w="1890"/>
        <w:gridCol w:w="1890"/>
      </w:tblGrid>
      <w:tr w:rsidR="008B7E19" w:rsidRPr="00E33823" w14:paraId="575D6057" w14:textId="77777777" w:rsidTr="008B7E19">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970" w:type="dxa"/>
            <w:tcBorders>
              <w:top w:val="single" w:sz="2" w:space="0" w:color="1F4E79" w:themeColor="accent1" w:themeShade="80"/>
              <w:bottom w:val="nil"/>
            </w:tcBorders>
            <w:shd w:val="clear" w:color="auto" w:fill="auto"/>
            <w:vAlign w:val="center"/>
          </w:tcPr>
          <w:p w14:paraId="6DDE1E69" w14:textId="77777777" w:rsidR="008B7E19" w:rsidRPr="00D84B8A" w:rsidRDefault="008B7E19" w:rsidP="008B7E19">
            <w:pPr>
              <w:jc w:val="center"/>
              <w:rPr>
                <w:rFonts w:cs="Arial"/>
                <w:b w:val="0"/>
                <w:sz w:val="14"/>
                <w:szCs w:val="14"/>
              </w:rPr>
            </w:pPr>
          </w:p>
        </w:tc>
        <w:tc>
          <w:tcPr>
            <w:tcW w:w="5669" w:type="dxa"/>
            <w:gridSpan w:val="3"/>
            <w:tcBorders>
              <w:top w:val="single" w:sz="2" w:space="0" w:color="1F4E79" w:themeColor="accent1" w:themeShade="80"/>
              <w:bottom w:val="single" w:sz="2" w:space="0" w:color="1F4E79" w:themeColor="accent1" w:themeShade="80"/>
            </w:tcBorders>
            <w:shd w:val="clear" w:color="auto" w:fill="auto"/>
            <w:vAlign w:val="center"/>
          </w:tcPr>
          <w:p w14:paraId="7D4190CF" w14:textId="77777777" w:rsidR="008B7E19" w:rsidRPr="00E33823" w:rsidRDefault="008B7E19" w:rsidP="008B7E19">
            <w:pPr>
              <w:jc w:val="center"/>
              <w:cnfStyle w:val="100000000000" w:firstRow="1" w:lastRow="0" w:firstColumn="0" w:lastColumn="0" w:oddVBand="0" w:evenVBand="0" w:oddHBand="0" w:evenHBand="0" w:firstRowFirstColumn="0" w:firstRowLastColumn="0" w:lastRowFirstColumn="0" w:lastRowLastColumn="0"/>
              <w:rPr>
                <w:rFonts w:cs="Arial"/>
                <w:sz w:val="14"/>
                <w:szCs w:val="14"/>
                <w:lang w:val="en-US"/>
              </w:rPr>
            </w:pPr>
            <w:r w:rsidRPr="00E33823">
              <w:rPr>
                <w:rFonts w:cs="Arial"/>
                <w:sz w:val="14"/>
                <w:szCs w:val="14"/>
                <w:lang w:val="en-US"/>
              </w:rPr>
              <w:t>Parent –1</w:t>
            </w:r>
            <w:r w:rsidRPr="00E33823">
              <w:rPr>
                <w:rFonts w:cs="Arial"/>
                <w:sz w:val="14"/>
                <w:szCs w:val="14"/>
                <w:vertAlign w:val="superscript"/>
                <w:lang w:val="en-US"/>
              </w:rPr>
              <w:t>st</w:t>
            </w:r>
            <w:r w:rsidRPr="00E33823">
              <w:rPr>
                <w:rFonts w:cs="Arial"/>
                <w:sz w:val="14"/>
                <w:szCs w:val="14"/>
                <w:lang w:val="en-US"/>
              </w:rPr>
              <w:t xml:space="preserve"> Half 2022</w:t>
            </w:r>
          </w:p>
        </w:tc>
      </w:tr>
      <w:tr w:rsidR="008B7E19" w:rsidRPr="004A53AE" w14:paraId="4D738904"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970" w:type="dxa"/>
            <w:tcBorders>
              <w:top w:val="nil"/>
              <w:bottom w:val="single" w:sz="2" w:space="0" w:color="1F4E79" w:themeColor="accent1" w:themeShade="80"/>
            </w:tcBorders>
            <w:shd w:val="clear" w:color="auto" w:fill="auto"/>
            <w:vAlign w:val="center"/>
          </w:tcPr>
          <w:p w14:paraId="3445CF49" w14:textId="77777777" w:rsidR="008B7E19" w:rsidRPr="00E33823" w:rsidRDefault="008B7E19" w:rsidP="008B7E19">
            <w:pPr>
              <w:jc w:val="center"/>
              <w:rPr>
                <w:rFonts w:cs="Arial"/>
                <w:b w:val="0"/>
                <w:szCs w:val="14"/>
                <w:lang w:val="en-US"/>
              </w:rPr>
            </w:pPr>
          </w:p>
        </w:tc>
        <w:tc>
          <w:tcPr>
            <w:tcW w:w="1889" w:type="dxa"/>
            <w:tcBorders>
              <w:top w:val="single" w:sz="2" w:space="0" w:color="1F4E79" w:themeColor="accent1" w:themeShade="80"/>
              <w:bottom w:val="single" w:sz="2" w:space="0" w:color="1F4E79" w:themeColor="accent1" w:themeShade="80"/>
            </w:tcBorders>
            <w:shd w:val="clear" w:color="auto" w:fill="auto"/>
            <w:vAlign w:val="center"/>
          </w:tcPr>
          <w:p w14:paraId="752DE9A6" w14:textId="77777777" w:rsidR="008B7E19" w:rsidRPr="004A53AE" w:rsidRDefault="008B7E19" w:rsidP="008B7E19">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cs="Arial"/>
                <w:b/>
                <w:bCs/>
                <w:szCs w:val="14"/>
              </w:rPr>
            </w:pPr>
            <w:r>
              <w:rPr>
                <w:rFonts w:cs="Arial"/>
                <w:b/>
                <w:bCs/>
                <w:sz w:val="14"/>
                <w:szCs w:val="14"/>
              </w:rPr>
              <w:t>Original report</w:t>
            </w:r>
          </w:p>
        </w:tc>
        <w:tc>
          <w:tcPr>
            <w:tcW w:w="1890" w:type="dxa"/>
            <w:tcBorders>
              <w:top w:val="single" w:sz="2" w:space="0" w:color="1F4E79" w:themeColor="accent1" w:themeShade="80"/>
              <w:bottom w:val="single" w:sz="2" w:space="0" w:color="1F4E79" w:themeColor="accent1" w:themeShade="80"/>
            </w:tcBorders>
            <w:shd w:val="clear" w:color="auto" w:fill="auto"/>
            <w:vAlign w:val="center"/>
          </w:tcPr>
          <w:p w14:paraId="7D69861A" w14:textId="77777777" w:rsidR="008B7E19" w:rsidRPr="004A53AE" w:rsidRDefault="008B7E19" w:rsidP="008B7E19">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cs="Arial"/>
                <w:b/>
                <w:bCs/>
                <w:sz w:val="14"/>
                <w:szCs w:val="14"/>
              </w:rPr>
            </w:pPr>
            <w:r w:rsidRPr="004A53AE">
              <w:rPr>
                <w:rFonts w:cs="Arial"/>
                <w:b/>
                <w:bCs/>
                <w:sz w:val="14"/>
                <w:szCs w:val="14"/>
              </w:rPr>
              <w:t>Reclassifications</w:t>
            </w:r>
          </w:p>
        </w:tc>
        <w:tc>
          <w:tcPr>
            <w:tcW w:w="1890" w:type="dxa"/>
            <w:tcBorders>
              <w:top w:val="single" w:sz="2" w:space="0" w:color="1F4E79" w:themeColor="accent1" w:themeShade="80"/>
              <w:bottom w:val="single" w:sz="2" w:space="0" w:color="1F4E79" w:themeColor="accent1" w:themeShade="80"/>
            </w:tcBorders>
            <w:shd w:val="clear" w:color="auto" w:fill="auto"/>
            <w:vAlign w:val="center"/>
          </w:tcPr>
          <w:p w14:paraId="544A9CF0" w14:textId="77777777" w:rsidR="008B7E19" w:rsidRPr="004A53AE" w:rsidRDefault="008B7E19" w:rsidP="008B7E19">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cs="Arial"/>
                <w:b/>
                <w:bCs/>
                <w:szCs w:val="14"/>
              </w:rPr>
            </w:pPr>
            <w:r>
              <w:rPr>
                <w:rFonts w:cs="Arial"/>
                <w:b/>
                <w:bCs/>
                <w:sz w:val="14"/>
                <w:szCs w:val="14"/>
              </w:rPr>
              <w:t>Restated balances</w:t>
            </w:r>
          </w:p>
        </w:tc>
      </w:tr>
      <w:tr w:rsidR="008B7E19" w:rsidRPr="004A53AE" w14:paraId="62C3A984" w14:textId="77777777" w:rsidTr="008B7E19">
        <w:trPr>
          <w:trHeight w:val="238"/>
          <w:jc w:val="center"/>
        </w:trPr>
        <w:tc>
          <w:tcPr>
            <w:cnfStyle w:val="001000000000" w:firstRow="0" w:lastRow="0" w:firstColumn="1" w:lastColumn="0" w:oddVBand="0" w:evenVBand="0" w:oddHBand="0" w:evenHBand="0" w:firstRowFirstColumn="0" w:firstRowLastColumn="0" w:lastRowFirstColumn="0" w:lastRowLastColumn="0"/>
            <w:tcW w:w="3970" w:type="dxa"/>
            <w:tcBorders>
              <w:top w:val="single" w:sz="2" w:space="0" w:color="1F4E79" w:themeColor="accent1" w:themeShade="80"/>
              <w:bottom w:val="nil"/>
            </w:tcBorders>
            <w:shd w:val="clear" w:color="auto" w:fill="auto"/>
            <w:vAlign w:val="center"/>
          </w:tcPr>
          <w:p w14:paraId="645C3285" w14:textId="77777777" w:rsidR="008B7E19" w:rsidRPr="004A53AE" w:rsidRDefault="008B7E19" w:rsidP="008B7E19">
            <w:pPr>
              <w:pStyle w:val="08-Tabelageral"/>
              <w:jc w:val="left"/>
              <w:rPr>
                <w:rFonts w:cs="Arial"/>
                <w:szCs w:val="14"/>
              </w:rPr>
            </w:pPr>
            <w:r w:rsidRPr="004A53AE">
              <w:t>Income</w:t>
            </w:r>
          </w:p>
        </w:tc>
        <w:tc>
          <w:tcPr>
            <w:tcW w:w="1889" w:type="dxa"/>
            <w:tcBorders>
              <w:top w:val="single" w:sz="2" w:space="0" w:color="1F4E79" w:themeColor="accent1" w:themeShade="80"/>
              <w:bottom w:val="nil"/>
            </w:tcBorders>
            <w:shd w:val="clear" w:color="auto" w:fill="auto"/>
            <w:vAlign w:val="center"/>
          </w:tcPr>
          <w:p w14:paraId="400B10E0" w14:textId="77777777" w:rsidR="008B7E19" w:rsidRPr="004A53AE"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b/>
                <w:bCs/>
                <w:color w:val="auto"/>
                <w:szCs w:val="14"/>
              </w:rPr>
            </w:pPr>
            <w:r w:rsidRPr="00D977B9">
              <w:rPr>
                <w:rFonts w:cs="Arial"/>
                <w:b/>
                <w:bCs/>
                <w:color w:val="000000"/>
                <w:szCs w:val="14"/>
              </w:rPr>
              <w:t>2</w:t>
            </w:r>
            <w:r>
              <w:rPr>
                <w:rFonts w:cs="Arial"/>
                <w:b/>
                <w:bCs/>
                <w:color w:val="000000"/>
                <w:szCs w:val="14"/>
              </w:rPr>
              <w:t>,</w:t>
            </w:r>
            <w:r w:rsidRPr="00D977B9">
              <w:rPr>
                <w:rFonts w:cs="Arial"/>
                <w:b/>
                <w:bCs/>
                <w:color w:val="000000"/>
                <w:szCs w:val="14"/>
              </w:rPr>
              <w:t>627</w:t>
            </w:r>
          </w:p>
        </w:tc>
        <w:tc>
          <w:tcPr>
            <w:tcW w:w="1890" w:type="dxa"/>
            <w:tcBorders>
              <w:top w:val="single" w:sz="2" w:space="0" w:color="1F4E79" w:themeColor="accent1" w:themeShade="80"/>
              <w:bottom w:val="nil"/>
            </w:tcBorders>
            <w:shd w:val="clear" w:color="auto" w:fill="auto"/>
            <w:vAlign w:val="center"/>
          </w:tcPr>
          <w:p w14:paraId="0393452F" w14:textId="77777777" w:rsidR="008B7E19" w:rsidRPr="004A53AE"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b/>
                <w:bCs/>
                <w:color w:val="auto"/>
                <w:szCs w:val="14"/>
              </w:rPr>
            </w:pPr>
            <w:r w:rsidRPr="00D977B9">
              <w:rPr>
                <w:rFonts w:cs="Arial"/>
                <w:b/>
                <w:bCs/>
                <w:color w:val="000000"/>
                <w:szCs w:val="14"/>
              </w:rPr>
              <w:t>--</w:t>
            </w:r>
          </w:p>
        </w:tc>
        <w:tc>
          <w:tcPr>
            <w:tcW w:w="1890" w:type="dxa"/>
            <w:tcBorders>
              <w:top w:val="single" w:sz="2" w:space="0" w:color="1F4E79" w:themeColor="accent1" w:themeShade="80"/>
              <w:bottom w:val="nil"/>
            </w:tcBorders>
            <w:shd w:val="clear" w:color="auto" w:fill="auto"/>
            <w:vAlign w:val="center"/>
          </w:tcPr>
          <w:p w14:paraId="43D1CD74" w14:textId="77777777" w:rsidR="008B7E19" w:rsidRPr="004A53AE"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b/>
                <w:bCs/>
                <w:color w:val="auto"/>
                <w:szCs w:val="14"/>
              </w:rPr>
            </w:pPr>
            <w:r w:rsidRPr="00D977B9">
              <w:rPr>
                <w:rFonts w:cs="Arial"/>
                <w:b/>
                <w:bCs/>
                <w:color w:val="000000"/>
                <w:szCs w:val="14"/>
              </w:rPr>
              <w:t>2</w:t>
            </w:r>
            <w:r>
              <w:rPr>
                <w:rFonts w:cs="Arial"/>
                <w:b/>
                <w:bCs/>
                <w:color w:val="000000"/>
                <w:szCs w:val="14"/>
              </w:rPr>
              <w:t>,</w:t>
            </w:r>
            <w:r w:rsidRPr="00D977B9">
              <w:rPr>
                <w:rFonts w:cs="Arial"/>
                <w:b/>
                <w:bCs/>
                <w:color w:val="000000"/>
                <w:szCs w:val="14"/>
              </w:rPr>
              <w:t>627</w:t>
            </w:r>
          </w:p>
        </w:tc>
      </w:tr>
      <w:tr w:rsidR="008B7E19" w:rsidRPr="004A53AE" w14:paraId="7DEED8B0"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970" w:type="dxa"/>
            <w:tcBorders>
              <w:top w:val="nil"/>
              <w:bottom w:val="nil"/>
            </w:tcBorders>
            <w:shd w:val="clear" w:color="auto" w:fill="auto"/>
            <w:vAlign w:val="center"/>
          </w:tcPr>
          <w:p w14:paraId="074B06A5" w14:textId="77777777" w:rsidR="008B7E19" w:rsidRPr="004A53AE" w:rsidRDefault="008B7E19" w:rsidP="008B7E19">
            <w:pPr>
              <w:pStyle w:val="08-Tabelageral"/>
              <w:jc w:val="left"/>
              <w:rPr>
                <w:rFonts w:cs="Arial"/>
                <w:szCs w:val="14"/>
                <w:lang w:val="en-US"/>
              </w:rPr>
            </w:pPr>
            <w:r w:rsidRPr="004A53AE">
              <w:rPr>
                <w:lang w:val="en-US"/>
              </w:rPr>
              <w:t>Input Acquired from Third Parties</w:t>
            </w:r>
          </w:p>
        </w:tc>
        <w:tc>
          <w:tcPr>
            <w:tcW w:w="1889" w:type="dxa"/>
            <w:tcBorders>
              <w:top w:val="nil"/>
              <w:bottom w:val="nil"/>
            </w:tcBorders>
            <w:shd w:val="clear" w:color="auto" w:fill="auto"/>
            <w:vAlign w:val="center"/>
          </w:tcPr>
          <w:p w14:paraId="644AABAD" w14:textId="77777777" w:rsidR="008B7E19" w:rsidRPr="004A53AE"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b/>
                <w:bCs/>
                <w:color w:val="auto"/>
                <w:szCs w:val="14"/>
              </w:rPr>
            </w:pPr>
            <w:r w:rsidRPr="00D977B9">
              <w:rPr>
                <w:rFonts w:cs="Arial"/>
                <w:b/>
                <w:bCs/>
                <w:color w:val="000000"/>
                <w:szCs w:val="14"/>
              </w:rPr>
              <w:t>(2</w:t>
            </w:r>
            <w:r>
              <w:rPr>
                <w:rFonts w:cs="Arial"/>
                <w:b/>
                <w:bCs/>
                <w:color w:val="000000"/>
                <w:szCs w:val="14"/>
              </w:rPr>
              <w:t>,</w:t>
            </w:r>
            <w:r w:rsidRPr="00D977B9">
              <w:rPr>
                <w:rFonts w:cs="Arial"/>
                <w:b/>
                <w:bCs/>
                <w:color w:val="000000"/>
                <w:szCs w:val="14"/>
              </w:rPr>
              <w:t>214)</w:t>
            </w:r>
          </w:p>
        </w:tc>
        <w:tc>
          <w:tcPr>
            <w:tcW w:w="1890" w:type="dxa"/>
            <w:tcBorders>
              <w:top w:val="nil"/>
              <w:bottom w:val="nil"/>
            </w:tcBorders>
            <w:shd w:val="clear" w:color="auto" w:fill="auto"/>
            <w:vAlign w:val="center"/>
          </w:tcPr>
          <w:p w14:paraId="1FA8ED7B" w14:textId="77777777" w:rsidR="008B7E19" w:rsidRPr="004A53AE"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b/>
                <w:bCs/>
                <w:color w:val="auto"/>
                <w:szCs w:val="14"/>
              </w:rPr>
            </w:pPr>
            <w:r w:rsidRPr="00D977B9">
              <w:rPr>
                <w:rFonts w:cs="Arial"/>
                <w:b/>
                <w:bCs/>
                <w:color w:val="000000"/>
                <w:szCs w:val="14"/>
              </w:rPr>
              <w:t>41</w:t>
            </w:r>
            <w:r>
              <w:rPr>
                <w:rFonts w:cs="Arial"/>
                <w:b/>
                <w:bCs/>
                <w:color w:val="000000"/>
                <w:szCs w:val="14"/>
              </w:rPr>
              <w:t>3</w:t>
            </w:r>
          </w:p>
        </w:tc>
        <w:tc>
          <w:tcPr>
            <w:tcW w:w="1890" w:type="dxa"/>
            <w:tcBorders>
              <w:top w:val="nil"/>
              <w:bottom w:val="nil"/>
            </w:tcBorders>
            <w:shd w:val="clear" w:color="auto" w:fill="auto"/>
            <w:vAlign w:val="center"/>
          </w:tcPr>
          <w:p w14:paraId="2EAB5529" w14:textId="77777777" w:rsidR="008B7E19" w:rsidRPr="004A53AE"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b/>
                <w:bCs/>
                <w:color w:val="auto"/>
                <w:szCs w:val="14"/>
              </w:rPr>
            </w:pPr>
            <w:r w:rsidRPr="00D977B9">
              <w:rPr>
                <w:rFonts w:cs="Arial"/>
                <w:b/>
                <w:bCs/>
                <w:color w:val="000000"/>
                <w:szCs w:val="14"/>
              </w:rPr>
              <w:t>(1</w:t>
            </w:r>
            <w:r>
              <w:rPr>
                <w:rFonts w:cs="Arial"/>
                <w:b/>
                <w:bCs/>
                <w:color w:val="000000"/>
                <w:szCs w:val="14"/>
              </w:rPr>
              <w:t>,</w:t>
            </w:r>
            <w:r w:rsidRPr="00D977B9">
              <w:rPr>
                <w:rFonts w:cs="Arial"/>
                <w:b/>
                <w:bCs/>
                <w:color w:val="000000"/>
                <w:szCs w:val="14"/>
              </w:rPr>
              <w:t>80</w:t>
            </w:r>
            <w:r>
              <w:rPr>
                <w:rFonts w:cs="Arial"/>
                <w:b/>
                <w:bCs/>
                <w:color w:val="000000"/>
                <w:szCs w:val="14"/>
              </w:rPr>
              <w:t>1</w:t>
            </w:r>
            <w:r w:rsidRPr="00D977B9">
              <w:rPr>
                <w:rFonts w:cs="Arial"/>
                <w:b/>
                <w:bCs/>
                <w:color w:val="000000"/>
                <w:szCs w:val="14"/>
              </w:rPr>
              <w:t>)</w:t>
            </w:r>
          </w:p>
        </w:tc>
      </w:tr>
      <w:tr w:rsidR="008B7E19" w:rsidRPr="004A53AE" w14:paraId="180A94EC" w14:textId="77777777" w:rsidTr="008B7E19">
        <w:trPr>
          <w:trHeight w:val="238"/>
          <w:jc w:val="center"/>
        </w:trPr>
        <w:tc>
          <w:tcPr>
            <w:cnfStyle w:val="001000000000" w:firstRow="0" w:lastRow="0" w:firstColumn="1" w:lastColumn="0" w:oddVBand="0" w:evenVBand="0" w:oddHBand="0" w:evenHBand="0" w:firstRowFirstColumn="0" w:firstRowLastColumn="0" w:lastRowFirstColumn="0" w:lastRowLastColumn="0"/>
            <w:tcW w:w="3970" w:type="dxa"/>
            <w:tcBorders>
              <w:top w:val="nil"/>
              <w:bottom w:val="nil"/>
            </w:tcBorders>
            <w:shd w:val="clear" w:color="auto" w:fill="auto"/>
            <w:vAlign w:val="center"/>
          </w:tcPr>
          <w:p w14:paraId="4EFBCD20" w14:textId="77777777" w:rsidR="008B7E19" w:rsidRPr="004A53AE" w:rsidRDefault="008B7E19" w:rsidP="008B7E19">
            <w:pPr>
              <w:pStyle w:val="08-Tabelageral"/>
              <w:ind w:left="113"/>
              <w:jc w:val="left"/>
              <w:rPr>
                <w:rFonts w:cs="Arial"/>
                <w:b w:val="0"/>
                <w:szCs w:val="14"/>
              </w:rPr>
            </w:pPr>
            <w:r w:rsidRPr="004A53AE">
              <w:rPr>
                <w:b w:val="0"/>
              </w:rPr>
              <w:t>Administrative expenses diverse</w:t>
            </w:r>
          </w:p>
        </w:tc>
        <w:tc>
          <w:tcPr>
            <w:tcW w:w="1889" w:type="dxa"/>
            <w:tcBorders>
              <w:top w:val="nil"/>
              <w:bottom w:val="nil"/>
            </w:tcBorders>
            <w:shd w:val="clear" w:color="auto" w:fill="auto"/>
            <w:vAlign w:val="center"/>
          </w:tcPr>
          <w:p w14:paraId="2CF921C3" w14:textId="77777777" w:rsidR="008B7E19" w:rsidRPr="004A53AE"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bCs/>
                <w:color w:val="auto"/>
                <w:szCs w:val="14"/>
              </w:rPr>
            </w:pPr>
            <w:r w:rsidRPr="00D977B9">
              <w:rPr>
                <w:rFonts w:cs="Arial"/>
                <w:color w:val="000000"/>
                <w:szCs w:val="14"/>
              </w:rPr>
              <w:t>(2</w:t>
            </w:r>
            <w:r>
              <w:rPr>
                <w:rFonts w:cs="Arial"/>
                <w:color w:val="000000"/>
                <w:szCs w:val="14"/>
              </w:rPr>
              <w:t>,</w:t>
            </w:r>
            <w:r w:rsidRPr="00D977B9">
              <w:rPr>
                <w:rFonts w:cs="Arial"/>
                <w:color w:val="000000"/>
                <w:szCs w:val="14"/>
              </w:rPr>
              <w:t>138)</w:t>
            </w:r>
          </w:p>
        </w:tc>
        <w:tc>
          <w:tcPr>
            <w:tcW w:w="1890" w:type="dxa"/>
            <w:tcBorders>
              <w:top w:val="nil"/>
              <w:bottom w:val="nil"/>
            </w:tcBorders>
            <w:shd w:val="clear" w:color="auto" w:fill="auto"/>
            <w:vAlign w:val="center"/>
          </w:tcPr>
          <w:p w14:paraId="6C910736" w14:textId="77777777" w:rsidR="008B7E19" w:rsidRPr="004A53AE"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bCs/>
                <w:color w:val="auto"/>
                <w:szCs w:val="14"/>
              </w:rPr>
            </w:pPr>
            <w:r w:rsidRPr="00D977B9">
              <w:rPr>
                <w:rFonts w:cs="Arial"/>
                <w:color w:val="000000"/>
                <w:szCs w:val="14"/>
              </w:rPr>
              <w:t>413</w:t>
            </w:r>
          </w:p>
        </w:tc>
        <w:tc>
          <w:tcPr>
            <w:tcW w:w="1890" w:type="dxa"/>
            <w:tcBorders>
              <w:top w:val="nil"/>
              <w:bottom w:val="nil"/>
            </w:tcBorders>
            <w:shd w:val="clear" w:color="auto" w:fill="auto"/>
            <w:vAlign w:val="center"/>
          </w:tcPr>
          <w:p w14:paraId="12CE8680" w14:textId="77777777" w:rsidR="008B7E19" w:rsidRPr="004A53AE"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bCs/>
                <w:color w:val="auto"/>
                <w:szCs w:val="14"/>
              </w:rPr>
            </w:pPr>
            <w:r w:rsidRPr="00D977B9">
              <w:rPr>
                <w:rFonts w:cs="Arial"/>
                <w:color w:val="000000"/>
                <w:szCs w:val="14"/>
              </w:rPr>
              <w:t>(1</w:t>
            </w:r>
            <w:r>
              <w:rPr>
                <w:rFonts w:cs="Arial"/>
                <w:color w:val="000000"/>
                <w:szCs w:val="14"/>
              </w:rPr>
              <w:t>,</w:t>
            </w:r>
            <w:r w:rsidRPr="00D977B9">
              <w:rPr>
                <w:rFonts w:cs="Arial"/>
                <w:color w:val="000000"/>
                <w:szCs w:val="14"/>
              </w:rPr>
              <w:t>725)</w:t>
            </w:r>
          </w:p>
        </w:tc>
      </w:tr>
      <w:tr w:rsidR="008B7E19" w:rsidRPr="004A53AE" w14:paraId="61281746"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970" w:type="dxa"/>
            <w:tcBorders>
              <w:top w:val="nil"/>
              <w:bottom w:val="nil"/>
            </w:tcBorders>
            <w:shd w:val="clear" w:color="auto" w:fill="auto"/>
            <w:vAlign w:val="center"/>
          </w:tcPr>
          <w:p w14:paraId="68FFF2F4" w14:textId="77777777" w:rsidR="008B7E19" w:rsidRPr="004A53AE" w:rsidRDefault="008B7E19" w:rsidP="008B7E19">
            <w:pPr>
              <w:pStyle w:val="08-Tabelageral"/>
              <w:ind w:left="113"/>
              <w:jc w:val="left"/>
              <w:rPr>
                <w:rFonts w:cs="Arial"/>
                <w:b w:val="0"/>
                <w:szCs w:val="14"/>
              </w:rPr>
            </w:pPr>
            <w:r w:rsidRPr="004A53AE">
              <w:rPr>
                <w:b w:val="0"/>
              </w:rPr>
              <w:t>Other expenses</w:t>
            </w:r>
          </w:p>
        </w:tc>
        <w:tc>
          <w:tcPr>
            <w:tcW w:w="1889" w:type="dxa"/>
            <w:tcBorders>
              <w:top w:val="nil"/>
              <w:bottom w:val="nil"/>
            </w:tcBorders>
            <w:shd w:val="clear" w:color="auto" w:fill="auto"/>
            <w:vAlign w:val="center"/>
          </w:tcPr>
          <w:p w14:paraId="3E1876F2" w14:textId="77777777" w:rsidR="008B7E19" w:rsidRPr="004A53AE"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bCs/>
                <w:color w:val="auto"/>
                <w:szCs w:val="14"/>
              </w:rPr>
            </w:pPr>
            <w:r w:rsidRPr="00D977B9">
              <w:rPr>
                <w:rFonts w:cs="Arial"/>
                <w:color w:val="000000"/>
                <w:szCs w:val="14"/>
              </w:rPr>
              <w:t>(76)</w:t>
            </w:r>
          </w:p>
        </w:tc>
        <w:tc>
          <w:tcPr>
            <w:tcW w:w="1890" w:type="dxa"/>
            <w:tcBorders>
              <w:top w:val="nil"/>
              <w:bottom w:val="nil"/>
            </w:tcBorders>
            <w:shd w:val="clear" w:color="auto" w:fill="auto"/>
            <w:vAlign w:val="center"/>
          </w:tcPr>
          <w:p w14:paraId="4B9808DD" w14:textId="77777777" w:rsidR="008B7E19" w:rsidRPr="004A53AE"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bCs/>
                <w:color w:val="auto"/>
                <w:szCs w:val="14"/>
              </w:rPr>
            </w:pPr>
            <w:r w:rsidRPr="00D977B9">
              <w:rPr>
                <w:rFonts w:cs="Arial"/>
                <w:color w:val="000000"/>
                <w:szCs w:val="14"/>
              </w:rPr>
              <w:t>--</w:t>
            </w:r>
          </w:p>
        </w:tc>
        <w:tc>
          <w:tcPr>
            <w:tcW w:w="1890" w:type="dxa"/>
            <w:tcBorders>
              <w:top w:val="nil"/>
              <w:bottom w:val="nil"/>
            </w:tcBorders>
            <w:shd w:val="clear" w:color="auto" w:fill="auto"/>
            <w:vAlign w:val="center"/>
          </w:tcPr>
          <w:p w14:paraId="2298F628" w14:textId="77777777" w:rsidR="008B7E19" w:rsidRPr="004A53AE"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bCs/>
                <w:color w:val="auto"/>
                <w:szCs w:val="14"/>
              </w:rPr>
            </w:pPr>
            <w:r w:rsidRPr="00D977B9">
              <w:rPr>
                <w:rFonts w:cs="Arial"/>
                <w:color w:val="000000"/>
                <w:szCs w:val="14"/>
              </w:rPr>
              <w:t>(76)</w:t>
            </w:r>
          </w:p>
        </w:tc>
      </w:tr>
      <w:tr w:rsidR="008B7E19" w:rsidRPr="004A53AE" w14:paraId="0D5278A8" w14:textId="77777777" w:rsidTr="008B7E19">
        <w:trPr>
          <w:trHeight w:val="238"/>
          <w:jc w:val="center"/>
        </w:trPr>
        <w:tc>
          <w:tcPr>
            <w:cnfStyle w:val="001000000000" w:firstRow="0" w:lastRow="0" w:firstColumn="1" w:lastColumn="0" w:oddVBand="0" w:evenVBand="0" w:oddHBand="0" w:evenHBand="0" w:firstRowFirstColumn="0" w:firstRowLastColumn="0" w:lastRowFirstColumn="0" w:lastRowLastColumn="0"/>
            <w:tcW w:w="3970" w:type="dxa"/>
            <w:tcBorders>
              <w:top w:val="nil"/>
              <w:bottom w:val="nil"/>
            </w:tcBorders>
            <w:shd w:val="clear" w:color="auto" w:fill="auto"/>
            <w:vAlign w:val="center"/>
          </w:tcPr>
          <w:p w14:paraId="5A11C1DA" w14:textId="77777777" w:rsidR="008B7E19" w:rsidRPr="004A53AE" w:rsidRDefault="008B7E19" w:rsidP="008B7E19">
            <w:pPr>
              <w:pStyle w:val="08-Tabelageral"/>
              <w:jc w:val="left"/>
              <w:rPr>
                <w:rFonts w:cs="Arial"/>
                <w:szCs w:val="14"/>
              </w:rPr>
            </w:pPr>
            <w:r w:rsidRPr="004A53AE">
              <w:t>Gross Added Value</w:t>
            </w:r>
          </w:p>
        </w:tc>
        <w:tc>
          <w:tcPr>
            <w:tcW w:w="1889" w:type="dxa"/>
            <w:tcBorders>
              <w:top w:val="nil"/>
              <w:bottom w:val="nil"/>
            </w:tcBorders>
            <w:shd w:val="clear" w:color="auto" w:fill="auto"/>
            <w:vAlign w:val="center"/>
          </w:tcPr>
          <w:p w14:paraId="7646B7D6" w14:textId="77777777" w:rsidR="008B7E19" w:rsidRPr="004A53AE"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b/>
                <w:bCs/>
                <w:color w:val="auto"/>
                <w:szCs w:val="14"/>
              </w:rPr>
            </w:pPr>
            <w:r w:rsidRPr="00D977B9">
              <w:rPr>
                <w:rFonts w:cs="Arial"/>
                <w:b/>
                <w:bCs/>
                <w:color w:val="000000"/>
                <w:szCs w:val="14"/>
              </w:rPr>
              <w:t>413</w:t>
            </w:r>
          </w:p>
        </w:tc>
        <w:tc>
          <w:tcPr>
            <w:tcW w:w="1890" w:type="dxa"/>
            <w:tcBorders>
              <w:top w:val="nil"/>
              <w:bottom w:val="nil"/>
            </w:tcBorders>
            <w:shd w:val="clear" w:color="auto" w:fill="auto"/>
            <w:vAlign w:val="center"/>
          </w:tcPr>
          <w:p w14:paraId="12077F50" w14:textId="77777777" w:rsidR="008B7E19" w:rsidRPr="004A53AE"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b/>
                <w:bCs/>
                <w:color w:val="auto"/>
                <w:szCs w:val="14"/>
              </w:rPr>
            </w:pPr>
            <w:r w:rsidRPr="00D977B9">
              <w:rPr>
                <w:rFonts w:cs="Arial"/>
                <w:b/>
                <w:bCs/>
                <w:color w:val="000000"/>
                <w:szCs w:val="14"/>
              </w:rPr>
              <w:t>413</w:t>
            </w:r>
          </w:p>
        </w:tc>
        <w:tc>
          <w:tcPr>
            <w:tcW w:w="1890" w:type="dxa"/>
            <w:tcBorders>
              <w:top w:val="nil"/>
              <w:bottom w:val="nil"/>
            </w:tcBorders>
            <w:shd w:val="clear" w:color="auto" w:fill="auto"/>
            <w:vAlign w:val="center"/>
          </w:tcPr>
          <w:p w14:paraId="44ABC933" w14:textId="77777777" w:rsidR="008B7E19" w:rsidRPr="004A53AE"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b/>
                <w:bCs/>
                <w:color w:val="auto"/>
                <w:szCs w:val="14"/>
              </w:rPr>
            </w:pPr>
            <w:r w:rsidRPr="00D977B9">
              <w:rPr>
                <w:rFonts w:cs="Arial"/>
                <w:b/>
                <w:bCs/>
                <w:color w:val="000000"/>
                <w:szCs w:val="14"/>
              </w:rPr>
              <w:t>826</w:t>
            </w:r>
          </w:p>
        </w:tc>
      </w:tr>
      <w:tr w:rsidR="008B7E19" w:rsidRPr="004A53AE" w14:paraId="02001B48"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970" w:type="dxa"/>
            <w:tcBorders>
              <w:top w:val="nil"/>
              <w:bottom w:val="nil"/>
            </w:tcBorders>
            <w:shd w:val="clear" w:color="auto" w:fill="auto"/>
            <w:vAlign w:val="center"/>
          </w:tcPr>
          <w:p w14:paraId="2FEB7151" w14:textId="77777777" w:rsidR="008B7E19" w:rsidRPr="004A53AE" w:rsidRDefault="008B7E19" w:rsidP="008B7E19">
            <w:pPr>
              <w:pStyle w:val="08-Tabelageral"/>
              <w:jc w:val="left"/>
              <w:rPr>
                <w:rFonts w:cs="Arial"/>
                <w:szCs w:val="14"/>
              </w:rPr>
            </w:pPr>
            <w:r w:rsidRPr="004A53AE">
              <w:t>Depreciation and amortization</w:t>
            </w:r>
          </w:p>
        </w:tc>
        <w:tc>
          <w:tcPr>
            <w:tcW w:w="1889" w:type="dxa"/>
            <w:tcBorders>
              <w:top w:val="nil"/>
              <w:bottom w:val="nil"/>
            </w:tcBorders>
            <w:shd w:val="clear" w:color="auto" w:fill="auto"/>
            <w:vAlign w:val="center"/>
          </w:tcPr>
          <w:p w14:paraId="7666F150" w14:textId="77777777" w:rsidR="008B7E19" w:rsidRPr="004A53AE"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b/>
                <w:bCs/>
                <w:color w:val="auto"/>
                <w:szCs w:val="14"/>
              </w:rPr>
            </w:pPr>
            <w:r w:rsidRPr="00D977B9">
              <w:rPr>
                <w:rFonts w:cs="Arial"/>
                <w:b/>
                <w:bCs/>
                <w:color w:val="000000"/>
                <w:szCs w:val="14"/>
              </w:rPr>
              <w:t>(73)</w:t>
            </w:r>
          </w:p>
        </w:tc>
        <w:tc>
          <w:tcPr>
            <w:tcW w:w="1890" w:type="dxa"/>
            <w:tcBorders>
              <w:top w:val="nil"/>
              <w:bottom w:val="nil"/>
            </w:tcBorders>
            <w:shd w:val="clear" w:color="auto" w:fill="auto"/>
            <w:vAlign w:val="center"/>
          </w:tcPr>
          <w:p w14:paraId="66446F70" w14:textId="77777777" w:rsidR="008B7E19" w:rsidRPr="004A53AE"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b/>
                <w:bCs/>
                <w:color w:val="auto"/>
                <w:szCs w:val="14"/>
              </w:rPr>
            </w:pPr>
            <w:r w:rsidRPr="00D977B9">
              <w:rPr>
                <w:rFonts w:cs="Arial"/>
                <w:b/>
                <w:bCs/>
                <w:color w:val="000000"/>
                <w:szCs w:val="14"/>
              </w:rPr>
              <w:t>--</w:t>
            </w:r>
          </w:p>
        </w:tc>
        <w:tc>
          <w:tcPr>
            <w:tcW w:w="1890" w:type="dxa"/>
            <w:tcBorders>
              <w:top w:val="nil"/>
              <w:bottom w:val="nil"/>
            </w:tcBorders>
            <w:shd w:val="clear" w:color="auto" w:fill="auto"/>
            <w:vAlign w:val="center"/>
          </w:tcPr>
          <w:p w14:paraId="6A7412BF" w14:textId="77777777" w:rsidR="008B7E19" w:rsidRPr="004A53AE"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b/>
                <w:bCs/>
                <w:color w:val="auto"/>
                <w:szCs w:val="14"/>
              </w:rPr>
            </w:pPr>
            <w:r w:rsidRPr="00D977B9">
              <w:rPr>
                <w:rFonts w:cs="Arial"/>
                <w:b/>
                <w:bCs/>
                <w:color w:val="000000"/>
                <w:szCs w:val="14"/>
              </w:rPr>
              <w:t>(73)</w:t>
            </w:r>
          </w:p>
        </w:tc>
      </w:tr>
      <w:tr w:rsidR="008B7E19" w:rsidRPr="004A53AE" w14:paraId="2BD46B1A" w14:textId="77777777" w:rsidTr="008B7E19">
        <w:trPr>
          <w:trHeight w:val="238"/>
          <w:jc w:val="center"/>
        </w:trPr>
        <w:tc>
          <w:tcPr>
            <w:cnfStyle w:val="001000000000" w:firstRow="0" w:lastRow="0" w:firstColumn="1" w:lastColumn="0" w:oddVBand="0" w:evenVBand="0" w:oddHBand="0" w:evenHBand="0" w:firstRowFirstColumn="0" w:firstRowLastColumn="0" w:lastRowFirstColumn="0" w:lastRowLastColumn="0"/>
            <w:tcW w:w="3970" w:type="dxa"/>
            <w:tcBorders>
              <w:top w:val="nil"/>
              <w:bottom w:val="nil"/>
            </w:tcBorders>
            <w:shd w:val="clear" w:color="auto" w:fill="auto"/>
            <w:vAlign w:val="center"/>
          </w:tcPr>
          <w:p w14:paraId="5923503A" w14:textId="77777777" w:rsidR="008B7E19" w:rsidRPr="004A53AE" w:rsidRDefault="008B7E19" w:rsidP="008B7E19">
            <w:pPr>
              <w:pStyle w:val="08-Tabelageral"/>
              <w:jc w:val="left"/>
              <w:rPr>
                <w:rFonts w:cs="Arial"/>
                <w:szCs w:val="14"/>
                <w:lang w:val="en-US"/>
              </w:rPr>
            </w:pPr>
            <w:r w:rsidRPr="004A53AE">
              <w:rPr>
                <w:lang w:val="en-US"/>
              </w:rPr>
              <w:t>Net Added Value Generated by the Entity</w:t>
            </w:r>
          </w:p>
        </w:tc>
        <w:tc>
          <w:tcPr>
            <w:tcW w:w="1889" w:type="dxa"/>
            <w:tcBorders>
              <w:top w:val="nil"/>
              <w:bottom w:val="nil"/>
            </w:tcBorders>
            <w:shd w:val="clear" w:color="auto" w:fill="auto"/>
            <w:vAlign w:val="center"/>
          </w:tcPr>
          <w:p w14:paraId="3AC9AE52" w14:textId="77777777" w:rsidR="008B7E19" w:rsidRPr="004A53AE"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b/>
                <w:bCs/>
                <w:color w:val="auto"/>
                <w:szCs w:val="14"/>
              </w:rPr>
            </w:pPr>
            <w:r w:rsidRPr="00D977B9">
              <w:rPr>
                <w:rFonts w:cs="Arial"/>
                <w:b/>
                <w:bCs/>
                <w:color w:val="000000"/>
                <w:szCs w:val="14"/>
              </w:rPr>
              <w:t>340</w:t>
            </w:r>
          </w:p>
        </w:tc>
        <w:tc>
          <w:tcPr>
            <w:tcW w:w="1890" w:type="dxa"/>
            <w:tcBorders>
              <w:top w:val="nil"/>
              <w:bottom w:val="nil"/>
            </w:tcBorders>
            <w:shd w:val="clear" w:color="auto" w:fill="auto"/>
            <w:vAlign w:val="center"/>
          </w:tcPr>
          <w:p w14:paraId="663143D2" w14:textId="77777777" w:rsidR="008B7E19" w:rsidRPr="004A53AE"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b/>
                <w:bCs/>
                <w:color w:val="auto"/>
                <w:szCs w:val="14"/>
              </w:rPr>
            </w:pPr>
            <w:r w:rsidRPr="00D977B9">
              <w:rPr>
                <w:rFonts w:cs="Arial"/>
                <w:b/>
                <w:bCs/>
                <w:color w:val="000000"/>
                <w:szCs w:val="14"/>
              </w:rPr>
              <w:t>413</w:t>
            </w:r>
          </w:p>
        </w:tc>
        <w:tc>
          <w:tcPr>
            <w:tcW w:w="1890" w:type="dxa"/>
            <w:tcBorders>
              <w:top w:val="nil"/>
              <w:bottom w:val="nil"/>
            </w:tcBorders>
            <w:shd w:val="clear" w:color="auto" w:fill="auto"/>
            <w:vAlign w:val="center"/>
          </w:tcPr>
          <w:p w14:paraId="0B03CCCC" w14:textId="77777777" w:rsidR="008B7E19" w:rsidRPr="004A53AE"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b/>
                <w:bCs/>
                <w:color w:val="auto"/>
                <w:szCs w:val="14"/>
              </w:rPr>
            </w:pPr>
            <w:r w:rsidRPr="00D977B9">
              <w:rPr>
                <w:rFonts w:cs="Arial"/>
                <w:b/>
                <w:bCs/>
                <w:color w:val="000000"/>
                <w:szCs w:val="14"/>
              </w:rPr>
              <w:t>753</w:t>
            </w:r>
          </w:p>
        </w:tc>
      </w:tr>
      <w:tr w:rsidR="008B7E19" w:rsidRPr="004A53AE" w14:paraId="3D5685DC"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970" w:type="dxa"/>
            <w:tcBorders>
              <w:top w:val="nil"/>
              <w:bottom w:val="nil"/>
            </w:tcBorders>
            <w:shd w:val="clear" w:color="auto" w:fill="auto"/>
            <w:vAlign w:val="center"/>
          </w:tcPr>
          <w:p w14:paraId="0F1D98BE" w14:textId="77777777" w:rsidR="008B7E19" w:rsidRPr="004A53AE" w:rsidRDefault="008B7E19" w:rsidP="008B7E19">
            <w:pPr>
              <w:pStyle w:val="08-Tabelageral"/>
              <w:jc w:val="left"/>
              <w:rPr>
                <w:rFonts w:cs="Arial"/>
                <w:szCs w:val="14"/>
                <w:lang w:val="en-US"/>
              </w:rPr>
            </w:pPr>
            <w:r w:rsidRPr="004A53AE">
              <w:rPr>
                <w:lang w:val="en-US"/>
              </w:rPr>
              <w:t>Added Value Received Through Transfer</w:t>
            </w:r>
          </w:p>
        </w:tc>
        <w:tc>
          <w:tcPr>
            <w:tcW w:w="1889" w:type="dxa"/>
            <w:tcBorders>
              <w:top w:val="nil"/>
              <w:bottom w:val="nil"/>
            </w:tcBorders>
            <w:shd w:val="clear" w:color="auto" w:fill="auto"/>
            <w:vAlign w:val="center"/>
          </w:tcPr>
          <w:p w14:paraId="7D7971C2" w14:textId="77777777" w:rsidR="008B7E19" w:rsidRPr="004A53AE"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b/>
                <w:bCs/>
                <w:color w:val="auto"/>
                <w:szCs w:val="14"/>
              </w:rPr>
            </w:pPr>
            <w:r w:rsidRPr="00D977B9">
              <w:rPr>
                <w:rFonts w:cs="Arial"/>
                <w:b/>
                <w:bCs/>
                <w:color w:val="000000"/>
                <w:szCs w:val="14"/>
              </w:rPr>
              <w:t>2</w:t>
            </w:r>
            <w:r>
              <w:rPr>
                <w:rFonts w:cs="Arial"/>
                <w:b/>
                <w:bCs/>
                <w:color w:val="000000"/>
                <w:szCs w:val="14"/>
              </w:rPr>
              <w:t>,</w:t>
            </w:r>
            <w:r w:rsidRPr="00D977B9">
              <w:rPr>
                <w:rFonts w:cs="Arial"/>
                <w:b/>
                <w:bCs/>
                <w:color w:val="000000"/>
                <w:szCs w:val="14"/>
              </w:rPr>
              <w:t>621</w:t>
            </w:r>
            <w:r>
              <w:rPr>
                <w:rFonts w:cs="Arial"/>
                <w:b/>
                <w:bCs/>
                <w:color w:val="000000"/>
                <w:szCs w:val="14"/>
              </w:rPr>
              <w:t>,</w:t>
            </w:r>
            <w:r w:rsidRPr="00D977B9">
              <w:rPr>
                <w:rFonts w:cs="Arial"/>
                <w:b/>
                <w:bCs/>
                <w:color w:val="000000"/>
                <w:szCs w:val="14"/>
              </w:rPr>
              <w:t>667</w:t>
            </w:r>
          </w:p>
        </w:tc>
        <w:tc>
          <w:tcPr>
            <w:tcW w:w="1890" w:type="dxa"/>
            <w:tcBorders>
              <w:top w:val="nil"/>
              <w:bottom w:val="nil"/>
            </w:tcBorders>
            <w:shd w:val="clear" w:color="auto" w:fill="auto"/>
            <w:vAlign w:val="center"/>
          </w:tcPr>
          <w:p w14:paraId="370E1D48" w14:textId="77777777" w:rsidR="008B7E19" w:rsidRPr="004A53AE"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b/>
                <w:bCs/>
                <w:color w:val="auto"/>
                <w:szCs w:val="14"/>
              </w:rPr>
            </w:pPr>
            <w:r w:rsidRPr="00D977B9">
              <w:rPr>
                <w:rFonts w:cs="Arial"/>
                <w:b/>
                <w:bCs/>
                <w:color w:val="000000"/>
                <w:szCs w:val="14"/>
              </w:rPr>
              <w:t>127</w:t>
            </w:r>
            <w:r>
              <w:rPr>
                <w:rFonts w:cs="Arial"/>
                <w:b/>
                <w:bCs/>
                <w:color w:val="000000"/>
                <w:szCs w:val="14"/>
              </w:rPr>
              <w:t>,</w:t>
            </w:r>
            <w:r w:rsidRPr="00D977B9">
              <w:rPr>
                <w:rFonts w:cs="Arial"/>
                <w:b/>
                <w:bCs/>
                <w:color w:val="000000"/>
                <w:szCs w:val="14"/>
              </w:rPr>
              <w:t>442</w:t>
            </w:r>
          </w:p>
        </w:tc>
        <w:tc>
          <w:tcPr>
            <w:tcW w:w="1890" w:type="dxa"/>
            <w:tcBorders>
              <w:top w:val="nil"/>
              <w:bottom w:val="nil"/>
            </w:tcBorders>
            <w:shd w:val="clear" w:color="auto" w:fill="auto"/>
            <w:vAlign w:val="center"/>
          </w:tcPr>
          <w:p w14:paraId="33862C19" w14:textId="77777777" w:rsidR="008B7E19" w:rsidRPr="004A53AE"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b/>
                <w:bCs/>
                <w:color w:val="auto"/>
                <w:szCs w:val="14"/>
              </w:rPr>
            </w:pPr>
            <w:r w:rsidRPr="00D977B9">
              <w:rPr>
                <w:rFonts w:cs="Arial"/>
                <w:b/>
                <w:bCs/>
                <w:color w:val="000000"/>
                <w:szCs w:val="14"/>
              </w:rPr>
              <w:t>2</w:t>
            </w:r>
            <w:r>
              <w:rPr>
                <w:rFonts w:cs="Arial"/>
                <w:b/>
                <w:bCs/>
                <w:color w:val="000000"/>
                <w:szCs w:val="14"/>
              </w:rPr>
              <w:t>,</w:t>
            </w:r>
            <w:r w:rsidRPr="00D977B9">
              <w:rPr>
                <w:rFonts w:cs="Arial"/>
                <w:b/>
                <w:bCs/>
                <w:color w:val="000000"/>
                <w:szCs w:val="14"/>
              </w:rPr>
              <w:t>749</w:t>
            </w:r>
            <w:r>
              <w:rPr>
                <w:rFonts w:cs="Arial"/>
                <w:b/>
                <w:bCs/>
                <w:color w:val="000000"/>
                <w:szCs w:val="14"/>
              </w:rPr>
              <w:t>,</w:t>
            </w:r>
            <w:r w:rsidRPr="00D977B9">
              <w:rPr>
                <w:rFonts w:cs="Arial"/>
                <w:b/>
                <w:bCs/>
                <w:color w:val="000000"/>
                <w:szCs w:val="14"/>
              </w:rPr>
              <w:t>109</w:t>
            </w:r>
          </w:p>
        </w:tc>
      </w:tr>
      <w:tr w:rsidR="008B7E19" w:rsidRPr="004A53AE" w14:paraId="07FE9B4C" w14:textId="77777777" w:rsidTr="008B7E19">
        <w:trPr>
          <w:trHeight w:val="238"/>
          <w:jc w:val="center"/>
        </w:trPr>
        <w:tc>
          <w:tcPr>
            <w:cnfStyle w:val="001000000000" w:firstRow="0" w:lastRow="0" w:firstColumn="1" w:lastColumn="0" w:oddVBand="0" w:evenVBand="0" w:oddHBand="0" w:evenHBand="0" w:firstRowFirstColumn="0" w:firstRowLastColumn="0" w:lastRowFirstColumn="0" w:lastRowLastColumn="0"/>
            <w:tcW w:w="3970" w:type="dxa"/>
            <w:tcBorders>
              <w:top w:val="nil"/>
              <w:bottom w:val="nil"/>
            </w:tcBorders>
            <w:shd w:val="clear" w:color="auto" w:fill="auto"/>
            <w:vAlign w:val="center"/>
          </w:tcPr>
          <w:p w14:paraId="3B5A2D67" w14:textId="77777777" w:rsidR="008B7E19" w:rsidRPr="004A53AE" w:rsidRDefault="008B7E19" w:rsidP="008B7E19">
            <w:pPr>
              <w:pStyle w:val="08-Tabelageral"/>
              <w:ind w:left="113"/>
              <w:jc w:val="left"/>
              <w:rPr>
                <w:rFonts w:cs="Arial"/>
                <w:b w:val="0"/>
                <w:szCs w:val="14"/>
                <w:lang w:val="en-US"/>
              </w:rPr>
            </w:pPr>
            <w:r w:rsidRPr="004A53AE">
              <w:rPr>
                <w:b w:val="0"/>
                <w:lang w:val="en-US"/>
              </w:rPr>
              <w:t>Equity in the earnings of associates</w:t>
            </w:r>
          </w:p>
        </w:tc>
        <w:tc>
          <w:tcPr>
            <w:tcW w:w="1889" w:type="dxa"/>
            <w:tcBorders>
              <w:top w:val="nil"/>
              <w:bottom w:val="nil"/>
            </w:tcBorders>
            <w:shd w:val="clear" w:color="auto" w:fill="auto"/>
            <w:vAlign w:val="center"/>
          </w:tcPr>
          <w:p w14:paraId="0D8C9227" w14:textId="77777777" w:rsidR="008B7E19" w:rsidRPr="004A53AE" w:rsidRDefault="008B7E19" w:rsidP="008B7E19">
            <w:pPr>
              <w:pStyle w:val="08-Tabelageral"/>
              <w:ind w:left="113"/>
              <w:cnfStyle w:val="000000000000" w:firstRow="0" w:lastRow="0" w:firstColumn="0" w:lastColumn="0" w:oddVBand="0" w:evenVBand="0" w:oddHBand="0" w:evenHBand="0" w:firstRowFirstColumn="0" w:firstRowLastColumn="0" w:lastRowFirstColumn="0" w:lastRowLastColumn="0"/>
              <w:rPr>
                <w:rFonts w:cs="Arial"/>
                <w:bCs/>
                <w:szCs w:val="14"/>
              </w:rPr>
            </w:pPr>
            <w:r w:rsidRPr="00D977B9">
              <w:rPr>
                <w:rFonts w:cs="Arial"/>
                <w:color w:val="000000"/>
                <w:szCs w:val="14"/>
              </w:rPr>
              <w:t>2</w:t>
            </w:r>
            <w:r>
              <w:rPr>
                <w:rFonts w:cs="Arial"/>
                <w:color w:val="000000"/>
                <w:szCs w:val="14"/>
              </w:rPr>
              <w:t>,</w:t>
            </w:r>
            <w:r w:rsidRPr="00D977B9">
              <w:rPr>
                <w:rFonts w:cs="Arial"/>
                <w:color w:val="000000"/>
                <w:szCs w:val="14"/>
              </w:rPr>
              <w:t>586</w:t>
            </w:r>
            <w:r>
              <w:rPr>
                <w:rFonts w:cs="Arial"/>
                <w:color w:val="000000"/>
                <w:szCs w:val="14"/>
              </w:rPr>
              <w:t>,</w:t>
            </w:r>
            <w:r w:rsidRPr="00D977B9">
              <w:rPr>
                <w:rFonts w:cs="Arial"/>
                <w:color w:val="000000"/>
                <w:szCs w:val="14"/>
              </w:rPr>
              <w:t>472</w:t>
            </w:r>
          </w:p>
        </w:tc>
        <w:tc>
          <w:tcPr>
            <w:tcW w:w="1890" w:type="dxa"/>
            <w:tcBorders>
              <w:top w:val="nil"/>
              <w:bottom w:val="nil"/>
            </w:tcBorders>
            <w:shd w:val="clear" w:color="auto" w:fill="auto"/>
            <w:vAlign w:val="center"/>
          </w:tcPr>
          <w:p w14:paraId="64CF8B74" w14:textId="77777777" w:rsidR="008B7E19" w:rsidRPr="004A53AE" w:rsidRDefault="008B7E19" w:rsidP="008B7E19">
            <w:pPr>
              <w:pStyle w:val="08-Tabelageral"/>
              <w:ind w:left="113"/>
              <w:cnfStyle w:val="000000000000" w:firstRow="0" w:lastRow="0" w:firstColumn="0" w:lastColumn="0" w:oddVBand="0" w:evenVBand="0" w:oddHBand="0" w:evenHBand="0" w:firstRowFirstColumn="0" w:firstRowLastColumn="0" w:lastRowFirstColumn="0" w:lastRowLastColumn="0"/>
              <w:rPr>
                <w:rFonts w:cs="Arial"/>
                <w:bCs/>
                <w:szCs w:val="14"/>
              </w:rPr>
            </w:pPr>
            <w:r w:rsidRPr="00D977B9">
              <w:rPr>
                <w:rFonts w:cs="Arial"/>
                <w:color w:val="000000"/>
                <w:szCs w:val="14"/>
              </w:rPr>
              <w:t>127</w:t>
            </w:r>
            <w:r>
              <w:rPr>
                <w:rFonts w:cs="Arial"/>
                <w:color w:val="000000"/>
                <w:szCs w:val="14"/>
              </w:rPr>
              <w:t>,</w:t>
            </w:r>
            <w:r w:rsidRPr="00D977B9">
              <w:rPr>
                <w:rFonts w:cs="Arial"/>
                <w:color w:val="000000"/>
                <w:szCs w:val="14"/>
              </w:rPr>
              <w:t>442</w:t>
            </w:r>
          </w:p>
        </w:tc>
        <w:tc>
          <w:tcPr>
            <w:tcW w:w="1890" w:type="dxa"/>
            <w:tcBorders>
              <w:top w:val="nil"/>
              <w:bottom w:val="nil"/>
            </w:tcBorders>
            <w:shd w:val="clear" w:color="auto" w:fill="auto"/>
            <w:vAlign w:val="center"/>
          </w:tcPr>
          <w:p w14:paraId="0925BE35" w14:textId="77777777" w:rsidR="008B7E19" w:rsidRPr="004A53AE" w:rsidRDefault="008B7E19" w:rsidP="008B7E19">
            <w:pPr>
              <w:pStyle w:val="08-Tabelageral"/>
              <w:ind w:left="113"/>
              <w:cnfStyle w:val="000000000000" w:firstRow="0" w:lastRow="0" w:firstColumn="0" w:lastColumn="0" w:oddVBand="0" w:evenVBand="0" w:oddHBand="0" w:evenHBand="0" w:firstRowFirstColumn="0" w:firstRowLastColumn="0" w:lastRowFirstColumn="0" w:lastRowLastColumn="0"/>
              <w:rPr>
                <w:rFonts w:cs="Arial"/>
                <w:bCs/>
                <w:szCs w:val="14"/>
              </w:rPr>
            </w:pPr>
            <w:r w:rsidRPr="00D977B9">
              <w:rPr>
                <w:rFonts w:cs="Arial"/>
                <w:color w:val="000000"/>
                <w:szCs w:val="14"/>
              </w:rPr>
              <w:t>2</w:t>
            </w:r>
            <w:r>
              <w:rPr>
                <w:rFonts w:cs="Arial"/>
                <w:color w:val="000000"/>
                <w:szCs w:val="14"/>
              </w:rPr>
              <w:t>,</w:t>
            </w:r>
            <w:r w:rsidRPr="00D977B9">
              <w:rPr>
                <w:rFonts w:cs="Arial"/>
                <w:color w:val="000000"/>
                <w:szCs w:val="14"/>
              </w:rPr>
              <w:t>713</w:t>
            </w:r>
            <w:r>
              <w:rPr>
                <w:rFonts w:cs="Arial"/>
                <w:color w:val="000000"/>
                <w:szCs w:val="14"/>
              </w:rPr>
              <w:t>,</w:t>
            </w:r>
            <w:r w:rsidRPr="00D977B9">
              <w:rPr>
                <w:rFonts w:cs="Arial"/>
                <w:color w:val="000000"/>
                <w:szCs w:val="14"/>
              </w:rPr>
              <w:t>914</w:t>
            </w:r>
          </w:p>
        </w:tc>
      </w:tr>
      <w:tr w:rsidR="008B7E19" w:rsidRPr="004A53AE" w14:paraId="0D574125"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970" w:type="dxa"/>
            <w:tcBorders>
              <w:top w:val="nil"/>
              <w:bottom w:val="nil"/>
            </w:tcBorders>
            <w:shd w:val="clear" w:color="auto" w:fill="auto"/>
            <w:vAlign w:val="center"/>
          </w:tcPr>
          <w:p w14:paraId="4D98743F" w14:textId="77777777" w:rsidR="008B7E19" w:rsidRPr="004A53AE" w:rsidRDefault="008B7E19" w:rsidP="008B7E19">
            <w:pPr>
              <w:pStyle w:val="08-Tabelageral"/>
              <w:ind w:left="113"/>
              <w:jc w:val="left"/>
              <w:rPr>
                <w:rFonts w:cs="Arial"/>
                <w:b w:val="0"/>
                <w:szCs w:val="14"/>
              </w:rPr>
            </w:pPr>
            <w:r w:rsidRPr="004A53AE">
              <w:rPr>
                <w:b w:val="0"/>
              </w:rPr>
              <w:t>Financial income</w:t>
            </w:r>
          </w:p>
        </w:tc>
        <w:tc>
          <w:tcPr>
            <w:tcW w:w="1889" w:type="dxa"/>
            <w:tcBorders>
              <w:top w:val="nil"/>
              <w:bottom w:val="nil"/>
            </w:tcBorders>
            <w:shd w:val="clear" w:color="auto" w:fill="auto"/>
            <w:vAlign w:val="center"/>
          </w:tcPr>
          <w:p w14:paraId="6CB07338" w14:textId="77777777" w:rsidR="008B7E19" w:rsidRPr="004A53AE" w:rsidRDefault="008B7E19" w:rsidP="008B7E19">
            <w:pPr>
              <w:pStyle w:val="08-Tabelageral"/>
              <w:ind w:left="113"/>
              <w:cnfStyle w:val="000000100000" w:firstRow="0" w:lastRow="0" w:firstColumn="0" w:lastColumn="0" w:oddVBand="0" w:evenVBand="0" w:oddHBand="1" w:evenHBand="0" w:firstRowFirstColumn="0" w:firstRowLastColumn="0" w:lastRowFirstColumn="0" w:lastRowLastColumn="0"/>
              <w:rPr>
                <w:rFonts w:cs="Arial"/>
                <w:bCs/>
                <w:szCs w:val="14"/>
              </w:rPr>
            </w:pPr>
            <w:r w:rsidRPr="00D977B9">
              <w:rPr>
                <w:rFonts w:cs="Arial"/>
                <w:color w:val="000000"/>
                <w:szCs w:val="14"/>
              </w:rPr>
              <w:t>35</w:t>
            </w:r>
            <w:r>
              <w:rPr>
                <w:rFonts w:cs="Arial"/>
                <w:color w:val="000000"/>
                <w:szCs w:val="14"/>
              </w:rPr>
              <w:t>,</w:t>
            </w:r>
            <w:r w:rsidRPr="00D977B9">
              <w:rPr>
                <w:rFonts w:cs="Arial"/>
                <w:color w:val="000000"/>
                <w:szCs w:val="14"/>
              </w:rPr>
              <w:t>195</w:t>
            </w:r>
          </w:p>
        </w:tc>
        <w:tc>
          <w:tcPr>
            <w:tcW w:w="1890" w:type="dxa"/>
            <w:tcBorders>
              <w:top w:val="nil"/>
              <w:bottom w:val="nil"/>
            </w:tcBorders>
            <w:shd w:val="clear" w:color="auto" w:fill="auto"/>
            <w:vAlign w:val="center"/>
          </w:tcPr>
          <w:p w14:paraId="48411F7C" w14:textId="77777777" w:rsidR="008B7E19" w:rsidRPr="004A53AE" w:rsidRDefault="008B7E19" w:rsidP="008B7E19">
            <w:pPr>
              <w:pStyle w:val="08-Tabelageral"/>
              <w:ind w:left="113"/>
              <w:cnfStyle w:val="000000100000" w:firstRow="0" w:lastRow="0" w:firstColumn="0" w:lastColumn="0" w:oddVBand="0" w:evenVBand="0" w:oddHBand="1" w:evenHBand="0" w:firstRowFirstColumn="0" w:firstRowLastColumn="0" w:lastRowFirstColumn="0" w:lastRowLastColumn="0"/>
              <w:rPr>
                <w:rFonts w:cs="Arial"/>
                <w:bCs/>
                <w:szCs w:val="14"/>
              </w:rPr>
            </w:pPr>
            <w:r w:rsidRPr="00D977B9">
              <w:rPr>
                <w:rFonts w:cs="Arial"/>
                <w:color w:val="000000"/>
                <w:szCs w:val="14"/>
              </w:rPr>
              <w:t>--</w:t>
            </w:r>
          </w:p>
        </w:tc>
        <w:tc>
          <w:tcPr>
            <w:tcW w:w="1890" w:type="dxa"/>
            <w:tcBorders>
              <w:top w:val="nil"/>
              <w:bottom w:val="nil"/>
            </w:tcBorders>
            <w:shd w:val="clear" w:color="auto" w:fill="auto"/>
            <w:vAlign w:val="center"/>
          </w:tcPr>
          <w:p w14:paraId="0561A082" w14:textId="77777777" w:rsidR="008B7E19" w:rsidRPr="004A53AE" w:rsidRDefault="008B7E19" w:rsidP="008B7E19">
            <w:pPr>
              <w:pStyle w:val="08-Tabelageral"/>
              <w:ind w:left="113"/>
              <w:cnfStyle w:val="000000100000" w:firstRow="0" w:lastRow="0" w:firstColumn="0" w:lastColumn="0" w:oddVBand="0" w:evenVBand="0" w:oddHBand="1" w:evenHBand="0" w:firstRowFirstColumn="0" w:firstRowLastColumn="0" w:lastRowFirstColumn="0" w:lastRowLastColumn="0"/>
              <w:rPr>
                <w:rFonts w:cs="Arial"/>
                <w:bCs/>
                <w:szCs w:val="14"/>
              </w:rPr>
            </w:pPr>
            <w:r w:rsidRPr="00D977B9">
              <w:rPr>
                <w:rFonts w:cs="Arial"/>
                <w:color w:val="000000"/>
                <w:szCs w:val="14"/>
              </w:rPr>
              <w:t>35</w:t>
            </w:r>
            <w:r>
              <w:rPr>
                <w:rFonts w:cs="Arial"/>
                <w:color w:val="000000"/>
                <w:szCs w:val="14"/>
              </w:rPr>
              <w:t>,</w:t>
            </w:r>
            <w:r w:rsidRPr="00D977B9">
              <w:rPr>
                <w:rFonts w:cs="Arial"/>
                <w:color w:val="000000"/>
                <w:szCs w:val="14"/>
              </w:rPr>
              <w:t>195</w:t>
            </w:r>
          </w:p>
        </w:tc>
      </w:tr>
      <w:tr w:rsidR="008B7E19" w:rsidRPr="004A53AE" w14:paraId="5706B394" w14:textId="77777777" w:rsidTr="008B7E19">
        <w:trPr>
          <w:trHeight w:val="238"/>
          <w:jc w:val="center"/>
        </w:trPr>
        <w:tc>
          <w:tcPr>
            <w:cnfStyle w:val="001000000000" w:firstRow="0" w:lastRow="0" w:firstColumn="1" w:lastColumn="0" w:oddVBand="0" w:evenVBand="0" w:oddHBand="0" w:evenHBand="0" w:firstRowFirstColumn="0" w:firstRowLastColumn="0" w:lastRowFirstColumn="0" w:lastRowLastColumn="0"/>
            <w:tcW w:w="3970" w:type="dxa"/>
            <w:tcBorders>
              <w:top w:val="nil"/>
              <w:bottom w:val="nil"/>
            </w:tcBorders>
            <w:shd w:val="clear" w:color="auto" w:fill="auto"/>
            <w:vAlign w:val="center"/>
          </w:tcPr>
          <w:p w14:paraId="676AD878" w14:textId="77777777" w:rsidR="008B7E19" w:rsidRPr="004A53AE" w:rsidRDefault="008B7E19" w:rsidP="008B7E19">
            <w:pPr>
              <w:pStyle w:val="08-Tabelageral"/>
              <w:jc w:val="left"/>
              <w:rPr>
                <w:rFonts w:cs="Arial"/>
                <w:szCs w:val="14"/>
                <w:lang w:val="en-US"/>
              </w:rPr>
            </w:pPr>
            <w:r w:rsidRPr="004A53AE">
              <w:rPr>
                <w:lang w:val="en-US"/>
              </w:rPr>
              <w:t>Total Added Value to Distribute</w:t>
            </w:r>
          </w:p>
        </w:tc>
        <w:tc>
          <w:tcPr>
            <w:tcW w:w="1889" w:type="dxa"/>
            <w:tcBorders>
              <w:top w:val="nil"/>
              <w:bottom w:val="nil"/>
            </w:tcBorders>
            <w:shd w:val="clear" w:color="auto" w:fill="auto"/>
            <w:vAlign w:val="center"/>
          </w:tcPr>
          <w:p w14:paraId="08FF5DFF" w14:textId="77777777" w:rsidR="008B7E19" w:rsidRPr="004A53AE" w:rsidRDefault="008B7E19" w:rsidP="008B7E19">
            <w:pPr>
              <w:pStyle w:val="08-Tabelageral"/>
              <w:ind w:left="113"/>
              <w:cnfStyle w:val="000000000000" w:firstRow="0" w:lastRow="0" w:firstColumn="0" w:lastColumn="0" w:oddVBand="0" w:evenVBand="0" w:oddHBand="0" w:evenHBand="0" w:firstRowFirstColumn="0" w:firstRowLastColumn="0" w:lastRowFirstColumn="0" w:lastRowLastColumn="0"/>
              <w:rPr>
                <w:rFonts w:cs="Arial"/>
                <w:b/>
                <w:bCs/>
                <w:color w:val="auto"/>
                <w:szCs w:val="14"/>
              </w:rPr>
            </w:pPr>
            <w:r w:rsidRPr="00D977B9">
              <w:rPr>
                <w:rFonts w:cs="Arial"/>
                <w:b/>
                <w:bCs/>
                <w:color w:val="000000"/>
                <w:szCs w:val="14"/>
              </w:rPr>
              <w:t>2</w:t>
            </w:r>
            <w:r>
              <w:rPr>
                <w:rFonts w:cs="Arial"/>
                <w:b/>
                <w:bCs/>
                <w:color w:val="000000"/>
                <w:szCs w:val="14"/>
              </w:rPr>
              <w:t>,</w:t>
            </w:r>
            <w:r w:rsidRPr="00D977B9">
              <w:rPr>
                <w:rFonts w:cs="Arial"/>
                <w:b/>
                <w:bCs/>
                <w:color w:val="000000"/>
                <w:szCs w:val="14"/>
              </w:rPr>
              <w:t>622</w:t>
            </w:r>
            <w:r>
              <w:rPr>
                <w:rFonts w:cs="Arial"/>
                <w:b/>
                <w:bCs/>
                <w:color w:val="000000"/>
                <w:szCs w:val="14"/>
              </w:rPr>
              <w:t>,</w:t>
            </w:r>
            <w:r w:rsidRPr="00D977B9">
              <w:rPr>
                <w:rFonts w:cs="Arial"/>
                <w:b/>
                <w:bCs/>
                <w:color w:val="000000"/>
                <w:szCs w:val="14"/>
              </w:rPr>
              <w:t>007</w:t>
            </w:r>
          </w:p>
        </w:tc>
        <w:tc>
          <w:tcPr>
            <w:tcW w:w="1890" w:type="dxa"/>
            <w:tcBorders>
              <w:top w:val="nil"/>
              <w:bottom w:val="nil"/>
            </w:tcBorders>
            <w:shd w:val="clear" w:color="auto" w:fill="auto"/>
            <w:vAlign w:val="center"/>
          </w:tcPr>
          <w:p w14:paraId="47C5B06A" w14:textId="77777777" w:rsidR="008B7E19" w:rsidRPr="004A53AE" w:rsidRDefault="008B7E19" w:rsidP="008B7E19">
            <w:pPr>
              <w:pStyle w:val="08-Tabelageral"/>
              <w:ind w:left="113"/>
              <w:cnfStyle w:val="000000000000" w:firstRow="0" w:lastRow="0" w:firstColumn="0" w:lastColumn="0" w:oddVBand="0" w:evenVBand="0" w:oddHBand="0" w:evenHBand="0" w:firstRowFirstColumn="0" w:firstRowLastColumn="0" w:lastRowFirstColumn="0" w:lastRowLastColumn="0"/>
              <w:rPr>
                <w:rFonts w:cs="Arial"/>
                <w:b/>
                <w:bCs/>
                <w:color w:val="auto"/>
                <w:szCs w:val="14"/>
              </w:rPr>
            </w:pPr>
            <w:r w:rsidRPr="00D977B9">
              <w:rPr>
                <w:rFonts w:cs="Arial"/>
                <w:b/>
                <w:bCs/>
                <w:color w:val="000000"/>
                <w:szCs w:val="14"/>
              </w:rPr>
              <w:t>127</w:t>
            </w:r>
            <w:r>
              <w:rPr>
                <w:rFonts w:cs="Arial"/>
                <w:b/>
                <w:bCs/>
                <w:color w:val="000000"/>
                <w:szCs w:val="14"/>
              </w:rPr>
              <w:t>,</w:t>
            </w:r>
            <w:r w:rsidRPr="00D977B9">
              <w:rPr>
                <w:rFonts w:cs="Arial"/>
                <w:b/>
                <w:bCs/>
                <w:color w:val="000000"/>
                <w:szCs w:val="14"/>
              </w:rPr>
              <w:t>855</w:t>
            </w:r>
          </w:p>
        </w:tc>
        <w:tc>
          <w:tcPr>
            <w:tcW w:w="1890" w:type="dxa"/>
            <w:tcBorders>
              <w:top w:val="nil"/>
              <w:bottom w:val="nil"/>
            </w:tcBorders>
            <w:shd w:val="clear" w:color="auto" w:fill="auto"/>
            <w:vAlign w:val="center"/>
          </w:tcPr>
          <w:p w14:paraId="060DB5DE" w14:textId="77777777" w:rsidR="008B7E19" w:rsidRPr="004A53AE" w:rsidRDefault="008B7E19" w:rsidP="008B7E19">
            <w:pPr>
              <w:pStyle w:val="08-Tabelageral"/>
              <w:ind w:left="113"/>
              <w:cnfStyle w:val="000000000000" w:firstRow="0" w:lastRow="0" w:firstColumn="0" w:lastColumn="0" w:oddVBand="0" w:evenVBand="0" w:oddHBand="0" w:evenHBand="0" w:firstRowFirstColumn="0" w:firstRowLastColumn="0" w:lastRowFirstColumn="0" w:lastRowLastColumn="0"/>
              <w:rPr>
                <w:rFonts w:cs="Arial"/>
                <w:b/>
                <w:bCs/>
                <w:color w:val="auto"/>
                <w:szCs w:val="14"/>
              </w:rPr>
            </w:pPr>
            <w:r w:rsidRPr="00D977B9">
              <w:rPr>
                <w:rFonts w:cs="Arial"/>
                <w:b/>
                <w:bCs/>
                <w:color w:val="000000"/>
                <w:szCs w:val="14"/>
              </w:rPr>
              <w:t>2</w:t>
            </w:r>
            <w:r>
              <w:rPr>
                <w:rFonts w:cs="Arial"/>
                <w:b/>
                <w:bCs/>
                <w:color w:val="000000"/>
                <w:szCs w:val="14"/>
              </w:rPr>
              <w:t>,</w:t>
            </w:r>
            <w:r w:rsidRPr="00D977B9">
              <w:rPr>
                <w:rFonts w:cs="Arial"/>
                <w:b/>
                <w:bCs/>
                <w:color w:val="000000"/>
                <w:szCs w:val="14"/>
              </w:rPr>
              <w:t>749</w:t>
            </w:r>
            <w:r>
              <w:rPr>
                <w:rFonts w:cs="Arial"/>
                <w:b/>
                <w:bCs/>
                <w:color w:val="000000"/>
                <w:szCs w:val="14"/>
              </w:rPr>
              <w:t>,</w:t>
            </w:r>
            <w:r w:rsidRPr="00D977B9">
              <w:rPr>
                <w:rFonts w:cs="Arial"/>
                <w:b/>
                <w:bCs/>
                <w:color w:val="000000"/>
                <w:szCs w:val="14"/>
              </w:rPr>
              <w:t>862</w:t>
            </w:r>
          </w:p>
        </w:tc>
      </w:tr>
      <w:tr w:rsidR="008B7E19" w:rsidRPr="004A53AE" w14:paraId="64BF405E"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970" w:type="dxa"/>
            <w:tcBorders>
              <w:top w:val="nil"/>
              <w:bottom w:val="nil"/>
            </w:tcBorders>
            <w:shd w:val="clear" w:color="auto" w:fill="auto"/>
            <w:vAlign w:val="center"/>
          </w:tcPr>
          <w:p w14:paraId="37241BDE" w14:textId="77777777" w:rsidR="008B7E19" w:rsidRPr="004A53AE" w:rsidRDefault="008B7E19" w:rsidP="008B7E19">
            <w:pPr>
              <w:pStyle w:val="08-Tabelageral"/>
              <w:jc w:val="left"/>
              <w:rPr>
                <w:rFonts w:cs="Arial"/>
                <w:szCs w:val="14"/>
              </w:rPr>
            </w:pPr>
          </w:p>
        </w:tc>
        <w:tc>
          <w:tcPr>
            <w:tcW w:w="1889" w:type="dxa"/>
            <w:tcBorders>
              <w:top w:val="nil"/>
              <w:bottom w:val="nil"/>
            </w:tcBorders>
            <w:shd w:val="clear" w:color="auto" w:fill="auto"/>
            <w:vAlign w:val="center"/>
          </w:tcPr>
          <w:p w14:paraId="7F4DEB16" w14:textId="77777777" w:rsidR="008B7E19" w:rsidRPr="004A53AE" w:rsidRDefault="008B7E19" w:rsidP="008B7E19">
            <w:pPr>
              <w:pStyle w:val="08-Tabelageral"/>
              <w:ind w:left="113"/>
              <w:cnfStyle w:val="000000100000" w:firstRow="0" w:lastRow="0" w:firstColumn="0" w:lastColumn="0" w:oddVBand="0" w:evenVBand="0" w:oddHBand="1" w:evenHBand="0" w:firstRowFirstColumn="0" w:firstRowLastColumn="0" w:lastRowFirstColumn="0" w:lastRowLastColumn="0"/>
              <w:rPr>
                <w:rFonts w:cs="Arial"/>
                <w:b/>
                <w:color w:val="auto"/>
                <w:szCs w:val="14"/>
              </w:rPr>
            </w:pPr>
          </w:p>
        </w:tc>
        <w:tc>
          <w:tcPr>
            <w:tcW w:w="1890" w:type="dxa"/>
            <w:tcBorders>
              <w:top w:val="nil"/>
              <w:bottom w:val="nil"/>
            </w:tcBorders>
            <w:shd w:val="clear" w:color="auto" w:fill="auto"/>
            <w:vAlign w:val="center"/>
          </w:tcPr>
          <w:p w14:paraId="6B40AA38" w14:textId="77777777" w:rsidR="008B7E19" w:rsidRPr="004A53AE" w:rsidRDefault="008B7E19" w:rsidP="008B7E19">
            <w:pPr>
              <w:pStyle w:val="08-Tabelageral"/>
              <w:ind w:left="113"/>
              <w:cnfStyle w:val="000000100000" w:firstRow="0" w:lastRow="0" w:firstColumn="0" w:lastColumn="0" w:oddVBand="0" w:evenVBand="0" w:oddHBand="1" w:evenHBand="0" w:firstRowFirstColumn="0" w:firstRowLastColumn="0" w:lastRowFirstColumn="0" w:lastRowLastColumn="0"/>
              <w:rPr>
                <w:rFonts w:cs="Arial"/>
                <w:b/>
                <w:color w:val="auto"/>
                <w:szCs w:val="14"/>
              </w:rPr>
            </w:pPr>
          </w:p>
        </w:tc>
        <w:tc>
          <w:tcPr>
            <w:tcW w:w="1890" w:type="dxa"/>
            <w:tcBorders>
              <w:top w:val="nil"/>
              <w:bottom w:val="nil"/>
            </w:tcBorders>
            <w:shd w:val="clear" w:color="auto" w:fill="auto"/>
            <w:vAlign w:val="center"/>
          </w:tcPr>
          <w:p w14:paraId="2ACF10AB" w14:textId="77777777" w:rsidR="008B7E19" w:rsidRPr="004A53AE" w:rsidRDefault="008B7E19" w:rsidP="008B7E19">
            <w:pPr>
              <w:pStyle w:val="08-Tabelageral"/>
              <w:ind w:left="113"/>
              <w:cnfStyle w:val="000000100000" w:firstRow="0" w:lastRow="0" w:firstColumn="0" w:lastColumn="0" w:oddVBand="0" w:evenVBand="0" w:oddHBand="1" w:evenHBand="0" w:firstRowFirstColumn="0" w:firstRowLastColumn="0" w:lastRowFirstColumn="0" w:lastRowLastColumn="0"/>
              <w:rPr>
                <w:rFonts w:cs="Arial"/>
                <w:b/>
                <w:color w:val="auto"/>
                <w:szCs w:val="14"/>
              </w:rPr>
            </w:pPr>
          </w:p>
        </w:tc>
      </w:tr>
      <w:tr w:rsidR="008B7E19" w:rsidRPr="004A53AE" w14:paraId="24D6B8BA" w14:textId="77777777" w:rsidTr="008B7E19">
        <w:trPr>
          <w:trHeight w:val="238"/>
          <w:jc w:val="center"/>
        </w:trPr>
        <w:tc>
          <w:tcPr>
            <w:cnfStyle w:val="001000000000" w:firstRow="0" w:lastRow="0" w:firstColumn="1" w:lastColumn="0" w:oddVBand="0" w:evenVBand="0" w:oddHBand="0" w:evenHBand="0" w:firstRowFirstColumn="0" w:firstRowLastColumn="0" w:lastRowFirstColumn="0" w:lastRowLastColumn="0"/>
            <w:tcW w:w="3970" w:type="dxa"/>
            <w:tcBorders>
              <w:top w:val="nil"/>
              <w:bottom w:val="nil"/>
            </w:tcBorders>
            <w:shd w:val="clear" w:color="auto" w:fill="auto"/>
            <w:vAlign w:val="center"/>
          </w:tcPr>
          <w:p w14:paraId="18154498" w14:textId="77777777" w:rsidR="008B7E19" w:rsidRPr="004A53AE" w:rsidRDefault="008B7E19" w:rsidP="008B7E19">
            <w:pPr>
              <w:pStyle w:val="08-Tabelageral"/>
              <w:jc w:val="left"/>
              <w:rPr>
                <w:rFonts w:cs="Arial"/>
                <w:szCs w:val="14"/>
              </w:rPr>
            </w:pPr>
            <w:r w:rsidRPr="004A53AE">
              <w:t>Distribution of Added Value</w:t>
            </w:r>
          </w:p>
        </w:tc>
        <w:tc>
          <w:tcPr>
            <w:tcW w:w="1889" w:type="dxa"/>
            <w:tcBorders>
              <w:top w:val="nil"/>
              <w:bottom w:val="nil"/>
            </w:tcBorders>
            <w:shd w:val="clear" w:color="auto" w:fill="auto"/>
            <w:vAlign w:val="center"/>
          </w:tcPr>
          <w:p w14:paraId="02F54B05" w14:textId="77777777" w:rsidR="008B7E19" w:rsidRPr="004A53AE" w:rsidRDefault="008B7E19" w:rsidP="008B7E19">
            <w:pPr>
              <w:pStyle w:val="08-Tabelageral"/>
              <w:ind w:left="113"/>
              <w:cnfStyle w:val="000000000000" w:firstRow="0" w:lastRow="0" w:firstColumn="0" w:lastColumn="0" w:oddVBand="0" w:evenVBand="0" w:oddHBand="0" w:evenHBand="0" w:firstRowFirstColumn="0" w:firstRowLastColumn="0" w:lastRowFirstColumn="0" w:lastRowLastColumn="0"/>
              <w:rPr>
                <w:rFonts w:cs="Arial"/>
                <w:b/>
                <w:bCs/>
                <w:color w:val="auto"/>
                <w:szCs w:val="14"/>
              </w:rPr>
            </w:pPr>
            <w:r w:rsidRPr="00D977B9">
              <w:rPr>
                <w:rFonts w:cs="Arial"/>
                <w:b/>
                <w:bCs/>
                <w:color w:val="000000"/>
                <w:szCs w:val="14"/>
              </w:rPr>
              <w:t>2</w:t>
            </w:r>
            <w:r>
              <w:rPr>
                <w:rFonts w:cs="Arial"/>
                <w:b/>
                <w:bCs/>
                <w:color w:val="000000"/>
                <w:szCs w:val="14"/>
              </w:rPr>
              <w:t>,</w:t>
            </w:r>
            <w:r w:rsidRPr="00D977B9">
              <w:rPr>
                <w:rFonts w:cs="Arial"/>
                <w:b/>
                <w:bCs/>
                <w:color w:val="000000"/>
                <w:szCs w:val="14"/>
              </w:rPr>
              <w:t>622</w:t>
            </w:r>
            <w:r>
              <w:rPr>
                <w:rFonts w:cs="Arial"/>
                <w:b/>
                <w:bCs/>
                <w:color w:val="000000"/>
                <w:szCs w:val="14"/>
              </w:rPr>
              <w:t>,</w:t>
            </w:r>
            <w:r w:rsidRPr="00D977B9">
              <w:rPr>
                <w:rFonts w:cs="Arial"/>
                <w:b/>
                <w:bCs/>
                <w:color w:val="000000"/>
                <w:szCs w:val="14"/>
              </w:rPr>
              <w:t>007</w:t>
            </w:r>
          </w:p>
        </w:tc>
        <w:tc>
          <w:tcPr>
            <w:tcW w:w="1890" w:type="dxa"/>
            <w:tcBorders>
              <w:top w:val="nil"/>
              <w:bottom w:val="nil"/>
            </w:tcBorders>
            <w:shd w:val="clear" w:color="auto" w:fill="auto"/>
            <w:vAlign w:val="center"/>
          </w:tcPr>
          <w:p w14:paraId="174BC374" w14:textId="77777777" w:rsidR="008B7E19" w:rsidRPr="004A53AE" w:rsidRDefault="008B7E19" w:rsidP="008B7E19">
            <w:pPr>
              <w:pStyle w:val="08-Tabelageral"/>
              <w:ind w:left="113"/>
              <w:cnfStyle w:val="000000000000" w:firstRow="0" w:lastRow="0" w:firstColumn="0" w:lastColumn="0" w:oddVBand="0" w:evenVBand="0" w:oddHBand="0" w:evenHBand="0" w:firstRowFirstColumn="0" w:firstRowLastColumn="0" w:lastRowFirstColumn="0" w:lastRowLastColumn="0"/>
              <w:rPr>
                <w:rFonts w:cs="Arial"/>
                <w:b/>
                <w:bCs/>
                <w:color w:val="auto"/>
                <w:szCs w:val="14"/>
              </w:rPr>
            </w:pPr>
            <w:r w:rsidRPr="00D977B9">
              <w:rPr>
                <w:rFonts w:cs="Arial"/>
                <w:b/>
                <w:bCs/>
                <w:color w:val="000000"/>
                <w:szCs w:val="14"/>
              </w:rPr>
              <w:t>127</w:t>
            </w:r>
            <w:r>
              <w:rPr>
                <w:rFonts w:cs="Arial"/>
                <w:b/>
                <w:bCs/>
                <w:color w:val="000000"/>
                <w:szCs w:val="14"/>
              </w:rPr>
              <w:t>,</w:t>
            </w:r>
            <w:r w:rsidRPr="00D977B9">
              <w:rPr>
                <w:rFonts w:cs="Arial"/>
                <w:b/>
                <w:bCs/>
                <w:color w:val="000000"/>
                <w:szCs w:val="14"/>
              </w:rPr>
              <w:t>855</w:t>
            </w:r>
          </w:p>
        </w:tc>
        <w:tc>
          <w:tcPr>
            <w:tcW w:w="1890" w:type="dxa"/>
            <w:tcBorders>
              <w:top w:val="nil"/>
              <w:bottom w:val="nil"/>
            </w:tcBorders>
            <w:shd w:val="clear" w:color="auto" w:fill="auto"/>
            <w:vAlign w:val="center"/>
          </w:tcPr>
          <w:p w14:paraId="5095FB4E" w14:textId="77777777" w:rsidR="008B7E19" w:rsidRPr="004A53AE" w:rsidRDefault="008B7E19" w:rsidP="008B7E19">
            <w:pPr>
              <w:pStyle w:val="08-Tabelageral"/>
              <w:ind w:left="113"/>
              <w:cnfStyle w:val="000000000000" w:firstRow="0" w:lastRow="0" w:firstColumn="0" w:lastColumn="0" w:oddVBand="0" w:evenVBand="0" w:oddHBand="0" w:evenHBand="0" w:firstRowFirstColumn="0" w:firstRowLastColumn="0" w:lastRowFirstColumn="0" w:lastRowLastColumn="0"/>
              <w:rPr>
                <w:rFonts w:cs="Arial"/>
                <w:b/>
                <w:bCs/>
                <w:color w:val="auto"/>
                <w:szCs w:val="14"/>
              </w:rPr>
            </w:pPr>
            <w:r w:rsidRPr="00D977B9">
              <w:rPr>
                <w:rFonts w:cs="Arial"/>
                <w:b/>
                <w:bCs/>
                <w:color w:val="000000"/>
                <w:szCs w:val="14"/>
              </w:rPr>
              <w:t>2</w:t>
            </w:r>
            <w:r>
              <w:rPr>
                <w:rFonts w:cs="Arial"/>
                <w:b/>
                <w:bCs/>
                <w:color w:val="000000"/>
                <w:szCs w:val="14"/>
              </w:rPr>
              <w:t>,</w:t>
            </w:r>
            <w:r w:rsidRPr="00D977B9">
              <w:rPr>
                <w:rFonts w:cs="Arial"/>
                <w:b/>
                <w:bCs/>
                <w:color w:val="000000"/>
                <w:szCs w:val="14"/>
              </w:rPr>
              <w:t>749</w:t>
            </w:r>
            <w:r>
              <w:rPr>
                <w:rFonts w:cs="Arial"/>
                <w:b/>
                <w:bCs/>
                <w:color w:val="000000"/>
                <w:szCs w:val="14"/>
              </w:rPr>
              <w:t>,</w:t>
            </w:r>
            <w:r w:rsidRPr="00D977B9">
              <w:rPr>
                <w:rFonts w:cs="Arial"/>
                <w:b/>
                <w:bCs/>
                <w:color w:val="000000"/>
                <w:szCs w:val="14"/>
              </w:rPr>
              <w:t>862</w:t>
            </w:r>
          </w:p>
        </w:tc>
      </w:tr>
      <w:tr w:rsidR="008B7E19" w:rsidRPr="004A53AE" w14:paraId="3F52DE4D"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970" w:type="dxa"/>
            <w:tcBorders>
              <w:top w:val="nil"/>
              <w:bottom w:val="nil"/>
            </w:tcBorders>
            <w:shd w:val="clear" w:color="auto" w:fill="auto"/>
            <w:vAlign w:val="center"/>
          </w:tcPr>
          <w:p w14:paraId="5C7985CB" w14:textId="77777777" w:rsidR="008B7E19" w:rsidRPr="004A53AE" w:rsidRDefault="008B7E19" w:rsidP="008B7E19">
            <w:pPr>
              <w:pStyle w:val="08-Tabelageral"/>
              <w:jc w:val="left"/>
              <w:rPr>
                <w:rFonts w:cs="Arial"/>
                <w:szCs w:val="14"/>
              </w:rPr>
            </w:pPr>
            <w:r w:rsidRPr="004A53AE">
              <w:t>Personnel</w:t>
            </w:r>
          </w:p>
        </w:tc>
        <w:tc>
          <w:tcPr>
            <w:tcW w:w="1889" w:type="dxa"/>
            <w:tcBorders>
              <w:top w:val="nil"/>
              <w:bottom w:val="nil"/>
            </w:tcBorders>
            <w:shd w:val="clear" w:color="auto" w:fill="auto"/>
            <w:vAlign w:val="center"/>
          </w:tcPr>
          <w:p w14:paraId="3D0EAEDD" w14:textId="77777777" w:rsidR="008B7E19" w:rsidRPr="004A53AE" w:rsidRDefault="008B7E19" w:rsidP="008B7E19">
            <w:pPr>
              <w:pStyle w:val="08-Tabelageral"/>
              <w:ind w:left="113"/>
              <w:cnfStyle w:val="000000100000" w:firstRow="0" w:lastRow="0" w:firstColumn="0" w:lastColumn="0" w:oddVBand="0" w:evenVBand="0" w:oddHBand="1" w:evenHBand="0" w:firstRowFirstColumn="0" w:firstRowLastColumn="0" w:lastRowFirstColumn="0" w:lastRowLastColumn="0"/>
              <w:rPr>
                <w:rFonts w:cs="Arial"/>
                <w:b/>
                <w:bCs/>
                <w:color w:val="auto"/>
                <w:szCs w:val="14"/>
              </w:rPr>
            </w:pPr>
            <w:r w:rsidRPr="00D977B9">
              <w:rPr>
                <w:rFonts w:cs="Arial"/>
                <w:b/>
                <w:bCs/>
                <w:color w:val="000000"/>
                <w:szCs w:val="14"/>
              </w:rPr>
              <w:t>6</w:t>
            </w:r>
            <w:r>
              <w:rPr>
                <w:rFonts w:cs="Arial"/>
                <w:b/>
                <w:bCs/>
                <w:color w:val="000000"/>
                <w:szCs w:val="14"/>
              </w:rPr>
              <w:t>,</w:t>
            </w:r>
            <w:r w:rsidRPr="00D977B9">
              <w:rPr>
                <w:rFonts w:cs="Arial"/>
                <w:b/>
                <w:bCs/>
                <w:color w:val="000000"/>
                <w:szCs w:val="14"/>
              </w:rPr>
              <w:t>917</w:t>
            </w:r>
          </w:p>
        </w:tc>
        <w:tc>
          <w:tcPr>
            <w:tcW w:w="1890" w:type="dxa"/>
            <w:tcBorders>
              <w:top w:val="nil"/>
              <w:bottom w:val="nil"/>
            </w:tcBorders>
            <w:shd w:val="clear" w:color="auto" w:fill="auto"/>
            <w:vAlign w:val="center"/>
          </w:tcPr>
          <w:p w14:paraId="77572042" w14:textId="77777777" w:rsidR="008B7E19" w:rsidRPr="004A53AE" w:rsidRDefault="008B7E19" w:rsidP="008B7E19">
            <w:pPr>
              <w:pStyle w:val="08-Tabelageral"/>
              <w:ind w:left="113"/>
              <w:cnfStyle w:val="000000100000" w:firstRow="0" w:lastRow="0" w:firstColumn="0" w:lastColumn="0" w:oddVBand="0" w:evenVBand="0" w:oddHBand="1" w:evenHBand="0" w:firstRowFirstColumn="0" w:firstRowLastColumn="0" w:lastRowFirstColumn="0" w:lastRowLastColumn="0"/>
              <w:rPr>
                <w:rFonts w:cs="Arial"/>
                <w:b/>
                <w:bCs/>
                <w:color w:val="auto"/>
                <w:szCs w:val="14"/>
              </w:rPr>
            </w:pPr>
            <w:r w:rsidRPr="00D977B9">
              <w:rPr>
                <w:rFonts w:cs="Arial"/>
                <w:b/>
                <w:bCs/>
                <w:color w:val="000000"/>
                <w:szCs w:val="14"/>
              </w:rPr>
              <w:t>(977)</w:t>
            </w:r>
          </w:p>
        </w:tc>
        <w:tc>
          <w:tcPr>
            <w:tcW w:w="1890" w:type="dxa"/>
            <w:tcBorders>
              <w:top w:val="nil"/>
              <w:bottom w:val="nil"/>
            </w:tcBorders>
            <w:shd w:val="clear" w:color="auto" w:fill="auto"/>
            <w:vAlign w:val="center"/>
          </w:tcPr>
          <w:p w14:paraId="647D8B38" w14:textId="77777777" w:rsidR="008B7E19" w:rsidRPr="004A53AE" w:rsidRDefault="008B7E19" w:rsidP="008B7E19">
            <w:pPr>
              <w:pStyle w:val="08-Tabelageral"/>
              <w:ind w:left="113"/>
              <w:cnfStyle w:val="000000100000" w:firstRow="0" w:lastRow="0" w:firstColumn="0" w:lastColumn="0" w:oddVBand="0" w:evenVBand="0" w:oddHBand="1" w:evenHBand="0" w:firstRowFirstColumn="0" w:firstRowLastColumn="0" w:lastRowFirstColumn="0" w:lastRowLastColumn="0"/>
              <w:rPr>
                <w:rFonts w:cs="Arial"/>
                <w:b/>
                <w:bCs/>
                <w:color w:val="auto"/>
                <w:szCs w:val="14"/>
              </w:rPr>
            </w:pPr>
            <w:r w:rsidRPr="00D977B9">
              <w:rPr>
                <w:rFonts w:cs="Arial"/>
                <w:b/>
                <w:bCs/>
                <w:color w:val="000000"/>
                <w:szCs w:val="14"/>
              </w:rPr>
              <w:t>5</w:t>
            </w:r>
            <w:r>
              <w:rPr>
                <w:rFonts w:cs="Arial"/>
                <w:b/>
                <w:bCs/>
                <w:color w:val="000000"/>
                <w:szCs w:val="14"/>
              </w:rPr>
              <w:t>,</w:t>
            </w:r>
            <w:r w:rsidRPr="00D977B9">
              <w:rPr>
                <w:rFonts w:cs="Arial"/>
                <w:b/>
                <w:bCs/>
                <w:color w:val="000000"/>
                <w:szCs w:val="14"/>
              </w:rPr>
              <w:t>940</w:t>
            </w:r>
          </w:p>
        </w:tc>
      </w:tr>
      <w:tr w:rsidR="008B7E19" w:rsidRPr="004A53AE" w14:paraId="4565222A" w14:textId="77777777" w:rsidTr="008B7E19">
        <w:trPr>
          <w:trHeight w:val="238"/>
          <w:jc w:val="center"/>
        </w:trPr>
        <w:tc>
          <w:tcPr>
            <w:cnfStyle w:val="001000000000" w:firstRow="0" w:lastRow="0" w:firstColumn="1" w:lastColumn="0" w:oddVBand="0" w:evenVBand="0" w:oddHBand="0" w:evenHBand="0" w:firstRowFirstColumn="0" w:firstRowLastColumn="0" w:lastRowFirstColumn="0" w:lastRowLastColumn="0"/>
            <w:tcW w:w="3970" w:type="dxa"/>
            <w:tcBorders>
              <w:top w:val="nil"/>
              <w:bottom w:val="nil"/>
            </w:tcBorders>
            <w:shd w:val="clear" w:color="auto" w:fill="auto"/>
          </w:tcPr>
          <w:p w14:paraId="69270C95" w14:textId="77777777" w:rsidR="008B7E19" w:rsidRPr="004A53AE" w:rsidRDefault="008B7E19" w:rsidP="008B7E19">
            <w:pPr>
              <w:pStyle w:val="08-Tabelageral"/>
              <w:ind w:left="113"/>
              <w:jc w:val="left"/>
              <w:rPr>
                <w:rFonts w:cs="Arial"/>
                <w:b w:val="0"/>
                <w:szCs w:val="14"/>
                <w:lang w:val="en-US"/>
              </w:rPr>
            </w:pPr>
            <w:r w:rsidRPr="004A53AE">
              <w:rPr>
                <w:b w:val="0"/>
                <w:lang w:val="en-US"/>
              </w:rPr>
              <w:t>Direct remuneration - Earnings and fees</w:t>
            </w:r>
          </w:p>
        </w:tc>
        <w:tc>
          <w:tcPr>
            <w:tcW w:w="1889" w:type="dxa"/>
            <w:tcBorders>
              <w:top w:val="nil"/>
              <w:bottom w:val="nil"/>
            </w:tcBorders>
            <w:shd w:val="clear" w:color="auto" w:fill="auto"/>
            <w:vAlign w:val="center"/>
          </w:tcPr>
          <w:p w14:paraId="1A1A9D74" w14:textId="77777777" w:rsidR="008B7E19" w:rsidRPr="004A53AE" w:rsidRDefault="008B7E19" w:rsidP="008B7E19">
            <w:pPr>
              <w:pStyle w:val="08-Tabelageral"/>
              <w:ind w:left="113"/>
              <w:cnfStyle w:val="000000000000" w:firstRow="0" w:lastRow="0" w:firstColumn="0" w:lastColumn="0" w:oddVBand="0" w:evenVBand="0" w:oddHBand="0" w:evenHBand="0" w:firstRowFirstColumn="0" w:firstRowLastColumn="0" w:lastRowFirstColumn="0" w:lastRowLastColumn="0"/>
              <w:rPr>
                <w:rFonts w:cs="Arial"/>
                <w:bCs/>
                <w:color w:val="auto"/>
                <w:szCs w:val="14"/>
              </w:rPr>
            </w:pPr>
            <w:r w:rsidRPr="00D977B9">
              <w:rPr>
                <w:rFonts w:cs="Arial"/>
                <w:color w:val="000000"/>
                <w:szCs w:val="14"/>
              </w:rPr>
              <w:t>--</w:t>
            </w:r>
          </w:p>
        </w:tc>
        <w:tc>
          <w:tcPr>
            <w:tcW w:w="1890" w:type="dxa"/>
            <w:tcBorders>
              <w:top w:val="nil"/>
              <w:bottom w:val="nil"/>
            </w:tcBorders>
            <w:shd w:val="clear" w:color="auto" w:fill="auto"/>
            <w:vAlign w:val="center"/>
          </w:tcPr>
          <w:p w14:paraId="0A171F25" w14:textId="77777777" w:rsidR="008B7E19" w:rsidRPr="004A53AE" w:rsidRDefault="008B7E19" w:rsidP="008B7E19">
            <w:pPr>
              <w:pStyle w:val="08-Tabelageral"/>
              <w:ind w:left="113"/>
              <w:cnfStyle w:val="000000000000" w:firstRow="0" w:lastRow="0" w:firstColumn="0" w:lastColumn="0" w:oddVBand="0" w:evenVBand="0" w:oddHBand="0" w:evenHBand="0" w:firstRowFirstColumn="0" w:firstRowLastColumn="0" w:lastRowFirstColumn="0" w:lastRowLastColumn="0"/>
              <w:rPr>
                <w:rFonts w:cs="Arial"/>
                <w:bCs/>
                <w:color w:val="auto"/>
                <w:szCs w:val="14"/>
              </w:rPr>
            </w:pPr>
            <w:r w:rsidRPr="00D977B9">
              <w:rPr>
                <w:rFonts w:cs="Arial"/>
                <w:color w:val="000000"/>
                <w:szCs w:val="14"/>
              </w:rPr>
              <w:t>4</w:t>
            </w:r>
            <w:r>
              <w:rPr>
                <w:rFonts w:cs="Arial"/>
                <w:color w:val="000000"/>
                <w:szCs w:val="14"/>
              </w:rPr>
              <w:t>,</w:t>
            </w:r>
            <w:r w:rsidRPr="00D977B9">
              <w:rPr>
                <w:rFonts w:cs="Arial"/>
                <w:color w:val="000000"/>
                <w:szCs w:val="14"/>
              </w:rPr>
              <w:t>344</w:t>
            </w:r>
          </w:p>
        </w:tc>
        <w:tc>
          <w:tcPr>
            <w:tcW w:w="1890" w:type="dxa"/>
            <w:tcBorders>
              <w:top w:val="nil"/>
              <w:bottom w:val="nil"/>
            </w:tcBorders>
            <w:shd w:val="clear" w:color="auto" w:fill="auto"/>
            <w:vAlign w:val="center"/>
          </w:tcPr>
          <w:p w14:paraId="3412842B" w14:textId="77777777" w:rsidR="008B7E19" w:rsidRPr="004A53AE" w:rsidRDefault="008B7E19" w:rsidP="008B7E19">
            <w:pPr>
              <w:pStyle w:val="08-Tabelageral"/>
              <w:ind w:left="113"/>
              <w:cnfStyle w:val="000000000000" w:firstRow="0" w:lastRow="0" w:firstColumn="0" w:lastColumn="0" w:oddVBand="0" w:evenVBand="0" w:oddHBand="0" w:evenHBand="0" w:firstRowFirstColumn="0" w:firstRowLastColumn="0" w:lastRowFirstColumn="0" w:lastRowLastColumn="0"/>
              <w:rPr>
                <w:rFonts w:cs="Arial"/>
                <w:bCs/>
                <w:color w:val="auto"/>
                <w:szCs w:val="14"/>
              </w:rPr>
            </w:pPr>
            <w:r w:rsidRPr="00D977B9">
              <w:rPr>
                <w:rFonts w:cs="Arial"/>
                <w:color w:val="000000"/>
                <w:szCs w:val="14"/>
              </w:rPr>
              <w:t>4</w:t>
            </w:r>
            <w:r>
              <w:rPr>
                <w:rFonts w:cs="Arial"/>
                <w:color w:val="000000"/>
                <w:szCs w:val="14"/>
              </w:rPr>
              <w:t>,</w:t>
            </w:r>
            <w:r w:rsidRPr="00D977B9">
              <w:rPr>
                <w:rFonts w:cs="Arial"/>
                <w:color w:val="000000"/>
                <w:szCs w:val="14"/>
              </w:rPr>
              <w:t>344</w:t>
            </w:r>
          </w:p>
        </w:tc>
      </w:tr>
      <w:tr w:rsidR="008B7E19" w:rsidRPr="004A53AE" w14:paraId="7AB62CD3"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970" w:type="dxa"/>
            <w:tcBorders>
              <w:top w:val="nil"/>
              <w:bottom w:val="nil"/>
            </w:tcBorders>
            <w:shd w:val="clear" w:color="auto" w:fill="auto"/>
          </w:tcPr>
          <w:p w14:paraId="53DC761B" w14:textId="77777777" w:rsidR="008B7E19" w:rsidRPr="004A53AE" w:rsidRDefault="008B7E19" w:rsidP="008B7E19">
            <w:pPr>
              <w:pStyle w:val="08-Tabelageral"/>
              <w:ind w:left="113"/>
              <w:jc w:val="left"/>
              <w:rPr>
                <w:rFonts w:cs="Arial"/>
                <w:b w:val="0"/>
                <w:szCs w:val="14"/>
              </w:rPr>
            </w:pPr>
            <w:r w:rsidRPr="004A53AE">
              <w:rPr>
                <w:b w:val="0"/>
              </w:rPr>
              <w:t>Benefits and training</w:t>
            </w:r>
          </w:p>
        </w:tc>
        <w:tc>
          <w:tcPr>
            <w:tcW w:w="1889" w:type="dxa"/>
            <w:tcBorders>
              <w:top w:val="nil"/>
              <w:bottom w:val="nil"/>
            </w:tcBorders>
            <w:shd w:val="clear" w:color="auto" w:fill="auto"/>
            <w:vAlign w:val="center"/>
          </w:tcPr>
          <w:p w14:paraId="4BABC346" w14:textId="77777777" w:rsidR="008B7E19" w:rsidRPr="004A53AE" w:rsidRDefault="008B7E19" w:rsidP="008B7E19">
            <w:pPr>
              <w:pStyle w:val="08-Tabelageral"/>
              <w:ind w:left="113"/>
              <w:cnfStyle w:val="000000100000" w:firstRow="0" w:lastRow="0" w:firstColumn="0" w:lastColumn="0" w:oddVBand="0" w:evenVBand="0" w:oddHBand="1" w:evenHBand="0" w:firstRowFirstColumn="0" w:firstRowLastColumn="0" w:lastRowFirstColumn="0" w:lastRowLastColumn="0"/>
              <w:rPr>
                <w:rFonts w:cs="Arial"/>
                <w:bCs/>
                <w:color w:val="auto"/>
                <w:szCs w:val="14"/>
              </w:rPr>
            </w:pPr>
            <w:r w:rsidRPr="00D977B9">
              <w:rPr>
                <w:rFonts w:cs="Arial"/>
                <w:color w:val="000000"/>
                <w:szCs w:val="14"/>
              </w:rPr>
              <w:t>--</w:t>
            </w:r>
          </w:p>
        </w:tc>
        <w:tc>
          <w:tcPr>
            <w:tcW w:w="1890" w:type="dxa"/>
            <w:tcBorders>
              <w:top w:val="nil"/>
              <w:bottom w:val="nil"/>
            </w:tcBorders>
            <w:shd w:val="clear" w:color="auto" w:fill="auto"/>
            <w:vAlign w:val="center"/>
          </w:tcPr>
          <w:p w14:paraId="176F29A0" w14:textId="77777777" w:rsidR="008B7E19" w:rsidRPr="004A53AE" w:rsidRDefault="008B7E19" w:rsidP="008B7E19">
            <w:pPr>
              <w:pStyle w:val="08-Tabelageral"/>
              <w:ind w:left="113"/>
              <w:cnfStyle w:val="000000100000" w:firstRow="0" w:lastRow="0" w:firstColumn="0" w:lastColumn="0" w:oddVBand="0" w:evenVBand="0" w:oddHBand="1" w:evenHBand="0" w:firstRowFirstColumn="0" w:firstRowLastColumn="0" w:lastRowFirstColumn="0" w:lastRowLastColumn="0"/>
              <w:rPr>
                <w:rFonts w:cs="Arial"/>
                <w:bCs/>
                <w:color w:val="auto"/>
                <w:szCs w:val="14"/>
              </w:rPr>
            </w:pPr>
            <w:r w:rsidRPr="00D977B9">
              <w:rPr>
                <w:rFonts w:cs="Arial"/>
                <w:color w:val="000000"/>
                <w:szCs w:val="14"/>
              </w:rPr>
              <w:t>909</w:t>
            </w:r>
          </w:p>
        </w:tc>
        <w:tc>
          <w:tcPr>
            <w:tcW w:w="1890" w:type="dxa"/>
            <w:tcBorders>
              <w:top w:val="nil"/>
              <w:bottom w:val="nil"/>
            </w:tcBorders>
            <w:shd w:val="clear" w:color="auto" w:fill="auto"/>
            <w:vAlign w:val="center"/>
          </w:tcPr>
          <w:p w14:paraId="1E9CA6C2" w14:textId="77777777" w:rsidR="008B7E19" w:rsidRPr="004A53AE" w:rsidRDefault="008B7E19" w:rsidP="008B7E19">
            <w:pPr>
              <w:pStyle w:val="08-Tabelageral"/>
              <w:ind w:left="113"/>
              <w:cnfStyle w:val="000000100000" w:firstRow="0" w:lastRow="0" w:firstColumn="0" w:lastColumn="0" w:oddVBand="0" w:evenVBand="0" w:oddHBand="1" w:evenHBand="0" w:firstRowFirstColumn="0" w:firstRowLastColumn="0" w:lastRowFirstColumn="0" w:lastRowLastColumn="0"/>
              <w:rPr>
                <w:rFonts w:cs="Arial"/>
                <w:bCs/>
                <w:color w:val="auto"/>
                <w:szCs w:val="14"/>
              </w:rPr>
            </w:pPr>
            <w:r w:rsidRPr="00D977B9">
              <w:rPr>
                <w:rFonts w:cs="Arial"/>
                <w:color w:val="000000"/>
                <w:szCs w:val="14"/>
              </w:rPr>
              <w:t>909</w:t>
            </w:r>
          </w:p>
        </w:tc>
      </w:tr>
      <w:tr w:rsidR="008B7E19" w:rsidRPr="004A53AE" w14:paraId="1DA3033E" w14:textId="77777777" w:rsidTr="008B7E19">
        <w:trPr>
          <w:trHeight w:val="238"/>
          <w:jc w:val="center"/>
        </w:trPr>
        <w:tc>
          <w:tcPr>
            <w:cnfStyle w:val="001000000000" w:firstRow="0" w:lastRow="0" w:firstColumn="1" w:lastColumn="0" w:oddVBand="0" w:evenVBand="0" w:oddHBand="0" w:evenHBand="0" w:firstRowFirstColumn="0" w:firstRowLastColumn="0" w:lastRowFirstColumn="0" w:lastRowLastColumn="0"/>
            <w:tcW w:w="3970" w:type="dxa"/>
            <w:tcBorders>
              <w:top w:val="nil"/>
              <w:bottom w:val="nil"/>
            </w:tcBorders>
            <w:shd w:val="clear" w:color="auto" w:fill="auto"/>
          </w:tcPr>
          <w:p w14:paraId="39E29E61" w14:textId="77777777" w:rsidR="008B7E19" w:rsidRPr="004A53AE" w:rsidRDefault="008B7E19" w:rsidP="008B7E19">
            <w:pPr>
              <w:pStyle w:val="08-Tabelageral"/>
              <w:ind w:left="113"/>
              <w:jc w:val="left"/>
              <w:rPr>
                <w:rFonts w:cs="Arial"/>
                <w:b w:val="0"/>
                <w:szCs w:val="14"/>
              </w:rPr>
            </w:pPr>
            <w:r w:rsidRPr="004A53AE">
              <w:rPr>
                <w:b w:val="0"/>
              </w:rPr>
              <w:t>FGTS</w:t>
            </w:r>
          </w:p>
        </w:tc>
        <w:tc>
          <w:tcPr>
            <w:tcW w:w="1889" w:type="dxa"/>
            <w:tcBorders>
              <w:top w:val="nil"/>
              <w:bottom w:val="nil"/>
            </w:tcBorders>
            <w:shd w:val="clear" w:color="auto" w:fill="auto"/>
            <w:vAlign w:val="center"/>
          </w:tcPr>
          <w:p w14:paraId="45E2AF4D" w14:textId="77777777" w:rsidR="008B7E19" w:rsidRPr="004A53AE" w:rsidRDefault="008B7E19" w:rsidP="008B7E19">
            <w:pPr>
              <w:pStyle w:val="08-Tabelageral"/>
              <w:ind w:left="113"/>
              <w:cnfStyle w:val="000000000000" w:firstRow="0" w:lastRow="0" w:firstColumn="0" w:lastColumn="0" w:oddVBand="0" w:evenVBand="0" w:oddHBand="0" w:evenHBand="0" w:firstRowFirstColumn="0" w:firstRowLastColumn="0" w:lastRowFirstColumn="0" w:lastRowLastColumn="0"/>
              <w:rPr>
                <w:rFonts w:cs="Arial"/>
                <w:bCs/>
                <w:color w:val="auto"/>
                <w:szCs w:val="14"/>
              </w:rPr>
            </w:pPr>
            <w:r w:rsidRPr="00D977B9">
              <w:rPr>
                <w:rFonts w:cs="Arial"/>
                <w:color w:val="000000"/>
                <w:szCs w:val="14"/>
              </w:rPr>
              <w:t>--</w:t>
            </w:r>
          </w:p>
        </w:tc>
        <w:tc>
          <w:tcPr>
            <w:tcW w:w="1890" w:type="dxa"/>
            <w:tcBorders>
              <w:top w:val="nil"/>
              <w:bottom w:val="nil"/>
            </w:tcBorders>
            <w:shd w:val="clear" w:color="auto" w:fill="auto"/>
            <w:vAlign w:val="center"/>
          </w:tcPr>
          <w:p w14:paraId="246C026D" w14:textId="77777777" w:rsidR="008B7E19" w:rsidRPr="004A53AE" w:rsidRDefault="008B7E19" w:rsidP="008B7E19">
            <w:pPr>
              <w:pStyle w:val="08-Tabelageral"/>
              <w:ind w:left="113"/>
              <w:cnfStyle w:val="000000000000" w:firstRow="0" w:lastRow="0" w:firstColumn="0" w:lastColumn="0" w:oddVBand="0" w:evenVBand="0" w:oddHBand="0" w:evenHBand="0" w:firstRowFirstColumn="0" w:firstRowLastColumn="0" w:lastRowFirstColumn="0" w:lastRowLastColumn="0"/>
              <w:rPr>
                <w:rFonts w:cs="Arial"/>
                <w:bCs/>
                <w:color w:val="auto"/>
                <w:szCs w:val="14"/>
              </w:rPr>
            </w:pPr>
            <w:r w:rsidRPr="00D977B9">
              <w:rPr>
                <w:rFonts w:cs="Arial"/>
                <w:color w:val="000000"/>
                <w:szCs w:val="14"/>
              </w:rPr>
              <w:t>257</w:t>
            </w:r>
          </w:p>
        </w:tc>
        <w:tc>
          <w:tcPr>
            <w:tcW w:w="1890" w:type="dxa"/>
            <w:tcBorders>
              <w:top w:val="nil"/>
              <w:bottom w:val="nil"/>
            </w:tcBorders>
            <w:shd w:val="clear" w:color="auto" w:fill="auto"/>
            <w:vAlign w:val="center"/>
          </w:tcPr>
          <w:p w14:paraId="5EA5E730" w14:textId="77777777" w:rsidR="008B7E19" w:rsidRPr="004A53AE" w:rsidRDefault="008B7E19" w:rsidP="008B7E19">
            <w:pPr>
              <w:pStyle w:val="08-Tabelageral"/>
              <w:ind w:left="113"/>
              <w:cnfStyle w:val="000000000000" w:firstRow="0" w:lastRow="0" w:firstColumn="0" w:lastColumn="0" w:oddVBand="0" w:evenVBand="0" w:oddHBand="0" w:evenHBand="0" w:firstRowFirstColumn="0" w:firstRowLastColumn="0" w:lastRowFirstColumn="0" w:lastRowLastColumn="0"/>
              <w:rPr>
                <w:rFonts w:cs="Arial"/>
                <w:bCs/>
                <w:color w:val="auto"/>
                <w:szCs w:val="14"/>
              </w:rPr>
            </w:pPr>
            <w:r w:rsidRPr="00D977B9">
              <w:rPr>
                <w:rFonts w:cs="Arial"/>
                <w:color w:val="000000"/>
                <w:szCs w:val="14"/>
              </w:rPr>
              <w:t>257</w:t>
            </w:r>
          </w:p>
        </w:tc>
      </w:tr>
      <w:tr w:rsidR="008B7E19" w:rsidRPr="004A53AE" w14:paraId="52734F8C"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970" w:type="dxa"/>
            <w:tcBorders>
              <w:top w:val="nil"/>
              <w:bottom w:val="nil"/>
            </w:tcBorders>
            <w:shd w:val="clear" w:color="auto" w:fill="auto"/>
          </w:tcPr>
          <w:p w14:paraId="11C01D18" w14:textId="77777777" w:rsidR="008B7E19" w:rsidRPr="004A53AE" w:rsidRDefault="008B7E19" w:rsidP="008B7E19">
            <w:pPr>
              <w:pStyle w:val="08-Tabelageral"/>
              <w:ind w:left="113"/>
              <w:jc w:val="left"/>
              <w:rPr>
                <w:rFonts w:cs="Arial"/>
                <w:b w:val="0"/>
                <w:szCs w:val="14"/>
              </w:rPr>
            </w:pPr>
            <w:r w:rsidRPr="004A53AE">
              <w:rPr>
                <w:rStyle w:val="rynqvb"/>
                <w:b w:val="0"/>
                <w:lang w:val="en"/>
              </w:rPr>
              <w:t>Other charges</w:t>
            </w:r>
          </w:p>
        </w:tc>
        <w:tc>
          <w:tcPr>
            <w:tcW w:w="1889" w:type="dxa"/>
            <w:tcBorders>
              <w:top w:val="nil"/>
              <w:bottom w:val="nil"/>
            </w:tcBorders>
            <w:shd w:val="clear" w:color="auto" w:fill="auto"/>
            <w:vAlign w:val="center"/>
          </w:tcPr>
          <w:p w14:paraId="1228E4B5" w14:textId="77777777" w:rsidR="008B7E19" w:rsidRPr="004A53AE" w:rsidRDefault="008B7E19" w:rsidP="008B7E19">
            <w:pPr>
              <w:pStyle w:val="08-Tabelageral"/>
              <w:ind w:left="113"/>
              <w:cnfStyle w:val="000000100000" w:firstRow="0" w:lastRow="0" w:firstColumn="0" w:lastColumn="0" w:oddVBand="0" w:evenVBand="0" w:oddHBand="1" w:evenHBand="0" w:firstRowFirstColumn="0" w:firstRowLastColumn="0" w:lastRowFirstColumn="0" w:lastRowLastColumn="0"/>
              <w:rPr>
                <w:rFonts w:cs="Arial"/>
                <w:bCs/>
                <w:color w:val="auto"/>
                <w:szCs w:val="14"/>
              </w:rPr>
            </w:pPr>
            <w:r w:rsidRPr="00D977B9">
              <w:rPr>
                <w:rFonts w:cs="Arial"/>
                <w:color w:val="000000"/>
                <w:szCs w:val="14"/>
              </w:rPr>
              <w:t>--</w:t>
            </w:r>
          </w:p>
        </w:tc>
        <w:tc>
          <w:tcPr>
            <w:tcW w:w="1890" w:type="dxa"/>
            <w:tcBorders>
              <w:top w:val="nil"/>
              <w:bottom w:val="nil"/>
            </w:tcBorders>
            <w:shd w:val="clear" w:color="auto" w:fill="auto"/>
            <w:vAlign w:val="center"/>
          </w:tcPr>
          <w:p w14:paraId="45DAB611" w14:textId="77777777" w:rsidR="008B7E19" w:rsidRPr="004A53AE" w:rsidRDefault="008B7E19" w:rsidP="008B7E19">
            <w:pPr>
              <w:pStyle w:val="08-Tabelageral"/>
              <w:ind w:left="113"/>
              <w:cnfStyle w:val="000000100000" w:firstRow="0" w:lastRow="0" w:firstColumn="0" w:lastColumn="0" w:oddVBand="0" w:evenVBand="0" w:oddHBand="1" w:evenHBand="0" w:firstRowFirstColumn="0" w:firstRowLastColumn="0" w:lastRowFirstColumn="0" w:lastRowLastColumn="0"/>
              <w:rPr>
                <w:rFonts w:cs="Arial"/>
                <w:bCs/>
                <w:color w:val="auto"/>
                <w:szCs w:val="14"/>
              </w:rPr>
            </w:pPr>
            <w:r w:rsidRPr="00D977B9">
              <w:rPr>
                <w:rFonts w:cs="Arial"/>
                <w:color w:val="000000"/>
                <w:szCs w:val="14"/>
              </w:rPr>
              <w:t>430</w:t>
            </w:r>
          </w:p>
        </w:tc>
        <w:tc>
          <w:tcPr>
            <w:tcW w:w="1890" w:type="dxa"/>
            <w:tcBorders>
              <w:top w:val="nil"/>
              <w:bottom w:val="nil"/>
            </w:tcBorders>
            <w:shd w:val="clear" w:color="auto" w:fill="auto"/>
            <w:vAlign w:val="center"/>
          </w:tcPr>
          <w:p w14:paraId="72877A7F" w14:textId="77777777" w:rsidR="008B7E19" w:rsidRPr="004A53AE" w:rsidRDefault="008B7E19" w:rsidP="008B7E19">
            <w:pPr>
              <w:pStyle w:val="08-Tabelageral"/>
              <w:ind w:left="113"/>
              <w:cnfStyle w:val="000000100000" w:firstRow="0" w:lastRow="0" w:firstColumn="0" w:lastColumn="0" w:oddVBand="0" w:evenVBand="0" w:oddHBand="1" w:evenHBand="0" w:firstRowFirstColumn="0" w:firstRowLastColumn="0" w:lastRowFirstColumn="0" w:lastRowLastColumn="0"/>
              <w:rPr>
                <w:rFonts w:cs="Arial"/>
                <w:bCs/>
                <w:color w:val="auto"/>
                <w:szCs w:val="14"/>
              </w:rPr>
            </w:pPr>
            <w:r w:rsidRPr="00D977B9">
              <w:rPr>
                <w:rFonts w:cs="Arial"/>
                <w:color w:val="000000"/>
                <w:szCs w:val="14"/>
              </w:rPr>
              <w:t>430</w:t>
            </w:r>
          </w:p>
        </w:tc>
      </w:tr>
      <w:tr w:rsidR="008B7E19" w:rsidRPr="004A53AE" w14:paraId="33BBB064" w14:textId="77777777" w:rsidTr="008B7E19">
        <w:trPr>
          <w:trHeight w:val="238"/>
          <w:jc w:val="center"/>
        </w:trPr>
        <w:tc>
          <w:tcPr>
            <w:cnfStyle w:val="001000000000" w:firstRow="0" w:lastRow="0" w:firstColumn="1" w:lastColumn="0" w:oddVBand="0" w:evenVBand="0" w:oddHBand="0" w:evenHBand="0" w:firstRowFirstColumn="0" w:firstRowLastColumn="0" w:lastRowFirstColumn="0" w:lastRowLastColumn="0"/>
            <w:tcW w:w="3970" w:type="dxa"/>
            <w:tcBorders>
              <w:top w:val="nil"/>
              <w:bottom w:val="nil"/>
            </w:tcBorders>
            <w:shd w:val="clear" w:color="auto" w:fill="auto"/>
            <w:vAlign w:val="center"/>
          </w:tcPr>
          <w:p w14:paraId="2CBF9FFA" w14:textId="77777777" w:rsidR="008B7E19" w:rsidRPr="004A53AE" w:rsidRDefault="008B7E19" w:rsidP="008B7E19">
            <w:pPr>
              <w:pStyle w:val="08-Tabelageral"/>
              <w:jc w:val="left"/>
              <w:rPr>
                <w:rFonts w:cs="Arial"/>
                <w:szCs w:val="14"/>
              </w:rPr>
            </w:pPr>
            <w:r w:rsidRPr="004A53AE">
              <w:t>Taxes, fees and contributions</w:t>
            </w:r>
          </w:p>
        </w:tc>
        <w:tc>
          <w:tcPr>
            <w:tcW w:w="1889" w:type="dxa"/>
            <w:tcBorders>
              <w:top w:val="nil"/>
              <w:bottom w:val="nil"/>
            </w:tcBorders>
            <w:shd w:val="clear" w:color="auto" w:fill="auto"/>
            <w:vAlign w:val="center"/>
          </w:tcPr>
          <w:p w14:paraId="4E6905CC" w14:textId="77777777" w:rsidR="008B7E19" w:rsidRPr="004A53AE" w:rsidRDefault="008B7E19" w:rsidP="008B7E19">
            <w:pPr>
              <w:pStyle w:val="08-Tabelageral"/>
              <w:ind w:left="113"/>
              <w:cnfStyle w:val="000000000000" w:firstRow="0" w:lastRow="0" w:firstColumn="0" w:lastColumn="0" w:oddVBand="0" w:evenVBand="0" w:oddHBand="0" w:evenHBand="0" w:firstRowFirstColumn="0" w:firstRowLastColumn="0" w:lastRowFirstColumn="0" w:lastRowLastColumn="0"/>
              <w:rPr>
                <w:rFonts w:cs="Arial"/>
                <w:b/>
                <w:bCs/>
                <w:color w:val="auto"/>
                <w:szCs w:val="14"/>
              </w:rPr>
            </w:pPr>
            <w:r w:rsidRPr="00D977B9">
              <w:rPr>
                <w:rFonts w:cs="Arial"/>
                <w:b/>
                <w:bCs/>
                <w:color w:val="000000"/>
                <w:szCs w:val="14"/>
              </w:rPr>
              <w:t>1</w:t>
            </w:r>
            <w:r>
              <w:rPr>
                <w:rFonts w:cs="Arial"/>
                <w:b/>
                <w:bCs/>
                <w:color w:val="000000"/>
                <w:szCs w:val="14"/>
              </w:rPr>
              <w:t>,</w:t>
            </w:r>
            <w:r w:rsidRPr="00D977B9">
              <w:rPr>
                <w:rFonts w:cs="Arial"/>
                <w:b/>
                <w:bCs/>
                <w:color w:val="000000"/>
                <w:szCs w:val="14"/>
              </w:rPr>
              <w:t>931</w:t>
            </w:r>
          </w:p>
        </w:tc>
        <w:tc>
          <w:tcPr>
            <w:tcW w:w="1890" w:type="dxa"/>
            <w:tcBorders>
              <w:top w:val="nil"/>
              <w:bottom w:val="nil"/>
            </w:tcBorders>
            <w:shd w:val="clear" w:color="auto" w:fill="auto"/>
            <w:vAlign w:val="center"/>
          </w:tcPr>
          <w:p w14:paraId="2E1043FE" w14:textId="77777777" w:rsidR="008B7E19" w:rsidRPr="004A53AE" w:rsidRDefault="008B7E19" w:rsidP="008B7E19">
            <w:pPr>
              <w:pStyle w:val="08-Tabelageral"/>
              <w:ind w:left="113"/>
              <w:cnfStyle w:val="000000000000" w:firstRow="0" w:lastRow="0" w:firstColumn="0" w:lastColumn="0" w:oddVBand="0" w:evenVBand="0" w:oddHBand="0" w:evenHBand="0" w:firstRowFirstColumn="0" w:firstRowLastColumn="0" w:lastRowFirstColumn="0" w:lastRowLastColumn="0"/>
              <w:rPr>
                <w:rFonts w:cs="Arial"/>
                <w:b/>
                <w:bCs/>
                <w:color w:val="auto"/>
                <w:szCs w:val="14"/>
              </w:rPr>
            </w:pPr>
            <w:r w:rsidRPr="00D977B9">
              <w:rPr>
                <w:rFonts w:cs="Arial"/>
                <w:b/>
                <w:bCs/>
                <w:color w:val="000000"/>
                <w:szCs w:val="14"/>
              </w:rPr>
              <w:t>977</w:t>
            </w:r>
          </w:p>
        </w:tc>
        <w:tc>
          <w:tcPr>
            <w:tcW w:w="1890" w:type="dxa"/>
            <w:tcBorders>
              <w:top w:val="nil"/>
              <w:bottom w:val="nil"/>
            </w:tcBorders>
            <w:shd w:val="clear" w:color="auto" w:fill="auto"/>
            <w:vAlign w:val="center"/>
          </w:tcPr>
          <w:p w14:paraId="410D3BCB" w14:textId="77777777" w:rsidR="008B7E19" w:rsidRPr="004A53AE" w:rsidRDefault="008B7E19" w:rsidP="008B7E19">
            <w:pPr>
              <w:pStyle w:val="08-Tabelageral"/>
              <w:ind w:left="113"/>
              <w:cnfStyle w:val="000000000000" w:firstRow="0" w:lastRow="0" w:firstColumn="0" w:lastColumn="0" w:oddVBand="0" w:evenVBand="0" w:oddHBand="0" w:evenHBand="0" w:firstRowFirstColumn="0" w:firstRowLastColumn="0" w:lastRowFirstColumn="0" w:lastRowLastColumn="0"/>
              <w:rPr>
                <w:rFonts w:cs="Arial"/>
                <w:b/>
                <w:bCs/>
                <w:color w:val="auto"/>
                <w:szCs w:val="14"/>
              </w:rPr>
            </w:pPr>
            <w:r w:rsidRPr="00D977B9">
              <w:rPr>
                <w:rFonts w:cs="Arial"/>
                <w:b/>
                <w:bCs/>
                <w:color w:val="000000"/>
                <w:szCs w:val="14"/>
              </w:rPr>
              <w:t>2</w:t>
            </w:r>
            <w:r>
              <w:rPr>
                <w:rFonts w:cs="Arial"/>
                <w:b/>
                <w:bCs/>
                <w:color w:val="000000"/>
                <w:szCs w:val="14"/>
              </w:rPr>
              <w:t>,</w:t>
            </w:r>
            <w:r w:rsidRPr="00D977B9">
              <w:rPr>
                <w:rFonts w:cs="Arial"/>
                <w:b/>
                <w:bCs/>
                <w:color w:val="000000"/>
                <w:szCs w:val="14"/>
              </w:rPr>
              <w:t>908</w:t>
            </w:r>
          </w:p>
        </w:tc>
      </w:tr>
      <w:tr w:rsidR="008B7E19" w:rsidRPr="004A53AE" w14:paraId="1855A91D"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970" w:type="dxa"/>
            <w:tcBorders>
              <w:top w:val="nil"/>
              <w:bottom w:val="nil"/>
            </w:tcBorders>
            <w:shd w:val="clear" w:color="auto" w:fill="auto"/>
            <w:vAlign w:val="center"/>
          </w:tcPr>
          <w:p w14:paraId="426AB768" w14:textId="77777777" w:rsidR="008B7E19" w:rsidRPr="004A53AE" w:rsidRDefault="008B7E19" w:rsidP="008B7E19">
            <w:pPr>
              <w:pStyle w:val="08-Tabelageral"/>
              <w:ind w:left="113"/>
              <w:jc w:val="left"/>
              <w:rPr>
                <w:rFonts w:cs="Arial"/>
                <w:b w:val="0"/>
                <w:szCs w:val="14"/>
              </w:rPr>
            </w:pPr>
            <w:r w:rsidRPr="004A53AE">
              <w:rPr>
                <w:rFonts w:cs="Arial"/>
                <w:b w:val="0"/>
                <w:szCs w:val="14"/>
              </w:rPr>
              <w:t>Federal</w:t>
            </w:r>
          </w:p>
        </w:tc>
        <w:tc>
          <w:tcPr>
            <w:tcW w:w="1889" w:type="dxa"/>
            <w:tcBorders>
              <w:top w:val="nil"/>
              <w:bottom w:val="nil"/>
            </w:tcBorders>
            <w:shd w:val="clear" w:color="auto" w:fill="auto"/>
            <w:vAlign w:val="center"/>
          </w:tcPr>
          <w:p w14:paraId="130AEAC6" w14:textId="77777777" w:rsidR="008B7E19" w:rsidRPr="004A53AE" w:rsidRDefault="008B7E19" w:rsidP="008B7E19">
            <w:pPr>
              <w:pStyle w:val="08-Tabelageral"/>
              <w:ind w:left="113"/>
              <w:cnfStyle w:val="000000100000" w:firstRow="0" w:lastRow="0" w:firstColumn="0" w:lastColumn="0" w:oddVBand="0" w:evenVBand="0" w:oddHBand="1" w:evenHBand="0" w:firstRowFirstColumn="0" w:firstRowLastColumn="0" w:lastRowFirstColumn="0" w:lastRowLastColumn="0"/>
              <w:rPr>
                <w:rFonts w:cs="Arial"/>
                <w:bCs/>
                <w:color w:val="auto"/>
                <w:szCs w:val="14"/>
              </w:rPr>
            </w:pPr>
            <w:r w:rsidRPr="00D977B9">
              <w:rPr>
                <w:rFonts w:cs="Arial"/>
                <w:color w:val="000000"/>
                <w:szCs w:val="14"/>
              </w:rPr>
              <w:t>--</w:t>
            </w:r>
          </w:p>
        </w:tc>
        <w:tc>
          <w:tcPr>
            <w:tcW w:w="1890" w:type="dxa"/>
            <w:tcBorders>
              <w:top w:val="nil"/>
              <w:bottom w:val="nil"/>
            </w:tcBorders>
            <w:shd w:val="clear" w:color="auto" w:fill="auto"/>
            <w:vAlign w:val="center"/>
          </w:tcPr>
          <w:p w14:paraId="24DD672D" w14:textId="77777777" w:rsidR="008B7E19" w:rsidRPr="004A53AE" w:rsidRDefault="008B7E19" w:rsidP="008B7E19">
            <w:pPr>
              <w:pStyle w:val="08-Tabelageral"/>
              <w:ind w:left="113"/>
              <w:cnfStyle w:val="000000100000" w:firstRow="0" w:lastRow="0" w:firstColumn="0" w:lastColumn="0" w:oddVBand="0" w:evenVBand="0" w:oddHBand="1" w:evenHBand="0" w:firstRowFirstColumn="0" w:firstRowLastColumn="0" w:lastRowFirstColumn="0" w:lastRowLastColumn="0"/>
              <w:rPr>
                <w:rFonts w:cs="Arial"/>
                <w:bCs/>
                <w:color w:val="auto"/>
                <w:szCs w:val="14"/>
              </w:rPr>
            </w:pPr>
            <w:r w:rsidRPr="00D977B9">
              <w:rPr>
                <w:rFonts w:cs="Arial"/>
                <w:color w:val="000000"/>
                <w:szCs w:val="14"/>
              </w:rPr>
              <w:t>2</w:t>
            </w:r>
            <w:r>
              <w:rPr>
                <w:rFonts w:cs="Arial"/>
                <w:color w:val="000000"/>
                <w:szCs w:val="14"/>
              </w:rPr>
              <w:t>,</w:t>
            </w:r>
            <w:r w:rsidRPr="00D977B9">
              <w:rPr>
                <w:rFonts w:cs="Arial"/>
                <w:color w:val="000000"/>
                <w:szCs w:val="14"/>
              </w:rPr>
              <w:t>908</w:t>
            </w:r>
          </w:p>
        </w:tc>
        <w:tc>
          <w:tcPr>
            <w:tcW w:w="1890" w:type="dxa"/>
            <w:tcBorders>
              <w:top w:val="nil"/>
              <w:bottom w:val="nil"/>
            </w:tcBorders>
            <w:shd w:val="clear" w:color="auto" w:fill="auto"/>
            <w:vAlign w:val="center"/>
          </w:tcPr>
          <w:p w14:paraId="5CCBFA7E" w14:textId="77777777" w:rsidR="008B7E19" w:rsidRPr="004A53AE" w:rsidRDefault="008B7E19" w:rsidP="008B7E19">
            <w:pPr>
              <w:pStyle w:val="08-Tabelageral"/>
              <w:ind w:left="113"/>
              <w:cnfStyle w:val="000000100000" w:firstRow="0" w:lastRow="0" w:firstColumn="0" w:lastColumn="0" w:oddVBand="0" w:evenVBand="0" w:oddHBand="1" w:evenHBand="0" w:firstRowFirstColumn="0" w:firstRowLastColumn="0" w:lastRowFirstColumn="0" w:lastRowLastColumn="0"/>
              <w:rPr>
                <w:rFonts w:cs="Arial"/>
                <w:bCs/>
                <w:color w:val="auto"/>
                <w:szCs w:val="14"/>
              </w:rPr>
            </w:pPr>
            <w:r w:rsidRPr="00D977B9">
              <w:rPr>
                <w:rFonts w:cs="Arial"/>
                <w:color w:val="000000"/>
                <w:szCs w:val="14"/>
              </w:rPr>
              <w:t>2</w:t>
            </w:r>
            <w:r>
              <w:rPr>
                <w:rFonts w:cs="Arial"/>
                <w:color w:val="000000"/>
                <w:szCs w:val="14"/>
              </w:rPr>
              <w:t>,</w:t>
            </w:r>
            <w:r w:rsidRPr="00D977B9">
              <w:rPr>
                <w:rFonts w:cs="Arial"/>
                <w:color w:val="000000"/>
                <w:szCs w:val="14"/>
              </w:rPr>
              <w:t>908</w:t>
            </w:r>
          </w:p>
        </w:tc>
      </w:tr>
      <w:tr w:rsidR="008B7E19" w:rsidRPr="004A53AE" w14:paraId="20DF462B" w14:textId="77777777" w:rsidTr="008B7E19">
        <w:trPr>
          <w:trHeight w:val="238"/>
          <w:jc w:val="center"/>
        </w:trPr>
        <w:tc>
          <w:tcPr>
            <w:cnfStyle w:val="001000000000" w:firstRow="0" w:lastRow="0" w:firstColumn="1" w:lastColumn="0" w:oddVBand="0" w:evenVBand="0" w:oddHBand="0" w:evenHBand="0" w:firstRowFirstColumn="0" w:firstRowLastColumn="0" w:lastRowFirstColumn="0" w:lastRowLastColumn="0"/>
            <w:tcW w:w="3970" w:type="dxa"/>
            <w:tcBorders>
              <w:top w:val="nil"/>
              <w:bottom w:val="nil"/>
            </w:tcBorders>
            <w:shd w:val="clear" w:color="auto" w:fill="auto"/>
            <w:vAlign w:val="center"/>
          </w:tcPr>
          <w:p w14:paraId="2945823F" w14:textId="77777777" w:rsidR="008B7E19" w:rsidRPr="004A53AE" w:rsidRDefault="008B7E19" w:rsidP="008B7E19">
            <w:pPr>
              <w:pStyle w:val="08-Tabelageral"/>
              <w:jc w:val="left"/>
              <w:rPr>
                <w:rFonts w:cs="Arial"/>
                <w:szCs w:val="14"/>
              </w:rPr>
            </w:pPr>
            <w:r w:rsidRPr="004A53AE">
              <w:rPr>
                <w:rFonts w:cs="Arial"/>
                <w:szCs w:val="14"/>
              </w:rPr>
              <w:t>Financial expenses</w:t>
            </w:r>
          </w:p>
        </w:tc>
        <w:tc>
          <w:tcPr>
            <w:tcW w:w="1889" w:type="dxa"/>
            <w:tcBorders>
              <w:top w:val="nil"/>
              <w:bottom w:val="nil"/>
            </w:tcBorders>
            <w:shd w:val="clear" w:color="auto" w:fill="auto"/>
            <w:vAlign w:val="center"/>
          </w:tcPr>
          <w:p w14:paraId="6AA27404" w14:textId="77777777" w:rsidR="008B7E19" w:rsidRPr="004A53AE" w:rsidRDefault="008B7E19" w:rsidP="008B7E19">
            <w:pPr>
              <w:pStyle w:val="08-Tabelageral"/>
              <w:ind w:left="113"/>
              <w:cnfStyle w:val="000000000000" w:firstRow="0" w:lastRow="0" w:firstColumn="0" w:lastColumn="0" w:oddVBand="0" w:evenVBand="0" w:oddHBand="0" w:evenHBand="0" w:firstRowFirstColumn="0" w:firstRowLastColumn="0" w:lastRowFirstColumn="0" w:lastRowLastColumn="0"/>
              <w:rPr>
                <w:rFonts w:cs="Arial"/>
                <w:b/>
                <w:bCs/>
                <w:szCs w:val="14"/>
              </w:rPr>
            </w:pPr>
            <w:r w:rsidRPr="00D977B9">
              <w:rPr>
                <w:rFonts w:cs="Arial"/>
                <w:b/>
                <w:bCs/>
                <w:color w:val="000000"/>
                <w:szCs w:val="14"/>
              </w:rPr>
              <w:t>27</w:t>
            </w:r>
            <w:r>
              <w:rPr>
                <w:rFonts w:cs="Arial"/>
                <w:b/>
                <w:bCs/>
                <w:color w:val="000000"/>
                <w:szCs w:val="14"/>
              </w:rPr>
              <w:t>,</w:t>
            </w:r>
            <w:r w:rsidRPr="00D977B9">
              <w:rPr>
                <w:rFonts w:cs="Arial"/>
                <w:b/>
                <w:bCs/>
                <w:color w:val="000000"/>
                <w:szCs w:val="14"/>
              </w:rPr>
              <w:t>357</w:t>
            </w:r>
          </w:p>
        </w:tc>
        <w:tc>
          <w:tcPr>
            <w:tcW w:w="1890" w:type="dxa"/>
            <w:tcBorders>
              <w:top w:val="nil"/>
              <w:bottom w:val="nil"/>
            </w:tcBorders>
            <w:shd w:val="clear" w:color="auto" w:fill="auto"/>
            <w:vAlign w:val="center"/>
          </w:tcPr>
          <w:p w14:paraId="7549A214" w14:textId="77777777" w:rsidR="008B7E19" w:rsidRPr="004A53AE" w:rsidRDefault="008B7E19" w:rsidP="008B7E19">
            <w:pPr>
              <w:pStyle w:val="08-Tabelageral"/>
              <w:ind w:left="113"/>
              <w:cnfStyle w:val="000000000000" w:firstRow="0" w:lastRow="0" w:firstColumn="0" w:lastColumn="0" w:oddVBand="0" w:evenVBand="0" w:oddHBand="0" w:evenHBand="0" w:firstRowFirstColumn="0" w:firstRowLastColumn="0" w:lastRowFirstColumn="0" w:lastRowLastColumn="0"/>
              <w:rPr>
                <w:rFonts w:cs="Arial"/>
                <w:b/>
                <w:bCs/>
                <w:color w:val="auto"/>
                <w:szCs w:val="14"/>
              </w:rPr>
            </w:pPr>
            <w:r w:rsidRPr="00D977B9">
              <w:rPr>
                <w:rFonts w:cs="Arial"/>
                <w:b/>
                <w:bCs/>
                <w:color w:val="000000"/>
                <w:szCs w:val="14"/>
              </w:rPr>
              <w:t>(27</w:t>
            </w:r>
            <w:r>
              <w:rPr>
                <w:rFonts w:cs="Arial"/>
                <w:b/>
                <w:bCs/>
                <w:color w:val="000000"/>
                <w:szCs w:val="14"/>
              </w:rPr>
              <w:t>,</w:t>
            </w:r>
            <w:r w:rsidRPr="00D977B9">
              <w:rPr>
                <w:rFonts w:cs="Arial"/>
                <w:b/>
                <w:bCs/>
                <w:color w:val="000000"/>
                <w:szCs w:val="14"/>
              </w:rPr>
              <w:t>357)</w:t>
            </w:r>
          </w:p>
        </w:tc>
        <w:tc>
          <w:tcPr>
            <w:tcW w:w="1890" w:type="dxa"/>
            <w:tcBorders>
              <w:top w:val="nil"/>
              <w:bottom w:val="nil"/>
            </w:tcBorders>
            <w:shd w:val="clear" w:color="auto" w:fill="auto"/>
            <w:vAlign w:val="center"/>
          </w:tcPr>
          <w:p w14:paraId="24DBD74C" w14:textId="77777777" w:rsidR="008B7E19" w:rsidRPr="004A53AE" w:rsidRDefault="008B7E19" w:rsidP="008B7E19">
            <w:pPr>
              <w:pStyle w:val="08-Tabelageral"/>
              <w:ind w:left="113"/>
              <w:cnfStyle w:val="000000000000" w:firstRow="0" w:lastRow="0" w:firstColumn="0" w:lastColumn="0" w:oddVBand="0" w:evenVBand="0" w:oddHBand="0" w:evenHBand="0" w:firstRowFirstColumn="0" w:firstRowLastColumn="0" w:lastRowFirstColumn="0" w:lastRowLastColumn="0"/>
              <w:rPr>
                <w:rFonts w:cs="Arial"/>
                <w:b/>
                <w:bCs/>
                <w:color w:val="auto"/>
                <w:szCs w:val="14"/>
              </w:rPr>
            </w:pPr>
            <w:r w:rsidRPr="00D977B9">
              <w:rPr>
                <w:rFonts w:cs="Arial"/>
                <w:b/>
                <w:bCs/>
                <w:color w:val="000000"/>
                <w:szCs w:val="14"/>
              </w:rPr>
              <w:t>--</w:t>
            </w:r>
          </w:p>
        </w:tc>
      </w:tr>
      <w:tr w:rsidR="008B7E19" w:rsidRPr="004A53AE" w14:paraId="20C7864D"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970" w:type="dxa"/>
            <w:tcBorders>
              <w:top w:val="nil"/>
              <w:bottom w:val="nil"/>
            </w:tcBorders>
            <w:shd w:val="clear" w:color="auto" w:fill="auto"/>
            <w:vAlign w:val="center"/>
          </w:tcPr>
          <w:p w14:paraId="3093A502" w14:textId="77777777" w:rsidR="008B7E19" w:rsidRPr="004A53AE" w:rsidRDefault="008B7E19" w:rsidP="008B7E19">
            <w:pPr>
              <w:pStyle w:val="08-Tabelageral"/>
              <w:jc w:val="left"/>
              <w:rPr>
                <w:rFonts w:cs="Arial"/>
                <w:szCs w:val="14"/>
                <w:lang w:val="en-US"/>
              </w:rPr>
            </w:pPr>
            <w:r w:rsidRPr="004A53AE">
              <w:rPr>
                <w:lang w:val="en-US"/>
              </w:rPr>
              <w:t>Remuneration of third-party capital</w:t>
            </w:r>
          </w:p>
        </w:tc>
        <w:tc>
          <w:tcPr>
            <w:tcW w:w="1889" w:type="dxa"/>
            <w:tcBorders>
              <w:top w:val="nil"/>
              <w:bottom w:val="nil"/>
            </w:tcBorders>
            <w:shd w:val="clear" w:color="auto" w:fill="auto"/>
            <w:vAlign w:val="center"/>
          </w:tcPr>
          <w:p w14:paraId="2B2DF8D9" w14:textId="77777777" w:rsidR="008B7E19" w:rsidRPr="004A53AE" w:rsidRDefault="008B7E19" w:rsidP="008B7E19">
            <w:pPr>
              <w:pStyle w:val="08-Tabelageral"/>
              <w:ind w:left="113"/>
              <w:cnfStyle w:val="000000100000" w:firstRow="0" w:lastRow="0" w:firstColumn="0" w:lastColumn="0" w:oddVBand="0" w:evenVBand="0" w:oddHBand="1" w:evenHBand="0" w:firstRowFirstColumn="0" w:firstRowLastColumn="0" w:lastRowFirstColumn="0" w:lastRowLastColumn="0"/>
              <w:rPr>
                <w:rFonts w:cs="Arial"/>
                <w:b/>
                <w:bCs/>
                <w:color w:val="auto"/>
                <w:szCs w:val="14"/>
              </w:rPr>
            </w:pPr>
            <w:r w:rsidRPr="00D977B9">
              <w:rPr>
                <w:rFonts w:cs="Arial"/>
                <w:b/>
                <w:bCs/>
                <w:color w:val="000000"/>
                <w:szCs w:val="14"/>
              </w:rPr>
              <w:t>--</w:t>
            </w:r>
          </w:p>
        </w:tc>
        <w:tc>
          <w:tcPr>
            <w:tcW w:w="1890" w:type="dxa"/>
            <w:tcBorders>
              <w:top w:val="nil"/>
              <w:bottom w:val="nil"/>
            </w:tcBorders>
            <w:shd w:val="clear" w:color="auto" w:fill="auto"/>
            <w:vAlign w:val="center"/>
          </w:tcPr>
          <w:p w14:paraId="1DB05C60" w14:textId="77777777" w:rsidR="008B7E19" w:rsidRPr="004A53AE" w:rsidRDefault="008B7E19" w:rsidP="008B7E19">
            <w:pPr>
              <w:pStyle w:val="08-Tabelageral"/>
              <w:ind w:left="113"/>
              <w:cnfStyle w:val="000000100000" w:firstRow="0" w:lastRow="0" w:firstColumn="0" w:lastColumn="0" w:oddVBand="0" w:evenVBand="0" w:oddHBand="1" w:evenHBand="0" w:firstRowFirstColumn="0" w:firstRowLastColumn="0" w:lastRowFirstColumn="0" w:lastRowLastColumn="0"/>
              <w:rPr>
                <w:rFonts w:cs="Arial"/>
                <w:b/>
                <w:bCs/>
                <w:color w:val="auto"/>
                <w:szCs w:val="14"/>
              </w:rPr>
            </w:pPr>
            <w:r w:rsidRPr="00D977B9">
              <w:rPr>
                <w:rFonts w:cs="Arial"/>
                <w:b/>
                <w:bCs/>
                <w:color w:val="000000"/>
                <w:szCs w:val="14"/>
              </w:rPr>
              <w:t>27</w:t>
            </w:r>
            <w:r>
              <w:rPr>
                <w:rFonts w:cs="Arial"/>
                <w:b/>
                <w:bCs/>
                <w:color w:val="000000"/>
                <w:szCs w:val="14"/>
              </w:rPr>
              <w:t>,</w:t>
            </w:r>
            <w:r w:rsidRPr="00D977B9">
              <w:rPr>
                <w:rFonts w:cs="Arial"/>
                <w:b/>
                <w:bCs/>
                <w:color w:val="000000"/>
                <w:szCs w:val="14"/>
              </w:rPr>
              <w:t>770</w:t>
            </w:r>
          </w:p>
        </w:tc>
        <w:tc>
          <w:tcPr>
            <w:tcW w:w="1890" w:type="dxa"/>
            <w:tcBorders>
              <w:top w:val="nil"/>
              <w:bottom w:val="nil"/>
            </w:tcBorders>
            <w:shd w:val="clear" w:color="auto" w:fill="auto"/>
            <w:vAlign w:val="center"/>
          </w:tcPr>
          <w:p w14:paraId="11D4838E" w14:textId="77777777" w:rsidR="008B7E19" w:rsidRPr="004A53AE" w:rsidRDefault="008B7E19" w:rsidP="008B7E19">
            <w:pPr>
              <w:pStyle w:val="08-Tabelageral"/>
              <w:ind w:left="113"/>
              <w:cnfStyle w:val="000000100000" w:firstRow="0" w:lastRow="0" w:firstColumn="0" w:lastColumn="0" w:oddVBand="0" w:evenVBand="0" w:oddHBand="1" w:evenHBand="0" w:firstRowFirstColumn="0" w:firstRowLastColumn="0" w:lastRowFirstColumn="0" w:lastRowLastColumn="0"/>
              <w:rPr>
                <w:rFonts w:cs="Arial"/>
                <w:b/>
                <w:bCs/>
                <w:color w:val="auto"/>
                <w:szCs w:val="14"/>
              </w:rPr>
            </w:pPr>
            <w:r w:rsidRPr="00D977B9">
              <w:rPr>
                <w:rFonts w:cs="Arial"/>
                <w:b/>
                <w:bCs/>
                <w:color w:val="000000"/>
                <w:szCs w:val="14"/>
              </w:rPr>
              <w:t>27</w:t>
            </w:r>
            <w:r>
              <w:rPr>
                <w:rFonts w:cs="Arial"/>
                <w:b/>
                <w:bCs/>
                <w:color w:val="000000"/>
                <w:szCs w:val="14"/>
              </w:rPr>
              <w:t>,</w:t>
            </w:r>
            <w:r w:rsidRPr="00D977B9">
              <w:rPr>
                <w:rFonts w:cs="Arial"/>
                <w:b/>
                <w:bCs/>
                <w:color w:val="000000"/>
                <w:szCs w:val="14"/>
              </w:rPr>
              <w:t>770</w:t>
            </w:r>
          </w:p>
        </w:tc>
      </w:tr>
      <w:tr w:rsidR="008B7E19" w:rsidRPr="004A53AE" w14:paraId="358AE582" w14:textId="77777777" w:rsidTr="008B7E19">
        <w:trPr>
          <w:trHeight w:val="238"/>
          <w:jc w:val="center"/>
        </w:trPr>
        <w:tc>
          <w:tcPr>
            <w:cnfStyle w:val="001000000000" w:firstRow="0" w:lastRow="0" w:firstColumn="1" w:lastColumn="0" w:oddVBand="0" w:evenVBand="0" w:oddHBand="0" w:evenHBand="0" w:firstRowFirstColumn="0" w:firstRowLastColumn="0" w:lastRowFirstColumn="0" w:lastRowLastColumn="0"/>
            <w:tcW w:w="3970" w:type="dxa"/>
            <w:tcBorders>
              <w:top w:val="nil"/>
              <w:bottom w:val="nil"/>
            </w:tcBorders>
            <w:shd w:val="clear" w:color="auto" w:fill="auto"/>
            <w:vAlign w:val="center"/>
          </w:tcPr>
          <w:p w14:paraId="2177F5CA" w14:textId="77777777" w:rsidR="008B7E19" w:rsidRPr="004A53AE" w:rsidRDefault="008B7E19" w:rsidP="008B7E19">
            <w:pPr>
              <w:pStyle w:val="08-Tabelageral"/>
              <w:ind w:left="113"/>
              <w:jc w:val="left"/>
              <w:rPr>
                <w:rFonts w:cs="Arial"/>
                <w:b w:val="0"/>
                <w:szCs w:val="14"/>
              </w:rPr>
            </w:pPr>
            <w:r w:rsidRPr="004A53AE">
              <w:rPr>
                <w:b w:val="0"/>
              </w:rPr>
              <w:t>Interest</w:t>
            </w:r>
          </w:p>
        </w:tc>
        <w:tc>
          <w:tcPr>
            <w:tcW w:w="1889" w:type="dxa"/>
            <w:tcBorders>
              <w:top w:val="nil"/>
              <w:bottom w:val="nil"/>
            </w:tcBorders>
            <w:shd w:val="clear" w:color="auto" w:fill="auto"/>
            <w:vAlign w:val="center"/>
          </w:tcPr>
          <w:p w14:paraId="121D1A9B" w14:textId="77777777" w:rsidR="008B7E19" w:rsidRPr="004A53AE" w:rsidRDefault="008B7E19" w:rsidP="008B7E19">
            <w:pPr>
              <w:pStyle w:val="08-Tabelageral"/>
              <w:ind w:left="113"/>
              <w:cnfStyle w:val="000000000000" w:firstRow="0" w:lastRow="0" w:firstColumn="0" w:lastColumn="0" w:oddVBand="0" w:evenVBand="0" w:oddHBand="0" w:evenHBand="0" w:firstRowFirstColumn="0" w:firstRowLastColumn="0" w:lastRowFirstColumn="0" w:lastRowLastColumn="0"/>
              <w:rPr>
                <w:rFonts w:cs="Arial"/>
                <w:bCs/>
                <w:color w:val="auto"/>
                <w:szCs w:val="14"/>
              </w:rPr>
            </w:pPr>
            <w:r w:rsidRPr="00D977B9">
              <w:rPr>
                <w:rFonts w:cs="Arial"/>
                <w:color w:val="000000"/>
                <w:szCs w:val="14"/>
              </w:rPr>
              <w:t>--</w:t>
            </w:r>
          </w:p>
        </w:tc>
        <w:tc>
          <w:tcPr>
            <w:tcW w:w="1890" w:type="dxa"/>
            <w:tcBorders>
              <w:top w:val="nil"/>
              <w:bottom w:val="nil"/>
            </w:tcBorders>
            <w:shd w:val="clear" w:color="auto" w:fill="auto"/>
            <w:vAlign w:val="center"/>
          </w:tcPr>
          <w:p w14:paraId="01926615" w14:textId="77777777" w:rsidR="008B7E19" w:rsidRPr="004A53AE" w:rsidRDefault="008B7E19" w:rsidP="008B7E19">
            <w:pPr>
              <w:pStyle w:val="08-Tabelageral"/>
              <w:ind w:left="113"/>
              <w:cnfStyle w:val="000000000000" w:firstRow="0" w:lastRow="0" w:firstColumn="0" w:lastColumn="0" w:oddVBand="0" w:evenVBand="0" w:oddHBand="0" w:evenHBand="0" w:firstRowFirstColumn="0" w:firstRowLastColumn="0" w:lastRowFirstColumn="0" w:lastRowLastColumn="0"/>
              <w:rPr>
                <w:rFonts w:cs="Arial"/>
                <w:bCs/>
                <w:color w:val="auto"/>
                <w:szCs w:val="14"/>
              </w:rPr>
            </w:pPr>
            <w:r w:rsidRPr="00D977B9">
              <w:rPr>
                <w:rFonts w:cs="Arial"/>
                <w:color w:val="000000"/>
                <w:szCs w:val="14"/>
              </w:rPr>
              <w:t>27</w:t>
            </w:r>
            <w:r>
              <w:rPr>
                <w:rFonts w:cs="Arial"/>
                <w:color w:val="000000"/>
                <w:szCs w:val="14"/>
              </w:rPr>
              <w:t>,</w:t>
            </w:r>
            <w:r w:rsidRPr="00D977B9">
              <w:rPr>
                <w:rFonts w:cs="Arial"/>
                <w:color w:val="000000"/>
                <w:szCs w:val="14"/>
              </w:rPr>
              <w:t>357</w:t>
            </w:r>
          </w:p>
        </w:tc>
        <w:tc>
          <w:tcPr>
            <w:tcW w:w="1890" w:type="dxa"/>
            <w:tcBorders>
              <w:top w:val="nil"/>
              <w:bottom w:val="nil"/>
            </w:tcBorders>
            <w:shd w:val="clear" w:color="auto" w:fill="auto"/>
            <w:vAlign w:val="center"/>
          </w:tcPr>
          <w:p w14:paraId="6862E8D3" w14:textId="77777777" w:rsidR="008B7E19" w:rsidRPr="004A53AE" w:rsidRDefault="008B7E19" w:rsidP="008B7E19">
            <w:pPr>
              <w:pStyle w:val="08-Tabelageral"/>
              <w:ind w:left="113"/>
              <w:cnfStyle w:val="000000000000" w:firstRow="0" w:lastRow="0" w:firstColumn="0" w:lastColumn="0" w:oddVBand="0" w:evenVBand="0" w:oddHBand="0" w:evenHBand="0" w:firstRowFirstColumn="0" w:firstRowLastColumn="0" w:lastRowFirstColumn="0" w:lastRowLastColumn="0"/>
              <w:rPr>
                <w:rFonts w:cs="Arial"/>
                <w:bCs/>
                <w:color w:val="auto"/>
                <w:szCs w:val="14"/>
              </w:rPr>
            </w:pPr>
            <w:r w:rsidRPr="00D977B9">
              <w:rPr>
                <w:rFonts w:cs="Arial"/>
                <w:color w:val="000000"/>
                <w:szCs w:val="14"/>
              </w:rPr>
              <w:t>27</w:t>
            </w:r>
            <w:r>
              <w:rPr>
                <w:rFonts w:cs="Arial"/>
                <w:color w:val="000000"/>
                <w:szCs w:val="14"/>
              </w:rPr>
              <w:t>,</w:t>
            </w:r>
            <w:r w:rsidRPr="00D977B9">
              <w:rPr>
                <w:rFonts w:cs="Arial"/>
                <w:color w:val="000000"/>
                <w:szCs w:val="14"/>
              </w:rPr>
              <w:t>357</w:t>
            </w:r>
          </w:p>
        </w:tc>
      </w:tr>
      <w:tr w:rsidR="008B7E19" w:rsidRPr="004A53AE" w14:paraId="534684E4"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970" w:type="dxa"/>
            <w:tcBorders>
              <w:top w:val="nil"/>
              <w:bottom w:val="nil"/>
            </w:tcBorders>
            <w:shd w:val="clear" w:color="auto" w:fill="auto"/>
            <w:vAlign w:val="center"/>
          </w:tcPr>
          <w:p w14:paraId="2C937F06" w14:textId="77777777" w:rsidR="008B7E19" w:rsidRPr="004A53AE" w:rsidRDefault="008B7E19" w:rsidP="008B7E19">
            <w:pPr>
              <w:pStyle w:val="08-Tabelageral"/>
              <w:ind w:left="113"/>
              <w:jc w:val="left"/>
              <w:rPr>
                <w:rFonts w:cs="Arial"/>
                <w:b w:val="0"/>
                <w:szCs w:val="14"/>
              </w:rPr>
            </w:pPr>
            <w:r w:rsidRPr="004A53AE">
              <w:rPr>
                <w:rStyle w:val="rynqvb"/>
                <w:b w:val="0"/>
                <w:lang w:val="en"/>
              </w:rPr>
              <w:t>Rents</w:t>
            </w:r>
          </w:p>
        </w:tc>
        <w:tc>
          <w:tcPr>
            <w:tcW w:w="1889" w:type="dxa"/>
            <w:tcBorders>
              <w:top w:val="nil"/>
              <w:bottom w:val="nil"/>
            </w:tcBorders>
            <w:shd w:val="clear" w:color="auto" w:fill="auto"/>
            <w:vAlign w:val="center"/>
          </w:tcPr>
          <w:p w14:paraId="317CD801" w14:textId="77777777" w:rsidR="008B7E19" w:rsidRPr="004A53AE" w:rsidRDefault="008B7E19" w:rsidP="008B7E19">
            <w:pPr>
              <w:pStyle w:val="08-Tabelageral"/>
              <w:ind w:left="113"/>
              <w:cnfStyle w:val="000000100000" w:firstRow="0" w:lastRow="0" w:firstColumn="0" w:lastColumn="0" w:oddVBand="0" w:evenVBand="0" w:oddHBand="1" w:evenHBand="0" w:firstRowFirstColumn="0" w:firstRowLastColumn="0" w:lastRowFirstColumn="0" w:lastRowLastColumn="0"/>
              <w:rPr>
                <w:rFonts w:cs="Arial"/>
                <w:bCs/>
                <w:color w:val="auto"/>
                <w:szCs w:val="14"/>
              </w:rPr>
            </w:pPr>
            <w:r w:rsidRPr="00D977B9">
              <w:rPr>
                <w:rFonts w:cs="Arial"/>
                <w:color w:val="000000"/>
                <w:szCs w:val="14"/>
              </w:rPr>
              <w:t>--</w:t>
            </w:r>
          </w:p>
        </w:tc>
        <w:tc>
          <w:tcPr>
            <w:tcW w:w="1890" w:type="dxa"/>
            <w:tcBorders>
              <w:top w:val="nil"/>
              <w:bottom w:val="nil"/>
            </w:tcBorders>
            <w:shd w:val="clear" w:color="auto" w:fill="auto"/>
            <w:vAlign w:val="center"/>
          </w:tcPr>
          <w:p w14:paraId="1D777B80" w14:textId="77777777" w:rsidR="008B7E19" w:rsidRPr="004A53AE" w:rsidRDefault="008B7E19" w:rsidP="008B7E19">
            <w:pPr>
              <w:pStyle w:val="08-Tabelageral"/>
              <w:ind w:left="113"/>
              <w:cnfStyle w:val="000000100000" w:firstRow="0" w:lastRow="0" w:firstColumn="0" w:lastColumn="0" w:oddVBand="0" w:evenVBand="0" w:oddHBand="1" w:evenHBand="0" w:firstRowFirstColumn="0" w:firstRowLastColumn="0" w:lastRowFirstColumn="0" w:lastRowLastColumn="0"/>
              <w:rPr>
                <w:rFonts w:cs="Arial"/>
                <w:bCs/>
                <w:color w:val="auto"/>
                <w:szCs w:val="14"/>
              </w:rPr>
            </w:pPr>
            <w:r w:rsidRPr="00D977B9">
              <w:rPr>
                <w:rFonts w:cs="Arial"/>
                <w:color w:val="000000"/>
                <w:szCs w:val="14"/>
              </w:rPr>
              <w:t>413</w:t>
            </w:r>
          </w:p>
        </w:tc>
        <w:tc>
          <w:tcPr>
            <w:tcW w:w="1890" w:type="dxa"/>
            <w:tcBorders>
              <w:top w:val="nil"/>
              <w:bottom w:val="nil"/>
            </w:tcBorders>
            <w:shd w:val="clear" w:color="auto" w:fill="auto"/>
            <w:vAlign w:val="center"/>
          </w:tcPr>
          <w:p w14:paraId="0BC9AEE0" w14:textId="77777777" w:rsidR="008B7E19" w:rsidRPr="004A53AE" w:rsidRDefault="008B7E19" w:rsidP="008B7E19">
            <w:pPr>
              <w:pStyle w:val="08-Tabelageral"/>
              <w:ind w:left="113"/>
              <w:cnfStyle w:val="000000100000" w:firstRow="0" w:lastRow="0" w:firstColumn="0" w:lastColumn="0" w:oddVBand="0" w:evenVBand="0" w:oddHBand="1" w:evenHBand="0" w:firstRowFirstColumn="0" w:firstRowLastColumn="0" w:lastRowFirstColumn="0" w:lastRowLastColumn="0"/>
              <w:rPr>
                <w:rFonts w:cs="Arial"/>
                <w:bCs/>
                <w:color w:val="auto"/>
                <w:szCs w:val="14"/>
              </w:rPr>
            </w:pPr>
            <w:r w:rsidRPr="00D977B9">
              <w:rPr>
                <w:rFonts w:cs="Arial"/>
                <w:color w:val="000000"/>
                <w:szCs w:val="14"/>
              </w:rPr>
              <w:t>413</w:t>
            </w:r>
          </w:p>
        </w:tc>
      </w:tr>
      <w:tr w:rsidR="008B7E19" w:rsidRPr="004A53AE" w14:paraId="7786CE49" w14:textId="77777777" w:rsidTr="008B7E19">
        <w:trPr>
          <w:trHeight w:val="238"/>
          <w:jc w:val="center"/>
        </w:trPr>
        <w:tc>
          <w:tcPr>
            <w:cnfStyle w:val="001000000000" w:firstRow="0" w:lastRow="0" w:firstColumn="1" w:lastColumn="0" w:oddVBand="0" w:evenVBand="0" w:oddHBand="0" w:evenHBand="0" w:firstRowFirstColumn="0" w:firstRowLastColumn="0" w:lastRowFirstColumn="0" w:lastRowLastColumn="0"/>
            <w:tcW w:w="3970" w:type="dxa"/>
            <w:tcBorders>
              <w:top w:val="nil"/>
              <w:bottom w:val="nil"/>
            </w:tcBorders>
            <w:shd w:val="clear" w:color="auto" w:fill="auto"/>
            <w:vAlign w:val="center"/>
          </w:tcPr>
          <w:p w14:paraId="5364FD89" w14:textId="77777777" w:rsidR="008B7E19" w:rsidRPr="004A53AE" w:rsidRDefault="008B7E19" w:rsidP="008B7E19">
            <w:pPr>
              <w:pStyle w:val="08-Tabelageral"/>
              <w:jc w:val="left"/>
              <w:rPr>
                <w:rFonts w:cs="Arial"/>
                <w:szCs w:val="14"/>
              </w:rPr>
            </w:pPr>
            <w:r w:rsidRPr="004A53AE">
              <w:t>Equity remuneration</w:t>
            </w:r>
          </w:p>
        </w:tc>
        <w:tc>
          <w:tcPr>
            <w:tcW w:w="1889" w:type="dxa"/>
            <w:tcBorders>
              <w:top w:val="nil"/>
              <w:bottom w:val="nil"/>
            </w:tcBorders>
            <w:shd w:val="clear" w:color="auto" w:fill="auto"/>
            <w:vAlign w:val="center"/>
          </w:tcPr>
          <w:p w14:paraId="645F6163" w14:textId="77777777" w:rsidR="008B7E19" w:rsidRPr="004A53AE" w:rsidRDefault="008B7E19" w:rsidP="008B7E19">
            <w:pPr>
              <w:pStyle w:val="08-Tabelageral"/>
              <w:ind w:left="113"/>
              <w:cnfStyle w:val="000000000000" w:firstRow="0" w:lastRow="0" w:firstColumn="0" w:lastColumn="0" w:oddVBand="0" w:evenVBand="0" w:oddHBand="0" w:evenHBand="0" w:firstRowFirstColumn="0" w:firstRowLastColumn="0" w:lastRowFirstColumn="0" w:lastRowLastColumn="0"/>
              <w:rPr>
                <w:rFonts w:cs="Arial"/>
                <w:b/>
                <w:bCs/>
                <w:color w:val="auto"/>
                <w:szCs w:val="14"/>
              </w:rPr>
            </w:pPr>
            <w:r w:rsidRPr="00D977B9">
              <w:rPr>
                <w:rFonts w:cs="Arial"/>
                <w:b/>
                <w:bCs/>
                <w:color w:val="000000"/>
                <w:szCs w:val="14"/>
              </w:rPr>
              <w:t>2</w:t>
            </w:r>
            <w:r>
              <w:rPr>
                <w:rFonts w:cs="Arial"/>
                <w:b/>
                <w:bCs/>
                <w:color w:val="000000"/>
                <w:szCs w:val="14"/>
              </w:rPr>
              <w:t>,</w:t>
            </w:r>
            <w:r w:rsidRPr="00D977B9">
              <w:rPr>
                <w:rFonts w:cs="Arial"/>
                <w:b/>
                <w:bCs/>
                <w:color w:val="000000"/>
                <w:szCs w:val="14"/>
              </w:rPr>
              <w:t>068</w:t>
            </w:r>
            <w:r>
              <w:rPr>
                <w:rFonts w:cs="Arial"/>
                <w:b/>
                <w:bCs/>
                <w:color w:val="000000"/>
                <w:szCs w:val="14"/>
              </w:rPr>
              <w:t>,</w:t>
            </w:r>
            <w:r w:rsidRPr="00D977B9">
              <w:rPr>
                <w:rFonts w:cs="Arial"/>
                <w:b/>
                <w:bCs/>
                <w:color w:val="000000"/>
                <w:szCs w:val="14"/>
              </w:rPr>
              <w:t>642</w:t>
            </w:r>
          </w:p>
        </w:tc>
        <w:tc>
          <w:tcPr>
            <w:tcW w:w="1890" w:type="dxa"/>
            <w:tcBorders>
              <w:top w:val="nil"/>
              <w:bottom w:val="nil"/>
            </w:tcBorders>
            <w:shd w:val="clear" w:color="auto" w:fill="auto"/>
            <w:vAlign w:val="center"/>
          </w:tcPr>
          <w:p w14:paraId="3A27ED08" w14:textId="77777777" w:rsidR="008B7E19" w:rsidRPr="004A53AE" w:rsidRDefault="008B7E19" w:rsidP="008B7E19">
            <w:pPr>
              <w:pStyle w:val="08-Tabelageral"/>
              <w:ind w:left="113"/>
              <w:cnfStyle w:val="000000000000" w:firstRow="0" w:lastRow="0" w:firstColumn="0" w:lastColumn="0" w:oddVBand="0" w:evenVBand="0" w:oddHBand="0" w:evenHBand="0" w:firstRowFirstColumn="0" w:firstRowLastColumn="0" w:lastRowFirstColumn="0" w:lastRowLastColumn="0"/>
              <w:rPr>
                <w:rFonts w:cs="Arial"/>
                <w:b/>
                <w:bCs/>
                <w:color w:val="auto"/>
                <w:szCs w:val="14"/>
              </w:rPr>
            </w:pPr>
            <w:r w:rsidRPr="00D977B9">
              <w:rPr>
                <w:rFonts w:cs="Arial"/>
                <w:b/>
                <w:bCs/>
                <w:color w:val="000000"/>
                <w:szCs w:val="14"/>
              </w:rPr>
              <w:t>644</w:t>
            </w:r>
            <w:r>
              <w:rPr>
                <w:rFonts w:cs="Arial"/>
                <w:b/>
                <w:bCs/>
                <w:color w:val="000000"/>
                <w:szCs w:val="14"/>
              </w:rPr>
              <w:t>,</w:t>
            </w:r>
            <w:r w:rsidRPr="00D977B9">
              <w:rPr>
                <w:rFonts w:cs="Arial"/>
                <w:b/>
                <w:bCs/>
                <w:color w:val="000000"/>
                <w:szCs w:val="14"/>
              </w:rPr>
              <w:t>602</w:t>
            </w:r>
          </w:p>
        </w:tc>
        <w:tc>
          <w:tcPr>
            <w:tcW w:w="1890" w:type="dxa"/>
            <w:tcBorders>
              <w:top w:val="nil"/>
              <w:bottom w:val="nil"/>
            </w:tcBorders>
            <w:shd w:val="clear" w:color="auto" w:fill="auto"/>
            <w:vAlign w:val="center"/>
          </w:tcPr>
          <w:p w14:paraId="28BD0C1F" w14:textId="77777777" w:rsidR="008B7E19" w:rsidRPr="004A53AE" w:rsidRDefault="008B7E19" w:rsidP="008B7E19">
            <w:pPr>
              <w:pStyle w:val="08-Tabelageral"/>
              <w:ind w:left="113"/>
              <w:cnfStyle w:val="000000000000" w:firstRow="0" w:lastRow="0" w:firstColumn="0" w:lastColumn="0" w:oddVBand="0" w:evenVBand="0" w:oddHBand="0" w:evenHBand="0" w:firstRowFirstColumn="0" w:firstRowLastColumn="0" w:lastRowFirstColumn="0" w:lastRowLastColumn="0"/>
              <w:rPr>
                <w:rFonts w:cs="Arial"/>
                <w:b/>
                <w:bCs/>
                <w:color w:val="auto"/>
                <w:szCs w:val="14"/>
              </w:rPr>
            </w:pPr>
            <w:r w:rsidRPr="00D977B9">
              <w:rPr>
                <w:rFonts w:cs="Arial"/>
                <w:b/>
                <w:bCs/>
                <w:color w:val="000000"/>
                <w:szCs w:val="14"/>
              </w:rPr>
              <w:t>2</w:t>
            </w:r>
            <w:r>
              <w:rPr>
                <w:rFonts w:cs="Arial"/>
                <w:b/>
                <w:bCs/>
                <w:color w:val="000000"/>
                <w:szCs w:val="14"/>
              </w:rPr>
              <w:t>,</w:t>
            </w:r>
            <w:r w:rsidRPr="00D977B9">
              <w:rPr>
                <w:rFonts w:cs="Arial"/>
                <w:b/>
                <w:bCs/>
                <w:color w:val="000000"/>
                <w:szCs w:val="14"/>
              </w:rPr>
              <w:t>713</w:t>
            </w:r>
            <w:r>
              <w:rPr>
                <w:rFonts w:cs="Arial"/>
                <w:b/>
                <w:bCs/>
                <w:color w:val="000000"/>
                <w:szCs w:val="14"/>
              </w:rPr>
              <w:t>,</w:t>
            </w:r>
            <w:r w:rsidRPr="00D977B9">
              <w:rPr>
                <w:rFonts w:cs="Arial"/>
                <w:b/>
                <w:bCs/>
                <w:color w:val="000000"/>
                <w:szCs w:val="14"/>
              </w:rPr>
              <w:t>244</w:t>
            </w:r>
          </w:p>
        </w:tc>
      </w:tr>
      <w:tr w:rsidR="008B7E19" w:rsidRPr="004A53AE" w14:paraId="3AC58347"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970" w:type="dxa"/>
            <w:tcBorders>
              <w:top w:val="nil"/>
              <w:bottom w:val="nil"/>
            </w:tcBorders>
            <w:shd w:val="clear" w:color="auto" w:fill="auto"/>
            <w:vAlign w:val="center"/>
          </w:tcPr>
          <w:p w14:paraId="09A4BC3C" w14:textId="77777777" w:rsidR="008B7E19" w:rsidRPr="00E33823" w:rsidRDefault="008B7E19" w:rsidP="008B7E19">
            <w:pPr>
              <w:pStyle w:val="08-Tabelageral"/>
              <w:ind w:left="113"/>
              <w:jc w:val="left"/>
              <w:rPr>
                <w:b w:val="0"/>
                <w:bCs w:val="0"/>
              </w:rPr>
            </w:pPr>
            <w:r w:rsidRPr="00E33823">
              <w:rPr>
                <w:rStyle w:val="shorttext"/>
                <w:b w:val="0"/>
                <w:bCs w:val="0"/>
                <w:lang w:val="en"/>
              </w:rPr>
              <w:t>Dividends</w:t>
            </w:r>
          </w:p>
        </w:tc>
        <w:tc>
          <w:tcPr>
            <w:tcW w:w="1889" w:type="dxa"/>
            <w:tcBorders>
              <w:top w:val="nil"/>
              <w:bottom w:val="nil"/>
            </w:tcBorders>
            <w:shd w:val="clear" w:color="auto" w:fill="auto"/>
            <w:vAlign w:val="center"/>
          </w:tcPr>
          <w:p w14:paraId="0FD60B10" w14:textId="77777777" w:rsidR="008B7E19" w:rsidRPr="004A53AE" w:rsidRDefault="008B7E19" w:rsidP="008B7E19">
            <w:pPr>
              <w:pStyle w:val="08-Tabelageral"/>
              <w:ind w:left="113"/>
              <w:cnfStyle w:val="000000100000" w:firstRow="0" w:lastRow="0" w:firstColumn="0" w:lastColumn="0" w:oddVBand="0" w:evenVBand="0" w:oddHBand="1" w:evenHBand="0" w:firstRowFirstColumn="0" w:firstRowLastColumn="0" w:lastRowFirstColumn="0" w:lastRowLastColumn="0"/>
              <w:rPr>
                <w:rFonts w:cs="Arial"/>
                <w:b/>
                <w:bCs/>
                <w:szCs w:val="14"/>
                <w:lang w:eastAsia="en-US"/>
              </w:rPr>
            </w:pPr>
            <w:r w:rsidRPr="00D977B9">
              <w:rPr>
                <w:rFonts w:cs="Arial"/>
                <w:color w:val="000000"/>
                <w:szCs w:val="14"/>
              </w:rPr>
              <w:t>--</w:t>
            </w:r>
          </w:p>
        </w:tc>
        <w:tc>
          <w:tcPr>
            <w:tcW w:w="1890" w:type="dxa"/>
            <w:tcBorders>
              <w:top w:val="nil"/>
              <w:bottom w:val="nil"/>
            </w:tcBorders>
            <w:shd w:val="clear" w:color="auto" w:fill="auto"/>
            <w:vAlign w:val="center"/>
          </w:tcPr>
          <w:p w14:paraId="2173204F" w14:textId="77777777" w:rsidR="008B7E19" w:rsidRPr="004A53AE" w:rsidRDefault="008B7E19" w:rsidP="008B7E19">
            <w:pPr>
              <w:pStyle w:val="08-Tabelageral"/>
              <w:ind w:left="113"/>
              <w:cnfStyle w:val="000000100000" w:firstRow="0" w:lastRow="0" w:firstColumn="0" w:lastColumn="0" w:oddVBand="0" w:evenVBand="0" w:oddHBand="1" w:evenHBand="0" w:firstRowFirstColumn="0" w:firstRowLastColumn="0" w:lastRowFirstColumn="0" w:lastRowLastColumn="0"/>
              <w:rPr>
                <w:rFonts w:cs="Arial"/>
                <w:b/>
                <w:bCs/>
                <w:szCs w:val="14"/>
                <w:lang w:eastAsia="en-US"/>
              </w:rPr>
            </w:pPr>
            <w:r w:rsidRPr="00D977B9">
              <w:rPr>
                <w:rFonts w:cs="Arial"/>
                <w:color w:val="000000"/>
                <w:szCs w:val="14"/>
              </w:rPr>
              <w:t>2</w:t>
            </w:r>
            <w:r>
              <w:rPr>
                <w:rFonts w:cs="Arial"/>
                <w:color w:val="000000"/>
                <w:szCs w:val="14"/>
              </w:rPr>
              <w:t>,</w:t>
            </w:r>
            <w:r w:rsidRPr="00D977B9">
              <w:rPr>
                <w:rFonts w:cs="Arial"/>
                <w:color w:val="000000"/>
                <w:szCs w:val="14"/>
              </w:rPr>
              <w:t>068</w:t>
            </w:r>
            <w:r>
              <w:rPr>
                <w:rFonts w:cs="Arial"/>
                <w:color w:val="000000"/>
                <w:szCs w:val="14"/>
              </w:rPr>
              <w:t>,</w:t>
            </w:r>
            <w:r w:rsidRPr="00D977B9">
              <w:rPr>
                <w:rFonts w:cs="Arial"/>
                <w:color w:val="000000"/>
                <w:szCs w:val="14"/>
              </w:rPr>
              <w:t>642</w:t>
            </w:r>
          </w:p>
        </w:tc>
        <w:tc>
          <w:tcPr>
            <w:tcW w:w="1890" w:type="dxa"/>
            <w:tcBorders>
              <w:top w:val="nil"/>
              <w:bottom w:val="nil"/>
            </w:tcBorders>
            <w:shd w:val="clear" w:color="auto" w:fill="auto"/>
            <w:vAlign w:val="center"/>
          </w:tcPr>
          <w:p w14:paraId="58AB32B7" w14:textId="77777777" w:rsidR="008B7E19" w:rsidRPr="004A53AE" w:rsidRDefault="008B7E19" w:rsidP="008B7E19">
            <w:pPr>
              <w:pStyle w:val="08-Tabelageral"/>
              <w:ind w:left="113"/>
              <w:cnfStyle w:val="000000100000" w:firstRow="0" w:lastRow="0" w:firstColumn="0" w:lastColumn="0" w:oddVBand="0" w:evenVBand="0" w:oddHBand="1" w:evenHBand="0" w:firstRowFirstColumn="0" w:firstRowLastColumn="0" w:lastRowFirstColumn="0" w:lastRowLastColumn="0"/>
              <w:rPr>
                <w:rFonts w:cs="Arial"/>
                <w:b/>
                <w:bCs/>
                <w:szCs w:val="14"/>
                <w:lang w:eastAsia="en-US"/>
              </w:rPr>
            </w:pPr>
            <w:r w:rsidRPr="00D977B9">
              <w:rPr>
                <w:rFonts w:cs="Arial"/>
                <w:color w:val="000000"/>
                <w:szCs w:val="14"/>
              </w:rPr>
              <w:t>2</w:t>
            </w:r>
            <w:r>
              <w:rPr>
                <w:rFonts w:cs="Arial"/>
                <w:color w:val="000000"/>
                <w:szCs w:val="14"/>
              </w:rPr>
              <w:t>,</w:t>
            </w:r>
            <w:r w:rsidRPr="00D977B9">
              <w:rPr>
                <w:rFonts w:cs="Arial"/>
                <w:color w:val="000000"/>
                <w:szCs w:val="14"/>
              </w:rPr>
              <w:t>068</w:t>
            </w:r>
            <w:r>
              <w:rPr>
                <w:rFonts w:cs="Arial"/>
                <w:color w:val="000000"/>
                <w:szCs w:val="14"/>
              </w:rPr>
              <w:t>,</w:t>
            </w:r>
            <w:r w:rsidRPr="00D977B9">
              <w:rPr>
                <w:rFonts w:cs="Arial"/>
                <w:color w:val="000000"/>
                <w:szCs w:val="14"/>
              </w:rPr>
              <w:t>642</w:t>
            </w:r>
          </w:p>
        </w:tc>
      </w:tr>
      <w:tr w:rsidR="008B7E19" w:rsidRPr="006D2355" w14:paraId="7B6D483F" w14:textId="77777777" w:rsidTr="008B7E19">
        <w:trPr>
          <w:trHeight w:val="238"/>
          <w:jc w:val="center"/>
        </w:trPr>
        <w:tc>
          <w:tcPr>
            <w:cnfStyle w:val="001000000000" w:firstRow="0" w:lastRow="0" w:firstColumn="1" w:lastColumn="0" w:oddVBand="0" w:evenVBand="0" w:oddHBand="0" w:evenHBand="0" w:firstRowFirstColumn="0" w:firstRowLastColumn="0" w:lastRowFirstColumn="0" w:lastRowLastColumn="0"/>
            <w:tcW w:w="3970" w:type="dxa"/>
            <w:tcBorders>
              <w:top w:val="nil"/>
              <w:bottom w:val="nil"/>
            </w:tcBorders>
            <w:shd w:val="clear" w:color="auto" w:fill="auto"/>
            <w:vAlign w:val="center"/>
          </w:tcPr>
          <w:p w14:paraId="464A0ABE" w14:textId="77777777" w:rsidR="008B7E19" w:rsidRPr="004A53AE" w:rsidRDefault="008B7E19" w:rsidP="008B7E19">
            <w:pPr>
              <w:pStyle w:val="08-Tabelageral"/>
              <w:ind w:left="113"/>
              <w:jc w:val="left"/>
              <w:rPr>
                <w:rFonts w:cs="Arial"/>
                <w:b w:val="0"/>
                <w:szCs w:val="14"/>
                <w:lang w:val="en-US"/>
              </w:rPr>
            </w:pPr>
            <w:r w:rsidRPr="004A53AE">
              <w:rPr>
                <w:rStyle w:val="shorttext"/>
                <w:b w:val="0"/>
                <w:bCs w:val="0"/>
                <w:lang w:val="en"/>
              </w:rPr>
              <w:t>Retained earnings for the period</w:t>
            </w:r>
          </w:p>
        </w:tc>
        <w:tc>
          <w:tcPr>
            <w:tcW w:w="1889" w:type="dxa"/>
            <w:tcBorders>
              <w:top w:val="nil"/>
              <w:bottom w:val="nil"/>
            </w:tcBorders>
            <w:shd w:val="clear" w:color="auto" w:fill="auto"/>
            <w:vAlign w:val="center"/>
          </w:tcPr>
          <w:p w14:paraId="218AED99" w14:textId="77777777" w:rsidR="008B7E19" w:rsidRPr="004A53AE" w:rsidRDefault="008B7E19" w:rsidP="008B7E19">
            <w:pPr>
              <w:pStyle w:val="08-Tabelageral"/>
              <w:ind w:left="113"/>
              <w:cnfStyle w:val="000000000000" w:firstRow="0" w:lastRow="0" w:firstColumn="0" w:lastColumn="0" w:oddVBand="0" w:evenVBand="0" w:oddHBand="0" w:evenHBand="0" w:firstRowFirstColumn="0" w:firstRowLastColumn="0" w:lastRowFirstColumn="0" w:lastRowLastColumn="0"/>
              <w:rPr>
                <w:rFonts w:cs="Arial"/>
                <w:bCs/>
                <w:color w:val="auto"/>
                <w:szCs w:val="14"/>
              </w:rPr>
            </w:pPr>
            <w:r w:rsidRPr="00D977B9">
              <w:rPr>
                <w:rFonts w:cs="Arial"/>
                <w:color w:val="000000"/>
                <w:szCs w:val="14"/>
              </w:rPr>
              <w:t>517</w:t>
            </w:r>
            <w:r>
              <w:rPr>
                <w:rFonts w:cs="Arial"/>
                <w:color w:val="000000"/>
                <w:szCs w:val="14"/>
              </w:rPr>
              <w:t>,</w:t>
            </w:r>
            <w:r w:rsidRPr="00D977B9">
              <w:rPr>
                <w:rFonts w:cs="Arial"/>
                <w:color w:val="000000"/>
                <w:szCs w:val="14"/>
              </w:rPr>
              <w:t>160</w:t>
            </w:r>
          </w:p>
        </w:tc>
        <w:tc>
          <w:tcPr>
            <w:tcW w:w="1890" w:type="dxa"/>
            <w:tcBorders>
              <w:top w:val="nil"/>
              <w:bottom w:val="nil"/>
            </w:tcBorders>
            <w:shd w:val="clear" w:color="auto" w:fill="auto"/>
            <w:vAlign w:val="center"/>
          </w:tcPr>
          <w:p w14:paraId="69C9C080" w14:textId="77777777" w:rsidR="008B7E19" w:rsidRPr="004A53AE" w:rsidRDefault="008B7E19" w:rsidP="008B7E19">
            <w:pPr>
              <w:pStyle w:val="08-Tabelageral"/>
              <w:ind w:left="113"/>
              <w:cnfStyle w:val="000000000000" w:firstRow="0" w:lastRow="0" w:firstColumn="0" w:lastColumn="0" w:oddVBand="0" w:evenVBand="0" w:oddHBand="0" w:evenHBand="0" w:firstRowFirstColumn="0" w:firstRowLastColumn="0" w:lastRowFirstColumn="0" w:lastRowLastColumn="0"/>
              <w:rPr>
                <w:rFonts w:cs="Arial"/>
                <w:bCs/>
                <w:color w:val="auto"/>
                <w:szCs w:val="14"/>
              </w:rPr>
            </w:pPr>
            <w:r w:rsidRPr="00D977B9">
              <w:rPr>
                <w:rFonts w:cs="Arial"/>
                <w:color w:val="000000"/>
                <w:szCs w:val="14"/>
              </w:rPr>
              <w:t>127</w:t>
            </w:r>
            <w:r>
              <w:rPr>
                <w:rFonts w:cs="Arial"/>
                <w:color w:val="000000"/>
                <w:szCs w:val="14"/>
              </w:rPr>
              <w:t>,</w:t>
            </w:r>
            <w:r w:rsidRPr="00D977B9">
              <w:rPr>
                <w:rFonts w:cs="Arial"/>
                <w:color w:val="000000"/>
                <w:szCs w:val="14"/>
              </w:rPr>
              <w:t>442</w:t>
            </w:r>
          </w:p>
        </w:tc>
        <w:tc>
          <w:tcPr>
            <w:tcW w:w="1890" w:type="dxa"/>
            <w:tcBorders>
              <w:top w:val="nil"/>
              <w:bottom w:val="nil"/>
            </w:tcBorders>
            <w:shd w:val="clear" w:color="auto" w:fill="auto"/>
            <w:vAlign w:val="center"/>
          </w:tcPr>
          <w:p w14:paraId="7BEAD7FF" w14:textId="77777777" w:rsidR="008B7E19" w:rsidRPr="007D290C" w:rsidRDefault="008B7E19" w:rsidP="008B7E19">
            <w:pPr>
              <w:pStyle w:val="08-Tabelageral"/>
              <w:ind w:left="113"/>
              <w:cnfStyle w:val="000000000000" w:firstRow="0" w:lastRow="0" w:firstColumn="0" w:lastColumn="0" w:oddVBand="0" w:evenVBand="0" w:oddHBand="0" w:evenHBand="0" w:firstRowFirstColumn="0" w:firstRowLastColumn="0" w:lastRowFirstColumn="0" w:lastRowLastColumn="0"/>
              <w:rPr>
                <w:rFonts w:cs="Arial"/>
                <w:bCs/>
                <w:color w:val="auto"/>
                <w:szCs w:val="14"/>
              </w:rPr>
            </w:pPr>
            <w:r w:rsidRPr="00D977B9">
              <w:rPr>
                <w:rFonts w:cs="Arial"/>
                <w:color w:val="000000"/>
                <w:szCs w:val="14"/>
              </w:rPr>
              <w:t>644</w:t>
            </w:r>
            <w:r>
              <w:rPr>
                <w:rFonts w:cs="Arial"/>
                <w:color w:val="000000"/>
                <w:szCs w:val="14"/>
              </w:rPr>
              <w:t>,</w:t>
            </w:r>
            <w:r w:rsidRPr="00D977B9">
              <w:rPr>
                <w:rFonts w:cs="Arial"/>
                <w:color w:val="000000"/>
                <w:szCs w:val="14"/>
              </w:rPr>
              <w:t>602</w:t>
            </w:r>
          </w:p>
        </w:tc>
      </w:tr>
      <w:tr w:rsidR="008B7E19" w:rsidRPr="004D58A9" w14:paraId="779850AB" w14:textId="77777777" w:rsidTr="008B7E19">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3970" w:type="dxa"/>
            <w:tcBorders>
              <w:top w:val="single" w:sz="4" w:space="0" w:color="1F4E79" w:themeColor="accent1" w:themeShade="80"/>
              <w:bottom w:val="nil"/>
            </w:tcBorders>
            <w:shd w:val="clear" w:color="auto" w:fill="auto"/>
            <w:vAlign w:val="center"/>
          </w:tcPr>
          <w:p w14:paraId="2A798768" w14:textId="77777777" w:rsidR="008B7E19" w:rsidRPr="004D58A9" w:rsidRDefault="008B7E19" w:rsidP="008B7E19">
            <w:pPr>
              <w:pStyle w:val="08-Tabelageral"/>
              <w:ind w:left="113"/>
              <w:jc w:val="left"/>
              <w:rPr>
                <w:rFonts w:cs="Arial"/>
                <w:b w:val="0"/>
                <w:szCs w:val="14"/>
              </w:rPr>
            </w:pPr>
          </w:p>
        </w:tc>
        <w:tc>
          <w:tcPr>
            <w:tcW w:w="1889" w:type="dxa"/>
            <w:tcBorders>
              <w:top w:val="single" w:sz="4" w:space="0" w:color="1F4E79" w:themeColor="accent1" w:themeShade="80"/>
              <w:bottom w:val="nil"/>
            </w:tcBorders>
            <w:shd w:val="clear" w:color="auto" w:fill="auto"/>
            <w:vAlign w:val="center"/>
          </w:tcPr>
          <w:p w14:paraId="134C77A0" w14:textId="77777777" w:rsidR="008B7E19" w:rsidRPr="004D58A9" w:rsidRDefault="008B7E19" w:rsidP="008B7E19">
            <w:pPr>
              <w:pStyle w:val="08-Tabelageral"/>
              <w:ind w:left="113"/>
              <w:cnfStyle w:val="000000100000" w:firstRow="0" w:lastRow="0" w:firstColumn="0" w:lastColumn="0" w:oddVBand="0" w:evenVBand="0" w:oddHBand="1" w:evenHBand="0" w:firstRowFirstColumn="0" w:firstRowLastColumn="0" w:lastRowFirstColumn="0" w:lastRowLastColumn="0"/>
              <w:rPr>
                <w:rFonts w:cs="Arial"/>
                <w:b/>
                <w:szCs w:val="14"/>
              </w:rPr>
            </w:pPr>
          </w:p>
        </w:tc>
        <w:tc>
          <w:tcPr>
            <w:tcW w:w="1890" w:type="dxa"/>
            <w:tcBorders>
              <w:top w:val="single" w:sz="4" w:space="0" w:color="1F4E79" w:themeColor="accent1" w:themeShade="80"/>
              <w:bottom w:val="nil"/>
            </w:tcBorders>
            <w:shd w:val="clear" w:color="auto" w:fill="auto"/>
            <w:vAlign w:val="center"/>
          </w:tcPr>
          <w:p w14:paraId="7795FC9B" w14:textId="77777777" w:rsidR="008B7E19" w:rsidRPr="004D58A9" w:rsidRDefault="008B7E19" w:rsidP="008B7E19">
            <w:pPr>
              <w:pStyle w:val="08-Tabelageral"/>
              <w:ind w:left="113"/>
              <w:cnfStyle w:val="000000100000" w:firstRow="0" w:lastRow="0" w:firstColumn="0" w:lastColumn="0" w:oddVBand="0" w:evenVBand="0" w:oddHBand="1" w:evenHBand="0" w:firstRowFirstColumn="0" w:firstRowLastColumn="0" w:lastRowFirstColumn="0" w:lastRowLastColumn="0"/>
              <w:rPr>
                <w:rFonts w:cs="Arial"/>
                <w:b/>
                <w:szCs w:val="14"/>
              </w:rPr>
            </w:pPr>
          </w:p>
        </w:tc>
        <w:tc>
          <w:tcPr>
            <w:tcW w:w="1890" w:type="dxa"/>
            <w:tcBorders>
              <w:top w:val="single" w:sz="4" w:space="0" w:color="1F4E79" w:themeColor="accent1" w:themeShade="80"/>
              <w:bottom w:val="nil"/>
            </w:tcBorders>
            <w:shd w:val="clear" w:color="auto" w:fill="auto"/>
            <w:vAlign w:val="center"/>
          </w:tcPr>
          <w:p w14:paraId="5008AB16" w14:textId="77777777" w:rsidR="008B7E19" w:rsidRPr="004D58A9" w:rsidRDefault="008B7E19" w:rsidP="008B7E19">
            <w:pPr>
              <w:pStyle w:val="08-Tabelageral"/>
              <w:ind w:left="113"/>
              <w:cnfStyle w:val="000000100000" w:firstRow="0" w:lastRow="0" w:firstColumn="0" w:lastColumn="0" w:oddVBand="0" w:evenVBand="0" w:oddHBand="1" w:evenHBand="0" w:firstRowFirstColumn="0" w:firstRowLastColumn="0" w:lastRowFirstColumn="0" w:lastRowLastColumn="0"/>
              <w:rPr>
                <w:rFonts w:cs="Arial"/>
                <w:b/>
                <w:szCs w:val="14"/>
              </w:rPr>
            </w:pPr>
          </w:p>
        </w:tc>
      </w:tr>
    </w:tbl>
    <w:p w14:paraId="295B9C9E" w14:textId="77777777" w:rsidR="008B7E19" w:rsidRPr="00426536" w:rsidRDefault="008B7E19" w:rsidP="008B7E19">
      <w:pPr>
        <w:keepNext/>
        <w:keepLines/>
        <w:pageBreakBefore/>
        <w:spacing w:before="120" w:after="120"/>
        <w:jc w:val="both"/>
        <w:rPr>
          <w:rFonts w:eastAsia="Times New Roman" w:cs="Times New Roman"/>
          <w:spacing w:val="-2"/>
          <w:szCs w:val="18"/>
          <w:lang w:val="en-US" w:eastAsia="pt-BR"/>
        </w:rPr>
      </w:pPr>
      <w:r w:rsidRPr="00426536">
        <w:rPr>
          <w:rFonts w:eastAsia="Times New Roman" w:cs="Times New Roman"/>
          <w:spacing w:val="-2"/>
          <w:szCs w:val="18"/>
          <w:lang w:val="en-US" w:eastAsia="pt-BR"/>
        </w:rPr>
        <w:t>In the consolidated statement, new components were opened in the distribution of added value and reclassification of administrative and personnel expenses, as shown below.</w:t>
      </w:r>
    </w:p>
    <w:p w14:paraId="3A9433D6" w14:textId="77777777" w:rsidR="008B7E19" w:rsidRPr="00426536" w:rsidRDefault="008B7E19" w:rsidP="00882B41">
      <w:pPr>
        <w:pStyle w:val="PargrafodaLista"/>
        <w:numPr>
          <w:ilvl w:val="0"/>
          <w:numId w:val="25"/>
        </w:numPr>
        <w:spacing w:before="120" w:after="120"/>
        <w:jc w:val="both"/>
        <w:rPr>
          <w:rFonts w:ascii="Arial" w:eastAsia="Times New Roman" w:hAnsi="Arial" w:cs="Times New Roman"/>
          <w:spacing w:val="-2"/>
          <w:sz w:val="18"/>
          <w:szCs w:val="18"/>
          <w:lang w:val="en-US" w:eastAsia="pt-BR"/>
        </w:rPr>
      </w:pPr>
      <w:r w:rsidRPr="00426536">
        <w:rPr>
          <w:rFonts w:ascii="Arial" w:eastAsia="Times New Roman" w:hAnsi="Arial" w:cs="Times New Roman"/>
          <w:spacing w:val="-2"/>
          <w:sz w:val="18"/>
          <w:szCs w:val="18"/>
          <w:lang w:val="en-US" w:eastAsia="pt-BR"/>
        </w:rPr>
        <w:t>Administrative expenses for rents (R$</w:t>
      </w:r>
      <w:r>
        <w:rPr>
          <w:rFonts w:ascii="Arial" w:eastAsia="Times New Roman" w:hAnsi="Arial" w:cs="Times New Roman"/>
          <w:spacing w:val="-2"/>
          <w:sz w:val="18"/>
          <w:szCs w:val="18"/>
          <w:lang w:val="en-US" w:eastAsia="pt-BR"/>
        </w:rPr>
        <w:t xml:space="preserve"> 1,787</w:t>
      </w:r>
      <w:r w:rsidRPr="00426536">
        <w:rPr>
          <w:rFonts w:ascii="Arial" w:eastAsia="Times New Roman" w:hAnsi="Arial" w:cs="Times New Roman"/>
          <w:spacing w:val="-2"/>
          <w:sz w:val="18"/>
          <w:szCs w:val="18"/>
          <w:lang w:val="en-US" w:eastAsia="pt-BR"/>
        </w:rPr>
        <w:t xml:space="preserve"> thousand);</w:t>
      </w:r>
    </w:p>
    <w:p w14:paraId="62957BCC" w14:textId="77777777" w:rsidR="008B7E19" w:rsidRPr="00426536" w:rsidRDefault="008B7E19" w:rsidP="00882B41">
      <w:pPr>
        <w:pStyle w:val="PargrafodaLista"/>
        <w:numPr>
          <w:ilvl w:val="0"/>
          <w:numId w:val="25"/>
        </w:numPr>
        <w:spacing w:before="120" w:after="120"/>
        <w:jc w:val="both"/>
        <w:rPr>
          <w:rFonts w:ascii="Arial" w:eastAsia="Times New Roman" w:hAnsi="Arial" w:cs="Times New Roman"/>
          <w:spacing w:val="-2"/>
          <w:sz w:val="18"/>
          <w:szCs w:val="18"/>
          <w:lang w:val="en-US" w:eastAsia="pt-BR"/>
        </w:rPr>
      </w:pPr>
      <w:r w:rsidRPr="00426536">
        <w:rPr>
          <w:rFonts w:ascii="Arial" w:eastAsia="Times New Roman" w:hAnsi="Arial" w:cs="Times New Roman"/>
          <w:spacing w:val="-2"/>
          <w:sz w:val="18"/>
          <w:szCs w:val="18"/>
          <w:lang w:val="en-US" w:eastAsia="pt-BR"/>
        </w:rPr>
        <w:t xml:space="preserve">Personnel expenses (INSS) for federal taxes (R$ </w:t>
      </w:r>
      <w:r>
        <w:rPr>
          <w:rFonts w:ascii="Arial" w:eastAsia="Times New Roman" w:hAnsi="Arial" w:cs="Times New Roman"/>
          <w:spacing w:val="-2"/>
          <w:sz w:val="18"/>
          <w:szCs w:val="18"/>
          <w:lang w:val="en-US" w:eastAsia="pt-BR"/>
        </w:rPr>
        <w:t>4,647</w:t>
      </w:r>
      <w:r w:rsidRPr="00426536">
        <w:rPr>
          <w:rFonts w:ascii="Arial" w:eastAsia="Times New Roman" w:hAnsi="Arial" w:cs="Times New Roman"/>
          <w:spacing w:val="-2"/>
          <w:sz w:val="18"/>
          <w:szCs w:val="18"/>
          <w:lang w:val="en-US" w:eastAsia="pt-BR"/>
        </w:rPr>
        <w:t xml:space="preserve"> thousand).</w:t>
      </w:r>
    </w:p>
    <w:p w14:paraId="1BBB1FE5" w14:textId="77777777" w:rsidR="008B7E19" w:rsidRPr="001D4E06" w:rsidRDefault="008B7E19" w:rsidP="008B7E19">
      <w:pPr>
        <w:spacing w:after="0" w:line="240" w:lineRule="auto"/>
        <w:ind w:left="404"/>
        <w:jc w:val="right"/>
        <w:rPr>
          <w:rFonts w:cs="Arial"/>
          <w:b/>
          <w:sz w:val="14"/>
          <w:lang w:eastAsia="pt-BR"/>
        </w:rPr>
      </w:pPr>
      <w:r w:rsidRPr="001D4E06">
        <w:rPr>
          <w:rFonts w:cs="Arial"/>
          <w:b/>
          <w:sz w:val="14"/>
          <w:lang w:eastAsia="pt-BR"/>
        </w:rPr>
        <w:t>R$ thousand</w:t>
      </w:r>
    </w:p>
    <w:tbl>
      <w:tblPr>
        <w:tblStyle w:val="TabeladeLista6Colorida-nfase5"/>
        <w:tblW w:w="9639" w:type="dxa"/>
        <w:jc w:val="center"/>
        <w:tblLayout w:type="fixed"/>
        <w:tblLook w:val="04A0" w:firstRow="1" w:lastRow="0" w:firstColumn="1" w:lastColumn="0" w:noHBand="0" w:noVBand="1"/>
      </w:tblPr>
      <w:tblGrid>
        <w:gridCol w:w="3119"/>
        <w:gridCol w:w="2173"/>
        <w:gridCol w:w="2173"/>
        <w:gridCol w:w="2174"/>
      </w:tblGrid>
      <w:tr w:rsidR="008B7E19" w:rsidRPr="004A53AE" w14:paraId="01D847CF" w14:textId="77777777" w:rsidTr="008B7E19">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19" w:type="dxa"/>
            <w:tcBorders>
              <w:top w:val="single" w:sz="2" w:space="0" w:color="1F4E79" w:themeColor="accent1" w:themeShade="80"/>
              <w:bottom w:val="nil"/>
            </w:tcBorders>
            <w:shd w:val="clear" w:color="auto" w:fill="auto"/>
            <w:vAlign w:val="center"/>
          </w:tcPr>
          <w:p w14:paraId="74C36569" w14:textId="77777777" w:rsidR="008B7E19" w:rsidRPr="00D84B8A" w:rsidRDefault="008B7E19" w:rsidP="008B7E19">
            <w:pPr>
              <w:jc w:val="center"/>
              <w:rPr>
                <w:rFonts w:cs="Arial"/>
                <w:b w:val="0"/>
                <w:sz w:val="14"/>
                <w:szCs w:val="14"/>
              </w:rPr>
            </w:pPr>
          </w:p>
        </w:tc>
        <w:tc>
          <w:tcPr>
            <w:tcW w:w="6520" w:type="dxa"/>
            <w:gridSpan w:val="3"/>
            <w:tcBorders>
              <w:top w:val="single" w:sz="2" w:space="0" w:color="1F4E79" w:themeColor="accent1" w:themeShade="80"/>
              <w:bottom w:val="single" w:sz="2" w:space="0" w:color="1F4E79" w:themeColor="accent1" w:themeShade="80"/>
            </w:tcBorders>
            <w:shd w:val="clear" w:color="auto" w:fill="auto"/>
            <w:vAlign w:val="center"/>
          </w:tcPr>
          <w:p w14:paraId="07166974" w14:textId="77777777" w:rsidR="008B7E19" w:rsidRPr="004A53AE" w:rsidRDefault="008B7E19" w:rsidP="008B7E19">
            <w:pPr>
              <w:jc w:val="center"/>
              <w:cnfStyle w:val="100000000000" w:firstRow="1" w:lastRow="0" w:firstColumn="0" w:lastColumn="0" w:oddVBand="0" w:evenVBand="0" w:oddHBand="0" w:evenHBand="0" w:firstRowFirstColumn="0" w:firstRowLastColumn="0" w:lastRowFirstColumn="0" w:lastRowLastColumn="0"/>
              <w:rPr>
                <w:rFonts w:cs="Arial"/>
                <w:sz w:val="14"/>
                <w:szCs w:val="14"/>
              </w:rPr>
            </w:pPr>
            <w:r w:rsidRPr="00E33823">
              <w:rPr>
                <w:rFonts w:cs="Arial"/>
                <w:sz w:val="14"/>
                <w:szCs w:val="14"/>
                <w:lang w:val="en-US"/>
              </w:rPr>
              <w:t>Consolidated –1</w:t>
            </w:r>
            <w:r w:rsidRPr="00E33823">
              <w:rPr>
                <w:rFonts w:cs="Arial"/>
                <w:sz w:val="14"/>
                <w:szCs w:val="14"/>
                <w:vertAlign w:val="superscript"/>
                <w:lang w:val="en-US"/>
              </w:rPr>
              <w:t>st</w:t>
            </w:r>
            <w:r w:rsidRPr="00E33823">
              <w:rPr>
                <w:rFonts w:cs="Arial"/>
                <w:sz w:val="14"/>
                <w:szCs w:val="14"/>
                <w:lang w:val="en-US"/>
              </w:rPr>
              <w:t xml:space="preserve"> Half 2022</w:t>
            </w:r>
          </w:p>
        </w:tc>
      </w:tr>
      <w:tr w:rsidR="008B7E19" w:rsidRPr="004A53AE" w14:paraId="57B93D3E"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19" w:type="dxa"/>
            <w:tcBorders>
              <w:top w:val="nil"/>
              <w:bottom w:val="single" w:sz="2" w:space="0" w:color="1F4E79" w:themeColor="accent1" w:themeShade="80"/>
            </w:tcBorders>
            <w:shd w:val="clear" w:color="auto" w:fill="auto"/>
            <w:vAlign w:val="center"/>
          </w:tcPr>
          <w:p w14:paraId="61477A4F" w14:textId="77777777" w:rsidR="008B7E19" w:rsidRPr="004A53AE" w:rsidRDefault="008B7E19" w:rsidP="008B7E19">
            <w:pPr>
              <w:jc w:val="center"/>
              <w:rPr>
                <w:rFonts w:cs="Arial"/>
                <w:b w:val="0"/>
                <w:szCs w:val="14"/>
              </w:rPr>
            </w:pPr>
          </w:p>
        </w:tc>
        <w:tc>
          <w:tcPr>
            <w:tcW w:w="2173" w:type="dxa"/>
            <w:tcBorders>
              <w:top w:val="single" w:sz="2" w:space="0" w:color="1F4E79" w:themeColor="accent1" w:themeShade="80"/>
              <w:bottom w:val="single" w:sz="2" w:space="0" w:color="1F4E79" w:themeColor="accent1" w:themeShade="80"/>
            </w:tcBorders>
            <w:shd w:val="clear" w:color="auto" w:fill="auto"/>
            <w:vAlign w:val="center"/>
          </w:tcPr>
          <w:p w14:paraId="0E2C05B1" w14:textId="77777777" w:rsidR="008B7E19" w:rsidRPr="004A53AE" w:rsidRDefault="008B7E19" w:rsidP="008B7E19">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cs="Arial"/>
                <w:b/>
                <w:bCs/>
                <w:szCs w:val="14"/>
              </w:rPr>
            </w:pPr>
            <w:r>
              <w:rPr>
                <w:rFonts w:cs="Arial"/>
                <w:b/>
                <w:bCs/>
                <w:sz w:val="14"/>
                <w:szCs w:val="14"/>
              </w:rPr>
              <w:t>Original report</w:t>
            </w:r>
          </w:p>
        </w:tc>
        <w:tc>
          <w:tcPr>
            <w:tcW w:w="2173" w:type="dxa"/>
            <w:tcBorders>
              <w:top w:val="single" w:sz="2" w:space="0" w:color="1F4E79" w:themeColor="accent1" w:themeShade="80"/>
              <w:bottom w:val="single" w:sz="2" w:space="0" w:color="1F4E79" w:themeColor="accent1" w:themeShade="80"/>
            </w:tcBorders>
            <w:shd w:val="clear" w:color="auto" w:fill="auto"/>
            <w:vAlign w:val="center"/>
          </w:tcPr>
          <w:p w14:paraId="49E30B60" w14:textId="77777777" w:rsidR="008B7E19" w:rsidRPr="004A53AE" w:rsidRDefault="008B7E19" w:rsidP="008B7E19">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cs="Arial"/>
                <w:b/>
                <w:bCs/>
                <w:sz w:val="14"/>
                <w:szCs w:val="14"/>
              </w:rPr>
            </w:pPr>
            <w:r w:rsidRPr="004A53AE">
              <w:rPr>
                <w:rFonts w:cs="Arial"/>
                <w:b/>
                <w:bCs/>
                <w:sz w:val="14"/>
                <w:szCs w:val="14"/>
              </w:rPr>
              <w:t>Reclassifications</w:t>
            </w:r>
          </w:p>
        </w:tc>
        <w:tc>
          <w:tcPr>
            <w:tcW w:w="2174" w:type="dxa"/>
            <w:tcBorders>
              <w:top w:val="single" w:sz="2" w:space="0" w:color="1F4E79" w:themeColor="accent1" w:themeShade="80"/>
              <w:bottom w:val="single" w:sz="2" w:space="0" w:color="1F4E79" w:themeColor="accent1" w:themeShade="80"/>
            </w:tcBorders>
            <w:shd w:val="clear" w:color="auto" w:fill="auto"/>
            <w:vAlign w:val="center"/>
          </w:tcPr>
          <w:p w14:paraId="263844EF" w14:textId="77777777" w:rsidR="008B7E19" w:rsidRPr="004A53AE" w:rsidRDefault="008B7E19" w:rsidP="008B7E19">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cs="Arial"/>
                <w:b/>
                <w:bCs/>
                <w:szCs w:val="14"/>
              </w:rPr>
            </w:pPr>
            <w:r>
              <w:rPr>
                <w:rFonts w:cs="Arial"/>
                <w:b/>
                <w:bCs/>
                <w:sz w:val="14"/>
                <w:szCs w:val="14"/>
              </w:rPr>
              <w:t>Restated balances</w:t>
            </w:r>
          </w:p>
        </w:tc>
      </w:tr>
      <w:tr w:rsidR="008B7E19" w:rsidRPr="004A53AE" w14:paraId="03274A02" w14:textId="77777777" w:rsidTr="008B7E19">
        <w:trPr>
          <w:trHeight w:val="238"/>
          <w:jc w:val="center"/>
        </w:trPr>
        <w:tc>
          <w:tcPr>
            <w:cnfStyle w:val="001000000000" w:firstRow="0" w:lastRow="0" w:firstColumn="1" w:lastColumn="0" w:oddVBand="0" w:evenVBand="0" w:oddHBand="0" w:evenHBand="0" w:firstRowFirstColumn="0" w:firstRowLastColumn="0" w:lastRowFirstColumn="0" w:lastRowLastColumn="0"/>
            <w:tcW w:w="3119" w:type="dxa"/>
            <w:tcBorders>
              <w:top w:val="single" w:sz="2" w:space="0" w:color="1F4E79" w:themeColor="accent1" w:themeShade="80"/>
              <w:bottom w:val="nil"/>
            </w:tcBorders>
            <w:shd w:val="clear" w:color="auto" w:fill="auto"/>
            <w:vAlign w:val="center"/>
          </w:tcPr>
          <w:p w14:paraId="786F6B1B" w14:textId="77777777" w:rsidR="008B7E19" w:rsidRPr="004A53AE" w:rsidRDefault="008B7E19" w:rsidP="008B7E19">
            <w:pPr>
              <w:pStyle w:val="08-Tabelageral"/>
              <w:jc w:val="left"/>
              <w:rPr>
                <w:rFonts w:cs="Arial"/>
                <w:szCs w:val="14"/>
              </w:rPr>
            </w:pPr>
            <w:r w:rsidRPr="004A53AE">
              <w:rPr>
                <w:rFonts w:cs="Arial"/>
                <w:szCs w:val="14"/>
              </w:rPr>
              <w:t>Income</w:t>
            </w:r>
          </w:p>
        </w:tc>
        <w:tc>
          <w:tcPr>
            <w:tcW w:w="2173" w:type="dxa"/>
            <w:tcBorders>
              <w:top w:val="single" w:sz="2" w:space="0" w:color="1F4E79" w:themeColor="accent1" w:themeShade="80"/>
              <w:bottom w:val="nil"/>
            </w:tcBorders>
            <w:shd w:val="clear" w:color="auto" w:fill="auto"/>
            <w:vAlign w:val="center"/>
          </w:tcPr>
          <w:p w14:paraId="656CE71D" w14:textId="77777777" w:rsidR="008B7E19" w:rsidRPr="004A53AE"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b/>
                <w:bCs/>
                <w:color w:val="auto"/>
                <w:szCs w:val="14"/>
              </w:rPr>
            </w:pPr>
            <w:r>
              <w:rPr>
                <w:rFonts w:cs="Arial"/>
                <w:b/>
                <w:bCs/>
                <w:color w:val="000000"/>
                <w:szCs w:val="14"/>
              </w:rPr>
              <w:t>2,103,600</w:t>
            </w:r>
          </w:p>
        </w:tc>
        <w:tc>
          <w:tcPr>
            <w:tcW w:w="2173" w:type="dxa"/>
            <w:tcBorders>
              <w:top w:val="single" w:sz="2" w:space="0" w:color="1F4E79" w:themeColor="accent1" w:themeShade="80"/>
              <w:bottom w:val="nil"/>
            </w:tcBorders>
            <w:shd w:val="clear" w:color="auto" w:fill="auto"/>
            <w:vAlign w:val="center"/>
          </w:tcPr>
          <w:p w14:paraId="1DEB2A90" w14:textId="77777777" w:rsidR="008B7E19" w:rsidRPr="004A53AE"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b/>
                <w:bCs/>
                <w:color w:val="auto"/>
                <w:szCs w:val="14"/>
              </w:rPr>
            </w:pPr>
            <w:r>
              <w:rPr>
                <w:rFonts w:cs="Arial"/>
                <w:b/>
                <w:bCs/>
                <w:color w:val="000000"/>
                <w:szCs w:val="14"/>
              </w:rPr>
              <w:t>--</w:t>
            </w:r>
          </w:p>
        </w:tc>
        <w:tc>
          <w:tcPr>
            <w:tcW w:w="2174" w:type="dxa"/>
            <w:tcBorders>
              <w:top w:val="single" w:sz="2" w:space="0" w:color="1F4E79" w:themeColor="accent1" w:themeShade="80"/>
              <w:bottom w:val="nil"/>
            </w:tcBorders>
            <w:shd w:val="clear" w:color="auto" w:fill="auto"/>
            <w:vAlign w:val="center"/>
          </w:tcPr>
          <w:p w14:paraId="61CCA6C9" w14:textId="77777777" w:rsidR="008B7E19" w:rsidRPr="004A53AE"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b/>
                <w:bCs/>
                <w:color w:val="auto"/>
                <w:szCs w:val="14"/>
              </w:rPr>
            </w:pPr>
            <w:r>
              <w:rPr>
                <w:rFonts w:cs="Arial"/>
                <w:b/>
                <w:bCs/>
                <w:color w:val="000000"/>
                <w:szCs w:val="14"/>
              </w:rPr>
              <w:t>2,103,600</w:t>
            </w:r>
          </w:p>
        </w:tc>
      </w:tr>
      <w:tr w:rsidR="008B7E19" w:rsidRPr="004A53AE" w14:paraId="4582152E"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19" w:type="dxa"/>
            <w:tcBorders>
              <w:top w:val="nil"/>
              <w:bottom w:val="nil"/>
            </w:tcBorders>
            <w:shd w:val="clear" w:color="auto" w:fill="auto"/>
            <w:vAlign w:val="center"/>
          </w:tcPr>
          <w:p w14:paraId="154EF22A" w14:textId="77777777" w:rsidR="008B7E19" w:rsidRPr="004A53AE" w:rsidRDefault="008B7E19" w:rsidP="008B7E19">
            <w:pPr>
              <w:pStyle w:val="08-Tabelageral"/>
              <w:jc w:val="left"/>
              <w:rPr>
                <w:rFonts w:cs="Arial"/>
                <w:szCs w:val="14"/>
                <w:lang w:val="en-US"/>
              </w:rPr>
            </w:pPr>
            <w:r w:rsidRPr="004A53AE">
              <w:rPr>
                <w:rFonts w:cs="Arial"/>
                <w:szCs w:val="14"/>
                <w:lang w:val="en-US"/>
              </w:rPr>
              <w:t>Input Acquired from Third Parties</w:t>
            </w:r>
          </w:p>
        </w:tc>
        <w:tc>
          <w:tcPr>
            <w:tcW w:w="2173" w:type="dxa"/>
            <w:tcBorders>
              <w:top w:val="nil"/>
              <w:bottom w:val="nil"/>
            </w:tcBorders>
            <w:shd w:val="clear" w:color="auto" w:fill="auto"/>
          </w:tcPr>
          <w:p w14:paraId="10ACFB06" w14:textId="77777777" w:rsidR="008B7E19" w:rsidRPr="004A53AE"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b/>
                <w:bCs/>
                <w:color w:val="auto"/>
                <w:szCs w:val="14"/>
              </w:rPr>
            </w:pPr>
            <w:r w:rsidRPr="00E95847">
              <w:rPr>
                <w:b/>
                <w:bCs/>
              </w:rPr>
              <w:t>(150</w:t>
            </w:r>
            <w:r>
              <w:rPr>
                <w:b/>
                <w:bCs/>
              </w:rPr>
              <w:t>,</w:t>
            </w:r>
            <w:r w:rsidRPr="00E95847">
              <w:rPr>
                <w:b/>
                <w:bCs/>
              </w:rPr>
              <w:t>421)</w:t>
            </w:r>
          </w:p>
        </w:tc>
        <w:tc>
          <w:tcPr>
            <w:tcW w:w="2173" w:type="dxa"/>
            <w:tcBorders>
              <w:top w:val="nil"/>
              <w:bottom w:val="nil"/>
            </w:tcBorders>
            <w:shd w:val="clear" w:color="auto" w:fill="auto"/>
          </w:tcPr>
          <w:p w14:paraId="5726BD6A" w14:textId="77777777" w:rsidR="008B7E19" w:rsidRPr="004A53AE"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b/>
                <w:bCs/>
                <w:color w:val="auto"/>
                <w:szCs w:val="14"/>
              </w:rPr>
            </w:pPr>
            <w:r w:rsidRPr="00E95847">
              <w:rPr>
                <w:b/>
                <w:bCs/>
              </w:rPr>
              <w:t>1</w:t>
            </w:r>
            <w:r>
              <w:rPr>
                <w:b/>
                <w:bCs/>
              </w:rPr>
              <w:t>,</w:t>
            </w:r>
            <w:r w:rsidRPr="00E95847">
              <w:rPr>
                <w:b/>
                <w:bCs/>
              </w:rPr>
              <w:t>787</w:t>
            </w:r>
          </w:p>
        </w:tc>
        <w:tc>
          <w:tcPr>
            <w:tcW w:w="2174" w:type="dxa"/>
            <w:tcBorders>
              <w:top w:val="nil"/>
              <w:bottom w:val="nil"/>
            </w:tcBorders>
            <w:shd w:val="clear" w:color="auto" w:fill="auto"/>
          </w:tcPr>
          <w:p w14:paraId="043D7A1B" w14:textId="77777777" w:rsidR="008B7E19" w:rsidRPr="004A53AE"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b/>
                <w:bCs/>
                <w:color w:val="auto"/>
                <w:szCs w:val="14"/>
              </w:rPr>
            </w:pPr>
            <w:r w:rsidRPr="00E95847">
              <w:rPr>
                <w:b/>
                <w:bCs/>
              </w:rPr>
              <w:t>(148</w:t>
            </w:r>
            <w:r>
              <w:rPr>
                <w:b/>
                <w:bCs/>
              </w:rPr>
              <w:t>,</w:t>
            </w:r>
            <w:r w:rsidRPr="00E95847">
              <w:rPr>
                <w:b/>
                <w:bCs/>
              </w:rPr>
              <w:t>634)</w:t>
            </w:r>
          </w:p>
        </w:tc>
      </w:tr>
      <w:tr w:rsidR="008B7E19" w:rsidRPr="004A53AE" w14:paraId="38DB28B9" w14:textId="77777777" w:rsidTr="008B7E19">
        <w:trPr>
          <w:trHeight w:val="238"/>
          <w:jc w:val="center"/>
        </w:trPr>
        <w:tc>
          <w:tcPr>
            <w:cnfStyle w:val="001000000000" w:firstRow="0" w:lastRow="0" w:firstColumn="1" w:lastColumn="0" w:oddVBand="0" w:evenVBand="0" w:oddHBand="0" w:evenHBand="0" w:firstRowFirstColumn="0" w:firstRowLastColumn="0" w:lastRowFirstColumn="0" w:lastRowLastColumn="0"/>
            <w:tcW w:w="3119" w:type="dxa"/>
            <w:tcBorders>
              <w:top w:val="nil"/>
              <w:bottom w:val="nil"/>
            </w:tcBorders>
            <w:shd w:val="clear" w:color="auto" w:fill="auto"/>
            <w:vAlign w:val="center"/>
          </w:tcPr>
          <w:p w14:paraId="2A736878" w14:textId="77777777" w:rsidR="008B7E19" w:rsidRPr="004A53AE" w:rsidRDefault="008B7E19" w:rsidP="008B7E19">
            <w:pPr>
              <w:pStyle w:val="08-Tabelageral"/>
              <w:ind w:left="113"/>
              <w:jc w:val="left"/>
              <w:rPr>
                <w:rFonts w:cs="Arial"/>
                <w:b w:val="0"/>
                <w:szCs w:val="14"/>
              </w:rPr>
            </w:pPr>
            <w:r w:rsidRPr="004A53AE">
              <w:rPr>
                <w:rFonts w:cs="Arial"/>
                <w:b w:val="0"/>
                <w:szCs w:val="14"/>
              </w:rPr>
              <w:t>Administrative expenses diverse</w:t>
            </w:r>
          </w:p>
        </w:tc>
        <w:tc>
          <w:tcPr>
            <w:tcW w:w="2173" w:type="dxa"/>
            <w:tcBorders>
              <w:top w:val="nil"/>
              <w:bottom w:val="nil"/>
            </w:tcBorders>
            <w:shd w:val="clear" w:color="auto" w:fill="auto"/>
            <w:vAlign w:val="center"/>
          </w:tcPr>
          <w:p w14:paraId="287B8682" w14:textId="77777777" w:rsidR="008B7E19" w:rsidRPr="004A53AE"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bCs/>
                <w:color w:val="auto"/>
                <w:szCs w:val="14"/>
              </w:rPr>
            </w:pPr>
            <w:r>
              <w:rPr>
                <w:rFonts w:cs="Arial"/>
                <w:color w:val="000000"/>
                <w:szCs w:val="14"/>
              </w:rPr>
              <w:t>(13,500)</w:t>
            </w:r>
          </w:p>
        </w:tc>
        <w:tc>
          <w:tcPr>
            <w:tcW w:w="2173" w:type="dxa"/>
            <w:tcBorders>
              <w:top w:val="nil"/>
              <w:bottom w:val="nil"/>
            </w:tcBorders>
            <w:shd w:val="clear" w:color="auto" w:fill="auto"/>
            <w:vAlign w:val="center"/>
          </w:tcPr>
          <w:p w14:paraId="25E3E492" w14:textId="77777777" w:rsidR="008B7E19" w:rsidRPr="004A53AE"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bCs/>
                <w:color w:val="auto"/>
                <w:szCs w:val="14"/>
              </w:rPr>
            </w:pPr>
            <w:r>
              <w:rPr>
                <w:rFonts w:cs="Arial"/>
                <w:color w:val="000000"/>
                <w:szCs w:val="14"/>
              </w:rPr>
              <w:t>1,787</w:t>
            </w:r>
          </w:p>
        </w:tc>
        <w:tc>
          <w:tcPr>
            <w:tcW w:w="2174" w:type="dxa"/>
            <w:tcBorders>
              <w:top w:val="nil"/>
              <w:bottom w:val="nil"/>
            </w:tcBorders>
            <w:shd w:val="clear" w:color="auto" w:fill="auto"/>
            <w:vAlign w:val="center"/>
          </w:tcPr>
          <w:p w14:paraId="32C4897C" w14:textId="77777777" w:rsidR="008B7E19" w:rsidRPr="004A53AE"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bCs/>
                <w:color w:val="auto"/>
                <w:szCs w:val="14"/>
              </w:rPr>
            </w:pPr>
            <w:r>
              <w:rPr>
                <w:rFonts w:cs="Arial"/>
                <w:color w:val="000000"/>
                <w:szCs w:val="14"/>
              </w:rPr>
              <w:t>(11,713)</w:t>
            </w:r>
          </w:p>
        </w:tc>
      </w:tr>
      <w:tr w:rsidR="008B7E19" w:rsidRPr="004A53AE" w14:paraId="3E2AC119"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19" w:type="dxa"/>
            <w:tcBorders>
              <w:top w:val="nil"/>
              <w:bottom w:val="nil"/>
            </w:tcBorders>
            <w:shd w:val="clear" w:color="auto" w:fill="auto"/>
            <w:vAlign w:val="center"/>
          </w:tcPr>
          <w:p w14:paraId="4AB61068" w14:textId="77777777" w:rsidR="008B7E19" w:rsidRPr="004A53AE" w:rsidRDefault="008B7E19" w:rsidP="008B7E19">
            <w:pPr>
              <w:pStyle w:val="08-Tabelageral"/>
              <w:ind w:left="113"/>
              <w:jc w:val="left"/>
              <w:rPr>
                <w:rFonts w:cs="Arial"/>
                <w:b w:val="0"/>
                <w:szCs w:val="14"/>
              </w:rPr>
            </w:pPr>
            <w:r w:rsidRPr="004A53AE">
              <w:rPr>
                <w:rFonts w:cs="Arial"/>
                <w:b w:val="0"/>
                <w:szCs w:val="14"/>
              </w:rPr>
              <w:t>Cost of services provided</w:t>
            </w:r>
          </w:p>
        </w:tc>
        <w:tc>
          <w:tcPr>
            <w:tcW w:w="2173" w:type="dxa"/>
            <w:tcBorders>
              <w:top w:val="nil"/>
              <w:bottom w:val="nil"/>
            </w:tcBorders>
            <w:shd w:val="clear" w:color="auto" w:fill="auto"/>
            <w:vAlign w:val="center"/>
          </w:tcPr>
          <w:p w14:paraId="45A03F65" w14:textId="77777777" w:rsidR="008B7E19" w:rsidRPr="004A53AE"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bCs/>
                <w:color w:val="auto"/>
                <w:szCs w:val="14"/>
              </w:rPr>
            </w:pPr>
            <w:r>
              <w:rPr>
                <w:rFonts w:cs="Arial"/>
                <w:color w:val="000000"/>
                <w:szCs w:val="14"/>
              </w:rPr>
              <w:t>(101,800)</w:t>
            </w:r>
          </w:p>
        </w:tc>
        <w:tc>
          <w:tcPr>
            <w:tcW w:w="2173" w:type="dxa"/>
            <w:tcBorders>
              <w:top w:val="nil"/>
              <w:bottom w:val="nil"/>
            </w:tcBorders>
            <w:shd w:val="clear" w:color="auto" w:fill="auto"/>
            <w:vAlign w:val="center"/>
          </w:tcPr>
          <w:p w14:paraId="2FACE8D3" w14:textId="77777777" w:rsidR="008B7E19" w:rsidRPr="004A53AE"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bCs/>
                <w:color w:val="auto"/>
                <w:szCs w:val="14"/>
              </w:rPr>
            </w:pPr>
            <w:r>
              <w:rPr>
                <w:rFonts w:cs="Arial"/>
                <w:color w:val="000000"/>
                <w:szCs w:val="14"/>
              </w:rPr>
              <w:t>--</w:t>
            </w:r>
          </w:p>
        </w:tc>
        <w:tc>
          <w:tcPr>
            <w:tcW w:w="2174" w:type="dxa"/>
            <w:tcBorders>
              <w:top w:val="nil"/>
              <w:bottom w:val="nil"/>
            </w:tcBorders>
            <w:shd w:val="clear" w:color="auto" w:fill="auto"/>
            <w:vAlign w:val="center"/>
          </w:tcPr>
          <w:p w14:paraId="176CA60B" w14:textId="77777777" w:rsidR="008B7E19" w:rsidRPr="004A53AE"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bCs/>
                <w:color w:val="auto"/>
                <w:szCs w:val="14"/>
              </w:rPr>
            </w:pPr>
            <w:r>
              <w:rPr>
                <w:rFonts w:cs="Arial"/>
                <w:color w:val="000000"/>
                <w:szCs w:val="14"/>
              </w:rPr>
              <w:t>(101,800)</w:t>
            </w:r>
          </w:p>
        </w:tc>
      </w:tr>
      <w:tr w:rsidR="008B7E19" w:rsidRPr="004A53AE" w14:paraId="03B13E1B" w14:textId="77777777" w:rsidTr="008B7E19">
        <w:trPr>
          <w:trHeight w:val="238"/>
          <w:jc w:val="center"/>
        </w:trPr>
        <w:tc>
          <w:tcPr>
            <w:cnfStyle w:val="001000000000" w:firstRow="0" w:lastRow="0" w:firstColumn="1" w:lastColumn="0" w:oddVBand="0" w:evenVBand="0" w:oddHBand="0" w:evenHBand="0" w:firstRowFirstColumn="0" w:firstRowLastColumn="0" w:lastRowFirstColumn="0" w:lastRowLastColumn="0"/>
            <w:tcW w:w="3119" w:type="dxa"/>
            <w:tcBorders>
              <w:top w:val="nil"/>
              <w:bottom w:val="nil"/>
            </w:tcBorders>
            <w:shd w:val="clear" w:color="auto" w:fill="auto"/>
            <w:vAlign w:val="center"/>
          </w:tcPr>
          <w:p w14:paraId="093EB267" w14:textId="77777777" w:rsidR="008B7E19" w:rsidRPr="004A53AE" w:rsidRDefault="008B7E19" w:rsidP="008B7E19">
            <w:pPr>
              <w:pStyle w:val="08-Tabelageral"/>
              <w:ind w:left="113"/>
              <w:jc w:val="left"/>
              <w:rPr>
                <w:rFonts w:cs="Arial"/>
                <w:b w:val="0"/>
                <w:szCs w:val="14"/>
              </w:rPr>
            </w:pPr>
            <w:r w:rsidRPr="004A53AE">
              <w:rPr>
                <w:rFonts w:cs="Arial"/>
                <w:b w:val="0"/>
                <w:szCs w:val="14"/>
              </w:rPr>
              <w:t>expenses</w:t>
            </w:r>
          </w:p>
        </w:tc>
        <w:tc>
          <w:tcPr>
            <w:tcW w:w="2173" w:type="dxa"/>
            <w:tcBorders>
              <w:top w:val="nil"/>
              <w:bottom w:val="nil"/>
            </w:tcBorders>
            <w:shd w:val="clear" w:color="auto" w:fill="auto"/>
            <w:vAlign w:val="center"/>
          </w:tcPr>
          <w:p w14:paraId="454ED67C" w14:textId="77777777" w:rsidR="008B7E19" w:rsidRPr="004A53AE"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bCs/>
                <w:color w:val="auto"/>
                <w:szCs w:val="14"/>
              </w:rPr>
            </w:pPr>
            <w:r>
              <w:rPr>
                <w:rFonts w:cs="Arial"/>
                <w:color w:val="000000"/>
                <w:szCs w:val="14"/>
              </w:rPr>
              <w:t>(35,121)</w:t>
            </w:r>
          </w:p>
        </w:tc>
        <w:tc>
          <w:tcPr>
            <w:tcW w:w="2173" w:type="dxa"/>
            <w:tcBorders>
              <w:top w:val="nil"/>
              <w:bottom w:val="nil"/>
            </w:tcBorders>
            <w:shd w:val="clear" w:color="auto" w:fill="auto"/>
            <w:vAlign w:val="center"/>
          </w:tcPr>
          <w:p w14:paraId="7C872E4E" w14:textId="77777777" w:rsidR="008B7E19" w:rsidRPr="004A53AE"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bCs/>
                <w:color w:val="auto"/>
                <w:szCs w:val="14"/>
              </w:rPr>
            </w:pPr>
            <w:r>
              <w:rPr>
                <w:rFonts w:cs="Arial"/>
                <w:color w:val="000000"/>
                <w:szCs w:val="14"/>
              </w:rPr>
              <w:t>--</w:t>
            </w:r>
          </w:p>
        </w:tc>
        <w:tc>
          <w:tcPr>
            <w:tcW w:w="2174" w:type="dxa"/>
            <w:tcBorders>
              <w:top w:val="nil"/>
              <w:bottom w:val="nil"/>
            </w:tcBorders>
            <w:shd w:val="clear" w:color="auto" w:fill="auto"/>
            <w:vAlign w:val="center"/>
          </w:tcPr>
          <w:p w14:paraId="69086FAD" w14:textId="77777777" w:rsidR="008B7E19" w:rsidRPr="004A53AE"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bCs/>
                <w:color w:val="auto"/>
                <w:szCs w:val="14"/>
              </w:rPr>
            </w:pPr>
            <w:r>
              <w:rPr>
                <w:rFonts w:cs="Arial"/>
                <w:color w:val="000000"/>
                <w:szCs w:val="14"/>
              </w:rPr>
              <w:t>(35,121)</w:t>
            </w:r>
          </w:p>
        </w:tc>
      </w:tr>
      <w:tr w:rsidR="008B7E19" w:rsidRPr="004A53AE" w14:paraId="6EF6C149"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19" w:type="dxa"/>
            <w:tcBorders>
              <w:top w:val="nil"/>
              <w:bottom w:val="nil"/>
            </w:tcBorders>
            <w:shd w:val="clear" w:color="auto" w:fill="auto"/>
            <w:vAlign w:val="center"/>
          </w:tcPr>
          <w:p w14:paraId="41A847C2" w14:textId="77777777" w:rsidR="008B7E19" w:rsidRPr="004A53AE" w:rsidRDefault="008B7E19" w:rsidP="008B7E19">
            <w:pPr>
              <w:pStyle w:val="08-Tabelageral"/>
              <w:jc w:val="left"/>
              <w:rPr>
                <w:rFonts w:cs="Arial"/>
                <w:szCs w:val="14"/>
              </w:rPr>
            </w:pPr>
            <w:r w:rsidRPr="004A53AE">
              <w:rPr>
                <w:rFonts w:cs="Arial"/>
                <w:szCs w:val="14"/>
              </w:rPr>
              <w:t>Gross Added Value</w:t>
            </w:r>
          </w:p>
        </w:tc>
        <w:tc>
          <w:tcPr>
            <w:tcW w:w="2173" w:type="dxa"/>
            <w:tcBorders>
              <w:top w:val="nil"/>
              <w:bottom w:val="nil"/>
            </w:tcBorders>
            <w:shd w:val="clear" w:color="auto" w:fill="auto"/>
          </w:tcPr>
          <w:p w14:paraId="6FD5AEEC" w14:textId="77777777" w:rsidR="008B7E19" w:rsidRPr="004A53AE"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b/>
                <w:bCs/>
                <w:color w:val="auto"/>
                <w:szCs w:val="14"/>
              </w:rPr>
            </w:pPr>
            <w:r w:rsidRPr="00E95847">
              <w:rPr>
                <w:b/>
                <w:bCs/>
              </w:rPr>
              <w:t>1</w:t>
            </w:r>
            <w:r>
              <w:rPr>
                <w:b/>
                <w:bCs/>
              </w:rPr>
              <w:t>,</w:t>
            </w:r>
            <w:r w:rsidRPr="00E95847">
              <w:rPr>
                <w:b/>
                <w:bCs/>
              </w:rPr>
              <w:t>953</w:t>
            </w:r>
            <w:r>
              <w:rPr>
                <w:b/>
                <w:bCs/>
              </w:rPr>
              <w:t>,</w:t>
            </w:r>
            <w:r w:rsidRPr="00E95847">
              <w:rPr>
                <w:b/>
                <w:bCs/>
              </w:rPr>
              <w:t>179</w:t>
            </w:r>
          </w:p>
        </w:tc>
        <w:tc>
          <w:tcPr>
            <w:tcW w:w="2173" w:type="dxa"/>
            <w:tcBorders>
              <w:top w:val="nil"/>
              <w:bottom w:val="nil"/>
            </w:tcBorders>
            <w:shd w:val="clear" w:color="auto" w:fill="auto"/>
          </w:tcPr>
          <w:p w14:paraId="73A47E94" w14:textId="77777777" w:rsidR="008B7E19" w:rsidRPr="004A53AE"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b/>
                <w:bCs/>
                <w:color w:val="auto"/>
                <w:szCs w:val="14"/>
              </w:rPr>
            </w:pPr>
            <w:r w:rsidRPr="00E95847">
              <w:rPr>
                <w:b/>
                <w:bCs/>
              </w:rPr>
              <w:t>1</w:t>
            </w:r>
            <w:r>
              <w:rPr>
                <w:b/>
                <w:bCs/>
              </w:rPr>
              <w:t>,</w:t>
            </w:r>
            <w:r w:rsidRPr="00E95847">
              <w:rPr>
                <w:b/>
                <w:bCs/>
              </w:rPr>
              <w:t>787</w:t>
            </w:r>
          </w:p>
        </w:tc>
        <w:tc>
          <w:tcPr>
            <w:tcW w:w="2174" w:type="dxa"/>
            <w:tcBorders>
              <w:top w:val="nil"/>
              <w:bottom w:val="nil"/>
            </w:tcBorders>
            <w:shd w:val="clear" w:color="auto" w:fill="auto"/>
          </w:tcPr>
          <w:p w14:paraId="0898F4DF" w14:textId="77777777" w:rsidR="008B7E19" w:rsidRPr="004A53AE"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b/>
                <w:bCs/>
                <w:color w:val="auto"/>
                <w:szCs w:val="14"/>
              </w:rPr>
            </w:pPr>
            <w:r w:rsidRPr="00E95847">
              <w:rPr>
                <w:b/>
                <w:bCs/>
              </w:rPr>
              <w:t>1</w:t>
            </w:r>
            <w:r>
              <w:rPr>
                <w:b/>
                <w:bCs/>
              </w:rPr>
              <w:t>,</w:t>
            </w:r>
            <w:r w:rsidRPr="00E95847">
              <w:rPr>
                <w:b/>
                <w:bCs/>
              </w:rPr>
              <w:t>954</w:t>
            </w:r>
            <w:r>
              <w:rPr>
                <w:b/>
                <w:bCs/>
              </w:rPr>
              <w:t>,</w:t>
            </w:r>
            <w:r w:rsidRPr="00E95847">
              <w:rPr>
                <w:b/>
                <w:bCs/>
              </w:rPr>
              <w:t>966</w:t>
            </w:r>
          </w:p>
        </w:tc>
      </w:tr>
      <w:tr w:rsidR="008B7E19" w:rsidRPr="004A53AE" w14:paraId="3CCC40A1" w14:textId="77777777" w:rsidTr="008B7E19">
        <w:trPr>
          <w:trHeight w:val="238"/>
          <w:jc w:val="center"/>
        </w:trPr>
        <w:tc>
          <w:tcPr>
            <w:cnfStyle w:val="001000000000" w:firstRow="0" w:lastRow="0" w:firstColumn="1" w:lastColumn="0" w:oddVBand="0" w:evenVBand="0" w:oddHBand="0" w:evenHBand="0" w:firstRowFirstColumn="0" w:firstRowLastColumn="0" w:lastRowFirstColumn="0" w:lastRowLastColumn="0"/>
            <w:tcW w:w="3119" w:type="dxa"/>
            <w:tcBorders>
              <w:top w:val="nil"/>
              <w:bottom w:val="nil"/>
            </w:tcBorders>
            <w:shd w:val="clear" w:color="auto" w:fill="auto"/>
            <w:vAlign w:val="center"/>
          </w:tcPr>
          <w:p w14:paraId="0B620928" w14:textId="77777777" w:rsidR="008B7E19" w:rsidRPr="004A53AE" w:rsidRDefault="008B7E19" w:rsidP="008B7E19">
            <w:pPr>
              <w:pStyle w:val="08-Tabelageral"/>
              <w:jc w:val="left"/>
              <w:rPr>
                <w:rFonts w:cs="Arial"/>
                <w:szCs w:val="14"/>
              </w:rPr>
            </w:pPr>
            <w:r w:rsidRPr="004A53AE">
              <w:rPr>
                <w:rFonts w:cs="Arial"/>
                <w:szCs w:val="14"/>
              </w:rPr>
              <w:t>Depreciation and amortization</w:t>
            </w:r>
          </w:p>
        </w:tc>
        <w:tc>
          <w:tcPr>
            <w:tcW w:w="2173" w:type="dxa"/>
            <w:tcBorders>
              <w:top w:val="nil"/>
              <w:bottom w:val="nil"/>
            </w:tcBorders>
            <w:shd w:val="clear" w:color="auto" w:fill="auto"/>
            <w:vAlign w:val="center"/>
          </w:tcPr>
          <w:p w14:paraId="4B05EBEB" w14:textId="77777777" w:rsidR="008B7E19" w:rsidRPr="004A53AE"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b/>
                <w:bCs/>
                <w:color w:val="auto"/>
                <w:szCs w:val="14"/>
              </w:rPr>
            </w:pPr>
            <w:r>
              <w:rPr>
                <w:rFonts w:cs="Arial"/>
                <w:b/>
                <w:bCs/>
                <w:color w:val="000000"/>
                <w:szCs w:val="14"/>
              </w:rPr>
              <w:t>(612)</w:t>
            </w:r>
          </w:p>
        </w:tc>
        <w:tc>
          <w:tcPr>
            <w:tcW w:w="2173" w:type="dxa"/>
            <w:tcBorders>
              <w:top w:val="nil"/>
              <w:bottom w:val="nil"/>
            </w:tcBorders>
            <w:shd w:val="clear" w:color="auto" w:fill="auto"/>
            <w:vAlign w:val="center"/>
          </w:tcPr>
          <w:p w14:paraId="3D386C8A" w14:textId="77777777" w:rsidR="008B7E19" w:rsidRPr="004A53AE"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b/>
                <w:bCs/>
                <w:color w:val="auto"/>
                <w:szCs w:val="14"/>
              </w:rPr>
            </w:pPr>
            <w:r>
              <w:rPr>
                <w:rFonts w:cs="Arial"/>
                <w:b/>
                <w:bCs/>
                <w:color w:val="000000"/>
                <w:szCs w:val="14"/>
              </w:rPr>
              <w:t>--</w:t>
            </w:r>
          </w:p>
        </w:tc>
        <w:tc>
          <w:tcPr>
            <w:tcW w:w="2174" w:type="dxa"/>
            <w:tcBorders>
              <w:top w:val="nil"/>
              <w:bottom w:val="nil"/>
            </w:tcBorders>
            <w:shd w:val="clear" w:color="auto" w:fill="auto"/>
            <w:vAlign w:val="center"/>
          </w:tcPr>
          <w:p w14:paraId="38A8BFA0" w14:textId="77777777" w:rsidR="008B7E19" w:rsidRPr="004A53AE"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b/>
                <w:bCs/>
                <w:color w:val="auto"/>
                <w:szCs w:val="14"/>
              </w:rPr>
            </w:pPr>
            <w:r>
              <w:rPr>
                <w:rFonts w:cs="Arial"/>
                <w:b/>
                <w:bCs/>
                <w:color w:val="000000"/>
                <w:szCs w:val="14"/>
              </w:rPr>
              <w:t>(612)</w:t>
            </w:r>
          </w:p>
        </w:tc>
      </w:tr>
      <w:tr w:rsidR="008B7E19" w:rsidRPr="004A53AE" w14:paraId="30A46AE7"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19" w:type="dxa"/>
            <w:tcBorders>
              <w:top w:val="nil"/>
              <w:bottom w:val="nil"/>
            </w:tcBorders>
            <w:shd w:val="clear" w:color="auto" w:fill="auto"/>
            <w:vAlign w:val="center"/>
          </w:tcPr>
          <w:p w14:paraId="02D842B9" w14:textId="77777777" w:rsidR="008B7E19" w:rsidRPr="004A53AE" w:rsidRDefault="008B7E19" w:rsidP="008B7E19">
            <w:pPr>
              <w:pStyle w:val="08-Tabelageral"/>
              <w:jc w:val="left"/>
              <w:rPr>
                <w:rFonts w:cs="Arial"/>
                <w:szCs w:val="14"/>
                <w:lang w:val="en-US"/>
              </w:rPr>
            </w:pPr>
            <w:r w:rsidRPr="004A53AE">
              <w:rPr>
                <w:rFonts w:cs="Arial"/>
                <w:szCs w:val="14"/>
                <w:lang w:val="en-US"/>
              </w:rPr>
              <w:t>Net Added Value Generated by the Entity</w:t>
            </w:r>
          </w:p>
        </w:tc>
        <w:tc>
          <w:tcPr>
            <w:tcW w:w="2173" w:type="dxa"/>
            <w:tcBorders>
              <w:top w:val="nil"/>
              <w:bottom w:val="nil"/>
            </w:tcBorders>
            <w:shd w:val="clear" w:color="auto" w:fill="auto"/>
            <w:vAlign w:val="center"/>
          </w:tcPr>
          <w:p w14:paraId="3D846BB4" w14:textId="77777777" w:rsidR="008B7E19" w:rsidRPr="004A53AE"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b/>
                <w:bCs/>
                <w:color w:val="auto"/>
                <w:szCs w:val="14"/>
              </w:rPr>
            </w:pPr>
            <w:r>
              <w:rPr>
                <w:rFonts w:cs="Arial"/>
                <w:b/>
                <w:bCs/>
                <w:color w:val="000000"/>
                <w:szCs w:val="14"/>
              </w:rPr>
              <w:t>1,952,567</w:t>
            </w:r>
          </w:p>
        </w:tc>
        <w:tc>
          <w:tcPr>
            <w:tcW w:w="2173" w:type="dxa"/>
            <w:tcBorders>
              <w:top w:val="nil"/>
              <w:bottom w:val="nil"/>
            </w:tcBorders>
            <w:shd w:val="clear" w:color="auto" w:fill="auto"/>
            <w:vAlign w:val="center"/>
          </w:tcPr>
          <w:p w14:paraId="1C24B096" w14:textId="77777777" w:rsidR="008B7E19" w:rsidRPr="004A53AE"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b/>
                <w:bCs/>
                <w:color w:val="auto"/>
                <w:szCs w:val="14"/>
              </w:rPr>
            </w:pPr>
            <w:r>
              <w:rPr>
                <w:rFonts w:cs="Arial"/>
                <w:b/>
                <w:bCs/>
                <w:color w:val="000000"/>
                <w:szCs w:val="14"/>
              </w:rPr>
              <w:t>1,787</w:t>
            </w:r>
          </w:p>
        </w:tc>
        <w:tc>
          <w:tcPr>
            <w:tcW w:w="2174" w:type="dxa"/>
            <w:tcBorders>
              <w:top w:val="nil"/>
              <w:bottom w:val="nil"/>
            </w:tcBorders>
            <w:shd w:val="clear" w:color="auto" w:fill="auto"/>
            <w:vAlign w:val="center"/>
          </w:tcPr>
          <w:p w14:paraId="46972CF4" w14:textId="77777777" w:rsidR="008B7E19" w:rsidRPr="004A53AE"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b/>
                <w:bCs/>
                <w:color w:val="auto"/>
                <w:szCs w:val="14"/>
              </w:rPr>
            </w:pPr>
            <w:r>
              <w:rPr>
                <w:rFonts w:cs="Arial"/>
                <w:b/>
                <w:bCs/>
                <w:color w:val="000000"/>
                <w:szCs w:val="14"/>
              </w:rPr>
              <w:t>1,954,354</w:t>
            </w:r>
          </w:p>
        </w:tc>
      </w:tr>
      <w:tr w:rsidR="008B7E19" w:rsidRPr="004A53AE" w14:paraId="32FC945B" w14:textId="77777777" w:rsidTr="008B7E19">
        <w:trPr>
          <w:trHeight w:val="238"/>
          <w:jc w:val="center"/>
        </w:trPr>
        <w:tc>
          <w:tcPr>
            <w:cnfStyle w:val="001000000000" w:firstRow="0" w:lastRow="0" w:firstColumn="1" w:lastColumn="0" w:oddVBand="0" w:evenVBand="0" w:oddHBand="0" w:evenHBand="0" w:firstRowFirstColumn="0" w:firstRowLastColumn="0" w:lastRowFirstColumn="0" w:lastRowLastColumn="0"/>
            <w:tcW w:w="3119" w:type="dxa"/>
            <w:tcBorders>
              <w:top w:val="nil"/>
              <w:bottom w:val="nil"/>
            </w:tcBorders>
            <w:shd w:val="clear" w:color="auto" w:fill="auto"/>
            <w:vAlign w:val="center"/>
          </w:tcPr>
          <w:p w14:paraId="2EA5E6BA" w14:textId="77777777" w:rsidR="008B7E19" w:rsidRPr="004A53AE" w:rsidRDefault="008B7E19" w:rsidP="008B7E19">
            <w:pPr>
              <w:pStyle w:val="08-Tabelageral"/>
              <w:jc w:val="left"/>
              <w:rPr>
                <w:rFonts w:cs="Arial"/>
                <w:szCs w:val="14"/>
                <w:lang w:val="en-US"/>
              </w:rPr>
            </w:pPr>
            <w:r w:rsidRPr="004A53AE">
              <w:rPr>
                <w:rFonts w:cs="Arial"/>
                <w:szCs w:val="14"/>
                <w:lang w:val="en-US"/>
              </w:rPr>
              <w:t>Added Value Received Through Transfer</w:t>
            </w:r>
          </w:p>
        </w:tc>
        <w:tc>
          <w:tcPr>
            <w:tcW w:w="2173" w:type="dxa"/>
            <w:tcBorders>
              <w:top w:val="nil"/>
              <w:bottom w:val="nil"/>
            </w:tcBorders>
            <w:shd w:val="clear" w:color="auto" w:fill="auto"/>
            <w:vAlign w:val="center"/>
          </w:tcPr>
          <w:p w14:paraId="2D913A00" w14:textId="77777777" w:rsidR="008B7E19" w:rsidRPr="004A53AE"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b/>
                <w:bCs/>
                <w:color w:val="auto"/>
                <w:szCs w:val="14"/>
              </w:rPr>
            </w:pPr>
            <w:r>
              <w:rPr>
                <w:rFonts w:cs="Arial"/>
                <w:b/>
                <w:bCs/>
                <w:color w:val="000000"/>
                <w:szCs w:val="14"/>
              </w:rPr>
              <w:t>1,577,221</w:t>
            </w:r>
          </w:p>
        </w:tc>
        <w:tc>
          <w:tcPr>
            <w:tcW w:w="2173" w:type="dxa"/>
            <w:tcBorders>
              <w:top w:val="nil"/>
              <w:bottom w:val="nil"/>
            </w:tcBorders>
            <w:shd w:val="clear" w:color="auto" w:fill="auto"/>
            <w:vAlign w:val="center"/>
          </w:tcPr>
          <w:p w14:paraId="376ACFF7" w14:textId="77777777" w:rsidR="008B7E19" w:rsidRPr="004A53AE"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b/>
                <w:bCs/>
                <w:color w:val="auto"/>
                <w:szCs w:val="14"/>
              </w:rPr>
            </w:pPr>
            <w:r>
              <w:rPr>
                <w:rFonts w:cs="Arial"/>
                <w:b/>
                <w:bCs/>
                <w:color w:val="000000"/>
                <w:szCs w:val="14"/>
              </w:rPr>
              <w:t>127,442</w:t>
            </w:r>
          </w:p>
        </w:tc>
        <w:tc>
          <w:tcPr>
            <w:tcW w:w="2174" w:type="dxa"/>
            <w:tcBorders>
              <w:top w:val="nil"/>
              <w:bottom w:val="nil"/>
            </w:tcBorders>
            <w:shd w:val="clear" w:color="auto" w:fill="auto"/>
            <w:vAlign w:val="center"/>
          </w:tcPr>
          <w:p w14:paraId="17B918E4" w14:textId="77777777" w:rsidR="008B7E19" w:rsidRPr="004A53AE"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b/>
                <w:bCs/>
                <w:color w:val="auto"/>
                <w:szCs w:val="14"/>
              </w:rPr>
            </w:pPr>
            <w:r>
              <w:rPr>
                <w:rFonts w:cs="Arial"/>
                <w:b/>
                <w:bCs/>
                <w:color w:val="000000"/>
                <w:szCs w:val="14"/>
              </w:rPr>
              <w:t>1,704,663</w:t>
            </w:r>
          </w:p>
        </w:tc>
      </w:tr>
      <w:tr w:rsidR="008B7E19" w:rsidRPr="004A53AE" w14:paraId="2C3597A6"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19" w:type="dxa"/>
            <w:tcBorders>
              <w:top w:val="nil"/>
              <w:bottom w:val="nil"/>
            </w:tcBorders>
            <w:shd w:val="clear" w:color="auto" w:fill="auto"/>
            <w:vAlign w:val="center"/>
          </w:tcPr>
          <w:p w14:paraId="1ED4435F" w14:textId="77777777" w:rsidR="008B7E19" w:rsidRPr="004A53AE" w:rsidRDefault="008B7E19" w:rsidP="008B7E19">
            <w:pPr>
              <w:pStyle w:val="08-Tabelageral"/>
              <w:ind w:left="113"/>
              <w:jc w:val="left"/>
              <w:rPr>
                <w:rFonts w:cs="Arial"/>
                <w:b w:val="0"/>
                <w:szCs w:val="14"/>
                <w:lang w:val="en-US"/>
              </w:rPr>
            </w:pPr>
            <w:r w:rsidRPr="004A53AE">
              <w:rPr>
                <w:rFonts w:cs="Arial"/>
                <w:b w:val="0"/>
                <w:szCs w:val="14"/>
                <w:lang w:val="en-US"/>
              </w:rPr>
              <w:t>Equity in the earnings of associates</w:t>
            </w:r>
          </w:p>
        </w:tc>
        <w:tc>
          <w:tcPr>
            <w:tcW w:w="2173" w:type="dxa"/>
            <w:tcBorders>
              <w:top w:val="nil"/>
              <w:bottom w:val="nil"/>
            </w:tcBorders>
            <w:shd w:val="clear" w:color="auto" w:fill="auto"/>
            <w:vAlign w:val="center"/>
          </w:tcPr>
          <w:p w14:paraId="502964F5" w14:textId="77777777" w:rsidR="008B7E19" w:rsidRPr="004A53AE"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bCs/>
                <w:color w:val="auto"/>
                <w:szCs w:val="14"/>
              </w:rPr>
            </w:pPr>
            <w:r>
              <w:rPr>
                <w:rFonts w:cs="Arial"/>
                <w:color w:val="000000"/>
                <w:szCs w:val="14"/>
              </w:rPr>
              <w:t>1,372,666</w:t>
            </w:r>
          </w:p>
        </w:tc>
        <w:tc>
          <w:tcPr>
            <w:tcW w:w="2173" w:type="dxa"/>
            <w:tcBorders>
              <w:top w:val="nil"/>
              <w:bottom w:val="nil"/>
            </w:tcBorders>
            <w:shd w:val="clear" w:color="auto" w:fill="auto"/>
            <w:vAlign w:val="center"/>
          </w:tcPr>
          <w:p w14:paraId="5F12F5DA" w14:textId="77777777" w:rsidR="008B7E19" w:rsidRPr="004A53AE"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bCs/>
                <w:color w:val="auto"/>
                <w:szCs w:val="14"/>
              </w:rPr>
            </w:pPr>
            <w:r>
              <w:rPr>
                <w:rFonts w:cs="Arial"/>
                <w:color w:val="000000"/>
                <w:szCs w:val="14"/>
              </w:rPr>
              <w:t>127,442</w:t>
            </w:r>
          </w:p>
        </w:tc>
        <w:tc>
          <w:tcPr>
            <w:tcW w:w="2174" w:type="dxa"/>
            <w:tcBorders>
              <w:top w:val="nil"/>
              <w:bottom w:val="nil"/>
            </w:tcBorders>
            <w:shd w:val="clear" w:color="auto" w:fill="auto"/>
            <w:vAlign w:val="center"/>
          </w:tcPr>
          <w:p w14:paraId="756E86C8" w14:textId="77777777" w:rsidR="008B7E19" w:rsidRPr="004A53AE"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bCs/>
                <w:color w:val="auto"/>
                <w:szCs w:val="14"/>
              </w:rPr>
            </w:pPr>
            <w:r>
              <w:rPr>
                <w:rFonts w:cs="Arial"/>
                <w:color w:val="000000"/>
                <w:szCs w:val="14"/>
              </w:rPr>
              <w:t>1,500,108</w:t>
            </w:r>
          </w:p>
        </w:tc>
      </w:tr>
      <w:tr w:rsidR="008B7E19" w:rsidRPr="004A53AE" w14:paraId="0E01FC23" w14:textId="77777777" w:rsidTr="008B7E19">
        <w:trPr>
          <w:trHeight w:val="238"/>
          <w:jc w:val="center"/>
        </w:trPr>
        <w:tc>
          <w:tcPr>
            <w:cnfStyle w:val="001000000000" w:firstRow="0" w:lastRow="0" w:firstColumn="1" w:lastColumn="0" w:oddVBand="0" w:evenVBand="0" w:oddHBand="0" w:evenHBand="0" w:firstRowFirstColumn="0" w:firstRowLastColumn="0" w:lastRowFirstColumn="0" w:lastRowLastColumn="0"/>
            <w:tcW w:w="3119" w:type="dxa"/>
            <w:tcBorders>
              <w:top w:val="nil"/>
              <w:bottom w:val="nil"/>
            </w:tcBorders>
            <w:shd w:val="clear" w:color="auto" w:fill="auto"/>
            <w:vAlign w:val="center"/>
          </w:tcPr>
          <w:p w14:paraId="1F0791D9" w14:textId="77777777" w:rsidR="008B7E19" w:rsidRPr="004A53AE" w:rsidRDefault="008B7E19" w:rsidP="008B7E19">
            <w:pPr>
              <w:pStyle w:val="08-Tabelageral"/>
              <w:ind w:left="113"/>
              <w:jc w:val="left"/>
              <w:rPr>
                <w:rFonts w:cs="Arial"/>
                <w:b w:val="0"/>
                <w:szCs w:val="14"/>
              </w:rPr>
            </w:pPr>
            <w:r w:rsidRPr="004A53AE">
              <w:rPr>
                <w:rFonts w:cs="Arial"/>
                <w:b w:val="0"/>
                <w:szCs w:val="14"/>
              </w:rPr>
              <w:t>Financial income</w:t>
            </w:r>
          </w:p>
        </w:tc>
        <w:tc>
          <w:tcPr>
            <w:tcW w:w="2173" w:type="dxa"/>
            <w:tcBorders>
              <w:top w:val="nil"/>
              <w:bottom w:val="nil"/>
            </w:tcBorders>
            <w:shd w:val="clear" w:color="auto" w:fill="auto"/>
            <w:vAlign w:val="center"/>
          </w:tcPr>
          <w:p w14:paraId="007303CF" w14:textId="77777777" w:rsidR="008B7E19" w:rsidRPr="004A53AE"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bCs/>
                <w:color w:val="auto"/>
                <w:szCs w:val="14"/>
              </w:rPr>
            </w:pPr>
            <w:r>
              <w:rPr>
                <w:rFonts w:cs="Arial"/>
                <w:color w:val="000000"/>
                <w:szCs w:val="14"/>
              </w:rPr>
              <w:t>204,555</w:t>
            </w:r>
          </w:p>
        </w:tc>
        <w:tc>
          <w:tcPr>
            <w:tcW w:w="2173" w:type="dxa"/>
            <w:tcBorders>
              <w:top w:val="nil"/>
              <w:bottom w:val="nil"/>
            </w:tcBorders>
            <w:shd w:val="clear" w:color="auto" w:fill="auto"/>
            <w:vAlign w:val="center"/>
          </w:tcPr>
          <w:p w14:paraId="5765C4BC" w14:textId="77777777" w:rsidR="008B7E19" w:rsidRPr="004A53AE"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bCs/>
                <w:color w:val="auto"/>
                <w:szCs w:val="14"/>
              </w:rPr>
            </w:pPr>
            <w:r>
              <w:rPr>
                <w:rFonts w:cs="Arial"/>
                <w:color w:val="000000"/>
                <w:szCs w:val="14"/>
              </w:rPr>
              <w:t>--</w:t>
            </w:r>
          </w:p>
        </w:tc>
        <w:tc>
          <w:tcPr>
            <w:tcW w:w="2174" w:type="dxa"/>
            <w:tcBorders>
              <w:top w:val="nil"/>
              <w:bottom w:val="nil"/>
            </w:tcBorders>
            <w:shd w:val="clear" w:color="auto" w:fill="auto"/>
            <w:vAlign w:val="center"/>
          </w:tcPr>
          <w:p w14:paraId="76394466" w14:textId="77777777" w:rsidR="008B7E19" w:rsidRPr="004A53AE"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bCs/>
                <w:color w:val="auto"/>
                <w:szCs w:val="14"/>
              </w:rPr>
            </w:pPr>
            <w:r>
              <w:rPr>
                <w:rFonts w:cs="Arial"/>
                <w:color w:val="000000"/>
                <w:szCs w:val="14"/>
              </w:rPr>
              <w:t>204,555</w:t>
            </w:r>
          </w:p>
        </w:tc>
      </w:tr>
      <w:tr w:rsidR="008B7E19" w:rsidRPr="004A53AE" w14:paraId="4E9ACB4A"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19" w:type="dxa"/>
            <w:tcBorders>
              <w:top w:val="nil"/>
              <w:bottom w:val="nil"/>
            </w:tcBorders>
            <w:shd w:val="clear" w:color="auto" w:fill="auto"/>
            <w:vAlign w:val="center"/>
          </w:tcPr>
          <w:p w14:paraId="7D328096" w14:textId="77777777" w:rsidR="008B7E19" w:rsidRPr="004A53AE" w:rsidRDefault="008B7E19" w:rsidP="008B7E19">
            <w:pPr>
              <w:pStyle w:val="08-Tabelageral"/>
              <w:jc w:val="left"/>
              <w:rPr>
                <w:rFonts w:cs="Arial"/>
                <w:szCs w:val="14"/>
                <w:lang w:val="en-US"/>
              </w:rPr>
            </w:pPr>
            <w:r w:rsidRPr="004A53AE">
              <w:rPr>
                <w:rFonts w:cs="Arial"/>
                <w:szCs w:val="14"/>
                <w:lang w:val="en-US"/>
              </w:rPr>
              <w:t>Total Added Value to Distribute</w:t>
            </w:r>
          </w:p>
        </w:tc>
        <w:tc>
          <w:tcPr>
            <w:tcW w:w="2173" w:type="dxa"/>
            <w:tcBorders>
              <w:top w:val="nil"/>
              <w:bottom w:val="nil"/>
            </w:tcBorders>
            <w:shd w:val="clear" w:color="auto" w:fill="auto"/>
            <w:vAlign w:val="center"/>
          </w:tcPr>
          <w:p w14:paraId="157BEB56" w14:textId="77777777" w:rsidR="008B7E19" w:rsidRPr="004A53AE"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b/>
                <w:bCs/>
                <w:color w:val="auto"/>
                <w:szCs w:val="14"/>
              </w:rPr>
            </w:pPr>
            <w:r>
              <w:rPr>
                <w:rFonts w:cs="Arial"/>
                <w:b/>
                <w:bCs/>
                <w:color w:val="000000"/>
                <w:szCs w:val="14"/>
              </w:rPr>
              <w:t>3,529,788</w:t>
            </w:r>
          </w:p>
        </w:tc>
        <w:tc>
          <w:tcPr>
            <w:tcW w:w="2173" w:type="dxa"/>
            <w:tcBorders>
              <w:top w:val="nil"/>
              <w:bottom w:val="nil"/>
            </w:tcBorders>
            <w:shd w:val="clear" w:color="auto" w:fill="auto"/>
            <w:vAlign w:val="center"/>
          </w:tcPr>
          <w:p w14:paraId="4E000AFF" w14:textId="77777777" w:rsidR="008B7E19" w:rsidRPr="004A53AE"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b/>
                <w:bCs/>
                <w:color w:val="auto"/>
                <w:szCs w:val="14"/>
              </w:rPr>
            </w:pPr>
            <w:r>
              <w:rPr>
                <w:rFonts w:cs="Arial"/>
                <w:b/>
                <w:bCs/>
                <w:color w:val="000000"/>
                <w:szCs w:val="14"/>
              </w:rPr>
              <w:t>129,229</w:t>
            </w:r>
          </w:p>
        </w:tc>
        <w:tc>
          <w:tcPr>
            <w:tcW w:w="2174" w:type="dxa"/>
            <w:tcBorders>
              <w:top w:val="nil"/>
              <w:bottom w:val="nil"/>
            </w:tcBorders>
            <w:shd w:val="clear" w:color="auto" w:fill="auto"/>
            <w:vAlign w:val="center"/>
          </w:tcPr>
          <w:p w14:paraId="72B2C0C9" w14:textId="77777777" w:rsidR="008B7E19" w:rsidRPr="004A53AE"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b/>
                <w:bCs/>
                <w:color w:val="auto"/>
                <w:szCs w:val="14"/>
              </w:rPr>
            </w:pPr>
            <w:r>
              <w:rPr>
                <w:rFonts w:cs="Arial"/>
                <w:b/>
                <w:bCs/>
                <w:color w:val="000000"/>
                <w:szCs w:val="14"/>
              </w:rPr>
              <w:t>3,659,017</w:t>
            </w:r>
          </w:p>
        </w:tc>
      </w:tr>
      <w:tr w:rsidR="008B7E19" w:rsidRPr="004A53AE" w14:paraId="5CCAAAE6" w14:textId="77777777" w:rsidTr="008B7E19">
        <w:trPr>
          <w:trHeight w:val="238"/>
          <w:jc w:val="center"/>
        </w:trPr>
        <w:tc>
          <w:tcPr>
            <w:cnfStyle w:val="001000000000" w:firstRow="0" w:lastRow="0" w:firstColumn="1" w:lastColumn="0" w:oddVBand="0" w:evenVBand="0" w:oddHBand="0" w:evenHBand="0" w:firstRowFirstColumn="0" w:firstRowLastColumn="0" w:lastRowFirstColumn="0" w:lastRowLastColumn="0"/>
            <w:tcW w:w="3119" w:type="dxa"/>
            <w:tcBorders>
              <w:top w:val="nil"/>
              <w:bottom w:val="nil"/>
            </w:tcBorders>
            <w:shd w:val="clear" w:color="auto" w:fill="auto"/>
            <w:vAlign w:val="center"/>
          </w:tcPr>
          <w:p w14:paraId="2375C1DB" w14:textId="77777777" w:rsidR="008B7E19" w:rsidRPr="004A53AE" w:rsidRDefault="008B7E19" w:rsidP="008B7E19">
            <w:pPr>
              <w:pStyle w:val="08-Tabelageral"/>
              <w:jc w:val="left"/>
              <w:rPr>
                <w:rFonts w:cs="Arial"/>
                <w:szCs w:val="14"/>
              </w:rPr>
            </w:pPr>
          </w:p>
        </w:tc>
        <w:tc>
          <w:tcPr>
            <w:tcW w:w="2173" w:type="dxa"/>
            <w:tcBorders>
              <w:top w:val="nil"/>
              <w:bottom w:val="nil"/>
            </w:tcBorders>
            <w:shd w:val="clear" w:color="auto" w:fill="auto"/>
            <w:vAlign w:val="center"/>
          </w:tcPr>
          <w:p w14:paraId="779ABE94" w14:textId="77777777" w:rsidR="008B7E19" w:rsidRPr="004A53AE"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b/>
                <w:bCs/>
                <w:color w:val="auto"/>
                <w:szCs w:val="14"/>
              </w:rPr>
            </w:pPr>
          </w:p>
        </w:tc>
        <w:tc>
          <w:tcPr>
            <w:tcW w:w="2173" w:type="dxa"/>
            <w:tcBorders>
              <w:top w:val="nil"/>
              <w:bottom w:val="nil"/>
            </w:tcBorders>
            <w:shd w:val="clear" w:color="auto" w:fill="auto"/>
            <w:vAlign w:val="center"/>
          </w:tcPr>
          <w:p w14:paraId="068E33AC" w14:textId="77777777" w:rsidR="008B7E19" w:rsidRPr="004A53AE"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b/>
                <w:bCs/>
                <w:color w:val="auto"/>
                <w:szCs w:val="14"/>
              </w:rPr>
            </w:pPr>
          </w:p>
        </w:tc>
        <w:tc>
          <w:tcPr>
            <w:tcW w:w="2174" w:type="dxa"/>
            <w:tcBorders>
              <w:top w:val="nil"/>
              <w:bottom w:val="nil"/>
            </w:tcBorders>
            <w:shd w:val="clear" w:color="auto" w:fill="auto"/>
            <w:vAlign w:val="center"/>
          </w:tcPr>
          <w:p w14:paraId="1861035C" w14:textId="77777777" w:rsidR="008B7E19" w:rsidRPr="004A53AE"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b/>
                <w:bCs/>
                <w:color w:val="auto"/>
                <w:szCs w:val="14"/>
              </w:rPr>
            </w:pPr>
          </w:p>
        </w:tc>
      </w:tr>
      <w:tr w:rsidR="008B7E19" w:rsidRPr="004A53AE" w14:paraId="487A0536"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19" w:type="dxa"/>
            <w:tcBorders>
              <w:top w:val="nil"/>
              <w:bottom w:val="nil"/>
            </w:tcBorders>
            <w:shd w:val="clear" w:color="auto" w:fill="auto"/>
            <w:vAlign w:val="center"/>
          </w:tcPr>
          <w:p w14:paraId="660B2886" w14:textId="77777777" w:rsidR="008B7E19" w:rsidRPr="004A53AE" w:rsidRDefault="008B7E19" w:rsidP="008B7E19">
            <w:pPr>
              <w:pStyle w:val="08-Tabelageral"/>
              <w:jc w:val="left"/>
              <w:rPr>
                <w:rFonts w:cs="Arial"/>
                <w:szCs w:val="14"/>
              </w:rPr>
            </w:pPr>
            <w:r w:rsidRPr="004A53AE">
              <w:rPr>
                <w:rFonts w:cs="Arial"/>
                <w:szCs w:val="14"/>
              </w:rPr>
              <w:t>Distribution of Added Value</w:t>
            </w:r>
          </w:p>
        </w:tc>
        <w:tc>
          <w:tcPr>
            <w:tcW w:w="2173" w:type="dxa"/>
            <w:tcBorders>
              <w:top w:val="nil"/>
              <w:bottom w:val="nil"/>
            </w:tcBorders>
            <w:shd w:val="clear" w:color="auto" w:fill="auto"/>
            <w:vAlign w:val="center"/>
          </w:tcPr>
          <w:p w14:paraId="551E76E4" w14:textId="77777777" w:rsidR="008B7E19" w:rsidRPr="004A53AE"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b/>
                <w:bCs/>
                <w:color w:val="auto"/>
                <w:szCs w:val="14"/>
              </w:rPr>
            </w:pPr>
            <w:r>
              <w:rPr>
                <w:rFonts w:cs="Arial"/>
                <w:b/>
                <w:bCs/>
                <w:color w:val="000000"/>
                <w:szCs w:val="14"/>
              </w:rPr>
              <w:t>3,529,788</w:t>
            </w:r>
          </w:p>
        </w:tc>
        <w:tc>
          <w:tcPr>
            <w:tcW w:w="2173" w:type="dxa"/>
            <w:tcBorders>
              <w:top w:val="nil"/>
              <w:bottom w:val="nil"/>
            </w:tcBorders>
            <w:shd w:val="clear" w:color="auto" w:fill="auto"/>
            <w:vAlign w:val="center"/>
          </w:tcPr>
          <w:p w14:paraId="0CC3FD58" w14:textId="77777777" w:rsidR="008B7E19" w:rsidRPr="004A53AE"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b/>
                <w:bCs/>
                <w:color w:val="auto"/>
                <w:szCs w:val="14"/>
              </w:rPr>
            </w:pPr>
            <w:r>
              <w:rPr>
                <w:rFonts w:cs="Arial"/>
                <w:b/>
                <w:bCs/>
                <w:color w:val="000000"/>
                <w:szCs w:val="14"/>
              </w:rPr>
              <w:t>129,229</w:t>
            </w:r>
          </w:p>
        </w:tc>
        <w:tc>
          <w:tcPr>
            <w:tcW w:w="2174" w:type="dxa"/>
            <w:tcBorders>
              <w:top w:val="nil"/>
              <w:bottom w:val="nil"/>
            </w:tcBorders>
            <w:shd w:val="clear" w:color="auto" w:fill="auto"/>
            <w:vAlign w:val="center"/>
          </w:tcPr>
          <w:p w14:paraId="55DADDC0" w14:textId="77777777" w:rsidR="008B7E19" w:rsidRPr="004A53AE"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b/>
                <w:bCs/>
                <w:color w:val="auto"/>
                <w:szCs w:val="14"/>
              </w:rPr>
            </w:pPr>
            <w:r>
              <w:rPr>
                <w:rFonts w:cs="Arial"/>
                <w:b/>
                <w:bCs/>
                <w:color w:val="000000"/>
                <w:szCs w:val="14"/>
              </w:rPr>
              <w:t>3,659,017</w:t>
            </w:r>
          </w:p>
        </w:tc>
      </w:tr>
      <w:tr w:rsidR="008B7E19" w:rsidRPr="004A53AE" w14:paraId="7341030E" w14:textId="77777777" w:rsidTr="008B7E19">
        <w:trPr>
          <w:trHeight w:val="238"/>
          <w:jc w:val="center"/>
        </w:trPr>
        <w:tc>
          <w:tcPr>
            <w:cnfStyle w:val="001000000000" w:firstRow="0" w:lastRow="0" w:firstColumn="1" w:lastColumn="0" w:oddVBand="0" w:evenVBand="0" w:oddHBand="0" w:evenHBand="0" w:firstRowFirstColumn="0" w:firstRowLastColumn="0" w:lastRowFirstColumn="0" w:lastRowLastColumn="0"/>
            <w:tcW w:w="3119" w:type="dxa"/>
            <w:tcBorders>
              <w:top w:val="nil"/>
              <w:bottom w:val="nil"/>
            </w:tcBorders>
            <w:shd w:val="clear" w:color="auto" w:fill="auto"/>
            <w:vAlign w:val="center"/>
          </w:tcPr>
          <w:p w14:paraId="0C26C921" w14:textId="77777777" w:rsidR="008B7E19" w:rsidRPr="004A53AE" w:rsidRDefault="008B7E19" w:rsidP="008B7E19">
            <w:pPr>
              <w:pStyle w:val="08-Tabelageral"/>
              <w:jc w:val="left"/>
              <w:rPr>
                <w:rFonts w:cs="Arial"/>
                <w:szCs w:val="14"/>
              </w:rPr>
            </w:pPr>
            <w:r w:rsidRPr="004A53AE">
              <w:t>Personnel</w:t>
            </w:r>
          </w:p>
        </w:tc>
        <w:tc>
          <w:tcPr>
            <w:tcW w:w="2173" w:type="dxa"/>
            <w:tcBorders>
              <w:top w:val="nil"/>
              <w:bottom w:val="nil"/>
            </w:tcBorders>
            <w:shd w:val="clear" w:color="auto" w:fill="auto"/>
            <w:vAlign w:val="center"/>
          </w:tcPr>
          <w:p w14:paraId="46FEA8AA" w14:textId="77777777" w:rsidR="008B7E19" w:rsidRPr="004A53AE"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b/>
                <w:bCs/>
                <w:color w:val="auto"/>
                <w:szCs w:val="14"/>
              </w:rPr>
            </w:pPr>
            <w:r>
              <w:rPr>
                <w:rFonts w:cs="Arial"/>
                <w:b/>
                <w:bCs/>
                <w:color w:val="000000"/>
                <w:szCs w:val="14"/>
              </w:rPr>
              <w:t>33,938</w:t>
            </w:r>
          </w:p>
        </w:tc>
        <w:tc>
          <w:tcPr>
            <w:tcW w:w="2173" w:type="dxa"/>
            <w:tcBorders>
              <w:top w:val="nil"/>
              <w:bottom w:val="nil"/>
            </w:tcBorders>
            <w:shd w:val="clear" w:color="auto" w:fill="auto"/>
            <w:vAlign w:val="center"/>
          </w:tcPr>
          <w:p w14:paraId="32996C02" w14:textId="77777777" w:rsidR="008B7E19" w:rsidRPr="004A53AE"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b/>
                <w:bCs/>
                <w:color w:val="auto"/>
                <w:szCs w:val="14"/>
              </w:rPr>
            </w:pPr>
            <w:r>
              <w:rPr>
                <w:rFonts w:cs="Arial"/>
                <w:b/>
                <w:bCs/>
                <w:color w:val="000000"/>
                <w:szCs w:val="14"/>
              </w:rPr>
              <w:t>(4,647)</w:t>
            </w:r>
          </w:p>
        </w:tc>
        <w:tc>
          <w:tcPr>
            <w:tcW w:w="2174" w:type="dxa"/>
            <w:tcBorders>
              <w:top w:val="nil"/>
              <w:bottom w:val="nil"/>
            </w:tcBorders>
            <w:shd w:val="clear" w:color="auto" w:fill="auto"/>
            <w:vAlign w:val="center"/>
          </w:tcPr>
          <w:p w14:paraId="42D151EF" w14:textId="77777777" w:rsidR="008B7E19" w:rsidRPr="004A53AE"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b/>
                <w:bCs/>
                <w:color w:val="auto"/>
                <w:szCs w:val="14"/>
              </w:rPr>
            </w:pPr>
            <w:r>
              <w:rPr>
                <w:rFonts w:cs="Arial"/>
                <w:b/>
                <w:bCs/>
                <w:color w:val="000000"/>
                <w:szCs w:val="14"/>
              </w:rPr>
              <w:t>29,291</w:t>
            </w:r>
          </w:p>
        </w:tc>
      </w:tr>
      <w:tr w:rsidR="008B7E19" w:rsidRPr="004A53AE" w14:paraId="5AFE2651"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19" w:type="dxa"/>
            <w:tcBorders>
              <w:top w:val="nil"/>
              <w:bottom w:val="nil"/>
            </w:tcBorders>
            <w:shd w:val="clear" w:color="auto" w:fill="auto"/>
          </w:tcPr>
          <w:p w14:paraId="201F29FF" w14:textId="77777777" w:rsidR="008B7E19" w:rsidRPr="004A53AE" w:rsidRDefault="008B7E19" w:rsidP="008B7E19">
            <w:pPr>
              <w:pStyle w:val="08-Tabelageral"/>
              <w:ind w:left="113"/>
              <w:jc w:val="left"/>
              <w:rPr>
                <w:rFonts w:cs="Arial"/>
                <w:b w:val="0"/>
                <w:szCs w:val="14"/>
                <w:lang w:val="en-US"/>
              </w:rPr>
            </w:pPr>
            <w:r w:rsidRPr="004A53AE">
              <w:rPr>
                <w:b w:val="0"/>
                <w:lang w:val="en-US"/>
              </w:rPr>
              <w:t>Direct remuneration - Earnings and fees</w:t>
            </w:r>
          </w:p>
        </w:tc>
        <w:tc>
          <w:tcPr>
            <w:tcW w:w="2173" w:type="dxa"/>
            <w:tcBorders>
              <w:top w:val="nil"/>
              <w:bottom w:val="nil"/>
            </w:tcBorders>
            <w:shd w:val="clear" w:color="auto" w:fill="auto"/>
            <w:vAlign w:val="center"/>
          </w:tcPr>
          <w:p w14:paraId="669AE37E" w14:textId="77777777" w:rsidR="008B7E19" w:rsidRPr="004A53AE"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bCs/>
                <w:color w:val="auto"/>
                <w:szCs w:val="14"/>
              </w:rPr>
            </w:pPr>
            <w:r>
              <w:rPr>
                <w:rFonts w:cs="Arial"/>
                <w:bCs/>
                <w:color w:val="auto"/>
                <w:szCs w:val="14"/>
              </w:rPr>
              <w:t>--</w:t>
            </w:r>
          </w:p>
        </w:tc>
        <w:tc>
          <w:tcPr>
            <w:tcW w:w="2173" w:type="dxa"/>
            <w:tcBorders>
              <w:top w:val="nil"/>
              <w:bottom w:val="nil"/>
            </w:tcBorders>
            <w:shd w:val="clear" w:color="auto" w:fill="auto"/>
            <w:vAlign w:val="center"/>
          </w:tcPr>
          <w:p w14:paraId="5F163A07" w14:textId="77777777" w:rsidR="008B7E19" w:rsidRPr="004A53AE"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bCs/>
                <w:color w:val="auto"/>
                <w:szCs w:val="14"/>
              </w:rPr>
            </w:pPr>
            <w:r>
              <w:rPr>
                <w:rFonts w:cs="Arial"/>
                <w:color w:val="000000"/>
                <w:szCs w:val="14"/>
              </w:rPr>
              <w:t>20,500</w:t>
            </w:r>
          </w:p>
        </w:tc>
        <w:tc>
          <w:tcPr>
            <w:tcW w:w="2174" w:type="dxa"/>
            <w:tcBorders>
              <w:top w:val="nil"/>
              <w:bottom w:val="nil"/>
            </w:tcBorders>
            <w:shd w:val="clear" w:color="auto" w:fill="auto"/>
            <w:vAlign w:val="center"/>
          </w:tcPr>
          <w:p w14:paraId="72BD15E7" w14:textId="77777777" w:rsidR="008B7E19" w:rsidRPr="004A53AE"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bCs/>
                <w:color w:val="auto"/>
                <w:szCs w:val="14"/>
              </w:rPr>
            </w:pPr>
            <w:r>
              <w:rPr>
                <w:rFonts w:cs="Arial"/>
                <w:color w:val="000000"/>
                <w:szCs w:val="14"/>
              </w:rPr>
              <w:t>20,500</w:t>
            </w:r>
          </w:p>
        </w:tc>
      </w:tr>
      <w:tr w:rsidR="008B7E19" w:rsidRPr="004A53AE" w14:paraId="7AF0A6AB" w14:textId="77777777" w:rsidTr="008B7E19">
        <w:trPr>
          <w:trHeight w:val="238"/>
          <w:jc w:val="center"/>
        </w:trPr>
        <w:tc>
          <w:tcPr>
            <w:cnfStyle w:val="001000000000" w:firstRow="0" w:lastRow="0" w:firstColumn="1" w:lastColumn="0" w:oddVBand="0" w:evenVBand="0" w:oddHBand="0" w:evenHBand="0" w:firstRowFirstColumn="0" w:firstRowLastColumn="0" w:lastRowFirstColumn="0" w:lastRowLastColumn="0"/>
            <w:tcW w:w="3119" w:type="dxa"/>
            <w:tcBorders>
              <w:top w:val="nil"/>
              <w:bottom w:val="nil"/>
            </w:tcBorders>
            <w:shd w:val="clear" w:color="auto" w:fill="auto"/>
          </w:tcPr>
          <w:p w14:paraId="6310E4BD" w14:textId="77777777" w:rsidR="008B7E19" w:rsidRPr="004A53AE" w:rsidRDefault="008B7E19" w:rsidP="008B7E19">
            <w:pPr>
              <w:pStyle w:val="08-Tabelageral"/>
              <w:ind w:left="113"/>
              <w:jc w:val="left"/>
              <w:rPr>
                <w:rFonts w:cs="Arial"/>
                <w:b w:val="0"/>
                <w:szCs w:val="14"/>
              </w:rPr>
            </w:pPr>
            <w:r w:rsidRPr="004A53AE">
              <w:rPr>
                <w:b w:val="0"/>
              </w:rPr>
              <w:t>Benefits and training</w:t>
            </w:r>
          </w:p>
        </w:tc>
        <w:tc>
          <w:tcPr>
            <w:tcW w:w="2173" w:type="dxa"/>
            <w:tcBorders>
              <w:top w:val="nil"/>
              <w:bottom w:val="nil"/>
            </w:tcBorders>
            <w:shd w:val="clear" w:color="auto" w:fill="auto"/>
            <w:vAlign w:val="center"/>
          </w:tcPr>
          <w:p w14:paraId="1A241568" w14:textId="77777777" w:rsidR="008B7E19" w:rsidRPr="004A53AE"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bCs/>
                <w:color w:val="auto"/>
                <w:szCs w:val="14"/>
              </w:rPr>
            </w:pPr>
            <w:r>
              <w:rPr>
                <w:rFonts w:cs="Arial"/>
                <w:color w:val="000000"/>
                <w:szCs w:val="14"/>
              </w:rPr>
              <w:t>--</w:t>
            </w:r>
          </w:p>
        </w:tc>
        <w:tc>
          <w:tcPr>
            <w:tcW w:w="2173" w:type="dxa"/>
            <w:tcBorders>
              <w:top w:val="nil"/>
              <w:bottom w:val="nil"/>
            </w:tcBorders>
            <w:shd w:val="clear" w:color="auto" w:fill="auto"/>
            <w:vAlign w:val="center"/>
          </w:tcPr>
          <w:p w14:paraId="7555FC16" w14:textId="77777777" w:rsidR="008B7E19" w:rsidRPr="004A53AE"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bCs/>
                <w:color w:val="auto"/>
                <w:szCs w:val="14"/>
              </w:rPr>
            </w:pPr>
            <w:r>
              <w:rPr>
                <w:rFonts w:cs="Arial"/>
                <w:color w:val="000000"/>
                <w:szCs w:val="14"/>
              </w:rPr>
              <w:t>5,273</w:t>
            </w:r>
          </w:p>
        </w:tc>
        <w:tc>
          <w:tcPr>
            <w:tcW w:w="2174" w:type="dxa"/>
            <w:tcBorders>
              <w:top w:val="nil"/>
              <w:bottom w:val="nil"/>
            </w:tcBorders>
            <w:shd w:val="clear" w:color="auto" w:fill="auto"/>
            <w:vAlign w:val="center"/>
          </w:tcPr>
          <w:p w14:paraId="7EB4D8DE" w14:textId="77777777" w:rsidR="008B7E19" w:rsidRPr="004A53AE"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bCs/>
                <w:color w:val="auto"/>
                <w:szCs w:val="14"/>
              </w:rPr>
            </w:pPr>
            <w:r>
              <w:rPr>
                <w:rFonts w:cs="Arial"/>
                <w:color w:val="000000"/>
                <w:szCs w:val="14"/>
              </w:rPr>
              <w:t>5,273</w:t>
            </w:r>
          </w:p>
        </w:tc>
      </w:tr>
      <w:tr w:rsidR="008B7E19" w:rsidRPr="004A53AE" w14:paraId="710D17FA"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19" w:type="dxa"/>
            <w:tcBorders>
              <w:top w:val="nil"/>
              <w:bottom w:val="nil"/>
            </w:tcBorders>
            <w:shd w:val="clear" w:color="auto" w:fill="auto"/>
          </w:tcPr>
          <w:p w14:paraId="7D36EF38" w14:textId="77777777" w:rsidR="008B7E19" w:rsidRPr="004A53AE" w:rsidRDefault="008B7E19" w:rsidP="008B7E19">
            <w:pPr>
              <w:pStyle w:val="08-Tabelageral"/>
              <w:ind w:left="113"/>
              <w:jc w:val="left"/>
              <w:rPr>
                <w:rFonts w:cs="Arial"/>
                <w:b w:val="0"/>
                <w:szCs w:val="14"/>
              </w:rPr>
            </w:pPr>
            <w:r w:rsidRPr="004A53AE">
              <w:rPr>
                <w:b w:val="0"/>
              </w:rPr>
              <w:t>FGTS</w:t>
            </w:r>
          </w:p>
        </w:tc>
        <w:tc>
          <w:tcPr>
            <w:tcW w:w="2173" w:type="dxa"/>
            <w:tcBorders>
              <w:top w:val="nil"/>
              <w:bottom w:val="nil"/>
            </w:tcBorders>
            <w:shd w:val="clear" w:color="auto" w:fill="auto"/>
            <w:vAlign w:val="center"/>
          </w:tcPr>
          <w:p w14:paraId="3F843659" w14:textId="77777777" w:rsidR="008B7E19" w:rsidRPr="004A53AE"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bCs/>
                <w:color w:val="auto"/>
                <w:szCs w:val="14"/>
              </w:rPr>
            </w:pPr>
            <w:r>
              <w:rPr>
                <w:rFonts w:cs="Arial"/>
                <w:color w:val="000000"/>
                <w:szCs w:val="14"/>
              </w:rPr>
              <w:t>--</w:t>
            </w:r>
          </w:p>
        </w:tc>
        <w:tc>
          <w:tcPr>
            <w:tcW w:w="2173" w:type="dxa"/>
            <w:tcBorders>
              <w:top w:val="nil"/>
              <w:bottom w:val="nil"/>
            </w:tcBorders>
            <w:shd w:val="clear" w:color="auto" w:fill="auto"/>
            <w:vAlign w:val="center"/>
          </w:tcPr>
          <w:p w14:paraId="4E25C9AD" w14:textId="77777777" w:rsidR="008B7E19" w:rsidRPr="004A53AE"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bCs/>
                <w:color w:val="auto"/>
                <w:szCs w:val="14"/>
              </w:rPr>
            </w:pPr>
            <w:r>
              <w:rPr>
                <w:rFonts w:cs="Arial"/>
                <w:color w:val="000000"/>
                <w:szCs w:val="14"/>
              </w:rPr>
              <w:t>1,369</w:t>
            </w:r>
          </w:p>
        </w:tc>
        <w:tc>
          <w:tcPr>
            <w:tcW w:w="2174" w:type="dxa"/>
            <w:tcBorders>
              <w:top w:val="nil"/>
              <w:bottom w:val="nil"/>
            </w:tcBorders>
            <w:shd w:val="clear" w:color="auto" w:fill="auto"/>
            <w:vAlign w:val="center"/>
          </w:tcPr>
          <w:p w14:paraId="1AB6C76B" w14:textId="77777777" w:rsidR="008B7E19" w:rsidRPr="004A53AE"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bCs/>
                <w:color w:val="auto"/>
                <w:szCs w:val="14"/>
              </w:rPr>
            </w:pPr>
            <w:r>
              <w:rPr>
                <w:rFonts w:cs="Arial"/>
                <w:color w:val="000000"/>
                <w:szCs w:val="14"/>
              </w:rPr>
              <w:t>1,369</w:t>
            </w:r>
          </w:p>
        </w:tc>
      </w:tr>
      <w:tr w:rsidR="008B7E19" w:rsidRPr="004A53AE" w14:paraId="77FD23A0" w14:textId="77777777" w:rsidTr="008B7E19">
        <w:trPr>
          <w:trHeight w:val="238"/>
          <w:jc w:val="center"/>
        </w:trPr>
        <w:tc>
          <w:tcPr>
            <w:cnfStyle w:val="001000000000" w:firstRow="0" w:lastRow="0" w:firstColumn="1" w:lastColumn="0" w:oddVBand="0" w:evenVBand="0" w:oddHBand="0" w:evenHBand="0" w:firstRowFirstColumn="0" w:firstRowLastColumn="0" w:lastRowFirstColumn="0" w:lastRowLastColumn="0"/>
            <w:tcW w:w="3119" w:type="dxa"/>
            <w:tcBorders>
              <w:top w:val="nil"/>
              <w:bottom w:val="nil"/>
            </w:tcBorders>
            <w:shd w:val="clear" w:color="auto" w:fill="auto"/>
          </w:tcPr>
          <w:p w14:paraId="1E5DD64C" w14:textId="77777777" w:rsidR="008B7E19" w:rsidRPr="004A53AE" w:rsidRDefault="008B7E19" w:rsidP="008B7E19">
            <w:pPr>
              <w:pStyle w:val="08-Tabelageral"/>
              <w:ind w:left="113"/>
              <w:jc w:val="left"/>
              <w:rPr>
                <w:rFonts w:cs="Arial"/>
                <w:b w:val="0"/>
                <w:szCs w:val="14"/>
              </w:rPr>
            </w:pPr>
            <w:r w:rsidRPr="004A53AE">
              <w:rPr>
                <w:rStyle w:val="rynqvb"/>
                <w:b w:val="0"/>
                <w:lang w:val="en"/>
              </w:rPr>
              <w:t>Other charges</w:t>
            </w:r>
          </w:p>
        </w:tc>
        <w:tc>
          <w:tcPr>
            <w:tcW w:w="2173" w:type="dxa"/>
            <w:tcBorders>
              <w:top w:val="nil"/>
              <w:bottom w:val="nil"/>
            </w:tcBorders>
            <w:shd w:val="clear" w:color="auto" w:fill="auto"/>
            <w:vAlign w:val="center"/>
          </w:tcPr>
          <w:p w14:paraId="10F2DA7C" w14:textId="77777777" w:rsidR="008B7E19" w:rsidRPr="004A53AE"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bCs/>
                <w:color w:val="auto"/>
                <w:szCs w:val="14"/>
              </w:rPr>
            </w:pPr>
            <w:r>
              <w:rPr>
                <w:rFonts w:cs="Arial"/>
                <w:color w:val="000000"/>
                <w:szCs w:val="14"/>
              </w:rPr>
              <w:t>--</w:t>
            </w:r>
          </w:p>
        </w:tc>
        <w:tc>
          <w:tcPr>
            <w:tcW w:w="2173" w:type="dxa"/>
            <w:tcBorders>
              <w:top w:val="nil"/>
              <w:bottom w:val="nil"/>
            </w:tcBorders>
            <w:shd w:val="clear" w:color="auto" w:fill="auto"/>
            <w:vAlign w:val="center"/>
          </w:tcPr>
          <w:p w14:paraId="4FB4755A" w14:textId="77777777" w:rsidR="008B7E19" w:rsidRPr="004A53AE"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bCs/>
                <w:color w:val="auto"/>
                <w:szCs w:val="14"/>
              </w:rPr>
            </w:pPr>
            <w:r>
              <w:rPr>
                <w:rFonts w:cs="Arial"/>
                <w:color w:val="000000"/>
                <w:szCs w:val="14"/>
              </w:rPr>
              <w:t>2,149</w:t>
            </w:r>
          </w:p>
        </w:tc>
        <w:tc>
          <w:tcPr>
            <w:tcW w:w="2174" w:type="dxa"/>
            <w:tcBorders>
              <w:top w:val="nil"/>
              <w:bottom w:val="nil"/>
            </w:tcBorders>
            <w:shd w:val="clear" w:color="auto" w:fill="auto"/>
            <w:vAlign w:val="center"/>
          </w:tcPr>
          <w:p w14:paraId="5906E146" w14:textId="77777777" w:rsidR="008B7E19" w:rsidRPr="004A53AE"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bCs/>
                <w:color w:val="auto"/>
                <w:szCs w:val="14"/>
              </w:rPr>
            </w:pPr>
            <w:r>
              <w:rPr>
                <w:rFonts w:cs="Arial"/>
                <w:color w:val="000000"/>
                <w:szCs w:val="14"/>
              </w:rPr>
              <w:t>2,149</w:t>
            </w:r>
          </w:p>
        </w:tc>
      </w:tr>
      <w:tr w:rsidR="008B7E19" w:rsidRPr="004A53AE" w14:paraId="16A048FC"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19" w:type="dxa"/>
            <w:tcBorders>
              <w:top w:val="nil"/>
              <w:bottom w:val="nil"/>
            </w:tcBorders>
            <w:shd w:val="clear" w:color="auto" w:fill="auto"/>
            <w:vAlign w:val="center"/>
          </w:tcPr>
          <w:p w14:paraId="454CB23A" w14:textId="77777777" w:rsidR="008B7E19" w:rsidRPr="004A53AE" w:rsidRDefault="008B7E19" w:rsidP="008B7E19">
            <w:pPr>
              <w:pStyle w:val="08-Tabelageral"/>
              <w:jc w:val="left"/>
              <w:rPr>
                <w:rFonts w:cs="Arial"/>
                <w:szCs w:val="14"/>
              </w:rPr>
            </w:pPr>
            <w:r w:rsidRPr="004A53AE">
              <w:t>Taxes, fees and contributions</w:t>
            </w:r>
          </w:p>
        </w:tc>
        <w:tc>
          <w:tcPr>
            <w:tcW w:w="2173" w:type="dxa"/>
            <w:tcBorders>
              <w:top w:val="nil"/>
              <w:bottom w:val="nil"/>
            </w:tcBorders>
            <w:shd w:val="clear" w:color="auto" w:fill="auto"/>
            <w:vAlign w:val="center"/>
          </w:tcPr>
          <w:p w14:paraId="2A5E33B6" w14:textId="77777777" w:rsidR="008B7E19" w:rsidRPr="004A53AE"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b/>
                <w:bCs/>
                <w:color w:val="auto"/>
                <w:szCs w:val="14"/>
              </w:rPr>
            </w:pPr>
            <w:r>
              <w:rPr>
                <w:rFonts w:cs="Arial"/>
                <w:b/>
                <w:bCs/>
                <w:color w:val="000000"/>
                <w:szCs w:val="14"/>
              </w:rPr>
              <w:t>881,410</w:t>
            </w:r>
          </w:p>
        </w:tc>
        <w:tc>
          <w:tcPr>
            <w:tcW w:w="2173" w:type="dxa"/>
            <w:tcBorders>
              <w:top w:val="nil"/>
              <w:bottom w:val="nil"/>
            </w:tcBorders>
            <w:shd w:val="clear" w:color="auto" w:fill="auto"/>
            <w:vAlign w:val="center"/>
          </w:tcPr>
          <w:p w14:paraId="7AF2A262" w14:textId="77777777" w:rsidR="008B7E19" w:rsidRPr="004A53AE"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b/>
                <w:bCs/>
                <w:color w:val="auto"/>
                <w:szCs w:val="14"/>
              </w:rPr>
            </w:pPr>
            <w:r>
              <w:rPr>
                <w:rFonts w:cs="Arial"/>
                <w:b/>
                <w:bCs/>
                <w:color w:val="000000"/>
                <w:szCs w:val="14"/>
              </w:rPr>
              <w:t>4,647</w:t>
            </w:r>
          </w:p>
        </w:tc>
        <w:tc>
          <w:tcPr>
            <w:tcW w:w="2174" w:type="dxa"/>
            <w:tcBorders>
              <w:top w:val="nil"/>
              <w:bottom w:val="nil"/>
            </w:tcBorders>
            <w:shd w:val="clear" w:color="auto" w:fill="auto"/>
            <w:vAlign w:val="center"/>
          </w:tcPr>
          <w:p w14:paraId="494C7E90" w14:textId="77777777" w:rsidR="008B7E19" w:rsidRPr="004A53AE"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b/>
                <w:bCs/>
                <w:color w:val="auto"/>
                <w:szCs w:val="14"/>
              </w:rPr>
            </w:pPr>
            <w:r>
              <w:rPr>
                <w:rFonts w:cs="Arial"/>
                <w:b/>
                <w:bCs/>
                <w:color w:val="000000"/>
                <w:szCs w:val="14"/>
              </w:rPr>
              <w:t>886,057</w:t>
            </w:r>
          </w:p>
        </w:tc>
      </w:tr>
      <w:tr w:rsidR="008B7E19" w:rsidRPr="004A53AE" w14:paraId="6E878919" w14:textId="77777777" w:rsidTr="008B7E19">
        <w:trPr>
          <w:trHeight w:val="238"/>
          <w:jc w:val="center"/>
        </w:trPr>
        <w:tc>
          <w:tcPr>
            <w:cnfStyle w:val="001000000000" w:firstRow="0" w:lastRow="0" w:firstColumn="1" w:lastColumn="0" w:oddVBand="0" w:evenVBand="0" w:oddHBand="0" w:evenHBand="0" w:firstRowFirstColumn="0" w:firstRowLastColumn="0" w:lastRowFirstColumn="0" w:lastRowLastColumn="0"/>
            <w:tcW w:w="3119" w:type="dxa"/>
            <w:tcBorders>
              <w:top w:val="nil"/>
              <w:bottom w:val="nil"/>
            </w:tcBorders>
            <w:shd w:val="clear" w:color="auto" w:fill="auto"/>
            <w:vAlign w:val="center"/>
          </w:tcPr>
          <w:p w14:paraId="1E1CA9E4" w14:textId="77777777" w:rsidR="008B7E19" w:rsidRPr="004A53AE" w:rsidRDefault="008B7E19" w:rsidP="008B7E19">
            <w:pPr>
              <w:pStyle w:val="08-Tabelageral"/>
              <w:ind w:left="113"/>
              <w:jc w:val="left"/>
              <w:rPr>
                <w:rFonts w:cs="Arial"/>
                <w:b w:val="0"/>
                <w:szCs w:val="14"/>
              </w:rPr>
            </w:pPr>
            <w:r w:rsidRPr="004A53AE">
              <w:rPr>
                <w:b w:val="0"/>
              </w:rPr>
              <w:t>Federal</w:t>
            </w:r>
          </w:p>
        </w:tc>
        <w:tc>
          <w:tcPr>
            <w:tcW w:w="2173" w:type="dxa"/>
            <w:tcBorders>
              <w:top w:val="nil"/>
              <w:bottom w:val="nil"/>
            </w:tcBorders>
            <w:shd w:val="clear" w:color="auto" w:fill="auto"/>
            <w:vAlign w:val="center"/>
          </w:tcPr>
          <w:p w14:paraId="4CAE4819" w14:textId="77777777" w:rsidR="008B7E19" w:rsidRPr="004A53AE"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bCs/>
                <w:color w:val="auto"/>
                <w:szCs w:val="14"/>
              </w:rPr>
            </w:pPr>
            <w:r>
              <w:rPr>
                <w:rFonts w:cs="Arial"/>
                <w:color w:val="000000"/>
                <w:szCs w:val="14"/>
              </w:rPr>
              <w:t>--</w:t>
            </w:r>
          </w:p>
        </w:tc>
        <w:tc>
          <w:tcPr>
            <w:tcW w:w="2173" w:type="dxa"/>
            <w:tcBorders>
              <w:top w:val="nil"/>
              <w:bottom w:val="nil"/>
            </w:tcBorders>
            <w:shd w:val="clear" w:color="auto" w:fill="auto"/>
            <w:vAlign w:val="center"/>
          </w:tcPr>
          <w:p w14:paraId="5510D0BB" w14:textId="77777777" w:rsidR="008B7E19" w:rsidRPr="004A53AE"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bCs/>
                <w:color w:val="auto"/>
                <w:szCs w:val="14"/>
              </w:rPr>
            </w:pPr>
            <w:r>
              <w:rPr>
                <w:rFonts w:cs="Arial"/>
                <w:color w:val="000000"/>
                <w:szCs w:val="14"/>
              </w:rPr>
              <w:t>836,918</w:t>
            </w:r>
          </w:p>
        </w:tc>
        <w:tc>
          <w:tcPr>
            <w:tcW w:w="2174" w:type="dxa"/>
            <w:tcBorders>
              <w:top w:val="nil"/>
              <w:bottom w:val="nil"/>
            </w:tcBorders>
            <w:shd w:val="clear" w:color="auto" w:fill="auto"/>
            <w:vAlign w:val="center"/>
          </w:tcPr>
          <w:p w14:paraId="0124741F" w14:textId="77777777" w:rsidR="008B7E19" w:rsidRPr="004A53AE"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bCs/>
                <w:color w:val="auto"/>
                <w:szCs w:val="14"/>
              </w:rPr>
            </w:pPr>
            <w:r>
              <w:rPr>
                <w:rFonts w:cs="Arial"/>
                <w:color w:val="000000"/>
                <w:szCs w:val="14"/>
              </w:rPr>
              <w:t>836,918</w:t>
            </w:r>
          </w:p>
        </w:tc>
      </w:tr>
      <w:tr w:rsidR="008B7E19" w:rsidRPr="004A53AE" w14:paraId="1EF8EAF9"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19" w:type="dxa"/>
            <w:tcBorders>
              <w:top w:val="nil"/>
              <w:bottom w:val="nil"/>
            </w:tcBorders>
            <w:shd w:val="clear" w:color="auto" w:fill="auto"/>
            <w:vAlign w:val="center"/>
          </w:tcPr>
          <w:p w14:paraId="60A37AFE" w14:textId="77777777" w:rsidR="008B7E19" w:rsidRPr="004A53AE" w:rsidRDefault="008B7E19" w:rsidP="008B7E19">
            <w:pPr>
              <w:pStyle w:val="08-Tabelageral"/>
              <w:ind w:left="113"/>
              <w:jc w:val="left"/>
              <w:rPr>
                <w:rFonts w:cs="Arial"/>
                <w:b w:val="0"/>
                <w:szCs w:val="14"/>
              </w:rPr>
            </w:pPr>
            <w:r w:rsidRPr="004A53AE">
              <w:rPr>
                <w:b w:val="0"/>
              </w:rPr>
              <w:t>Municipal</w:t>
            </w:r>
          </w:p>
        </w:tc>
        <w:tc>
          <w:tcPr>
            <w:tcW w:w="2173" w:type="dxa"/>
            <w:tcBorders>
              <w:top w:val="nil"/>
              <w:bottom w:val="nil"/>
            </w:tcBorders>
            <w:shd w:val="clear" w:color="auto" w:fill="auto"/>
            <w:vAlign w:val="center"/>
          </w:tcPr>
          <w:p w14:paraId="7AB251D7" w14:textId="77777777" w:rsidR="008B7E19" w:rsidRPr="004A53AE"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bCs/>
                <w:color w:val="auto"/>
                <w:szCs w:val="14"/>
              </w:rPr>
            </w:pPr>
            <w:r>
              <w:rPr>
                <w:rFonts w:cs="Arial"/>
                <w:color w:val="000000"/>
                <w:szCs w:val="14"/>
              </w:rPr>
              <w:t>--</w:t>
            </w:r>
          </w:p>
        </w:tc>
        <w:tc>
          <w:tcPr>
            <w:tcW w:w="2173" w:type="dxa"/>
            <w:tcBorders>
              <w:top w:val="nil"/>
              <w:bottom w:val="nil"/>
            </w:tcBorders>
            <w:shd w:val="clear" w:color="auto" w:fill="auto"/>
            <w:vAlign w:val="center"/>
          </w:tcPr>
          <w:p w14:paraId="25FA90B4" w14:textId="77777777" w:rsidR="008B7E19" w:rsidRPr="004A53AE"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bCs/>
                <w:color w:val="auto"/>
                <w:szCs w:val="14"/>
              </w:rPr>
            </w:pPr>
            <w:r>
              <w:rPr>
                <w:rFonts w:cs="Arial"/>
                <w:color w:val="000000"/>
                <w:szCs w:val="14"/>
              </w:rPr>
              <w:t>49,139</w:t>
            </w:r>
          </w:p>
        </w:tc>
        <w:tc>
          <w:tcPr>
            <w:tcW w:w="2174" w:type="dxa"/>
            <w:tcBorders>
              <w:top w:val="nil"/>
              <w:bottom w:val="nil"/>
            </w:tcBorders>
            <w:shd w:val="clear" w:color="auto" w:fill="auto"/>
            <w:vAlign w:val="center"/>
          </w:tcPr>
          <w:p w14:paraId="188E1CF0" w14:textId="77777777" w:rsidR="008B7E19" w:rsidRPr="004A53AE"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bCs/>
                <w:color w:val="auto"/>
                <w:szCs w:val="14"/>
              </w:rPr>
            </w:pPr>
            <w:r>
              <w:rPr>
                <w:rFonts w:cs="Arial"/>
                <w:color w:val="000000"/>
                <w:szCs w:val="14"/>
              </w:rPr>
              <w:t>49,139</w:t>
            </w:r>
          </w:p>
        </w:tc>
      </w:tr>
      <w:tr w:rsidR="008B7E19" w:rsidRPr="004A53AE" w14:paraId="7D2C5C08" w14:textId="77777777" w:rsidTr="008B7E19">
        <w:trPr>
          <w:trHeight w:val="238"/>
          <w:jc w:val="center"/>
        </w:trPr>
        <w:tc>
          <w:tcPr>
            <w:cnfStyle w:val="001000000000" w:firstRow="0" w:lastRow="0" w:firstColumn="1" w:lastColumn="0" w:oddVBand="0" w:evenVBand="0" w:oddHBand="0" w:evenHBand="0" w:firstRowFirstColumn="0" w:firstRowLastColumn="0" w:lastRowFirstColumn="0" w:lastRowLastColumn="0"/>
            <w:tcW w:w="3119" w:type="dxa"/>
            <w:tcBorders>
              <w:top w:val="nil"/>
              <w:bottom w:val="nil"/>
            </w:tcBorders>
            <w:shd w:val="clear" w:color="auto" w:fill="auto"/>
            <w:vAlign w:val="center"/>
          </w:tcPr>
          <w:p w14:paraId="4E5B0662" w14:textId="77777777" w:rsidR="008B7E19" w:rsidRPr="004A53AE" w:rsidRDefault="008B7E19" w:rsidP="008B7E19">
            <w:pPr>
              <w:pStyle w:val="08-Tabelageral"/>
              <w:jc w:val="left"/>
              <w:rPr>
                <w:rFonts w:cs="Arial"/>
                <w:szCs w:val="14"/>
              </w:rPr>
            </w:pPr>
            <w:r w:rsidRPr="004A53AE">
              <w:rPr>
                <w:rFonts w:cs="Arial"/>
                <w:szCs w:val="14"/>
              </w:rPr>
              <w:t>Financial expenses</w:t>
            </w:r>
          </w:p>
        </w:tc>
        <w:tc>
          <w:tcPr>
            <w:tcW w:w="2173" w:type="dxa"/>
            <w:tcBorders>
              <w:top w:val="nil"/>
              <w:bottom w:val="nil"/>
            </w:tcBorders>
            <w:shd w:val="clear" w:color="auto" w:fill="auto"/>
            <w:vAlign w:val="center"/>
          </w:tcPr>
          <w:p w14:paraId="1510B2B9" w14:textId="77777777" w:rsidR="008B7E19" w:rsidRPr="004A53AE"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b/>
                <w:bCs/>
                <w:color w:val="auto"/>
                <w:szCs w:val="14"/>
              </w:rPr>
            </w:pPr>
            <w:r>
              <w:rPr>
                <w:rFonts w:cs="Arial"/>
                <w:b/>
                <w:bCs/>
                <w:color w:val="000000"/>
                <w:szCs w:val="14"/>
              </w:rPr>
              <w:t>28,638</w:t>
            </w:r>
          </w:p>
        </w:tc>
        <w:tc>
          <w:tcPr>
            <w:tcW w:w="2173" w:type="dxa"/>
            <w:tcBorders>
              <w:top w:val="nil"/>
              <w:bottom w:val="nil"/>
            </w:tcBorders>
            <w:shd w:val="clear" w:color="auto" w:fill="auto"/>
            <w:vAlign w:val="center"/>
          </w:tcPr>
          <w:p w14:paraId="3CA523DF" w14:textId="77777777" w:rsidR="008B7E19" w:rsidRPr="004A53AE"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b/>
                <w:bCs/>
                <w:color w:val="auto"/>
                <w:szCs w:val="14"/>
              </w:rPr>
            </w:pPr>
            <w:r>
              <w:rPr>
                <w:rFonts w:cs="Arial"/>
                <w:b/>
                <w:bCs/>
                <w:color w:val="000000"/>
                <w:szCs w:val="14"/>
              </w:rPr>
              <w:t>(28,638)</w:t>
            </w:r>
          </w:p>
        </w:tc>
        <w:tc>
          <w:tcPr>
            <w:tcW w:w="2174" w:type="dxa"/>
            <w:tcBorders>
              <w:top w:val="nil"/>
              <w:bottom w:val="nil"/>
            </w:tcBorders>
            <w:shd w:val="clear" w:color="auto" w:fill="auto"/>
            <w:vAlign w:val="center"/>
          </w:tcPr>
          <w:p w14:paraId="265DF27D" w14:textId="77777777" w:rsidR="008B7E19" w:rsidRPr="004A53AE"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b/>
                <w:bCs/>
                <w:color w:val="auto"/>
                <w:szCs w:val="14"/>
              </w:rPr>
            </w:pPr>
            <w:r>
              <w:rPr>
                <w:rFonts w:cs="Arial"/>
                <w:b/>
                <w:bCs/>
                <w:color w:val="000000"/>
                <w:szCs w:val="14"/>
              </w:rPr>
              <w:t>--</w:t>
            </w:r>
          </w:p>
        </w:tc>
      </w:tr>
      <w:tr w:rsidR="008B7E19" w:rsidRPr="004A53AE" w14:paraId="3EC1ED3A"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19" w:type="dxa"/>
            <w:tcBorders>
              <w:top w:val="nil"/>
              <w:bottom w:val="nil"/>
            </w:tcBorders>
            <w:shd w:val="clear" w:color="auto" w:fill="auto"/>
            <w:vAlign w:val="center"/>
          </w:tcPr>
          <w:p w14:paraId="29D388B5" w14:textId="77777777" w:rsidR="008B7E19" w:rsidRPr="004A53AE" w:rsidRDefault="008B7E19" w:rsidP="008B7E19">
            <w:pPr>
              <w:pStyle w:val="08-Tabelageral"/>
              <w:jc w:val="left"/>
              <w:rPr>
                <w:rFonts w:cs="Arial"/>
                <w:szCs w:val="14"/>
                <w:lang w:val="en-US"/>
              </w:rPr>
            </w:pPr>
            <w:r w:rsidRPr="004A53AE">
              <w:rPr>
                <w:lang w:val="en-US"/>
              </w:rPr>
              <w:t>Remuneration of third-party capital</w:t>
            </w:r>
          </w:p>
        </w:tc>
        <w:tc>
          <w:tcPr>
            <w:tcW w:w="2173" w:type="dxa"/>
            <w:tcBorders>
              <w:top w:val="nil"/>
              <w:bottom w:val="nil"/>
            </w:tcBorders>
            <w:shd w:val="clear" w:color="auto" w:fill="auto"/>
            <w:vAlign w:val="center"/>
          </w:tcPr>
          <w:p w14:paraId="33304D83" w14:textId="77777777" w:rsidR="008B7E19" w:rsidRPr="004A53AE"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b/>
                <w:bCs/>
                <w:color w:val="auto"/>
                <w:szCs w:val="14"/>
              </w:rPr>
            </w:pPr>
            <w:r>
              <w:rPr>
                <w:rFonts w:cs="Arial"/>
                <w:b/>
                <w:bCs/>
                <w:color w:val="000000"/>
                <w:szCs w:val="14"/>
              </w:rPr>
              <w:t>--</w:t>
            </w:r>
          </w:p>
        </w:tc>
        <w:tc>
          <w:tcPr>
            <w:tcW w:w="2173" w:type="dxa"/>
            <w:tcBorders>
              <w:top w:val="nil"/>
              <w:bottom w:val="nil"/>
            </w:tcBorders>
            <w:shd w:val="clear" w:color="auto" w:fill="auto"/>
            <w:vAlign w:val="center"/>
          </w:tcPr>
          <w:p w14:paraId="5F1A788C" w14:textId="77777777" w:rsidR="008B7E19" w:rsidRPr="004A53AE"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b/>
                <w:bCs/>
                <w:color w:val="auto"/>
                <w:szCs w:val="14"/>
              </w:rPr>
            </w:pPr>
            <w:r>
              <w:rPr>
                <w:rFonts w:cs="Arial"/>
                <w:b/>
                <w:bCs/>
                <w:color w:val="000000"/>
                <w:szCs w:val="14"/>
              </w:rPr>
              <w:t>30,425</w:t>
            </w:r>
          </w:p>
        </w:tc>
        <w:tc>
          <w:tcPr>
            <w:tcW w:w="2174" w:type="dxa"/>
            <w:tcBorders>
              <w:top w:val="nil"/>
              <w:bottom w:val="nil"/>
            </w:tcBorders>
            <w:shd w:val="clear" w:color="auto" w:fill="auto"/>
            <w:vAlign w:val="center"/>
          </w:tcPr>
          <w:p w14:paraId="158F8A86" w14:textId="77777777" w:rsidR="008B7E19" w:rsidRPr="004A53AE"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b/>
                <w:bCs/>
                <w:color w:val="auto"/>
                <w:szCs w:val="14"/>
              </w:rPr>
            </w:pPr>
            <w:r>
              <w:rPr>
                <w:rFonts w:cs="Arial"/>
                <w:b/>
                <w:bCs/>
                <w:color w:val="000000"/>
                <w:szCs w:val="14"/>
              </w:rPr>
              <w:t>30,425</w:t>
            </w:r>
          </w:p>
        </w:tc>
      </w:tr>
      <w:tr w:rsidR="008B7E19" w:rsidRPr="004A53AE" w14:paraId="466AB325" w14:textId="77777777" w:rsidTr="008B7E19">
        <w:trPr>
          <w:trHeight w:val="238"/>
          <w:jc w:val="center"/>
        </w:trPr>
        <w:tc>
          <w:tcPr>
            <w:cnfStyle w:val="001000000000" w:firstRow="0" w:lastRow="0" w:firstColumn="1" w:lastColumn="0" w:oddVBand="0" w:evenVBand="0" w:oddHBand="0" w:evenHBand="0" w:firstRowFirstColumn="0" w:firstRowLastColumn="0" w:lastRowFirstColumn="0" w:lastRowLastColumn="0"/>
            <w:tcW w:w="3119" w:type="dxa"/>
            <w:tcBorders>
              <w:top w:val="nil"/>
              <w:bottom w:val="nil"/>
            </w:tcBorders>
            <w:shd w:val="clear" w:color="auto" w:fill="auto"/>
            <w:vAlign w:val="center"/>
          </w:tcPr>
          <w:p w14:paraId="30B6ACE7" w14:textId="77777777" w:rsidR="008B7E19" w:rsidRPr="004A53AE" w:rsidRDefault="008B7E19" w:rsidP="008B7E19">
            <w:pPr>
              <w:pStyle w:val="08-Tabelageral"/>
              <w:ind w:left="113"/>
              <w:jc w:val="left"/>
              <w:rPr>
                <w:rFonts w:cs="Arial"/>
                <w:b w:val="0"/>
                <w:szCs w:val="14"/>
              </w:rPr>
            </w:pPr>
            <w:r w:rsidRPr="004A53AE">
              <w:rPr>
                <w:b w:val="0"/>
              </w:rPr>
              <w:t>Interest</w:t>
            </w:r>
          </w:p>
        </w:tc>
        <w:tc>
          <w:tcPr>
            <w:tcW w:w="2173" w:type="dxa"/>
            <w:tcBorders>
              <w:top w:val="nil"/>
              <w:bottom w:val="nil"/>
            </w:tcBorders>
            <w:shd w:val="clear" w:color="auto" w:fill="auto"/>
            <w:vAlign w:val="center"/>
          </w:tcPr>
          <w:p w14:paraId="6B13E3CC" w14:textId="77777777" w:rsidR="008B7E19" w:rsidRPr="004A53AE"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bCs/>
                <w:color w:val="auto"/>
                <w:szCs w:val="14"/>
              </w:rPr>
            </w:pPr>
            <w:r>
              <w:rPr>
                <w:rFonts w:cs="Arial"/>
                <w:color w:val="000000"/>
                <w:szCs w:val="14"/>
              </w:rPr>
              <w:t>--</w:t>
            </w:r>
          </w:p>
        </w:tc>
        <w:tc>
          <w:tcPr>
            <w:tcW w:w="2173" w:type="dxa"/>
            <w:tcBorders>
              <w:top w:val="nil"/>
              <w:bottom w:val="nil"/>
            </w:tcBorders>
            <w:shd w:val="clear" w:color="auto" w:fill="auto"/>
            <w:vAlign w:val="center"/>
          </w:tcPr>
          <w:p w14:paraId="7516E6B1" w14:textId="77777777" w:rsidR="008B7E19" w:rsidRPr="004A53AE"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bCs/>
                <w:color w:val="auto"/>
                <w:szCs w:val="14"/>
              </w:rPr>
            </w:pPr>
            <w:r>
              <w:rPr>
                <w:rFonts w:cs="Arial"/>
                <w:color w:val="000000"/>
                <w:szCs w:val="14"/>
              </w:rPr>
              <w:t>28,638</w:t>
            </w:r>
          </w:p>
        </w:tc>
        <w:tc>
          <w:tcPr>
            <w:tcW w:w="2174" w:type="dxa"/>
            <w:tcBorders>
              <w:top w:val="nil"/>
              <w:bottom w:val="nil"/>
            </w:tcBorders>
            <w:shd w:val="clear" w:color="auto" w:fill="auto"/>
            <w:vAlign w:val="center"/>
          </w:tcPr>
          <w:p w14:paraId="0A9D0F90" w14:textId="77777777" w:rsidR="008B7E19" w:rsidRPr="004A53AE"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bCs/>
                <w:color w:val="auto"/>
                <w:szCs w:val="14"/>
              </w:rPr>
            </w:pPr>
            <w:r>
              <w:rPr>
                <w:rFonts w:cs="Arial"/>
                <w:color w:val="000000"/>
                <w:szCs w:val="14"/>
              </w:rPr>
              <w:t>28,638</w:t>
            </w:r>
          </w:p>
        </w:tc>
      </w:tr>
      <w:tr w:rsidR="008B7E19" w:rsidRPr="004A53AE" w14:paraId="55E4918E"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19" w:type="dxa"/>
            <w:tcBorders>
              <w:top w:val="nil"/>
              <w:bottom w:val="nil"/>
            </w:tcBorders>
            <w:shd w:val="clear" w:color="auto" w:fill="auto"/>
            <w:vAlign w:val="center"/>
          </w:tcPr>
          <w:p w14:paraId="06677640" w14:textId="77777777" w:rsidR="008B7E19" w:rsidRPr="004A53AE" w:rsidRDefault="008B7E19" w:rsidP="008B7E19">
            <w:pPr>
              <w:pStyle w:val="08-Tabelageral"/>
              <w:ind w:left="113"/>
              <w:jc w:val="left"/>
              <w:rPr>
                <w:rFonts w:cs="Arial"/>
                <w:b w:val="0"/>
                <w:szCs w:val="14"/>
              </w:rPr>
            </w:pPr>
            <w:r w:rsidRPr="004A53AE">
              <w:rPr>
                <w:rStyle w:val="rynqvb"/>
                <w:b w:val="0"/>
                <w:lang w:val="en"/>
              </w:rPr>
              <w:t>Rents</w:t>
            </w:r>
          </w:p>
        </w:tc>
        <w:tc>
          <w:tcPr>
            <w:tcW w:w="2173" w:type="dxa"/>
            <w:tcBorders>
              <w:top w:val="nil"/>
              <w:bottom w:val="nil"/>
            </w:tcBorders>
            <w:shd w:val="clear" w:color="auto" w:fill="auto"/>
            <w:vAlign w:val="center"/>
          </w:tcPr>
          <w:p w14:paraId="4A3026A1" w14:textId="77777777" w:rsidR="008B7E19" w:rsidRPr="004A53AE"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bCs/>
                <w:color w:val="auto"/>
                <w:szCs w:val="14"/>
              </w:rPr>
            </w:pPr>
            <w:r>
              <w:rPr>
                <w:rFonts w:cs="Arial"/>
                <w:color w:val="000000"/>
                <w:szCs w:val="14"/>
              </w:rPr>
              <w:t>--</w:t>
            </w:r>
          </w:p>
        </w:tc>
        <w:tc>
          <w:tcPr>
            <w:tcW w:w="2173" w:type="dxa"/>
            <w:tcBorders>
              <w:top w:val="nil"/>
              <w:bottom w:val="nil"/>
            </w:tcBorders>
            <w:shd w:val="clear" w:color="auto" w:fill="auto"/>
            <w:vAlign w:val="center"/>
          </w:tcPr>
          <w:p w14:paraId="3446BCDD" w14:textId="77777777" w:rsidR="008B7E19" w:rsidRPr="004A53AE"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bCs/>
                <w:color w:val="auto"/>
                <w:szCs w:val="14"/>
              </w:rPr>
            </w:pPr>
            <w:r>
              <w:rPr>
                <w:rFonts w:cs="Arial"/>
                <w:color w:val="000000"/>
                <w:szCs w:val="14"/>
              </w:rPr>
              <w:t>1,787</w:t>
            </w:r>
          </w:p>
        </w:tc>
        <w:tc>
          <w:tcPr>
            <w:tcW w:w="2174" w:type="dxa"/>
            <w:tcBorders>
              <w:top w:val="nil"/>
              <w:bottom w:val="nil"/>
            </w:tcBorders>
            <w:shd w:val="clear" w:color="auto" w:fill="auto"/>
            <w:vAlign w:val="center"/>
          </w:tcPr>
          <w:p w14:paraId="18C843FA" w14:textId="77777777" w:rsidR="008B7E19" w:rsidRPr="004A53AE"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bCs/>
                <w:color w:val="auto"/>
                <w:szCs w:val="14"/>
              </w:rPr>
            </w:pPr>
            <w:r>
              <w:rPr>
                <w:rFonts w:cs="Arial"/>
                <w:color w:val="000000"/>
                <w:szCs w:val="14"/>
              </w:rPr>
              <w:t>1,787</w:t>
            </w:r>
          </w:p>
        </w:tc>
      </w:tr>
      <w:tr w:rsidR="008B7E19" w:rsidRPr="004A53AE" w14:paraId="3D322F10" w14:textId="77777777" w:rsidTr="008B7E19">
        <w:trPr>
          <w:trHeight w:val="238"/>
          <w:jc w:val="center"/>
        </w:trPr>
        <w:tc>
          <w:tcPr>
            <w:cnfStyle w:val="001000000000" w:firstRow="0" w:lastRow="0" w:firstColumn="1" w:lastColumn="0" w:oddVBand="0" w:evenVBand="0" w:oddHBand="0" w:evenHBand="0" w:firstRowFirstColumn="0" w:firstRowLastColumn="0" w:lastRowFirstColumn="0" w:lastRowLastColumn="0"/>
            <w:tcW w:w="3119" w:type="dxa"/>
            <w:tcBorders>
              <w:top w:val="nil"/>
              <w:bottom w:val="nil"/>
            </w:tcBorders>
            <w:shd w:val="clear" w:color="auto" w:fill="auto"/>
            <w:vAlign w:val="center"/>
          </w:tcPr>
          <w:p w14:paraId="3CB0D638" w14:textId="77777777" w:rsidR="008B7E19" w:rsidRPr="004A53AE" w:rsidRDefault="008B7E19" w:rsidP="008B7E19">
            <w:pPr>
              <w:pStyle w:val="08-Tabelageral"/>
              <w:jc w:val="left"/>
              <w:rPr>
                <w:rFonts w:cs="Arial"/>
                <w:szCs w:val="14"/>
              </w:rPr>
            </w:pPr>
            <w:r w:rsidRPr="004A53AE">
              <w:t>Equity remuneration</w:t>
            </w:r>
          </w:p>
        </w:tc>
        <w:tc>
          <w:tcPr>
            <w:tcW w:w="2173" w:type="dxa"/>
            <w:tcBorders>
              <w:top w:val="nil"/>
              <w:bottom w:val="nil"/>
            </w:tcBorders>
            <w:shd w:val="clear" w:color="auto" w:fill="auto"/>
            <w:vAlign w:val="center"/>
          </w:tcPr>
          <w:p w14:paraId="6716EFD1" w14:textId="77777777" w:rsidR="008B7E19" w:rsidRPr="004A53AE"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b/>
                <w:bCs/>
                <w:color w:val="auto"/>
                <w:szCs w:val="14"/>
              </w:rPr>
            </w:pPr>
            <w:r>
              <w:rPr>
                <w:rFonts w:cs="Arial"/>
                <w:b/>
                <w:bCs/>
                <w:color w:val="000000"/>
                <w:szCs w:val="14"/>
              </w:rPr>
              <w:t>2,068,642</w:t>
            </w:r>
          </w:p>
        </w:tc>
        <w:tc>
          <w:tcPr>
            <w:tcW w:w="2173" w:type="dxa"/>
            <w:tcBorders>
              <w:top w:val="nil"/>
              <w:bottom w:val="nil"/>
            </w:tcBorders>
            <w:shd w:val="clear" w:color="auto" w:fill="auto"/>
            <w:vAlign w:val="center"/>
          </w:tcPr>
          <w:p w14:paraId="75FB1E15" w14:textId="77777777" w:rsidR="008B7E19" w:rsidRPr="004A53AE"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b/>
                <w:bCs/>
                <w:color w:val="auto"/>
                <w:szCs w:val="14"/>
              </w:rPr>
            </w:pPr>
            <w:r>
              <w:rPr>
                <w:rFonts w:cs="Arial"/>
                <w:b/>
                <w:bCs/>
                <w:color w:val="000000"/>
                <w:szCs w:val="14"/>
              </w:rPr>
              <w:t>644,602</w:t>
            </w:r>
          </w:p>
        </w:tc>
        <w:tc>
          <w:tcPr>
            <w:tcW w:w="2174" w:type="dxa"/>
            <w:tcBorders>
              <w:top w:val="nil"/>
              <w:bottom w:val="nil"/>
            </w:tcBorders>
            <w:shd w:val="clear" w:color="auto" w:fill="auto"/>
            <w:vAlign w:val="center"/>
          </w:tcPr>
          <w:p w14:paraId="3DBE00D1" w14:textId="77777777" w:rsidR="008B7E19" w:rsidRPr="004A53AE"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b/>
                <w:bCs/>
                <w:color w:val="auto"/>
                <w:szCs w:val="14"/>
              </w:rPr>
            </w:pPr>
            <w:r>
              <w:rPr>
                <w:rFonts w:cs="Arial"/>
                <w:b/>
                <w:bCs/>
                <w:color w:val="000000"/>
                <w:szCs w:val="14"/>
              </w:rPr>
              <w:t>2,713,244</w:t>
            </w:r>
          </w:p>
        </w:tc>
      </w:tr>
      <w:tr w:rsidR="008B7E19" w:rsidRPr="004A53AE" w14:paraId="51BDE957"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19" w:type="dxa"/>
            <w:tcBorders>
              <w:top w:val="nil"/>
              <w:bottom w:val="nil"/>
            </w:tcBorders>
            <w:shd w:val="clear" w:color="auto" w:fill="auto"/>
            <w:vAlign w:val="center"/>
          </w:tcPr>
          <w:p w14:paraId="49444A2F" w14:textId="77777777" w:rsidR="008B7E19" w:rsidRPr="004A53AE" w:rsidRDefault="008B7E19" w:rsidP="008B7E19">
            <w:pPr>
              <w:pStyle w:val="08-Tabelageral"/>
              <w:ind w:left="113"/>
              <w:jc w:val="left"/>
            </w:pPr>
            <w:r w:rsidRPr="00E33823">
              <w:rPr>
                <w:rStyle w:val="shorttext"/>
                <w:b w:val="0"/>
                <w:bCs w:val="0"/>
                <w:lang w:val="en"/>
              </w:rPr>
              <w:t>Dividends</w:t>
            </w:r>
          </w:p>
        </w:tc>
        <w:tc>
          <w:tcPr>
            <w:tcW w:w="2173" w:type="dxa"/>
            <w:tcBorders>
              <w:top w:val="nil"/>
              <w:bottom w:val="nil"/>
            </w:tcBorders>
            <w:shd w:val="clear" w:color="auto" w:fill="auto"/>
            <w:vAlign w:val="center"/>
          </w:tcPr>
          <w:p w14:paraId="5BDED0F4" w14:textId="77777777" w:rsidR="008B7E19" w:rsidRPr="004A53AE"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lang w:eastAsia="en-US"/>
              </w:rPr>
            </w:pPr>
            <w:r>
              <w:rPr>
                <w:rFonts w:cs="Arial"/>
                <w:b/>
                <w:szCs w:val="14"/>
              </w:rPr>
              <w:t>--</w:t>
            </w:r>
          </w:p>
        </w:tc>
        <w:tc>
          <w:tcPr>
            <w:tcW w:w="2173" w:type="dxa"/>
            <w:tcBorders>
              <w:top w:val="nil"/>
              <w:bottom w:val="nil"/>
            </w:tcBorders>
            <w:shd w:val="clear" w:color="auto" w:fill="auto"/>
            <w:vAlign w:val="center"/>
          </w:tcPr>
          <w:p w14:paraId="0E02FF5A" w14:textId="77777777" w:rsidR="008B7E19" w:rsidRPr="004A53AE"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lang w:eastAsia="en-US"/>
              </w:rPr>
            </w:pPr>
            <w:r>
              <w:rPr>
                <w:rFonts w:cs="Arial"/>
                <w:color w:val="000000"/>
                <w:szCs w:val="14"/>
              </w:rPr>
              <w:t>2,068,642</w:t>
            </w:r>
          </w:p>
        </w:tc>
        <w:tc>
          <w:tcPr>
            <w:tcW w:w="2174" w:type="dxa"/>
            <w:tcBorders>
              <w:top w:val="nil"/>
              <w:bottom w:val="nil"/>
            </w:tcBorders>
            <w:shd w:val="clear" w:color="auto" w:fill="auto"/>
            <w:vAlign w:val="center"/>
          </w:tcPr>
          <w:p w14:paraId="240AE9F4" w14:textId="77777777" w:rsidR="008B7E19" w:rsidRPr="004A53AE"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lang w:eastAsia="en-US"/>
              </w:rPr>
            </w:pPr>
            <w:r>
              <w:rPr>
                <w:rFonts w:cs="Arial"/>
                <w:color w:val="000000"/>
                <w:szCs w:val="14"/>
              </w:rPr>
              <w:t>2,068,642</w:t>
            </w:r>
          </w:p>
        </w:tc>
      </w:tr>
      <w:tr w:rsidR="008B7E19" w:rsidRPr="00594344" w14:paraId="6AF5967F" w14:textId="77777777" w:rsidTr="008B7E19">
        <w:trPr>
          <w:trHeight w:val="238"/>
          <w:jc w:val="center"/>
        </w:trPr>
        <w:tc>
          <w:tcPr>
            <w:cnfStyle w:val="001000000000" w:firstRow="0" w:lastRow="0" w:firstColumn="1" w:lastColumn="0" w:oddVBand="0" w:evenVBand="0" w:oddHBand="0" w:evenHBand="0" w:firstRowFirstColumn="0" w:firstRowLastColumn="0" w:lastRowFirstColumn="0" w:lastRowLastColumn="0"/>
            <w:tcW w:w="3119" w:type="dxa"/>
            <w:tcBorders>
              <w:top w:val="nil"/>
              <w:bottom w:val="single" w:sz="2" w:space="0" w:color="1F4E79" w:themeColor="accent1" w:themeShade="80"/>
            </w:tcBorders>
            <w:shd w:val="clear" w:color="auto" w:fill="auto"/>
            <w:vAlign w:val="center"/>
          </w:tcPr>
          <w:p w14:paraId="7DAD952E" w14:textId="77777777" w:rsidR="008B7E19" w:rsidRPr="004A53AE" w:rsidRDefault="008B7E19" w:rsidP="008B7E19">
            <w:pPr>
              <w:pStyle w:val="08-Tabelageral"/>
              <w:ind w:left="113"/>
              <w:jc w:val="left"/>
              <w:rPr>
                <w:rFonts w:cs="Arial"/>
                <w:b w:val="0"/>
                <w:szCs w:val="14"/>
                <w:lang w:val="en-US"/>
              </w:rPr>
            </w:pPr>
            <w:r w:rsidRPr="004A53AE">
              <w:rPr>
                <w:rStyle w:val="shorttext"/>
                <w:b w:val="0"/>
                <w:bCs w:val="0"/>
                <w:lang w:val="en"/>
              </w:rPr>
              <w:t>Retained earnings for the period</w:t>
            </w:r>
          </w:p>
        </w:tc>
        <w:tc>
          <w:tcPr>
            <w:tcW w:w="2173" w:type="dxa"/>
            <w:tcBorders>
              <w:top w:val="nil"/>
              <w:bottom w:val="single" w:sz="2" w:space="0" w:color="1F4E79" w:themeColor="accent1" w:themeShade="80"/>
            </w:tcBorders>
            <w:shd w:val="clear" w:color="auto" w:fill="auto"/>
            <w:vAlign w:val="center"/>
          </w:tcPr>
          <w:p w14:paraId="0740F91B" w14:textId="77777777" w:rsidR="008B7E19" w:rsidRPr="004A53AE"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bCs/>
                <w:color w:val="auto"/>
                <w:szCs w:val="14"/>
              </w:rPr>
            </w:pPr>
            <w:r>
              <w:rPr>
                <w:rFonts w:cs="Arial"/>
                <w:color w:val="000000"/>
                <w:szCs w:val="14"/>
              </w:rPr>
              <w:t>517,160</w:t>
            </w:r>
          </w:p>
        </w:tc>
        <w:tc>
          <w:tcPr>
            <w:tcW w:w="2173" w:type="dxa"/>
            <w:tcBorders>
              <w:top w:val="nil"/>
              <w:bottom w:val="single" w:sz="2" w:space="0" w:color="1F4E79" w:themeColor="accent1" w:themeShade="80"/>
            </w:tcBorders>
            <w:shd w:val="clear" w:color="auto" w:fill="auto"/>
            <w:vAlign w:val="center"/>
          </w:tcPr>
          <w:p w14:paraId="62A129CB" w14:textId="77777777" w:rsidR="008B7E19" w:rsidRPr="004A53AE"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bCs/>
                <w:color w:val="auto"/>
                <w:szCs w:val="14"/>
              </w:rPr>
            </w:pPr>
            <w:r>
              <w:rPr>
                <w:rFonts w:cs="Arial"/>
                <w:color w:val="000000"/>
                <w:szCs w:val="14"/>
              </w:rPr>
              <w:t>127,442</w:t>
            </w:r>
          </w:p>
        </w:tc>
        <w:tc>
          <w:tcPr>
            <w:tcW w:w="2174" w:type="dxa"/>
            <w:tcBorders>
              <w:top w:val="nil"/>
              <w:bottom w:val="single" w:sz="2" w:space="0" w:color="1F4E79" w:themeColor="accent1" w:themeShade="80"/>
            </w:tcBorders>
            <w:shd w:val="clear" w:color="auto" w:fill="auto"/>
            <w:vAlign w:val="center"/>
          </w:tcPr>
          <w:p w14:paraId="5BCD384C" w14:textId="77777777" w:rsidR="008B7E19" w:rsidRPr="007D290C"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bCs/>
                <w:color w:val="auto"/>
                <w:szCs w:val="14"/>
              </w:rPr>
            </w:pPr>
            <w:r>
              <w:rPr>
                <w:rFonts w:cs="Arial"/>
                <w:color w:val="000000"/>
                <w:szCs w:val="14"/>
              </w:rPr>
              <w:t>644,602</w:t>
            </w:r>
          </w:p>
        </w:tc>
      </w:tr>
    </w:tbl>
    <w:p w14:paraId="6A9B6CA3" w14:textId="77777777" w:rsidR="008B7E19" w:rsidRDefault="008B7E19" w:rsidP="008B7E19">
      <w:pPr>
        <w:rPr>
          <w:lang w:val="en-US" w:eastAsia="pt-BR"/>
        </w:rPr>
      </w:pPr>
    </w:p>
    <w:p w14:paraId="41770130" w14:textId="321254B9" w:rsidR="008B7E19" w:rsidRPr="005262D9" w:rsidRDefault="008B7E19" w:rsidP="008B7E19">
      <w:pPr>
        <w:pStyle w:val="Ttulo1"/>
        <w:rPr>
          <w:b w:val="0"/>
        </w:rPr>
      </w:pPr>
      <w:bookmarkStart w:id="21" w:name="OLE_LINK5"/>
      <w:bookmarkStart w:id="22" w:name="_Toc141966682"/>
      <w:r w:rsidRPr="005262D9">
        <w:t xml:space="preserve">4 – </w:t>
      </w:r>
      <w:r w:rsidRPr="004105CA">
        <w:t>DESCRIPTION OF KEY ACCOUNTING POLICIES</w:t>
      </w:r>
      <w:bookmarkEnd w:id="22"/>
    </w:p>
    <w:p w14:paraId="0D75571F" w14:textId="77777777" w:rsidR="008B7E19" w:rsidRDefault="008B7E19" w:rsidP="008B7E19">
      <w:pPr>
        <w:spacing w:before="120" w:after="120"/>
        <w:jc w:val="both"/>
        <w:rPr>
          <w:rFonts w:eastAsia="Times New Roman" w:cs="Times New Roman"/>
          <w:spacing w:val="-2"/>
          <w:szCs w:val="18"/>
          <w:lang w:val="en" w:eastAsia="pt-BR"/>
        </w:rPr>
      </w:pPr>
      <w:r w:rsidRPr="004105CA">
        <w:rPr>
          <w:rFonts w:eastAsia="Times New Roman" w:cs="Times New Roman"/>
          <w:spacing w:val="-2"/>
          <w:szCs w:val="18"/>
          <w:lang w:val="en" w:eastAsia="pt-BR"/>
        </w:rPr>
        <w:t xml:space="preserve">Accounting policies are the specific principles, bases, conventions, rules and practices applied by BB Seguridade in the preparation and presentation of </w:t>
      </w:r>
      <w:r>
        <w:rPr>
          <w:rFonts w:eastAsia="Times New Roman" w:cs="Times New Roman"/>
          <w:spacing w:val="-2"/>
          <w:szCs w:val="18"/>
          <w:lang w:val="en" w:eastAsia="pt-BR"/>
        </w:rPr>
        <w:t>annual financial statements</w:t>
      </w:r>
      <w:r w:rsidRPr="004105CA">
        <w:rPr>
          <w:rFonts w:eastAsia="Times New Roman" w:cs="Times New Roman"/>
          <w:spacing w:val="-2"/>
          <w:szCs w:val="18"/>
          <w:lang w:val="en" w:eastAsia="pt-BR"/>
        </w:rPr>
        <w:t>. BB Seguridade applied accounting policies consistently to all periods presented in these</w:t>
      </w:r>
      <w:r>
        <w:rPr>
          <w:rFonts w:eastAsia="Times New Roman" w:cs="Times New Roman"/>
          <w:spacing w:val="-2"/>
          <w:szCs w:val="18"/>
          <w:lang w:val="en" w:eastAsia="pt-BR"/>
        </w:rPr>
        <w:t xml:space="preserve"> financial statements</w:t>
      </w:r>
      <w:r w:rsidRPr="004105CA">
        <w:rPr>
          <w:rFonts w:eastAsia="Times New Roman" w:cs="Times New Roman"/>
          <w:spacing w:val="-2"/>
          <w:szCs w:val="18"/>
          <w:lang w:val="en" w:eastAsia="pt-BR"/>
        </w:rPr>
        <w:t>.</w:t>
      </w:r>
    </w:p>
    <w:p w14:paraId="699BFB14" w14:textId="77777777" w:rsidR="008B7E19" w:rsidRPr="004105CA" w:rsidRDefault="008B7E19" w:rsidP="008B7E19">
      <w:pPr>
        <w:spacing w:before="120" w:after="120"/>
        <w:jc w:val="both"/>
        <w:rPr>
          <w:rFonts w:eastAsia="Times New Roman" w:cs="Times New Roman"/>
          <w:spacing w:val="-2"/>
          <w:szCs w:val="18"/>
          <w:lang w:val="en" w:eastAsia="pt-BR"/>
        </w:rPr>
      </w:pPr>
      <w:r w:rsidRPr="003068E7">
        <w:rPr>
          <w:rFonts w:eastAsia="Times New Roman" w:cs="Times New Roman"/>
          <w:spacing w:val="-2"/>
          <w:szCs w:val="18"/>
          <w:lang w:val="en" w:eastAsia="pt-BR"/>
        </w:rPr>
        <w:t>The accounting practices used in the preparation of these interim financial statements are equivalent to those applied to the annual financial statements for the year ended 12.31.2022, except for the application of CPC 50 [IFRS 17] - Insurance Contracts, which came into force on 01.01.2023, as well as the end of the exemption from the adoption of CPC 48 [IFRS 9] – Financial Instruments for Insurance Companies, whose initial effectiveness accompanied CPC 50 [IFRS 17].</w:t>
      </w:r>
    </w:p>
    <w:p w14:paraId="1FFC1EA9" w14:textId="77777777" w:rsidR="008B7E19" w:rsidRPr="00481176" w:rsidRDefault="008B7E19" w:rsidP="008B7E19">
      <w:pPr>
        <w:spacing w:before="120" w:after="120"/>
        <w:jc w:val="both"/>
        <w:rPr>
          <w:rFonts w:eastAsia="Times New Roman" w:cs="Times New Roman"/>
          <w:b/>
          <w:color w:val="244061"/>
          <w:spacing w:val="-2"/>
          <w:szCs w:val="18"/>
          <w:lang w:val="en-US" w:eastAsia="pt-BR"/>
        </w:rPr>
      </w:pPr>
      <w:r w:rsidRPr="00481176">
        <w:rPr>
          <w:rFonts w:eastAsia="Times New Roman" w:cs="Times New Roman"/>
          <w:b/>
          <w:color w:val="244061"/>
          <w:spacing w:val="-2"/>
          <w:szCs w:val="18"/>
          <w:lang w:val="en-US" w:eastAsia="pt-BR"/>
        </w:rPr>
        <w:t>a) Revenue and Expense Recognition</w:t>
      </w:r>
    </w:p>
    <w:p w14:paraId="2630FE8E" w14:textId="77777777" w:rsidR="008B7E19" w:rsidRDefault="008B7E19" w:rsidP="008B7E19">
      <w:pPr>
        <w:spacing w:before="120" w:after="120"/>
        <w:jc w:val="both"/>
        <w:rPr>
          <w:rFonts w:eastAsia="Times New Roman" w:cs="Times New Roman"/>
          <w:spacing w:val="-2"/>
          <w:szCs w:val="18"/>
          <w:lang w:val="en" w:eastAsia="pt-BR"/>
        </w:rPr>
      </w:pPr>
      <w:r>
        <w:rPr>
          <w:rFonts w:eastAsia="Times New Roman" w:cs="Times New Roman"/>
          <w:spacing w:val="-2"/>
          <w:szCs w:val="18"/>
          <w:lang w:val="en" w:eastAsia="pt-BR"/>
        </w:rPr>
        <w:t>Revenues and expenses are recognized on an accrual basis and are reported in the financial statements for the periods to which they refer. Revenues are increases in assets, or decreases in liabilities, resulting in increases in the shareholders' equity, except for those referring to contributions from holders of rights on the equity.</w:t>
      </w:r>
    </w:p>
    <w:p w14:paraId="40A25A2A" w14:textId="77777777" w:rsidR="008B7E19" w:rsidRDefault="008B7E19" w:rsidP="008B7E19">
      <w:pPr>
        <w:spacing w:before="120" w:after="120"/>
        <w:jc w:val="both"/>
        <w:rPr>
          <w:rFonts w:eastAsia="Times New Roman" w:cs="Arial"/>
          <w:spacing w:val="-2"/>
          <w:szCs w:val="18"/>
          <w:lang w:val="en-US" w:eastAsia="pt-BR"/>
        </w:rPr>
      </w:pPr>
      <w:r>
        <w:rPr>
          <w:rFonts w:eastAsia="Times New Roman" w:cs="Arial"/>
          <w:spacing w:val="-2"/>
          <w:szCs w:val="18"/>
          <w:lang w:val="en-US" w:eastAsia="pt-BR"/>
        </w:rPr>
        <w:t>This concept is applied to the main revenues arising from the activities of BB Seguridade and its investees, namely:</w:t>
      </w:r>
    </w:p>
    <w:p w14:paraId="2F69C929" w14:textId="77777777" w:rsidR="008B7E19" w:rsidRDefault="008B7E19" w:rsidP="008B7E19">
      <w:pPr>
        <w:spacing w:before="120" w:after="120"/>
        <w:jc w:val="both"/>
        <w:rPr>
          <w:rFonts w:eastAsia="Times New Roman" w:cs="Arial"/>
          <w:spacing w:val="-2"/>
          <w:szCs w:val="18"/>
          <w:lang w:val="en-US" w:eastAsia="pt-BR"/>
        </w:rPr>
      </w:pPr>
      <w:r w:rsidRPr="00481176">
        <w:rPr>
          <w:rFonts w:eastAsia="Times New Roman" w:cs="Times New Roman"/>
          <w:b/>
          <w:color w:val="244061"/>
          <w:spacing w:val="-2"/>
          <w:szCs w:val="18"/>
          <w:lang w:val="en-US" w:eastAsia="pt-BR"/>
        </w:rPr>
        <w:t xml:space="preserve">a.1) </w:t>
      </w:r>
      <w:r w:rsidRPr="004105CA">
        <w:rPr>
          <w:rFonts w:eastAsia="Times New Roman" w:cs="Times New Roman"/>
          <w:b/>
          <w:color w:val="244061"/>
          <w:spacing w:val="-2"/>
          <w:szCs w:val="18"/>
          <w:lang w:val="en-US" w:eastAsia="pt-BR"/>
        </w:rPr>
        <w:t>Revenue from investments in shareholdings</w:t>
      </w:r>
      <w:r w:rsidRPr="00481176">
        <w:rPr>
          <w:rFonts w:eastAsia="Times New Roman" w:cs="Times New Roman"/>
          <w:b/>
          <w:color w:val="244061"/>
          <w:spacing w:val="-2"/>
          <w:szCs w:val="18"/>
          <w:lang w:val="en-US" w:eastAsia="pt-BR"/>
        </w:rPr>
        <w:t xml:space="preserve"> –</w:t>
      </w:r>
      <w:r w:rsidRPr="00481176">
        <w:rPr>
          <w:rFonts w:eastAsia="Times New Roman" w:cs="Arial"/>
          <w:spacing w:val="-2"/>
          <w:szCs w:val="18"/>
          <w:lang w:val="en-US" w:eastAsia="pt-BR"/>
        </w:rPr>
        <w:t xml:space="preserve"> </w:t>
      </w:r>
      <w:r w:rsidRPr="004105CA">
        <w:rPr>
          <w:rFonts w:eastAsia="Times New Roman" w:cs="Arial"/>
          <w:spacing w:val="-2"/>
          <w:szCs w:val="18"/>
          <w:lang w:val="en-US" w:eastAsia="pt-BR"/>
        </w:rPr>
        <w:t xml:space="preserve">Revenue from the application of the equity method for assessment of the investments in shareholdings are recognized in proportion to the BB Seguridade’s </w:t>
      </w:r>
      <w:r>
        <w:rPr>
          <w:rFonts w:eastAsia="Times New Roman" w:cs="Arial"/>
          <w:spacing w:val="-2"/>
          <w:szCs w:val="18"/>
          <w:lang w:val="en-US" w:eastAsia="pt-BR"/>
        </w:rPr>
        <w:t>equity</w:t>
      </w:r>
      <w:r w:rsidRPr="004105CA">
        <w:rPr>
          <w:rFonts w:eastAsia="Times New Roman" w:cs="Arial"/>
          <w:spacing w:val="-2"/>
          <w:szCs w:val="18"/>
          <w:lang w:val="en-US" w:eastAsia="pt-BR"/>
        </w:rPr>
        <w:t xml:space="preserve"> on the investees’ income, according to the CPC 18 (R2)</w:t>
      </w:r>
      <w:r>
        <w:rPr>
          <w:rFonts w:eastAsia="Times New Roman" w:cs="Arial"/>
          <w:spacing w:val="-2"/>
          <w:szCs w:val="18"/>
          <w:lang w:val="en-US" w:eastAsia="pt-BR"/>
        </w:rPr>
        <w:t xml:space="preserve"> [IAS 28]</w:t>
      </w:r>
      <w:r w:rsidRPr="004105CA">
        <w:rPr>
          <w:rFonts w:eastAsia="Times New Roman" w:cs="Arial"/>
          <w:spacing w:val="-2"/>
          <w:szCs w:val="18"/>
          <w:lang w:val="en-US" w:eastAsia="pt-BR"/>
        </w:rPr>
        <w:t xml:space="preserve"> – Investment in Controlled and Affiliated Companies and Joint Ventures.</w:t>
      </w:r>
    </w:p>
    <w:p w14:paraId="085703D0" w14:textId="77777777" w:rsidR="008B7E19" w:rsidRPr="004105CA" w:rsidRDefault="008B7E19" w:rsidP="008B7E19">
      <w:pPr>
        <w:spacing w:before="120" w:after="120"/>
        <w:jc w:val="both"/>
        <w:rPr>
          <w:rFonts w:eastAsia="Times New Roman" w:cs="Arial"/>
          <w:spacing w:val="-2"/>
          <w:szCs w:val="18"/>
          <w:lang w:val="en-US" w:eastAsia="pt-BR"/>
        </w:rPr>
      </w:pPr>
      <w:r w:rsidRPr="00481176">
        <w:rPr>
          <w:rFonts w:eastAsia="Times New Roman" w:cs="Times New Roman"/>
          <w:b/>
          <w:color w:val="244061"/>
          <w:spacing w:val="-2"/>
          <w:szCs w:val="18"/>
          <w:lang w:val="en-US" w:eastAsia="pt-BR"/>
        </w:rPr>
        <w:t xml:space="preserve">a.2) </w:t>
      </w:r>
      <w:r w:rsidRPr="004105CA">
        <w:rPr>
          <w:rFonts w:eastAsia="Times New Roman" w:cs="Times New Roman"/>
          <w:b/>
          <w:color w:val="244061"/>
          <w:spacing w:val="-2"/>
          <w:szCs w:val="18"/>
          <w:lang w:val="en-US" w:eastAsia="pt-BR"/>
        </w:rPr>
        <w:t xml:space="preserve">Revenue from commissions </w:t>
      </w:r>
      <w:r w:rsidRPr="00481176">
        <w:rPr>
          <w:rFonts w:eastAsia="Times New Roman" w:cs="Times New Roman"/>
          <w:b/>
          <w:color w:val="244061"/>
          <w:spacing w:val="-2"/>
          <w:szCs w:val="18"/>
          <w:lang w:val="en-US" w:eastAsia="pt-BR"/>
        </w:rPr>
        <w:t>–</w:t>
      </w:r>
      <w:r w:rsidRPr="00481176">
        <w:rPr>
          <w:rFonts w:eastAsia="Times New Roman" w:cs="Arial"/>
          <w:spacing w:val="-2"/>
          <w:szCs w:val="18"/>
          <w:lang w:val="en-US" w:eastAsia="pt-BR"/>
        </w:rPr>
        <w:t xml:space="preserve"> </w:t>
      </w:r>
      <w:r w:rsidRPr="004105CA">
        <w:rPr>
          <w:rFonts w:eastAsia="Times New Roman" w:cs="Arial"/>
          <w:spacing w:val="-2"/>
          <w:szCs w:val="18"/>
          <w:lang w:val="en-US" w:eastAsia="pt-BR"/>
        </w:rPr>
        <w:t xml:space="preserve">Revenue from commissions are recognized pro rata when its value, its related costs and the conclusion stage of the transaction can be measured </w:t>
      </w:r>
      <w:r>
        <w:rPr>
          <w:rFonts w:eastAsia="Times New Roman" w:cs="Arial"/>
          <w:spacing w:val="-2"/>
          <w:szCs w:val="18"/>
          <w:lang w:val="en-US" w:eastAsia="pt-BR"/>
        </w:rPr>
        <w:t>reliably</w:t>
      </w:r>
      <w:r w:rsidRPr="004105CA">
        <w:rPr>
          <w:rFonts w:eastAsia="Times New Roman" w:cs="Arial"/>
          <w:spacing w:val="-2"/>
          <w:szCs w:val="18"/>
          <w:lang w:val="en-US" w:eastAsia="pt-BR"/>
        </w:rPr>
        <w:t xml:space="preserve"> and when its related economic benefits are likely to be effective, according to the CPC 47</w:t>
      </w:r>
      <w:r>
        <w:rPr>
          <w:rFonts w:eastAsia="Times New Roman" w:cs="Arial"/>
          <w:spacing w:val="-2"/>
          <w:szCs w:val="18"/>
          <w:lang w:val="en-US" w:eastAsia="pt-BR"/>
        </w:rPr>
        <w:t xml:space="preserve"> [IFRS 15]</w:t>
      </w:r>
      <w:r w:rsidRPr="004105CA">
        <w:rPr>
          <w:rFonts w:eastAsia="Times New Roman" w:cs="Arial"/>
          <w:spacing w:val="-2"/>
          <w:szCs w:val="18"/>
          <w:lang w:val="en-US" w:eastAsia="pt-BR"/>
        </w:rPr>
        <w:t xml:space="preserve"> – Contract Revenue with Client.</w:t>
      </w:r>
    </w:p>
    <w:p w14:paraId="0D39F4D8" w14:textId="77777777" w:rsidR="008B7E19" w:rsidRPr="004105CA" w:rsidRDefault="008B7E19" w:rsidP="008B7E19">
      <w:pPr>
        <w:spacing w:before="120" w:after="120"/>
        <w:jc w:val="both"/>
        <w:rPr>
          <w:rFonts w:eastAsia="Times New Roman" w:cs="Arial"/>
          <w:spacing w:val="-2"/>
          <w:szCs w:val="18"/>
          <w:lang w:val="en-US" w:eastAsia="pt-BR"/>
        </w:rPr>
      </w:pPr>
      <w:r w:rsidRPr="004105CA">
        <w:rPr>
          <w:rFonts w:eastAsia="Times New Roman" w:cs="Arial"/>
          <w:spacing w:val="-2"/>
          <w:szCs w:val="18"/>
          <w:lang w:val="en-US" w:eastAsia="pt-BR"/>
        </w:rPr>
        <w:t>In order to recognize its revenue, BB Seguridade uses a five-stage model concept to determine when to recognize the revenue: i) identification of the contract; ii) identification of the performance obligations; iii) determination of the price for the transaction; iv) allocation of the price for the transaction and v) recognition of revenue.</w:t>
      </w:r>
    </w:p>
    <w:p w14:paraId="0372B161" w14:textId="77777777" w:rsidR="008B7E19" w:rsidRPr="004105CA" w:rsidRDefault="008B7E19" w:rsidP="008B7E19">
      <w:pPr>
        <w:spacing w:before="120" w:after="120"/>
        <w:jc w:val="both"/>
        <w:rPr>
          <w:rFonts w:eastAsia="Times New Roman" w:cs="Arial"/>
          <w:spacing w:val="-2"/>
          <w:szCs w:val="18"/>
          <w:lang w:val="en-US" w:eastAsia="pt-BR"/>
        </w:rPr>
      </w:pPr>
      <w:r w:rsidRPr="004105CA">
        <w:rPr>
          <w:rFonts w:eastAsia="Times New Roman" w:cs="Arial"/>
          <w:spacing w:val="-2"/>
          <w:szCs w:val="18"/>
          <w:lang w:val="en-US" w:eastAsia="pt-BR"/>
        </w:rPr>
        <w:t>Revenues from commissions are recognized when the Company meets (or as the Company meets) its performance obligation when transferring the goods and services (in other words, assets) in agreement with a client. Revenues from commissions arises from the segments of people insurance, casualty insurance, pension plans, capitalization and health insurance. These revenues are recognized over time (products with an established validity), where the performance obligation is diluted linearly over the lifetime of the product/insurance, or at a specific time (monthly products), where the performance obligation is due monthly, according to the characteristics of the products.</w:t>
      </w:r>
    </w:p>
    <w:p w14:paraId="620B7E79" w14:textId="77777777" w:rsidR="008B7E19" w:rsidRPr="004105CA" w:rsidRDefault="008B7E19" w:rsidP="008B7E19">
      <w:pPr>
        <w:spacing w:before="120" w:after="120"/>
        <w:jc w:val="both"/>
        <w:rPr>
          <w:rFonts w:eastAsia="Times New Roman" w:cs="Arial"/>
          <w:spacing w:val="-2"/>
          <w:szCs w:val="18"/>
          <w:lang w:val="en-US" w:eastAsia="pt-BR"/>
        </w:rPr>
      </w:pPr>
      <w:r w:rsidRPr="004105CA">
        <w:rPr>
          <w:rFonts w:eastAsia="Times New Roman" w:cs="Arial"/>
          <w:spacing w:val="-2"/>
          <w:szCs w:val="18"/>
          <w:lang w:val="en-US" w:eastAsia="pt-BR"/>
        </w:rPr>
        <w:t>In cases of return of the Premium to the insured parties, the broker reimburses, to the insurer, the commission received in proportion to the value refunded or not received by the insurer in relation to the remaining period of the policy.</w:t>
      </w:r>
    </w:p>
    <w:p w14:paraId="6DFFD68C" w14:textId="77777777" w:rsidR="008B7E19" w:rsidRPr="004105CA" w:rsidRDefault="008B7E19" w:rsidP="008B7E19">
      <w:pPr>
        <w:spacing w:before="120" w:after="120"/>
        <w:jc w:val="both"/>
        <w:rPr>
          <w:rFonts w:eastAsia="Times New Roman" w:cs="Arial"/>
          <w:spacing w:val="-2"/>
          <w:szCs w:val="18"/>
          <w:lang w:val="en-US" w:eastAsia="pt-BR"/>
        </w:rPr>
      </w:pPr>
      <w:r w:rsidRPr="004105CA">
        <w:rPr>
          <w:rFonts w:eastAsia="Times New Roman" w:cs="Arial"/>
          <w:spacing w:val="-2"/>
          <w:szCs w:val="18"/>
          <w:lang w:val="en-US" w:eastAsia="pt-BR"/>
        </w:rPr>
        <w:t xml:space="preserve">For insurance whose expiry date is not objectively established (monthly insurance), monthly payment of </w:t>
      </w:r>
      <w:r>
        <w:rPr>
          <w:rFonts w:eastAsia="Times New Roman" w:cs="Arial"/>
          <w:spacing w:val="-2"/>
          <w:szCs w:val="18"/>
          <w:lang w:val="en-US" w:eastAsia="pt-BR"/>
        </w:rPr>
        <w:t>premiums</w:t>
      </w:r>
      <w:r w:rsidRPr="004105CA">
        <w:rPr>
          <w:rFonts w:eastAsia="Times New Roman" w:cs="Arial"/>
          <w:spacing w:val="-2"/>
          <w:szCs w:val="18"/>
          <w:lang w:val="en-US" w:eastAsia="pt-BR"/>
        </w:rPr>
        <w:t xml:space="preserve"> is decisive for the continuity of the policies, and, in general, there are no refund of the commissions.</w:t>
      </w:r>
    </w:p>
    <w:p w14:paraId="0AD6BCF6" w14:textId="77777777" w:rsidR="008B7E19" w:rsidRPr="00481176" w:rsidRDefault="008B7E19" w:rsidP="008B7E19">
      <w:pPr>
        <w:spacing w:before="120" w:after="120"/>
        <w:jc w:val="both"/>
        <w:rPr>
          <w:rFonts w:eastAsia="Times New Roman" w:cs="Arial"/>
          <w:spacing w:val="-2"/>
          <w:szCs w:val="18"/>
          <w:lang w:val="en-US" w:eastAsia="pt-BR"/>
        </w:rPr>
      </w:pPr>
      <w:r w:rsidRPr="004105CA">
        <w:rPr>
          <w:rFonts w:eastAsia="Times New Roman" w:cs="Arial"/>
          <w:spacing w:val="-2"/>
          <w:szCs w:val="18"/>
          <w:lang w:val="en-US" w:eastAsia="pt-BR"/>
        </w:rPr>
        <w:t xml:space="preserve">For the monitoring and control of brokerage commissions, BB Seguridade uses the ERP (Enterprise Resource Planning) system, which has a specific module for brokerage, called “Motor de Cálculo”. The purpose of this module is to receive, in a standardized manner, all the necessary information from the investees and Banco do Brasil, allowing the automation of the quantitative and qualitative analyzes of the sales operations and accounts receivable operations of the security products, allowing greater control and reconciliation of brokerage values, in addition to allowing the automatic accounting. </w:t>
      </w:r>
      <w:r w:rsidRPr="008F2E50">
        <w:rPr>
          <w:rFonts w:eastAsia="Times New Roman" w:cs="Arial"/>
          <w:spacing w:val="-2"/>
          <w:szCs w:val="18"/>
          <w:lang w:val="en-US" w:eastAsia="pt-BR"/>
        </w:rPr>
        <w:t xml:space="preserve">Products from Brasilseg, Brasilcap, Brasilprev, Brasildental and </w:t>
      </w:r>
      <w:r>
        <w:rPr>
          <w:rFonts w:eastAsia="Times New Roman" w:cs="Arial"/>
          <w:spacing w:val="-2"/>
          <w:szCs w:val="18"/>
          <w:lang w:val="en-US" w:eastAsia="pt-BR"/>
        </w:rPr>
        <w:t>MAPFRE</w:t>
      </w:r>
      <w:r w:rsidRPr="008F2E50">
        <w:rPr>
          <w:rFonts w:eastAsia="Times New Roman" w:cs="Arial"/>
          <w:spacing w:val="-2"/>
          <w:szCs w:val="18"/>
          <w:lang w:val="en-US" w:eastAsia="pt-BR"/>
        </w:rPr>
        <w:t xml:space="preserve"> Seguros Gerais are already implemented in this tool.</w:t>
      </w:r>
    </w:p>
    <w:p w14:paraId="6B1BE5D5" w14:textId="77777777" w:rsidR="008B7E19" w:rsidRPr="004105CA" w:rsidRDefault="008B7E19" w:rsidP="008B7E19">
      <w:pPr>
        <w:spacing w:before="120" w:after="120"/>
        <w:jc w:val="both"/>
        <w:rPr>
          <w:rFonts w:eastAsia="Times New Roman" w:cs="Arial"/>
          <w:spacing w:val="-2"/>
          <w:szCs w:val="18"/>
          <w:lang w:val="en-US" w:eastAsia="pt-BR"/>
        </w:rPr>
      </w:pPr>
      <w:r w:rsidRPr="00481176">
        <w:rPr>
          <w:rFonts w:eastAsia="Times New Roman" w:cs="Times New Roman"/>
          <w:b/>
          <w:color w:val="244061"/>
          <w:spacing w:val="-2"/>
          <w:szCs w:val="18"/>
          <w:lang w:val="en-US" w:eastAsia="pt-BR"/>
        </w:rPr>
        <w:t xml:space="preserve">a.3) </w:t>
      </w:r>
      <w:r w:rsidRPr="004105CA">
        <w:rPr>
          <w:rFonts w:eastAsia="Times New Roman" w:cs="Times New Roman"/>
          <w:b/>
          <w:color w:val="244061"/>
          <w:spacing w:val="-2"/>
          <w:szCs w:val="18"/>
          <w:lang w:val="en-US" w:eastAsia="pt-BR"/>
        </w:rPr>
        <w:t>Financial revenues and expenses</w:t>
      </w:r>
      <w:r>
        <w:rPr>
          <w:rFonts w:eastAsia="Times New Roman" w:cs="Times New Roman"/>
          <w:b/>
          <w:color w:val="244061"/>
          <w:spacing w:val="-2"/>
          <w:szCs w:val="18"/>
          <w:lang w:val="en-US" w:eastAsia="pt-BR"/>
        </w:rPr>
        <w:t xml:space="preserve"> </w:t>
      </w:r>
      <w:r w:rsidRPr="00481176">
        <w:rPr>
          <w:rFonts w:eastAsia="Times New Roman" w:cs="Times New Roman"/>
          <w:b/>
          <w:color w:val="244061"/>
          <w:spacing w:val="-2"/>
          <w:szCs w:val="18"/>
          <w:lang w:val="en-US" w:eastAsia="pt-BR"/>
        </w:rPr>
        <w:t>–</w:t>
      </w:r>
      <w:r w:rsidRPr="00481176">
        <w:rPr>
          <w:rFonts w:eastAsia="Times New Roman" w:cs="Arial"/>
          <w:b/>
          <w:spacing w:val="-2"/>
          <w:szCs w:val="18"/>
          <w:lang w:val="en-US" w:eastAsia="pt-BR"/>
        </w:rPr>
        <w:t xml:space="preserve"> </w:t>
      </w:r>
      <w:r w:rsidRPr="004105CA">
        <w:rPr>
          <w:rFonts w:eastAsia="Times New Roman" w:cs="Arial"/>
          <w:spacing w:val="-2"/>
          <w:szCs w:val="18"/>
          <w:lang w:val="en-US" w:eastAsia="pt-BR"/>
        </w:rPr>
        <w:t>Revenues and expenses from financial instruments arising from assets and liabilities that generate and pay for monetary correction and/or interest, as well as the values related to the correction of the fair value, are recognized in the income for the fiscal year on an accrual basis, using the effective interest rate method, according to the CPC 48</w:t>
      </w:r>
      <w:r>
        <w:rPr>
          <w:rFonts w:eastAsia="Times New Roman" w:cs="Arial"/>
          <w:spacing w:val="-2"/>
          <w:szCs w:val="18"/>
          <w:lang w:val="en-US" w:eastAsia="pt-BR"/>
        </w:rPr>
        <w:t xml:space="preserve"> [IFRS 9]</w:t>
      </w:r>
      <w:r w:rsidRPr="004105CA">
        <w:rPr>
          <w:rFonts w:eastAsia="Times New Roman" w:cs="Arial"/>
          <w:spacing w:val="-2"/>
          <w:szCs w:val="18"/>
          <w:lang w:val="en-US" w:eastAsia="pt-BR"/>
        </w:rPr>
        <w:t xml:space="preserve"> – Financial Instruments.</w:t>
      </w:r>
    </w:p>
    <w:p w14:paraId="284D0CA0" w14:textId="77777777" w:rsidR="008B7E19" w:rsidRDefault="008B7E19" w:rsidP="008B7E19">
      <w:pPr>
        <w:spacing w:before="120" w:after="120"/>
        <w:jc w:val="both"/>
        <w:rPr>
          <w:rFonts w:eastAsia="Times New Roman" w:cs="Arial"/>
          <w:spacing w:val="-2"/>
          <w:szCs w:val="18"/>
          <w:lang w:val="en-US" w:eastAsia="pt-BR"/>
        </w:rPr>
      </w:pPr>
      <w:r w:rsidRPr="004105CA">
        <w:rPr>
          <w:rFonts w:eastAsia="Times New Roman" w:cs="Arial"/>
          <w:spacing w:val="-2"/>
          <w:szCs w:val="18"/>
          <w:lang w:val="en-US" w:eastAsia="pt-BR"/>
        </w:rPr>
        <w:t>In the case of instruments measured at fair value through income (in accordance with item c.3 below), the fair value is determined as described in item c.4.</w:t>
      </w:r>
    </w:p>
    <w:p w14:paraId="2EEA0D80" w14:textId="77777777" w:rsidR="008B7E19" w:rsidRPr="00481176" w:rsidRDefault="008B7E19" w:rsidP="008B7E19">
      <w:pPr>
        <w:spacing w:before="120" w:after="120"/>
        <w:jc w:val="both"/>
        <w:rPr>
          <w:rFonts w:eastAsia="Times New Roman" w:cs="Times New Roman"/>
          <w:b/>
          <w:color w:val="244061"/>
          <w:spacing w:val="-2"/>
          <w:szCs w:val="18"/>
          <w:lang w:val="en-US" w:eastAsia="pt-BR"/>
        </w:rPr>
      </w:pPr>
      <w:r w:rsidRPr="00481176">
        <w:rPr>
          <w:rFonts w:eastAsia="Times New Roman" w:cs="Times New Roman"/>
          <w:b/>
          <w:color w:val="244061"/>
          <w:spacing w:val="-2"/>
          <w:szCs w:val="18"/>
          <w:lang w:val="en-US" w:eastAsia="pt-BR"/>
        </w:rPr>
        <w:t>b) Cash and cash equivalents</w:t>
      </w:r>
    </w:p>
    <w:p w14:paraId="6414A3E4" w14:textId="77777777" w:rsidR="008B7E19" w:rsidRDefault="008B7E19" w:rsidP="008B7E19">
      <w:pPr>
        <w:spacing w:before="120" w:after="120"/>
        <w:jc w:val="both"/>
        <w:rPr>
          <w:rFonts w:eastAsia="Times New Roman" w:cs="Arial"/>
          <w:spacing w:val="-2"/>
          <w:szCs w:val="18"/>
          <w:lang w:val="en-US" w:eastAsia="pt-BR"/>
        </w:rPr>
      </w:pPr>
      <w:r w:rsidRPr="00754BED">
        <w:rPr>
          <w:rFonts w:eastAsia="Times New Roman" w:cs="Arial"/>
          <w:spacing w:val="-2"/>
          <w:szCs w:val="18"/>
          <w:lang w:val="en-US" w:eastAsia="pt-BR"/>
        </w:rPr>
        <w:t>Cash and cash equivalents are represented by cash available in national currency and investments in committed operations, with high liquidity and insignificant risk of change in value, with maturity equal to or less than 90 days.</w:t>
      </w:r>
    </w:p>
    <w:p w14:paraId="06E04B1B" w14:textId="77777777" w:rsidR="008B7E19" w:rsidRPr="00481176" w:rsidRDefault="008B7E19" w:rsidP="008B7E19">
      <w:pPr>
        <w:spacing w:before="120" w:after="120"/>
        <w:jc w:val="both"/>
        <w:rPr>
          <w:rFonts w:eastAsia="Times New Roman" w:cs="Times New Roman"/>
          <w:b/>
          <w:color w:val="244061"/>
          <w:spacing w:val="-2"/>
          <w:szCs w:val="18"/>
          <w:lang w:val="en-US" w:eastAsia="pt-BR"/>
        </w:rPr>
      </w:pPr>
      <w:r w:rsidRPr="00481176">
        <w:rPr>
          <w:rFonts w:eastAsia="Times New Roman" w:cs="Times New Roman"/>
          <w:b/>
          <w:color w:val="244061"/>
          <w:spacing w:val="-2"/>
          <w:szCs w:val="18"/>
          <w:lang w:val="en-US" w:eastAsia="pt-BR"/>
        </w:rPr>
        <w:t>c) Financial instruments</w:t>
      </w:r>
    </w:p>
    <w:p w14:paraId="65AE0626" w14:textId="77777777" w:rsidR="008B7E19" w:rsidRPr="004105CA" w:rsidRDefault="008B7E19" w:rsidP="008B7E19">
      <w:pPr>
        <w:spacing w:before="120" w:after="120"/>
        <w:jc w:val="both"/>
        <w:rPr>
          <w:rFonts w:eastAsia="Times New Roman" w:cs="Arial"/>
          <w:spacing w:val="-2"/>
          <w:szCs w:val="18"/>
          <w:lang w:val="en-US" w:eastAsia="pt-BR"/>
        </w:rPr>
      </w:pPr>
      <w:r w:rsidRPr="004105CA">
        <w:rPr>
          <w:rFonts w:eastAsia="Times New Roman" w:cs="Arial"/>
          <w:spacing w:val="-2"/>
          <w:szCs w:val="18"/>
          <w:lang w:val="en-US" w:eastAsia="pt-BR"/>
        </w:rPr>
        <w:t>The financial instruments are classified in relation to the business model and the contractual characteristics of the cash flows of the instruments according to the CPC 48</w:t>
      </w:r>
      <w:r>
        <w:rPr>
          <w:rFonts w:eastAsia="Times New Roman" w:cs="Arial"/>
          <w:spacing w:val="-2"/>
          <w:szCs w:val="18"/>
          <w:lang w:val="en-US" w:eastAsia="pt-BR"/>
        </w:rPr>
        <w:t xml:space="preserve"> [IFRS 9]</w:t>
      </w:r>
      <w:r w:rsidRPr="004105CA">
        <w:rPr>
          <w:rFonts w:eastAsia="Times New Roman" w:cs="Arial"/>
          <w:spacing w:val="-2"/>
          <w:szCs w:val="18"/>
          <w:lang w:val="en-US" w:eastAsia="pt-BR"/>
        </w:rPr>
        <w:t xml:space="preserve"> – Financial Instruments.</w:t>
      </w:r>
    </w:p>
    <w:p w14:paraId="602EDA9C" w14:textId="77777777" w:rsidR="008B7E19" w:rsidRPr="004105CA" w:rsidRDefault="008B7E19" w:rsidP="008B7E19">
      <w:pPr>
        <w:spacing w:before="120" w:after="120"/>
        <w:jc w:val="both"/>
        <w:rPr>
          <w:rFonts w:eastAsia="Times New Roman" w:cs="Arial"/>
          <w:spacing w:val="-2"/>
          <w:szCs w:val="18"/>
          <w:lang w:val="en-US" w:eastAsia="pt-BR"/>
        </w:rPr>
      </w:pPr>
      <w:r w:rsidRPr="004105CA">
        <w:rPr>
          <w:rFonts w:eastAsia="Times New Roman" w:cs="Arial"/>
          <w:spacing w:val="-2"/>
          <w:szCs w:val="18"/>
          <w:lang w:val="en-US" w:eastAsia="pt-BR"/>
        </w:rPr>
        <w:t xml:space="preserve">Financial instruments are initially measured at fair value plus the transaction cost, except when financial assets and liabilities are recorded at fair value through the income. </w:t>
      </w:r>
    </w:p>
    <w:p w14:paraId="008587B7" w14:textId="77777777" w:rsidR="008B7E19" w:rsidRPr="004105CA" w:rsidRDefault="008B7E19" w:rsidP="008B7E19">
      <w:pPr>
        <w:spacing w:before="120" w:after="120"/>
        <w:jc w:val="both"/>
        <w:rPr>
          <w:rFonts w:eastAsia="Times New Roman" w:cs="Arial"/>
          <w:spacing w:val="-2"/>
          <w:szCs w:val="18"/>
          <w:lang w:val="en-US" w:eastAsia="pt-BR"/>
        </w:rPr>
      </w:pPr>
      <w:r w:rsidRPr="004105CA">
        <w:rPr>
          <w:rFonts w:eastAsia="Times New Roman" w:cs="Arial"/>
          <w:spacing w:val="-2"/>
          <w:szCs w:val="18"/>
          <w:lang w:val="en-US" w:eastAsia="pt-BR"/>
        </w:rPr>
        <w:t xml:space="preserve">Financial assets and liabilities can be classified into one of the categories: i) financial instrument measured at fair value through the income, ii) financial instrument measured at amortized cost and; iii) financial instrument measured at fair value through other comprehensive income. </w:t>
      </w:r>
    </w:p>
    <w:p w14:paraId="1DB42052" w14:textId="77777777" w:rsidR="008B7E19" w:rsidRPr="004105CA" w:rsidRDefault="008B7E19" w:rsidP="008B7E19">
      <w:pPr>
        <w:spacing w:before="120" w:after="120"/>
        <w:jc w:val="both"/>
        <w:rPr>
          <w:rFonts w:eastAsia="Times New Roman" w:cs="Arial"/>
          <w:spacing w:val="-2"/>
          <w:szCs w:val="18"/>
          <w:lang w:val="en-US" w:eastAsia="pt-BR"/>
        </w:rPr>
      </w:pPr>
      <w:r w:rsidRPr="00754BED">
        <w:rPr>
          <w:rFonts w:eastAsia="Times New Roman" w:cs="Arial"/>
          <w:spacing w:val="-2"/>
          <w:szCs w:val="18"/>
          <w:lang w:val="en-US" w:eastAsia="pt-BR"/>
        </w:rPr>
        <w:t>The main financial instruments of BB Seguridade and its subsidiaries are securities held in custody at Banco do Brasil (</w:t>
      </w:r>
      <w:r>
        <w:rPr>
          <w:rFonts w:eastAsia="Times New Roman" w:cs="Arial"/>
          <w:spacing w:val="-2"/>
          <w:szCs w:val="18"/>
          <w:lang w:val="en-US" w:eastAsia="pt-BR"/>
        </w:rPr>
        <w:t>repurchase agreement</w:t>
      </w:r>
      <w:r w:rsidRPr="00754BED">
        <w:rPr>
          <w:rFonts w:eastAsia="Times New Roman" w:cs="Arial"/>
          <w:spacing w:val="-2"/>
          <w:szCs w:val="18"/>
          <w:lang w:val="en-US" w:eastAsia="pt-BR"/>
        </w:rPr>
        <w:t xml:space="preserve"> operations and LFTs - Financial Treasury Bills). During the </w:t>
      </w:r>
      <w:r>
        <w:rPr>
          <w:rFonts w:eastAsia="Times New Roman" w:cs="Arial"/>
          <w:spacing w:val="-2"/>
          <w:szCs w:val="18"/>
          <w:lang w:val="en-US" w:eastAsia="pt-BR"/>
        </w:rPr>
        <w:t>periods</w:t>
      </w:r>
      <w:r w:rsidRPr="00754BED">
        <w:rPr>
          <w:rFonts w:eastAsia="Times New Roman" w:cs="Arial"/>
          <w:spacing w:val="-2"/>
          <w:szCs w:val="18"/>
          <w:lang w:val="en-US" w:eastAsia="pt-BR"/>
        </w:rPr>
        <w:t>, there was no use of derivative instruments by BB Seguridade.</w:t>
      </w:r>
    </w:p>
    <w:p w14:paraId="22489D0B" w14:textId="77777777" w:rsidR="008B7E19" w:rsidRPr="004105CA" w:rsidRDefault="008B7E19" w:rsidP="008B7E19">
      <w:pPr>
        <w:spacing w:before="120" w:after="120"/>
        <w:jc w:val="both"/>
        <w:rPr>
          <w:rFonts w:eastAsia="Times New Roman" w:cs="Arial"/>
          <w:spacing w:val="-2"/>
          <w:szCs w:val="18"/>
          <w:lang w:val="en-US" w:eastAsia="pt-BR"/>
        </w:rPr>
      </w:pPr>
      <w:r w:rsidRPr="00481176">
        <w:rPr>
          <w:rFonts w:eastAsia="Times New Roman" w:cs="Times New Roman"/>
          <w:b/>
          <w:color w:val="244061"/>
          <w:spacing w:val="-2"/>
          <w:szCs w:val="18"/>
          <w:lang w:val="en-US" w:eastAsia="pt-BR"/>
        </w:rPr>
        <w:t>c.1) Amortized Cost -</w:t>
      </w:r>
      <w:r w:rsidRPr="00481176">
        <w:rPr>
          <w:rFonts w:eastAsia="Times New Roman" w:cs="Arial"/>
          <w:spacing w:val="-2"/>
          <w:szCs w:val="18"/>
          <w:lang w:val="en-US" w:eastAsia="pt-BR"/>
        </w:rPr>
        <w:t xml:space="preserve"> </w:t>
      </w:r>
      <w:r w:rsidRPr="003F1C03">
        <w:rPr>
          <w:rFonts w:eastAsia="Times New Roman" w:cs="Arial"/>
          <w:spacing w:val="-2"/>
          <w:szCs w:val="18"/>
          <w:lang w:val="en-US" w:eastAsia="pt-BR"/>
        </w:rPr>
        <w:t xml:space="preserve">This category includes financial assets held </w:t>
      </w:r>
      <w:r w:rsidRPr="004105CA">
        <w:rPr>
          <w:rFonts w:eastAsia="Times New Roman" w:cs="Arial"/>
          <w:spacing w:val="-2"/>
          <w:szCs w:val="18"/>
          <w:lang w:val="en-US" w:eastAsia="pt-BR"/>
        </w:rPr>
        <w:t>(i) for the purpose of receiving its contractual cash flow rather than for sale with realization of profits or losses and (ii) whose contractual terms generates cash flows at specified dates exclusively for principal payments and interest payments on the outstanding principal value.</w:t>
      </w:r>
    </w:p>
    <w:p w14:paraId="56BD7743" w14:textId="77777777" w:rsidR="008B7E19" w:rsidRDefault="008B7E19" w:rsidP="008B7E19">
      <w:pPr>
        <w:spacing w:before="120" w:after="120"/>
        <w:jc w:val="both"/>
        <w:rPr>
          <w:rFonts w:eastAsia="Times New Roman" w:cs="Arial"/>
          <w:spacing w:val="-2"/>
          <w:szCs w:val="18"/>
          <w:lang w:val="en-US" w:eastAsia="pt-BR"/>
        </w:rPr>
      </w:pPr>
      <w:r w:rsidRPr="004105CA">
        <w:rPr>
          <w:rFonts w:eastAsia="Times New Roman" w:cs="Arial"/>
          <w:spacing w:val="-2"/>
          <w:szCs w:val="18"/>
          <w:lang w:val="en-US" w:eastAsia="pt-BR"/>
        </w:rPr>
        <w:t>Financial bills are recognized as financial assets measured at amortized cost. Changes in these assets are recognized in the income for the fiscal year in the financial revenues or expenses, depending on the result obtained.</w:t>
      </w:r>
    </w:p>
    <w:p w14:paraId="3D9539BE" w14:textId="77777777" w:rsidR="008B7E19" w:rsidRPr="00481176" w:rsidRDefault="008B7E19" w:rsidP="008B7E19">
      <w:pPr>
        <w:spacing w:before="120" w:after="120"/>
        <w:jc w:val="both"/>
        <w:rPr>
          <w:rFonts w:eastAsia="Times New Roman" w:cs="Arial"/>
          <w:spacing w:val="-2"/>
          <w:szCs w:val="18"/>
          <w:lang w:val="en-US" w:eastAsia="pt-BR"/>
        </w:rPr>
      </w:pPr>
      <w:r w:rsidRPr="003D0F89">
        <w:rPr>
          <w:rFonts w:eastAsia="Times New Roman" w:cs="Arial"/>
          <w:spacing w:val="-2"/>
          <w:szCs w:val="18"/>
          <w:lang w:val="en-US" w:eastAsia="pt-BR"/>
        </w:rPr>
        <w:t xml:space="preserve">For the </w:t>
      </w:r>
      <w:r w:rsidRPr="003068E7">
        <w:rPr>
          <w:rFonts w:eastAsia="Times New Roman" w:cs="Arial"/>
          <w:spacing w:val="-2"/>
          <w:szCs w:val="18"/>
          <w:lang w:val="en-US" w:eastAsia="pt-BR"/>
        </w:rPr>
        <w:t>period</w:t>
      </w:r>
      <w:r w:rsidRPr="003D0F89">
        <w:rPr>
          <w:rFonts w:eastAsia="Times New Roman" w:cs="Arial"/>
          <w:spacing w:val="-2"/>
          <w:szCs w:val="18"/>
          <w:lang w:val="en-US" w:eastAsia="pt-BR"/>
        </w:rPr>
        <w:t>, the Group did not have financial assets classified in this category.</w:t>
      </w:r>
    </w:p>
    <w:p w14:paraId="20D4FB80" w14:textId="77777777" w:rsidR="008B7E19" w:rsidRPr="004105CA" w:rsidRDefault="008B7E19" w:rsidP="008B7E19">
      <w:pPr>
        <w:spacing w:before="120" w:after="120"/>
        <w:jc w:val="both"/>
        <w:rPr>
          <w:rFonts w:eastAsia="Times New Roman" w:cs="Arial"/>
          <w:spacing w:val="-2"/>
          <w:szCs w:val="18"/>
          <w:lang w:val="en-US" w:eastAsia="pt-BR"/>
        </w:rPr>
      </w:pPr>
      <w:r w:rsidRPr="00481176">
        <w:rPr>
          <w:rFonts w:eastAsia="Times New Roman" w:cs="Times New Roman"/>
          <w:b/>
          <w:color w:val="244061"/>
          <w:spacing w:val="-2"/>
          <w:szCs w:val="18"/>
          <w:lang w:val="en-US" w:eastAsia="pt-BR"/>
        </w:rPr>
        <w:t xml:space="preserve">c.2) Fair value through other comprehensive income - VJORA - </w:t>
      </w:r>
      <w:r w:rsidRPr="003F1C03">
        <w:rPr>
          <w:rFonts w:eastAsia="Times New Roman" w:cs="Arial"/>
          <w:spacing w:val="-2"/>
          <w:szCs w:val="18"/>
          <w:lang w:val="en-US" w:eastAsia="pt-BR"/>
        </w:rPr>
        <w:t>This category includes financial assets held</w:t>
      </w:r>
      <w:r w:rsidRPr="004105CA">
        <w:rPr>
          <w:rFonts w:eastAsia="Times New Roman" w:cs="Arial"/>
          <w:spacing w:val="-2"/>
          <w:szCs w:val="18"/>
          <w:lang w:val="en-US" w:eastAsia="pt-BR"/>
        </w:rPr>
        <w:t xml:space="preserve"> (i) both for the receipt of its contractual cash flow and for sale with realization of profits or losses and (ii) whose contractual terms generates cash flows at specified dates exclusively for principal payments and interest payments on the outstanding principal value. </w:t>
      </w:r>
    </w:p>
    <w:p w14:paraId="25C1304C" w14:textId="77777777" w:rsidR="008B7E19" w:rsidRPr="00481176" w:rsidRDefault="008B7E19" w:rsidP="008B7E19">
      <w:pPr>
        <w:spacing w:before="120" w:after="120"/>
        <w:jc w:val="both"/>
        <w:rPr>
          <w:rFonts w:eastAsia="Times New Roman" w:cs="Arial"/>
          <w:spacing w:val="-2"/>
          <w:szCs w:val="18"/>
          <w:lang w:val="en-US" w:eastAsia="pt-BR"/>
        </w:rPr>
      </w:pPr>
      <w:r w:rsidRPr="003D0F89">
        <w:rPr>
          <w:rFonts w:eastAsia="Times New Roman" w:cs="Arial"/>
          <w:spacing w:val="-2"/>
          <w:szCs w:val="18"/>
          <w:lang w:val="en-US" w:eastAsia="pt-BR"/>
        </w:rPr>
        <w:t xml:space="preserve">For the </w:t>
      </w:r>
      <w:r w:rsidRPr="003068E7">
        <w:rPr>
          <w:rFonts w:eastAsia="Times New Roman" w:cs="Arial"/>
          <w:spacing w:val="-2"/>
          <w:szCs w:val="18"/>
          <w:lang w:val="en-US" w:eastAsia="pt-BR"/>
        </w:rPr>
        <w:t>period</w:t>
      </w:r>
      <w:r w:rsidRPr="003D0F89">
        <w:rPr>
          <w:rFonts w:eastAsia="Times New Roman" w:cs="Arial"/>
          <w:spacing w:val="-2"/>
          <w:szCs w:val="18"/>
          <w:lang w:val="en-US" w:eastAsia="pt-BR"/>
        </w:rPr>
        <w:t>, the Group did not have financial assets classified in this category.</w:t>
      </w:r>
    </w:p>
    <w:p w14:paraId="7F66A26E" w14:textId="77777777" w:rsidR="008B7E19" w:rsidRDefault="008B7E19" w:rsidP="008B7E19">
      <w:pPr>
        <w:spacing w:before="120" w:after="120"/>
        <w:jc w:val="both"/>
        <w:rPr>
          <w:rFonts w:eastAsia="Times New Roman" w:cs="Arial"/>
          <w:spacing w:val="-2"/>
          <w:szCs w:val="18"/>
          <w:lang w:val="en-US" w:eastAsia="pt-BR"/>
        </w:rPr>
      </w:pPr>
      <w:r w:rsidRPr="00481176">
        <w:rPr>
          <w:rFonts w:eastAsia="Times New Roman" w:cs="Times New Roman"/>
          <w:b/>
          <w:color w:val="244061"/>
          <w:spacing w:val="-2"/>
          <w:szCs w:val="18"/>
          <w:lang w:val="en-US" w:eastAsia="pt-BR"/>
        </w:rPr>
        <w:t>c.3) Fair value through profit or loss (VJR) -</w:t>
      </w:r>
      <w:r w:rsidRPr="00481176">
        <w:rPr>
          <w:rFonts w:eastAsia="Times New Roman" w:cs="Arial"/>
          <w:spacing w:val="-2"/>
          <w:szCs w:val="18"/>
          <w:lang w:val="en-US" w:eastAsia="pt-BR"/>
        </w:rPr>
        <w:t xml:space="preserve"> </w:t>
      </w:r>
      <w:r w:rsidRPr="004105CA">
        <w:rPr>
          <w:rFonts w:eastAsia="Times New Roman" w:cs="Arial"/>
          <w:spacing w:val="-2"/>
          <w:szCs w:val="18"/>
          <w:lang w:val="en-US" w:eastAsia="pt-BR"/>
        </w:rPr>
        <w:t>Financial assets that are not measured at amortized cost or at fair value through other comprehensive income are classified in this category.</w:t>
      </w:r>
    </w:p>
    <w:p w14:paraId="1F725976" w14:textId="77777777" w:rsidR="008B7E19" w:rsidRDefault="008B7E19" w:rsidP="008B7E19">
      <w:pPr>
        <w:spacing w:before="120" w:after="120"/>
        <w:jc w:val="both"/>
        <w:rPr>
          <w:rFonts w:eastAsia="Times New Roman" w:cs="Arial"/>
          <w:spacing w:val="-2"/>
          <w:szCs w:val="18"/>
          <w:lang w:val="en-US" w:eastAsia="pt-BR"/>
        </w:rPr>
      </w:pPr>
      <w:r w:rsidRPr="002A3AA5">
        <w:rPr>
          <w:rFonts w:eastAsia="Times New Roman" w:cs="Arial"/>
          <w:spacing w:val="-2"/>
          <w:szCs w:val="18"/>
          <w:lang w:val="en-US" w:eastAsia="pt-BR"/>
        </w:rPr>
        <w:t>Repurchase agreements backed by federal public securities and LFTs - Financial Treasury Bills are recognized as financial assets measured at fair value through profit or loss.</w:t>
      </w:r>
    </w:p>
    <w:p w14:paraId="00DED552" w14:textId="77777777" w:rsidR="008B7E19" w:rsidRPr="004105CA" w:rsidRDefault="008B7E19" w:rsidP="008B7E19">
      <w:pPr>
        <w:spacing w:before="120" w:after="120"/>
        <w:jc w:val="both"/>
        <w:rPr>
          <w:rFonts w:eastAsia="Times New Roman" w:cs="Arial"/>
          <w:spacing w:val="-2"/>
          <w:szCs w:val="18"/>
          <w:lang w:val="en-US" w:eastAsia="pt-BR"/>
        </w:rPr>
      </w:pPr>
      <w:r w:rsidRPr="00481176">
        <w:rPr>
          <w:rFonts w:eastAsia="Times New Roman" w:cs="Times New Roman"/>
          <w:b/>
          <w:color w:val="244061"/>
          <w:spacing w:val="-2"/>
          <w:szCs w:val="18"/>
          <w:lang w:val="en-US" w:eastAsia="pt-BR"/>
        </w:rPr>
        <w:t>c.4) Determination of fair value -</w:t>
      </w:r>
      <w:r w:rsidRPr="00481176">
        <w:rPr>
          <w:rFonts w:eastAsia="Times New Roman" w:cs="Arial"/>
          <w:spacing w:val="-2"/>
          <w:szCs w:val="18"/>
          <w:lang w:val="en-US" w:eastAsia="pt-BR"/>
        </w:rPr>
        <w:t xml:space="preserve"> </w:t>
      </w:r>
      <w:r w:rsidRPr="004105CA">
        <w:rPr>
          <w:rFonts w:eastAsia="Times New Roman" w:cs="Arial"/>
          <w:spacing w:val="-2"/>
          <w:szCs w:val="18"/>
          <w:lang w:val="en-US" w:eastAsia="pt-BR"/>
        </w:rPr>
        <w:t>Fair value is the price that would be received for the sale of an asset or would be paid by the transfer of a liability in a non-forced transaction between market participants at the measurement date.</w:t>
      </w:r>
    </w:p>
    <w:p w14:paraId="7FAA48E8" w14:textId="77777777" w:rsidR="008B7E19" w:rsidRPr="004105CA" w:rsidRDefault="008B7E19" w:rsidP="008B7E19">
      <w:pPr>
        <w:spacing w:before="120" w:after="120"/>
        <w:jc w:val="both"/>
        <w:rPr>
          <w:rFonts w:eastAsia="Times New Roman" w:cs="Arial"/>
          <w:spacing w:val="-2"/>
          <w:szCs w:val="18"/>
          <w:lang w:val="en-US" w:eastAsia="pt-BR"/>
        </w:rPr>
      </w:pPr>
      <w:r w:rsidRPr="004105CA">
        <w:rPr>
          <w:rFonts w:eastAsia="Times New Roman" w:cs="Arial"/>
          <w:spacing w:val="-2"/>
          <w:szCs w:val="18"/>
          <w:lang w:val="en-US" w:eastAsia="pt-BR"/>
        </w:rPr>
        <w:t>The fair value of financial instruments traded in active markets on the base date of the balance sheet is based on the quoted market price or on the quotation of the over-the-counter price (selling price for purchased positions or purchasing price for sold positions), without any deduction of transaction cost.</w:t>
      </w:r>
    </w:p>
    <w:p w14:paraId="42BBED3C" w14:textId="77777777" w:rsidR="008B7E19" w:rsidRPr="004105CA" w:rsidRDefault="008B7E19" w:rsidP="008B7E19">
      <w:pPr>
        <w:spacing w:before="120" w:after="120"/>
        <w:jc w:val="both"/>
        <w:rPr>
          <w:rFonts w:eastAsia="Times New Roman" w:cs="Arial"/>
          <w:spacing w:val="-2"/>
          <w:szCs w:val="18"/>
          <w:lang w:val="en-US" w:eastAsia="pt-BR"/>
        </w:rPr>
      </w:pPr>
      <w:r w:rsidRPr="004105CA">
        <w:rPr>
          <w:rFonts w:eastAsia="Times New Roman" w:cs="Arial"/>
          <w:spacing w:val="-2"/>
          <w:szCs w:val="18"/>
          <w:lang w:val="en-US" w:eastAsia="pt-BR"/>
        </w:rPr>
        <w:t>In situations where there is no market price for a particular financial instrument, its fair value is estimated on the basis of valuation methods commonly used in the financial markets, which are appropriate to the specific characteristics of the instrument and capture the various risks to which it is exposed. The valuation methods include: the discounted cash flow method, comparison to similar financial instruments for which there is a market with observable prices, option pricing model, credit models and other known valuation models.</w:t>
      </w:r>
    </w:p>
    <w:p w14:paraId="3E88ED0A" w14:textId="77777777" w:rsidR="008B7E19" w:rsidRDefault="008B7E19" w:rsidP="008B7E19">
      <w:pPr>
        <w:spacing w:before="120" w:after="120"/>
        <w:jc w:val="both"/>
        <w:rPr>
          <w:rFonts w:eastAsia="Times New Roman" w:cs="Arial"/>
          <w:spacing w:val="-2"/>
          <w:szCs w:val="18"/>
          <w:lang w:val="en-US" w:eastAsia="pt-BR"/>
        </w:rPr>
      </w:pPr>
      <w:r w:rsidRPr="004105CA">
        <w:rPr>
          <w:rFonts w:eastAsia="Times New Roman" w:cs="Arial"/>
          <w:spacing w:val="-2"/>
          <w:szCs w:val="18"/>
          <w:lang w:val="en-US" w:eastAsia="pt-BR"/>
        </w:rPr>
        <w:t>The internal pricing models may involve some level of estimation and judgment by the Administration, whose intensity will depend, among other factors, on the complexity of the financial instrument.</w:t>
      </w:r>
    </w:p>
    <w:p w14:paraId="25FA7519" w14:textId="77777777" w:rsidR="008B7E19" w:rsidRPr="003068E7" w:rsidRDefault="008B7E19" w:rsidP="008B7E19">
      <w:pPr>
        <w:spacing w:before="120" w:after="120"/>
        <w:jc w:val="both"/>
        <w:rPr>
          <w:rFonts w:eastAsia="Times New Roman" w:cs="Arial"/>
          <w:spacing w:val="-2"/>
          <w:szCs w:val="18"/>
          <w:lang w:val="en-US" w:eastAsia="pt-BR"/>
        </w:rPr>
      </w:pPr>
      <w:r w:rsidRPr="001D6A11">
        <w:rPr>
          <w:rFonts w:eastAsia="Times New Roman" w:cs="Times New Roman"/>
          <w:b/>
          <w:color w:val="244061"/>
          <w:spacing w:val="-2"/>
          <w:szCs w:val="18"/>
          <w:lang w:val="en-US" w:eastAsia="pt-BR"/>
        </w:rPr>
        <w:t>c.5) Financial Instruments for Insurers</w:t>
      </w:r>
      <w:r w:rsidRPr="003068E7">
        <w:rPr>
          <w:rFonts w:eastAsia="Times New Roman" w:cs="Arial"/>
          <w:spacing w:val="-2"/>
          <w:szCs w:val="18"/>
          <w:lang w:val="en-US" w:eastAsia="pt-BR"/>
        </w:rPr>
        <w:t xml:space="preserve"> - With regard to the adoption of CPC 48 [IFRS 9] by the entities supervised by SUSEP, the autarchy received the financial instrument rule, through SUSEP Circular No. 678, of October 10, 2022, in which no contrary to other guidelines and circulars, for periods starting from January 2024.</w:t>
      </w:r>
    </w:p>
    <w:p w14:paraId="146AF91B" w14:textId="77777777" w:rsidR="008B7E19" w:rsidRPr="003068E7" w:rsidRDefault="008B7E19" w:rsidP="008B7E19">
      <w:pPr>
        <w:spacing w:before="120" w:after="120"/>
        <w:jc w:val="both"/>
        <w:rPr>
          <w:rFonts w:eastAsia="Times New Roman" w:cs="Arial"/>
          <w:spacing w:val="-2"/>
          <w:szCs w:val="18"/>
          <w:lang w:val="en-US" w:eastAsia="pt-BR"/>
        </w:rPr>
      </w:pPr>
      <w:r w:rsidRPr="003068E7">
        <w:rPr>
          <w:rFonts w:eastAsia="Times New Roman" w:cs="Arial"/>
          <w:spacing w:val="-2"/>
          <w:szCs w:val="18"/>
          <w:lang w:val="en-US" w:eastAsia="pt-BR"/>
        </w:rPr>
        <w:t>Although CPC 48 [IFRS 9] is not yet in force for companies supervised by SUSEP, insurers must prepare accounting information in the new standard, in order to comply with the accounting standards applicable to BB Seguridade.</w:t>
      </w:r>
    </w:p>
    <w:p w14:paraId="66E33D0D" w14:textId="77777777" w:rsidR="008B7E19" w:rsidRPr="00481176" w:rsidRDefault="008B7E19" w:rsidP="008B7E19">
      <w:pPr>
        <w:spacing w:before="120" w:after="120"/>
        <w:jc w:val="both"/>
        <w:rPr>
          <w:rFonts w:eastAsia="Times New Roman" w:cs="Arial"/>
          <w:spacing w:val="-2"/>
          <w:szCs w:val="18"/>
          <w:lang w:val="en-US" w:eastAsia="pt-BR"/>
        </w:rPr>
      </w:pPr>
      <w:r w:rsidRPr="003068E7">
        <w:rPr>
          <w:rFonts w:eastAsia="Times New Roman" w:cs="Arial"/>
          <w:spacing w:val="-2"/>
          <w:szCs w:val="18"/>
          <w:lang w:val="en-US" w:eastAsia="pt-BR"/>
        </w:rPr>
        <w:t>The impacts of adopting CPC 48 [IFRS 9] on investees are presented in Note 07 – Investments in Shareholdings.</w:t>
      </w:r>
    </w:p>
    <w:p w14:paraId="36A9F710" w14:textId="77777777" w:rsidR="008B7E19" w:rsidRPr="00481176" w:rsidRDefault="008B7E19" w:rsidP="008B7E19">
      <w:pPr>
        <w:spacing w:before="120" w:after="120"/>
        <w:jc w:val="both"/>
        <w:rPr>
          <w:rFonts w:eastAsia="Times New Roman" w:cs="Arial"/>
          <w:spacing w:val="-2"/>
          <w:szCs w:val="18"/>
          <w:lang w:val="en-US" w:eastAsia="pt-BR"/>
        </w:rPr>
      </w:pPr>
      <w:r w:rsidRPr="00481176">
        <w:rPr>
          <w:rFonts w:eastAsia="Times New Roman" w:cs="Times New Roman"/>
          <w:b/>
          <w:color w:val="244061"/>
          <w:spacing w:val="-2"/>
          <w:szCs w:val="18"/>
          <w:lang w:val="en-US" w:eastAsia="pt-BR"/>
        </w:rPr>
        <w:t>c.</w:t>
      </w:r>
      <w:r>
        <w:rPr>
          <w:rFonts w:eastAsia="Times New Roman" w:cs="Times New Roman"/>
          <w:b/>
          <w:color w:val="244061"/>
          <w:spacing w:val="-2"/>
          <w:szCs w:val="18"/>
          <w:lang w:val="en-US" w:eastAsia="pt-BR"/>
        </w:rPr>
        <w:t>6</w:t>
      </w:r>
      <w:r w:rsidRPr="00481176">
        <w:rPr>
          <w:rFonts w:eastAsia="Times New Roman" w:cs="Times New Roman"/>
          <w:b/>
          <w:color w:val="244061"/>
          <w:spacing w:val="-2"/>
          <w:szCs w:val="18"/>
          <w:lang w:val="en-US" w:eastAsia="pt-BR"/>
        </w:rPr>
        <w:t>) Financial liabilities -</w:t>
      </w:r>
      <w:r w:rsidRPr="00481176">
        <w:rPr>
          <w:rFonts w:eastAsia="Times New Roman" w:cs="Arial"/>
          <w:spacing w:val="-2"/>
          <w:szCs w:val="18"/>
          <w:lang w:val="en-US" w:eastAsia="pt-BR"/>
        </w:rPr>
        <w:t xml:space="preserve"> </w:t>
      </w:r>
      <w:r w:rsidRPr="000A77E1">
        <w:rPr>
          <w:rFonts w:eastAsia="Times New Roman" w:cs="Arial"/>
          <w:spacing w:val="-2"/>
          <w:szCs w:val="18"/>
          <w:lang w:val="en-US" w:eastAsia="pt-BR"/>
        </w:rPr>
        <w:t>An instrument is classified as a financial liability when there is a contractual obligation, of which its settlement is made through the delivery of money or other financial asset, regardless of its legal form.  Financial liabilities include short-term and long-term debt that are initially measured at fair value, which is the net value received of costs levied upon the transaction and, subsequently, upon the amortized cost.</w:t>
      </w:r>
      <w:r w:rsidRPr="00481176">
        <w:rPr>
          <w:rFonts w:eastAsia="Times New Roman" w:cs="Arial"/>
          <w:spacing w:val="-2"/>
          <w:szCs w:val="18"/>
          <w:lang w:val="en-US" w:eastAsia="pt-BR"/>
        </w:rPr>
        <w:t xml:space="preserve"> </w:t>
      </w:r>
    </w:p>
    <w:p w14:paraId="3177E466" w14:textId="77777777" w:rsidR="008B7E19" w:rsidRPr="00481176" w:rsidRDefault="008B7E19" w:rsidP="008B7E19">
      <w:pPr>
        <w:spacing w:before="120" w:after="120"/>
        <w:jc w:val="both"/>
        <w:rPr>
          <w:rFonts w:eastAsia="Times New Roman" w:cs="Times New Roman"/>
          <w:b/>
          <w:color w:val="244061"/>
          <w:spacing w:val="-2"/>
          <w:szCs w:val="18"/>
          <w:lang w:val="en-US" w:eastAsia="pt-BR"/>
        </w:rPr>
      </w:pPr>
      <w:r w:rsidRPr="00481176">
        <w:rPr>
          <w:rFonts w:eastAsia="Times New Roman" w:cs="Times New Roman"/>
          <w:b/>
          <w:color w:val="244061"/>
          <w:spacing w:val="-2"/>
          <w:szCs w:val="18"/>
          <w:lang w:val="en-US" w:eastAsia="pt-BR"/>
        </w:rPr>
        <w:t>d) Write-off of Financial Assets and Financial Liabilities</w:t>
      </w:r>
    </w:p>
    <w:p w14:paraId="5F81F0BF" w14:textId="77777777" w:rsidR="008B7E19" w:rsidRPr="000A77E1" w:rsidRDefault="008B7E19" w:rsidP="008B7E19">
      <w:pPr>
        <w:spacing w:before="120" w:after="120"/>
        <w:jc w:val="both"/>
        <w:rPr>
          <w:rFonts w:eastAsia="Times New Roman" w:cs="Arial"/>
          <w:spacing w:val="-2"/>
          <w:szCs w:val="18"/>
          <w:lang w:val="en-US" w:eastAsia="pt-BR"/>
        </w:rPr>
      </w:pPr>
      <w:r w:rsidRPr="00481176">
        <w:rPr>
          <w:rFonts w:eastAsia="Times New Roman" w:cs="Times New Roman"/>
          <w:b/>
          <w:color w:val="244061"/>
          <w:spacing w:val="-2"/>
          <w:szCs w:val="18"/>
          <w:lang w:val="en-US" w:eastAsia="pt-BR"/>
        </w:rPr>
        <w:t>d.1) Financial assets</w:t>
      </w:r>
      <w:r w:rsidRPr="00481176">
        <w:rPr>
          <w:rFonts w:eastAsia="Times New Roman" w:cs="Arial"/>
          <w:spacing w:val="-2"/>
          <w:szCs w:val="18"/>
          <w:lang w:val="en-US" w:eastAsia="pt-BR"/>
        </w:rPr>
        <w:t xml:space="preserve"> - </w:t>
      </w:r>
      <w:r w:rsidRPr="000A77E1">
        <w:rPr>
          <w:rFonts w:eastAsia="Times New Roman" w:cs="Arial"/>
          <w:spacing w:val="-2"/>
          <w:szCs w:val="18"/>
          <w:lang w:val="en-US" w:eastAsia="pt-BR"/>
        </w:rPr>
        <w:t>A financial asset is written off when: (i) the contractual rights related to the respective cash flows expire; (ii) most of the risks and benefits associated with the asset is transferred to third parties; or (iii) when control over the asset is transferred, even if part of the risks and benefits associated with its holding is retained.</w:t>
      </w:r>
    </w:p>
    <w:p w14:paraId="16FDCB79" w14:textId="77777777" w:rsidR="008B7E19" w:rsidRPr="00481176" w:rsidRDefault="008B7E19" w:rsidP="008B7E19">
      <w:pPr>
        <w:spacing w:before="120" w:after="120"/>
        <w:jc w:val="both"/>
        <w:rPr>
          <w:rFonts w:eastAsia="Times New Roman" w:cs="Arial"/>
          <w:spacing w:val="-2"/>
          <w:szCs w:val="18"/>
          <w:lang w:val="en-US" w:eastAsia="pt-BR"/>
        </w:rPr>
      </w:pPr>
      <w:r w:rsidRPr="000A77E1">
        <w:rPr>
          <w:rFonts w:eastAsia="Times New Roman" w:cs="Arial"/>
          <w:spacing w:val="-2"/>
          <w:szCs w:val="18"/>
          <w:lang w:val="en-US" w:eastAsia="pt-BR"/>
        </w:rPr>
        <w:t>The rights and obligations retained in the transfer are separately recognized as assets and as liabilities, when appropriate. If the control over the asset is retained, the Group continues to recognize it in the extent of its continuing involvement, which is determined by the extent to which it remains exposed to changes in the value of the transferred asset.</w:t>
      </w:r>
    </w:p>
    <w:p w14:paraId="21738CA4" w14:textId="77777777" w:rsidR="008B7E19" w:rsidRPr="00481176" w:rsidRDefault="008B7E19" w:rsidP="008B7E19">
      <w:pPr>
        <w:spacing w:before="120" w:after="120"/>
        <w:jc w:val="both"/>
        <w:rPr>
          <w:rFonts w:eastAsia="Times New Roman" w:cs="Arial"/>
          <w:spacing w:val="-2"/>
          <w:szCs w:val="18"/>
          <w:lang w:val="en-US" w:eastAsia="pt-BR"/>
        </w:rPr>
      </w:pPr>
      <w:r w:rsidRPr="00481176">
        <w:rPr>
          <w:rFonts w:eastAsia="Times New Roman" w:cs="Times New Roman"/>
          <w:b/>
          <w:color w:val="244061"/>
          <w:spacing w:val="-2"/>
          <w:szCs w:val="18"/>
          <w:lang w:val="en-US" w:eastAsia="pt-BR"/>
        </w:rPr>
        <w:t>d.2) Financial liabilities</w:t>
      </w:r>
      <w:r w:rsidRPr="00481176">
        <w:rPr>
          <w:rFonts w:eastAsia="Times New Roman" w:cs="Arial"/>
          <w:spacing w:val="-2"/>
          <w:szCs w:val="18"/>
          <w:lang w:val="en-US" w:eastAsia="pt-BR"/>
        </w:rPr>
        <w:t xml:space="preserve"> - </w:t>
      </w:r>
      <w:r w:rsidRPr="000A77E1">
        <w:rPr>
          <w:rFonts w:eastAsia="Times New Roman" w:cs="Arial"/>
          <w:spacing w:val="-2"/>
          <w:szCs w:val="18"/>
          <w:lang w:val="en-US" w:eastAsia="pt-BR"/>
        </w:rPr>
        <w:t>A financial liability is written off when its obligation is eliminated, canceled or expired. If an existing financial liability is replaced by another from the same creditor in substantially different terms, or the terms of the existing liability are substantially modified, such modification is treated as a write-off of the original liability and as the recognition of a new liability, and the difference between the book values is recognized in the income.</w:t>
      </w:r>
    </w:p>
    <w:p w14:paraId="68E74572" w14:textId="77777777" w:rsidR="008B7E19" w:rsidRPr="00481176" w:rsidRDefault="008B7E19" w:rsidP="008875E7">
      <w:pPr>
        <w:keepNext/>
        <w:keepLines/>
        <w:pageBreakBefore/>
        <w:spacing w:before="120" w:after="120"/>
        <w:jc w:val="both"/>
        <w:rPr>
          <w:rFonts w:eastAsia="Times New Roman" w:cs="Times New Roman"/>
          <w:b/>
          <w:color w:val="244061"/>
          <w:spacing w:val="-2"/>
          <w:szCs w:val="18"/>
          <w:lang w:val="en-US" w:eastAsia="pt-BR"/>
        </w:rPr>
      </w:pPr>
      <w:r w:rsidRPr="00481176">
        <w:rPr>
          <w:rFonts w:eastAsia="Times New Roman" w:cs="Times New Roman"/>
          <w:b/>
          <w:color w:val="244061"/>
          <w:spacing w:val="-2"/>
          <w:szCs w:val="18"/>
          <w:lang w:val="en-US" w:eastAsia="pt-BR"/>
        </w:rPr>
        <w:t xml:space="preserve">e) </w:t>
      </w:r>
      <w:r w:rsidRPr="000A77E1">
        <w:rPr>
          <w:rFonts w:eastAsia="Times New Roman" w:cs="Times New Roman"/>
          <w:b/>
          <w:color w:val="244061"/>
          <w:spacing w:val="-2"/>
          <w:szCs w:val="18"/>
          <w:lang w:val="en-US" w:eastAsia="pt-BR"/>
        </w:rPr>
        <w:t>Reduction in the Recoverable Value of Financial Assets – Impairment</w:t>
      </w:r>
    </w:p>
    <w:p w14:paraId="0B600667" w14:textId="77777777" w:rsidR="008B7E19" w:rsidRPr="000A77E1" w:rsidRDefault="008B7E19" w:rsidP="008B7E19">
      <w:pPr>
        <w:spacing w:before="120" w:after="120"/>
        <w:jc w:val="both"/>
        <w:rPr>
          <w:rFonts w:eastAsia="Times New Roman" w:cs="Arial"/>
          <w:spacing w:val="-2"/>
          <w:szCs w:val="18"/>
          <w:lang w:val="en-US" w:eastAsia="pt-BR"/>
        </w:rPr>
      </w:pPr>
      <w:r w:rsidRPr="000A77E1">
        <w:rPr>
          <w:rFonts w:eastAsia="Times New Roman" w:cs="Arial"/>
          <w:spacing w:val="-2"/>
          <w:szCs w:val="18"/>
          <w:lang w:val="en-US" w:eastAsia="pt-BR"/>
        </w:rPr>
        <w:t>For the recoverable value of financial assets (impairment), the CPC 48</w:t>
      </w:r>
      <w:r>
        <w:rPr>
          <w:rFonts w:eastAsia="Times New Roman" w:cs="Arial"/>
          <w:spacing w:val="-2"/>
          <w:szCs w:val="18"/>
          <w:lang w:val="en-US" w:eastAsia="pt-BR"/>
        </w:rPr>
        <w:t xml:space="preserve"> [IFRS 9]</w:t>
      </w:r>
      <w:r w:rsidRPr="000A77E1">
        <w:rPr>
          <w:rFonts w:eastAsia="Times New Roman" w:cs="Arial"/>
          <w:spacing w:val="-2"/>
          <w:szCs w:val="18"/>
          <w:lang w:val="en-US" w:eastAsia="pt-BR"/>
        </w:rPr>
        <w:t xml:space="preserve"> – Financial Instruments considers the expected credit losses, which are a weighted estimate of the probability of credit losses (that is, the present value of all cash deficits) over the expected life of the financial instrument. </w:t>
      </w:r>
    </w:p>
    <w:p w14:paraId="7DE244AD" w14:textId="77777777" w:rsidR="008B7E19" w:rsidRPr="000A77E1" w:rsidRDefault="008B7E19" w:rsidP="008B7E19">
      <w:pPr>
        <w:spacing w:before="120" w:after="120"/>
        <w:jc w:val="both"/>
        <w:rPr>
          <w:rFonts w:eastAsia="Times New Roman" w:cs="Arial"/>
          <w:spacing w:val="-2"/>
          <w:szCs w:val="18"/>
          <w:lang w:val="en-US" w:eastAsia="pt-BR"/>
        </w:rPr>
      </w:pPr>
      <w:r w:rsidRPr="000A77E1">
        <w:rPr>
          <w:rFonts w:eastAsia="Times New Roman" w:cs="Arial"/>
          <w:spacing w:val="-2"/>
          <w:szCs w:val="18"/>
          <w:lang w:val="en-US" w:eastAsia="pt-BR"/>
        </w:rPr>
        <w:t>Cash deficit is the difference between the cash flows due to the entity according to the contract and the cash flows that the entity expects to receive. As the expected credit losses consider the value and timing of the payments, the credit loss occurs even if the entity expects to be paid in full, but after the due date stipulated by the contract.</w:t>
      </w:r>
    </w:p>
    <w:p w14:paraId="6C71A7F1" w14:textId="77777777" w:rsidR="008B7E19" w:rsidRPr="000A77E1" w:rsidRDefault="008B7E19" w:rsidP="008B7E19">
      <w:pPr>
        <w:spacing w:before="120" w:after="120"/>
        <w:jc w:val="both"/>
        <w:rPr>
          <w:rFonts w:eastAsia="Times New Roman" w:cs="Arial"/>
          <w:spacing w:val="-2"/>
          <w:szCs w:val="18"/>
          <w:lang w:val="en-US" w:eastAsia="pt-BR"/>
        </w:rPr>
      </w:pPr>
      <w:r w:rsidRPr="000A77E1">
        <w:rPr>
          <w:rFonts w:eastAsia="Times New Roman" w:cs="Arial"/>
          <w:spacing w:val="-2"/>
          <w:szCs w:val="18"/>
          <w:lang w:val="en-US" w:eastAsia="pt-BR"/>
        </w:rPr>
        <w:t>For the impairment of commissions receivable, the simplified approach allowed by the CPC 48</w:t>
      </w:r>
      <w:r>
        <w:rPr>
          <w:rFonts w:eastAsia="Times New Roman" w:cs="Arial"/>
          <w:spacing w:val="-2"/>
          <w:szCs w:val="18"/>
          <w:lang w:val="en-US" w:eastAsia="pt-BR"/>
        </w:rPr>
        <w:t xml:space="preserve"> [IFRS 9]</w:t>
      </w:r>
      <w:r w:rsidRPr="000A77E1">
        <w:rPr>
          <w:rFonts w:eastAsia="Times New Roman" w:cs="Arial"/>
          <w:spacing w:val="-2"/>
          <w:szCs w:val="18"/>
          <w:lang w:val="en-US" w:eastAsia="pt-BR"/>
        </w:rPr>
        <w:t xml:space="preserve"> for commercial receivables was used, in which the recognition of expected credit losses follows the model for the entire life of the instrument.</w:t>
      </w:r>
    </w:p>
    <w:p w14:paraId="5F44B592" w14:textId="77777777" w:rsidR="008B7E19" w:rsidRPr="000A77E1" w:rsidRDefault="008B7E19" w:rsidP="008B7E19">
      <w:pPr>
        <w:spacing w:before="120" w:after="120"/>
        <w:jc w:val="both"/>
        <w:rPr>
          <w:rFonts w:eastAsia="Times New Roman" w:cs="Arial"/>
          <w:spacing w:val="-2"/>
          <w:szCs w:val="18"/>
          <w:lang w:val="en-US" w:eastAsia="pt-BR"/>
        </w:rPr>
      </w:pPr>
      <w:r w:rsidRPr="000A77E1">
        <w:rPr>
          <w:rFonts w:eastAsia="Times New Roman" w:cs="Arial"/>
          <w:spacing w:val="-2"/>
          <w:szCs w:val="18"/>
          <w:lang w:val="en-US" w:eastAsia="pt-BR"/>
        </w:rPr>
        <w:t>Annually or whenever there is an indication that the financial asset may be devalued, an assessment to check if there is any objective evidence of impairment of its financial assets is carried out at BB Seguridade, in accordance with the CPC 48</w:t>
      </w:r>
      <w:r>
        <w:rPr>
          <w:rFonts w:eastAsia="Times New Roman" w:cs="Arial"/>
          <w:spacing w:val="-2"/>
          <w:szCs w:val="18"/>
          <w:lang w:val="en-US" w:eastAsia="pt-BR"/>
        </w:rPr>
        <w:t xml:space="preserve"> [IFRS 9]</w:t>
      </w:r>
      <w:r w:rsidRPr="000A77E1">
        <w:rPr>
          <w:rFonts w:eastAsia="Times New Roman" w:cs="Arial"/>
          <w:spacing w:val="-2"/>
          <w:szCs w:val="18"/>
          <w:lang w:val="en-US" w:eastAsia="pt-BR"/>
        </w:rPr>
        <w:t xml:space="preserve"> – Financial Instruments.</w:t>
      </w:r>
    </w:p>
    <w:p w14:paraId="69F686F7" w14:textId="77777777" w:rsidR="008B7E19" w:rsidRDefault="008B7E19" w:rsidP="008B7E19">
      <w:pPr>
        <w:spacing w:before="120" w:after="120"/>
        <w:jc w:val="both"/>
        <w:rPr>
          <w:rFonts w:eastAsia="Times New Roman" w:cs="Arial"/>
          <w:spacing w:val="-2"/>
          <w:szCs w:val="18"/>
          <w:lang w:val="en-US" w:eastAsia="pt-BR"/>
        </w:rPr>
      </w:pPr>
      <w:r w:rsidRPr="003D0F89">
        <w:rPr>
          <w:rFonts w:eastAsia="Times New Roman" w:cs="Arial"/>
          <w:spacing w:val="-2"/>
          <w:szCs w:val="18"/>
          <w:lang w:val="en-US" w:eastAsia="pt-BR"/>
        </w:rPr>
        <w:t xml:space="preserve">During the </w:t>
      </w:r>
      <w:r>
        <w:rPr>
          <w:rFonts w:eastAsia="Times New Roman" w:cs="Arial"/>
          <w:spacing w:val="-2"/>
          <w:szCs w:val="18"/>
          <w:lang w:val="en-US" w:eastAsia="pt-BR"/>
        </w:rPr>
        <w:t>period</w:t>
      </w:r>
      <w:r w:rsidRPr="003D0F89">
        <w:rPr>
          <w:rFonts w:eastAsia="Times New Roman" w:cs="Arial"/>
          <w:spacing w:val="-2"/>
          <w:szCs w:val="18"/>
          <w:lang w:val="en-US" w:eastAsia="pt-BR"/>
        </w:rPr>
        <w:t>, there were no losses due to devaluation of the financial assets of the BB Seguridade group.</w:t>
      </w:r>
    </w:p>
    <w:p w14:paraId="31A4A545" w14:textId="77777777" w:rsidR="008B7E19" w:rsidRPr="00481176" w:rsidRDefault="008B7E19" w:rsidP="008B7E19">
      <w:pPr>
        <w:spacing w:before="120" w:after="120"/>
        <w:jc w:val="both"/>
        <w:rPr>
          <w:rFonts w:eastAsia="Times New Roman" w:cs="Times New Roman"/>
          <w:b/>
          <w:color w:val="244061"/>
          <w:spacing w:val="-2"/>
          <w:szCs w:val="18"/>
          <w:lang w:val="en-US" w:eastAsia="pt-BR"/>
        </w:rPr>
      </w:pPr>
      <w:r>
        <w:rPr>
          <w:rFonts w:eastAsia="Times New Roman" w:cs="Times New Roman"/>
          <w:b/>
          <w:color w:val="244061"/>
          <w:spacing w:val="-2"/>
          <w:szCs w:val="18"/>
          <w:lang w:val="en-US" w:eastAsia="pt-BR"/>
        </w:rPr>
        <w:t>f</w:t>
      </w:r>
      <w:r w:rsidRPr="00481176">
        <w:rPr>
          <w:rFonts w:eastAsia="Times New Roman" w:cs="Times New Roman"/>
          <w:b/>
          <w:color w:val="244061"/>
          <w:spacing w:val="-2"/>
          <w:szCs w:val="18"/>
          <w:lang w:val="en-US" w:eastAsia="pt-BR"/>
        </w:rPr>
        <w:t xml:space="preserve">) </w:t>
      </w:r>
      <w:r w:rsidRPr="000A77E1">
        <w:rPr>
          <w:rFonts w:eastAsia="Times New Roman" w:cs="Times New Roman"/>
          <w:b/>
          <w:color w:val="244061"/>
          <w:spacing w:val="-2"/>
          <w:szCs w:val="18"/>
          <w:lang w:val="en-US" w:eastAsia="pt-BR"/>
        </w:rPr>
        <w:t>Share Premium and Other Intangible Assets</w:t>
      </w:r>
    </w:p>
    <w:p w14:paraId="1465255B" w14:textId="77777777" w:rsidR="008B7E19" w:rsidRPr="000A77E1" w:rsidRDefault="008B7E19" w:rsidP="008B7E19">
      <w:pPr>
        <w:spacing w:before="120" w:after="120"/>
        <w:jc w:val="both"/>
        <w:rPr>
          <w:rFonts w:eastAsia="Times New Roman" w:cs="Arial"/>
          <w:spacing w:val="-2"/>
          <w:szCs w:val="18"/>
          <w:lang w:val="en-US" w:eastAsia="pt-BR"/>
        </w:rPr>
      </w:pPr>
      <w:r w:rsidRPr="000A77E1">
        <w:rPr>
          <w:rFonts w:eastAsia="Times New Roman" w:cs="Arial"/>
          <w:spacing w:val="-2"/>
          <w:szCs w:val="18"/>
          <w:lang w:val="en-US" w:eastAsia="pt-BR"/>
        </w:rPr>
        <w:t>The share premium generated on the acquisition of investments on shareholdings is accounted for considering the fair value assessment of the identifiable assets and the assumed liabilities of the acquired company on the acquisition date and, in accordance with the applicable standards, is not amortized. However, it is tested, at least annually, for impairment purposes. After the initial recognition, the share premium is measured at cost minus any accrued impairment losses.</w:t>
      </w:r>
    </w:p>
    <w:p w14:paraId="0756CD02" w14:textId="77777777" w:rsidR="008B7E19" w:rsidRPr="000A77E1" w:rsidRDefault="008B7E19" w:rsidP="008B7E19">
      <w:pPr>
        <w:spacing w:before="120" w:after="120"/>
        <w:jc w:val="both"/>
        <w:rPr>
          <w:rFonts w:eastAsia="Times New Roman" w:cs="Arial"/>
          <w:spacing w:val="-2"/>
          <w:szCs w:val="18"/>
          <w:lang w:val="en-US" w:eastAsia="pt-BR"/>
        </w:rPr>
      </w:pPr>
      <w:r w:rsidRPr="000A77E1">
        <w:rPr>
          <w:rFonts w:eastAsia="Times New Roman" w:cs="Arial"/>
          <w:spacing w:val="-2"/>
          <w:szCs w:val="18"/>
          <w:lang w:val="en-US" w:eastAsia="pt-BR"/>
        </w:rPr>
        <w:t xml:space="preserve">Intangible assets are separately recognized from the share premium when they are separable or arise from contractual rights or other legal rights, their fair value can be measured reliably and it is probable that the expected future economic benefits will be transferred to BB Seguridade. The cost of intangible assets acquired in a business combination is its fair value at the acquisition date. </w:t>
      </w:r>
      <w:r w:rsidRPr="007561BA">
        <w:rPr>
          <w:rFonts w:eastAsia="Times New Roman" w:cs="Arial"/>
          <w:spacing w:val="-2"/>
          <w:szCs w:val="18"/>
          <w:lang w:val="en-US" w:eastAsia="pt-BR"/>
        </w:rPr>
        <w:t>The other acquired intangible assets, not linked to the business combination, are initially measured at cost.</w:t>
      </w:r>
    </w:p>
    <w:p w14:paraId="28037B01" w14:textId="77777777" w:rsidR="008B7E19" w:rsidRPr="000A77E1" w:rsidRDefault="008B7E19" w:rsidP="008B7E19">
      <w:pPr>
        <w:spacing w:before="120" w:after="120"/>
        <w:jc w:val="both"/>
        <w:rPr>
          <w:rFonts w:eastAsia="Times New Roman" w:cs="Arial"/>
          <w:spacing w:val="-2"/>
          <w:szCs w:val="18"/>
          <w:lang w:val="en-US" w:eastAsia="pt-BR"/>
        </w:rPr>
      </w:pPr>
      <w:r w:rsidRPr="000A77E1">
        <w:rPr>
          <w:rFonts w:eastAsia="Times New Roman" w:cs="Arial"/>
          <w:spacing w:val="-2"/>
          <w:szCs w:val="18"/>
          <w:lang w:val="en-US" w:eastAsia="pt-BR"/>
        </w:rPr>
        <w:t>The useful live of intangible assets is considered to be definite or indefinite. Intangible assets with defined useful lives are amortized over the course of their economic life. They are initially registered at cost, minus the accrued amortization and impairment losses. Intangible assets with indefinite useful lives are recorded at cost minus any impairment losses.</w:t>
      </w:r>
    </w:p>
    <w:p w14:paraId="28928E76" w14:textId="77777777" w:rsidR="008B7E19" w:rsidRPr="000A77E1" w:rsidRDefault="008B7E19" w:rsidP="008B7E19">
      <w:pPr>
        <w:spacing w:before="120" w:after="120"/>
        <w:jc w:val="both"/>
        <w:rPr>
          <w:rFonts w:eastAsia="Times New Roman" w:cs="Arial"/>
          <w:spacing w:val="-2"/>
          <w:szCs w:val="18"/>
          <w:lang w:val="en-US" w:eastAsia="pt-BR"/>
        </w:rPr>
      </w:pPr>
      <w:r w:rsidRPr="000A77E1">
        <w:rPr>
          <w:rFonts w:eastAsia="Times New Roman" w:cs="Arial"/>
          <w:spacing w:val="-2"/>
          <w:szCs w:val="18"/>
          <w:lang w:val="en-US" w:eastAsia="pt-BR"/>
        </w:rPr>
        <w:t>The period and method for the amortization of intangible assets with definite useful lives are reviewed, at a minimum, annually. Changes in the expected useful life or proportion of expected use of the future benefits incorporated to the asset are recognized through changes in the period or method for the amortization, when appropriate, and treated as changes in accounting estimates.</w:t>
      </w:r>
    </w:p>
    <w:p w14:paraId="19700815" w14:textId="77777777" w:rsidR="008B7E19" w:rsidRPr="000A77E1" w:rsidRDefault="008B7E19" w:rsidP="008B7E19">
      <w:pPr>
        <w:spacing w:before="120" w:after="120"/>
        <w:jc w:val="both"/>
        <w:rPr>
          <w:rFonts w:eastAsia="Times New Roman" w:cs="Arial"/>
          <w:spacing w:val="-2"/>
          <w:szCs w:val="18"/>
          <w:lang w:val="en-US" w:eastAsia="pt-BR"/>
        </w:rPr>
      </w:pPr>
      <w:r w:rsidRPr="000A77E1">
        <w:rPr>
          <w:rFonts w:eastAsia="Times New Roman" w:cs="Arial"/>
          <w:spacing w:val="-2"/>
          <w:szCs w:val="18"/>
          <w:lang w:val="en-US" w:eastAsia="pt-BR"/>
        </w:rPr>
        <w:t>The costs incurred related to the acquisition, production and development of software are capitalized and registered as intangible assets. Expenditures from the research phase are registered as expenses.</w:t>
      </w:r>
    </w:p>
    <w:p w14:paraId="79F2BE7B" w14:textId="77777777" w:rsidR="008B7E19" w:rsidRDefault="008B7E19" w:rsidP="008B7E19">
      <w:pPr>
        <w:spacing w:before="120" w:after="120"/>
        <w:jc w:val="both"/>
        <w:rPr>
          <w:rFonts w:eastAsia="Times New Roman" w:cs="Arial"/>
          <w:spacing w:val="-2"/>
          <w:szCs w:val="18"/>
          <w:lang w:val="en-US" w:eastAsia="pt-BR"/>
        </w:rPr>
      </w:pPr>
      <w:r w:rsidRPr="000A77E1">
        <w:rPr>
          <w:rFonts w:eastAsia="Times New Roman" w:cs="Arial"/>
          <w:spacing w:val="-2"/>
          <w:szCs w:val="18"/>
          <w:lang w:val="en-US" w:eastAsia="pt-BR"/>
        </w:rPr>
        <w:t xml:space="preserve">The expense with the amortization of intangible assets with definite useful life and impairment losses are recognized in the income for the </w:t>
      </w:r>
      <w:r>
        <w:rPr>
          <w:rFonts w:eastAsia="Times New Roman" w:cs="Arial"/>
          <w:spacing w:val="-2"/>
          <w:szCs w:val="18"/>
          <w:lang w:val="en-US" w:eastAsia="pt-BR"/>
        </w:rPr>
        <w:t>period</w:t>
      </w:r>
      <w:r w:rsidRPr="000A77E1">
        <w:rPr>
          <w:rFonts w:eastAsia="Times New Roman" w:cs="Arial"/>
          <w:spacing w:val="-2"/>
          <w:szCs w:val="18"/>
          <w:lang w:val="en-US" w:eastAsia="pt-BR"/>
        </w:rPr>
        <w:t xml:space="preserve"> in the line “Other” of the Income Statement.</w:t>
      </w:r>
    </w:p>
    <w:p w14:paraId="70825F01" w14:textId="77777777" w:rsidR="008B7E19" w:rsidRPr="00481176" w:rsidRDefault="008B7E19" w:rsidP="008B7E19">
      <w:pPr>
        <w:spacing w:before="120" w:after="120"/>
        <w:jc w:val="both"/>
        <w:rPr>
          <w:rFonts w:eastAsia="Times New Roman" w:cs="Times New Roman"/>
          <w:b/>
          <w:color w:val="244061"/>
          <w:spacing w:val="-2"/>
          <w:szCs w:val="18"/>
          <w:lang w:val="en-US" w:eastAsia="pt-BR"/>
        </w:rPr>
      </w:pPr>
      <w:r>
        <w:rPr>
          <w:rFonts w:eastAsia="Times New Roman" w:cs="Times New Roman"/>
          <w:b/>
          <w:color w:val="244061"/>
          <w:spacing w:val="-2"/>
          <w:szCs w:val="18"/>
          <w:lang w:val="en-US" w:eastAsia="pt-BR"/>
        </w:rPr>
        <w:t>g</w:t>
      </w:r>
      <w:r w:rsidRPr="00481176">
        <w:rPr>
          <w:rFonts w:eastAsia="Times New Roman" w:cs="Times New Roman"/>
          <w:b/>
          <w:color w:val="244061"/>
          <w:spacing w:val="-2"/>
          <w:szCs w:val="18"/>
          <w:lang w:val="en-US" w:eastAsia="pt-BR"/>
        </w:rPr>
        <w:t xml:space="preserve">) </w:t>
      </w:r>
      <w:r w:rsidRPr="000A77E1">
        <w:rPr>
          <w:rFonts w:eastAsia="Times New Roman" w:cs="Times New Roman"/>
          <w:b/>
          <w:color w:val="244061"/>
          <w:spacing w:val="-2"/>
          <w:szCs w:val="18"/>
          <w:lang w:val="en-US" w:eastAsia="pt-BR"/>
        </w:rPr>
        <w:t>Reduction in the Recoverable Value of Non-Financial Assets – Impairment</w:t>
      </w:r>
    </w:p>
    <w:p w14:paraId="54839FF9" w14:textId="77777777" w:rsidR="008B7E19" w:rsidRPr="000A77E1" w:rsidRDefault="008B7E19" w:rsidP="008B7E19">
      <w:pPr>
        <w:spacing w:before="120" w:after="120"/>
        <w:jc w:val="both"/>
        <w:rPr>
          <w:rFonts w:eastAsia="Times New Roman" w:cs="Arial"/>
          <w:spacing w:val="-2"/>
          <w:szCs w:val="18"/>
          <w:lang w:val="en-US" w:eastAsia="pt-BR"/>
        </w:rPr>
      </w:pPr>
      <w:r w:rsidRPr="000A77E1">
        <w:rPr>
          <w:rFonts w:eastAsia="Times New Roman" w:cs="Arial"/>
          <w:spacing w:val="-2"/>
          <w:szCs w:val="18"/>
          <w:lang w:val="en-US" w:eastAsia="pt-BR"/>
        </w:rPr>
        <w:t>Annually or whenever there is an indication that the asset may be devalued, an assessment, based on internal and external sources of information, to check if there is any indication that a non-financial asset may be with recoverability problems is carried out. If there is such indication, the asset's recoverable value is estimated. The recoverable value of the asset is the highest between its fair value minus the costs to sell it or its value in use.</w:t>
      </w:r>
    </w:p>
    <w:p w14:paraId="589D01FA" w14:textId="77777777" w:rsidR="008B7E19" w:rsidRPr="000A77E1" w:rsidRDefault="008B7E19" w:rsidP="008B7E19">
      <w:pPr>
        <w:spacing w:before="120" w:after="120"/>
        <w:jc w:val="both"/>
        <w:rPr>
          <w:rFonts w:eastAsia="Times New Roman" w:cs="Arial"/>
          <w:spacing w:val="-2"/>
          <w:szCs w:val="18"/>
          <w:lang w:val="en-US" w:eastAsia="pt-BR"/>
        </w:rPr>
      </w:pPr>
      <w:r w:rsidRPr="000A77E1">
        <w:rPr>
          <w:rFonts w:eastAsia="Times New Roman" w:cs="Arial"/>
          <w:spacing w:val="-2"/>
          <w:szCs w:val="18"/>
          <w:lang w:val="en-US" w:eastAsia="pt-BR"/>
        </w:rPr>
        <w:t>Whether there was any indication of reduction in the recoverable value, the impairment test of an intangible asset with indefinite useful life is annually carried out, including the share premium acquired in a business combination, or an intangible asset not yet available for use. This test can be carried out at any time during an annual period, provided it is performed at the same time each year.</w:t>
      </w:r>
    </w:p>
    <w:p w14:paraId="1A61AA97" w14:textId="77777777" w:rsidR="008B7E19" w:rsidRPr="000A77E1" w:rsidRDefault="008B7E19" w:rsidP="008B7E19">
      <w:pPr>
        <w:spacing w:before="120" w:after="120"/>
        <w:jc w:val="both"/>
        <w:rPr>
          <w:rFonts w:eastAsia="Times New Roman" w:cs="Arial"/>
          <w:spacing w:val="-2"/>
          <w:szCs w:val="18"/>
          <w:lang w:val="en-US" w:eastAsia="pt-BR"/>
        </w:rPr>
      </w:pPr>
      <w:r w:rsidRPr="000A77E1">
        <w:rPr>
          <w:rFonts w:eastAsia="Times New Roman" w:cs="Arial"/>
          <w:spacing w:val="-2"/>
          <w:szCs w:val="18"/>
          <w:lang w:val="en-US" w:eastAsia="pt-BR"/>
        </w:rPr>
        <w:t xml:space="preserve">In the event that the recoverable value of the asset is lower than its book value, the book value of the asset is reduced to its recoverable value through recording an impairment loss, for which the consideration is recognized in the income statement for the period in which it occurs, in other </w:t>
      </w:r>
      <w:r>
        <w:rPr>
          <w:rFonts w:eastAsia="Times New Roman" w:cs="Arial"/>
          <w:spacing w:val="-2"/>
          <w:szCs w:val="18"/>
          <w:lang w:val="en-US" w:eastAsia="pt-BR"/>
        </w:rPr>
        <w:t>O</w:t>
      </w:r>
      <w:r w:rsidRPr="000A77E1">
        <w:rPr>
          <w:rFonts w:eastAsia="Times New Roman" w:cs="Arial"/>
          <w:spacing w:val="-2"/>
          <w:szCs w:val="18"/>
          <w:lang w:val="en-US" w:eastAsia="pt-BR"/>
        </w:rPr>
        <w:t xml:space="preserve">perating </w:t>
      </w:r>
      <w:r>
        <w:rPr>
          <w:rFonts w:eastAsia="Times New Roman" w:cs="Arial"/>
          <w:spacing w:val="-2"/>
          <w:szCs w:val="18"/>
          <w:lang w:val="en-US" w:eastAsia="pt-BR"/>
        </w:rPr>
        <w:t>E</w:t>
      </w:r>
      <w:r w:rsidRPr="000A77E1">
        <w:rPr>
          <w:rFonts w:eastAsia="Times New Roman" w:cs="Arial"/>
          <w:spacing w:val="-2"/>
          <w:szCs w:val="18"/>
          <w:lang w:val="en-US" w:eastAsia="pt-BR"/>
        </w:rPr>
        <w:t>xpenses/</w:t>
      </w:r>
      <w:r>
        <w:rPr>
          <w:rFonts w:eastAsia="Times New Roman" w:cs="Arial"/>
          <w:spacing w:val="-2"/>
          <w:szCs w:val="18"/>
          <w:lang w:val="en-US" w:eastAsia="pt-BR"/>
        </w:rPr>
        <w:t>R</w:t>
      </w:r>
      <w:r w:rsidRPr="000A77E1">
        <w:rPr>
          <w:rFonts w:eastAsia="Times New Roman" w:cs="Arial"/>
          <w:spacing w:val="-2"/>
          <w:szCs w:val="18"/>
          <w:lang w:val="en-US" w:eastAsia="pt-BR"/>
        </w:rPr>
        <w:t>evenues.</w:t>
      </w:r>
    </w:p>
    <w:p w14:paraId="2FDA235F" w14:textId="77777777" w:rsidR="008B7E19" w:rsidRPr="000A77E1" w:rsidRDefault="008B7E19" w:rsidP="008B7E19">
      <w:pPr>
        <w:spacing w:before="120" w:after="120"/>
        <w:jc w:val="both"/>
        <w:rPr>
          <w:rFonts w:eastAsia="Times New Roman" w:cs="Arial"/>
          <w:spacing w:val="-2"/>
          <w:szCs w:val="18"/>
          <w:lang w:val="en-US" w:eastAsia="pt-BR"/>
        </w:rPr>
      </w:pPr>
      <w:r w:rsidRPr="000A77E1">
        <w:rPr>
          <w:rFonts w:eastAsia="Times New Roman" w:cs="Arial"/>
          <w:spacing w:val="-2"/>
          <w:szCs w:val="18"/>
          <w:lang w:val="en-US" w:eastAsia="pt-BR"/>
        </w:rPr>
        <w:t xml:space="preserve">Annually, it is further assessed if there is any indication that a loss by impairment recognized in previous fiscal years for an asset other than the share premium for expected future profitability, might no longer exist or may have been reduced. If there is such indication, the recoverable value of this asset is estimated. The reversal of a loss by impairment of an asset will be immediately recognized in the income for the fiscal year, as a rectifier of the balance of other </w:t>
      </w:r>
      <w:r>
        <w:rPr>
          <w:rFonts w:eastAsia="Times New Roman" w:cs="Arial"/>
          <w:spacing w:val="-2"/>
          <w:szCs w:val="18"/>
          <w:lang w:val="en-US" w:eastAsia="pt-BR"/>
        </w:rPr>
        <w:t>O</w:t>
      </w:r>
      <w:r w:rsidRPr="000A77E1">
        <w:rPr>
          <w:rFonts w:eastAsia="Times New Roman" w:cs="Arial"/>
          <w:spacing w:val="-2"/>
          <w:szCs w:val="18"/>
          <w:lang w:val="en-US" w:eastAsia="pt-BR"/>
        </w:rPr>
        <w:t xml:space="preserve">perating </w:t>
      </w:r>
      <w:r>
        <w:rPr>
          <w:rFonts w:eastAsia="Times New Roman" w:cs="Arial"/>
          <w:spacing w:val="-2"/>
          <w:szCs w:val="18"/>
          <w:lang w:val="en-US" w:eastAsia="pt-BR"/>
        </w:rPr>
        <w:t>E</w:t>
      </w:r>
      <w:r w:rsidRPr="000A77E1">
        <w:rPr>
          <w:rFonts w:eastAsia="Times New Roman" w:cs="Arial"/>
          <w:spacing w:val="-2"/>
          <w:szCs w:val="18"/>
          <w:lang w:val="en-US" w:eastAsia="pt-BR"/>
        </w:rPr>
        <w:t>xpenses/</w:t>
      </w:r>
      <w:r>
        <w:rPr>
          <w:rFonts w:eastAsia="Times New Roman" w:cs="Arial"/>
          <w:spacing w:val="-2"/>
          <w:szCs w:val="18"/>
          <w:lang w:val="en-US" w:eastAsia="pt-BR"/>
        </w:rPr>
        <w:t>R</w:t>
      </w:r>
      <w:r w:rsidRPr="000A77E1">
        <w:rPr>
          <w:rFonts w:eastAsia="Times New Roman" w:cs="Arial"/>
          <w:spacing w:val="-2"/>
          <w:szCs w:val="18"/>
          <w:lang w:val="en-US" w:eastAsia="pt-BR"/>
        </w:rPr>
        <w:t>evenues.</w:t>
      </w:r>
    </w:p>
    <w:p w14:paraId="5E8BB60C" w14:textId="77777777" w:rsidR="008B7E19" w:rsidRDefault="008B7E19" w:rsidP="008B7E19">
      <w:pPr>
        <w:spacing w:before="120" w:after="120"/>
        <w:jc w:val="both"/>
        <w:rPr>
          <w:rFonts w:eastAsia="Times New Roman" w:cs="Arial"/>
          <w:spacing w:val="-2"/>
          <w:szCs w:val="18"/>
          <w:lang w:val="en-US" w:eastAsia="pt-BR"/>
        </w:rPr>
      </w:pPr>
      <w:r w:rsidRPr="003D0F89">
        <w:rPr>
          <w:rFonts w:eastAsia="Times New Roman" w:cs="Arial"/>
          <w:spacing w:val="-2"/>
          <w:szCs w:val="18"/>
          <w:lang w:val="en-US" w:eastAsia="pt-BR"/>
        </w:rPr>
        <w:t xml:space="preserve">During the </w:t>
      </w:r>
      <w:r>
        <w:rPr>
          <w:rFonts w:eastAsia="Times New Roman" w:cs="Arial"/>
          <w:spacing w:val="-2"/>
          <w:szCs w:val="18"/>
          <w:lang w:val="en-US" w:eastAsia="pt-BR"/>
        </w:rPr>
        <w:t>period</w:t>
      </w:r>
      <w:r w:rsidRPr="003D0F89">
        <w:rPr>
          <w:rFonts w:eastAsia="Times New Roman" w:cs="Arial"/>
          <w:spacing w:val="-2"/>
          <w:szCs w:val="18"/>
          <w:lang w:val="en-US" w:eastAsia="pt-BR"/>
        </w:rPr>
        <w:t>, there were no losses due to the devaluation of non-financial assets of the BB Seguridade group.</w:t>
      </w:r>
    </w:p>
    <w:p w14:paraId="30D3CF97" w14:textId="77777777" w:rsidR="008B7E19" w:rsidRPr="00481176" w:rsidRDefault="008B7E19" w:rsidP="008875E7">
      <w:pPr>
        <w:keepNext/>
        <w:keepLines/>
        <w:pageBreakBefore/>
        <w:spacing w:before="120" w:after="120"/>
        <w:jc w:val="both"/>
        <w:rPr>
          <w:rFonts w:eastAsia="Times New Roman" w:cs="Times New Roman"/>
          <w:b/>
          <w:color w:val="244061"/>
          <w:spacing w:val="-2"/>
          <w:szCs w:val="18"/>
          <w:lang w:val="en-US" w:eastAsia="pt-BR"/>
        </w:rPr>
      </w:pPr>
      <w:r>
        <w:rPr>
          <w:rFonts w:eastAsia="Times New Roman" w:cs="Times New Roman"/>
          <w:b/>
          <w:color w:val="244061"/>
          <w:spacing w:val="-2"/>
          <w:szCs w:val="18"/>
          <w:lang w:val="en-US" w:eastAsia="pt-BR"/>
        </w:rPr>
        <w:t>h</w:t>
      </w:r>
      <w:r w:rsidRPr="00481176">
        <w:rPr>
          <w:rFonts w:eastAsia="Times New Roman" w:cs="Times New Roman"/>
          <w:b/>
          <w:color w:val="244061"/>
          <w:spacing w:val="-2"/>
          <w:szCs w:val="18"/>
          <w:lang w:val="en-US" w:eastAsia="pt-BR"/>
        </w:rPr>
        <w:t xml:space="preserve">) </w:t>
      </w:r>
      <w:r>
        <w:rPr>
          <w:rFonts w:eastAsia="Times New Roman" w:cs="Times New Roman"/>
          <w:b/>
          <w:color w:val="244061"/>
          <w:spacing w:val="-2"/>
          <w:szCs w:val="18"/>
          <w:lang w:val="en-US" w:eastAsia="pt-BR"/>
        </w:rPr>
        <w:t>Investments in Shareholdings</w:t>
      </w:r>
    </w:p>
    <w:p w14:paraId="48CF968B" w14:textId="77777777" w:rsidR="008B7E19" w:rsidRDefault="008B7E19" w:rsidP="008B7E19">
      <w:pPr>
        <w:spacing w:before="120" w:after="120"/>
        <w:jc w:val="both"/>
        <w:rPr>
          <w:rFonts w:eastAsia="Times New Roman" w:cs="Arial"/>
          <w:spacing w:val="-2"/>
          <w:szCs w:val="18"/>
          <w:lang w:val="en-US" w:eastAsia="pt-BR"/>
        </w:rPr>
      </w:pPr>
      <w:r w:rsidRPr="000A77E1">
        <w:rPr>
          <w:rFonts w:eastAsia="Times New Roman" w:cs="Arial"/>
          <w:spacing w:val="-2"/>
          <w:szCs w:val="18"/>
          <w:lang w:val="en-US" w:eastAsia="pt-BR"/>
        </w:rPr>
        <w:t>Under the equity method, the investment is initially measured at cost and subsequently adjusted by the investor's recognition of changes in the net assets of the investee. In addition, the portion of the investor's income in the profits and losses generated by the investee must be included in the income for the fiscal year of the investor, according to the CPC 18 (R2)</w:t>
      </w:r>
      <w:r>
        <w:rPr>
          <w:rFonts w:eastAsia="Times New Roman" w:cs="Arial"/>
          <w:spacing w:val="-2"/>
          <w:szCs w:val="18"/>
          <w:lang w:val="en-US" w:eastAsia="pt-BR"/>
        </w:rPr>
        <w:t xml:space="preserve"> [IAS 28]</w:t>
      </w:r>
      <w:r w:rsidRPr="000A77E1">
        <w:rPr>
          <w:rFonts w:eastAsia="Times New Roman" w:cs="Arial"/>
          <w:spacing w:val="-2"/>
          <w:szCs w:val="18"/>
          <w:lang w:val="en-US" w:eastAsia="pt-BR"/>
        </w:rPr>
        <w:t xml:space="preserve"> – Investment in Controlled and Affiliated Companies and Joint Ventures.</w:t>
      </w:r>
    </w:p>
    <w:p w14:paraId="5ECF1F4C" w14:textId="77777777" w:rsidR="008B7E19" w:rsidRPr="007561BA" w:rsidRDefault="008B7E19" w:rsidP="008B7E19">
      <w:pPr>
        <w:spacing w:before="120" w:after="120"/>
        <w:jc w:val="both"/>
        <w:rPr>
          <w:rFonts w:eastAsia="Times New Roman" w:cs="Arial"/>
          <w:spacing w:val="-2"/>
          <w:szCs w:val="18"/>
          <w:lang w:val="en-US" w:eastAsia="pt-BR"/>
        </w:rPr>
      </w:pPr>
      <w:r w:rsidRPr="007561BA">
        <w:rPr>
          <w:rFonts w:eastAsia="Times New Roman" w:cs="Arial"/>
          <w:spacing w:val="-2"/>
          <w:szCs w:val="18"/>
          <w:lang w:val="en-US" w:eastAsia="pt-BR"/>
        </w:rPr>
        <w:t xml:space="preserve">Investments in equity interests in the companies BB Seguros Participações S.A. and BB Corretora de Seguros </w:t>
      </w:r>
      <w:r>
        <w:rPr>
          <w:rFonts w:eastAsia="Times New Roman" w:cs="Arial"/>
          <w:spacing w:val="-2"/>
          <w:szCs w:val="18"/>
          <w:lang w:val="en-US" w:eastAsia="pt-BR"/>
        </w:rPr>
        <w:t>e</w:t>
      </w:r>
      <w:r w:rsidRPr="007561BA">
        <w:rPr>
          <w:rFonts w:eastAsia="Times New Roman" w:cs="Arial"/>
          <w:spacing w:val="-2"/>
          <w:szCs w:val="18"/>
          <w:lang w:val="en-US" w:eastAsia="pt-BR"/>
        </w:rPr>
        <w:t xml:space="preserve"> Administradora de Bens S.A. are classified as investments in subsidiaries and valued using the equity method and are consolidated.</w:t>
      </w:r>
    </w:p>
    <w:p w14:paraId="4AF0876B" w14:textId="77777777" w:rsidR="008B7E19" w:rsidRDefault="008B7E19" w:rsidP="008B7E19">
      <w:pPr>
        <w:spacing w:before="120" w:after="120"/>
        <w:jc w:val="both"/>
        <w:rPr>
          <w:rFonts w:eastAsia="Times New Roman" w:cs="Arial"/>
          <w:spacing w:val="-2"/>
          <w:szCs w:val="18"/>
          <w:lang w:val="en-US" w:eastAsia="pt-BR"/>
        </w:rPr>
      </w:pPr>
      <w:r w:rsidRPr="00240529">
        <w:rPr>
          <w:rFonts w:eastAsia="Times New Roman" w:cs="Arial"/>
          <w:spacing w:val="-2"/>
          <w:szCs w:val="18"/>
          <w:lang w:val="en-US" w:eastAsia="pt-BR"/>
        </w:rPr>
        <w:t xml:space="preserve">Investments in equity interests in the companies BB </w:t>
      </w:r>
      <w:r>
        <w:rPr>
          <w:rFonts w:eastAsia="Times New Roman" w:cs="Arial"/>
          <w:spacing w:val="-2"/>
          <w:szCs w:val="18"/>
          <w:lang w:val="en-US" w:eastAsia="pt-BR"/>
        </w:rPr>
        <w:t>MAPFRE</w:t>
      </w:r>
      <w:r w:rsidRPr="00240529">
        <w:rPr>
          <w:rFonts w:eastAsia="Times New Roman" w:cs="Arial"/>
          <w:spacing w:val="-2"/>
          <w:szCs w:val="18"/>
          <w:lang w:val="en-US" w:eastAsia="pt-BR"/>
        </w:rPr>
        <w:t xml:space="preserve"> Participações S.A., Brasilprev Seguros e Previdência S.A., Brasilcap Capitalização S.A., Brasildental Operadora de Planos Odontológicos S.A. and Ciclic Corretora de Seguros S.A. are valued using the equity method, whether classified as investments in associates or joint ventures.</w:t>
      </w:r>
    </w:p>
    <w:p w14:paraId="0887E16D" w14:textId="77777777" w:rsidR="008B7E19" w:rsidRDefault="008B7E19" w:rsidP="008B7E19">
      <w:pPr>
        <w:spacing w:before="120" w:after="120"/>
        <w:jc w:val="both"/>
        <w:rPr>
          <w:rFonts w:eastAsia="Times New Roman" w:cs="Arial"/>
          <w:spacing w:val="-2"/>
          <w:szCs w:val="18"/>
          <w:lang w:val="en-US" w:eastAsia="pt-BR"/>
        </w:rPr>
      </w:pPr>
      <w:r w:rsidRPr="003068E7">
        <w:rPr>
          <w:rFonts w:eastAsia="Times New Roman" w:cs="Arial"/>
          <w:spacing w:val="-2"/>
          <w:szCs w:val="18"/>
          <w:lang w:val="en-US" w:eastAsia="pt-BR"/>
        </w:rPr>
        <w:t>In accordance with CPC 18 [IAS 28], the equity value of investees, for purposes of applying the equity method, will be recognized based on the balance sheet or verification balance prepared, on the same date, or within two months of lag. Due to operational issues, as of January 2023, the accounting recognition of the investment in Brasildental, through the equity method, is being carried out with a delay of one month. For the other companies, the dates coincide with the accounting closing date of the BB Seguridade Group.</w:t>
      </w:r>
    </w:p>
    <w:p w14:paraId="5FDFC5FF" w14:textId="77777777" w:rsidR="008B7E19" w:rsidRDefault="008B7E19" w:rsidP="008B7E19">
      <w:pPr>
        <w:spacing w:before="120" w:after="120"/>
        <w:jc w:val="both"/>
        <w:rPr>
          <w:rFonts w:eastAsia="Times New Roman" w:cs="Arial"/>
          <w:spacing w:val="-2"/>
          <w:szCs w:val="18"/>
          <w:lang w:val="en-US" w:eastAsia="pt-BR"/>
        </w:rPr>
      </w:pPr>
      <w:r w:rsidRPr="000A77E1">
        <w:rPr>
          <w:rFonts w:eastAsia="Times New Roman" w:cs="Arial"/>
          <w:spacing w:val="-2"/>
          <w:szCs w:val="18"/>
          <w:lang w:val="en-US" w:eastAsia="pt-BR"/>
        </w:rPr>
        <w:t>In situations where the investees use different accounting practices in events and transactions of the same nature in similar circumstances, the necessary adjustments are carried out to make the financial statements of the investees suitable to the accounting practices adopted by the investor.</w:t>
      </w:r>
    </w:p>
    <w:p w14:paraId="26BBB8B5" w14:textId="77777777" w:rsidR="008B7E19" w:rsidRPr="00481176" w:rsidRDefault="008B7E19" w:rsidP="008B7E19">
      <w:pPr>
        <w:spacing w:before="120" w:after="120"/>
        <w:jc w:val="both"/>
        <w:rPr>
          <w:rFonts w:eastAsia="Times New Roman" w:cs="Times New Roman"/>
          <w:b/>
          <w:color w:val="244061"/>
          <w:spacing w:val="-2"/>
          <w:szCs w:val="18"/>
          <w:lang w:val="en-US" w:eastAsia="pt-BR"/>
        </w:rPr>
      </w:pPr>
      <w:r>
        <w:rPr>
          <w:rFonts w:eastAsia="Times New Roman" w:cs="Times New Roman"/>
          <w:b/>
          <w:color w:val="244061"/>
          <w:spacing w:val="-2"/>
          <w:szCs w:val="18"/>
          <w:lang w:val="en-US" w:eastAsia="pt-BR"/>
        </w:rPr>
        <w:t>i</w:t>
      </w:r>
      <w:r w:rsidRPr="00481176">
        <w:rPr>
          <w:rFonts w:eastAsia="Times New Roman" w:cs="Times New Roman"/>
          <w:b/>
          <w:color w:val="244061"/>
          <w:spacing w:val="-2"/>
          <w:szCs w:val="18"/>
          <w:lang w:val="en-US" w:eastAsia="pt-BR"/>
        </w:rPr>
        <w:t xml:space="preserve">) </w:t>
      </w:r>
      <w:r w:rsidRPr="000A77E1">
        <w:rPr>
          <w:rFonts w:eastAsia="Times New Roman" w:cs="Times New Roman"/>
          <w:b/>
          <w:color w:val="244061"/>
          <w:spacing w:val="-2"/>
          <w:szCs w:val="18"/>
          <w:lang w:val="en-US" w:eastAsia="pt-BR"/>
        </w:rPr>
        <w:t>Provisions, Contingent Liabilities and Legal Obligations</w:t>
      </w:r>
    </w:p>
    <w:p w14:paraId="0AA9AEE8" w14:textId="77777777" w:rsidR="008B7E19" w:rsidRPr="000A77E1" w:rsidRDefault="008B7E19" w:rsidP="008B7E19">
      <w:pPr>
        <w:spacing w:before="120" w:after="120"/>
        <w:jc w:val="both"/>
        <w:rPr>
          <w:rFonts w:eastAsia="Times New Roman" w:cs="Arial"/>
          <w:spacing w:val="-2"/>
          <w:szCs w:val="18"/>
          <w:lang w:val="en-US" w:eastAsia="pt-BR"/>
        </w:rPr>
      </w:pPr>
      <w:r w:rsidRPr="000A77E1">
        <w:rPr>
          <w:rFonts w:eastAsia="Times New Roman" w:cs="Arial"/>
          <w:spacing w:val="-2"/>
          <w:szCs w:val="18"/>
          <w:lang w:val="en-US" w:eastAsia="pt-BR"/>
        </w:rPr>
        <w:t xml:space="preserve">The recognition, measurement and disclosure of contingent liabilities and legal obligations are carried out in accordance with the criteria defined in the CPC 25 </w:t>
      </w:r>
      <w:r>
        <w:rPr>
          <w:rFonts w:eastAsia="Times New Roman" w:cs="Arial"/>
          <w:spacing w:val="-2"/>
          <w:szCs w:val="18"/>
          <w:lang w:val="en-US" w:eastAsia="pt-BR"/>
        </w:rPr>
        <w:t xml:space="preserve">[IAS 37] </w:t>
      </w:r>
      <w:r w:rsidRPr="000A77E1">
        <w:rPr>
          <w:rFonts w:eastAsia="Times New Roman" w:cs="Arial"/>
          <w:spacing w:val="-2"/>
          <w:szCs w:val="18"/>
          <w:lang w:val="en-US" w:eastAsia="pt-BR"/>
        </w:rPr>
        <w:t>– Provisions, Contingent Liabilities and Contingent Assets.</w:t>
      </w:r>
    </w:p>
    <w:p w14:paraId="2AA7A1C5" w14:textId="77777777" w:rsidR="008B7E19" w:rsidRPr="000A77E1" w:rsidRDefault="008B7E19" w:rsidP="008B7E19">
      <w:pPr>
        <w:spacing w:before="120" w:after="120"/>
        <w:jc w:val="both"/>
        <w:rPr>
          <w:rFonts w:eastAsia="Times New Roman" w:cs="Arial"/>
          <w:spacing w:val="-2"/>
          <w:szCs w:val="18"/>
          <w:lang w:val="en-US" w:eastAsia="pt-BR"/>
        </w:rPr>
      </w:pPr>
      <w:r w:rsidRPr="000A77E1">
        <w:rPr>
          <w:rFonts w:eastAsia="Times New Roman" w:cs="Arial"/>
          <w:spacing w:val="-2"/>
          <w:szCs w:val="18"/>
          <w:lang w:val="en-US" w:eastAsia="pt-BR"/>
        </w:rPr>
        <w:t xml:space="preserve">Provisions related to legal and administrative proceedings are recognized in the financial statements when, based on the analysis of legal advisors and the Management, the risk of loss of a legal or administrative action is deemed probable, with a probable outflow of funds for the settlement of obligations and when the amounts involved are measurable with sufficient certainty, being quantified upon the court summons/notification and reviewed monthly on an individual basis, thus considering the processes related to causes considered unusual or whose value is deemed relevant under the analysis of advisors, considering the intended compensation amount. </w:t>
      </w:r>
    </w:p>
    <w:p w14:paraId="7BF5D1D6" w14:textId="77777777" w:rsidR="008B7E19" w:rsidRPr="000A77E1" w:rsidRDefault="008B7E19" w:rsidP="008B7E19">
      <w:pPr>
        <w:spacing w:before="120" w:after="120"/>
        <w:jc w:val="both"/>
        <w:rPr>
          <w:rFonts w:eastAsia="Times New Roman" w:cs="Arial"/>
          <w:spacing w:val="-2"/>
          <w:szCs w:val="18"/>
          <w:lang w:val="en-US" w:eastAsia="pt-BR"/>
        </w:rPr>
      </w:pPr>
      <w:r w:rsidRPr="000A77E1">
        <w:rPr>
          <w:rFonts w:eastAsia="Times New Roman" w:cs="Arial"/>
          <w:spacing w:val="-2"/>
          <w:szCs w:val="18"/>
          <w:lang w:val="en-US" w:eastAsia="pt-BR"/>
        </w:rPr>
        <w:t>Contingent liabilities classified as possible losses are not recognized in the accounts, and should only be disclosed in the explanatory notes, and those classified as remote do not require provision and disclosure.</w:t>
      </w:r>
    </w:p>
    <w:p w14:paraId="208005B1" w14:textId="77777777" w:rsidR="008B7E19" w:rsidRDefault="008B7E19" w:rsidP="008B7E19">
      <w:pPr>
        <w:spacing w:before="120" w:after="120"/>
        <w:jc w:val="both"/>
        <w:rPr>
          <w:rFonts w:eastAsia="Times New Roman" w:cs="Arial"/>
          <w:spacing w:val="-2"/>
          <w:szCs w:val="18"/>
          <w:lang w:val="en-US" w:eastAsia="pt-BR"/>
        </w:rPr>
      </w:pPr>
      <w:r w:rsidRPr="000A77E1">
        <w:rPr>
          <w:rFonts w:eastAsia="Times New Roman" w:cs="Arial"/>
          <w:spacing w:val="-2"/>
          <w:szCs w:val="18"/>
          <w:lang w:val="en-US" w:eastAsia="pt-BR"/>
        </w:rPr>
        <w:t>Tax legal obligations are derived from tax obligations provided for by the legislation, irrespective of the probability of success of lawsuits in progress, and their amounts are fully recognized in the financial statements.</w:t>
      </w:r>
    </w:p>
    <w:p w14:paraId="6A671005" w14:textId="77777777" w:rsidR="008B7E19" w:rsidRPr="00481176" w:rsidRDefault="008B7E19" w:rsidP="008B7E19">
      <w:pPr>
        <w:spacing w:before="120" w:after="120"/>
        <w:jc w:val="both"/>
        <w:rPr>
          <w:rFonts w:eastAsia="Times New Roman" w:cs="Times New Roman"/>
          <w:b/>
          <w:color w:val="244061"/>
          <w:spacing w:val="-2"/>
          <w:szCs w:val="18"/>
          <w:lang w:val="en-US" w:eastAsia="pt-BR"/>
        </w:rPr>
      </w:pPr>
      <w:r>
        <w:rPr>
          <w:rFonts w:eastAsia="Times New Roman" w:cs="Times New Roman"/>
          <w:b/>
          <w:color w:val="244061"/>
          <w:spacing w:val="-2"/>
          <w:szCs w:val="18"/>
          <w:lang w:val="en-US" w:eastAsia="pt-BR"/>
        </w:rPr>
        <w:t>j</w:t>
      </w:r>
      <w:r w:rsidRPr="00481176">
        <w:rPr>
          <w:rFonts w:eastAsia="Times New Roman" w:cs="Times New Roman"/>
          <w:b/>
          <w:color w:val="244061"/>
          <w:spacing w:val="-2"/>
          <w:szCs w:val="18"/>
          <w:lang w:val="en-US" w:eastAsia="pt-BR"/>
        </w:rPr>
        <w:t>) Taxes</w:t>
      </w:r>
    </w:p>
    <w:p w14:paraId="0EDE7CEA" w14:textId="77777777" w:rsidR="008B7E19" w:rsidRDefault="008B7E19" w:rsidP="008B7E19">
      <w:pPr>
        <w:spacing w:before="120" w:after="120"/>
        <w:jc w:val="both"/>
        <w:rPr>
          <w:rFonts w:eastAsia="Times New Roman" w:cs="Arial"/>
          <w:szCs w:val="20"/>
          <w:lang w:val="en-US" w:eastAsia="pt-BR"/>
        </w:rPr>
      </w:pPr>
      <w:r>
        <w:rPr>
          <w:rFonts w:eastAsia="Times New Roman" w:cs="Arial"/>
          <w:szCs w:val="20"/>
          <w:lang w:val="en-US" w:eastAsia="pt-BR"/>
        </w:rPr>
        <w:t>Taxes are calculated based on the rates shown in the table below:</w:t>
      </w:r>
    </w:p>
    <w:tbl>
      <w:tblPr>
        <w:tblW w:w="9639" w:type="dxa"/>
        <w:jc w:val="center"/>
        <w:tblBorders>
          <w:top w:val="single" w:sz="2" w:space="0" w:color="8EAADB" w:themeColor="accent5" w:themeTint="99"/>
          <w:bottom w:val="single" w:sz="2" w:space="0" w:color="8EAADB" w:themeColor="accent5" w:themeTint="99"/>
        </w:tblBorders>
        <w:tblLayout w:type="fixed"/>
        <w:tblLook w:val="04A0" w:firstRow="1" w:lastRow="0" w:firstColumn="1" w:lastColumn="0" w:noHBand="0" w:noVBand="1"/>
      </w:tblPr>
      <w:tblGrid>
        <w:gridCol w:w="6574"/>
        <w:gridCol w:w="1532"/>
        <w:gridCol w:w="1533"/>
      </w:tblGrid>
      <w:tr w:rsidR="008B7E19" w:rsidRPr="00BD0B87" w14:paraId="30E35EB0" w14:textId="77777777" w:rsidTr="008B7E19">
        <w:trPr>
          <w:trHeight w:val="238"/>
          <w:jc w:val="center"/>
        </w:trPr>
        <w:tc>
          <w:tcPr>
            <w:tcW w:w="6379" w:type="dxa"/>
            <w:tcBorders>
              <w:top w:val="single" w:sz="2" w:space="0" w:color="1F4E79" w:themeColor="accent1" w:themeShade="80"/>
              <w:bottom w:val="single" w:sz="2" w:space="0" w:color="1F4E79" w:themeColor="accent1" w:themeShade="80"/>
            </w:tcBorders>
            <w:shd w:val="clear" w:color="auto" w:fill="auto"/>
            <w:vAlign w:val="center"/>
          </w:tcPr>
          <w:p w14:paraId="086AE278" w14:textId="77777777" w:rsidR="008B7E19" w:rsidRPr="00BD0B87" w:rsidRDefault="008B7E19" w:rsidP="008B7E19">
            <w:pPr>
              <w:spacing w:after="0"/>
              <w:rPr>
                <w:rFonts w:cs="Arial"/>
                <w:b/>
                <w:szCs w:val="18"/>
              </w:rPr>
            </w:pPr>
            <w:r w:rsidRPr="00BD0B87">
              <w:rPr>
                <w:rFonts w:eastAsia="Times New Roman" w:cs="Arial"/>
                <w:b/>
                <w:spacing w:val="-2"/>
                <w:sz w:val="14"/>
                <w:szCs w:val="18"/>
                <w:lang w:eastAsia="pt-BR"/>
              </w:rPr>
              <w:t>Taxes</w:t>
            </w:r>
          </w:p>
        </w:tc>
        <w:tc>
          <w:tcPr>
            <w:tcW w:w="1487" w:type="dxa"/>
            <w:tcBorders>
              <w:top w:val="single" w:sz="2" w:space="0" w:color="1F4E79" w:themeColor="accent1" w:themeShade="80"/>
              <w:bottom w:val="single" w:sz="2" w:space="0" w:color="1F4E79" w:themeColor="accent1" w:themeShade="80"/>
            </w:tcBorders>
            <w:vAlign w:val="center"/>
          </w:tcPr>
          <w:p w14:paraId="077ED7AF" w14:textId="77777777" w:rsidR="008B7E19" w:rsidRDefault="008B7E19" w:rsidP="008B7E19">
            <w:pPr>
              <w:spacing w:after="0"/>
              <w:jc w:val="right"/>
              <w:rPr>
                <w:rFonts w:eastAsia="Times New Roman" w:cs="Arial"/>
                <w:b/>
                <w:spacing w:val="-2"/>
                <w:sz w:val="14"/>
                <w:szCs w:val="18"/>
                <w:lang w:eastAsia="pt-BR"/>
              </w:rPr>
            </w:pPr>
            <w:r>
              <w:rPr>
                <w:rFonts w:eastAsia="Times New Roman" w:cs="Arial"/>
                <w:b/>
                <w:spacing w:val="-2"/>
                <w:sz w:val="14"/>
                <w:szCs w:val="18"/>
                <w:lang w:eastAsia="pt-BR"/>
              </w:rPr>
              <w:t>June 30</w:t>
            </w:r>
            <w:r w:rsidRPr="00BD0B87">
              <w:rPr>
                <w:rFonts w:eastAsia="Times New Roman" w:cs="Arial"/>
                <w:b/>
                <w:spacing w:val="-2"/>
                <w:sz w:val="14"/>
                <w:szCs w:val="18"/>
                <w:lang w:eastAsia="pt-BR"/>
              </w:rPr>
              <w:t>, 202</w:t>
            </w:r>
            <w:r>
              <w:rPr>
                <w:rFonts w:eastAsia="Times New Roman" w:cs="Arial"/>
                <w:b/>
                <w:spacing w:val="-2"/>
                <w:sz w:val="14"/>
                <w:szCs w:val="18"/>
                <w:lang w:eastAsia="pt-BR"/>
              </w:rPr>
              <w:t>3</w:t>
            </w:r>
          </w:p>
        </w:tc>
        <w:tc>
          <w:tcPr>
            <w:tcW w:w="1488" w:type="dxa"/>
            <w:tcBorders>
              <w:top w:val="single" w:sz="2" w:space="0" w:color="1F4E79" w:themeColor="accent1" w:themeShade="80"/>
              <w:bottom w:val="single" w:sz="2" w:space="0" w:color="1F4E79" w:themeColor="accent1" w:themeShade="80"/>
            </w:tcBorders>
            <w:vAlign w:val="center"/>
          </w:tcPr>
          <w:p w14:paraId="28250FFE" w14:textId="77777777" w:rsidR="008B7E19" w:rsidRDefault="008B7E19" w:rsidP="008B7E19">
            <w:pPr>
              <w:spacing w:after="0"/>
              <w:jc w:val="right"/>
              <w:rPr>
                <w:rFonts w:eastAsia="Times New Roman" w:cs="Arial"/>
                <w:b/>
                <w:spacing w:val="-2"/>
                <w:sz w:val="14"/>
                <w:szCs w:val="18"/>
                <w:lang w:eastAsia="pt-BR"/>
              </w:rPr>
            </w:pPr>
            <w:r>
              <w:rPr>
                <w:rFonts w:eastAsia="Times New Roman" w:cs="Arial"/>
                <w:b/>
                <w:spacing w:val="-2"/>
                <w:sz w:val="14"/>
                <w:szCs w:val="18"/>
                <w:lang w:eastAsia="pt-BR"/>
              </w:rPr>
              <w:t>Dec</w:t>
            </w:r>
            <w:r w:rsidRPr="00BD0B87">
              <w:rPr>
                <w:rFonts w:eastAsia="Times New Roman" w:cs="Arial"/>
                <w:b/>
                <w:spacing w:val="-2"/>
                <w:sz w:val="14"/>
                <w:szCs w:val="18"/>
                <w:lang w:eastAsia="pt-BR"/>
              </w:rPr>
              <w:t xml:space="preserve"> 3</w:t>
            </w:r>
            <w:r>
              <w:rPr>
                <w:rFonts w:eastAsia="Times New Roman" w:cs="Arial"/>
                <w:b/>
                <w:spacing w:val="-2"/>
                <w:sz w:val="14"/>
                <w:szCs w:val="18"/>
                <w:lang w:eastAsia="pt-BR"/>
              </w:rPr>
              <w:t>1</w:t>
            </w:r>
            <w:r w:rsidRPr="00BD0B87">
              <w:rPr>
                <w:rFonts w:eastAsia="Times New Roman" w:cs="Arial"/>
                <w:b/>
                <w:spacing w:val="-2"/>
                <w:sz w:val="14"/>
                <w:szCs w:val="18"/>
                <w:lang w:eastAsia="pt-BR"/>
              </w:rPr>
              <w:t>, 202</w:t>
            </w:r>
            <w:r>
              <w:rPr>
                <w:rFonts w:eastAsia="Times New Roman" w:cs="Arial"/>
                <w:b/>
                <w:spacing w:val="-2"/>
                <w:sz w:val="14"/>
                <w:szCs w:val="18"/>
                <w:lang w:eastAsia="pt-BR"/>
              </w:rPr>
              <w:t>2</w:t>
            </w:r>
          </w:p>
        </w:tc>
      </w:tr>
      <w:tr w:rsidR="008B7E19" w:rsidRPr="00653274" w14:paraId="79BBA91F" w14:textId="77777777" w:rsidTr="008B7E19">
        <w:trPr>
          <w:trHeight w:val="238"/>
          <w:jc w:val="center"/>
        </w:trPr>
        <w:tc>
          <w:tcPr>
            <w:tcW w:w="6379" w:type="dxa"/>
            <w:tcBorders>
              <w:top w:val="single" w:sz="2" w:space="0" w:color="1F4E79" w:themeColor="accent1" w:themeShade="80"/>
              <w:bottom w:val="nil"/>
            </w:tcBorders>
            <w:shd w:val="clear" w:color="auto" w:fill="auto"/>
            <w:vAlign w:val="center"/>
          </w:tcPr>
          <w:p w14:paraId="1DB4507E" w14:textId="77777777" w:rsidR="008B7E19" w:rsidRPr="00653274" w:rsidRDefault="008B7E19" w:rsidP="008B7E19">
            <w:pPr>
              <w:keepNext/>
              <w:keepLines/>
              <w:spacing w:before="40" w:after="40" w:line="240" w:lineRule="auto"/>
              <w:rPr>
                <w:rFonts w:eastAsia="Times New Roman" w:cs="Arial"/>
                <w:b/>
                <w:bCs/>
                <w:spacing w:val="-2"/>
                <w:sz w:val="14"/>
                <w:szCs w:val="14"/>
                <w:lang w:eastAsia="pt-BR"/>
              </w:rPr>
            </w:pPr>
            <w:r>
              <w:rPr>
                <w:rFonts w:eastAsia="Times New Roman" w:cs="Arial"/>
                <w:spacing w:val="-2"/>
                <w:sz w:val="14"/>
                <w:szCs w:val="18"/>
                <w:lang w:eastAsia="pt-BR"/>
              </w:rPr>
              <w:t>Individual Income Tax (IRPJ)</w:t>
            </w:r>
            <w:r>
              <w:rPr>
                <w:rFonts w:eastAsia="Times New Roman" w:cs="Arial"/>
                <w:spacing w:val="-2"/>
                <w:sz w:val="14"/>
                <w:szCs w:val="18"/>
                <w:vertAlign w:val="superscript"/>
                <w:lang w:eastAsia="pt-BR"/>
              </w:rPr>
              <w:t xml:space="preserve"> (</w:t>
            </w:r>
            <w:r>
              <w:rPr>
                <w:rFonts w:eastAsia="Times New Roman" w:cs="Arial"/>
                <w:spacing w:val="-2"/>
                <w:sz w:val="14"/>
                <w:szCs w:val="18"/>
                <w:lang w:eastAsia="pt-BR"/>
              </w:rPr>
              <w:t>¹</w:t>
            </w:r>
            <w:r>
              <w:rPr>
                <w:rFonts w:eastAsia="Times New Roman" w:cs="Arial"/>
                <w:spacing w:val="-2"/>
                <w:sz w:val="14"/>
                <w:szCs w:val="18"/>
                <w:vertAlign w:val="superscript"/>
                <w:lang w:eastAsia="pt-BR"/>
              </w:rPr>
              <w:t>)</w:t>
            </w:r>
          </w:p>
        </w:tc>
        <w:tc>
          <w:tcPr>
            <w:tcW w:w="1487" w:type="dxa"/>
            <w:tcBorders>
              <w:top w:val="single" w:sz="2" w:space="0" w:color="1F4E79" w:themeColor="accent1" w:themeShade="80"/>
              <w:bottom w:val="nil"/>
            </w:tcBorders>
          </w:tcPr>
          <w:p w14:paraId="2980C159" w14:textId="77777777" w:rsidR="008B7E19" w:rsidRPr="00481176" w:rsidRDefault="008B7E19" w:rsidP="008B7E19">
            <w:pPr>
              <w:keepNext/>
              <w:keepLines/>
              <w:spacing w:before="40" w:after="40" w:line="240" w:lineRule="auto"/>
              <w:jc w:val="right"/>
              <w:rPr>
                <w:rFonts w:eastAsia="Times New Roman" w:cs="Arial"/>
                <w:spacing w:val="-2"/>
                <w:sz w:val="14"/>
                <w:szCs w:val="18"/>
                <w:lang w:eastAsia="pt-BR"/>
              </w:rPr>
            </w:pPr>
            <w:r w:rsidRPr="00481176">
              <w:rPr>
                <w:rFonts w:eastAsia="Times New Roman" w:cs="Arial"/>
                <w:spacing w:val="-2"/>
                <w:sz w:val="14"/>
                <w:szCs w:val="18"/>
                <w:lang w:eastAsia="pt-BR"/>
              </w:rPr>
              <w:t>25%</w:t>
            </w:r>
          </w:p>
        </w:tc>
        <w:tc>
          <w:tcPr>
            <w:tcW w:w="1488" w:type="dxa"/>
            <w:tcBorders>
              <w:top w:val="single" w:sz="2" w:space="0" w:color="1F4E79" w:themeColor="accent1" w:themeShade="80"/>
              <w:bottom w:val="nil"/>
            </w:tcBorders>
          </w:tcPr>
          <w:p w14:paraId="4B86496D" w14:textId="77777777" w:rsidR="008B7E19" w:rsidRPr="00481176" w:rsidRDefault="008B7E19" w:rsidP="008B7E19">
            <w:pPr>
              <w:keepNext/>
              <w:keepLines/>
              <w:spacing w:before="40" w:after="40" w:line="240" w:lineRule="auto"/>
              <w:jc w:val="right"/>
              <w:rPr>
                <w:rFonts w:eastAsia="Times New Roman" w:cs="Arial"/>
                <w:spacing w:val="-2"/>
                <w:sz w:val="14"/>
                <w:szCs w:val="18"/>
                <w:lang w:eastAsia="pt-BR"/>
              </w:rPr>
            </w:pPr>
            <w:r w:rsidRPr="00481176">
              <w:rPr>
                <w:rFonts w:eastAsia="Times New Roman" w:cs="Arial"/>
                <w:spacing w:val="-2"/>
                <w:sz w:val="14"/>
                <w:szCs w:val="18"/>
                <w:lang w:eastAsia="pt-BR"/>
              </w:rPr>
              <w:t>25%</w:t>
            </w:r>
          </w:p>
        </w:tc>
      </w:tr>
      <w:tr w:rsidR="008B7E19" w:rsidRPr="00653274" w14:paraId="53930F4F" w14:textId="77777777" w:rsidTr="008B7E19">
        <w:trPr>
          <w:trHeight w:val="238"/>
          <w:jc w:val="center"/>
        </w:trPr>
        <w:tc>
          <w:tcPr>
            <w:tcW w:w="6379" w:type="dxa"/>
            <w:tcBorders>
              <w:top w:val="nil"/>
            </w:tcBorders>
            <w:shd w:val="clear" w:color="auto" w:fill="auto"/>
            <w:vAlign w:val="center"/>
          </w:tcPr>
          <w:p w14:paraId="2F53F1E4" w14:textId="77777777" w:rsidR="008B7E19" w:rsidRPr="00653274" w:rsidRDefault="008B7E19" w:rsidP="008B7E19">
            <w:pPr>
              <w:keepNext/>
              <w:keepLines/>
              <w:spacing w:before="40" w:after="40" w:line="240" w:lineRule="auto"/>
              <w:rPr>
                <w:rFonts w:eastAsia="Times New Roman" w:cs="Arial"/>
                <w:b/>
                <w:bCs/>
                <w:spacing w:val="-2"/>
                <w:sz w:val="14"/>
                <w:szCs w:val="14"/>
                <w:lang w:val="en-US" w:eastAsia="pt-BR"/>
              </w:rPr>
            </w:pPr>
            <w:r>
              <w:rPr>
                <w:rFonts w:eastAsia="Times New Roman" w:cs="Arial"/>
                <w:spacing w:val="-2"/>
                <w:sz w:val="14"/>
                <w:szCs w:val="18"/>
                <w:lang w:val="en-US" w:eastAsia="pt-BR"/>
              </w:rPr>
              <w:t>Social Contribution on Net Income (CSLL)</w:t>
            </w:r>
          </w:p>
        </w:tc>
        <w:tc>
          <w:tcPr>
            <w:tcW w:w="1487" w:type="dxa"/>
            <w:tcBorders>
              <w:top w:val="nil"/>
            </w:tcBorders>
          </w:tcPr>
          <w:p w14:paraId="42737365" w14:textId="77777777" w:rsidR="008B7E19" w:rsidRPr="00481176" w:rsidRDefault="008B7E19" w:rsidP="008B7E19">
            <w:pPr>
              <w:keepNext/>
              <w:keepLines/>
              <w:spacing w:before="40" w:after="40" w:line="240" w:lineRule="auto"/>
              <w:jc w:val="right"/>
              <w:rPr>
                <w:rFonts w:eastAsia="Times New Roman" w:cs="Arial"/>
                <w:spacing w:val="-2"/>
                <w:sz w:val="14"/>
                <w:szCs w:val="18"/>
                <w:lang w:eastAsia="pt-BR"/>
              </w:rPr>
            </w:pPr>
            <w:r w:rsidRPr="00481176">
              <w:rPr>
                <w:rFonts w:eastAsia="Times New Roman" w:cs="Arial"/>
                <w:spacing w:val="-2"/>
                <w:sz w:val="14"/>
                <w:szCs w:val="18"/>
                <w:lang w:eastAsia="pt-BR"/>
              </w:rPr>
              <w:t>9%</w:t>
            </w:r>
          </w:p>
        </w:tc>
        <w:tc>
          <w:tcPr>
            <w:tcW w:w="1488" w:type="dxa"/>
            <w:tcBorders>
              <w:top w:val="nil"/>
            </w:tcBorders>
          </w:tcPr>
          <w:p w14:paraId="621ED30A" w14:textId="77777777" w:rsidR="008B7E19" w:rsidRPr="00481176" w:rsidRDefault="008B7E19" w:rsidP="008B7E19">
            <w:pPr>
              <w:keepNext/>
              <w:keepLines/>
              <w:spacing w:before="40" w:after="40" w:line="240" w:lineRule="auto"/>
              <w:jc w:val="right"/>
              <w:rPr>
                <w:rFonts w:eastAsia="Times New Roman" w:cs="Arial"/>
                <w:spacing w:val="-2"/>
                <w:sz w:val="14"/>
                <w:szCs w:val="18"/>
                <w:lang w:eastAsia="pt-BR"/>
              </w:rPr>
            </w:pPr>
            <w:r w:rsidRPr="00481176">
              <w:rPr>
                <w:rFonts w:eastAsia="Times New Roman" w:cs="Arial"/>
                <w:spacing w:val="-2"/>
                <w:sz w:val="14"/>
                <w:szCs w:val="18"/>
                <w:lang w:eastAsia="pt-BR"/>
              </w:rPr>
              <w:t>9%</w:t>
            </w:r>
          </w:p>
        </w:tc>
      </w:tr>
      <w:tr w:rsidR="008B7E19" w:rsidRPr="00653274" w14:paraId="448EF3B2" w14:textId="77777777" w:rsidTr="008B7E19">
        <w:trPr>
          <w:trHeight w:val="238"/>
          <w:jc w:val="center"/>
        </w:trPr>
        <w:tc>
          <w:tcPr>
            <w:tcW w:w="6379" w:type="dxa"/>
            <w:shd w:val="clear" w:color="auto" w:fill="auto"/>
            <w:vAlign w:val="center"/>
          </w:tcPr>
          <w:p w14:paraId="4BBF1A06" w14:textId="77777777" w:rsidR="008B7E19" w:rsidRPr="00653274" w:rsidRDefault="008B7E19" w:rsidP="008B7E19">
            <w:pPr>
              <w:keepNext/>
              <w:keepLines/>
              <w:spacing w:before="40" w:after="40" w:line="240" w:lineRule="auto"/>
              <w:rPr>
                <w:rFonts w:eastAsia="Times New Roman" w:cs="Arial"/>
                <w:b/>
                <w:bCs/>
                <w:spacing w:val="-2"/>
                <w:sz w:val="14"/>
                <w:szCs w:val="14"/>
                <w:lang w:val="en-US" w:eastAsia="pt-BR"/>
              </w:rPr>
            </w:pPr>
            <w:r>
              <w:rPr>
                <w:rFonts w:eastAsia="Times New Roman" w:cs="Arial"/>
                <w:spacing w:val="-2"/>
                <w:sz w:val="14"/>
                <w:szCs w:val="18"/>
                <w:lang w:val="en-US" w:eastAsia="pt-BR"/>
              </w:rPr>
              <w:t>Contribution to PIS (Social Integration Program) / Pasep (Investment Program for Civil Servants)</w:t>
            </w:r>
          </w:p>
        </w:tc>
        <w:tc>
          <w:tcPr>
            <w:tcW w:w="1487" w:type="dxa"/>
          </w:tcPr>
          <w:p w14:paraId="7D56273A" w14:textId="77777777" w:rsidR="008B7E19" w:rsidRPr="00481176" w:rsidRDefault="008B7E19" w:rsidP="008B7E19">
            <w:pPr>
              <w:keepNext/>
              <w:keepLines/>
              <w:spacing w:before="40" w:after="40" w:line="240" w:lineRule="auto"/>
              <w:jc w:val="right"/>
              <w:rPr>
                <w:rFonts w:eastAsia="Times New Roman" w:cs="Arial"/>
                <w:spacing w:val="-2"/>
                <w:sz w:val="14"/>
                <w:szCs w:val="18"/>
                <w:lang w:eastAsia="pt-BR"/>
              </w:rPr>
            </w:pPr>
            <w:r w:rsidRPr="00481176">
              <w:rPr>
                <w:rFonts w:eastAsia="Times New Roman" w:cs="Arial"/>
                <w:spacing w:val="-2"/>
                <w:sz w:val="14"/>
                <w:szCs w:val="18"/>
                <w:lang w:eastAsia="pt-BR"/>
              </w:rPr>
              <w:t>1.65%</w:t>
            </w:r>
          </w:p>
        </w:tc>
        <w:tc>
          <w:tcPr>
            <w:tcW w:w="1488" w:type="dxa"/>
          </w:tcPr>
          <w:p w14:paraId="6D2BCE1C" w14:textId="77777777" w:rsidR="008B7E19" w:rsidRPr="00481176" w:rsidRDefault="008B7E19" w:rsidP="008B7E19">
            <w:pPr>
              <w:keepNext/>
              <w:keepLines/>
              <w:spacing w:before="40" w:after="40" w:line="240" w:lineRule="auto"/>
              <w:jc w:val="right"/>
              <w:rPr>
                <w:rFonts w:eastAsia="Times New Roman" w:cs="Arial"/>
                <w:spacing w:val="-2"/>
                <w:sz w:val="14"/>
                <w:szCs w:val="18"/>
                <w:lang w:eastAsia="pt-BR"/>
              </w:rPr>
            </w:pPr>
            <w:r w:rsidRPr="00481176">
              <w:rPr>
                <w:rFonts w:eastAsia="Times New Roman" w:cs="Arial"/>
                <w:spacing w:val="-2"/>
                <w:sz w:val="14"/>
                <w:szCs w:val="18"/>
                <w:lang w:eastAsia="pt-BR"/>
              </w:rPr>
              <w:t>1.65%</w:t>
            </w:r>
          </w:p>
        </w:tc>
      </w:tr>
      <w:tr w:rsidR="008B7E19" w:rsidRPr="00653274" w14:paraId="3F5CE382" w14:textId="77777777" w:rsidTr="008B7E19">
        <w:trPr>
          <w:trHeight w:val="238"/>
          <w:jc w:val="center"/>
        </w:trPr>
        <w:tc>
          <w:tcPr>
            <w:tcW w:w="6379" w:type="dxa"/>
            <w:shd w:val="clear" w:color="auto" w:fill="auto"/>
            <w:vAlign w:val="center"/>
          </w:tcPr>
          <w:p w14:paraId="3B27C051" w14:textId="77777777" w:rsidR="008B7E19" w:rsidRPr="00653274" w:rsidRDefault="008B7E19" w:rsidP="008B7E19">
            <w:pPr>
              <w:keepNext/>
              <w:keepLines/>
              <w:spacing w:before="40" w:after="40" w:line="240" w:lineRule="auto"/>
              <w:rPr>
                <w:rFonts w:eastAsia="Times New Roman" w:cs="Arial"/>
                <w:b/>
                <w:bCs/>
                <w:spacing w:val="-2"/>
                <w:sz w:val="14"/>
                <w:szCs w:val="14"/>
                <w:lang w:val="en-US" w:eastAsia="pt-BR"/>
              </w:rPr>
            </w:pPr>
            <w:r>
              <w:rPr>
                <w:rFonts w:eastAsia="Times New Roman" w:cs="Arial"/>
                <w:spacing w:val="-2"/>
                <w:sz w:val="14"/>
                <w:szCs w:val="18"/>
                <w:lang w:val="en-US" w:eastAsia="pt-BR"/>
              </w:rPr>
              <w:t>Contribution to the Financing of the Social Security (COFINS)</w:t>
            </w:r>
          </w:p>
        </w:tc>
        <w:tc>
          <w:tcPr>
            <w:tcW w:w="1487" w:type="dxa"/>
          </w:tcPr>
          <w:p w14:paraId="7F09B64B" w14:textId="77777777" w:rsidR="008B7E19" w:rsidRPr="00481176" w:rsidRDefault="008B7E19" w:rsidP="008B7E19">
            <w:pPr>
              <w:keepNext/>
              <w:keepLines/>
              <w:spacing w:before="40" w:after="40" w:line="240" w:lineRule="auto"/>
              <w:jc w:val="right"/>
              <w:rPr>
                <w:rFonts w:eastAsia="Times New Roman" w:cs="Arial"/>
                <w:spacing w:val="-2"/>
                <w:sz w:val="14"/>
                <w:szCs w:val="18"/>
                <w:lang w:eastAsia="pt-BR"/>
              </w:rPr>
            </w:pPr>
            <w:r w:rsidRPr="00481176">
              <w:rPr>
                <w:rFonts w:eastAsia="Times New Roman" w:cs="Arial"/>
                <w:spacing w:val="-2"/>
                <w:sz w:val="14"/>
                <w:szCs w:val="18"/>
                <w:lang w:eastAsia="pt-BR"/>
              </w:rPr>
              <w:t>7.60%</w:t>
            </w:r>
          </w:p>
        </w:tc>
        <w:tc>
          <w:tcPr>
            <w:tcW w:w="1488" w:type="dxa"/>
          </w:tcPr>
          <w:p w14:paraId="32A35767" w14:textId="77777777" w:rsidR="008B7E19" w:rsidRPr="00481176" w:rsidRDefault="008B7E19" w:rsidP="008B7E19">
            <w:pPr>
              <w:keepNext/>
              <w:keepLines/>
              <w:spacing w:before="40" w:after="40" w:line="240" w:lineRule="auto"/>
              <w:jc w:val="right"/>
              <w:rPr>
                <w:rFonts w:eastAsia="Times New Roman" w:cs="Arial"/>
                <w:spacing w:val="-2"/>
                <w:sz w:val="14"/>
                <w:szCs w:val="18"/>
                <w:lang w:eastAsia="pt-BR"/>
              </w:rPr>
            </w:pPr>
            <w:r w:rsidRPr="00481176">
              <w:rPr>
                <w:rFonts w:eastAsia="Times New Roman" w:cs="Arial"/>
                <w:spacing w:val="-2"/>
                <w:sz w:val="14"/>
                <w:szCs w:val="18"/>
                <w:lang w:eastAsia="pt-BR"/>
              </w:rPr>
              <w:t>7.60%</w:t>
            </w:r>
          </w:p>
        </w:tc>
      </w:tr>
      <w:tr w:rsidR="008B7E19" w:rsidRPr="00653274" w14:paraId="51F8CD0A" w14:textId="77777777" w:rsidTr="008B7E19">
        <w:trPr>
          <w:trHeight w:val="238"/>
          <w:jc w:val="center"/>
        </w:trPr>
        <w:tc>
          <w:tcPr>
            <w:tcW w:w="6379" w:type="dxa"/>
            <w:shd w:val="clear" w:color="auto" w:fill="auto"/>
            <w:vAlign w:val="center"/>
          </w:tcPr>
          <w:p w14:paraId="6990CAF0" w14:textId="77777777" w:rsidR="008B7E19" w:rsidRPr="0004479F" w:rsidRDefault="008B7E19" w:rsidP="008B7E19">
            <w:pPr>
              <w:keepNext/>
              <w:keepLines/>
              <w:spacing w:before="40" w:after="40" w:line="240" w:lineRule="auto"/>
              <w:rPr>
                <w:rFonts w:eastAsia="Times New Roman" w:cs="Arial"/>
                <w:b/>
                <w:bCs/>
                <w:spacing w:val="-2"/>
                <w:sz w:val="14"/>
                <w:szCs w:val="14"/>
                <w:lang w:val="en-US" w:eastAsia="pt-BR"/>
              </w:rPr>
            </w:pPr>
            <w:r w:rsidRPr="0004479F">
              <w:rPr>
                <w:rFonts w:eastAsia="Times New Roman" w:cs="Arial"/>
                <w:spacing w:val="-2"/>
                <w:sz w:val="14"/>
                <w:szCs w:val="18"/>
                <w:lang w:val="en-US" w:eastAsia="pt-BR"/>
              </w:rPr>
              <w:t>Contribution to PIS / Pasep on income from financial investments</w:t>
            </w:r>
          </w:p>
        </w:tc>
        <w:tc>
          <w:tcPr>
            <w:tcW w:w="1487" w:type="dxa"/>
          </w:tcPr>
          <w:p w14:paraId="72C65BC9" w14:textId="77777777" w:rsidR="008B7E19" w:rsidRPr="00481176" w:rsidRDefault="008B7E19" w:rsidP="008B7E19">
            <w:pPr>
              <w:keepNext/>
              <w:keepLines/>
              <w:spacing w:before="40" w:after="40" w:line="240" w:lineRule="auto"/>
              <w:jc w:val="right"/>
              <w:rPr>
                <w:rFonts w:eastAsia="Times New Roman" w:cs="Arial"/>
                <w:spacing w:val="-2"/>
                <w:sz w:val="14"/>
                <w:szCs w:val="18"/>
                <w:lang w:eastAsia="pt-BR"/>
              </w:rPr>
            </w:pPr>
            <w:r w:rsidRPr="00481176">
              <w:rPr>
                <w:rFonts w:eastAsia="Times New Roman" w:cs="Arial"/>
                <w:spacing w:val="-2"/>
                <w:sz w:val="14"/>
                <w:szCs w:val="18"/>
                <w:lang w:eastAsia="pt-BR"/>
              </w:rPr>
              <w:t>0.65%</w:t>
            </w:r>
          </w:p>
        </w:tc>
        <w:tc>
          <w:tcPr>
            <w:tcW w:w="1488" w:type="dxa"/>
          </w:tcPr>
          <w:p w14:paraId="3EBC1EDD" w14:textId="77777777" w:rsidR="008B7E19" w:rsidRPr="00481176" w:rsidRDefault="008B7E19" w:rsidP="008B7E19">
            <w:pPr>
              <w:keepNext/>
              <w:keepLines/>
              <w:spacing w:before="40" w:after="40" w:line="240" w:lineRule="auto"/>
              <w:jc w:val="right"/>
              <w:rPr>
                <w:rFonts w:eastAsia="Times New Roman" w:cs="Arial"/>
                <w:spacing w:val="-2"/>
                <w:sz w:val="14"/>
                <w:szCs w:val="18"/>
                <w:lang w:eastAsia="pt-BR"/>
              </w:rPr>
            </w:pPr>
            <w:r w:rsidRPr="00481176">
              <w:rPr>
                <w:rFonts w:eastAsia="Times New Roman" w:cs="Arial"/>
                <w:spacing w:val="-2"/>
                <w:sz w:val="14"/>
                <w:szCs w:val="18"/>
                <w:lang w:eastAsia="pt-BR"/>
              </w:rPr>
              <w:t>0.65%</w:t>
            </w:r>
          </w:p>
        </w:tc>
      </w:tr>
      <w:tr w:rsidR="008B7E19" w:rsidRPr="00653274" w14:paraId="1AA0B6B2" w14:textId="77777777" w:rsidTr="008B7E19">
        <w:trPr>
          <w:trHeight w:val="238"/>
          <w:jc w:val="center"/>
        </w:trPr>
        <w:tc>
          <w:tcPr>
            <w:tcW w:w="6379" w:type="dxa"/>
            <w:shd w:val="clear" w:color="auto" w:fill="auto"/>
            <w:vAlign w:val="center"/>
          </w:tcPr>
          <w:p w14:paraId="50DEE0C8" w14:textId="77777777" w:rsidR="008B7E19" w:rsidRPr="00653274" w:rsidRDefault="008B7E19" w:rsidP="008B7E19">
            <w:pPr>
              <w:keepNext/>
              <w:keepLines/>
              <w:spacing w:before="40" w:after="40" w:line="240" w:lineRule="auto"/>
              <w:rPr>
                <w:rFonts w:eastAsia="Times New Roman" w:cs="Arial"/>
                <w:b/>
                <w:bCs/>
                <w:spacing w:val="-2"/>
                <w:sz w:val="14"/>
                <w:szCs w:val="14"/>
                <w:lang w:val="en-US" w:eastAsia="pt-BR"/>
              </w:rPr>
            </w:pPr>
            <w:r>
              <w:rPr>
                <w:rFonts w:eastAsia="Times New Roman" w:cs="Arial"/>
                <w:spacing w:val="-2"/>
                <w:sz w:val="14"/>
                <w:szCs w:val="18"/>
                <w:lang w:val="en-US" w:eastAsia="pt-BR"/>
              </w:rPr>
              <w:t>Contribution to the Financing of the Social Security</w:t>
            </w:r>
            <w:r>
              <w:rPr>
                <w:rFonts w:eastAsia="Times New Roman" w:cs="Arial"/>
                <w:spacing w:val="-2"/>
                <w:sz w:val="14"/>
                <w:szCs w:val="18"/>
                <w:vertAlign w:val="superscript"/>
                <w:lang w:val="en-US" w:eastAsia="pt-BR"/>
              </w:rPr>
              <w:t xml:space="preserve"> </w:t>
            </w:r>
            <w:r>
              <w:rPr>
                <w:rFonts w:eastAsia="Times New Roman" w:cs="Arial"/>
                <w:spacing w:val="-2"/>
                <w:sz w:val="14"/>
                <w:szCs w:val="18"/>
                <w:lang w:val="en-US" w:eastAsia="pt-BR"/>
              </w:rPr>
              <w:t xml:space="preserve">(COFINS) </w:t>
            </w:r>
            <w:r w:rsidRPr="007561BA">
              <w:rPr>
                <w:rFonts w:eastAsia="Times New Roman" w:cs="Arial"/>
                <w:spacing w:val="-2"/>
                <w:sz w:val="14"/>
                <w:szCs w:val="18"/>
                <w:lang w:val="en-US" w:eastAsia="pt-BR"/>
              </w:rPr>
              <w:t>on income from financial investments</w:t>
            </w:r>
          </w:p>
        </w:tc>
        <w:tc>
          <w:tcPr>
            <w:tcW w:w="1487" w:type="dxa"/>
          </w:tcPr>
          <w:p w14:paraId="116244EE" w14:textId="77777777" w:rsidR="008B7E19" w:rsidRPr="00481176" w:rsidRDefault="008B7E19" w:rsidP="008B7E19">
            <w:pPr>
              <w:keepNext/>
              <w:keepLines/>
              <w:spacing w:before="40" w:after="40" w:line="240" w:lineRule="auto"/>
              <w:jc w:val="right"/>
              <w:rPr>
                <w:rFonts w:eastAsia="Times New Roman" w:cs="Arial"/>
                <w:spacing w:val="-2"/>
                <w:sz w:val="14"/>
                <w:szCs w:val="18"/>
                <w:lang w:eastAsia="pt-BR"/>
              </w:rPr>
            </w:pPr>
            <w:r w:rsidRPr="00481176">
              <w:rPr>
                <w:rFonts w:eastAsia="Times New Roman" w:cs="Arial"/>
                <w:spacing w:val="-2"/>
                <w:sz w:val="14"/>
                <w:szCs w:val="18"/>
                <w:lang w:eastAsia="pt-BR"/>
              </w:rPr>
              <w:t>4%</w:t>
            </w:r>
          </w:p>
        </w:tc>
        <w:tc>
          <w:tcPr>
            <w:tcW w:w="1488" w:type="dxa"/>
          </w:tcPr>
          <w:p w14:paraId="01FB2400" w14:textId="77777777" w:rsidR="008B7E19" w:rsidRPr="00481176" w:rsidRDefault="008B7E19" w:rsidP="008B7E19">
            <w:pPr>
              <w:keepNext/>
              <w:keepLines/>
              <w:spacing w:before="40" w:after="40" w:line="240" w:lineRule="auto"/>
              <w:jc w:val="right"/>
              <w:rPr>
                <w:rFonts w:eastAsia="Times New Roman" w:cs="Arial"/>
                <w:spacing w:val="-2"/>
                <w:sz w:val="14"/>
                <w:szCs w:val="18"/>
                <w:lang w:eastAsia="pt-BR"/>
              </w:rPr>
            </w:pPr>
            <w:r w:rsidRPr="00481176">
              <w:rPr>
                <w:rFonts w:eastAsia="Times New Roman" w:cs="Arial"/>
                <w:spacing w:val="-2"/>
                <w:sz w:val="14"/>
                <w:szCs w:val="18"/>
                <w:lang w:eastAsia="pt-BR"/>
              </w:rPr>
              <w:t>4%</w:t>
            </w:r>
          </w:p>
        </w:tc>
      </w:tr>
      <w:tr w:rsidR="008B7E19" w:rsidRPr="00653274" w14:paraId="1BCDC915" w14:textId="77777777" w:rsidTr="008B7E19">
        <w:trPr>
          <w:trHeight w:val="238"/>
          <w:jc w:val="center"/>
        </w:trPr>
        <w:tc>
          <w:tcPr>
            <w:tcW w:w="6379" w:type="dxa"/>
            <w:tcBorders>
              <w:bottom w:val="single" w:sz="2" w:space="0" w:color="1F4E79" w:themeColor="accent1" w:themeShade="80"/>
            </w:tcBorders>
            <w:shd w:val="clear" w:color="auto" w:fill="auto"/>
            <w:vAlign w:val="center"/>
          </w:tcPr>
          <w:p w14:paraId="228D81F7" w14:textId="77777777" w:rsidR="008B7E19" w:rsidRPr="00490672" w:rsidRDefault="008B7E19" w:rsidP="008B7E19">
            <w:pPr>
              <w:keepNext/>
              <w:keepLines/>
              <w:spacing w:before="40" w:after="40" w:line="240" w:lineRule="auto"/>
              <w:rPr>
                <w:rFonts w:eastAsia="Times New Roman" w:cs="Arial"/>
                <w:b/>
                <w:bCs/>
                <w:spacing w:val="-2"/>
                <w:sz w:val="14"/>
                <w:szCs w:val="14"/>
                <w:vertAlign w:val="superscript"/>
                <w:lang w:eastAsia="pt-BR"/>
              </w:rPr>
            </w:pPr>
            <w:r>
              <w:rPr>
                <w:rFonts w:eastAsia="Times New Roman" w:cs="Arial"/>
                <w:spacing w:val="-2"/>
                <w:sz w:val="14"/>
                <w:szCs w:val="18"/>
                <w:lang w:eastAsia="pt-BR"/>
              </w:rPr>
              <w:t>Service Tax – ISS</w:t>
            </w:r>
            <w:r>
              <w:rPr>
                <w:rFonts w:eastAsia="Times New Roman" w:cs="Arial"/>
                <w:spacing w:val="-2"/>
                <w:sz w:val="14"/>
                <w:szCs w:val="18"/>
                <w:vertAlign w:val="superscript"/>
                <w:lang w:eastAsia="pt-BR"/>
              </w:rPr>
              <w:t>(2)</w:t>
            </w:r>
          </w:p>
        </w:tc>
        <w:tc>
          <w:tcPr>
            <w:tcW w:w="1487" w:type="dxa"/>
            <w:tcBorders>
              <w:bottom w:val="single" w:sz="2" w:space="0" w:color="1F4E79" w:themeColor="accent1" w:themeShade="80"/>
            </w:tcBorders>
          </w:tcPr>
          <w:p w14:paraId="29BFAD29" w14:textId="77777777" w:rsidR="008B7E19" w:rsidRPr="00481176" w:rsidRDefault="008B7E19" w:rsidP="008B7E19">
            <w:pPr>
              <w:keepNext/>
              <w:keepLines/>
              <w:spacing w:before="40" w:after="40" w:line="240" w:lineRule="auto"/>
              <w:jc w:val="right"/>
              <w:rPr>
                <w:rFonts w:eastAsia="Times New Roman" w:cs="Arial"/>
                <w:spacing w:val="-2"/>
                <w:sz w:val="14"/>
                <w:szCs w:val="18"/>
                <w:lang w:eastAsia="pt-BR"/>
              </w:rPr>
            </w:pPr>
            <w:r w:rsidRPr="00481176">
              <w:rPr>
                <w:rFonts w:eastAsia="Times New Roman" w:cs="Arial"/>
                <w:spacing w:val="-2"/>
                <w:sz w:val="14"/>
                <w:szCs w:val="18"/>
                <w:lang w:eastAsia="pt-BR"/>
              </w:rPr>
              <w:t>Up to 5%</w:t>
            </w:r>
          </w:p>
        </w:tc>
        <w:tc>
          <w:tcPr>
            <w:tcW w:w="1488" w:type="dxa"/>
            <w:tcBorders>
              <w:bottom w:val="single" w:sz="2" w:space="0" w:color="1F4E79" w:themeColor="accent1" w:themeShade="80"/>
            </w:tcBorders>
          </w:tcPr>
          <w:p w14:paraId="3962BBDC" w14:textId="77777777" w:rsidR="008B7E19" w:rsidRPr="00481176" w:rsidRDefault="008B7E19" w:rsidP="008B7E19">
            <w:pPr>
              <w:keepNext/>
              <w:keepLines/>
              <w:spacing w:before="40" w:after="40" w:line="240" w:lineRule="auto"/>
              <w:jc w:val="right"/>
              <w:rPr>
                <w:rFonts w:eastAsia="Times New Roman" w:cs="Arial"/>
                <w:spacing w:val="-2"/>
                <w:sz w:val="14"/>
                <w:szCs w:val="18"/>
                <w:lang w:eastAsia="pt-BR"/>
              </w:rPr>
            </w:pPr>
            <w:r w:rsidRPr="00481176">
              <w:rPr>
                <w:rFonts w:eastAsia="Times New Roman" w:cs="Arial"/>
                <w:spacing w:val="-2"/>
                <w:sz w:val="14"/>
                <w:szCs w:val="18"/>
                <w:lang w:eastAsia="pt-BR"/>
              </w:rPr>
              <w:t>Up to 5%</w:t>
            </w:r>
          </w:p>
        </w:tc>
      </w:tr>
    </w:tbl>
    <w:p w14:paraId="40A7DC28" w14:textId="77777777" w:rsidR="008B7E19" w:rsidRDefault="008B7E19" w:rsidP="008B7E19">
      <w:pPr>
        <w:keepLines/>
        <w:tabs>
          <w:tab w:val="left" w:pos="284"/>
        </w:tabs>
        <w:spacing w:before="40" w:after="0" w:line="240" w:lineRule="auto"/>
        <w:jc w:val="both"/>
        <w:rPr>
          <w:rFonts w:eastAsia="Times New Roman" w:cs="Arial"/>
          <w:spacing w:val="-2"/>
          <w:sz w:val="14"/>
          <w:szCs w:val="18"/>
          <w:lang w:val="en-US" w:eastAsia="pt-BR"/>
        </w:rPr>
      </w:pPr>
      <w:r>
        <w:rPr>
          <w:rFonts w:eastAsia="Times New Roman" w:cs="Arial"/>
          <w:spacing w:val="-2"/>
          <w:sz w:val="14"/>
          <w:szCs w:val="18"/>
          <w:lang w:val="en-US" w:eastAsia="pt-BR"/>
        </w:rPr>
        <w:t>(1) Includes basic (15%) and additional (10%) rates</w:t>
      </w:r>
    </w:p>
    <w:p w14:paraId="02B5C6D9" w14:textId="77777777" w:rsidR="008B7E19" w:rsidRDefault="008B7E19" w:rsidP="008B7E19">
      <w:pPr>
        <w:keepLines/>
        <w:tabs>
          <w:tab w:val="left" w:pos="284"/>
        </w:tabs>
        <w:spacing w:before="40" w:after="0" w:line="240" w:lineRule="auto"/>
        <w:ind w:left="284" w:hanging="284"/>
        <w:jc w:val="both"/>
        <w:rPr>
          <w:rFonts w:eastAsia="Times New Roman" w:cs="Arial"/>
          <w:spacing w:val="-2"/>
          <w:sz w:val="14"/>
          <w:szCs w:val="18"/>
          <w:lang w:val="en-US" w:eastAsia="pt-BR"/>
        </w:rPr>
      </w:pPr>
      <w:r>
        <w:rPr>
          <w:rFonts w:eastAsia="Times New Roman" w:cs="Arial"/>
          <w:spacing w:val="-2"/>
          <w:sz w:val="14"/>
          <w:szCs w:val="18"/>
          <w:lang w:val="en-US" w:eastAsia="pt-BR"/>
        </w:rPr>
        <w:t xml:space="preserve">(2) </w:t>
      </w:r>
      <w:r w:rsidRPr="001B3D85">
        <w:rPr>
          <w:rFonts w:eastAsia="Times New Roman" w:cs="Arial"/>
          <w:spacing w:val="-2"/>
          <w:sz w:val="14"/>
          <w:szCs w:val="18"/>
          <w:lang w:val="en-US" w:eastAsia="pt-BR"/>
        </w:rPr>
        <w:t>Incident on the services provided by BB Corretora.</w:t>
      </w:r>
    </w:p>
    <w:p w14:paraId="129A1DEB" w14:textId="77777777" w:rsidR="008B7E19" w:rsidRPr="00481176" w:rsidRDefault="008B7E19" w:rsidP="008B7E19">
      <w:pPr>
        <w:keepLines/>
        <w:tabs>
          <w:tab w:val="left" w:pos="284"/>
        </w:tabs>
        <w:spacing w:before="40" w:after="0" w:line="240" w:lineRule="auto"/>
        <w:ind w:left="284" w:hanging="284"/>
        <w:jc w:val="both"/>
        <w:rPr>
          <w:rFonts w:eastAsia="Times New Roman" w:cs="Arial"/>
          <w:spacing w:val="-2"/>
          <w:sz w:val="14"/>
          <w:szCs w:val="18"/>
          <w:lang w:val="en-US" w:eastAsia="pt-BR"/>
        </w:rPr>
      </w:pPr>
    </w:p>
    <w:p w14:paraId="3D7A84DC" w14:textId="77777777" w:rsidR="008B7E19" w:rsidRDefault="008B7E19" w:rsidP="008B7E19">
      <w:pPr>
        <w:spacing w:before="120" w:after="120"/>
        <w:jc w:val="both"/>
        <w:rPr>
          <w:rFonts w:eastAsia="Times New Roman" w:cs="Arial"/>
          <w:spacing w:val="-2"/>
          <w:szCs w:val="18"/>
          <w:lang w:val="en-US" w:eastAsia="pt-BR"/>
        </w:rPr>
      </w:pPr>
      <w:r>
        <w:rPr>
          <w:rFonts w:eastAsia="Times New Roman" w:cs="Arial"/>
          <w:spacing w:val="-2"/>
          <w:szCs w:val="18"/>
          <w:lang w:val="en-US" w:eastAsia="pt-BR"/>
        </w:rPr>
        <w:t>The deferred tax assets and deferred tax liabilities are constituted by the application of the current tax rates on their respective bases. For constitution, maintenance and write-off of deferred tax assets, the criteria established by the CPC 32 [IAS 12] – Taxes on Profit are observed, and they are supported by a realization capacity study.</w:t>
      </w:r>
    </w:p>
    <w:p w14:paraId="2047B727" w14:textId="77777777" w:rsidR="008B7E19" w:rsidRPr="00F37243" w:rsidRDefault="008B7E19" w:rsidP="008B7E19">
      <w:pPr>
        <w:spacing w:before="120" w:after="120"/>
        <w:jc w:val="both"/>
        <w:rPr>
          <w:rFonts w:eastAsia="Times New Roman" w:cs="Times New Roman"/>
          <w:b/>
          <w:color w:val="244061"/>
          <w:spacing w:val="-2"/>
          <w:szCs w:val="18"/>
          <w:lang w:val="en-US" w:eastAsia="pt-BR"/>
        </w:rPr>
      </w:pPr>
      <w:r>
        <w:rPr>
          <w:rFonts w:eastAsia="Times New Roman" w:cs="Times New Roman"/>
          <w:b/>
          <w:color w:val="244061"/>
          <w:spacing w:val="-2"/>
          <w:szCs w:val="18"/>
          <w:lang w:val="en-US" w:eastAsia="pt-BR"/>
        </w:rPr>
        <w:t>k</w:t>
      </w:r>
      <w:r w:rsidRPr="00F37243">
        <w:rPr>
          <w:rFonts w:eastAsia="Times New Roman" w:cs="Times New Roman"/>
          <w:b/>
          <w:color w:val="244061"/>
          <w:spacing w:val="-2"/>
          <w:szCs w:val="18"/>
          <w:lang w:val="en-US" w:eastAsia="pt-BR"/>
        </w:rPr>
        <w:t>) Segment Disclosure</w:t>
      </w:r>
    </w:p>
    <w:p w14:paraId="7A4A14BA" w14:textId="77777777" w:rsidR="008B7E19" w:rsidRDefault="008B7E19" w:rsidP="008B7E19">
      <w:pPr>
        <w:spacing w:before="120" w:after="120"/>
        <w:jc w:val="both"/>
        <w:rPr>
          <w:rFonts w:eastAsia="Times New Roman" w:cs="Arial"/>
          <w:spacing w:val="-2"/>
          <w:szCs w:val="18"/>
          <w:lang w:val="en-US" w:eastAsia="pt-BR"/>
        </w:rPr>
      </w:pPr>
      <w:r>
        <w:rPr>
          <w:rFonts w:eastAsia="Times New Roman" w:cs="Arial"/>
          <w:spacing w:val="-2"/>
          <w:szCs w:val="18"/>
          <w:lang w:val="en-US" w:eastAsia="pt-BR"/>
        </w:rPr>
        <w:t>The CPC 22 [IFRS 8] – Information per Segment requires the disclosure of financial information of the entity's operating segments based on the internal disclosures that are used by the Management to allocate resources and to assess its financial and economic performance.</w:t>
      </w:r>
    </w:p>
    <w:p w14:paraId="070A214E" w14:textId="77777777" w:rsidR="008B7E19" w:rsidRPr="00481176" w:rsidRDefault="008B7E19" w:rsidP="008B7E19">
      <w:pPr>
        <w:spacing w:before="120" w:after="120"/>
        <w:jc w:val="both"/>
        <w:rPr>
          <w:rFonts w:eastAsia="Times New Roman" w:cs="Times New Roman"/>
          <w:b/>
          <w:color w:val="244061"/>
          <w:spacing w:val="-2"/>
          <w:szCs w:val="18"/>
          <w:lang w:val="en-US" w:eastAsia="pt-BR"/>
        </w:rPr>
      </w:pPr>
      <w:r>
        <w:rPr>
          <w:rFonts w:eastAsia="Times New Roman" w:cs="Times New Roman"/>
          <w:b/>
          <w:color w:val="244061"/>
          <w:spacing w:val="-2"/>
          <w:szCs w:val="18"/>
          <w:lang w:val="en-US" w:eastAsia="pt-BR"/>
        </w:rPr>
        <w:t>l</w:t>
      </w:r>
      <w:r w:rsidRPr="00481176">
        <w:rPr>
          <w:rFonts w:eastAsia="Times New Roman" w:cs="Times New Roman"/>
          <w:b/>
          <w:color w:val="244061"/>
          <w:spacing w:val="-2"/>
          <w:szCs w:val="18"/>
          <w:lang w:val="en-US" w:eastAsia="pt-BR"/>
        </w:rPr>
        <w:t xml:space="preserve">) </w:t>
      </w:r>
      <w:r>
        <w:rPr>
          <w:rFonts w:eastAsia="Times New Roman" w:cs="Times New Roman"/>
          <w:b/>
          <w:color w:val="244061"/>
          <w:spacing w:val="-2"/>
          <w:szCs w:val="18"/>
          <w:lang w:val="en-US" w:eastAsia="pt-BR"/>
        </w:rPr>
        <w:t>Interest on Net Equity and Dividends</w:t>
      </w:r>
    </w:p>
    <w:p w14:paraId="2AAC5905" w14:textId="77777777" w:rsidR="008B7E19" w:rsidRDefault="008B7E19" w:rsidP="008B7E19">
      <w:pPr>
        <w:spacing w:before="120" w:after="120"/>
        <w:jc w:val="both"/>
        <w:rPr>
          <w:rFonts w:eastAsia="Times New Roman" w:cs="Arial"/>
          <w:spacing w:val="-2"/>
          <w:szCs w:val="18"/>
          <w:lang w:val="en-US" w:eastAsia="pt-BR"/>
        </w:rPr>
      </w:pPr>
      <w:r>
        <w:rPr>
          <w:rFonts w:eastAsia="Times New Roman" w:cs="Arial"/>
          <w:spacing w:val="-2"/>
          <w:szCs w:val="18"/>
          <w:lang w:val="en-US" w:eastAsia="pt-BR"/>
        </w:rPr>
        <w:t xml:space="preserve">Brazilian companies may assign a nominal interest expense, deductible for tax purposes, on their net equity. The value of the interest on the net equity is considered as a dividend and, when applicable, presented in these consolidated interim financial statements as a direct reduction in the stockholders' equity. </w:t>
      </w:r>
    </w:p>
    <w:p w14:paraId="30DFEAAF" w14:textId="77777777" w:rsidR="008B7E19" w:rsidRDefault="008B7E19" w:rsidP="008B7E19">
      <w:pPr>
        <w:spacing w:before="120" w:after="120"/>
        <w:jc w:val="both"/>
        <w:rPr>
          <w:rFonts w:eastAsia="Times New Roman" w:cs="Arial"/>
          <w:spacing w:val="-2"/>
          <w:szCs w:val="18"/>
          <w:lang w:val="en-US" w:eastAsia="pt-BR"/>
        </w:rPr>
      </w:pPr>
      <w:r>
        <w:rPr>
          <w:rFonts w:eastAsia="Times New Roman" w:cs="Arial"/>
          <w:spacing w:val="-2"/>
          <w:szCs w:val="18"/>
          <w:lang w:val="en-US" w:eastAsia="pt-BR"/>
        </w:rPr>
        <w:t>Under the current dividends policy, BB Seguridade distributes to shareholders, as mandatory dividends, a portion corresponding to at least 25% of the adjusted net profit with the deductions and increases provided for in Art. 202 of Law 6.404/76, which are recognized as a liability and deducted from the shareholders' equity when allocating the income for the year.</w:t>
      </w:r>
    </w:p>
    <w:p w14:paraId="193B1B8F" w14:textId="77777777" w:rsidR="008B7E19" w:rsidRPr="00481176" w:rsidRDefault="008B7E19" w:rsidP="008B7E19">
      <w:pPr>
        <w:spacing w:before="120" w:after="120"/>
        <w:jc w:val="both"/>
        <w:rPr>
          <w:rFonts w:eastAsia="Times New Roman" w:cs="Arial"/>
          <w:spacing w:val="-2"/>
          <w:szCs w:val="18"/>
          <w:lang w:val="en-US" w:eastAsia="pt-BR"/>
        </w:rPr>
      </w:pPr>
      <w:r w:rsidRPr="00C85CE7">
        <w:rPr>
          <w:rFonts w:eastAsia="Times New Roman" w:cs="Arial"/>
          <w:spacing w:val="-2"/>
          <w:szCs w:val="18"/>
          <w:lang w:val="en-US" w:eastAsia="pt-BR"/>
        </w:rPr>
        <w:t xml:space="preserve">During the </w:t>
      </w:r>
      <w:r>
        <w:rPr>
          <w:rFonts w:eastAsia="Times New Roman" w:cs="Arial"/>
          <w:spacing w:val="-2"/>
          <w:szCs w:val="18"/>
          <w:lang w:val="en-US" w:eastAsia="pt-BR"/>
        </w:rPr>
        <w:t>period</w:t>
      </w:r>
      <w:r w:rsidRPr="00C85CE7">
        <w:rPr>
          <w:rFonts w:eastAsia="Times New Roman" w:cs="Arial"/>
          <w:spacing w:val="-2"/>
          <w:szCs w:val="18"/>
          <w:lang w:val="en-US" w:eastAsia="pt-BR"/>
        </w:rPr>
        <w:t>, there was no recognition and payment of interest on shareholders' equity.</w:t>
      </w:r>
    </w:p>
    <w:p w14:paraId="0B9D0A94" w14:textId="77777777" w:rsidR="008B7E19" w:rsidRPr="00EB4ACA" w:rsidRDefault="008B7E19" w:rsidP="008B7E19">
      <w:pPr>
        <w:spacing w:before="120" w:after="120"/>
        <w:jc w:val="both"/>
        <w:rPr>
          <w:rFonts w:eastAsia="Times New Roman" w:cs="Times New Roman"/>
          <w:b/>
          <w:color w:val="244061"/>
          <w:spacing w:val="-2"/>
          <w:szCs w:val="18"/>
          <w:lang w:val="en-US" w:eastAsia="pt-BR"/>
        </w:rPr>
      </w:pPr>
      <w:r>
        <w:rPr>
          <w:rFonts w:eastAsia="Times New Roman" w:cs="Times New Roman"/>
          <w:b/>
          <w:color w:val="244061"/>
          <w:spacing w:val="-2"/>
          <w:szCs w:val="18"/>
          <w:lang w:val="en-US" w:eastAsia="pt-BR"/>
        </w:rPr>
        <w:t>m</w:t>
      </w:r>
      <w:r w:rsidRPr="00EB4ACA">
        <w:rPr>
          <w:rFonts w:eastAsia="Times New Roman" w:cs="Times New Roman"/>
          <w:b/>
          <w:color w:val="244061"/>
          <w:spacing w:val="-2"/>
          <w:szCs w:val="18"/>
          <w:lang w:val="en-US" w:eastAsia="pt-BR"/>
        </w:rPr>
        <w:t>) Earning per share</w:t>
      </w:r>
    </w:p>
    <w:p w14:paraId="22AB8A23" w14:textId="77777777" w:rsidR="008B7E19" w:rsidRDefault="008B7E19" w:rsidP="008B7E19">
      <w:pPr>
        <w:spacing w:before="120" w:after="120"/>
        <w:jc w:val="both"/>
        <w:rPr>
          <w:rFonts w:eastAsia="Times New Roman" w:cs="Arial"/>
          <w:spacing w:val="-2"/>
          <w:szCs w:val="18"/>
          <w:lang w:val="en-US" w:eastAsia="pt-BR"/>
        </w:rPr>
      </w:pPr>
      <w:r>
        <w:rPr>
          <w:rFonts w:eastAsia="Times New Roman" w:cs="Arial"/>
          <w:spacing w:val="-2"/>
          <w:szCs w:val="18"/>
          <w:lang w:val="en-US" w:eastAsia="pt-BR"/>
        </w:rPr>
        <w:t xml:space="preserve">The disclosure of the earnings per share is made in accordance with the criteria defined in the CPC 41 [IAS 33] – Earnings per Share – approved by the CVM Resolution 636/2010. The basic and diluted earnings per share of BB Seguridade was calculated by dividing the net profit attributable to the shareholders by the weighted average number of total common shares, excluding treasury shares. BB Seguridade has no option instruments, subscription bonus or their equivalents that provide for its holder the right to acquire shares. Thus, basic and diluted earnings per share are equivalents. </w:t>
      </w:r>
    </w:p>
    <w:p w14:paraId="29DF274D" w14:textId="77777777" w:rsidR="008B7E19" w:rsidRPr="001358CA" w:rsidRDefault="008B7E19" w:rsidP="008B7E19">
      <w:pPr>
        <w:spacing w:before="120" w:after="120"/>
        <w:jc w:val="both"/>
        <w:rPr>
          <w:rFonts w:eastAsia="Times New Roman" w:cs="Times New Roman"/>
          <w:b/>
          <w:color w:val="244061"/>
          <w:spacing w:val="-2"/>
          <w:szCs w:val="18"/>
          <w:lang w:val="en-US" w:eastAsia="pt-BR"/>
        </w:rPr>
      </w:pPr>
      <w:r>
        <w:rPr>
          <w:rFonts w:eastAsia="Times New Roman" w:cs="Times New Roman"/>
          <w:b/>
          <w:color w:val="244061"/>
          <w:spacing w:val="-2"/>
          <w:szCs w:val="18"/>
          <w:lang w:val="en-US" w:eastAsia="pt-BR"/>
        </w:rPr>
        <w:t>n</w:t>
      </w:r>
      <w:r w:rsidRPr="00481176">
        <w:rPr>
          <w:rFonts w:eastAsia="Times New Roman" w:cs="Times New Roman"/>
          <w:b/>
          <w:color w:val="244061"/>
          <w:spacing w:val="-2"/>
          <w:szCs w:val="18"/>
          <w:lang w:val="en-US" w:eastAsia="pt-BR"/>
        </w:rPr>
        <w:t xml:space="preserve">) </w:t>
      </w:r>
      <w:r>
        <w:rPr>
          <w:rFonts w:eastAsia="Times New Roman" w:cs="Times New Roman"/>
          <w:b/>
          <w:color w:val="244061"/>
          <w:spacing w:val="-2"/>
          <w:szCs w:val="18"/>
          <w:lang w:val="en-US" w:eastAsia="pt-BR"/>
        </w:rPr>
        <w:t>Leases</w:t>
      </w:r>
    </w:p>
    <w:p w14:paraId="70F36C7E" w14:textId="77777777" w:rsidR="008B7E19" w:rsidRPr="000A10CA" w:rsidRDefault="008B7E19" w:rsidP="008B7E19">
      <w:pPr>
        <w:spacing w:before="120" w:after="120"/>
        <w:jc w:val="both"/>
        <w:rPr>
          <w:rFonts w:eastAsia="Times New Roman" w:cs="Times New Roman"/>
          <w:spacing w:val="-2"/>
          <w:szCs w:val="18"/>
          <w:lang w:val="en-US" w:eastAsia="pt-BR"/>
        </w:rPr>
      </w:pPr>
      <w:r w:rsidRPr="000A10CA">
        <w:rPr>
          <w:rFonts w:eastAsia="Times New Roman" w:cs="Times New Roman"/>
          <w:spacing w:val="-2"/>
          <w:szCs w:val="18"/>
          <w:lang w:val="en-US" w:eastAsia="pt-BR"/>
        </w:rPr>
        <w:t xml:space="preserve">The recognition, measurement and disclosure of leases are carried out in accordance with the criteria defined in the CPC 06 (R2) </w:t>
      </w:r>
      <w:r>
        <w:rPr>
          <w:rFonts w:eastAsia="Times New Roman" w:cs="Times New Roman"/>
          <w:spacing w:val="-2"/>
          <w:szCs w:val="18"/>
          <w:lang w:val="en-US" w:eastAsia="pt-BR"/>
        </w:rPr>
        <w:t>[</w:t>
      </w:r>
      <w:r w:rsidRPr="000A10CA">
        <w:rPr>
          <w:rFonts w:eastAsia="Times New Roman" w:cs="Times New Roman"/>
          <w:spacing w:val="-2"/>
          <w:szCs w:val="18"/>
          <w:lang w:val="en-US" w:eastAsia="pt-BR"/>
        </w:rPr>
        <w:t>IFRS 16</w:t>
      </w:r>
      <w:r>
        <w:rPr>
          <w:rFonts w:eastAsia="Times New Roman" w:cs="Times New Roman"/>
          <w:spacing w:val="-2"/>
          <w:szCs w:val="18"/>
          <w:lang w:val="en-US" w:eastAsia="pt-BR"/>
        </w:rPr>
        <w:t>]</w:t>
      </w:r>
      <w:r w:rsidRPr="000A10CA">
        <w:rPr>
          <w:rFonts w:eastAsia="Times New Roman" w:cs="Times New Roman"/>
          <w:spacing w:val="-2"/>
          <w:szCs w:val="18"/>
          <w:lang w:val="en-US" w:eastAsia="pt-BR"/>
        </w:rPr>
        <w:t xml:space="preserve"> – Leases. BB Seguridade and its controlled companies do not have significant lease operations.</w:t>
      </w:r>
    </w:p>
    <w:p w14:paraId="45960E77" w14:textId="77777777" w:rsidR="008B7E19" w:rsidRPr="000A10CA" w:rsidRDefault="008B7E19" w:rsidP="008B7E19">
      <w:pPr>
        <w:spacing w:before="120" w:after="120"/>
        <w:jc w:val="both"/>
        <w:rPr>
          <w:rFonts w:eastAsia="Times New Roman" w:cs="Times New Roman"/>
          <w:spacing w:val="-2"/>
          <w:szCs w:val="18"/>
          <w:lang w:val="en-US" w:eastAsia="pt-BR"/>
        </w:rPr>
      </w:pPr>
      <w:r w:rsidRPr="000A10CA">
        <w:rPr>
          <w:rFonts w:eastAsia="Times New Roman" w:cs="Times New Roman"/>
          <w:spacing w:val="-2"/>
          <w:szCs w:val="18"/>
          <w:lang w:val="en-US" w:eastAsia="pt-BR"/>
        </w:rPr>
        <w:t>Lease operations are present in insurance companies and health operators in which BB Seguridade has an interest. For insurance companies, the Superintendência de Seguros Privados (</w:t>
      </w:r>
      <w:r>
        <w:rPr>
          <w:rFonts w:eastAsia="Times New Roman" w:cs="Times New Roman"/>
          <w:spacing w:val="-2"/>
          <w:szCs w:val="18"/>
          <w:lang w:val="en-US" w:eastAsia="pt-BR"/>
        </w:rPr>
        <w:t>SUSEP</w:t>
      </w:r>
      <w:r w:rsidRPr="000A10CA">
        <w:rPr>
          <w:rFonts w:eastAsia="Times New Roman" w:cs="Times New Roman"/>
          <w:spacing w:val="-2"/>
          <w:szCs w:val="18"/>
          <w:lang w:val="en-US" w:eastAsia="pt-BR"/>
        </w:rPr>
        <w:t>) approved, through Circular No. 615, of September 2020, the adoption of the CPC 06 (R2)</w:t>
      </w:r>
      <w:r>
        <w:rPr>
          <w:rFonts w:eastAsia="Times New Roman" w:cs="Times New Roman"/>
          <w:spacing w:val="-2"/>
          <w:szCs w:val="18"/>
          <w:lang w:val="en-US" w:eastAsia="pt-BR"/>
        </w:rPr>
        <w:t xml:space="preserve"> [IFRS 16]</w:t>
      </w:r>
      <w:r w:rsidRPr="000A10CA">
        <w:rPr>
          <w:rFonts w:eastAsia="Times New Roman" w:cs="Times New Roman"/>
          <w:spacing w:val="-2"/>
          <w:szCs w:val="18"/>
          <w:lang w:val="en-US" w:eastAsia="pt-BR"/>
        </w:rPr>
        <w:t xml:space="preserve"> – Leases, effective from January 1, 2021. </w:t>
      </w:r>
      <w:r w:rsidRPr="00A63204">
        <w:rPr>
          <w:rFonts w:eastAsia="Times New Roman" w:cs="Times New Roman"/>
          <w:spacing w:val="-2"/>
          <w:szCs w:val="18"/>
          <w:lang w:val="en-US" w:eastAsia="pt-BR"/>
        </w:rPr>
        <w:t>For health operators, the National Supplementary Health Agency (ANS) approved, through Normative Resolution No. 472, of September 2021, the adoption of that standard as of January 1, 2022.</w:t>
      </w:r>
    </w:p>
    <w:p w14:paraId="28B5CC44" w14:textId="77777777" w:rsidR="008B7E19" w:rsidRPr="000A10CA" w:rsidRDefault="008B7E19" w:rsidP="008B7E19">
      <w:pPr>
        <w:spacing w:before="120" w:after="120"/>
        <w:jc w:val="both"/>
        <w:rPr>
          <w:rFonts w:eastAsia="Times New Roman" w:cs="Times New Roman"/>
          <w:spacing w:val="-2"/>
          <w:szCs w:val="18"/>
          <w:lang w:val="en-US" w:eastAsia="pt-BR"/>
        </w:rPr>
      </w:pPr>
      <w:r w:rsidRPr="000A10CA">
        <w:rPr>
          <w:rFonts w:eastAsia="Times New Roman" w:cs="Times New Roman"/>
          <w:spacing w:val="-2"/>
          <w:szCs w:val="18"/>
          <w:lang w:val="en-US" w:eastAsia="pt-BR"/>
        </w:rPr>
        <w:t>When there is a divergence in the accounting practice adopted by the investor in relation to the affiliate companies, adjustment procedures are necessary for purposes of standardization. Considering the current lease operations of the affiliate companies, the necessary adjustments in investments were carried out in order standardize the practices.</w:t>
      </w:r>
    </w:p>
    <w:p w14:paraId="616A08CB" w14:textId="77777777" w:rsidR="008B7E19" w:rsidRDefault="008B7E19" w:rsidP="008B7E19">
      <w:pPr>
        <w:spacing w:before="120" w:after="120"/>
        <w:jc w:val="both"/>
        <w:rPr>
          <w:rFonts w:eastAsia="Times New Roman" w:cs="Times New Roman"/>
          <w:spacing w:val="-2"/>
          <w:szCs w:val="18"/>
          <w:lang w:val="en-US" w:eastAsia="pt-BR"/>
        </w:rPr>
      </w:pPr>
      <w:r w:rsidRPr="00A63204">
        <w:rPr>
          <w:rFonts w:eastAsia="Times New Roman" w:cs="Times New Roman"/>
          <w:spacing w:val="-2"/>
          <w:szCs w:val="18"/>
          <w:lang w:val="en-US" w:eastAsia="pt-BR"/>
        </w:rPr>
        <w:t>The companies Brasilseg, Aliança do Brasil Seguros, Brasilprev and Brasilcap (from January 1, 2021) and Brasildental (from January 1, 2022) started to adopt CPC 06 (R2) [IFRS 16] – Leases, since then, there is no divergence of accounting practice related to the treatment of leases, leaving only the balance of difference in practice from periods prior to the adoption of the CPC, shown in Note 07 – Investments in Equity Interests.</w:t>
      </w:r>
    </w:p>
    <w:p w14:paraId="3BE04783" w14:textId="77777777" w:rsidR="008B7E19" w:rsidRPr="00010454" w:rsidRDefault="008B7E19" w:rsidP="008B7E19">
      <w:pPr>
        <w:spacing w:before="120" w:after="120"/>
        <w:jc w:val="both"/>
        <w:rPr>
          <w:rFonts w:eastAsia="Times New Roman" w:cs="Times New Roman"/>
          <w:b/>
          <w:color w:val="1F3864" w:themeColor="accent5" w:themeShade="80"/>
          <w:spacing w:val="-2"/>
          <w:szCs w:val="18"/>
          <w:lang w:val="en-US" w:eastAsia="pt-BR"/>
        </w:rPr>
      </w:pPr>
      <w:r w:rsidRPr="00010454">
        <w:rPr>
          <w:rFonts w:eastAsia="Times New Roman" w:cs="Times New Roman"/>
          <w:b/>
          <w:color w:val="1F3864" w:themeColor="accent5" w:themeShade="80"/>
          <w:spacing w:val="-2"/>
          <w:szCs w:val="18"/>
          <w:lang w:val="en-US" w:eastAsia="pt-BR"/>
        </w:rPr>
        <w:t xml:space="preserve">o) </w:t>
      </w:r>
      <w:r w:rsidRPr="0048783D">
        <w:rPr>
          <w:rFonts w:eastAsia="Times New Roman" w:cs="Times New Roman"/>
          <w:b/>
          <w:color w:val="1F3864" w:themeColor="accent5" w:themeShade="80"/>
          <w:spacing w:val="-2"/>
          <w:szCs w:val="18"/>
          <w:lang w:val="en-US" w:eastAsia="pt-BR"/>
        </w:rPr>
        <w:t>Insurance Contracts</w:t>
      </w:r>
    </w:p>
    <w:p w14:paraId="2624386B" w14:textId="77777777" w:rsidR="008B7E19" w:rsidRPr="0048783D" w:rsidRDefault="008B7E19" w:rsidP="008B7E19">
      <w:pPr>
        <w:spacing w:before="120" w:after="120"/>
        <w:jc w:val="both"/>
        <w:rPr>
          <w:rFonts w:eastAsia="Times New Roman" w:cs="Times New Roman"/>
          <w:bCs/>
          <w:spacing w:val="-2"/>
          <w:szCs w:val="18"/>
          <w:lang w:val="en-US" w:eastAsia="pt-BR"/>
        </w:rPr>
      </w:pPr>
      <w:r w:rsidRPr="0048783D">
        <w:rPr>
          <w:rFonts w:eastAsia="Times New Roman" w:cs="Times New Roman"/>
          <w:bCs/>
          <w:spacing w:val="-2"/>
          <w:szCs w:val="18"/>
          <w:lang w:val="en-US" w:eastAsia="pt-BR"/>
        </w:rPr>
        <w:t>Recognition, measurement and disclosure of insurance contracts are carried out in accordance with the criteria defined in CPC 50 [IFRS 17] – Insurance Contracts. The insurance contract is defined by CPC 50 [IFRS 17] as an agreement between the insurer and the insured, in which the insurer accepts the risk of a possible financial loss or other adverse event that may affect the insured. In return, the policyholder pays a premium to the insurer.</w:t>
      </w:r>
    </w:p>
    <w:p w14:paraId="569533D1" w14:textId="77777777" w:rsidR="008B7E19" w:rsidRPr="0048783D" w:rsidRDefault="008B7E19" w:rsidP="008B7E19">
      <w:pPr>
        <w:spacing w:before="120" w:after="120"/>
        <w:jc w:val="both"/>
        <w:rPr>
          <w:rFonts w:eastAsia="Times New Roman" w:cs="Times New Roman"/>
          <w:bCs/>
          <w:spacing w:val="-2"/>
          <w:szCs w:val="18"/>
          <w:lang w:val="en-US" w:eastAsia="pt-BR"/>
        </w:rPr>
      </w:pPr>
      <w:r w:rsidRPr="0048783D">
        <w:rPr>
          <w:rFonts w:eastAsia="Times New Roman" w:cs="Times New Roman"/>
          <w:bCs/>
          <w:spacing w:val="-2"/>
          <w:szCs w:val="18"/>
          <w:lang w:val="en-US" w:eastAsia="pt-BR"/>
        </w:rPr>
        <w:t>The operational investees that commercialize insurance contracts apply the insurance contract grouping levels, by harvest, portfolio and groups. According to the characteristics of insurance contracts, the application of accounting models is divided into:</w:t>
      </w:r>
    </w:p>
    <w:p w14:paraId="34F1B5B0" w14:textId="77777777" w:rsidR="008B7E19" w:rsidRPr="0048783D" w:rsidRDefault="008B7E19" w:rsidP="00882B41">
      <w:pPr>
        <w:pStyle w:val="PargrafodaLista"/>
        <w:numPr>
          <w:ilvl w:val="0"/>
          <w:numId w:val="27"/>
        </w:numPr>
        <w:spacing w:before="120" w:after="120"/>
        <w:jc w:val="both"/>
        <w:rPr>
          <w:rFonts w:ascii="Arial" w:eastAsia="Times New Roman" w:hAnsi="Arial" w:cs="Times New Roman"/>
          <w:bCs/>
          <w:spacing w:val="-2"/>
          <w:sz w:val="18"/>
          <w:szCs w:val="18"/>
          <w:lang w:val="en-US" w:eastAsia="pt-BR"/>
        </w:rPr>
      </w:pPr>
      <w:r w:rsidRPr="0048783D">
        <w:rPr>
          <w:rFonts w:ascii="Arial" w:eastAsia="Times New Roman" w:hAnsi="Arial" w:cs="Times New Roman"/>
          <w:bCs/>
          <w:spacing w:val="-2"/>
          <w:sz w:val="18"/>
          <w:szCs w:val="18"/>
          <w:lang w:val="en-US" w:eastAsia="pt-BR"/>
        </w:rPr>
        <w:t>BBA - Building Block Approach (General Measurement Model): standard model for all insurance contracts based on future cash flow estimates segregated into three main components: i) Contractual Service Margin (CSM), which represents the profit that the insurer expects to generate with insurance contracts over time, to be realized over the term of the contract; ii) Present value of future cash flows, which represents the estimate of cash flows that the insurer expects to receive and pay in the future, adjusted for the time value of money and ; iii) Non-financial risk adjustments which are estimates of risks associated with insurance contracts that cannot be measured using the time value of money, including risks related to events such as mortality, morbidity, claims and expenses.</w:t>
      </w:r>
    </w:p>
    <w:p w14:paraId="37D3F5D5" w14:textId="77777777" w:rsidR="008B7E19" w:rsidRPr="0048783D" w:rsidRDefault="008B7E19" w:rsidP="00882B41">
      <w:pPr>
        <w:pStyle w:val="PargrafodaLista"/>
        <w:numPr>
          <w:ilvl w:val="0"/>
          <w:numId w:val="27"/>
        </w:numPr>
        <w:spacing w:before="120" w:after="120"/>
        <w:jc w:val="both"/>
        <w:rPr>
          <w:rFonts w:ascii="Arial" w:eastAsia="Times New Roman" w:hAnsi="Arial" w:cs="Times New Roman"/>
          <w:bCs/>
          <w:spacing w:val="-2"/>
          <w:sz w:val="18"/>
          <w:szCs w:val="18"/>
          <w:lang w:val="en-US" w:eastAsia="pt-BR"/>
        </w:rPr>
      </w:pPr>
      <w:r w:rsidRPr="0048783D">
        <w:rPr>
          <w:rFonts w:ascii="Arial" w:eastAsia="Times New Roman" w:hAnsi="Arial" w:cs="Times New Roman"/>
          <w:bCs/>
          <w:spacing w:val="-2"/>
          <w:sz w:val="18"/>
          <w:szCs w:val="18"/>
          <w:lang w:val="en-US" w:eastAsia="pt-BR"/>
        </w:rPr>
        <w:t>PAA - Premium Allocation Approach: optional simplified model, indicated for short-term insurance contracts (coverage up to one year) or when the remaining coverage is not materially different from the value calculated in the BBA model.</w:t>
      </w:r>
    </w:p>
    <w:p w14:paraId="598ABE80" w14:textId="77777777" w:rsidR="008B7E19" w:rsidRPr="0048783D" w:rsidRDefault="008B7E19" w:rsidP="00882B41">
      <w:pPr>
        <w:pStyle w:val="PargrafodaLista"/>
        <w:numPr>
          <w:ilvl w:val="0"/>
          <w:numId w:val="27"/>
        </w:numPr>
        <w:spacing w:before="120" w:after="120"/>
        <w:jc w:val="both"/>
        <w:rPr>
          <w:rFonts w:ascii="Arial" w:eastAsia="Times New Roman" w:hAnsi="Arial" w:cs="Times New Roman"/>
          <w:bCs/>
          <w:spacing w:val="-2"/>
          <w:sz w:val="18"/>
          <w:szCs w:val="18"/>
          <w:lang w:val="en-US" w:eastAsia="pt-BR"/>
        </w:rPr>
      </w:pPr>
      <w:r w:rsidRPr="0048783D">
        <w:rPr>
          <w:rFonts w:ascii="Arial" w:eastAsia="Times New Roman" w:hAnsi="Arial" w:cs="Times New Roman"/>
          <w:bCs/>
          <w:spacing w:val="-2"/>
          <w:sz w:val="18"/>
          <w:szCs w:val="18"/>
          <w:lang w:val="en-US" w:eastAsia="pt-BR"/>
        </w:rPr>
        <w:t>VFA - Variable Fee Approach: model for treating insurance contracts with underlying return components.</w:t>
      </w:r>
    </w:p>
    <w:p w14:paraId="3ABB1156" w14:textId="77777777" w:rsidR="008B7E19" w:rsidRPr="0048783D" w:rsidRDefault="008B7E19" w:rsidP="008B7E19">
      <w:pPr>
        <w:spacing w:before="120" w:after="120"/>
        <w:jc w:val="both"/>
        <w:rPr>
          <w:rFonts w:eastAsia="Times New Roman" w:cs="Times New Roman"/>
          <w:bCs/>
          <w:spacing w:val="-2"/>
          <w:szCs w:val="18"/>
          <w:lang w:val="en-US" w:eastAsia="pt-BR"/>
        </w:rPr>
      </w:pPr>
      <w:r w:rsidRPr="0048783D">
        <w:rPr>
          <w:rFonts w:eastAsia="Times New Roman" w:cs="Times New Roman"/>
          <w:bCs/>
          <w:spacing w:val="-2"/>
          <w:szCs w:val="18"/>
          <w:lang w:val="en-US" w:eastAsia="pt-BR"/>
        </w:rPr>
        <w:t>When recognizing the BBA model, it is necessary to consider future cash flow estimates, as well as adjustments to present value and non-financial risks, in order to assess whether insurance contracts are in surplus or in deficit. If the future cash flow is positive, the contractual service margin is recognized in liabilities and is converted into revenue over the term of the insurance contracts. However, if the cash flow is negative, insurance contracts are considered onerous, as they have a deficit contractual service margin, and the amounts must be accounted for immediately in income.</w:t>
      </w:r>
    </w:p>
    <w:p w14:paraId="3594EC1B" w14:textId="77777777" w:rsidR="008B7E19" w:rsidRDefault="008B7E19" w:rsidP="008B7E19">
      <w:pPr>
        <w:spacing w:before="120" w:after="120"/>
        <w:jc w:val="both"/>
        <w:rPr>
          <w:rFonts w:eastAsia="Times New Roman" w:cs="Times New Roman"/>
          <w:bCs/>
          <w:spacing w:val="-2"/>
          <w:szCs w:val="18"/>
          <w:lang w:val="en-US" w:eastAsia="pt-BR"/>
        </w:rPr>
      </w:pPr>
      <w:r w:rsidRPr="0048783D">
        <w:rPr>
          <w:rFonts w:eastAsia="Times New Roman" w:cs="Times New Roman"/>
          <w:bCs/>
          <w:spacing w:val="-2"/>
          <w:szCs w:val="18"/>
          <w:lang w:val="en-US" w:eastAsia="pt-BR"/>
        </w:rPr>
        <w:t>In the PAA model, based on the remaining coverage liability, similar to the current methodology of unearned premiums, liability amounts are recognized in income according to the period of effectiveness of the insurance contracts.</w:t>
      </w:r>
    </w:p>
    <w:p w14:paraId="2D3295CF" w14:textId="77777777" w:rsidR="008B7E19" w:rsidRPr="00CF2F68" w:rsidRDefault="008B7E19" w:rsidP="008B7E19">
      <w:pPr>
        <w:spacing w:before="120" w:after="120"/>
        <w:jc w:val="both"/>
        <w:rPr>
          <w:rFonts w:eastAsia="Times New Roman" w:cs="Times New Roman"/>
          <w:bCs/>
          <w:spacing w:val="-2"/>
          <w:szCs w:val="18"/>
          <w:lang w:val="en-US" w:eastAsia="pt-BR"/>
        </w:rPr>
      </w:pPr>
      <w:r w:rsidRPr="00CF2F68">
        <w:rPr>
          <w:rFonts w:eastAsia="Times New Roman" w:cs="Times New Roman"/>
          <w:bCs/>
          <w:spacing w:val="-2"/>
          <w:szCs w:val="18"/>
          <w:lang w:val="en-US" w:eastAsia="pt-BR"/>
        </w:rPr>
        <w:t xml:space="preserve">Estimates are part of the accounting recognition and measurement process, since uncertainty is an inherent characteristic of insurance contracts. According to CPC 23 (R1) [IAS 8] </w:t>
      </w:r>
      <w:r>
        <w:rPr>
          <w:rFonts w:eastAsia="Times New Roman" w:cs="Times New Roman"/>
          <w:bCs/>
          <w:spacing w:val="-2"/>
          <w:szCs w:val="18"/>
          <w:lang w:val="en-US" w:eastAsia="pt-BR"/>
        </w:rPr>
        <w:t>–</w:t>
      </w:r>
      <w:r w:rsidRPr="00CF2F68">
        <w:rPr>
          <w:rFonts w:eastAsia="Times New Roman" w:cs="Times New Roman"/>
          <w:bCs/>
          <w:spacing w:val="-2"/>
          <w:szCs w:val="18"/>
          <w:lang w:val="en-US" w:eastAsia="pt-BR"/>
        </w:rPr>
        <w:t xml:space="preserve"> Accounting Policies, Changes in Accounting Estimates and Errors</w:t>
      </w:r>
      <w:r>
        <w:rPr>
          <w:rFonts w:eastAsia="Times New Roman" w:cs="Times New Roman"/>
          <w:bCs/>
          <w:spacing w:val="-2"/>
          <w:szCs w:val="18"/>
          <w:lang w:val="en-US" w:eastAsia="pt-BR"/>
        </w:rPr>
        <w:t>,</w:t>
      </w:r>
      <w:r w:rsidRPr="00CF2F68">
        <w:rPr>
          <w:rFonts w:eastAsia="Times New Roman" w:cs="Times New Roman"/>
          <w:bCs/>
          <w:spacing w:val="-2"/>
          <w:szCs w:val="18"/>
          <w:lang w:val="en-US" w:eastAsia="pt-BR"/>
        </w:rPr>
        <w:t xml:space="preserve"> accounting estimates may require revision as the circumstances in which they were made change, increase the level of experience and additional information becomes available. The effect of changing estimates must be recognized prospectively.</w:t>
      </w:r>
    </w:p>
    <w:p w14:paraId="08AA036A" w14:textId="77777777" w:rsidR="008B7E19" w:rsidRDefault="008B7E19" w:rsidP="008B7E19">
      <w:pPr>
        <w:spacing w:before="120" w:after="120"/>
        <w:jc w:val="both"/>
        <w:rPr>
          <w:rFonts w:eastAsia="Times New Roman" w:cs="Times New Roman"/>
          <w:bCs/>
          <w:spacing w:val="-2"/>
          <w:szCs w:val="18"/>
          <w:lang w:val="en-US" w:eastAsia="pt-BR"/>
        </w:rPr>
      </w:pPr>
      <w:r w:rsidRPr="00CF2F68">
        <w:rPr>
          <w:rFonts w:eastAsia="Times New Roman" w:cs="Times New Roman"/>
          <w:bCs/>
          <w:spacing w:val="-2"/>
          <w:szCs w:val="18"/>
          <w:lang w:val="en-US" w:eastAsia="pt-BR"/>
        </w:rPr>
        <w:t>The estimates are periodically reviewed by the operational investees with the objective of verifying their adherence to the operations based on the greater experience verified with the behavior of the insurance contracts.</w:t>
      </w:r>
    </w:p>
    <w:p w14:paraId="7D51AB7B" w14:textId="77777777" w:rsidR="008B7E19" w:rsidRDefault="008B7E19" w:rsidP="008B7E19">
      <w:pPr>
        <w:spacing w:before="120" w:after="120"/>
        <w:jc w:val="both"/>
        <w:rPr>
          <w:rFonts w:eastAsia="Times New Roman" w:cs="Times New Roman"/>
          <w:bCs/>
          <w:spacing w:val="-2"/>
          <w:szCs w:val="18"/>
          <w:lang w:val="en-US" w:eastAsia="pt-BR"/>
        </w:rPr>
      </w:pPr>
      <w:r w:rsidRPr="00CF2F68">
        <w:rPr>
          <w:rFonts w:eastAsia="Times New Roman" w:cs="Times New Roman"/>
          <w:bCs/>
          <w:spacing w:val="-2"/>
          <w:szCs w:val="18"/>
          <w:lang w:val="en-US" w:eastAsia="pt-BR"/>
        </w:rPr>
        <w:t>The individual companies BB Seguridade, BB Seguros and BB Corretora do not have operations that are within the scope of the insurance contract rule. However, the operating investees that sell insurance contracts – Brasilseg and Aliança do Brasil Seguros, controlled by the holding company BB MAPFRE, Brasilprev and Brasildental – are affected by the aforementioned accounting rules.</w:t>
      </w:r>
    </w:p>
    <w:p w14:paraId="412C93CE" w14:textId="77777777" w:rsidR="008B7E19" w:rsidRPr="0048783D" w:rsidRDefault="008B7E19" w:rsidP="008B7E19">
      <w:pPr>
        <w:spacing w:before="120" w:after="120"/>
        <w:jc w:val="both"/>
        <w:rPr>
          <w:rFonts w:eastAsia="Times New Roman" w:cs="Times New Roman"/>
          <w:bCs/>
          <w:spacing w:val="-2"/>
          <w:szCs w:val="18"/>
          <w:lang w:val="en-US" w:eastAsia="pt-BR"/>
        </w:rPr>
      </w:pPr>
      <w:r w:rsidRPr="0048783D">
        <w:rPr>
          <w:rFonts w:eastAsia="Times New Roman" w:cs="Times New Roman"/>
          <w:bCs/>
          <w:spacing w:val="-2"/>
          <w:szCs w:val="18"/>
          <w:lang w:val="en-US" w:eastAsia="pt-BR"/>
        </w:rPr>
        <w:t>Brasilcap's products are not within the scope of CPC 50 [IFRS 17] and the impacts related to CPC 48 [IFRS 9] have already been recognized at BB Seguridade since 2018, through the harmonization of accounting practices.</w:t>
      </w:r>
    </w:p>
    <w:p w14:paraId="662F2511" w14:textId="77777777" w:rsidR="008B7E19" w:rsidRPr="0048783D" w:rsidRDefault="008B7E19" w:rsidP="008B7E19">
      <w:pPr>
        <w:spacing w:before="120" w:after="120"/>
        <w:jc w:val="both"/>
        <w:rPr>
          <w:rFonts w:eastAsia="Times New Roman" w:cs="Times New Roman"/>
          <w:bCs/>
          <w:spacing w:val="-2"/>
          <w:szCs w:val="18"/>
          <w:lang w:val="en-US" w:eastAsia="pt-BR"/>
        </w:rPr>
      </w:pPr>
      <w:r w:rsidRPr="0048783D">
        <w:rPr>
          <w:rFonts w:eastAsia="Times New Roman" w:cs="Times New Roman"/>
          <w:bCs/>
          <w:spacing w:val="-2"/>
          <w:szCs w:val="18"/>
          <w:lang w:val="en-US" w:eastAsia="pt-BR"/>
        </w:rPr>
        <w:t>The respective impacts on investee companies are presented in Note 07 – Investment in Shareholdings.</w:t>
      </w:r>
    </w:p>
    <w:p w14:paraId="39ADF835" w14:textId="77777777" w:rsidR="008B7E19" w:rsidRPr="0048783D" w:rsidRDefault="008B7E19" w:rsidP="008B7E19">
      <w:pPr>
        <w:spacing w:before="120" w:after="120"/>
        <w:jc w:val="both"/>
        <w:rPr>
          <w:rFonts w:eastAsia="Times New Roman" w:cs="Times New Roman"/>
          <w:b/>
          <w:color w:val="1F3864" w:themeColor="accent5" w:themeShade="80"/>
          <w:spacing w:val="-2"/>
          <w:szCs w:val="18"/>
          <w:lang w:val="en-US" w:eastAsia="pt-BR"/>
        </w:rPr>
      </w:pPr>
      <w:r w:rsidRPr="0048783D">
        <w:rPr>
          <w:rFonts w:eastAsia="Times New Roman" w:cs="Times New Roman"/>
          <w:b/>
          <w:color w:val="1F3864" w:themeColor="accent5" w:themeShade="80"/>
          <w:spacing w:val="-2"/>
          <w:szCs w:val="18"/>
          <w:lang w:val="en-US" w:eastAsia="pt-BR"/>
        </w:rPr>
        <w:t>p) Initial Adoption of CPC 50 [IFRS 17] and CPC 48 [IFRS 9]</w:t>
      </w:r>
    </w:p>
    <w:p w14:paraId="6217ECD5" w14:textId="77777777" w:rsidR="008B7E19" w:rsidRDefault="008B7E19" w:rsidP="008B7E19">
      <w:pPr>
        <w:spacing w:before="120" w:after="120"/>
        <w:jc w:val="both"/>
        <w:rPr>
          <w:rFonts w:eastAsia="Times New Roman" w:cs="Times New Roman"/>
          <w:bCs/>
          <w:spacing w:val="-2"/>
          <w:szCs w:val="18"/>
          <w:lang w:val="en-US" w:eastAsia="pt-BR"/>
        </w:rPr>
      </w:pPr>
      <w:r w:rsidRPr="00CF2F68">
        <w:rPr>
          <w:rFonts w:eastAsia="Times New Roman" w:cs="Times New Roman"/>
          <w:bCs/>
          <w:spacing w:val="-2"/>
          <w:szCs w:val="18"/>
          <w:lang w:val="en-US" w:eastAsia="pt-BR"/>
        </w:rPr>
        <w:t>Although CPC 50 [IFRS 17] has not yet been approved by SUSEP and ANS and CPC 48 [IFRS 9] has only been approved by SUSEP, to come into force in 2024, the respective operational investees of BB Seguridade that sell insurance contracts and have financial instruments within the scope of the aforementioned standards must prepare their financial statements in the new standard, in order to comply with the accounting standards applicable to BB Seguridade.</w:t>
      </w:r>
    </w:p>
    <w:p w14:paraId="4AE59094" w14:textId="77777777" w:rsidR="008B7E19" w:rsidRPr="0048783D" w:rsidRDefault="008B7E19" w:rsidP="008B7E19">
      <w:pPr>
        <w:spacing w:before="120" w:after="120"/>
        <w:jc w:val="both"/>
        <w:rPr>
          <w:rFonts w:eastAsia="Times New Roman" w:cs="Times New Roman"/>
          <w:bCs/>
          <w:spacing w:val="-2"/>
          <w:szCs w:val="18"/>
          <w:lang w:val="en-US" w:eastAsia="pt-BR"/>
        </w:rPr>
      </w:pPr>
      <w:r w:rsidRPr="0048783D">
        <w:rPr>
          <w:rFonts w:eastAsia="Times New Roman" w:cs="Times New Roman"/>
          <w:bCs/>
          <w:spacing w:val="-2"/>
          <w:szCs w:val="18"/>
          <w:lang w:val="en-US" w:eastAsia="pt-BR"/>
        </w:rPr>
        <w:t>In this sense, at the initial moment of adoption, the impacts on shareholders' equity and investments in equity interests were reflected in the interim financial statements of BB Seguridade and, later, the subsequent impacts through equity equivalence. Operating investees adopted the exemption granted by the CPC and IFRS for the adoption of CPC 48 [IFRS 9] together with CPC 50 [IFRS 17].</w:t>
      </w:r>
    </w:p>
    <w:p w14:paraId="63E85880" w14:textId="77777777" w:rsidR="008B7E19" w:rsidRPr="0048783D" w:rsidRDefault="008B7E19" w:rsidP="008B7E19">
      <w:pPr>
        <w:spacing w:before="120" w:after="120"/>
        <w:jc w:val="both"/>
        <w:rPr>
          <w:rFonts w:eastAsia="Times New Roman" w:cs="Times New Roman"/>
          <w:bCs/>
          <w:spacing w:val="-2"/>
          <w:szCs w:val="18"/>
          <w:lang w:val="en-US" w:eastAsia="pt-BR"/>
        </w:rPr>
      </w:pPr>
      <w:r w:rsidRPr="0048783D">
        <w:rPr>
          <w:rFonts w:eastAsia="Times New Roman" w:cs="Times New Roman"/>
          <w:bCs/>
          <w:spacing w:val="-2"/>
          <w:szCs w:val="18"/>
          <w:lang w:val="en-US" w:eastAsia="pt-BR"/>
        </w:rPr>
        <w:t>For purposes of comparability and presentation of the financial statements, BB Seguridade presents in the interim financial statements the opening balance corresponding to January 1, 2022 and comparative information, in order to enable the understanding of the relevant adjustments and/or reclassifications of the impacts of the adoption of said standards, as provided for in CPC 23 (R1) [IAS 8] - Accounting Policies, Change of Estimate and Error Correction.</w:t>
      </w:r>
    </w:p>
    <w:p w14:paraId="6398256D" w14:textId="77777777" w:rsidR="008B7E19" w:rsidRPr="0048783D" w:rsidRDefault="008B7E19" w:rsidP="008B7E19">
      <w:pPr>
        <w:spacing w:before="120" w:after="120"/>
        <w:jc w:val="both"/>
        <w:rPr>
          <w:rFonts w:eastAsia="Times New Roman" w:cs="Times New Roman"/>
          <w:bCs/>
          <w:spacing w:val="-2"/>
          <w:szCs w:val="18"/>
          <w:lang w:val="en-US" w:eastAsia="pt-BR"/>
        </w:rPr>
      </w:pPr>
      <w:r w:rsidRPr="0048783D">
        <w:rPr>
          <w:rFonts w:eastAsia="Times New Roman" w:cs="Times New Roman"/>
          <w:bCs/>
          <w:spacing w:val="-2"/>
          <w:szCs w:val="18"/>
          <w:lang w:val="en-US" w:eastAsia="pt-BR"/>
        </w:rPr>
        <w:t>Despite the initial adoption of accounting standards by the operational investees that sell insurance contracts, in which the accounting effects occur through the harmonization of accounting practices, insurance companies and health plan operators are not yet adopting these standards and, therefore, there will be no impacts for the effects of regulatory requirements, determined by SUSEP and ANS.</w:t>
      </w:r>
    </w:p>
    <w:p w14:paraId="5EE0BB42" w14:textId="77777777" w:rsidR="008B7E19" w:rsidRPr="0048783D" w:rsidRDefault="008B7E19" w:rsidP="008B7E19">
      <w:pPr>
        <w:spacing w:before="120" w:after="120"/>
        <w:jc w:val="both"/>
        <w:rPr>
          <w:rFonts w:eastAsia="Times New Roman" w:cs="Times New Roman"/>
          <w:bCs/>
          <w:spacing w:val="-2"/>
          <w:szCs w:val="18"/>
          <w:lang w:val="en-US" w:eastAsia="pt-BR"/>
        </w:rPr>
      </w:pPr>
      <w:r w:rsidRPr="0048783D">
        <w:rPr>
          <w:rFonts w:eastAsia="Times New Roman" w:cs="Times New Roman"/>
          <w:bCs/>
          <w:spacing w:val="-2"/>
          <w:szCs w:val="18"/>
          <w:lang w:val="en-US" w:eastAsia="pt-BR"/>
        </w:rPr>
        <w:t>Likewise, considering that the regulatory and corporate rules for insurance companies and health plan operators will not be affected by the aforementioned accounting standards, no impacts are expected on the distribution of dividends or on the capital management of such companies arising from the harmonization of its accounting practices to those of BB Seguridade and BB Seguros.</w:t>
      </w:r>
    </w:p>
    <w:p w14:paraId="6E7CCC0F" w14:textId="776D21A0" w:rsidR="008B7E19" w:rsidRDefault="008B7E19" w:rsidP="008B7E19">
      <w:pPr>
        <w:spacing w:before="120" w:after="120"/>
        <w:jc w:val="both"/>
        <w:rPr>
          <w:rFonts w:eastAsia="Times New Roman" w:cs="Times New Roman"/>
          <w:bCs/>
          <w:spacing w:val="-2"/>
          <w:szCs w:val="18"/>
          <w:lang w:val="en-US" w:eastAsia="pt-BR"/>
        </w:rPr>
      </w:pPr>
      <w:r w:rsidRPr="0048783D">
        <w:rPr>
          <w:rFonts w:eastAsia="Times New Roman" w:cs="Times New Roman"/>
          <w:bCs/>
          <w:spacing w:val="-2"/>
          <w:szCs w:val="18"/>
          <w:lang w:val="en-US" w:eastAsia="pt-BR"/>
        </w:rPr>
        <w:t>The impacts of the initial adoption of the respective standards, as well as comparative information, are presented in Note 03 – Presentation of Interim Financial Statements.</w:t>
      </w:r>
    </w:p>
    <w:p w14:paraId="30AFDC0E" w14:textId="77777777" w:rsidR="008875E7" w:rsidRPr="0048783D" w:rsidRDefault="008875E7" w:rsidP="008B7E19">
      <w:pPr>
        <w:spacing w:before="120" w:after="120"/>
        <w:jc w:val="both"/>
        <w:rPr>
          <w:rFonts w:eastAsia="Times New Roman" w:cs="Arial"/>
          <w:bCs/>
          <w:spacing w:val="-2"/>
          <w:szCs w:val="18"/>
          <w:lang w:val="en-US" w:eastAsia="pt-BR"/>
        </w:rPr>
      </w:pPr>
    </w:p>
    <w:p w14:paraId="24C5EEB0" w14:textId="1F883970" w:rsidR="008B7E19" w:rsidRPr="00882B41" w:rsidRDefault="008B7E19" w:rsidP="00882B41">
      <w:pPr>
        <w:pStyle w:val="02-TtulodeNota"/>
        <w:rPr>
          <w:color w:val="1F4E79" w:themeColor="accent1" w:themeShade="80"/>
          <w:lang w:val="en-US"/>
        </w:rPr>
      </w:pPr>
      <w:bookmarkStart w:id="23" w:name="_Toc141966683"/>
      <w:bookmarkEnd w:id="21"/>
      <w:r w:rsidRPr="00882B41">
        <w:rPr>
          <w:color w:val="1F4E79" w:themeColor="accent1" w:themeShade="80"/>
          <w:lang w:val="en-US"/>
        </w:rPr>
        <w:t>5 – RISK MANAGEMENT</w:t>
      </w:r>
      <w:bookmarkEnd w:id="23"/>
    </w:p>
    <w:p w14:paraId="5862A9C8" w14:textId="77777777" w:rsidR="008B7E19" w:rsidRPr="00993FCA" w:rsidRDefault="008B7E19" w:rsidP="008B7E19">
      <w:pPr>
        <w:pStyle w:val="05-Textonormal"/>
        <w:rPr>
          <w:lang w:val="en-US"/>
        </w:rPr>
      </w:pPr>
      <w:r w:rsidRPr="00993FCA">
        <w:rPr>
          <w:lang w:val="en-US"/>
        </w:rPr>
        <w:t xml:space="preserve">The risk management at BB Seguridade follows the guidelines established in its </w:t>
      </w:r>
      <w:r w:rsidRPr="00993FCA">
        <w:rPr>
          <w:lang w:val="en"/>
        </w:rPr>
        <w:t>Capital, Risk, Internal Controls and Compliance Management Policy</w:t>
      </w:r>
      <w:r w:rsidRPr="00993FCA">
        <w:rPr>
          <w:lang w:val="en-US"/>
        </w:rPr>
        <w:t>, approved by the Board of Directors, and disclosed to the market through the investors’ relations website.</w:t>
      </w:r>
    </w:p>
    <w:p w14:paraId="5C18414F" w14:textId="77777777" w:rsidR="008B7E19" w:rsidRPr="00FF21C9" w:rsidRDefault="008B7E19" w:rsidP="008B7E19">
      <w:pPr>
        <w:pStyle w:val="05-Textonormal"/>
        <w:rPr>
          <w:lang w:val="en-US"/>
        </w:rPr>
      </w:pPr>
      <w:r w:rsidRPr="00993FCA">
        <w:rPr>
          <w:lang w:val="en-US"/>
        </w:rPr>
        <w:t xml:space="preserve">The Company understands that its risk exposure originates from its interests, and therefore the </w:t>
      </w:r>
      <w:r w:rsidRPr="00993FCA">
        <w:rPr>
          <w:lang w:val="en"/>
        </w:rPr>
        <w:t xml:space="preserve">Capital, Risk, Internal Controls and Compliance Management Policy </w:t>
      </w:r>
      <w:r w:rsidRPr="00993FCA">
        <w:rPr>
          <w:lang w:val="en-US"/>
        </w:rPr>
        <w:t>contemplates two risk management dimensions: risk management (risks arising from the operations of BB Seguridade and its subsidiaries) and risk governance (risks arising from associates/joint ventures).</w:t>
      </w:r>
    </w:p>
    <w:p w14:paraId="298E63DE" w14:textId="77777777" w:rsidR="008B7E19" w:rsidRPr="00993FCA" w:rsidRDefault="008B7E19" w:rsidP="008B7E19">
      <w:pPr>
        <w:pStyle w:val="05-Textonormal"/>
        <w:rPr>
          <w:lang w:val="en-US"/>
        </w:rPr>
      </w:pPr>
      <w:r w:rsidRPr="00993FCA">
        <w:rPr>
          <w:lang w:val="en-US"/>
        </w:rPr>
        <w:t>By means of its Risk Appetite Statement, approved by the Board of Directors, the Company defines the maximum levels of risks that it accepts to incur in the fulfillment of its objectives.</w:t>
      </w:r>
    </w:p>
    <w:p w14:paraId="569A1244" w14:textId="77777777" w:rsidR="008B7E19" w:rsidRPr="00993FCA" w:rsidRDefault="008B7E19" w:rsidP="008B7E19">
      <w:pPr>
        <w:pStyle w:val="05-Textonormal"/>
        <w:rPr>
          <w:lang w:val="en-US"/>
        </w:rPr>
      </w:pPr>
      <w:r w:rsidRPr="00A53B07">
        <w:rPr>
          <w:lang w:val="en-US"/>
        </w:rPr>
        <w:t>The risk management process at BB Seguridade is based on the international framework of ISO 31000:2018 and comprises the steps of setting the context, identifying, analy</w:t>
      </w:r>
      <w:r>
        <w:rPr>
          <w:lang w:val="en-US"/>
        </w:rPr>
        <w:t>sis</w:t>
      </w:r>
      <w:r w:rsidRPr="00A53B07">
        <w:rPr>
          <w:lang w:val="en-US"/>
        </w:rPr>
        <w:t>, evaluating and treating risks. Transversal to each step of risk management, there are consultations with interested parties, monitoring, and critical analysis, which help in continuous improvement. This process is internally documented in the Group’s Risk Management, Internal Controls and Compliance Model.</w:t>
      </w:r>
    </w:p>
    <w:p w14:paraId="6FBB93A4" w14:textId="77777777" w:rsidR="008B7E19" w:rsidRPr="00993FCA" w:rsidRDefault="008B7E19" w:rsidP="008B7E19">
      <w:pPr>
        <w:pStyle w:val="05-Textonormal"/>
        <w:rPr>
          <w:lang w:val="en-US"/>
        </w:rPr>
      </w:pPr>
      <w:r w:rsidRPr="00A53B07">
        <w:rPr>
          <w:lang w:val="en"/>
        </w:rPr>
        <w:t>BB Seguridade's risk management is integrated into the corporate strategy, from the preparation of planning, as well as during the execution of the strategy, scenario analysis and decision-making support at all levels of the Company.</w:t>
      </w:r>
    </w:p>
    <w:p w14:paraId="0A1BEBB9" w14:textId="77777777" w:rsidR="008B7E19" w:rsidRPr="00993FCA" w:rsidRDefault="008B7E19" w:rsidP="008B7E19">
      <w:pPr>
        <w:pStyle w:val="05-Textonormal"/>
        <w:rPr>
          <w:lang w:val="en-US"/>
        </w:rPr>
      </w:pPr>
      <w:r w:rsidRPr="00993FCA">
        <w:rPr>
          <w:lang w:val="en-US"/>
        </w:rPr>
        <w:t>The Company has the Superintendence of Risk Management and Capital and the Superintendence of Internal Controls Management and Integrity. The first is responsible for providing fundamentals and support for the execution of the risk management process; the second is responsible for internal controls, compliance, and the Integrity Program. Both also act in the governance of risks and controls, respectively, in the companies in which BB Seguridade holds interests. For this to work properly, the areas are segregated from the business and Internal Audit areas.</w:t>
      </w:r>
    </w:p>
    <w:p w14:paraId="6C2ED678" w14:textId="77777777" w:rsidR="008B7E19" w:rsidRPr="004F76D8" w:rsidRDefault="008B7E19" w:rsidP="008B7E19">
      <w:pPr>
        <w:pStyle w:val="05-Textonormal"/>
        <w:rPr>
          <w:b/>
          <w:color w:val="1F4E79" w:themeColor="accent1" w:themeShade="80"/>
          <w:lang w:val="en-US"/>
        </w:rPr>
      </w:pPr>
      <w:r w:rsidRPr="004F76D8">
        <w:rPr>
          <w:b/>
          <w:color w:val="1F4E79" w:themeColor="accent1" w:themeShade="80"/>
          <w:lang w:val="en-US"/>
        </w:rPr>
        <w:t>a) Risk management at BB Seguridade and its subsidiaries</w:t>
      </w:r>
    </w:p>
    <w:p w14:paraId="5BE6B79F" w14:textId="77777777" w:rsidR="008B7E19" w:rsidRPr="00993FCA" w:rsidRDefault="008B7E19" w:rsidP="008B7E19">
      <w:pPr>
        <w:pStyle w:val="05-Textonormal"/>
        <w:rPr>
          <w:lang w:val="en-US"/>
        </w:rPr>
      </w:pPr>
      <w:r w:rsidRPr="00993FCA">
        <w:rPr>
          <w:lang w:val="en-US"/>
        </w:rPr>
        <w:t>The risk management framework adopted by BB Seguridade, as defined in its Risk Management, Internal Control and Compliance Policy, is structured based on a three-line model: in the first line, the process managers (risk owners) are responsible for implementing preventive and corrective actions that mitigate the weaknesses identified in the processes and control deficiencies; in the second line, the Superintendence of Risk Management and Capital and the Superintendence of Internal Controls Management and Integrity assist and monitor the risk owner in managing risks and internal controls in order to adjust them to the Group's risk appetite; and in the third line, the Internal Audit works independently, by providing to governance bodies assessments on the risk management and internal control effectiveness.</w:t>
      </w:r>
    </w:p>
    <w:p w14:paraId="3D1F3CAF" w14:textId="77777777" w:rsidR="008B7E19" w:rsidRPr="00993FCA" w:rsidRDefault="008B7E19" w:rsidP="008B7E19">
      <w:pPr>
        <w:pStyle w:val="05-Textonormal"/>
        <w:rPr>
          <w:lang w:val="en-US"/>
        </w:rPr>
      </w:pPr>
      <w:r w:rsidRPr="00993FCA">
        <w:rPr>
          <w:lang w:val="en-US"/>
        </w:rPr>
        <w:t xml:space="preserve">The risk management mechanisms and tools also include, among others: segregation of duties; joint decisions; </w:t>
      </w:r>
      <w:r w:rsidRPr="00993FCA">
        <w:rPr>
          <w:lang w:val="en"/>
        </w:rPr>
        <w:t>Information Security and Cybernetics Policy</w:t>
      </w:r>
      <w:r w:rsidRPr="00993FCA">
        <w:rPr>
          <w:lang w:val="en-US"/>
        </w:rPr>
        <w:t>, Preventing and Combating Money Laundering and Terrorist Financing Policy</w:t>
      </w:r>
      <w:r>
        <w:rPr>
          <w:lang w:val="en-US"/>
        </w:rPr>
        <w:t xml:space="preserve">, in line with Circular Susep 612/2020 </w:t>
      </w:r>
      <w:r w:rsidRPr="00724F86">
        <w:rPr>
          <w:lang w:val="en-US"/>
        </w:rPr>
        <w:t>and subsequent amendments</w:t>
      </w:r>
      <w:r w:rsidRPr="00993FCA">
        <w:rPr>
          <w:lang w:val="en-US"/>
        </w:rPr>
        <w:t>; Preventing and Combating Corruption Policy, Code of Ethics and Conduct and an Integrity Program in line with Law 12,846/2013 (Anti-Corruption Law) and</w:t>
      </w:r>
      <w:r>
        <w:rPr>
          <w:lang w:val="en-US"/>
        </w:rPr>
        <w:t xml:space="preserve"> the Decree 11,</w:t>
      </w:r>
      <w:r w:rsidRPr="00993FCA">
        <w:rPr>
          <w:lang w:val="en-US"/>
        </w:rPr>
        <w:t>129/</w:t>
      </w:r>
      <w:r>
        <w:rPr>
          <w:lang w:val="en-US"/>
        </w:rPr>
        <w:t>2022</w:t>
      </w:r>
      <w:r w:rsidRPr="00993FCA">
        <w:rPr>
          <w:lang w:val="en"/>
        </w:rPr>
        <w:t xml:space="preserve"> </w:t>
      </w:r>
      <w:r w:rsidRPr="00993FCA">
        <w:rPr>
          <w:lang w:val="en-US"/>
        </w:rPr>
        <w:t>(documents disclosed internally and also to the market, available at the investors relations website); internal risk management, internal controls and compliance regulations, in addition to internal communication program on risk management, internal controls and compliance, continuously promoting the adaptation of the entire Group to these subjects.</w:t>
      </w:r>
    </w:p>
    <w:p w14:paraId="7267CAF4" w14:textId="77777777" w:rsidR="008B7E19" w:rsidRPr="00993FCA" w:rsidRDefault="008B7E19" w:rsidP="008B7E19">
      <w:pPr>
        <w:pStyle w:val="05-Textonormal"/>
        <w:rPr>
          <w:lang w:val="en-US"/>
        </w:rPr>
      </w:pPr>
      <w:r w:rsidRPr="00993FCA">
        <w:rPr>
          <w:lang w:val="en-US"/>
        </w:rPr>
        <w:t>The Executive Board is supported by the Continuity and Crisis Management Committee, which advises on the assessment and mitigation of risks of discontinuity, incidents, or crises.</w:t>
      </w:r>
    </w:p>
    <w:p w14:paraId="12E1FA7D" w14:textId="77777777" w:rsidR="008B7E19" w:rsidRPr="00993FCA" w:rsidRDefault="008B7E19" w:rsidP="008B7E19">
      <w:pPr>
        <w:pStyle w:val="05-Textonormal"/>
        <w:rPr>
          <w:lang w:val="en-US"/>
        </w:rPr>
      </w:pPr>
      <w:r w:rsidRPr="00993FCA">
        <w:rPr>
          <w:lang w:val="en-US"/>
        </w:rPr>
        <w:t xml:space="preserve">BB Seguridade's governance structure also comprises the Risk </w:t>
      </w:r>
      <w:r>
        <w:rPr>
          <w:lang w:val="en-US"/>
        </w:rPr>
        <w:t xml:space="preserve">and Capital </w:t>
      </w:r>
      <w:r w:rsidRPr="00993FCA">
        <w:rPr>
          <w:lang w:val="en-US"/>
        </w:rPr>
        <w:t>Committee, a statutory agency to advise the Board of Directors, which is responsible, among other things, for assessing and monitoring the Group's risk exposures.</w:t>
      </w:r>
    </w:p>
    <w:p w14:paraId="02534D07" w14:textId="77777777" w:rsidR="008B7E19" w:rsidRPr="00993FCA" w:rsidRDefault="008B7E19" w:rsidP="008B7E19">
      <w:pPr>
        <w:pStyle w:val="05-Textonormal"/>
        <w:rPr>
          <w:lang w:val="en-US"/>
        </w:rPr>
      </w:pPr>
      <w:r w:rsidRPr="00993FCA">
        <w:rPr>
          <w:lang w:val="en-US"/>
        </w:rPr>
        <w:t>The Audit Committee, a statutory agency, is responsible, among other things, for sharing, with the Board of Directors, the risks, weaknesses, or concerns that may have a significant impact on the Company's financial conditions and business.</w:t>
      </w:r>
    </w:p>
    <w:p w14:paraId="50BEC12F" w14:textId="77777777" w:rsidR="008B7E19" w:rsidRPr="00993FCA" w:rsidRDefault="008B7E19" w:rsidP="008B7E19">
      <w:pPr>
        <w:pStyle w:val="05-Textonormal"/>
        <w:rPr>
          <w:lang w:val="en-US"/>
        </w:rPr>
      </w:pPr>
      <w:r w:rsidRPr="00993FCA">
        <w:rPr>
          <w:lang w:val="en-US"/>
        </w:rPr>
        <w:t>Information related to risk management and internal controls is periodically reported to the Collegiate Board of Directors, the Administrative Council, and the Fiscal Council.</w:t>
      </w:r>
    </w:p>
    <w:p w14:paraId="41061865" w14:textId="77777777" w:rsidR="008B7E19" w:rsidRPr="004F76D8" w:rsidRDefault="008B7E19" w:rsidP="008B7E19">
      <w:pPr>
        <w:pStyle w:val="05-Textonormal"/>
        <w:rPr>
          <w:b/>
          <w:color w:val="1F4E79" w:themeColor="accent1" w:themeShade="80"/>
          <w:lang w:val="en-US"/>
        </w:rPr>
      </w:pPr>
      <w:r w:rsidRPr="004F76D8">
        <w:rPr>
          <w:b/>
          <w:color w:val="1F4E79" w:themeColor="accent1" w:themeShade="80"/>
          <w:lang w:val="en-US"/>
        </w:rPr>
        <w:t>a.1) Risks associated with investments in financial assets</w:t>
      </w:r>
    </w:p>
    <w:p w14:paraId="21E2AFE3" w14:textId="77777777" w:rsidR="008B7E19" w:rsidRPr="00993FCA" w:rsidRDefault="008B7E19" w:rsidP="008B7E19">
      <w:pPr>
        <w:pStyle w:val="05-Textonormal"/>
        <w:rPr>
          <w:lang w:val="en-US"/>
        </w:rPr>
      </w:pPr>
      <w:r>
        <w:rPr>
          <w:lang w:val="en-US"/>
        </w:rPr>
        <w:t>T</w:t>
      </w:r>
      <w:r w:rsidRPr="00993FCA">
        <w:rPr>
          <w:lang w:val="en-US"/>
        </w:rPr>
        <w:t xml:space="preserve">he Group has a Financial Investment Policy, approved by the Board of Directors and applicable to all companies of the Group, that sets out the criteria relating to the nature, term, and acceptable risks of the financial investments. The current policy allows the investment only in federal government bonds, repurchase agreement </w:t>
      </w:r>
      <w:r w:rsidRPr="00CE4AD4">
        <w:rPr>
          <w:lang w:val="en-US"/>
        </w:rPr>
        <w:t>guaranteed</w:t>
      </w:r>
      <w:r>
        <w:rPr>
          <w:lang w:val="en-US"/>
        </w:rPr>
        <w:t xml:space="preserve"> </w:t>
      </w:r>
      <w:r w:rsidRPr="00993FCA">
        <w:rPr>
          <w:lang w:val="en-US"/>
        </w:rPr>
        <w:t>by federal government bonds and extra-market investment funds.</w:t>
      </w:r>
    </w:p>
    <w:p w14:paraId="10825F19" w14:textId="77777777" w:rsidR="008B7E19" w:rsidRPr="00993FCA" w:rsidRDefault="008B7E19" w:rsidP="008B7E19">
      <w:pPr>
        <w:pStyle w:val="05-Textonormal"/>
        <w:rPr>
          <w:lang w:val="en-US"/>
        </w:rPr>
      </w:pPr>
      <w:r w:rsidRPr="00993FCA">
        <w:rPr>
          <w:lang w:val="en-US"/>
        </w:rPr>
        <w:t>The investments in financial assets of BB Seguridade and its subsidiaries, classified as cash equivalents, are concentrated on repurchase agreements backe</w:t>
      </w:r>
      <w:r>
        <w:rPr>
          <w:lang w:val="en-US"/>
        </w:rPr>
        <w:t>d by Federal Government Bonds (N</w:t>
      </w:r>
      <w:r w:rsidRPr="00993FCA">
        <w:rPr>
          <w:lang w:val="en-US"/>
        </w:rPr>
        <w:t xml:space="preserve">ote 15). Other investments in financial assets classified as financial instruments are invested in fixed-income long-term mutual fund </w:t>
      </w:r>
      <w:r>
        <w:rPr>
          <w:lang w:val="en-US"/>
        </w:rPr>
        <w:t xml:space="preserve">and </w:t>
      </w:r>
      <w:r w:rsidRPr="000B28AF">
        <w:rPr>
          <w:lang w:val="en-US"/>
        </w:rPr>
        <w:t xml:space="preserve">federal government bonds </w:t>
      </w:r>
      <w:r>
        <w:rPr>
          <w:lang w:val="en-US"/>
        </w:rPr>
        <w:t>(N</w:t>
      </w:r>
      <w:r w:rsidRPr="00993FCA">
        <w:rPr>
          <w:lang w:val="en-US"/>
        </w:rPr>
        <w:t>ote 16).</w:t>
      </w:r>
    </w:p>
    <w:p w14:paraId="74870E6E" w14:textId="77777777" w:rsidR="008B7E19" w:rsidRPr="004F76D8" w:rsidRDefault="008B7E19" w:rsidP="008B7E19">
      <w:pPr>
        <w:pStyle w:val="05-Textonormal"/>
        <w:rPr>
          <w:b/>
          <w:color w:val="1F4E79" w:themeColor="accent1" w:themeShade="80"/>
          <w:lang w:val="en-US"/>
        </w:rPr>
      </w:pPr>
      <w:r w:rsidRPr="004F76D8">
        <w:rPr>
          <w:b/>
          <w:color w:val="1F4E79" w:themeColor="accent1" w:themeShade="80"/>
          <w:lang w:val="en-US"/>
        </w:rPr>
        <w:t>a.2) Market Risk</w:t>
      </w:r>
    </w:p>
    <w:p w14:paraId="7C4195AE" w14:textId="77777777" w:rsidR="008B7E19" w:rsidRPr="00993FCA" w:rsidRDefault="008B7E19" w:rsidP="008B7E19">
      <w:pPr>
        <w:pStyle w:val="05-Textonormal"/>
        <w:rPr>
          <w:lang w:val="en-US"/>
        </w:rPr>
      </w:pPr>
      <w:r w:rsidRPr="00993FCA">
        <w:rPr>
          <w:lang w:val="en-US"/>
        </w:rPr>
        <w:t>Market risk is defined as the possibility of negative impacts resulting from fluctuation in the market values of positions in financial instruments held by the Group. At BB Seguridade and its subsidiaries, the exposure to this risk arises from the investment portfolio in financial assets. According to the latest Relevant Risks Inventory and considering the Financial Investment Policy and current portfolio, the risk is not considered relevant.</w:t>
      </w:r>
    </w:p>
    <w:p w14:paraId="7B1840FF" w14:textId="77777777" w:rsidR="008B7E19" w:rsidRPr="00993FCA" w:rsidRDefault="008B7E19" w:rsidP="008B7E19">
      <w:pPr>
        <w:pStyle w:val="05-Textonormal"/>
        <w:rPr>
          <w:lang w:val="en-US"/>
        </w:rPr>
      </w:pPr>
      <w:r w:rsidRPr="00993FCA">
        <w:rPr>
          <w:lang w:val="en-US"/>
        </w:rPr>
        <w:t>The market risk is managed based in the Financial Investment Policy, that defines which assets may comprise the portfolio and the VaR (Value at Risk) limit, calculated for 21 business days, with the portfolio volatility estimated using the exponentially weighted moving average (EWMA) and 95% confidence level. The indicator is monitored by the Finance and Investment Committee and by the Executive Board.</w:t>
      </w:r>
    </w:p>
    <w:p w14:paraId="6C828287" w14:textId="77777777" w:rsidR="008B7E19" w:rsidRPr="004F76D8" w:rsidRDefault="008B7E19" w:rsidP="008B7E19">
      <w:pPr>
        <w:pStyle w:val="05-Textonormal"/>
        <w:rPr>
          <w:b/>
          <w:color w:val="1F4E79" w:themeColor="accent1" w:themeShade="80"/>
          <w:lang w:val="en-US"/>
        </w:rPr>
      </w:pPr>
      <w:r w:rsidRPr="004F76D8">
        <w:rPr>
          <w:b/>
          <w:color w:val="1F4E79" w:themeColor="accent1" w:themeShade="80"/>
          <w:lang w:val="en-US"/>
        </w:rPr>
        <w:t>Market risk exposure in investments in financial assets</w:t>
      </w:r>
    </w:p>
    <w:p w14:paraId="65D653AD" w14:textId="77777777" w:rsidR="008B7E19" w:rsidRPr="003F1E22" w:rsidRDefault="008B7E19" w:rsidP="008B7E19">
      <w:pPr>
        <w:spacing w:after="0"/>
        <w:jc w:val="right"/>
        <w:rPr>
          <w:rFonts w:cs="Arial"/>
          <w:b/>
          <w:bCs/>
          <w:sz w:val="14"/>
          <w:szCs w:val="14"/>
          <w:lang w:val="en-US" w:eastAsia="pt-BR"/>
        </w:rPr>
      </w:pPr>
      <w:r w:rsidRPr="003F1E22">
        <w:rPr>
          <w:rFonts w:cs="Arial"/>
          <w:b/>
          <w:bCs/>
          <w:sz w:val="14"/>
          <w:szCs w:val="14"/>
          <w:lang w:val="en-US" w:eastAsia="pt-BR"/>
        </w:rPr>
        <w:t>R$ thousand</w:t>
      </w:r>
    </w:p>
    <w:tbl>
      <w:tblPr>
        <w:tblStyle w:val="TabeladeLista6Colorida-nfase5"/>
        <w:tblW w:w="9639" w:type="dxa"/>
        <w:jc w:val="center"/>
        <w:tblLayout w:type="fixed"/>
        <w:tblLook w:val="04A0" w:firstRow="1" w:lastRow="0" w:firstColumn="1" w:lastColumn="0" w:noHBand="0" w:noVBand="1"/>
      </w:tblPr>
      <w:tblGrid>
        <w:gridCol w:w="1501"/>
        <w:gridCol w:w="240"/>
        <w:gridCol w:w="1173"/>
        <w:gridCol w:w="630"/>
        <w:gridCol w:w="1418"/>
        <w:gridCol w:w="579"/>
        <w:gridCol w:w="242"/>
        <w:gridCol w:w="1163"/>
        <w:gridCol w:w="709"/>
        <w:gridCol w:w="1417"/>
        <w:gridCol w:w="567"/>
      </w:tblGrid>
      <w:tr w:rsidR="008B7E19" w:rsidRPr="00993FCA" w14:paraId="5990AF31" w14:textId="77777777" w:rsidTr="008B7E19">
        <w:trPr>
          <w:cnfStyle w:val="100000000000" w:firstRow="1" w:lastRow="0" w:firstColumn="0" w:lastColumn="0" w:oddVBand="0" w:evenVBand="0" w:oddHBand="0"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9639" w:type="dxa"/>
            <w:gridSpan w:val="11"/>
            <w:tcBorders>
              <w:top w:val="single" w:sz="2" w:space="0" w:color="1F4E79" w:themeColor="accent1" w:themeShade="80"/>
              <w:bottom w:val="single" w:sz="2" w:space="0" w:color="1F4E79" w:themeColor="accent1" w:themeShade="80"/>
            </w:tcBorders>
            <w:shd w:val="clear" w:color="auto" w:fill="auto"/>
            <w:vAlign w:val="center"/>
          </w:tcPr>
          <w:p w14:paraId="6A54FD92" w14:textId="77777777" w:rsidR="008B7E19" w:rsidRPr="00D71583" w:rsidRDefault="008B7E19" w:rsidP="008B7E19">
            <w:pPr>
              <w:jc w:val="center"/>
              <w:rPr>
                <w:rFonts w:cs="Arial"/>
                <w:color w:val="auto"/>
                <w:sz w:val="14"/>
                <w:szCs w:val="14"/>
              </w:rPr>
            </w:pPr>
            <w:r w:rsidRPr="00D71583">
              <w:rPr>
                <w:rFonts w:cs="Arial"/>
                <w:color w:val="auto"/>
                <w:sz w:val="14"/>
                <w:szCs w:val="14"/>
              </w:rPr>
              <w:t xml:space="preserve">Impact in the </w:t>
            </w:r>
            <w:r w:rsidRPr="00D71583">
              <w:rPr>
                <w:rFonts w:cs="Arial"/>
                <w:sz w:val="14"/>
                <w:szCs w:val="14"/>
              </w:rPr>
              <w:t>Portfolio</w:t>
            </w:r>
          </w:p>
        </w:tc>
      </w:tr>
      <w:tr w:rsidR="008B7E19" w:rsidRPr="00993FCA" w14:paraId="793C308A" w14:textId="77777777" w:rsidTr="008B7E19">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1501" w:type="dxa"/>
            <w:tcBorders>
              <w:top w:val="single" w:sz="2" w:space="0" w:color="1F4E79" w:themeColor="accent1" w:themeShade="80"/>
              <w:bottom w:val="nil"/>
            </w:tcBorders>
            <w:shd w:val="clear" w:color="auto" w:fill="auto"/>
            <w:vAlign w:val="center"/>
          </w:tcPr>
          <w:p w14:paraId="1E9DCCE2" w14:textId="77777777" w:rsidR="008B7E19" w:rsidRPr="00993FCA" w:rsidRDefault="008B7E19" w:rsidP="008B7E19">
            <w:pPr>
              <w:jc w:val="center"/>
              <w:rPr>
                <w:rFonts w:cs="Arial"/>
                <w:color w:val="auto"/>
                <w:szCs w:val="18"/>
              </w:rPr>
            </w:pPr>
          </w:p>
        </w:tc>
        <w:tc>
          <w:tcPr>
            <w:tcW w:w="240" w:type="dxa"/>
            <w:tcBorders>
              <w:top w:val="single" w:sz="2" w:space="0" w:color="1F4E79" w:themeColor="accent1" w:themeShade="80"/>
              <w:bottom w:val="nil"/>
            </w:tcBorders>
            <w:shd w:val="clear" w:color="auto" w:fill="auto"/>
          </w:tcPr>
          <w:p w14:paraId="26C9CB07" w14:textId="77777777" w:rsidR="008B7E19" w:rsidRPr="00993FCA" w:rsidRDefault="008B7E19" w:rsidP="008B7E19">
            <w:pPr>
              <w:jc w:val="center"/>
              <w:cnfStyle w:val="000000100000" w:firstRow="0" w:lastRow="0" w:firstColumn="0" w:lastColumn="0" w:oddVBand="0" w:evenVBand="0" w:oddHBand="1" w:evenHBand="0" w:firstRowFirstColumn="0" w:firstRowLastColumn="0" w:lastRowFirstColumn="0" w:lastRowLastColumn="0"/>
              <w:rPr>
                <w:rFonts w:cs="Arial"/>
                <w:b/>
                <w:color w:val="auto"/>
                <w:szCs w:val="18"/>
              </w:rPr>
            </w:pPr>
          </w:p>
        </w:tc>
        <w:tc>
          <w:tcPr>
            <w:tcW w:w="3800" w:type="dxa"/>
            <w:gridSpan w:val="4"/>
            <w:tcBorders>
              <w:top w:val="single" w:sz="2" w:space="0" w:color="1F4E79" w:themeColor="accent1" w:themeShade="80"/>
              <w:bottom w:val="single" w:sz="2" w:space="0" w:color="1F4E79" w:themeColor="accent1" w:themeShade="80"/>
            </w:tcBorders>
            <w:shd w:val="clear" w:color="auto" w:fill="auto"/>
            <w:vAlign w:val="center"/>
          </w:tcPr>
          <w:p w14:paraId="267E859D" w14:textId="77777777" w:rsidR="008B7E19" w:rsidRPr="00F73A24" w:rsidRDefault="008B7E19" w:rsidP="008B7E19">
            <w:pPr>
              <w:jc w:val="center"/>
              <w:cnfStyle w:val="000000100000" w:firstRow="0" w:lastRow="0" w:firstColumn="0" w:lastColumn="0" w:oddVBand="0" w:evenVBand="0" w:oddHBand="1" w:evenHBand="0" w:firstRowFirstColumn="0" w:firstRowLastColumn="0" w:lastRowFirstColumn="0" w:lastRowLastColumn="0"/>
              <w:rPr>
                <w:rFonts w:cs="Arial"/>
                <w:b/>
                <w:color w:val="auto"/>
                <w:sz w:val="14"/>
                <w:szCs w:val="14"/>
              </w:rPr>
            </w:pPr>
            <w:r w:rsidRPr="00F73A24">
              <w:rPr>
                <w:rFonts w:cs="Arial"/>
                <w:b/>
                <w:color w:val="auto"/>
                <w:sz w:val="14"/>
                <w:szCs w:val="14"/>
              </w:rPr>
              <w:t>Parent Company</w:t>
            </w:r>
          </w:p>
        </w:tc>
        <w:tc>
          <w:tcPr>
            <w:tcW w:w="242" w:type="dxa"/>
            <w:tcBorders>
              <w:top w:val="single" w:sz="2" w:space="0" w:color="1F4E79" w:themeColor="accent1" w:themeShade="80"/>
              <w:bottom w:val="nil"/>
            </w:tcBorders>
            <w:shd w:val="clear" w:color="auto" w:fill="auto"/>
            <w:vAlign w:val="center"/>
          </w:tcPr>
          <w:p w14:paraId="5ED8A91B" w14:textId="77777777" w:rsidR="008B7E19" w:rsidRPr="00D71583" w:rsidRDefault="008B7E19" w:rsidP="008B7E19">
            <w:pPr>
              <w:jc w:val="center"/>
              <w:cnfStyle w:val="000000100000" w:firstRow="0" w:lastRow="0" w:firstColumn="0" w:lastColumn="0" w:oddVBand="0" w:evenVBand="0" w:oddHBand="1" w:evenHBand="0" w:firstRowFirstColumn="0" w:firstRowLastColumn="0" w:lastRowFirstColumn="0" w:lastRowLastColumn="0"/>
              <w:rPr>
                <w:rFonts w:cs="Arial"/>
                <w:b/>
                <w:color w:val="auto"/>
                <w:sz w:val="14"/>
                <w:szCs w:val="14"/>
              </w:rPr>
            </w:pPr>
          </w:p>
        </w:tc>
        <w:tc>
          <w:tcPr>
            <w:tcW w:w="3856" w:type="dxa"/>
            <w:gridSpan w:val="4"/>
            <w:tcBorders>
              <w:top w:val="single" w:sz="2" w:space="0" w:color="1F4E79" w:themeColor="accent1" w:themeShade="80"/>
              <w:bottom w:val="single" w:sz="2" w:space="0" w:color="1F4E79" w:themeColor="accent1" w:themeShade="80"/>
            </w:tcBorders>
            <w:shd w:val="clear" w:color="auto" w:fill="auto"/>
            <w:vAlign w:val="center"/>
          </w:tcPr>
          <w:p w14:paraId="38DC5F2E" w14:textId="77777777" w:rsidR="008B7E19" w:rsidRPr="00D71583" w:rsidRDefault="008B7E19" w:rsidP="008B7E19">
            <w:pPr>
              <w:jc w:val="center"/>
              <w:cnfStyle w:val="000000100000" w:firstRow="0" w:lastRow="0" w:firstColumn="0" w:lastColumn="0" w:oddVBand="0" w:evenVBand="0" w:oddHBand="1" w:evenHBand="0" w:firstRowFirstColumn="0" w:firstRowLastColumn="0" w:lastRowFirstColumn="0" w:lastRowLastColumn="0"/>
              <w:rPr>
                <w:rFonts w:cs="Arial"/>
                <w:b/>
                <w:color w:val="auto"/>
                <w:sz w:val="14"/>
                <w:szCs w:val="14"/>
              </w:rPr>
            </w:pPr>
            <w:r w:rsidRPr="00F73A24">
              <w:rPr>
                <w:rFonts w:cs="Arial"/>
                <w:b/>
                <w:color w:val="auto"/>
                <w:sz w:val="14"/>
                <w:szCs w:val="14"/>
              </w:rPr>
              <w:t>Consolidated</w:t>
            </w:r>
          </w:p>
        </w:tc>
      </w:tr>
      <w:tr w:rsidR="008B7E19" w:rsidRPr="00993FCA" w14:paraId="030ED160" w14:textId="77777777" w:rsidTr="008B7E19">
        <w:trPr>
          <w:trHeight w:hRule="exact" w:val="238"/>
          <w:jc w:val="center"/>
        </w:trPr>
        <w:tc>
          <w:tcPr>
            <w:cnfStyle w:val="001000000000" w:firstRow="0" w:lastRow="0" w:firstColumn="1" w:lastColumn="0" w:oddVBand="0" w:evenVBand="0" w:oddHBand="0" w:evenHBand="0" w:firstRowFirstColumn="0" w:firstRowLastColumn="0" w:lastRowFirstColumn="0" w:lastRowLastColumn="0"/>
            <w:tcW w:w="1501" w:type="dxa"/>
            <w:tcBorders>
              <w:top w:val="nil"/>
              <w:bottom w:val="nil"/>
            </w:tcBorders>
            <w:shd w:val="clear" w:color="auto" w:fill="auto"/>
          </w:tcPr>
          <w:p w14:paraId="151F0D41" w14:textId="77777777" w:rsidR="008B7E19" w:rsidRPr="00993FCA" w:rsidRDefault="008B7E19" w:rsidP="008B7E19">
            <w:pPr>
              <w:pStyle w:val="08-Tabelageral"/>
              <w:jc w:val="left"/>
              <w:rPr>
                <w:rFonts w:cs="Arial"/>
                <w:b w:val="0"/>
                <w:color w:val="auto"/>
              </w:rPr>
            </w:pPr>
          </w:p>
        </w:tc>
        <w:tc>
          <w:tcPr>
            <w:tcW w:w="240" w:type="dxa"/>
            <w:tcBorders>
              <w:top w:val="nil"/>
              <w:bottom w:val="nil"/>
            </w:tcBorders>
            <w:shd w:val="clear" w:color="auto" w:fill="auto"/>
          </w:tcPr>
          <w:p w14:paraId="634C3879" w14:textId="77777777" w:rsidR="008B7E19" w:rsidRPr="00993FCA" w:rsidRDefault="008B7E19" w:rsidP="008B7E19">
            <w:pPr>
              <w:pStyle w:val="08-Tabelageral"/>
              <w:jc w:val="center"/>
              <w:cnfStyle w:val="000000000000" w:firstRow="0" w:lastRow="0" w:firstColumn="0" w:lastColumn="0" w:oddVBand="0" w:evenVBand="0" w:oddHBand="0" w:evenHBand="0" w:firstRowFirstColumn="0" w:firstRowLastColumn="0" w:lastRowFirstColumn="0" w:lastRowLastColumn="0"/>
              <w:rPr>
                <w:rFonts w:cs="Arial"/>
                <w:b/>
                <w:color w:val="auto"/>
              </w:rPr>
            </w:pPr>
          </w:p>
        </w:tc>
        <w:tc>
          <w:tcPr>
            <w:tcW w:w="1173" w:type="dxa"/>
            <w:tcBorders>
              <w:top w:val="single" w:sz="2" w:space="0" w:color="1F4E79" w:themeColor="accent1" w:themeShade="80"/>
              <w:bottom w:val="nil"/>
            </w:tcBorders>
            <w:shd w:val="clear" w:color="auto" w:fill="auto"/>
            <w:vAlign w:val="center"/>
          </w:tcPr>
          <w:p w14:paraId="7E1F6D31" w14:textId="77777777" w:rsidR="008B7E19" w:rsidRPr="00D71583"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b/>
                <w:color w:val="auto"/>
                <w:szCs w:val="14"/>
              </w:rPr>
            </w:pPr>
            <w:r>
              <w:rPr>
                <w:rFonts w:cs="Arial"/>
                <w:b/>
                <w:color w:val="auto"/>
                <w:szCs w:val="14"/>
              </w:rPr>
              <w:t>June</w:t>
            </w:r>
            <w:r w:rsidRPr="00D71583">
              <w:rPr>
                <w:rFonts w:cs="Arial"/>
                <w:b/>
                <w:color w:val="auto"/>
                <w:szCs w:val="14"/>
              </w:rPr>
              <w:t xml:space="preserve"> 3</w:t>
            </w:r>
            <w:r>
              <w:rPr>
                <w:rFonts w:cs="Arial"/>
                <w:b/>
                <w:color w:val="auto"/>
                <w:szCs w:val="14"/>
              </w:rPr>
              <w:t>0</w:t>
            </w:r>
            <w:r w:rsidRPr="00D71583">
              <w:rPr>
                <w:rFonts w:cs="Arial"/>
                <w:b/>
                <w:color w:val="auto"/>
                <w:szCs w:val="14"/>
              </w:rPr>
              <w:t>, 202</w:t>
            </w:r>
            <w:r>
              <w:rPr>
                <w:rFonts w:cs="Arial"/>
                <w:b/>
                <w:color w:val="auto"/>
                <w:szCs w:val="14"/>
              </w:rPr>
              <w:t>3</w:t>
            </w:r>
          </w:p>
        </w:tc>
        <w:tc>
          <w:tcPr>
            <w:tcW w:w="630" w:type="dxa"/>
            <w:tcBorders>
              <w:top w:val="single" w:sz="2" w:space="0" w:color="1F4E79" w:themeColor="accent1" w:themeShade="80"/>
              <w:bottom w:val="nil"/>
            </w:tcBorders>
            <w:shd w:val="clear" w:color="auto" w:fill="auto"/>
            <w:vAlign w:val="center"/>
          </w:tcPr>
          <w:p w14:paraId="16ACFEF1" w14:textId="77777777" w:rsidR="008B7E19" w:rsidRPr="00D71583"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b/>
                <w:color w:val="auto"/>
                <w:szCs w:val="14"/>
              </w:rPr>
            </w:pPr>
            <w:r w:rsidRPr="00D71583">
              <w:rPr>
                <w:rFonts w:cs="Arial"/>
                <w:b/>
                <w:color w:val="auto"/>
                <w:szCs w:val="14"/>
              </w:rPr>
              <w:t>%</w:t>
            </w:r>
          </w:p>
        </w:tc>
        <w:tc>
          <w:tcPr>
            <w:tcW w:w="1418" w:type="dxa"/>
            <w:tcBorders>
              <w:top w:val="single" w:sz="2" w:space="0" w:color="1F4E79" w:themeColor="accent1" w:themeShade="80"/>
              <w:bottom w:val="nil"/>
            </w:tcBorders>
            <w:shd w:val="clear" w:color="auto" w:fill="auto"/>
            <w:vAlign w:val="center"/>
          </w:tcPr>
          <w:p w14:paraId="05BD2D0F" w14:textId="77777777" w:rsidR="008B7E19" w:rsidRPr="00D71583"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color w:val="auto"/>
                <w:szCs w:val="14"/>
              </w:rPr>
            </w:pPr>
            <w:r w:rsidRPr="00D71583">
              <w:rPr>
                <w:rFonts w:cs="Arial"/>
                <w:b/>
                <w:color w:val="auto"/>
                <w:szCs w:val="14"/>
              </w:rPr>
              <w:t>Dec 31, 202</w:t>
            </w:r>
            <w:r>
              <w:rPr>
                <w:rFonts w:cs="Arial"/>
                <w:b/>
                <w:color w:val="auto"/>
                <w:szCs w:val="14"/>
              </w:rPr>
              <w:t>2</w:t>
            </w:r>
          </w:p>
        </w:tc>
        <w:tc>
          <w:tcPr>
            <w:tcW w:w="579" w:type="dxa"/>
            <w:tcBorders>
              <w:top w:val="single" w:sz="2" w:space="0" w:color="1F4E79" w:themeColor="accent1" w:themeShade="80"/>
              <w:bottom w:val="nil"/>
            </w:tcBorders>
            <w:shd w:val="clear" w:color="auto" w:fill="auto"/>
            <w:vAlign w:val="center"/>
          </w:tcPr>
          <w:p w14:paraId="45765331" w14:textId="77777777" w:rsidR="008B7E19" w:rsidRPr="00D71583"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b/>
                <w:color w:val="auto"/>
                <w:szCs w:val="14"/>
              </w:rPr>
            </w:pPr>
            <w:r w:rsidRPr="00D71583">
              <w:rPr>
                <w:rFonts w:cs="Arial"/>
                <w:b/>
                <w:color w:val="auto"/>
                <w:szCs w:val="14"/>
              </w:rPr>
              <w:t>%</w:t>
            </w:r>
          </w:p>
        </w:tc>
        <w:tc>
          <w:tcPr>
            <w:tcW w:w="242" w:type="dxa"/>
            <w:tcBorders>
              <w:top w:val="nil"/>
              <w:bottom w:val="nil"/>
            </w:tcBorders>
            <w:shd w:val="clear" w:color="auto" w:fill="auto"/>
            <w:vAlign w:val="center"/>
          </w:tcPr>
          <w:p w14:paraId="67626839" w14:textId="77777777" w:rsidR="008B7E19" w:rsidRPr="00D71583"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b/>
                <w:color w:val="auto"/>
                <w:szCs w:val="14"/>
              </w:rPr>
            </w:pPr>
          </w:p>
        </w:tc>
        <w:tc>
          <w:tcPr>
            <w:tcW w:w="1163" w:type="dxa"/>
            <w:tcBorders>
              <w:top w:val="single" w:sz="2" w:space="0" w:color="1F4E79" w:themeColor="accent1" w:themeShade="80"/>
              <w:bottom w:val="nil"/>
            </w:tcBorders>
            <w:shd w:val="clear" w:color="auto" w:fill="auto"/>
            <w:vAlign w:val="center"/>
          </w:tcPr>
          <w:p w14:paraId="4545425A" w14:textId="77777777" w:rsidR="008B7E19" w:rsidRPr="00D71583"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b/>
                <w:color w:val="auto"/>
                <w:szCs w:val="14"/>
              </w:rPr>
            </w:pPr>
            <w:r w:rsidRPr="008605D0">
              <w:rPr>
                <w:rFonts w:cs="Arial"/>
                <w:b/>
                <w:color w:val="auto"/>
                <w:szCs w:val="14"/>
              </w:rPr>
              <w:t>June 30, 2023</w:t>
            </w:r>
          </w:p>
        </w:tc>
        <w:tc>
          <w:tcPr>
            <w:tcW w:w="709" w:type="dxa"/>
            <w:tcBorders>
              <w:top w:val="single" w:sz="2" w:space="0" w:color="1F4E79" w:themeColor="accent1" w:themeShade="80"/>
              <w:bottom w:val="nil"/>
            </w:tcBorders>
            <w:shd w:val="clear" w:color="auto" w:fill="auto"/>
            <w:vAlign w:val="center"/>
          </w:tcPr>
          <w:p w14:paraId="0D0F42E7" w14:textId="77777777" w:rsidR="008B7E19" w:rsidRPr="00D71583"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b/>
                <w:color w:val="auto"/>
                <w:szCs w:val="14"/>
              </w:rPr>
            </w:pPr>
            <w:r w:rsidRPr="00D71583">
              <w:rPr>
                <w:rFonts w:cs="Arial"/>
                <w:b/>
                <w:color w:val="auto"/>
                <w:szCs w:val="14"/>
              </w:rPr>
              <w:t>%</w:t>
            </w:r>
          </w:p>
        </w:tc>
        <w:tc>
          <w:tcPr>
            <w:tcW w:w="1417" w:type="dxa"/>
            <w:tcBorders>
              <w:top w:val="single" w:sz="2" w:space="0" w:color="1F4E79" w:themeColor="accent1" w:themeShade="80"/>
              <w:bottom w:val="nil"/>
            </w:tcBorders>
            <w:shd w:val="clear" w:color="auto" w:fill="auto"/>
            <w:vAlign w:val="center"/>
          </w:tcPr>
          <w:p w14:paraId="1D8640FB" w14:textId="77777777" w:rsidR="008B7E19" w:rsidRPr="00D71583"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color w:val="auto"/>
                <w:szCs w:val="14"/>
              </w:rPr>
            </w:pPr>
            <w:r w:rsidRPr="00D71583">
              <w:rPr>
                <w:rFonts w:cs="Arial"/>
                <w:b/>
                <w:color w:val="auto"/>
                <w:szCs w:val="14"/>
              </w:rPr>
              <w:t>Dec 31, 202</w:t>
            </w:r>
            <w:r>
              <w:rPr>
                <w:rFonts w:cs="Arial"/>
                <w:b/>
                <w:color w:val="auto"/>
                <w:szCs w:val="14"/>
              </w:rPr>
              <w:t>2</w:t>
            </w:r>
          </w:p>
        </w:tc>
        <w:tc>
          <w:tcPr>
            <w:tcW w:w="567" w:type="dxa"/>
            <w:tcBorders>
              <w:top w:val="single" w:sz="2" w:space="0" w:color="1F4E79" w:themeColor="accent1" w:themeShade="80"/>
              <w:bottom w:val="nil"/>
            </w:tcBorders>
            <w:shd w:val="clear" w:color="auto" w:fill="auto"/>
            <w:vAlign w:val="center"/>
          </w:tcPr>
          <w:p w14:paraId="4277A557" w14:textId="77777777" w:rsidR="008B7E19" w:rsidRPr="00D71583"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b/>
                <w:color w:val="auto"/>
                <w:szCs w:val="14"/>
              </w:rPr>
            </w:pPr>
            <w:r w:rsidRPr="00D71583">
              <w:rPr>
                <w:rFonts w:cs="Arial"/>
                <w:b/>
                <w:color w:val="auto"/>
                <w:szCs w:val="14"/>
              </w:rPr>
              <w:t>%</w:t>
            </w:r>
          </w:p>
        </w:tc>
      </w:tr>
      <w:tr w:rsidR="008B7E19" w:rsidRPr="00993FCA" w14:paraId="167D4C1C" w14:textId="77777777" w:rsidTr="008B7E19">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1501" w:type="dxa"/>
            <w:tcBorders>
              <w:top w:val="nil"/>
              <w:bottom w:val="single" w:sz="2" w:space="0" w:color="1F4E79" w:themeColor="accent1" w:themeShade="80"/>
            </w:tcBorders>
            <w:shd w:val="clear" w:color="auto" w:fill="auto"/>
            <w:vAlign w:val="center"/>
          </w:tcPr>
          <w:p w14:paraId="6A831063" w14:textId="77777777" w:rsidR="008B7E19" w:rsidRPr="00D71583" w:rsidRDefault="008B7E19" w:rsidP="008B7E19">
            <w:pPr>
              <w:pStyle w:val="08-Tabelageral"/>
              <w:jc w:val="left"/>
              <w:rPr>
                <w:rFonts w:cs="Arial"/>
                <w:b w:val="0"/>
                <w:color w:val="auto"/>
                <w:szCs w:val="14"/>
              </w:rPr>
            </w:pPr>
            <w:r w:rsidRPr="00D71583">
              <w:rPr>
                <w:rFonts w:cs="Arial"/>
                <w:b w:val="0"/>
                <w:iCs/>
                <w:color w:val="auto"/>
                <w:szCs w:val="14"/>
              </w:rPr>
              <w:t>Value at Risk (VaR</w:t>
            </w:r>
            <w:r w:rsidRPr="00D71583">
              <w:rPr>
                <w:rFonts w:cs="Arial"/>
                <w:b w:val="0"/>
                <w:color w:val="auto"/>
                <w:szCs w:val="14"/>
              </w:rPr>
              <w:t>)</w:t>
            </w:r>
          </w:p>
        </w:tc>
        <w:tc>
          <w:tcPr>
            <w:tcW w:w="240" w:type="dxa"/>
            <w:tcBorders>
              <w:top w:val="nil"/>
              <w:bottom w:val="single" w:sz="2" w:space="0" w:color="1F4E79" w:themeColor="accent1" w:themeShade="80"/>
            </w:tcBorders>
            <w:shd w:val="clear" w:color="auto" w:fill="auto"/>
            <w:vAlign w:val="center"/>
          </w:tcPr>
          <w:p w14:paraId="41188EDE" w14:textId="77777777" w:rsidR="008B7E19" w:rsidRPr="00993FCA" w:rsidRDefault="008B7E19" w:rsidP="008B7E19">
            <w:pPr>
              <w:pStyle w:val="08-Tabelageral"/>
              <w:jc w:val="center"/>
              <w:cnfStyle w:val="000000100000" w:firstRow="0" w:lastRow="0" w:firstColumn="0" w:lastColumn="0" w:oddVBand="0" w:evenVBand="0" w:oddHBand="1" w:evenHBand="0" w:firstRowFirstColumn="0" w:firstRowLastColumn="0" w:lastRowFirstColumn="0" w:lastRowLastColumn="0"/>
              <w:rPr>
                <w:rFonts w:cs="Arial"/>
                <w:color w:val="auto"/>
                <w:szCs w:val="14"/>
              </w:rPr>
            </w:pPr>
          </w:p>
        </w:tc>
        <w:tc>
          <w:tcPr>
            <w:tcW w:w="1173" w:type="dxa"/>
            <w:tcBorders>
              <w:top w:val="nil"/>
              <w:bottom w:val="single" w:sz="2" w:space="0" w:color="1F4E79" w:themeColor="accent1" w:themeShade="80"/>
            </w:tcBorders>
            <w:shd w:val="clear" w:color="auto" w:fill="auto"/>
            <w:vAlign w:val="center"/>
          </w:tcPr>
          <w:p w14:paraId="662DB084" w14:textId="77777777" w:rsidR="008B7E19" w:rsidRPr="00D71583"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color w:val="auto"/>
                <w:szCs w:val="14"/>
              </w:rPr>
            </w:pPr>
            <w:r>
              <w:rPr>
                <w:rFonts w:cs="Arial"/>
                <w:color w:val="auto"/>
                <w:szCs w:val="14"/>
              </w:rPr>
              <w:t>0</w:t>
            </w:r>
          </w:p>
        </w:tc>
        <w:tc>
          <w:tcPr>
            <w:tcW w:w="630" w:type="dxa"/>
            <w:tcBorders>
              <w:top w:val="nil"/>
              <w:bottom w:val="single" w:sz="2" w:space="0" w:color="1F4E79" w:themeColor="accent1" w:themeShade="80"/>
            </w:tcBorders>
            <w:shd w:val="clear" w:color="auto" w:fill="auto"/>
            <w:vAlign w:val="center"/>
          </w:tcPr>
          <w:p w14:paraId="01D997F1" w14:textId="77777777" w:rsidR="008B7E19" w:rsidRPr="00D71583"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color w:val="auto"/>
                <w:szCs w:val="14"/>
              </w:rPr>
            </w:pPr>
            <w:r w:rsidRPr="00D71583">
              <w:rPr>
                <w:rFonts w:cs="Arial"/>
                <w:color w:val="auto"/>
                <w:szCs w:val="14"/>
              </w:rPr>
              <w:t>0.00</w:t>
            </w:r>
          </w:p>
        </w:tc>
        <w:tc>
          <w:tcPr>
            <w:tcW w:w="1418" w:type="dxa"/>
            <w:tcBorders>
              <w:top w:val="nil"/>
              <w:bottom w:val="single" w:sz="2" w:space="0" w:color="1F4E79" w:themeColor="accent1" w:themeShade="80"/>
            </w:tcBorders>
            <w:shd w:val="clear" w:color="auto" w:fill="auto"/>
            <w:vAlign w:val="center"/>
          </w:tcPr>
          <w:p w14:paraId="13A69FD1" w14:textId="77777777" w:rsidR="008B7E19" w:rsidRPr="00D71583"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color w:val="auto"/>
                <w:szCs w:val="14"/>
              </w:rPr>
            </w:pPr>
            <w:r>
              <w:rPr>
                <w:rFonts w:cs="Arial"/>
                <w:color w:val="auto"/>
                <w:szCs w:val="14"/>
              </w:rPr>
              <w:t>0</w:t>
            </w:r>
          </w:p>
        </w:tc>
        <w:tc>
          <w:tcPr>
            <w:tcW w:w="579" w:type="dxa"/>
            <w:tcBorders>
              <w:top w:val="nil"/>
              <w:bottom w:val="single" w:sz="2" w:space="0" w:color="1F4E79" w:themeColor="accent1" w:themeShade="80"/>
            </w:tcBorders>
            <w:shd w:val="clear" w:color="auto" w:fill="auto"/>
            <w:vAlign w:val="center"/>
          </w:tcPr>
          <w:p w14:paraId="7A4DCF4B" w14:textId="77777777" w:rsidR="008B7E19" w:rsidRPr="00D71583"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color w:val="auto"/>
                <w:szCs w:val="14"/>
              </w:rPr>
            </w:pPr>
            <w:r w:rsidRPr="00D71583">
              <w:rPr>
                <w:rFonts w:cs="Arial"/>
                <w:color w:val="auto"/>
                <w:szCs w:val="14"/>
              </w:rPr>
              <w:t>0.00</w:t>
            </w:r>
          </w:p>
        </w:tc>
        <w:tc>
          <w:tcPr>
            <w:tcW w:w="242" w:type="dxa"/>
            <w:tcBorders>
              <w:top w:val="nil"/>
              <w:bottom w:val="single" w:sz="2" w:space="0" w:color="1F4E79" w:themeColor="accent1" w:themeShade="80"/>
            </w:tcBorders>
            <w:shd w:val="clear" w:color="auto" w:fill="auto"/>
            <w:vAlign w:val="center"/>
          </w:tcPr>
          <w:p w14:paraId="16167433" w14:textId="77777777" w:rsidR="008B7E19" w:rsidRPr="00D71583"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color w:val="auto"/>
                <w:szCs w:val="14"/>
              </w:rPr>
            </w:pPr>
          </w:p>
        </w:tc>
        <w:tc>
          <w:tcPr>
            <w:tcW w:w="1163" w:type="dxa"/>
            <w:tcBorders>
              <w:top w:val="nil"/>
              <w:bottom w:val="single" w:sz="2" w:space="0" w:color="1F4E79" w:themeColor="accent1" w:themeShade="80"/>
            </w:tcBorders>
            <w:shd w:val="clear" w:color="auto" w:fill="auto"/>
            <w:vAlign w:val="center"/>
          </w:tcPr>
          <w:p w14:paraId="7674770E" w14:textId="77777777" w:rsidR="008B7E19" w:rsidRPr="00D71583"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color w:val="auto"/>
                <w:szCs w:val="14"/>
              </w:rPr>
            </w:pPr>
            <w:r w:rsidRPr="00BF29DE">
              <w:rPr>
                <w:rFonts w:cs="Arial"/>
                <w:color w:val="auto"/>
                <w:szCs w:val="14"/>
              </w:rPr>
              <w:t xml:space="preserve">  928          </w:t>
            </w:r>
          </w:p>
        </w:tc>
        <w:tc>
          <w:tcPr>
            <w:tcW w:w="709" w:type="dxa"/>
            <w:tcBorders>
              <w:top w:val="nil"/>
              <w:bottom w:val="single" w:sz="2" w:space="0" w:color="1F4E79" w:themeColor="accent1" w:themeShade="80"/>
            </w:tcBorders>
            <w:shd w:val="clear" w:color="auto" w:fill="auto"/>
            <w:vAlign w:val="center"/>
          </w:tcPr>
          <w:p w14:paraId="6D084C91" w14:textId="77777777" w:rsidR="008B7E19" w:rsidRPr="00D71583"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color w:val="auto"/>
                <w:szCs w:val="14"/>
              </w:rPr>
            </w:pPr>
            <w:r w:rsidRPr="00D71583">
              <w:rPr>
                <w:rFonts w:cs="Arial"/>
                <w:color w:val="auto"/>
                <w:szCs w:val="14"/>
              </w:rPr>
              <w:t>0.0</w:t>
            </w:r>
            <w:r>
              <w:rPr>
                <w:rFonts w:cs="Arial"/>
                <w:color w:val="auto"/>
                <w:szCs w:val="14"/>
              </w:rPr>
              <w:t>2</w:t>
            </w:r>
          </w:p>
        </w:tc>
        <w:tc>
          <w:tcPr>
            <w:tcW w:w="1417" w:type="dxa"/>
            <w:tcBorders>
              <w:top w:val="nil"/>
              <w:bottom w:val="single" w:sz="2" w:space="0" w:color="1F4E79" w:themeColor="accent1" w:themeShade="80"/>
            </w:tcBorders>
            <w:shd w:val="clear" w:color="auto" w:fill="auto"/>
            <w:vAlign w:val="center"/>
          </w:tcPr>
          <w:p w14:paraId="726E59DF" w14:textId="77777777" w:rsidR="008B7E19" w:rsidRPr="00D71583"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color w:val="auto"/>
                <w:szCs w:val="14"/>
              </w:rPr>
            </w:pPr>
            <w:r>
              <w:rPr>
                <w:rFonts w:cs="Arial"/>
                <w:color w:val="auto"/>
                <w:szCs w:val="14"/>
              </w:rPr>
              <w:t>4</w:t>
            </w:r>
          </w:p>
        </w:tc>
        <w:tc>
          <w:tcPr>
            <w:tcW w:w="567" w:type="dxa"/>
            <w:tcBorders>
              <w:top w:val="nil"/>
              <w:bottom w:val="single" w:sz="2" w:space="0" w:color="1F4E79" w:themeColor="accent1" w:themeShade="80"/>
            </w:tcBorders>
            <w:shd w:val="clear" w:color="auto" w:fill="auto"/>
            <w:vAlign w:val="center"/>
          </w:tcPr>
          <w:p w14:paraId="0E7AC251" w14:textId="77777777" w:rsidR="008B7E19" w:rsidRPr="00D71583"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color w:val="auto"/>
                <w:szCs w:val="14"/>
              </w:rPr>
            </w:pPr>
            <w:r w:rsidRPr="00D71583">
              <w:rPr>
                <w:rFonts w:cs="Arial"/>
                <w:color w:val="auto"/>
                <w:szCs w:val="14"/>
              </w:rPr>
              <w:t>0.00</w:t>
            </w:r>
          </w:p>
        </w:tc>
      </w:tr>
    </w:tbl>
    <w:p w14:paraId="5FDD87DD" w14:textId="77777777" w:rsidR="008B7E19" w:rsidRPr="00993FCA" w:rsidRDefault="008B7E19" w:rsidP="008B7E19">
      <w:pPr>
        <w:pStyle w:val="07-Legenda"/>
        <w:rPr>
          <w:lang w:val="en-US"/>
        </w:rPr>
      </w:pPr>
    </w:p>
    <w:p w14:paraId="50B2243E" w14:textId="77777777" w:rsidR="008B7E19" w:rsidRPr="004F76D8" w:rsidRDefault="008B7E19" w:rsidP="008B7E19">
      <w:pPr>
        <w:pStyle w:val="05-Textonormal"/>
        <w:rPr>
          <w:b/>
          <w:color w:val="1F4E79" w:themeColor="accent1" w:themeShade="80"/>
          <w:lang w:val="en-US"/>
        </w:rPr>
      </w:pPr>
      <w:r w:rsidRPr="004F76D8">
        <w:rPr>
          <w:b/>
          <w:color w:val="1F4E79" w:themeColor="accent1" w:themeShade="80"/>
          <w:lang w:val="en-US"/>
        </w:rPr>
        <w:t>Sensitivity analysis on market risk factors</w:t>
      </w:r>
    </w:p>
    <w:p w14:paraId="5D253B22" w14:textId="77777777" w:rsidR="008B7E19" w:rsidRPr="00993FCA" w:rsidRDefault="008B7E19" w:rsidP="008B7E19">
      <w:pPr>
        <w:pStyle w:val="05-Textonormal"/>
        <w:rPr>
          <w:lang w:val="en-US"/>
        </w:rPr>
      </w:pPr>
      <w:r w:rsidRPr="00993FCA">
        <w:rPr>
          <w:lang w:val="en-US"/>
        </w:rPr>
        <w:t xml:space="preserve">On </w:t>
      </w:r>
      <w:r>
        <w:rPr>
          <w:lang w:val="en-US"/>
        </w:rPr>
        <w:t xml:space="preserve">June </w:t>
      </w:r>
      <w:r w:rsidRPr="00993FCA">
        <w:rPr>
          <w:lang w:val="en-US"/>
        </w:rPr>
        <w:t>3</w:t>
      </w:r>
      <w:r>
        <w:rPr>
          <w:lang w:val="en-US"/>
        </w:rPr>
        <w:t>0</w:t>
      </w:r>
      <w:r w:rsidRPr="00993FCA">
        <w:rPr>
          <w:lang w:val="en-US"/>
        </w:rPr>
        <w:t>, 202</w:t>
      </w:r>
      <w:r>
        <w:rPr>
          <w:lang w:val="en-US"/>
        </w:rPr>
        <w:t>3</w:t>
      </w:r>
      <w:r w:rsidRPr="00993FCA">
        <w:rPr>
          <w:lang w:val="en-US"/>
        </w:rPr>
        <w:t>, there were no derivative instruments in the Group's portfolio, which was entirely composed of post-fixed financial instruments linked to Selic rate. Based on the studies carried out, there is no relevant exposure to market risk factors.</w:t>
      </w:r>
    </w:p>
    <w:p w14:paraId="785A74AB" w14:textId="77777777" w:rsidR="008B7E19" w:rsidRPr="004F76D8" w:rsidRDefault="008B7E19" w:rsidP="008875E7">
      <w:pPr>
        <w:pStyle w:val="05-Textonormal"/>
        <w:keepNext/>
        <w:keepLines/>
        <w:pageBreakBefore/>
        <w:rPr>
          <w:b/>
          <w:color w:val="1F4E79" w:themeColor="accent1" w:themeShade="80"/>
          <w:lang w:val="en-US"/>
        </w:rPr>
      </w:pPr>
      <w:r w:rsidRPr="004F76D8">
        <w:rPr>
          <w:b/>
          <w:color w:val="1F4E79" w:themeColor="accent1" w:themeShade="80"/>
          <w:lang w:val="en-US"/>
        </w:rPr>
        <w:t>a.3) Credit Risk</w:t>
      </w:r>
    </w:p>
    <w:p w14:paraId="413AC4D9" w14:textId="77777777" w:rsidR="008B7E19" w:rsidRPr="00993FCA" w:rsidRDefault="008B7E19" w:rsidP="008B7E19">
      <w:pPr>
        <w:pStyle w:val="05-Textonormal"/>
        <w:rPr>
          <w:lang w:val="en-US"/>
        </w:rPr>
      </w:pPr>
      <w:r w:rsidRPr="00993FCA">
        <w:rPr>
          <w:lang w:val="en-US"/>
        </w:rPr>
        <w:t xml:space="preserve">The credit risk is defined by the Group as the possibility of negative impacts associated to the non-fulfillment, by a borrower or a counterparty, of its corresponding financial obligations according to negotiated terms, and/or to the devaluation of receivables due to a drop in the borrower's or counterparty’s risk rating. At BB Seguridade and its subsidiaries, the exposure to this risk arises from the investment portfolio in financial assets, </w:t>
      </w:r>
      <w:r w:rsidRPr="00FF21C9">
        <w:rPr>
          <w:lang w:val="en-US"/>
        </w:rPr>
        <w:t>which is composed of Bonds issued by private counterparties</w:t>
      </w:r>
      <w:r w:rsidRPr="00993FCA">
        <w:rPr>
          <w:lang w:val="en-US"/>
        </w:rPr>
        <w:t>. H</w:t>
      </w:r>
      <w:r w:rsidRPr="00993FCA">
        <w:rPr>
          <w:lang w:val="en"/>
        </w:rPr>
        <w:t>owever</w:t>
      </w:r>
      <w:r>
        <w:rPr>
          <w:lang w:val="en"/>
        </w:rPr>
        <w:t>,</w:t>
      </w:r>
      <w:r w:rsidRPr="00993FCA">
        <w:rPr>
          <w:lang w:val="en"/>
        </w:rPr>
        <w:t xml:space="preserve"> currently, the portfolio does not include securities issued by private counterparties. Therefore, exposure to this risk is not relevant.</w:t>
      </w:r>
    </w:p>
    <w:p w14:paraId="069E9513" w14:textId="77777777" w:rsidR="008B7E19" w:rsidRPr="00993FCA" w:rsidRDefault="008B7E19" w:rsidP="008B7E19">
      <w:pPr>
        <w:pStyle w:val="05-Textonormal"/>
        <w:rPr>
          <w:lang w:val="en-US"/>
        </w:rPr>
      </w:pPr>
      <w:r w:rsidRPr="00993FCA">
        <w:rPr>
          <w:lang w:val="en"/>
        </w:rPr>
        <w:t>The credit risk arising from the payment of brokerage for products sold by BB Corretora is considered duly mitigated due to the nature of the Group's operation, since most of the business takes place through the Banco do Brasil channel, whose brokerage is transferred automatically.</w:t>
      </w:r>
    </w:p>
    <w:p w14:paraId="0CC99E05" w14:textId="77777777" w:rsidR="008B7E19" w:rsidRPr="004F76D8" w:rsidRDefault="008B7E19" w:rsidP="008B7E19">
      <w:pPr>
        <w:pStyle w:val="05-Textonormal"/>
        <w:rPr>
          <w:b/>
          <w:color w:val="1F4E79" w:themeColor="accent1" w:themeShade="80"/>
          <w:lang w:val="en-US"/>
        </w:rPr>
      </w:pPr>
      <w:r w:rsidRPr="004F76D8">
        <w:rPr>
          <w:b/>
          <w:color w:val="1F4E79" w:themeColor="accent1" w:themeShade="80"/>
          <w:lang w:val="en-US"/>
        </w:rPr>
        <w:t>Credit risk exposure in investments in financial assets</w:t>
      </w:r>
    </w:p>
    <w:p w14:paraId="2DBFEE6C" w14:textId="77777777" w:rsidR="008B7E19" w:rsidRDefault="008B7E19" w:rsidP="008B7E19">
      <w:pPr>
        <w:pStyle w:val="06-Rmil"/>
        <w:rPr>
          <w:lang w:val="en-US"/>
        </w:rPr>
      </w:pPr>
      <w:r w:rsidRPr="003F1E22">
        <w:rPr>
          <w:lang w:val="en-US"/>
        </w:rPr>
        <w:t>R$ thousand</w:t>
      </w:r>
    </w:p>
    <w:tbl>
      <w:tblPr>
        <w:tblStyle w:val="TabeladeLista6Colorida-nfase510"/>
        <w:tblW w:w="9781" w:type="dxa"/>
        <w:jc w:val="center"/>
        <w:tblInd w:w="0" w:type="dxa"/>
        <w:tblLayout w:type="fixed"/>
        <w:tblLook w:val="04A0" w:firstRow="1" w:lastRow="0" w:firstColumn="1" w:lastColumn="0" w:noHBand="0" w:noVBand="1"/>
      </w:tblPr>
      <w:tblGrid>
        <w:gridCol w:w="1985"/>
        <w:gridCol w:w="1276"/>
        <w:gridCol w:w="708"/>
        <w:gridCol w:w="1134"/>
        <w:gridCol w:w="709"/>
        <w:gridCol w:w="284"/>
        <w:gridCol w:w="1134"/>
        <w:gridCol w:w="709"/>
        <w:gridCol w:w="1134"/>
        <w:gridCol w:w="566"/>
        <w:gridCol w:w="142"/>
      </w:tblGrid>
      <w:tr w:rsidR="008B7E19" w:rsidRPr="00D71583" w14:paraId="1830A6CC" w14:textId="77777777" w:rsidTr="008B7E19">
        <w:trPr>
          <w:gridAfter w:val="1"/>
          <w:cnfStyle w:val="100000000000" w:firstRow="1" w:lastRow="0" w:firstColumn="0" w:lastColumn="0" w:oddVBand="0" w:evenVBand="0" w:oddHBand="0" w:evenHBand="0" w:firstRowFirstColumn="0" w:firstRowLastColumn="0" w:lastRowFirstColumn="0" w:lastRowLastColumn="0"/>
          <w:wAfter w:w="142" w:type="dxa"/>
          <w:trHeight w:hRule="exact" w:val="238"/>
          <w:jc w:val="center"/>
        </w:trPr>
        <w:tc>
          <w:tcPr>
            <w:cnfStyle w:val="001000000000" w:firstRow="0" w:lastRow="0" w:firstColumn="1" w:lastColumn="0" w:oddVBand="0" w:evenVBand="0" w:oddHBand="0" w:evenHBand="0" w:firstRowFirstColumn="0" w:firstRowLastColumn="0" w:lastRowFirstColumn="0" w:lastRowLastColumn="0"/>
            <w:tcW w:w="1985" w:type="dxa"/>
            <w:vMerge w:val="restart"/>
            <w:tcBorders>
              <w:top w:val="single" w:sz="2" w:space="0" w:color="1F4E79" w:themeColor="accent1" w:themeShade="80"/>
            </w:tcBorders>
            <w:shd w:val="clear" w:color="auto" w:fill="auto"/>
            <w:vAlign w:val="center"/>
          </w:tcPr>
          <w:p w14:paraId="372A7F73" w14:textId="77777777" w:rsidR="008B7E19" w:rsidRPr="00D71583" w:rsidRDefault="008B7E19" w:rsidP="008B7E19">
            <w:pPr>
              <w:rPr>
                <w:rFonts w:cs="Arial"/>
                <w:szCs w:val="18"/>
              </w:rPr>
            </w:pPr>
            <w:r w:rsidRPr="00D71583">
              <w:rPr>
                <w:rFonts w:cs="Arial"/>
                <w:sz w:val="14"/>
                <w:szCs w:val="18"/>
              </w:rPr>
              <w:t xml:space="preserve">Financial Assets </w:t>
            </w:r>
            <w:r w:rsidRPr="00D71583">
              <w:rPr>
                <w:rFonts w:cs="Arial"/>
                <w:sz w:val="14"/>
                <w:szCs w:val="18"/>
                <w:vertAlign w:val="superscript"/>
              </w:rPr>
              <w:t>(1)</w:t>
            </w:r>
          </w:p>
        </w:tc>
        <w:tc>
          <w:tcPr>
            <w:tcW w:w="3827" w:type="dxa"/>
            <w:gridSpan w:val="4"/>
            <w:tcBorders>
              <w:top w:val="single" w:sz="2" w:space="0" w:color="1F4E79" w:themeColor="accent1" w:themeShade="80"/>
              <w:bottom w:val="single" w:sz="2" w:space="0" w:color="1F4E79" w:themeColor="accent1" w:themeShade="80"/>
            </w:tcBorders>
            <w:shd w:val="clear" w:color="auto" w:fill="auto"/>
            <w:vAlign w:val="center"/>
          </w:tcPr>
          <w:p w14:paraId="74682CED" w14:textId="77777777" w:rsidR="008B7E19" w:rsidRPr="00D71583" w:rsidRDefault="008B7E19" w:rsidP="008B7E19">
            <w:pPr>
              <w:jc w:val="center"/>
              <w:cnfStyle w:val="100000000000" w:firstRow="1" w:lastRow="0" w:firstColumn="0" w:lastColumn="0" w:oddVBand="0" w:evenVBand="0" w:oddHBand="0" w:evenHBand="0" w:firstRowFirstColumn="0" w:firstRowLastColumn="0" w:lastRowFirstColumn="0" w:lastRowLastColumn="0"/>
              <w:rPr>
                <w:rFonts w:cs="Arial"/>
                <w:sz w:val="14"/>
                <w:szCs w:val="18"/>
              </w:rPr>
            </w:pPr>
            <w:r w:rsidRPr="00D71583">
              <w:rPr>
                <w:rFonts w:cs="Arial"/>
                <w:sz w:val="14"/>
                <w:szCs w:val="18"/>
              </w:rPr>
              <w:t>Parent</w:t>
            </w:r>
          </w:p>
        </w:tc>
        <w:tc>
          <w:tcPr>
            <w:tcW w:w="284" w:type="dxa"/>
            <w:tcBorders>
              <w:top w:val="single" w:sz="2" w:space="0" w:color="1F4E79" w:themeColor="accent1" w:themeShade="80"/>
              <w:bottom w:val="nil"/>
            </w:tcBorders>
            <w:shd w:val="clear" w:color="auto" w:fill="auto"/>
            <w:vAlign w:val="center"/>
          </w:tcPr>
          <w:p w14:paraId="5B906B3E" w14:textId="77777777" w:rsidR="008B7E19" w:rsidRPr="00D71583" w:rsidRDefault="008B7E19" w:rsidP="008B7E19">
            <w:pPr>
              <w:jc w:val="center"/>
              <w:cnfStyle w:val="100000000000" w:firstRow="1" w:lastRow="0" w:firstColumn="0" w:lastColumn="0" w:oddVBand="0" w:evenVBand="0" w:oddHBand="0" w:evenHBand="0" w:firstRowFirstColumn="0" w:firstRowLastColumn="0" w:lastRowFirstColumn="0" w:lastRowLastColumn="0"/>
              <w:rPr>
                <w:rFonts w:cs="Arial"/>
                <w:szCs w:val="18"/>
              </w:rPr>
            </w:pPr>
          </w:p>
        </w:tc>
        <w:tc>
          <w:tcPr>
            <w:tcW w:w="3543" w:type="dxa"/>
            <w:gridSpan w:val="4"/>
            <w:tcBorders>
              <w:top w:val="single" w:sz="2" w:space="0" w:color="1F4E79" w:themeColor="accent1" w:themeShade="80"/>
              <w:bottom w:val="single" w:sz="2" w:space="0" w:color="1F4E79" w:themeColor="accent1" w:themeShade="80"/>
            </w:tcBorders>
            <w:shd w:val="clear" w:color="auto" w:fill="auto"/>
            <w:vAlign w:val="center"/>
          </w:tcPr>
          <w:p w14:paraId="4E6F2022" w14:textId="77777777" w:rsidR="008B7E19" w:rsidRPr="00D71583" w:rsidRDefault="008B7E19" w:rsidP="008B7E19">
            <w:pPr>
              <w:jc w:val="center"/>
              <w:cnfStyle w:val="100000000000" w:firstRow="1" w:lastRow="0" w:firstColumn="0" w:lastColumn="0" w:oddVBand="0" w:evenVBand="0" w:oddHBand="0" w:evenHBand="0" w:firstRowFirstColumn="0" w:firstRowLastColumn="0" w:lastRowFirstColumn="0" w:lastRowLastColumn="0"/>
              <w:rPr>
                <w:rFonts w:cs="Arial"/>
                <w:sz w:val="14"/>
                <w:szCs w:val="18"/>
              </w:rPr>
            </w:pPr>
            <w:r w:rsidRPr="00D71583">
              <w:rPr>
                <w:rFonts w:cs="Arial"/>
                <w:sz w:val="14"/>
                <w:szCs w:val="18"/>
              </w:rPr>
              <w:t>Consolidated</w:t>
            </w:r>
          </w:p>
        </w:tc>
      </w:tr>
      <w:tr w:rsidR="008B7E19" w:rsidRPr="00D71583" w14:paraId="30584149" w14:textId="77777777" w:rsidTr="008B7E19">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1985" w:type="dxa"/>
            <w:vMerge/>
            <w:tcBorders>
              <w:bottom w:val="single" w:sz="2" w:space="0" w:color="1F4E79" w:themeColor="accent1" w:themeShade="80"/>
            </w:tcBorders>
            <w:shd w:val="clear" w:color="auto" w:fill="auto"/>
          </w:tcPr>
          <w:p w14:paraId="1D7BAFE9" w14:textId="77777777" w:rsidR="008B7E19" w:rsidRPr="00D71583" w:rsidRDefault="008B7E19" w:rsidP="008B7E19">
            <w:pPr>
              <w:keepNext/>
              <w:keepLines/>
              <w:spacing w:before="40" w:after="40"/>
              <w:rPr>
                <w:rFonts w:eastAsia="Times New Roman" w:cs="Arial"/>
                <w:b w:val="0"/>
                <w:spacing w:val="-2"/>
                <w:sz w:val="14"/>
                <w:szCs w:val="18"/>
                <w:lang w:eastAsia="pt-BR"/>
              </w:rPr>
            </w:pPr>
          </w:p>
        </w:tc>
        <w:tc>
          <w:tcPr>
            <w:tcW w:w="1276" w:type="dxa"/>
            <w:tcBorders>
              <w:top w:val="single" w:sz="2" w:space="0" w:color="1F4E79" w:themeColor="accent1" w:themeShade="80"/>
              <w:bottom w:val="single" w:sz="2" w:space="0" w:color="1F4E79" w:themeColor="accent1" w:themeShade="80"/>
            </w:tcBorders>
            <w:shd w:val="clear" w:color="auto" w:fill="auto"/>
            <w:vAlign w:val="center"/>
          </w:tcPr>
          <w:p w14:paraId="2D184248" w14:textId="77777777" w:rsidR="008B7E19" w:rsidRPr="00D71583"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8"/>
                <w:lang w:eastAsia="pt-BR"/>
              </w:rPr>
            </w:pPr>
            <w:r w:rsidRPr="008605D0">
              <w:rPr>
                <w:rFonts w:eastAsia="Times New Roman" w:cs="Arial"/>
                <w:b/>
                <w:spacing w:val="-2"/>
                <w:sz w:val="14"/>
                <w:szCs w:val="18"/>
                <w:lang w:eastAsia="pt-BR"/>
              </w:rPr>
              <w:t>June 30, 2023</w:t>
            </w:r>
          </w:p>
        </w:tc>
        <w:tc>
          <w:tcPr>
            <w:tcW w:w="708" w:type="dxa"/>
            <w:tcBorders>
              <w:top w:val="single" w:sz="2" w:space="0" w:color="1F4E79" w:themeColor="accent1" w:themeShade="80"/>
              <w:bottom w:val="single" w:sz="2" w:space="0" w:color="1F4E79" w:themeColor="accent1" w:themeShade="80"/>
            </w:tcBorders>
            <w:shd w:val="clear" w:color="auto" w:fill="auto"/>
            <w:vAlign w:val="center"/>
          </w:tcPr>
          <w:p w14:paraId="16B38652" w14:textId="77777777" w:rsidR="008B7E19" w:rsidRPr="00D71583"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8"/>
                <w:lang w:eastAsia="pt-BR"/>
              </w:rPr>
            </w:pPr>
            <w:r w:rsidRPr="00D71583">
              <w:rPr>
                <w:rFonts w:eastAsia="Times New Roman" w:cs="Arial"/>
                <w:b/>
                <w:spacing w:val="-2"/>
                <w:sz w:val="14"/>
                <w:szCs w:val="18"/>
                <w:lang w:eastAsia="pt-BR"/>
              </w:rPr>
              <w:t>%</w:t>
            </w:r>
          </w:p>
        </w:tc>
        <w:tc>
          <w:tcPr>
            <w:tcW w:w="1134" w:type="dxa"/>
            <w:tcBorders>
              <w:top w:val="single" w:sz="2" w:space="0" w:color="1F4E79" w:themeColor="accent1" w:themeShade="80"/>
              <w:bottom w:val="single" w:sz="2" w:space="0" w:color="1F4E79" w:themeColor="accent1" w:themeShade="80"/>
            </w:tcBorders>
            <w:shd w:val="clear" w:color="auto" w:fill="auto"/>
            <w:vAlign w:val="center"/>
          </w:tcPr>
          <w:p w14:paraId="0034BA2E" w14:textId="77777777" w:rsidR="008B7E19" w:rsidRPr="00D71583"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8"/>
                <w:lang w:eastAsia="pt-BR"/>
              </w:rPr>
            </w:pPr>
            <w:r w:rsidRPr="00D71583">
              <w:rPr>
                <w:rFonts w:eastAsia="Times New Roman" w:cs="Arial"/>
                <w:b/>
                <w:spacing w:val="-2"/>
                <w:sz w:val="14"/>
                <w:szCs w:val="18"/>
                <w:lang w:eastAsia="pt-BR"/>
              </w:rPr>
              <w:t>Dec 31, 202</w:t>
            </w:r>
            <w:r>
              <w:rPr>
                <w:rFonts w:eastAsia="Times New Roman" w:cs="Arial"/>
                <w:b/>
                <w:spacing w:val="-2"/>
                <w:sz w:val="14"/>
                <w:szCs w:val="18"/>
                <w:lang w:eastAsia="pt-BR"/>
              </w:rPr>
              <w:t>2</w:t>
            </w:r>
          </w:p>
        </w:tc>
        <w:tc>
          <w:tcPr>
            <w:tcW w:w="709" w:type="dxa"/>
            <w:tcBorders>
              <w:top w:val="single" w:sz="2" w:space="0" w:color="1F4E79" w:themeColor="accent1" w:themeShade="80"/>
              <w:bottom w:val="single" w:sz="2" w:space="0" w:color="1F4E79" w:themeColor="accent1" w:themeShade="80"/>
            </w:tcBorders>
            <w:shd w:val="clear" w:color="auto" w:fill="auto"/>
            <w:vAlign w:val="center"/>
          </w:tcPr>
          <w:p w14:paraId="01D727A5" w14:textId="77777777" w:rsidR="008B7E19" w:rsidRPr="00D71583"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8"/>
                <w:lang w:eastAsia="pt-BR"/>
              </w:rPr>
            </w:pPr>
            <w:r w:rsidRPr="00D71583">
              <w:rPr>
                <w:rFonts w:eastAsia="Times New Roman" w:cs="Arial"/>
                <w:b/>
                <w:spacing w:val="-2"/>
                <w:sz w:val="14"/>
                <w:szCs w:val="18"/>
                <w:lang w:eastAsia="pt-BR"/>
              </w:rPr>
              <w:t>%</w:t>
            </w:r>
          </w:p>
        </w:tc>
        <w:tc>
          <w:tcPr>
            <w:tcW w:w="284" w:type="dxa"/>
            <w:tcBorders>
              <w:top w:val="nil"/>
              <w:bottom w:val="single" w:sz="2" w:space="0" w:color="1F4E79" w:themeColor="accent1" w:themeShade="80"/>
            </w:tcBorders>
            <w:shd w:val="clear" w:color="auto" w:fill="auto"/>
            <w:vAlign w:val="center"/>
          </w:tcPr>
          <w:p w14:paraId="36188982" w14:textId="77777777" w:rsidR="008B7E19" w:rsidRPr="00D71583"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8"/>
                <w:lang w:eastAsia="pt-BR"/>
              </w:rPr>
            </w:pPr>
          </w:p>
        </w:tc>
        <w:tc>
          <w:tcPr>
            <w:tcW w:w="1134" w:type="dxa"/>
            <w:tcBorders>
              <w:top w:val="single" w:sz="2" w:space="0" w:color="1F4E79" w:themeColor="accent1" w:themeShade="80"/>
              <w:bottom w:val="single" w:sz="2" w:space="0" w:color="1F4E79" w:themeColor="accent1" w:themeShade="80"/>
            </w:tcBorders>
            <w:shd w:val="clear" w:color="auto" w:fill="auto"/>
            <w:vAlign w:val="center"/>
          </w:tcPr>
          <w:p w14:paraId="66601AA7" w14:textId="77777777" w:rsidR="008B7E19" w:rsidRPr="00D71583"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8"/>
                <w:lang w:eastAsia="pt-BR"/>
              </w:rPr>
            </w:pPr>
            <w:r w:rsidRPr="008605D0">
              <w:rPr>
                <w:rFonts w:eastAsia="Times New Roman" w:cs="Arial"/>
                <w:b/>
                <w:spacing w:val="-2"/>
                <w:sz w:val="14"/>
                <w:szCs w:val="18"/>
                <w:lang w:eastAsia="pt-BR"/>
              </w:rPr>
              <w:t>June 30, 2023</w:t>
            </w:r>
          </w:p>
        </w:tc>
        <w:tc>
          <w:tcPr>
            <w:tcW w:w="709" w:type="dxa"/>
            <w:tcBorders>
              <w:top w:val="single" w:sz="2" w:space="0" w:color="1F4E79" w:themeColor="accent1" w:themeShade="80"/>
              <w:bottom w:val="single" w:sz="2" w:space="0" w:color="1F4E79" w:themeColor="accent1" w:themeShade="80"/>
            </w:tcBorders>
            <w:shd w:val="clear" w:color="auto" w:fill="auto"/>
            <w:vAlign w:val="center"/>
          </w:tcPr>
          <w:p w14:paraId="0FEB5BCD" w14:textId="77777777" w:rsidR="008B7E19" w:rsidRPr="00D71583"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8"/>
                <w:lang w:eastAsia="pt-BR"/>
              </w:rPr>
            </w:pPr>
            <w:r w:rsidRPr="00D71583">
              <w:rPr>
                <w:rFonts w:eastAsia="Times New Roman" w:cs="Arial"/>
                <w:b/>
                <w:spacing w:val="-2"/>
                <w:sz w:val="14"/>
                <w:szCs w:val="18"/>
                <w:lang w:eastAsia="pt-BR"/>
              </w:rPr>
              <w:t>%</w:t>
            </w:r>
          </w:p>
        </w:tc>
        <w:tc>
          <w:tcPr>
            <w:tcW w:w="1134" w:type="dxa"/>
            <w:tcBorders>
              <w:top w:val="single" w:sz="2" w:space="0" w:color="1F4E79" w:themeColor="accent1" w:themeShade="80"/>
              <w:bottom w:val="single" w:sz="2" w:space="0" w:color="1F4E79" w:themeColor="accent1" w:themeShade="80"/>
            </w:tcBorders>
            <w:shd w:val="clear" w:color="auto" w:fill="auto"/>
            <w:vAlign w:val="center"/>
          </w:tcPr>
          <w:p w14:paraId="532D86DC" w14:textId="77777777" w:rsidR="008B7E19" w:rsidRPr="00D71583"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8"/>
                <w:lang w:eastAsia="pt-BR"/>
              </w:rPr>
            </w:pPr>
            <w:r w:rsidRPr="00D71583">
              <w:rPr>
                <w:rFonts w:eastAsia="Times New Roman" w:cs="Arial"/>
                <w:b/>
                <w:spacing w:val="-2"/>
                <w:sz w:val="14"/>
                <w:szCs w:val="18"/>
                <w:lang w:eastAsia="pt-BR"/>
              </w:rPr>
              <w:t>Dec 31, 202</w:t>
            </w:r>
            <w:r>
              <w:rPr>
                <w:rFonts w:eastAsia="Times New Roman" w:cs="Arial"/>
                <w:b/>
                <w:spacing w:val="-2"/>
                <w:sz w:val="14"/>
                <w:szCs w:val="18"/>
                <w:lang w:eastAsia="pt-BR"/>
              </w:rPr>
              <w:t>2</w:t>
            </w:r>
          </w:p>
        </w:tc>
        <w:tc>
          <w:tcPr>
            <w:tcW w:w="708" w:type="dxa"/>
            <w:gridSpan w:val="2"/>
            <w:tcBorders>
              <w:top w:val="single" w:sz="2" w:space="0" w:color="1F4E79" w:themeColor="accent1" w:themeShade="80"/>
              <w:bottom w:val="single" w:sz="2" w:space="0" w:color="1F4E79" w:themeColor="accent1" w:themeShade="80"/>
            </w:tcBorders>
            <w:shd w:val="clear" w:color="auto" w:fill="auto"/>
            <w:vAlign w:val="center"/>
          </w:tcPr>
          <w:p w14:paraId="149B9964" w14:textId="77777777" w:rsidR="008B7E19" w:rsidRPr="00D71583"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8"/>
                <w:lang w:eastAsia="pt-BR"/>
              </w:rPr>
            </w:pPr>
            <w:r w:rsidRPr="00D71583">
              <w:rPr>
                <w:rFonts w:eastAsia="Times New Roman" w:cs="Arial"/>
                <w:b/>
                <w:spacing w:val="-2"/>
                <w:sz w:val="14"/>
                <w:szCs w:val="18"/>
                <w:lang w:eastAsia="pt-BR"/>
              </w:rPr>
              <w:t>%</w:t>
            </w:r>
          </w:p>
        </w:tc>
      </w:tr>
      <w:tr w:rsidR="008B7E19" w:rsidRPr="00D71583" w14:paraId="499A33AB" w14:textId="77777777" w:rsidTr="008875E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1985" w:type="dxa"/>
            <w:tcBorders>
              <w:top w:val="single" w:sz="2" w:space="0" w:color="1F4E79" w:themeColor="accent1" w:themeShade="80"/>
              <w:bottom w:val="nil"/>
            </w:tcBorders>
            <w:shd w:val="clear" w:color="auto" w:fill="auto"/>
            <w:vAlign w:val="center"/>
          </w:tcPr>
          <w:p w14:paraId="44CD4A96" w14:textId="77777777" w:rsidR="008B7E19" w:rsidRPr="00D71583" w:rsidRDefault="008B7E19" w:rsidP="008B7E19">
            <w:pPr>
              <w:keepLines/>
              <w:tabs>
                <w:tab w:val="left" w:pos="284"/>
              </w:tabs>
              <w:spacing w:before="40"/>
              <w:rPr>
                <w:rFonts w:eastAsia="Times New Roman" w:cs="Times New Roman"/>
                <w:b w:val="0"/>
                <w:spacing w:val="-2"/>
                <w:sz w:val="14"/>
                <w:szCs w:val="18"/>
                <w:lang w:eastAsia="pt-BR"/>
              </w:rPr>
            </w:pPr>
            <w:r w:rsidRPr="00D71583">
              <w:rPr>
                <w:rFonts w:eastAsia="Times New Roman" w:cs="Times New Roman"/>
                <w:b w:val="0"/>
                <w:spacing w:val="-2"/>
                <w:sz w:val="14"/>
                <w:szCs w:val="18"/>
                <w:lang w:eastAsia="pt-BR"/>
              </w:rPr>
              <w:t>Federal Government Bonds</w:t>
            </w:r>
          </w:p>
        </w:tc>
        <w:tc>
          <w:tcPr>
            <w:tcW w:w="1276" w:type="dxa"/>
            <w:tcBorders>
              <w:top w:val="single" w:sz="2" w:space="0" w:color="1F4E79" w:themeColor="accent1" w:themeShade="80"/>
              <w:left w:val="nil"/>
              <w:bottom w:val="nil"/>
              <w:right w:val="nil"/>
            </w:tcBorders>
            <w:shd w:val="clear" w:color="auto" w:fill="auto"/>
            <w:vAlign w:val="center"/>
          </w:tcPr>
          <w:p w14:paraId="12B337C2" w14:textId="77777777" w:rsidR="008B7E19" w:rsidRPr="00523001" w:rsidRDefault="008B7E19" w:rsidP="008B7E19">
            <w:pPr>
              <w:keepLines/>
              <w:tabs>
                <w:tab w:val="left" w:pos="284"/>
              </w:tabs>
              <w:spacing w:before="40"/>
              <w:ind w:left="284" w:hanging="284"/>
              <w:jc w:val="right"/>
              <w:cnfStyle w:val="000000010000" w:firstRow="0" w:lastRow="0" w:firstColumn="0" w:lastColumn="0" w:oddVBand="0" w:evenVBand="0" w:oddHBand="0" w:evenHBand="1" w:firstRowFirstColumn="0" w:firstRowLastColumn="0" w:lastRowFirstColumn="0" w:lastRowLastColumn="0"/>
              <w:rPr>
                <w:rFonts w:eastAsia="Times New Roman" w:cs="Times New Roman"/>
                <w:spacing w:val="-2"/>
                <w:sz w:val="14"/>
                <w:szCs w:val="18"/>
                <w:lang w:eastAsia="pt-BR"/>
              </w:rPr>
            </w:pPr>
            <w:r w:rsidRPr="00BF29DE">
              <w:rPr>
                <w:rFonts w:eastAsia="Times New Roman" w:cs="Times New Roman"/>
                <w:spacing w:val="-2"/>
                <w:sz w:val="14"/>
                <w:szCs w:val="18"/>
                <w:lang w:eastAsia="pt-BR"/>
              </w:rPr>
              <w:t>1</w:t>
            </w:r>
            <w:r>
              <w:rPr>
                <w:rFonts w:eastAsia="Times New Roman" w:cs="Times New Roman"/>
                <w:spacing w:val="-2"/>
                <w:sz w:val="14"/>
                <w:szCs w:val="18"/>
                <w:lang w:eastAsia="pt-BR"/>
              </w:rPr>
              <w:t>,</w:t>
            </w:r>
            <w:r w:rsidRPr="00BF29DE">
              <w:rPr>
                <w:rFonts w:eastAsia="Times New Roman" w:cs="Times New Roman"/>
                <w:spacing w:val="-2"/>
                <w:sz w:val="14"/>
                <w:szCs w:val="18"/>
                <w:lang w:eastAsia="pt-BR"/>
              </w:rPr>
              <w:t>050</w:t>
            </w:r>
            <w:r>
              <w:rPr>
                <w:rFonts w:eastAsia="Times New Roman" w:cs="Times New Roman"/>
                <w:spacing w:val="-2"/>
                <w:sz w:val="14"/>
                <w:szCs w:val="18"/>
                <w:lang w:eastAsia="pt-BR"/>
              </w:rPr>
              <w:t>,</w:t>
            </w:r>
            <w:r w:rsidRPr="00BF29DE">
              <w:rPr>
                <w:rFonts w:eastAsia="Times New Roman" w:cs="Times New Roman"/>
                <w:spacing w:val="-2"/>
                <w:sz w:val="14"/>
                <w:szCs w:val="18"/>
                <w:lang w:eastAsia="pt-BR"/>
              </w:rPr>
              <w:t>347</w:t>
            </w:r>
          </w:p>
        </w:tc>
        <w:tc>
          <w:tcPr>
            <w:tcW w:w="708" w:type="dxa"/>
            <w:tcBorders>
              <w:top w:val="single" w:sz="2" w:space="0" w:color="1F4E79" w:themeColor="accent1" w:themeShade="80"/>
              <w:left w:val="nil"/>
              <w:bottom w:val="nil"/>
              <w:right w:val="nil"/>
            </w:tcBorders>
            <w:shd w:val="clear" w:color="auto" w:fill="auto"/>
            <w:vAlign w:val="center"/>
          </w:tcPr>
          <w:p w14:paraId="006ECA19" w14:textId="77777777" w:rsidR="008B7E19" w:rsidRPr="00523001" w:rsidRDefault="008B7E19" w:rsidP="008B7E19">
            <w:pPr>
              <w:keepLines/>
              <w:tabs>
                <w:tab w:val="left" w:pos="284"/>
              </w:tabs>
              <w:spacing w:before="40"/>
              <w:ind w:left="284" w:hanging="284"/>
              <w:jc w:val="right"/>
              <w:cnfStyle w:val="000000010000" w:firstRow="0" w:lastRow="0" w:firstColumn="0" w:lastColumn="0" w:oddVBand="0" w:evenVBand="0" w:oddHBand="0" w:evenHBand="1" w:firstRowFirstColumn="0" w:firstRowLastColumn="0" w:lastRowFirstColumn="0" w:lastRowLastColumn="0"/>
              <w:rPr>
                <w:rFonts w:eastAsia="Times New Roman" w:cs="Times New Roman"/>
                <w:spacing w:val="-2"/>
                <w:sz w:val="14"/>
                <w:szCs w:val="18"/>
                <w:lang w:eastAsia="pt-BR"/>
              </w:rPr>
            </w:pPr>
            <w:r>
              <w:rPr>
                <w:rFonts w:eastAsia="Times New Roman" w:cs="Times New Roman"/>
                <w:spacing w:val="-2"/>
                <w:sz w:val="14"/>
                <w:szCs w:val="18"/>
                <w:lang w:eastAsia="pt-BR"/>
              </w:rPr>
              <w:t>100.</w:t>
            </w:r>
            <w:r w:rsidRPr="00BF29DE">
              <w:rPr>
                <w:rFonts w:eastAsia="Times New Roman" w:cs="Times New Roman"/>
                <w:spacing w:val="-2"/>
                <w:sz w:val="14"/>
                <w:szCs w:val="18"/>
                <w:lang w:eastAsia="pt-BR"/>
              </w:rPr>
              <w:t>00</w:t>
            </w:r>
          </w:p>
        </w:tc>
        <w:tc>
          <w:tcPr>
            <w:tcW w:w="1134" w:type="dxa"/>
            <w:tcBorders>
              <w:top w:val="single" w:sz="2" w:space="0" w:color="1F4E79" w:themeColor="accent1" w:themeShade="80"/>
              <w:left w:val="nil"/>
              <w:bottom w:val="nil"/>
              <w:right w:val="nil"/>
            </w:tcBorders>
            <w:shd w:val="clear" w:color="auto" w:fill="auto"/>
            <w:vAlign w:val="center"/>
          </w:tcPr>
          <w:p w14:paraId="354BD289" w14:textId="77777777" w:rsidR="008B7E19" w:rsidRPr="00523001" w:rsidRDefault="008B7E19" w:rsidP="008B7E19">
            <w:pPr>
              <w:keepLines/>
              <w:tabs>
                <w:tab w:val="left" w:pos="284"/>
              </w:tabs>
              <w:spacing w:before="40"/>
              <w:ind w:left="284" w:hanging="284"/>
              <w:jc w:val="right"/>
              <w:cnfStyle w:val="000000010000" w:firstRow="0" w:lastRow="0" w:firstColumn="0" w:lastColumn="0" w:oddVBand="0" w:evenVBand="0" w:oddHBand="0" w:evenHBand="1" w:firstRowFirstColumn="0" w:firstRowLastColumn="0" w:lastRowFirstColumn="0" w:lastRowLastColumn="0"/>
              <w:rPr>
                <w:rFonts w:eastAsia="Times New Roman" w:cs="Times New Roman"/>
                <w:spacing w:val="-2"/>
                <w:sz w:val="14"/>
                <w:szCs w:val="18"/>
                <w:lang w:eastAsia="pt-BR"/>
              </w:rPr>
            </w:pPr>
            <w:r>
              <w:rPr>
                <w:rFonts w:eastAsia="Times New Roman" w:cs="Times New Roman"/>
                <w:spacing w:val="-2"/>
                <w:sz w:val="14"/>
                <w:szCs w:val="18"/>
                <w:lang w:eastAsia="pt-BR"/>
              </w:rPr>
              <w:t>58,</w:t>
            </w:r>
            <w:r w:rsidRPr="00523001">
              <w:rPr>
                <w:rFonts w:eastAsia="Times New Roman" w:cs="Times New Roman"/>
                <w:spacing w:val="-2"/>
                <w:sz w:val="14"/>
                <w:szCs w:val="18"/>
                <w:lang w:eastAsia="pt-BR"/>
              </w:rPr>
              <w:t>576</w:t>
            </w:r>
          </w:p>
        </w:tc>
        <w:tc>
          <w:tcPr>
            <w:tcW w:w="709" w:type="dxa"/>
            <w:tcBorders>
              <w:top w:val="single" w:sz="2" w:space="0" w:color="1F4E79" w:themeColor="accent1" w:themeShade="80"/>
              <w:left w:val="nil"/>
              <w:bottom w:val="nil"/>
              <w:right w:val="nil"/>
            </w:tcBorders>
            <w:shd w:val="clear" w:color="auto" w:fill="auto"/>
            <w:vAlign w:val="center"/>
          </w:tcPr>
          <w:p w14:paraId="38D8A71D" w14:textId="77777777" w:rsidR="008B7E19" w:rsidRPr="00523001" w:rsidRDefault="008B7E19" w:rsidP="008B7E19">
            <w:pPr>
              <w:keepLines/>
              <w:tabs>
                <w:tab w:val="left" w:pos="284"/>
              </w:tabs>
              <w:spacing w:before="40"/>
              <w:ind w:left="284" w:hanging="284"/>
              <w:jc w:val="right"/>
              <w:cnfStyle w:val="000000010000" w:firstRow="0" w:lastRow="0" w:firstColumn="0" w:lastColumn="0" w:oddVBand="0" w:evenVBand="0" w:oddHBand="0" w:evenHBand="1" w:firstRowFirstColumn="0" w:firstRowLastColumn="0" w:lastRowFirstColumn="0" w:lastRowLastColumn="0"/>
              <w:rPr>
                <w:rFonts w:eastAsia="Times New Roman" w:cs="Times New Roman"/>
                <w:spacing w:val="-2"/>
                <w:sz w:val="14"/>
                <w:szCs w:val="18"/>
                <w:lang w:eastAsia="pt-BR"/>
              </w:rPr>
            </w:pPr>
            <w:r>
              <w:rPr>
                <w:rFonts w:eastAsia="Times New Roman" w:cs="Times New Roman"/>
                <w:spacing w:val="-2"/>
                <w:sz w:val="14"/>
                <w:szCs w:val="18"/>
                <w:lang w:eastAsia="pt-BR"/>
              </w:rPr>
              <w:t>100.</w:t>
            </w:r>
            <w:r w:rsidRPr="00523001">
              <w:rPr>
                <w:rFonts w:eastAsia="Times New Roman" w:cs="Times New Roman"/>
                <w:spacing w:val="-2"/>
                <w:sz w:val="14"/>
                <w:szCs w:val="18"/>
                <w:lang w:eastAsia="pt-BR"/>
              </w:rPr>
              <w:t>00</w:t>
            </w:r>
          </w:p>
        </w:tc>
        <w:tc>
          <w:tcPr>
            <w:tcW w:w="284" w:type="dxa"/>
            <w:tcBorders>
              <w:top w:val="single" w:sz="2" w:space="0" w:color="1F4E79" w:themeColor="accent1" w:themeShade="80"/>
              <w:bottom w:val="nil"/>
            </w:tcBorders>
            <w:shd w:val="clear" w:color="auto" w:fill="auto"/>
            <w:vAlign w:val="center"/>
          </w:tcPr>
          <w:p w14:paraId="6A8FE49A" w14:textId="77777777" w:rsidR="008B7E19" w:rsidRPr="00D71583" w:rsidRDefault="008B7E19" w:rsidP="008B7E19">
            <w:pPr>
              <w:keepLines/>
              <w:tabs>
                <w:tab w:val="left" w:pos="284"/>
              </w:tabs>
              <w:spacing w:before="40"/>
              <w:ind w:left="284" w:hanging="284"/>
              <w:jc w:val="right"/>
              <w:cnfStyle w:val="000000010000" w:firstRow="0" w:lastRow="0" w:firstColumn="0" w:lastColumn="0" w:oddVBand="0" w:evenVBand="0" w:oddHBand="0" w:evenHBand="1" w:firstRowFirstColumn="0" w:firstRowLastColumn="0" w:lastRowFirstColumn="0" w:lastRowLastColumn="0"/>
              <w:rPr>
                <w:rFonts w:eastAsia="Times New Roman" w:cs="Times New Roman"/>
                <w:spacing w:val="-2"/>
                <w:sz w:val="14"/>
                <w:szCs w:val="18"/>
                <w:lang w:val="en-US" w:eastAsia="pt-BR"/>
              </w:rPr>
            </w:pPr>
          </w:p>
        </w:tc>
        <w:tc>
          <w:tcPr>
            <w:tcW w:w="1134" w:type="dxa"/>
            <w:tcBorders>
              <w:top w:val="single" w:sz="2" w:space="0" w:color="1F4E79" w:themeColor="accent1" w:themeShade="80"/>
              <w:bottom w:val="nil"/>
            </w:tcBorders>
            <w:shd w:val="clear" w:color="auto" w:fill="auto"/>
            <w:vAlign w:val="center"/>
          </w:tcPr>
          <w:p w14:paraId="2D41E108" w14:textId="77777777" w:rsidR="008B7E19" w:rsidRPr="00523001" w:rsidRDefault="008B7E19" w:rsidP="008B7E19">
            <w:pPr>
              <w:keepLines/>
              <w:tabs>
                <w:tab w:val="left" w:pos="284"/>
              </w:tabs>
              <w:spacing w:before="40"/>
              <w:ind w:left="284" w:hanging="284"/>
              <w:jc w:val="right"/>
              <w:cnfStyle w:val="000000010000" w:firstRow="0" w:lastRow="0" w:firstColumn="0" w:lastColumn="0" w:oddVBand="0" w:evenVBand="0" w:oddHBand="0" w:evenHBand="1" w:firstRowFirstColumn="0" w:firstRowLastColumn="0" w:lastRowFirstColumn="0" w:lastRowLastColumn="0"/>
              <w:rPr>
                <w:rFonts w:eastAsia="Times New Roman" w:cs="Times New Roman"/>
                <w:spacing w:val="-2"/>
                <w:sz w:val="14"/>
                <w:szCs w:val="18"/>
                <w:lang w:eastAsia="pt-BR"/>
              </w:rPr>
            </w:pPr>
            <w:r w:rsidRPr="00BF29DE">
              <w:rPr>
                <w:rFonts w:eastAsia="Times New Roman" w:cs="Times New Roman"/>
                <w:spacing w:val="-2"/>
                <w:sz w:val="14"/>
                <w:szCs w:val="18"/>
                <w:lang w:eastAsia="pt-BR"/>
              </w:rPr>
              <w:t>4</w:t>
            </w:r>
            <w:r>
              <w:rPr>
                <w:rFonts w:eastAsia="Times New Roman" w:cs="Times New Roman"/>
                <w:spacing w:val="-2"/>
                <w:sz w:val="14"/>
                <w:szCs w:val="18"/>
                <w:lang w:eastAsia="pt-BR"/>
              </w:rPr>
              <w:t>,</w:t>
            </w:r>
            <w:r w:rsidRPr="00BF29DE">
              <w:rPr>
                <w:rFonts w:eastAsia="Times New Roman" w:cs="Times New Roman"/>
                <w:spacing w:val="-2"/>
                <w:sz w:val="14"/>
                <w:szCs w:val="18"/>
                <w:lang w:eastAsia="pt-BR"/>
              </w:rPr>
              <w:t>353</w:t>
            </w:r>
            <w:r>
              <w:rPr>
                <w:rFonts w:eastAsia="Times New Roman" w:cs="Times New Roman"/>
                <w:spacing w:val="-2"/>
                <w:sz w:val="14"/>
                <w:szCs w:val="18"/>
                <w:lang w:eastAsia="pt-BR"/>
              </w:rPr>
              <w:t>,</w:t>
            </w:r>
            <w:r w:rsidRPr="00BF29DE">
              <w:rPr>
                <w:rFonts w:eastAsia="Times New Roman" w:cs="Times New Roman"/>
                <w:spacing w:val="-2"/>
                <w:sz w:val="14"/>
                <w:szCs w:val="18"/>
                <w:lang w:eastAsia="pt-BR"/>
              </w:rPr>
              <w:t>880</w:t>
            </w:r>
          </w:p>
        </w:tc>
        <w:tc>
          <w:tcPr>
            <w:tcW w:w="709" w:type="dxa"/>
            <w:tcBorders>
              <w:top w:val="single" w:sz="2" w:space="0" w:color="1F4E79" w:themeColor="accent1" w:themeShade="80"/>
              <w:bottom w:val="nil"/>
            </w:tcBorders>
            <w:shd w:val="clear" w:color="auto" w:fill="auto"/>
            <w:vAlign w:val="center"/>
          </w:tcPr>
          <w:p w14:paraId="5362B7C3" w14:textId="77777777" w:rsidR="008B7E19" w:rsidRPr="00523001" w:rsidRDefault="008B7E19" w:rsidP="008B7E19">
            <w:pPr>
              <w:keepLines/>
              <w:tabs>
                <w:tab w:val="left" w:pos="284"/>
              </w:tabs>
              <w:spacing w:before="40"/>
              <w:ind w:left="284" w:hanging="284"/>
              <w:jc w:val="right"/>
              <w:cnfStyle w:val="000000010000" w:firstRow="0" w:lastRow="0" w:firstColumn="0" w:lastColumn="0" w:oddVBand="0" w:evenVBand="0" w:oddHBand="0" w:evenHBand="1" w:firstRowFirstColumn="0" w:firstRowLastColumn="0" w:lastRowFirstColumn="0" w:lastRowLastColumn="0"/>
              <w:rPr>
                <w:rFonts w:eastAsia="Times New Roman" w:cs="Times New Roman"/>
                <w:spacing w:val="-2"/>
                <w:sz w:val="14"/>
                <w:szCs w:val="18"/>
                <w:lang w:eastAsia="pt-BR"/>
              </w:rPr>
            </w:pPr>
            <w:r>
              <w:rPr>
                <w:rFonts w:eastAsia="Times New Roman" w:cs="Times New Roman"/>
                <w:spacing w:val="-2"/>
                <w:sz w:val="14"/>
                <w:szCs w:val="18"/>
                <w:lang w:eastAsia="pt-BR"/>
              </w:rPr>
              <w:t>75.</w:t>
            </w:r>
            <w:r w:rsidRPr="00BF29DE">
              <w:rPr>
                <w:rFonts w:eastAsia="Times New Roman" w:cs="Times New Roman"/>
                <w:spacing w:val="-2"/>
                <w:sz w:val="14"/>
                <w:szCs w:val="18"/>
                <w:lang w:eastAsia="pt-BR"/>
              </w:rPr>
              <w:t>88</w:t>
            </w:r>
          </w:p>
        </w:tc>
        <w:tc>
          <w:tcPr>
            <w:tcW w:w="1134" w:type="dxa"/>
            <w:tcBorders>
              <w:top w:val="single" w:sz="2" w:space="0" w:color="1F4E79" w:themeColor="accent1" w:themeShade="80"/>
              <w:bottom w:val="nil"/>
            </w:tcBorders>
            <w:shd w:val="clear" w:color="auto" w:fill="auto"/>
            <w:vAlign w:val="center"/>
          </w:tcPr>
          <w:p w14:paraId="0D30951A" w14:textId="77777777" w:rsidR="008B7E19" w:rsidRPr="00523001" w:rsidRDefault="008B7E19" w:rsidP="008B7E19">
            <w:pPr>
              <w:keepLines/>
              <w:tabs>
                <w:tab w:val="left" w:pos="284"/>
              </w:tabs>
              <w:spacing w:before="40"/>
              <w:ind w:left="284" w:hanging="284"/>
              <w:jc w:val="right"/>
              <w:cnfStyle w:val="000000010000" w:firstRow="0" w:lastRow="0" w:firstColumn="0" w:lastColumn="0" w:oddVBand="0" w:evenVBand="0" w:oddHBand="0" w:evenHBand="1" w:firstRowFirstColumn="0" w:firstRowLastColumn="0" w:lastRowFirstColumn="0" w:lastRowLastColumn="0"/>
              <w:rPr>
                <w:rFonts w:eastAsia="Times New Roman" w:cs="Times New Roman"/>
                <w:spacing w:val="-2"/>
                <w:sz w:val="14"/>
                <w:szCs w:val="18"/>
                <w:lang w:eastAsia="pt-BR"/>
              </w:rPr>
            </w:pPr>
            <w:r w:rsidRPr="00523001">
              <w:rPr>
                <w:rFonts w:eastAsia="Times New Roman" w:cs="Times New Roman"/>
                <w:spacing w:val="-2"/>
                <w:sz w:val="14"/>
                <w:szCs w:val="18"/>
                <w:lang w:eastAsia="pt-BR"/>
              </w:rPr>
              <w:t>6</w:t>
            </w:r>
            <w:r>
              <w:rPr>
                <w:rFonts w:eastAsia="Times New Roman" w:cs="Times New Roman"/>
                <w:spacing w:val="-2"/>
                <w:sz w:val="14"/>
                <w:szCs w:val="18"/>
                <w:lang w:eastAsia="pt-BR"/>
              </w:rPr>
              <w:t>,</w:t>
            </w:r>
            <w:r w:rsidRPr="00523001">
              <w:rPr>
                <w:rFonts w:eastAsia="Times New Roman" w:cs="Times New Roman"/>
                <w:spacing w:val="-2"/>
                <w:sz w:val="14"/>
                <w:szCs w:val="18"/>
                <w:lang w:eastAsia="pt-BR"/>
              </w:rPr>
              <w:t>073</w:t>
            </w:r>
            <w:r>
              <w:rPr>
                <w:rFonts w:eastAsia="Times New Roman" w:cs="Times New Roman"/>
                <w:spacing w:val="-2"/>
                <w:sz w:val="14"/>
                <w:szCs w:val="18"/>
                <w:lang w:eastAsia="pt-BR"/>
              </w:rPr>
              <w:t>,</w:t>
            </w:r>
            <w:r w:rsidRPr="00523001">
              <w:rPr>
                <w:rFonts w:eastAsia="Times New Roman" w:cs="Times New Roman"/>
                <w:spacing w:val="-2"/>
                <w:sz w:val="14"/>
                <w:szCs w:val="18"/>
                <w:lang w:eastAsia="pt-BR"/>
              </w:rPr>
              <w:t>051</w:t>
            </w:r>
          </w:p>
        </w:tc>
        <w:tc>
          <w:tcPr>
            <w:tcW w:w="708" w:type="dxa"/>
            <w:gridSpan w:val="2"/>
            <w:tcBorders>
              <w:top w:val="single" w:sz="2" w:space="0" w:color="1F4E79" w:themeColor="accent1" w:themeShade="80"/>
              <w:bottom w:val="nil"/>
            </w:tcBorders>
            <w:shd w:val="clear" w:color="auto" w:fill="auto"/>
            <w:vAlign w:val="center"/>
          </w:tcPr>
          <w:p w14:paraId="1BD4B115" w14:textId="77777777" w:rsidR="008B7E19" w:rsidRPr="00523001" w:rsidRDefault="008B7E19" w:rsidP="008B7E19">
            <w:pPr>
              <w:keepLines/>
              <w:tabs>
                <w:tab w:val="left" w:pos="284"/>
              </w:tabs>
              <w:spacing w:before="40"/>
              <w:ind w:left="284" w:hanging="284"/>
              <w:jc w:val="right"/>
              <w:cnfStyle w:val="000000010000" w:firstRow="0" w:lastRow="0" w:firstColumn="0" w:lastColumn="0" w:oddVBand="0" w:evenVBand="0" w:oddHBand="0" w:evenHBand="1" w:firstRowFirstColumn="0" w:firstRowLastColumn="0" w:lastRowFirstColumn="0" w:lastRowLastColumn="0"/>
              <w:rPr>
                <w:rFonts w:eastAsia="Times New Roman" w:cs="Times New Roman"/>
                <w:spacing w:val="-2"/>
                <w:sz w:val="14"/>
                <w:szCs w:val="18"/>
                <w:lang w:eastAsia="pt-BR"/>
              </w:rPr>
            </w:pPr>
            <w:r>
              <w:rPr>
                <w:rFonts w:eastAsia="Times New Roman" w:cs="Times New Roman"/>
                <w:spacing w:val="-2"/>
                <w:sz w:val="14"/>
                <w:szCs w:val="18"/>
                <w:lang w:eastAsia="pt-BR"/>
              </w:rPr>
              <w:t>94.</w:t>
            </w:r>
            <w:r w:rsidRPr="00523001">
              <w:rPr>
                <w:rFonts w:eastAsia="Times New Roman" w:cs="Times New Roman"/>
                <w:spacing w:val="-2"/>
                <w:sz w:val="14"/>
                <w:szCs w:val="18"/>
                <w:lang w:eastAsia="pt-BR"/>
              </w:rPr>
              <w:t>55</w:t>
            </w:r>
          </w:p>
        </w:tc>
      </w:tr>
      <w:tr w:rsidR="008B7E19" w:rsidRPr="00153258" w14:paraId="5DEEB4E1" w14:textId="77777777" w:rsidTr="008875E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1985" w:type="dxa"/>
            <w:tcBorders>
              <w:top w:val="nil"/>
              <w:bottom w:val="nil"/>
            </w:tcBorders>
            <w:vAlign w:val="center"/>
          </w:tcPr>
          <w:p w14:paraId="3BBCF413" w14:textId="77777777" w:rsidR="008B7E19" w:rsidRPr="0044069E" w:rsidRDefault="008B7E19" w:rsidP="008B7E19">
            <w:pPr>
              <w:keepLines/>
              <w:tabs>
                <w:tab w:val="left" w:pos="284"/>
              </w:tabs>
              <w:spacing w:before="40"/>
              <w:rPr>
                <w:rFonts w:eastAsia="Times New Roman" w:cs="Times New Roman"/>
                <w:b w:val="0"/>
                <w:spacing w:val="-2"/>
                <w:sz w:val="14"/>
                <w:szCs w:val="18"/>
                <w:lang w:eastAsia="pt-BR"/>
              </w:rPr>
            </w:pPr>
            <w:r w:rsidRPr="0044069E">
              <w:rPr>
                <w:rFonts w:eastAsia="Times New Roman" w:cs="Times New Roman"/>
                <w:b w:val="0"/>
                <w:spacing w:val="-2"/>
                <w:sz w:val="14"/>
                <w:szCs w:val="18"/>
                <w:lang w:eastAsia="pt-BR"/>
              </w:rPr>
              <w:t>Financial Treasury Bills</w:t>
            </w:r>
          </w:p>
        </w:tc>
        <w:tc>
          <w:tcPr>
            <w:tcW w:w="1276" w:type="dxa"/>
            <w:tcBorders>
              <w:top w:val="nil"/>
              <w:left w:val="nil"/>
              <w:bottom w:val="nil"/>
              <w:right w:val="nil"/>
            </w:tcBorders>
            <w:shd w:val="clear" w:color="auto" w:fill="auto"/>
            <w:vAlign w:val="center"/>
          </w:tcPr>
          <w:p w14:paraId="5AEC4548" w14:textId="77777777" w:rsidR="008B7E19" w:rsidRPr="0044069E" w:rsidRDefault="008B7E19" w:rsidP="008B7E19">
            <w:pPr>
              <w:keepLines/>
              <w:tabs>
                <w:tab w:val="left" w:pos="284"/>
              </w:tabs>
              <w:spacing w:before="40"/>
              <w:ind w:left="284" w:hanging="284"/>
              <w:jc w:val="right"/>
              <w:cnfStyle w:val="000000100000" w:firstRow="0" w:lastRow="0" w:firstColumn="0" w:lastColumn="0" w:oddVBand="0" w:evenVBand="0" w:oddHBand="1" w:evenHBand="0" w:firstRowFirstColumn="0" w:firstRowLastColumn="0" w:lastRowFirstColumn="0" w:lastRowLastColumn="0"/>
              <w:rPr>
                <w:rFonts w:eastAsia="Times New Roman" w:cs="Times New Roman"/>
                <w:spacing w:val="-2"/>
                <w:sz w:val="14"/>
                <w:szCs w:val="18"/>
                <w:lang w:eastAsia="pt-BR"/>
              </w:rPr>
            </w:pPr>
            <w:r w:rsidRPr="00BF29DE">
              <w:rPr>
                <w:rFonts w:eastAsia="Times New Roman" w:cs="Times New Roman"/>
                <w:spacing w:val="-2"/>
                <w:sz w:val="14"/>
                <w:szCs w:val="18"/>
                <w:lang w:eastAsia="pt-BR"/>
              </w:rPr>
              <w:t>--</w:t>
            </w:r>
          </w:p>
        </w:tc>
        <w:tc>
          <w:tcPr>
            <w:tcW w:w="708" w:type="dxa"/>
            <w:tcBorders>
              <w:top w:val="nil"/>
              <w:left w:val="nil"/>
              <w:bottom w:val="nil"/>
              <w:right w:val="nil"/>
            </w:tcBorders>
            <w:shd w:val="clear" w:color="auto" w:fill="auto"/>
            <w:vAlign w:val="center"/>
          </w:tcPr>
          <w:p w14:paraId="352AC6D4" w14:textId="77777777" w:rsidR="008B7E19" w:rsidRPr="0044069E" w:rsidRDefault="008B7E19" w:rsidP="008B7E19">
            <w:pPr>
              <w:keepLines/>
              <w:tabs>
                <w:tab w:val="left" w:pos="284"/>
              </w:tabs>
              <w:spacing w:before="40"/>
              <w:ind w:left="284" w:hanging="284"/>
              <w:jc w:val="right"/>
              <w:cnfStyle w:val="000000100000" w:firstRow="0" w:lastRow="0" w:firstColumn="0" w:lastColumn="0" w:oddVBand="0" w:evenVBand="0" w:oddHBand="1" w:evenHBand="0" w:firstRowFirstColumn="0" w:firstRowLastColumn="0" w:lastRowFirstColumn="0" w:lastRowLastColumn="0"/>
              <w:rPr>
                <w:rFonts w:eastAsia="Times New Roman" w:cs="Times New Roman"/>
                <w:spacing w:val="-2"/>
                <w:sz w:val="14"/>
                <w:szCs w:val="18"/>
                <w:lang w:eastAsia="pt-BR"/>
              </w:rPr>
            </w:pPr>
            <w:r w:rsidRPr="00BF29DE">
              <w:rPr>
                <w:rFonts w:eastAsia="Times New Roman" w:cs="Times New Roman"/>
                <w:spacing w:val="-2"/>
                <w:sz w:val="14"/>
                <w:szCs w:val="18"/>
                <w:lang w:eastAsia="pt-BR"/>
              </w:rPr>
              <w:t>--</w:t>
            </w:r>
          </w:p>
        </w:tc>
        <w:tc>
          <w:tcPr>
            <w:tcW w:w="1134" w:type="dxa"/>
            <w:tcBorders>
              <w:top w:val="nil"/>
              <w:left w:val="nil"/>
              <w:bottom w:val="nil"/>
              <w:right w:val="nil"/>
            </w:tcBorders>
            <w:shd w:val="clear" w:color="auto" w:fill="auto"/>
            <w:vAlign w:val="center"/>
          </w:tcPr>
          <w:p w14:paraId="451A8D87" w14:textId="77777777" w:rsidR="008B7E19" w:rsidRPr="0044069E" w:rsidRDefault="008B7E19" w:rsidP="008B7E19">
            <w:pPr>
              <w:keepLines/>
              <w:tabs>
                <w:tab w:val="left" w:pos="284"/>
              </w:tabs>
              <w:spacing w:before="40"/>
              <w:ind w:left="284" w:hanging="284"/>
              <w:jc w:val="right"/>
              <w:cnfStyle w:val="000000100000" w:firstRow="0" w:lastRow="0" w:firstColumn="0" w:lastColumn="0" w:oddVBand="0" w:evenVBand="0" w:oddHBand="1" w:evenHBand="0" w:firstRowFirstColumn="0" w:firstRowLastColumn="0" w:lastRowFirstColumn="0" w:lastRowLastColumn="0"/>
              <w:rPr>
                <w:rFonts w:eastAsia="Times New Roman" w:cs="Times New Roman"/>
                <w:spacing w:val="-2"/>
                <w:sz w:val="14"/>
                <w:szCs w:val="18"/>
                <w:lang w:eastAsia="pt-BR"/>
              </w:rPr>
            </w:pPr>
            <w:r w:rsidRPr="0044069E">
              <w:rPr>
                <w:rFonts w:eastAsia="Times New Roman" w:cs="Times New Roman"/>
                <w:spacing w:val="-2"/>
                <w:sz w:val="14"/>
                <w:szCs w:val="18"/>
                <w:lang w:eastAsia="pt-BR"/>
              </w:rPr>
              <w:t>--</w:t>
            </w:r>
          </w:p>
        </w:tc>
        <w:tc>
          <w:tcPr>
            <w:tcW w:w="709" w:type="dxa"/>
            <w:tcBorders>
              <w:top w:val="nil"/>
              <w:left w:val="nil"/>
              <w:bottom w:val="nil"/>
              <w:right w:val="nil"/>
            </w:tcBorders>
            <w:shd w:val="clear" w:color="auto" w:fill="auto"/>
            <w:vAlign w:val="center"/>
          </w:tcPr>
          <w:p w14:paraId="26B45E12" w14:textId="77777777" w:rsidR="008B7E19" w:rsidRPr="0044069E" w:rsidRDefault="008B7E19" w:rsidP="008B7E19">
            <w:pPr>
              <w:keepLines/>
              <w:tabs>
                <w:tab w:val="left" w:pos="284"/>
              </w:tabs>
              <w:spacing w:before="40"/>
              <w:ind w:left="284" w:hanging="284"/>
              <w:jc w:val="right"/>
              <w:cnfStyle w:val="000000100000" w:firstRow="0" w:lastRow="0" w:firstColumn="0" w:lastColumn="0" w:oddVBand="0" w:evenVBand="0" w:oddHBand="1" w:evenHBand="0" w:firstRowFirstColumn="0" w:firstRowLastColumn="0" w:lastRowFirstColumn="0" w:lastRowLastColumn="0"/>
              <w:rPr>
                <w:rFonts w:eastAsia="Times New Roman" w:cs="Times New Roman"/>
                <w:spacing w:val="-2"/>
                <w:sz w:val="14"/>
                <w:szCs w:val="18"/>
                <w:lang w:eastAsia="pt-BR"/>
              </w:rPr>
            </w:pPr>
            <w:r w:rsidRPr="0044069E">
              <w:rPr>
                <w:rFonts w:eastAsia="Times New Roman" w:cs="Times New Roman"/>
                <w:spacing w:val="-2"/>
                <w:sz w:val="14"/>
                <w:szCs w:val="18"/>
                <w:lang w:eastAsia="pt-BR"/>
              </w:rPr>
              <w:t>--</w:t>
            </w:r>
          </w:p>
        </w:tc>
        <w:tc>
          <w:tcPr>
            <w:tcW w:w="284" w:type="dxa"/>
            <w:tcBorders>
              <w:top w:val="nil"/>
              <w:bottom w:val="nil"/>
            </w:tcBorders>
            <w:shd w:val="clear" w:color="auto" w:fill="auto"/>
            <w:vAlign w:val="center"/>
          </w:tcPr>
          <w:p w14:paraId="70898CD6" w14:textId="77777777" w:rsidR="008B7E19" w:rsidRPr="0044069E" w:rsidRDefault="008B7E19" w:rsidP="008B7E19">
            <w:pPr>
              <w:keepLines/>
              <w:tabs>
                <w:tab w:val="left" w:pos="284"/>
              </w:tabs>
              <w:spacing w:before="40"/>
              <w:ind w:left="284" w:hanging="284"/>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lang w:eastAsia="pt-BR"/>
              </w:rPr>
            </w:pPr>
          </w:p>
        </w:tc>
        <w:tc>
          <w:tcPr>
            <w:tcW w:w="1134" w:type="dxa"/>
            <w:tcBorders>
              <w:top w:val="nil"/>
              <w:bottom w:val="nil"/>
            </w:tcBorders>
            <w:shd w:val="clear" w:color="auto" w:fill="auto"/>
            <w:vAlign w:val="center"/>
          </w:tcPr>
          <w:p w14:paraId="67ECE5B3" w14:textId="77777777" w:rsidR="008B7E19" w:rsidRPr="0044069E" w:rsidRDefault="008B7E19" w:rsidP="008B7E19">
            <w:pPr>
              <w:keepLines/>
              <w:tabs>
                <w:tab w:val="left" w:pos="284"/>
              </w:tabs>
              <w:spacing w:before="40"/>
              <w:ind w:left="284" w:hanging="284"/>
              <w:jc w:val="right"/>
              <w:cnfStyle w:val="000000100000" w:firstRow="0" w:lastRow="0" w:firstColumn="0" w:lastColumn="0" w:oddVBand="0" w:evenVBand="0" w:oddHBand="1" w:evenHBand="0" w:firstRowFirstColumn="0" w:firstRowLastColumn="0" w:lastRowFirstColumn="0" w:lastRowLastColumn="0"/>
              <w:rPr>
                <w:rFonts w:eastAsia="Times New Roman" w:cs="Times New Roman"/>
                <w:spacing w:val="-2"/>
                <w:sz w:val="14"/>
                <w:szCs w:val="18"/>
                <w:lang w:eastAsia="pt-BR"/>
              </w:rPr>
            </w:pPr>
            <w:r w:rsidRPr="00BF29DE">
              <w:rPr>
                <w:rFonts w:eastAsia="Times New Roman" w:cs="Times New Roman"/>
                <w:spacing w:val="-2"/>
                <w:sz w:val="14"/>
                <w:szCs w:val="18"/>
                <w:lang w:eastAsia="pt-BR"/>
              </w:rPr>
              <w:t>1</w:t>
            </w:r>
            <w:r>
              <w:rPr>
                <w:rFonts w:eastAsia="Times New Roman" w:cs="Times New Roman"/>
                <w:spacing w:val="-2"/>
                <w:sz w:val="14"/>
                <w:szCs w:val="18"/>
                <w:lang w:eastAsia="pt-BR"/>
              </w:rPr>
              <w:t>,</w:t>
            </w:r>
            <w:r w:rsidRPr="00BF29DE">
              <w:rPr>
                <w:rFonts w:eastAsia="Times New Roman" w:cs="Times New Roman"/>
                <w:spacing w:val="-2"/>
                <w:sz w:val="14"/>
                <w:szCs w:val="18"/>
                <w:lang w:eastAsia="pt-BR"/>
              </w:rPr>
              <w:t>384</w:t>
            </w:r>
            <w:r>
              <w:rPr>
                <w:rFonts w:eastAsia="Times New Roman" w:cs="Times New Roman"/>
                <w:spacing w:val="-2"/>
                <w:sz w:val="14"/>
                <w:szCs w:val="18"/>
                <w:lang w:eastAsia="pt-BR"/>
              </w:rPr>
              <w:t>,</w:t>
            </w:r>
            <w:r w:rsidRPr="00BF29DE">
              <w:rPr>
                <w:rFonts w:eastAsia="Times New Roman" w:cs="Times New Roman"/>
                <w:spacing w:val="-2"/>
                <w:sz w:val="14"/>
                <w:szCs w:val="18"/>
                <w:lang w:eastAsia="pt-BR"/>
              </w:rPr>
              <w:t>090</w:t>
            </w:r>
          </w:p>
        </w:tc>
        <w:tc>
          <w:tcPr>
            <w:tcW w:w="709" w:type="dxa"/>
            <w:tcBorders>
              <w:top w:val="nil"/>
              <w:bottom w:val="nil"/>
            </w:tcBorders>
            <w:shd w:val="clear" w:color="auto" w:fill="auto"/>
            <w:vAlign w:val="center"/>
          </w:tcPr>
          <w:p w14:paraId="0634FCE4" w14:textId="77777777" w:rsidR="008B7E19" w:rsidRPr="0044069E" w:rsidRDefault="008B7E19" w:rsidP="008B7E19">
            <w:pPr>
              <w:keepLines/>
              <w:tabs>
                <w:tab w:val="left" w:pos="284"/>
              </w:tabs>
              <w:spacing w:before="40"/>
              <w:ind w:left="284" w:hanging="284"/>
              <w:jc w:val="right"/>
              <w:cnfStyle w:val="000000100000" w:firstRow="0" w:lastRow="0" w:firstColumn="0" w:lastColumn="0" w:oddVBand="0" w:evenVBand="0" w:oddHBand="1" w:evenHBand="0" w:firstRowFirstColumn="0" w:firstRowLastColumn="0" w:lastRowFirstColumn="0" w:lastRowLastColumn="0"/>
              <w:rPr>
                <w:rFonts w:eastAsia="Times New Roman" w:cs="Times New Roman"/>
                <w:spacing w:val="-2"/>
                <w:sz w:val="14"/>
                <w:szCs w:val="18"/>
                <w:lang w:eastAsia="pt-BR"/>
              </w:rPr>
            </w:pPr>
            <w:r>
              <w:rPr>
                <w:rFonts w:eastAsia="Times New Roman" w:cs="Times New Roman"/>
                <w:spacing w:val="-2"/>
                <w:sz w:val="14"/>
                <w:szCs w:val="18"/>
                <w:lang w:eastAsia="pt-BR"/>
              </w:rPr>
              <w:t>24.</w:t>
            </w:r>
            <w:r w:rsidRPr="00BF29DE">
              <w:rPr>
                <w:rFonts w:eastAsia="Times New Roman" w:cs="Times New Roman"/>
                <w:spacing w:val="-2"/>
                <w:sz w:val="14"/>
                <w:szCs w:val="18"/>
                <w:lang w:eastAsia="pt-BR"/>
              </w:rPr>
              <w:t>12</w:t>
            </w:r>
          </w:p>
        </w:tc>
        <w:tc>
          <w:tcPr>
            <w:tcW w:w="1134" w:type="dxa"/>
            <w:tcBorders>
              <w:top w:val="nil"/>
              <w:bottom w:val="nil"/>
            </w:tcBorders>
            <w:shd w:val="clear" w:color="auto" w:fill="auto"/>
            <w:vAlign w:val="center"/>
          </w:tcPr>
          <w:p w14:paraId="39D669C8" w14:textId="77777777" w:rsidR="008B7E19" w:rsidRPr="0044069E" w:rsidRDefault="008B7E19" w:rsidP="008B7E19">
            <w:pPr>
              <w:keepLines/>
              <w:tabs>
                <w:tab w:val="left" w:pos="284"/>
              </w:tabs>
              <w:spacing w:before="40"/>
              <w:ind w:left="284" w:hanging="284"/>
              <w:jc w:val="right"/>
              <w:cnfStyle w:val="000000100000" w:firstRow="0" w:lastRow="0" w:firstColumn="0" w:lastColumn="0" w:oddVBand="0" w:evenVBand="0" w:oddHBand="1" w:evenHBand="0" w:firstRowFirstColumn="0" w:firstRowLastColumn="0" w:lastRowFirstColumn="0" w:lastRowLastColumn="0"/>
              <w:rPr>
                <w:rFonts w:eastAsia="Times New Roman" w:cs="Times New Roman"/>
                <w:spacing w:val="-2"/>
                <w:sz w:val="14"/>
                <w:szCs w:val="18"/>
                <w:lang w:eastAsia="pt-BR"/>
              </w:rPr>
            </w:pPr>
            <w:r w:rsidRPr="0044069E">
              <w:rPr>
                <w:rFonts w:eastAsia="Times New Roman" w:cs="Times New Roman"/>
                <w:spacing w:val="-2"/>
                <w:sz w:val="14"/>
                <w:szCs w:val="18"/>
                <w:lang w:eastAsia="pt-BR"/>
              </w:rPr>
              <w:t>350,217</w:t>
            </w:r>
          </w:p>
        </w:tc>
        <w:tc>
          <w:tcPr>
            <w:tcW w:w="708" w:type="dxa"/>
            <w:gridSpan w:val="2"/>
            <w:tcBorders>
              <w:top w:val="nil"/>
              <w:bottom w:val="nil"/>
            </w:tcBorders>
            <w:shd w:val="clear" w:color="auto" w:fill="auto"/>
            <w:vAlign w:val="center"/>
          </w:tcPr>
          <w:p w14:paraId="71A4E4E9" w14:textId="77777777" w:rsidR="008B7E19" w:rsidRPr="00523001" w:rsidRDefault="008B7E19" w:rsidP="008B7E19">
            <w:pPr>
              <w:keepLines/>
              <w:tabs>
                <w:tab w:val="left" w:pos="284"/>
              </w:tabs>
              <w:spacing w:before="40"/>
              <w:ind w:left="284" w:hanging="284"/>
              <w:jc w:val="right"/>
              <w:cnfStyle w:val="000000100000" w:firstRow="0" w:lastRow="0" w:firstColumn="0" w:lastColumn="0" w:oddVBand="0" w:evenVBand="0" w:oddHBand="1" w:evenHBand="0" w:firstRowFirstColumn="0" w:firstRowLastColumn="0" w:lastRowFirstColumn="0" w:lastRowLastColumn="0"/>
              <w:rPr>
                <w:rFonts w:eastAsia="Times New Roman" w:cs="Times New Roman"/>
                <w:spacing w:val="-2"/>
                <w:sz w:val="14"/>
                <w:szCs w:val="18"/>
                <w:lang w:eastAsia="pt-BR"/>
              </w:rPr>
            </w:pPr>
            <w:r w:rsidRPr="0044069E">
              <w:rPr>
                <w:rFonts w:eastAsia="Times New Roman" w:cs="Times New Roman"/>
                <w:spacing w:val="-2"/>
                <w:sz w:val="14"/>
                <w:szCs w:val="18"/>
                <w:lang w:eastAsia="pt-BR"/>
              </w:rPr>
              <w:t>5.45</w:t>
            </w:r>
          </w:p>
        </w:tc>
      </w:tr>
      <w:tr w:rsidR="008B7E19" w:rsidRPr="00BF29DE" w14:paraId="17653207" w14:textId="77777777" w:rsidTr="008875E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1985" w:type="dxa"/>
            <w:tcBorders>
              <w:top w:val="nil"/>
              <w:bottom w:val="single" w:sz="2" w:space="0" w:color="1F4E79" w:themeColor="accent1" w:themeShade="80"/>
            </w:tcBorders>
            <w:shd w:val="clear" w:color="auto" w:fill="auto"/>
            <w:vAlign w:val="center"/>
          </w:tcPr>
          <w:p w14:paraId="299E0DDB" w14:textId="77777777" w:rsidR="008B7E19" w:rsidRPr="00BF29DE" w:rsidRDefault="008B7E19" w:rsidP="008B7E19">
            <w:pPr>
              <w:keepLines/>
              <w:tabs>
                <w:tab w:val="left" w:pos="284"/>
              </w:tabs>
              <w:spacing w:before="40"/>
              <w:ind w:left="284" w:hanging="284"/>
              <w:rPr>
                <w:rFonts w:eastAsia="Times New Roman" w:cs="Arial"/>
                <w:i/>
                <w:spacing w:val="-2"/>
                <w:sz w:val="14"/>
                <w:szCs w:val="18"/>
                <w:lang w:val="en-US" w:eastAsia="pt-BR"/>
              </w:rPr>
            </w:pPr>
            <w:r w:rsidRPr="00BF29DE">
              <w:rPr>
                <w:rFonts w:eastAsia="Times New Roman" w:cs="Times New Roman"/>
                <w:spacing w:val="-2"/>
                <w:sz w:val="14"/>
                <w:szCs w:val="18"/>
                <w:lang w:val="en-US" w:eastAsia="pt-BR"/>
              </w:rPr>
              <w:t>Total</w:t>
            </w:r>
          </w:p>
        </w:tc>
        <w:tc>
          <w:tcPr>
            <w:tcW w:w="1276" w:type="dxa"/>
            <w:tcBorders>
              <w:top w:val="nil"/>
              <w:left w:val="nil"/>
              <w:bottom w:val="single" w:sz="2" w:space="0" w:color="1F4E79" w:themeColor="accent1" w:themeShade="80"/>
              <w:right w:val="nil"/>
            </w:tcBorders>
            <w:shd w:val="clear" w:color="auto" w:fill="auto"/>
            <w:vAlign w:val="center"/>
          </w:tcPr>
          <w:p w14:paraId="2F86568A" w14:textId="77777777" w:rsidR="008B7E19" w:rsidRPr="00BF29DE" w:rsidRDefault="008B7E19" w:rsidP="008B7E19">
            <w:pPr>
              <w:keepLines/>
              <w:tabs>
                <w:tab w:val="left" w:pos="284"/>
              </w:tabs>
              <w:spacing w:before="40"/>
              <w:ind w:left="284" w:hanging="284"/>
              <w:jc w:val="right"/>
              <w:cnfStyle w:val="000000010000" w:firstRow="0" w:lastRow="0" w:firstColumn="0" w:lastColumn="0" w:oddVBand="0" w:evenVBand="0" w:oddHBand="0" w:evenHBand="1" w:firstRowFirstColumn="0" w:firstRowLastColumn="0" w:lastRowFirstColumn="0" w:lastRowLastColumn="0"/>
              <w:rPr>
                <w:rFonts w:eastAsia="Times New Roman" w:cs="Times New Roman"/>
                <w:b/>
                <w:spacing w:val="-2"/>
                <w:sz w:val="14"/>
                <w:szCs w:val="18"/>
                <w:lang w:eastAsia="pt-BR"/>
              </w:rPr>
            </w:pPr>
            <w:r w:rsidRPr="00BF29DE">
              <w:rPr>
                <w:rFonts w:eastAsia="Times New Roman" w:cs="Times New Roman"/>
                <w:b/>
                <w:spacing w:val="-2"/>
                <w:sz w:val="14"/>
                <w:szCs w:val="18"/>
                <w:lang w:eastAsia="pt-BR"/>
              </w:rPr>
              <w:t>1</w:t>
            </w:r>
            <w:r>
              <w:rPr>
                <w:rFonts w:eastAsia="Times New Roman" w:cs="Times New Roman"/>
                <w:b/>
                <w:spacing w:val="-2"/>
                <w:sz w:val="14"/>
                <w:szCs w:val="18"/>
                <w:lang w:eastAsia="pt-BR"/>
              </w:rPr>
              <w:t>,</w:t>
            </w:r>
            <w:r w:rsidRPr="00BF29DE">
              <w:rPr>
                <w:rFonts w:eastAsia="Times New Roman" w:cs="Times New Roman"/>
                <w:b/>
                <w:spacing w:val="-2"/>
                <w:sz w:val="14"/>
                <w:szCs w:val="18"/>
                <w:lang w:eastAsia="pt-BR"/>
              </w:rPr>
              <w:t>050</w:t>
            </w:r>
            <w:r>
              <w:rPr>
                <w:rFonts w:eastAsia="Times New Roman" w:cs="Times New Roman"/>
                <w:b/>
                <w:spacing w:val="-2"/>
                <w:sz w:val="14"/>
                <w:szCs w:val="18"/>
                <w:lang w:eastAsia="pt-BR"/>
              </w:rPr>
              <w:t>,</w:t>
            </w:r>
            <w:r w:rsidRPr="00BF29DE">
              <w:rPr>
                <w:rFonts w:eastAsia="Times New Roman" w:cs="Times New Roman"/>
                <w:b/>
                <w:spacing w:val="-2"/>
                <w:sz w:val="14"/>
                <w:szCs w:val="18"/>
                <w:lang w:eastAsia="pt-BR"/>
              </w:rPr>
              <w:t>347</w:t>
            </w:r>
          </w:p>
        </w:tc>
        <w:tc>
          <w:tcPr>
            <w:tcW w:w="708" w:type="dxa"/>
            <w:tcBorders>
              <w:top w:val="nil"/>
              <w:left w:val="nil"/>
              <w:bottom w:val="single" w:sz="2" w:space="0" w:color="1F4E79" w:themeColor="accent1" w:themeShade="80"/>
              <w:right w:val="nil"/>
            </w:tcBorders>
            <w:shd w:val="clear" w:color="auto" w:fill="auto"/>
            <w:vAlign w:val="center"/>
          </w:tcPr>
          <w:p w14:paraId="4FB2A6A7" w14:textId="77777777" w:rsidR="008B7E19" w:rsidRPr="00BF29DE" w:rsidRDefault="008B7E19" w:rsidP="008B7E19">
            <w:pPr>
              <w:keepLines/>
              <w:tabs>
                <w:tab w:val="left" w:pos="284"/>
              </w:tabs>
              <w:spacing w:before="40"/>
              <w:ind w:left="284" w:hanging="284"/>
              <w:jc w:val="right"/>
              <w:cnfStyle w:val="000000010000" w:firstRow="0" w:lastRow="0" w:firstColumn="0" w:lastColumn="0" w:oddVBand="0" w:evenVBand="0" w:oddHBand="0" w:evenHBand="1" w:firstRowFirstColumn="0" w:firstRowLastColumn="0" w:lastRowFirstColumn="0" w:lastRowLastColumn="0"/>
              <w:rPr>
                <w:rFonts w:eastAsia="Times New Roman" w:cs="Times New Roman"/>
                <w:b/>
                <w:spacing w:val="-2"/>
                <w:sz w:val="14"/>
                <w:szCs w:val="18"/>
                <w:lang w:eastAsia="pt-BR"/>
              </w:rPr>
            </w:pPr>
            <w:r>
              <w:rPr>
                <w:rFonts w:eastAsia="Times New Roman" w:cs="Times New Roman"/>
                <w:b/>
                <w:spacing w:val="-2"/>
                <w:sz w:val="14"/>
                <w:szCs w:val="18"/>
                <w:lang w:eastAsia="pt-BR"/>
              </w:rPr>
              <w:t>100.</w:t>
            </w:r>
            <w:r w:rsidRPr="00BF29DE">
              <w:rPr>
                <w:rFonts w:eastAsia="Times New Roman" w:cs="Times New Roman"/>
                <w:b/>
                <w:spacing w:val="-2"/>
                <w:sz w:val="14"/>
                <w:szCs w:val="18"/>
                <w:lang w:eastAsia="pt-BR"/>
              </w:rPr>
              <w:t>00</w:t>
            </w:r>
          </w:p>
        </w:tc>
        <w:tc>
          <w:tcPr>
            <w:tcW w:w="1134" w:type="dxa"/>
            <w:tcBorders>
              <w:top w:val="nil"/>
              <w:left w:val="nil"/>
              <w:bottom w:val="single" w:sz="2" w:space="0" w:color="1F4E79" w:themeColor="accent1" w:themeShade="80"/>
              <w:right w:val="nil"/>
            </w:tcBorders>
            <w:shd w:val="clear" w:color="auto" w:fill="auto"/>
            <w:vAlign w:val="center"/>
          </w:tcPr>
          <w:p w14:paraId="13B02931" w14:textId="77777777" w:rsidR="008B7E19" w:rsidRPr="00BF29DE" w:rsidRDefault="008B7E19" w:rsidP="008B7E19">
            <w:pPr>
              <w:keepLines/>
              <w:tabs>
                <w:tab w:val="left" w:pos="284"/>
              </w:tabs>
              <w:spacing w:before="40"/>
              <w:ind w:left="284" w:hanging="284"/>
              <w:jc w:val="right"/>
              <w:cnfStyle w:val="000000010000" w:firstRow="0" w:lastRow="0" w:firstColumn="0" w:lastColumn="0" w:oddVBand="0" w:evenVBand="0" w:oddHBand="0" w:evenHBand="1" w:firstRowFirstColumn="0" w:firstRowLastColumn="0" w:lastRowFirstColumn="0" w:lastRowLastColumn="0"/>
              <w:rPr>
                <w:rFonts w:eastAsia="Times New Roman" w:cs="Arial"/>
                <w:b/>
                <w:bCs/>
                <w:spacing w:val="-2"/>
                <w:sz w:val="14"/>
                <w:szCs w:val="14"/>
                <w:lang w:eastAsia="pt-BR"/>
              </w:rPr>
            </w:pPr>
            <w:r w:rsidRPr="00BF29DE">
              <w:rPr>
                <w:rFonts w:eastAsia="Times New Roman" w:cs="Arial"/>
                <w:b/>
                <w:bCs/>
                <w:spacing w:val="-2"/>
                <w:sz w:val="14"/>
                <w:szCs w:val="14"/>
                <w:lang w:eastAsia="pt-BR"/>
              </w:rPr>
              <w:t>58,576</w:t>
            </w:r>
          </w:p>
        </w:tc>
        <w:tc>
          <w:tcPr>
            <w:tcW w:w="709" w:type="dxa"/>
            <w:tcBorders>
              <w:top w:val="nil"/>
              <w:left w:val="nil"/>
              <w:bottom w:val="single" w:sz="2" w:space="0" w:color="1F4E79" w:themeColor="accent1" w:themeShade="80"/>
              <w:right w:val="nil"/>
            </w:tcBorders>
            <w:shd w:val="clear" w:color="auto" w:fill="auto"/>
            <w:vAlign w:val="center"/>
          </w:tcPr>
          <w:p w14:paraId="6828EC14" w14:textId="77777777" w:rsidR="008B7E19" w:rsidRPr="00BF29DE" w:rsidRDefault="008B7E19" w:rsidP="008B7E19">
            <w:pPr>
              <w:keepLines/>
              <w:tabs>
                <w:tab w:val="left" w:pos="284"/>
              </w:tabs>
              <w:spacing w:before="40"/>
              <w:ind w:left="284" w:hanging="284"/>
              <w:jc w:val="right"/>
              <w:cnfStyle w:val="000000010000" w:firstRow="0" w:lastRow="0" w:firstColumn="0" w:lastColumn="0" w:oddVBand="0" w:evenVBand="0" w:oddHBand="0" w:evenHBand="1" w:firstRowFirstColumn="0" w:firstRowLastColumn="0" w:lastRowFirstColumn="0" w:lastRowLastColumn="0"/>
              <w:rPr>
                <w:rFonts w:eastAsia="Times New Roman" w:cs="Arial"/>
                <w:b/>
                <w:bCs/>
                <w:spacing w:val="-2"/>
                <w:sz w:val="14"/>
                <w:szCs w:val="14"/>
                <w:lang w:eastAsia="pt-BR"/>
              </w:rPr>
            </w:pPr>
            <w:r w:rsidRPr="00BF29DE">
              <w:rPr>
                <w:rFonts w:eastAsia="Times New Roman" w:cs="Arial"/>
                <w:b/>
                <w:bCs/>
                <w:spacing w:val="-2"/>
                <w:sz w:val="14"/>
                <w:szCs w:val="14"/>
                <w:lang w:eastAsia="pt-BR"/>
              </w:rPr>
              <w:t>100.00</w:t>
            </w:r>
          </w:p>
        </w:tc>
        <w:tc>
          <w:tcPr>
            <w:tcW w:w="284" w:type="dxa"/>
            <w:tcBorders>
              <w:top w:val="nil"/>
              <w:bottom w:val="single" w:sz="2" w:space="0" w:color="1F4E79" w:themeColor="accent1" w:themeShade="80"/>
            </w:tcBorders>
            <w:shd w:val="clear" w:color="auto" w:fill="auto"/>
            <w:vAlign w:val="center"/>
          </w:tcPr>
          <w:p w14:paraId="04F5ACB6" w14:textId="77777777" w:rsidR="008B7E19" w:rsidRPr="00BF29DE" w:rsidRDefault="008B7E19" w:rsidP="008B7E19">
            <w:pPr>
              <w:keepLines/>
              <w:tabs>
                <w:tab w:val="left" w:pos="284"/>
              </w:tabs>
              <w:spacing w:before="40"/>
              <w:ind w:left="284" w:hanging="284"/>
              <w:jc w:val="right"/>
              <w:cnfStyle w:val="000000010000" w:firstRow="0" w:lastRow="0" w:firstColumn="0" w:lastColumn="0" w:oddVBand="0" w:evenVBand="0" w:oddHBand="0" w:evenHBand="1" w:firstRowFirstColumn="0" w:firstRowLastColumn="0" w:lastRowFirstColumn="0" w:lastRowLastColumn="0"/>
              <w:rPr>
                <w:rFonts w:eastAsia="Times New Roman" w:cs="Times New Roman"/>
                <w:b/>
                <w:spacing w:val="-2"/>
                <w:sz w:val="14"/>
                <w:szCs w:val="14"/>
                <w:lang w:val="en-US" w:eastAsia="pt-BR"/>
              </w:rPr>
            </w:pPr>
          </w:p>
        </w:tc>
        <w:tc>
          <w:tcPr>
            <w:tcW w:w="1134" w:type="dxa"/>
            <w:tcBorders>
              <w:top w:val="nil"/>
              <w:bottom w:val="single" w:sz="2" w:space="0" w:color="1F4E79" w:themeColor="accent1" w:themeShade="80"/>
            </w:tcBorders>
            <w:shd w:val="clear" w:color="auto" w:fill="auto"/>
            <w:vAlign w:val="center"/>
          </w:tcPr>
          <w:p w14:paraId="5FEF75BE" w14:textId="77777777" w:rsidR="008B7E19" w:rsidRPr="00BF29DE" w:rsidRDefault="008B7E19" w:rsidP="008B7E19">
            <w:pPr>
              <w:keepLines/>
              <w:tabs>
                <w:tab w:val="left" w:pos="284"/>
              </w:tabs>
              <w:spacing w:before="40"/>
              <w:ind w:left="284" w:hanging="284"/>
              <w:jc w:val="right"/>
              <w:cnfStyle w:val="000000010000" w:firstRow="0" w:lastRow="0" w:firstColumn="0" w:lastColumn="0" w:oddVBand="0" w:evenVBand="0" w:oddHBand="0" w:evenHBand="1" w:firstRowFirstColumn="0" w:firstRowLastColumn="0" w:lastRowFirstColumn="0" w:lastRowLastColumn="0"/>
              <w:rPr>
                <w:rFonts w:eastAsia="Times New Roman" w:cs="Times New Roman"/>
                <w:b/>
                <w:spacing w:val="-2"/>
                <w:sz w:val="14"/>
                <w:szCs w:val="18"/>
                <w:lang w:eastAsia="pt-BR"/>
              </w:rPr>
            </w:pPr>
            <w:r w:rsidRPr="00BF29DE">
              <w:rPr>
                <w:rFonts w:eastAsia="Times New Roman" w:cs="Times New Roman"/>
                <w:b/>
                <w:spacing w:val="-2"/>
                <w:sz w:val="14"/>
                <w:szCs w:val="18"/>
                <w:lang w:eastAsia="pt-BR"/>
              </w:rPr>
              <w:t>5</w:t>
            </w:r>
            <w:r>
              <w:rPr>
                <w:rFonts w:eastAsia="Times New Roman" w:cs="Times New Roman"/>
                <w:b/>
                <w:spacing w:val="-2"/>
                <w:sz w:val="14"/>
                <w:szCs w:val="18"/>
                <w:lang w:eastAsia="pt-BR"/>
              </w:rPr>
              <w:t>,</w:t>
            </w:r>
            <w:r w:rsidRPr="00BF29DE">
              <w:rPr>
                <w:rFonts w:eastAsia="Times New Roman" w:cs="Times New Roman"/>
                <w:b/>
                <w:spacing w:val="-2"/>
                <w:sz w:val="14"/>
                <w:szCs w:val="18"/>
                <w:lang w:eastAsia="pt-BR"/>
              </w:rPr>
              <w:t>737</w:t>
            </w:r>
            <w:r>
              <w:rPr>
                <w:rFonts w:eastAsia="Times New Roman" w:cs="Times New Roman"/>
                <w:b/>
                <w:spacing w:val="-2"/>
                <w:sz w:val="14"/>
                <w:szCs w:val="18"/>
                <w:lang w:eastAsia="pt-BR"/>
              </w:rPr>
              <w:t>,</w:t>
            </w:r>
            <w:r w:rsidRPr="00BF29DE">
              <w:rPr>
                <w:rFonts w:eastAsia="Times New Roman" w:cs="Times New Roman"/>
                <w:b/>
                <w:spacing w:val="-2"/>
                <w:sz w:val="14"/>
                <w:szCs w:val="18"/>
                <w:lang w:eastAsia="pt-BR"/>
              </w:rPr>
              <w:t>970</w:t>
            </w:r>
          </w:p>
        </w:tc>
        <w:tc>
          <w:tcPr>
            <w:tcW w:w="709" w:type="dxa"/>
            <w:tcBorders>
              <w:top w:val="nil"/>
              <w:bottom w:val="single" w:sz="2" w:space="0" w:color="1F4E79" w:themeColor="accent1" w:themeShade="80"/>
            </w:tcBorders>
            <w:shd w:val="clear" w:color="auto" w:fill="auto"/>
            <w:vAlign w:val="center"/>
          </w:tcPr>
          <w:p w14:paraId="0084D9A3" w14:textId="77777777" w:rsidR="008B7E19" w:rsidRPr="00BF29DE" w:rsidRDefault="008B7E19" w:rsidP="008B7E19">
            <w:pPr>
              <w:keepLines/>
              <w:tabs>
                <w:tab w:val="left" w:pos="284"/>
              </w:tabs>
              <w:spacing w:before="40"/>
              <w:ind w:left="284" w:hanging="284"/>
              <w:jc w:val="right"/>
              <w:cnfStyle w:val="000000010000" w:firstRow="0" w:lastRow="0" w:firstColumn="0" w:lastColumn="0" w:oddVBand="0" w:evenVBand="0" w:oddHBand="0" w:evenHBand="1" w:firstRowFirstColumn="0" w:firstRowLastColumn="0" w:lastRowFirstColumn="0" w:lastRowLastColumn="0"/>
              <w:rPr>
                <w:rFonts w:eastAsia="Times New Roman" w:cs="Times New Roman"/>
                <w:b/>
                <w:spacing w:val="-2"/>
                <w:sz w:val="14"/>
                <w:szCs w:val="18"/>
                <w:lang w:eastAsia="pt-BR"/>
              </w:rPr>
            </w:pPr>
            <w:r>
              <w:rPr>
                <w:rFonts w:eastAsia="Times New Roman" w:cs="Times New Roman"/>
                <w:b/>
                <w:spacing w:val="-2"/>
                <w:sz w:val="14"/>
                <w:szCs w:val="18"/>
                <w:lang w:eastAsia="pt-BR"/>
              </w:rPr>
              <w:t>100.</w:t>
            </w:r>
            <w:r w:rsidRPr="00BF29DE">
              <w:rPr>
                <w:rFonts w:eastAsia="Times New Roman" w:cs="Times New Roman"/>
                <w:b/>
                <w:spacing w:val="-2"/>
                <w:sz w:val="14"/>
                <w:szCs w:val="18"/>
                <w:lang w:eastAsia="pt-BR"/>
              </w:rPr>
              <w:t>00</w:t>
            </w:r>
          </w:p>
        </w:tc>
        <w:tc>
          <w:tcPr>
            <w:tcW w:w="1134" w:type="dxa"/>
            <w:tcBorders>
              <w:top w:val="nil"/>
              <w:bottom w:val="single" w:sz="2" w:space="0" w:color="1F4E79" w:themeColor="accent1" w:themeShade="80"/>
            </w:tcBorders>
            <w:shd w:val="clear" w:color="auto" w:fill="auto"/>
            <w:vAlign w:val="center"/>
          </w:tcPr>
          <w:p w14:paraId="039DED01" w14:textId="77777777" w:rsidR="008B7E19" w:rsidRPr="00BF29DE" w:rsidRDefault="008B7E19" w:rsidP="008B7E19">
            <w:pPr>
              <w:keepLines/>
              <w:tabs>
                <w:tab w:val="left" w:pos="284"/>
              </w:tabs>
              <w:spacing w:before="40"/>
              <w:ind w:left="284" w:hanging="284"/>
              <w:jc w:val="right"/>
              <w:cnfStyle w:val="000000010000" w:firstRow="0" w:lastRow="0" w:firstColumn="0" w:lastColumn="0" w:oddVBand="0" w:evenVBand="0" w:oddHBand="0" w:evenHBand="1" w:firstRowFirstColumn="0" w:firstRowLastColumn="0" w:lastRowFirstColumn="0" w:lastRowLastColumn="0"/>
              <w:rPr>
                <w:rFonts w:eastAsia="Times New Roman" w:cs="Arial"/>
                <w:b/>
                <w:bCs/>
                <w:spacing w:val="-2"/>
                <w:sz w:val="14"/>
                <w:szCs w:val="14"/>
                <w:lang w:eastAsia="pt-BR"/>
              </w:rPr>
            </w:pPr>
            <w:r w:rsidRPr="00BF29DE">
              <w:rPr>
                <w:rFonts w:eastAsia="Times New Roman" w:cs="Arial"/>
                <w:b/>
                <w:bCs/>
                <w:spacing w:val="-2"/>
                <w:sz w:val="14"/>
                <w:szCs w:val="14"/>
                <w:lang w:eastAsia="pt-BR"/>
              </w:rPr>
              <w:t>6,423,268</w:t>
            </w:r>
          </w:p>
        </w:tc>
        <w:tc>
          <w:tcPr>
            <w:tcW w:w="708" w:type="dxa"/>
            <w:gridSpan w:val="2"/>
            <w:tcBorders>
              <w:top w:val="nil"/>
              <w:bottom w:val="single" w:sz="2" w:space="0" w:color="1F4E79" w:themeColor="accent1" w:themeShade="80"/>
            </w:tcBorders>
            <w:shd w:val="clear" w:color="auto" w:fill="auto"/>
            <w:vAlign w:val="center"/>
          </w:tcPr>
          <w:p w14:paraId="5C99E7F9" w14:textId="77777777" w:rsidR="008B7E19" w:rsidRPr="00BF29DE" w:rsidRDefault="008B7E19" w:rsidP="008B7E19">
            <w:pPr>
              <w:keepLines/>
              <w:tabs>
                <w:tab w:val="left" w:pos="284"/>
              </w:tabs>
              <w:spacing w:before="40"/>
              <w:ind w:left="284" w:hanging="284"/>
              <w:jc w:val="right"/>
              <w:cnfStyle w:val="000000010000" w:firstRow="0" w:lastRow="0" w:firstColumn="0" w:lastColumn="0" w:oddVBand="0" w:evenVBand="0" w:oddHBand="0" w:evenHBand="1" w:firstRowFirstColumn="0" w:firstRowLastColumn="0" w:lastRowFirstColumn="0" w:lastRowLastColumn="0"/>
              <w:rPr>
                <w:rFonts w:eastAsia="Times New Roman" w:cs="Arial"/>
                <w:b/>
                <w:bCs/>
                <w:spacing w:val="-2"/>
                <w:sz w:val="14"/>
                <w:szCs w:val="14"/>
                <w:lang w:eastAsia="pt-BR"/>
              </w:rPr>
            </w:pPr>
            <w:r w:rsidRPr="00BF29DE">
              <w:rPr>
                <w:rFonts w:eastAsia="Times New Roman" w:cs="Arial"/>
                <w:b/>
                <w:bCs/>
                <w:spacing w:val="-2"/>
                <w:sz w:val="14"/>
                <w:szCs w:val="14"/>
                <w:lang w:eastAsia="pt-BR"/>
              </w:rPr>
              <w:t>100.00</w:t>
            </w:r>
          </w:p>
        </w:tc>
      </w:tr>
    </w:tbl>
    <w:p w14:paraId="203D06B8" w14:textId="77777777" w:rsidR="008B7E19" w:rsidRPr="00AB1A73" w:rsidRDefault="008B7E19" w:rsidP="00882B41">
      <w:pPr>
        <w:pStyle w:val="07-Legenda1"/>
        <w:numPr>
          <w:ilvl w:val="0"/>
          <w:numId w:val="23"/>
        </w:numPr>
        <w:tabs>
          <w:tab w:val="clear" w:pos="284"/>
        </w:tabs>
        <w:ind w:left="284" w:hanging="284"/>
        <w:rPr>
          <w:rFonts w:ascii="Arial" w:hAnsi="Arial" w:cs="Arial"/>
          <w:szCs w:val="14"/>
          <w:lang w:val="en"/>
        </w:rPr>
      </w:pPr>
      <w:r w:rsidRPr="00BF29DE">
        <w:rPr>
          <w:rFonts w:ascii="Arial" w:hAnsi="Arial" w:cs="Arial"/>
          <w:szCs w:val="14"/>
          <w:lang w:val="en-US"/>
        </w:rPr>
        <w:t xml:space="preserve">Does not include the amount invested in </w:t>
      </w:r>
      <w:r w:rsidRPr="00BF29DE">
        <w:rPr>
          <w:rFonts w:ascii="Arial" w:hAnsi="Arial" w:cs="Arial"/>
          <w:szCs w:val="14"/>
          <w:lang w:val="en"/>
        </w:rPr>
        <w:t xml:space="preserve">Equity Investment Funds (FIP), with a total amount of R$ </w:t>
      </w:r>
      <w:r w:rsidRPr="00BF29DE">
        <w:rPr>
          <w:rFonts w:ascii="Arial" w:hAnsi="Arial" w:cs="Arial"/>
          <w:color w:val="000000" w:themeColor="text1"/>
          <w:szCs w:val="14"/>
          <w:lang w:val="en-US"/>
        </w:rPr>
        <w:t xml:space="preserve">17,732 </w:t>
      </w:r>
      <w:r w:rsidRPr="00BF29DE">
        <w:rPr>
          <w:rFonts w:ascii="Arial" w:hAnsi="Arial" w:cs="Arial"/>
          <w:szCs w:val="14"/>
          <w:lang w:val="en"/>
        </w:rPr>
        <w:t xml:space="preserve">thousand on June 30, 2023 (R$ </w:t>
      </w:r>
      <w:r w:rsidRPr="00BF29DE">
        <w:rPr>
          <w:rFonts w:ascii="Arial" w:hAnsi="Arial" w:cs="Arial"/>
          <w:color w:val="000000" w:themeColor="text1"/>
          <w:szCs w:val="14"/>
          <w:lang w:val="en-US"/>
        </w:rPr>
        <w:t xml:space="preserve">18,064 </w:t>
      </w:r>
      <w:r w:rsidRPr="00BF29DE">
        <w:rPr>
          <w:rFonts w:ascii="Arial" w:hAnsi="Arial" w:cs="Arial"/>
          <w:szCs w:val="14"/>
          <w:lang w:val="en"/>
        </w:rPr>
        <w:t>on</w:t>
      </w:r>
      <w:r w:rsidRPr="00AB1A73">
        <w:rPr>
          <w:rFonts w:ascii="Arial" w:hAnsi="Arial" w:cs="Arial"/>
          <w:szCs w:val="14"/>
          <w:lang w:val="en"/>
        </w:rPr>
        <w:t xml:space="preserve"> </w:t>
      </w:r>
      <w:r>
        <w:rPr>
          <w:rFonts w:ascii="Arial" w:hAnsi="Arial" w:cs="Arial"/>
          <w:szCs w:val="14"/>
          <w:lang w:val="en"/>
        </w:rPr>
        <w:t xml:space="preserve">Dec </w:t>
      </w:r>
      <w:r w:rsidRPr="00AB1A73">
        <w:rPr>
          <w:rFonts w:ascii="Arial" w:hAnsi="Arial" w:cs="Arial"/>
          <w:szCs w:val="14"/>
          <w:lang w:val="en"/>
        </w:rPr>
        <w:t>31</w:t>
      </w:r>
      <w:r>
        <w:rPr>
          <w:rFonts w:ascii="Arial" w:hAnsi="Arial" w:cs="Arial"/>
          <w:szCs w:val="14"/>
          <w:lang w:val="en"/>
        </w:rPr>
        <w:t xml:space="preserve">, </w:t>
      </w:r>
      <w:r w:rsidRPr="00AB1A73">
        <w:rPr>
          <w:rFonts w:ascii="Arial" w:hAnsi="Arial" w:cs="Arial"/>
          <w:szCs w:val="14"/>
          <w:lang w:val="en"/>
        </w:rPr>
        <w:t>202</w:t>
      </w:r>
      <w:r>
        <w:rPr>
          <w:rFonts w:ascii="Arial" w:hAnsi="Arial" w:cs="Arial"/>
          <w:szCs w:val="14"/>
          <w:lang w:val="en"/>
        </w:rPr>
        <w:t>2)</w:t>
      </w:r>
      <w:r w:rsidRPr="000B292D">
        <w:rPr>
          <w:rFonts w:ascii="Arial" w:hAnsi="Arial" w:cs="Arial"/>
          <w:color w:val="000000" w:themeColor="text1"/>
          <w:szCs w:val="14"/>
          <w:lang w:val="en-US"/>
        </w:rPr>
        <w:t>.</w:t>
      </w:r>
    </w:p>
    <w:p w14:paraId="603781F4" w14:textId="77777777" w:rsidR="008B7E19" w:rsidRPr="000B292D" w:rsidRDefault="008B7E19" w:rsidP="008B7E19">
      <w:pPr>
        <w:pStyle w:val="05-Textonormal"/>
        <w:rPr>
          <w:b/>
          <w:color w:val="1F4E79" w:themeColor="accent1" w:themeShade="80"/>
          <w:lang w:val="en-US"/>
        </w:rPr>
      </w:pPr>
      <w:r w:rsidRPr="000B292D">
        <w:rPr>
          <w:b/>
          <w:color w:val="1F4E79" w:themeColor="accent1" w:themeShade="80"/>
          <w:lang w:val="en-US"/>
        </w:rPr>
        <w:t>a.4) Liquidity Risk and capital management</w:t>
      </w:r>
    </w:p>
    <w:p w14:paraId="4C8167EC" w14:textId="77777777" w:rsidR="008B7E19" w:rsidRPr="00993FCA" w:rsidRDefault="008B7E19" w:rsidP="008B7E19">
      <w:pPr>
        <w:pStyle w:val="05-Textonormal"/>
        <w:rPr>
          <w:lang w:val="en-US"/>
        </w:rPr>
      </w:pPr>
      <w:r w:rsidRPr="00993FCA">
        <w:rPr>
          <w:lang w:val="en-US"/>
        </w:rPr>
        <w:t>Liquidity risk is defined by the Group as the possibility of negative impacts due to the lack of resources to honor its obligations due to the mismatch between assets and liabilities.</w:t>
      </w:r>
    </w:p>
    <w:p w14:paraId="1B7CB35C" w14:textId="77777777" w:rsidR="008B7E19" w:rsidRPr="00FF21C9" w:rsidRDefault="008B7E19" w:rsidP="008B7E19">
      <w:pPr>
        <w:pStyle w:val="05-Textonormal"/>
        <w:rPr>
          <w:lang w:val="en-US"/>
        </w:rPr>
      </w:pPr>
      <w:r w:rsidRPr="00993FCA">
        <w:rPr>
          <w:lang w:val="en-US"/>
        </w:rPr>
        <w:t xml:space="preserve">BB Seguridade and its subsidiaries maintain assets with a high degree of conversion in cash to cover liabilities and other expected allocations to short term. </w:t>
      </w:r>
      <w:r w:rsidRPr="00993FCA">
        <w:rPr>
          <w:lang w:val="en"/>
        </w:rPr>
        <w:t>The parameters used are defined by the Financial Investment Policy and the Capital Plan.</w:t>
      </w:r>
    </w:p>
    <w:p w14:paraId="19F9961C" w14:textId="77777777" w:rsidR="008B7E19" w:rsidRPr="00993FCA" w:rsidRDefault="008B7E19" w:rsidP="008B7E19">
      <w:pPr>
        <w:pStyle w:val="05-Textonormal"/>
        <w:rPr>
          <w:lang w:val="en-US"/>
        </w:rPr>
      </w:pPr>
      <w:r w:rsidRPr="00993FCA">
        <w:rPr>
          <w:lang w:val="en-US"/>
        </w:rPr>
        <w:t>The Capital Plan, prepared for a minimum three-year horizon, presents the projected financial flows from the operational activity, such as compensation from commissions, equity interests, expenses inherent to the Group's activities and those resulting from strategic movements, such as allocation of funds to equity interests, strategic investments, divestitures and disposals and considers the maintenance of a liquidity margin in order to keep the financial balance in case of unpredictable events.</w:t>
      </w:r>
    </w:p>
    <w:p w14:paraId="170060CE" w14:textId="77777777" w:rsidR="008B7E19" w:rsidRPr="00993FCA" w:rsidRDefault="008B7E19" w:rsidP="008B7E19">
      <w:pPr>
        <w:pStyle w:val="05-Textonormal"/>
        <w:rPr>
          <w:lang w:val="en-US" w:eastAsia="en-US"/>
        </w:rPr>
      </w:pPr>
      <w:r w:rsidRPr="00993FCA">
        <w:rPr>
          <w:lang w:val="en-US"/>
        </w:rPr>
        <w:t>The BB Seguridade and its subsidiaries main liabilities refer to administrative costs, payment of taxes and dividends, as presented below</w:t>
      </w:r>
      <w:r w:rsidRPr="00993FCA">
        <w:rPr>
          <w:lang w:val="en-US" w:eastAsia="en-US"/>
        </w:rPr>
        <w:t>.</w:t>
      </w:r>
      <w:bookmarkStart w:id="24" w:name="_Hlk109394925"/>
    </w:p>
    <w:p w14:paraId="048E6DE5" w14:textId="77777777" w:rsidR="008B7E19" w:rsidRPr="00993FCA" w:rsidRDefault="008B7E19" w:rsidP="008B7E19">
      <w:pPr>
        <w:pStyle w:val="06-Rmil"/>
        <w:rPr>
          <w:lang w:val="en-US"/>
        </w:rPr>
      </w:pPr>
      <w:r w:rsidRPr="00993FCA">
        <w:rPr>
          <w:lang w:val="en-US"/>
        </w:rPr>
        <w:t>R$ thousand</w:t>
      </w:r>
    </w:p>
    <w:tbl>
      <w:tblPr>
        <w:tblStyle w:val="TabeladeLista6Colorida-nfase5"/>
        <w:tblW w:w="9840" w:type="dxa"/>
        <w:jc w:val="center"/>
        <w:tblLayout w:type="fixed"/>
        <w:tblLook w:val="04A0" w:firstRow="1" w:lastRow="0" w:firstColumn="1" w:lastColumn="0" w:noHBand="0" w:noVBand="1"/>
      </w:tblPr>
      <w:tblGrid>
        <w:gridCol w:w="2117"/>
        <w:gridCol w:w="718"/>
        <w:gridCol w:w="993"/>
        <w:gridCol w:w="1275"/>
        <w:gridCol w:w="1418"/>
        <w:gridCol w:w="283"/>
        <w:gridCol w:w="1134"/>
        <w:gridCol w:w="1902"/>
      </w:tblGrid>
      <w:tr w:rsidR="008B7E19" w:rsidRPr="00BC1030" w14:paraId="6B9D7B32" w14:textId="77777777" w:rsidTr="008B7E19">
        <w:trPr>
          <w:cnfStyle w:val="100000000000" w:firstRow="1" w:lastRow="0" w:firstColumn="0" w:lastColumn="0" w:oddVBand="0" w:evenVBand="0" w:oddHBand="0"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2117" w:type="dxa"/>
            <w:tcBorders>
              <w:top w:val="single" w:sz="2" w:space="0" w:color="1F4E79" w:themeColor="accent1" w:themeShade="80"/>
              <w:bottom w:val="single" w:sz="2" w:space="0" w:color="1F4E79" w:themeColor="accent1" w:themeShade="80"/>
            </w:tcBorders>
            <w:shd w:val="clear" w:color="auto" w:fill="auto"/>
          </w:tcPr>
          <w:p w14:paraId="671AA05D" w14:textId="77777777" w:rsidR="008B7E19" w:rsidRPr="00BC1030" w:rsidRDefault="008B7E19" w:rsidP="008B7E19">
            <w:pPr>
              <w:keepNext/>
              <w:jc w:val="center"/>
              <w:rPr>
                <w:rFonts w:cs="Arial"/>
                <w:color w:val="auto"/>
                <w:sz w:val="14"/>
                <w:szCs w:val="14"/>
              </w:rPr>
            </w:pPr>
          </w:p>
        </w:tc>
        <w:tc>
          <w:tcPr>
            <w:tcW w:w="7723" w:type="dxa"/>
            <w:gridSpan w:val="7"/>
            <w:tcBorders>
              <w:top w:val="single" w:sz="2" w:space="0" w:color="1F4E79" w:themeColor="accent1" w:themeShade="80"/>
              <w:bottom w:val="single" w:sz="2" w:space="0" w:color="1F4E79" w:themeColor="accent1" w:themeShade="80"/>
            </w:tcBorders>
            <w:shd w:val="clear" w:color="auto" w:fill="auto"/>
            <w:vAlign w:val="center"/>
          </w:tcPr>
          <w:p w14:paraId="0386F624" w14:textId="77777777" w:rsidR="008B7E19" w:rsidRPr="00BC1030" w:rsidRDefault="008B7E19" w:rsidP="008B7E19">
            <w:pPr>
              <w:jc w:val="center"/>
              <w:cnfStyle w:val="100000000000" w:firstRow="1" w:lastRow="0" w:firstColumn="0" w:lastColumn="0" w:oddVBand="0" w:evenVBand="0" w:oddHBand="0" w:evenHBand="0" w:firstRowFirstColumn="0" w:firstRowLastColumn="0" w:lastRowFirstColumn="0" w:lastRowLastColumn="0"/>
              <w:rPr>
                <w:rFonts w:cs="Arial"/>
                <w:color w:val="auto"/>
                <w:sz w:val="14"/>
                <w:szCs w:val="14"/>
              </w:rPr>
            </w:pPr>
            <w:r w:rsidRPr="00BC1030">
              <w:rPr>
                <w:rFonts w:cs="Arial"/>
                <w:sz w:val="14"/>
                <w:szCs w:val="14"/>
              </w:rPr>
              <w:t>Parent</w:t>
            </w:r>
          </w:p>
        </w:tc>
      </w:tr>
      <w:tr w:rsidR="008B7E19" w:rsidRPr="00BC1030" w14:paraId="2D5385B1" w14:textId="77777777" w:rsidTr="008B7E19">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2835" w:type="dxa"/>
            <w:gridSpan w:val="2"/>
            <w:vMerge w:val="restart"/>
            <w:tcBorders>
              <w:top w:val="single" w:sz="2" w:space="0" w:color="1F4E79" w:themeColor="accent1" w:themeShade="80"/>
              <w:bottom w:val="nil"/>
            </w:tcBorders>
            <w:shd w:val="clear" w:color="auto" w:fill="auto"/>
            <w:vAlign w:val="center"/>
          </w:tcPr>
          <w:p w14:paraId="138C2F3E" w14:textId="77777777" w:rsidR="008B7E19" w:rsidRPr="00BC1030" w:rsidRDefault="008B7E19" w:rsidP="008B7E19">
            <w:pPr>
              <w:keepNext/>
              <w:rPr>
                <w:rFonts w:cs="Arial"/>
                <w:color w:val="auto"/>
                <w:sz w:val="14"/>
                <w:szCs w:val="14"/>
              </w:rPr>
            </w:pPr>
            <w:r w:rsidRPr="00BC1030">
              <w:rPr>
                <w:rFonts w:cs="Arial"/>
                <w:color w:val="auto"/>
                <w:sz w:val="14"/>
                <w:szCs w:val="14"/>
              </w:rPr>
              <w:t>Liquidy Risk</w:t>
            </w:r>
          </w:p>
        </w:tc>
        <w:tc>
          <w:tcPr>
            <w:tcW w:w="993" w:type="dxa"/>
            <w:tcBorders>
              <w:top w:val="single" w:sz="2" w:space="0" w:color="1F4E79" w:themeColor="accent1" w:themeShade="80"/>
              <w:bottom w:val="nil"/>
            </w:tcBorders>
            <w:shd w:val="clear" w:color="auto" w:fill="auto"/>
            <w:vAlign w:val="center"/>
          </w:tcPr>
          <w:p w14:paraId="03FD1D97" w14:textId="77777777" w:rsidR="008B7E19" w:rsidRPr="00BC1030" w:rsidRDefault="008B7E19" w:rsidP="008B7E19">
            <w:pPr>
              <w:keepNext/>
              <w:jc w:val="center"/>
              <w:cnfStyle w:val="000000100000" w:firstRow="0" w:lastRow="0" w:firstColumn="0" w:lastColumn="0" w:oddVBand="0" w:evenVBand="0" w:oddHBand="1" w:evenHBand="0" w:firstRowFirstColumn="0" w:firstRowLastColumn="0" w:lastRowFirstColumn="0" w:lastRowLastColumn="0"/>
              <w:rPr>
                <w:rFonts w:cs="Arial"/>
                <w:b/>
                <w:sz w:val="14"/>
                <w:szCs w:val="18"/>
              </w:rPr>
            </w:pPr>
          </w:p>
        </w:tc>
        <w:tc>
          <w:tcPr>
            <w:tcW w:w="2693" w:type="dxa"/>
            <w:gridSpan w:val="2"/>
            <w:tcBorders>
              <w:top w:val="single" w:sz="2" w:space="0" w:color="1F4E79" w:themeColor="accent1" w:themeShade="80"/>
              <w:bottom w:val="single" w:sz="2" w:space="0" w:color="1F4E79" w:themeColor="accent1" w:themeShade="80"/>
            </w:tcBorders>
            <w:shd w:val="clear" w:color="auto" w:fill="auto"/>
            <w:vAlign w:val="center"/>
          </w:tcPr>
          <w:p w14:paraId="2064E8F3" w14:textId="77777777" w:rsidR="008B7E19" w:rsidRPr="00BC1030" w:rsidRDefault="008B7E19" w:rsidP="008B7E19">
            <w:pPr>
              <w:keepNext/>
              <w:jc w:val="center"/>
              <w:cnfStyle w:val="000000100000" w:firstRow="0" w:lastRow="0" w:firstColumn="0" w:lastColumn="0" w:oddVBand="0" w:evenVBand="0" w:oddHBand="1" w:evenHBand="0" w:firstRowFirstColumn="0" w:firstRowLastColumn="0" w:lastRowFirstColumn="0" w:lastRowLastColumn="0"/>
              <w:rPr>
                <w:rFonts w:cs="Arial"/>
                <w:b/>
                <w:sz w:val="14"/>
                <w:szCs w:val="18"/>
              </w:rPr>
            </w:pPr>
            <w:r w:rsidRPr="008605D0">
              <w:rPr>
                <w:rFonts w:cs="Arial"/>
                <w:b/>
                <w:sz w:val="14"/>
                <w:szCs w:val="18"/>
              </w:rPr>
              <w:t>June 30, 2023</w:t>
            </w:r>
          </w:p>
        </w:tc>
        <w:tc>
          <w:tcPr>
            <w:tcW w:w="283" w:type="dxa"/>
            <w:tcBorders>
              <w:top w:val="single" w:sz="2" w:space="0" w:color="1F4E79" w:themeColor="accent1" w:themeShade="80"/>
              <w:bottom w:val="nil"/>
            </w:tcBorders>
            <w:shd w:val="clear" w:color="auto" w:fill="auto"/>
            <w:vAlign w:val="center"/>
          </w:tcPr>
          <w:p w14:paraId="5A496381" w14:textId="77777777" w:rsidR="008B7E19" w:rsidRPr="00BC1030" w:rsidRDefault="008B7E19" w:rsidP="008B7E19">
            <w:pPr>
              <w:keepNext/>
              <w:jc w:val="center"/>
              <w:cnfStyle w:val="000000100000" w:firstRow="0" w:lastRow="0" w:firstColumn="0" w:lastColumn="0" w:oddVBand="0" w:evenVBand="0" w:oddHBand="1" w:evenHBand="0" w:firstRowFirstColumn="0" w:firstRowLastColumn="0" w:lastRowFirstColumn="0" w:lastRowLastColumn="0"/>
              <w:rPr>
                <w:rFonts w:cs="Arial"/>
                <w:b/>
                <w:sz w:val="14"/>
                <w:szCs w:val="18"/>
              </w:rPr>
            </w:pPr>
          </w:p>
        </w:tc>
        <w:tc>
          <w:tcPr>
            <w:tcW w:w="3036" w:type="dxa"/>
            <w:gridSpan w:val="2"/>
            <w:tcBorders>
              <w:top w:val="single" w:sz="2" w:space="0" w:color="1F4E79" w:themeColor="accent1" w:themeShade="80"/>
              <w:bottom w:val="single" w:sz="2" w:space="0" w:color="1F4E79" w:themeColor="accent1" w:themeShade="80"/>
            </w:tcBorders>
            <w:shd w:val="clear" w:color="auto" w:fill="auto"/>
            <w:vAlign w:val="center"/>
          </w:tcPr>
          <w:p w14:paraId="4C7B32AA" w14:textId="77777777" w:rsidR="008B7E19" w:rsidRPr="00BC1030" w:rsidRDefault="008B7E19" w:rsidP="008B7E19">
            <w:pPr>
              <w:keepNext/>
              <w:jc w:val="center"/>
              <w:cnfStyle w:val="000000100000" w:firstRow="0" w:lastRow="0" w:firstColumn="0" w:lastColumn="0" w:oddVBand="0" w:evenVBand="0" w:oddHBand="1" w:evenHBand="0" w:firstRowFirstColumn="0" w:firstRowLastColumn="0" w:lastRowFirstColumn="0" w:lastRowLastColumn="0"/>
              <w:rPr>
                <w:rFonts w:cs="Arial"/>
                <w:b/>
                <w:sz w:val="14"/>
                <w:szCs w:val="18"/>
              </w:rPr>
            </w:pPr>
            <w:r w:rsidRPr="00BC1030">
              <w:rPr>
                <w:rFonts w:cs="Arial"/>
                <w:b/>
                <w:sz w:val="14"/>
                <w:szCs w:val="18"/>
              </w:rPr>
              <w:t>Dec 31, 202</w:t>
            </w:r>
            <w:r>
              <w:rPr>
                <w:rFonts w:cs="Arial"/>
                <w:b/>
                <w:sz w:val="14"/>
                <w:szCs w:val="18"/>
              </w:rPr>
              <w:t>2</w:t>
            </w:r>
          </w:p>
        </w:tc>
      </w:tr>
      <w:tr w:rsidR="008B7E19" w:rsidRPr="00BC1030" w14:paraId="224E0EB9" w14:textId="77777777" w:rsidTr="008B7E19">
        <w:trPr>
          <w:trHeight w:hRule="exact" w:val="238"/>
          <w:jc w:val="center"/>
        </w:trPr>
        <w:tc>
          <w:tcPr>
            <w:cnfStyle w:val="001000000000" w:firstRow="0" w:lastRow="0" w:firstColumn="1" w:lastColumn="0" w:oddVBand="0" w:evenVBand="0" w:oddHBand="0" w:evenHBand="0" w:firstRowFirstColumn="0" w:firstRowLastColumn="0" w:lastRowFirstColumn="0" w:lastRowLastColumn="0"/>
            <w:tcW w:w="2835" w:type="dxa"/>
            <w:gridSpan w:val="2"/>
            <w:vMerge/>
            <w:tcBorders>
              <w:top w:val="nil"/>
              <w:bottom w:val="single" w:sz="2" w:space="0" w:color="1F4E79" w:themeColor="accent1" w:themeShade="80"/>
            </w:tcBorders>
            <w:shd w:val="clear" w:color="auto" w:fill="auto"/>
          </w:tcPr>
          <w:p w14:paraId="783C9A49" w14:textId="77777777" w:rsidR="008B7E19" w:rsidRPr="00BC1030" w:rsidRDefault="008B7E19" w:rsidP="008B7E19">
            <w:pPr>
              <w:pStyle w:val="08-Tabelageral"/>
              <w:jc w:val="left"/>
              <w:rPr>
                <w:rFonts w:cs="Arial"/>
                <w:b w:val="0"/>
                <w:color w:val="auto"/>
                <w:szCs w:val="14"/>
              </w:rPr>
            </w:pPr>
          </w:p>
        </w:tc>
        <w:tc>
          <w:tcPr>
            <w:tcW w:w="993" w:type="dxa"/>
            <w:tcBorders>
              <w:top w:val="nil"/>
              <w:bottom w:val="single" w:sz="2" w:space="0" w:color="1F4E79" w:themeColor="accent1" w:themeShade="80"/>
            </w:tcBorders>
            <w:shd w:val="clear" w:color="auto" w:fill="auto"/>
            <w:vAlign w:val="center"/>
          </w:tcPr>
          <w:p w14:paraId="47F7CB32" w14:textId="77777777" w:rsidR="008B7E19" w:rsidRPr="00BC1030" w:rsidRDefault="008B7E19" w:rsidP="008B7E19">
            <w:pPr>
              <w:keepNext/>
              <w:jc w:val="center"/>
              <w:cnfStyle w:val="000000000000" w:firstRow="0" w:lastRow="0" w:firstColumn="0" w:lastColumn="0" w:oddVBand="0" w:evenVBand="0" w:oddHBand="0" w:evenHBand="0" w:firstRowFirstColumn="0" w:firstRowLastColumn="0" w:lastRowFirstColumn="0" w:lastRowLastColumn="0"/>
              <w:rPr>
                <w:rFonts w:cs="Arial"/>
                <w:b/>
                <w:sz w:val="14"/>
                <w:szCs w:val="18"/>
              </w:rPr>
            </w:pPr>
            <w:r w:rsidRPr="00BC1030">
              <w:rPr>
                <w:rFonts w:cs="Arial"/>
                <w:b/>
                <w:sz w:val="14"/>
                <w:szCs w:val="18"/>
              </w:rPr>
              <w:t>Note</w:t>
            </w:r>
          </w:p>
        </w:tc>
        <w:tc>
          <w:tcPr>
            <w:tcW w:w="1275" w:type="dxa"/>
            <w:tcBorders>
              <w:top w:val="single" w:sz="2" w:space="0" w:color="1F4E79" w:themeColor="accent1" w:themeShade="80"/>
              <w:bottom w:val="single" w:sz="2" w:space="0" w:color="1F4E79" w:themeColor="accent1" w:themeShade="80"/>
            </w:tcBorders>
            <w:shd w:val="clear" w:color="auto" w:fill="auto"/>
            <w:vAlign w:val="center"/>
          </w:tcPr>
          <w:p w14:paraId="083B0D91" w14:textId="77777777" w:rsidR="008B7E19" w:rsidRPr="00BC1030" w:rsidRDefault="008B7E19" w:rsidP="008B7E19">
            <w:pPr>
              <w:keepNext/>
              <w:jc w:val="right"/>
              <w:cnfStyle w:val="000000000000" w:firstRow="0" w:lastRow="0" w:firstColumn="0" w:lastColumn="0" w:oddVBand="0" w:evenVBand="0" w:oddHBand="0" w:evenHBand="0" w:firstRowFirstColumn="0" w:firstRowLastColumn="0" w:lastRowFirstColumn="0" w:lastRowLastColumn="0"/>
              <w:rPr>
                <w:rFonts w:cs="Arial"/>
                <w:b/>
                <w:sz w:val="14"/>
                <w:szCs w:val="18"/>
              </w:rPr>
            </w:pPr>
            <w:r w:rsidRPr="00BC1030">
              <w:rPr>
                <w:rFonts w:cs="Arial"/>
                <w:b/>
                <w:sz w:val="14"/>
                <w:szCs w:val="18"/>
              </w:rPr>
              <w:t>Up to 1 year</w:t>
            </w:r>
          </w:p>
        </w:tc>
        <w:tc>
          <w:tcPr>
            <w:tcW w:w="1418" w:type="dxa"/>
            <w:tcBorders>
              <w:top w:val="single" w:sz="2" w:space="0" w:color="1F4E79" w:themeColor="accent1" w:themeShade="80"/>
              <w:bottom w:val="single" w:sz="2" w:space="0" w:color="1F4E79" w:themeColor="accent1" w:themeShade="80"/>
            </w:tcBorders>
            <w:shd w:val="clear" w:color="auto" w:fill="auto"/>
            <w:vAlign w:val="center"/>
          </w:tcPr>
          <w:p w14:paraId="5C842354" w14:textId="77777777" w:rsidR="008B7E19" w:rsidRPr="00BC1030" w:rsidRDefault="008B7E19" w:rsidP="008B7E19">
            <w:pPr>
              <w:keepNext/>
              <w:jc w:val="right"/>
              <w:cnfStyle w:val="000000000000" w:firstRow="0" w:lastRow="0" w:firstColumn="0" w:lastColumn="0" w:oddVBand="0" w:evenVBand="0" w:oddHBand="0" w:evenHBand="0" w:firstRowFirstColumn="0" w:firstRowLastColumn="0" w:lastRowFirstColumn="0" w:lastRowLastColumn="0"/>
              <w:rPr>
                <w:rFonts w:cs="Arial"/>
                <w:b/>
                <w:sz w:val="14"/>
                <w:szCs w:val="18"/>
              </w:rPr>
            </w:pPr>
            <w:r w:rsidRPr="00BC1030">
              <w:rPr>
                <w:rFonts w:cs="Arial"/>
                <w:b/>
                <w:sz w:val="14"/>
                <w:szCs w:val="18"/>
              </w:rPr>
              <w:t>More than 1</w:t>
            </w:r>
            <w:r>
              <w:rPr>
                <w:rFonts w:cs="Arial"/>
                <w:b/>
                <w:sz w:val="14"/>
                <w:szCs w:val="18"/>
              </w:rPr>
              <w:t xml:space="preserve"> </w:t>
            </w:r>
            <w:r w:rsidRPr="00BC1030">
              <w:rPr>
                <w:rFonts w:cs="Arial"/>
                <w:b/>
                <w:sz w:val="14"/>
                <w:szCs w:val="18"/>
              </w:rPr>
              <w:t>year</w:t>
            </w:r>
          </w:p>
        </w:tc>
        <w:tc>
          <w:tcPr>
            <w:tcW w:w="283" w:type="dxa"/>
            <w:tcBorders>
              <w:top w:val="nil"/>
              <w:bottom w:val="single" w:sz="2" w:space="0" w:color="1F4E79" w:themeColor="accent1" w:themeShade="80"/>
            </w:tcBorders>
            <w:shd w:val="clear" w:color="auto" w:fill="auto"/>
            <w:vAlign w:val="center"/>
          </w:tcPr>
          <w:p w14:paraId="544C3B6F" w14:textId="77777777" w:rsidR="008B7E19" w:rsidRPr="00BC1030" w:rsidRDefault="008B7E19" w:rsidP="008B7E19">
            <w:pPr>
              <w:keepNext/>
              <w:jc w:val="right"/>
              <w:cnfStyle w:val="000000000000" w:firstRow="0" w:lastRow="0" w:firstColumn="0" w:lastColumn="0" w:oddVBand="0" w:evenVBand="0" w:oddHBand="0" w:evenHBand="0" w:firstRowFirstColumn="0" w:firstRowLastColumn="0" w:lastRowFirstColumn="0" w:lastRowLastColumn="0"/>
              <w:rPr>
                <w:rFonts w:cs="Arial"/>
                <w:b/>
                <w:sz w:val="14"/>
                <w:szCs w:val="18"/>
              </w:rPr>
            </w:pPr>
          </w:p>
        </w:tc>
        <w:tc>
          <w:tcPr>
            <w:tcW w:w="1134" w:type="dxa"/>
            <w:tcBorders>
              <w:top w:val="single" w:sz="2" w:space="0" w:color="1F4E79" w:themeColor="accent1" w:themeShade="80"/>
              <w:bottom w:val="single" w:sz="2" w:space="0" w:color="1F4E79" w:themeColor="accent1" w:themeShade="80"/>
            </w:tcBorders>
            <w:shd w:val="clear" w:color="auto" w:fill="auto"/>
            <w:vAlign w:val="center"/>
          </w:tcPr>
          <w:p w14:paraId="0B90FD13" w14:textId="77777777" w:rsidR="008B7E19" w:rsidRPr="00BC1030" w:rsidRDefault="008B7E19" w:rsidP="008B7E19">
            <w:pPr>
              <w:keepNext/>
              <w:jc w:val="right"/>
              <w:cnfStyle w:val="000000000000" w:firstRow="0" w:lastRow="0" w:firstColumn="0" w:lastColumn="0" w:oddVBand="0" w:evenVBand="0" w:oddHBand="0" w:evenHBand="0" w:firstRowFirstColumn="0" w:firstRowLastColumn="0" w:lastRowFirstColumn="0" w:lastRowLastColumn="0"/>
              <w:rPr>
                <w:rFonts w:cs="Arial"/>
                <w:b/>
                <w:sz w:val="14"/>
                <w:szCs w:val="18"/>
              </w:rPr>
            </w:pPr>
            <w:r w:rsidRPr="00BC1030">
              <w:rPr>
                <w:rFonts w:cs="Arial"/>
                <w:b/>
                <w:sz w:val="14"/>
                <w:szCs w:val="18"/>
              </w:rPr>
              <w:t>Up to 1 year</w:t>
            </w:r>
          </w:p>
        </w:tc>
        <w:tc>
          <w:tcPr>
            <w:tcW w:w="1902" w:type="dxa"/>
            <w:tcBorders>
              <w:top w:val="single" w:sz="2" w:space="0" w:color="1F4E79" w:themeColor="accent1" w:themeShade="80"/>
              <w:bottom w:val="single" w:sz="2" w:space="0" w:color="1F4E79" w:themeColor="accent1" w:themeShade="80"/>
            </w:tcBorders>
            <w:shd w:val="clear" w:color="auto" w:fill="auto"/>
            <w:vAlign w:val="center"/>
          </w:tcPr>
          <w:p w14:paraId="54497D05" w14:textId="77777777" w:rsidR="008B7E19" w:rsidRPr="00BC1030" w:rsidRDefault="008B7E19" w:rsidP="008B7E19">
            <w:pPr>
              <w:keepNext/>
              <w:jc w:val="right"/>
              <w:cnfStyle w:val="000000000000" w:firstRow="0" w:lastRow="0" w:firstColumn="0" w:lastColumn="0" w:oddVBand="0" w:evenVBand="0" w:oddHBand="0" w:evenHBand="0" w:firstRowFirstColumn="0" w:firstRowLastColumn="0" w:lastRowFirstColumn="0" w:lastRowLastColumn="0"/>
              <w:rPr>
                <w:rFonts w:cs="Arial"/>
                <w:b/>
                <w:sz w:val="14"/>
                <w:szCs w:val="18"/>
              </w:rPr>
            </w:pPr>
            <w:r w:rsidRPr="00BC1030">
              <w:rPr>
                <w:rFonts w:cs="Arial"/>
                <w:b/>
                <w:sz w:val="14"/>
                <w:szCs w:val="18"/>
              </w:rPr>
              <w:t>More than 1</w:t>
            </w:r>
            <w:r>
              <w:rPr>
                <w:rFonts w:cs="Arial"/>
                <w:b/>
                <w:sz w:val="14"/>
                <w:szCs w:val="18"/>
              </w:rPr>
              <w:t xml:space="preserve"> </w:t>
            </w:r>
            <w:r w:rsidRPr="00BC1030">
              <w:rPr>
                <w:rFonts w:cs="Arial"/>
                <w:b/>
                <w:sz w:val="14"/>
                <w:szCs w:val="18"/>
              </w:rPr>
              <w:t>y</w:t>
            </w:r>
            <w:r>
              <w:rPr>
                <w:rFonts w:cs="Arial"/>
                <w:b/>
                <w:sz w:val="14"/>
                <w:szCs w:val="18"/>
              </w:rPr>
              <w:t>ear</w:t>
            </w:r>
          </w:p>
        </w:tc>
      </w:tr>
      <w:tr w:rsidR="008B7E19" w:rsidRPr="00BC1030" w14:paraId="70CD8D0C" w14:textId="77777777" w:rsidTr="008B7E19">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2835" w:type="dxa"/>
            <w:gridSpan w:val="2"/>
            <w:tcBorders>
              <w:top w:val="single" w:sz="2" w:space="0" w:color="1F4E79" w:themeColor="accent1" w:themeShade="80"/>
              <w:bottom w:val="nil"/>
            </w:tcBorders>
            <w:shd w:val="clear" w:color="auto" w:fill="auto"/>
            <w:vAlign w:val="center"/>
          </w:tcPr>
          <w:p w14:paraId="279783E2" w14:textId="77777777" w:rsidR="008B7E19" w:rsidRPr="00F73A24" w:rsidRDefault="008B7E19" w:rsidP="008B7E19">
            <w:pPr>
              <w:pStyle w:val="08-Tabelageral"/>
              <w:keepLines w:val="0"/>
              <w:jc w:val="left"/>
              <w:rPr>
                <w:b w:val="0"/>
              </w:rPr>
            </w:pPr>
            <w:r w:rsidRPr="00F73A24">
              <w:rPr>
                <w:b w:val="0"/>
              </w:rPr>
              <w:t>ASSETS</w:t>
            </w:r>
          </w:p>
        </w:tc>
        <w:tc>
          <w:tcPr>
            <w:tcW w:w="993" w:type="dxa"/>
            <w:tcBorders>
              <w:top w:val="single" w:sz="2" w:space="0" w:color="1F4E79" w:themeColor="accent1" w:themeShade="80"/>
              <w:bottom w:val="nil"/>
            </w:tcBorders>
            <w:shd w:val="clear" w:color="auto" w:fill="auto"/>
            <w:vAlign w:val="center"/>
          </w:tcPr>
          <w:p w14:paraId="7AAB432C" w14:textId="77777777" w:rsidR="008B7E19" w:rsidRPr="00BC1030" w:rsidRDefault="008B7E19" w:rsidP="008B7E19">
            <w:pPr>
              <w:pStyle w:val="08-Tabelageral"/>
              <w:keepLines w:val="0"/>
              <w:jc w:val="center"/>
              <w:cnfStyle w:val="000000100000" w:firstRow="0" w:lastRow="0" w:firstColumn="0" w:lastColumn="0" w:oddVBand="0" w:evenVBand="0" w:oddHBand="1" w:evenHBand="0" w:firstRowFirstColumn="0" w:firstRowLastColumn="0" w:lastRowFirstColumn="0" w:lastRowLastColumn="0"/>
            </w:pPr>
          </w:p>
        </w:tc>
        <w:tc>
          <w:tcPr>
            <w:tcW w:w="1275" w:type="dxa"/>
            <w:tcBorders>
              <w:top w:val="single" w:sz="2" w:space="0" w:color="1F4E79" w:themeColor="accent1" w:themeShade="80"/>
              <w:bottom w:val="nil"/>
            </w:tcBorders>
            <w:shd w:val="clear" w:color="auto" w:fill="auto"/>
            <w:vAlign w:val="center"/>
          </w:tcPr>
          <w:p w14:paraId="173CF988" w14:textId="77777777" w:rsidR="008B7E19" w:rsidRPr="00BC1030" w:rsidRDefault="008B7E19" w:rsidP="008B7E19">
            <w:pPr>
              <w:pStyle w:val="08-Tabelageral"/>
              <w:keepLines w:val="0"/>
              <w:cnfStyle w:val="000000100000" w:firstRow="0" w:lastRow="0" w:firstColumn="0" w:lastColumn="0" w:oddVBand="0" w:evenVBand="0" w:oddHBand="1" w:evenHBand="0" w:firstRowFirstColumn="0" w:firstRowLastColumn="0" w:lastRowFirstColumn="0" w:lastRowLastColumn="0"/>
            </w:pPr>
          </w:p>
        </w:tc>
        <w:tc>
          <w:tcPr>
            <w:tcW w:w="1418" w:type="dxa"/>
            <w:tcBorders>
              <w:top w:val="single" w:sz="2" w:space="0" w:color="1F4E79" w:themeColor="accent1" w:themeShade="80"/>
              <w:bottom w:val="nil"/>
            </w:tcBorders>
            <w:shd w:val="clear" w:color="auto" w:fill="auto"/>
            <w:vAlign w:val="center"/>
          </w:tcPr>
          <w:p w14:paraId="193D8457" w14:textId="77777777" w:rsidR="008B7E19" w:rsidRPr="00BC1030" w:rsidRDefault="008B7E19" w:rsidP="008B7E19">
            <w:pPr>
              <w:pStyle w:val="08-Tabelageral"/>
              <w:keepLines w:val="0"/>
              <w:cnfStyle w:val="000000100000" w:firstRow="0" w:lastRow="0" w:firstColumn="0" w:lastColumn="0" w:oddVBand="0" w:evenVBand="0" w:oddHBand="1" w:evenHBand="0" w:firstRowFirstColumn="0" w:firstRowLastColumn="0" w:lastRowFirstColumn="0" w:lastRowLastColumn="0"/>
            </w:pPr>
          </w:p>
        </w:tc>
        <w:tc>
          <w:tcPr>
            <w:tcW w:w="283" w:type="dxa"/>
            <w:tcBorders>
              <w:top w:val="single" w:sz="2" w:space="0" w:color="1F4E79" w:themeColor="accent1" w:themeShade="80"/>
              <w:bottom w:val="nil"/>
            </w:tcBorders>
            <w:shd w:val="clear" w:color="auto" w:fill="auto"/>
            <w:vAlign w:val="center"/>
          </w:tcPr>
          <w:p w14:paraId="680ABE57" w14:textId="77777777" w:rsidR="008B7E19" w:rsidRPr="00BC1030" w:rsidRDefault="008B7E19" w:rsidP="008B7E19">
            <w:pPr>
              <w:pStyle w:val="08-Tabelageral"/>
              <w:keepLines w:val="0"/>
              <w:cnfStyle w:val="000000100000" w:firstRow="0" w:lastRow="0" w:firstColumn="0" w:lastColumn="0" w:oddVBand="0" w:evenVBand="0" w:oddHBand="1" w:evenHBand="0" w:firstRowFirstColumn="0" w:firstRowLastColumn="0" w:lastRowFirstColumn="0" w:lastRowLastColumn="0"/>
            </w:pPr>
          </w:p>
        </w:tc>
        <w:tc>
          <w:tcPr>
            <w:tcW w:w="1134" w:type="dxa"/>
            <w:tcBorders>
              <w:top w:val="single" w:sz="2" w:space="0" w:color="1F4E79" w:themeColor="accent1" w:themeShade="80"/>
              <w:bottom w:val="nil"/>
            </w:tcBorders>
            <w:shd w:val="clear" w:color="auto" w:fill="auto"/>
            <w:vAlign w:val="center"/>
          </w:tcPr>
          <w:p w14:paraId="7F350D68" w14:textId="77777777" w:rsidR="008B7E19" w:rsidRPr="00BC1030" w:rsidRDefault="008B7E19" w:rsidP="008B7E19">
            <w:pPr>
              <w:pStyle w:val="08-Tabelageral"/>
              <w:keepLines w:val="0"/>
              <w:cnfStyle w:val="000000100000" w:firstRow="0" w:lastRow="0" w:firstColumn="0" w:lastColumn="0" w:oddVBand="0" w:evenVBand="0" w:oddHBand="1" w:evenHBand="0" w:firstRowFirstColumn="0" w:firstRowLastColumn="0" w:lastRowFirstColumn="0" w:lastRowLastColumn="0"/>
            </w:pPr>
          </w:p>
        </w:tc>
        <w:tc>
          <w:tcPr>
            <w:tcW w:w="1902" w:type="dxa"/>
            <w:tcBorders>
              <w:top w:val="single" w:sz="2" w:space="0" w:color="1F4E79" w:themeColor="accent1" w:themeShade="80"/>
              <w:bottom w:val="nil"/>
            </w:tcBorders>
            <w:shd w:val="clear" w:color="auto" w:fill="auto"/>
            <w:vAlign w:val="center"/>
          </w:tcPr>
          <w:p w14:paraId="31504E03" w14:textId="77777777" w:rsidR="008B7E19" w:rsidRPr="00BC1030" w:rsidRDefault="008B7E19" w:rsidP="008B7E19">
            <w:pPr>
              <w:pStyle w:val="08-Tabelageral"/>
              <w:keepLines w:val="0"/>
              <w:cnfStyle w:val="000000100000" w:firstRow="0" w:lastRow="0" w:firstColumn="0" w:lastColumn="0" w:oddVBand="0" w:evenVBand="0" w:oddHBand="1" w:evenHBand="0" w:firstRowFirstColumn="0" w:firstRowLastColumn="0" w:lastRowFirstColumn="0" w:lastRowLastColumn="0"/>
            </w:pPr>
          </w:p>
        </w:tc>
      </w:tr>
      <w:tr w:rsidR="008B7E19" w:rsidRPr="00BC1030" w14:paraId="03CB4F52" w14:textId="77777777" w:rsidTr="008B7E19">
        <w:trPr>
          <w:trHeight w:hRule="exact" w:val="238"/>
          <w:jc w:val="center"/>
        </w:trPr>
        <w:tc>
          <w:tcPr>
            <w:cnfStyle w:val="001000000000" w:firstRow="0" w:lastRow="0" w:firstColumn="1" w:lastColumn="0" w:oddVBand="0" w:evenVBand="0" w:oddHBand="0" w:evenHBand="0" w:firstRowFirstColumn="0" w:firstRowLastColumn="0" w:lastRowFirstColumn="0" w:lastRowLastColumn="0"/>
            <w:tcW w:w="2835" w:type="dxa"/>
            <w:gridSpan w:val="2"/>
            <w:tcBorders>
              <w:top w:val="nil"/>
              <w:bottom w:val="nil"/>
            </w:tcBorders>
            <w:shd w:val="clear" w:color="auto" w:fill="auto"/>
            <w:vAlign w:val="center"/>
          </w:tcPr>
          <w:p w14:paraId="18A8FBE6" w14:textId="77777777" w:rsidR="008B7E19" w:rsidRPr="00F73A24" w:rsidRDefault="008B7E19" w:rsidP="008B7E19">
            <w:pPr>
              <w:pStyle w:val="08-Tabelageral"/>
              <w:keepLines w:val="0"/>
              <w:jc w:val="left"/>
              <w:rPr>
                <w:b w:val="0"/>
              </w:rPr>
            </w:pPr>
            <w:r w:rsidRPr="00F73A24">
              <w:rPr>
                <w:b w:val="0"/>
              </w:rPr>
              <w:t>Cash and Cash Equivalents</w:t>
            </w:r>
          </w:p>
        </w:tc>
        <w:tc>
          <w:tcPr>
            <w:tcW w:w="993" w:type="dxa"/>
            <w:tcBorders>
              <w:top w:val="nil"/>
              <w:bottom w:val="nil"/>
            </w:tcBorders>
            <w:shd w:val="clear" w:color="auto" w:fill="auto"/>
            <w:vAlign w:val="center"/>
          </w:tcPr>
          <w:p w14:paraId="25D467D2" w14:textId="77777777" w:rsidR="008B7E19" w:rsidRPr="00BC1030" w:rsidRDefault="008B7E19" w:rsidP="008B7E19">
            <w:pPr>
              <w:pStyle w:val="08-Tabelageral"/>
              <w:keepLines w:val="0"/>
              <w:jc w:val="center"/>
              <w:cnfStyle w:val="000000000000" w:firstRow="0" w:lastRow="0" w:firstColumn="0" w:lastColumn="0" w:oddVBand="0" w:evenVBand="0" w:oddHBand="0" w:evenHBand="0" w:firstRowFirstColumn="0" w:firstRowLastColumn="0" w:lastRowFirstColumn="0" w:lastRowLastColumn="0"/>
            </w:pPr>
            <w:r w:rsidRPr="00BC1030">
              <w:t>[15]</w:t>
            </w:r>
          </w:p>
        </w:tc>
        <w:tc>
          <w:tcPr>
            <w:tcW w:w="1275" w:type="dxa"/>
            <w:tcBorders>
              <w:top w:val="nil"/>
              <w:bottom w:val="nil"/>
            </w:tcBorders>
            <w:shd w:val="clear" w:color="auto" w:fill="auto"/>
          </w:tcPr>
          <w:p w14:paraId="609F9EC8" w14:textId="77777777" w:rsidR="008B7E19" w:rsidRPr="00BC1030" w:rsidRDefault="008B7E19" w:rsidP="008B7E19">
            <w:pPr>
              <w:pStyle w:val="08-Tabelageral"/>
              <w:keepLines w:val="0"/>
              <w:cnfStyle w:val="000000000000" w:firstRow="0" w:lastRow="0" w:firstColumn="0" w:lastColumn="0" w:oddVBand="0" w:evenVBand="0" w:oddHBand="0" w:evenHBand="0" w:firstRowFirstColumn="0" w:firstRowLastColumn="0" w:lastRowFirstColumn="0" w:lastRowLastColumn="0"/>
            </w:pPr>
            <w:r w:rsidRPr="00EF7C3E">
              <w:t>1</w:t>
            </w:r>
            <w:r>
              <w:t>,</w:t>
            </w:r>
            <w:r w:rsidRPr="00EF7C3E">
              <w:t>050</w:t>
            </w:r>
            <w:r>
              <w:t>,</w:t>
            </w:r>
            <w:r w:rsidRPr="00EF7C3E">
              <w:t>803</w:t>
            </w:r>
          </w:p>
        </w:tc>
        <w:tc>
          <w:tcPr>
            <w:tcW w:w="1418" w:type="dxa"/>
            <w:tcBorders>
              <w:top w:val="nil"/>
              <w:bottom w:val="nil"/>
            </w:tcBorders>
            <w:shd w:val="clear" w:color="auto" w:fill="auto"/>
          </w:tcPr>
          <w:p w14:paraId="669B4109" w14:textId="77777777" w:rsidR="008B7E19" w:rsidRPr="00BC1030" w:rsidRDefault="008B7E19" w:rsidP="008B7E19">
            <w:pPr>
              <w:pStyle w:val="08-Tabelageral"/>
              <w:keepLines w:val="0"/>
              <w:cnfStyle w:val="000000000000" w:firstRow="0" w:lastRow="0" w:firstColumn="0" w:lastColumn="0" w:oddVBand="0" w:evenVBand="0" w:oddHBand="0" w:evenHBand="0" w:firstRowFirstColumn="0" w:firstRowLastColumn="0" w:lastRowFirstColumn="0" w:lastRowLastColumn="0"/>
            </w:pPr>
            <w:r w:rsidRPr="00EF7C3E">
              <w:t>--</w:t>
            </w:r>
          </w:p>
        </w:tc>
        <w:tc>
          <w:tcPr>
            <w:tcW w:w="283" w:type="dxa"/>
            <w:tcBorders>
              <w:top w:val="nil"/>
              <w:bottom w:val="nil"/>
            </w:tcBorders>
            <w:shd w:val="clear" w:color="auto" w:fill="auto"/>
            <w:vAlign w:val="center"/>
          </w:tcPr>
          <w:p w14:paraId="6D1AE310" w14:textId="77777777" w:rsidR="008B7E19" w:rsidRPr="00BC1030" w:rsidRDefault="008B7E19" w:rsidP="008B7E19">
            <w:pPr>
              <w:pStyle w:val="08-Tabelageral"/>
              <w:keepLines w:val="0"/>
              <w:cnfStyle w:val="000000000000" w:firstRow="0" w:lastRow="0" w:firstColumn="0" w:lastColumn="0" w:oddVBand="0" w:evenVBand="0" w:oddHBand="0" w:evenHBand="0" w:firstRowFirstColumn="0" w:firstRowLastColumn="0" w:lastRowFirstColumn="0" w:lastRowLastColumn="0"/>
            </w:pPr>
          </w:p>
        </w:tc>
        <w:tc>
          <w:tcPr>
            <w:tcW w:w="1134" w:type="dxa"/>
            <w:tcBorders>
              <w:top w:val="nil"/>
              <w:bottom w:val="nil"/>
            </w:tcBorders>
            <w:shd w:val="clear" w:color="auto" w:fill="auto"/>
            <w:vAlign w:val="center"/>
          </w:tcPr>
          <w:p w14:paraId="3B85D320" w14:textId="77777777" w:rsidR="008B7E19" w:rsidRPr="00BC1030" w:rsidRDefault="008B7E19" w:rsidP="008B7E19">
            <w:pPr>
              <w:pStyle w:val="08-Tabelageral"/>
              <w:keepLines w:val="0"/>
              <w:cnfStyle w:val="000000000000" w:firstRow="0" w:lastRow="0" w:firstColumn="0" w:lastColumn="0" w:oddVBand="0" w:evenVBand="0" w:oddHBand="0" w:evenHBand="0" w:firstRowFirstColumn="0" w:firstRowLastColumn="0" w:lastRowFirstColumn="0" w:lastRowLastColumn="0"/>
            </w:pPr>
            <w:r>
              <w:rPr>
                <w:lang w:eastAsia="en-US"/>
              </w:rPr>
              <w:t>59,003</w:t>
            </w:r>
          </w:p>
        </w:tc>
        <w:tc>
          <w:tcPr>
            <w:tcW w:w="1902" w:type="dxa"/>
            <w:tcBorders>
              <w:top w:val="nil"/>
              <w:bottom w:val="nil"/>
            </w:tcBorders>
            <w:shd w:val="clear" w:color="auto" w:fill="auto"/>
            <w:vAlign w:val="center"/>
          </w:tcPr>
          <w:p w14:paraId="18014546" w14:textId="77777777" w:rsidR="008B7E19" w:rsidRPr="00BC1030" w:rsidRDefault="008B7E19" w:rsidP="008B7E19">
            <w:pPr>
              <w:pStyle w:val="08-Tabelageral"/>
              <w:keepLines w:val="0"/>
              <w:cnfStyle w:val="000000000000" w:firstRow="0" w:lastRow="0" w:firstColumn="0" w:lastColumn="0" w:oddVBand="0" w:evenVBand="0" w:oddHBand="0" w:evenHBand="0" w:firstRowFirstColumn="0" w:firstRowLastColumn="0" w:lastRowFirstColumn="0" w:lastRowLastColumn="0"/>
            </w:pPr>
            <w:r>
              <w:rPr>
                <w:lang w:eastAsia="en-US"/>
              </w:rPr>
              <w:t>--</w:t>
            </w:r>
          </w:p>
        </w:tc>
      </w:tr>
      <w:tr w:rsidR="008B7E19" w:rsidRPr="00BC1030" w14:paraId="5B17A524" w14:textId="77777777" w:rsidTr="008B7E19">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2835" w:type="dxa"/>
            <w:gridSpan w:val="2"/>
            <w:tcBorders>
              <w:top w:val="nil"/>
              <w:bottom w:val="nil"/>
            </w:tcBorders>
            <w:shd w:val="clear" w:color="auto" w:fill="auto"/>
            <w:vAlign w:val="center"/>
          </w:tcPr>
          <w:p w14:paraId="29AEBBCE" w14:textId="77777777" w:rsidR="008B7E19" w:rsidRPr="000B292D" w:rsidRDefault="008B7E19" w:rsidP="008B7E19">
            <w:pPr>
              <w:pStyle w:val="08-Tabelageral"/>
              <w:keepLines w:val="0"/>
              <w:jc w:val="left"/>
              <w:rPr>
                <w:b w:val="0"/>
                <w:lang w:val="en-US"/>
              </w:rPr>
            </w:pPr>
            <w:r w:rsidRPr="000B292D">
              <w:rPr>
                <w:b w:val="0"/>
                <w:lang w:val="en-US"/>
              </w:rPr>
              <w:t>Financial assets at fair value through profit</w:t>
            </w:r>
          </w:p>
        </w:tc>
        <w:tc>
          <w:tcPr>
            <w:tcW w:w="993" w:type="dxa"/>
            <w:tcBorders>
              <w:top w:val="nil"/>
              <w:bottom w:val="nil"/>
            </w:tcBorders>
            <w:shd w:val="clear" w:color="auto" w:fill="auto"/>
            <w:vAlign w:val="center"/>
          </w:tcPr>
          <w:p w14:paraId="2F679E76" w14:textId="77777777" w:rsidR="008B7E19" w:rsidRPr="00BC1030" w:rsidRDefault="008B7E19" w:rsidP="008B7E19">
            <w:pPr>
              <w:pStyle w:val="08-Tabelageral"/>
              <w:keepLines w:val="0"/>
              <w:jc w:val="center"/>
              <w:cnfStyle w:val="000000100000" w:firstRow="0" w:lastRow="0" w:firstColumn="0" w:lastColumn="0" w:oddVBand="0" w:evenVBand="0" w:oddHBand="1" w:evenHBand="0" w:firstRowFirstColumn="0" w:firstRowLastColumn="0" w:lastRowFirstColumn="0" w:lastRowLastColumn="0"/>
            </w:pPr>
            <w:r w:rsidRPr="00BC1030">
              <w:t>[16.a]</w:t>
            </w:r>
          </w:p>
        </w:tc>
        <w:tc>
          <w:tcPr>
            <w:tcW w:w="1275" w:type="dxa"/>
            <w:tcBorders>
              <w:top w:val="nil"/>
              <w:bottom w:val="nil"/>
            </w:tcBorders>
            <w:shd w:val="clear" w:color="auto" w:fill="auto"/>
          </w:tcPr>
          <w:p w14:paraId="3536D96D" w14:textId="77777777" w:rsidR="008B7E19" w:rsidRPr="00BC1030" w:rsidRDefault="008B7E19" w:rsidP="008B7E19">
            <w:pPr>
              <w:pStyle w:val="08-Tabelageral"/>
              <w:keepLines w:val="0"/>
              <w:cnfStyle w:val="000000100000" w:firstRow="0" w:lastRow="0" w:firstColumn="0" w:lastColumn="0" w:oddVBand="0" w:evenVBand="0" w:oddHBand="1" w:evenHBand="0" w:firstRowFirstColumn="0" w:firstRowLastColumn="0" w:lastRowFirstColumn="0" w:lastRowLastColumn="0"/>
            </w:pPr>
            <w:r w:rsidRPr="00EF7C3E">
              <w:t>--</w:t>
            </w:r>
          </w:p>
        </w:tc>
        <w:tc>
          <w:tcPr>
            <w:tcW w:w="1418" w:type="dxa"/>
            <w:tcBorders>
              <w:top w:val="nil"/>
              <w:bottom w:val="nil"/>
            </w:tcBorders>
            <w:shd w:val="clear" w:color="auto" w:fill="auto"/>
          </w:tcPr>
          <w:p w14:paraId="14400C28" w14:textId="77777777" w:rsidR="008B7E19" w:rsidRPr="00BC1030" w:rsidRDefault="008B7E19" w:rsidP="008B7E19">
            <w:pPr>
              <w:pStyle w:val="08-Tabelageral"/>
              <w:keepLines w:val="0"/>
              <w:cnfStyle w:val="000000100000" w:firstRow="0" w:lastRow="0" w:firstColumn="0" w:lastColumn="0" w:oddVBand="0" w:evenVBand="0" w:oddHBand="1" w:evenHBand="0" w:firstRowFirstColumn="0" w:firstRowLastColumn="0" w:lastRowFirstColumn="0" w:lastRowLastColumn="0"/>
            </w:pPr>
            <w:r w:rsidRPr="00EF7C3E">
              <w:t>17</w:t>
            </w:r>
            <w:r>
              <w:t>,</w:t>
            </w:r>
            <w:r w:rsidRPr="00EF7C3E">
              <w:t>732</w:t>
            </w:r>
          </w:p>
        </w:tc>
        <w:tc>
          <w:tcPr>
            <w:tcW w:w="283" w:type="dxa"/>
            <w:tcBorders>
              <w:top w:val="nil"/>
              <w:bottom w:val="nil"/>
            </w:tcBorders>
            <w:shd w:val="clear" w:color="auto" w:fill="auto"/>
            <w:vAlign w:val="center"/>
          </w:tcPr>
          <w:p w14:paraId="781F2109" w14:textId="77777777" w:rsidR="008B7E19" w:rsidRPr="00BC1030" w:rsidRDefault="008B7E19" w:rsidP="008B7E19">
            <w:pPr>
              <w:pStyle w:val="08-Tabelageral"/>
              <w:keepLines w:val="0"/>
              <w:cnfStyle w:val="000000100000" w:firstRow="0" w:lastRow="0" w:firstColumn="0" w:lastColumn="0" w:oddVBand="0" w:evenVBand="0" w:oddHBand="1" w:evenHBand="0" w:firstRowFirstColumn="0" w:firstRowLastColumn="0" w:lastRowFirstColumn="0" w:lastRowLastColumn="0"/>
            </w:pPr>
          </w:p>
        </w:tc>
        <w:tc>
          <w:tcPr>
            <w:tcW w:w="1134" w:type="dxa"/>
            <w:tcBorders>
              <w:top w:val="nil"/>
              <w:bottom w:val="nil"/>
            </w:tcBorders>
            <w:shd w:val="clear" w:color="auto" w:fill="auto"/>
            <w:vAlign w:val="center"/>
          </w:tcPr>
          <w:p w14:paraId="5D43538C" w14:textId="77777777" w:rsidR="008B7E19" w:rsidRPr="00BC1030" w:rsidRDefault="008B7E19" w:rsidP="008B7E19">
            <w:pPr>
              <w:pStyle w:val="08-Tabelageral"/>
              <w:keepLines w:val="0"/>
              <w:cnfStyle w:val="000000100000" w:firstRow="0" w:lastRow="0" w:firstColumn="0" w:lastColumn="0" w:oddVBand="0" w:evenVBand="0" w:oddHBand="1" w:evenHBand="0" w:firstRowFirstColumn="0" w:firstRowLastColumn="0" w:lastRowFirstColumn="0" w:lastRowLastColumn="0"/>
            </w:pPr>
            <w:r>
              <w:rPr>
                <w:lang w:eastAsia="en-US"/>
              </w:rPr>
              <w:t>--</w:t>
            </w:r>
          </w:p>
        </w:tc>
        <w:tc>
          <w:tcPr>
            <w:tcW w:w="1902" w:type="dxa"/>
            <w:tcBorders>
              <w:top w:val="nil"/>
              <w:bottom w:val="nil"/>
            </w:tcBorders>
            <w:shd w:val="clear" w:color="auto" w:fill="auto"/>
            <w:vAlign w:val="center"/>
          </w:tcPr>
          <w:p w14:paraId="7AE916AB" w14:textId="77777777" w:rsidR="008B7E19" w:rsidRPr="00BC1030" w:rsidRDefault="008B7E19" w:rsidP="008B7E19">
            <w:pPr>
              <w:pStyle w:val="08-Tabelageral"/>
              <w:keepLines w:val="0"/>
              <w:cnfStyle w:val="000000100000" w:firstRow="0" w:lastRow="0" w:firstColumn="0" w:lastColumn="0" w:oddVBand="0" w:evenVBand="0" w:oddHBand="1" w:evenHBand="0" w:firstRowFirstColumn="0" w:firstRowLastColumn="0" w:lastRowFirstColumn="0" w:lastRowLastColumn="0"/>
            </w:pPr>
            <w:r>
              <w:rPr>
                <w:lang w:eastAsia="en-US"/>
              </w:rPr>
              <w:t>18,064</w:t>
            </w:r>
          </w:p>
        </w:tc>
      </w:tr>
      <w:tr w:rsidR="008B7E19" w:rsidRPr="00BC1030" w14:paraId="7C7B6825" w14:textId="77777777" w:rsidTr="008B7E19">
        <w:trPr>
          <w:trHeight w:hRule="exact" w:val="238"/>
          <w:jc w:val="center"/>
        </w:trPr>
        <w:tc>
          <w:tcPr>
            <w:cnfStyle w:val="001000000000" w:firstRow="0" w:lastRow="0" w:firstColumn="1" w:lastColumn="0" w:oddVBand="0" w:evenVBand="0" w:oddHBand="0" w:evenHBand="0" w:firstRowFirstColumn="0" w:firstRowLastColumn="0" w:lastRowFirstColumn="0" w:lastRowLastColumn="0"/>
            <w:tcW w:w="2835" w:type="dxa"/>
            <w:gridSpan w:val="2"/>
            <w:tcBorders>
              <w:top w:val="nil"/>
              <w:bottom w:val="nil"/>
            </w:tcBorders>
            <w:shd w:val="clear" w:color="auto" w:fill="auto"/>
            <w:vAlign w:val="center"/>
          </w:tcPr>
          <w:p w14:paraId="35273C35" w14:textId="77777777" w:rsidR="008B7E19" w:rsidRPr="000B292D" w:rsidRDefault="008B7E19" w:rsidP="008B7E19">
            <w:pPr>
              <w:pStyle w:val="08-Tabelageral"/>
              <w:keepLines w:val="0"/>
              <w:jc w:val="left"/>
              <w:rPr>
                <w:b w:val="0"/>
                <w:lang w:val="en-US"/>
              </w:rPr>
            </w:pPr>
            <w:r w:rsidRPr="000B292D">
              <w:rPr>
                <w:b w:val="0"/>
                <w:lang w:val="en-US"/>
              </w:rPr>
              <w:t>Dividends/interest on equity receivable</w:t>
            </w:r>
          </w:p>
        </w:tc>
        <w:tc>
          <w:tcPr>
            <w:tcW w:w="993" w:type="dxa"/>
            <w:tcBorders>
              <w:top w:val="nil"/>
              <w:bottom w:val="nil"/>
            </w:tcBorders>
            <w:shd w:val="clear" w:color="auto" w:fill="auto"/>
            <w:vAlign w:val="center"/>
          </w:tcPr>
          <w:p w14:paraId="3D3D86D6" w14:textId="77777777" w:rsidR="008B7E19" w:rsidRPr="00BC1030" w:rsidRDefault="008B7E19" w:rsidP="008B7E19">
            <w:pPr>
              <w:pStyle w:val="08-Tabelageral"/>
              <w:keepLines w:val="0"/>
              <w:jc w:val="center"/>
              <w:cnfStyle w:val="000000000000" w:firstRow="0" w:lastRow="0" w:firstColumn="0" w:lastColumn="0" w:oddVBand="0" w:evenVBand="0" w:oddHBand="0" w:evenHBand="0" w:firstRowFirstColumn="0" w:firstRowLastColumn="0" w:lastRowFirstColumn="0" w:lastRowLastColumn="0"/>
            </w:pPr>
            <w:r w:rsidRPr="00BC1030">
              <w:t>[17]</w:t>
            </w:r>
          </w:p>
        </w:tc>
        <w:tc>
          <w:tcPr>
            <w:tcW w:w="1275" w:type="dxa"/>
            <w:tcBorders>
              <w:top w:val="nil"/>
              <w:bottom w:val="nil"/>
            </w:tcBorders>
            <w:shd w:val="clear" w:color="auto" w:fill="auto"/>
          </w:tcPr>
          <w:p w14:paraId="7C6A8173" w14:textId="77777777" w:rsidR="008B7E19" w:rsidRPr="00BC1030" w:rsidRDefault="008B7E19" w:rsidP="008B7E19">
            <w:pPr>
              <w:pStyle w:val="08-Tabelageral"/>
              <w:keepLines w:val="0"/>
              <w:cnfStyle w:val="000000000000" w:firstRow="0" w:lastRow="0" w:firstColumn="0" w:lastColumn="0" w:oddVBand="0" w:evenVBand="0" w:oddHBand="0" w:evenHBand="0" w:firstRowFirstColumn="0" w:firstRowLastColumn="0" w:lastRowFirstColumn="0" w:lastRowLastColumn="0"/>
            </w:pPr>
            <w:r w:rsidRPr="00EF7C3E">
              <w:t xml:space="preserve">   2</w:t>
            </w:r>
            <w:r>
              <w:t>,</w:t>
            </w:r>
            <w:r w:rsidRPr="00EF7C3E">
              <w:t>228</w:t>
            </w:r>
            <w:r>
              <w:t>,</w:t>
            </w:r>
            <w:r w:rsidRPr="00EF7C3E">
              <w:t>680</w:t>
            </w:r>
          </w:p>
        </w:tc>
        <w:tc>
          <w:tcPr>
            <w:tcW w:w="1418" w:type="dxa"/>
            <w:tcBorders>
              <w:top w:val="nil"/>
              <w:bottom w:val="nil"/>
            </w:tcBorders>
            <w:shd w:val="clear" w:color="auto" w:fill="auto"/>
          </w:tcPr>
          <w:p w14:paraId="1CF52472" w14:textId="77777777" w:rsidR="008B7E19" w:rsidRPr="00BC1030" w:rsidRDefault="008B7E19" w:rsidP="008B7E19">
            <w:pPr>
              <w:pStyle w:val="08-Tabelageral"/>
              <w:keepLines w:val="0"/>
              <w:cnfStyle w:val="000000000000" w:firstRow="0" w:lastRow="0" w:firstColumn="0" w:lastColumn="0" w:oddVBand="0" w:evenVBand="0" w:oddHBand="0" w:evenHBand="0" w:firstRowFirstColumn="0" w:firstRowLastColumn="0" w:lastRowFirstColumn="0" w:lastRowLastColumn="0"/>
            </w:pPr>
            <w:r w:rsidRPr="00EF7C3E">
              <w:t>--</w:t>
            </w:r>
          </w:p>
        </w:tc>
        <w:tc>
          <w:tcPr>
            <w:tcW w:w="283" w:type="dxa"/>
            <w:tcBorders>
              <w:top w:val="nil"/>
              <w:bottom w:val="nil"/>
            </w:tcBorders>
            <w:shd w:val="clear" w:color="auto" w:fill="auto"/>
            <w:vAlign w:val="center"/>
          </w:tcPr>
          <w:p w14:paraId="0383F313" w14:textId="77777777" w:rsidR="008B7E19" w:rsidRPr="00BC1030" w:rsidRDefault="008B7E19" w:rsidP="008B7E19">
            <w:pPr>
              <w:pStyle w:val="08-Tabelageral"/>
              <w:keepLines w:val="0"/>
              <w:cnfStyle w:val="000000000000" w:firstRow="0" w:lastRow="0" w:firstColumn="0" w:lastColumn="0" w:oddVBand="0" w:evenVBand="0" w:oddHBand="0" w:evenHBand="0" w:firstRowFirstColumn="0" w:firstRowLastColumn="0" w:lastRowFirstColumn="0" w:lastRowLastColumn="0"/>
            </w:pPr>
          </w:p>
        </w:tc>
        <w:tc>
          <w:tcPr>
            <w:tcW w:w="1134" w:type="dxa"/>
            <w:tcBorders>
              <w:top w:val="nil"/>
              <w:bottom w:val="nil"/>
            </w:tcBorders>
            <w:shd w:val="clear" w:color="auto" w:fill="auto"/>
            <w:vAlign w:val="center"/>
          </w:tcPr>
          <w:p w14:paraId="7810C237" w14:textId="77777777" w:rsidR="008B7E19" w:rsidRPr="00BC1030" w:rsidRDefault="008B7E19" w:rsidP="008B7E19">
            <w:pPr>
              <w:pStyle w:val="08-Tabelageral"/>
              <w:keepLines w:val="0"/>
              <w:cnfStyle w:val="000000000000" w:firstRow="0" w:lastRow="0" w:firstColumn="0" w:lastColumn="0" w:oddVBand="0" w:evenVBand="0" w:oddHBand="0" w:evenHBand="0" w:firstRowFirstColumn="0" w:firstRowLastColumn="0" w:lastRowFirstColumn="0" w:lastRowLastColumn="0"/>
            </w:pPr>
            <w:r>
              <w:rPr>
                <w:lang w:eastAsia="en-US"/>
              </w:rPr>
              <w:t xml:space="preserve">   3,683,356</w:t>
            </w:r>
          </w:p>
        </w:tc>
        <w:tc>
          <w:tcPr>
            <w:tcW w:w="1902" w:type="dxa"/>
            <w:tcBorders>
              <w:top w:val="nil"/>
              <w:bottom w:val="nil"/>
            </w:tcBorders>
            <w:shd w:val="clear" w:color="auto" w:fill="auto"/>
            <w:vAlign w:val="center"/>
          </w:tcPr>
          <w:p w14:paraId="35F7BF87" w14:textId="77777777" w:rsidR="008B7E19" w:rsidRPr="00BC1030" w:rsidRDefault="008B7E19" w:rsidP="008B7E19">
            <w:pPr>
              <w:pStyle w:val="08-Tabelageral"/>
              <w:keepLines w:val="0"/>
              <w:cnfStyle w:val="000000000000" w:firstRow="0" w:lastRow="0" w:firstColumn="0" w:lastColumn="0" w:oddVBand="0" w:evenVBand="0" w:oddHBand="0" w:evenHBand="0" w:firstRowFirstColumn="0" w:firstRowLastColumn="0" w:lastRowFirstColumn="0" w:lastRowLastColumn="0"/>
            </w:pPr>
            <w:r>
              <w:rPr>
                <w:lang w:eastAsia="en-US"/>
              </w:rPr>
              <w:t>--</w:t>
            </w:r>
          </w:p>
        </w:tc>
      </w:tr>
      <w:tr w:rsidR="008B7E19" w:rsidRPr="00BC1030" w14:paraId="7781A836" w14:textId="77777777" w:rsidTr="008B7E19">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2835" w:type="dxa"/>
            <w:gridSpan w:val="2"/>
            <w:tcBorders>
              <w:top w:val="nil"/>
              <w:bottom w:val="nil"/>
            </w:tcBorders>
            <w:shd w:val="clear" w:color="auto" w:fill="auto"/>
            <w:vAlign w:val="center"/>
          </w:tcPr>
          <w:p w14:paraId="255745EF" w14:textId="77777777" w:rsidR="008B7E19" w:rsidRPr="00F73A24" w:rsidRDefault="008B7E19" w:rsidP="008B7E19">
            <w:pPr>
              <w:pStyle w:val="08-Tabelageral"/>
              <w:keepLines w:val="0"/>
              <w:jc w:val="left"/>
              <w:rPr>
                <w:b w:val="0"/>
              </w:rPr>
            </w:pPr>
          </w:p>
        </w:tc>
        <w:tc>
          <w:tcPr>
            <w:tcW w:w="993" w:type="dxa"/>
            <w:tcBorders>
              <w:top w:val="nil"/>
              <w:bottom w:val="nil"/>
            </w:tcBorders>
            <w:shd w:val="clear" w:color="auto" w:fill="auto"/>
            <w:vAlign w:val="center"/>
          </w:tcPr>
          <w:p w14:paraId="2022AA48" w14:textId="77777777" w:rsidR="008B7E19" w:rsidRPr="00BC1030" w:rsidRDefault="008B7E19" w:rsidP="008B7E19">
            <w:pPr>
              <w:pStyle w:val="08-Tabelageral"/>
              <w:keepLines w:val="0"/>
              <w:jc w:val="center"/>
              <w:cnfStyle w:val="000000100000" w:firstRow="0" w:lastRow="0" w:firstColumn="0" w:lastColumn="0" w:oddVBand="0" w:evenVBand="0" w:oddHBand="1" w:evenHBand="0" w:firstRowFirstColumn="0" w:firstRowLastColumn="0" w:lastRowFirstColumn="0" w:lastRowLastColumn="0"/>
            </w:pPr>
          </w:p>
        </w:tc>
        <w:tc>
          <w:tcPr>
            <w:tcW w:w="1275" w:type="dxa"/>
            <w:tcBorders>
              <w:top w:val="nil"/>
              <w:bottom w:val="nil"/>
            </w:tcBorders>
            <w:shd w:val="clear" w:color="auto" w:fill="auto"/>
          </w:tcPr>
          <w:p w14:paraId="6CEB586E" w14:textId="77777777" w:rsidR="008B7E19" w:rsidRPr="00BC1030" w:rsidRDefault="008B7E19" w:rsidP="008B7E19">
            <w:pPr>
              <w:pStyle w:val="08-Tabelageral"/>
              <w:keepLines w:val="0"/>
              <w:cnfStyle w:val="000000100000" w:firstRow="0" w:lastRow="0" w:firstColumn="0" w:lastColumn="0" w:oddVBand="0" w:evenVBand="0" w:oddHBand="1" w:evenHBand="0" w:firstRowFirstColumn="0" w:firstRowLastColumn="0" w:lastRowFirstColumn="0" w:lastRowLastColumn="0"/>
            </w:pPr>
          </w:p>
        </w:tc>
        <w:tc>
          <w:tcPr>
            <w:tcW w:w="1418" w:type="dxa"/>
            <w:tcBorders>
              <w:top w:val="nil"/>
              <w:bottom w:val="nil"/>
            </w:tcBorders>
            <w:shd w:val="clear" w:color="auto" w:fill="auto"/>
          </w:tcPr>
          <w:p w14:paraId="1BAC70B8" w14:textId="77777777" w:rsidR="008B7E19" w:rsidRPr="00BC1030" w:rsidRDefault="008B7E19" w:rsidP="008B7E19">
            <w:pPr>
              <w:pStyle w:val="08-Tabelageral"/>
              <w:keepLines w:val="0"/>
              <w:cnfStyle w:val="000000100000" w:firstRow="0" w:lastRow="0" w:firstColumn="0" w:lastColumn="0" w:oddVBand="0" w:evenVBand="0" w:oddHBand="1" w:evenHBand="0" w:firstRowFirstColumn="0" w:firstRowLastColumn="0" w:lastRowFirstColumn="0" w:lastRowLastColumn="0"/>
            </w:pPr>
          </w:p>
        </w:tc>
        <w:tc>
          <w:tcPr>
            <w:tcW w:w="283" w:type="dxa"/>
            <w:tcBorders>
              <w:top w:val="nil"/>
              <w:bottom w:val="nil"/>
            </w:tcBorders>
            <w:shd w:val="clear" w:color="auto" w:fill="auto"/>
            <w:vAlign w:val="center"/>
          </w:tcPr>
          <w:p w14:paraId="416D06F4" w14:textId="77777777" w:rsidR="008B7E19" w:rsidRPr="00BC1030" w:rsidRDefault="008B7E19" w:rsidP="008B7E19">
            <w:pPr>
              <w:pStyle w:val="08-Tabelageral"/>
              <w:keepLines w:val="0"/>
              <w:cnfStyle w:val="000000100000" w:firstRow="0" w:lastRow="0" w:firstColumn="0" w:lastColumn="0" w:oddVBand="0" w:evenVBand="0" w:oddHBand="1" w:evenHBand="0" w:firstRowFirstColumn="0" w:firstRowLastColumn="0" w:lastRowFirstColumn="0" w:lastRowLastColumn="0"/>
            </w:pPr>
          </w:p>
        </w:tc>
        <w:tc>
          <w:tcPr>
            <w:tcW w:w="1134" w:type="dxa"/>
            <w:tcBorders>
              <w:top w:val="nil"/>
              <w:bottom w:val="nil"/>
            </w:tcBorders>
            <w:shd w:val="clear" w:color="auto" w:fill="auto"/>
            <w:vAlign w:val="center"/>
          </w:tcPr>
          <w:p w14:paraId="0EB09CC1" w14:textId="77777777" w:rsidR="008B7E19" w:rsidRPr="00BC1030" w:rsidRDefault="008B7E19" w:rsidP="008B7E19">
            <w:pPr>
              <w:pStyle w:val="08-Tabelageral"/>
              <w:keepLines w:val="0"/>
              <w:cnfStyle w:val="000000100000" w:firstRow="0" w:lastRow="0" w:firstColumn="0" w:lastColumn="0" w:oddVBand="0" w:evenVBand="0" w:oddHBand="1" w:evenHBand="0" w:firstRowFirstColumn="0" w:firstRowLastColumn="0" w:lastRowFirstColumn="0" w:lastRowLastColumn="0"/>
            </w:pPr>
          </w:p>
        </w:tc>
        <w:tc>
          <w:tcPr>
            <w:tcW w:w="1902" w:type="dxa"/>
            <w:tcBorders>
              <w:top w:val="nil"/>
              <w:bottom w:val="nil"/>
            </w:tcBorders>
            <w:shd w:val="clear" w:color="auto" w:fill="auto"/>
            <w:vAlign w:val="center"/>
          </w:tcPr>
          <w:p w14:paraId="287A50FC" w14:textId="77777777" w:rsidR="008B7E19" w:rsidRPr="00BC1030" w:rsidRDefault="008B7E19" w:rsidP="008B7E19">
            <w:pPr>
              <w:pStyle w:val="08-Tabelageral"/>
              <w:keepLines w:val="0"/>
              <w:cnfStyle w:val="000000100000" w:firstRow="0" w:lastRow="0" w:firstColumn="0" w:lastColumn="0" w:oddVBand="0" w:evenVBand="0" w:oddHBand="1" w:evenHBand="0" w:firstRowFirstColumn="0" w:firstRowLastColumn="0" w:lastRowFirstColumn="0" w:lastRowLastColumn="0"/>
            </w:pPr>
          </w:p>
        </w:tc>
      </w:tr>
      <w:tr w:rsidR="008B7E19" w:rsidRPr="00BC1030" w14:paraId="2F5A27CB" w14:textId="77777777" w:rsidTr="008B7E19">
        <w:trPr>
          <w:trHeight w:hRule="exact" w:val="238"/>
          <w:jc w:val="center"/>
        </w:trPr>
        <w:tc>
          <w:tcPr>
            <w:cnfStyle w:val="001000000000" w:firstRow="0" w:lastRow="0" w:firstColumn="1" w:lastColumn="0" w:oddVBand="0" w:evenVBand="0" w:oddHBand="0" w:evenHBand="0" w:firstRowFirstColumn="0" w:firstRowLastColumn="0" w:lastRowFirstColumn="0" w:lastRowLastColumn="0"/>
            <w:tcW w:w="2835" w:type="dxa"/>
            <w:gridSpan w:val="2"/>
            <w:tcBorders>
              <w:top w:val="nil"/>
              <w:bottom w:val="nil"/>
            </w:tcBorders>
            <w:shd w:val="clear" w:color="auto" w:fill="auto"/>
            <w:vAlign w:val="center"/>
          </w:tcPr>
          <w:p w14:paraId="441F298F" w14:textId="77777777" w:rsidR="008B7E19" w:rsidRPr="00F73A24" w:rsidRDefault="008B7E19" w:rsidP="008B7E19">
            <w:pPr>
              <w:pStyle w:val="08-Tabelageral"/>
              <w:keepLines w:val="0"/>
              <w:jc w:val="left"/>
              <w:rPr>
                <w:b w:val="0"/>
              </w:rPr>
            </w:pPr>
            <w:r w:rsidRPr="00F73A24">
              <w:rPr>
                <w:b w:val="0"/>
              </w:rPr>
              <w:t>LIABILLITIES</w:t>
            </w:r>
          </w:p>
        </w:tc>
        <w:tc>
          <w:tcPr>
            <w:tcW w:w="993" w:type="dxa"/>
            <w:tcBorders>
              <w:top w:val="nil"/>
              <w:bottom w:val="nil"/>
            </w:tcBorders>
            <w:shd w:val="clear" w:color="auto" w:fill="auto"/>
            <w:vAlign w:val="center"/>
          </w:tcPr>
          <w:p w14:paraId="7A8A3C38" w14:textId="77777777" w:rsidR="008B7E19" w:rsidRPr="00BC1030" w:rsidRDefault="008B7E19" w:rsidP="008B7E19">
            <w:pPr>
              <w:pStyle w:val="08-Tabelageral"/>
              <w:keepLines w:val="0"/>
              <w:jc w:val="center"/>
              <w:cnfStyle w:val="000000000000" w:firstRow="0" w:lastRow="0" w:firstColumn="0" w:lastColumn="0" w:oddVBand="0" w:evenVBand="0" w:oddHBand="0" w:evenHBand="0" w:firstRowFirstColumn="0" w:firstRowLastColumn="0" w:lastRowFirstColumn="0" w:lastRowLastColumn="0"/>
            </w:pPr>
          </w:p>
        </w:tc>
        <w:tc>
          <w:tcPr>
            <w:tcW w:w="1275" w:type="dxa"/>
            <w:tcBorders>
              <w:top w:val="nil"/>
              <w:bottom w:val="nil"/>
            </w:tcBorders>
            <w:shd w:val="clear" w:color="auto" w:fill="auto"/>
          </w:tcPr>
          <w:p w14:paraId="2435386A" w14:textId="77777777" w:rsidR="008B7E19" w:rsidRPr="00BC1030" w:rsidRDefault="008B7E19" w:rsidP="008B7E19">
            <w:pPr>
              <w:pStyle w:val="08-Tabelageral"/>
              <w:keepLines w:val="0"/>
              <w:cnfStyle w:val="000000000000" w:firstRow="0" w:lastRow="0" w:firstColumn="0" w:lastColumn="0" w:oddVBand="0" w:evenVBand="0" w:oddHBand="0" w:evenHBand="0" w:firstRowFirstColumn="0" w:firstRowLastColumn="0" w:lastRowFirstColumn="0" w:lastRowLastColumn="0"/>
            </w:pPr>
          </w:p>
        </w:tc>
        <w:tc>
          <w:tcPr>
            <w:tcW w:w="1418" w:type="dxa"/>
            <w:tcBorders>
              <w:top w:val="nil"/>
              <w:bottom w:val="nil"/>
            </w:tcBorders>
            <w:shd w:val="clear" w:color="auto" w:fill="auto"/>
          </w:tcPr>
          <w:p w14:paraId="28C20EF4" w14:textId="77777777" w:rsidR="008B7E19" w:rsidRPr="00BC1030" w:rsidRDefault="008B7E19" w:rsidP="008B7E19">
            <w:pPr>
              <w:pStyle w:val="08-Tabelageral"/>
              <w:keepLines w:val="0"/>
              <w:cnfStyle w:val="000000000000" w:firstRow="0" w:lastRow="0" w:firstColumn="0" w:lastColumn="0" w:oddVBand="0" w:evenVBand="0" w:oddHBand="0" w:evenHBand="0" w:firstRowFirstColumn="0" w:firstRowLastColumn="0" w:lastRowFirstColumn="0" w:lastRowLastColumn="0"/>
            </w:pPr>
          </w:p>
        </w:tc>
        <w:tc>
          <w:tcPr>
            <w:tcW w:w="283" w:type="dxa"/>
            <w:tcBorders>
              <w:top w:val="nil"/>
              <w:bottom w:val="nil"/>
            </w:tcBorders>
            <w:shd w:val="clear" w:color="auto" w:fill="auto"/>
            <w:vAlign w:val="center"/>
          </w:tcPr>
          <w:p w14:paraId="37C47551" w14:textId="77777777" w:rsidR="008B7E19" w:rsidRPr="00BC1030" w:rsidRDefault="008B7E19" w:rsidP="008B7E19">
            <w:pPr>
              <w:pStyle w:val="08-Tabelageral"/>
              <w:keepLines w:val="0"/>
              <w:cnfStyle w:val="000000000000" w:firstRow="0" w:lastRow="0" w:firstColumn="0" w:lastColumn="0" w:oddVBand="0" w:evenVBand="0" w:oddHBand="0" w:evenHBand="0" w:firstRowFirstColumn="0" w:firstRowLastColumn="0" w:lastRowFirstColumn="0" w:lastRowLastColumn="0"/>
            </w:pPr>
          </w:p>
        </w:tc>
        <w:tc>
          <w:tcPr>
            <w:tcW w:w="1134" w:type="dxa"/>
            <w:tcBorders>
              <w:top w:val="nil"/>
              <w:bottom w:val="nil"/>
            </w:tcBorders>
            <w:shd w:val="clear" w:color="auto" w:fill="auto"/>
            <w:vAlign w:val="center"/>
          </w:tcPr>
          <w:p w14:paraId="06D573A1" w14:textId="77777777" w:rsidR="008B7E19" w:rsidRPr="00BC1030" w:rsidRDefault="008B7E19" w:rsidP="008B7E19">
            <w:pPr>
              <w:pStyle w:val="08-Tabelageral"/>
              <w:keepLines w:val="0"/>
              <w:cnfStyle w:val="000000000000" w:firstRow="0" w:lastRow="0" w:firstColumn="0" w:lastColumn="0" w:oddVBand="0" w:evenVBand="0" w:oddHBand="0" w:evenHBand="0" w:firstRowFirstColumn="0" w:firstRowLastColumn="0" w:lastRowFirstColumn="0" w:lastRowLastColumn="0"/>
            </w:pPr>
          </w:p>
        </w:tc>
        <w:tc>
          <w:tcPr>
            <w:tcW w:w="1902" w:type="dxa"/>
            <w:tcBorders>
              <w:top w:val="nil"/>
              <w:bottom w:val="nil"/>
            </w:tcBorders>
            <w:shd w:val="clear" w:color="auto" w:fill="auto"/>
            <w:vAlign w:val="center"/>
          </w:tcPr>
          <w:p w14:paraId="45C19ABD" w14:textId="77777777" w:rsidR="008B7E19" w:rsidRPr="00BC1030" w:rsidRDefault="008B7E19" w:rsidP="008B7E19">
            <w:pPr>
              <w:pStyle w:val="08-Tabelageral"/>
              <w:keepLines w:val="0"/>
              <w:cnfStyle w:val="000000000000" w:firstRow="0" w:lastRow="0" w:firstColumn="0" w:lastColumn="0" w:oddVBand="0" w:evenVBand="0" w:oddHBand="0" w:evenHBand="0" w:firstRowFirstColumn="0" w:firstRowLastColumn="0" w:lastRowFirstColumn="0" w:lastRowLastColumn="0"/>
            </w:pPr>
          </w:p>
        </w:tc>
      </w:tr>
      <w:tr w:rsidR="008B7E19" w:rsidRPr="00BC1030" w14:paraId="5D324420" w14:textId="77777777" w:rsidTr="008B7E19">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2835" w:type="dxa"/>
            <w:gridSpan w:val="2"/>
            <w:tcBorders>
              <w:top w:val="nil"/>
              <w:bottom w:val="nil"/>
            </w:tcBorders>
            <w:shd w:val="clear" w:color="auto" w:fill="auto"/>
            <w:vAlign w:val="center"/>
          </w:tcPr>
          <w:p w14:paraId="30B55623" w14:textId="77777777" w:rsidR="008B7E19" w:rsidRPr="00F73A24" w:rsidRDefault="008B7E19" w:rsidP="008B7E19">
            <w:pPr>
              <w:pStyle w:val="08-Tabelageral"/>
              <w:keepLines w:val="0"/>
              <w:jc w:val="left"/>
              <w:rPr>
                <w:b w:val="0"/>
              </w:rPr>
            </w:pPr>
            <w:r w:rsidRPr="00F73A24">
              <w:rPr>
                <w:b w:val="0"/>
              </w:rPr>
              <w:t>Corporate and Statutory Obligations</w:t>
            </w:r>
          </w:p>
          <w:p w14:paraId="37B649D1" w14:textId="77777777" w:rsidR="008B7E19" w:rsidRPr="00F73A24" w:rsidRDefault="008B7E19" w:rsidP="008B7E19">
            <w:pPr>
              <w:pStyle w:val="08-Tabelageral"/>
              <w:keepLines w:val="0"/>
              <w:jc w:val="left"/>
              <w:rPr>
                <w:b w:val="0"/>
              </w:rPr>
            </w:pPr>
          </w:p>
        </w:tc>
        <w:tc>
          <w:tcPr>
            <w:tcW w:w="993" w:type="dxa"/>
            <w:tcBorders>
              <w:top w:val="nil"/>
              <w:bottom w:val="nil"/>
            </w:tcBorders>
            <w:shd w:val="clear" w:color="auto" w:fill="auto"/>
            <w:vAlign w:val="center"/>
          </w:tcPr>
          <w:p w14:paraId="673AAD3E" w14:textId="77777777" w:rsidR="008B7E19" w:rsidRPr="00BC1030" w:rsidRDefault="008B7E19" w:rsidP="008B7E19">
            <w:pPr>
              <w:pStyle w:val="08-Tabelageral"/>
              <w:keepLines w:val="0"/>
              <w:jc w:val="center"/>
              <w:cnfStyle w:val="000000100000" w:firstRow="0" w:lastRow="0" w:firstColumn="0" w:lastColumn="0" w:oddVBand="0" w:evenVBand="0" w:oddHBand="1" w:evenHBand="0" w:firstRowFirstColumn="0" w:firstRowLastColumn="0" w:lastRowFirstColumn="0" w:lastRowLastColumn="0"/>
            </w:pPr>
            <w:r w:rsidRPr="00BC1030">
              <w:t>[21]</w:t>
            </w:r>
          </w:p>
        </w:tc>
        <w:tc>
          <w:tcPr>
            <w:tcW w:w="1275" w:type="dxa"/>
            <w:tcBorders>
              <w:top w:val="nil"/>
              <w:bottom w:val="nil"/>
            </w:tcBorders>
            <w:shd w:val="clear" w:color="auto" w:fill="auto"/>
          </w:tcPr>
          <w:p w14:paraId="511506F4" w14:textId="77777777" w:rsidR="008B7E19" w:rsidRPr="00BC1030" w:rsidRDefault="008B7E19" w:rsidP="008B7E19">
            <w:pPr>
              <w:pStyle w:val="08-Tabelageral"/>
              <w:keepLines w:val="0"/>
              <w:cnfStyle w:val="000000100000" w:firstRow="0" w:lastRow="0" w:firstColumn="0" w:lastColumn="0" w:oddVBand="0" w:evenVBand="0" w:oddHBand="1" w:evenHBand="0" w:firstRowFirstColumn="0" w:firstRowLastColumn="0" w:lastRowFirstColumn="0" w:lastRowLastColumn="0"/>
            </w:pPr>
            <w:r w:rsidRPr="00EF7C3E">
              <w:t>3</w:t>
            </w:r>
            <w:r>
              <w:t>,</w:t>
            </w:r>
            <w:r w:rsidRPr="00EF7C3E">
              <w:t>210</w:t>
            </w:r>
            <w:r>
              <w:t>,</w:t>
            </w:r>
            <w:r w:rsidRPr="00EF7C3E">
              <w:t>299</w:t>
            </w:r>
          </w:p>
        </w:tc>
        <w:tc>
          <w:tcPr>
            <w:tcW w:w="1418" w:type="dxa"/>
            <w:tcBorders>
              <w:top w:val="nil"/>
              <w:bottom w:val="nil"/>
            </w:tcBorders>
            <w:shd w:val="clear" w:color="auto" w:fill="auto"/>
          </w:tcPr>
          <w:p w14:paraId="2EB899E8" w14:textId="77777777" w:rsidR="008B7E19" w:rsidRPr="00BC1030" w:rsidRDefault="008B7E19" w:rsidP="008B7E19">
            <w:pPr>
              <w:pStyle w:val="08-Tabelageral"/>
              <w:keepLines w:val="0"/>
              <w:cnfStyle w:val="000000100000" w:firstRow="0" w:lastRow="0" w:firstColumn="0" w:lastColumn="0" w:oddVBand="0" w:evenVBand="0" w:oddHBand="1" w:evenHBand="0" w:firstRowFirstColumn="0" w:firstRowLastColumn="0" w:lastRowFirstColumn="0" w:lastRowLastColumn="0"/>
            </w:pPr>
            <w:r w:rsidRPr="00EF7C3E">
              <w:t>--</w:t>
            </w:r>
          </w:p>
        </w:tc>
        <w:tc>
          <w:tcPr>
            <w:tcW w:w="283" w:type="dxa"/>
            <w:tcBorders>
              <w:top w:val="nil"/>
              <w:bottom w:val="nil"/>
            </w:tcBorders>
            <w:shd w:val="clear" w:color="auto" w:fill="auto"/>
            <w:vAlign w:val="center"/>
          </w:tcPr>
          <w:p w14:paraId="7AF515E5" w14:textId="77777777" w:rsidR="008B7E19" w:rsidRPr="00BC1030" w:rsidRDefault="008B7E19" w:rsidP="008B7E19">
            <w:pPr>
              <w:pStyle w:val="08-Tabelageral"/>
              <w:keepLines w:val="0"/>
              <w:cnfStyle w:val="000000100000" w:firstRow="0" w:lastRow="0" w:firstColumn="0" w:lastColumn="0" w:oddVBand="0" w:evenVBand="0" w:oddHBand="1" w:evenHBand="0" w:firstRowFirstColumn="0" w:firstRowLastColumn="0" w:lastRowFirstColumn="0" w:lastRowLastColumn="0"/>
            </w:pPr>
          </w:p>
        </w:tc>
        <w:tc>
          <w:tcPr>
            <w:tcW w:w="1134" w:type="dxa"/>
            <w:tcBorders>
              <w:top w:val="nil"/>
              <w:bottom w:val="nil"/>
            </w:tcBorders>
            <w:shd w:val="clear" w:color="auto" w:fill="auto"/>
            <w:vAlign w:val="center"/>
          </w:tcPr>
          <w:p w14:paraId="2755F05F" w14:textId="77777777" w:rsidR="008B7E19" w:rsidRPr="00BC1030" w:rsidRDefault="008B7E19" w:rsidP="008B7E19">
            <w:pPr>
              <w:pStyle w:val="08-Tabelageral"/>
              <w:keepLines w:val="0"/>
              <w:cnfStyle w:val="000000100000" w:firstRow="0" w:lastRow="0" w:firstColumn="0" w:lastColumn="0" w:oddVBand="0" w:evenVBand="0" w:oddHBand="1" w:evenHBand="0" w:firstRowFirstColumn="0" w:firstRowLastColumn="0" w:lastRowFirstColumn="0" w:lastRowLastColumn="0"/>
            </w:pPr>
            <w:r>
              <w:rPr>
                <w:rFonts w:cs="Arial"/>
                <w:szCs w:val="14"/>
                <w:lang w:eastAsia="en-US"/>
              </w:rPr>
              <w:t>3,674,027</w:t>
            </w:r>
          </w:p>
        </w:tc>
        <w:tc>
          <w:tcPr>
            <w:tcW w:w="1902" w:type="dxa"/>
            <w:tcBorders>
              <w:top w:val="nil"/>
              <w:bottom w:val="nil"/>
            </w:tcBorders>
            <w:shd w:val="clear" w:color="auto" w:fill="auto"/>
            <w:vAlign w:val="center"/>
          </w:tcPr>
          <w:p w14:paraId="26F341DB" w14:textId="77777777" w:rsidR="008B7E19" w:rsidRPr="00BC1030" w:rsidRDefault="008B7E19" w:rsidP="008B7E19">
            <w:pPr>
              <w:pStyle w:val="08-Tabelageral"/>
              <w:keepLines w:val="0"/>
              <w:cnfStyle w:val="000000100000" w:firstRow="0" w:lastRow="0" w:firstColumn="0" w:lastColumn="0" w:oddVBand="0" w:evenVBand="0" w:oddHBand="1" w:evenHBand="0" w:firstRowFirstColumn="0" w:firstRowLastColumn="0" w:lastRowFirstColumn="0" w:lastRowLastColumn="0"/>
            </w:pPr>
            <w:r>
              <w:rPr>
                <w:lang w:eastAsia="en-US"/>
              </w:rPr>
              <w:t>--</w:t>
            </w:r>
          </w:p>
        </w:tc>
      </w:tr>
      <w:tr w:rsidR="008B7E19" w:rsidRPr="00BC1030" w14:paraId="1087321A" w14:textId="77777777" w:rsidTr="008B7E19">
        <w:trPr>
          <w:trHeight w:hRule="exact" w:val="238"/>
          <w:jc w:val="center"/>
        </w:trPr>
        <w:tc>
          <w:tcPr>
            <w:cnfStyle w:val="001000000000" w:firstRow="0" w:lastRow="0" w:firstColumn="1" w:lastColumn="0" w:oddVBand="0" w:evenVBand="0" w:oddHBand="0" w:evenHBand="0" w:firstRowFirstColumn="0" w:firstRowLastColumn="0" w:lastRowFirstColumn="0" w:lastRowLastColumn="0"/>
            <w:tcW w:w="2835" w:type="dxa"/>
            <w:gridSpan w:val="2"/>
            <w:tcBorders>
              <w:top w:val="nil"/>
              <w:bottom w:val="nil"/>
            </w:tcBorders>
            <w:shd w:val="clear" w:color="auto" w:fill="auto"/>
            <w:vAlign w:val="center"/>
          </w:tcPr>
          <w:p w14:paraId="6C6C6A19" w14:textId="77777777" w:rsidR="008B7E19" w:rsidRPr="00F73A24" w:rsidRDefault="008B7E19" w:rsidP="008B7E19">
            <w:pPr>
              <w:pStyle w:val="08-Tabelageral"/>
              <w:keepLines w:val="0"/>
              <w:jc w:val="left"/>
              <w:rPr>
                <w:b w:val="0"/>
              </w:rPr>
            </w:pPr>
            <w:r w:rsidRPr="00F73A24">
              <w:rPr>
                <w:b w:val="0"/>
              </w:rPr>
              <w:t>Current tax liabilities</w:t>
            </w:r>
          </w:p>
        </w:tc>
        <w:tc>
          <w:tcPr>
            <w:tcW w:w="993" w:type="dxa"/>
            <w:tcBorders>
              <w:top w:val="nil"/>
              <w:bottom w:val="nil"/>
            </w:tcBorders>
            <w:shd w:val="clear" w:color="auto" w:fill="auto"/>
            <w:vAlign w:val="center"/>
          </w:tcPr>
          <w:p w14:paraId="162F1F32" w14:textId="77777777" w:rsidR="008B7E19" w:rsidRPr="00BC1030" w:rsidRDefault="008B7E19" w:rsidP="008B7E19">
            <w:pPr>
              <w:pStyle w:val="08-Tabelageral"/>
              <w:keepLines w:val="0"/>
              <w:jc w:val="center"/>
              <w:cnfStyle w:val="000000000000" w:firstRow="0" w:lastRow="0" w:firstColumn="0" w:lastColumn="0" w:oddVBand="0" w:evenVBand="0" w:oddHBand="0" w:evenHBand="0" w:firstRowFirstColumn="0" w:firstRowLastColumn="0" w:lastRowFirstColumn="0" w:lastRowLastColumn="0"/>
            </w:pPr>
            <w:r w:rsidRPr="00BC1030">
              <w:t>[12.g]</w:t>
            </w:r>
          </w:p>
        </w:tc>
        <w:tc>
          <w:tcPr>
            <w:tcW w:w="1275" w:type="dxa"/>
            <w:tcBorders>
              <w:top w:val="nil"/>
              <w:bottom w:val="nil"/>
            </w:tcBorders>
            <w:shd w:val="clear" w:color="auto" w:fill="auto"/>
          </w:tcPr>
          <w:p w14:paraId="28CC7A09" w14:textId="77777777" w:rsidR="008B7E19" w:rsidRPr="00BC1030" w:rsidRDefault="008B7E19" w:rsidP="008B7E19">
            <w:pPr>
              <w:pStyle w:val="08-Tabelageral"/>
              <w:keepLines w:val="0"/>
              <w:cnfStyle w:val="000000000000" w:firstRow="0" w:lastRow="0" w:firstColumn="0" w:lastColumn="0" w:oddVBand="0" w:evenVBand="0" w:oddHBand="0" w:evenHBand="0" w:firstRowFirstColumn="0" w:firstRowLastColumn="0" w:lastRowFirstColumn="0" w:lastRowLastColumn="0"/>
            </w:pPr>
            <w:r w:rsidRPr="00EF7C3E">
              <w:t>37</w:t>
            </w:r>
          </w:p>
        </w:tc>
        <w:tc>
          <w:tcPr>
            <w:tcW w:w="1418" w:type="dxa"/>
            <w:tcBorders>
              <w:top w:val="nil"/>
              <w:bottom w:val="nil"/>
            </w:tcBorders>
            <w:shd w:val="clear" w:color="auto" w:fill="auto"/>
          </w:tcPr>
          <w:p w14:paraId="47727FF0" w14:textId="77777777" w:rsidR="008B7E19" w:rsidRPr="00BC1030" w:rsidRDefault="008B7E19" w:rsidP="008B7E19">
            <w:pPr>
              <w:pStyle w:val="08-Tabelageral"/>
              <w:keepLines w:val="0"/>
              <w:cnfStyle w:val="000000000000" w:firstRow="0" w:lastRow="0" w:firstColumn="0" w:lastColumn="0" w:oddVBand="0" w:evenVBand="0" w:oddHBand="0" w:evenHBand="0" w:firstRowFirstColumn="0" w:firstRowLastColumn="0" w:lastRowFirstColumn="0" w:lastRowLastColumn="0"/>
            </w:pPr>
            <w:r w:rsidRPr="00EF7C3E">
              <w:t>--</w:t>
            </w:r>
          </w:p>
        </w:tc>
        <w:tc>
          <w:tcPr>
            <w:tcW w:w="283" w:type="dxa"/>
            <w:tcBorders>
              <w:top w:val="nil"/>
              <w:bottom w:val="nil"/>
            </w:tcBorders>
            <w:shd w:val="clear" w:color="auto" w:fill="auto"/>
            <w:vAlign w:val="center"/>
          </w:tcPr>
          <w:p w14:paraId="0EA2FDC5" w14:textId="77777777" w:rsidR="008B7E19" w:rsidRPr="00BC1030" w:rsidRDefault="008B7E19" w:rsidP="008B7E19">
            <w:pPr>
              <w:pStyle w:val="08-Tabelageral"/>
              <w:keepLines w:val="0"/>
              <w:cnfStyle w:val="000000000000" w:firstRow="0" w:lastRow="0" w:firstColumn="0" w:lastColumn="0" w:oddVBand="0" w:evenVBand="0" w:oddHBand="0" w:evenHBand="0" w:firstRowFirstColumn="0" w:firstRowLastColumn="0" w:lastRowFirstColumn="0" w:lastRowLastColumn="0"/>
            </w:pPr>
          </w:p>
        </w:tc>
        <w:tc>
          <w:tcPr>
            <w:tcW w:w="1134" w:type="dxa"/>
            <w:tcBorders>
              <w:top w:val="nil"/>
              <w:bottom w:val="nil"/>
            </w:tcBorders>
            <w:shd w:val="clear" w:color="auto" w:fill="auto"/>
            <w:vAlign w:val="center"/>
          </w:tcPr>
          <w:p w14:paraId="1DEE3168" w14:textId="77777777" w:rsidR="008B7E19" w:rsidRPr="00BC1030" w:rsidRDefault="008B7E19" w:rsidP="008B7E19">
            <w:pPr>
              <w:pStyle w:val="08-Tabelageral"/>
              <w:keepLines w:val="0"/>
              <w:cnfStyle w:val="000000000000" w:firstRow="0" w:lastRow="0" w:firstColumn="0" w:lastColumn="0" w:oddVBand="0" w:evenVBand="0" w:oddHBand="0" w:evenHBand="0" w:firstRowFirstColumn="0" w:firstRowLastColumn="0" w:lastRowFirstColumn="0" w:lastRowLastColumn="0"/>
            </w:pPr>
            <w:r>
              <w:rPr>
                <w:rFonts w:cs="Arial"/>
                <w:szCs w:val="14"/>
                <w:lang w:eastAsia="en-US"/>
              </w:rPr>
              <w:t>31</w:t>
            </w:r>
          </w:p>
        </w:tc>
        <w:tc>
          <w:tcPr>
            <w:tcW w:w="1902" w:type="dxa"/>
            <w:tcBorders>
              <w:top w:val="nil"/>
              <w:bottom w:val="nil"/>
            </w:tcBorders>
            <w:shd w:val="clear" w:color="auto" w:fill="auto"/>
            <w:vAlign w:val="center"/>
          </w:tcPr>
          <w:p w14:paraId="55EA1728" w14:textId="77777777" w:rsidR="008B7E19" w:rsidRPr="00BC1030" w:rsidRDefault="008B7E19" w:rsidP="008B7E19">
            <w:pPr>
              <w:pStyle w:val="08-Tabelageral"/>
              <w:keepLines w:val="0"/>
              <w:cnfStyle w:val="000000000000" w:firstRow="0" w:lastRow="0" w:firstColumn="0" w:lastColumn="0" w:oddVBand="0" w:evenVBand="0" w:oddHBand="0" w:evenHBand="0" w:firstRowFirstColumn="0" w:firstRowLastColumn="0" w:lastRowFirstColumn="0" w:lastRowLastColumn="0"/>
            </w:pPr>
            <w:r>
              <w:rPr>
                <w:lang w:eastAsia="en-US"/>
              </w:rPr>
              <w:t>--</w:t>
            </w:r>
          </w:p>
        </w:tc>
      </w:tr>
      <w:tr w:rsidR="008B7E19" w:rsidRPr="00BC1030" w14:paraId="2BE6CFFA" w14:textId="77777777" w:rsidTr="008B7E19">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2835" w:type="dxa"/>
            <w:gridSpan w:val="2"/>
            <w:tcBorders>
              <w:top w:val="nil"/>
              <w:bottom w:val="single" w:sz="2" w:space="0" w:color="1F4E79" w:themeColor="accent1" w:themeShade="80"/>
            </w:tcBorders>
            <w:shd w:val="clear" w:color="auto" w:fill="auto"/>
            <w:vAlign w:val="center"/>
          </w:tcPr>
          <w:p w14:paraId="2D99B762" w14:textId="77777777" w:rsidR="008B7E19" w:rsidRPr="00F73A24" w:rsidRDefault="008B7E19" w:rsidP="008B7E19">
            <w:pPr>
              <w:pStyle w:val="08-Tabelageral"/>
              <w:keepLines w:val="0"/>
              <w:jc w:val="left"/>
              <w:rPr>
                <w:b w:val="0"/>
              </w:rPr>
            </w:pPr>
            <w:r w:rsidRPr="00F73A24">
              <w:rPr>
                <w:b w:val="0"/>
              </w:rPr>
              <w:t>Other liabilities</w:t>
            </w:r>
          </w:p>
        </w:tc>
        <w:tc>
          <w:tcPr>
            <w:tcW w:w="993" w:type="dxa"/>
            <w:tcBorders>
              <w:top w:val="nil"/>
              <w:bottom w:val="single" w:sz="2" w:space="0" w:color="1F4E79" w:themeColor="accent1" w:themeShade="80"/>
            </w:tcBorders>
            <w:shd w:val="clear" w:color="auto" w:fill="auto"/>
            <w:vAlign w:val="center"/>
          </w:tcPr>
          <w:p w14:paraId="7D1CFD52" w14:textId="77777777" w:rsidR="008B7E19" w:rsidRPr="00BC1030" w:rsidRDefault="008B7E19" w:rsidP="008B7E19">
            <w:pPr>
              <w:pStyle w:val="08-Tabelageral"/>
              <w:keepLines w:val="0"/>
              <w:jc w:val="center"/>
              <w:cnfStyle w:val="000000100000" w:firstRow="0" w:lastRow="0" w:firstColumn="0" w:lastColumn="0" w:oddVBand="0" w:evenVBand="0" w:oddHBand="1" w:evenHBand="0" w:firstRowFirstColumn="0" w:firstRowLastColumn="0" w:lastRowFirstColumn="0" w:lastRowLastColumn="0"/>
            </w:pPr>
            <w:r w:rsidRPr="00BC1030">
              <w:t>[24]</w:t>
            </w:r>
          </w:p>
        </w:tc>
        <w:tc>
          <w:tcPr>
            <w:tcW w:w="1275" w:type="dxa"/>
            <w:tcBorders>
              <w:top w:val="nil"/>
              <w:bottom w:val="single" w:sz="2" w:space="0" w:color="1F4E79" w:themeColor="accent1" w:themeShade="80"/>
            </w:tcBorders>
            <w:shd w:val="clear" w:color="auto" w:fill="auto"/>
          </w:tcPr>
          <w:p w14:paraId="5C2F2102" w14:textId="77777777" w:rsidR="008B7E19" w:rsidRPr="00BC1030" w:rsidRDefault="008B7E19" w:rsidP="008B7E19">
            <w:pPr>
              <w:pStyle w:val="08-Tabelageral"/>
              <w:keepLines w:val="0"/>
              <w:cnfStyle w:val="000000100000" w:firstRow="0" w:lastRow="0" w:firstColumn="0" w:lastColumn="0" w:oddVBand="0" w:evenVBand="0" w:oddHBand="1" w:evenHBand="0" w:firstRowFirstColumn="0" w:firstRowLastColumn="0" w:lastRowFirstColumn="0" w:lastRowLastColumn="0"/>
            </w:pPr>
            <w:r w:rsidRPr="00EF7C3E">
              <w:t>10</w:t>
            </w:r>
            <w:r>
              <w:t>,</w:t>
            </w:r>
            <w:r w:rsidRPr="00EF7C3E">
              <w:t>505</w:t>
            </w:r>
          </w:p>
        </w:tc>
        <w:tc>
          <w:tcPr>
            <w:tcW w:w="1418" w:type="dxa"/>
            <w:tcBorders>
              <w:top w:val="nil"/>
              <w:bottom w:val="single" w:sz="2" w:space="0" w:color="1F4E79" w:themeColor="accent1" w:themeShade="80"/>
            </w:tcBorders>
            <w:shd w:val="clear" w:color="auto" w:fill="auto"/>
          </w:tcPr>
          <w:p w14:paraId="17122B10" w14:textId="77777777" w:rsidR="008B7E19" w:rsidRPr="00BC1030" w:rsidRDefault="008B7E19" w:rsidP="008B7E19">
            <w:pPr>
              <w:pStyle w:val="08-Tabelageral"/>
              <w:keepLines w:val="0"/>
              <w:cnfStyle w:val="000000100000" w:firstRow="0" w:lastRow="0" w:firstColumn="0" w:lastColumn="0" w:oddVBand="0" w:evenVBand="0" w:oddHBand="1" w:evenHBand="0" w:firstRowFirstColumn="0" w:firstRowLastColumn="0" w:lastRowFirstColumn="0" w:lastRowLastColumn="0"/>
            </w:pPr>
            <w:r w:rsidRPr="00EF7C3E">
              <w:t>--</w:t>
            </w:r>
          </w:p>
        </w:tc>
        <w:tc>
          <w:tcPr>
            <w:tcW w:w="283" w:type="dxa"/>
            <w:tcBorders>
              <w:top w:val="nil"/>
              <w:bottom w:val="single" w:sz="2" w:space="0" w:color="1F4E79" w:themeColor="accent1" w:themeShade="80"/>
            </w:tcBorders>
            <w:shd w:val="clear" w:color="auto" w:fill="auto"/>
            <w:vAlign w:val="center"/>
          </w:tcPr>
          <w:p w14:paraId="2F0AB66B" w14:textId="77777777" w:rsidR="008B7E19" w:rsidRPr="00BC1030" w:rsidRDefault="008B7E19" w:rsidP="008B7E19">
            <w:pPr>
              <w:pStyle w:val="08-Tabelageral"/>
              <w:keepLines w:val="0"/>
              <w:cnfStyle w:val="000000100000" w:firstRow="0" w:lastRow="0" w:firstColumn="0" w:lastColumn="0" w:oddVBand="0" w:evenVBand="0" w:oddHBand="1" w:evenHBand="0" w:firstRowFirstColumn="0" w:firstRowLastColumn="0" w:lastRowFirstColumn="0" w:lastRowLastColumn="0"/>
            </w:pPr>
          </w:p>
        </w:tc>
        <w:tc>
          <w:tcPr>
            <w:tcW w:w="1134" w:type="dxa"/>
            <w:tcBorders>
              <w:top w:val="nil"/>
              <w:bottom w:val="single" w:sz="2" w:space="0" w:color="1F4E79" w:themeColor="accent1" w:themeShade="80"/>
            </w:tcBorders>
            <w:shd w:val="clear" w:color="auto" w:fill="auto"/>
            <w:vAlign w:val="center"/>
          </w:tcPr>
          <w:p w14:paraId="4904E3CA" w14:textId="77777777" w:rsidR="008B7E19" w:rsidRPr="00BC1030" w:rsidRDefault="008B7E19" w:rsidP="008B7E19">
            <w:pPr>
              <w:pStyle w:val="08-Tabelageral"/>
              <w:keepLines w:val="0"/>
              <w:cnfStyle w:val="000000100000" w:firstRow="0" w:lastRow="0" w:firstColumn="0" w:lastColumn="0" w:oddVBand="0" w:evenVBand="0" w:oddHBand="1" w:evenHBand="0" w:firstRowFirstColumn="0" w:firstRowLastColumn="0" w:lastRowFirstColumn="0" w:lastRowLastColumn="0"/>
            </w:pPr>
            <w:r>
              <w:rPr>
                <w:rFonts w:cs="Arial"/>
                <w:szCs w:val="14"/>
                <w:lang w:eastAsia="en-US"/>
              </w:rPr>
              <w:t>12,184</w:t>
            </w:r>
          </w:p>
        </w:tc>
        <w:tc>
          <w:tcPr>
            <w:tcW w:w="1902" w:type="dxa"/>
            <w:tcBorders>
              <w:top w:val="nil"/>
              <w:bottom w:val="single" w:sz="2" w:space="0" w:color="1F4E79" w:themeColor="accent1" w:themeShade="80"/>
            </w:tcBorders>
            <w:shd w:val="clear" w:color="auto" w:fill="auto"/>
            <w:vAlign w:val="center"/>
          </w:tcPr>
          <w:p w14:paraId="5BA389B5" w14:textId="77777777" w:rsidR="008B7E19" w:rsidRPr="00BC1030" w:rsidRDefault="008B7E19" w:rsidP="008B7E19">
            <w:pPr>
              <w:pStyle w:val="08-Tabelageral"/>
              <w:keepLines w:val="0"/>
              <w:cnfStyle w:val="000000100000" w:firstRow="0" w:lastRow="0" w:firstColumn="0" w:lastColumn="0" w:oddVBand="0" w:evenVBand="0" w:oddHBand="1" w:evenHBand="0" w:firstRowFirstColumn="0" w:firstRowLastColumn="0" w:lastRowFirstColumn="0" w:lastRowLastColumn="0"/>
            </w:pPr>
            <w:r>
              <w:rPr>
                <w:lang w:eastAsia="en-US"/>
              </w:rPr>
              <w:t>--</w:t>
            </w:r>
          </w:p>
        </w:tc>
      </w:tr>
    </w:tbl>
    <w:p w14:paraId="50C580E3" w14:textId="77777777" w:rsidR="008B7E19" w:rsidRPr="00993FCA" w:rsidRDefault="008B7E19" w:rsidP="008B7E19">
      <w:pPr>
        <w:pStyle w:val="05-Textonormal"/>
      </w:pPr>
    </w:p>
    <w:p w14:paraId="43EE60DA" w14:textId="77777777" w:rsidR="008B7E19" w:rsidRPr="00993FCA" w:rsidRDefault="008B7E19" w:rsidP="008B7E19">
      <w:pPr>
        <w:pStyle w:val="06-Rmil"/>
        <w:rPr>
          <w:lang w:val="en-US"/>
        </w:rPr>
      </w:pPr>
      <w:r w:rsidRPr="00993FCA">
        <w:rPr>
          <w:lang w:val="en-US"/>
        </w:rPr>
        <w:t>R$ thousand</w:t>
      </w:r>
    </w:p>
    <w:tbl>
      <w:tblPr>
        <w:tblStyle w:val="TabeladeLista6Colorida-nfase5"/>
        <w:tblW w:w="9639" w:type="dxa"/>
        <w:jc w:val="center"/>
        <w:tblLayout w:type="fixed"/>
        <w:tblLook w:val="04A0" w:firstRow="1" w:lastRow="0" w:firstColumn="1" w:lastColumn="0" w:noHBand="0" w:noVBand="1"/>
      </w:tblPr>
      <w:tblGrid>
        <w:gridCol w:w="2074"/>
        <w:gridCol w:w="761"/>
        <w:gridCol w:w="993"/>
        <w:gridCol w:w="1559"/>
        <w:gridCol w:w="1417"/>
        <w:gridCol w:w="284"/>
        <w:gridCol w:w="1134"/>
        <w:gridCol w:w="1417"/>
      </w:tblGrid>
      <w:tr w:rsidR="008B7E19" w:rsidRPr="00BC1030" w14:paraId="35EEAA05" w14:textId="77777777" w:rsidTr="008B7E19">
        <w:trPr>
          <w:cnfStyle w:val="100000000000" w:firstRow="1" w:lastRow="0" w:firstColumn="0" w:lastColumn="0" w:oddVBand="0" w:evenVBand="0" w:oddHBand="0"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2074" w:type="dxa"/>
            <w:tcBorders>
              <w:top w:val="single" w:sz="2" w:space="0" w:color="1F4E79" w:themeColor="accent1" w:themeShade="80"/>
              <w:bottom w:val="single" w:sz="2" w:space="0" w:color="1F4E79" w:themeColor="accent1" w:themeShade="80"/>
            </w:tcBorders>
            <w:shd w:val="clear" w:color="auto" w:fill="auto"/>
            <w:vAlign w:val="center"/>
          </w:tcPr>
          <w:p w14:paraId="2B06639D" w14:textId="77777777" w:rsidR="008B7E19" w:rsidRPr="00BC1030" w:rsidRDefault="008B7E19" w:rsidP="008B7E19">
            <w:pPr>
              <w:keepNext/>
              <w:jc w:val="center"/>
              <w:rPr>
                <w:rFonts w:cs="Arial"/>
                <w:color w:val="auto"/>
                <w:sz w:val="14"/>
                <w:szCs w:val="14"/>
              </w:rPr>
            </w:pPr>
          </w:p>
        </w:tc>
        <w:tc>
          <w:tcPr>
            <w:tcW w:w="7565" w:type="dxa"/>
            <w:gridSpan w:val="7"/>
            <w:tcBorders>
              <w:top w:val="single" w:sz="2" w:space="0" w:color="1F4E79" w:themeColor="accent1" w:themeShade="80"/>
              <w:bottom w:val="single" w:sz="2" w:space="0" w:color="1F4E79" w:themeColor="accent1" w:themeShade="80"/>
            </w:tcBorders>
            <w:shd w:val="clear" w:color="auto" w:fill="auto"/>
            <w:vAlign w:val="center"/>
          </w:tcPr>
          <w:p w14:paraId="2F283E66" w14:textId="77777777" w:rsidR="008B7E19" w:rsidRPr="00BC1030" w:rsidRDefault="008B7E19" w:rsidP="008B7E19">
            <w:pPr>
              <w:keepNext/>
              <w:jc w:val="center"/>
              <w:cnfStyle w:val="100000000000" w:firstRow="1" w:lastRow="0" w:firstColumn="0" w:lastColumn="0" w:oddVBand="0" w:evenVBand="0" w:oddHBand="0" w:evenHBand="0" w:firstRowFirstColumn="0" w:firstRowLastColumn="0" w:lastRowFirstColumn="0" w:lastRowLastColumn="0"/>
              <w:rPr>
                <w:rFonts w:cs="Arial"/>
                <w:color w:val="auto"/>
                <w:sz w:val="14"/>
                <w:szCs w:val="14"/>
              </w:rPr>
            </w:pPr>
            <w:r w:rsidRPr="00BC1030">
              <w:rPr>
                <w:rFonts w:cs="Arial"/>
                <w:color w:val="auto"/>
                <w:sz w:val="14"/>
                <w:szCs w:val="14"/>
              </w:rPr>
              <w:t>Consolidated</w:t>
            </w:r>
          </w:p>
        </w:tc>
      </w:tr>
      <w:tr w:rsidR="008B7E19" w:rsidRPr="00BC1030" w14:paraId="4A9198AB" w14:textId="77777777" w:rsidTr="008B7E19">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2835" w:type="dxa"/>
            <w:gridSpan w:val="2"/>
            <w:vMerge w:val="restart"/>
            <w:tcBorders>
              <w:top w:val="single" w:sz="2" w:space="0" w:color="1F4E79" w:themeColor="accent1" w:themeShade="80"/>
              <w:bottom w:val="single" w:sz="2" w:space="0" w:color="1F4E79" w:themeColor="accent1" w:themeShade="80"/>
            </w:tcBorders>
            <w:shd w:val="clear" w:color="auto" w:fill="auto"/>
            <w:vAlign w:val="center"/>
          </w:tcPr>
          <w:p w14:paraId="1FFD48ED" w14:textId="77777777" w:rsidR="008B7E19" w:rsidRPr="00BC1030" w:rsidRDefault="008B7E19" w:rsidP="008B7E19">
            <w:pPr>
              <w:keepNext/>
              <w:rPr>
                <w:rFonts w:cs="Arial"/>
                <w:color w:val="auto"/>
                <w:sz w:val="14"/>
                <w:szCs w:val="14"/>
              </w:rPr>
            </w:pPr>
            <w:r w:rsidRPr="00BC1030">
              <w:rPr>
                <w:rFonts w:cs="Arial"/>
                <w:color w:val="auto"/>
                <w:sz w:val="14"/>
                <w:szCs w:val="14"/>
              </w:rPr>
              <w:t>Liquidity Risk</w:t>
            </w:r>
          </w:p>
        </w:tc>
        <w:tc>
          <w:tcPr>
            <w:tcW w:w="993" w:type="dxa"/>
            <w:tcBorders>
              <w:top w:val="single" w:sz="2" w:space="0" w:color="1F4E79" w:themeColor="accent1" w:themeShade="80"/>
              <w:bottom w:val="nil"/>
            </w:tcBorders>
            <w:shd w:val="clear" w:color="auto" w:fill="auto"/>
            <w:vAlign w:val="center"/>
          </w:tcPr>
          <w:p w14:paraId="52E36E09" w14:textId="77777777" w:rsidR="008B7E19" w:rsidRPr="00017A4B" w:rsidRDefault="008B7E19" w:rsidP="008B7E19">
            <w:pPr>
              <w:keepNext/>
              <w:jc w:val="center"/>
              <w:cnfStyle w:val="000000100000" w:firstRow="0" w:lastRow="0" w:firstColumn="0" w:lastColumn="0" w:oddVBand="0" w:evenVBand="0" w:oddHBand="1" w:evenHBand="0" w:firstRowFirstColumn="0" w:firstRowLastColumn="0" w:lastRowFirstColumn="0" w:lastRowLastColumn="0"/>
              <w:rPr>
                <w:rFonts w:cs="Arial"/>
                <w:b/>
                <w:bCs/>
                <w:color w:val="auto"/>
                <w:sz w:val="14"/>
                <w:szCs w:val="14"/>
              </w:rPr>
            </w:pPr>
          </w:p>
        </w:tc>
        <w:tc>
          <w:tcPr>
            <w:tcW w:w="2976" w:type="dxa"/>
            <w:gridSpan w:val="2"/>
            <w:tcBorders>
              <w:top w:val="single" w:sz="2" w:space="0" w:color="1F4E79" w:themeColor="accent1" w:themeShade="80"/>
              <w:bottom w:val="single" w:sz="2" w:space="0" w:color="1F4E79" w:themeColor="accent1" w:themeShade="80"/>
            </w:tcBorders>
            <w:shd w:val="clear" w:color="auto" w:fill="auto"/>
            <w:vAlign w:val="center"/>
          </w:tcPr>
          <w:p w14:paraId="7A01231C" w14:textId="77777777" w:rsidR="008B7E19" w:rsidRPr="00BC1030" w:rsidRDefault="008B7E19" w:rsidP="008B7E19">
            <w:pPr>
              <w:keepNext/>
              <w:jc w:val="center"/>
              <w:cnfStyle w:val="000000100000" w:firstRow="0" w:lastRow="0" w:firstColumn="0" w:lastColumn="0" w:oddVBand="0" w:evenVBand="0" w:oddHBand="1" w:evenHBand="0" w:firstRowFirstColumn="0" w:firstRowLastColumn="0" w:lastRowFirstColumn="0" w:lastRowLastColumn="0"/>
              <w:rPr>
                <w:rFonts w:cs="Arial"/>
                <w:b/>
                <w:sz w:val="14"/>
                <w:szCs w:val="18"/>
              </w:rPr>
            </w:pPr>
            <w:r w:rsidRPr="008605D0">
              <w:rPr>
                <w:rFonts w:cs="Arial"/>
                <w:b/>
                <w:sz w:val="14"/>
                <w:szCs w:val="18"/>
              </w:rPr>
              <w:t>June 30, 2023</w:t>
            </w:r>
          </w:p>
        </w:tc>
        <w:tc>
          <w:tcPr>
            <w:tcW w:w="284" w:type="dxa"/>
            <w:tcBorders>
              <w:top w:val="single" w:sz="2" w:space="0" w:color="1F4E79" w:themeColor="accent1" w:themeShade="80"/>
              <w:bottom w:val="nil"/>
            </w:tcBorders>
            <w:shd w:val="clear" w:color="auto" w:fill="auto"/>
            <w:vAlign w:val="center"/>
          </w:tcPr>
          <w:p w14:paraId="18ACF331" w14:textId="77777777" w:rsidR="008B7E19" w:rsidRPr="00BC1030" w:rsidRDefault="008B7E19" w:rsidP="008B7E19">
            <w:pPr>
              <w:keepNext/>
              <w:jc w:val="center"/>
              <w:cnfStyle w:val="000000100000" w:firstRow="0" w:lastRow="0" w:firstColumn="0" w:lastColumn="0" w:oddVBand="0" w:evenVBand="0" w:oddHBand="1" w:evenHBand="0" w:firstRowFirstColumn="0" w:firstRowLastColumn="0" w:lastRowFirstColumn="0" w:lastRowLastColumn="0"/>
              <w:rPr>
                <w:rFonts w:cs="Arial"/>
                <w:b/>
                <w:sz w:val="14"/>
                <w:szCs w:val="18"/>
              </w:rPr>
            </w:pPr>
          </w:p>
        </w:tc>
        <w:tc>
          <w:tcPr>
            <w:tcW w:w="2551" w:type="dxa"/>
            <w:gridSpan w:val="2"/>
            <w:tcBorders>
              <w:top w:val="single" w:sz="2" w:space="0" w:color="1F4E79" w:themeColor="accent1" w:themeShade="80"/>
              <w:bottom w:val="single" w:sz="2" w:space="0" w:color="1F4E79" w:themeColor="accent1" w:themeShade="80"/>
            </w:tcBorders>
            <w:shd w:val="clear" w:color="auto" w:fill="auto"/>
            <w:vAlign w:val="center"/>
          </w:tcPr>
          <w:p w14:paraId="3DFA68C1" w14:textId="77777777" w:rsidR="008B7E19" w:rsidRPr="00BC1030" w:rsidRDefault="008B7E19" w:rsidP="008B7E19">
            <w:pPr>
              <w:keepNext/>
              <w:jc w:val="center"/>
              <w:cnfStyle w:val="000000100000" w:firstRow="0" w:lastRow="0" w:firstColumn="0" w:lastColumn="0" w:oddVBand="0" w:evenVBand="0" w:oddHBand="1" w:evenHBand="0" w:firstRowFirstColumn="0" w:firstRowLastColumn="0" w:lastRowFirstColumn="0" w:lastRowLastColumn="0"/>
              <w:rPr>
                <w:rFonts w:cs="Arial"/>
                <w:b/>
                <w:sz w:val="14"/>
                <w:szCs w:val="18"/>
              </w:rPr>
            </w:pPr>
            <w:r w:rsidRPr="00BC1030">
              <w:rPr>
                <w:rFonts w:cs="Arial"/>
                <w:b/>
                <w:sz w:val="14"/>
                <w:szCs w:val="18"/>
              </w:rPr>
              <w:t>Dec 31, 202</w:t>
            </w:r>
            <w:r>
              <w:rPr>
                <w:rFonts w:cs="Arial"/>
                <w:b/>
                <w:sz w:val="14"/>
                <w:szCs w:val="18"/>
              </w:rPr>
              <w:t>2</w:t>
            </w:r>
          </w:p>
        </w:tc>
      </w:tr>
      <w:tr w:rsidR="008B7E19" w:rsidRPr="00BC1030" w14:paraId="251347F8" w14:textId="77777777" w:rsidTr="008B7E19">
        <w:trPr>
          <w:trHeight w:hRule="exact" w:val="238"/>
          <w:jc w:val="center"/>
        </w:trPr>
        <w:tc>
          <w:tcPr>
            <w:cnfStyle w:val="001000000000" w:firstRow="0" w:lastRow="0" w:firstColumn="1" w:lastColumn="0" w:oddVBand="0" w:evenVBand="0" w:oddHBand="0" w:evenHBand="0" w:firstRowFirstColumn="0" w:firstRowLastColumn="0" w:lastRowFirstColumn="0" w:lastRowLastColumn="0"/>
            <w:tcW w:w="2835" w:type="dxa"/>
            <w:gridSpan w:val="2"/>
            <w:vMerge/>
            <w:tcBorders>
              <w:top w:val="single" w:sz="2" w:space="0" w:color="1F4E79" w:themeColor="accent1" w:themeShade="80"/>
              <w:bottom w:val="single" w:sz="2" w:space="0" w:color="1F4E79" w:themeColor="accent1" w:themeShade="80"/>
            </w:tcBorders>
            <w:shd w:val="clear" w:color="auto" w:fill="auto"/>
          </w:tcPr>
          <w:p w14:paraId="4E9AA8D1" w14:textId="77777777" w:rsidR="008B7E19" w:rsidRPr="00BC1030" w:rsidRDefault="008B7E19" w:rsidP="008B7E19">
            <w:pPr>
              <w:pStyle w:val="08-Tabelageral"/>
              <w:keepLines w:val="0"/>
              <w:jc w:val="left"/>
              <w:rPr>
                <w:rFonts w:cs="Arial"/>
                <w:b w:val="0"/>
                <w:color w:val="auto"/>
                <w:szCs w:val="14"/>
              </w:rPr>
            </w:pPr>
          </w:p>
        </w:tc>
        <w:tc>
          <w:tcPr>
            <w:tcW w:w="993" w:type="dxa"/>
            <w:tcBorders>
              <w:top w:val="nil"/>
              <w:bottom w:val="single" w:sz="2" w:space="0" w:color="1F4E79" w:themeColor="accent1" w:themeShade="80"/>
            </w:tcBorders>
            <w:shd w:val="clear" w:color="auto" w:fill="auto"/>
            <w:vAlign w:val="center"/>
          </w:tcPr>
          <w:p w14:paraId="1E4B4BD2" w14:textId="77777777" w:rsidR="008B7E19" w:rsidRPr="00017A4B" w:rsidRDefault="008B7E19" w:rsidP="008B7E19">
            <w:pPr>
              <w:keepNext/>
              <w:jc w:val="center"/>
              <w:cnfStyle w:val="000000000000" w:firstRow="0" w:lastRow="0" w:firstColumn="0" w:lastColumn="0" w:oddVBand="0" w:evenVBand="0" w:oddHBand="0" w:evenHBand="0" w:firstRowFirstColumn="0" w:firstRowLastColumn="0" w:lastRowFirstColumn="0" w:lastRowLastColumn="0"/>
              <w:rPr>
                <w:rFonts w:cs="Arial"/>
                <w:b/>
                <w:bCs/>
                <w:color w:val="auto"/>
                <w:sz w:val="14"/>
                <w:szCs w:val="14"/>
              </w:rPr>
            </w:pPr>
            <w:r w:rsidRPr="00017A4B">
              <w:rPr>
                <w:rFonts w:cs="Arial"/>
                <w:b/>
                <w:bCs/>
                <w:color w:val="auto"/>
                <w:sz w:val="14"/>
                <w:szCs w:val="14"/>
              </w:rPr>
              <w:t>Note</w:t>
            </w:r>
          </w:p>
        </w:tc>
        <w:tc>
          <w:tcPr>
            <w:tcW w:w="1559" w:type="dxa"/>
            <w:tcBorders>
              <w:top w:val="single" w:sz="2" w:space="0" w:color="1F4E79" w:themeColor="accent1" w:themeShade="80"/>
              <w:bottom w:val="single" w:sz="2" w:space="0" w:color="1F4E79" w:themeColor="accent1" w:themeShade="80"/>
            </w:tcBorders>
            <w:shd w:val="clear" w:color="auto" w:fill="auto"/>
            <w:vAlign w:val="center"/>
          </w:tcPr>
          <w:p w14:paraId="49A86E5C" w14:textId="77777777" w:rsidR="008B7E19" w:rsidRPr="00BC1030" w:rsidRDefault="008B7E19" w:rsidP="008B7E19">
            <w:pPr>
              <w:keepNext/>
              <w:jc w:val="right"/>
              <w:cnfStyle w:val="000000000000" w:firstRow="0" w:lastRow="0" w:firstColumn="0" w:lastColumn="0" w:oddVBand="0" w:evenVBand="0" w:oddHBand="0" w:evenHBand="0" w:firstRowFirstColumn="0" w:firstRowLastColumn="0" w:lastRowFirstColumn="0" w:lastRowLastColumn="0"/>
              <w:rPr>
                <w:rFonts w:cs="Arial"/>
                <w:b/>
                <w:sz w:val="14"/>
                <w:szCs w:val="18"/>
              </w:rPr>
            </w:pPr>
            <w:r w:rsidRPr="00BC1030">
              <w:rPr>
                <w:rFonts w:cs="Arial"/>
                <w:b/>
                <w:sz w:val="14"/>
                <w:szCs w:val="18"/>
              </w:rPr>
              <w:t>Up to 1 year</w:t>
            </w:r>
          </w:p>
        </w:tc>
        <w:tc>
          <w:tcPr>
            <w:tcW w:w="1417" w:type="dxa"/>
            <w:tcBorders>
              <w:top w:val="single" w:sz="2" w:space="0" w:color="1F4E79" w:themeColor="accent1" w:themeShade="80"/>
              <w:bottom w:val="single" w:sz="2" w:space="0" w:color="1F4E79" w:themeColor="accent1" w:themeShade="80"/>
            </w:tcBorders>
            <w:shd w:val="clear" w:color="auto" w:fill="auto"/>
            <w:vAlign w:val="center"/>
          </w:tcPr>
          <w:p w14:paraId="5D9EACAA" w14:textId="77777777" w:rsidR="008B7E19" w:rsidRPr="00BC1030" w:rsidRDefault="008B7E19" w:rsidP="008B7E19">
            <w:pPr>
              <w:keepNext/>
              <w:jc w:val="right"/>
              <w:cnfStyle w:val="000000000000" w:firstRow="0" w:lastRow="0" w:firstColumn="0" w:lastColumn="0" w:oddVBand="0" w:evenVBand="0" w:oddHBand="0" w:evenHBand="0" w:firstRowFirstColumn="0" w:firstRowLastColumn="0" w:lastRowFirstColumn="0" w:lastRowLastColumn="0"/>
              <w:rPr>
                <w:rFonts w:cs="Arial"/>
                <w:b/>
                <w:sz w:val="14"/>
                <w:szCs w:val="18"/>
              </w:rPr>
            </w:pPr>
            <w:r w:rsidRPr="00BC1030">
              <w:rPr>
                <w:rFonts w:cs="Arial"/>
                <w:b/>
                <w:sz w:val="14"/>
                <w:szCs w:val="18"/>
              </w:rPr>
              <w:t>More than 1</w:t>
            </w:r>
            <w:r>
              <w:rPr>
                <w:rFonts w:cs="Arial"/>
                <w:b/>
                <w:sz w:val="14"/>
                <w:szCs w:val="18"/>
              </w:rPr>
              <w:t xml:space="preserve"> </w:t>
            </w:r>
            <w:r w:rsidRPr="00BC1030">
              <w:rPr>
                <w:rFonts w:cs="Arial"/>
                <w:b/>
                <w:sz w:val="14"/>
                <w:szCs w:val="18"/>
              </w:rPr>
              <w:t>year</w:t>
            </w:r>
          </w:p>
        </w:tc>
        <w:tc>
          <w:tcPr>
            <w:tcW w:w="284" w:type="dxa"/>
            <w:tcBorders>
              <w:top w:val="nil"/>
              <w:bottom w:val="single" w:sz="2" w:space="0" w:color="1F4E79" w:themeColor="accent1" w:themeShade="80"/>
            </w:tcBorders>
            <w:shd w:val="clear" w:color="auto" w:fill="auto"/>
            <w:vAlign w:val="center"/>
          </w:tcPr>
          <w:p w14:paraId="2B52EF85" w14:textId="77777777" w:rsidR="008B7E19" w:rsidRPr="00BC1030" w:rsidRDefault="008B7E19" w:rsidP="008B7E19">
            <w:pPr>
              <w:keepNext/>
              <w:jc w:val="right"/>
              <w:cnfStyle w:val="000000000000" w:firstRow="0" w:lastRow="0" w:firstColumn="0" w:lastColumn="0" w:oddVBand="0" w:evenVBand="0" w:oddHBand="0" w:evenHBand="0" w:firstRowFirstColumn="0" w:firstRowLastColumn="0" w:lastRowFirstColumn="0" w:lastRowLastColumn="0"/>
              <w:rPr>
                <w:rFonts w:cs="Arial"/>
                <w:b/>
                <w:sz w:val="14"/>
                <w:szCs w:val="18"/>
              </w:rPr>
            </w:pPr>
          </w:p>
        </w:tc>
        <w:tc>
          <w:tcPr>
            <w:tcW w:w="1134" w:type="dxa"/>
            <w:tcBorders>
              <w:top w:val="single" w:sz="2" w:space="0" w:color="1F4E79" w:themeColor="accent1" w:themeShade="80"/>
              <w:bottom w:val="single" w:sz="2" w:space="0" w:color="1F4E79" w:themeColor="accent1" w:themeShade="80"/>
            </w:tcBorders>
            <w:shd w:val="clear" w:color="auto" w:fill="auto"/>
            <w:vAlign w:val="center"/>
          </w:tcPr>
          <w:p w14:paraId="27BB7B2A" w14:textId="77777777" w:rsidR="008B7E19" w:rsidRPr="00BC1030" w:rsidRDefault="008B7E19" w:rsidP="008B7E19">
            <w:pPr>
              <w:keepNext/>
              <w:jc w:val="right"/>
              <w:cnfStyle w:val="000000000000" w:firstRow="0" w:lastRow="0" w:firstColumn="0" w:lastColumn="0" w:oddVBand="0" w:evenVBand="0" w:oddHBand="0" w:evenHBand="0" w:firstRowFirstColumn="0" w:firstRowLastColumn="0" w:lastRowFirstColumn="0" w:lastRowLastColumn="0"/>
              <w:rPr>
                <w:rFonts w:cs="Arial"/>
                <w:b/>
                <w:sz w:val="14"/>
                <w:szCs w:val="18"/>
              </w:rPr>
            </w:pPr>
            <w:r w:rsidRPr="00BC1030">
              <w:rPr>
                <w:rFonts w:cs="Arial"/>
                <w:b/>
                <w:sz w:val="14"/>
                <w:szCs w:val="18"/>
              </w:rPr>
              <w:t>Up to 1 year</w:t>
            </w:r>
          </w:p>
        </w:tc>
        <w:tc>
          <w:tcPr>
            <w:tcW w:w="1417" w:type="dxa"/>
            <w:tcBorders>
              <w:top w:val="single" w:sz="2" w:space="0" w:color="1F4E79" w:themeColor="accent1" w:themeShade="80"/>
              <w:bottom w:val="single" w:sz="2" w:space="0" w:color="1F4E79" w:themeColor="accent1" w:themeShade="80"/>
            </w:tcBorders>
            <w:shd w:val="clear" w:color="auto" w:fill="auto"/>
            <w:vAlign w:val="center"/>
          </w:tcPr>
          <w:p w14:paraId="5E70B66C" w14:textId="77777777" w:rsidR="008B7E19" w:rsidRPr="00BC1030" w:rsidRDefault="008B7E19" w:rsidP="008B7E19">
            <w:pPr>
              <w:keepNext/>
              <w:jc w:val="right"/>
              <w:cnfStyle w:val="000000000000" w:firstRow="0" w:lastRow="0" w:firstColumn="0" w:lastColumn="0" w:oddVBand="0" w:evenVBand="0" w:oddHBand="0" w:evenHBand="0" w:firstRowFirstColumn="0" w:firstRowLastColumn="0" w:lastRowFirstColumn="0" w:lastRowLastColumn="0"/>
              <w:rPr>
                <w:rFonts w:cs="Arial"/>
                <w:b/>
                <w:sz w:val="14"/>
                <w:szCs w:val="18"/>
              </w:rPr>
            </w:pPr>
            <w:r w:rsidRPr="00BC1030">
              <w:rPr>
                <w:rFonts w:cs="Arial"/>
                <w:b/>
                <w:sz w:val="14"/>
                <w:szCs w:val="18"/>
              </w:rPr>
              <w:t>More than 1</w:t>
            </w:r>
            <w:r>
              <w:rPr>
                <w:rFonts w:cs="Arial"/>
                <w:b/>
                <w:sz w:val="14"/>
                <w:szCs w:val="18"/>
              </w:rPr>
              <w:t xml:space="preserve"> </w:t>
            </w:r>
            <w:r w:rsidRPr="00BC1030">
              <w:rPr>
                <w:rFonts w:cs="Arial"/>
                <w:b/>
                <w:sz w:val="14"/>
                <w:szCs w:val="18"/>
              </w:rPr>
              <w:t>y</w:t>
            </w:r>
            <w:r>
              <w:rPr>
                <w:rFonts w:cs="Arial"/>
                <w:b/>
                <w:sz w:val="14"/>
                <w:szCs w:val="18"/>
              </w:rPr>
              <w:t>ear</w:t>
            </w:r>
          </w:p>
        </w:tc>
      </w:tr>
      <w:tr w:rsidR="008B7E19" w:rsidRPr="00BC1030" w14:paraId="11F770A0" w14:textId="77777777" w:rsidTr="008B7E19">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2835" w:type="dxa"/>
            <w:gridSpan w:val="2"/>
            <w:tcBorders>
              <w:top w:val="single" w:sz="2" w:space="0" w:color="1F4E79" w:themeColor="accent1" w:themeShade="80"/>
              <w:bottom w:val="nil"/>
            </w:tcBorders>
            <w:shd w:val="clear" w:color="auto" w:fill="auto"/>
          </w:tcPr>
          <w:p w14:paraId="6FBCBCCC" w14:textId="77777777" w:rsidR="008B7E19" w:rsidRPr="00F73A24" w:rsidRDefault="008B7E19" w:rsidP="008B7E19">
            <w:pPr>
              <w:pStyle w:val="08-Tabelageral"/>
              <w:keepLines w:val="0"/>
              <w:jc w:val="left"/>
              <w:rPr>
                <w:b w:val="0"/>
              </w:rPr>
            </w:pPr>
            <w:r w:rsidRPr="00F73A24">
              <w:rPr>
                <w:b w:val="0"/>
              </w:rPr>
              <w:t>ASSETS</w:t>
            </w:r>
          </w:p>
        </w:tc>
        <w:tc>
          <w:tcPr>
            <w:tcW w:w="993" w:type="dxa"/>
            <w:tcBorders>
              <w:top w:val="single" w:sz="2" w:space="0" w:color="1F4E79" w:themeColor="accent1" w:themeShade="80"/>
              <w:bottom w:val="nil"/>
            </w:tcBorders>
            <w:shd w:val="clear" w:color="auto" w:fill="auto"/>
            <w:vAlign w:val="center"/>
          </w:tcPr>
          <w:p w14:paraId="36A3D7CB" w14:textId="77777777" w:rsidR="008B7E19" w:rsidRPr="00BC1030" w:rsidRDefault="008B7E19" w:rsidP="008B7E19">
            <w:pPr>
              <w:pStyle w:val="08-Tabelageral"/>
              <w:keepLines w:val="0"/>
              <w:jc w:val="center"/>
              <w:cnfStyle w:val="000000100000" w:firstRow="0" w:lastRow="0" w:firstColumn="0" w:lastColumn="0" w:oddVBand="0" w:evenVBand="0" w:oddHBand="1" w:evenHBand="0" w:firstRowFirstColumn="0" w:firstRowLastColumn="0" w:lastRowFirstColumn="0" w:lastRowLastColumn="0"/>
            </w:pPr>
          </w:p>
        </w:tc>
        <w:tc>
          <w:tcPr>
            <w:tcW w:w="1559" w:type="dxa"/>
            <w:tcBorders>
              <w:top w:val="single" w:sz="2" w:space="0" w:color="1F4E79" w:themeColor="accent1" w:themeShade="80"/>
              <w:bottom w:val="nil"/>
            </w:tcBorders>
            <w:shd w:val="clear" w:color="auto" w:fill="auto"/>
            <w:vAlign w:val="center"/>
          </w:tcPr>
          <w:p w14:paraId="469A5FFC" w14:textId="77777777" w:rsidR="008B7E19" w:rsidRPr="00BC1030" w:rsidRDefault="008B7E19" w:rsidP="008B7E19">
            <w:pPr>
              <w:pStyle w:val="08-Tabelageral"/>
              <w:keepLines w:val="0"/>
              <w:cnfStyle w:val="000000100000" w:firstRow="0" w:lastRow="0" w:firstColumn="0" w:lastColumn="0" w:oddVBand="0" w:evenVBand="0" w:oddHBand="1" w:evenHBand="0" w:firstRowFirstColumn="0" w:firstRowLastColumn="0" w:lastRowFirstColumn="0" w:lastRowLastColumn="0"/>
            </w:pPr>
          </w:p>
        </w:tc>
        <w:tc>
          <w:tcPr>
            <w:tcW w:w="1417" w:type="dxa"/>
            <w:tcBorders>
              <w:top w:val="single" w:sz="2" w:space="0" w:color="1F4E79" w:themeColor="accent1" w:themeShade="80"/>
              <w:bottom w:val="nil"/>
            </w:tcBorders>
            <w:shd w:val="clear" w:color="auto" w:fill="auto"/>
            <w:vAlign w:val="center"/>
          </w:tcPr>
          <w:p w14:paraId="2B612D33" w14:textId="77777777" w:rsidR="008B7E19" w:rsidRPr="00BC1030" w:rsidRDefault="008B7E19" w:rsidP="008B7E19">
            <w:pPr>
              <w:pStyle w:val="08-Tabelageral"/>
              <w:keepLines w:val="0"/>
              <w:cnfStyle w:val="000000100000" w:firstRow="0" w:lastRow="0" w:firstColumn="0" w:lastColumn="0" w:oddVBand="0" w:evenVBand="0" w:oddHBand="1" w:evenHBand="0" w:firstRowFirstColumn="0" w:firstRowLastColumn="0" w:lastRowFirstColumn="0" w:lastRowLastColumn="0"/>
            </w:pPr>
          </w:p>
        </w:tc>
        <w:tc>
          <w:tcPr>
            <w:tcW w:w="284" w:type="dxa"/>
            <w:tcBorders>
              <w:top w:val="single" w:sz="2" w:space="0" w:color="1F4E79" w:themeColor="accent1" w:themeShade="80"/>
              <w:bottom w:val="nil"/>
            </w:tcBorders>
            <w:shd w:val="clear" w:color="auto" w:fill="auto"/>
            <w:vAlign w:val="center"/>
          </w:tcPr>
          <w:p w14:paraId="4A0FD186" w14:textId="77777777" w:rsidR="008B7E19" w:rsidRPr="00BC1030" w:rsidRDefault="008B7E19" w:rsidP="008B7E19">
            <w:pPr>
              <w:pStyle w:val="08-Tabelageral"/>
              <w:keepLines w:val="0"/>
              <w:cnfStyle w:val="000000100000" w:firstRow="0" w:lastRow="0" w:firstColumn="0" w:lastColumn="0" w:oddVBand="0" w:evenVBand="0" w:oddHBand="1" w:evenHBand="0" w:firstRowFirstColumn="0" w:firstRowLastColumn="0" w:lastRowFirstColumn="0" w:lastRowLastColumn="0"/>
            </w:pPr>
          </w:p>
        </w:tc>
        <w:tc>
          <w:tcPr>
            <w:tcW w:w="1134" w:type="dxa"/>
            <w:tcBorders>
              <w:top w:val="single" w:sz="2" w:space="0" w:color="1F4E79" w:themeColor="accent1" w:themeShade="80"/>
              <w:bottom w:val="nil"/>
            </w:tcBorders>
            <w:shd w:val="clear" w:color="auto" w:fill="auto"/>
            <w:vAlign w:val="center"/>
          </w:tcPr>
          <w:p w14:paraId="5BE5CCE8" w14:textId="77777777" w:rsidR="008B7E19" w:rsidRPr="00BC1030" w:rsidRDefault="008B7E19" w:rsidP="008B7E19">
            <w:pPr>
              <w:pStyle w:val="08-Tabelageral"/>
              <w:keepLines w:val="0"/>
              <w:cnfStyle w:val="000000100000" w:firstRow="0" w:lastRow="0" w:firstColumn="0" w:lastColumn="0" w:oddVBand="0" w:evenVBand="0" w:oddHBand="1" w:evenHBand="0" w:firstRowFirstColumn="0" w:firstRowLastColumn="0" w:lastRowFirstColumn="0" w:lastRowLastColumn="0"/>
            </w:pPr>
          </w:p>
        </w:tc>
        <w:tc>
          <w:tcPr>
            <w:tcW w:w="1417" w:type="dxa"/>
            <w:tcBorders>
              <w:top w:val="single" w:sz="2" w:space="0" w:color="1F4E79" w:themeColor="accent1" w:themeShade="80"/>
              <w:bottom w:val="nil"/>
            </w:tcBorders>
            <w:shd w:val="clear" w:color="auto" w:fill="auto"/>
            <w:vAlign w:val="center"/>
          </w:tcPr>
          <w:p w14:paraId="19F2C836" w14:textId="77777777" w:rsidR="008B7E19" w:rsidRPr="00BC1030" w:rsidRDefault="008B7E19" w:rsidP="008B7E19">
            <w:pPr>
              <w:pStyle w:val="08-Tabelageral"/>
              <w:keepLines w:val="0"/>
              <w:cnfStyle w:val="000000100000" w:firstRow="0" w:lastRow="0" w:firstColumn="0" w:lastColumn="0" w:oddVBand="0" w:evenVBand="0" w:oddHBand="1" w:evenHBand="0" w:firstRowFirstColumn="0" w:firstRowLastColumn="0" w:lastRowFirstColumn="0" w:lastRowLastColumn="0"/>
            </w:pPr>
          </w:p>
        </w:tc>
      </w:tr>
      <w:tr w:rsidR="008B7E19" w:rsidRPr="00BC1030" w14:paraId="4B24C730" w14:textId="77777777" w:rsidTr="008B7E19">
        <w:trPr>
          <w:trHeight w:hRule="exact" w:val="238"/>
          <w:jc w:val="center"/>
        </w:trPr>
        <w:tc>
          <w:tcPr>
            <w:cnfStyle w:val="001000000000" w:firstRow="0" w:lastRow="0" w:firstColumn="1" w:lastColumn="0" w:oddVBand="0" w:evenVBand="0" w:oddHBand="0" w:evenHBand="0" w:firstRowFirstColumn="0" w:firstRowLastColumn="0" w:lastRowFirstColumn="0" w:lastRowLastColumn="0"/>
            <w:tcW w:w="2835" w:type="dxa"/>
            <w:gridSpan w:val="2"/>
            <w:tcBorders>
              <w:top w:val="nil"/>
              <w:bottom w:val="nil"/>
            </w:tcBorders>
            <w:shd w:val="clear" w:color="auto" w:fill="auto"/>
          </w:tcPr>
          <w:p w14:paraId="5CA855A8" w14:textId="77777777" w:rsidR="008B7E19" w:rsidRPr="00F73A24" w:rsidRDefault="008B7E19" w:rsidP="008B7E19">
            <w:pPr>
              <w:pStyle w:val="08-Tabelageral"/>
              <w:keepLines w:val="0"/>
              <w:jc w:val="left"/>
              <w:rPr>
                <w:b w:val="0"/>
              </w:rPr>
            </w:pPr>
            <w:r w:rsidRPr="00F73A24">
              <w:rPr>
                <w:b w:val="0"/>
              </w:rPr>
              <w:t>Cash and cash equivalents</w:t>
            </w:r>
          </w:p>
        </w:tc>
        <w:tc>
          <w:tcPr>
            <w:tcW w:w="993" w:type="dxa"/>
            <w:tcBorders>
              <w:top w:val="nil"/>
              <w:bottom w:val="nil"/>
            </w:tcBorders>
            <w:shd w:val="clear" w:color="auto" w:fill="auto"/>
            <w:vAlign w:val="center"/>
          </w:tcPr>
          <w:p w14:paraId="40EAFC53" w14:textId="77777777" w:rsidR="008B7E19" w:rsidRPr="00BC1030" w:rsidRDefault="008B7E19" w:rsidP="008B7E19">
            <w:pPr>
              <w:pStyle w:val="08-Tabelageral"/>
              <w:keepLines w:val="0"/>
              <w:jc w:val="center"/>
              <w:cnfStyle w:val="000000000000" w:firstRow="0" w:lastRow="0" w:firstColumn="0" w:lastColumn="0" w:oddVBand="0" w:evenVBand="0" w:oddHBand="0" w:evenHBand="0" w:firstRowFirstColumn="0" w:firstRowLastColumn="0" w:lastRowFirstColumn="0" w:lastRowLastColumn="0"/>
            </w:pPr>
            <w:r w:rsidRPr="00BC1030">
              <w:t>[15]</w:t>
            </w:r>
          </w:p>
        </w:tc>
        <w:tc>
          <w:tcPr>
            <w:tcW w:w="1559" w:type="dxa"/>
            <w:tcBorders>
              <w:top w:val="nil"/>
              <w:bottom w:val="nil"/>
            </w:tcBorders>
            <w:shd w:val="clear" w:color="auto" w:fill="auto"/>
          </w:tcPr>
          <w:p w14:paraId="11DEE461" w14:textId="77777777" w:rsidR="008B7E19" w:rsidRPr="00BC1030" w:rsidRDefault="008B7E19" w:rsidP="008B7E19">
            <w:pPr>
              <w:pStyle w:val="08-Tabelageral"/>
              <w:keepLines w:val="0"/>
              <w:cnfStyle w:val="000000000000" w:firstRow="0" w:lastRow="0" w:firstColumn="0" w:lastColumn="0" w:oddVBand="0" w:evenVBand="0" w:oddHBand="0" w:evenHBand="0" w:firstRowFirstColumn="0" w:firstRowLastColumn="0" w:lastRowFirstColumn="0" w:lastRowLastColumn="0"/>
            </w:pPr>
            <w:r w:rsidRPr="007A027B">
              <w:t>4</w:t>
            </w:r>
            <w:r>
              <w:t>,</w:t>
            </w:r>
            <w:r w:rsidRPr="007A027B">
              <w:t>357</w:t>
            </w:r>
            <w:r>
              <w:t>,</w:t>
            </w:r>
            <w:r w:rsidRPr="007A027B">
              <w:t>407</w:t>
            </w:r>
          </w:p>
        </w:tc>
        <w:tc>
          <w:tcPr>
            <w:tcW w:w="1417" w:type="dxa"/>
            <w:tcBorders>
              <w:top w:val="nil"/>
              <w:bottom w:val="nil"/>
            </w:tcBorders>
            <w:shd w:val="clear" w:color="auto" w:fill="auto"/>
          </w:tcPr>
          <w:p w14:paraId="2EEC2A1E" w14:textId="77777777" w:rsidR="008B7E19" w:rsidRPr="00BC1030" w:rsidRDefault="008B7E19" w:rsidP="008B7E19">
            <w:pPr>
              <w:pStyle w:val="08-Tabelageral"/>
              <w:keepLines w:val="0"/>
              <w:cnfStyle w:val="000000000000" w:firstRow="0" w:lastRow="0" w:firstColumn="0" w:lastColumn="0" w:oddVBand="0" w:evenVBand="0" w:oddHBand="0" w:evenHBand="0" w:firstRowFirstColumn="0" w:firstRowLastColumn="0" w:lastRowFirstColumn="0" w:lastRowLastColumn="0"/>
            </w:pPr>
            <w:r w:rsidRPr="007A027B">
              <w:t>--</w:t>
            </w:r>
          </w:p>
        </w:tc>
        <w:tc>
          <w:tcPr>
            <w:tcW w:w="284" w:type="dxa"/>
            <w:tcBorders>
              <w:top w:val="nil"/>
              <w:bottom w:val="nil"/>
            </w:tcBorders>
            <w:shd w:val="clear" w:color="auto" w:fill="auto"/>
            <w:vAlign w:val="center"/>
          </w:tcPr>
          <w:p w14:paraId="35188250" w14:textId="77777777" w:rsidR="008B7E19" w:rsidRPr="00BC1030" w:rsidRDefault="008B7E19" w:rsidP="008B7E19">
            <w:pPr>
              <w:pStyle w:val="08-Tabelageral"/>
              <w:keepLines w:val="0"/>
              <w:cnfStyle w:val="000000000000" w:firstRow="0" w:lastRow="0" w:firstColumn="0" w:lastColumn="0" w:oddVBand="0" w:evenVBand="0" w:oddHBand="0" w:evenHBand="0" w:firstRowFirstColumn="0" w:firstRowLastColumn="0" w:lastRowFirstColumn="0" w:lastRowLastColumn="0"/>
            </w:pPr>
          </w:p>
        </w:tc>
        <w:tc>
          <w:tcPr>
            <w:tcW w:w="1134" w:type="dxa"/>
            <w:tcBorders>
              <w:top w:val="nil"/>
              <w:bottom w:val="nil"/>
            </w:tcBorders>
            <w:shd w:val="clear" w:color="auto" w:fill="auto"/>
            <w:vAlign w:val="center"/>
          </w:tcPr>
          <w:p w14:paraId="084C007F" w14:textId="77777777" w:rsidR="008B7E19" w:rsidRPr="00BC1030" w:rsidRDefault="008B7E19" w:rsidP="008B7E19">
            <w:pPr>
              <w:pStyle w:val="08-Tabelageral"/>
              <w:keepLines w:val="0"/>
              <w:cnfStyle w:val="000000000000" w:firstRow="0" w:lastRow="0" w:firstColumn="0" w:lastColumn="0" w:oddVBand="0" w:evenVBand="0" w:oddHBand="0" w:evenHBand="0" w:firstRowFirstColumn="0" w:firstRowLastColumn="0" w:lastRowFirstColumn="0" w:lastRowLastColumn="0"/>
            </w:pPr>
            <w:r>
              <w:rPr>
                <w:rFonts w:cs="Arial"/>
                <w:szCs w:val="14"/>
                <w:lang w:eastAsia="en-US"/>
              </w:rPr>
              <w:t>6,076,618</w:t>
            </w:r>
          </w:p>
        </w:tc>
        <w:tc>
          <w:tcPr>
            <w:tcW w:w="1417" w:type="dxa"/>
            <w:tcBorders>
              <w:top w:val="nil"/>
              <w:bottom w:val="nil"/>
            </w:tcBorders>
            <w:shd w:val="clear" w:color="auto" w:fill="auto"/>
            <w:vAlign w:val="center"/>
          </w:tcPr>
          <w:p w14:paraId="66BBBBE9" w14:textId="77777777" w:rsidR="008B7E19" w:rsidRPr="00BC1030" w:rsidRDefault="008B7E19" w:rsidP="008B7E19">
            <w:pPr>
              <w:pStyle w:val="08-Tabelageral"/>
              <w:keepLines w:val="0"/>
              <w:cnfStyle w:val="000000000000" w:firstRow="0" w:lastRow="0" w:firstColumn="0" w:lastColumn="0" w:oddVBand="0" w:evenVBand="0" w:oddHBand="0" w:evenHBand="0" w:firstRowFirstColumn="0" w:firstRowLastColumn="0" w:lastRowFirstColumn="0" w:lastRowLastColumn="0"/>
            </w:pPr>
            <w:r>
              <w:rPr>
                <w:rFonts w:cs="Arial"/>
                <w:szCs w:val="14"/>
                <w:lang w:eastAsia="en-US"/>
              </w:rPr>
              <w:t>--</w:t>
            </w:r>
          </w:p>
        </w:tc>
      </w:tr>
      <w:tr w:rsidR="008B7E19" w:rsidRPr="00BC1030" w14:paraId="191C5A3E" w14:textId="77777777" w:rsidTr="008B7E19">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2835" w:type="dxa"/>
            <w:gridSpan w:val="2"/>
            <w:tcBorders>
              <w:top w:val="nil"/>
              <w:bottom w:val="nil"/>
            </w:tcBorders>
            <w:shd w:val="clear" w:color="auto" w:fill="auto"/>
          </w:tcPr>
          <w:p w14:paraId="5CFA6BB4" w14:textId="77777777" w:rsidR="008B7E19" w:rsidRPr="000B292D" w:rsidRDefault="008B7E19" w:rsidP="008B7E19">
            <w:pPr>
              <w:pStyle w:val="08-Tabelageral"/>
              <w:keepLines w:val="0"/>
              <w:jc w:val="left"/>
              <w:rPr>
                <w:b w:val="0"/>
                <w:lang w:val="en-US"/>
              </w:rPr>
            </w:pPr>
            <w:r w:rsidRPr="000B292D">
              <w:rPr>
                <w:b w:val="0"/>
                <w:lang w:val="en-US"/>
              </w:rPr>
              <w:t>Financial assets at fair value through profit</w:t>
            </w:r>
          </w:p>
        </w:tc>
        <w:tc>
          <w:tcPr>
            <w:tcW w:w="993" w:type="dxa"/>
            <w:tcBorders>
              <w:top w:val="nil"/>
              <w:bottom w:val="nil"/>
            </w:tcBorders>
            <w:shd w:val="clear" w:color="auto" w:fill="auto"/>
            <w:vAlign w:val="center"/>
          </w:tcPr>
          <w:p w14:paraId="0E02CE7B" w14:textId="77777777" w:rsidR="008B7E19" w:rsidRPr="00BC1030" w:rsidRDefault="008B7E19" w:rsidP="008B7E19">
            <w:pPr>
              <w:pStyle w:val="08-Tabelageral"/>
              <w:keepLines w:val="0"/>
              <w:jc w:val="center"/>
              <w:cnfStyle w:val="000000100000" w:firstRow="0" w:lastRow="0" w:firstColumn="0" w:lastColumn="0" w:oddVBand="0" w:evenVBand="0" w:oddHBand="1" w:evenHBand="0" w:firstRowFirstColumn="0" w:firstRowLastColumn="0" w:lastRowFirstColumn="0" w:lastRowLastColumn="0"/>
            </w:pPr>
            <w:r w:rsidRPr="00BC1030">
              <w:t>[16.a]</w:t>
            </w:r>
          </w:p>
        </w:tc>
        <w:tc>
          <w:tcPr>
            <w:tcW w:w="1559" w:type="dxa"/>
            <w:tcBorders>
              <w:top w:val="nil"/>
              <w:bottom w:val="nil"/>
            </w:tcBorders>
            <w:shd w:val="clear" w:color="auto" w:fill="auto"/>
          </w:tcPr>
          <w:p w14:paraId="1CB8025A" w14:textId="77777777" w:rsidR="008B7E19" w:rsidRPr="00BC1030" w:rsidRDefault="008B7E19" w:rsidP="008B7E19">
            <w:pPr>
              <w:pStyle w:val="08-Tabelageral"/>
              <w:keepLines w:val="0"/>
              <w:cnfStyle w:val="000000100000" w:firstRow="0" w:lastRow="0" w:firstColumn="0" w:lastColumn="0" w:oddVBand="0" w:evenVBand="0" w:oddHBand="1" w:evenHBand="0" w:firstRowFirstColumn="0" w:firstRowLastColumn="0" w:lastRowFirstColumn="0" w:lastRowLastColumn="0"/>
            </w:pPr>
            <w:r w:rsidRPr="007A027B">
              <w:t>--</w:t>
            </w:r>
          </w:p>
        </w:tc>
        <w:tc>
          <w:tcPr>
            <w:tcW w:w="1417" w:type="dxa"/>
            <w:tcBorders>
              <w:top w:val="nil"/>
              <w:bottom w:val="nil"/>
            </w:tcBorders>
            <w:shd w:val="clear" w:color="auto" w:fill="auto"/>
          </w:tcPr>
          <w:p w14:paraId="5A3EFCFA" w14:textId="77777777" w:rsidR="008B7E19" w:rsidRPr="00BC1030" w:rsidRDefault="008B7E19" w:rsidP="008B7E19">
            <w:pPr>
              <w:pStyle w:val="08-Tabelageral"/>
              <w:keepLines w:val="0"/>
              <w:cnfStyle w:val="000000100000" w:firstRow="0" w:lastRow="0" w:firstColumn="0" w:lastColumn="0" w:oddVBand="0" w:evenVBand="0" w:oddHBand="1" w:evenHBand="0" w:firstRowFirstColumn="0" w:firstRowLastColumn="0" w:lastRowFirstColumn="0" w:lastRowLastColumn="0"/>
            </w:pPr>
            <w:r w:rsidRPr="007A027B">
              <w:t>1</w:t>
            </w:r>
            <w:r>
              <w:t>,</w:t>
            </w:r>
            <w:r w:rsidRPr="007A027B">
              <w:t>401</w:t>
            </w:r>
            <w:r>
              <w:t>,</w:t>
            </w:r>
            <w:r w:rsidRPr="007A027B">
              <w:t>822</w:t>
            </w:r>
          </w:p>
        </w:tc>
        <w:tc>
          <w:tcPr>
            <w:tcW w:w="284" w:type="dxa"/>
            <w:tcBorders>
              <w:top w:val="nil"/>
              <w:bottom w:val="nil"/>
            </w:tcBorders>
            <w:shd w:val="clear" w:color="auto" w:fill="auto"/>
            <w:vAlign w:val="center"/>
          </w:tcPr>
          <w:p w14:paraId="3D7BEB32" w14:textId="77777777" w:rsidR="008B7E19" w:rsidRPr="00BC1030" w:rsidRDefault="008B7E19" w:rsidP="008B7E19">
            <w:pPr>
              <w:pStyle w:val="08-Tabelageral"/>
              <w:keepLines w:val="0"/>
              <w:cnfStyle w:val="000000100000" w:firstRow="0" w:lastRow="0" w:firstColumn="0" w:lastColumn="0" w:oddVBand="0" w:evenVBand="0" w:oddHBand="1" w:evenHBand="0" w:firstRowFirstColumn="0" w:firstRowLastColumn="0" w:lastRowFirstColumn="0" w:lastRowLastColumn="0"/>
            </w:pPr>
          </w:p>
        </w:tc>
        <w:tc>
          <w:tcPr>
            <w:tcW w:w="1134" w:type="dxa"/>
            <w:tcBorders>
              <w:top w:val="nil"/>
              <w:bottom w:val="nil"/>
            </w:tcBorders>
            <w:shd w:val="clear" w:color="auto" w:fill="auto"/>
            <w:vAlign w:val="center"/>
          </w:tcPr>
          <w:p w14:paraId="55FAB7FA" w14:textId="77777777" w:rsidR="008B7E19" w:rsidRPr="00BC1030" w:rsidRDefault="008B7E19" w:rsidP="008B7E19">
            <w:pPr>
              <w:pStyle w:val="08-Tabelageral"/>
              <w:keepLines w:val="0"/>
              <w:cnfStyle w:val="000000100000" w:firstRow="0" w:lastRow="0" w:firstColumn="0" w:lastColumn="0" w:oddVBand="0" w:evenVBand="0" w:oddHBand="1" w:evenHBand="0" w:firstRowFirstColumn="0" w:firstRowLastColumn="0" w:lastRowFirstColumn="0" w:lastRowLastColumn="0"/>
            </w:pPr>
            <w:r>
              <w:rPr>
                <w:rFonts w:cs="Arial"/>
                <w:szCs w:val="14"/>
                <w:lang w:eastAsia="en-US"/>
              </w:rPr>
              <w:t>--</w:t>
            </w:r>
          </w:p>
        </w:tc>
        <w:tc>
          <w:tcPr>
            <w:tcW w:w="1417" w:type="dxa"/>
            <w:tcBorders>
              <w:top w:val="nil"/>
              <w:bottom w:val="nil"/>
            </w:tcBorders>
            <w:shd w:val="clear" w:color="auto" w:fill="auto"/>
            <w:vAlign w:val="center"/>
          </w:tcPr>
          <w:p w14:paraId="0E70D15B" w14:textId="77777777" w:rsidR="008B7E19" w:rsidRPr="00BC1030" w:rsidRDefault="008B7E19" w:rsidP="008B7E19">
            <w:pPr>
              <w:pStyle w:val="08-Tabelageral"/>
              <w:keepLines w:val="0"/>
              <w:cnfStyle w:val="000000100000" w:firstRow="0" w:lastRow="0" w:firstColumn="0" w:lastColumn="0" w:oddVBand="0" w:evenVBand="0" w:oddHBand="1" w:evenHBand="0" w:firstRowFirstColumn="0" w:firstRowLastColumn="0" w:lastRowFirstColumn="0" w:lastRowLastColumn="0"/>
            </w:pPr>
            <w:r>
              <w:rPr>
                <w:rFonts w:cs="Arial"/>
                <w:szCs w:val="14"/>
                <w:lang w:eastAsia="en-US"/>
              </w:rPr>
              <w:t>368,281</w:t>
            </w:r>
          </w:p>
        </w:tc>
      </w:tr>
      <w:tr w:rsidR="008B7E19" w:rsidRPr="00BC1030" w14:paraId="2EEF6214" w14:textId="77777777" w:rsidTr="008B7E19">
        <w:trPr>
          <w:trHeight w:hRule="exact" w:val="238"/>
          <w:jc w:val="center"/>
        </w:trPr>
        <w:tc>
          <w:tcPr>
            <w:cnfStyle w:val="001000000000" w:firstRow="0" w:lastRow="0" w:firstColumn="1" w:lastColumn="0" w:oddVBand="0" w:evenVBand="0" w:oddHBand="0" w:evenHBand="0" w:firstRowFirstColumn="0" w:firstRowLastColumn="0" w:lastRowFirstColumn="0" w:lastRowLastColumn="0"/>
            <w:tcW w:w="2835" w:type="dxa"/>
            <w:gridSpan w:val="2"/>
            <w:tcBorders>
              <w:top w:val="nil"/>
              <w:bottom w:val="nil"/>
            </w:tcBorders>
            <w:shd w:val="clear" w:color="auto" w:fill="auto"/>
          </w:tcPr>
          <w:p w14:paraId="6FBEA941" w14:textId="77777777" w:rsidR="008B7E19" w:rsidRPr="00F73A24" w:rsidRDefault="008B7E19" w:rsidP="008B7E19">
            <w:pPr>
              <w:pStyle w:val="08-Tabelageral"/>
              <w:keepLines w:val="0"/>
              <w:jc w:val="left"/>
              <w:rPr>
                <w:b w:val="0"/>
              </w:rPr>
            </w:pPr>
            <w:r w:rsidRPr="00F73A24">
              <w:rPr>
                <w:b w:val="0"/>
              </w:rPr>
              <w:t>Commissions receivable</w:t>
            </w:r>
          </w:p>
          <w:p w14:paraId="00700D51" w14:textId="77777777" w:rsidR="008B7E19" w:rsidRPr="00F73A24" w:rsidRDefault="008B7E19" w:rsidP="008B7E19">
            <w:pPr>
              <w:pStyle w:val="08-Tabelageral"/>
              <w:keepLines w:val="0"/>
              <w:jc w:val="left"/>
              <w:rPr>
                <w:b w:val="0"/>
              </w:rPr>
            </w:pPr>
          </w:p>
        </w:tc>
        <w:tc>
          <w:tcPr>
            <w:tcW w:w="993" w:type="dxa"/>
            <w:tcBorders>
              <w:top w:val="nil"/>
              <w:bottom w:val="nil"/>
            </w:tcBorders>
            <w:shd w:val="clear" w:color="auto" w:fill="auto"/>
            <w:vAlign w:val="center"/>
          </w:tcPr>
          <w:p w14:paraId="65BB82B6" w14:textId="77777777" w:rsidR="008B7E19" w:rsidRPr="00BC1030" w:rsidRDefault="008B7E19" w:rsidP="008B7E19">
            <w:pPr>
              <w:pStyle w:val="08-Tabelageral"/>
              <w:keepLines w:val="0"/>
              <w:jc w:val="center"/>
              <w:cnfStyle w:val="000000000000" w:firstRow="0" w:lastRow="0" w:firstColumn="0" w:lastColumn="0" w:oddVBand="0" w:evenVBand="0" w:oddHBand="0" w:evenHBand="0" w:firstRowFirstColumn="0" w:firstRowLastColumn="0" w:lastRowFirstColumn="0" w:lastRowLastColumn="0"/>
            </w:pPr>
            <w:r w:rsidRPr="00BC1030">
              <w:t>[18]</w:t>
            </w:r>
          </w:p>
        </w:tc>
        <w:tc>
          <w:tcPr>
            <w:tcW w:w="1559" w:type="dxa"/>
            <w:tcBorders>
              <w:top w:val="nil"/>
              <w:bottom w:val="nil"/>
            </w:tcBorders>
            <w:shd w:val="clear" w:color="auto" w:fill="auto"/>
          </w:tcPr>
          <w:p w14:paraId="6592795A" w14:textId="77777777" w:rsidR="008B7E19" w:rsidRPr="00BC1030" w:rsidRDefault="008B7E19" w:rsidP="008B7E19">
            <w:pPr>
              <w:pStyle w:val="08-Tabelageral"/>
              <w:keepLines w:val="0"/>
              <w:cnfStyle w:val="000000000000" w:firstRow="0" w:lastRow="0" w:firstColumn="0" w:lastColumn="0" w:oddVBand="0" w:evenVBand="0" w:oddHBand="0" w:evenHBand="0" w:firstRowFirstColumn="0" w:firstRowLastColumn="0" w:lastRowFirstColumn="0" w:lastRowLastColumn="0"/>
            </w:pPr>
            <w:r w:rsidRPr="007A027B">
              <w:t>1</w:t>
            </w:r>
            <w:r>
              <w:t>,</w:t>
            </w:r>
            <w:r w:rsidRPr="007A027B">
              <w:t>009</w:t>
            </w:r>
            <w:r>
              <w:t>,</w:t>
            </w:r>
            <w:r w:rsidRPr="007A027B">
              <w:t>929</w:t>
            </w:r>
          </w:p>
        </w:tc>
        <w:tc>
          <w:tcPr>
            <w:tcW w:w="1417" w:type="dxa"/>
            <w:tcBorders>
              <w:top w:val="nil"/>
              <w:bottom w:val="nil"/>
            </w:tcBorders>
            <w:shd w:val="clear" w:color="auto" w:fill="auto"/>
          </w:tcPr>
          <w:p w14:paraId="3F4652F4" w14:textId="77777777" w:rsidR="008B7E19" w:rsidRPr="00BC1030" w:rsidRDefault="008B7E19" w:rsidP="008B7E19">
            <w:pPr>
              <w:pStyle w:val="08-Tabelageral"/>
              <w:keepLines w:val="0"/>
              <w:cnfStyle w:val="000000000000" w:firstRow="0" w:lastRow="0" w:firstColumn="0" w:lastColumn="0" w:oddVBand="0" w:evenVBand="0" w:oddHBand="0" w:evenHBand="0" w:firstRowFirstColumn="0" w:firstRowLastColumn="0" w:lastRowFirstColumn="0" w:lastRowLastColumn="0"/>
            </w:pPr>
            <w:r w:rsidRPr="007A027B">
              <w:t>890</w:t>
            </w:r>
            <w:r>
              <w:t>,</w:t>
            </w:r>
            <w:r w:rsidRPr="007A027B">
              <w:t>738</w:t>
            </w:r>
          </w:p>
        </w:tc>
        <w:tc>
          <w:tcPr>
            <w:tcW w:w="284" w:type="dxa"/>
            <w:tcBorders>
              <w:top w:val="nil"/>
              <w:bottom w:val="nil"/>
            </w:tcBorders>
            <w:shd w:val="clear" w:color="auto" w:fill="auto"/>
            <w:vAlign w:val="center"/>
          </w:tcPr>
          <w:p w14:paraId="07E92BA4" w14:textId="77777777" w:rsidR="008B7E19" w:rsidRPr="00BC1030" w:rsidRDefault="008B7E19" w:rsidP="008B7E19">
            <w:pPr>
              <w:pStyle w:val="08-Tabelageral"/>
              <w:keepLines w:val="0"/>
              <w:cnfStyle w:val="000000000000" w:firstRow="0" w:lastRow="0" w:firstColumn="0" w:lastColumn="0" w:oddVBand="0" w:evenVBand="0" w:oddHBand="0" w:evenHBand="0" w:firstRowFirstColumn="0" w:firstRowLastColumn="0" w:lastRowFirstColumn="0" w:lastRowLastColumn="0"/>
            </w:pPr>
          </w:p>
        </w:tc>
        <w:tc>
          <w:tcPr>
            <w:tcW w:w="1134" w:type="dxa"/>
            <w:tcBorders>
              <w:top w:val="nil"/>
              <w:bottom w:val="nil"/>
            </w:tcBorders>
            <w:shd w:val="clear" w:color="auto" w:fill="auto"/>
            <w:vAlign w:val="center"/>
          </w:tcPr>
          <w:p w14:paraId="173BF39E" w14:textId="77777777" w:rsidR="008B7E19" w:rsidRPr="00BC1030" w:rsidRDefault="008B7E19" w:rsidP="008B7E19">
            <w:pPr>
              <w:pStyle w:val="08-Tabelageral"/>
              <w:keepLines w:val="0"/>
              <w:cnfStyle w:val="000000000000" w:firstRow="0" w:lastRow="0" w:firstColumn="0" w:lastColumn="0" w:oddVBand="0" w:evenVBand="0" w:oddHBand="0" w:evenHBand="0" w:firstRowFirstColumn="0" w:firstRowLastColumn="0" w:lastRowFirstColumn="0" w:lastRowLastColumn="0"/>
            </w:pPr>
            <w:r>
              <w:rPr>
                <w:rFonts w:cs="Arial"/>
                <w:szCs w:val="14"/>
                <w:lang w:eastAsia="en-US"/>
              </w:rPr>
              <w:t>1,114,256</w:t>
            </w:r>
          </w:p>
        </w:tc>
        <w:tc>
          <w:tcPr>
            <w:tcW w:w="1417" w:type="dxa"/>
            <w:tcBorders>
              <w:top w:val="nil"/>
              <w:bottom w:val="nil"/>
            </w:tcBorders>
            <w:shd w:val="clear" w:color="auto" w:fill="auto"/>
            <w:vAlign w:val="center"/>
          </w:tcPr>
          <w:p w14:paraId="71FDC159" w14:textId="77777777" w:rsidR="008B7E19" w:rsidRPr="00BC1030" w:rsidRDefault="008B7E19" w:rsidP="008B7E19">
            <w:pPr>
              <w:pStyle w:val="08-Tabelageral"/>
              <w:keepLines w:val="0"/>
              <w:cnfStyle w:val="000000000000" w:firstRow="0" w:lastRow="0" w:firstColumn="0" w:lastColumn="0" w:oddVBand="0" w:evenVBand="0" w:oddHBand="0" w:evenHBand="0" w:firstRowFirstColumn="0" w:firstRowLastColumn="0" w:lastRowFirstColumn="0" w:lastRowLastColumn="0"/>
            </w:pPr>
            <w:r>
              <w:rPr>
                <w:rFonts w:cs="Arial"/>
                <w:szCs w:val="14"/>
                <w:lang w:eastAsia="en-US"/>
              </w:rPr>
              <w:t>708,990</w:t>
            </w:r>
          </w:p>
        </w:tc>
      </w:tr>
      <w:tr w:rsidR="008B7E19" w:rsidRPr="00BC1030" w14:paraId="2DF2100F" w14:textId="77777777" w:rsidTr="008B7E19">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2835" w:type="dxa"/>
            <w:gridSpan w:val="2"/>
            <w:tcBorders>
              <w:top w:val="nil"/>
              <w:bottom w:val="nil"/>
            </w:tcBorders>
            <w:shd w:val="clear" w:color="auto" w:fill="auto"/>
          </w:tcPr>
          <w:p w14:paraId="30925EBA" w14:textId="77777777" w:rsidR="008B7E19" w:rsidRPr="000B292D" w:rsidRDefault="008B7E19" w:rsidP="008B7E19">
            <w:pPr>
              <w:pStyle w:val="08-Tabelageral"/>
              <w:keepLines w:val="0"/>
              <w:jc w:val="left"/>
              <w:rPr>
                <w:b w:val="0"/>
                <w:lang w:val="en-US"/>
              </w:rPr>
            </w:pPr>
            <w:r w:rsidRPr="000B292D">
              <w:rPr>
                <w:b w:val="0"/>
                <w:lang w:val="en-US"/>
              </w:rPr>
              <w:t>Dividends/interest on equity receivable</w:t>
            </w:r>
          </w:p>
        </w:tc>
        <w:tc>
          <w:tcPr>
            <w:tcW w:w="993" w:type="dxa"/>
            <w:tcBorders>
              <w:top w:val="nil"/>
              <w:bottom w:val="nil"/>
            </w:tcBorders>
            <w:shd w:val="clear" w:color="auto" w:fill="auto"/>
            <w:vAlign w:val="center"/>
          </w:tcPr>
          <w:p w14:paraId="7A48C7A7" w14:textId="77777777" w:rsidR="008B7E19" w:rsidRPr="00BC1030" w:rsidRDefault="008B7E19" w:rsidP="008B7E19">
            <w:pPr>
              <w:pStyle w:val="08-Tabelageral"/>
              <w:keepLines w:val="0"/>
              <w:jc w:val="center"/>
              <w:cnfStyle w:val="000000100000" w:firstRow="0" w:lastRow="0" w:firstColumn="0" w:lastColumn="0" w:oddVBand="0" w:evenVBand="0" w:oddHBand="1" w:evenHBand="0" w:firstRowFirstColumn="0" w:firstRowLastColumn="0" w:lastRowFirstColumn="0" w:lastRowLastColumn="0"/>
            </w:pPr>
            <w:r w:rsidRPr="00BC1030">
              <w:t>[17]</w:t>
            </w:r>
          </w:p>
        </w:tc>
        <w:tc>
          <w:tcPr>
            <w:tcW w:w="1559" w:type="dxa"/>
            <w:tcBorders>
              <w:top w:val="nil"/>
              <w:bottom w:val="nil"/>
            </w:tcBorders>
            <w:shd w:val="clear" w:color="auto" w:fill="auto"/>
          </w:tcPr>
          <w:p w14:paraId="552059D0" w14:textId="77777777" w:rsidR="008B7E19" w:rsidRPr="00BC1030" w:rsidRDefault="008B7E19" w:rsidP="008B7E19">
            <w:pPr>
              <w:pStyle w:val="08-Tabelageral"/>
              <w:keepLines w:val="0"/>
              <w:cnfStyle w:val="000000100000" w:firstRow="0" w:lastRow="0" w:firstColumn="0" w:lastColumn="0" w:oddVBand="0" w:evenVBand="0" w:oddHBand="1" w:evenHBand="0" w:firstRowFirstColumn="0" w:firstRowLastColumn="0" w:lastRowFirstColumn="0" w:lastRowLastColumn="0"/>
            </w:pPr>
            <w:r w:rsidRPr="007A027B">
              <w:t>--</w:t>
            </w:r>
          </w:p>
        </w:tc>
        <w:tc>
          <w:tcPr>
            <w:tcW w:w="1417" w:type="dxa"/>
            <w:tcBorders>
              <w:top w:val="nil"/>
              <w:bottom w:val="nil"/>
            </w:tcBorders>
            <w:shd w:val="clear" w:color="auto" w:fill="auto"/>
          </w:tcPr>
          <w:p w14:paraId="55225C0D" w14:textId="77777777" w:rsidR="008B7E19" w:rsidRPr="00BC1030" w:rsidRDefault="008B7E19" w:rsidP="008B7E19">
            <w:pPr>
              <w:pStyle w:val="08-Tabelageral"/>
              <w:keepLines w:val="0"/>
              <w:cnfStyle w:val="000000100000" w:firstRow="0" w:lastRow="0" w:firstColumn="0" w:lastColumn="0" w:oddVBand="0" w:evenVBand="0" w:oddHBand="1" w:evenHBand="0" w:firstRowFirstColumn="0" w:firstRowLastColumn="0" w:lastRowFirstColumn="0" w:lastRowLastColumn="0"/>
            </w:pPr>
            <w:r w:rsidRPr="007A027B">
              <w:t>--</w:t>
            </w:r>
          </w:p>
        </w:tc>
        <w:tc>
          <w:tcPr>
            <w:tcW w:w="284" w:type="dxa"/>
            <w:tcBorders>
              <w:top w:val="nil"/>
              <w:bottom w:val="nil"/>
            </w:tcBorders>
            <w:shd w:val="clear" w:color="auto" w:fill="auto"/>
            <w:vAlign w:val="center"/>
          </w:tcPr>
          <w:p w14:paraId="2232303F" w14:textId="77777777" w:rsidR="008B7E19" w:rsidRPr="00BC1030" w:rsidRDefault="008B7E19" w:rsidP="008B7E19">
            <w:pPr>
              <w:pStyle w:val="08-Tabelageral"/>
              <w:keepLines w:val="0"/>
              <w:cnfStyle w:val="000000100000" w:firstRow="0" w:lastRow="0" w:firstColumn="0" w:lastColumn="0" w:oddVBand="0" w:evenVBand="0" w:oddHBand="1" w:evenHBand="0" w:firstRowFirstColumn="0" w:firstRowLastColumn="0" w:lastRowFirstColumn="0" w:lastRowLastColumn="0"/>
            </w:pPr>
          </w:p>
        </w:tc>
        <w:tc>
          <w:tcPr>
            <w:tcW w:w="1134" w:type="dxa"/>
            <w:tcBorders>
              <w:top w:val="nil"/>
              <w:bottom w:val="nil"/>
            </w:tcBorders>
            <w:shd w:val="clear" w:color="auto" w:fill="auto"/>
            <w:vAlign w:val="center"/>
          </w:tcPr>
          <w:p w14:paraId="7A71AC56" w14:textId="77777777" w:rsidR="008B7E19" w:rsidRPr="00BC1030" w:rsidRDefault="008B7E19" w:rsidP="008B7E19">
            <w:pPr>
              <w:pStyle w:val="08-Tabelageral"/>
              <w:keepLines w:val="0"/>
              <w:cnfStyle w:val="000000100000" w:firstRow="0" w:lastRow="0" w:firstColumn="0" w:lastColumn="0" w:oddVBand="0" w:evenVBand="0" w:oddHBand="1" w:evenHBand="0" w:firstRowFirstColumn="0" w:firstRowLastColumn="0" w:lastRowFirstColumn="0" w:lastRowLastColumn="0"/>
            </w:pPr>
            <w:r>
              <w:rPr>
                <w:rFonts w:cs="Arial"/>
                <w:szCs w:val="14"/>
                <w:lang w:eastAsia="en-US"/>
              </w:rPr>
              <w:t>13,519</w:t>
            </w:r>
          </w:p>
        </w:tc>
        <w:tc>
          <w:tcPr>
            <w:tcW w:w="1417" w:type="dxa"/>
            <w:tcBorders>
              <w:top w:val="nil"/>
              <w:bottom w:val="nil"/>
            </w:tcBorders>
            <w:shd w:val="clear" w:color="auto" w:fill="auto"/>
            <w:vAlign w:val="center"/>
          </w:tcPr>
          <w:p w14:paraId="75ED5C12" w14:textId="77777777" w:rsidR="008B7E19" w:rsidRPr="00BC1030" w:rsidRDefault="008B7E19" w:rsidP="008B7E19">
            <w:pPr>
              <w:pStyle w:val="08-Tabelageral"/>
              <w:keepLines w:val="0"/>
              <w:cnfStyle w:val="000000100000" w:firstRow="0" w:lastRow="0" w:firstColumn="0" w:lastColumn="0" w:oddVBand="0" w:evenVBand="0" w:oddHBand="1" w:evenHBand="0" w:firstRowFirstColumn="0" w:firstRowLastColumn="0" w:lastRowFirstColumn="0" w:lastRowLastColumn="0"/>
            </w:pPr>
            <w:r>
              <w:rPr>
                <w:rFonts w:cs="Arial"/>
                <w:szCs w:val="14"/>
                <w:lang w:eastAsia="en-US"/>
              </w:rPr>
              <w:t>--</w:t>
            </w:r>
          </w:p>
        </w:tc>
      </w:tr>
      <w:tr w:rsidR="008B7E19" w:rsidRPr="00BC1030" w14:paraId="7343E634" w14:textId="77777777" w:rsidTr="008B7E19">
        <w:trPr>
          <w:trHeight w:hRule="exact" w:val="238"/>
          <w:jc w:val="center"/>
        </w:trPr>
        <w:tc>
          <w:tcPr>
            <w:cnfStyle w:val="001000000000" w:firstRow="0" w:lastRow="0" w:firstColumn="1" w:lastColumn="0" w:oddVBand="0" w:evenVBand="0" w:oddHBand="0" w:evenHBand="0" w:firstRowFirstColumn="0" w:firstRowLastColumn="0" w:lastRowFirstColumn="0" w:lastRowLastColumn="0"/>
            <w:tcW w:w="2835" w:type="dxa"/>
            <w:gridSpan w:val="2"/>
            <w:tcBorders>
              <w:top w:val="nil"/>
              <w:bottom w:val="nil"/>
            </w:tcBorders>
            <w:shd w:val="clear" w:color="auto" w:fill="auto"/>
          </w:tcPr>
          <w:p w14:paraId="3A5ECA1E" w14:textId="77777777" w:rsidR="008B7E19" w:rsidRPr="00F73A24" w:rsidRDefault="008B7E19" w:rsidP="008B7E19">
            <w:pPr>
              <w:pStyle w:val="08-Tabelageral"/>
              <w:keepLines w:val="0"/>
              <w:jc w:val="left"/>
              <w:rPr>
                <w:b w:val="0"/>
              </w:rPr>
            </w:pPr>
          </w:p>
        </w:tc>
        <w:tc>
          <w:tcPr>
            <w:tcW w:w="993" w:type="dxa"/>
            <w:tcBorders>
              <w:top w:val="nil"/>
              <w:bottom w:val="nil"/>
            </w:tcBorders>
            <w:shd w:val="clear" w:color="auto" w:fill="auto"/>
            <w:vAlign w:val="center"/>
          </w:tcPr>
          <w:p w14:paraId="617CC35A" w14:textId="77777777" w:rsidR="008B7E19" w:rsidRPr="00BC1030" w:rsidRDefault="008B7E19" w:rsidP="008B7E19">
            <w:pPr>
              <w:pStyle w:val="08-Tabelageral"/>
              <w:keepLines w:val="0"/>
              <w:jc w:val="center"/>
              <w:cnfStyle w:val="000000000000" w:firstRow="0" w:lastRow="0" w:firstColumn="0" w:lastColumn="0" w:oddVBand="0" w:evenVBand="0" w:oddHBand="0" w:evenHBand="0" w:firstRowFirstColumn="0" w:firstRowLastColumn="0" w:lastRowFirstColumn="0" w:lastRowLastColumn="0"/>
            </w:pPr>
          </w:p>
        </w:tc>
        <w:tc>
          <w:tcPr>
            <w:tcW w:w="1559" w:type="dxa"/>
            <w:tcBorders>
              <w:top w:val="nil"/>
              <w:bottom w:val="nil"/>
            </w:tcBorders>
            <w:shd w:val="clear" w:color="auto" w:fill="auto"/>
          </w:tcPr>
          <w:p w14:paraId="0A5F4777" w14:textId="77777777" w:rsidR="008B7E19" w:rsidRPr="00BC1030" w:rsidRDefault="008B7E19" w:rsidP="008B7E19">
            <w:pPr>
              <w:pStyle w:val="08-Tabelageral"/>
              <w:keepLines w:val="0"/>
              <w:cnfStyle w:val="000000000000" w:firstRow="0" w:lastRow="0" w:firstColumn="0" w:lastColumn="0" w:oddVBand="0" w:evenVBand="0" w:oddHBand="0" w:evenHBand="0" w:firstRowFirstColumn="0" w:firstRowLastColumn="0" w:lastRowFirstColumn="0" w:lastRowLastColumn="0"/>
            </w:pPr>
          </w:p>
        </w:tc>
        <w:tc>
          <w:tcPr>
            <w:tcW w:w="1417" w:type="dxa"/>
            <w:tcBorders>
              <w:top w:val="nil"/>
              <w:bottom w:val="nil"/>
            </w:tcBorders>
            <w:shd w:val="clear" w:color="auto" w:fill="auto"/>
          </w:tcPr>
          <w:p w14:paraId="044545B3" w14:textId="77777777" w:rsidR="008B7E19" w:rsidRPr="00BC1030" w:rsidRDefault="008B7E19" w:rsidP="008B7E19">
            <w:pPr>
              <w:pStyle w:val="08-Tabelageral"/>
              <w:keepLines w:val="0"/>
              <w:cnfStyle w:val="000000000000" w:firstRow="0" w:lastRow="0" w:firstColumn="0" w:lastColumn="0" w:oddVBand="0" w:evenVBand="0" w:oddHBand="0" w:evenHBand="0" w:firstRowFirstColumn="0" w:firstRowLastColumn="0" w:lastRowFirstColumn="0" w:lastRowLastColumn="0"/>
            </w:pPr>
          </w:p>
        </w:tc>
        <w:tc>
          <w:tcPr>
            <w:tcW w:w="284" w:type="dxa"/>
            <w:tcBorders>
              <w:top w:val="nil"/>
              <w:bottom w:val="nil"/>
            </w:tcBorders>
            <w:shd w:val="clear" w:color="auto" w:fill="auto"/>
            <w:vAlign w:val="center"/>
          </w:tcPr>
          <w:p w14:paraId="708F909B" w14:textId="77777777" w:rsidR="008B7E19" w:rsidRPr="00BC1030" w:rsidRDefault="008B7E19" w:rsidP="008B7E19">
            <w:pPr>
              <w:pStyle w:val="08-Tabelageral"/>
              <w:keepLines w:val="0"/>
              <w:cnfStyle w:val="000000000000" w:firstRow="0" w:lastRow="0" w:firstColumn="0" w:lastColumn="0" w:oddVBand="0" w:evenVBand="0" w:oddHBand="0" w:evenHBand="0" w:firstRowFirstColumn="0" w:firstRowLastColumn="0" w:lastRowFirstColumn="0" w:lastRowLastColumn="0"/>
            </w:pPr>
          </w:p>
        </w:tc>
        <w:tc>
          <w:tcPr>
            <w:tcW w:w="1134" w:type="dxa"/>
            <w:tcBorders>
              <w:top w:val="nil"/>
              <w:bottom w:val="nil"/>
            </w:tcBorders>
            <w:shd w:val="clear" w:color="auto" w:fill="auto"/>
            <w:vAlign w:val="center"/>
          </w:tcPr>
          <w:p w14:paraId="4EAB8D6F" w14:textId="77777777" w:rsidR="008B7E19" w:rsidRPr="00BC1030" w:rsidRDefault="008B7E19" w:rsidP="008B7E19">
            <w:pPr>
              <w:pStyle w:val="08-Tabelageral"/>
              <w:keepLines w:val="0"/>
              <w:cnfStyle w:val="000000000000" w:firstRow="0" w:lastRow="0" w:firstColumn="0" w:lastColumn="0" w:oddVBand="0" w:evenVBand="0" w:oddHBand="0" w:evenHBand="0" w:firstRowFirstColumn="0" w:firstRowLastColumn="0" w:lastRowFirstColumn="0" w:lastRowLastColumn="0"/>
            </w:pPr>
          </w:p>
        </w:tc>
        <w:tc>
          <w:tcPr>
            <w:tcW w:w="1417" w:type="dxa"/>
            <w:tcBorders>
              <w:top w:val="nil"/>
              <w:bottom w:val="nil"/>
            </w:tcBorders>
            <w:shd w:val="clear" w:color="auto" w:fill="auto"/>
            <w:vAlign w:val="center"/>
          </w:tcPr>
          <w:p w14:paraId="265DB05F" w14:textId="77777777" w:rsidR="008B7E19" w:rsidRPr="00BC1030" w:rsidRDefault="008B7E19" w:rsidP="008B7E19">
            <w:pPr>
              <w:pStyle w:val="08-Tabelageral"/>
              <w:keepLines w:val="0"/>
              <w:cnfStyle w:val="000000000000" w:firstRow="0" w:lastRow="0" w:firstColumn="0" w:lastColumn="0" w:oddVBand="0" w:evenVBand="0" w:oddHBand="0" w:evenHBand="0" w:firstRowFirstColumn="0" w:firstRowLastColumn="0" w:lastRowFirstColumn="0" w:lastRowLastColumn="0"/>
            </w:pPr>
          </w:p>
        </w:tc>
      </w:tr>
      <w:tr w:rsidR="008B7E19" w:rsidRPr="00BC1030" w14:paraId="13E05BEA" w14:textId="77777777" w:rsidTr="008B7E19">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2835" w:type="dxa"/>
            <w:gridSpan w:val="2"/>
            <w:tcBorders>
              <w:top w:val="nil"/>
              <w:bottom w:val="nil"/>
            </w:tcBorders>
            <w:shd w:val="clear" w:color="auto" w:fill="auto"/>
          </w:tcPr>
          <w:p w14:paraId="0EE353DA" w14:textId="77777777" w:rsidR="008B7E19" w:rsidRPr="00F73A24" w:rsidRDefault="008B7E19" w:rsidP="008B7E19">
            <w:pPr>
              <w:pStyle w:val="08-Tabelageral"/>
              <w:keepLines w:val="0"/>
              <w:jc w:val="left"/>
              <w:rPr>
                <w:b w:val="0"/>
              </w:rPr>
            </w:pPr>
            <w:r w:rsidRPr="00F73A24">
              <w:rPr>
                <w:b w:val="0"/>
              </w:rPr>
              <w:t>LIABILITIES</w:t>
            </w:r>
          </w:p>
        </w:tc>
        <w:tc>
          <w:tcPr>
            <w:tcW w:w="993" w:type="dxa"/>
            <w:tcBorders>
              <w:top w:val="nil"/>
              <w:bottom w:val="nil"/>
            </w:tcBorders>
            <w:shd w:val="clear" w:color="auto" w:fill="auto"/>
            <w:vAlign w:val="center"/>
          </w:tcPr>
          <w:p w14:paraId="42148885" w14:textId="77777777" w:rsidR="008B7E19" w:rsidRPr="00BC1030" w:rsidRDefault="008B7E19" w:rsidP="008B7E19">
            <w:pPr>
              <w:pStyle w:val="08-Tabelageral"/>
              <w:keepLines w:val="0"/>
              <w:jc w:val="center"/>
              <w:cnfStyle w:val="000000100000" w:firstRow="0" w:lastRow="0" w:firstColumn="0" w:lastColumn="0" w:oddVBand="0" w:evenVBand="0" w:oddHBand="1" w:evenHBand="0" w:firstRowFirstColumn="0" w:firstRowLastColumn="0" w:lastRowFirstColumn="0" w:lastRowLastColumn="0"/>
            </w:pPr>
          </w:p>
        </w:tc>
        <w:tc>
          <w:tcPr>
            <w:tcW w:w="1559" w:type="dxa"/>
            <w:tcBorders>
              <w:top w:val="nil"/>
              <w:bottom w:val="nil"/>
            </w:tcBorders>
            <w:shd w:val="clear" w:color="auto" w:fill="auto"/>
          </w:tcPr>
          <w:p w14:paraId="28C6243E" w14:textId="77777777" w:rsidR="008B7E19" w:rsidRPr="00BC1030" w:rsidRDefault="008B7E19" w:rsidP="008B7E19">
            <w:pPr>
              <w:pStyle w:val="08-Tabelageral"/>
              <w:keepLines w:val="0"/>
              <w:cnfStyle w:val="000000100000" w:firstRow="0" w:lastRow="0" w:firstColumn="0" w:lastColumn="0" w:oddVBand="0" w:evenVBand="0" w:oddHBand="1" w:evenHBand="0" w:firstRowFirstColumn="0" w:firstRowLastColumn="0" w:lastRowFirstColumn="0" w:lastRowLastColumn="0"/>
            </w:pPr>
          </w:p>
        </w:tc>
        <w:tc>
          <w:tcPr>
            <w:tcW w:w="1417" w:type="dxa"/>
            <w:tcBorders>
              <w:top w:val="nil"/>
              <w:bottom w:val="nil"/>
            </w:tcBorders>
            <w:shd w:val="clear" w:color="auto" w:fill="auto"/>
          </w:tcPr>
          <w:p w14:paraId="546934C4" w14:textId="77777777" w:rsidR="008B7E19" w:rsidRPr="00BC1030" w:rsidRDefault="008B7E19" w:rsidP="008B7E19">
            <w:pPr>
              <w:pStyle w:val="08-Tabelageral"/>
              <w:keepLines w:val="0"/>
              <w:cnfStyle w:val="000000100000" w:firstRow="0" w:lastRow="0" w:firstColumn="0" w:lastColumn="0" w:oddVBand="0" w:evenVBand="0" w:oddHBand="1" w:evenHBand="0" w:firstRowFirstColumn="0" w:firstRowLastColumn="0" w:lastRowFirstColumn="0" w:lastRowLastColumn="0"/>
            </w:pPr>
          </w:p>
        </w:tc>
        <w:tc>
          <w:tcPr>
            <w:tcW w:w="284" w:type="dxa"/>
            <w:tcBorders>
              <w:top w:val="nil"/>
              <w:bottom w:val="nil"/>
            </w:tcBorders>
            <w:shd w:val="clear" w:color="auto" w:fill="auto"/>
            <w:vAlign w:val="center"/>
          </w:tcPr>
          <w:p w14:paraId="631A1FAA" w14:textId="77777777" w:rsidR="008B7E19" w:rsidRPr="00BC1030" w:rsidRDefault="008B7E19" w:rsidP="008B7E19">
            <w:pPr>
              <w:pStyle w:val="08-Tabelageral"/>
              <w:keepLines w:val="0"/>
              <w:cnfStyle w:val="000000100000" w:firstRow="0" w:lastRow="0" w:firstColumn="0" w:lastColumn="0" w:oddVBand="0" w:evenVBand="0" w:oddHBand="1" w:evenHBand="0" w:firstRowFirstColumn="0" w:firstRowLastColumn="0" w:lastRowFirstColumn="0" w:lastRowLastColumn="0"/>
            </w:pPr>
          </w:p>
        </w:tc>
        <w:tc>
          <w:tcPr>
            <w:tcW w:w="1134" w:type="dxa"/>
            <w:tcBorders>
              <w:top w:val="nil"/>
              <w:bottom w:val="nil"/>
            </w:tcBorders>
            <w:shd w:val="clear" w:color="auto" w:fill="auto"/>
            <w:vAlign w:val="center"/>
          </w:tcPr>
          <w:p w14:paraId="7C3D9C23" w14:textId="77777777" w:rsidR="008B7E19" w:rsidRPr="00BC1030" w:rsidRDefault="008B7E19" w:rsidP="008B7E19">
            <w:pPr>
              <w:pStyle w:val="08-Tabelageral"/>
              <w:keepLines w:val="0"/>
              <w:cnfStyle w:val="000000100000" w:firstRow="0" w:lastRow="0" w:firstColumn="0" w:lastColumn="0" w:oddVBand="0" w:evenVBand="0" w:oddHBand="1" w:evenHBand="0" w:firstRowFirstColumn="0" w:firstRowLastColumn="0" w:lastRowFirstColumn="0" w:lastRowLastColumn="0"/>
            </w:pPr>
          </w:p>
        </w:tc>
        <w:tc>
          <w:tcPr>
            <w:tcW w:w="1417" w:type="dxa"/>
            <w:tcBorders>
              <w:top w:val="nil"/>
              <w:bottom w:val="nil"/>
            </w:tcBorders>
            <w:shd w:val="clear" w:color="auto" w:fill="auto"/>
            <w:vAlign w:val="center"/>
          </w:tcPr>
          <w:p w14:paraId="629BF3AF" w14:textId="77777777" w:rsidR="008B7E19" w:rsidRPr="00BC1030" w:rsidRDefault="008B7E19" w:rsidP="008B7E19">
            <w:pPr>
              <w:pStyle w:val="08-Tabelageral"/>
              <w:keepLines w:val="0"/>
              <w:cnfStyle w:val="000000100000" w:firstRow="0" w:lastRow="0" w:firstColumn="0" w:lastColumn="0" w:oddVBand="0" w:evenVBand="0" w:oddHBand="1" w:evenHBand="0" w:firstRowFirstColumn="0" w:firstRowLastColumn="0" w:lastRowFirstColumn="0" w:lastRowLastColumn="0"/>
            </w:pPr>
          </w:p>
        </w:tc>
      </w:tr>
      <w:tr w:rsidR="008B7E19" w:rsidRPr="00BC1030" w14:paraId="319363F1" w14:textId="77777777" w:rsidTr="008B7E19">
        <w:trPr>
          <w:trHeight w:hRule="exact" w:val="238"/>
          <w:jc w:val="center"/>
        </w:trPr>
        <w:tc>
          <w:tcPr>
            <w:cnfStyle w:val="001000000000" w:firstRow="0" w:lastRow="0" w:firstColumn="1" w:lastColumn="0" w:oddVBand="0" w:evenVBand="0" w:oddHBand="0" w:evenHBand="0" w:firstRowFirstColumn="0" w:firstRowLastColumn="0" w:lastRowFirstColumn="0" w:lastRowLastColumn="0"/>
            <w:tcW w:w="2835" w:type="dxa"/>
            <w:gridSpan w:val="2"/>
            <w:tcBorders>
              <w:top w:val="nil"/>
              <w:bottom w:val="nil"/>
            </w:tcBorders>
            <w:shd w:val="clear" w:color="auto" w:fill="auto"/>
          </w:tcPr>
          <w:p w14:paraId="2132E398" w14:textId="77777777" w:rsidR="008B7E19" w:rsidRPr="00F73A24" w:rsidRDefault="008B7E19" w:rsidP="008B7E19">
            <w:pPr>
              <w:pStyle w:val="08-Tabelageral"/>
              <w:keepLines w:val="0"/>
              <w:jc w:val="left"/>
              <w:rPr>
                <w:b w:val="0"/>
              </w:rPr>
            </w:pPr>
            <w:r w:rsidRPr="00F73A24">
              <w:rPr>
                <w:b w:val="0"/>
              </w:rPr>
              <w:t>Corporate and Statutory Obligations</w:t>
            </w:r>
          </w:p>
          <w:p w14:paraId="385211EA" w14:textId="77777777" w:rsidR="008B7E19" w:rsidRPr="00F73A24" w:rsidRDefault="008B7E19" w:rsidP="008B7E19">
            <w:pPr>
              <w:pStyle w:val="08-Tabelageral"/>
              <w:keepLines w:val="0"/>
              <w:jc w:val="left"/>
              <w:rPr>
                <w:b w:val="0"/>
              </w:rPr>
            </w:pPr>
          </w:p>
        </w:tc>
        <w:tc>
          <w:tcPr>
            <w:tcW w:w="993" w:type="dxa"/>
            <w:tcBorders>
              <w:top w:val="nil"/>
              <w:bottom w:val="nil"/>
            </w:tcBorders>
            <w:shd w:val="clear" w:color="auto" w:fill="auto"/>
            <w:vAlign w:val="center"/>
          </w:tcPr>
          <w:p w14:paraId="3F8613BA" w14:textId="77777777" w:rsidR="008B7E19" w:rsidRPr="00BC1030" w:rsidRDefault="008B7E19" w:rsidP="008B7E19">
            <w:pPr>
              <w:pStyle w:val="08-Tabelageral"/>
              <w:keepLines w:val="0"/>
              <w:jc w:val="center"/>
              <w:cnfStyle w:val="000000000000" w:firstRow="0" w:lastRow="0" w:firstColumn="0" w:lastColumn="0" w:oddVBand="0" w:evenVBand="0" w:oddHBand="0" w:evenHBand="0" w:firstRowFirstColumn="0" w:firstRowLastColumn="0" w:lastRowFirstColumn="0" w:lastRowLastColumn="0"/>
            </w:pPr>
            <w:r w:rsidRPr="00BC1030">
              <w:t>[21]</w:t>
            </w:r>
          </w:p>
        </w:tc>
        <w:tc>
          <w:tcPr>
            <w:tcW w:w="1559" w:type="dxa"/>
            <w:tcBorders>
              <w:top w:val="nil"/>
              <w:bottom w:val="nil"/>
            </w:tcBorders>
            <w:shd w:val="clear" w:color="auto" w:fill="auto"/>
          </w:tcPr>
          <w:p w14:paraId="15AF989F" w14:textId="77777777" w:rsidR="008B7E19" w:rsidRPr="00BC1030" w:rsidRDefault="008B7E19" w:rsidP="008B7E19">
            <w:pPr>
              <w:pStyle w:val="08-Tabelageral"/>
              <w:keepLines w:val="0"/>
              <w:cnfStyle w:val="000000000000" w:firstRow="0" w:lastRow="0" w:firstColumn="0" w:lastColumn="0" w:oddVBand="0" w:evenVBand="0" w:oddHBand="0" w:evenHBand="0" w:firstRowFirstColumn="0" w:firstRowLastColumn="0" w:lastRowFirstColumn="0" w:lastRowLastColumn="0"/>
            </w:pPr>
            <w:r w:rsidRPr="007A027B">
              <w:t xml:space="preserve">              3</w:t>
            </w:r>
            <w:r>
              <w:t>,</w:t>
            </w:r>
            <w:r w:rsidRPr="007A027B">
              <w:t>210</w:t>
            </w:r>
            <w:r>
              <w:t>,</w:t>
            </w:r>
            <w:r w:rsidRPr="007A027B">
              <w:t>299</w:t>
            </w:r>
          </w:p>
        </w:tc>
        <w:tc>
          <w:tcPr>
            <w:tcW w:w="1417" w:type="dxa"/>
            <w:tcBorders>
              <w:top w:val="nil"/>
              <w:bottom w:val="nil"/>
            </w:tcBorders>
            <w:shd w:val="clear" w:color="auto" w:fill="auto"/>
          </w:tcPr>
          <w:p w14:paraId="0C7EBB45" w14:textId="77777777" w:rsidR="008B7E19" w:rsidRPr="00BC1030" w:rsidRDefault="008B7E19" w:rsidP="008B7E19">
            <w:pPr>
              <w:pStyle w:val="08-Tabelageral"/>
              <w:keepLines w:val="0"/>
              <w:cnfStyle w:val="000000000000" w:firstRow="0" w:lastRow="0" w:firstColumn="0" w:lastColumn="0" w:oddVBand="0" w:evenVBand="0" w:oddHBand="0" w:evenHBand="0" w:firstRowFirstColumn="0" w:firstRowLastColumn="0" w:lastRowFirstColumn="0" w:lastRowLastColumn="0"/>
            </w:pPr>
            <w:r w:rsidRPr="007A027B">
              <w:t>--</w:t>
            </w:r>
          </w:p>
        </w:tc>
        <w:tc>
          <w:tcPr>
            <w:tcW w:w="284" w:type="dxa"/>
            <w:tcBorders>
              <w:top w:val="nil"/>
              <w:bottom w:val="nil"/>
            </w:tcBorders>
            <w:shd w:val="clear" w:color="auto" w:fill="auto"/>
            <w:vAlign w:val="center"/>
          </w:tcPr>
          <w:p w14:paraId="74E2FFAF" w14:textId="77777777" w:rsidR="008B7E19" w:rsidRPr="00BC1030" w:rsidRDefault="008B7E19" w:rsidP="008B7E19">
            <w:pPr>
              <w:pStyle w:val="08-Tabelageral"/>
              <w:keepLines w:val="0"/>
              <w:cnfStyle w:val="000000000000" w:firstRow="0" w:lastRow="0" w:firstColumn="0" w:lastColumn="0" w:oddVBand="0" w:evenVBand="0" w:oddHBand="0" w:evenHBand="0" w:firstRowFirstColumn="0" w:firstRowLastColumn="0" w:lastRowFirstColumn="0" w:lastRowLastColumn="0"/>
            </w:pPr>
          </w:p>
        </w:tc>
        <w:tc>
          <w:tcPr>
            <w:tcW w:w="1134" w:type="dxa"/>
            <w:tcBorders>
              <w:top w:val="nil"/>
              <w:bottom w:val="nil"/>
            </w:tcBorders>
            <w:shd w:val="clear" w:color="auto" w:fill="auto"/>
            <w:vAlign w:val="center"/>
          </w:tcPr>
          <w:p w14:paraId="4377D090" w14:textId="77777777" w:rsidR="008B7E19" w:rsidRPr="00BC1030" w:rsidRDefault="008B7E19" w:rsidP="008B7E19">
            <w:pPr>
              <w:pStyle w:val="08-Tabelageral"/>
              <w:keepLines w:val="0"/>
              <w:cnfStyle w:val="000000000000" w:firstRow="0" w:lastRow="0" w:firstColumn="0" w:lastColumn="0" w:oddVBand="0" w:evenVBand="0" w:oddHBand="0" w:evenHBand="0" w:firstRowFirstColumn="0" w:firstRowLastColumn="0" w:lastRowFirstColumn="0" w:lastRowLastColumn="0"/>
            </w:pPr>
            <w:r>
              <w:rPr>
                <w:rFonts w:cs="Arial"/>
                <w:szCs w:val="14"/>
                <w:lang w:eastAsia="en-US"/>
              </w:rPr>
              <w:t>3,674,027</w:t>
            </w:r>
          </w:p>
        </w:tc>
        <w:tc>
          <w:tcPr>
            <w:tcW w:w="1417" w:type="dxa"/>
            <w:tcBorders>
              <w:top w:val="nil"/>
              <w:bottom w:val="nil"/>
            </w:tcBorders>
            <w:shd w:val="clear" w:color="auto" w:fill="auto"/>
            <w:vAlign w:val="center"/>
          </w:tcPr>
          <w:p w14:paraId="6689050B" w14:textId="77777777" w:rsidR="008B7E19" w:rsidRPr="00BC1030" w:rsidRDefault="008B7E19" w:rsidP="008B7E19">
            <w:pPr>
              <w:pStyle w:val="08-Tabelageral"/>
              <w:keepLines w:val="0"/>
              <w:cnfStyle w:val="000000000000" w:firstRow="0" w:lastRow="0" w:firstColumn="0" w:lastColumn="0" w:oddVBand="0" w:evenVBand="0" w:oddHBand="0" w:evenHBand="0" w:firstRowFirstColumn="0" w:firstRowLastColumn="0" w:lastRowFirstColumn="0" w:lastRowLastColumn="0"/>
            </w:pPr>
            <w:r>
              <w:rPr>
                <w:rFonts w:cs="Arial"/>
                <w:szCs w:val="14"/>
                <w:lang w:eastAsia="en-US"/>
              </w:rPr>
              <w:t>--</w:t>
            </w:r>
          </w:p>
        </w:tc>
      </w:tr>
      <w:tr w:rsidR="008B7E19" w:rsidRPr="00BC1030" w14:paraId="30D41175" w14:textId="77777777" w:rsidTr="008B7E19">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2835" w:type="dxa"/>
            <w:gridSpan w:val="2"/>
            <w:tcBorders>
              <w:top w:val="nil"/>
              <w:bottom w:val="nil"/>
            </w:tcBorders>
            <w:shd w:val="clear" w:color="auto" w:fill="auto"/>
          </w:tcPr>
          <w:p w14:paraId="7E6DF26F" w14:textId="77777777" w:rsidR="008B7E19" w:rsidRPr="00F73A24" w:rsidRDefault="008B7E19" w:rsidP="008B7E19">
            <w:pPr>
              <w:pStyle w:val="08-Tabelageral"/>
              <w:keepLines w:val="0"/>
              <w:jc w:val="left"/>
              <w:rPr>
                <w:b w:val="0"/>
              </w:rPr>
            </w:pPr>
            <w:r w:rsidRPr="00F73A24">
              <w:rPr>
                <w:b w:val="0"/>
              </w:rPr>
              <w:t>Current tax liabilities</w:t>
            </w:r>
          </w:p>
        </w:tc>
        <w:tc>
          <w:tcPr>
            <w:tcW w:w="993" w:type="dxa"/>
            <w:tcBorders>
              <w:top w:val="nil"/>
              <w:bottom w:val="nil"/>
            </w:tcBorders>
            <w:shd w:val="clear" w:color="auto" w:fill="auto"/>
            <w:vAlign w:val="center"/>
          </w:tcPr>
          <w:p w14:paraId="5AFA7D04" w14:textId="77777777" w:rsidR="008B7E19" w:rsidRPr="00BC1030" w:rsidRDefault="008B7E19" w:rsidP="008B7E19">
            <w:pPr>
              <w:pStyle w:val="08-Tabelageral"/>
              <w:keepLines w:val="0"/>
              <w:jc w:val="center"/>
              <w:cnfStyle w:val="000000100000" w:firstRow="0" w:lastRow="0" w:firstColumn="0" w:lastColumn="0" w:oddVBand="0" w:evenVBand="0" w:oddHBand="1" w:evenHBand="0" w:firstRowFirstColumn="0" w:firstRowLastColumn="0" w:lastRowFirstColumn="0" w:lastRowLastColumn="0"/>
            </w:pPr>
            <w:r w:rsidRPr="00BC1030">
              <w:t>[12.g]</w:t>
            </w:r>
          </w:p>
        </w:tc>
        <w:tc>
          <w:tcPr>
            <w:tcW w:w="1559" w:type="dxa"/>
            <w:tcBorders>
              <w:top w:val="nil"/>
              <w:bottom w:val="nil"/>
            </w:tcBorders>
            <w:shd w:val="clear" w:color="auto" w:fill="auto"/>
          </w:tcPr>
          <w:p w14:paraId="569AE37C" w14:textId="77777777" w:rsidR="008B7E19" w:rsidRPr="00BC1030" w:rsidRDefault="008B7E19" w:rsidP="008B7E19">
            <w:pPr>
              <w:pStyle w:val="08-Tabelageral"/>
              <w:keepLines w:val="0"/>
              <w:cnfStyle w:val="000000100000" w:firstRow="0" w:lastRow="0" w:firstColumn="0" w:lastColumn="0" w:oddVBand="0" w:evenVBand="0" w:oddHBand="1" w:evenHBand="0" w:firstRowFirstColumn="0" w:firstRowLastColumn="0" w:lastRowFirstColumn="0" w:lastRowLastColumn="0"/>
            </w:pPr>
            <w:r w:rsidRPr="007A027B">
              <w:t>480</w:t>
            </w:r>
            <w:r>
              <w:t>,</w:t>
            </w:r>
            <w:r w:rsidRPr="007A027B">
              <w:t>430</w:t>
            </w:r>
          </w:p>
        </w:tc>
        <w:tc>
          <w:tcPr>
            <w:tcW w:w="1417" w:type="dxa"/>
            <w:tcBorders>
              <w:top w:val="nil"/>
              <w:bottom w:val="nil"/>
            </w:tcBorders>
            <w:shd w:val="clear" w:color="auto" w:fill="auto"/>
          </w:tcPr>
          <w:p w14:paraId="0F15EE82" w14:textId="77777777" w:rsidR="008B7E19" w:rsidRPr="00BC1030" w:rsidRDefault="008B7E19" w:rsidP="008B7E19">
            <w:pPr>
              <w:pStyle w:val="08-Tabelageral"/>
              <w:keepLines w:val="0"/>
              <w:cnfStyle w:val="000000100000" w:firstRow="0" w:lastRow="0" w:firstColumn="0" w:lastColumn="0" w:oddVBand="0" w:evenVBand="0" w:oddHBand="1" w:evenHBand="0" w:firstRowFirstColumn="0" w:firstRowLastColumn="0" w:lastRowFirstColumn="0" w:lastRowLastColumn="0"/>
            </w:pPr>
            <w:r w:rsidRPr="007A027B">
              <w:t>--</w:t>
            </w:r>
          </w:p>
        </w:tc>
        <w:tc>
          <w:tcPr>
            <w:tcW w:w="284" w:type="dxa"/>
            <w:tcBorders>
              <w:top w:val="nil"/>
              <w:bottom w:val="nil"/>
            </w:tcBorders>
            <w:shd w:val="clear" w:color="auto" w:fill="auto"/>
            <w:vAlign w:val="center"/>
          </w:tcPr>
          <w:p w14:paraId="576B9843" w14:textId="77777777" w:rsidR="008B7E19" w:rsidRPr="00BC1030" w:rsidRDefault="008B7E19" w:rsidP="008B7E19">
            <w:pPr>
              <w:pStyle w:val="08-Tabelageral"/>
              <w:keepLines w:val="0"/>
              <w:cnfStyle w:val="000000100000" w:firstRow="0" w:lastRow="0" w:firstColumn="0" w:lastColumn="0" w:oddVBand="0" w:evenVBand="0" w:oddHBand="1" w:evenHBand="0" w:firstRowFirstColumn="0" w:firstRowLastColumn="0" w:lastRowFirstColumn="0" w:lastRowLastColumn="0"/>
            </w:pPr>
          </w:p>
        </w:tc>
        <w:tc>
          <w:tcPr>
            <w:tcW w:w="1134" w:type="dxa"/>
            <w:tcBorders>
              <w:top w:val="nil"/>
              <w:bottom w:val="nil"/>
            </w:tcBorders>
            <w:shd w:val="clear" w:color="auto" w:fill="auto"/>
            <w:vAlign w:val="center"/>
          </w:tcPr>
          <w:p w14:paraId="55BD3488" w14:textId="77777777" w:rsidR="008B7E19" w:rsidRPr="00BC1030" w:rsidRDefault="008B7E19" w:rsidP="008B7E19">
            <w:pPr>
              <w:pStyle w:val="08-Tabelageral"/>
              <w:keepLines w:val="0"/>
              <w:cnfStyle w:val="000000100000" w:firstRow="0" w:lastRow="0" w:firstColumn="0" w:lastColumn="0" w:oddVBand="0" w:evenVBand="0" w:oddHBand="1" w:evenHBand="0" w:firstRowFirstColumn="0" w:firstRowLastColumn="0" w:lastRowFirstColumn="0" w:lastRowLastColumn="0"/>
            </w:pPr>
            <w:r>
              <w:rPr>
                <w:rFonts w:cs="Arial"/>
                <w:szCs w:val="14"/>
                <w:lang w:eastAsia="en-US"/>
              </w:rPr>
              <w:t>963,874</w:t>
            </w:r>
          </w:p>
        </w:tc>
        <w:tc>
          <w:tcPr>
            <w:tcW w:w="1417" w:type="dxa"/>
            <w:tcBorders>
              <w:top w:val="nil"/>
              <w:bottom w:val="nil"/>
            </w:tcBorders>
            <w:shd w:val="clear" w:color="auto" w:fill="auto"/>
            <w:vAlign w:val="center"/>
          </w:tcPr>
          <w:p w14:paraId="5695185A" w14:textId="77777777" w:rsidR="008B7E19" w:rsidRPr="00BC1030" w:rsidRDefault="008B7E19" w:rsidP="008B7E19">
            <w:pPr>
              <w:pStyle w:val="08-Tabelageral"/>
              <w:keepLines w:val="0"/>
              <w:cnfStyle w:val="000000100000" w:firstRow="0" w:lastRow="0" w:firstColumn="0" w:lastColumn="0" w:oddVBand="0" w:evenVBand="0" w:oddHBand="1" w:evenHBand="0" w:firstRowFirstColumn="0" w:firstRowLastColumn="0" w:lastRowFirstColumn="0" w:lastRowLastColumn="0"/>
            </w:pPr>
            <w:r>
              <w:rPr>
                <w:rFonts w:cs="Arial"/>
                <w:szCs w:val="14"/>
                <w:lang w:eastAsia="en-US"/>
              </w:rPr>
              <w:t>--</w:t>
            </w:r>
          </w:p>
        </w:tc>
      </w:tr>
      <w:tr w:rsidR="008B7E19" w:rsidRPr="00BC1030" w14:paraId="6A7382B3" w14:textId="77777777" w:rsidTr="008B7E19">
        <w:trPr>
          <w:trHeight w:hRule="exact" w:val="238"/>
          <w:jc w:val="center"/>
        </w:trPr>
        <w:tc>
          <w:tcPr>
            <w:cnfStyle w:val="001000000000" w:firstRow="0" w:lastRow="0" w:firstColumn="1" w:lastColumn="0" w:oddVBand="0" w:evenVBand="0" w:oddHBand="0" w:evenHBand="0" w:firstRowFirstColumn="0" w:firstRowLastColumn="0" w:lastRowFirstColumn="0" w:lastRowLastColumn="0"/>
            <w:tcW w:w="2835" w:type="dxa"/>
            <w:gridSpan w:val="2"/>
            <w:tcBorders>
              <w:top w:val="nil"/>
              <w:bottom w:val="nil"/>
            </w:tcBorders>
            <w:shd w:val="clear" w:color="auto" w:fill="auto"/>
            <w:vAlign w:val="center"/>
          </w:tcPr>
          <w:p w14:paraId="52AE8A66" w14:textId="77777777" w:rsidR="008B7E19" w:rsidRPr="00F73A24" w:rsidRDefault="008B7E19" w:rsidP="008B7E19">
            <w:pPr>
              <w:pStyle w:val="08-Tabelageral"/>
              <w:keepLines w:val="0"/>
              <w:jc w:val="left"/>
              <w:rPr>
                <w:b w:val="0"/>
              </w:rPr>
            </w:pPr>
            <w:r w:rsidRPr="00F73A24">
              <w:rPr>
                <w:b w:val="0"/>
              </w:rPr>
              <w:t>Unearned commissions</w:t>
            </w:r>
          </w:p>
        </w:tc>
        <w:tc>
          <w:tcPr>
            <w:tcW w:w="993" w:type="dxa"/>
            <w:tcBorders>
              <w:top w:val="nil"/>
              <w:bottom w:val="nil"/>
            </w:tcBorders>
            <w:shd w:val="clear" w:color="auto" w:fill="auto"/>
            <w:vAlign w:val="center"/>
          </w:tcPr>
          <w:p w14:paraId="0D003D2E" w14:textId="77777777" w:rsidR="008B7E19" w:rsidRPr="00BC1030" w:rsidRDefault="008B7E19" w:rsidP="008B7E19">
            <w:pPr>
              <w:pStyle w:val="08-Tabelageral"/>
              <w:keepLines w:val="0"/>
              <w:jc w:val="center"/>
              <w:cnfStyle w:val="000000000000" w:firstRow="0" w:lastRow="0" w:firstColumn="0" w:lastColumn="0" w:oddVBand="0" w:evenVBand="0" w:oddHBand="0" w:evenHBand="0" w:firstRowFirstColumn="0" w:firstRowLastColumn="0" w:lastRowFirstColumn="0" w:lastRowLastColumn="0"/>
            </w:pPr>
            <w:r w:rsidRPr="00BC1030">
              <w:t>[23]</w:t>
            </w:r>
          </w:p>
        </w:tc>
        <w:tc>
          <w:tcPr>
            <w:tcW w:w="1559" w:type="dxa"/>
            <w:tcBorders>
              <w:top w:val="nil"/>
              <w:bottom w:val="nil"/>
            </w:tcBorders>
            <w:shd w:val="clear" w:color="auto" w:fill="auto"/>
          </w:tcPr>
          <w:p w14:paraId="5D37C42F" w14:textId="77777777" w:rsidR="008B7E19" w:rsidRPr="00BC1030" w:rsidRDefault="008B7E19" w:rsidP="008B7E19">
            <w:pPr>
              <w:pStyle w:val="08-Tabelageral"/>
              <w:keepLines w:val="0"/>
              <w:cnfStyle w:val="000000000000" w:firstRow="0" w:lastRow="0" w:firstColumn="0" w:lastColumn="0" w:oddVBand="0" w:evenVBand="0" w:oddHBand="0" w:evenHBand="0" w:firstRowFirstColumn="0" w:firstRowLastColumn="0" w:lastRowFirstColumn="0" w:lastRowLastColumn="0"/>
            </w:pPr>
            <w:r w:rsidRPr="007A027B">
              <w:t>1</w:t>
            </w:r>
            <w:r>
              <w:t>,</w:t>
            </w:r>
            <w:r w:rsidRPr="007A027B">
              <w:t>744</w:t>
            </w:r>
            <w:r>
              <w:t>,</w:t>
            </w:r>
            <w:r w:rsidRPr="007A027B">
              <w:t>756</w:t>
            </w:r>
          </w:p>
        </w:tc>
        <w:tc>
          <w:tcPr>
            <w:tcW w:w="1417" w:type="dxa"/>
            <w:tcBorders>
              <w:top w:val="nil"/>
              <w:bottom w:val="nil"/>
            </w:tcBorders>
            <w:shd w:val="clear" w:color="auto" w:fill="auto"/>
          </w:tcPr>
          <w:p w14:paraId="3F6E1AF0" w14:textId="77777777" w:rsidR="008B7E19" w:rsidRPr="00BC1030" w:rsidRDefault="008B7E19" w:rsidP="008B7E19">
            <w:pPr>
              <w:pStyle w:val="08-Tabelageral"/>
              <w:keepLines w:val="0"/>
              <w:cnfStyle w:val="000000000000" w:firstRow="0" w:lastRow="0" w:firstColumn="0" w:lastColumn="0" w:oddVBand="0" w:evenVBand="0" w:oddHBand="0" w:evenHBand="0" w:firstRowFirstColumn="0" w:firstRowLastColumn="0" w:lastRowFirstColumn="0" w:lastRowLastColumn="0"/>
            </w:pPr>
            <w:r w:rsidRPr="007A027B">
              <w:t>2</w:t>
            </w:r>
            <w:r>
              <w:t>,</w:t>
            </w:r>
            <w:r w:rsidRPr="007A027B">
              <w:t>264</w:t>
            </w:r>
            <w:r>
              <w:t>,</w:t>
            </w:r>
            <w:r w:rsidRPr="007A027B">
              <w:t>757</w:t>
            </w:r>
          </w:p>
        </w:tc>
        <w:tc>
          <w:tcPr>
            <w:tcW w:w="284" w:type="dxa"/>
            <w:tcBorders>
              <w:top w:val="nil"/>
              <w:bottom w:val="nil"/>
            </w:tcBorders>
            <w:shd w:val="clear" w:color="auto" w:fill="auto"/>
            <w:vAlign w:val="center"/>
          </w:tcPr>
          <w:p w14:paraId="7E0C372F" w14:textId="77777777" w:rsidR="008B7E19" w:rsidRPr="00BC1030" w:rsidRDefault="008B7E19" w:rsidP="008B7E19">
            <w:pPr>
              <w:pStyle w:val="08-Tabelageral"/>
              <w:keepLines w:val="0"/>
              <w:cnfStyle w:val="000000000000" w:firstRow="0" w:lastRow="0" w:firstColumn="0" w:lastColumn="0" w:oddVBand="0" w:evenVBand="0" w:oddHBand="0" w:evenHBand="0" w:firstRowFirstColumn="0" w:firstRowLastColumn="0" w:lastRowFirstColumn="0" w:lastRowLastColumn="0"/>
            </w:pPr>
          </w:p>
        </w:tc>
        <w:tc>
          <w:tcPr>
            <w:tcW w:w="1134" w:type="dxa"/>
            <w:tcBorders>
              <w:top w:val="nil"/>
              <w:bottom w:val="nil"/>
            </w:tcBorders>
            <w:shd w:val="clear" w:color="auto" w:fill="auto"/>
            <w:vAlign w:val="center"/>
          </w:tcPr>
          <w:p w14:paraId="35AE09A6" w14:textId="77777777" w:rsidR="008B7E19" w:rsidRPr="00BC1030" w:rsidRDefault="008B7E19" w:rsidP="008B7E19">
            <w:pPr>
              <w:pStyle w:val="08-Tabelageral"/>
              <w:keepLines w:val="0"/>
              <w:cnfStyle w:val="000000000000" w:firstRow="0" w:lastRow="0" w:firstColumn="0" w:lastColumn="0" w:oddVBand="0" w:evenVBand="0" w:oddHBand="0" w:evenHBand="0" w:firstRowFirstColumn="0" w:firstRowLastColumn="0" w:lastRowFirstColumn="0" w:lastRowLastColumn="0"/>
            </w:pPr>
            <w:r>
              <w:rPr>
                <w:rFonts w:cs="Arial"/>
                <w:szCs w:val="14"/>
                <w:lang w:eastAsia="en-US"/>
              </w:rPr>
              <w:t>1,760,473</w:t>
            </w:r>
          </w:p>
        </w:tc>
        <w:tc>
          <w:tcPr>
            <w:tcW w:w="1417" w:type="dxa"/>
            <w:tcBorders>
              <w:top w:val="nil"/>
              <w:bottom w:val="nil"/>
            </w:tcBorders>
            <w:shd w:val="clear" w:color="auto" w:fill="auto"/>
            <w:vAlign w:val="center"/>
          </w:tcPr>
          <w:p w14:paraId="70B4FDA4" w14:textId="77777777" w:rsidR="008B7E19" w:rsidRPr="00BC1030" w:rsidRDefault="008B7E19" w:rsidP="008B7E19">
            <w:pPr>
              <w:pStyle w:val="08-Tabelageral"/>
              <w:keepLines w:val="0"/>
              <w:cnfStyle w:val="000000000000" w:firstRow="0" w:lastRow="0" w:firstColumn="0" w:lastColumn="0" w:oddVBand="0" w:evenVBand="0" w:oddHBand="0" w:evenHBand="0" w:firstRowFirstColumn="0" w:firstRowLastColumn="0" w:lastRowFirstColumn="0" w:lastRowLastColumn="0"/>
            </w:pPr>
            <w:r>
              <w:rPr>
                <w:rFonts w:cs="Arial"/>
                <w:szCs w:val="14"/>
                <w:lang w:eastAsia="en-US"/>
              </w:rPr>
              <w:t>1,787,547</w:t>
            </w:r>
          </w:p>
        </w:tc>
      </w:tr>
      <w:tr w:rsidR="008B7E19" w:rsidRPr="00BC1030" w14:paraId="1713C7E5" w14:textId="77777777" w:rsidTr="008B7E19">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2835" w:type="dxa"/>
            <w:gridSpan w:val="2"/>
            <w:tcBorders>
              <w:top w:val="nil"/>
              <w:bottom w:val="single" w:sz="2" w:space="0" w:color="1F4E79" w:themeColor="accent1" w:themeShade="80"/>
            </w:tcBorders>
            <w:shd w:val="clear" w:color="auto" w:fill="auto"/>
          </w:tcPr>
          <w:p w14:paraId="6C69EC42" w14:textId="77777777" w:rsidR="008B7E19" w:rsidRPr="00F73A24" w:rsidRDefault="008B7E19" w:rsidP="008B7E19">
            <w:pPr>
              <w:pStyle w:val="08-Tabelageral"/>
              <w:keepLines w:val="0"/>
              <w:jc w:val="left"/>
              <w:rPr>
                <w:b w:val="0"/>
              </w:rPr>
            </w:pPr>
            <w:r w:rsidRPr="00F73A24">
              <w:rPr>
                <w:b w:val="0"/>
              </w:rPr>
              <w:t>Other liabilities</w:t>
            </w:r>
          </w:p>
        </w:tc>
        <w:tc>
          <w:tcPr>
            <w:tcW w:w="993" w:type="dxa"/>
            <w:tcBorders>
              <w:top w:val="nil"/>
              <w:bottom w:val="single" w:sz="2" w:space="0" w:color="1F4E79" w:themeColor="accent1" w:themeShade="80"/>
            </w:tcBorders>
            <w:shd w:val="clear" w:color="auto" w:fill="auto"/>
            <w:vAlign w:val="center"/>
          </w:tcPr>
          <w:p w14:paraId="36999B02" w14:textId="77777777" w:rsidR="008B7E19" w:rsidRPr="00BC1030" w:rsidRDefault="008B7E19" w:rsidP="008B7E19">
            <w:pPr>
              <w:pStyle w:val="08-Tabelageral"/>
              <w:keepLines w:val="0"/>
              <w:jc w:val="center"/>
              <w:cnfStyle w:val="000000100000" w:firstRow="0" w:lastRow="0" w:firstColumn="0" w:lastColumn="0" w:oddVBand="0" w:evenVBand="0" w:oddHBand="1" w:evenHBand="0" w:firstRowFirstColumn="0" w:firstRowLastColumn="0" w:lastRowFirstColumn="0" w:lastRowLastColumn="0"/>
            </w:pPr>
            <w:r w:rsidRPr="00BC1030">
              <w:t>[24]</w:t>
            </w:r>
          </w:p>
        </w:tc>
        <w:tc>
          <w:tcPr>
            <w:tcW w:w="1559" w:type="dxa"/>
            <w:tcBorders>
              <w:top w:val="nil"/>
              <w:bottom w:val="single" w:sz="2" w:space="0" w:color="1F4E79" w:themeColor="accent1" w:themeShade="80"/>
            </w:tcBorders>
            <w:shd w:val="clear" w:color="auto" w:fill="auto"/>
          </w:tcPr>
          <w:p w14:paraId="3DDC7F75" w14:textId="77777777" w:rsidR="008B7E19" w:rsidRPr="00BC1030" w:rsidRDefault="008B7E19" w:rsidP="008B7E19">
            <w:pPr>
              <w:pStyle w:val="08-Tabelageral"/>
              <w:keepLines w:val="0"/>
              <w:cnfStyle w:val="000000100000" w:firstRow="0" w:lastRow="0" w:firstColumn="0" w:lastColumn="0" w:oddVBand="0" w:evenVBand="0" w:oddHBand="1" w:evenHBand="0" w:firstRowFirstColumn="0" w:firstRowLastColumn="0" w:lastRowFirstColumn="0" w:lastRowLastColumn="0"/>
            </w:pPr>
            <w:r w:rsidRPr="007A027B">
              <w:t>82</w:t>
            </w:r>
            <w:r>
              <w:t>,</w:t>
            </w:r>
            <w:r w:rsidRPr="007A027B">
              <w:t>562</w:t>
            </w:r>
          </w:p>
        </w:tc>
        <w:tc>
          <w:tcPr>
            <w:tcW w:w="1417" w:type="dxa"/>
            <w:tcBorders>
              <w:top w:val="nil"/>
              <w:bottom w:val="single" w:sz="2" w:space="0" w:color="1F4E79" w:themeColor="accent1" w:themeShade="80"/>
            </w:tcBorders>
            <w:shd w:val="clear" w:color="auto" w:fill="auto"/>
          </w:tcPr>
          <w:p w14:paraId="4F127C47" w14:textId="77777777" w:rsidR="008B7E19" w:rsidRPr="00BC1030" w:rsidRDefault="008B7E19" w:rsidP="008B7E19">
            <w:pPr>
              <w:pStyle w:val="08-Tabelageral"/>
              <w:keepLines w:val="0"/>
              <w:cnfStyle w:val="000000100000" w:firstRow="0" w:lastRow="0" w:firstColumn="0" w:lastColumn="0" w:oddVBand="0" w:evenVBand="0" w:oddHBand="1" w:evenHBand="0" w:firstRowFirstColumn="0" w:firstRowLastColumn="0" w:lastRowFirstColumn="0" w:lastRowLastColumn="0"/>
            </w:pPr>
            <w:r w:rsidRPr="007A027B">
              <w:t>--</w:t>
            </w:r>
          </w:p>
        </w:tc>
        <w:tc>
          <w:tcPr>
            <w:tcW w:w="284" w:type="dxa"/>
            <w:tcBorders>
              <w:top w:val="nil"/>
              <w:bottom w:val="single" w:sz="2" w:space="0" w:color="1F4E79" w:themeColor="accent1" w:themeShade="80"/>
            </w:tcBorders>
            <w:shd w:val="clear" w:color="auto" w:fill="auto"/>
            <w:vAlign w:val="center"/>
          </w:tcPr>
          <w:p w14:paraId="1336824B" w14:textId="77777777" w:rsidR="008B7E19" w:rsidRPr="00BC1030" w:rsidRDefault="008B7E19" w:rsidP="008B7E19">
            <w:pPr>
              <w:pStyle w:val="08-Tabelageral"/>
              <w:keepLines w:val="0"/>
              <w:cnfStyle w:val="000000100000" w:firstRow="0" w:lastRow="0" w:firstColumn="0" w:lastColumn="0" w:oddVBand="0" w:evenVBand="0" w:oddHBand="1" w:evenHBand="0" w:firstRowFirstColumn="0" w:firstRowLastColumn="0" w:lastRowFirstColumn="0" w:lastRowLastColumn="0"/>
            </w:pPr>
          </w:p>
        </w:tc>
        <w:tc>
          <w:tcPr>
            <w:tcW w:w="1134" w:type="dxa"/>
            <w:tcBorders>
              <w:top w:val="nil"/>
              <w:bottom w:val="single" w:sz="2" w:space="0" w:color="1F4E79" w:themeColor="accent1" w:themeShade="80"/>
            </w:tcBorders>
            <w:shd w:val="clear" w:color="auto" w:fill="auto"/>
            <w:vAlign w:val="center"/>
          </w:tcPr>
          <w:p w14:paraId="2D312A33" w14:textId="77777777" w:rsidR="008B7E19" w:rsidRPr="00BC1030" w:rsidRDefault="008B7E19" w:rsidP="008B7E19">
            <w:pPr>
              <w:pStyle w:val="08-Tabelageral"/>
              <w:keepLines w:val="0"/>
              <w:cnfStyle w:val="000000100000" w:firstRow="0" w:lastRow="0" w:firstColumn="0" w:lastColumn="0" w:oddVBand="0" w:evenVBand="0" w:oddHBand="1" w:evenHBand="0" w:firstRowFirstColumn="0" w:firstRowLastColumn="0" w:lastRowFirstColumn="0" w:lastRowLastColumn="0"/>
            </w:pPr>
            <w:r>
              <w:rPr>
                <w:rFonts w:cs="Arial"/>
                <w:szCs w:val="14"/>
                <w:lang w:eastAsia="en-US"/>
              </w:rPr>
              <w:t>105,363</w:t>
            </w:r>
          </w:p>
        </w:tc>
        <w:tc>
          <w:tcPr>
            <w:tcW w:w="1417" w:type="dxa"/>
            <w:tcBorders>
              <w:top w:val="nil"/>
              <w:bottom w:val="single" w:sz="2" w:space="0" w:color="1F4E79" w:themeColor="accent1" w:themeShade="80"/>
            </w:tcBorders>
            <w:shd w:val="clear" w:color="auto" w:fill="auto"/>
            <w:vAlign w:val="center"/>
          </w:tcPr>
          <w:p w14:paraId="522CADC9" w14:textId="77777777" w:rsidR="008B7E19" w:rsidRPr="00BC1030" w:rsidRDefault="008B7E19" w:rsidP="008B7E19">
            <w:pPr>
              <w:pStyle w:val="08-Tabelageral"/>
              <w:keepLines w:val="0"/>
              <w:cnfStyle w:val="000000100000" w:firstRow="0" w:lastRow="0" w:firstColumn="0" w:lastColumn="0" w:oddVBand="0" w:evenVBand="0" w:oddHBand="1" w:evenHBand="0" w:firstRowFirstColumn="0" w:firstRowLastColumn="0" w:lastRowFirstColumn="0" w:lastRowLastColumn="0"/>
            </w:pPr>
            <w:r>
              <w:rPr>
                <w:rFonts w:cs="Arial"/>
                <w:szCs w:val="14"/>
                <w:lang w:eastAsia="en-US"/>
              </w:rPr>
              <w:t>--</w:t>
            </w:r>
          </w:p>
        </w:tc>
      </w:tr>
    </w:tbl>
    <w:p w14:paraId="6CE867CB" w14:textId="77777777" w:rsidR="008B7E19" w:rsidRPr="00993FCA" w:rsidRDefault="008B7E19" w:rsidP="008B7E19">
      <w:pPr>
        <w:pStyle w:val="07-Legenda1"/>
        <w:rPr>
          <w:sz w:val="18"/>
          <w:szCs w:val="18"/>
          <w:lang w:val="en-US"/>
        </w:rPr>
      </w:pPr>
      <w:r w:rsidRPr="00993FCA">
        <w:rPr>
          <w:lang w:val="en"/>
        </w:rPr>
        <w:t>(</w:t>
      </w:r>
      <w:r>
        <w:rPr>
          <w:lang w:val="en"/>
        </w:rPr>
        <w:t>1)</w:t>
      </w:r>
      <w:r>
        <w:rPr>
          <w:lang w:val="en"/>
        </w:rPr>
        <w:tab/>
      </w:r>
      <w:r w:rsidRPr="007549B5">
        <w:rPr>
          <w:lang w:val="en"/>
        </w:rPr>
        <w:t>Unearned commissions refer to brokerage revenues to be recognized over the course of the insurance contracts, and such revenues will be realized over the term of these operations, and whose corresponding amounts are received, in large part, before that date.</w:t>
      </w:r>
      <w:r w:rsidRPr="00993FCA">
        <w:rPr>
          <w:lang w:val="en"/>
        </w:rPr>
        <w:t xml:space="preserve"> </w:t>
      </w:r>
      <w:r w:rsidRPr="007549B5">
        <w:rPr>
          <w:lang w:val="en"/>
        </w:rPr>
        <w:t>Therefore, in general, commissions to be appropriated do not represent amounts to be disbursed and, consequently, do not generate relevant impacts on the company's liquidity.</w:t>
      </w:r>
    </w:p>
    <w:bookmarkEnd w:id="24"/>
    <w:p w14:paraId="2AE2BB27" w14:textId="77777777" w:rsidR="008B7E19" w:rsidRPr="000B292D" w:rsidRDefault="008B7E19" w:rsidP="008B7E19">
      <w:pPr>
        <w:pStyle w:val="05-Textonormal"/>
        <w:rPr>
          <w:b/>
          <w:color w:val="1F4E79" w:themeColor="accent1" w:themeShade="80"/>
          <w:lang w:val="en-US"/>
        </w:rPr>
      </w:pPr>
      <w:r w:rsidRPr="000B292D">
        <w:rPr>
          <w:b/>
          <w:color w:val="1F4E79" w:themeColor="accent1" w:themeShade="80"/>
          <w:lang w:val="en-US"/>
        </w:rPr>
        <w:t>b) Risk Governance applied to Affiliated Companies</w:t>
      </w:r>
    </w:p>
    <w:p w14:paraId="573289EE" w14:textId="77777777" w:rsidR="008B7E19" w:rsidRPr="00993FCA" w:rsidRDefault="008B7E19" w:rsidP="008B7E19">
      <w:pPr>
        <w:pStyle w:val="05-Textonormal"/>
        <w:rPr>
          <w:lang w:val="en-US"/>
        </w:rPr>
      </w:pPr>
      <w:r w:rsidRPr="007B5BEB">
        <w:rPr>
          <w:lang w:val="en-US"/>
        </w:rPr>
        <w:t>BB Seguridade's affiliated companies maintain their own risk management structures compatible with the nature and complexity of their businesses, being</w:t>
      </w:r>
      <w:r w:rsidRPr="007B5BEB">
        <w:rPr>
          <w:lang w:val="en"/>
        </w:rPr>
        <w:t xml:space="preserve"> regulated by the Superintendence of Private Insurance (Susep), in accordance with the requirements established in CNSP Resolution</w:t>
      </w:r>
      <w:r>
        <w:rPr>
          <w:lang w:val="en"/>
        </w:rPr>
        <w:t>s</w:t>
      </w:r>
      <w:r w:rsidRPr="007B5BEB">
        <w:rPr>
          <w:lang w:val="en"/>
        </w:rPr>
        <w:t xml:space="preserve"> </w:t>
      </w:r>
      <w:r w:rsidRPr="00E328A2">
        <w:rPr>
          <w:lang w:val="en"/>
        </w:rPr>
        <w:t xml:space="preserve">416/2021 </w:t>
      </w:r>
      <w:r>
        <w:rPr>
          <w:lang w:val="en"/>
        </w:rPr>
        <w:t xml:space="preserve">and </w:t>
      </w:r>
      <w:r w:rsidRPr="007B5BEB">
        <w:rPr>
          <w:lang w:val="en"/>
        </w:rPr>
        <w:t>432/2021 and subsequent amendments and Susep Circular 648/2021 and subsequent amendments.</w:t>
      </w:r>
      <w:r>
        <w:rPr>
          <w:lang w:val="en"/>
        </w:rPr>
        <w:t xml:space="preserve"> For companies regulated by the National Supplementary Health Agency (ANS), Normative Resolution 518/2022 provides for the adoption of minimum corporate governance practices, with an emphasis on internal controls and risk management, for the purposes of solvency of health care plans operators.</w:t>
      </w:r>
    </w:p>
    <w:p w14:paraId="48E2433B" w14:textId="77777777" w:rsidR="008B7E19" w:rsidRDefault="008B7E19" w:rsidP="008B7E19">
      <w:pPr>
        <w:pStyle w:val="05-Textonormal"/>
        <w:rPr>
          <w:lang w:val="en"/>
        </w:rPr>
      </w:pPr>
      <w:r w:rsidRPr="00993FCA">
        <w:rPr>
          <w:lang w:val="en-US"/>
        </w:rPr>
        <w:t>CNSP</w:t>
      </w:r>
      <w:r w:rsidRPr="00993FCA">
        <w:rPr>
          <w:lang w:val="en"/>
        </w:rPr>
        <w:t xml:space="preserve"> Resolution No. 416/2021 </w:t>
      </w:r>
      <w:r w:rsidRPr="003300B9">
        <w:rPr>
          <w:lang w:val="en-US"/>
        </w:rPr>
        <w:t>and subsequent amendments</w:t>
      </w:r>
      <w:r w:rsidRPr="00993FCA">
        <w:rPr>
          <w:lang w:val="en"/>
        </w:rPr>
        <w:t xml:space="preserve"> informs about the integration of the Internal Controls System to the Risk Management Structure of investments, with the obligation to have a statutory Director responsible for internal controls and compliance, in addition to the need for specific policies on managed risks, and a statutory risk committee with the presence of independent members.</w:t>
      </w:r>
    </w:p>
    <w:p w14:paraId="2B3A0B1F" w14:textId="77777777" w:rsidR="008B7E19" w:rsidRPr="007A2C34" w:rsidRDefault="008B7E19" w:rsidP="008B7E19">
      <w:pPr>
        <w:pStyle w:val="05-Textonormal"/>
        <w:rPr>
          <w:lang w:val="en-US"/>
        </w:rPr>
      </w:pPr>
      <w:r w:rsidRPr="007A2C34">
        <w:rPr>
          <w:lang w:val="en-US"/>
        </w:rPr>
        <w:t xml:space="preserve">Circular Susep 666/2022 provides for </w:t>
      </w:r>
      <w:r>
        <w:rPr>
          <w:lang w:val="en-US"/>
        </w:rPr>
        <w:t>s</w:t>
      </w:r>
      <w:r w:rsidRPr="007A2C34">
        <w:rPr>
          <w:lang w:val="en-US"/>
        </w:rPr>
        <w:t>ustainability re</w:t>
      </w:r>
      <w:r>
        <w:rPr>
          <w:lang w:val="en-US"/>
        </w:rPr>
        <w:t>quirements, to be observed by insurance companies, open private pension entities (EAPCs), capitalization companies and local reinsurers.</w:t>
      </w:r>
    </w:p>
    <w:p w14:paraId="6CC9722F" w14:textId="77777777" w:rsidR="008B7E19" w:rsidRPr="00993FCA" w:rsidRDefault="008B7E19" w:rsidP="008B7E19">
      <w:pPr>
        <w:pStyle w:val="05-Textonormal"/>
        <w:rPr>
          <w:lang w:val="en-US"/>
        </w:rPr>
      </w:pPr>
      <w:r w:rsidRPr="00993FCA">
        <w:rPr>
          <w:lang w:val="en"/>
        </w:rPr>
        <w:t>Based on the results of the work carried out by the investees, BB Seguridade continuously monitors and assesses the levels of risk exposure, acting, via governance, to ensure the adoption of the best risk management practices in its investees.</w:t>
      </w:r>
    </w:p>
    <w:p w14:paraId="072E71AF" w14:textId="77777777" w:rsidR="008B7E19" w:rsidRPr="000B292D" w:rsidRDefault="008B7E19" w:rsidP="008B7E19">
      <w:pPr>
        <w:pStyle w:val="05-Textonormal"/>
        <w:rPr>
          <w:b/>
          <w:color w:val="1F4E79" w:themeColor="accent1" w:themeShade="80"/>
          <w:lang w:val="en-US"/>
        </w:rPr>
      </w:pPr>
      <w:r w:rsidRPr="000B292D">
        <w:rPr>
          <w:b/>
          <w:color w:val="1F4E79" w:themeColor="accent1" w:themeShade="80"/>
          <w:lang w:val="en-US"/>
        </w:rPr>
        <w:t>b.1) Liquidity, solvency, and capital management</w:t>
      </w:r>
    </w:p>
    <w:p w14:paraId="1BCBFCC0" w14:textId="77777777" w:rsidR="008B7E19" w:rsidRDefault="008B7E19" w:rsidP="008B7E19">
      <w:pPr>
        <w:pStyle w:val="05-Textonormal"/>
        <w:rPr>
          <w:lang w:val="en-US"/>
        </w:rPr>
      </w:pPr>
      <w:r w:rsidRPr="00993FCA">
        <w:rPr>
          <w:lang w:val="en-US"/>
        </w:rPr>
        <w:t xml:space="preserve">In the capital management of affiliated companies supervised by Susep, the main indicator used is the Minimum Required Capital (CMR), which represents the total capital that a company must maintain, at any time, to operate, and aims to guarantee the risks inherent to its </w:t>
      </w:r>
      <w:r w:rsidRPr="007A2C34">
        <w:rPr>
          <w:lang w:val="en-US"/>
        </w:rPr>
        <w:t>operations, as regulated by CNSP Resolution 432/2021</w:t>
      </w:r>
      <w:r>
        <w:rPr>
          <w:lang w:val="en-US"/>
        </w:rPr>
        <w:t xml:space="preserve"> </w:t>
      </w:r>
      <w:r w:rsidRPr="003300B9">
        <w:rPr>
          <w:lang w:val="en-US"/>
        </w:rPr>
        <w:t>and subsequent amendments</w:t>
      </w:r>
      <w:r w:rsidRPr="007A2C34">
        <w:rPr>
          <w:lang w:val="en-US"/>
        </w:rPr>
        <w:t>.</w:t>
      </w:r>
    </w:p>
    <w:p w14:paraId="7BAC11BC" w14:textId="77777777" w:rsidR="008B7E19" w:rsidRPr="00993FCA" w:rsidRDefault="008B7E19" w:rsidP="008B7E19">
      <w:pPr>
        <w:pStyle w:val="05-Textonormal"/>
        <w:rPr>
          <w:rStyle w:val="hps"/>
          <w:lang w:val="en-US"/>
        </w:rPr>
      </w:pPr>
      <w:r w:rsidRPr="00993FCA">
        <w:rPr>
          <w:rStyle w:val="hps"/>
          <w:lang w:val="en-US"/>
        </w:rPr>
        <w:t>CMR</w:t>
      </w:r>
      <w:r w:rsidRPr="00993FCA">
        <w:rPr>
          <w:lang w:val="en-US"/>
        </w:rPr>
        <w:t xml:space="preserve"> </w:t>
      </w:r>
      <w:r w:rsidRPr="00993FCA">
        <w:rPr>
          <w:rStyle w:val="hps"/>
          <w:lang w:val="en-US"/>
        </w:rPr>
        <w:t>is</w:t>
      </w:r>
      <w:r w:rsidRPr="00993FCA">
        <w:rPr>
          <w:lang w:val="en-US"/>
        </w:rPr>
        <w:t xml:space="preserve"> </w:t>
      </w:r>
      <w:r w:rsidRPr="00993FCA">
        <w:rPr>
          <w:rStyle w:val="hps"/>
          <w:lang w:val="en-US"/>
        </w:rPr>
        <w:t>composed of</w:t>
      </w:r>
      <w:r w:rsidRPr="00993FCA">
        <w:rPr>
          <w:lang w:val="en-US"/>
        </w:rPr>
        <w:t xml:space="preserve"> </w:t>
      </w:r>
      <w:r w:rsidRPr="00993FCA">
        <w:rPr>
          <w:rStyle w:val="hps"/>
          <w:lang w:val="en-US"/>
        </w:rPr>
        <w:t>portions relating</w:t>
      </w:r>
      <w:r w:rsidRPr="00993FCA">
        <w:rPr>
          <w:lang w:val="en-US"/>
        </w:rPr>
        <w:t xml:space="preserve"> </w:t>
      </w:r>
      <w:r w:rsidRPr="00993FCA">
        <w:rPr>
          <w:rStyle w:val="hps"/>
          <w:lang w:val="en-US"/>
        </w:rPr>
        <w:t>to</w:t>
      </w:r>
      <w:r w:rsidRPr="00993FCA">
        <w:rPr>
          <w:lang w:val="en-US"/>
        </w:rPr>
        <w:t xml:space="preserve"> </w:t>
      </w:r>
      <w:r w:rsidRPr="00993FCA">
        <w:rPr>
          <w:rStyle w:val="hps"/>
          <w:lang w:val="en-US"/>
        </w:rPr>
        <w:t>underwriting</w:t>
      </w:r>
      <w:r w:rsidRPr="00993FCA">
        <w:rPr>
          <w:lang w:val="en-US"/>
        </w:rPr>
        <w:t xml:space="preserve">, credit, </w:t>
      </w:r>
      <w:r w:rsidRPr="00993FCA">
        <w:rPr>
          <w:rStyle w:val="hps"/>
          <w:lang w:val="en-US"/>
        </w:rPr>
        <w:t>operational and</w:t>
      </w:r>
      <w:r w:rsidRPr="00993FCA">
        <w:rPr>
          <w:lang w:val="en-US"/>
        </w:rPr>
        <w:t xml:space="preserve"> </w:t>
      </w:r>
      <w:r w:rsidRPr="00993FCA">
        <w:rPr>
          <w:rStyle w:val="hps"/>
          <w:lang w:val="en-US"/>
        </w:rPr>
        <w:t xml:space="preserve">market risks, and the solvency capital requirement adequacy is measured using the Adjusted Net Equity (PLA) of the entity, which must be equal to or above the calculated CMR. </w:t>
      </w:r>
    </w:p>
    <w:p w14:paraId="13315E26" w14:textId="77777777" w:rsidR="008B7E19" w:rsidRPr="00993FCA" w:rsidRDefault="008B7E19" w:rsidP="008B7E19">
      <w:pPr>
        <w:pStyle w:val="05-Textonormal"/>
        <w:rPr>
          <w:rFonts w:cs="Arial"/>
          <w:lang w:val="en-US"/>
        </w:rPr>
      </w:pPr>
      <w:r w:rsidRPr="00993FCA">
        <w:rPr>
          <w:rStyle w:val="hps"/>
          <w:lang w:val="en-US"/>
        </w:rPr>
        <w:t xml:space="preserve">CNSP Resolution 432/2021 </w:t>
      </w:r>
      <w:r w:rsidRPr="003300B9">
        <w:rPr>
          <w:rStyle w:val="hps"/>
          <w:lang w:val="en-US"/>
        </w:rPr>
        <w:t>and subsequent amendments</w:t>
      </w:r>
      <w:r>
        <w:rPr>
          <w:rStyle w:val="hps"/>
          <w:lang w:val="en-US"/>
        </w:rPr>
        <w:t xml:space="preserve"> </w:t>
      </w:r>
      <w:r w:rsidRPr="00993FCA">
        <w:rPr>
          <w:rStyle w:val="hps"/>
          <w:lang w:val="en-US"/>
        </w:rPr>
        <w:t xml:space="preserve">establishes technical provisions calculation models and requires additional liquid assets to maintain the company's liquidity. </w:t>
      </w:r>
      <w:r w:rsidRPr="00993FCA">
        <w:rPr>
          <w:lang w:val="en"/>
        </w:rPr>
        <w:t>In addition, it contains criteria for the preparation of solvency and liquidity regularization plans in cases of regulatory non-compliance. It is important to highlight that the investees, according to guidelines defined by the Group, do not have an appetite for the risk of non-compliance with regulatory solvency.</w:t>
      </w:r>
    </w:p>
    <w:p w14:paraId="67F58D3A" w14:textId="77777777" w:rsidR="008B7E19" w:rsidRPr="00993FCA" w:rsidRDefault="008B7E19" w:rsidP="008B7E19">
      <w:pPr>
        <w:pStyle w:val="05-Textonormal"/>
        <w:rPr>
          <w:rStyle w:val="hps"/>
          <w:lang w:val="en-US"/>
        </w:rPr>
      </w:pPr>
      <w:r w:rsidRPr="00993FCA">
        <w:rPr>
          <w:rFonts w:cs="Arial"/>
          <w:lang w:val="en-US"/>
        </w:rPr>
        <w:t>For companies regulated by the National Agency of Supplementary Health (</w:t>
      </w:r>
      <w:r w:rsidRPr="00993FCA">
        <w:rPr>
          <w:lang w:val="en-US"/>
        </w:rPr>
        <w:t xml:space="preserve">ANS), there are </w:t>
      </w:r>
      <w:r w:rsidRPr="00993FCA">
        <w:rPr>
          <w:rStyle w:val="hps"/>
          <w:lang w:val="en-US"/>
        </w:rPr>
        <w:t>rules</w:t>
      </w:r>
      <w:r w:rsidRPr="00993FCA">
        <w:rPr>
          <w:lang w:val="en-US"/>
        </w:rPr>
        <w:t xml:space="preserve"> </w:t>
      </w:r>
      <w:r w:rsidRPr="00993FCA">
        <w:rPr>
          <w:rStyle w:val="hps"/>
          <w:lang w:val="en-US"/>
        </w:rPr>
        <w:t>for</w:t>
      </w:r>
      <w:r w:rsidRPr="00993FCA">
        <w:rPr>
          <w:lang w:val="en-US"/>
        </w:rPr>
        <w:t xml:space="preserve"> </w:t>
      </w:r>
      <w:r w:rsidRPr="00993FCA">
        <w:rPr>
          <w:rStyle w:val="hps"/>
          <w:lang w:val="en-US"/>
        </w:rPr>
        <w:t>recognition of technical reserves</w:t>
      </w:r>
      <w:r w:rsidRPr="00993FCA">
        <w:rPr>
          <w:lang w:val="en-US"/>
        </w:rPr>
        <w:t>, PLA criteria and S</w:t>
      </w:r>
      <w:r w:rsidRPr="00993FCA">
        <w:rPr>
          <w:rStyle w:val="hps"/>
          <w:lang w:val="en-US"/>
        </w:rPr>
        <w:t>olvency Margin</w:t>
      </w:r>
      <w:r w:rsidRPr="00993FCA">
        <w:rPr>
          <w:lang w:val="en-US"/>
        </w:rPr>
        <w:t xml:space="preserve"> </w:t>
      </w:r>
      <w:r w:rsidRPr="00993FCA">
        <w:rPr>
          <w:rStyle w:val="hps"/>
          <w:lang w:val="en-US"/>
        </w:rPr>
        <w:t>criteria</w:t>
      </w:r>
      <w:r w:rsidRPr="00993FCA">
        <w:rPr>
          <w:lang w:val="en-US"/>
        </w:rPr>
        <w:t xml:space="preserve"> </w:t>
      </w:r>
      <w:r w:rsidRPr="00993FCA">
        <w:rPr>
          <w:rStyle w:val="hps"/>
          <w:lang w:val="en-US"/>
        </w:rPr>
        <w:t>according to</w:t>
      </w:r>
      <w:r w:rsidRPr="00993FCA">
        <w:rPr>
          <w:lang w:val="en-US"/>
        </w:rPr>
        <w:t xml:space="preserve"> </w:t>
      </w:r>
      <w:r w:rsidRPr="00993FCA">
        <w:rPr>
          <w:rStyle w:val="hps"/>
          <w:lang w:val="en-US"/>
        </w:rPr>
        <w:t>Regulatory Resolution</w:t>
      </w:r>
      <w:r w:rsidRPr="00993FCA">
        <w:rPr>
          <w:lang w:val="en-US"/>
        </w:rPr>
        <w:t xml:space="preserve"> </w:t>
      </w:r>
      <w:r>
        <w:rPr>
          <w:lang w:val="en-US"/>
        </w:rPr>
        <w:t>569</w:t>
      </w:r>
      <w:r w:rsidRPr="00993FCA">
        <w:rPr>
          <w:rStyle w:val="hps"/>
          <w:lang w:val="en-US"/>
        </w:rPr>
        <w:t>/202</w:t>
      </w:r>
      <w:r>
        <w:rPr>
          <w:rStyle w:val="hps"/>
          <w:lang w:val="en-US"/>
        </w:rPr>
        <w:t>2</w:t>
      </w:r>
      <w:r w:rsidRPr="00993FCA">
        <w:rPr>
          <w:rStyle w:val="hps"/>
          <w:lang w:val="en-US"/>
        </w:rPr>
        <w:t>.</w:t>
      </w:r>
    </w:p>
    <w:p w14:paraId="5237D777" w14:textId="77777777" w:rsidR="008B7E19" w:rsidRPr="00993FCA" w:rsidRDefault="008B7E19" w:rsidP="008B7E19">
      <w:pPr>
        <w:pStyle w:val="05-Textonormal"/>
        <w:rPr>
          <w:rFonts w:cs="Arial"/>
          <w:lang w:val="en-US"/>
        </w:rPr>
      </w:pPr>
      <w:r w:rsidRPr="00993FCA">
        <w:rPr>
          <w:rFonts w:cs="Arial"/>
          <w:lang w:val="en-US"/>
        </w:rPr>
        <w:t>For investments, where minimum capital is required, there is a search for maintaining additional capital to the regulatory one, to minimize the chances of non-compliance with the required amounts and in line with the risk appetite defined by their Board of Directors.</w:t>
      </w:r>
    </w:p>
    <w:p w14:paraId="4351D190" w14:textId="77777777" w:rsidR="008B7E19" w:rsidRPr="000B292D" w:rsidRDefault="008B7E19" w:rsidP="008B7E19">
      <w:pPr>
        <w:pStyle w:val="05-Textonormal"/>
        <w:rPr>
          <w:rStyle w:val="hps"/>
          <w:lang w:val="en-US"/>
        </w:rPr>
      </w:pPr>
      <w:r w:rsidRPr="000B292D">
        <w:rPr>
          <w:rStyle w:val="hps"/>
          <w:lang w:val="en-US"/>
        </w:rPr>
        <w:t xml:space="preserve">On </w:t>
      </w:r>
      <w:r>
        <w:rPr>
          <w:rStyle w:val="hps"/>
          <w:lang w:val="en-US"/>
        </w:rPr>
        <w:t>June</w:t>
      </w:r>
      <w:r w:rsidRPr="000B292D">
        <w:rPr>
          <w:rStyle w:val="hps"/>
          <w:lang w:val="en-US"/>
        </w:rPr>
        <w:t xml:space="preserve"> 3</w:t>
      </w:r>
      <w:r>
        <w:rPr>
          <w:rStyle w:val="hps"/>
          <w:lang w:val="en-US"/>
        </w:rPr>
        <w:t>0</w:t>
      </w:r>
      <w:r w:rsidRPr="000B292D">
        <w:rPr>
          <w:rStyle w:val="hps"/>
          <w:lang w:val="en-US"/>
        </w:rPr>
        <w:t>, 2023, considering the data provided by each investee, all companies in which BB Seguridade holds interests and that are subject to regulatory capital requirements, had sufficient capital, solvency, and coverage of technical provisions, in accordance with current legislation applicable.</w:t>
      </w:r>
    </w:p>
    <w:p w14:paraId="71AE277D" w14:textId="0C93A9ED" w:rsidR="008B7E19" w:rsidRPr="00825509" w:rsidRDefault="008B7E19" w:rsidP="008B7E19">
      <w:pPr>
        <w:pStyle w:val="Ttulo1"/>
        <w:rPr>
          <w:b w:val="0"/>
          <w:bCs w:val="0"/>
        </w:rPr>
      </w:pPr>
      <w:bookmarkStart w:id="25" w:name="_Toc141966684"/>
      <w:r w:rsidRPr="00825509">
        <w:t>6 – SEGMENT INFORMATION</w:t>
      </w:r>
      <w:bookmarkEnd w:id="25"/>
    </w:p>
    <w:p w14:paraId="412DE7D0" w14:textId="77777777" w:rsidR="008B7E19" w:rsidRPr="00691BE2" w:rsidRDefault="008B7E19" w:rsidP="008B7E19">
      <w:pPr>
        <w:pStyle w:val="01-TtulodeNota"/>
        <w:rPr>
          <w:b w:val="0"/>
          <w:sz w:val="18"/>
          <w:szCs w:val="18"/>
          <w:lang w:val="en-US"/>
        </w:rPr>
      </w:pPr>
      <w:r w:rsidRPr="00691BE2">
        <w:rPr>
          <w:b w:val="0"/>
          <w:sz w:val="18"/>
          <w:szCs w:val="18"/>
          <w:lang w:val="en-US"/>
        </w:rPr>
        <w:t>The information by segment has been prepared considering the criteria used by Management to evaluate the performance, in decisions made regarding the allocation of funds for investment and other purposes, considering the regulatory environment and the similarities between goods and services</w:t>
      </w:r>
      <w:r>
        <w:rPr>
          <w:b w:val="0"/>
          <w:sz w:val="18"/>
          <w:szCs w:val="18"/>
          <w:lang w:val="en-US"/>
        </w:rPr>
        <w:t>,</w:t>
      </w:r>
    </w:p>
    <w:p w14:paraId="1922E4B7" w14:textId="77777777" w:rsidR="008B7E19" w:rsidRPr="00691BE2" w:rsidRDefault="008B7E19" w:rsidP="008B7E19">
      <w:pPr>
        <w:pStyle w:val="01-TtulodeNota"/>
        <w:rPr>
          <w:b w:val="0"/>
          <w:sz w:val="18"/>
          <w:szCs w:val="18"/>
          <w:lang w:val="en-US"/>
        </w:rPr>
      </w:pPr>
      <w:r w:rsidRPr="00691BE2">
        <w:rPr>
          <w:b w:val="0"/>
          <w:sz w:val="18"/>
          <w:szCs w:val="18"/>
          <w:lang w:val="en-US"/>
        </w:rPr>
        <w:t>BB Seguridade Group's operations are basically divided into two segments: i) insurance</w:t>
      </w:r>
      <w:r>
        <w:rPr>
          <w:b w:val="0"/>
          <w:sz w:val="18"/>
          <w:szCs w:val="18"/>
          <w:lang w:val="en-US"/>
        </w:rPr>
        <w:t xml:space="preserve"> (</w:t>
      </w:r>
      <w:r w:rsidRPr="005554C6">
        <w:rPr>
          <w:b w:val="0"/>
          <w:sz w:val="18"/>
          <w:szCs w:val="18"/>
          <w:lang w:val="en-US"/>
        </w:rPr>
        <w:t>risk and accumulation businesses</w:t>
      </w:r>
      <w:r>
        <w:rPr>
          <w:b w:val="0"/>
          <w:sz w:val="18"/>
          <w:szCs w:val="18"/>
          <w:lang w:val="en-US"/>
        </w:rPr>
        <w:t>)</w:t>
      </w:r>
      <w:r w:rsidRPr="00691BE2">
        <w:rPr>
          <w:b w:val="0"/>
          <w:sz w:val="18"/>
          <w:szCs w:val="18"/>
          <w:lang w:val="en-US"/>
        </w:rPr>
        <w:t>, which includes insurance operations, pension plans, capitalization and health; and ii) brokerage</w:t>
      </w:r>
      <w:r>
        <w:rPr>
          <w:b w:val="0"/>
          <w:sz w:val="18"/>
          <w:szCs w:val="18"/>
          <w:lang w:val="en-US"/>
        </w:rPr>
        <w:t xml:space="preserve"> (</w:t>
      </w:r>
      <w:r w:rsidRPr="005554C6">
        <w:rPr>
          <w:b w:val="0"/>
          <w:sz w:val="18"/>
          <w:szCs w:val="18"/>
          <w:lang w:val="en-US"/>
        </w:rPr>
        <w:t>distribution business</w:t>
      </w:r>
      <w:r>
        <w:rPr>
          <w:b w:val="0"/>
          <w:sz w:val="18"/>
          <w:szCs w:val="18"/>
          <w:lang w:val="en-US"/>
        </w:rPr>
        <w:t>).</w:t>
      </w:r>
    </w:p>
    <w:p w14:paraId="6AAD0543" w14:textId="77777777" w:rsidR="008B7E19" w:rsidRPr="00691BE2" w:rsidRDefault="008B7E19" w:rsidP="008B7E19">
      <w:pPr>
        <w:pStyle w:val="01-TtulodeNota"/>
        <w:rPr>
          <w:color w:val="1F4E79" w:themeColor="accent1" w:themeShade="80"/>
          <w:sz w:val="18"/>
          <w:lang w:val="en-US"/>
        </w:rPr>
      </w:pPr>
      <w:r w:rsidRPr="00691BE2">
        <w:rPr>
          <w:b w:val="0"/>
          <w:sz w:val="18"/>
          <w:szCs w:val="18"/>
          <w:lang w:val="en-US"/>
        </w:rPr>
        <w:t xml:space="preserve"> </w:t>
      </w:r>
      <w:r w:rsidRPr="00691BE2">
        <w:rPr>
          <w:color w:val="1F4E79" w:themeColor="accent1" w:themeShade="80"/>
          <w:sz w:val="18"/>
          <w:lang w:val="en-US"/>
        </w:rPr>
        <w:t>a) Insurance</w:t>
      </w:r>
    </w:p>
    <w:p w14:paraId="0AAFD1CE" w14:textId="77777777" w:rsidR="008B7E19" w:rsidRPr="00691BE2" w:rsidRDefault="008B7E19" w:rsidP="008B7E19">
      <w:pPr>
        <w:pStyle w:val="05-Textonormal"/>
        <w:rPr>
          <w:lang w:val="en-US"/>
        </w:rPr>
      </w:pPr>
      <w:r w:rsidRPr="00691BE2">
        <w:rPr>
          <w:lang w:val="en-US"/>
        </w:rPr>
        <w:t>In this segment, products and services offered are related to life, property and vehicle insurance, property insurance, rural, special risks and financial, transport, hulls, and housing people, supplementary pension plans, dental plans and capitalization plans</w:t>
      </w:r>
      <w:r>
        <w:rPr>
          <w:lang w:val="en-US"/>
        </w:rPr>
        <w:t>.</w:t>
      </w:r>
    </w:p>
    <w:p w14:paraId="161085FC" w14:textId="77777777" w:rsidR="008B7E19" w:rsidRDefault="008B7E19" w:rsidP="008B7E19">
      <w:pPr>
        <w:pStyle w:val="05-Textonormal"/>
        <w:rPr>
          <w:lang w:val="en-US"/>
        </w:rPr>
      </w:pPr>
      <w:r w:rsidRPr="00691BE2">
        <w:rPr>
          <w:lang w:val="en-US"/>
        </w:rPr>
        <w:t>The profit or loss from this segment derives mainly from revenues from insurance premiums, contributions to private pension plans, contributions to dental plans, capitalization bonds and investments in securities, less sales expenses, technical reserves and expenses related to claims</w:t>
      </w:r>
      <w:r>
        <w:rPr>
          <w:lang w:val="en-US"/>
        </w:rPr>
        <w:t>,</w:t>
      </w:r>
    </w:p>
    <w:p w14:paraId="12F0C63A" w14:textId="77777777" w:rsidR="008B7E19" w:rsidRPr="00691BE2" w:rsidRDefault="008B7E19" w:rsidP="008B7E19">
      <w:pPr>
        <w:pStyle w:val="05-Textonormal"/>
        <w:rPr>
          <w:lang w:val="en-US"/>
        </w:rPr>
      </w:pPr>
      <w:r w:rsidRPr="005554C6">
        <w:rPr>
          <w:lang w:val="en-US"/>
        </w:rPr>
        <w:t xml:space="preserve">The accounting record of these results is made through the equity method of investments in equity interests. Explanatory note </w:t>
      </w:r>
      <w:r>
        <w:rPr>
          <w:lang w:val="en-US"/>
        </w:rPr>
        <w:t>7</w:t>
      </w:r>
      <w:r w:rsidRPr="005554C6">
        <w:rPr>
          <w:lang w:val="en-US"/>
        </w:rPr>
        <w:t xml:space="preserve"> - Investments </w:t>
      </w:r>
      <w:r>
        <w:rPr>
          <w:lang w:val="en-US"/>
        </w:rPr>
        <w:t>i</w:t>
      </w:r>
      <w:r w:rsidRPr="005554C6">
        <w:rPr>
          <w:lang w:val="en-US"/>
        </w:rPr>
        <w:t>n Associates contains the description of Investments in Shareholdings, by Segment / Business Area.</w:t>
      </w:r>
    </w:p>
    <w:p w14:paraId="39F162F5" w14:textId="77777777" w:rsidR="008B7E19" w:rsidRPr="00320430" w:rsidRDefault="008B7E19" w:rsidP="008B7E19">
      <w:pPr>
        <w:pStyle w:val="01-TtulodeNota"/>
        <w:rPr>
          <w:color w:val="1F4E79" w:themeColor="accent1" w:themeShade="80"/>
          <w:sz w:val="18"/>
          <w:lang w:val="en-US"/>
        </w:rPr>
      </w:pPr>
      <w:r w:rsidRPr="00320430">
        <w:rPr>
          <w:color w:val="1F4E79" w:themeColor="accent1" w:themeShade="80"/>
          <w:sz w:val="18"/>
          <w:lang w:val="en-US"/>
        </w:rPr>
        <w:t>b) Brokerage</w:t>
      </w:r>
    </w:p>
    <w:p w14:paraId="7C6E1A35" w14:textId="77777777" w:rsidR="008B7E19" w:rsidRPr="00691BE2" w:rsidRDefault="008B7E19" w:rsidP="008B7E19">
      <w:pPr>
        <w:pStyle w:val="05-Textonormal"/>
        <w:rPr>
          <w:lang w:val="en-US"/>
        </w:rPr>
      </w:pPr>
      <w:r w:rsidRPr="00691BE2">
        <w:rPr>
          <w:lang w:val="en-US"/>
        </w:rPr>
        <w:t>In this segment, products and services offered are related to brokerage and management, fulfillment, promotion and facilitation of casualty, life and capitalization insurance, pension plans, dental plans and health insurance, it includes the balances of BB Corretora and its investee Ciclic</w:t>
      </w:r>
      <w:r>
        <w:rPr>
          <w:lang w:val="en-US"/>
        </w:rPr>
        <w:t>.</w:t>
      </w:r>
    </w:p>
    <w:p w14:paraId="26F04EDA" w14:textId="77777777" w:rsidR="008B7E19" w:rsidRPr="00BE238B" w:rsidRDefault="008B7E19" w:rsidP="008B7E19">
      <w:pPr>
        <w:pStyle w:val="01-TtulodeNota"/>
        <w:spacing w:after="0"/>
        <w:rPr>
          <w:color w:val="1F4E79" w:themeColor="accent1" w:themeShade="80"/>
          <w:sz w:val="18"/>
          <w:lang w:val="en-US"/>
        </w:rPr>
      </w:pPr>
      <w:r w:rsidRPr="00691BE2">
        <w:rPr>
          <w:color w:val="1F4E79" w:themeColor="accent1" w:themeShade="80"/>
          <w:sz w:val="18"/>
          <w:lang w:val="en-US"/>
        </w:rPr>
        <w:t>c) Financial Information by Reportable Segment</w:t>
      </w:r>
      <w:bookmarkStart w:id="26" w:name="OLE_LINK3"/>
    </w:p>
    <w:p w14:paraId="6C0DD4BD" w14:textId="77777777" w:rsidR="008B7E19" w:rsidRPr="009928AA" w:rsidRDefault="008B7E19" w:rsidP="008B7E19">
      <w:pPr>
        <w:spacing w:after="0"/>
        <w:jc w:val="right"/>
        <w:rPr>
          <w:rFonts w:cs="Arial"/>
          <w:b/>
          <w:sz w:val="14"/>
          <w:lang w:eastAsia="pt-BR"/>
        </w:rPr>
      </w:pPr>
      <w:r w:rsidRPr="009928AA">
        <w:rPr>
          <w:rFonts w:cs="Arial"/>
          <w:b/>
          <w:sz w:val="14"/>
          <w:lang w:eastAsia="pt-BR"/>
        </w:rPr>
        <w:t xml:space="preserve">R$ </w:t>
      </w:r>
      <w:r w:rsidRPr="000252B8">
        <w:rPr>
          <w:rFonts w:cs="Arial"/>
          <w:b/>
          <w:sz w:val="14"/>
          <w:szCs w:val="18"/>
        </w:rPr>
        <w:t>thousand</w:t>
      </w:r>
    </w:p>
    <w:tbl>
      <w:tblPr>
        <w:tblW w:w="9639" w:type="dxa"/>
        <w:jc w:val="center"/>
        <w:tblBorders>
          <w:top w:val="single" w:sz="2" w:space="0" w:color="8EAADB" w:themeColor="accent5" w:themeTint="99"/>
          <w:bottom w:val="single" w:sz="2" w:space="0" w:color="8EAADB" w:themeColor="accent5" w:themeTint="99"/>
        </w:tblBorders>
        <w:tblLayout w:type="fixed"/>
        <w:tblLook w:val="04A0" w:firstRow="1" w:lastRow="0" w:firstColumn="1" w:lastColumn="0" w:noHBand="0" w:noVBand="1"/>
      </w:tblPr>
      <w:tblGrid>
        <w:gridCol w:w="4678"/>
        <w:gridCol w:w="1240"/>
        <w:gridCol w:w="1240"/>
        <w:gridCol w:w="1240"/>
        <w:gridCol w:w="1241"/>
      </w:tblGrid>
      <w:tr w:rsidR="008B7E19" w:rsidRPr="00D061B2" w14:paraId="24F7F97D" w14:textId="77777777" w:rsidTr="008875E7">
        <w:trPr>
          <w:trHeight w:val="238"/>
          <w:jc w:val="center"/>
        </w:trPr>
        <w:tc>
          <w:tcPr>
            <w:tcW w:w="4678" w:type="dxa"/>
            <w:tcBorders>
              <w:top w:val="single" w:sz="2" w:space="0" w:color="1F4E79" w:themeColor="accent1" w:themeShade="80"/>
            </w:tcBorders>
            <w:shd w:val="clear" w:color="auto" w:fill="auto"/>
          </w:tcPr>
          <w:p w14:paraId="69A744CD" w14:textId="77777777" w:rsidR="008B7E19" w:rsidRPr="00D061B2" w:rsidRDefault="008B7E19" w:rsidP="008B7E19">
            <w:pPr>
              <w:spacing w:after="0"/>
              <w:jc w:val="center"/>
              <w:rPr>
                <w:rFonts w:cs="Arial"/>
                <w:b/>
                <w:sz w:val="14"/>
                <w:szCs w:val="14"/>
              </w:rPr>
            </w:pPr>
          </w:p>
        </w:tc>
        <w:tc>
          <w:tcPr>
            <w:tcW w:w="4961" w:type="dxa"/>
            <w:gridSpan w:val="4"/>
            <w:tcBorders>
              <w:top w:val="single" w:sz="2" w:space="0" w:color="1F4E79" w:themeColor="accent1" w:themeShade="80"/>
              <w:bottom w:val="single" w:sz="2" w:space="0" w:color="1F4E79" w:themeColor="accent1" w:themeShade="80"/>
            </w:tcBorders>
            <w:shd w:val="clear" w:color="auto" w:fill="auto"/>
            <w:vAlign w:val="center"/>
          </w:tcPr>
          <w:p w14:paraId="51076D46" w14:textId="77777777" w:rsidR="008B7E19" w:rsidRPr="00D061B2" w:rsidRDefault="008B7E19" w:rsidP="008B7E19">
            <w:pPr>
              <w:spacing w:after="0"/>
              <w:jc w:val="center"/>
              <w:rPr>
                <w:rFonts w:cs="Arial"/>
                <w:b/>
                <w:sz w:val="14"/>
                <w:szCs w:val="14"/>
              </w:rPr>
            </w:pPr>
            <w:r>
              <w:rPr>
                <w:rFonts w:cs="Arial"/>
                <w:b/>
                <w:sz w:val="14"/>
                <w:szCs w:val="14"/>
              </w:rPr>
              <w:t>2</w:t>
            </w:r>
            <w:r>
              <w:rPr>
                <w:rFonts w:cs="Arial"/>
                <w:b/>
                <w:sz w:val="14"/>
                <w:szCs w:val="14"/>
                <w:vertAlign w:val="superscript"/>
              </w:rPr>
              <w:t>nd</w:t>
            </w:r>
            <w:r w:rsidRPr="00E30F81">
              <w:rPr>
                <w:rFonts w:cs="Arial"/>
                <w:b/>
                <w:sz w:val="14"/>
                <w:szCs w:val="14"/>
              </w:rPr>
              <w:t xml:space="preserve"> Quarter 202</w:t>
            </w:r>
            <w:r>
              <w:rPr>
                <w:rFonts w:cs="Arial"/>
                <w:b/>
                <w:sz w:val="14"/>
                <w:szCs w:val="14"/>
              </w:rPr>
              <w:t>3</w:t>
            </w:r>
          </w:p>
        </w:tc>
      </w:tr>
      <w:tr w:rsidR="008B7E19" w:rsidRPr="00D061B2" w14:paraId="2FCC1E2B" w14:textId="77777777" w:rsidTr="008875E7">
        <w:trPr>
          <w:trHeight w:val="238"/>
          <w:jc w:val="center"/>
        </w:trPr>
        <w:tc>
          <w:tcPr>
            <w:tcW w:w="4678" w:type="dxa"/>
            <w:tcBorders>
              <w:bottom w:val="single" w:sz="2" w:space="0" w:color="1F4E79" w:themeColor="accent1" w:themeShade="80"/>
            </w:tcBorders>
            <w:shd w:val="clear" w:color="auto" w:fill="auto"/>
          </w:tcPr>
          <w:p w14:paraId="582AE8D4" w14:textId="77777777" w:rsidR="008B7E19" w:rsidRPr="00D061B2" w:rsidRDefault="008B7E19" w:rsidP="008B7E19">
            <w:pPr>
              <w:pStyle w:val="08-Tabelageral"/>
              <w:jc w:val="left"/>
              <w:rPr>
                <w:rFonts w:cs="Arial"/>
                <w:b/>
                <w:szCs w:val="14"/>
              </w:rPr>
            </w:pPr>
          </w:p>
        </w:tc>
        <w:tc>
          <w:tcPr>
            <w:tcW w:w="1240" w:type="dxa"/>
            <w:tcBorders>
              <w:top w:val="single" w:sz="2" w:space="0" w:color="1F4E79" w:themeColor="accent1" w:themeShade="80"/>
              <w:bottom w:val="single" w:sz="2" w:space="0" w:color="1F4E79" w:themeColor="accent1" w:themeShade="80"/>
            </w:tcBorders>
            <w:shd w:val="clear" w:color="auto" w:fill="auto"/>
            <w:vAlign w:val="center"/>
          </w:tcPr>
          <w:p w14:paraId="0133049B" w14:textId="77777777" w:rsidR="008B7E19" w:rsidRPr="00D061B2" w:rsidRDefault="008B7E19" w:rsidP="008B7E19">
            <w:pPr>
              <w:pStyle w:val="08-Tabelageral"/>
              <w:jc w:val="center"/>
              <w:rPr>
                <w:rFonts w:cs="Arial"/>
                <w:b/>
                <w:szCs w:val="14"/>
              </w:rPr>
            </w:pPr>
            <w:r w:rsidRPr="00D061B2">
              <w:rPr>
                <w:rFonts w:cs="Arial"/>
                <w:b/>
                <w:szCs w:val="14"/>
              </w:rPr>
              <w:t>Insurance</w:t>
            </w:r>
          </w:p>
        </w:tc>
        <w:tc>
          <w:tcPr>
            <w:tcW w:w="1240" w:type="dxa"/>
            <w:tcBorders>
              <w:top w:val="single" w:sz="2" w:space="0" w:color="1F4E79" w:themeColor="accent1" w:themeShade="80"/>
              <w:bottom w:val="single" w:sz="2" w:space="0" w:color="1F4E79" w:themeColor="accent1" w:themeShade="80"/>
            </w:tcBorders>
            <w:shd w:val="clear" w:color="auto" w:fill="auto"/>
            <w:vAlign w:val="center"/>
          </w:tcPr>
          <w:p w14:paraId="1D445DE4" w14:textId="77777777" w:rsidR="008B7E19" w:rsidRPr="00D061B2" w:rsidRDefault="008B7E19" w:rsidP="008B7E19">
            <w:pPr>
              <w:pStyle w:val="08-Tabelageral"/>
              <w:jc w:val="center"/>
              <w:rPr>
                <w:rFonts w:cs="Arial"/>
                <w:b/>
                <w:szCs w:val="14"/>
              </w:rPr>
            </w:pPr>
            <w:r w:rsidRPr="00D061B2">
              <w:rPr>
                <w:rFonts w:cs="Arial"/>
                <w:b/>
                <w:szCs w:val="14"/>
              </w:rPr>
              <w:t>Brokerage</w:t>
            </w:r>
          </w:p>
        </w:tc>
        <w:tc>
          <w:tcPr>
            <w:tcW w:w="1240" w:type="dxa"/>
            <w:tcBorders>
              <w:top w:val="single" w:sz="2" w:space="0" w:color="1F4E79" w:themeColor="accent1" w:themeShade="80"/>
              <w:bottom w:val="single" w:sz="2" w:space="0" w:color="1F4E79" w:themeColor="accent1" w:themeShade="80"/>
            </w:tcBorders>
            <w:shd w:val="clear" w:color="auto" w:fill="auto"/>
            <w:vAlign w:val="center"/>
          </w:tcPr>
          <w:p w14:paraId="62D2B46A" w14:textId="77777777" w:rsidR="008B7E19" w:rsidRPr="00D061B2" w:rsidRDefault="008B7E19" w:rsidP="008B7E19">
            <w:pPr>
              <w:pStyle w:val="08-Tabelageral"/>
              <w:jc w:val="center"/>
              <w:rPr>
                <w:rFonts w:cs="Arial"/>
                <w:b/>
                <w:szCs w:val="14"/>
              </w:rPr>
            </w:pPr>
            <w:r w:rsidRPr="00D061B2">
              <w:rPr>
                <w:rFonts w:cs="Arial"/>
                <w:b/>
                <w:szCs w:val="14"/>
              </w:rPr>
              <w:t>Intersegment transactions</w:t>
            </w:r>
          </w:p>
        </w:tc>
        <w:tc>
          <w:tcPr>
            <w:tcW w:w="1241" w:type="dxa"/>
            <w:tcBorders>
              <w:top w:val="single" w:sz="2" w:space="0" w:color="1F4E79" w:themeColor="accent1" w:themeShade="80"/>
              <w:bottom w:val="single" w:sz="2" w:space="0" w:color="1F4E79" w:themeColor="accent1" w:themeShade="80"/>
            </w:tcBorders>
            <w:shd w:val="clear" w:color="auto" w:fill="auto"/>
            <w:vAlign w:val="center"/>
          </w:tcPr>
          <w:p w14:paraId="486041E1" w14:textId="77777777" w:rsidR="008B7E19" w:rsidRPr="00D061B2" w:rsidRDefault="008B7E19" w:rsidP="008B7E19">
            <w:pPr>
              <w:pStyle w:val="08-Tabelageral"/>
              <w:jc w:val="center"/>
              <w:rPr>
                <w:rFonts w:cs="Arial"/>
                <w:b/>
                <w:szCs w:val="14"/>
              </w:rPr>
            </w:pPr>
            <w:r w:rsidRPr="00D061B2">
              <w:rPr>
                <w:rFonts w:cs="Arial"/>
                <w:b/>
                <w:szCs w:val="14"/>
              </w:rPr>
              <w:t>Total</w:t>
            </w:r>
          </w:p>
        </w:tc>
      </w:tr>
      <w:tr w:rsidR="008B7E19" w:rsidRPr="00DA72A7" w14:paraId="14BF72E0" w14:textId="77777777" w:rsidTr="008875E7">
        <w:trPr>
          <w:trHeight w:val="238"/>
          <w:jc w:val="center"/>
        </w:trPr>
        <w:tc>
          <w:tcPr>
            <w:tcW w:w="4678" w:type="dxa"/>
            <w:tcBorders>
              <w:top w:val="single" w:sz="2" w:space="0" w:color="1F4E79" w:themeColor="accent1" w:themeShade="80"/>
              <w:bottom w:val="nil"/>
            </w:tcBorders>
            <w:shd w:val="clear" w:color="auto" w:fill="auto"/>
          </w:tcPr>
          <w:p w14:paraId="44AE31C3" w14:textId="77777777" w:rsidR="008B7E19" w:rsidRPr="00DA72A7" w:rsidRDefault="008B7E19" w:rsidP="008B7E19">
            <w:pPr>
              <w:pStyle w:val="08-Tabelageral"/>
              <w:jc w:val="left"/>
              <w:rPr>
                <w:rFonts w:cs="Arial"/>
                <w:b/>
                <w:szCs w:val="14"/>
              </w:rPr>
            </w:pPr>
            <w:r w:rsidRPr="00DA72A7">
              <w:rPr>
                <w:rFonts w:cs="Arial"/>
                <w:b/>
                <w:szCs w:val="14"/>
              </w:rPr>
              <w:t>Operating Income</w:t>
            </w:r>
          </w:p>
        </w:tc>
        <w:tc>
          <w:tcPr>
            <w:tcW w:w="1240" w:type="dxa"/>
            <w:tcBorders>
              <w:top w:val="single" w:sz="2" w:space="0" w:color="1F4E79" w:themeColor="accent1" w:themeShade="80"/>
            </w:tcBorders>
            <w:shd w:val="clear" w:color="auto" w:fill="auto"/>
            <w:vAlign w:val="bottom"/>
          </w:tcPr>
          <w:p w14:paraId="69B7CD05" w14:textId="77777777" w:rsidR="008B7E19" w:rsidRPr="00DA72A7" w:rsidRDefault="008B7E19" w:rsidP="008B7E19">
            <w:pPr>
              <w:pStyle w:val="08-Tabelageral"/>
              <w:rPr>
                <w:rFonts w:cs="Arial"/>
                <w:b/>
                <w:szCs w:val="14"/>
              </w:rPr>
            </w:pPr>
            <w:r>
              <w:rPr>
                <w:rFonts w:cs="Arial"/>
                <w:b/>
                <w:bCs/>
                <w:color w:val="000000"/>
                <w:szCs w:val="14"/>
              </w:rPr>
              <w:t>3,043,769</w:t>
            </w:r>
          </w:p>
        </w:tc>
        <w:tc>
          <w:tcPr>
            <w:tcW w:w="1240" w:type="dxa"/>
            <w:tcBorders>
              <w:top w:val="single" w:sz="2" w:space="0" w:color="1F4E79" w:themeColor="accent1" w:themeShade="80"/>
            </w:tcBorders>
            <w:shd w:val="clear" w:color="auto" w:fill="auto"/>
            <w:vAlign w:val="bottom"/>
          </w:tcPr>
          <w:p w14:paraId="4B412816" w14:textId="77777777" w:rsidR="008B7E19" w:rsidRPr="00DA72A7" w:rsidRDefault="008B7E19" w:rsidP="008B7E19">
            <w:pPr>
              <w:pStyle w:val="08-Tabelageral"/>
              <w:rPr>
                <w:rFonts w:cs="Arial"/>
                <w:b/>
                <w:szCs w:val="14"/>
              </w:rPr>
            </w:pPr>
            <w:r>
              <w:rPr>
                <w:rFonts w:cs="Arial"/>
                <w:b/>
                <w:bCs/>
                <w:color w:val="000000"/>
                <w:szCs w:val="14"/>
              </w:rPr>
              <w:t>1,056,514</w:t>
            </w:r>
          </w:p>
        </w:tc>
        <w:tc>
          <w:tcPr>
            <w:tcW w:w="1240" w:type="dxa"/>
            <w:tcBorders>
              <w:top w:val="single" w:sz="2" w:space="0" w:color="1F4E79" w:themeColor="accent1" w:themeShade="80"/>
            </w:tcBorders>
            <w:shd w:val="clear" w:color="auto" w:fill="auto"/>
            <w:vAlign w:val="bottom"/>
          </w:tcPr>
          <w:p w14:paraId="1DABA3B8" w14:textId="77777777" w:rsidR="008B7E19" w:rsidRPr="00DA72A7" w:rsidRDefault="008B7E19" w:rsidP="008B7E19">
            <w:pPr>
              <w:pStyle w:val="08-Tabelageral"/>
              <w:rPr>
                <w:rFonts w:cs="Arial"/>
                <w:b/>
                <w:szCs w:val="14"/>
              </w:rPr>
            </w:pPr>
            <w:r>
              <w:rPr>
                <w:rFonts w:cs="Arial"/>
                <w:b/>
                <w:bCs/>
                <w:color w:val="000000"/>
                <w:szCs w:val="14"/>
              </w:rPr>
              <w:t>(1,884,100)</w:t>
            </w:r>
          </w:p>
        </w:tc>
        <w:tc>
          <w:tcPr>
            <w:tcW w:w="1241" w:type="dxa"/>
            <w:tcBorders>
              <w:top w:val="single" w:sz="2" w:space="0" w:color="1F4E79" w:themeColor="accent1" w:themeShade="80"/>
            </w:tcBorders>
            <w:shd w:val="clear" w:color="auto" w:fill="auto"/>
            <w:vAlign w:val="bottom"/>
          </w:tcPr>
          <w:p w14:paraId="5CB48782" w14:textId="77777777" w:rsidR="008B7E19" w:rsidRPr="00DA72A7" w:rsidRDefault="008B7E19" w:rsidP="008B7E19">
            <w:pPr>
              <w:pStyle w:val="08-Tabelageral"/>
              <w:rPr>
                <w:rFonts w:cs="Arial"/>
                <w:b/>
                <w:szCs w:val="14"/>
              </w:rPr>
            </w:pPr>
            <w:r>
              <w:rPr>
                <w:rFonts w:cs="Arial"/>
                <w:b/>
                <w:bCs/>
                <w:color w:val="000000"/>
                <w:szCs w:val="14"/>
              </w:rPr>
              <w:t>2,216,183</w:t>
            </w:r>
          </w:p>
        </w:tc>
      </w:tr>
      <w:tr w:rsidR="008B7E19" w:rsidRPr="00DA72A7" w14:paraId="52C4606A" w14:textId="77777777" w:rsidTr="008875E7">
        <w:trPr>
          <w:trHeight w:val="238"/>
          <w:jc w:val="center"/>
        </w:trPr>
        <w:tc>
          <w:tcPr>
            <w:tcW w:w="4678" w:type="dxa"/>
            <w:tcBorders>
              <w:top w:val="nil"/>
            </w:tcBorders>
            <w:shd w:val="clear" w:color="auto" w:fill="auto"/>
          </w:tcPr>
          <w:p w14:paraId="0FA6BD64" w14:textId="77777777" w:rsidR="008B7E19" w:rsidRPr="00DA72A7" w:rsidRDefault="008B7E19" w:rsidP="008B7E19">
            <w:pPr>
              <w:pStyle w:val="08-Tabelageral"/>
              <w:ind w:left="113"/>
              <w:jc w:val="left"/>
              <w:rPr>
                <w:rFonts w:cs="Arial"/>
                <w:bCs/>
                <w:szCs w:val="14"/>
              </w:rPr>
            </w:pPr>
            <w:r w:rsidRPr="00DA72A7">
              <w:rPr>
                <w:rFonts w:cs="Arial"/>
                <w:bCs/>
                <w:szCs w:val="14"/>
              </w:rPr>
              <w:t>Equity income</w:t>
            </w:r>
          </w:p>
        </w:tc>
        <w:tc>
          <w:tcPr>
            <w:tcW w:w="1240" w:type="dxa"/>
            <w:shd w:val="clear" w:color="auto" w:fill="auto"/>
            <w:vAlign w:val="bottom"/>
          </w:tcPr>
          <w:p w14:paraId="0ABC59C8" w14:textId="77777777" w:rsidR="008B7E19" w:rsidRPr="00DA72A7" w:rsidRDefault="008B7E19" w:rsidP="008B7E19">
            <w:pPr>
              <w:pStyle w:val="08-Tabelageral"/>
              <w:rPr>
                <w:rFonts w:cs="Arial"/>
                <w:bCs/>
                <w:szCs w:val="14"/>
              </w:rPr>
            </w:pPr>
            <w:r>
              <w:rPr>
                <w:rFonts w:cs="Arial"/>
                <w:color w:val="000000"/>
                <w:szCs w:val="14"/>
              </w:rPr>
              <w:t>3,043,769</w:t>
            </w:r>
          </w:p>
        </w:tc>
        <w:tc>
          <w:tcPr>
            <w:tcW w:w="1240" w:type="dxa"/>
            <w:shd w:val="clear" w:color="auto" w:fill="auto"/>
            <w:vAlign w:val="bottom"/>
          </w:tcPr>
          <w:p w14:paraId="76CD06D3" w14:textId="77777777" w:rsidR="008B7E19" w:rsidRPr="00DA72A7" w:rsidRDefault="008B7E19" w:rsidP="008B7E19">
            <w:pPr>
              <w:pStyle w:val="08-Tabelageral"/>
              <w:rPr>
                <w:rFonts w:cs="Arial"/>
                <w:bCs/>
                <w:szCs w:val="14"/>
              </w:rPr>
            </w:pPr>
            <w:r>
              <w:rPr>
                <w:rFonts w:cs="Arial"/>
                <w:color w:val="000000"/>
                <w:szCs w:val="14"/>
              </w:rPr>
              <w:t>1,051</w:t>
            </w:r>
          </w:p>
        </w:tc>
        <w:tc>
          <w:tcPr>
            <w:tcW w:w="1240" w:type="dxa"/>
            <w:shd w:val="clear" w:color="auto" w:fill="auto"/>
            <w:vAlign w:val="bottom"/>
          </w:tcPr>
          <w:p w14:paraId="328BBD32" w14:textId="77777777" w:rsidR="008B7E19" w:rsidRPr="00DA72A7" w:rsidRDefault="008B7E19" w:rsidP="008B7E19">
            <w:pPr>
              <w:pStyle w:val="08-Tabelageral"/>
              <w:rPr>
                <w:rFonts w:cs="Arial"/>
                <w:bCs/>
                <w:szCs w:val="14"/>
              </w:rPr>
            </w:pPr>
            <w:r>
              <w:rPr>
                <w:rFonts w:cs="Arial"/>
                <w:color w:val="000000"/>
                <w:szCs w:val="14"/>
              </w:rPr>
              <w:t>(1,884,100)</w:t>
            </w:r>
          </w:p>
        </w:tc>
        <w:tc>
          <w:tcPr>
            <w:tcW w:w="1241" w:type="dxa"/>
            <w:shd w:val="clear" w:color="auto" w:fill="auto"/>
            <w:vAlign w:val="bottom"/>
          </w:tcPr>
          <w:p w14:paraId="35E5FA69" w14:textId="77777777" w:rsidR="008B7E19" w:rsidRPr="00DA72A7" w:rsidRDefault="008B7E19" w:rsidP="008B7E19">
            <w:pPr>
              <w:pStyle w:val="08-Tabelageral"/>
              <w:rPr>
                <w:rFonts w:cs="Arial"/>
                <w:bCs/>
                <w:szCs w:val="14"/>
              </w:rPr>
            </w:pPr>
            <w:r>
              <w:rPr>
                <w:rFonts w:cs="Arial"/>
                <w:color w:val="000000"/>
                <w:szCs w:val="14"/>
              </w:rPr>
              <w:t>1,160,720</w:t>
            </w:r>
          </w:p>
        </w:tc>
      </w:tr>
      <w:tr w:rsidR="008B7E19" w:rsidRPr="00DA72A7" w14:paraId="1C3A2042" w14:textId="77777777" w:rsidTr="008875E7">
        <w:trPr>
          <w:trHeight w:val="238"/>
          <w:jc w:val="center"/>
        </w:trPr>
        <w:tc>
          <w:tcPr>
            <w:tcW w:w="4678" w:type="dxa"/>
            <w:shd w:val="clear" w:color="auto" w:fill="auto"/>
          </w:tcPr>
          <w:p w14:paraId="52B3AD48" w14:textId="77777777" w:rsidR="008B7E19" w:rsidRPr="00DA72A7" w:rsidRDefault="008B7E19" w:rsidP="008B7E19">
            <w:pPr>
              <w:pStyle w:val="08-Tabelageral"/>
              <w:ind w:left="113"/>
              <w:jc w:val="left"/>
              <w:rPr>
                <w:rFonts w:cs="Arial"/>
                <w:bCs/>
                <w:szCs w:val="14"/>
              </w:rPr>
            </w:pPr>
            <w:r w:rsidRPr="00DA72A7">
              <w:rPr>
                <w:rFonts w:cs="Arial"/>
                <w:bCs/>
                <w:szCs w:val="14"/>
              </w:rPr>
              <w:t>Commissions income</w:t>
            </w:r>
          </w:p>
        </w:tc>
        <w:tc>
          <w:tcPr>
            <w:tcW w:w="1240" w:type="dxa"/>
            <w:shd w:val="clear" w:color="auto" w:fill="auto"/>
            <w:vAlign w:val="bottom"/>
          </w:tcPr>
          <w:p w14:paraId="520B76C7" w14:textId="77777777" w:rsidR="008B7E19" w:rsidRPr="00DA72A7" w:rsidRDefault="008B7E19" w:rsidP="008B7E19">
            <w:pPr>
              <w:pStyle w:val="08-Tabelageral"/>
              <w:rPr>
                <w:rFonts w:cs="Arial"/>
                <w:bCs/>
                <w:szCs w:val="14"/>
              </w:rPr>
            </w:pPr>
            <w:r>
              <w:rPr>
                <w:rFonts w:cs="Arial"/>
                <w:color w:val="000000"/>
                <w:szCs w:val="14"/>
              </w:rPr>
              <w:t>--</w:t>
            </w:r>
          </w:p>
        </w:tc>
        <w:tc>
          <w:tcPr>
            <w:tcW w:w="1240" w:type="dxa"/>
            <w:shd w:val="clear" w:color="auto" w:fill="auto"/>
            <w:vAlign w:val="bottom"/>
          </w:tcPr>
          <w:p w14:paraId="1CD87F0C" w14:textId="77777777" w:rsidR="008B7E19" w:rsidRPr="00DA72A7" w:rsidRDefault="008B7E19" w:rsidP="008B7E19">
            <w:pPr>
              <w:pStyle w:val="08-Tabelageral"/>
              <w:rPr>
                <w:rFonts w:cs="Arial"/>
                <w:bCs/>
                <w:szCs w:val="14"/>
              </w:rPr>
            </w:pPr>
            <w:r>
              <w:rPr>
                <w:rFonts w:cs="Arial"/>
                <w:color w:val="000000"/>
                <w:szCs w:val="14"/>
              </w:rPr>
              <w:t>1,055,463</w:t>
            </w:r>
          </w:p>
        </w:tc>
        <w:tc>
          <w:tcPr>
            <w:tcW w:w="1240" w:type="dxa"/>
            <w:shd w:val="clear" w:color="auto" w:fill="auto"/>
            <w:vAlign w:val="bottom"/>
          </w:tcPr>
          <w:p w14:paraId="388E9F2A" w14:textId="77777777" w:rsidR="008B7E19" w:rsidRPr="00DA72A7" w:rsidRDefault="008B7E19" w:rsidP="008B7E19">
            <w:pPr>
              <w:pStyle w:val="08-Tabelageral"/>
              <w:rPr>
                <w:rFonts w:cs="Arial"/>
                <w:bCs/>
                <w:szCs w:val="14"/>
              </w:rPr>
            </w:pPr>
            <w:r>
              <w:rPr>
                <w:rFonts w:cs="Arial"/>
                <w:color w:val="000000"/>
                <w:szCs w:val="14"/>
              </w:rPr>
              <w:t>--</w:t>
            </w:r>
          </w:p>
        </w:tc>
        <w:tc>
          <w:tcPr>
            <w:tcW w:w="1241" w:type="dxa"/>
            <w:shd w:val="clear" w:color="auto" w:fill="auto"/>
            <w:vAlign w:val="bottom"/>
          </w:tcPr>
          <w:p w14:paraId="527CE3C0" w14:textId="77777777" w:rsidR="008B7E19" w:rsidRPr="00DA72A7" w:rsidRDefault="008B7E19" w:rsidP="008B7E19">
            <w:pPr>
              <w:pStyle w:val="08-Tabelageral"/>
              <w:rPr>
                <w:rFonts w:cs="Arial"/>
                <w:bCs/>
                <w:szCs w:val="14"/>
              </w:rPr>
            </w:pPr>
            <w:r>
              <w:rPr>
                <w:rFonts w:cs="Arial"/>
                <w:color w:val="000000"/>
                <w:szCs w:val="14"/>
              </w:rPr>
              <w:t>1,055,463</w:t>
            </w:r>
          </w:p>
        </w:tc>
      </w:tr>
      <w:tr w:rsidR="008B7E19" w:rsidRPr="00DA72A7" w14:paraId="3C5A6153" w14:textId="77777777" w:rsidTr="008875E7">
        <w:trPr>
          <w:trHeight w:val="238"/>
          <w:jc w:val="center"/>
        </w:trPr>
        <w:tc>
          <w:tcPr>
            <w:tcW w:w="4678" w:type="dxa"/>
            <w:shd w:val="clear" w:color="auto" w:fill="auto"/>
          </w:tcPr>
          <w:p w14:paraId="7CF43FD7" w14:textId="77777777" w:rsidR="008B7E19" w:rsidRPr="00DA72A7" w:rsidRDefault="008B7E19" w:rsidP="008B7E19">
            <w:pPr>
              <w:pStyle w:val="08-Tabelageral"/>
              <w:jc w:val="left"/>
              <w:rPr>
                <w:rFonts w:cs="Arial"/>
                <w:b/>
                <w:szCs w:val="14"/>
              </w:rPr>
            </w:pPr>
            <w:r w:rsidRPr="00DA72A7">
              <w:rPr>
                <w:rFonts w:cs="Arial"/>
                <w:b/>
                <w:szCs w:val="14"/>
              </w:rPr>
              <w:t>Cost of Services Provided</w:t>
            </w:r>
          </w:p>
        </w:tc>
        <w:tc>
          <w:tcPr>
            <w:tcW w:w="1240" w:type="dxa"/>
            <w:shd w:val="clear" w:color="auto" w:fill="auto"/>
            <w:vAlign w:val="bottom"/>
          </w:tcPr>
          <w:p w14:paraId="41422054" w14:textId="77777777" w:rsidR="008B7E19" w:rsidRPr="00DA72A7" w:rsidRDefault="008B7E19" w:rsidP="008B7E19">
            <w:pPr>
              <w:pStyle w:val="08-Tabelageral"/>
              <w:rPr>
                <w:rFonts w:cs="Arial"/>
                <w:b/>
                <w:szCs w:val="14"/>
              </w:rPr>
            </w:pPr>
            <w:r>
              <w:rPr>
                <w:rFonts w:cs="Arial"/>
                <w:color w:val="000000"/>
                <w:szCs w:val="14"/>
              </w:rPr>
              <w:t>--</w:t>
            </w:r>
          </w:p>
        </w:tc>
        <w:tc>
          <w:tcPr>
            <w:tcW w:w="1240" w:type="dxa"/>
            <w:shd w:val="clear" w:color="auto" w:fill="auto"/>
            <w:vAlign w:val="bottom"/>
          </w:tcPr>
          <w:p w14:paraId="20DF0EDC" w14:textId="77777777" w:rsidR="008B7E19" w:rsidRPr="00DA72A7" w:rsidRDefault="008B7E19" w:rsidP="008B7E19">
            <w:pPr>
              <w:pStyle w:val="08-Tabelageral"/>
              <w:rPr>
                <w:rFonts w:cs="Arial"/>
                <w:b/>
                <w:szCs w:val="14"/>
              </w:rPr>
            </w:pPr>
            <w:r>
              <w:rPr>
                <w:rFonts w:cs="Arial"/>
                <w:color w:val="000000"/>
                <w:szCs w:val="14"/>
              </w:rPr>
              <w:t>(50,139)</w:t>
            </w:r>
          </w:p>
        </w:tc>
        <w:tc>
          <w:tcPr>
            <w:tcW w:w="1240" w:type="dxa"/>
            <w:shd w:val="clear" w:color="auto" w:fill="auto"/>
            <w:vAlign w:val="bottom"/>
          </w:tcPr>
          <w:p w14:paraId="2849C752" w14:textId="77777777" w:rsidR="008B7E19" w:rsidRPr="00DA72A7" w:rsidRDefault="008B7E19" w:rsidP="008B7E19">
            <w:pPr>
              <w:pStyle w:val="08-Tabelageral"/>
              <w:rPr>
                <w:rFonts w:cs="Arial"/>
                <w:b/>
                <w:szCs w:val="14"/>
              </w:rPr>
            </w:pPr>
            <w:r>
              <w:rPr>
                <w:rFonts w:cs="Arial"/>
                <w:color w:val="000000"/>
                <w:szCs w:val="14"/>
              </w:rPr>
              <w:t>--</w:t>
            </w:r>
          </w:p>
        </w:tc>
        <w:tc>
          <w:tcPr>
            <w:tcW w:w="1241" w:type="dxa"/>
            <w:shd w:val="clear" w:color="auto" w:fill="auto"/>
            <w:vAlign w:val="bottom"/>
          </w:tcPr>
          <w:p w14:paraId="31704D83" w14:textId="77777777" w:rsidR="008B7E19" w:rsidRPr="00DA72A7" w:rsidRDefault="008B7E19" w:rsidP="008B7E19">
            <w:pPr>
              <w:pStyle w:val="08-Tabelageral"/>
              <w:rPr>
                <w:rFonts w:cs="Arial"/>
                <w:b/>
                <w:szCs w:val="14"/>
              </w:rPr>
            </w:pPr>
            <w:r>
              <w:rPr>
                <w:rFonts w:cs="Arial"/>
                <w:color w:val="000000"/>
                <w:szCs w:val="14"/>
              </w:rPr>
              <w:t>(50,139)</w:t>
            </w:r>
          </w:p>
        </w:tc>
      </w:tr>
      <w:tr w:rsidR="008B7E19" w:rsidRPr="00DA72A7" w14:paraId="21550002" w14:textId="77777777" w:rsidTr="008875E7">
        <w:trPr>
          <w:trHeight w:val="238"/>
          <w:jc w:val="center"/>
        </w:trPr>
        <w:tc>
          <w:tcPr>
            <w:tcW w:w="4678" w:type="dxa"/>
            <w:shd w:val="clear" w:color="auto" w:fill="auto"/>
          </w:tcPr>
          <w:p w14:paraId="7254729C" w14:textId="77777777" w:rsidR="008B7E19" w:rsidRPr="00DA72A7" w:rsidRDefault="008B7E19" w:rsidP="008B7E19">
            <w:pPr>
              <w:pStyle w:val="08-Tabelageral"/>
              <w:jc w:val="left"/>
              <w:rPr>
                <w:rFonts w:cs="Arial"/>
                <w:b/>
                <w:szCs w:val="14"/>
              </w:rPr>
            </w:pPr>
            <w:r w:rsidRPr="00DA72A7">
              <w:rPr>
                <w:rFonts w:cs="Arial"/>
                <w:b/>
                <w:szCs w:val="14"/>
              </w:rPr>
              <w:t>Gross Profit</w:t>
            </w:r>
          </w:p>
        </w:tc>
        <w:tc>
          <w:tcPr>
            <w:tcW w:w="1240" w:type="dxa"/>
            <w:shd w:val="clear" w:color="auto" w:fill="auto"/>
            <w:vAlign w:val="bottom"/>
          </w:tcPr>
          <w:p w14:paraId="2CBDB320" w14:textId="77777777" w:rsidR="008B7E19" w:rsidRPr="00DA72A7" w:rsidRDefault="008B7E19" w:rsidP="008B7E19">
            <w:pPr>
              <w:pStyle w:val="08-Tabelageral"/>
              <w:rPr>
                <w:rFonts w:cs="Arial"/>
                <w:b/>
                <w:szCs w:val="14"/>
              </w:rPr>
            </w:pPr>
            <w:r>
              <w:rPr>
                <w:rFonts w:cs="Arial"/>
                <w:b/>
                <w:bCs/>
                <w:color w:val="000000"/>
                <w:szCs w:val="14"/>
              </w:rPr>
              <w:t>3,043,769</w:t>
            </w:r>
          </w:p>
        </w:tc>
        <w:tc>
          <w:tcPr>
            <w:tcW w:w="1240" w:type="dxa"/>
            <w:shd w:val="clear" w:color="auto" w:fill="auto"/>
            <w:vAlign w:val="bottom"/>
          </w:tcPr>
          <w:p w14:paraId="048D8E32" w14:textId="77777777" w:rsidR="008B7E19" w:rsidRPr="00DA72A7" w:rsidRDefault="008B7E19" w:rsidP="008B7E19">
            <w:pPr>
              <w:pStyle w:val="08-Tabelageral"/>
              <w:rPr>
                <w:rFonts w:cs="Arial"/>
                <w:b/>
                <w:szCs w:val="14"/>
              </w:rPr>
            </w:pPr>
            <w:r>
              <w:rPr>
                <w:rFonts w:cs="Arial"/>
                <w:b/>
                <w:bCs/>
                <w:color w:val="000000"/>
                <w:szCs w:val="14"/>
              </w:rPr>
              <w:t>1,006,375</w:t>
            </w:r>
          </w:p>
        </w:tc>
        <w:tc>
          <w:tcPr>
            <w:tcW w:w="1240" w:type="dxa"/>
            <w:shd w:val="clear" w:color="auto" w:fill="auto"/>
            <w:vAlign w:val="bottom"/>
          </w:tcPr>
          <w:p w14:paraId="4594D726" w14:textId="77777777" w:rsidR="008B7E19" w:rsidRPr="00DA72A7" w:rsidRDefault="008B7E19" w:rsidP="008B7E19">
            <w:pPr>
              <w:pStyle w:val="08-Tabelageral"/>
              <w:rPr>
                <w:rFonts w:cs="Arial"/>
                <w:b/>
                <w:szCs w:val="14"/>
              </w:rPr>
            </w:pPr>
            <w:r>
              <w:rPr>
                <w:rFonts w:cs="Arial"/>
                <w:b/>
                <w:bCs/>
                <w:color w:val="000000"/>
                <w:szCs w:val="14"/>
              </w:rPr>
              <w:t>(1,884,100)</w:t>
            </w:r>
          </w:p>
        </w:tc>
        <w:tc>
          <w:tcPr>
            <w:tcW w:w="1241" w:type="dxa"/>
            <w:shd w:val="clear" w:color="auto" w:fill="auto"/>
            <w:vAlign w:val="bottom"/>
          </w:tcPr>
          <w:p w14:paraId="7A0EB57A" w14:textId="77777777" w:rsidR="008B7E19" w:rsidRPr="00DA72A7" w:rsidRDefault="008B7E19" w:rsidP="008B7E19">
            <w:pPr>
              <w:pStyle w:val="08-Tabelageral"/>
              <w:rPr>
                <w:rFonts w:cs="Arial"/>
                <w:b/>
                <w:szCs w:val="14"/>
              </w:rPr>
            </w:pPr>
            <w:r>
              <w:rPr>
                <w:rFonts w:cs="Arial"/>
                <w:b/>
                <w:bCs/>
                <w:color w:val="000000"/>
                <w:szCs w:val="14"/>
              </w:rPr>
              <w:t>2,166,044</w:t>
            </w:r>
          </w:p>
        </w:tc>
      </w:tr>
      <w:tr w:rsidR="008B7E19" w:rsidRPr="00DA72A7" w14:paraId="303082B7" w14:textId="77777777" w:rsidTr="008875E7">
        <w:trPr>
          <w:trHeight w:val="238"/>
          <w:jc w:val="center"/>
        </w:trPr>
        <w:tc>
          <w:tcPr>
            <w:tcW w:w="4678" w:type="dxa"/>
            <w:shd w:val="clear" w:color="auto" w:fill="auto"/>
          </w:tcPr>
          <w:p w14:paraId="54EE1BC6" w14:textId="77777777" w:rsidR="008B7E19" w:rsidRPr="00DA72A7" w:rsidRDefault="008B7E19" w:rsidP="008B7E19">
            <w:pPr>
              <w:pStyle w:val="08-Tabelageral"/>
              <w:jc w:val="left"/>
              <w:rPr>
                <w:rFonts w:cs="Arial"/>
                <w:b/>
                <w:szCs w:val="14"/>
              </w:rPr>
            </w:pPr>
            <w:r w:rsidRPr="00DA72A7">
              <w:rPr>
                <w:rFonts w:cs="Arial"/>
                <w:b/>
                <w:szCs w:val="14"/>
              </w:rPr>
              <w:t>Other Income and Expenses</w:t>
            </w:r>
          </w:p>
        </w:tc>
        <w:tc>
          <w:tcPr>
            <w:tcW w:w="1240" w:type="dxa"/>
            <w:shd w:val="clear" w:color="auto" w:fill="auto"/>
            <w:vAlign w:val="bottom"/>
          </w:tcPr>
          <w:p w14:paraId="4DAC6CF8" w14:textId="77777777" w:rsidR="008B7E19" w:rsidRPr="00DA72A7" w:rsidRDefault="008B7E19" w:rsidP="008B7E19">
            <w:pPr>
              <w:pStyle w:val="08-Tabelageral"/>
              <w:rPr>
                <w:rFonts w:cs="Arial"/>
                <w:b/>
                <w:szCs w:val="14"/>
              </w:rPr>
            </w:pPr>
            <w:r>
              <w:rPr>
                <w:rFonts w:cs="Arial"/>
                <w:b/>
                <w:bCs/>
                <w:color w:val="000000"/>
                <w:szCs w:val="14"/>
              </w:rPr>
              <w:t>(7,487)</w:t>
            </w:r>
          </w:p>
        </w:tc>
        <w:tc>
          <w:tcPr>
            <w:tcW w:w="1240" w:type="dxa"/>
            <w:shd w:val="clear" w:color="auto" w:fill="auto"/>
            <w:vAlign w:val="bottom"/>
          </w:tcPr>
          <w:p w14:paraId="6ADD5177" w14:textId="77777777" w:rsidR="008B7E19" w:rsidRPr="00DA72A7" w:rsidRDefault="008B7E19" w:rsidP="008B7E19">
            <w:pPr>
              <w:pStyle w:val="08-Tabelageral"/>
              <w:rPr>
                <w:rFonts w:cs="Arial"/>
                <w:b/>
                <w:szCs w:val="14"/>
              </w:rPr>
            </w:pPr>
            <w:r>
              <w:rPr>
                <w:rFonts w:cs="Arial"/>
                <w:b/>
                <w:bCs/>
                <w:color w:val="000000"/>
                <w:szCs w:val="14"/>
              </w:rPr>
              <w:t>(42,865)</w:t>
            </w:r>
          </w:p>
        </w:tc>
        <w:tc>
          <w:tcPr>
            <w:tcW w:w="1240" w:type="dxa"/>
            <w:shd w:val="clear" w:color="auto" w:fill="auto"/>
            <w:vAlign w:val="bottom"/>
          </w:tcPr>
          <w:p w14:paraId="478B273C" w14:textId="77777777" w:rsidR="008B7E19" w:rsidRPr="00DA72A7" w:rsidRDefault="008B7E19" w:rsidP="008B7E19">
            <w:pPr>
              <w:pStyle w:val="08-Tabelageral"/>
              <w:rPr>
                <w:rFonts w:cs="Arial"/>
                <w:b/>
                <w:szCs w:val="14"/>
              </w:rPr>
            </w:pPr>
            <w:r>
              <w:rPr>
                <w:rFonts w:cs="Arial"/>
                <w:b/>
                <w:bCs/>
                <w:color w:val="000000"/>
                <w:szCs w:val="14"/>
              </w:rPr>
              <w:t>--</w:t>
            </w:r>
          </w:p>
        </w:tc>
        <w:tc>
          <w:tcPr>
            <w:tcW w:w="1241" w:type="dxa"/>
            <w:shd w:val="clear" w:color="auto" w:fill="auto"/>
            <w:vAlign w:val="bottom"/>
          </w:tcPr>
          <w:p w14:paraId="406CFCF1" w14:textId="77777777" w:rsidR="008B7E19" w:rsidRPr="00DA72A7" w:rsidRDefault="008B7E19" w:rsidP="008B7E19">
            <w:pPr>
              <w:pStyle w:val="08-Tabelageral"/>
              <w:rPr>
                <w:rFonts w:cs="Arial"/>
                <w:b/>
                <w:szCs w:val="14"/>
              </w:rPr>
            </w:pPr>
            <w:r>
              <w:rPr>
                <w:rFonts w:cs="Arial"/>
                <w:b/>
                <w:bCs/>
                <w:color w:val="000000"/>
                <w:szCs w:val="14"/>
              </w:rPr>
              <w:t>(50,352)</w:t>
            </w:r>
          </w:p>
        </w:tc>
      </w:tr>
      <w:tr w:rsidR="008B7E19" w:rsidRPr="00DA72A7" w14:paraId="6A8A5B9E" w14:textId="77777777" w:rsidTr="008875E7">
        <w:trPr>
          <w:trHeight w:val="238"/>
          <w:jc w:val="center"/>
        </w:trPr>
        <w:tc>
          <w:tcPr>
            <w:tcW w:w="4678" w:type="dxa"/>
            <w:shd w:val="clear" w:color="auto" w:fill="auto"/>
          </w:tcPr>
          <w:p w14:paraId="5013862A" w14:textId="77777777" w:rsidR="008B7E19" w:rsidRPr="00DA72A7" w:rsidRDefault="008B7E19" w:rsidP="008B7E19">
            <w:pPr>
              <w:pStyle w:val="08-Tabelageral"/>
              <w:ind w:left="113"/>
              <w:jc w:val="left"/>
              <w:rPr>
                <w:rFonts w:cs="Arial"/>
                <w:bCs/>
                <w:szCs w:val="14"/>
              </w:rPr>
            </w:pPr>
            <w:r w:rsidRPr="00DA72A7">
              <w:rPr>
                <w:rFonts w:cs="Arial"/>
                <w:bCs/>
                <w:szCs w:val="14"/>
              </w:rPr>
              <w:t>Personnel expenses</w:t>
            </w:r>
          </w:p>
        </w:tc>
        <w:tc>
          <w:tcPr>
            <w:tcW w:w="1240" w:type="dxa"/>
            <w:shd w:val="clear" w:color="auto" w:fill="auto"/>
            <w:vAlign w:val="bottom"/>
          </w:tcPr>
          <w:p w14:paraId="180ED160" w14:textId="77777777" w:rsidR="008B7E19" w:rsidRPr="00DA72A7" w:rsidRDefault="008B7E19" w:rsidP="008B7E19">
            <w:pPr>
              <w:pStyle w:val="08-Tabelageral"/>
              <w:rPr>
                <w:rFonts w:cs="Arial"/>
                <w:bCs/>
                <w:szCs w:val="14"/>
              </w:rPr>
            </w:pPr>
            <w:r>
              <w:rPr>
                <w:rFonts w:cs="Arial"/>
                <w:color w:val="000000"/>
                <w:szCs w:val="14"/>
              </w:rPr>
              <w:t>(5,445)</w:t>
            </w:r>
          </w:p>
        </w:tc>
        <w:tc>
          <w:tcPr>
            <w:tcW w:w="1240" w:type="dxa"/>
            <w:shd w:val="clear" w:color="auto" w:fill="auto"/>
            <w:vAlign w:val="bottom"/>
          </w:tcPr>
          <w:p w14:paraId="0B831ABB" w14:textId="77777777" w:rsidR="008B7E19" w:rsidRPr="00DA72A7" w:rsidRDefault="008B7E19" w:rsidP="008B7E19">
            <w:pPr>
              <w:pStyle w:val="08-Tabelageral"/>
              <w:rPr>
                <w:rFonts w:cs="Arial"/>
                <w:bCs/>
                <w:szCs w:val="14"/>
              </w:rPr>
            </w:pPr>
            <w:r>
              <w:rPr>
                <w:rFonts w:cs="Arial"/>
                <w:color w:val="000000"/>
                <w:szCs w:val="14"/>
              </w:rPr>
              <w:t>(16,451)</w:t>
            </w:r>
          </w:p>
        </w:tc>
        <w:tc>
          <w:tcPr>
            <w:tcW w:w="1240" w:type="dxa"/>
            <w:shd w:val="clear" w:color="auto" w:fill="auto"/>
            <w:vAlign w:val="bottom"/>
          </w:tcPr>
          <w:p w14:paraId="3FA53D05" w14:textId="77777777" w:rsidR="008B7E19" w:rsidRPr="00DA72A7" w:rsidRDefault="008B7E19" w:rsidP="008B7E19">
            <w:pPr>
              <w:pStyle w:val="08-Tabelageral"/>
              <w:rPr>
                <w:rFonts w:cs="Arial"/>
                <w:bCs/>
                <w:szCs w:val="14"/>
              </w:rPr>
            </w:pPr>
            <w:r>
              <w:rPr>
                <w:rFonts w:cs="Arial"/>
                <w:color w:val="000000"/>
                <w:szCs w:val="14"/>
              </w:rPr>
              <w:t>--</w:t>
            </w:r>
          </w:p>
        </w:tc>
        <w:tc>
          <w:tcPr>
            <w:tcW w:w="1241" w:type="dxa"/>
            <w:shd w:val="clear" w:color="auto" w:fill="auto"/>
            <w:vAlign w:val="bottom"/>
          </w:tcPr>
          <w:p w14:paraId="4122AE6D" w14:textId="77777777" w:rsidR="008B7E19" w:rsidRPr="00DA72A7" w:rsidRDefault="008B7E19" w:rsidP="008B7E19">
            <w:pPr>
              <w:pStyle w:val="08-Tabelageral"/>
              <w:rPr>
                <w:rFonts w:cs="Arial"/>
                <w:bCs/>
                <w:szCs w:val="14"/>
              </w:rPr>
            </w:pPr>
            <w:r>
              <w:rPr>
                <w:rFonts w:cs="Arial"/>
                <w:color w:val="000000"/>
                <w:szCs w:val="14"/>
              </w:rPr>
              <w:t>(21,896)</w:t>
            </w:r>
          </w:p>
        </w:tc>
      </w:tr>
      <w:tr w:rsidR="008B7E19" w:rsidRPr="00DA72A7" w14:paraId="7D539BF2" w14:textId="77777777" w:rsidTr="008875E7">
        <w:trPr>
          <w:trHeight w:val="238"/>
          <w:jc w:val="center"/>
        </w:trPr>
        <w:tc>
          <w:tcPr>
            <w:tcW w:w="4678" w:type="dxa"/>
            <w:shd w:val="clear" w:color="auto" w:fill="auto"/>
          </w:tcPr>
          <w:p w14:paraId="58E9BC4D" w14:textId="77777777" w:rsidR="008B7E19" w:rsidRPr="00DA72A7" w:rsidRDefault="008B7E19" w:rsidP="008B7E19">
            <w:pPr>
              <w:pStyle w:val="08-Tabelageral"/>
              <w:ind w:left="113"/>
              <w:jc w:val="left"/>
              <w:rPr>
                <w:rFonts w:cs="Arial"/>
                <w:bCs/>
                <w:szCs w:val="14"/>
              </w:rPr>
            </w:pPr>
            <w:r w:rsidRPr="00DA72A7">
              <w:rPr>
                <w:rFonts w:cs="Arial"/>
                <w:bCs/>
                <w:szCs w:val="14"/>
              </w:rPr>
              <w:t>Adminstrative expenses</w:t>
            </w:r>
          </w:p>
        </w:tc>
        <w:tc>
          <w:tcPr>
            <w:tcW w:w="1240" w:type="dxa"/>
            <w:shd w:val="clear" w:color="auto" w:fill="auto"/>
            <w:vAlign w:val="bottom"/>
          </w:tcPr>
          <w:p w14:paraId="19E9B223" w14:textId="77777777" w:rsidR="008B7E19" w:rsidRPr="00DA72A7" w:rsidRDefault="008B7E19" w:rsidP="008B7E19">
            <w:pPr>
              <w:pStyle w:val="08-Tabelageral"/>
              <w:rPr>
                <w:rFonts w:cs="Arial"/>
                <w:bCs/>
                <w:szCs w:val="14"/>
              </w:rPr>
            </w:pPr>
            <w:r>
              <w:rPr>
                <w:rFonts w:cs="Arial"/>
                <w:color w:val="000000"/>
                <w:szCs w:val="14"/>
              </w:rPr>
              <w:t>(1,837)</w:t>
            </w:r>
          </w:p>
        </w:tc>
        <w:tc>
          <w:tcPr>
            <w:tcW w:w="1240" w:type="dxa"/>
            <w:shd w:val="clear" w:color="auto" w:fill="auto"/>
            <w:vAlign w:val="bottom"/>
          </w:tcPr>
          <w:p w14:paraId="3563AC3A" w14:textId="77777777" w:rsidR="008B7E19" w:rsidRPr="00DA72A7" w:rsidRDefault="008B7E19" w:rsidP="008B7E19">
            <w:pPr>
              <w:pStyle w:val="08-Tabelageral"/>
              <w:rPr>
                <w:rFonts w:cs="Arial"/>
                <w:bCs/>
                <w:szCs w:val="14"/>
              </w:rPr>
            </w:pPr>
            <w:r>
              <w:rPr>
                <w:rFonts w:cs="Arial"/>
                <w:color w:val="000000"/>
                <w:szCs w:val="14"/>
              </w:rPr>
              <w:t>(11,176)</w:t>
            </w:r>
          </w:p>
        </w:tc>
        <w:tc>
          <w:tcPr>
            <w:tcW w:w="1240" w:type="dxa"/>
            <w:shd w:val="clear" w:color="auto" w:fill="auto"/>
            <w:vAlign w:val="bottom"/>
          </w:tcPr>
          <w:p w14:paraId="4BD2F9CC" w14:textId="77777777" w:rsidR="008B7E19" w:rsidRPr="00DA72A7" w:rsidRDefault="008B7E19" w:rsidP="008B7E19">
            <w:pPr>
              <w:pStyle w:val="08-Tabelageral"/>
              <w:rPr>
                <w:rFonts w:cs="Arial"/>
                <w:bCs/>
                <w:szCs w:val="14"/>
              </w:rPr>
            </w:pPr>
            <w:r>
              <w:rPr>
                <w:rFonts w:cs="Arial"/>
                <w:color w:val="000000"/>
                <w:szCs w:val="14"/>
              </w:rPr>
              <w:t>--</w:t>
            </w:r>
          </w:p>
        </w:tc>
        <w:tc>
          <w:tcPr>
            <w:tcW w:w="1241" w:type="dxa"/>
            <w:shd w:val="clear" w:color="auto" w:fill="auto"/>
            <w:vAlign w:val="bottom"/>
          </w:tcPr>
          <w:p w14:paraId="77C5E0F2" w14:textId="77777777" w:rsidR="008B7E19" w:rsidRPr="00DA72A7" w:rsidRDefault="008B7E19" w:rsidP="008B7E19">
            <w:pPr>
              <w:pStyle w:val="08-Tabelageral"/>
              <w:rPr>
                <w:rFonts w:cs="Arial"/>
                <w:bCs/>
                <w:szCs w:val="14"/>
              </w:rPr>
            </w:pPr>
            <w:r>
              <w:rPr>
                <w:rFonts w:cs="Arial"/>
                <w:color w:val="000000"/>
                <w:szCs w:val="14"/>
              </w:rPr>
              <w:t>(13,013)</w:t>
            </w:r>
          </w:p>
        </w:tc>
      </w:tr>
      <w:tr w:rsidR="008B7E19" w:rsidRPr="00DA72A7" w14:paraId="3983FB86" w14:textId="77777777" w:rsidTr="008875E7">
        <w:trPr>
          <w:trHeight w:val="238"/>
          <w:jc w:val="center"/>
        </w:trPr>
        <w:tc>
          <w:tcPr>
            <w:tcW w:w="4678" w:type="dxa"/>
            <w:shd w:val="clear" w:color="auto" w:fill="auto"/>
          </w:tcPr>
          <w:p w14:paraId="0B9292D2" w14:textId="77777777" w:rsidR="008B7E19" w:rsidRPr="00DA72A7" w:rsidRDefault="008B7E19" w:rsidP="008B7E19">
            <w:pPr>
              <w:pStyle w:val="08-Tabelageral"/>
              <w:ind w:left="113"/>
              <w:jc w:val="left"/>
              <w:rPr>
                <w:rFonts w:cs="Arial"/>
                <w:bCs/>
                <w:szCs w:val="14"/>
              </w:rPr>
            </w:pPr>
            <w:r w:rsidRPr="00DA72A7">
              <w:rPr>
                <w:rFonts w:cs="Arial"/>
                <w:bCs/>
                <w:szCs w:val="14"/>
              </w:rPr>
              <w:t>Tax expenses</w:t>
            </w:r>
          </w:p>
        </w:tc>
        <w:tc>
          <w:tcPr>
            <w:tcW w:w="1240" w:type="dxa"/>
            <w:shd w:val="clear" w:color="auto" w:fill="auto"/>
            <w:vAlign w:val="bottom"/>
          </w:tcPr>
          <w:p w14:paraId="1117382A" w14:textId="77777777" w:rsidR="008B7E19" w:rsidRPr="00DA72A7" w:rsidRDefault="008B7E19" w:rsidP="008B7E19">
            <w:pPr>
              <w:pStyle w:val="08-Tabelageral"/>
              <w:rPr>
                <w:rFonts w:cs="Arial"/>
                <w:bCs/>
                <w:szCs w:val="14"/>
              </w:rPr>
            </w:pPr>
            <w:r>
              <w:rPr>
                <w:rFonts w:cs="Arial"/>
                <w:color w:val="000000"/>
                <w:szCs w:val="14"/>
              </w:rPr>
              <w:t>(2,173)</w:t>
            </w:r>
          </w:p>
        </w:tc>
        <w:tc>
          <w:tcPr>
            <w:tcW w:w="1240" w:type="dxa"/>
            <w:shd w:val="clear" w:color="auto" w:fill="auto"/>
            <w:vAlign w:val="bottom"/>
          </w:tcPr>
          <w:p w14:paraId="42D26DBD" w14:textId="77777777" w:rsidR="008B7E19" w:rsidRPr="00DA72A7" w:rsidRDefault="008B7E19" w:rsidP="008B7E19">
            <w:pPr>
              <w:pStyle w:val="08-Tabelageral"/>
              <w:rPr>
                <w:rFonts w:cs="Arial"/>
                <w:bCs/>
                <w:szCs w:val="14"/>
              </w:rPr>
            </w:pPr>
            <w:r>
              <w:rPr>
                <w:rFonts w:cs="Arial"/>
                <w:color w:val="000000"/>
                <w:szCs w:val="14"/>
              </w:rPr>
              <w:t>(4,990)</w:t>
            </w:r>
          </w:p>
        </w:tc>
        <w:tc>
          <w:tcPr>
            <w:tcW w:w="1240" w:type="dxa"/>
            <w:shd w:val="clear" w:color="auto" w:fill="auto"/>
            <w:vAlign w:val="bottom"/>
          </w:tcPr>
          <w:p w14:paraId="1DC8B445" w14:textId="77777777" w:rsidR="008B7E19" w:rsidRPr="00DA72A7" w:rsidRDefault="008B7E19" w:rsidP="008B7E19">
            <w:pPr>
              <w:pStyle w:val="08-Tabelageral"/>
              <w:rPr>
                <w:rFonts w:cs="Arial"/>
                <w:bCs/>
                <w:szCs w:val="14"/>
              </w:rPr>
            </w:pPr>
            <w:r>
              <w:rPr>
                <w:rFonts w:cs="Arial"/>
                <w:color w:val="000000"/>
                <w:szCs w:val="14"/>
              </w:rPr>
              <w:t>--</w:t>
            </w:r>
          </w:p>
        </w:tc>
        <w:tc>
          <w:tcPr>
            <w:tcW w:w="1241" w:type="dxa"/>
            <w:shd w:val="clear" w:color="auto" w:fill="auto"/>
            <w:vAlign w:val="bottom"/>
          </w:tcPr>
          <w:p w14:paraId="37B86EEB" w14:textId="77777777" w:rsidR="008B7E19" w:rsidRPr="00DA72A7" w:rsidRDefault="008B7E19" w:rsidP="008B7E19">
            <w:pPr>
              <w:pStyle w:val="08-Tabelageral"/>
              <w:rPr>
                <w:rFonts w:cs="Arial"/>
                <w:bCs/>
                <w:szCs w:val="14"/>
              </w:rPr>
            </w:pPr>
            <w:r>
              <w:rPr>
                <w:rFonts w:cs="Arial"/>
                <w:color w:val="000000"/>
                <w:szCs w:val="14"/>
              </w:rPr>
              <w:t>(7,163)</w:t>
            </w:r>
          </w:p>
        </w:tc>
      </w:tr>
      <w:tr w:rsidR="008B7E19" w:rsidRPr="00DA72A7" w14:paraId="55FC846C" w14:textId="77777777" w:rsidTr="008875E7">
        <w:trPr>
          <w:trHeight w:val="238"/>
          <w:jc w:val="center"/>
        </w:trPr>
        <w:tc>
          <w:tcPr>
            <w:tcW w:w="4678" w:type="dxa"/>
            <w:shd w:val="clear" w:color="auto" w:fill="auto"/>
          </w:tcPr>
          <w:p w14:paraId="17550877" w14:textId="77777777" w:rsidR="008B7E19" w:rsidRPr="00DA72A7" w:rsidRDefault="008B7E19" w:rsidP="008B7E19">
            <w:pPr>
              <w:pStyle w:val="08-Tabelageral"/>
              <w:ind w:left="113"/>
              <w:jc w:val="left"/>
              <w:rPr>
                <w:rFonts w:cs="Arial"/>
                <w:bCs/>
                <w:szCs w:val="14"/>
              </w:rPr>
            </w:pPr>
            <w:r w:rsidRPr="00DA72A7">
              <w:rPr>
                <w:rFonts w:cs="Arial"/>
                <w:bCs/>
                <w:szCs w:val="14"/>
              </w:rPr>
              <w:t>Other</w:t>
            </w:r>
          </w:p>
        </w:tc>
        <w:tc>
          <w:tcPr>
            <w:tcW w:w="1240" w:type="dxa"/>
            <w:shd w:val="clear" w:color="auto" w:fill="auto"/>
            <w:vAlign w:val="bottom"/>
          </w:tcPr>
          <w:p w14:paraId="34328D54" w14:textId="77777777" w:rsidR="008B7E19" w:rsidRPr="00DA72A7" w:rsidRDefault="008B7E19" w:rsidP="008B7E19">
            <w:pPr>
              <w:pStyle w:val="08-Tabelageral"/>
              <w:rPr>
                <w:rFonts w:cs="Arial"/>
                <w:bCs/>
                <w:szCs w:val="14"/>
              </w:rPr>
            </w:pPr>
            <w:r>
              <w:rPr>
                <w:rFonts w:cs="Arial"/>
                <w:color w:val="000000"/>
                <w:szCs w:val="14"/>
              </w:rPr>
              <w:t>1,968</w:t>
            </w:r>
          </w:p>
        </w:tc>
        <w:tc>
          <w:tcPr>
            <w:tcW w:w="1240" w:type="dxa"/>
            <w:shd w:val="clear" w:color="auto" w:fill="auto"/>
            <w:vAlign w:val="bottom"/>
          </w:tcPr>
          <w:p w14:paraId="1264B007" w14:textId="77777777" w:rsidR="008B7E19" w:rsidRPr="00DA72A7" w:rsidRDefault="008B7E19" w:rsidP="008B7E19">
            <w:pPr>
              <w:pStyle w:val="08-Tabelageral"/>
              <w:rPr>
                <w:rFonts w:cs="Arial"/>
                <w:bCs/>
                <w:szCs w:val="14"/>
              </w:rPr>
            </w:pPr>
            <w:r>
              <w:rPr>
                <w:rFonts w:cs="Arial"/>
                <w:color w:val="000000"/>
                <w:szCs w:val="14"/>
              </w:rPr>
              <w:t>(10,248)</w:t>
            </w:r>
          </w:p>
        </w:tc>
        <w:tc>
          <w:tcPr>
            <w:tcW w:w="1240" w:type="dxa"/>
            <w:shd w:val="clear" w:color="auto" w:fill="auto"/>
            <w:vAlign w:val="bottom"/>
          </w:tcPr>
          <w:p w14:paraId="3BC1AE39" w14:textId="77777777" w:rsidR="008B7E19" w:rsidRPr="00DA72A7" w:rsidRDefault="008B7E19" w:rsidP="008B7E19">
            <w:pPr>
              <w:pStyle w:val="08-Tabelageral"/>
              <w:rPr>
                <w:rFonts w:cs="Arial"/>
                <w:bCs/>
                <w:szCs w:val="14"/>
              </w:rPr>
            </w:pPr>
            <w:r>
              <w:rPr>
                <w:rFonts w:cs="Arial"/>
                <w:color w:val="000000"/>
                <w:szCs w:val="14"/>
              </w:rPr>
              <w:t>--</w:t>
            </w:r>
          </w:p>
        </w:tc>
        <w:tc>
          <w:tcPr>
            <w:tcW w:w="1241" w:type="dxa"/>
            <w:shd w:val="clear" w:color="auto" w:fill="auto"/>
            <w:vAlign w:val="bottom"/>
          </w:tcPr>
          <w:p w14:paraId="10458498" w14:textId="77777777" w:rsidR="008B7E19" w:rsidRPr="00DA72A7" w:rsidRDefault="008B7E19" w:rsidP="008B7E19">
            <w:pPr>
              <w:pStyle w:val="08-Tabelageral"/>
              <w:rPr>
                <w:rFonts w:cs="Arial"/>
                <w:bCs/>
                <w:szCs w:val="14"/>
              </w:rPr>
            </w:pPr>
            <w:r>
              <w:rPr>
                <w:rFonts w:cs="Arial"/>
                <w:color w:val="000000"/>
                <w:szCs w:val="14"/>
              </w:rPr>
              <w:t>(8,280)</w:t>
            </w:r>
          </w:p>
        </w:tc>
      </w:tr>
      <w:tr w:rsidR="008B7E19" w:rsidRPr="00DA72A7" w14:paraId="7366246B" w14:textId="77777777" w:rsidTr="008875E7">
        <w:trPr>
          <w:trHeight w:val="238"/>
          <w:jc w:val="center"/>
        </w:trPr>
        <w:tc>
          <w:tcPr>
            <w:tcW w:w="4678" w:type="dxa"/>
            <w:shd w:val="clear" w:color="auto" w:fill="auto"/>
          </w:tcPr>
          <w:p w14:paraId="53710ED5" w14:textId="77777777" w:rsidR="008B7E19" w:rsidRPr="00DA72A7" w:rsidRDefault="008B7E19" w:rsidP="008B7E19">
            <w:pPr>
              <w:pStyle w:val="08-Tabelageral"/>
              <w:jc w:val="left"/>
              <w:rPr>
                <w:rFonts w:cs="Arial"/>
                <w:b/>
                <w:szCs w:val="14"/>
                <w:lang w:val="en-US"/>
              </w:rPr>
            </w:pPr>
            <w:r w:rsidRPr="00DA72A7">
              <w:rPr>
                <w:rFonts w:cs="Arial"/>
                <w:b/>
                <w:szCs w:val="14"/>
                <w:lang w:val="en-US"/>
              </w:rPr>
              <w:t>Income Before Financial Revenue and Expenses</w:t>
            </w:r>
          </w:p>
        </w:tc>
        <w:tc>
          <w:tcPr>
            <w:tcW w:w="1240" w:type="dxa"/>
            <w:shd w:val="clear" w:color="auto" w:fill="auto"/>
            <w:vAlign w:val="bottom"/>
          </w:tcPr>
          <w:p w14:paraId="3352D4ED" w14:textId="77777777" w:rsidR="008B7E19" w:rsidRPr="00DA72A7" w:rsidRDefault="008B7E19" w:rsidP="008B7E19">
            <w:pPr>
              <w:pStyle w:val="08-Tabelageral"/>
              <w:rPr>
                <w:rFonts w:cs="Arial"/>
                <w:b/>
                <w:szCs w:val="14"/>
              </w:rPr>
            </w:pPr>
            <w:r>
              <w:rPr>
                <w:rFonts w:cs="Arial"/>
                <w:b/>
                <w:bCs/>
                <w:color w:val="000000"/>
                <w:szCs w:val="14"/>
              </w:rPr>
              <w:t>3,036,281</w:t>
            </w:r>
          </w:p>
        </w:tc>
        <w:tc>
          <w:tcPr>
            <w:tcW w:w="1240" w:type="dxa"/>
            <w:shd w:val="clear" w:color="auto" w:fill="auto"/>
            <w:vAlign w:val="bottom"/>
          </w:tcPr>
          <w:p w14:paraId="0BBF4FE2" w14:textId="77777777" w:rsidR="008B7E19" w:rsidRPr="00DA72A7" w:rsidRDefault="008B7E19" w:rsidP="008B7E19">
            <w:pPr>
              <w:pStyle w:val="08-Tabelageral"/>
              <w:rPr>
                <w:rFonts w:cs="Arial"/>
                <w:b/>
                <w:szCs w:val="14"/>
              </w:rPr>
            </w:pPr>
            <w:r>
              <w:rPr>
                <w:rFonts w:cs="Arial"/>
                <w:b/>
                <w:bCs/>
                <w:color w:val="000000"/>
                <w:szCs w:val="14"/>
              </w:rPr>
              <w:t>963,511</w:t>
            </w:r>
          </w:p>
        </w:tc>
        <w:tc>
          <w:tcPr>
            <w:tcW w:w="1240" w:type="dxa"/>
            <w:shd w:val="clear" w:color="auto" w:fill="auto"/>
            <w:vAlign w:val="bottom"/>
          </w:tcPr>
          <w:p w14:paraId="45684507" w14:textId="77777777" w:rsidR="008B7E19" w:rsidRPr="00DA72A7" w:rsidRDefault="008B7E19" w:rsidP="008B7E19">
            <w:pPr>
              <w:pStyle w:val="08-Tabelageral"/>
              <w:rPr>
                <w:rFonts w:cs="Arial"/>
                <w:b/>
                <w:szCs w:val="14"/>
              </w:rPr>
            </w:pPr>
            <w:r>
              <w:rPr>
                <w:rFonts w:cs="Arial"/>
                <w:b/>
                <w:bCs/>
                <w:color w:val="000000"/>
                <w:szCs w:val="14"/>
              </w:rPr>
              <w:t>(1,884,100)</w:t>
            </w:r>
          </w:p>
        </w:tc>
        <w:tc>
          <w:tcPr>
            <w:tcW w:w="1241" w:type="dxa"/>
            <w:shd w:val="clear" w:color="auto" w:fill="auto"/>
            <w:vAlign w:val="bottom"/>
          </w:tcPr>
          <w:p w14:paraId="4C2CF2A9" w14:textId="77777777" w:rsidR="008B7E19" w:rsidRPr="00DA72A7" w:rsidRDefault="008B7E19" w:rsidP="008B7E19">
            <w:pPr>
              <w:pStyle w:val="08-Tabelageral"/>
              <w:rPr>
                <w:rFonts w:cs="Arial"/>
                <w:b/>
                <w:szCs w:val="14"/>
              </w:rPr>
            </w:pPr>
            <w:r>
              <w:rPr>
                <w:rFonts w:cs="Arial"/>
                <w:b/>
                <w:bCs/>
                <w:color w:val="000000"/>
                <w:szCs w:val="14"/>
              </w:rPr>
              <w:t>2,115,692</w:t>
            </w:r>
          </w:p>
        </w:tc>
      </w:tr>
      <w:tr w:rsidR="008B7E19" w:rsidRPr="00DA72A7" w14:paraId="715DD706" w14:textId="77777777" w:rsidTr="008875E7">
        <w:trPr>
          <w:trHeight w:val="238"/>
          <w:jc w:val="center"/>
        </w:trPr>
        <w:tc>
          <w:tcPr>
            <w:tcW w:w="4678" w:type="dxa"/>
            <w:shd w:val="clear" w:color="auto" w:fill="auto"/>
          </w:tcPr>
          <w:p w14:paraId="309013B5" w14:textId="77777777" w:rsidR="008B7E19" w:rsidRPr="00DA72A7" w:rsidRDefault="008B7E19" w:rsidP="008B7E19">
            <w:pPr>
              <w:pStyle w:val="08-Tabelageral"/>
              <w:jc w:val="left"/>
              <w:rPr>
                <w:rFonts w:cs="Arial"/>
                <w:b/>
                <w:szCs w:val="14"/>
              </w:rPr>
            </w:pPr>
            <w:r w:rsidRPr="00DA72A7">
              <w:rPr>
                <w:rFonts w:cs="Arial"/>
                <w:b/>
                <w:szCs w:val="14"/>
              </w:rPr>
              <w:t>Financial Result</w:t>
            </w:r>
          </w:p>
        </w:tc>
        <w:tc>
          <w:tcPr>
            <w:tcW w:w="1240" w:type="dxa"/>
            <w:shd w:val="clear" w:color="auto" w:fill="auto"/>
            <w:vAlign w:val="bottom"/>
          </w:tcPr>
          <w:p w14:paraId="2250E3E4" w14:textId="77777777" w:rsidR="008B7E19" w:rsidRPr="00DA72A7" w:rsidRDefault="008B7E19" w:rsidP="008B7E19">
            <w:pPr>
              <w:pStyle w:val="08-Tabelageral"/>
              <w:rPr>
                <w:rFonts w:cs="Arial"/>
                <w:b/>
                <w:szCs w:val="14"/>
              </w:rPr>
            </w:pPr>
            <w:r>
              <w:rPr>
                <w:rFonts w:cs="Arial"/>
                <w:b/>
                <w:bCs/>
                <w:color w:val="000000"/>
                <w:szCs w:val="14"/>
              </w:rPr>
              <w:t>43,938</w:t>
            </w:r>
          </w:p>
        </w:tc>
        <w:tc>
          <w:tcPr>
            <w:tcW w:w="1240" w:type="dxa"/>
            <w:shd w:val="clear" w:color="auto" w:fill="auto"/>
            <w:vAlign w:val="bottom"/>
          </w:tcPr>
          <w:p w14:paraId="14437334" w14:textId="77777777" w:rsidR="008B7E19" w:rsidRPr="00DA72A7" w:rsidRDefault="008B7E19" w:rsidP="008B7E19">
            <w:pPr>
              <w:pStyle w:val="08-Tabelageral"/>
              <w:rPr>
                <w:rFonts w:cs="Arial"/>
                <w:b/>
                <w:szCs w:val="14"/>
              </w:rPr>
            </w:pPr>
            <w:r>
              <w:rPr>
                <w:rFonts w:cs="Arial"/>
                <w:b/>
                <w:bCs/>
                <w:color w:val="000000"/>
                <w:szCs w:val="14"/>
              </w:rPr>
              <w:t>106,366</w:t>
            </w:r>
          </w:p>
        </w:tc>
        <w:tc>
          <w:tcPr>
            <w:tcW w:w="1240" w:type="dxa"/>
            <w:shd w:val="clear" w:color="auto" w:fill="auto"/>
            <w:vAlign w:val="bottom"/>
          </w:tcPr>
          <w:p w14:paraId="7AA74F67" w14:textId="77777777" w:rsidR="008B7E19" w:rsidRPr="00DA72A7" w:rsidRDefault="008B7E19" w:rsidP="008B7E19">
            <w:pPr>
              <w:pStyle w:val="08-Tabelageral"/>
              <w:rPr>
                <w:rFonts w:cs="Arial"/>
                <w:b/>
                <w:szCs w:val="14"/>
              </w:rPr>
            </w:pPr>
            <w:r>
              <w:rPr>
                <w:rFonts w:cs="Arial"/>
                <w:b/>
                <w:bCs/>
                <w:color w:val="000000"/>
                <w:szCs w:val="14"/>
              </w:rPr>
              <w:t>--</w:t>
            </w:r>
          </w:p>
        </w:tc>
        <w:tc>
          <w:tcPr>
            <w:tcW w:w="1241" w:type="dxa"/>
            <w:shd w:val="clear" w:color="auto" w:fill="auto"/>
            <w:vAlign w:val="bottom"/>
          </w:tcPr>
          <w:p w14:paraId="7F9E277D" w14:textId="77777777" w:rsidR="008B7E19" w:rsidRPr="00DA72A7" w:rsidRDefault="008B7E19" w:rsidP="008B7E19">
            <w:pPr>
              <w:pStyle w:val="08-Tabelageral"/>
              <w:rPr>
                <w:rFonts w:cs="Arial"/>
                <w:b/>
                <w:szCs w:val="14"/>
              </w:rPr>
            </w:pPr>
            <w:r>
              <w:rPr>
                <w:rFonts w:cs="Arial"/>
                <w:b/>
                <w:bCs/>
                <w:color w:val="000000"/>
                <w:szCs w:val="14"/>
              </w:rPr>
              <w:t>150,304</w:t>
            </w:r>
          </w:p>
        </w:tc>
      </w:tr>
      <w:tr w:rsidR="008B7E19" w:rsidRPr="00DA72A7" w14:paraId="431A17BA" w14:textId="77777777" w:rsidTr="008875E7">
        <w:trPr>
          <w:trHeight w:val="238"/>
          <w:jc w:val="center"/>
        </w:trPr>
        <w:tc>
          <w:tcPr>
            <w:tcW w:w="4678" w:type="dxa"/>
            <w:shd w:val="clear" w:color="auto" w:fill="auto"/>
          </w:tcPr>
          <w:p w14:paraId="380F01AF" w14:textId="77777777" w:rsidR="008B7E19" w:rsidRPr="00DA72A7" w:rsidRDefault="008B7E19" w:rsidP="008B7E19">
            <w:pPr>
              <w:pStyle w:val="08-Tabelageral"/>
              <w:ind w:left="113"/>
              <w:jc w:val="left"/>
              <w:rPr>
                <w:rFonts w:cs="Arial"/>
                <w:bCs/>
                <w:szCs w:val="14"/>
              </w:rPr>
            </w:pPr>
            <w:r w:rsidRPr="00DA72A7">
              <w:rPr>
                <w:rFonts w:cs="Arial"/>
                <w:bCs/>
                <w:szCs w:val="14"/>
              </w:rPr>
              <w:t>Financial revenue</w:t>
            </w:r>
          </w:p>
        </w:tc>
        <w:tc>
          <w:tcPr>
            <w:tcW w:w="1240" w:type="dxa"/>
            <w:shd w:val="clear" w:color="auto" w:fill="auto"/>
            <w:vAlign w:val="bottom"/>
          </w:tcPr>
          <w:p w14:paraId="32C05DD5" w14:textId="77777777" w:rsidR="008B7E19" w:rsidRPr="00DA72A7" w:rsidRDefault="008B7E19" w:rsidP="008B7E19">
            <w:pPr>
              <w:pStyle w:val="08-Tabelageral"/>
              <w:rPr>
                <w:rFonts w:cs="Arial"/>
                <w:bCs/>
                <w:szCs w:val="14"/>
              </w:rPr>
            </w:pPr>
            <w:r>
              <w:rPr>
                <w:rFonts w:cs="Arial"/>
                <w:color w:val="000000"/>
                <w:szCs w:val="14"/>
              </w:rPr>
              <w:t>44,983</w:t>
            </w:r>
          </w:p>
        </w:tc>
        <w:tc>
          <w:tcPr>
            <w:tcW w:w="1240" w:type="dxa"/>
            <w:shd w:val="clear" w:color="auto" w:fill="auto"/>
            <w:vAlign w:val="bottom"/>
          </w:tcPr>
          <w:p w14:paraId="18DC8441" w14:textId="77777777" w:rsidR="008B7E19" w:rsidRPr="00DA72A7" w:rsidRDefault="008B7E19" w:rsidP="008B7E19">
            <w:pPr>
              <w:pStyle w:val="08-Tabelageral"/>
              <w:rPr>
                <w:rFonts w:cs="Arial"/>
                <w:bCs/>
                <w:szCs w:val="14"/>
              </w:rPr>
            </w:pPr>
            <w:r>
              <w:rPr>
                <w:rFonts w:cs="Arial"/>
                <w:color w:val="000000"/>
                <w:szCs w:val="14"/>
              </w:rPr>
              <w:t>106,452</w:t>
            </w:r>
          </w:p>
        </w:tc>
        <w:tc>
          <w:tcPr>
            <w:tcW w:w="1240" w:type="dxa"/>
            <w:shd w:val="clear" w:color="auto" w:fill="auto"/>
            <w:vAlign w:val="bottom"/>
          </w:tcPr>
          <w:p w14:paraId="5ECA7D37" w14:textId="77777777" w:rsidR="008B7E19" w:rsidRPr="00DA72A7" w:rsidRDefault="008B7E19" w:rsidP="008B7E19">
            <w:pPr>
              <w:pStyle w:val="08-Tabelageral"/>
              <w:rPr>
                <w:rFonts w:cs="Arial"/>
                <w:bCs/>
                <w:szCs w:val="14"/>
              </w:rPr>
            </w:pPr>
            <w:r>
              <w:rPr>
                <w:rFonts w:cs="Arial"/>
                <w:color w:val="000000"/>
                <w:szCs w:val="14"/>
              </w:rPr>
              <w:t>--</w:t>
            </w:r>
          </w:p>
        </w:tc>
        <w:tc>
          <w:tcPr>
            <w:tcW w:w="1241" w:type="dxa"/>
            <w:shd w:val="clear" w:color="auto" w:fill="auto"/>
            <w:vAlign w:val="bottom"/>
          </w:tcPr>
          <w:p w14:paraId="19328B63" w14:textId="77777777" w:rsidR="008B7E19" w:rsidRPr="00DA72A7" w:rsidRDefault="008B7E19" w:rsidP="008B7E19">
            <w:pPr>
              <w:pStyle w:val="08-Tabelageral"/>
              <w:rPr>
                <w:rFonts w:cs="Arial"/>
                <w:bCs/>
                <w:szCs w:val="14"/>
              </w:rPr>
            </w:pPr>
            <w:r>
              <w:rPr>
                <w:rFonts w:cs="Arial"/>
                <w:color w:val="000000"/>
                <w:szCs w:val="14"/>
              </w:rPr>
              <w:t>151,435</w:t>
            </w:r>
          </w:p>
        </w:tc>
      </w:tr>
      <w:tr w:rsidR="008B7E19" w:rsidRPr="00DA72A7" w14:paraId="6377CACA" w14:textId="77777777" w:rsidTr="008875E7">
        <w:trPr>
          <w:trHeight w:val="238"/>
          <w:jc w:val="center"/>
        </w:trPr>
        <w:tc>
          <w:tcPr>
            <w:tcW w:w="4678" w:type="dxa"/>
            <w:shd w:val="clear" w:color="auto" w:fill="auto"/>
          </w:tcPr>
          <w:p w14:paraId="5B0D0E57" w14:textId="77777777" w:rsidR="008B7E19" w:rsidRPr="00DA72A7" w:rsidRDefault="008B7E19" w:rsidP="008B7E19">
            <w:pPr>
              <w:pStyle w:val="08-Tabelageral"/>
              <w:ind w:left="113"/>
              <w:jc w:val="left"/>
              <w:rPr>
                <w:rFonts w:cs="Arial"/>
                <w:bCs/>
                <w:szCs w:val="14"/>
              </w:rPr>
            </w:pPr>
            <w:r w:rsidRPr="00DA72A7">
              <w:rPr>
                <w:rFonts w:cs="Arial"/>
                <w:bCs/>
                <w:szCs w:val="14"/>
              </w:rPr>
              <w:t>Financial expenses</w:t>
            </w:r>
          </w:p>
        </w:tc>
        <w:tc>
          <w:tcPr>
            <w:tcW w:w="1240" w:type="dxa"/>
            <w:shd w:val="clear" w:color="auto" w:fill="auto"/>
            <w:vAlign w:val="bottom"/>
          </w:tcPr>
          <w:p w14:paraId="1EEBFC4B" w14:textId="77777777" w:rsidR="008B7E19" w:rsidRPr="00DA72A7" w:rsidRDefault="008B7E19" w:rsidP="008B7E19">
            <w:pPr>
              <w:pStyle w:val="08-Tabelageral"/>
              <w:rPr>
                <w:rFonts w:cs="Arial"/>
                <w:bCs/>
                <w:szCs w:val="14"/>
              </w:rPr>
            </w:pPr>
            <w:r>
              <w:rPr>
                <w:rFonts w:cs="Arial"/>
                <w:color w:val="000000"/>
                <w:szCs w:val="14"/>
              </w:rPr>
              <w:t>(1,045)</w:t>
            </w:r>
          </w:p>
        </w:tc>
        <w:tc>
          <w:tcPr>
            <w:tcW w:w="1240" w:type="dxa"/>
            <w:shd w:val="clear" w:color="auto" w:fill="auto"/>
            <w:vAlign w:val="bottom"/>
          </w:tcPr>
          <w:p w14:paraId="5E3A972C" w14:textId="77777777" w:rsidR="008B7E19" w:rsidRPr="00DA72A7" w:rsidRDefault="008B7E19" w:rsidP="008B7E19">
            <w:pPr>
              <w:pStyle w:val="08-Tabelageral"/>
              <w:rPr>
                <w:rFonts w:cs="Arial"/>
                <w:bCs/>
                <w:szCs w:val="14"/>
              </w:rPr>
            </w:pPr>
            <w:r>
              <w:rPr>
                <w:rFonts w:cs="Arial"/>
                <w:color w:val="000000"/>
                <w:szCs w:val="14"/>
              </w:rPr>
              <w:t>(86)</w:t>
            </w:r>
          </w:p>
        </w:tc>
        <w:tc>
          <w:tcPr>
            <w:tcW w:w="1240" w:type="dxa"/>
            <w:shd w:val="clear" w:color="auto" w:fill="auto"/>
            <w:vAlign w:val="bottom"/>
          </w:tcPr>
          <w:p w14:paraId="08C6493B" w14:textId="77777777" w:rsidR="008B7E19" w:rsidRPr="00DA72A7" w:rsidRDefault="008B7E19" w:rsidP="008B7E19">
            <w:pPr>
              <w:pStyle w:val="08-Tabelageral"/>
              <w:rPr>
                <w:rFonts w:cs="Arial"/>
                <w:bCs/>
                <w:szCs w:val="14"/>
              </w:rPr>
            </w:pPr>
            <w:r>
              <w:rPr>
                <w:rFonts w:cs="Arial"/>
                <w:color w:val="000000"/>
                <w:szCs w:val="14"/>
              </w:rPr>
              <w:t>--</w:t>
            </w:r>
          </w:p>
        </w:tc>
        <w:tc>
          <w:tcPr>
            <w:tcW w:w="1241" w:type="dxa"/>
            <w:shd w:val="clear" w:color="auto" w:fill="auto"/>
            <w:vAlign w:val="bottom"/>
          </w:tcPr>
          <w:p w14:paraId="39F41288" w14:textId="77777777" w:rsidR="008B7E19" w:rsidRPr="00DA72A7" w:rsidRDefault="008B7E19" w:rsidP="008B7E19">
            <w:pPr>
              <w:pStyle w:val="08-Tabelageral"/>
              <w:rPr>
                <w:rFonts w:cs="Arial"/>
                <w:bCs/>
                <w:szCs w:val="14"/>
              </w:rPr>
            </w:pPr>
            <w:r>
              <w:rPr>
                <w:rFonts w:cs="Arial"/>
                <w:color w:val="000000"/>
                <w:szCs w:val="14"/>
              </w:rPr>
              <w:t>(1,131)</w:t>
            </w:r>
          </w:p>
        </w:tc>
      </w:tr>
      <w:tr w:rsidR="008B7E19" w:rsidRPr="00DA72A7" w14:paraId="748306D3" w14:textId="77777777" w:rsidTr="008875E7">
        <w:trPr>
          <w:trHeight w:val="238"/>
          <w:jc w:val="center"/>
        </w:trPr>
        <w:tc>
          <w:tcPr>
            <w:tcW w:w="4678" w:type="dxa"/>
            <w:shd w:val="clear" w:color="auto" w:fill="auto"/>
          </w:tcPr>
          <w:p w14:paraId="05AB89FE" w14:textId="77777777" w:rsidR="008B7E19" w:rsidRPr="00DA72A7" w:rsidRDefault="008B7E19" w:rsidP="008B7E19">
            <w:pPr>
              <w:pStyle w:val="08-Tabelageral"/>
              <w:jc w:val="left"/>
              <w:rPr>
                <w:rFonts w:cs="Arial"/>
                <w:b/>
                <w:szCs w:val="14"/>
                <w:lang w:val="en-US"/>
              </w:rPr>
            </w:pPr>
            <w:r w:rsidRPr="00DA72A7">
              <w:rPr>
                <w:rFonts w:cs="Arial"/>
                <w:b/>
                <w:szCs w:val="14"/>
                <w:lang w:val="en-US"/>
              </w:rPr>
              <w:t>Income Before Taxes and Equities</w:t>
            </w:r>
          </w:p>
        </w:tc>
        <w:tc>
          <w:tcPr>
            <w:tcW w:w="1240" w:type="dxa"/>
            <w:shd w:val="clear" w:color="auto" w:fill="auto"/>
            <w:vAlign w:val="bottom"/>
          </w:tcPr>
          <w:p w14:paraId="20D98A40" w14:textId="77777777" w:rsidR="008B7E19" w:rsidRPr="00DA72A7" w:rsidRDefault="008B7E19" w:rsidP="008B7E19">
            <w:pPr>
              <w:pStyle w:val="08-Tabelageral"/>
              <w:rPr>
                <w:rFonts w:cs="Arial"/>
                <w:b/>
                <w:szCs w:val="14"/>
              </w:rPr>
            </w:pPr>
            <w:r>
              <w:rPr>
                <w:rFonts w:cs="Arial"/>
                <w:b/>
                <w:bCs/>
                <w:color w:val="000000"/>
                <w:szCs w:val="14"/>
              </w:rPr>
              <w:t>3,080,219</w:t>
            </w:r>
          </w:p>
        </w:tc>
        <w:tc>
          <w:tcPr>
            <w:tcW w:w="1240" w:type="dxa"/>
            <w:shd w:val="clear" w:color="auto" w:fill="auto"/>
            <w:vAlign w:val="bottom"/>
          </w:tcPr>
          <w:p w14:paraId="54997CD6" w14:textId="77777777" w:rsidR="008B7E19" w:rsidRPr="00DA72A7" w:rsidRDefault="008B7E19" w:rsidP="008B7E19">
            <w:pPr>
              <w:pStyle w:val="08-Tabelageral"/>
              <w:rPr>
                <w:rFonts w:cs="Arial"/>
                <w:b/>
                <w:szCs w:val="14"/>
              </w:rPr>
            </w:pPr>
            <w:r>
              <w:rPr>
                <w:rFonts w:cs="Arial"/>
                <w:b/>
                <w:bCs/>
                <w:color w:val="000000"/>
                <w:szCs w:val="14"/>
              </w:rPr>
              <w:t>1,069,877</w:t>
            </w:r>
          </w:p>
        </w:tc>
        <w:tc>
          <w:tcPr>
            <w:tcW w:w="1240" w:type="dxa"/>
            <w:shd w:val="clear" w:color="auto" w:fill="auto"/>
            <w:vAlign w:val="bottom"/>
          </w:tcPr>
          <w:p w14:paraId="1F56F170" w14:textId="77777777" w:rsidR="008B7E19" w:rsidRPr="00DA72A7" w:rsidRDefault="008B7E19" w:rsidP="008B7E19">
            <w:pPr>
              <w:pStyle w:val="08-Tabelageral"/>
              <w:rPr>
                <w:rFonts w:cs="Arial"/>
                <w:b/>
                <w:szCs w:val="14"/>
              </w:rPr>
            </w:pPr>
            <w:r>
              <w:rPr>
                <w:rFonts w:cs="Arial"/>
                <w:b/>
                <w:bCs/>
                <w:color w:val="000000"/>
                <w:szCs w:val="14"/>
              </w:rPr>
              <w:t>(1,884,100)</w:t>
            </w:r>
          </w:p>
        </w:tc>
        <w:tc>
          <w:tcPr>
            <w:tcW w:w="1241" w:type="dxa"/>
            <w:shd w:val="clear" w:color="auto" w:fill="auto"/>
            <w:vAlign w:val="bottom"/>
          </w:tcPr>
          <w:p w14:paraId="65792B67" w14:textId="77777777" w:rsidR="008B7E19" w:rsidRPr="00DA72A7" w:rsidRDefault="008B7E19" w:rsidP="008B7E19">
            <w:pPr>
              <w:pStyle w:val="08-Tabelageral"/>
              <w:rPr>
                <w:rFonts w:cs="Arial"/>
                <w:b/>
                <w:szCs w:val="14"/>
              </w:rPr>
            </w:pPr>
            <w:r>
              <w:rPr>
                <w:rFonts w:cs="Arial"/>
                <w:b/>
                <w:bCs/>
                <w:color w:val="000000"/>
                <w:szCs w:val="14"/>
              </w:rPr>
              <w:t>2,265,996</w:t>
            </w:r>
          </w:p>
        </w:tc>
      </w:tr>
      <w:tr w:rsidR="008B7E19" w:rsidRPr="00DA72A7" w14:paraId="61EF4472" w14:textId="77777777" w:rsidTr="008875E7">
        <w:trPr>
          <w:trHeight w:val="238"/>
          <w:jc w:val="center"/>
        </w:trPr>
        <w:tc>
          <w:tcPr>
            <w:tcW w:w="4678" w:type="dxa"/>
            <w:shd w:val="clear" w:color="auto" w:fill="auto"/>
          </w:tcPr>
          <w:p w14:paraId="61A9C8E2" w14:textId="77777777" w:rsidR="008B7E19" w:rsidRPr="00647C8D" w:rsidRDefault="008B7E19" w:rsidP="008B7E19">
            <w:pPr>
              <w:pStyle w:val="08-Tabelageral"/>
              <w:ind w:left="113"/>
              <w:jc w:val="left"/>
              <w:rPr>
                <w:rFonts w:cs="Arial"/>
                <w:bCs/>
                <w:szCs w:val="14"/>
                <w:lang w:val="en-US"/>
              </w:rPr>
            </w:pPr>
            <w:r w:rsidRPr="00647C8D">
              <w:rPr>
                <w:rFonts w:cs="Arial"/>
                <w:bCs/>
                <w:szCs w:val="14"/>
                <w:lang w:val="en-US"/>
              </w:rPr>
              <w:t>Income Tax and Social Contribution</w:t>
            </w:r>
          </w:p>
        </w:tc>
        <w:tc>
          <w:tcPr>
            <w:tcW w:w="1240" w:type="dxa"/>
            <w:shd w:val="clear" w:color="auto" w:fill="auto"/>
            <w:vAlign w:val="bottom"/>
          </w:tcPr>
          <w:p w14:paraId="498C663C" w14:textId="77777777" w:rsidR="008B7E19" w:rsidRPr="00BE238B" w:rsidRDefault="008B7E19" w:rsidP="008B7E19">
            <w:pPr>
              <w:pStyle w:val="08-Tabelageral"/>
              <w:ind w:left="113"/>
              <w:rPr>
                <w:rFonts w:cs="Arial"/>
                <w:bCs/>
                <w:szCs w:val="14"/>
              </w:rPr>
            </w:pPr>
            <w:r>
              <w:rPr>
                <w:rFonts w:cs="Arial"/>
                <w:color w:val="000000"/>
                <w:szCs w:val="14"/>
              </w:rPr>
              <w:t>(10,742)</w:t>
            </w:r>
          </w:p>
        </w:tc>
        <w:tc>
          <w:tcPr>
            <w:tcW w:w="1240" w:type="dxa"/>
            <w:shd w:val="clear" w:color="auto" w:fill="auto"/>
            <w:vAlign w:val="bottom"/>
          </w:tcPr>
          <w:p w14:paraId="2A3AE75C" w14:textId="77777777" w:rsidR="008B7E19" w:rsidRPr="00BE238B" w:rsidRDefault="008B7E19" w:rsidP="008B7E19">
            <w:pPr>
              <w:pStyle w:val="08-Tabelageral"/>
              <w:ind w:left="113"/>
              <w:rPr>
                <w:rFonts w:cs="Arial"/>
                <w:bCs/>
                <w:szCs w:val="14"/>
              </w:rPr>
            </w:pPr>
            <w:r>
              <w:rPr>
                <w:rFonts w:cs="Arial"/>
                <w:color w:val="000000"/>
                <w:szCs w:val="14"/>
              </w:rPr>
              <w:t>(363,082)</w:t>
            </w:r>
          </w:p>
        </w:tc>
        <w:tc>
          <w:tcPr>
            <w:tcW w:w="1240" w:type="dxa"/>
            <w:shd w:val="clear" w:color="auto" w:fill="auto"/>
            <w:vAlign w:val="bottom"/>
          </w:tcPr>
          <w:p w14:paraId="30CA8CEA" w14:textId="77777777" w:rsidR="008B7E19" w:rsidRPr="00BE238B" w:rsidRDefault="008B7E19" w:rsidP="008B7E19">
            <w:pPr>
              <w:pStyle w:val="08-Tabelageral"/>
              <w:ind w:left="113"/>
              <w:rPr>
                <w:rFonts w:cs="Arial"/>
                <w:bCs/>
                <w:szCs w:val="14"/>
              </w:rPr>
            </w:pPr>
            <w:r>
              <w:rPr>
                <w:rFonts w:cs="Arial"/>
                <w:color w:val="000000"/>
                <w:szCs w:val="14"/>
              </w:rPr>
              <w:t>--</w:t>
            </w:r>
          </w:p>
        </w:tc>
        <w:tc>
          <w:tcPr>
            <w:tcW w:w="1241" w:type="dxa"/>
            <w:shd w:val="clear" w:color="auto" w:fill="auto"/>
            <w:vAlign w:val="bottom"/>
          </w:tcPr>
          <w:p w14:paraId="658CB456" w14:textId="77777777" w:rsidR="008B7E19" w:rsidRPr="00BE238B" w:rsidRDefault="008B7E19" w:rsidP="008B7E19">
            <w:pPr>
              <w:pStyle w:val="08-Tabelageral"/>
              <w:ind w:left="113"/>
              <w:rPr>
                <w:rFonts w:cs="Arial"/>
                <w:bCs/>
                <w:szCs w:val="14"/>
              </w:rPr>
            </w:pPr>
            <w:r>
              <w:rPr>
                <w:rFonts w:cs="Arial"/>
                <w:color w:val="000000"/>
                <w:szCs w:val="14"/>
              </w:rPr>
              <w:t>(373,824)</w:t>
            </w:r>
          </w:p>
        </w:tc>
      </w:tr>
      <w:tr w:rsidR="008B7E19" w:rsidRPr="00DA72A7" w14:paraId="61399C33" w14:textId="77777777" w:rsidTr="008875E7">
        <w:trPr>
          <w:trHeight w:val="238"/>
          <w:jc w:val="center"/>
        </w:trPr>
        <w:tc>
          <w:tcPr>
            <w:tcW w:w="4678" w:type="dxa"/>
            <w:tcBorders>
              <w:bottom w:val="single" w:sz="2" w:space="0" w:color="1F4E79" w:themeColor="accent1" w:themeShade="80"/>
            </w:tcBorders>
            <w:shd w:val="clear" w:color="auto" w:fill="auto"/>
          </w:tcPr>
          <w:p w14:paraId="3321B743" w14:textId="77777777" w:rsidR="008B7E19" w:rsidRPr="00DA72A7" w:rsidRDefault="008B7E19" w:rsidP="008B7E19">
            <w:pPr>
              <w:pStyle w:val="08-Tabelageral"/>
              <w:jc w:val="left"/>
              <w:rPr>
                <w:rFonts w:cs="Arial"/>
                <w:b/>
                <w:szCs w:val="14"/>
                <w:lang w:val="en-US"/>
              </w:rPr>
            </w:pPr>
            <w:r w:rsidRPr="00DA72A7">
              <w:rPr>
                <w:rFonts w:cs="Arial"/>
                <w:b/>
                <w:szCs w:val="14"/>
                <w:lang w:val="en-US"/>
              </w:rPr>
              <w:t>Net Income</w:t>
            </w:r>
          </w:p>
        </w:tc>
        <w:tc>
          <w:tcPr>
            <w:tcW w:w="1240" w:type="dxa"/>
            <w:tcBorders>
              <w:bottom w:val="single" w:sz="2" w:space="0" w:color="1F4E79" w:themeColor="accent1" w:themeShade="80"/>
            </w:tcBorders>
            <w:shd w:val="clear" w:color="auto" w:fill="auto"/>
            <w:vAlign w:val="bottom"/>
          </w:tcPr>
          <w:p w14:paraId="2F8043C2" w14:textId="77777777" w:rsidR="008B7E19" w:rsidRPr="00DA72A7" w:rsidRDefault="008B7E19" w:rsidP="008B7E19">
            <w:pPr>
              <w:pStyle w:val="08-Tabelageral"/>
              <w:rPr>
                <w:rFonts w:cs="Arial"/>
                <w:b/>
                <w:szCs w:val="14"/>
              </w:rPr>
            </w:pPr>
            <w:r>
              <w:rPr>
                <w:rFonts w:cs="Arial"/>
                <w:b/>
                <w:bCs/>
                <w:color w:val="000000"/>
                <w:szCs w:val="14"/>
              </w:rPr>
              <w:t>3,069,478</w:t>
            </w:r>
          </w:p>
        </w:tc>
        <w:tc>
          <w:tcPr>
            <w:tcW w:w="1240" w:type="dxa"/>
            <w:tcBorders>
              <w:bottom w:val="single" w:sz="2" w:space="0" w:color="1F4E79" w:themeColor="accent1" w:themeShade="80"/>
            </w:tcBorders>
            <w:shd w:val="clear" w:color="auto" w:fill="auto"/>
            <w:vAlign w:val="bottom"/>
          </w:tcPr>
          <w:p w14:paraId="66B428B7" w14:textId="77777777" w:rsidR="008B7E19" w:rsidRPr="00DA72A7" w:rsidRDefault="008B7E19" w:rsidP="008B7E19">
            <w:pPr>
              <w:pStyle w:val="08-Tabelageral"/>
              <w:rPr>
                <w:rFonts w:cs="Arial"/>
                <w:b/>
                <w:szCs w:val="14"/>
              </w:rPr>
            </w:pPr>
            <w:r>
              <w:rPr>
                <w:rFonts w:cs="Arial"/>
                <w:b/>
                <w:bCs/>
                <w:color w:val="000000"/>
                <w:szCs w:val="14"/>
              </w:rPr>
              <w:t>706,795</w:t>
            </w:r>
          </w:p>
        </w:tc>
        <w:tc>
          <w:tcPr>
            <w:tcW w:w="1240" w:type="dxa"/>
            <w:tcBorders>
              <w:bottom w:val="single" w:sz="2" w:space="0" w:color="1F4E79" w:themeColor="accent1" w:themeShade="80"/>
            </w:tcBorders>
            <w:shd w:val="clear" w:color="auto" w:fill="auto"/>
            <w:vAlign w:val="bottom"/>
          </w:tcPr>
          <w:p w14:paraId="288ADA03" w14:textId="77777777" w:rsidR="008B7E19" w:rsidRPr="00DA72A7" w:rsidRDefault="008B7E19" w:rsidP="008B7E19">
            <w:pPr>
              <w:pStyle w:val="08-Tabelageral"/>
              <w:rPr>
                <w:rFonts w:cs="Arial"/>
                <w:b/>
                <w:szCs w:val="14"/>
              </w:rPr>
            </w:pPr>
            <w:r>
              <w:rPr>
                <w:rFonts w:cs="Arial"/>
                <w:b/>
                <w:bCs/>
                <w:color w:val="000000"/>
                <w:szCs w:val="14"/>
              </w:rPr>
              <w:t>(1,884,100)</w:t>
            </w:r>
          </w:p>
        </w:tc>
        <w:tc>
          <w:tcPr>
            <w:tcW w:w="1241" w:type="dxa"/>
            <w:tcBorders>
              <w:bottom w:val="single" w:sz="2" w:space="0" w:color="1F4E79" w:themeColor="accent1" w:themeShade="80"/>
            </w:tcBorders>
            <w:shd w:val="clear" w:color="auto" w:fill="auto"/>
            <w:vAlign w:val="bottom"/>
          </w:tcPr>
          <w:p w14:paraId="71DA5D49" w14:textId="77777777" w:rsidR="008B7E19" w:rsidRPr="00DA72A7" w:rsidRDefault="008B7E19" w:rsidP="008B7E19">
            <w:pPr>
              <w:pStyle w:val="08-Tabelageral"/>
              <w:rPr>
                <w:rFonts w:cs="Arial"/>
                <w:b/>
                <w:szCs w:val="14"/>
              </w:rPr>
            </w:pPr>
            <w:r>
              <w:rPr>
                <w:rFonts w:cs="Arial"/>
                <w:b/>
                <w:bCs/>
                <w:color w:val="000000"/>
                <w:szCs w:val="14"/>
              </w:rPr>
              <w:t>1,892,173</w:t>
            </w:r>
          </w:p>
        </w:tc>
      </w:tr>
    </w:tbl>
    <w:p w14:paraId="7A2A32E8" w14:textId="77777777" w:rsidR="008B7E19" w:rsidRDefault="008B7E19" w:rsidP="008B7E19">
      <w:pPr>
        <w:spacing w:after="0"/>
        <w:jc w:val="right"/>
        <w:rPr>
          <w:rFonts w:cs="Arial"/>
          <w:b/>
          <w:sz w:val="14"/>
          <w:szCs w:val="18"/>
        </w:rPr>
        <w:sectPr w:rsidR="008B7E19" w:rsidSect="008B7E19">
          <w:headerReference w:type="even" r:id="rId31"/>
          <w:headerReference w:type="default" r:id="rId32"/>
          <w:footerReference w:type="default" r:id="rId33"/>
          <w:headerReference w:type="first" r:id="rId34"/>
          <w:footerReference w:type="first" r:id="rId35"/>
          <w:pgSz w:w="11906" w:h="16838" w:code="9"/>
          <w:pgMar w:top="1134" w:right="1134" w:bottom="851" w:left="1134" w:header="851" w:footer="284" w:gutter="0"/>
          <w:cols w:space="708"/>
          <w:docGrid w:linePitch="360"/>
        </w:sectPr>
      </w:pPr>
    </w:p>
    <w:p w14:paraId="3FEFDB14" w14:textId="77777777" w:rsidR="008B7E19" w:rsidRPr="008D3175" w:rsidRDefault="008B7E19" w:rsidP="008B7E19">
      <w:pPr>
        <w:spacing w:after="0"/>
        <w:jc w:val="right"/>
        <w:rPr>
          <w:rFonts w:cs="Arial"/>
          <w:b/>
          <w:sz w:val="14"/>
          <w:szCs w:val="18"/>
        </w:rPr>
      </w:pPr>
      <w:r w:rsidRPr="008D3175">
        <w:rPr>
          <w:rFonts w:cs="Arial"/>
          <w:b/>
          <w:sz w:val="14"/>
          <w:szCs w:val="18"/>
        </w:rPr>
        <w:t xml:space="preserve">R$ </w:t>
      </w:r>
      <w:r w:rsidRPr="000252B8">
        <w:rPr>
          <w:rFonts w:cs="Arial"/>
          <w:b/>
          <w:sz w:val="14"/>
          <w:szCs w:val="18"/>
        </w:rPr>
        <w:t>thousand</w:t>
      </w:r>
    </w:p>
    <w:tbl>
      <w:tblPr>
        <w:tblW w:w="9639" w:type="dxa"/>
        <w:tblBorders>
          <w:top w:val="single" w:sz="2" w:space="0" w:color="8EAADB" w:themeColor="accent5" w:themeTint="99"/>
          <w:bottom w:val="single" w:sz="2" w:space="0" w:color="8EAADB" w:themeColor="accent5" w:themeTint="99"/>
        </w:tblBorders>
        <w:tblLayout w:type="fixed"/>
        <w:tblLook w:val="04A0" w:firstRow="1" w:lastRow="0" w:firstColumn="1" w:lastColumn="0" w:noHBand="0" w:noVBand="1"/>
      </w:tblPr>
      <w:tblGrid>
        <w:gridCol w:w="4678"/>
        <w:gridCol w:w="1240"/>
        <w:gridCol w:w="1240"/>
        <w:gridCol w:w="1240"/>
        <w:gridCol w:w="1241"/>
      </w:tblGrid>
      <w:tr w:rsidR="008B7E19" w:rsidRPr="0093755D" w14:paraId="122C9FA9" w14:textId="77777777" w:rsidTr="008B7E19">
        <w:trPr>
          <w:trHeight w:val="238"/>
        </w:trPr>
        <w:tc>
          <w:tcPr>
            <w:tcW w:w="4678" w:type="dxa"/>
            <w:tcBorders>
              <w:top w:val="single" w:sz="2" w:space="0" w:color="1F4E79" w:themeColor="accent1" w:themeShade="80"/>
              <w:bottom w:val="nil"/>
            </w:tcBorders>
            <w:shd w:val="clear" w:color="auto" w:fill="auto"/>
          </w:tcPr>
          <w:p w14:paraId="6FB45E36" w14:textId="77777777" w:rsidR="008B7E19" w:rsidRPr="0093755D" w:rsidRDefault="008B7E19" w:rsidP="008B7E19">
            <w:pPr>
              <w:spacing w:after="0"/>
              <w:jc w:val="center"/>
              <w:rPr>
                <w:rFonts w:cs="Arial"/>
                <w:b/>
                <w:sz w:val="14"/>
                <w:szCs w:val="14"/>
              </w:rPr>
            </w:pPr>
          </w:p>
        </w:tc>
        <w:tc>
          <w:tcPr>
            <w:tcW w:w="4961" w:type="dxa"/>
            <w:gridSpan w:val="4"/>
            <w:tcBorders>
              <w:top w:val="single" w:sz="2" w:space="0" w:color="1F4E79" w:themeColor="accent1" w:themeShade="80"/>
              <w:bottom w:val="single" w:sz="2" w:space="0" w:color="1F4E79" w:themeColor="accent1" w:themeShade="80"/>
            </w:tcBorders>
            <w:shd w:val="clear" w:color="auto" w:fill="auto"/>
            <w:vAlign w:val="center"/>
          </w:tcPr>
          <w:p w14:paraId="758F368C" w14:textId="77777777" w:rsidR="008B7E19" w:rsidRPr="0093755D" w:rsidRDefault="008B7E19" w:rsidP="008B7E19">
            <w:pPr>
              <w:spacing w:after="0"/>
              <w:jc w:val="center"/>
              <w:rPr>
                <w:rFonts w:cs="Arial"/>
                <w:b/>
                <w:sz w:val="14"/>
                <w:szCs w:val="14"/>
              </w:rPr>
            </w:pPr>
            <w:r>
              <w:rPr>
                <w:rFonts w:cs="Arial"/>
                <w:b/>
                <w:sz w:val="14"/>
                <w:szCs w:val="14"/>
              </w:rPr>
              <w:t>2</w:t>
            </w:r>
            <w:r w:rsidRPr="00E52D4A">
              <w:rPr>
                <w:rFonts w:cs="Arial"/>
                <w:b/>
                <w:sz w:val="14"/>
                <w:szCs w:val="14"/>
                <w:vertAlign w:val="superscript"/>
              </w:rPr>
              <w:t>nd</w:t>
            </w:r>
            <w:r w:rsidRPr="00E30F81">
              <w:rPr>
                <w:rFonts w:cs="Arial"/>
                <w:b/>
                <w:sz w:val="14"/>
                <w:szCs w:val="14"/>
              </w:rPr>
              <w:t xml:space="preserve"> Quarter 202</w:t>
            </w:r>
            <w:r>
              <w:rPr>
                <w:rFonts w:cs="Arial"/>
                <w:b/>
                <w:sz w:val="14"/>
                <w:szCs w:val="14"/>
              </w:rPr>
              <w:t>2</w:t>
            </w:r>
          </w:p>
        </w:tc>
      </w:tr>
      <w:tr w:rsidR="008B7E19" w:rsidRPr="0093755D" w14:paraId="79A9C0A9" w14:textId="77777777" w:rsidTr="008B7E19">
        <w:trPr>
          <w:trHeight w:val="238"/>
        </w:trPr>
        <w:tc>
          <w:tcPr>
            <w:tcW w:w="4678" w:type="dxa"/>
            <w:tcBorders>
              <w:top w:val="nil"/>
              <w:bottom w:val="single" w:sz="2" w:space="0" w:color="1F4E79" w:themeColor="accent1" w:themeShade="80"/>
            </w:tcBorders>
            <w:shd w:val="clear" w:color="auto" w:fill="auto"/>
          </w:tcPr>
          <w:p w14:paraId="54F5C12D" w14:textId="77777777" w:rsidR="008B7E19" w:rsidRPr="0093755D" w:rsidRDefault="008B7E19" w:rsidP="008B7E19">
            <w:pPr>
              <w:pStyle w:val="08-Tabelageral"/>
              <w:jc w:val="left"/>
              <w:rPr>
                <w:rFonts w:cs="Arial"/>
                <w:b/>
                <w:szCs w:val="14"/>
              </w:rPr>
            </w:pPr>
          </w:p>
        </w:tc>
        <w:tc>
          <w:tcPr>
            <w:tcW w:w="1240" w:type="dxa"/>
            <w:tcBorders>
              <w:top w:val="single" w:sz="2" w:space="0" w:color="1F4E79" w:themeColor="accent1" w:themeShade="80"/>
              <w:bottom w:val="single" w:sz="2" w:space="0" w:color="1F4E79" w:themeColor="accent1" w:themeShade="80"/>
            </w:tcBorders>
            <w:shd w:val="clear" w:color="auto" w:fill="auto"/>
            <w:vAlign w:val="center"/>
          </w:tcPr>
          <w:p w14:paraId="7300D0AF" w14:textId="77777777" w:rsidR="008B7E19" w:rsidRPr="0093755D" w:rsidRDefault="008B7E19" w:rsidP="008B7E19">
            <w:pPr>
              <w:pStyle w:val="08-Tabelageral"/>
              <w:jc w:val="center"/>
              <w:rPr>
                <w:rFonts w:cs="Arial"/>
                <w:b/>
                <w:szCs w:val="14"/>
              </w:rPr>
            </w:pPr>
            <w:r w:rsidRPr="0093755D">
              <w:rPr>
                <w:rFonts w:cs="Arial"/>
                <w:b/>
                <w:szCs w:val="14"/>
              </w:rPr>
              <w:t>Insurance</w:t>
            </w:r>
          </w:p>
        </w:tc>
        <w:tc>
          <w:tcPr>
            <w:tcW w:w="1240" w:type="dxa"/>
            <w:tcBorders>
              <w:top w:val="single" w:sz="2" w:space="0" w:color="1F4E79" w:themeColor="accent1" w:themeShade="80"/>
              <w:bottom w:val="single" w:sz="2" w:space="0" w:color="1F4E79" w:themeColor="accent1" w:themeShade="80"/>
            </w:tcBorders>
            <w:shd w:val="clear" w:color="auto" w:fill="auto"/>
            <w:vAlign w:val="center"/>
          </w:tcPr>
          <w:p w14:paraId="0152B4A7" w14:textId="77777777" w:rsidR="008B7E19" w:rsidRPr="0093755D" w:rsidRDefault="008B7E19" w:rsidP="008B7E19">
            <w:pPr>
              <w:pStyle w:val="08-Tabelageral"/>
              <w:jc w:val="center"/>
              <w:rPr>
                <w:rFonts w:cs="Arial"/>
                <w:b/>
                <w:szCs w:val="14"/>
              </w:rPr>
            </w:pPr>
            <w:r w:rsidRPr="0093755D">
              <w:rPr>
                <w:rFonts w:cs="Arial"/>
                <w:b/>
                <w:szCs w:val="14"/>
              </w:rPr>
              <w:t>Brokerage</w:t>
            </w:r>
          </w:p>
        </w:tc>
        <w:tc>
          <w:tcPr>
            <w:tcW w:w="1240" w:type="dxa"/>
            <w:tcBorders>
              <w:top w:val="single" w:sz="2" w:space="0" w:color="1F4E79" w:themeColor="accent1" w:themeShade="80"/>
              <w:bottom w:val="single" w:sz="2" w:space="0" w:color="1F4E79" w:themeColor="accent1" w:themeShade="80"/>
            </w:tcBorders>
            <w:shd w:val="clear" w:color="auto" w:fill="auto"/>
            <w:vAlign w:val="center"/>
          </w:tcPr>
          <w:p w14:paraId="5CE90D82" w14:textId="77777777" w:rsidR="008B7E19" w:rsidRPr="0093755D" w:rsidRDefault="008B7E19" w:rsidP="008B7E19">
            <w:pPr>
              <w:pStyle w:val="08-Tabelageral"/>
              <w:jc w:val="center"/>
              <w:rPr>
                <w:rFonts w:cs="Arial"/>
                <w:b/>
                <w:szCs w:val="14"/>
              </w:rPr>
            </w:pPr>
            <w:r w:rsidRPr="0093755D">
              <w:rPr>
                <w:rFonts w:cs="Arial"/>
                <w:b/>
                <w:szCs w:val="14"/>
              </w:rPr>
              <w:t>Intersegment transactions</w:t>
            </w:r>
          </w:p>
        </w:tc>
        <w:tc>
          <w:tcPr>
            <w:tcW w:w="1241" w:type="dxa"/>
            <w:tcBorders>
              <w:top w:val="single" w:sz="2" w:space="0" w:color="1F4E79" w:themeColor="accent1" w:themeShade="80"/>
              <w:bottom w:val="single" w:sz="2" w:space="0" w:color="1F4E79" w:themeColor="accent1" w:themeShade="80"/>
            </w:tcBorders>
            <w:shd w:val="clear" w:color="auto" w:fill="auto"/>
            <w:vAlign w:val="center"/>
          </w:tcPr>
          <w:p w14:paraId="73B81FD2" w14:textId="77777777" w:rsidR="008B7E19" w:rsidRPr="0093755D" w:rsidRDefault="008B7E19" w:rsidP="008B7E19">
            <w:pPr>
              <w:pStyle w:val="08-Tabelageral"/>
              <w:jc w:val="center"/>
              <w:rPr>
                <w:rFonts w:cs="Arial"/>
                <w:b/>
                <w:szCs w:val="14"/>
              </w:rPr>
            </w:pPr>
            <w:r w:rsidRPr="0093755D">
              <w:rPr>
                <w:rFonts w:cs="Arial"/>
                <w:b/>
                <w:szCs w:val="14"/>
              </w:rPr>
              <w:t>Total</w:t>
            </w:r>
          </w:p>
        </w:tc>
      </w:tr>
      <w:tr w:rsidR="008B7E19" w:rsidRPr="0093755D" w14:paraId="2E3AC496" w14:textId="77777777" w:rsidTr="008B7E19">
        <w:trPr>
          <w:trHeight w:val="238"/>
        </w:trPr>
        <w:tc>
          <w:tcPr>
            <w:tcW w:w="4678" w:type="dxa"/>
            <w:tcBorders>
              <w:top w:val="single" w:sz="2" w:space="0" w:color="1F4E79" w:themeColor="accent1" w:themeShade="80"/>
            </w:tcBorders>
            <w:shd w:val="clear" w:color="auto" w:fill="auto"/>
          </w:tcPr>
          <w:p w14:paraId="0050F987" w14:textId="77777777" w:rsidR="008B7E19" w:rsidRPr="0093755D" w:rsidRDefault="008B7E19" w:rsidP="008B7E19">
            <w:pPr>
              <w:pStyle w:val="08-Tabelageral"/>
              <w:jc w:val="left"/>
              <w:rPr>
                <w:rFonts w:cs="Arial"/>
                <w:b/>
                <w:bCs/>
                <w:szCs w:val="14"/>
              </w:rPr>
            </w:pPr>
            <w:r w:rsidRPr="0093755D">
              <w:rPr>
                <w:rFonts w:cs="Arial"/>
                <w:b/>
                <w:szCs w:val="14"/>
              </w:rPr>
              <w:t>Operating Income</w:t>
            </w:r>
          </w:p>
        </w:tc>
        <w:tc>
          <w:tcPr>
            <w:tcW w:w="1240" w:type="dxa"/>
            <w:tcBorders>
              <w:top w:val="single" w:sz="2" w:space="0" w:color="1F4E79" w:themeColor="accent1" w:themeShade="80"/>
            </w:tcBorders>
            <w:shd w:val="clear" w:color="auto" w:fill="auto"/>
            <w:vAlign w:val="bottom"/>
          </w:tcPr>
          <w:p w14:paraId="3D815356" w14:textId="77777777" w:rsidR="008B7E19" w:rsidRPr="0093755D" w:rsidRDefault="008B7E19" w:rsidP="008B7E19">
            <w:pPr>
              <w:pStyle w:val="08-Tabelageral"/>
              <w:rPr>
                <w:rFonts w:cs="Arial"/>
                <w:b/>
                <w:szCs w:val="14"/>
              </w:rPr>
            </w:pPr>
            <w:r>
              <w:rPr>
                <w:rFonts w:cs="Arial"/>
                <w:b/>
                <w:bCs/>
                <w:color w:val="000000"/>
                <w:szCs w:val="14"/>
              </w:rPr>
              <w:t>2,271,492</w:t>
            </w:r>
          </w:p>
        </w:tc>
        <w:tc>
          <w:tcPr>
            <w:tcW w:w="1240" w:type="dxa"/>
            <w:tcBorders>
              <w:top w:val="single" w:sz="2" w:space="0" w:color="1F4E79" w:themeColor="accent1" w:themeShade="80"/>
            </w:tcBorders>
            <w:shd w:val="clear" w:color="auto" w:fill="auto"/>
            <w:vAlign w:val="bottom"/>
          </w:tcPr>
          <w:p w14:paraId="2566D2ED" w14:textId="77777777" w:rsidR="008B7E19" w:rsidRPr="0093755D" w:rsidRDefault="008B7E19" w:rsidP="008B7E19">
            <w:pPr>
              <w:pStyle w:val="08-Tabelageral"/>
              <w:rPr>
                <w:rFonts w:cs="Arial"/>
                <w:b/>
                <w:szCs w:val="14"/>
              </w:rPr>
            </w:pPr>
            <w:r>
              <w:rPr>
                <w:rFonts w:cs="Arial"/>
                <w:b/>
                <w:bCs/>
                <w:color w:val="000000"/>
                <w:szCs w:val="14"/>
              </w:rPr>
              <w:t>949,917</w:t>
            </w:r>
          </w:p>
        </w:tc>
        <w:tc>
          <w:tcPr>
            <w:tcW w:w="1240" w:type="dxa"/>
            <w:tcBorders>
              <w:top w:val="single" w:sz="2" w:space="0" w:color="1F4E79" w:themeColor="accent1" w:themeShade="80"/>
            </w:tcBorders>
            <w:shd w:val="clear" w:color="auto" w:fill="auto"/>
            <w:vAlign w:val="bottom"/>
          </w:tcPr>
          <w:p w14:paraId="74B6974D" w14:textId="77777777" w:rsidR="008B7E19" w:rsidRPr="0093755D" w:rsidRDefault="008B7E19" w:rsidP="008B7E19">
            <w:pPr>
              <w:pStyle w:val="08-Tabelageral"/>
              <w:rPr>
                <w:rFonts w:cs="Arial"/>
                <w:b/>
                <w:szCs w:val="14"/>
              </w:rPr>
            </w:pPr>
            <w:r>
              <w:rPr>
                <w:rFonts w:cs="Arial"/>
                <w:b/>
                <w:bCs/>
                <w:color w:val="000000"/>
                <w:szCs w:val="14"/>
              </w:rPr>
              <w:t>(1,407,388)</w:t>
            </w:r>
          </w:p>
        </w:tc>
        <w:tc>
          <w:tcPr>
            <w:tcW w:w="1241" w:type="dxa"/>
            <w:tcBorders>
              <w:top w:val="single" w:sz="2" w:space="0" w:color="1F4E79" w:themeColor="accent1" w:themeShade="80"/>
            </w:tcBorders>
            <w:shd w:val="clear" w:color="auto" w:fill="auto"/>
            <w:vAlign w:val="bottom"/>
          </w:tcPr>
          <w:p w14:paraId="1BD75092" w14:textId="77777777" w:rsidR="008B7E19" w:rsidRPr="0093755D" w:rsidRDefault="008B7E19" w:rsidP="008B7E19">
            <w:pPr>
              <w:pStyle w:val="08-Tabelageral"/>
              <w:rPr>
                <w:rFonts w:cs="Arial"/>
                <w:b/>
                <w:szCs w:val="14"/>
              </w:rPr>
            </w:pPr>
            <w:r>
              <w:rPr>
                <w:rFonts w:cs="Arial"/>
                <w:b/>
                <w:bCs/>
                <w:color w:val="000000"/>
                <w:szCs w:val="14"/>
              </w:rPr>
              <w:t>1,814,021</w:t>
            </w:r>
          </w:p>
        </w:tc>
      </w:tr>
      <w:tr w:rsidR="008B7E19" w:rsidRPr="0093755D" w14:paraId="447D9B3E" w14:textId="77777777" w:rsidTr="008B7E19">
        <w:trPr>
          <w:trHeight w:val="238"/>
        </w:trPr>
        <w:tc>
          <w:tcPr>
            <w:tcW w:w="4678" w:type="dxa"/>
            <w:shd w:val="clear" w:color="auto" w:fill="auto"/>
          </w:tcPr>
          <w:p w14:paraId="1F947647" w14:textId="77777777" w:rsidR="008B7E19" w:rsidRPr="0093755D" w:rsidRDefault="008B7E19" w:rsidP="008B7E19">
            <w:pPr>
              <w:pStyle w:val="08-Tabelageral"/>
              <w:ind w:left="113"/>
              <w:jc w:val="left"/>
              <w:rPr>
                <w:rFonts w:cs="Arial"/>
                <w:szCs w:val="14"/>
              </w:rPr>
            </w:pPr>
            <w:r w:rsidRPr="0093755D">
              <w:rPr>
                <w:rFonts w:cs="Arial"/>
                <w:szCs w:val="14"/>
              </w:rPr>
              <w:t>Equity income</w:t>
            </w:r>
          </w:p>
        </w:tc>
        <w:tc>
          <w:tcPr>
            <w:tcW w:w="1240" w:type="dxa"/>
            <w:shd w:val="clear" w:color="auto" w:fill="auto"/>
            <w:vAlign w:val="bottom"/>
          </w:tcPr>
          <w:p w14:paraId="1D8A35B9" w14:textId="77777777" w:rsidR="008B7E19" w:rsidRPr="0093755D" w:rsidRDefault="008B7E19" w:rsidP="008B7E19">
            <w:pPr>
              <w:pStyle w:val="08-Tabelageral"/>
              <w:rPr>
                <w:rFonts w:cs="Arial"/>
                <w:szCs w:val="14"/>
              </w:rPr>
            </w:pPr>
            <w:r>
              <w:rPr>
                <w:rFonts w:cs="Arial"/>
                <w:color w:val="000000"/>
                <w:szCs w:val="14"/>
              </w:rPr>
              <w:t>2,271,492</w:t>
            </w:r>
          </w:p>
        </w:tc>
        <w:tc>
          <w:tcPr>
            <w:tcW w:w="1240" w:type="dxa"/>
            <w:shd w:val="clear" w:color="auto" w:fill="auto"/>
            <w:vAlign w:val="bottom"/>
          </w:tcPr>
          <w:p w14:paraId="5A3BA8F6" w14:textId="77777777" w:rsidR="008B7E19" w:rsidRPr="0093755D" w:rsidRDefault="008B7E19" w:rsidP="008B7E19">
            <w:pPr>
              <w:pStyle w:val="08-Tabelageral"/>
              <w:rPr>
                <w:rFonts w:cs="Arial"/>
                <w:szCs w:val="14"/>
              </w:rPr>
            </w:pPr>
            <w:r>
              <w:rPr>
                <w:rFonts w:cs="Arial"/>
                <w:color w:val="000000"/>
                <w:szCs w:val="14"/>
              </w:rPr>
              <w:t>635</w:t>
            </w:r>
          </w:p>
        </w:tc>
        <w:tc>
          <w:tcPr>
            <w:tcW w:w="1240" w:type="dxa"/>
            <w:shd w:val="clear" w:color="auto" w:fill="auto"/>
            <w:vAlign w:val="bottom"/>
          </w:tcPr>
          <w:p w14:paraId="3DCDCC65" w14:textId="77777777" w:rsidR="008B7E19" w:rsidRPr="0093755D" w:rsidRDefault="008B7E19" w:rsidP="008B7E19">
            <w:pPr>
              <w:pStyle w:val="08-Tabelageral"/>
              <w:rPr>
                <w:rFonts w:cs="Arial"/>
                <w:szCs w:val="14"/>
              </w:rPr>
            </w:pPr>
            <w:r>
              <w:rPr>
                <w:rFonts w:cs="Arial"/>
                <w:color w:val="000000"/>
                <w:szCs w:val="14"/>
              </w:rPr>
              <w:t>(1,407,388)</w:t>
            </w:r>
          </w:p>
        </w:tc>
        <w:tc>
          <w:tcPr>
            <w:tcW w:w="1241" w:type="dxa"/>
            <w:shd w:val="clear" w:color="auto" w:fill="auto"/>
            <w:vAlign w:val="bottom"/>
          </w:tcPr>
          <w:p w14:paraId="1B270F2B" w14:textId="77777777" w:rsidR="008B7E19" w:rsidRPr="0093755D" w:rsidRDefault="008B7E19" w:rsidP="008B7E19">
            <w:pPr>
              <w:pStyle w:val="08-Tabelageral"/>
              <w:rPr>
                <w:rFonts w:cs="Arial"/>
                <w:szCs w:val="14"/>
              </w:rPr>
            </w:pPr>
            <w:r>
              <w:rPr>
                <w:rFonts w:cs="Arial"/>
                <w:color w:val="000000"/>
                <w:szCs w:val="14"/>
              </w:rPr>
              <w:t>864,739</w:t>
            </w:r>
          </w:p>
        </w:tc>
      </w:tr>
      <w:tr w:rsidR="008B7E19" w:rsidRPr="0093755D" w14:paraId="0A0FB92E" w14:textId="77777777" w:rsidTr="008B7E19">
        <w:trPr>
          <w:trHeight w:val="238"/>
        </w:trPr>
        <w:tc>
          <w:tcPr>
            <w:tcW w:w="4678" w:type="dxa"/>
            <w:shd w:val="clear" w:color="auto" w:fill="auto"/>
          </w:tcPr>
          <w:p w14:paraId="21B98353" w14:textId="77777777" w:rsidR="008B7E19" w:rsidRPr="0093755D" w:rsidRDefault="008B7E19" w:rsidP="008B7E19">
            <w:pPr>
              <w:pStyle w:val="08-Tabelageral"/>
              <w:ind w:left="113"/>
              <w:jc w:val="left"/>
              <w:rPr>
                <w:rFonts w:cs="Arial"/>
                <w:szCs w:val="14"/>
              </w:rPr>
            </w:pPr>
            <w:r w:rsidRPr="0093755D">
              <w:rPr>
                <w:rFonts w:cs="Arial"/>
                <w:szCs w:val="14"/>
              </w:rPr>
              <w:t>Commissions income</w:t>
            </w:r>
          </w:p>
        </w:tc>
        <w:tc>
          <w:tcPr>
            <w:tcW w:w="1240" w:type="dxa"/>
            <w:shd w:val="clear" w:color="auto" w:fill="auto"/>
            <w:vAlign w:val="bottom"/>
          </w:tcPr>
          <w:p w14:paraId="64EFCCE9" w14:textId="77777777" w:rsidR="008B7E19" w:rsidRPr="0093755D" w:rsidRDefault="008B7E19" w:rsidP="008B7E19">
            <w:pPr>
              <w:pStyle w:val="08-Tabelageral"/>
              <w:rPr>
                <w:rFonts w:cs="Arial"/>
                <w:szCs w:val="14"/>
              </w:rPr>
            </w:pPr>
            <w:r>
              <w:rPr>
                <w:rFonts w:cs="Arial"/>
                <w:color w:val="000000"/>
                <w:szCs w:val="14"/>
              </w:rPr>
              <w:t>--</w:t>
            </w:r>
          </w:p>
        </w:tc>
        <w:tc>
          <w:tcPr>
            <w:tcW w:w="1240" w:type="dxa"/>
            <w:shd w:val="clear" w:color="auto" w:fill="auto"/>
            <w:vAlign w:val="bottom"/>
          </w:tcPr>
          <w:p w14:paraId="5E94E49A" w14:textId="77777777" w:rsidR="008B7E19" w:rsidRPr="0093755D" w:rsidRDefault="008B7E19" w:rsidP="008B7E19">
            <w:pPr>
              <w:pStyle w:val="08-Tabelageral"/>
              <w:rPr>
                <w:rFonts w:cs="Arial"/>
                <w:szCs w:val="14"/>
              </w:rPr>
            </w:pPr>
            <w:r>
              <w:rPr>
                <w:rFonts w:cs="Arial"/>
                <w:color w:val="000000"/>
                <w:szCs w:val="14"/>
              </w:rPr>
              <w:t>949,282</w:t>
            </w:r>
          </w:p>
        </w:tc>
        <w:tc>
          <w:tcPr>
            <w:tcW w:w="1240" w:type="dxa"/>
            <w:shd w:val="clear" w:color="auto" w:fill="auto"/>
            <w:vAlign w:val="bottom"/>
          </w:tcPr>
          <w:p w14:paraId="1112DF9C" w14:textId="77777777" w:rsidR="008B7E19" w:rsidRPr="0093755D" w:rsidRDefault="008B7E19" w:rsidP="008B7E19">
            <w:pPr>
              <w:pStyle w:val="08-Tabelageral"/>
              <w:rPr>
                <w:rFonts w:cs="Arial"/>
                <w:szCs w:val="14"/>
              </w:rPr>
            </w:pPr>
            <w:r>
              <w:rPr>
                <w:rFonts w:cs="Arial"/>
                <w:color w:val="000000"/>
                <w:szCs w:val="14"/>
              </w:rPr>
              <w:t>--</w:t>
            </w:r>
          </w:p>
        </w:tc>
        <w:tc>
          <w:tcPr>
            <w:tcW w:w="1241" w:type="dxa"/>
            <w:shd w:val="clear" w:color="auto" w:fill="auto"/>
            <w:vAlign w:val="bottom"/>
          </w:tcPr>
          <w:p w14:paraId="1C191A39" w14:textId="77777777" w:rsidR="008B7E19" w:rsidRPr="0093755D" w:rsidRDefault="008B7E19" w:rsidP="008B7E19">
            <w:pPr>
              <w:pStyle w:val="08-Tabelageral"/>
              <w:rPr>
                <w:rFonts w:cs="Arial"/>
                <w:szCs w:val="14"/>
              </w:rPr>
            </w:pPr>
            <w:r>
              <w:rPr>
                <w:rFonts w:cs="Arial"/>
                <w:color w:val="000000"/>
                <w:szCs w:val="14"/>
              </w:rPr>
              <w:t>949,282</w:t>
            </w:r>
          </w:p>
        </w:tc>
      </w:tr>
      <w:tr w:rsidR="008B7E19" w:rsidRPr="0093755D" w14:paraId="14A67F60" w14:textId="77777777" w:rsidTr="008B7E19">
        <w:trPr>
          <w:trHeight w:val="238"/>
        </w:trPr>
        <w:tc>
          <w:tcPr>
            <w:tcW w:w="4678" w:type="dxa"/>
            <w:shd w:val="clear" w:color="auto" w:fill="auto"/>
          </w:tcPr>
          <w:p w14:paraId="183FBD3B" w14:textId="77777777" w:rsidR="008B7E19" w:rsidRPr="0093755D" w:rsidRDefault="008B7E19" w:rsidP="008B7E19">
            <w:pPr>
              <w:pStyle w:val="08-Tabelageral"/>
              <w:jc w:val="left"/>
              <w:rPr>
                <w:rFonts w:cs="Arial"/>
                <w:b/>
                <w:szCs w:val="14"/>
              </w:rPr>
            </w:pPr>
            <w:r>
              <w:rPr>
                <w:rFonts w:cs="Arial"/>
                <w:b/>
                <w:szCs w:val="14"/>
              </w:rPr>
              <w:t>Cost o</w:t>
            </w:r>
            <w:r w:rsidRPr="0093755D">
              <w:rPr>
                <w:rFonts w:cs="Arial"/>
                <w:b/>
                <w:szCs w:val="14"/>
              </w:rPr>
              <w:t>f Services Provided</w:t>
            </w:r>
          </w:p>
        </w:tc>
        <w:tc>
          <w:tcPr>
            <w:tcW w:w="1240" w:type="dxa"/>
            <w:shd w:val="clear" w:color="auto" w:fill="auto"/>
            <w:vAlign w:val="bottom"/>
          </w:tcPr>
          <w:p w14:paraId="604B37A7" w14:textId="77777777" w:rsidR="008B7E19" w:rsidRPr="0093755D" w:rsidRDefault="008B7E19" w:rsidP="008B7E19">
            <w:pPr>
              <w:pStyle w:val="08-Tabelageral"/>
              <w:rPr>
                <w:rFonts w:cs="Arial"/>
                <w:b/>
                <w:szCs w:val="14"/>
              </w:rPr>
            </w:pPr>
            <w:r>
              <w:rPr>
                <w:rFonts w:cs="Arial"/>
                <w:color w:val="000000"/>
                <w:szCs w:val="14"/>
              </w:rPr>
              <w:t>--</w:t>
            </w:r>
          </w:p>
        </w:tc>
        <w:tc>
          <w:tcPr>
            <w:tcW w:w="1240" w:type="dxa"/>
            <w:shd w:val="clear" w:color="auto" w:fill="auto"/>
            <w:vAlign w:val="bottom"/>
          </w:tcPr>
          <w:p w14:paraId="40A2FCDA" w14:textId="77777777" w:rsidR="008B7E19" w:rsidRPr="0093755D" w:rsidRDefault="008B7E19" w:rsidP="008B7E19">
            <w:pPr>
              <w:pStyle w:val="08-Tabelageral"/>
              <w:rPr>
                <w:rFonts w:cs="Arial"/>
                <w:b/>
                <w:szCs w:val="14"/>
              </w:rPr>
            </w:pPr>
            <w:r>
              <w:rPr>
                <w:rFonts w:cs="Arial"/>
                <w:color w:val="000000"/>
                <w:szCs w:val="14"/>
              </w:rPr>
              <w:t>(53,762)</w:t>
            </w:r>
          </w:p>
        </w:tc>
        <w:tc>
          <w:tcPr>
            <w:tcW w:w="1240" w:type="dxa"/>
            <w:shd w:val="clear" w:color="auto" w:fill="auto"/>
            <w:vAlign w:val="bottom"/>
          </w:tcPr>
          <w:p w14:paraId="47CB0259" w14:textId="77777777" w:rsidR="008B7E19" w:rsidRPr="0093755D" w:rsidRDefault="008B7E19" w:rsidP="008B7E19">
            <w:pPr>
              <w:pStyle w:val="08-Tabelageral"/>
              <w:rPr>
                <w:rFonts w:cs="Arial"/>
                <w:b/>
                <w:szCs w:val="14"/>
              </w:rPr>
            </w:pPr>
            <w:r>
              <w:rPr>
                <w:rFonts w:cs="Arial"/>
                <w:color w:val="000000"/>
                <w:szCs w:val="14"/>
              </w:rPr>
              <w:t>--</w:t>
            </w:r>
          </w:p>
        </w:tc>
        <w:tc>
          <w:tcPr>
            <w:tcW w:w="1241" w:type="dxa"/>
            <w:shd w:val="clear" w:color="auto" w:fill="auto"/>
            <w:vAlign w:val="bottom"/>
          </w:tcPr>
          <w:p w14:paraId="5225F14A" w14:textId="77777777" w:rsidR="008B7E19" w:rsidRPr="0093755D" w:rsidRDefault="008B7E19" w:rsidP="008B7E19">
            <w:pPr>
              <w:pStyle w:val="08-Tabelageral"/>
              <w:rPr>
                <w:rFonts w:cs="Arial"/>
                <w:b/>
                <w:szCs w:val="14"/>
              </w:rPr>
            </w:pPr>
            <w:r>
              <w:rPr>
                <w:rFonts w:cs="Arial"/>
                <w:color w:val="000000"/>
                <w:szCs w:val="14"/>
              </w:rPr>
              <w:t>(53,762)</w:t>
            </w:r>
          </w:p>
        </w:tc>
      </w:tr>
      <w:tr w:rsidR="008B7E19" w:rsidRPr="0093755D" w14:paraId="472122B6" w14:textId="77777777" w:rsidTr="008B7E19">
        <w:trPr>
          <w:trHeight w:val="238"/>
        </w:trPr>
        <w:tc>
          <w:tcPr>
            <w:tcW w:w="4678" w:type="dxa"/>
            <w:shd w:val="clear" w:color="auto" w:fill="auto"/>
          </w:tcPr>
          <w:p w14:paraId="52713108" w14:textId="77777777" w:rsidR="008B7E19" w:rsidRPr="0093755D" w:rsidRDefault="008B7E19" w:rsidP="008B7E19">
            <w:pPr>
              <w:pStyle w:val="08-Tabelageral"/>
              <w:jc w:val="left"/>
              <w:rPr>
                <w:rFonts w:cs="Arial"/>
                <w:b/>
                <w:szCs w:val="14"/>
              </w:rPr>
            </w:pPr>
            <w:r w:rsidRPr="0093755D">
              <w:rPr>
                <w:rFonts w:cs="Arial"/>
                <w:b/>
                <w:szCs w:val="14"/>
              </w:rPr>
              <w:t>Gross Profit</w:t>
            </w:r>
          </w:p>
        </w:tc>
        <w:tc>
          <w:tcPr>
            <w:tcW w:w="1240" w:type="dxa"/>
            <w:shd w:val="clear" w:color="auto" w:fill="auto"/>
            <w:vAlign w:val="bottom"/>
          </w:tcPr>
          <w:p w14:paraId="5B72F1B9" w14:textId="77777777" w:rsidR="008B7E19" w:rsidRPr="0093755D" w:rsidRDefault="008B7E19" w:rsidP="008B7E19">
            <w:pPr>
              <w:pStyle w:val="08-Tabelageral"/>
              <w:rPr>
                <w:rFonts w:cs="Arial"/>
                <w:b/>
                <w:szCs w:val="14"/>
              </w:rPr>
            </w:pPr>
            <w:r>
              <w:rPr>
                <w:rFonts w:cs="Arial"/>
                <w:b/>
                <w:bCs/>
                <w:color w:val="000000"/>
                <w:szCs w:val="14"/>
              </w:rPr>
              <w:t>2,271,492</w:t>
            </w:r>
          </w:p>
        </w:tc>
        <w:tc>
          <w:tcPr>
            <w:tcW w:w="1240" w:type="dxa"/>
            <w:shd w:val="clear" w:color="auto" w:fill="auto"/>
            <w:vAlign w:val="bottom"/>
          </w:tcPr>
          <w:p w14:paraId="63B01CAC" w14:textId="77777777" w:rsidR="008B7E19" w:rsidRPr="0093755D" w:rsidRDefault="008B7E19" w:rsidP="008B7E19">
            <w:pPr>
              <w:pStyle w:val="08-Tabelageral"/>
              <w:rPr>
                <w:rFonts w:cs="Arial"/>
                <w:b/>
                <w:szCs w:val="14"/>
              </w:rPr>
            </w:pPr>
            <w:r>
              <w:rPr>
                <w:rFonts w:cs="Arial"/>
                <w:b/>
                <w:bCs/>
                <w:color w:val="000000"/>
                <w:szCs w:val="14"/>
              </w:rPr>
              <w:t>896,155</w:t>
            </w:r>
          </w:p>
        </w:tc>
        <w:tc>
          <w:tcPr>
            <w:tcW w:w="1240" w:type="dxa"/>
            <w:shd w:val="clear" w:color="auto" w:fill="auto"/>
            <w:vAlign w:val="bottom"/>
          </w:tcPr>
          <w:p w14:paraId="7648E3D9" w14:textId="77777777" w:rsidR="008B7E19" w:rsidRPr="0093755D" w:rsidRDefault="008B7E19" w:rsidP="008B7E19">
            <w:pPr>
              <w:pStyle w:val="08-Tabelageral"/>
              <w:rPr>
                <w:rFonts w:cs="Arial"/>
                <w:b/>
                <w:szCs w:val="14"/>
              </w:rPr>
            </w:pPr>
            <w:r>
              <w:rPr>
                <w:rFonts w:cs="Arial"/>
                <w:b/>
                <w:bCs/>
                <w:color w:val="000000"/>
                <w:szCs w:val="14"/>
              </w:rPr>
              <w:t>(1,407,388)</w:t>
            </w:r>
          </w:p>
        </w:tc>
        <w:tc>
          <w:tcPr>
            <w:tcW w:w="1241" w:type="dxa"/>
            <w:shd w:val="clear" w:color="auto" w:fill="auto"/>
            <w:vAlign w:val="bottom"/>
          </w:tcPr>
          <w:p w14:paraId="6559F537" w14:textId="77777777" w:rsidR="008B7E19" w:rsidRPr="0093755D" w:rsidRDefault="008B7E19" w:rsidP="008B7E19">
            <w:pPr>
              <w:pStyle w:val="08-Tabelageral"/>
              <w:rPr>
                <w:rFonts w:cs="Arial"/>
                <w:b/>
                <w:szCs w:val="14"/>
              </w:rPr>
            </w:pPr>
            <w:r>
              <w:rPr>
                <w:rFonts w:cs="Arial"/>
                <w:b/>
                <w:bCs/>
                <w:color w:val="000000"/>
                <w:szCs w:val="14"/>
              </w:rPr>
              <w:t>1,760,259</w:t>
            </w:r>
          </w:p>
        </w:tc>
      </w:tr>
      <w:tr w:rsidR="008B7E19" w:rsidRPr="0093755D" w14:paraId="36062925" w14:textId="77777777" w:rsidTr="008B7E19">
        <w:trPr>
          <w:trHeight w:val="238"/>
        </w:trPr>
        <w:tc>
          <w:tcPr>
            <w:tcW w:w="4678" w:type="dxa"/>
            <w:shd w:val="clear" w:color="auto" w:fill="auto"/>
          </w:tcPr>
          <w:p w14:paraId="5D3D70E3" w14:textId="77777777" w:rsidR="008B7E19" w:rsidRPr="0093755D" w:rsidRDefault="008B7E19" w:rsidP="008B7E19">
            <w:pPr>
              <w:pStyle w:val="08-Tabelageral"/>
              <w:jc w:val="left"/>
              <w:rPr>
                <w:rFonts w:cs="Arial"/>
                <w:b/>
                <w:bCs/>
                <w:szCs w:val="14"/>
              </w:rPr>
            </w:pPr>
            <w:r>
              <w:rPr>
                <w:rFonts w:cs="Arial"/>
                <w:b/>
                <w:szCs w:val="14"/>
              </w:rPr>
              <w:t>Other Income a</w:t>
            </w:r>
            <w:r w:rsidRPr="0093755D">
              <w:rPr>
                <w:rFonts w:cs="Arial"/>
                <w:b/>
                <w:szCs w:val="14"/>
              </w:rPr>
              <w:t>nd Expenses</w:t>
            </w:r>
          </w:p>
        </w:tc>
        <w:tc>
          <w:tcPr>
            <w:tcW w:w="1240" w:type="dxa"/>
            <w:shd w:val="clear" w:color="auto" w:fill="auto"/>
            <w:vAlign w:val="bottom"/>
          </w:tcPr>
          <w:p w14:paraId="1920AD54" w14:textId="77777777" w:rsidR="008B7E19" w:rsidRPr="0093755D" w:rsidRDefault="008B7E19" w:rsidP="008B7E19">
            <w:pPr>
              <w:pStyle w:val="08-Tabelageral"/>
              <w:rPr>
                <w:rFonts w:cs="Arial"/>
                <w:b/>
                <w:szCs w:val="14"/>
              </w:rPr>
            </w:pPr>
            <w:r>
              <w:rPr>
                <w:rFonts w:cs="Arial"/>
                <w:b/>
                <w:bCs/>
                <w:color w:val="000000"/>
                <w:szCs w:val="14"/>
              </w:rPr>
              <w:t>(14,735)</w:t>
            </w:r>
          </w:p>
        </w:tc>
        <w:tc>
          <w:tcPr>
            <w:tcW w:w="1240" w:type="dxa"/>
            <w:shd w:val="clear" w:color="auto" w:fill="auto"/>
            <w:vAlign w:val="bottom"/>
          </w:tcPr>
          <w:p w14:paraId="15A62278" w14:textId="77777777" w:rsidR="008B7E19" w:rsidRPr="0093755D" w:rsidRDefault="008B7E19" w:rsidP="008B7E19">
            <w:pPr>
              <w:pStyle w:val="08-Tabelageral"/>
              <w:rPr>
                <w:rFonts w:cs="Arial"/>
                <w:b/>
                <w:szCs w:val="14"/>
              </w:rPr>
            </w:pPr>
            <w:r>
              <w:rPr>
                <w:rFonts w:cs="Arial"/>
                <w:b/>
                <w:bCs/>
                <w:color w:val="000000"/>
                <w:szCs w:val="14"/>
              </w:rPr>
              <w:t>(31,273)</w:t>
            </w:r>
          </w:p>
        </w:tc>
        <w:tc>
          <w:tcPr>
            <w:tcW w:w="1240" w:type="dxa"/>
            <w:shd w:val="clear" w:color="auto" w:fill="auto"/>
            <w:vAlign w:val="bottom"/>
          </w:tcPr>
          <w:p w14:paraId="21851CDA" w14:textId="77777777" w:rsidR="008B7E19" w:rsidRPr="0093755D" w:rsidRDefault="008B7E19" w:rsidP="008B7E19">
            <w:pPr>
              <w:pStyle w:val="08-Tabelageral"/>
              <w:rPr>
                <w:rFonts w:cs="Arial"/>
                <w:b/>
                <w:szCs w:val="14"/>
              </w:rPr>
            </w:pPr>
            <w:r>
              <w:rPr>
                <w:rFonts w:cs="Arial"/>
                <w:b/>
                <w:bCs/>
                <w:color w:val="000000"/>
                <w:szCs w:val="14"/>
              </w:rPr>
              <w:t>--</w:t>
            </w:r>
          </w:p>
        </w:tc>
        <w:tc>
          <w:tcPr>
            <w:tcW w:w="1241" w:type="dxa"/>
            <w:shd w:val="clear" w:color="auto" w:fill="auto"/>
            <w:vAlign w:val="bottom"/>
          </w:tcPr>
          <w:p w14:paraId="0AB0A713" w14:textId="77777777" w:rsidR="008B7E19" w:rsidRPr="0093755D" w:rsidRDefault="008B7E19" w:rsidP="008B7E19">
            <w:pPr>
              <w:pStyle w:val="08-Tabelageral"/>
              <w:rPr>
                <w:rFonts w:cs="Arial"/>
                <w:b/>
                <w:szCs w:val="14"/>
              </w:rPr>
            </w:pPr>
            <w:r>
              <w:rPr>
                <w:rFonts w:cs="Arial"/>
                <w:b/>
                <w:bCs/>
                <w:color w:val="000000"/>
                <w:szCs w:val="14"/>
              </w:rPr>
              <w:t>(46,008)</w:t>
            </w:r>
          </w:p>
        </w:tc>
      </w:tr>
      <w:tr w:rsidR="008B7E19" w:rsidRPr="0093755D" w14:paraId="376E833E" w14:textId="77777777" w:rsidTr="008B7E19">
        <w:trPr>
          <w:trHeight w:val="238"/>
        </w:trPr>
        <w:tc>
          <w:tcPr>
            <w:tcW w:w="4678" w:type="dxa"/>
            <w:shd w:val="clear" w:color="auto" w:fill="auto"/>
          </w:tcPr>
          <w:p w14:paraId="25652E7C" w14:textId="77777777" w:rsidR="008B7E19" w:rsidRPr="0093755D" w:rsidRDefault="008B7E19" w:rsidP="008B7E19">
            <w:pPr>
              <w:pStyle w:val="08-Tabelageral"/>
              <w:ind w:left="113"/>
              <w:jc w:val="left"/>
              <w:rPr>
                <w:rFonts w:cs="Arial"/>
                <w:szCs w:val="14"/>
              </w:rPr>
            </w:pPr>
            <w:r w:rsidRPr="0093755D">
              <w:rPr>
                <w:rFonts w:cs="Arial"/>
                <w:szCs w:val="14"/>
              </w:rPr>
              <w:t>Personnel expenses</w:t>
            </w:r>
          </w:p>
        </w:tc>
        <w:tc>
          <w:tcPr>
            <w:tcW w:w="1240" w:type="dxa"/>
            <w:shd w:val="clear" w:color="auto" w:fill="auto"/>
            <w:vAlign w:val="bottom"/>
          </w:tcPr>
          <w:p w14:paraId="35B50DCF" w14:textId="77777777" w:rsidR="008B7E19" w:rsidRPr="0093755D" w:rsidRDefault="008B7E19" w:rsidP="008B7E19">
            <w:pPr>
              <w:pStyle w:val="08-Tabelageral"/>
              <w:rPr>
                <w:rFonts w:cs="Arial"/>
                <w:szCs w:val="14"/>
              </w:rPr>
            </w:pPr>
            <w:r>
              <w:rPr>
                <w:rFonts w:cs="Arial"/>
                <w:color w:val="000000"/>
                <w:szCs w:val="14"/>
              </w:rPr>
              <w:t>(5,796)</w:t>
            </w:r>
          </w:p>
        </w:tc>
        <w:tc>
          <w:tcPr>
            <w:tcW w:w="1240" w:type="dxa"/>
            <w:shd w:val="clear" w:color="auto" w:fill="auto"/>
            <w:vAlign w:val="bottom"/>
          </w:tcPr>
          <w:p w14:paraId="7DDF91F7" w14:textId="77777777" w:rsidR="008B7E19" w:rsidRPr="0093755D" w:rsidRDefault="008B7E19" w:rsidP="008B7E19">
            <w:pPr>
              <w:pStyle w:val="08-Tabelageral"/>
              <w:rPr>
                <w:rFonts w:cs="Arial"/>
                <w:szCs w:val="14"/>
              </w:rPr>
            </w:pPr>
            <w:r>
              <w:rPr>
                <w:rFonts w:cs="Arial"/>
                <w:color w:val="000000"/>
                <w:szCs w:val="14"/>
              </w:rPr>
              <w:t>(11,752)</w:t>
            </w:r>
          </w:p>
        </w:tc>
        <w:tc>
          <w:tcPr>
            <w:tcW w:w="1240" w:type="dxa"/>
            <w:shd w:val="clear" w:color="auto" w:fill="auto"/>
            <w:vAlign w:val="bottom"/>
          </w:tcPr>
          <w:p w14:paraId="04EFB3C9" w14:textId="77777777" w:rsidR="008B7E19" w:rsidRPr="0093755D" w:rsidRDefault="008B7E19" w:rsidP="008B7E19">
            <w:pPr>
              <w:pStyle w:val="08-Tabelageral"/>
              <w:rPr>
                <w:rFonts w:cs="Arial"/>
                <w:szCs w:val="14"/>
              </w:rPr>
            </w:pPr>
            <w:r>
              <w:rPr>
                <w:rFonts w:cs="Arial"/>
                <w:color w:val="000000"/>
                <w:szCs w:val="14"/>
              </w:rPr>
              <w:t>--</w:t>
            </w:r>
          </w:p>
        </w:tc>
        <w:tc>
          <w:tcPr>
            <w:tcW w:w="1241" w:type="dxa"/>
            <w:shd w:val="clear" w:color="auto" w:fill="auto"/>
            <w:vAlign w:val="bottom"/>
          </w:tcPr>
          <w:p w14:paraId="7AD0CDA7" w14:textId="77777777" w:rsidR="008B7E19" w:rsidRPr="0093755D" w:rsidRDefault="008B7E19" w:rsidP="008B7E19">
            <w:pPr>
              <w:pStyle w:val="08-Tabelageral"/>
              <w:rPr>
                <w:rFonts w:cs="Arial"/>
                <w:szCs w:val="14"/>
              </w:rPr>
            </w:pPr>
            <w:r>
              <w:rPr>
                <w:rFonts w:cs="Arial"/>
                <w:color w:val="000000"/>
                <w:szCs w:val="14"/>
              </w:rPr>
              <w:t>(17,548)</w:t>
            </w:r>
          </w:p>
        </w:tc>
      </w:tr>
      <w:tr w:rsidR="008B7E19" w:rsidRPr="0093755D" w14:paraId="23037BFA" w14:textId="77777777" w:rsidTr="008B7E19">
        <w:trPr>
          <w:trHeight w:val="238"/>
        </w:trPr>
        <w:tc>
          <w:tcPr>
            <w:tcW w:w="4678" w:type="dxa"/>
            <w:shd w:val="clear" w:color="auto" w:fill="auto"/>
          </w:tcPr>
          <w:p w14:paraId="25ADB9DE" w14:textId="77777777" w:rsidR="008B7E19" w:rsidRPr="0093755D" w:rsidRDefault="008B7E19" w:rsidP="008B7E19">
            <w:pPr>
              <w:pStyle w:val="08-Tabelageral"/>
              <w:ind w:left="113"/>
              <w:jc w:val="left"/>
              <w:rPr>
                <w:rFonts w:cs="Arial"/>
                <w:szCs w:val="14"/>
              </w:rPr>
            </w:pPr>
            <w:r w:rsidRPr="0093755D">
              <w:rPr>
                <w:rFonts w:cs="Arial"/>
                <w:szCs w:val="14"/>
              </w:rPr>
              <w:t>Adminstrative expenses</w:t>
            </w:r>
          </w:p>
        </w:tc>
        <w:tc>
          <w:tcPr>
            <w:tcW w:w="1240" w:type="dxa"/>
            <w:shd w:val="clear" w:color="auto" w:fill="auto"/>
            <w:vAlign w:val="bottom"/>
          </w:tcPr>
          <w:p w14:paraId="14C0330C" w14:textId="77777777" w:rsidR="008B7E19" w:rsidRPr="0093755D" w:rsidRDefault="008B7E19" w:rsidP="008B7E19">
            <w:pPr>
              <w:pStyle w:val="08-Tabelageral"/>
              <w:rPr>
                <w:rFonts w:cs="Arial"/>
                <w:szCs w:val="14"/>
              </w:rPr>
            </w:pPr>
            <w:r>
              <w:rPr>
                <w:rFonts w:cs="Arial"/>
                <w:color w:val="000000"/>
                <w:szCs w:val="14"/>
              </w:rPr>
              <w:t>(2,281)</w:t>
            </w:r>
          </w:p>
        </w:tc>
        <w:tc>
          <w:tcPr>
            <w:tcW w:w="1240" w:type="dxa"/>
            <w:shd w:val="clear" w:color="auto" w:fill="auto"/>
            <w:vAlign w:val="bottom"/>
          </w:tcPr>
          <w:p w14:paraId="2C730C15" w14:textId="77777777" w:rsidR="008B7E19" w:rsidRPr="0093755D" w:rsidRDefault="008B7E19" w:rsidP="008B7E19">
            <w:pPr>
              <w:pStyle w:val="08-Tabelageral"/>
              <w:rPr>
                <w:rFonts w:cs="Arial"/>
                <w:szCs w:val="14"/>
              </w:rPr>
            </w:pPr>
            <w:r>
              <w:rPr>
                <w:rFonts w:cs="Arial"/>
                <w:color w:val="000000"/>
                <w:szCs w:val="14"/>
              </w:rPr>
              <w:t>(5,341)</w:t>
            </w:r>
          </w:p>
        </w:tc>
        <w:tc>
          <w:tcPr>
            <w:tcW w:w="1240" w:type="dxa"/>
            <w:shd w:val="clear" w:color="auto" w:fill="auto"/>
            <w:vAlign w:val="bottom"/>
          </w:tcPr>
          <w:p w14:paraId="54A3485C" w14:textId="77777777" w:rsidR="008B7E19" w:rsidRPr="0093755D" w:rsidRDefault="008B7E19" w:rsidP="008B7E19">
            <w:pPr>
              <w:pStyle w:val="08-Tabelageral"/>
              <w:rPr>
                <w:rFonts w:cs="Arial"/>
                <w:szCs w:val="14"/>
              </w:rPr>
            </w:pPr>
            <w:r>
              <w:rPr>
                <w:rFonts w:cs="Arial"/>
                <w:color w:val="000000"/>
                <w:szCs w:val="14"/>
              </w:rPr>
              <w:t>--</w:t>
            </w:r>
          </w:p>
        </w:tc>
        <w:tc>
          <w:tcPr>
            <w:tcW w:w="1241" w:type="dxa"/>
            <w:shd w:val="clear" w:color="auto" w:fill="auto"/>
            <w:vAlign w:val="bottom"/>
          </w:tcPr>
          <w:p w14:paraId="171BDD3F" w14:textId="77777777" w:rsidR="008B7E19" w:rsidRPr="0093755D" w:rsidRDefault="008B7E19" w:rsidP="008B7E19">
            <w:pPr>
              <w:pStyle w:val="08-Tabelageral"/>
              <w:rPr>
                <w:rFonts w:cs="Arial"/>
                <w:szCs w:val="14"/>
              </w:rPr>
            </w:pPr>
            <w:r>
              <w:rPr>
                <w:rFonts w:cs="Arial"/>
                <w:color w:val="000000"/>
                <w:szCs w:val="14"/>
              </w:rPr>
              <w:t>(7,622)</w:t>
            </w:r>
          </w:p>
        </w:tc>
      </w:tr>
      <w:tr w:rsidR="008B7E19" w:rsidRPr="0093755D" w14:paraId="0E23A473" w14:textId="77777777" w:rsidTr="008B7E19">
        <w:trPr>
          <w:trHeight w:val="238"/>
        </w:trPr>
        <w:tc>
          <w:tcPr>
            <w:tcW w:w="4678" w:type="dxa"/>
            <w:shd w:val="clear" w:color="auto" w:fill="auto"/>
          </w:tcPr>
          <w:p w14:paraId="57B7E13D" w14:textId="77777777" w:rsidR="008B7E19" w:rsidRPr="0093755D" w:rsidRDefault="008B7E19" w:rsidP="008B7E19">
            <w:pPr>
              <w:pStyle w:val="08-Tabelageral"/>
              <w:ind w:left="113"/>
              <w:jc w:val="left"/>
              <w:rPr>
                <w:rFonts w:cs="Arial"/>
                <w:szCs w:val="14"/>
              </w:rPr>
            </w:pPr>
            <w:r w:rsidRPr="0093755D">
              <w:rPr>
                <w:rFonts w:cs="Arial"/>
                <w:szCs w:val="14"/>
              </w:rPr>
              <w:t>Tax expenses</w:t>
            </w:r>
          </w:p>
        </w:tc>
        <w:tc>
          <w:tcPr>
            <w:tcW w:w="1240" w:type="dxa"/>
            <w:shd w:val="clear" w:color="auto" w:fill="auto"/>
            <w:vAlign w:val="bottom"/>
          </w:tcPr>
          <w:p w14:paraId="4448BC93" w14:textId="77777777" w:rsidR="008B7E19" w:rsidRPr="0093755D" w:rsidRDefault="008B7E19" w:rsidP="008B7E19">
            <w:pPr>
              <w:pStyle w:val="08-Tabelageral"/>
              <w:rPr>
                <w:rFonts w:cs="Arial"/>
                <w:szCs w:val="14"/>
              </w:rPr>
            </w:pPr>
            <w:r>
              <w:rPr>
                <w:rFonts w:cs="Arial"/>
                <w:color w:val="000000"/>
                <w:szCs w:val="14"/>
              </w:rPr>
              <w:t>(1,285)</w:t>
            </w:r>
          </w:p>
        </w:tc>
        <w:tc>
          <w:tcPr>
            <w:tcW w:w="1240" w:type="dxa"/>
            <w:shd w:val="clear" w:color="auto" w:fill="auto"/>
            <w:vAlign w:val="bottom"/>
          </w:tcPr>
          <w:p w14:paraId="35771DF5" w14:textId="77777777" w:rsidR="008B7E19" w:rsidRPr="0093755D" w:rsidRDefault="008B7E19" w:rsidP="008B7E19">
            <w:pPr>
              <w:pStyle w:val="08-Tabelageral"/>
              <w:rPr>
                <w:rFonts w:cs="Arial"/>
                <w:szCs w:val="14"/>
              </w:rPr>
            </w:pPr>
            <w:r>
              <w:rPr>
                <w:rFonts w:cs="Arial"/>
                <w:color w:val="000000"/>
                <w:szCs w:val="14"/>
              </w:rPr>
              <w:t>(4,286)</w:t>
            </w:r>
          </w:p>
        </w:tc>
        <w:tc>
          <w:tcPr>
            <w:tcW w:w="1240" w:type="dxa"/>
            <w:shd w:val="clear" w:color="auto" w:fill="auto"/>
            <w:vAlign w:val="bottom"/>
          </w:tcPr>
          <w:p w14:paraId="35C50F94" w14:textId="77777777" w:rsidR="008B7E19" w:rsidRPr="0093755D" w:rsidRDefault="008B7E19" w:rsidP="008B7E19">
            <w:pPr>
              <w:pStyle w:val="08-Tabelageral"/>
              <w:rPr>
                <w:rFonts w:cs="Arial"/>
                <w:szCs w:val="14"/>
              </w:rPr>
            </w:pPr>
            <w:r>
              <w:rPr>
                <w:rFonts w:cs="Arial"/>
                <w:color w:val="000000"/>
                <w:szCs w:val="14"/>
              </w:rPr>
              <w:t>--</w:t>
            </w:r>
          </w:p>
        </w:tc>
        <w:tc>
          <w:tcPr>
            <w:tcW w:w="1241" w:type="dxa"/>
            <w:shd w:val="clear" w:color="auto" w:fill="auto"/>
            <w:vAlign w:val="bottom"/>
          </w:tcPr>
          <w:p w14:paraId="63F376DB" w14:textId="77777777" w:rsidR="008B7E19" w:rsidRPr="0093755D" w:rsidRDefault="008B7E19" w:rsidP="008B7E19">
            <w:pPr>
              <w:pStyle w:val="08-Tabelageral"/>
              <w:rPr>
                <w:rFonts w:cs="Arial"/>
                <w:szCs w:val="14"/>
              </w:rPr>
            </w:pPr>
            <w:r>
              <w:rPr>
                <w:rFonts w:cs="Arial"/>
                <w:color w:val="000000"/>
                <w:szCs w:val="14"/>
              </w:rPr>
              <w:t>(5,571)</w:t>
            </w:r>
          </w:p>
        </w:tc>
      </w:tr>
      <w:tr w:rsidR="008B7E19" w:rsidRPr="0093755D" w14:paraId="272F4AF8" w14:textId="77777777" w:rsidTr="008B7E19">
        <w:trPr>
          <w:trHeight w:val="238"/>
        </w:trPr>
        <w:tc>
          <w:tcPr>
            <w:tcW w:w="4678" w:type="dxa"/>
            <w:shd w:val="clear" w:color="auto" w:fill="auto"/>
          </w:tcPr>
          <w:p w14:paraId="0868910B" w14:textId="77777777" w:rsidR="008B7E19" w:rsidRPr="0093755D" w:rsidRDefault="008B7E19" w:rsidP="008B7E19">
            <w:pPr>
              <w:pStyle w:val="08-Tabelageral"/>
              <w:ind w:left="113"/>
              <w:jc w:val="left"/>
              <w:rPr>
                <w:rFonts w:cs="Arial"/>
                <w:szCs w:val="14"/>
              </w:rPr>
            </w:pPr>
            <w:r w:rsidRPr="0093755D">
              <w:rPr>
                <w:rFonts w:cs="Arial"/>
                <w:szCs w:val="14"/>
              </w:rPr>
              <w:t>Other</w:t>
            </w:r>
          </w:p>
        </w:tc>
        <w:tc>
          <w:tcPr>
            <w:tcW w:w="1240" w:type="dxa"/>
            <w:shd w:val="clear" w:color="auto" w:fill="auto"/>
            <w:vAlign w:val="bottom"/>
          </w:tcPr>
          <w:p w14:paraId="2E910E7E" w14:textId="77777777" w:rsidR="008B7E19" w:rsidRPr="0093755D" w:rsidRDefault="008B7E19" w:rsidP="008B7E19">
            <w:pPr>
              <w:pStyle w:val="08-Tabelageral"/>
              <w:rPr>
                <w:rFonts w:cs="Arial"/>
                <w:szCs w:val="14"/>
              </w:rPr>
            </w:pPr>
            <w:r>
              <w:rPr>
                <w:rFonts w:cs="Arial"/>
                <w:color w:val="000000"/>
                <w:szCs w:val="14"/>
              </w:rPr>
              <w:t>(5,373)</w:t>
            </w:r>
          </w:p>
        </w:tc>
        <w:tc>
          <w:tcPr>
            <w:tcW w:w="1240" w:type="dxa"/>
            <w:shd w:val="clear" w:color="auto" w:fill="auto"/>
            <w:vAlign w:val="bottom"/>
          </w:tcPr>
          <w:p w14:paraId="0DE5B3CB" w14:textId="77777777" w:rsidR="008B7E19" w:rsidRPr="0093755D" w:rsidRDefault="008B7E19" w:rsidP="008B7E19">
            <w:pPr>
              <w:pStyle w:val="08-Tabelageral"/>
              <w:rPr>
                <w:rFonts w:cs="Arial"/>
                <w:szCs w:val="14"/>
              </w:rPr>
            </w:pPr>
            <w:r>
              <w:rPr>
                <w:rFonts w:cs="Arial"/>
                <w:color w:val="000000"/>
                <w:szCs w:val="14"/>
              </w:rPr>
              <w:t>(9,894)</w:t>
            </w:r>
          </w:p>
        </w:tc>
        <w:tc>
          <w:tcPr>
            <w:tcW w:w="1240" w:type="dxa"/>
            <w:shd w:val="clear" w:color="auto" w:fill="auto"/>
            <w:vAlign w:val="bottom"/>
          </w:tcPr>
          <w:p w14:paraId="402F392E" w14:textId="77777777" w:rsidR="008B7E19" w:rsidRPr="0093755D" w:rsidRDefault="008B7E19" w:rsidP="008B7E19">
            <w:pPr>
              <w:pStyle w:val="08-Tabelageral"/>
              <w:rPr>
                <w:rFonts w:cs="Arial"/>
                <w:szCs w:val="14"/>
              </w:rPr>
            </w:pPr>
            <w:r>
              <w:rPr>
                <w:rFonts w:cs="Arial"/>
                <w:color w:val="000000"/>
                <w:szCs w:val="14"/>
              </w:rPr>
              <w:t>--</w:t>
            </w:r>
          </w:p>
        </w:tc>
        <w:tc>
          <w:tcPr>
            <w:tcW w:w="1241" w:type="dxa"/>
            <w:shd w:val="clear" w:color="auto" w:fill="auto"/>
            <w:vAlign w:val="bottom"/>
          </w:tcPr>
          <w:p w14:paraId="6EB169A8" w14:textId="77777777" w:rsidR="008B7E19" w:rsidRPr="0093755D" w:rsidRDefault="008B7E19" w:rsidP="008B7E19">
            <w:pPr>
              <w:pStyle w:val="08-Tabelageral"/>
              <w:rPr>
                <w:rFonts w:cs="Arial"/>
                <w:szCs w:val="14"/>
              </w:rPr>
            </w:pPr>
            <w:r>
              <w:rPr>
                <w:rFonts w:cs="Arial"/>
                <w:color w:val="000000"/>
                <w:szCs w:val="14"/>
              </w:rPr>
              <w:t>(15,267)</w:t>
            </w:r>
          </w:p>
        </w:tc>
      </w:tr>
      <w:tr w:rsidR="008B7E19" w:rsidRPr="0093755D" w14:paraId="695E86EF" w14:textId="77777777" w:rsidTr="008B7E19">
        <w:trPr>
          <w:trHeight w:val="238"/>
        </w:trPr>
        <w:tc>
          <w:tcPr>
            <w:tcW w:w="4678" w:type="dxa"/>
            <w:shd w:val="clear" w:color="auto" w:fill="auto"/>
          </w:tcPr>
          <w:p w14:paraId="5C5BC629" w14:textId="77777777" w:rsidR="008B7E19" w:rsidRPr="0093755D" w:rsidRDefault="008B7E19" w:rsidP="008B7E19">
            <w:pPr>
              <w:pStyle w:val="08-Tabelageral"/>
              <w:jc w:val="left"/>
              <w:rPr>
                <w:rFonts w:cs="Arial"/>
                <w:b/>
                <w:szCs w:val="14"/>
                <w:lang w:val="en-US"/>
              </w:rPr>
            </w:pPr>
            <w:r w:rsidRPr="0093755D">
              <w:rPr>
                <w:rFonts w:cs="Arial"/>
                <w:b/>
                <w:szCs w:val="14"/>
                <w:lang w:val="en-US"/>
              </w:rPr>
              <w:t>I</w:t>
            </w:r>
            <w:r>
              <w:rPr>
                <w:rFonts w:cs="Arial"/>
                <w:b/>
                <w:szCs w:val="14"/>
                <w:lang w:val="en-US"/>
              </w:rPr>
              <w:t>ncome Before Financial Revenue a</w:t>
            </w:r>
            <w:r w:rsidRPr="0093755D">
              <w:rPr>
                <w:rFonts w:cs="Arial"/>
                <w:b/>
                <w:szCs w:val="14"/>
                <w:lang w:val="en-US"/>
              </w:rPr>
              <w:t>nd Expenses</w:t>
            </w:r>
          </w:p>
        </w:tc>
        <w:tc>
          <w:tcPr>
            <w:tcW w:w="1240" w:type="dxa"/>
            <w:shd w:val="clear" w:color="auto" w:fill="auto"/>
            <w:vAlign w:val="bottom"/>
          </w:tcPr>
          <w:p w14:paraId="47CE0A54" w14:textId="77777777" w:rsidR="008B7E19" w:rsidRPr="0093755D" w:rsidRDefault="008B7E19" w:rsidP="008B7E19">
            <w:pPr>
              <w:pStyle w:val="08-Tabelageral"/>
              <w:rPr>
                <w:rFonts w:cs="Arial"/>
                <w:b/>
                <w:szCs w:val="14"/>
              </w:rPr>
            </w:pPr>
            <w:r>
              <w:rPr>
                <w:rFonts w:cs="Arial"/>
                <w:b/>
                <w:bCs/>
                <w:color w:val="000000"/>
                <w:szCs w:val="14"/>
              </w:rPr>
              <w:t>2,256,758</w:t>
            </w:r>
          </w:p>
        </w:tc>
        <w:tc>
          <w:tcPr>
            <w:tcW w:w="1240" w:type="dxa"/>
            <w:shd w:val="clear" w:color="auto" w:fill="auto"/>
            <w:vAlign w:val="bottom"/>
          </w:tcPr>
          <w:p w14:paraId="466F26E3" w14:textId="77777777" w:rsidR="008B7E19" w:rsidRPr="0093755D" w:rsidRDefault="008B7E19" w:rsidP="008B7E19">
            <w:pPr>
              <w:pStyle w:val="08-Tabelageral"/>
              <w:rPr>
                <w:rFonts w:cs="Arial"/>
                <w:b/>
                <w:szCs w:val="14"/>
              </w:rPr>
            </w:pPr>
            <w:r>
              <w:rPr>
                <w:rFonts w:cs="Arial"/>
                <w:b/>
                <w:bCs/>
                <w:color w:val="000000"/>
                <w:szCs w:val="14"/>
              </w:rPr>
              <w:t>864,883</w:t>
            </w:r>
          </w:p>
        </w:tc>
        <w:tc>
          <w:tcPr>
            <w:tcW w:w="1240" w:type="dxa"/>
            <w:shd w:val="clear" w:color="auto" w:fill="auto"/>
            <w:vAlign w:val="bottom"/>
          </w:tcPr>
          <w:p w14:paraId="31339B4C" w14:textId="77777777" w:rsidR="008B7E19" w:rsidRPr="0093755D" w:rsidRDefault="008B7E19" w:rsidP="008B7E19">
            <w:pPr>
              <w:pStyle w:val="08-Tabelageral"/>
              <w:rPr>
                <w:rFonts w:cs="Arial"/>
                <w:b/>
                <w:szCs w:val="14"/>
              </w:rPr>
            </w:pPr>
            <w:r>
              <w:rPr>
                <w:rFonts w:cs="Arial"/>
                <w:b/>
                <w:bCs/>
                <w:color w:val="000000"/>
                <w:szCs w:val="14"/>
              </w:rPr>
              <w:t>(1,407,388)</w:t>
            </w:r>
          </w:p>
        </w:tc>
        <w:tc>
          <w:tcPr>
            <w:tcW w:w="1241" w:type="dxa"/>
            <w:shd w:val="clear" w:color="auto" w:fill="auto"/>
            <w:vAlign w:val="bottom"/>
          </w:tcPr>
          <w:p w14:paraId="23D97B5E" w14:textId="77777777" w:rsidR="008B7E19" w:rsidRPr="0093755D" w:rsidRDefault="008B7E19" w:rsidP="008B7E19">
            <w:pPr>
              <w:pStyle w:val="08-Tabelageral"/>
              <w:rPr>
                <w:rFonts w:cs="Arial"/>
                <w:b/>
                <w:szCs w:val="14"/>
              </w:rPr>
            </w:pPr>
            <w:r>
              <w:rPr>
                <w:rFonts w:cs="Arial"/>
                <w:b/>
                <w:bCs/>
                <w:color w:val="000000"/>
                <w:szCs w:val="14"/>
              </w:rPr>
              <w:t>1,714,253</w:t>
            </w:r>
          </w:p>
        </w:tc>
      </w:tr>
      <w:tr w:rsidR="008B7E19" w:rsidRPr="0093755D" w14:paraId="37AA2D73" w14:textId="77777777" w:rsidTr="008B7E19">
        <w:trPr>
          <w:trHeight w:val="238"/>
        </w:trPr>
        <w:tc>
          <w:tcPr>
            <w:tcW w:w="4678" w:type="dxa"/>
            <w:shd w:val="clear" w:color="auto" w:fill="auto"/>
          </w:tcPr>
          <w:p w14:paraId="6A6B6B18" w14:textId="77777777" w:rsidR="008B7E19" w:rsidRPr="0093755D" w:rsidRDefault="008B7E19" w:rsidP="008B7E19">
            <w:pPr>
              <w:pStyle w:val="08-Tabelageral"/>
              <w:jc w:val="left"/>
              <w:rPr>
                <w:rFonts w:cs="Arial"/>
                <w:b/>
                <w:szCs w:val="14"/>
              </w:rPr>
            </w:pPr>
            <w:r w:rsidRPr="0093755D">
              <w:rPr>
                <w:rFonts w:cs="Arial"/>
                <w:b/>
                <w:szCs w:val="14"/>
              </w:rPr>
              <w:t>Financial Result</w:t>
            </w:r>
          </w:p>
        </w:tc>
        <w:tc>
          <w:tcPr>
            <w:tcW w:w="1240" w:type="dxa"/>
            <w:shd w:val="clear" w:color="auto" w:fill="auto"/>
            <w:vAlign w:val="bottom"/>
          </w:tcPr>
          <w:p w14:paraId="35F8639E" w14:textId="77777777" w:rsidR="008B7E19" w:rsidRPr="0093755D" w:rsidRDefault="008B7E19" w:rsidP="008B7E19">
            <w:pPr>
              <w:pStyle w:val="08-Tabelageral"/>
              <w:rPr>
                <w:rFonts w:cs="Arial"/>
                <w:b/>
                <w:szCs w:val="14"/>
              </w:rPr>
            </w:pPr>
            <w:r>
              <w:rPr>
                <w:rFonts w:cs="Arial"/>
                <w:b/>
                <w:bCs/>
                <w:color w:val="000000"/>
                <w:szCs w:val="14"/>
              </w:rPr>
              <w:t>25,691</w:t>
            </w:r>
          </w:p>
        </w:tc>
        <w:tc>
          <w:tcPr>
            <w:tcW w:w="1240" w:type="dxa"/>
            <w:shd w:val="clear" w:color="auto" w:fill="auto"/>
            <w:vAlign w:val="bottom"/>
          </w:tcPr>
          <w:p w14:paraId="15126D75" w14:textId="77777777" w:rsidR="008B7E19" w:rsidRPr="0093755D" w:rsidRDefault="008B7E19" w:rsidP="008B7E19">
            <w:pPr>
              <w:pStyle w:val="08-Tabelageral"/>
              <w:rPr>
                <w:rFonts w:cs="Arial"/>
                <w:b/>
                <w:szCs w:val="14"/>
              </w:rPr>
            </w:pPr>
            <w:r>
              <w:rPr>
                <w:rFonts w:cs="Arial"/>
                <w:b/>
                <w:bCs/>
                <w:color w:val="000000"/>
                <w:szCs w:val="14"/>
              </w:rPr>
              <w:t>92,083</w:t>
            </w:r>
          </w:p>
        </w:tc>
        <w:tc>
          <w:tcPr>
            <w:tcW w:w="1240" w:type="dxa"/>
            <w:shd w:val="clear" w:color="auto" w:fill="auto"/>
            <w:vAlign w:val="bottom"/>
          </w:tcPr>
          <w:p w14:paraId="7EFDD8CC" w14:textId="77777777" w:rsidR="008B7E19" w:rsidRPr="0093755D" w:rsidRDefault="008B7E19" w:rsidP="008B7E19">
            <w:pPr>
              <w:pStyle w:val="08-Tabelageral"/>
              <w:rPr>
                <w:rFonts w:cs="Arial"/>
                <w:b/>
                <w:szCs w:val="14"/>
              </w:rPr>
            </w:pPr>
            <w:r>
              <w:rPr>
                <w:rFonts w:cs="Arial"/>
                <w:b/>
                <w:bCs/>
                <w:color w:val="000000"/>
                <w:szCs w:val="14"/>
              </w:rPr>
              <w:t>--</w:t>
            </w:r>
          </w:p>
        </w:tc>
        <w:tc>
          <w:tcPr>
            <w:tcW w:w="1241" w:type="dxa"/>
            <w:shd w:val="clear" w:color="auto" w:fill="auto"/>
            <w:vAlign w:val="bottom"/>
          </w:tcPr>
          <w:p w14:paraId="6B730C42" w14:textId="77777777" w:rsidR="008B7E19" w:rsidRPr="0093755D" w:rsidRDefault="008B7E19" w:rsidP="008B7E19">
            <w:pPr>
              <w:pStyle w:val="08-Tabelageral"/>
              <w:rPr>
                <w:rFonts w:cs="Arial"/>
                <w:b/>
                <w:szCs w:val="14"/>
              </w:rPr>
            </w:pPr>
            <w:r>
              <w:rPr>
                <w:rFonts w:cs="Arial"/>
                <w:b/>
                <w:bCs/>
                <w:color w:val="000000"/>
                <w:szCs w:val="14"/>
              </w:rPr>
              <w:t>117,774</w:t>
            </w:r>
          </w:p>
        </w:tc>
      </w:tr>
      <w:tr w:rsidR="008B7E19" w:rsidRPr="0093755D" w14:paraId="05A14909" w14:textId="77777777" w:rsidTr="008B7E19">
        <w:trPr>
          <w:trHeight w:val="238"/>
        </w:trPr>
        <w:tc>
          <w:tcPr>
            <w:tcW w:w="4678" w:type="dxa"/>
            <w:shd w:val="clear" w:color="auto" w:fill="auto"/>
          </w:tcPr>
          <w:p w14:paraId="169E56CB" w14:textId="77777777" w:rsidR="008B7E19" w:rsidRPr="0093755D" w:rsidRDefault="008B7E19" w:rsidP="008B7E19">
            <w:pPr>
              <w:pStyle w:val="08-Tabelageral"/>
              <w:ind w:left="113"/>
              <w:jc w:val="left"/>
              <w:rPr>
                <w:rFonts w:cs="Arial"/>
                <w:szCs w:val="14"/>
              </w:rPr>
            </w:pPr>
            <w:r w:rsidRPr="0093755D">
              <w:rPr>
                <w:rFonts w:cs="Arial"/>
                <w:szCs w:val="14"/>
              </w:rPr>
              <w:t>Financial revenue</w:t>
            </w:r>
          </w:p>
        </w:tc>
        <w:tc>
          <w:tcPr>
            <w:tcW w:w="1240" w:type="dxa"/>
            <w:shd w:val="clear" w:color="auto" w:fill="auto"/>
            <w:vAlign w:val="bottom"/>
          </w:tcPr>
          <w:p w14:paraId="53745E32" w14:textId="77777777" w:rsidR="008B7E19" w:rsidRPr="0093755D" w:rsidRDefault="008B7E19" w:rsidP="008B7E19">
            <w:pPr>
              <w:pStyle w:val="08-Tabelageral"/>
              <w:rPr>
                <w:rFonts w:cs="Arial"/>
                <w:szCs w:val="14"/>
              </w:rPr>
            </w:pPr>
            <w:r>
              <w:rPr>
                <w:rFonts w:cs="Arial"/>
                <w:color w:val="000000"/>
                <w:szCs w:val="14"/>
              </w:rPr>
              <w:t>26,467</w:t>
            </w:r>
          </w:p>
        </w:tc>
        <w:tc>
          <w:tcPr>
            <w:tcW w:w="1240" w:type="dxa"/>
            <w:shd w:val="clear" w:color="auto" w:fill="auto"/>
            <w:vAlign w:val="bottom"/>
          </w:tcPr>
          <w:p w14:paraId="324E83B3" w14:textId="77777777" w:rsidR="008B7E19" w:rsidRPr="0093755D" w:rsidRDefault="008B7E19" w:rsidP="008B7E19">
            <w:pPr>
              <w:pStyle w:val="08-Tabelageral"/>
              <w:rPr>
                <w:rFonts w:cs="Arial"/>
                <w:szCs w:val="14"/>
              </w:rPr>
            </w:pPr>
            <w:r>
              <w:rPr>
                <w:rFonts w:cs="Arial"/>
                <w:color w:val="000000"/>
                <w:szCs w:val="14"/>
              </w:rPr>
              <w:t>92,136</w:t>
            </w:r>
          </w:p>
        </w:tc>
        <w:tc>
          <w:tcPr>
            <w:tcW w:w="1240" w:type="dxa"/>
            <w:shd w:val="clear" w:color="auto" w:fill="auto"/>
            <w:vAlign w:val="bottom"/>
          </w:tcPr>
          <w:p w14:paraId="091F3436" w14:textId="77777777" w:rsidR="008B7E19" w:rsidRPr="0093755D" w:rsidRDefault="008B7E19" w:rsidP="008B7E19">
            <w:pPr>
              <w:pStyle w:val="08-Tabelageral"/>
              <w:rPr>
                <w:rFonts w:cs="Arial"/>
                <w:szCs w:val="14"/>
              </w:rPr>
            </w:pPr>
            <w:r>
              <w:rPr>
                <w:rFonts w:cs="Arial"/>
                <w:color w:val="000000"/>
                <w:szCs w:val="14"/>
              </w:rPr>
              <w:t>--</w:t>
            </w:r>
          </w:p>
        </w:tc>
        <w:tc>
          <w:tcPr>
            <w:tcW w:w="1241" w:type="dxa"/>
            <w:shd w:val="clear" w:color="auto" w:fill="auto"/>
            <w:vAlign w:val="bottom"/>
          </w:tcPr>
          <w:p w14:paraId="0D22A85A" w14:textId="77777777" w:rsidR="008B7E19" w:rsidRPr="0093755D" w:rsidRDefault="008B7E19" w:rsidP="008B7E19">
            <w:pPr>
              <w:pStyle w:val="08-Tabelageral"/>
              <w:rPr>
                <w:rFonts w:cs="Arial"/>
                <w:szCs w:val="14"/>
              </w:rPr>
            </w:pPr>
            <w:r>
              <w:rPr>
                <w:rFonts w:cs="Arial"/>
                <w:color w:val="000000"/>
                <w:szCs w:val="14"/>
              </w:rPr>
              <w:t>118,603</w:t>
            </w:r>
          </w:p>
        </w:tc>
      </w:tr>
      <w:tr w:rsidR="008B7E19" w:rsidRPr="0093755D" w14:paraId="10949130" w14:textId="77777777" w:rsidTr="008B7E19">
        <w:trPr>
          <w:trHeight w:val="238"/>
        </w:trPr>
        <w:tc>
          <w:tcPr>
            <w:tcW w:w="4678" w:type="dxa"/>
            <w:shd w:val="clear" w:color="auto" w:fill="auto"/>
          </w:tcPr>
          <w:p w14:paraId="177B8490" w14:textId="77777777" w:rsidR="008B7E19" w:rsidRPr="0093755D" w:rsidRDefault="008B7E19" w:rsidP="008B7E19">
            <w:pPr>
              <w:pStyle w:val="08-Tabelageral"/>
              <w:ind w:left="113"/>
              <w:jc w:val="left"/>
              <w:rPr>
                <w:rFonts w:cs="Arial"/>
                <w:szCs w:val="14"/>
              </w:rPr>
            </w:pPr>
            <w:r w:rsidRPr="0093755D">
              <w:rPr>
                <w:rFonts w:cs="Arial"/>
                <w:szCs w:val="14"/>
              </w:rPr>
              <w:t>Financial expenses</w:t>
            </w:r>
          </w:p>
        </w:tc>
        <w:tc>
          <w:tcPr>
            <w:tcW w:w="1240" w:type="dxa"/>
            <w:shd w:val="clear" w:color="auto" w:fill="auto"/>
            <w:vAlign w:val="bottom"/>
          </w:tcPr>
          <w:p w14:paraId="789934D1" w14:textId="77777777" w:rsidR="008B7E19" w:rsidRPr="0093755D" w:rsidRDefault="008B7E19" w:rsidP="008B7E19">
            <w:pPr>
              <w:pStyle w:val="08-Tabelageral"/>
              <w:rPr>
                <w:rFonts w:cs="Arial"/>
                <w:szCs w:val="14"/>
              </w:rPr>
            </w:pPr>
            <w:r>
              <w:rPr>
                <w:rFonts w:cs="Arial"/>
                <w:color w:val="000000"/>
                <w:szCs w:val="14"/>
              </w:rPr>
              <w:t>(778)</w:t>
            </w:r>
          </w:p>
        </w:tc>
        <w:tc>
          <w:tcPr>
            <w:tcW w:w="1240" w:type="dxa"/>
            <w:shd w:val="clear" w:color="auto" w:fill="auto"/>
            <w:vAlign w:val="bottom"/>
          </w:tcPr>
          <w:p w14:paraId="288C3215" w14:textId="77777777" w:rsidR="008B7E19" w:rsidRPr="0093755D" w:rsidRDefault="008B7E19" w:rsidP="008B7E19">
            <w:pPr>
              <w:pStyle w:val="08-Tabelageral"/>
              <w:rPr>
                <w:rFonts w:cs="Arial"/>
                <w:szCs w:val="14"/>
              </w:rPr>
            </w:pPr>
            <w:r>
              <w:rPr>
                <w:rFonts w:cs="Arial"/>
                <w:color w:val="000000"/>
                <w:szCs w:val="14"/>
              </w:rPr>
              <w:t>(53)</w:t>
            </w:r>
          </w:p>
        </w:tc>
        <w:tc>
          <w:tcPr>
            <w:tcW w:w="1240" w:type="dxa"/>
            <w:shd w:val="clear" w:color="auto" w:fill="auto"/>
            <w:vAlign w:val="bottom"/>
          </w:tcPr>
          <w:p w14:paraId="256A28B8" w14:textId="77777777" w:rsidR="008B7E19" w:rsidRPr="0093755D" w:rsidRDefault="008B7E19" w:rsidP="008B7E19">
            <w:pPr>
              <w:pStyle w:val="08-Tabelageral"/>
              <w:rPr>
                <w:rFonts w:cs="Arial"/>
                <w:szCs w:val="14"/>
              </w:rPr>
            </w:pPr>
            <w:r>
              <w:rPr>
                <w:rFonts w:cs="Arial"/>
                <w:color w:val="000000"/>
                <w:szCs w:val="14"/>
              </w:rPr>
              <w:t>--</w:t>
            </w:r>
          </w:p>
        </w:tc>
        <w:tc>
          <w:tcPr>
            <w:tcW w:w="1241" w:type="dxa"/>
            <w:shd w:val="clear" w:color="auto" w:fill="auto"/>
            <w:vAlign w:val="bottom"/>
          </w:tcPr>
          <w:p w14:paraId="74A8F38E" w14:textId="77777777" w:rsidR="008B7E19" w:rsidRPr="0093755D" w:rsidRDefault="008B7E19" w:rsidP="008B7E19">
            <w:pPr>
              <w:pStyle w:val="08-Tabelageral"/>
              <w:rPr>
                <w:rFonts w:cs="Arial"/>
                <w:szCs w:val="14"/>
              </w:rPr>
            </w:pPr>
            <w:r>
              <w:rPr>
                <w:rFonts w:cs="Arial"/>
                <w:color w:val="000000"/>
                <w:szCs w:val="14"/>
              </w:rPr>
              <w:t>(831)</w:t>
            </w:r>
          </w:p>
        </w:tc>
      </w:tr>
      <w:tr w:rsidR="008B7E19" w:rsidRPr="0093755D" w14:paraId="504961E5" w14:textId="77777777" w:rsidTr="008B7E19">
        <w:trPr>
          <w:trHeight w:val="238"/>
        </w:trPr>
        <w:tc>
          <w:tcPr>
            <w:tcW w:w="4678" w:type="dxa"/>
            <w:shd w:val="clear" w:color="auto" w:fill="auto"/>
          </w:tcPr>
          <w:p w14:paraId="2E92A8FE" w14:textId="77777777" w:rsidR="008B7E19" w:rsidRPr="0093755D" w:rsidRDefault="008B7E19" w:rsidP="008B7E19">
            <w:pPr>
              <w:pStyle w:val="08-Tabelageral"/>
              <w:jc w:val="left"/>
              <w:rPr>
                <w:rFonts w:cs="Arial"/>
                <w:b/>
                <w:bCs/>
                <w:szCs w:val="14"/>
                <w:lang w:val="en-US"/>
              </w:rPr>
            </w:pPr>
            <w:r w:rsidRPr="0093755D">
              <w:rPr>
                <w:rFonts w:cs="Arial"/>
                <w:b/>
                <w:szCs w:val="14"/>
                <w:lang w:val="en-US"/>
              </w:rPr>
              <w:t xml:space="preserve">Income Before Taxes </w:t>
            </w:r>
            <w:r>
              <w:rPr>
                <w:rFonts w:cs="Arial"/>
                <w:b/>
                <w:szCs w:val="14"/>
                <w:lang w:val="en-US"/>
              </w:rPr>
              <w:t>a</w:t>
            </w:r>
            <w:r w:rsidRPr="0093755D">
              <w:rPr>
                <w:rFonts w:cs="Arial"/>
                <w:b/>
                <w:szCs w:val="14"/>
                <w:lang w:val="en-US"/>
              </w:rPr>
              <w:t>nd Equities</w:t>
            </w:r>
          </w:p>
        </w:tc>
        <w:tc>
          <w:tcPr>
            <w:tcW w:w="1240" w:type="dxa"/>
            <w:shd w:val="clear" w:color="auto" w:fill="auto"/>
            <w:vAlign w:val="bottom"/>
          </w:tcPr>
          <w:p w14:paraId="4B69E7D9" w14:textId="77777777" w:rsidR="008B7E19" w:rsidRPr="0093755D" w:rsidRDefault="008B7E19" w:rsidP="008B7E19">
            <w:pPr>
              <w:pStyle w:val="08-Tabelageral"/>
              <w:rPr>
                <w:rFonts w:cs="Arial"/>
                <w:b/>
                <w:szCs w:val="14"/>
              </w:rPr>
            </w:pPr>
            <w:r>
              <w:rPr>
                <w:rFonts w:cs="Arial"/>
                <w:b/>
                <w:bCs/>
                <w:color w:val="000000"/>
                <w:szCs w:val="14"/>
              </w:rPr>
              <w:t>2,282,449</w:t>
            </w:r>
          </w:p>
        </w:tc>
        <w:tc>
          <w:tcPr>
            <w:tcW w:w="1240" w:type="dxa"/>
            <w:shd w:val="clear" w:color="auto" w:fill="auto"/>
            <w:vAlign w:val="bottom"/>
          </w:tcPr>
          <w:p w14:paraId="38F045ED" w14:textId="77777777" w:rsidR="008B7E19" w:rsidRPr="0093755D" w:rsidRDefault="008B7E19" w:rsidP="008B7E19">
            <w:pPr>
              <w:pStyle w:val="08-Tabelageral"/>
              <w:rPr>
                <w:rFonts w:cs="Arial"/>
                <w:b/>
                <w:szCs w:val="14"/>
              </w:rPr>
            </w:pPr>
            <w:r>
              <w:rPr>
                <w:rFonts w:cs="Arial"/>
                <w:b/>
                <w:bCs/>
                <w:color w:val="000000"/>
                <w:szCs w:val="14"/>
              </w:rPr>
              <w:t>956,966</w:t>
            </w:r>
          </w:p>
        </w:tc>
        <w:tc>
          <w:tcPr>
            <w:tcW w:w="1240" w:type="dxa"/>
            <w:shd w:val="clear" w:color="auto" w:fill="auto"/>
            <w:vAlign w:val="bottom"/>
          </w:tcPr>
          <w:p w14:paraId="74B7639F" w14:textId="77777777" w:rsidR="008B7E19" w:rsidRPr="0093755D" w:rsidRDefault="008B7E19" w:rsidP="008B7E19">
            <w:pPr>
              <w:pStyle w:val="08-Tabelageral"/>
              <w:rPr>
                <w:rFonts w:cs="Arial"/>
                <w:b/>
                <w:szCs w:val="14"/>
              </w:rPr>
            </w:pPr>
            <w:r>
              <w:rPr>
                <w:rFonts w:cs="Arial"/>
                <w:b/>
                <w:bCs/>
                <w:color w:val="000000"/>
                <w:szCs w:val="14"/>
              </w:rPr>
              <w:t>(1,407,388)</w:t>
            </w:r>
          </w:p>
        </w:tc>
        <w:tc>
          <w:tcPr>
            <w:tcW w:w="1241" w:type="dxa"/>
            <w:shd w:val="clear" w:color="auto" w:fill="auto"/>
            <w:vAlign w:val="bottom"/>
          </w:tcPr>
          <w:p w14:paraId="3A75B263" w14:textId="77777777" w:rsidR="008B7E19" w:rsidRPr="0093755D" w:rsidRDefault="008B7E19" w:rsidP="008B7E19">
            <w:pPr>
              <w:pStyle w:val="08-Tabelageral"/>
              <w:rPr>
                <w:rFonts w:cs="Arial"/>
                <w:b/>
                <w:szCs w:val="14"/>
              </w:rPr>
            </w:pPr>
            <w:r>
              <w:rPr>
                <w:rFonts w:cs="Arial"/>
                <w:b/>
                <w:bCs/>
                <w:color w:val="000000"/>
                <w:szCs w:val="14"/>
              </w:rPr>
              <w:t>1,832,027</w:t>
            </w:r>
          </w:p>
        </w:tc>
      </w:tr>
      <w:tr w:rsidR="008B7E19" w:rsidRPr="000F19A6" w14:paraId="58BB3E31" w14:textId="77777777" w:rsidTr="008B7E19">
        <w:trPr>
          <w:trHeight w:val="238"/>
        </w:trPr>
        <w:tc>
          <w:tcPr>
            <w:tcW w:w="4678" w:type="dxa"/>
            <w:tcBorders>
              <w:bottom w:val="nil"/>
            </w:tcBorders>
            <w:shd w:val="clear" w:color="auto" w:fill="auto"/>
          </w:tcPr>
          <w:p w14:paraId="2A3D778B" w14:textId="77777777" w:rsidR="008B7E19" w:rsidRPr="000F19A6" w:rsidRDefault="008B7E19" w:rsidP="008B7E19">
            <w:pPr>
              <w:pStyle w:val="08-Tabelageral"/>
              <w:ind w:left="113"/>
              <w:jc w:val="left"/>
              <w:rPr>
                <w:rFonts w:cs="Arial"/>
                <w:szCs w:val="14"/>
                <w:lang w:val="en-US"/>
              </w:rPr>
            </w:pPr>
            <w:r w:rsidRPr="000F19A6">
              <w:rPr>
                <w:rFonts w:cs="Arial"/>
                <w:szCs w:val="14"/>
                <w:lang w:val="en-US"/>
              </w:rPr>
              <w:t>Income Tax and Social Contribution</w:t>
            </w:r>
          </w:p>
        </w:tc>
        <w:tc>
          <w:tcPr>
            <w:tcW w:w="1240" w:type="dxa"/>
            <w:tcBorders>
              <w:bottom w:val="nil"/>
            </w:tcBorders>
            <w:shd w:val="clear" w:color="auto" w:fill="auto"/>
            <w:vAlign w:val="bottom"/>
          </w:tcPr>
          <w:p w14:paraId="131FD1D0" w14:textId="77777777" w:rsidR="008B7E19" w:rsidRPr="000F19A6" w:rsidRDefault="008B7E19" w:rsidP="008B7E19">
            <w:pPr>
              <w:pStyle w:val="08-Tabelageral"/>
              <w:rPr>
                <w:rFonts w:cs="Arial"/>
                <w:szCs w:val="14"/>
              </w:rPr>
            </w:pPr>
            <w:r>
              <w:rPr>
                <w:rFonts w:cs="Arial"/>
                <w:color w:val="000000"/>
                <w:szCs w:val="14"/>
              </w:rPr>
              <w:t>(3,144)</w:t>
            </w:r>
          </w:p>
        </w:tc>
        <w:tc>
          <w:tcPr>
            <w:tcW w:w="1240" w:type="dxa"/>
            <w:tcBorders>
              <w:bottom w:val="nil"/>
            </w:tcBorders>
            <w:shd w:val="clear" w:color="auto" w:fill="auto"/>
            <w:vAlign w:val="bottom"/>
          </w:tcPr>
          <w:p w14:paraId="46C0C286" w14:textId="77777777" w:rsidR="008B7E19" w:rsidRPr="000F19A6" w:rsidRDefault="008B7E19" w:rsidP="008B7E19">
            <w:pPr>
              <w:pStyle w:val="08-Tabelageral"/>
              <w:rPr>
                <w:rFonts w:cs="Arial"/>
                <w:szCs w:val="14"/>
              </w:rPr>
            </w:pPr>
            <w:r>
              <w:rPr>
                <w:rFonts w:cs="Arial"/>
                <w:color w:val="000000"/>
                <w:szCs w:val="14"/>
              </w:rPr>
              <w:t>(325,156)</w:t>
            </w:r>
          </w:p>
        </w:tc>
        <w:tc>
          <w:tcPr>
            <w:tcW w:w="1240" w:type="dxa"/>
            <w:tcBorders>
              <w:bottom w:val="nil"/>
            </w:tcBorders>
            <w:shd w:val="clear" w:color="auto" w:fill="auto"/>
            <w:vAlign w:val="bottom"/>
          </w:tcPr>
          <w:p w14:paraId="6BF35DBA" w14:textId="77777777" w:rsidR="008B7E19" w:rsidRPr="000F19A6" w:rsidRDefault="008B7E19" w:rsidP="008B7E19">
            <w:pPr>
              <w:pStyle w:val="08-Tabelageral"/>
              <w:rPr>
                <w:rFonts w:cs="Arial"/>
                <w:szCs w:val="14"/>
              </w:rPr>
            </w:pPr>
            <w:r>
              <w:rPr>
                <w:rFonts w:cs="Arial"/>
                <w:color w:val="000000"/>
                <w:szCs w:val="14"/>
              </w:rPr>
              <w:t>--</w:t>
            </w:r>
          </w:p>
        </w:tc>
        <w:tc>
          <w:tcPr>
            <w:tcW w:w="1241" w:type="dxa"/>
            <w:tcBorders>
              <w:bottom w:val="nil"/>
            </w:tcBorders>
            <w:shd w:val="clear" w:color="auto" w:fill="auto"/>
            <w:vAlign w:val="bottom"/>
          </w:tcPr>
          <w:p w14:paraId="725F9A9C" w14:textId="77777777" w:rsidR="008B7E19" w:rsidRPr="000F19A6" w:rsidRDefault="008B7E19" w:rsidP="008B7E19">
            <w:pPr>
              <w:pStyle w:val="08-Tabelageral"/>
              <w:rPr>
                <w:rFonts w:cs="Arial"/>
                <w:szCs w:val="14"/>
              </w:rPr>
            </w:pPr>
            <w:r>
              <w:rPr>
                <w:rFonts w:cs="Arial"/>
                <w:color w:val="000000"/>
                <w:szCs w:val="14"/>
              </w:rPr>
              <w:t>(328,300)</w:t>
            </w:r>
          </w:p>
        </w:tc>
      </w:tr>
      <w:tr w:rsidR="008B7E19" w:rsidRPr="0093755D" w14:paraId="2DDB3866" w14:textId="77777777" w:rsidTr="008B7E19">
        <w:trPr>
          <w:trHeight w:val="238"/>
        </w:trPr>
        <w:tc>
          <w:tcPr>
            <w:tcW w:w="4678" w:type="dxa"/>
            <w:tcBorders>
              <w:top w:val="nil"/>
              <w:bottom w:val="single" w:sz="2" w:space="0" w:color="1F3864" w:themeColor="accent5" w:themeShade="80"/>
            </w:tcBorders>
            <w:shd w:val="clear" w:color="auto" w:fill="auto"/>
          </w:tcPr>
          <w:p w14:paraId="224DD0D1" w14:textId="77777777" w:rsidR="008B7E19" w:rsidRPr="0093755D" w:rsidRDefault="008B7E19" w:rsidP="008B7E19">
            <w:pPr>
              <w:pStyle w:val="08-Tabelageral"/>
              <w:jc w:val="left"/>
              <w:rPr>
                <w:rFonts w:cs="Arial"/>
                <w:b/>
                <w:bCs/>
                <w:szCs w:val="14"/>
                <w:lang w:val="en-US"/>
              </w:rPr>
            </w:pPr>
            <w:r w:rsidRPr="0093755D">
              <w:rPr>
                <w:rFonts w:cs="Arial"/>
                <w:b/>
                <w:szCs w:val="14"/>
                <w:lang w:val="en-US"/>
              </w:rPr>
              <w:t>Net Income</w:t>
            </w:r>
          </w:p>
        </w:tc>
        <w:tc>
          <w:tcPr>
            <w:tcW w:w="1240" w:type="dxa"/>
            <w:tcBorders>
              <w:top w:val="nil"/>
              <w:bottom w:val="single" w:sz="2" w:space="0" w:color="1F3864" w:themeColor="accent5" w:themeShade="80"/>
            </w:tcBorders>
            <w:shd w:val="clear" w:color="auto" w:fill="auto"/>
            <w:vAlign w:val="bottom"/>
          </w:tcPr>
          <w:p w14:paraId="1E50B4CD" w14:textId="77777777" w:rsidR="008B7E19" w:rsidRPr="0093755D" w:rsidRDefault="008B7E19" w:rsidP="008B7E19">
            <w:pPr>
              <w:pStyle w:val="08-Tabelageral"/>
              <w:rPr>
                <w:rFonts w:cs="Arial"/>
                <w:b/>
                <w:szCs w:val="14"/>
              </w:rPr>
            </w:pPr>
            <w:r>
              <w:rPr>
                <w:rFonts w:cs="Arial"/>
                <w:b/>
                <w:bCs/>
                <w:color w:val="000000"/>
                <w:szCs w:val="14"/>
              </w:rPr>
              <w:t>2,279,305</w:t>
            </w:r>
          </w:p>
        </w:tc>
        <w:tc>
          <w:tcPr>
            <w:tcW w:w="1240" w:type="dxa"/>
            <w:tcBorders>
              <w:top w:val="nil"/>
              <w:bottom w:val="single" w:sz="2" w:space="0" w:color="1F3864" w:themeColor="accent5" w:themeShade="80"/>
            </w:tcBorders>
            <w:shd w:val="clear" w:color="auto" w:fill="auto"/>
            <w:vAlign w:val="bottom"/>
          </w:tcPr>
          <w:p w14:paraId="1934CBE8" w14:textId="77777777" w:rsidR="008B7E19" w:rsidRPr="0093755D" w:rsidRDefault="008B7E19" w:rsidP="008B7E19">
            <w:pPr>
              <w:pStyle w:val="08-Tabelageral"/>
              <w:rPr>
                <w:rFonts w:cs="Arial"/>
                <w:b/>
                <w:szCs w:val="14"/>
              </w:rPr>
            </w:pPr>
            <w:r>
              <w:rPr>
                <w:rFonts w:cs="Arial"/>
                <w:b/>
                <w:bCs/>
                <w:color w:val="000000"/>
                <w:szCs w:val="14"/>
              </w:rPr>
              <w:t>631,810</w:t>
            </w:r>
          </w:p>
        </w:tc>
        <w:tc>
          <w:tcPr>
            <w:tcW w:w="1240" w:type="dxa"/>
            <w:tcBorders>
              <w:top w:val="nil"/>
              <w:bottom w:val="single" w:sz="2" w:space="0" w:color="1F3864" w:themeColor="accent5" w:themeShade="80"/>
            </w:tcBorders>
            <w:shd w:val="clear" w:color="auto" w:fill="auto"/>
            <w:vAlign w:val="bottom"/>
          </w:tcPr>
          <w:p w14:paraId="197F35EF" w14:textId="77777777" w:rsidR="008B7E19" w:rsidRPr="0093755D" w:rsidRDefault="008B7E19" w:rsidP="008B7E19">
            <w:pPr>
              <w:pStyle w:val="08-Tabelageral"/>
              <w:rPr>
                <w:rFonts w:cs="Arial"/>
                <w:b/>
                <w:szCs w:val="14"/>
              </w:rPr>
            </w:pPr>
            <w:r>
              <w:rPr>
                <w:rFonts w:cs="Arial"/>
                <w:b/>
                <w:bCs/>
                <w:color w:val="000000"/>
                <w:szCs w:val="14"/>
              </w:rPr>
              <w:t>(1,407,388)</w:t>
            </w:r>
          </w:p>
        </w:tc>
        <w:tc>
          <w:tcPr>
            <w:tcW w:w="1241" w:type="dxa"/>
            <w:tcBorders>
              <w:top w:val="nil"/>
              <w:bottom w:val="single" w:sz="2" w:space="0" w:color="1F3864" w:themeColor="accent5" w:themeShade="80"/>
            </w:tcBorders>
            <w:shd w:val="clear" w:color="auto" w:fill="auto"/>
            <w:vAlign w:val="bottom"/>
          </w:tcPr>
          <w:p w14:paraId="4044E392" w14:textId="77777777" w:rsidR="008B7E19" w:rsidRPr="0093755D" w:rsidRDefault="008B7E19" w:rsidP="008B7E19">
            <w:pPr>
              <w:pStyle w:val="08-Tabelageral"/>
              <w:rPr>
                <w:rFonts w:cs="Arial"/>
                <w:b/>
                <w:szCs w:val="14"/>
              </w:rPr>
            </w:pPr>
            <w:r>
              <w:rPr>
                <w:rFonts w:cs="Arial"/>
                <w:b/>
                <w:bCs/>
                <w:color w:val="000000"/>
                <w:szCs w:val="14"/>
              </w:rPr>
              <w:t>1,503,727</w:t>
            </w:r>
          </w:p>
        </w:tc>
      </w:tr>
    </w:tbl>
    <w:p w14:paraId="4E0F6B29" w14:textId="77777777" w:rsidR="008B7E19" w:rsidRDefault="008B7E19" w:rsidP="008B7E19">
      <w:pPr>
        <w:spacing w:after="0" w:line="240" w:lineRule="auto"/>
        <w:rPr>
          <w:rFonts w:cs="Arial"/>
          <w:b/>
          <w:color w:val="1F4E79" w:themeColor="accent1" w:themeShade="80"/>
          <w:szCs w:val="18"/>
          <w:lang w:val="en-US"/>
        </w:rPr>
      </w:pPr>
    </w:p>
    <w:p w14:paraId="408ED006" w14:textId="77777777" w:rsidR="008B7E19" w:rsidRDefault="008B7E19" w:rsidP="008B7E19">
      <w:pPr>
        <w:spacing w:after="0" w:line="240" w:lineRule="auto"/>
        <w:rPr>
          <w:rFonts w:cs="Arial"/>
          <w:b/>
          <w:color w:val="1F4E79" w:themeColor="accent1" w:themeShade="80"/>
          <w:szCs w:val="18"/>
          <w:lang w:val="en-US"/>
        </w:rPr>
      </w:pPr>
    </w:p>
    <w:p w14:paraId="41CF3EA3" w14:textId="77777777" w:rsidR="008B7E19" w:rsidRPr="009928AA" w:rsidRDefault="008B7E19" w:rsidP="008B7E19">
      <w:pPr>
        <w:spacing w:after="0"/>
        <w:jc w:val="right"/>
        <w:rPr>
          <w:rFonts w:cs="Arial"/>
          <w:b/>
          <w:sz w:val="14"/>
          <w:lang w:eastAsia="pt-BR"/>
        </w:rPr>
      </w:pPr>
      <w:r w:rsidRPr="009928AA">
        <w:rPr>
          <w:rFonts w:cs="Arial"/>
          <w:b/>
          <w:sz w:val="14"/>
          <w:lang w:eastAsia="pt-BR"/>
        </w:rPr>
        <w:t xml:space="preserve">R$ </w:t>
      </w:r>
      <w:r w:rsidRPr="000252B8">
        <w:rPr>
          <w:rFonts w:cs="Arial"/>
          <w:b/>
          <w:sz w:val="14"/>
          <w:szCs w:val="18"/>
        </w:rPr>
        <w:t>thousand</w:t>
      </w:r>
    </w:p>
    <w:tbl>
      <w:tblPr>
        <w:tblW w:w="9639" w:type="dxa"/>
        <w:tblBorders>
          <w:top w:val="single" w:sz="2" w:space="0" w:color="8EAADB" w:themeColor="accent5" w:themeTint="99"/>
          <w:bottom w:val="single" w:sz="2" w:space="0" w:color="8EAADB" w:themeColor="accent5" w:themeTint="99"/>
        </w:tblBorders>
        <w:tblLayout w:type="fixed"/>
        <w:tblLook w:val="04A0" w:firstRow="1" w:lastRow="0" w:firstColumn="1" w:lastColumn="0" w:noHBand="0" w:noVBand="1"/>
      </w:tblPr>
      <w:tblGrid>
        <w:gridCol w:w="4678"/>
        <w:gridCol w:w="1240"/>
        <w:gridCol w:w="1240"/>
        <w:gridCol w:w="1240"/>
        <w:gridCol w:w="1241"/>
      </w:tblGrid>
      <w:tr w:rsidR="008B7E19" w:rsidRPr="00D061B2" w14:paraId="48B404A8" w14:textId="77777777" w:rsidTr="008B7E19">
        <w:trPr>
          <w:trHeight w:val="238"/>
        </w:trPr>
        <w:tc>
          <w:tcPr>
            <w:tcW w:w="4678" w:type="dxa"/>
            <w:tcBorders>
              <w:top w:val="single" w:sz="2" w:space="0" w:color="1F4E79" w:themeColor="accent1" w:themeShade="80"/>
            </w:tcBorders>
            <w:shd w:val="clear" w:color="auto" w:fill="auto"/>
          </w:tcPr>
          <w:p w14:paraId="46A2BF7E" w14:textId="77777777" w:rsidR="008B7E19" w:rsidRPr="00D061B2" w:rsidRDefault="008B7E19" w:rsidP="008B7E19">
            <w:pPr>
              <w:spacing w:after="0"/>
              <w:jc w:val="center"/>
              <w:rPr>
                <w:rFonts w:cs="Arial"/>
                <w:b/>
                <w:sz w:val="14"/>
                <w:szCs w:val="14"/>
              </w:rPr>
            </w:pPr>
          </w:p>
        </w:tc>
        <w:tc>
          <w:tcPr>
            <w:tcW w:w="4961" w:type="dxa"/>
            <w:gridSpan w:val="4"/>
            <w:tcBorders>
              <w:top w:val="single" w:sz="2" w:space="0" w:color="1F4E79" w:themeColor="accent1" w:themeShade="80"/>
              <w:bottom w:val="single" w:sz="2" w:space="0" w:color="1F4E79" w:themeColor="accent1" w:themeShade="80"/>
            </w:tcBorders>
            <w:shd w:val="clear" w:color="auto" w:fill="auto"/>
            <w:vAlign w:val="center"/>
          </w:tcPr>
          <w:p w14:paraId="6C991B2A" w14:textId="77777777" w:rsidR="008B7E19" w:rsidRPr="00D061B2" w:rsidRDefault="008B7E19" w:rsidP="008B7E19">
            <w:pPr>
              <w:spacing w:after="0"/>
              <w:jc w:val="center"/>
              <w:rPr>
                <w:rFonts w:cs="Arial"/>
                <w:b/>
                <w:sz w:val="14"/>
                <w:szCs w:val="14"/>
              </w:rPr>
            </w:pPr>
            <w:r>
              <w:rPr>
                <w:rFonts w:cs="Arial"/>
                <w:b/>
                <w:sz w:val="14"/>
                <w:szCs w:val="14"/>
              </w:rPr>
              <w:t>1</w:t>
            </w:r>
            <w:r>
              <w:rPr>
                <w:rFonts w:cs="Arial"/>
                <w:b/>
                <w:sz w:val="14"/>
                <w:szCs w:val="14"/>
                <w:vertAlign w:val="superscript"/>
              </w:rPr>
              <w:t>st</w:t>
            </w:r>
            <w:r w:rsidRPr="00E30F81">
              <w:rPr>
                <w:rFonts w:cs="Arial"/>
                <w:b/>
                <w:sz w:val="14"/>
                <w:szCs w:val="14"/>
              </w:rPr>
              <w:t xml:space="preserve"> </w:t>
            </w:r>
            <w:r>
              <w:rPr>
                <w:rFonts w:cs="Arial"/>
                <w:b/>
                <w:sz w:val="14"/>
                <w:szCs w:val="14"/>
              </w:rPr>
              <w:t>Half</w:t>
            </w:r>
            <w:r w:rsidRPr="00E30F81">
              <w:rPr>
                <w:rFonts w:cs="Arial"/>
                <w:b/>
                <w:sz w:val="14"/>
                <w:szCs w:val="14"/>
              </w:rPr>
              <w:t xml:space="preserve"> 202</w:t>
            </w:r>
            <w:r>
              <w:rPr>
                <w:rFonts w:cs="Arial"/>
                <w:b/>
                <w:sz w:val="14"/>
                <w:szCs w:val="14"/>
              </w:rPr>
              <w:t>3</w:t>
            </w:r>
          </w:p>
        </w:tc>
      </w:tr>
      <w:tr w:rsidR="008B7E19" w:rsidRPr="00D061B2" w14:paraId="79A110D2" w14:textId="77777777" w:rsidTr="008B7E19">
        <w:trPr>
          <w:trHeight w:val="238"/>
        </w:trPr>
        <w:tc>
          <w:tcPr>
            <w:tcW w:w="4678" w:type="dxa"/>
            <w:tcBorders>
              <w:bottom w:val="single" w:sz="2" w:space="0" w:color="1F4E79" w:themeColor="accent1" w:themeShade="80"/>
            </w:tcBorders>
            <w:shd w:val="clear" w:color="auto" w:fill="auto"/>
          </w:tcPr>
          <w:p w14:paraId="3D23782C" w14:textId="77777777" w:rsidR="008B7E19" w:rsidRPr="00D061B2" w:rsidRDefault="008B7E19" w:rsidP="008B7E19">
            <w:pPr>
              <w:pStyle w:val="08-Tabelageral"/>
              <w:jc w:val="left"/>
              <w:rPr>
                <w:rFonts w:cs="Arial"/>
                <w:b/>
                <w:szCs w:val="14"/>
              </w:rPr>
            </w:pPr>
          </w:p>
        </w:tc>
        <w:tc>
          <w:tcPr>
            <w:tcW w:w="1240" w:type="dxa"/>
            <w:tcBorders>
              <w:top w:val="single" w:sz="2" w:space="0" w:color="1F4E79" w:themeColor="accent1" w:themeShade="80"/>
              <w:bottom w:val="single" w:sz="2" w:space="0" w:color="1F4E79" w:themeColor="accent1" w:themeShade="80"/>
            </w:tcBorders>
            <w:shd w:val="clear" w:color="auto" w:fill="auto"/>
            <w:vAlign w:val="center"/>
          </w:tcPr>
          <w:p w14:paraId="14C61358" w14:textId="77777777" w:rsidR="008B7E19" w:rsidRPr="00D061B2" w:rsidRDefault="008B7E19" w:rsidP="008B7E19">
            <w:pPr>
              <w:pStyle w:val="08-Tabelageral"/>
              <w:jc w:val="center"/>
              <w:rPr>
                <w:rFonts w:cs="Arial"/>
                <w:b/>
                <w:szCs w:val="14"/>
              </w:rPr>
            </w:pPr>
            <w:r w:rsidRPr="00D061B2">
              <w:rPr>
                <w:rFonts w:cs="Arial"/>
                <w:b/>
                <w:szCs w:val="14"/>
              </w:rPr>
              <w:t>Insurance</w:t>
            </w:r>
          </w:p>
        </w:tc>
        <w:tc>
          <w:tcPr>
            <w:tcW w:w="1240" w:type="dxa"/>
            <w:tcBorders>
              <w:top w:val="single" w:sz="2" w:space="0" w:color="1F4E79" w:themeColor="accent1" w:themeShade="80"/>
              <w:bottom w:val="single" w:sz="2" w:space="0" w:color="1F4E79" w:themeColor="accent1" w:themeShade="80"/>
            </w:tcBorders>
            <w:shd w:val="clear" w:color="auto" w:fill="auto"/>
            <w:vAlign w:val="center"/>
          </w:tcPr>
          <w:p w14:paraId="0DE0C4E7" w14:textId="77777777" w:rsidR="008B7E19" w:rsidRPr="00D061B2" w:rsidRDefault="008B7E19" w:rsidP="008B7E19">
            <w:pPr>
              <w:pStyle w:val="08-Tabelageral"/>
              <w:jc w:val="center"/>
              <w:rPr>
                <w:rFonts w:cs="Arial"/>
                <w:b/>
                <w:szCs w:val="14"/>
              </w:rPr>
            </w:pPr>
            <w:r w:rsidRPr="00D061B2">
              <w:rPr>
                <w:rFonts w:cs="Arial"/>
                <w:b/>
                <w:szCs w:val="14"/>
              </w:rPr>
              <w:t>Brokerage</w:t>
            </w:r>
          </w:p>
        </w:tc>
        <w:tc>
          <w:tcPr>
            <w:tcW w:w="1240" w:type="dxa"/>
            <w:tcBorders>
              <w:top w:val="single" w:sz="2" w:space="0" w:color="1F4E79" w:themeColor="accent1" w:themeShade="80"/>
              <w:bottom w:val="single" w:sz="2" w:space="0" w:color="1F4E79" w:themeColor="accent1" w:themeShade="80"/>
            </w:tcBorders>
            <w:shd w:val="clear" w:color="auto" w:fill="auto"/>
            <w:vAlign w:val="center"/>
          </w:tcPr>
          <w:p w14:paraId="02EE92A9" w14:textId="77777777" w:rsidR="008B7E19" w:rsidRPr="00D061B2" w:rsidRDefault="008B7E19" w:rsidP="008B7E19">
            <w:pPr>
              <w:pStyle w:val="08-Tabelageral"/>
              <w:jc w:val="center"/>
              <w:rPr>
                <w:rFonts w:cs="Arial"/>
                <w:b/>
                <w:szCs w:val="14"/>
              </w:rPr>
            </w:pPr>
            <w:r w:rsidRPr="00D061B2">
              <w:rPr>
                <w:rFonts w:cs="Arial"/>
                <w:b/>
                <w:szCs w:val="14"/>
              </w:rPr>
              <w:t>Intersegment transactions</w:t>
            </w:r>
          </w:p>
        </w:tc>
        <w:tc>
          <w:tcPr>
            <w:tcW w:w="1241" w:type="dxa"/>
            <w:tcBorders>
              <w:top w:val="single" w:sz="2" w:space="0" w:color="1F4E79" w:themeColor="accent1" w:themeShade="80"/>
              <w:bottom w:val="single" w:sz="2" w:space="0" w:color="1F4E79" w:themeColor="accent1" w:themeShade="80"/>
            </w:tcBorders>
            <w:shd w:val="clear" w:color="auto" w:fill="auto"/>
            <w:vAlign w:val="center"/>
          </w:tcPr>
          <w:p w14:paraId="157D0E7A" w14:textId="77777777" w:rsidR="008B7E19" w:rsidRPr="00D061B2" w:rsidRDefault="008B7E19" w:rsidP="008B7E19">
            <w:pPr>
              <w:pStyle w:val="08-Tabelageral"/>
              <w:jc w:val="center"/>
              <w:rPr>
                <w:rFonts w:cs="Arial"/>
                <w:b/>
                <w:szCs w:val="14"/>
              </w:rPr>
            </w:pPr>
            <w:r w:rsidRPr="00D061B2">
              <w:rPr>
                <w:rFonts w:cs="Arial"/>
                <w:b/>
                <w:szCs w:val="14"/>
              </w:rPr>
              <w:t>Total</w:t>
            </w:r>
          </w:p>
        </w:tc>
      </w:tr>
      <w:tr w:rsidR="008B7E19" w:rsidRPr="00DA72A7" w14:paraId="2920D338" w14:textId="77777777" w:rsidTr="008B7E19">
        <w:trPr>
          <w:trHeight w:val="238"/>
        </w:trPr>
        <w:tc>
          <w:tcPr>
            <w:tcW w:w="4678" w:type="dxa"/>
            <w:tcBorders>
              <w:top w:val="single" w:sz="2" w:space="0" w:color="1F4E79" w:themeColor="accent1" w:themeShade="80"/>
              <w:bottom w:val="nil"/>
            </w:tcBorders>
            <w:shd w:val="clear" w:color="auto" w:fill="auto"/>
          </w:tcPr>
          <w:p w14:paraId="330F4977" w14:textId="77777777" w:rsidR="008B7E19" w:rsidRPr="00DA72A7" w:rsidRDefault="008B7E19" w:rsidP="008B7E19">
            <w:pPr>
              <w:pStyle w:val="08-Tabelageral"/>
              <w:jc w:val="left"/>
              <w:rPr>
                <w:rFonts w:cs="Arial"/>
                <w:b/>
                <w:szCs w:val="14"/>
              </w:rPr>
            </w:pPr>
            <w:r w:rsidRPr="00DA72A7">
              <w:rPr>
                <w:rFonts w:cs="Arial"/>
                <w:b/>
                <w:szCs w:val="14"/>
              </w:rPr>
              <w:t>Operating Income</w:t>
            </w:r>
          </w:p>
        </w:tc>
        <w:tc>
          <w:tcPr>
            <w:tcW w:w="1240" w:type="dxa"/>
            <w:tcBorders>
              <w:top w:val="single" w:sz="2" w:space="0" w:color="1F4E79" w:themeColor="accent1" w:themeShade="80"/>
            </w:tcBorders>
            <w:shd w:val="clear" w:color="auto" w:fill="auto"/>
            <w:vAlign w:val="bottom"/>
          </w:tcPr>
          <w:p w14:paraId="6C8239C3" w14:textId="77777777" w:rsidR="008B7E19" w:rsidRPr="00DA72A7" w:rsidRDefault="008B7E19" w:rsidP="008B7E19">
            <w:pPr>
              <w:pStyle w:val="08-Tabelageral"/>
              <w:rPr>
                <w:rFonts w:cs="Arial"/>
                <w:b/>
                <w:szCs w:val="14"/>
              </w:rPr>
            </w:pPr>
            <w:r>
              <w:rPr>
                <w:rFonts w:cs="Arial"/>
                <w:b/>
                <w:bCs/>
                <w:color w:val="000000"/>
                <w:szCs w:val="14"/>
              </w:rPr>
              <w:t>6,007,650</w:t>
            </w:r>
          </w:p>
        </w:tc>
        <w:tc>
          <w:tcPr>
            <w:tcW w:w="1240" w:type="dxa"/>
            <w:tcBorders>
              <w:top w:val="single" w:sz="2" w:space="0" w:color="1F4E79" w:themeColor="accent1" w:themeShade="80"/>
            </w:tcBorders>
            <w:shd w:val="clear" w:color="auto" w:fill="auto"/>
            <w:vAlign w:val="bottom"/>
          </w:tcPr>
          <w:p w14:paraId="5AEEDE61" w14:textId="77777777" w:rsidR="008B7E19" w:rsidRPr="00DA72A7" w:rsidRDefault="008B7E19" w:rsidP="008B7E19">
            <w:pPr>
              <w:pStyle w:val="08-Tabelageral"/>
              <w:rPr>
                <w:rFonts w:cs="Arial"/>
                <w:b/>
                <w:szCs w:val="14"/>
              </w:rPr>
            </w:pPr>
            <w:r>
              <w:rPr>
                <w:rFonts w:cs="Arial"/>
                <w:b/>
                <w:bCs/>
                <w:color w:val="000000"/>
                <w:szCs w:val="14"/>
              </w:rPr>
              <w:t>2,124,818</w:t>
            </w:r>
          </w:p>
        </w:tc>
        <w:tc>
          <w:tcPr>
            <w:tcW w:w="1240" w:type="dxa"/>
            <w:tcBorders>
              <w:top w:val="single" w:sz="2" w:space="0" w:color="1F4E79" w:themeColor="accent1" w:themeShade="80"/>
            </w:tcBorders>
            <w:shd w:val="clear" w:color="auto" w:fill="auto"/>
            <w:vAlign w:val="bottom"/>
          </w:tcPr>
          <w:p w14:paraId="18D628DA" w14:textId="77777777" w:rsidR="008B7E19" w:rsidRPr="00DA72A7" w:rsidRDefault="008B7E19" w:rsidP="008B7E19">
            <w:pPr>
              <w:pStyle w:val="08-Tabelageral"/>
              <w:rPr>
                <w:rFonts w:cs="Arial"/>
                <w:b/>
                <w:szCs w:val="14"/>
              </w:rPr>
            </w:pPr>
            <w:r>
              <w:rPr>
                <w:rFonts w:cs="Arial"/>
                <w:b/>
                <w:bCs/>
                <w:color w:val="000000"/>
                <w:szCs w:val="14"/>
              </w:rPr>
              <w:t>(3,722,989)</w:t>
            </w:r>
          </w:p>
        </w:tc>
        <w:tc>
          <w:tcPr>
            <w:tcW w:w="1241" w:type="dxa"/>
            <w:tcBorders>
              <w:top w:val="single" w:sz="2" w:space="0" w:color="1F4E79" w:themeColor="accent1" w:themeShade="80"/>
            </w:tcBorders>
            <w:shd w:val="clear" w:color="auto" w:fill="auto"/>
            <w:vAlign w:val="bottom"/>
          </w:tcPr>
          <w:p w14:paraId="6AE9DF1A" w14:textId="77777777" w:rsidR="008B7E19" w:rsidRPr="00DA72A7" w:rsidRDefault="008B7E19" w:rsidP="008B7E19">
            <w:pPr>
              <w:pStyle w:val="08-Tabelageral"/>
              <w:rPr>
                <w:rFonts w:cs="Arial"/>
                <w:b/>
                <w:szCs w:val="14"/>
              </w:rPr>
            </w:pPr>
            <w:r>
              <w:rPr>
                <w:rFonts w:cs="Arial"/>
                <w:b/>
                <w:bCs/>
                <w:color w:val="000000"/>
                <w:szCs w:val="14"/>
              </w:rPr>
              <w:t>4,409,479</w:t>
            </w:r>
          </w:p>
        </w:tc>
      </w:tr>
      <w:tr w:rsidR="008B7E19" w:rsidRPr="00DA72A7" w14:paraId="5A863730" w14:textId="77777777" w:rsidTr="008B7E19">
        <w:trPr>
          <w:trHeight w:val="238"/>
        </w:trPr>
        <w:tc>
          <w:tcPr>
            <w:tcW w:w="4678" w:type="dxa"/>
            <w:tcBorders>
              <w:top w:val="nil"/>
            </w:tcBorders>
            <w:shd w:val="clear" w:color="auto" w:fill="auto"/>
          </w:tcPr>
          <w:p w14:paraId="6B53DF09" w14:textId="77777777" w:rsidR="008B7E19" w:rsidRPr="00DA72A7" w:rsidRDefault="008B7E19" w:rsidP="008B7E19">
            <w:pPr>
              <w:pStyle w:val="08-Tabelageral"/>
              <w:ind w:left="113"/>
              <w:jc w:val="left"/>
              <w:rPr>
                <w:rFonts w:cs="Arial"/>
                <w:bCs/>
                <w:szCs w:val="14"/>
              </w:rPr>
            </w:pPr>
            <w:r w:rsidRPr="00DA72A7">
              <w:rPr>
                <w:rFonts w:cs="Arial"/>
                <w:bCs/>
                <w:szCs w:val="14"/>
              </w:rPr>
              <w:t>Equity income</w:t>
            </w:r>
          </w:p>
        </w:tc>
        <w:tc>
          <w:tcPr>
            <w:tcW w:w="1240" w:type="dxa"/>
            <w:shd w:val="clear" w:color="auto" w:fill="auto"/>
            <w:vAlign w:val="bottom"/>
          </w:tcPr>
          <w:p w14:paraId="0BA0585B" w14:textId="77777777" w:rsidR="008B7E19" w:rsidRPr="00DA72A7" w:rsidRDefault="008B7E19" w:rsidP="008B7E19">
            <w:pPr>
              <w:pStyle w:val="08-Tabelageral"/>
              <w:rPr>
                <w:rFonts w:cs="Arial"/>
                <w:bCs/>
                <w:szCs w:val="14"/>
              </w:rPr>
            </w:pPr>
            <w:r>
              <w:rPr>
                <w:rFonts w:cs="Arial"/>
                <w:color w:val="000000"/>
                <w:szCs w:val="14"/>
              </w:rPr>
              <w:t>6,007,650</w:t>
            </w:r>
          </w:p>
        </w:tc>
        <w:tc>
          <w:tcPr>
            <w:tcW w:w="1240" w:type="dxa"/>
            <w:shd w:val="clear" w:color="auto" w:fill="auto"/>
            <w:vAlign w:val="bottom"/>
          </w:tcPr>
          <w:p w14:paraId="216A46BE" w14:textId="77777777" w:rsidR="008B7E19" w:rsidRPr="00DA72A7" w:rsidRDefault="008B7E19" w:rsidP="008B7E19">
            <w:pPr>
              <w:pStyle w:val="08-Tabelageral"/>
              <w:rPr>
                <w:rFonts w:cs="Arial"/>
                <w:bCs/>
                <w:szCs w:val="14"/>
              </w:rPr>
            </w:pPr>
            <w:r>
              <w:rPr>
                <w:rFonts w:cs="Arial"/>
                <w:color w:val="000000"/>
                <w:szCs w:val="14"/>
              </w:rPr>
              <w:t>1,088</w:t>
            </w:r>
          </w:p>
        </w:tc>
        <w:tc>
          <w:tcPr>
            <w:tcW w:w="1240" w:type="dxa"/>
            <w:shd w:val="clear" w:color="auto" w:fill="auto"/>
            <w:vAlign w:val="bottom"/>
          </w:tcPr>
          <w:p w14:paraId="0528BCE5" w14:textId="77777777" w:rsidR="008B7E19" w:rsidRPr="00DA72A7" w:rsidRDefault="008B7E19" w:rsidP="008B7E19">
            <w:pPr>
              <w:pStyle w:val="08-Tabelageral"/>
              <w:rPr>
                <w:rFonts w:cs="Arial"/>
                <w:bCs/>
                <w:szCs w:val="14"/>
              </w:rPr>
            </w:pPr>
            <w:r>
              <w:rPr>
                <w:rFonts w:cs="Arial"/>
                <w:color w:val="000000"/>
                <w:szCs w:val="14"/>
              </w:rPr>
              <w:t>(3,722,989)</w:t>
            </w:r>
          </w:p>
        </w:tc>
        <w:tc>
          <w:tcPr>
            <w:tcW w:w="1241" w:type="dxa"/>
            <w:shd w:val="clear" w:color="auto" w:fill="auto"/>
            <w:vAlign w:val="bottom"/>
          </w:tcPr>
          <w:p w14:paraId="06E356D1" w14:textId="77777777" w:rsidR="008B7E19" w:rsidRPr="00DA72A7" w:rsidRDefault="008B7E19" w:rsidP="008B7E19">
            <w:pPr>
              <w:pStyle w:val="08-Tabelageral"/>
              <w:rPr>
                <w:rFonts w:cs="Arial"/>
                <w:bCs/>
                <w:szCs w:val="14"/>
              </w:rPr>
            </w:pPr>
            <w:r>
              <w:rPr>
                <w:rFonts w:cs="Arial"/>
                <w:color w:val="000000"/>
                <w:szCs w:val="14"/>
              </w:rPr>
              <w:t>2,285,749</w:t>
            </w:r>
          </w:p>
        </w:tc>
      </w:tr>
      <w:tr w:rsidR="008B7E19" w:rsidRPr="00DA72A7" w14:paraId="53FFF420" w14:textId="77777777" w:rsidTr="008B7E19">
        <w:trPr>
          <w:trHeight w:val="238"/>
        </w:trPr>
        <w:tc>
          <w:tcPr>
            <w:tcW w:w="4678" w:type="dxa"/>
            <w:shd w:val="clear" w:color="auto" w:fill="auto"/>
          </w:tcPr>
          <w:p w14:paraId="6A000D2B" w14:textId="77777777" w:rsidR="008B7E19" w:rsidRPr="00DA72A7" w:rsidRDefault="008B7E19" w:rsidP="008B7E19">
            <w:pPr>
              <w:pStyle w:val="08-Tabelageral"/>
              <w:ind w:left="113"/>
              <w:jc w:val="left"/>
              <w:rPr>
                <w:rFonts w:cs="Arial"/>
                <w:bCs/>
                <w:szCs w:val="14"/>
              </w:rPr>
            </w:pPr>
            <w:r w:rsidRPr="00DA72A7">
              <w:rPr>
                <w:rFonts w:cs="Arial"/>
                <w:bCs/>
                <w:szCs w:val="14"/>
              </w:rPr>
              <w:t>Commissions income</w:t>
            </w:r>
          </w:p>
        </w:tc>
        <w:tc>
          <w:tcPr>
            <w:tcW w:w="1240" w:type="dxa"/>
            <w:shd w:val="clear" w:color="auto" w:fill="auto"/>
            <w:vAlign w:val="bottom"/>
          </w:tcPr>
          <w:p w14:paraId="1F061792" w14:textId="77777777" w:rsidR="008B7E19" w:rsidRPr="00DA72A7" w:rsidRDefault="008B7E19" w:rsidP="008B7E19">
            <w:pPr>
              <w:pStyle w:val="08-Tabelageral"/>
              <w:rPr>
                <w:rFonts w:cs="Arial"/>
                <w:bCs/>
                <w:szCs w:val="14"/>
              </w:rPr>
            </w:pPr>
            <w:r>
              <w:rPr>
                <w:rFonts w:cs="Arial"/>
                <w:color w:val="000000"/>
                <w:szCs w:val="14"/>
              </w:rPr>
              <w:t>--</w:t>
            </w:r>
          </w:p>
        </w:tc>
        <w:tc>
          <w:tcPr>
            <w:tcW w:w="1240" w:type="dxa"/>
            <w:shd w:val="clear" w:color="auto" w:fill="auto"/>
            <w:vAlign w:val="bottom"/>
          </w:tcPr>
          <w:p w14:paraId="47C2F390" w14:textId="77777777" w:rsidR="008B7E19" w:rsidRPr="00DA72A7" w:rsidRDefault="008B7E19" w:rsidP="008B7E19">
            <w:pPr>
              <w:pStyle w:val="08-Tabelageral"/>
              <w:rPr>
                <w:rFonts w:cs="Arial"/>
                <w:bCs/>
                <w:szCs w:val="14"/>
              </w:rPr>
            </w:pPr>
            <w:r>
              <w:rPr>
                <w:rFonts w:cs="Arial"/>
                <w:color w:val="000000"/>
                <w:szCs w:val="14"/>
              </w:rPr>
              <w:t>2,123,730</w:t>
            </w:r>
          </w:p>
        </w:tc>
        <w:tc>
          <w:tcPr>
            <w:tcW w:w="1240" w:type="dxa"/>
            <w:shd w:val="clear" w:color="auto" w:fill="auto"/>
            <w:vAlign w:val="bottom"/>
          </w:tcPr>
          <w:p w14:paraId="1D06A5A5" w14:textId="77777777" w:rsidR="008B7E19" w:rsidRPr="00DA72A7" w:rsidRDefault="008B7E19" w:rsidP="008B7E19">
            <w:pPr>
              <w:pStyle w:val="08-Tabelageral"/>
              <w:rPr>
                <w:rFonts w:cs="Arial"/>
                <w:bCs/>
                <w:szCs w:val="14"/>
              </w:rPr>
            </w:pPr>
            <w:r>
              <w:rPr>
                <w:rFonts w:cs="Arial"/>
                <w:color w:val="000000"/>
                <w:szCs w:val="14"/>
              </w:rPr>
              <w:t>--</w:t>
            </w:r>
          </w:p>
        </w:tc>
        <w:tc>
          <w:tcPr>
            <w:tcW w:w="1241" w:type="dxa"/>
            <w:shd w:val="clear" w:color="auto" w:fill="auto"/>
            <w:vAlign w:val="bottom"/>
          </w:tcPr>
          <w:p w14:paraId="230D659D" w14:textId="77777777" w:rsidR="008B7E19" w:rsidRPr="00DA72A7" w:rsidRDefault="008B7E19" w:rsidP="008B7E19">
            <w:pPr>
              <w:pStyle w:val="08-Tabelageral"/>
              <w:rPr>
                <w:rFonts w:cs="Arial"/>
                <w:bCs/>
                <w:szCs w:val="14"/>
              </w:rPr>
            </w:pPr>
            <w:r>
              <w:rPr>
                <w:rFonts w:cs="Arial"/>
                <w:color w:val="000000"/>
                <w:szCs w:val="14"/>
              </w:rPr>
              <w:t>2,123,730</w:t>
            </w:r>
          </w:p>
        </w:tc>
      </w:tr>
      <w:tr w:rsidR="008B7E19" w:rsidRPr="00DA72A7" w14:paraId="588CC9CD" w14:textId="77777777" w:rsidTr="008B7E19">
        <w:trPr>
          <w:trHeight w:val="238"/>
        </w:trPr>
        <w:tc>
          <w:tcPr>
            <w:tcW w:w="4678" w:type="dxa"/>
            <w:shd w:val="clear" w:color="auto" w:fill="auto"/>
          </w:tcPr>
          <w:p w14:paraId="1D456364" w14:textId="77777777" w:rsidR="008B7E19" w:rsidRPr="00DA72A7" w:rsidRDefault="008B7E19" w:rsidP="008B7E19">
            <w:pPr>
              <w:pStyle w:val="08-Tabelageral"/>
              <w:jc w:val="left"/>
              <w:rPr>
                <w:rFonts w:cs="Arial"/>
                <w:b/>
                <w:szCs w:val="14"/>
              </w:rPr>
            </w:pPr>
            <w:r w:rsidRPr="00DA72A7">
              <w:rPr>
                <w:rFonts w:cs="Arial"/>
                <w:b/>
                <w:szCs w:val="14"/>
              </w:rPr>
              <w:t>Cost of Services Provided</w:t>
            </w:r>
          </w:p>
        </w:tc>
        <w:tc>
          <w:tcPr>
            <w:tcW w:w="1240" w:type="dxa"/>
            <w:shd w:val="clear" w:color="auto" w:fill="auto"/>
            <w:vAlign w:val="bottom"/>
          </w:tcPr>
          <w:p w14:paraId="0A02BF29" w14:textId="77777777" w:rsidR="008B7E19" w:rsidRPr="00DA72A7" w:rsidRDefault="008B7E19" w:rsidP="008B7E19">
            <w:pPr>
              <w:pStyle w:val="08-Tabelageral"/>
              <w:rPr>
                <w:rFonts w:cs="Arial"/>
                <w:b/>
                <w:szCs w:val="14"/>
              </w:rPr>
            </w:pPr>
            <w:r>
              <w:rPr>
                <w:rFonts w:cs="Arial"/>
                <w:color w:val="000000"/>
                <w:szCs w:val="14"/>
              </w:rPr>
              <w:t>--</w:t>
            </w:r>
          </w:p>
        </w:tc>
        <w:tc>
          <w:tcPr>
            <w:tcW w:w="1240" w:type="dxa"/>
            <w:shd w:val="clear" w:color="auto" w:fill="auto"/>
            <w:vAlign w:val="bottom"/>
          </w:tcPr>
          <w:p w14:paraId="266C347B" w14:textId="77777777" w:rsidR="008B7E19" w:rsidRPr="00DA72A7" w:rsidRDefault="008B7E19" w:rsidP="008B7E19">
            <w:pPr>
              <w:pStyle w:val="08-Tabelageral"/>
              <w:rPr>
                <w:rFonts w:cs="Arial"/>
                <w:b/>
                <w:szCs w:val="14"/>
              </w:rPr>
            </w:pPr>
            <w:r>
              <w:rPr>
                <w:rFonts w:cs="Arial"/>
                <w:color w:val="000000"/>
                <w:szCs w:val="14"/>
              </w:rPr>
              <w:t>(100,861)</w:t>
            </w:r>
          </w:p>
        </w:tc>
        <w:tc>
          <w:tcPr>
            <w:tcW w:w="1240" w:type="dxa"/>
            <w:shd w:val="clear" w:color="auto" w:fill="auto"/>
            <w:vAlign w:val="bottom"/>
          </w:tcPr>
          <w:p w14:paraId="20260915" w14:textId="77777777" w:rsidR="008B7E19" w:rsidRPr="00DA72A7" w:rsidRDefault="008B7E19" w:rsidP="008B7E19">
            <w:pPr>
              <w:pStyle w:val="08-Tabelageral"/>
              <w:rPr>
                <w:rFonts w:cs="Arial"/>
                <w:b/>
                <w:szCs w:val="14"/>
              </w:rPr>
            </w:pPr>
            <w:r>
              <w:rPr>
                <w:rFonts w:cs="Arial"/>
                <w:color w:val="000000"/>
                <w:szCs w:val="14"/>
              </w:rPr>
              <w:t>--</w:t>
            </w:r>
          </w:p>
        </w:tc>
        <w:tc>
          <w:tcPr>
            <w:tcW w:w="1241" w:type="dxa"/>
            <w:shd w:val="clear" w:color="auto" w:fill="auto"/>
            <w:vAlign w:val="bottom"/>
          </w:tcPr>
          <w:p w14:paraId="6E373F85" w14:textId="77777777" w:rsidR="008B7E19" w:rsidRPr="00DA72A7" w:rsidRDefault="008B7E19" w:rsidP="008B7E19">
            <w:pPr>
              <w:pStyle w:val="08-Tabelageral"/>
              <w:rPr>
                <w:rFonts w:cs="Arial"/>
                <w:b/>
                <w:szCs w:val="14"/>
              </w:rPr>
            </w:pPr>
            <w:r>
              <w:rPr>
                <w:rFonts w:cs="Arial"/>
                <w:color w:val="000000"/>
                <w:szCs w:val="14"/>
              </w:rPr>
              <w:t>(100,861)</w:t>
            </w:r>
          </w:p>
        </w:tc>
      </w:tr>
      <w:tr w:rsidR="008B7E19" w:rsidRPr="00DA72A7" w14:paraId="0C8F3E54" w14:textId="77777777" w:rsidTr="008B7E19">
        <w:trPr>
          <w:trHeight w:val="238"/>
        </w:trPr>
        <w:tc>
          <w:tcPr>
            <w:tcW w:w="4678" w:type="dxa"/>
            <w:shd w:val="clear" w:color="auto" w:fill="auto"/>
          </w:tcPr>
          <w:p w14:paraId="2C269A4F" w14:textId="77777777" w:rsidR="008B7E19" w:rsidRPr="00DA72A7" w:rsidRDefault="008B7E19" w:rsidP="008B7E19">
            <w:pPr>
              <w:pStyle w:val="08-Tabelageral"/>
              <w:jc w:val="left"/>
              <w:rPr>
                <w:rFonts w:cs="Arial"/>
                <w:b/>
                <w:szCs w:val="14"/>
              </w:rPr>
            </w:pPr>
            <w:r w:rsidRPr="00DA72A7">
              <w:rPr>
                <w:rFonts w:cs="Arial"/>
                <w:b/>
                <w:szCs w:val="14"/>
              </w:rPr>
              <w:t>Gross Profit</w:t>
            </w:r>
          </w:p>
        </w:tc>
        <w:tc>
          <w:tcPr>
            <w:tcW w:w="1240" w:type="dxa"/>
            <w:shd w:val="clear" w:color="auto" w:fill="auto"/>
            <w:vAlign w:val="bottom"/>
          </w:tcPr>
          <w:p w14:paraId="5FFAA48F" w14:textId="77777777" w:rsidR="008B7E19" w:rsidRPr="00DA72A7" w:rsidRDefault="008B7E19" w:rsidP="008B7E19">
            <w:pPr>
              <w:pStyle w:val="08-Tabelageral"/>
              <w:rPr>
                <w:rFonts w:cs="Arial"/>
                <w:b/>
                <w:szCs w:val="14"/>
              </w:rPr>
            </w:pPr>
            <w:r>
              <w:rPr>
                <w:rFonts w:cs="Arial"/>
                <w:b/>
                <w:bCs/>
                <w:color w:val="000000"/>
                <w:szCs w:val="14"/>
              </w:rPr>
              <w:t>6,007,650</w:t>
            </w:r>
          </w:p>
        </w:tc>
        <w:tc>
          <w:tcPr>
            <w:tcW w:w="1240" w:type="dxa"/>
            <w:shd w:val="clear" w:color="auto" w:fill="auto"/>
            <w:vAlign w:val="bottom"/>
          </w:tcPr>
          <w:p w14:paraId="2D87F650" w14:textId="77777777" w:rsidR="008B7E19" w:rsidRPr="00DA72A7" w:rsidRDefault="008B7E19" w:rsidP="008B7E19">
            <w:pPr>
              <w:pStyle w:val="08-Tabelageral"/>
              <w:rPr>
                <w:rFonts w:cs="Arial"/>
                <w:b/>
                <w:szCs w:val="14"/>
              </w:rPr>
            </w:pPr>
            <w:r>
              <w:rPr>
                <w:rFonts w:cs="Arial"/>
                <w:b/>
                <w:bCs/>
                <w:color w:val="000000"/>
                <w:szCs w:val="14"/>
              </w:rPr>
              <w:t>2,023,957</w:t>
            </w:r>
          </w:p>
        </w:tc>
        <w:tc>
          <w:tcPr>
            <w:tcW w:w="1240" w:type="dxa"/>
            <w:shd w:val="clear" w:color="auto" w:fill="auto"/>
            <w:vAlign w:val="bottom"/>
          </w:tcPr>
          <w:p w14:paraId="54013846" w14:textId="77777777" w:rsidR="008B7E19" w:rsidRPr="00DA72A7" w:rsidRDefault="008B7E19" w:rsidP="008B7E19">
            <w:pPr>
              <w:pStyle w:val="08-Tabelageral"/>
              <w:rPr>
                <w:rFonts w:cs="Arial"/>
                <w:b/>
                <w:szCs w:val="14"/>
              </w:rPr>
            </w:pPr>
            <w:r>
              <w:rPr>
                <w:rFonts w:cs="Arial"/>
                <w:b/>
                <w:bCs/>
                <w:color w:val="000000"/>
                <w:szCs w:val="14"/>
              </w:rPr>
              <w:t>(3,722,989)</w:t>
            </w:r>
          </w:p>
        </w:tc>
        <w:tc>
          <w:tcPr>
            <w:tcW w:w="1241" w:type="dxa"/>
            <w:shd w:val="clear" w:color="auto" w:fill="auto"/>
            <w:vAlign w:val="bottom"/>
          </w:tcPr>
          <w:p w14:paraId="4DD8ADC5" w14:textId="77777777" w:rsidR="008B7E19" w:rsidRPr="00DA72A7" w:rsidRDefault="008B7E19" w:rsidP="008B7E19">
            <w:pPr>
              <w:pStyle w:val="08-Tabelageral"/>
              <w:rPr>
                <w:rFonts w:cs="Arial"/>
                <w:b/>
                <w:szCs w:val="14"/>
              </w:rPr>
            </w:pPr>
            <w:r>
              <w:rPr>
                <w:rFonts w:cs="Arial"/>
                <w:b/>
                <w:bCs/>
                <w:color w:val="000000"/>
                <w:szCs w:val="14"/>
              </w:rPr>
              <w:t>4,308,618</w:t>
            </w:r>
          </w:p>
        </w:tc>
      </w:tr>
      <w:tr w:rsidR="008B7E19" w:rsidRPr="00DA72A7" w14:paraId="6D13569A" w14:textId="77777777" w:rsidTr="008B7E19">
        <w:trPr>
          <w:trHeight w:val="238"/>
        </w:trPr>
        <w:tc>
          <w:tcPr>
            <w:tcW w:w="4678" w:type="dxa"/>
            <w:shd w:val="clear" w:color="auto" w:fill="auto"/>
          </w:tcPr>
          <w:p w14:paraId="6E56D53C" w14:textId="77777777" w:rsidR="008B7E19" w:rsidRPr="00DA72A7" w:rsidRDefault="008B7E19" w:rsidP="008B7E19">
            <w:pPr>
              <w:pStyle w:val="08-Tabelageral"/>
              <w:jc w:val="left"/>
              <w:rPr>
                <w:rFonts w:cs="Arial"/>
                <w:b/>
                <w:szCs w:val="14"/>
              </w:rPr>
            </w:pPr>
            <w:r w:rsidRPr="00DA72A7">
              <w:rPr>
                <w:rFonts w:cs="Arial"/>
                <w:b/>
                <w:szCs w:val="14"/>
              </w:rPr>
              <w:t>Other Income and Expenses</w:t>
            </w:r>
          </w:p>
        </w:tc>
        <w:tc>
          <w:tcPr>
            <w:tcW w:w="1240" w:type="dxa"/>
            <w:shd w:val="clear" w:color="auto" w:fill="auto"/>
            <w:vAlign w:val="bottom"/>
          </w:tcPr>
          <w:p w14:paraId="143F4BE5" w14:textId="77777777" w:rsidR="008B7E19" w:rsidRPr="00DA72A7" w:rsidRDefault="008B7E19" w:rsidP="008B7E19">
            <w:pPr>
              <w:pStyle w:val="08-Tabelageral"/>
              <w:rPr>
                <w:rFonts w:cs="Arial"/>
                <w:b/>
                <w:szCs w:val="14"/>
              </w:rPr>
            </w:pPr>
            <w:r>
              <w:rPr>
                <w:rFonts w:cs="Arial"/>
                <w:b/>
                <w:bCs/>
                <w:color w:val="000000"/>
                <w:szCs w:val="14"/>
              </w:rPr>
              <w:t>(18,348)</w:t>
            </w:r>
          </w:p>
        </w:tc>
        <w:tc>
          <w:tcPr>
            <w:tcW w:w="1240" w:type="dxa"/>
            <w:shd w:val="clear" w:color="auto" w:fill="auto"/>
            <w:vAlign w:val="bottom"/>
          </w:tcPr>
          <w:p w14:paraId="5B4F55A6" w14:textId="77777777" w:rsidR="008B7E19" w:rsidRPr="00DA72A7" w:rsidRDefault="008B7E19" w:rsidP="008B7E19">
            <w:pPr>
              <w:pStyle w:val="08-Tabelageral"/>
              <w:rPr>
                <w:rFonts w:cs="Arial"/>
                <w:b/>
                <w:szCs w:val="14"/>
              </w:rPr>
            </w:pPr>
            <w:r>
              <w:rPr>
                <w:rFonts w:cs="Arial"/>
                <w:b/>
                <w:bCs/>
                <w:color w:val="000000"/>
                <w:szCs w:val="14"/>
              </w:rPr>
              <w:t>(71,518)</w:t>
            </w:r>
          </w:p>
        </w:tc>
        <w:tc>
          <w:tcPr>
            <w:tcW w:w="1240" w:type="dxa"/>
            <w:shd w:val="clear" w:color="auto" w:fill="auto"/>
            <w:vAlign w:val="bottom"/>
          </w:tcPr>
          <w:p w14:paraId="0D95A9C2" w14:textId="77777777" w:rsidR="008B7E19" w:rsidRPr="00DA72A7" w:rsidRDefault="008B7E19" w:rsidP="008B7E19">
            <w:pPr>
              <w:pStyle w:val="08-Tabelageral"/>
              <w:rPr>
                <w:rFonts w:cs="Arial"/>
                <w:b/>
                <w:szCs w:val="14"/>
              </w:rPr>
            </w:pPr>
            <w:r>
              <w:rPr>
                <w:rFonts w:cs="Arial"/>
                <w:b/>
                <w:bCs/>
                <w:color w:val="000000"/>
                <w:szCs w:val="14"/>
              </w:rPr>
              <w:t>--</w:t>
            </w:r>
          </w:p>
        </w:tc>
        <w:tc>
          <w:tcPr>
            <w:tcW w:w="1241" w:type="dxa"/>
            <w:shd w:val="clear" w:color="auto" w:fill="auto"/>
            <w:vAlign w:val="bottom"/>
          </w:tcPr>
          <w:p w14:paraId="419E32E5" w14:textId="77777777" w:rsidR="008B7E19" w:rsidRPr="00DA72A7" w:rsidRDefault="008B7E19" w:rsidP="008B7E19">
            <w:pPr>
              <w:pStyle w:val="08-Tabelageral"/>
              <w:rPr>
                <w:rFonts w:cs="Arial"/>
                <w:b/>
                <w:szCs w:val="14"/>
              </w:rPr>
            </w:pPr>
            <w:r>
              <w:rPr>
                <w:rFonts w:cs="Arial"/>
                <w:b/>
                <w:bCs/>
                <w:color w:val="000000"/>
                <w:szCs w:val="14"/>
              </w:rPr>
              <w:t>(89,866)</w:t>
            </w:r>
          </w:p>
        </w:tc>
      </w:tr>
      <w:tr w:rsidR="008B7E19" w:rsidRPr="00DA72A7" w14:paraId="344970A4" w14:textId="77777777" w:rsidTr="008B7E19">
        <w:trPr>
          <w:trHeight w:val="238"/>
        </w:trPr>
        <w:tc>
          <w:tcPr>
            <w:tcW w:w="4678" w:type="dxa"/>
            <w:shd w:val="clear" w:color="auto" w:fill="auto"/>
          </w:tcPr>
          <w:p w14:paraId="19EE42DD" w14:textId="77777777" w:rsidR="008B7E19" w:rsidRPr="00DA72A7" w:rsidRDefault="008B7E19" w:rsidP="008B7E19">
            <w:pPr>
              <w:pStyle w:val="08-Tabelageral"/>
              <w:ind w:left="113"/>
              <w:jc w:val="left"/>
              <w:rPr>
                <w:rFonts w:cs="Arial"/>
                <w:bCs/>
                <w:szCs w:val="14"/>
              </w:rPr>
            </w:pPr>
            <w:r w:rsidRPr="00DA72A7">
              <w:rPr>
                <w:rFonts w:cs="Arial"/>
                <w:bCs/>
                <w:szCs w:val="14"/>
              </w:rPr>
              <w:t>Personnel expenses</w:t>
            </w:r>
          </w:p>
        </w:tc>
        <w:tc>
          <w:tcPr>
            <w:tcW w:w="1240" w:type="dxa"/>
            <w:shd w:val="clear" w:color="auto" w:fill="auto"/>
            <w:vAlign w:val="bottom"/>
          </w:tcPr>
          <w:p w14:paraId="6487E7EF" w14:textId="77777777" w:rsidR="008B7E19" w:rsidRPr="00DA72A7" w:rsidRDefault="008B7E19" w:rsidP="008B7E19">
            <w:pPr>
              <w:pStyle w:val="08-Tabelageral"/>
              <w:rPr>
                <w:rFonts w:cs="Arial"/>
                <w:bCs/>
                <w:szCs w:val="14"/>
              </w:rPr>
            </w:pPr>
            <w:r>
              <w:rPr>
                <w:rFonts w:cs="Arial"/>
                <w:color w:val="000000"/>
                <w:szCs w:val="14"/>
              </w:rPr>
              <w:t>(11,339)</w:t>
            </w:r>
          </w:p>
        </w:tc>
        <w:tc>
          <w:tcPr>
            <w:tcW w:w="1240" w:type="dxa"/>
            <w:shd w:val="clear" w:color="auto" w:fill="auto"/>
            <w:vAlign w:val="bottom"/>
          </w:tcPr>
          <w:p w14:paraId="4CD998E2" w14:textId="77777777" w:rsidR="008B7E19" w:rsidRPr="00DA72A7" w:rsidRDefault="008B7E19" w:rsidP="008B7E19">
            <w:pPr>
              <w:pStyle w:val="08-Tabelageral"/>
              <w:rPr>
                <w:rFonts w:cs="Arial"/>
                <w:bCs/>
                <w:szCs w:val="14"/>
              </w:rPr>
            </w:pPr>
            <w:r>
              <w:rPr>
                <w:rFonts w:cs="Arial"/>
                <w:color w:val="000000"/>
                <w:szCs w:val="14"/>
              </w:rPr>
              <w:t>(30,119)</w:t>
            </w:r>
          </w:p>
        </w:tc>
        <w:tc>
          <w:tcPr>
            <w:tcW w:w="1240" w:type="dxa"/>
            <w:shd w:val="clear" w:color="auto" w:fill="auto"/>
            <w:vAlign w:val="bottom"/>
          </w:tcPr>
          <w:p w14:paraId="52CB06DE" w14:textId="77777777" w:rsidR="008B7E19" w:rsidRPr="00DA72A7" w:rsidRDefault="008B7E19" w:rsidP="008B7E19">
            <w:pPr>
              <w:pStyle w:val="08-Tabelageral"/>
              <w:rPr>
                <w:rFonts w:cs="Arial"/>
                <w:bCs/>
                <w:szCs w:val="14"/>
              </w:rPr>
            </w:pPr>
            <w:r>
              <w:rPr>
                <w:rFonts w:cs="Arial"/>
                <w:color w:val="000000"/>
                <w:szCs w:val="14"/>
              </w:rPr>
              <w:t>--</w:t>
            </w:r>
          </w:p>
        </w:tc>
        <w:tc>
          <w:tcPr>
            <w:tcW w:w="1241" w:type="dxa"/>
            <w:shd w:val="clear" w:color="auto" w:fill="auto"/>
            <w:vAlign w:val="bottom"/>
          </w:tcPr>
          <w:p w14:paraId="51D35AA6" w14:textId="77777777" w:rsidR="008B7E19" w:rsidRPr="00DA72A7" w:rsidRDefault="008B7E19" w:rsidP="008B7E19">
            <w:pPr>
              <w:pStyle w:val="08-Tabelageral"/>
              <w:rPr>
                <w:rFonts w:cs="Arial"/>
                <w:bCs/>
                <w:szCs w:val="14"/>
              </w:rPr>
            </w:pPr>
            <w:r>
              <w:rPr>
                <w:rFonts w:cs="Arial"/>
                <w:color w:val="000000"/>
                <w:szCs w:val="14"/>
              </w:rPr>
              <w:t>(41,458)</w:t>
            </w:r>
          </w:p>
        </w:tc>
      </w:tr>
      <w:tr w:rsidR="008B7E19" w:rsidRPr="00DA72A7" w14:paraId="5B07FA79" w14:textId="77777777" w:rsidTr="008B7E19">
        <w:trPr>
          <w:trHeight w:val="238"/>
        </w:trPr>
        <w:tc>
          <w:tcPr>
            <w:tcW w:w="4678" w:type="dxa"/>
            <w:shd w:val="clear" w:color="auto" w:fill="auto"/>
          </w:tcPr>
          <w:p w14:paraId="0073115C" w14:textId="77777777" w:rsidR="008B7E19" w:rsidRPr="00DA72A7" w:rsidRDefault="008B7E19" w:rsidP="008B7E19">
            <w:pPr>
              <w:pStyle w:val="08-Tabelageral"/>
              <w:ind w:left="113"/>
              <w:jc w:val="left"/>
              <w:rPr>
                <w:rFonts w:cs="Arial"/>
                <w:bCs/>
                <w:szCs w:val="14"/>
              </w:rPr>
            </w:pPr>
            <w:r w:rsidRPr="00DA72A7">
              <w:rPr>
                <w:rFonts w:cs="Arial"/>
                <w:bCs/>
                <w:szCs w:val="14"/>
              </w:rPr>
              <w:t>Adminstrative expenses</w:t>
            </w:r>
          </w:p>
        </w:tc>
        <w:tc>
          <w:tcPr>
            <w:tcW w:w="1240" w:type="dxa"/>
            <w:shd w:val="clear" w:color="auto" w:fill="auto"/>
            <w:vAlign w:val="bottom"/>
          </w:tcPr>
          <w:p w14:paraId="596D985D" w14:textId="77777777" w:rsidR="008B7E19" w:rsidRPr="00DA72A7" w:rsidRDefault="008B7E19" w:rsidP="008B7E19">
            <w:pPr>
              <w:pStyle w:val="08-Tabelageral"/>
              <w:rPr>
                <w:rFonts w:cs="Arial"/>
                <w:bCs/>
                <w:szCs w:val="14"/>
              </w:rPr>
            </w:pPr>
            <w:r>
              <w:rPr>
                <w:rFonts w:cs="Arial"/>
                <w:color w:val="000000"/>
                <w:szCs w:val="14"/>
              </w:rPr>
              <w:t>(3,059)</w:t>
            </w:r>
          </w:p>
        </w:tc>
        <w:tc>
          <w:tcPr>
            <w:tcW w:w="1240" w:type="dxa"/>
            <w:shd w:val="clear" w:color="auto" w:fill="auto"/>
            <w:vAlign w:val="bottom"/>
          </w:tcPr>
          <w:p w14:paraId="5C7B0C7D" w14:textId="77777777" w:rsidR="008B7E19" w:rsidRPr="00DA72A7" w:rsidRDefault="008B7E19" w:rsidP="008B7E19">
            <w:pPr>
              <w:pStyle w:val="08-Tabelageral"/>
              <w:rPr>
                <w:rFonts w:cs="Arial"/>
                <w:bCs/>
                <w:szCs w:val="14"/>
              </w:rPr>
            </w:pPr>
            <w:r>
              <w:rPr>
                <w:rFonts w:cs="Arial"/>
                <w:color w:val="000000"/>
                <w:szCs w:val="14"/>
              </w:rPr>
              <w:t>(18,983)</w:t>
            </w:r>
          </w:p>
        </w:tc>
        <w:tc>
          <w:tcPr>
            <w:tcW w:w="1240" w:type="dxa"/>
            <w:shd w:val="clear" w:color="auto" w:fill="auto"/>
            <w:vAlign w:val="bottom"/>
          </w:tcPr>
          <w:p w14:paraId="779B0181" w14:textId="77777777" w:rsidR="008B7E19" w:rsidRPr="00DA72A7" w:rsidRDefault="008B7E19" w:rsidP="008B7E19">
            <w:pPr>
              <w:pStyle w:val="08-Tabelageral"/>
              <w:rPr>
                <w:rFonts w:cs="Arial"/>
                <w:bCs/>
                <w:szCs w:val="14"/>
              </w:rPr>
            </w:pPr>
            <w:r>
              <w:rPr>
                <w:rFonts w:cs="Arial"/>
                <w:color w:val="000000"/>
                <w:szCs w:val="14"/>
              </w:rPr>
              <w:t>--</w:t>
            </w:r>
          </w:p>
        </w:tc>
        <w:tc>
          <w:tcPr>
            <w:tcW w:w="1241" w:type="dxa"/>
            <w:shd w:val="clear" w:color="auto" w:fill="auto"/>
            <w:vAlign w:val="bottom"/>
          </w:tcPr>
          <w:p w14:paraId="1095B9DD" w14:textId="77777777" w:rsidR="008B7E19" w:rsidRPr="00DA72A7" w:rsidRDefault="008B7E19" w:rsidP="008B7E19">
            <w:pPr>
              <w:pStyle w:val="08-Tabelageral"/>
              <w:rPr>
                <w:rFonts w:cs="Arial"/>
                <w:bCs/>
                <w:szCs w:val="14"/>
              </w:rPr>
            </w:pPr>
            <w:r>
              <w:rPr>
                <w:rFonts w:cs="Arial"/>
                <w:color w:val="000000"/>
                <w:szCs w:val="14"/>
              </w:rPr>
              <w:t>(22,042)</w:t>
            </w:r>
          </w:p>
        </w:tc>
      </w:tr>
      <w:tr w:rsidR="008B7E19" w:rsidRPr="00DA72A7" w14:paraId="2320E7E8" w14:textId="77777777" w:rsidTr="008B7E19">
        <w:trPr>
          <w:trHeight w:val="238"/>
        </w:trPr>
        <w:tc>
          <w:tcPr>
            <w:tcW w:w="4678" w:type="dxa"/>
            <w:shd w:val="clear" w:color="auto" w:fill="auto"/>
          </w:tcPr>
          <w:p w14:paraId="5C20CDB8" w14:textId="77777777" w:rsidR="008B7E19" w:rsidRPr="00DA72A7" w:rsidRDefault="008B7E19" w:rsidP="008B7E19">
            <w:pPr>
              <w:pStyle w:val="08-Tabelageral"/>
              <w:ind w:left="113"/>
              <w:jc w:val="left"/>
              <w:rPr>
                <w:rFonts w:cs="Arial"/>
                <w:bCs/>
                <w:szCs w:val="14"/>
              </w:rPr>
            </w:pPr>
            <w:r w:rsidRPr="00DA72A7">
              <w:rPr>
                <w:rFonts w:cs="Arial"/>
                <w:bCs/>
                <w:szCs w:val="14"/>
              </w:rPr>
              <w:t>Tax expenses</w:t>
            </w:r>
          </w:p>
        </w:tc>
        <w:tc>
          <w:tcPr>
            <w:tcW w:w="1240" w:type="dxa"/>
            <w:shd w:val="clear" w:color="auto" w:fill="auto"/>
            <w:vAlign w:val="bottom"/>
          </w:tcPr>
          <w:p w14:paraId="7180FCE8" w14:textId="77777777" w:rsidR="008B7E19" w:rsidRPr="00DA72A7" w:rsidRDefault="008B7E19" w:rsidP="008B7E19">
            <w:pPr>
              <w:pStyle w:val="08-Tabelageral"/>
              <w:rPr>
                <w:rFonts w:cs="Arial"/>
                <w:bCs/>
                <w:szCs w:val="14"/>
              </w:rPr>
            </w:pPr>
            <w:r>
              <w:rPr>
                <w:rFonts w:cs="Arial"/>
                <w:color w:val="000000"/>
                <w:szCs w:val="14"/>
              </w:rPr>
              <w:t>(8,843)</w:t>
            </w:r>
          </w:p>
        </w:tc>
        <w:tc>
          <w:tcPr>
            <w:tcW w:w="1240" w:type="dxa"/>
            <w:shd w:val="clear" w:color="auto" w:fill="auto"/>
            <w:vAlign w:val="bottom"/>
          </w:tcPr>
          <w:p w14:paraId="7C735427" w14:textId="77777777" w:rsidR="008B7E19" w:rsidRPr="00DA72A7" w:rsidRDefault="008B7E19" w:rsidP="008B7E19">
            <w:pPr>
              <w:pStyle w:val="08-Tabelageral"/>
              <w:rPr>
                <w:rFonts w:cs="Arial"/>
                <w:bCs/>
                <w:szCs w:val="14"/>
              </w:rPr>
            </w:pPr>
            <w:r>
              <w:rPr>
                <w:rFonts w:cs="Arial"/>
                <w:color w:val="000000"/>
                <w:szCs w:val="14"/>
              </w:rPr>
              <w:t>(10,426)</w:t>
            </w:r>
          </w:p>
        </w:tc>
        <w:tc>
          <w:tcPr>
            <w:tcW w:w="1240" w:type="dxa"/>
            <w:shd w:val="clear" w:color="auto" w:fill="auto"/>
            <w:vAlign w:val="bottom"/>
          </w:tcPr>
          <w:p w14:paraId="6F705061" w14:textId="77777777" w:rsidR="008B7E19" w:rsidRPr="00DA72A7" w:rsidRDefault="008B7E19" w:rsidP="008B7E19">
            <w:pPr>
              <w:pStyle w:val="08-Tabelageral"/>
              <w:rPr>
                <w:rFonts w:cs="Arial"/>
                <w:bCs/>
                <w:szCs w:val="14"/>
              </w:rPr>
            </w:pPr>
            <w:r>
              <w:rPr>
                <w:rFonts w:cs="Arial"/>
                <w:color w:val="000000"/>
                <w:szCs w:val="14"/>
              </w:rPr>
              <w:t>--</w:t>
            </w:r>
          </w:p>
        </w:tc>
        <w:tc>
          <w:tcPr>
            <w:tcW w:w="1241" w:type="dxa"/>
            <w:shd w:val="clear" w:color="auto" w:fill="auto"/>
            <w:vAlign w:val="bottom"/>
          </w:tcPr>
          <w:p w14:paraId="42C88EF3" w14:textId="77777777" w:rsidR="008B7E19" w:rsidRPr="00DA72A7" w:rsidRDefault="008B7E19" w:rsidP="008B7E19">
            <w:pPr>
              <w:pStyle w:val="08-Tabelageral"/>
              <w:rPr>
                <w:rFonts w:cs="Arial"/>
                <w:bCs/>
                <w:szCs w:val="14"/>
              </w:rPr>
            </w:pPr>
            <w:r>
              <w:rPr>
                <w:rFonts w:cs="Arial"/>
                <w:color w:val="000000"/>
                <w:szCs w:val="14"/>
              </w:rPr>
              <w:t>(19,269)</w:t>
            </w:r>
          </w:p>
        </w:tc>
      </w:tr>
      <w:tr w:rsidR="008B7E19" w:rsidRPr="00DA72A7" w14:paraId="7BC0D1BE" w14:textId="77777777" w:rsidTr="008B7E19">
        <w:trPr>
          <w:trHeight w:val="238"/>
        </w:trPr>
        <w:tc>
          <w:tcPr>
            <w:tcW w:w="4678" w:type="dxa"/>
            <w:shd w:val="clear" w:color="auto" w:fill="auto"/>
          </w:tcPr>
          <w:p w14:paraId="406D6AC6" w14:textId="77777777" w:rsidR="008B7E19" w:rsidRPr="00DA72A7" w:rsidRDefault="008B7E19" w:rsidP="008B7E19">
            <w:pPr>
              <w:pStyle w:val="08-Tabelageral"/>
              <w:ind w:left="113"/>
              <w:jc w:val="left"/>
              <w:rPr>
                <w:rFonts w:cs="Arial"/>
                <w:bCs/>
                <w:szCs w:val="14"/>
              </w:rPr>
            </w:pPr>
            <w:r w:rsidRPr="00DA72A7">
              <w:rPr>
                <w:rFonts w:cs="Arial"/>
                <w:bCs/>
                <w:szCs w:val="14"/>
              </w:rPr>
              <w:t>Other</w:t>
            </w:r>
          </w:p>
        </w:tc>
        <w:tc>
          <w:tcPr>
            <w:tcW w:w="1240" w:type="dxa"/>
            <w:shd w:val="clear" w:color="auto" w:fill="auto"/>
            <w:vAlign w:val="bottom"/>
          </w:tcPr>
          <w:p w14:paraId="40A61050" w14:textId="77777777" w:rsidR="008B7E19" w:rsidRPr="00DA72A7" w:rsidRDefault="008B7E19" w:rsidP="008B7E19">
            <w:pPr>
              <w:pStyle w:val="08-Tabelageral"/>
              <w:rPr>
                <w:rFonts w:cs="Arial"/>
                <w:bCs/>
                <w:szCs w:val="14"/>
              </w:rPr>
            </w:pPr>
            <w:r>
              <w:rPr>
                <w:rFonts w:cs="Arial"/>
                <w:color w:val="000000"/>
                <w:szCs w:val="14"/>
              </w:rPr>
              <w:t>4,894</w:t>
            </w:r>
          </w:p>
        </w:tc>
        <w:tc>
          <w:tcPr>
            <w:tcW w:w="1240" w:type="dxa"/>
            <w:shd w:val="clear" w:color="auto" w:fill="auto"/>
            <w:vAlign w:val="bottom"/>
          </w:tcPr>
          <w:p w14:paraId="3DCC937F" w14:textId="77777777" w:rsidR="008B7E19" w:rsidRPr="00DA72A7" w:rsidRDefault="008B7E19" w:rsidP="008B7E19">
            <w:pPr>
              <w:pStyle w:val="08-Tabelageral"/>
              <w:rPr>
                <w:rFonts w:cs="Arial"/>
                <w:bCs/>
                <w:szCs w:val="14"/>
              </w:rPr>
            </w:pPr>
            <w:r>
              <w:rPr>
                <w:rFonts w:cs="Arial"/>
                <w:color w:val="000000"/>
                <w:szCs w:val="14"/>
              </w:rPr>
              <w:t>(11,991)</w:t>
            </w:r>
          </w:p>
        </w:tc>
        <w:tc>
          <w:tcPr>
            <w:tcW w:w="1240" w:type="dxa"/>
            <w:shd w:val="clear" w:color="auto" w:fill="auto"/>
            <w:vAlign w:val="bottom"/>
          </w:tcPr>
          <w:p w14:paraId="6C433F15" w14:textId="77777777" w:rsidR="008B7E19" w:rsidRPr="00DA72A7" w:rsidRDefault="008B7E19" w:rsidP="008B7E19">
            <w:pPr>
              <w:pStyle w:val="08-Tabelageral"/>
              <w:rPr>
                <w:rFonts w:cs="Arial"/>
                <w:bCs/>
                <w:szCs w:val="14"/>
              </w:rPr>
            </w:pPr>
            <w:r>
              <w:rPr>
                <w:rFonts w:cs="Arial"/>
                <w:color w:val="000000"/>
                <w:szCs w:val="14"/>
              </w:rPr>
              <w:t>--</w:t>
            </w:r>
          </w:p>
        </w:tc>
        <w:tc>
          <w:tcPr>
            <w:tcW w:w="1241" w:type="dxa"/>
            <w:shd w:val="clear" w:color="auto" w:fill="auto"/>
            <w:vAlign w:val="bottom"/>
          </w:tcPr>
          <w:p w14:paraId="6AD80190" w14:textId="77777777" w:rsidR="008B7E19" w:rsidRPr="00DA72A7" w:rsidRDefault="008B7E19" w:rsidP="008B7E19">
            <w:pPr>
              <w:pStyle w:val="08-Tabelageral"/>
              <w:rPr>
                <w:rFonts w:cs="Arial"/>
                <w:bCs/>
                <w:szCs w:val="14"/>
              </w:rPr>
            </w:pPr>
            <w:r>
              <w:rPr>
                <w:rFonts w:cs="Arial"/>
                <w:color w:val="000000"/>
                <w:szCs w:val="14"/>
              </w:rPr>
              <w:t>(7,097)</w:t>
            </w:r>
          </w:p>
        </w:tc>
      </w:tr>
      <w:tr w:rsidR="008B7E19" w:rsidRPr="00DA72A7" w14:paraId="2422B6ED" w14:textId="77777777" w:rsidTr="008B7E19">
        <w:trPr>
          <w:trHeight w:val="238"/>
        </w:trPr>
        <w:tc>
          <w:tcPr>
            <w:tcW w:w="4678" w:type="dxa"/>
            <w:shd w:val="clear" w:color="auto" w:fill="auto"/>
          </w:tcPr>
          <w:p w14:paraId="2F3B5D89" w14:textId="77777777" w:rsidR="008B7E19" w:rsidRPr="00DA72A7" w:rsidRDefault="008B7E19" w:rsidP="008B7E19">
            <w:pPr>
              <w:pStyle w:val="08-Tabelageral"/>
              <w:jc w:val="left"/>
              <w:rPr>
                <w:rFonts w:cs="Arial"/>
                <w:b/>
                <w:szCs w:val="14"/>
                <w:lang w:val="en-US"/>
              </w:rPr>
            </w:pPr>
            <w:r w:rsidRPr="00DA72A7">
              <w:rPr>
                <w:rFonts w:cs="Arial"/>
                <w:b/>
                <w:szCs w:val="14"/>
                <w:lang w:val="en-US"/>
              </w:rPr>
              <w:t>Income Before Financial Revenue and Expenses</w:t>
            </w:r>
          </w:p>
        </w:tc>
        <w:tc>
          <w:tcPr>
            <w:tcW w:w="1240" w:type="dxa"/>
            <w:shd w:val="clear" w:color="auto" w:fill="auto"/>
            <w:vAlign w:val="bottom"/>
          </w:tcPr>
          <w:p w14:paraId="13801FD2" w14:textId="77777777" w:rsidR="008B7E19" w:rsidRPr="00DA72A7" w:rsidRDefault="008B7E19" w:rsidP="008B7E19">
            <w:pPr>
              <w:pStyle w:val="08-Tabelageral"/>
              <w:rPr>
                <w:rFonts w:cs="Arial"/>
                <w:b/>
                <w:szCs w:val="14"/>
              </w:rPr>
            </w:pPr>
            <w:r>
              <w:rPr>
                <w:rFonts w:cs="Arial"/>
                <w:b/>
                <w:bCs/>
                <w:color w:val="000000"/>
                <w:szCs w:val="14"/>
              </w:rPr>
              <w:t>5,989,302</w:t>
            </w:r>
          </w:p>
        </w:tc>
        <w:tc>
          <w:tcPr>
            <w:tcW w:w="1240" w:type="dxa"/>
            <w:shd w:val="clear" w:color="auto" w:fill="auto"/>
            <w:vAlign w:val="bottom"/>
          </w:tcPr>
          <w:p w14:paraId="355186F8" w14:textId="77777777" w:rsidR="008B7E19" w:rsidRPr="00DA72A7" w:rsidRDefault="008B7E19" w:rsidP="008B7E19">
            <w:pPr>
              <w:pStyle w:val="08-Tabelageral"/>
              <w:rPr>
                <w:rFonts w:cs="Arial"/>
                <w:b/>
                <w:szCs w:val="14"/>
              </w:rPr>
            </w:pPr>
            <w:r>
              <w:rPr>
                <w:rFonts w:cs="Arial"/>
                <w:b/>
                <w:bCs/>
                <w:color w:val="000000"/>
                <w:szCs w:val="14"/>
              </w:rPr>
              <w:t>1,952,439</w:t>
            </w:r>
          </w:p>
        </w:tc>
        <w:tc>
          <w:tcPr>
            <w:tcW w:w="1240" w:type="dxa"/>
            <w:shd w:val="clear" w:color="auto" w:fill="auto"/>
            <w:vAlign w:val="bottom"/>
          </w:tcPr>
          <w:p w14:paraId="13B39D1B" w14:textId="77777777" w:rsidR="008B7E19" w:rsidRPr="00DA72A7" w:rsidRDefault="008B7E19" w:rsidP="008B7E19">
            <w:pPr>
              <w:pStyle w:val="08-Tabelageral"/>
              <w:rPr>
                <w:rFonts w:cs="Arial"/>
                <w:b/>
                <w:szCs w:val="14"/>
              </w:rPr>
            </w:pPr>
            <w:r>
              <w:rPr>
                <w:rFonts w:cs="Arial"/>
                <w:b/>
                <w:bCs/>
                <w:color w:val="000000"/>
                <w:szCs w:val="14"/>
              </w:rPr>
              <w:t>(3,722,989)</w:t>
            </w:r>
          </w:p>
        </w:tc>
        <w:tc>
          <w:tcPr>
            <w:tcW w:w="1241" w:type="dxa"/>
            <w:shd w:val="clear" w:color="auto" w:fill="auto"/>
            <w:vAlign w:val="bottom"/>
          </w:tcPr>
          <w:p w14:paraId="6C9ED372" w14:textId="77777777" w:rsidR="008B7E19" w:rsidRPr="00DA72A7" w:rsidRDefault="008B7E19" w:rsidP="008B7E19">
            <w:pPr>
              <w:pStyle w:val="08-Tabelageral"/>
              <w:rPr>
                <w:rFonts w:cs="Arial"/>
                <w:b/>
                <w:szCs w:val="14"/>
              </w:rPr>
            </w:pPr>
            <w:r>
              <w:rPr>
                <w:rFonts w:cs="Arial"/>
                <w:b/>
                <w:bCs/>
                <w:color w:val="000000"/>
                <w:szCs w:val="14"/>
              </w:rPr>
              <w:t>4,218,752</w:t>
            </w:r>
          </w:p>
        </w:tc>
      </w:tr>
      <w:tr w:rsidR="008B7E19" w:rsidRPr="00DA72A7" w14:paraId="7F11825E" w14:textId="77777777" w:rsidTr="008B7E19">
        <w:trPr>
          <w:trHeight w:val="238"/>
        </w:trPr>
        <w:tc>
          <w:tcPr>
            <w:tcW w:w="4678" w:type="dxa"/>
            <w:shd w:val="clear" w:color="auto" w:fill="auto"/>
          </w:tcPr>
          <w:p w14:paraId="62D054F9" w14:textId="77777777" w:rsidR="008B7E19" w:rsidRPr="00DA72A7" w:rsidRDefault="008B7E19" w:rsidP="008B7E19">
            <w:pPr>
              <w:pStyle w:val="08-Tabelageral"/>
              <w:jc w:val="left"/>
              <w:rPr>
                <w:rFonts w:cs="Arial"/>
                <w:b/>
                <w:szCs w:val="14"/>
              </w:rPr>
            </w:pPr>
            <w:r w:rsidRPr="00DA72A7">
              <w:rPr>
                <w:rFonts w:cs="Arial"/>
                <w:b/>
                <w:szCs w:val="14"/>
              </w:rPr>
              <w:t>Financial Result</w:t>
            </w:r>
          </w:p>
        </w:tc>
        <w:tc>
          <w:tcPr>
            <w:tcW w:w="1240" w:type="dxa"/>
            <w:shd w:val="clear" w:color="auto" w:fill="auto"/>
            <w:vAlign w:val="bottom"/>
          </w:tcPr>
          <w:p w14:paraId="6D58BB1B" w14:textId="77777777" w:rsidR="008B7E19" w:rsidRPr="00DA72A7" w:rsidRDefault="008B7E19" w:rsidP="008B7E19">
            <w:pPr>
              <w:pStyle w:val="08-Tabelageral"/>
              <w:rPr>
                <w:rFonts w:cs="Arial"/>
                <w:b/>
                <w:szCs w:val="14"/>
              </w:rPr>
            </w:pPr>
            <w:r>
              <w:rPr>
                <w:rFonts w:cs="Arial"/>
                <w:b/>
                <w:bCs/>
                <w:color w:val="000000"/>
                <w:szCs w:val="14"/>
              </w:rPr>
              <w:t>56,799</w:t>
            </w:r>
          </w:p>
        </w:tc>
        <w:tc>
          <w:tcPr>
            <w:tcW w:w="1240" w:type="dxa"/>
            <w:shd w:val="clear" w:color="auto" w:fill="auto"/>
            <w:vAlign w:val="bottom"/>
          </w:tcPr>
          <w:p w14:paraId="000EF52C" w14:textId="77777777" w:rsidR="008B7E19" w:rsidRPr="00DA72A7" w:rsidRDefault="008B7E19" w:rsidP="008B7E19">
            <w:pPr>
              <w:pStyle w:val="08-Tabelageral"/>
              <w:rPr>
                <w:rFonts w:cs="Arial"/>
                <w:b/>
                <w:szCs w:val="14"/>
              </w:rPr>
            </w:pPr>
            <w:r>
              <w:rPr>
                <w:rFonts w:cs="Arial"/>
                <w:b/>
                <w:bCs/>
                <w:color w:val="000000"/>
                <w:szCs w:val="14"/>
              </w:rPr>
              <w:t>189,703</w:t>
            </w:r>
          </w:p>
        </w:tc>
        <w:tc>
          <w:tcPr>
            <w:tcW w:w="1240" w:type="dxa"/>
            <w:shd w:val="clear" w:color="auto" w:fill="auto"/>
            <w:vAlign w:val="bottom"/>
          </w:tcPr>
          <w:p w14:paraId="58E03DEC" w14:textId="77777777" w:rsidR="008B7E19" w:rsidRPr="00DA72A7" w:rsidRDefault="008B7E19" w:rsidP="008B7E19">
            <w:pPr>
              <w:pStyle w:val="08-Tabelageral"/>
              <w:rPr>
                <w:rFonts w:cs="Arial"/>
                <w:b/>
                <w:szCs w:val="14"/>
              </w:rPr>
            </w:pPr>
            <w:r>
              <w:rPr>
                <w:rFonts w:cs="Arial"/>
                <w:b/>
                <w:bCs/>
                <w:color w:val="000000"/>
                <w:szCs w:val="14"/>
              </w:rPr>
              <w:t>--</w:t>
            </w:r>
          </w:p>
        </w:tc>
        <w:tc>
          <w:tcPr>
            <w:tcW w:w="1241" w:type="dxa"/>
            <w:shd w:val="clear" w:color="auto" w:fill="auto"/>
            <w:vAlign w:val="bottom"/>
          </w:tcPr>
          <w:p w14:paraId="2DB475A2" w14:textId="77777777" w:rsidR="008B7E19" w:rsidRPr="00DA72A7" w:rsidRDefault="008B7E19" w:rsidP="008B7E19">
            <w:pPr>
              <w:pStyle w:val="08-Tabelageral"/>
              <w:rPr>
                <w:rFonts w:cs="Arial"/>
                <w:b/>
                <w:szCs w:val="14"/>
              </w:rPr>
            </w:pPr>
            <w:r>
              <w:rPr>
                <w:rFonts w:cs="Arial"/>
                <w:b/>
                <w:bCs/>
                <w:color w:val="000000"/>
                <w:szCs w:val="14"/>
              </w:rPr>
              <w:t>246,502</w:t>
            </w:r>
          </w:p>
        </w:tc>
      </w:tr>
      <w:tr w:rsidR="008B7E19" w:rsidRPr="00DA72A7" w14:paraId="7CFEE1F7" w14:textId="77777777" w:rsidTr="008B7E19">
        <w:trPr>
          <w:trHeight w:val="238"/>
        </w:trPr>
        <w:tc>
          <w:tcPr>
            <w:tcW w:w="4678" w:type="dxa"/>
            <w:shd w:val="clear" w:color="auto" w:fill="auto"/>
          </w:tcPr>
          <w:p w14:paraId="5DC34B08" w14:textId="77777777" w:rsidR="008B7E19" w:rsidRPr="00DA72A7" w:rsidRDefault="008B7E19" w:rsidP="008B7E19">
            <w:pPr>
              <w:pStyle w:val="08-Tabelageral"/>
              <w:ind w:left="113"/>
              <w:jc w:val="left"/>
              <w:rPr>
                <w:rFonts w:cs="Arial"/>
                <w:bCs/>
                <w:szCs w:val="14"/>
              </w:rPr>
            </w:pPr>
            <w:r w:rsidRPr="00DA72A7">
              <w:rPr>
                <w:rFonts w:cs="Arial"/>
                <w:bCs/>
                <w:szCs w:val="14"/>
              </w:rPr>
              <w:t>Financial revenue</w:t>
            </w:r>
          </w:p>
        </w:tc>
        <w:tc>
          <w:tcPr>
            <w:tcW w:w="1240" w:type="dxa"/>
            <w:shd w:val="clear" w:color="auto" w:fill="auto"/>
            <w:vAlign w:val="bottom"/>
          </w:tcPr>
          <w:p w14:paraId="2822478D" w14:textId="77777777" w:rsidR="008B7E19" w:rsidRPr="00DA72A7" w:rsidRDefault="008B7E19" w:rsidP="008B7E19">
            <w:pPr>
              <w:pStyle w:val="08-Tabelageral"/>
              <w:rPr>
                <w:rFonts w:cs="Arial"/>
                <w:bCs/>
                <w:szCs w:val="14"/>
              </w:rPr>
            </w:pPr>
            <w:r>
              <w:rPr>
                <w:rFonts w:cs="Arial"/>
                <w:color w:val="000000"/>
                <w:szCs w:val="14"/>
              </w:rPr>
              <w:t>182,835</w:t>
            </w:r>
          </w:p>
        </w:tc>
        <w:tc>
          <w:tcPr>
            <w:tcW w:w="1240" w:type="dxa"/>
            <w:shd w:val="clear" w:color="auto" w:fill="auto"/>
            <w:vAlign w:val="bottom"/>
          </w:tcPr>
          <w:p w14:paraId="461FB74D" w14:textId="77777777" w:rsidR="008B7E19" w:rsidRPr="00DA72A7" w:rsidRDefault="008B7E19" w:rsidP="008B7E19">
            <w:pPr>
              <w:pStyle w:val="08-Tabelageral"/>
              <w:rPr>
                <w:rFonts w:cs="Arial"/>
                <w:bCs/>
                <w:szCs w:val="14"/>
              </w:rPr>
            </w:pPr>
            <w:r>
              <w:rPr>
                <w:rFonts w:cs="Arial"/>
                <w:color w:val="000000"/>
                <w:szCs w:val="14"/>
              </w:rPr>
              <w:t>221,878</w:t>
            </w:r>
          </w:p>
        </w:tc>
        <w:tc>
          <w:tcPr>
            <w:tcW w:w="1240" w:type="dxa"/>
            <w:shd w:val="clear" w:color="auto" w:fill="auto"/>
            <w:vAlign w:val="bottom"/>
          </w:tcPr>
          <w:p w14:paraId="49C7DEF6" w14:textId="77777777" w:rsidR="008B7E19" w:rsidRPr="00DA72A7" w:rsidRDefault="008B7E19" w:rsidP="008B7E19">
            <w:pPr>
              <w:pStyle w:val="08-Tabelageral"/>
              <w:rPr>
                <w:rFonts w:cs="Arial"/>
                <w:bCs/>
                <w:szCs w:val="14"/>
              </w:rPr>
            </w:pPr>
            <w:r>
              <w:rPr>
                <w:rFonts w:cs="Arial"/>
                <w:color w:val="000000"/>
                <w:szCs w:val="14"/>
              </w:rPr>
              <w:t>(77,483)</w:t>
            </w:r>
          </w:p>
        </w:tc>
        <w:tc>
          <w:tcPr>
            <w:tcW w:w="1241" w:type="dxa"/>
            <w:shd w:val="clear" w:color="auto" w:fill="auto"/>
            <w:vAlign w:val="bottom"/>
          </w:tcPr>
          <w:p w14:paraId="13C162FB" w14:textId="77777777" w:rsidR="008B7E19" w:rsidRPr="00DA72A7" w:rsidRDefault="008B7E19" w:rsidP="008B7E19">
            <w:pPr>
              <w:pStyle w:val="08-Tabelageral"/>
              <w:rPr>
                <w:rFonts w:cs="Arial"/>
                <w:bCs/>
                <w:szCs w:val="14"/>
              </w:rPr>
            </w:pPr>
            <w:r>
              <w:rPr>
                <w:rFonts w:cs="Arial"/>
                <w:color w:val="000000"/>
                <w:szCs w:val="14"/>
              </w:rPr>
              <w:t>327,230</w:t>
            </w:r>
          </w:p>
        </w:tc>
      </w:tr>
      <w:tr w:rsidR="008B7E19" w:rsidRPr="00DA72A7" w14:paraId="5D08DF92" w14:textId="77777777" w:rsidTr="008B7E19">
        <w:trPr>
          <w:trHeight w:val="238"/>
        </w:trPr>
        <w:tc>
          <w:tcPr>
            <w:tcW w:w="4678" w:type="dxa"/>
            <w:shd w:val="clear" w:color="auto" w:fill="auto"/>
          </w:tcPr>
          <w:p w14:paraId="592FB611" w14:textId="77777777" w:rsidR="008B7E19" w:rsidRPr="00DA72A7" w:rsidRDefault="008B7E19" w:rsidP="008B7E19">
            <w:pPr>
              <w:pStyle w:val="08-Tabelageral"/>
              <w:ind w:left="113"/>
              <w:jc w:val="left"/>
              <w:rPr>
                <w:rFonts w:cs="Arial"/>
                <w:bCs/>
                <w:szCs w:val="14"/>
              </w:rPr>
            </w:pPr>
            <w:r w:rsidRPr="00DA72A7">
              <w:rPr>
                <w:rFonts w:cs="Arial"/>
                <w:bCs/>
                <w:szCs w:val="14"/>
              </w:rPr>
              <w:t>Financial expenses</w:t>
            </w:r>
          </w:p>
        </w:tc>
        <w:tc>
          <w:tcPr>
            <w:tcW w:w="1240" w:type="dxa"/>
            <w:shd w:val="clear" w:color="auto" w:fill="auto"/>
            <w:vAlign w:val="bottom"/>
          </w:tcPr>
          <w:p w14:paraId="16689567" w14:textId="77777777" w:rsidR="008B7E19" w:rsidRPr="00DA72A7" w:rsidRDefault="008B7E19" w:rsidP="008B7E19">
            <w:pPr>
              <w:pStyle w:val="08-Tabelageral"/>
              <w:rPr>
                <w:rFonts w:cs="Arial"/>
                <w:bCs/>
                <w:szCs w:val="14"/>
              </w:rPr>
            </w:pPr>
            <w:r>
              <w:rPr>
                <w:rFonts w:cs="Arial"/>
                <w:color w:val="000000"/>
                <w:szCs w:val="14"/>
              </w:rPr>
              <w:t>(126,036)</w:t>
            </w:r>
          </w:p>
        </w:tc>
        <w:tc>
          <w:tcPr>
            <w:tcW w:w="1240" w:type="dxa"/>
            <w:shd w:val="clear" w:color="auto" w:fill="auto"/>
            <w:vAlign w:val="bottom"/>
          </w:tcPr>
          <w:p w14:paraId="4538411F" w14:textId="77777777" w:rsidR="008B7E19" w:rsidRPr="00DA72A7" w:rsidRDefault="008B7E19" w:rsidP="008B7E19">
            <w:pPr>
              <w:pStyle w:val="08-Tabelageral"/>
              <w:rPr>
                <w:rFonts w:cs="Arial"/>
                <w:bCs/>
                <w:szCs w:val="14"/>
              </w:rPr>
            </w:pPr>
            <w:r>
              <w:rPr>
                <w:rFonts w:cs="Arial"/>
                <w:color w:val="000000"/>
                <w:szCs w:val="14"/>
              </w:rPr>
              <w:t>(32,175)</w:t>
            </w:r>
          </w:p>
        </w:tc>
        <w:tc>
          <w:tcPr>
            <w:tcW w:w="1240" w:type="dxa"/>
            <w:shd w:val="clear" w:color="auto" w:fill="auto"/>
            <w:vAlign w:val="bottom"/>
          </w:tcPr>
          <w:p w14:paraId="1A271EA7" w14:textId="77777777" w:rsidR="008B7E19" w:rsidRPr="00DA72A7" w:rsidRDefault="008B7E19" w:rsidP="008B7E19">
            <w:pPr>
              <w:pStyle w:val="08-Tabelageral"/>
              <w:rPr>
                <w:rFonts w:cs="Arial"/>
                <w:bCs/>
                <w:szCs w:val="14"/>
              </w:rPr>
            </w:pPr>
            <w:r>
              <w:rPr>
                <w:rFonts w:cs="Arial"/>
                <w:color w:val="000000"/>
                <w:szCs w:val="14"/>
              </w:rPr>
              <w:t>77,483</w:t>
            </w:r>
          </w:p>
        </w:tc>
        <w:tc>
          <w:tcPr>
            <w:tcW w:w="1241" w:type="dxa"/>
            <w:shd w:val="clear" w:color="auto" w:fill="auto"/>
            <w:vAlign w:val="bottom"/>
          </w:tcPr>
          <w:p w14:paraId="69CF9EB8" w14:textId="77777777" w:rsidR="008B7E19" w:rsidRPr="00DA72A7" w:rsidRDefault="008B7E19" w:rsidP="008B7E19">
            <w:pPr>
              <w:pStyle w:val="08-Tabelageral"/>
              <w:rPr>
                <w:rFonts w:cs="Arial"/>
                <w:bCs/>
                <w:szCs w:val="14"/>
              </w:rPr>
            </w:pPr>
            <w:r>
              <w:rPr>
                <w:rFonts w:cs="Arial"/>
                <w:color w:val="000000"/>
                <w:szCs w:val="14"/>
              </w:rPr>
              <w:t>(80,728)</w:t>
            </w:r>
          </w:p>
        </w:tc>
      </w:tr>
      <w:tr w:rsidR="008B7E19" w:rsidRPr="00DA72A7" w14:paraId="07B9E5E8" w14:textId="77777777" w:rsidTr="008B7E19">
        <w:trPr>
          <w:trHeight w:val="238"/>
        </w:trPr>
        <w:tc>
          <w:tcPr>
            <w:tcW w:w="4678" w:type="dxa"/>
            <w:shd w:val="clear" w:color="auto" w:fill="auto"/>
          </w:tcPr>
          <w:p w14:paraId="3875BF01" w14:textId="77777777" w:rsidR="008B7E19" w:rsidRPr="00DA72A7" w:rsidRDefault="008B7E19" w:rsidP="008B7E19">
            <w:pPr>
              <w:pStyle w:val="08-Tabelageral"/>
              <w:jc w:val="left"/>
              <w:rPr>
                <w:rFonts w:cs="Arial"/>
                <w:b/>
                <w:szCs w:val="14"/>
                <w:lang w:val="en-US"/>
              </w:rPr>
            </w:pPr>
            <w:r w:rsidRPr="00DA72A7">
              <w:rPr>
                <w:rFonts w:cs="Arial"/>
                <w:b/>
                <w:szCs w:val="14"/>
                <w:lang w:val="en-US"/>
              </w:rPr>
              <w:t>Income Before Taxes and Equities</w:t>
            </w:r>
          </w:p>
        </w:tc>
        <w:tc>
          <w:tcPr>
            <w:tcW w:w="1240" w:type="dxa"/>
            <w:shd w:val="clear" w:color="auto" w:fill="auto"/>
            <w:vAlign w:val="bottom"/>
          </w:tcPr>
          <w:p w14:paraId="182D5079" w14:textId="77777777" w:rsidR="008B7E19" w:rsidRPr="00DA72A7" w:rsidRDefault="008B7E19" w:rsidP="008B7E19">
            <w:pPr>
              <w:pStyle w:val="08-Tabelageral"/>
              <w:rPr>
                <w:rFonts w:cs="Arial"/>
                <w:b/>
                <w:szCs w:val="14"/>
              </w:rPr>
            </w:pPr>
            <w:r>
              <w:rPr>
                <w:rFonts w:cs="Arial"/>
                <w:b/>
                <w:bCs/>
                <w:color w:val="000000"/>
                <w:szCs w:val="14"/>
              </w:rPr>
              <w:t>6,046,101</w:t>
            </w:r>
          </w:p>
        </w:tc>
        <w:tc>
          <w:tcPr>
            <w:tcW w:w="1240" w:type="dxa"/>
            <w:shd w:val="clear" w:color="auto" w:fill="auto"/>
            <w:vAlign w:val="bottom"/>
          </w:tcPr>
          <w:p w14:paraId="1D74F3E5" w14:textId="77777777" w:rsidR="008B7E19" w:rsidRPr="00DA72A7" w:rsidRDefault="008B7E19" w:rsidP="008B7E19">
            <w:pPr>
              <w:pStyle w:val="08-Tabelageral"/>
              <w:rPr>
                <w:rFonts w:cs="Arial"/>
                <w:b/>
                <w:szCs w:val="14"/>
              </w:rPr>
            </w:pPr>
            <w:r>
              <w:rPr>
                <w:rFonts w:cs="Arial"/>
                <w:b/>
                <w:bCs/>
                <w:color w:val="000000"/>
                <w:szCs w:val="14"/>
              </w:rPr>
              <w:t>2,142,142</w:t>
            </w:r>
          </w:p>
        </w:tc>
        <w:tc>
          <w:tcPr>
            <w:tcW w:w="1240" w:type="dxa"/>
            <w:shd w:val="clear" w:color="auto" w:fill="auto"/>
            <w:vAlign w:val="bottom"/>
          </w:tcPr>
          <w:p w14:paraId="2ABD6C0A" w14:textId="77777777" w:rsidR="008B7E19" w:rsidRPr="00DA72A7" w:rsidRDefault="008B7E19" w:rsidP="008B7E19">
            <w:pPr>
              <w:pStyle w:val="08-Tabelageral"/>
              <w:rPr>
                <w:rFonts w:cs="Arial"/>
                <w:b/>
                <w:szCs w:val="14"/>
              </w:rPr>
            </w:pPr>
            <w:r>
              <w:rPr>
                <w:rFonts w:cs="Arial"/>
                <w:b/>
                <w:bCs/>
                <w:color w:val="000000"/>
                <w:szCs w:val="14"/>
              </w:rPr>
              <w:t>(3,722,989)</w:t>
            </w:r>
          </w:p>
        </w:tc>
        <w:tc>
          <w:tcPr>
            <w:tcW w:w="1241" w:type="dxa"/>
            <w:shd w:val="clear" w:color="auto" w:fill="auto"/>
            <w:vAlign w:val="bottom"/>
          </w:tcPr>
          <w:p w14:paraId="3FE678ED" w14:textId="77777777" w:rsidR="008B7E19" w:rsidRPr="00DA72A7" w:rsidRDefault="008B7E19" w:rsidP="008B7E19">
            <w:pPr>
              <w:pStyle w:val="08-Tabelageral"/>
              <w:rPr>
                <w:rFonts w:cs="Arial"/>
                <w:b/>
                <w:szCs w:val="14"/>
              </w:rPr>
            </w:pPr>
            <w:r>
              <w:rPr>
                <w:rFonts w:cs="Arial"/>
                <w:b/>
                <w:bCs/>
                <w:color w:val="000000"/>
                <w:szCs w:val="14"/>
              </w:rPr>
              <w:t>4,465,254</w:t>
            </w:r>
          </w:p>
        </w:tc>
      </w:tr>
      <w:tr w:rsidR="008B7E19" w:rsidRPr="00DA72A7" w14:paraId="65976823" w14:textId="77777777" w:rsidTr="008B7E19">
        <w:trPr>
          <w:trHeight w:val="238"/>
        </w:trPr>
        <w:tc>
          <w:tcPr>
            <w:tcW w:w="4678" w:type="dxa"/>
            <w:shd w:val="clear" w:color="auto" w:fill="auto"/>
          </w:tcPr>
          <w:p w14:paraId="01B5A58A" w14:textId="77777777" w:rsidR="008B7E19" w:rsidRPr="00647C8D" w:rsidRDefault="008B7E19" w:rsidP="008B7E19">
            <w:pPr>
              <w:pStyle w:val="08-Tabelageral"/>
              <w:ind w:left="113"/>
              <w:jc w:val="left"/>
              <w:rPr>
                <w:rFonts w:cs="Arial"/>
                <w:bCs/>
                <w:szCs w:val="14"/>
                <w:lang w:val="en-US"/>
              </w:rPr>
            </w:pPr>
            <w:r w:rsidRPr="00647C8D">
              <w:rPr>
                <w:rFonts w:cs="Arial"/>
                <w:bCs/>
                <w:szCs w:val="14"/>
                <w:lang w:val="en-US"/>
              </w:rPr>
              <w:t>Income Tax and Social Contribution</w:t>
            </w:r>
          </w:p>
        </w:tc>
        <w:tc>
          <w:tcPr>
            <w:tcW w:w="1240" w:type="dxa"/>
            <w:shd w:val="clear" w:color="auto" w:fill="auto"/>
            <w:vAlign w:val="bottom"/>
          </w:tcPr>
          <w:p w14:paraId="309C51B6" w14:textId="77777777" w:rsidR="008B7E19" w:rsidRPr="00BE238B" w:rsidRDefault="008B7E19" w:rsidP="008B7E19">
            <w:pPr>
              <w:pStyle w:val="08-Tabelageral"/>
              <w:ind w:left="113"/>
              <w:rPr>
                <w:rFonts w:cs="Arial"/>
                <w:bCs/>
                <w:szCs w:val="14"/>
              </w:rPr>
            </w:pPr>
            <w:r>
              <w:rPr>
                <w:rFonts w:cs="Arial"/>
                <w:color w:val="000000"/>
                <w:szCs w:val="14"/>
              </w:rPr>
              <w:t>(12,487)</w:t>
            </w:r>
          </w:p>
        </w:tc>
        <w:tc>
          <w:tcPr>
            <w:tcW w:w="1240" w:type="dxa"/>
            <w:shd w:val="clear" w:color="auto" w:fill="auto"/>
            <w:vAlign w:val="bottom"/>
          </w:tcPr>
          <w:p w14:paraId="77F77DE5" w14:textId="77777777" w:rsidR="008B7E19" w:rsidRPr="00BE238B" w:rsidRDefault="008B7E19" w:rsidP="008B7E19">
            <w:pPr>
              <w:pStyle w:val="08-Tabelageral"/>
              <w:ind w:left="113"/>
              <w:rPr>
                <w:rFonts w:cs="Arial"/>
                <w:bCs/>
                <w:szCs w:val="14"/>
              </w:rPr>
            </w:pPr>
            <w:r>
              <w:rPr>
                <w:rFonts w:cs="Arial"/>
                <w:color w:val="000000"/>
                <w:szCs w:val="14"/>
              </w:rPr>
              <w:t>(727,637)</w:t>
            </w:r>
          </w:p>
        </w:tc>
        <w:tc>
          <w:tcPr>
            <w:tcW w:w="1240" w:type="dxa"/>
            <w:shd w:val="clear" w:color="auto" w:fill="auto"/>
            <w:vAlign w:val="bottom"/>
          </w:tcPr>
          <w:p w14:paraId="6CA5B5AC" w14:textId="77777777" w:rsidR="008B7E19" w:rsidRPr="00BE238B" w:rsidRDefault="008B7E19" w:rsidP="008B7E19">
            <w:pPr>
              <w:pStyle w:val="08-Tabelageral"/>
              <w:ind w:left="113"/>
              <w:rPr>
                <w:rFonts w:cs="Arial"/>
                <w:bCs/>
                <w:szCs w:val="14"/>
              </w:rPr>
            </w:pPr>
            <w:r>
              <w:rPr>
                <w:rFonts w:cs="Arial"/>
                <w:color w:val="000000"/>
                <w:szCs w:val="14"/>
              </w:rPr>
              <w:t>--</w:t>
            </w:r>
          </w:p>
        </w:tc>
        <w:tc>
          <w:tcPr>
            <w:tcW w:w="1241" w:type="dxa"/>
            <w:shd w:val="clear" w:color="auto" w:fill="auto"/>
            <w:vAlign w:val="bottom"/>
          </w:tcPr>
          <w:p w14:paraId="2C376E83" w14:textId="77777777" w:rsidR="008B7E19" w:rsidRPr="00BE238B" w:rsidRDefault="008B7E19" w:rsidP="008B7E19">
            <w:pPr>
              <w:pStyle w:val="08-Tabelageral"/>
              <w:ind w:left="113"/>
              <w:rPr>
                <w:rFonts w:cs="Arial"/>
                <w:bCs/>
                <w:szCs w:val="14"/>
              </w:rPr>
            </w:pPr>
            <w:r>
              <w:rPr>
                <w:rFonts w:cs="Arial"/>
                <w:color w:val="000000"/>
                <w:szCs w:val="14"/>
              </w:rPr>
              <w:t>(740,124)</w:t>
            </w:r>
          </w:p>
        </w:tc>
      </w:tr>
      <w:tr w:rsidR="008B7E19" w:rsidRPr="00DA72A7" w14:paraId="1F2BB91D" w14:textId="77777777" w:rsidTr="008B7E19">
        <w:trPr>
          <w:trHeight w:val="238"/>
        </w:trPr>
        <w:tc>
          <w:tcPr>
            <w:tcW w:w="4678" w:type="dxa"/>
            <w:tcBorders>
              <w:bottom w:val="single" w:sz="2" w:space="0" w:color="1F4E79" w:themeColor="accent1" w:themeShade="80"/>
            </w:tcBorders>
            <w:shd w:val="clear" w:color="auto" w:fill="auto"/>
          </w:tcPr>
          <w:p w14:paraId="7C82EAAA" w14:textId="77777777" w:rsidR="008B7E19" w:rsidRPr="00DA72A7" w:rsidRDefault="008B7E19" w:rsidP="008B7E19">
            <w:pPr>
              <w:pStyle w:val="08-Tabelageral"/>
              <w:jc w:val="left"/>
              <w:rPr>
                <w:rFonts w:cs="Arial"/>
                <w:b/>
                <w:szCs w:val="14"/>
                <w:lang w:val="en-US"/>
              </w:rPr>
            </w:pPr>
            <w:r w:rsidRPr="00DA72A7">
              <w:rPr>
                <w:rFonts w:cs="Arial"/>
                <w:b/>
                <w:szCs w:val="14"/>
                <w:lang w:val="en-US"/>
              </w:rPr>
              <w:t>Net Income</w:t>
            </w:r>
          </w:p>
        </w:tc>
        <w:tc>
          <w:tcPr>
            <w:tcW w:w="1240" w:type="dxa"/>
            <w:tcBorders>
              <w:bottom w:val="single" w:sz="2" w:space="0" w:color="1F4E79" w:themeColor="accent1" w:themeShade="80"/>
            </w:tcBorders>
            <w:shd w:val="clear" w:color="auto" w:fill="auto"/>
            <w:vAlign w:val="bottom"/>
          </w:tcPr>
          <w:p w14:paraId="457187CC" w14:textId="77777777" w:rsidR="008B7E19" w:rsidRPr="00DA72A7" w:rsidRDefault="008B7E19" w:rsidP="008B7E19">
            <w:pPr>
              <w:pStyle w:val="08-Tabelageral"/>
              <w:rPr>
                <w:rFonts w:cs="Arial"/>
                <w:b/>
                <w:szCs w:val="14"/>
              </w:rPr>
            </w:pPr>
            <w:r>
              <w:rPr>
                <w:rFonts w:cs="Arial"/>
                <w:b/>
                <w:bCs/>
                <w:color w:val="000000"/>
                <w:szCs w:val="14"/>
              </w:rPr>
              <w:t>6,033,614</w:t>
            </w:r>
          </w:p>
        </w:tc>
        <w:tc>
          <w:tcPr>
            <w:tcW w:w="1240" w:type="dxa"/>
            <w:tcBorders>
              <w:bottom w:val="single" w:sz="2" w:space="0" w:color="1F4E79" w:themeColor="accent1" w:themeShade="80"/>
            </w:tcBorders>
            <w:shd w:val="clear" w:color="auto" w:fill="auto"/>
            <w:vAlign w:val="bottom"/>
          </w:tcPr>
          <w:p w14:paraId="2F7389AF" w14:textId="77777777" w:rsidR="008B7E19" w:rsidRPr="00DA72A7" w:rsidRDefault="008B7E19" w:rsidP="008B7E19">
            <w:pPr>
              <w:pStyle w:val="08-Tabelageral"/>
              <w:rPr>
                <w:rFonts w:cs="Arial"/>
                <w:b/>
                <w:szCs w:val="14"/>
              </w:rPr>
            </w:pPr>
            <w:r>
              <w:rPr>
                <w:rFonts w:cs="Arial"/>
                <w:b/>
                <w:bCs/>
                <w:color w:val="000000"/>
                <w:szCs w:val="14"/>
              </w:rPr>
              <w:t>1,414,507</w:t>
            </w:r>
          </w:p>
        </w:tc>
        <w:tc>
          <w:tcPr>
            <w:tcW w:w="1240" w:type="dxa"/>
            <w:tcBorders>
              <w:bottom w:val="single" w:sz="2" w:space="0" w:color="1F4E79" w:themeColor="accent1" w:themeShade="80"/>
            </w:tcBorders>
            <w:shd w:val="clear" w:color="auto" w:fill="auto"/>
            <w:vAlign w:val="bottom"/>
          </w:tcPr>
          <w:p w14:paraId="7E75B99D" w14:textId="77777777" w:rsidR="008B7E19" w:rsidRPr="00DA72A7" w:rsidRDefault="008B7E19" w:rsidP="008B7E19">
            <w:pPr>
              <w:pStyle w:val="08-Tabelageral"/>
              <w:rPr>
                <w:rFonts w:cs="Arial"/>
                <w:b/>
                <w:szCs w:val="14"/>
              </w:rPr>
            </w:pPr>
            <w:r>
              <w:rPr>
                <w:rFonts w:cs="Arial"/>
                <w:b/>
                <w:bCs/>
                <w:color w:val="000000"/>
                <w:szCs w:val="14"/>
              </w:rPr>
              <w:t>(3,722,989)</w:t>
            </w:r>
          </w:p>
        </w:tc>
        <w:tc>
          <w:tcPr>
            <w:tcW w:w="1241" w:type="dxa"/>
            <w:tcBorders>
              <w:bottom w:val="single" w:sz="2" w:space="0" w:color="1F4E79" w:themeColor="accent1" w:themeShade="80"/>
            </w:tcBorders>
            <w:shd w:val="clear" w:color="auto" w:fill="auto"/>
            <w:vAlign w:val="bottom"/>
          </w:tcPr>
          <w:p w14:paraId="055EC156" w14:textId="77777777" w:rsidR="008B7E19" w:rsidRPr="00DA72A7" w:rsidRDefault="008B7E19" w:rsidP="008B7E19">
            <w:pPr>
              <w:pStyle w:val="08-Tabelageral"/>
              <w:rPr>
                <w:rFonts w:cs="Arial"/>
                <w:b/>
                <w:szCs w:val="14"/>
              </w:rPr>
            </w:pPr>
            <w:r>
              <w:rPr>
                <w:rFonts w:cs="Arial"/>
                <w:b/>
                <w:bCs/>
                <w:color w:val="000000"/>
                <w:szCs w:val="14"/>
              </w:rPr>
              <w:t>3,725,132</w:t>
            </w:r>
          </w:p>
        </w:tc>
      </w:tr>
    </w:tbl>
    <w:p w14:paraId="6B696234" w14:textId="77777777" w:rsidR="008B7E19" w:rsidRDefault="008B7E19" w:rsidP="008B7E19">
      <w:pPr>
        <w:spacing w:after="0"/>
        <w:jc w:val="right"/>
        <w:rPr>
          <w:rFonts w:cs="Arial"/>
          <w:b/>
          <w:sz w:val="14"/>
          <w:szCs w:val="18"/>
        </w:rPr>
        <w:sectPr w:rsidR="008B7E19" w:rsidSect="008B7E19">
          <w:headerReference w:type="even" r:id="rId36"/>
          <w:footerReference w:type="even" r:id="rId37"/>
          <w:footerReference w:type="default" r:id="rId38"/>
          <w:headerReference w:type="first" r:id="rId39"/>
          <w:footerReference w:type="first" r:id="rId40"/>
          <w:pgSz w:w="11906" w:h="16838" w:code="9"/>
          <w:pgMar w:top="1134" w:right="1134" w:bottom="851" w:left="1134" w:header="851" w:footer="284" w:gutter="0"/>
          <w:cols w:space="708"/>
          <w:docGrid w:linePitch="360"/>
        </w:sectPr>
      </w:pPr>
    </w:p>
    <w:p w14:paraId="44E94878" w14:textId="77777777" w:rsidR="008B7E19" w:rsidRPr="008D3175" w:rsidRDefault="008B7E19" w:rsidP="008B7E19">
      <w:pPr>
        <w:spacing w:after="0"/>
        <w:jc w:val="right"/>
        <w:rPr>
          <w:rFonts w:cs="Arial"/>
          <w:b/>
          <w:sz w:val="14"/>
          <w:szCs w:val="18"/>
        </w:rPr>
      </w:pPr>
      <w:r w:rsidRPr="008D3175">
        <w:rPr>
          <w:rFonts w:cs="Arial"/>
          <w:b/>
          <w:sz w:val="14"/>
          <w:szCs w:val="18"/>
        </w:rPr>
        <w:t xml:space="preserve">R$ </w:t>
      </w:r>
      <w:r w:rsidRPr="000252B8">
        <w:rPr>
          <w:rFonts w:cs="Arial"/>
          <w:b/>
          <w:sz w:val="14"/>
          <w:szCs w:val="18"/>
        </w:rPr>
        <w:t>thousand</w:t>
      </w:r>
    </w:p>
    <w:tbl>
      <w:tblPr>
        <w:tblW w:w="9639" w:type="dxa"/>
        <w:tblBorders>
          <w:top w:val="single" w:sz="2" w:space="0" w:color="8EAADB" w:themeColor="accent5" w:themeTint="99"/>
          <w:bottom w:val="single" w:sz="2" w:space="0" w:color="8EAADB" w:themeColor="accent5" w:themeTint="99"/>
        </w:tblBorders>
        <w:tblLayout w:type="fixed"/>
        <w:tblLook w:val="04A0" w:firstRow="1" w:lastRow="0" w:firstColumn="1" w:lastColumn="0" w:noHBand="0" w:noVBand="1"/>
      </w:tblPr>
      <w:tblGrid>
        <w:gridCol w:w="4678"/>
        <w:gridCol w:w="1240"/>
        <w:gridCol w:w="1240"/>
        <w:gridCol w:w="1240"/>
        <w:gridCol w:w="1241"/>
      </w:tblGrid>
      <w:tr w:rsidR="008B7E19" w:rsidRPr="0093755D" w14:paraId="7AE5B180" w14:textId="77777777" w:rsidTr="008B7E19">
        <w:trPr>
          <w:trHeight w:val="238"/>
        </w:trPr>
        <w:tc>
          <w:tcPr>
            <w:tcW w:w="4678" w:type="dxa"/>
            <w:tcBorders>
              <w:top w:val="single" w:sz="2" w:space="0" w:color="1F4E79" w:themeColor="accent1" w:themeShade="80"/>
              <w:bottom w:val="nil"/>
            </w:tcBorders>
            <w:shd w:val="clear" w:color="auto" w:fill="auto"/>
          </w:tcPr>
          <w:p w14:paraId="448E0CDE" w14:textId="77777777" w:rsidR="008B7E19" w:rsidRPr="0093755D" w:rsidRDefault="008B7E19" w:rsidP="008B7E19">
            <w:pPr>
              <w:spacing w:after="0"/>
              <w:jc w:val="center"/>
              <w:rPr>
                <w:rFonts w:cs="Arial"/>
                <w:b/>
                <w:sz w:val="14"/>
                <w:szCs w:val="14"/>
              </w:rPr>
            </w:pPr>
          </w:p>
        </w:tc>
        <w:tc>
          <w:tcPr>
            <w:tcW w:w="4961" w:type="dxa"/>
            <w:gridSpan w:val="4"/>
            <w:tcBorders>
              <w:top w:val="single" w:sz="2" w:space="0" w:color="1F4E79" w:themeColor="accent1" w:themeShade="80"/>
              <w:bottom w:val="single" w:sz="2" w:space="0" w:color="1F4E79" w:themeColor="accent1" w:themeShade="80"/>
            </w:tcBorders>
            <w:shd w:val="clear" w:color="auto" w:fill="auto"/>
            <w:vAlign w:val="center"/>
          </w:tcPr>
          <w:p w14:paraId="1890825C" w14:textId="77777777" w:rsidR="008B7E19" w:rsidRPr="0093755D" w:rsidRDefault="008B7E19" w:rsidP="008B7E19">
            <w:pPr>
              <w:spacing w:after="0"/>
              <w:jc w:val="center"/>
              <w:rPr>
                <w:rFonts w:cs="Arial"/>
                <w:b/>
                <w:sz w:val="14"/>
                <w:szCs w:val="14"/>
              </w:rPr>
            </w:pPr>
            <w:r>
              <w:rPr>
                <w:rFonts w:cs="Arial"/>
                <w:b/>
                <w:sz w:val="14"/>
                <w:szCs w:val="14"/>
              </w:rPr>
              <w:t>1</w:t>
            </w:r>
            <w:r>
              <w:rPr>
                <w:rFonts w:cs="Arial"/>
                <w:b/>
                <w:sz w:val="14"/>
                <w:szCs w:val="14"/>
                <w:vertAlign w:val="superscript"/>
              </w:rPr>
              <w:t>st</w:t>
            </w:r>
            <w:r w:rsidRPr="00E30F81">
              <w:rPr>
                <w:rFonts w:cs="Arial"/>
                <w:b/>
                <w:sz w:val="14"/>
                <w:szCs w:val="14"/>
              </w:rPr>
              <w:t xml:space="preserve"> </w:t>
            </w:r>
            <w:r>
              <w:rPr>
                <w:rFonts w:cs="Arial"/>
                <w:b/>
                <w:sz w:val="14"/>
                <w:szCs w:val="14"/>
              </w:rPr>
              <w:t>Half</w:t>
            </w:r>
            <w:r w:rsidRPr="00E30F81">
              <w:rPr>
                <w:rFonts w:cs="Arial"/>
                <w:b/>
                <w:sz w:val="14"/>
                <w:szCs w:val="14"/>
              </w:rPr>
              <w:t xml:space="preserve"> 202</w:t>
            </w:r>
            <w:r>
              <w:rPr>
                <w:rFonts w:cs="Arial"/>
                <w:b/>
                <w:sz w:val="14"/>
                <w:szCs w:val="14"/>
              </w:rPr>
              <w:t>2</w:t>
            </w:r>
          </w:p>
        </w:tc>
      </w:tr>
      <w:tr w:rsidR="008B7E19" w:rsidRPr="0093755D" w14:paraId="0DC66854" w14:textId="77777777" w:rsidTr="008B7E19">
        <w:trPr>
          <w:trHeight w:val="238"/>
        </w:trPr>
        <w:tc>
          <w:tcPr>
            <w:tcW w:w="4678" w:type="dxa"/>
            <w:tcBorders>
              <w:top w:val="nil"/>
              <w:bottom w:val="single" w:sz="2" w:space="0" w:color="1F4E79" w:themeColor="accent1" w:themeShade="80"/>
            </w:tcBorders>
            <w:shd w:val="clear" w:color="auto" w:fill="auto"/>
          </w:tcPr>
          <w:p w14:paraId="58D77089" w14:textId="77777777" w:rsidR="008B7E19" w:rsidRPr="0093755D" w:rsidRDefault="008B7E19" w:rsidP="008B7E19">
            <w:pPr>
              <w:pStyle w:val="08-Tabelageral"/>
              <w:jc w:val="left"/>
              <w:rPr>
                <w:rFonts w:cs="Arial"/>
                <w:b/>
                <w:szCs w:val="14"/>
              </w:rPr>
            </w:pPr>
          </w:p>
        </w:tc>
        <w:tc>
          <w:tcPr>
            <w:tcW w:w="1240" w:type="dxa"/>
            <w:tcBorders>
              <w:top w:val="single" w:sz="2" w:space="0" w:color="1F4E79" w:themeColor="accent1" w:themeShade="80"/>
              <w:bottom w:val="single" w:sz="2" w:space="0" w:color="1F4E79" w:themeColor="accent1" w:themeShade="80"/>
            </w:tcBorders>
            <w:shd w:val="clear" w:color="auto" w:fill="auto"/>
            <w:vAlign w:val="center"/>
          </w:tcPr>
          <w:p w14:paraId="5C052D7B" w14:textId="77777777" w:rsidR="008B7E19" w:rsidRPr="0093755D" w:rsidRDefault="008B7E19" w:rsidP="008B7E19">
            <w:pPr>
              <w:pStyle w:val="08-Tabelageral"/>
              <w:jc w:val="center"/>
              <w:rPr>
                <w:rFonts w:cs="Arial"/>
                <w:b/>
                <w:szCs w:val="14"/>
              </w:rPr>
            </w:pPr>
            <w:r w:rsidRPr="0093755D">
              <w:rPr>
                <w:rFonts w:cs="Arial"/>
                <w:b/>
                <w:szCs w:val="14"/>
              </w:rPr>
              <w:t>Insurance</w:t>
            </w:r>
          </w:p>
        </w:tc>
        <w:tc>
          <w:tcPr>
            <w:tcW w:w="1240" w:type="dxa"/>
            <w:tcBorders>
              <w:top w:val="single" w:sz="2" w:space="0" w:color="1F4E79" w:themeColor="accent1" w:themeShade="80"/>
              <w:bottom w:val="single" w:sz="2" w:space="0" w:color="1F4E79" w:themeColor="accent1" w:themeShade="80"/>
            </w:tcBorders>
            <w:shd w:val="clear" w:color="auto" w:fill="auto"/>
            <w:vAlign w:val="center"/>
          </w:tcPr>
          <w:p w14:paraId="4DAEAF3C" w14:textId="77777777" w:rsidR="008B7E19" w:rsidRPr="0093755D" w:rsidRDefault="008B7E19" w:rsidP="008B7E19">
            <w:pPr>
              <w:pStyle w:val="08-Tabelageral"/>
              <w:jc w:val="center"/>
              <w:rPr>
                <w:rFonts w:cs="Arial"/>
                <w:b/>
                <w:szCs w:val="14"/>
              </w:rPr>
            </w:pPr>
            <w:r w:rsidRPr="0093755D">
              <w:rPr>
                <w:rFonts w:cs="Arial"/>
                <w:b/>
                <w:szCs w:val="14"/>
              </w:rPr>
              <w:t>Brokerage</w:t>
            </w:r>
          </w:p>
        </w:tc>
        <w:tc>
          <w:tcPr>
            <w:tcW w:w="1240" w:type="dxa"/>
            <w:tcBorders>
              <w:top w:val="single" w:sz="2" w:space="0" w:color="1F4E79" w:themeColor="accent1" w:themeShade="80"/>
              <w:bottom w:val="single" w:sz="2" w:space="0" w:color="1F4E79" w:themeColor="accent1" w:themeShade="80"/>
            </w:tcBorders>
            <w:shd w:val="clear" w:color="auto" w:fill="auto"/>
            <w:vAlign w:val="center"/>
          </w:tcPr>
          <w:p w14:paraId="41856BAF" w14:textId="77777777" w:rsidR="008B7E19" w:rsidRPr="0093755D" w:rsidRDefault="008B7E19" w:rsidP="008B7E19">
            <w:pPr>
              <w:pStyle w:val="08-Tabelageral"/>
              <w:jc w:val="center"/>
              <w:rPr>
                <w:rFonts w:cs="Arial"/>
                <w:b/>
                <w:szCs w:val="14"/>
              </w:rPr>
            </w:pPr>
            <w:r w:rsidRPr="0093755D">
              <w:rPr>
                <w:rFonts w:cs="Arial"/>
                <w:b/>
                <w:szCs w:val="14"/>
              </w:rPr>
              <w:t>Intersegment transactions</w:t>
            </w:r>
          </w:p>
        </w:tc>
        <w:tc>
          <w:tcPr>
            <w:tcW w:w="1241" w:type="dxa"/>
            <w:tcBorders>
              <w:top w:val="single" w:sz="2" w:space="0" w:color="1F4E79" w:themeColor="accent1" w:themeShade="80"/>
              <w:bottom w:val="single" w:sz="2" w:space="0" w:color="1F4E79" w:themeColor="accent1" w:themeShade="80"/>
            </w:tcBorders>
            <w:shd w:val="clear" w:color="auto" w:fill="auto"/>
            <w:vAlign w:val="center"/>
          </w:tcPr>
          <w:p w14:paraId="3680FF14" w14:textId="77777777" w:rsidR="008B7E19" w:rsidRPr="0093755D" w:rsidRDefault="008B7E19" w:rsidP="008B7E19">
            <w:pPr>
              <w:pStyle w:val="08-Tabelageral"/>
              <w:jc w:val="center"/>
              <w:rPr>
                <w:rFonts w:cs="Arial"/>
                <w:b/>
                <w:szCs w:val="14"/>
              </w:rPr>
            </w:pPr>
            <w:r w:rsidRPr="0093755D">
              <w:rPr>
                <w:rFonts w:cs="Arial"/>
                <w:b/>
                <w:szCs w:val="14"/>
              </w:rPr>
              <w:t>Total</w:t>
            </w:r>
          </w:p>
        </w:tc>
      </w:tr>
      <w:tr w:rsidR="008B7E19" w:rsidRPr="0093755D" w14:paraId="59ABEE41" w14:textId="77777777" w:rsidTr="008B7E19">
        <w:trPr>
          <w:trHeight w:val="238"/>
        </w:trPr>
        <w:tc>
          <w:tcPr>
            <w:tcW w:w="4678" w:type="dxa"/>
            <w:tcBorders>
              <w:top w:val="single" w:sz="2" w:space="0" w:color="1F4E79" w:themeColor="accent1" w:themeShade="80"/>
            </w:tcBorders>
            <w:shd w:val="clear" w:color="auto" w:fill="auto"/>
          </w:tcPr>
          <w:p w14:paraId="0F9D0BA0" w14:textId="77777777" w:rsidR="008B7E19" w:rsidRPr="0093755D" w:rsidRDefault="008B7E19" w:rsidP="008B7E19">
            <w:pPr>
              <w:pStyle w:val="08-Tabelageral"/>
              <w:jc w:val="left"/>
              <w:rPr>
                <w:rFonts w:cs="Arial"/>
                <w:b/>
                <w:bCs/>
                <w:szCs w:val="14"/>
              </w:rPr>
            </w:pPr>
            <w:r w:rsidRPr="0093755D">
              <w:rPr>
                <w:rFonts w:cs="Arial"/>
                <w:b/>
                <w:szCs w:val="14"/>
              </w:rPr>
              <w:t>Operating Income</w:t>
            </w:r>
          </w:p>
        </w:tc>
        <w:tc>
          <w:tcPr>
            <w:tcW w:w="1240" w:type="dxa"/>
            <w:tcBorders>
              <w:top w:val="single" w:sz="2" w:space="0" w:color="1F4E79" w:themeColor="accent1" w:themeShade="80"/>
            </w:tcBorders>
            <w:shd w:val="clear" w:color="auto" w:fill="auto"/>
            <w:vAlign w:val="bottom"/>
          </w:tcPr>
          <w:p w14:paraId="16D3B9F1" w14:textId="77777777" w:rsidR="008B7E19" w:rsidRPr="0093755D" w:rsidRDefault="008B7E19" w:rsidP="008B7E19">
            <w:pPr>
              <w:pStyle w:val="08-Tabelageral"/>
              <w:rPr>
                <w:rFonts w:cs="Arial"/>
                <w:b/>
                <w:szCs w:val="14"/>
              </w:rPr>
            </w:pPr>
            <w:r>
              <w:rPr>
                <w:rFonts w:cs="Arial"/>
                <w:b/>
                <w:bCs/>
                <w:color w:val="000000"/>
                <w:szCs w:val="14"/>
              </w:rPr>
              <w:t>4,086,784</w:t>
            </w:r>
          </w:p>
        </w:tc>
        <w:tc>
          <w:tcPr>
            <w:tcW w:w="1240" w:type="dxa"/>
            <w:tcBorders>
              <w:top w:val="single" w:sz="2" w:space="0" w:color="1F4E79" w:themeColor="accent1" w:themeShade="80"/>
            </w:tcBorders>
            <w:shd w:val="clear" w:color="auto" w:fill="auto"/>
            <w:vAlign w:val="bottom"/>
          </w:tcPr>
          <w:p w14:paraId="53910A99" w14:textId="77777777" w:rsidR="008B7E19" w:rsidRPr="0093755D" w:rsidRDefault="008B7E19" w:rsidP="008B7E19">
            <w:pPr>
              <w:pStyle w:val="08-Tabelageral"/>
              <w:rPr>
                <w:rFonts w:cs="Arial"/>
                <w:b/>
                <w:szCs w:val="14"/>
              </w:rPr>
            </w:pPr>
            <w:r>
              <w:rPr>
                <w:rFonts w:cs="Arial"/>
                <w:b/>
                <w:bCs/>
                <w:color w:val="000000"/>
                <w:szCs w:val="14"/>
              </w:rPr>
              <w:t>1,855,103</w:t>
            </w:r>
          </w:p>
        </w:tc>
        <w:tc>
          <w:tcPr>
            <w:tcW w:w="1240" w:type="dxa"/>
            <w:tcBorders>
              <w:top w:val="single" w:sz="2" w:space="0" w:color="1F4E79" w:themeColor="accent1" w:themeShade="80"/>
            </w:tcBorders>
            <w:shd w:val="clear" w:color="auto" w:fill="auto"/>
            <w:vAlign w:val="bottom"/>
          </w:tcPr>
          <w:p w14:paraId="7E506453" w14:textId="77777777" w:rsidR="008B7E19" w:rsidRPr="0093755D" w:rsidRDefault="008B7E19" w:rsidP="008B7E19">
            <w:pPr>
              <w:pStyle w:val="08-Tabelageral"/>
              <w:rPr>
                <w:rFonts w:cs="Arial"/>
                <w:b/>
                <w:szCs w:val="14"/>
              </w:rPr>
            </w:pPr>
            <w:r>
              <w:rPr>
                <w:rFonts w:cs="Arial"/>
                <w:b/>
                <w:bCs/>
                <w:color w:val="000000"/>
                <w:szCs w:val="14"/>
              </w:rPr>
              <w:t>(2,586,472)</w:t>
            </w:r>
          </w:p>
        </w:tc>
        <w:tc>
          <w:tcPr>
            <w:tcW w:w="1241" w:type="dxa"/>
            <w:tcBorders>
              <w:top w:val="single" w:sz="2" w:space="0" w:color="1F4E79" w:themeColor="accent1" w:themeShade="80"/>
            </w:tcBorders>
            <w:shd w:val="clear" w:color="auto" w:fill="auto"/>
            <w:vAlign w:val="bottom"/>
          </w:tcPr>
          <w:p w14:paraId="6D25AEB3" w14:textId="77777777" w:rsidR="008B7E19" w:rsidRPr="0093755D" w:rsidRDefault="008B7E19" w:rsidP="008B7E19">
            <w:pPr>
              <w:pStyle w:val="08-Tabelageral"/>
              <w:rPr>
                <w:rFonts w:cs="Arial"/>
                <w:b/>
                <w:szCs w:val="14"/>
              </w:rPr>
            </w:pPr>
            <w:r>
              <w:rPr>
                <w:rFonts w:cs="Arial"/>
                <w:b/>
                <w:bCs/>
                <w:color w:val="000000"/>
                <w:szCs w:val="14"/>
              </w:rPr>
              <w:t>3,355,415</w:t>
            </w:r>
          </w:p>
        </w:tc>
      </w:tr>
      <w:tr w:rsidR="008B7E19" w:rsidRPr="0093755D" w14:paraId="37FEEA4F" w14:textId="77777777" w:rsidTr="008B7E19">
        <w:trPr>
          <w:trHeight w:val="238"/>
        </w:trPr>
        <w:tc>
          <w:tcPr>
            <w:tcW w:w="4678" w:type="dxa"/>
            <w:shd w:val="clear" w:color="auto" w:fill="auto"/>
          </w:tcPr>
          <w:p w14:paraId="33E01CBD" w14:textId="77777777" w:rsidR="008B7E19" w:rsidRPr="0093755D" w:rsidRDefault="008B7E19" w:rsidP="008B7E19">
            <w:pPr>
              <w:pStyle w:val="08-Tabelageral"/>
              <w:ind w:left="113"/>
              <w:jc w:val="left"/>
              <w:rPr>
                <w:rFonts w:cs="Arial"/>
                <w:szCs w:val="14"/>
              </w:rPr>
            </w:pPr>
            <w:r w:rsidRPr="0093755D">
              <w:rPr>
                <w:rFonts w:cs="Arial"/>
                <w:szCs w:val="14"/>
              </w:rPr>
              <w:t>Equity income</w:t>
            </w:r>
          </w:p>
        </w:tc>
        <w:tc>
          <w:tcPr>
            <w:tcW w:w="1240" w:type="dxa"/>
            <w:shd w:val="clear" w:color="auto" w:fill="auto"/>
            <w:vAlign w:val="bottom"/>
          </w:tcPr>
          <w:p w14:paraId="37BB526E" w14:textId="77777777" w:rsidR="008B7E19" w:rsidRPr="0093755D" w:rsidRDefault="008B7E19" w:rsidP="008B7E19">
            <w:pPr>
              <w:pStyle w:val="08-Tabelageral"/>
              <w:rPr>
                <w:rFonts w:cs="Arial"/>
                <w:szCs w:val="14"/>
              </w:rPr>
            </w:pPr>
            <w:r>
              <w:rPr>
                <w:rFonts w:cs="Arial"/>
                <w:color w:val="000000"/>
                <w:szCs w:val="14"/>
              </w:rPr>
              <w:t>4,086,784</w:t>
            </w:r>
          </w:p>
        </w:tc>
        <w:tc>
          <w:tcPr>
            <w:tcW w:w="1240" w:type="dxa"/>
            <w:shd w:val="clear" w:color="auto" w:fill="auto"/>
            <w:vAlign w:val="bottom"/>
          </w:tcPr>
          <w:p w14:paraId="285622A6" w14:textId="77777777" w:rsidR="008B7E19" w:rsidRPr="0093755D" w:rsidRDefault="008B7E19" w:rsidP="008B7E19">
            <w:pPr>
              <w:pStyle w:val="08-Tabelageral"/>
              <w:rPr>
                <w:rFonts w:cs="Arial"/>
                <w:szCs w:val="14"/>
              </w:rPr>
            </w:pPr>
            <w:r>
              <w:rPr>
                <w:rFonts w:cs="Arial"/>
                <w:color w:val="000000"/>
                <w:szCs w:val="14"/>
              </w:rPr>
              <w:t>(203)</w:t>
            </w:r>
          </w:p>
        </w:tc>
        <w:tc>
          <w:tcPr>
            <w:tcW w:w="1240" w:type="dxa"/>
            <w:shd w:val="clear" w:color="auto" w:fill="auto"/>
            <w:vAlign w:val="bottom"/>
          </w:tcPr>
          <w:p w14:paraId="0B7C083C" w14:textId="77777777" w:rsidR="008B7E19" w:rsidRPr="0093755D" w:rsidRDefault="008B7E19" w:rsidP="008B7E19">
            <w:pPr>
              <w:pStyle w:val="08-Tabelageral"/>
              <w:rPr>
                <w:rFonts w:cs="Arial"/>
                <w:szCs w:val="14"/>
              </w:rPr>
            </w:pPr>
            <w:r>
              <w:rPr>
                <w:rFonts w:cs="Arial"/>
                <w:color w:val="000000"/>
                <w:szCs w:val="14"/>
              </w:rPr>
              <w:t>(2,586,472)</w:t>
            </w:r>
          </w:p>
        </w:tc>
        <w:tc>
          <w:tcPr>
            <w:tcW w:w="1241" w:type="dxa"/>
            <w:shd w:val="clear" w:color="auto" w:fill="auto"/>
            <w:vAlign w:val="bottom"/>
          </w:tcPr>
          <w:p w14:paraId="305495AD" w14:textId="77777777" w:rsidR="008B7E19" w:rsidRPr="0093755D" w:rsidRDefault="008B7E19" w:rsidP="008B7E19">
            <w:pPr>
              <w:pStyle w:val="08-Tabelageral"/>
              <w:rPr>
                <w:rFonts w:cs="Arial"/>
                <w:szCs w:val="14"/>
              </w:rPr>
            </w:pPr>
            <w:r>
              <w:rPr>
                <w:rFonts w:cs="Arial"/>
                <w:color w:val="000000"/>
                <w:szCs w:val="14"/>
              </w:rPr>
              <w:t>1,500,109</w:t>
            </w:r>
          </w:p>
        </w:tc>
      </w:tr>
      <w:tr w:rsidR="008B7E19" w:rsidRPr="0093755D" w14:paraId="323CEDD7" w14:textId="77777777" w:rsidTr="008B7E19">
        <w:trPr>
          <w:trHeight w:val="238"/>
        </w:trPr>
        <w:tc>
          <w:tcPr>
            <w:tcW w:w="4678" w:type="dxa"/>
            <w:shd w:val="clear" w:color="auto" w:fill="auto"/>
          </w:tcPr>
          <w:p w14:paraId="496FB815" w14:textId="77777777" w:rsidR="008B7E19" w:rsidRPr="0093755D" w:rsidRDefault="008B7E19" w:rsidP="008B7E19">
            <w:pPr>
              <w:pStyle w:val="08-Tabelageral"/>
              <w:ind w:left="113"/>
              <w:jc w:val="left"/>
              <w:rPr>
                <w:rFonts w:cs="Arial"/>
                <w:szCs w:val="14"/>
              </w:rPr>
            </w:pPr>
            <w:r w:rsidRPr="0093755D">
              <w:rPr>
                <w:rFonts w:cs="Arial"/>
                <w:szCs w:val="14"/>
              </w:rPr>
              <w:t>Commissions income</w:t>
            </w:r>
          </w:p>
        </w:tc>
        <w:tc>
          <w:tcPr>
            <w:tcW w:w="1240" w:type="dxa"/>
            <w:shd w:val="clear" w:color="auto" w:fill="auto"/>
            <w:vAlign w:val="bottom"/>
          </w:tcPr>
          <w:p w14:paraId="5DF5E03C" w14:textId="77777777" w:rsidR="008B7E19" w:rsidRPr="0093755D" w:rsidRDefault="008B7E19" w:rsidP="008B7E19">
            <w:pPr>
              <w:pStyle w:val="08-Tabelageral"/>
              <w:rPr>
                <w:rFonts w:cs="Arial"/>
                <w:szCs w:val="14"/>
              </w:rPr>
            </w:pPr>
            <w:r>
              <w:rPr>
                <w:rFonts w:cs="Arial"/>
                <w:color w:val="000000"/>
                <w:szCs w:val="14"/>
              </w:rPr>
              <w:t>--</w:t>
            </w:r>
          </w:p>
        </w:tc>
        <w:tc>
          <w:tcPr>
            <w:tcW w:w="1240" w:type="dxa"/>
            <w:shd w:val="clear" w:color="auto" w:fill="auto"/>
            <w:vAlign w:val="bottom"/>
          </w:tcPr>
          <w:p w14:paraId="3CA83923" w14:textId="77777777" w:rsidR="008B7E19" w:rsidRPr="0093755D" w:rsidRDefault="008B7E19" w:rsidP="008B7E19">
            <w:pPr>
              <w:pStyle w:val="08-Tabelageral"/>
              <w:rPr>
                <w:rFonts w:cs="Arial"/>
                <w:szCs w:val="14"/>
              </w:rPr>
            </w:pPr>
            <w:r>
              <w:rPr>
                <w:rFonts w:cs="Arial"/>
                <w:color w:val="000000"/>
                <w:szCs w:val="14"/>
              </w:rPr>
              <w:t>1,855,306</w:t>
            </w:r>
          </w:p>
        </w:tc>
        <w:tc>
          <w:tcPr>
            <w:tcW w:w="1240" w:type="dxa"/>
            <w:shd w:val="clear" w:color="auto" w:fill="auto"/>
            <w:vAlign w:val="bottom"/>
          </w:tcPr>
          <w:p w14:paraId="1CA4B74D" w14:textId="77777777" w:rsidR="008B7E19" w:rsidRPr="0093755D" w:rsidRDefault="008B7E19" w:rsidP="008B7E19">
            <w:pPr>
              <w:pStyle w:val="08-Tabelageral"/>
              <w:rPr>
                <w:rFonts w:cs="Arial"/>
                <w:szCs w:val="14"/>
              </w:rPr>
            </w:pPr>
            <w:r>
              <w:rPr>
                <w:rFonts w:cs="Arial"/>
                <w:color w:val="000000"/>
                <w:szCs w:val="14"/>
              </w:rPr>
              <w:t>--</w:t>
            </w:r>
          </w:p>
        </w:tc>
        <w:tc>
          <w:tcPr>
            <w:tcW w:w="1241" w:type="dxa"/>
            <w:shd w:val="clear" w:color="auto" w:fill="auto"/>
            <w:vAlign w:val="bottom"/>
          </w:tcPr>
          <w:p w14:paraId="7618D8AA" w14:textId="77777777" w:rsidR="008B7E19" w:rsidRPr="0093755D" w:rsidRDefault="008B7E19" w:rsidP="008B7E19">
            <w:pPr>
              <w:pStyle w:val="08-Tabelageral"/>
              <w:rPr>
                <w:rFonts w:cs="Arial"/>
                <w:szCs w:val="14"/>
              </w:rPr>
            </w:pPr>
            <w:r>
              <w:rPr>
                <w:rFonts w:cs="Arial"/>
                <w:color w:val="000000"/>
                <w:szCs w:val="14"/>
              </w:rPr>
              <w:t>1,855,306</w:t>
            </w:r>
          </w:p>
        </w:tc>
      </w:tr>
      <w:tr w:rsidR="008B7E19" w:rsidRPr="0093755D" w14:paraId="63B740C6" w14:textId="77777777" w:rsidTr="008B7E19">
        <w:trPr>
          <w:trHeight w:val="238"/>
        </w:trPr>
        <w:tc>
          <w:tcPr>
            <w:tcW w:w="4678" w:type="dxa"/>
            <w:shd w:val="clear" w:color="auto" w:fill="auto"/>
          </w:tcPr>
          <w:p w14:paraId="667D2326" w14:textId="77777777" w:rsidR="008B7E19" w:rsidRPr="0093755D" w:rsidRDefault="008B7E19" w:rsidP="008B7E19">
            <w:pPr>
              <w:pStyle w:val="08-Tabelageral"/>
              <w:jc w:val="left"/>
              <w:rPr>
                <w:rFonts w:cs="Arial"/>
                <w:b/>
                <w:szCs w:val="14"/>
              </w:rPr>
            </w:pPr>
            <w:r>
              <w:rPr>
                <w:rFonts w:cs="Arial"/>
                <w:b/>
                <w:szCs w:val="14"/>
              </w:rPr>
              <w:t>Cost o</w:t>
            </w:r>
            <w:r w:rsidRPr="0093755D">
              <w:rPr>
                <w:rFonts w:cs="Arial"/>
                <w:b/>
                <w:szCs w:val="14"/>
              </w:rPr>
              <w:t>f Services Provided</w:t>
            </w:r>
          </w:p>
        </w:tc>
        <w:tc>
          <w:tcPr>
            <w:tcW w:w="1240" w:type="dxa"/>
            <w:shd w:val="clear" w:color="auto" w:fill="auto"/>
            <w:vAlign w:val="bottom"/>
          </w:tcPr>
          <w:p w14:paraId="69BA6509" w14:textId="77777777" w:rsidR="008B7E19" w:rsidRPr="0093755D" w:rsidRDefault="008B7E19" w:rsidP="008B7E19">
            <w:pPr>
              <w:pStyle w:val="08-Tabelageral"/>
              <w:rPr>
                <w:rFonts w:cs="Arial"/>
                <w:b/>
                <w:szCs w:val="14"/>
              </w:rPr>
            </w:pPr>
            <w:r>
              <w:rPr>
                <w:rFonts w:cs="Arial"/>
                <w:color w:val="000000"/>
                <w:szCs w:val="14"/>
              </w:rPr>
              <w:t>--</w:t>
            </w:r>
          </w:p>
        </w:tc>
        <w:tc>
          <w:tcPr>
            <w:tcW w:w="1240" w:type="dxa"/>
            <w:shd w:val="clear" w:color="auto" w:fill="auto"/>
            <w:vAlign w:val="bottom"/>
          </w:tcPr>
          <w:p w14:paraId="2EC2EA41" w14:textId="77777777" w:rsidR="008B7E19" w:rsidRPr="0093755D" w:rsidRDefault="008B7E19" w:rsidP="008B7E19">
            <w:pPr>
              <w:pStyle w:val="08-Tabelageral"/>
              <w:rPr>
                <w:rFonts w:cs="Arial"/>
                <w:b/>
                <w:szCs w:val="14"/>
              </w:rPr>
            </w:pPr>
            <w:r>
              <w:rPr>
                <w:rFonts w:cs="Arial"/>
                <w:color w:val="000000"/>
                <w:szCs w:val="14"/>
              </w:rPr>
              <w:t>(101,800)</w:t>
            </w:r>
          </w:p>
        </w:tc>
        <w:tc>
          <w:tcPr>
            <w:tcW w:w="1240" w:type="dxa"/>
            <w:shd w:val="clear" w:color="auto" w:fill="auto"/>
            <w:vAlign w:val="bottom"/>
          </w:tcPr>
          <w:p w14:paraId="06A18D3E" w14:textId="77777777" w:rsidR="008B7E19" w:rsidRPr="0093755D" w:rsidRDefault="008B7E19" w:rsidP="008B7E19">
            <w:pPr>
              <w:pStyle w:val="08-Tabelageral"/>
              <w:rPr>
                <w:rFonts w:cs="Arial"/>
                <w:b/>
                <w:szCs w:val="14"/>
              </w:rPr>
            </w:pPr>
            <w:r>
              <w:rPr>
                <w:rFonts w:cs="Arial"/>
                <w:color w:val="000000"/>
                <w:szCs w:val="14"/>
              </w:rPr>
              <w:t>--</w:t>
            </w:r>
          </w:p>
        </w:tc>
        <w:tc>
          <w:tcPr>
            <w:tcW w:w="1241" w:type="dxa"/>
            <w:shd w:val="clear" w:color="auto" w:fill="auto"/>
            <w:vAlign w:val="bottom"/>
          </w:tcPr>
          <w:p w14:paraId="7EB43DE4" w14:textId="77777777" w:rsidR="008B7E19" w:rsidRPr="0093755D" w:rsidRDefault="008B7E19" w:rsidP="008B7E19">
            <w:pPr>
              <w:pStyle w:val="08-Tabelageral"/>
              <w:rPr>
                <w:rFonts w:cs="Arial"/>
                <w:b/>
                <w:szCs w:val="14"/>
              </w:rPr>
            </w:pPr>
            <w:r>
              <w:rPr>
                <w:rFonts w:cs="Arial"/>
                <w:color w:val="000000"/>
                <w:szCs w:val="14"/>
              </w:rPr>
              <w:t>(101,800)</w:t>
            </w:r>
          </w:p>
        </w:tc>
      </w:tr>
      <w:tr w:rsidR="008B7E19" w:rsidRPr="0093755D" w14:paraId="66205B38" w14:textId="77777777" w:rsidTr="008B7E19">
        <w:trPr>
          <w:trHeight w:val="238"/>
        </w:trPr>
        <w:tc>
          <w:tcPr>
            <w:tcW w:w="4678" w:type="dxa"/>
            <w:shd w:val="clear" w:color="auto" w:fill="auto"/>
          </w:tcPr>
          <w:p w14:paraId="083CC9F8" w14:textId="77777777" w:rsidR="008B7E19" w:rsidRPr="0093755D" w:rsidRDefault="008B7E19" w:rsidP="008B7E19">
            <w:pPr>
              <w:pStyle w:val="08-Tabelageral"/>
              <w:jc w:val="left"/>
              <w:rPr>
                <w:rFonts w:cs="Arial"/>
                <w:b/>
                <w:szCs w:val="14"/>
              </w:rPr>
            </w:pPr>
            <w:r w:rsidRPr="0093755D">
              <w:rPr>
                <w:rFonts w:cs="Arial"/>
                <w:b/>
                <w:szCs w:val="14"/>
              </w:rPr>
              <w:t>Gross Profit</w:t>
            </w:r>
          </w:p>
        </w:tc>
        <w:tc>
          <w:tcPr>
            <w:tcW w:w="1240" w:type="dxa"/>
            <w:shd w:val="clear" w:color="auto" w:fill="auto"/>
            <w:vAlign w:val="bottom"/>
          </w:tcPr>
          <w:p w14:paraId="1F1CE100" w14:textId="77777777" w:rsidR="008B7E19" w:rsidRPr="0093755D" w:rsidRDefault="008B7E19" w:rsidP="008B7E19">
            <w:pPr>
              <w:pStyle w:val="08-Tabelageral"/>
              <w:rPr>
                <w:rFonts w:cs="Arial"/>
                <w:b/>
                <w:szCs w:val="14"/>
              </w:rPr>
            </w:pPr>
            <w:r>
              <w:rPr>
                <w:rFonts w:cs="Arial"/>
                <w:b/>
                <w:bCs/>
                <w:color w:val="000000"/>
                <w:szCs w:val="14"/>
              </w:rPr>
              <w:t>4,086,784</w:t>
            </w:r>
          </w:p>
        </w:tc>
        <w:tc>
          <w:tcPr>
            <w:tcW w:w="1240" w:type="dxa"/>
            <w:shd w:val="clear" w:color="auto" w:fill="auto"/>
            <w:vAlign w:val="bottom"/>
          </w:tcPr>
          <w:p w14:paraId="31F06F6E" w14:textId="77777777" w:rsidR="008B7E19" w:rsidRPr="0093755D" w:rsidRDefault="008B7E19" w:rsidP="008B7E19">
            <w:pPr>
              <w:pStyle w:val="08-Tabelageral"/>
              <w:rPr>
                <w:rFonts w:cs="Arial"/>
                <w:b/>
                <w:szCs w:val="14"/>
              </w:rPr>
            </w:pPr>
            <w:r>
              <w:rPr>
                <w:rFonts w:cs="Arial"/>
                <w:b/>
                <w:bCs/>
                <w:color w:val="000000"/>
                <w:szCs w:val="14"/>
              </w:rPr>
              <w:t>1,753,303</w:t>
            </w:r>
          </w:p>
        </w:tc>
        <w:tc>
          <w:tcPr>
            <w:tcW w:w="1240" w:type="dxa"/>
            <w:shd w:val="clear" w:color="auto" w:fill="auto"/>
            <w:vAlign w:val="bottom"/>
          </w:tcPr>
          <w:p w14:paraId="6FEF8BCD" w14:textId="77777777" w:rsidR="008B7E19" w:rsidRPr="0093755D" w:rsidRDefault="008B7E19" w:rsidP="008B7E19">
            <w:pPr>
              <w:pStyle w:val="08-Tabelageral"/>
              <w:rPr>
                <w:rFonts w:cs="Arial"/>
                <w:b/>
                <w:szCs w:val="14"/>
              </w:rPr>
            </w:pPr>
            <w:r>
              <w:rPr>
                <w:rFonts w:cs="Arial"/>
                <w:b/>
                <w:bCs/>
                <w:color w:val="000000"/>
                <w:szCs w:val="14"/>
              </w:rPr>
              <w:t>(2,586,472)</w:t>
            </w:r>
          </w:p>
        </w:tc>
        <w:tc>
          <w:tcPr>
            <w:tcW w:w="1241" w:type="dxa"/>
            <w:shd w:val="clear" w:color="auto" w:fill="auto"/>
            <w:vAlign w:val="bottom"/>
          </w:tcPr>
          <w:p w14:paraId="53D32431" w14:textId="77777777" w:rsidR="008B7E19" w:rsidRPr="0093755D" w:rsidRDefault="008B7E19" w:rsidP="008B7E19">
            <w:pPr>
              <w:pStyle w:val="08-Tabelageral"/>
              <w:rPr>
                <w:rFonts w:cs="Arial"/>
                <w:b/>
                <w:szCs w:val="14"/>
              </w:rPr>
            </w:pPr>
            <w:r>
              <w:rPr>
                <w:rFonts w:cs="Arial"/>
                <w:b/>
                <w:bCs/>
                <w:color w:val="000000"/>
                <w:szCs w:val="14"/>
              </w:rPr>
              <w:t>3,253,615</w:t>
            </w:r>
          </w:p>
        </w:tc>
      </w:tr>
      <w:tr w:rsidR="008B7E19" w:rsidRPr="0093755D" w14:paraId="718C3E2D" w14:textId="77777777" w:rsidTr="008B7E19">
        <w:trPr>
          <w:trHeight w:val="238"/>
        </w:trPr>
        <w:tc>
          <w:tcPr>
            <w:tcW w:w="4678" w:type="dxa"/>
            <w:shd w:val="clear" w:color="auto" w:fill="auto"/>
          </w:tcPr>
          <w:p w14:paraId="02585102" w14:textId="77777777" w:rsidR="008B7E19" w:rsidRPr="0093755D" w:rsidRDefault="008B7E19" w:rsidP="008B7E19">
            <w:pPr>
              <w:pStyle w:val="08-Tabelageral"/>
              <w:jc w:val="left"/>
              <w:rPr>
                <w:rFonts w:cs="Arial"/>
                <w:b/>
                <w:bCs/>
                <w:szCs w:val="14"/>
              </w:rPr>
            </w:pPr>
            <w:r>
              <w:rPr>
                <w:rFonts w:cs="Arial"/>
                <w:b/>
                <w:szCs w:val="14"/>
              </w:rPr>
              <w:t>Other Income a</w:t>
            </w:r>
            <w:r w:rsidRPr="0093755D">
              <w:rPr>
                <w:rFonts w:cs="Arial"/>
                <w:b/>
                <w:szCs w:val="14"/>
              </w:rPr>
              <w:t>nd Expenses</w:t>
            </w:r>
          </w:p>
        </w:tc>
        <w:tc>
          <w:tcPr>
            <w:tcW w:w="1240" w:type="dxa"/>
            <w:shd w:val="clear" w:color="auto" w:fill="auto"/>
            <w:vAlign w:val="bottom"/>
          </w:tcPr>
          <w:p w14:paraId="11286F27" w14:textId="77777777" w:rsidR="008B7E19" w:rsidRPr="0093755D" w:rsidRDefault="008B7E19" w:rsidP="008B7E19">
            <w:pPr>
              <w:pStyle w:val="08-Tabelageral"/>
              <w:rPr>
                <w:rFonts w:cs="Arial"/>
                <w:b/>
                <w:szCs w:val="14"/>
              </w:rPr>
            </w:pPr>
            <w:r>
              <w:rPr>
                <w:rFonts w:cs="Arial"/>
                <w:b/>
                <w:bCs/>
                <w:color w:val="000000"/>
                <w:szCs w:val="14"/>
              </w:rPr>
              <w:t>(28,493)</w:t>
            </w:r>
          </w:p>
        </w:tc>
        <w:tc>
          <w:tcPr>
            <w:tcW w:w="1240" w:type="dxa"/>
            <w:shd w:val="clear" w:color="auto" w:fill="auto"/>
            <w:vAlign w:val="bottom"/>
          </w:tcPr>
          <w:p w14:paraId="573CF234" w14:textId="77777777" w:rsidR="008B7E19" w:rsidRPr="0093755D" w:rsidRDefault="008B7E19" w:rsidP="008B7E19">
            <w:pPr>
              <w:pStyle w:val="08-Tabelageral"/>
              <w:rPr>
                <w:rFonts w:cs="Arial"/>
                <w:b/>
                <w:szCs w:val="14"/>
              </w:rPr>
            </w:pPr>
            <w:r>
              <w:rPr>
                <w:rFonts w:cs="Arial"/>
                <w:b/>
                <w:bCs/>
                <w:color w:val="000000"/>
                <w:szCs w:val="14"/>
              </w:rPr>
              <w:t>(60,175)</w:t>
            </w:r>
          </w:p>
        </w:tc>
        <w:tc>
          <w:tcPr>
            <w:tcW w:w="1240" w:type="dxa"/>
            <w:shd w:val="clear" w:color="auto" w:fill="auto"/>
            <w:vAlign w:val="bottom"/>
          </w:tcPr>
          <w:p w14:paraId="582486DC" w14:textId="77777777" w:rsidR="008B7E19" w:rsidRPr="0093755D" w:rsidRDefault="008B7E19" w:rsidP="008B7E19">
            <w:pPr>
              <w:pStyle w:val="08-Tabelageral"/>
              <w:rPr>
                <w:rFonts w:cs="Arial"/>
                <w:b/>
                <w:szCs w:val="14"/>
              </w:rPr>
            </w:pPr>
            <w:r>
              <w:rPr>
                <w:rFonts w:cs="Arial"/>
                <w:b/>
                <w:bCs/>
                <w:color w:val="000000"/>
                <w:szCs w:val="14"/>
              </w:rPr>
              <w:t>--</w:t>
            </w:r>
          </w:p>
        </w:tc>
        <w:tc>
          <w:tcPr>
            <w:tcW w:w="1241" w:type="dxa"/>
            <w:shd w:val="clear" w:color="auto" w:fill="auto"/>
            <w:vAlign w:val="bottom"/>
          </w:tcPr>
          <w:p w14:paraId="0C569B30" w14:textId="77777777" w:rsidR="008B7E19" w:rsidRPr="0093755D" w:rsidRDefault="008B7E19" w:rsidP="008B7E19">
            <w:pPr>
              <w:pStyle w:val="08-Tabelageral"/>
              <w:rPr>
                <w:rFonts w:cs="Arial"/>
                <w:b/>
                <w:szCs w:val="14"/>
              </w:rPr>
            </w:pPr>
            <w:r>
              <w:rPr>
                <w:rFonts w:cs="Arial"/>
                <w:b/>
                <w:bCs/>
                <w:color w:val="000000"/>
                <w:szCs w:val="14"/>
              </w:rPr>
              <w:t>(88,668)</w:t>
            </w:r>
          </w:p>
        </w:tc>
      </w:tr>
      <w:tr w:rsidR="008B7E19" w:rsidRPr="0093755D" w14:paraId="01FFE6A1" w14:textId="77777777" w:rsidTr="008B7E19">
        <w:trPr>
          <w:trHeight w:val="238"/>
        </w:trPr>
        <w:tc>
          <w:tcPr>
            <w:tcW w:w="4678" w:type="dxa"/>
            <w:shd w:val="clear" w:color="auto" w:fill="auto"/>
          </w:tcPr>
          <w:p w14:paraId="2C3A37F7" w14:textId="77777777" w:rsidR="008B7E19" w:rsidRPr="0093755D" w:rsidRDefault="008B7E19" w:rsidP="008B7E19">
            <w:pPr>
              <w:pStyle w:val="08-Tabelageral"/>
              <w:ind w:left="113"/>
              <w:jc w:val="left"/>
              <w:rPr>
                <w:rFonts w:cs="Arial"/>
                <w:szCs w:val="14"/>
              </w:rPr>
            </w:pPr>
            <w:r w:rsidRPr="0093755D">
              <w:rPr>
                <w:rFonts w:cs="Arial"/>
                <w:szCs w:val="14"/>
              </w:rPr>
              <w:t>Personnel expenses</w:t>
            </w:r>
          </w:p>
        </w:tc>
        <w:tc>
          <w:tcPr>
            <w:tcW w:w="1240" w:type="dxa"/>
            <w:shd w:val="clear" w:color="auto" w:fill="auto"/>
            <w:vAlign w:val="bottom"/>
          </w:tcPr>
          <w:p w14:paraId="5081BCB2" w14:textId="77777777" w:rsidR="008B7E19" w:rsidRPr="0093755D" w:rsidRDefault="008B7E19" w:rsidP="008B7E19">
            <w:pPr>
              <w:pStyle w:val="08-Tabelageral"/>
              <w:rPr>
                <w:rFonts w:cs="Arial"/>
                <w:szCs w:val="14"/>
              </w:rPr>
            </w:pPr>
            <w:r>
              <w:rPr>
                <w:rFonts w:cs="Arial"/>
                <w:color w:val="000000"/>
                <w:szCs w:val="14"/>
              </w:rPr>
              <w:t>(11,214)</w:t>
            </w:r>
          </w:p>
        </w:tc>
        <w:tc>
          <w:tcPr>
            <w:tcW w:w="1240" w:type="dxa"/>
            <w:shd w:val="clear" w:color="auto" w:fill="auto"/>
            <w:vAlign w:val="bottom"/>
          </w:tcPr>
          <w:p w14:paraId="1C30DAD3" w14:textId="77777777" w:rsidR="008B7E19" w:rsidRPr="0093755D" w:rsidRDefault="008B7E19" w:rsidP="008B7E19">
            <w:pPr>
              <w:pStyle w:val="08-Tabelageral"/>
              <w:rPr>
                <w:rFonts w:cs="Arial"/>
                <w:szCs w:val="14"/>
              </w:rPr>
            </w:pPr>
            <w:r>
              <w:rPr>
                <w:rFonts w:cs="Arial"/>
                <w:color w:val="000000"/>
                <w:szCs w:val="14"/>
              </w:rPr>
              <w:t>(22,724)</w:t>
            </w:r>
          </w:p>
        </w:tc>
        <w:tc>
          <w:tcPr>
            <w:tcW w:w="1240" w:type="dxa"/>
            <w:shd w:val="clear" w:color="auto" w:fill="auto"/>
            <w:vAlign w:val="bottom"/>
          </w:tcPr>
          <w:p w14:paraId="1947822F" w14:textId="77777777" w:rsidR="008B7E19" w:rsidRPr="0093755D" w:rsidRDefault="008B7E19" w:rsidP="008B7E19">
            <w:pPr>
              <w:pStyle w:val="08-Tabelageral"/>
              <w:rPr>
                <w:rFonts w:cs="Arial"/>
                <w:szCs w:val="14"/>
              </w:rPr>
            </w:pPr>
            <w:r>
              <w:rPr>
                <w:rFonts w:cs="Arial"/>
                <w:color w:val="000000"/>
                <w:szCs w:val="14"/>
              </w:rPr>
              <w:t>--</w:t>
            </w:r>
          </w:p>
        </w:tc>
        <w:tc>
          <w:tcPr>
            <w:tcW w:w="1241" w:type="dxa"/>
            <w:shd w:val="clear" w:color="auto" w:fill="auto"/>
            <w:vAlign w:val="bottom"/>
          </w:tcPr>
          <w:p w14:paraId="6759FB05" w14:textId="77777777" w:rsidR="008B7E19" w:rsidRPr="0093755D" w:rsidRDefault="008B7E19" w:rsidP="008B7E19">
            <w:pPr>
              <w:pStyle w:val="08-Tabelageral"/>
              <w:rPr>
                <w:rFonts w:cs="Arial"/>
                <w:szCs w:val="14"/>
              </w:rPr>
            </w:pPr>
            <w:r>
              <w:rPr>
                <w:rFonts w:cs="Arial"/>
                <w:color w:val="000000"/>
                <w:szCs w:val="14"/>
              </w:rPr>
              <w:t>(33,938)</w:t>
            </w:r>
          </w:p>
        </w:tc>
      </w:tr>
      <w:tr w:rsidR="008B7E19" w:rsidRPr="0093755D" w14:paraId="150E8CB0" w14:textId="77777777" w:rsidTr="008B7E19">
        <w:trPr>
          <w:trHeight w:val="238"/>
        </w:trPr>
        <w:tc>
          <w:tcPr>
            <w:tcW w:w="4678" w:type="dxa"/>
            <w:shd w:val="clear" w:color="auto" w:fill="auto"/>
          </w:tcPr>
          <w:p w14:paraId="513F72F9" w14:textId="77777777" w:rsidR="008B7E19" w:rsidRPr="0093755D" w:rsidRDefault="008B7E19" w:rsidP="008B7E19">
            <w:pPr>
              <w:pStyle w:val="08-Tabelageral"/>
              <w:ind w:left="113"/>
              <w:jc w:val="left"/>
              <w:rPr>
                <w:rFonts w:cs="Arial"/>
                <w:szCs w:val="14"/>
              </w:rPr>
            </w:pPr>
            <w:r w:rsidRPr="0093755D">
              <w:rPr>
                <w:rFonts w:cs="Arial"/>
                <w:szCs w:val="14"/>
              </w:rPr>
              <w:t>Adminstrative expenses</w:t>
            </w:r>
          </w:p>
        </w:tc>
        <w:tc>
          <w:tcPr>
            <w:tcW w:w="1240" w:type="dxa"/>
            <w:shd w:val="clear" w:color="auto" w:fill="auto"/>
            <w:vAlign w:val="bottom"/>
          </w:tcPr>
          <w:p w14:paraId="0A2A950D" w14:textId="77777777" w:rsidR="008B7E19" w:rsidRPr="0093755D" w:rsidRDefault="008B7E19" w:rsidP="008B7E19">
            <w:pPr>
              <w:pStyle w:val="08-Tabelageral"/>
              <w:rPr>
                <w:rFonts w:cs="Arial"/>
                <w:szCs w:val="14"/>
              </w:rPr>
            </w:pPr>
            <w:r>
              <w:rPr>
                <w:rFonts w:cs="Arial"/>
                <w:color w:val="000000"/>
                <w:szCs w:val="14"/>
              </w:rPr>
              <w:t>(3,411)</w:t>
            </w:r>
          </w:p>
        </w:tc>
        <w:tc>
          <w:tcPr>
            <w:tcW w:w="1240" w:type="dxa"/>
            <w:shd w:val="clear" w:color="auto" w:fill="auto"/>
            <w:vAlign w:val="bottom"/>
          </w:tcPr>
          <w:p w14:paraId="1EA4CEFE" w14:textId="77777777" w:rsidR="008B7E19" w:rsidRPr="0093755D" w:rsidRDefault="008B7E19" w:rsidP="008B7E19">
            <w:pPr>
              <w:pStyle w:val="08-Tabelageral"/>
              <w:rPr>
                <w:rFonts w:cs="Arial"/>
                <w:szCs w:val="14"/>
              </w:rPr>
            </w:pPr>
            <w:r>
              <w:rPr>
                <w:rFonts w:cs="Arial"/>
                <w:color w:val="000000"/>
                <w:szCs w:val="14"/>
              </w:rPr>
              <w:t>(10,088)</w:t>
            </w:r>
          </w:p>
        </w:tc>
        <w:tc>
          <w:tcPr>
            <w:tcW w:w="1240" w:type="dxa"/>
            <w:shd w:val="clear" w:color="auto" w:fill="auto"/>
            <w:vAlign w:val="bottom"/>
          </w:tcPr>
          <w:p w14:paraId="33A5B3C0" w14:textId="77777777" w:rsidR="008B7E19" w:rsidRPr="0093755D" w:rsidRDefault="008B7E19" w:rsidP="008B7E19">
            <w:pPr>
              <w:pStyle w:val="08-Tabelageral"/>
              <w:rPr>
                <w:rFonts w:cs="Arial"/>
                <w:szCs w:val="14"/>
              </w:rPr>
            </w:pPr>
            <w:r>
              <w:rPr>
                <w:rFonts w:cs="Arial"/>
                <w:color w:val="000000"/>
                <w:szCs w:val="14"/>
              </w:rPr>
              <w:t>--</w:t>
            </w:r>
          </w:p>
        </w:tc>
        <w:tc>
          <w:tcPr>
            <w:tcW w:w="1241" w:type="dxa"/>
            <w:shd w:val="clear" w:color="auto" w:fill="auto"/>
            <w:vAlign w:val="bottom"/>
          </w:tcPr>
          <w:p w14:paraId="76ED9F8B" w14:textId="77777777" w:rsidR="008B7E19" w:rsidRPr="0093755D" w:rsidRDefault="008B7E19" w:rsidP="008B7E19">
            <w:pPr>
              <w:pStyle w:val="08-Tabelageral"/>
              <w:rPr>
                <w:rFonts w:cs="Arial"/>
                <w:szCs w:val="14"/>
              </w:rPr>
            </w:pPr>
            <w:r>
              <w:rPr>
                <w:rFonts w:cs="Arial"/>
                <w:color w:val="000000"/>
                <w:szCs w:val="14"/>
              </w:rPr>
              <w:t>(13,499)</w:t>
            </w:r>
          </w:p>
        </w:tc>
      </w:tr>
      <w:tr w:rsidR="008B7E19" w:rsidRPr="0093755D" w14:paraId="4ADC5BE9" w14:textId="77777777" w:rsidTr="008B7E19">
        <w:trPr>
          <w:trHeight w:val="238"/>
        </w:trPr>
        <w:tc>
          <w:tcPr>
            <w:tcW w:w="4678" w:type="dxa"/>
            <w:shd w:val="clear" w:color="auto" w:fill="auto"/>
          </w:tcPr>
          <w:p w14:paraId="6A37F2B5" w14:textId="77777777" w:rsidR="008B7E19" w:rsidRPr="0093755D" w:rsidRDefault="008B7E19" w:rsidP="008B7E19">
            <w:pPr>
              <w:pStyle w:val="08-Tabelageral"/>
              <w:ind w:left="113"/>
              <w:jc w:val="left"/>
              <w:rPr>
                <w:rFonts w:cs="Arial"/>
                <w:szCs w:val="14"/>
              </w:rPr>
            </w:pPr>
            <w:r w:rsidRPr="0093755D">
              <w:rPr>
                <w:rFonts w:cs="Arial"/>
                <w:szCs w:val="14"/>
              </w:rPr>
              <w:t>Tax expenses</w:t>
            </w:r>
          </w:p>
        </w:tc>
        <w:tc>
          <w:tcPr>
            <w:tcW w:w="1240" w:type="dxa"/>
            <w:shd w:val="clear" w:color="auto" w:fill="auto"/>
            <w:vAlign w:val="bottom"/>
          </w:tcPr>
          <w:p w14:paraId="7F67017C" w14:textId="77777777" w:rsidR="008B7E19" w:rsidRPr="0093755D" w:rsidRDefault="008B7E19" w:rsidP="008B7E19">
            <w:pPr>
              <w:pStyle w:val="08-Tabelageral"/>
              <w:rPr>
                <w:rFonts w:cs="Arial"/>
                <w:szCs w:val="14"/>
              </w:rPr>
            </w:pPr>
            <w:r>
              <w:rPr>
                <w:rFonts w:cs="Arial"/>
                <w:color w:val="000000"/>
                <w:szCs w:val="14"/>
              </w:rPr>
              <w:t>(3,574)</w:t>
            </w:r>
          </w:p>
        </w:tc>
        <w:tc>
          <w:tcPr>
            <w:tcW w:w="1240" w:type="dxa"/>
            <w:shd w:val="clear" w:color="auto" w:fill="auto"/>
            <w:vAlign w:val="bottom"/>
          </w:tcPr>
          <w:p w14:paraId="2DB0FC4B" w14:textId="77777777" w:rsidR="008B7E19" w:rsidRPr="0093755D" w:rsidRDefault="008B7E19" w:rsidP="008B7E19">
            <w:pPr>
              <w:pStyle w:val="08-Tabelageral"/>
              <w:rPr>
                <w:rFonts w:cs="Arial"/>
                <w:szCs w:val="14"/>
              </w:rPr>
            </w:pPr>
            <w:r>
              <w:rPr>
                <w:rFonts w:cs="Arial"/>
                <w:color w:val="000000"/>
                <w:szCs w:val="14"/>
              </w:rPr>
              <w:t>(7,313)</w:t>
            </w:r>
          </w:p>
        </w:tc>
        <w:tc>
          <w:tcPr>
            <w:tcW w:w="1240" w:type="dxa"/>
            <w:shd w:val="clear" w:color="auto" w:fill="auto"/>
            <w:vAlign w:val="bottom"/>
          </w:tcPr>
          <w:p w14:paraId="79CB81AA" w14:textId="77777777" w:rsidR="008B7E19" w:rsidRPr="0093755D" w:rsidRDefault="008B7E19" w:rsidP="008B7E19">
            <w:pPr>
              <w:pStyle w:val="08-Tabelageral"/>
              <w:rPr>
                <w:rFonts w:cs="Arial"/>
                <w:szCs w:val="14"/>
              </w:rPr>
            </w:pPr>
            <w:r>
              <w:rPr>
                <w:rFonts w:cs="Arial"/>
                <w:color w:val="000000"/>
                <w:szCs w:val="14"/>
              </w:rPr>
              <w:t>--</w:t>
            </w:r>
          </w:p>
        </w:tc>
        <w:tc>
          <w:tcPr>
            <w:tcW w:w="1241" w:type="dxa"/>
            <w:shd w:val="clear" w:color="auto" w:fill="auto"/>
            <w:vAlign w:val="bottom"/>
          </w:tcPr>
          <w:p w14:paraId="0F3A4E59" w14:textId="77777777" w:rsidR="008B7E19" w:rsidRPr="0093755D" w:rsidRDefault="008B7E19" w:rsidP="008B7E19">
            <w:pPr>
              <w:pStyle w:val="08-Tabelageral"/>
              <w:rPr>
                <w:rFonts w:cs="Arial"/>
                <w:szCs w:val="14"/>
              </w:rPr>
            </w:pPr>
            <w:r>
              <w:rPr>
                <w:rFonts w:cs="Arial"/>
                <w:color w:val="000000"/>
                <w:szCs w:val="14"/>
              </w:rPr>
              <w:t>(10,887)</w:t>
            </w:r>
          </w:p>
        </w:tc>
      </w:tr>
      <w:tr w:rsidR="008B7E19" w:rsidRPr="0093755D" w14:paraId="703ED19F" w14:textId="77777777" w:rsidTr="008B7E19">
        <w:trPr>
          <w:trHeight w:val="238"/>
        </w:trPr>
        <w:tc>
          <w:tcPr>
            <w:tcW w:w="4678" w:type="dxa"/>
            <w:shd w:val="clear" w:color="auto" w:fill="auto"/>
          </w:tcPr>
          <w:p w14:paraId="02BEE09A" w14:textId="77777777" w:rsidR="008B7E19" w:rsidRPr="0093755D" w:rsidRDefault="008B7E19" w:rsidP="008B7E19">
            <w:pPr>
              <w:pStyle w:val="08-Tabelageral"/>
              <w:ind w:left="113"/>
              <w:jc w:val="left"/>
              <w:rPr>
                <w:rFonts w:cs="Arial"/>
                <w:szCs w:val="14"/>
              </w:rPr>
            </w:pPr>
            <w:r w:rsidRPr="0093755D">
              <w:rPr>
                <w:rFonts w:cs="Arial"/>
                <w:szCs w:val="14"/>
              </w:rPr>
              <w:t>Other</w:t>
            </w:r>
          </w:p>
        </w:tc>
        <w:tc>
          <w:tcPr>
            <w:tcW w:w="1240" w:type="dxa"/>
            <w:shd w:val="clear" w:color="auto" w:fill="auto"/>
            <w:vAlign w:val="bottom"/>
          </w:tcPr>
          <w:p w14:paraId="6FBB1716" w14:textId="77777777" w:rsidR="008B7E19" w:rsidRPr="0093755D" w:rsidRDefault="008B7E19" w:rsidP="008B7E19">
            <w:pPr>
              <w:pStyle w:val="08-Tabelageral"/>
              <w:rPr>
                <w:rFonts w:cs="Arial"/>
                <w:szCs w:val="14"/>
              </w:rPr>
            </w:pPr>
            <w:r>
              <w:rPr>
                <w:rFonts w:cs="Arial"/>
                <w:color w:val="000000"/>
                <w:szCs w:val="14"/>
              </w:rPr>
              <w:t>(10,293)</w:t>
            </w:r>
          </w:p>
        </w:tc>
        <w:tc>
          <w:tcPr>
            <w:tcW w:w="1240" w:type="dxa"/>
            <w:shd w:val="clear" w:color="auto" w:fill="auto"/>
            <w:vAlign w:val="bottom"/>
          </w:tcPr>
          <w:p w14:paraId="77718819" w14:textId="77777777" w:rsidR="008B7E19" w:rsidRPr="0093755D" w:rsidRDefault="008B7E19" w:rsidP="008B7E19">
            <w:pPr>
              <w:pStyle w:val="08-Tabelageral"/>
              <w:rPr>
                <w:rFonts w:cs="Arial"/>
                <w:szCs w:val="14"/>
              </w:rPr>
            </w:pPr>
            <w:r>
              <w:rPr>
                <w:rFonts w:cs="Arial"/>
                <w:color w:val="000000"/>
                <w:szCs w:val="14"/>
              </w:rPr>
              <w:t>(20,051)</w:t>
            </w:r>
          </w:p>
        </w:tc>
        <w:tc>
          <w:tcPr>
            <w:tcW w:w="1240" w:type="dxa"/>
            <w:shd w:val="clear" w:color="auto" w:fill="auto"/>
            <w:vAlign w:val="bottom"/>
          </w:tcPr>
          <w:p w14:paraId="597F2795" w14:textId="77777777" w:rsidR="008B7E19" w:rsidRPr="0093755D" w:rsidRDefault="008B7E19" w:rsidP="008B7E19">
            <w:pPr>
              <w:pStyle w:val="08-Tabelageral"/>
              <w:rPr>
                <w:rFonts w:cs="Arial"/>
                <w:szCs w:val="14"/>
              </w:rPr>
            </w:pPr>
            <w:r>
              <w:rPr>
                <w:rFonts w:cs="Arial"/>
                <w:color w:val="000000"/>
                <w:szCs w:val="14"/>
              </w:rPr>
              <w:t>--</w:t>
            </w:r>
          </w:p>
        </w:tc>
        <w:tc>
          <w:tcPr>
            <w:tcW w:w="1241" w:type="dxa"/>
            <w:shd w:val="clear" w:color="auto" w:fill="auto"/>
            <w:vAlign w:val="bottom"/>
          </w:tcPr>
          <w:p w14:paraId="7E1E6CBF" w14:textId="77777777" w:rsidR="008B7E19" w:rsidRPr="0093755D" w:rsidRDefault="008B7E19" w:rsidP="008B7E19">
            <w:pPr>
              <w:pStyle w:val="08-Tabelageral"/>
              <w:rPr>
                <w:rFonts w:cs="Arial"/>
                <w:szCs w:val="14"/>
              </w:rPr>
            </w:pPr>
            <w:r>
              <w:rPr>
                <w:rFonts w:cs="Arial"/>
                <w:color w:val="000000"/>
                <w:szCs w:val="14"/>
              </w:rPr>
              <w:t>(30,344)</w:t>
            </w:r>
          </w:p>
        </w:tc>
      </w:tr>
      <w:tr w:rsidR="008B7E19" w:rsidRPr="0093755D" w14:paraId="4379B2A2" w14:textId="77777777" w:rsidTr="008B7E19">
        <w:trPr>
          <w:trHeight w:val="238"/>
        </w:trPr>
        <w:tc>
          <w:tcPr>
            <w:tcW w:w="4678" w:type="dxa"/>
            <w:shd w:val="clear" w:color="auto" w:fill="auto"/>
          </w:tcPr>
          <w:p w14:paraId="34FCB2E1" w14:textId="77777777" w:rsidR="008B7E19" w:rsidRPr="0093755D" w:rsidRDefault="008B7E19" w:rsidP="008B7E19">
            <w:pPr>
              <w:pStyle w:val="08-Tabelageral"/>
              <w:jc w:val="left"/>
              <w:rPr>
                <w:rFonts w:cs="Arial"/>
                <w:b/>
                <w:szCs w:val="14"/>
                <w:lang w:val="en-US"/>
              </w:rPr>
            </w:pPr>
            <w:r w:rsidRPr="0093755D">
              <w:rPr>
                <w:rFonts w:cs="Arial"/>
                <w:b/>
                <w:szCs w:val="14"/>
                <w:lang w:val="en-US"/>
              </w:rPr>
              <w:t>I</w:t>
            </w:r>
            <w:r>
              <w:rPr>
                <w:rFonts w:cs="Arial"/>
                <w:b/>
                <w:szCs w:val="14"/>
                <w:lang w:val="en-US"/>
              </w:rPr>
              <w:t>ncome Before Financial Revenue a</w:t>
            </w:r>
            <w:r w:rsidRPr="0093755D">
              <w:rPr>
                <w:rFonts w:cs="Arial"/>
                <w:b/>
                <w:szCs w:val="14"/>
                <w:lang w:val="en-US"/>
              </w:rPr>
              <w:t>nd Expenses</w:t>
            </w:r>
          </w:p>
        </w:tc>
        <w:tc>
          <w:tcPr>
            <w:tcW w:w="1240" w:type="dxa"/>
            <w:shd w:val="clear" w:color="auto" w:fill="auto"/>
            <w:vAlign w:val="bottom"/>
          </w:tcPr>
          <w:p w14:paraId="5D672DCA" w14:textId="77777777" w:rsidR="008B7E19" w:rsidRPr="0093755D" w:rsidRDefault="008B7E19" w:rsidP="008B7E19">
            <w:pPr>
              <w:pStyle w:val="08-Tabelageral"/>
              <w:rPr>
                <w:rFonts w:cs="Arial"/>
                <w:b/>
                <w:szCs w:val="14"/>
              </w:rPr>
            </w:pPr>
            <w:r>
              <w:rPr>
                <w:rFonts w:cs="Arial"/>
                <w:b/>
                <w:bCs/>
                <w:color w:val="000000"/>
                <w:szCs w:val="14"/>
              </w:rPr>
              <w:t>4,058,291</w:t>
            </w:r>
          </w:p>
        </w:tc>
        <w:tc>
          <w:tcPr>
            <w:tcW w:w="1240" w:type="dxa"/>
            <w:shd w:val="clear" w:color="auto" w:fill="auto"/>
            <w:vAlign w:val="bottom"/>
          </w:tcPr>
          <w:p w14:paraId="5A54863B" w14:textId="77777777" w:rsidR="008B7E19" w:rsidRPr="0093755D" w:rsidRDefault="008B7E19" w:rsidP="008B7E19">
            <w:pPr>
              <w:pStyle w:val="08-Tabelageral"/>
              <w:rPr>
                <w:rFonts w:cs="Arial"/>
                <w:b/>
                <w:szCs w:val="14"/>
              </w:rPr>
            </w:pPr>
            <w:r>
              <w:rPr>
                <w:rFonts w:cs="Arial"/>
                <w:b/>
                <w:bCs/>
                <w:color w:val="000000"/>
                <w:szCs w:val="14"/>
              </w:rPr>
              <w:t>1,693,128</w:t>
            </w:r>
          </w:p>
        </w:tc>
        <w:tc>
          <w:tcPr>
            <w:tcW w:w="1240" w:type="dxa"/>
            <w:shd w:val="clear" w:color="auto" w:fill="auto"/>
            <w:vAlign w:val="bottom"/>
          </w:tcPr>
          <w:p w14:paraId="77AE7C31" w14:textId="77777777" w:rsidR="008B7E19" w:rsidRPr="0093755D" w:rsidRDefault="008B7E19" w:rsidP="008B7E19">
            <w:pPr>
              <w:pStyle w:val="08-Tabelageral"/>
              <w:rPr>
                <w:rFonts w:cs="Arial"/>
                <w:b/>
                <w:szCs w:val="14"/>
              </w:rPr>
            </w:pPr>
            <w:r>
              <w:rPr>
                <w:rFonts w:cs="Arial"/>
                <w:b/>
                <w:bCs/>
                <w:color w:val="000000"/>
                <w:szCs w:val="14"/>
              </w:rPr>
              <w:t>(2,586,472)</w:t>
            </w:r>
          </w:p>
        </w:tc>
        <w:tc>
          <w:tcPr>
            <w:tcW w:w="1241" w:type="dxa"/>
            <w:shd w:val="clear" w:color="auto" w:fill="auto"/>
            <w:vAlign w:val="bottom"/>
          </w:tcPr>
          <w:p w14:paraId="7BDF602E" w14:textId="77777777" w:rsidR="008B7E19" w:rsidRPr="0093755D" w:rsidRDefault="008B7E19" w:rsidP="008B7E19">
            <w:pPr>
              <w:pStyle w:val="08-Tabelageral"/>
              <w:rPr>
                <w:rFonts w:cs="Arial"/>
                <w:b/>
                <w:szCs w:val="14"/>
              </w:rPr>
            </w:pPr>
            <w:r>
              <w:rPr>
                <w:rFonts w:cs="Arial"/>
                <w:b/>
                <w:bCs/>
                <w:color w:val="000000"/>
                <w:szCs w:val="14"/>
              </w:rPr>
              <w:t>3,164,947</w:t>
            </w:r>
          </w:p>
        </w:tc>
      </w:tr>
      <w:tr w:rsidR="008B7E19" w:rsidRPr="0093755D" w14:paraId="70E68050" w14:textId="77777777" w:rsidTr="008B7E19">
        <w:trPr>
          <w:trHeight w:val="238"/>
        </w:trPr>
        <w:tc>
          <w:tcPr>
            <w:tcW w:w="4678" w:type="dxa"/>
            <w:shd w:val="clear" w:color="auto" w:fill="auto"/>
          </w:tcPr>
          <w:p w14:paraId="2EC6B650" w14:textId="77777777" w:rsidR="008B7E19" w:rsidRPr="0093755D" w:rsidRDefault="008B7E19" w:rsidP="008B7E19">
            <w:pPr>
              <w:pStyle w:val="08-Tabelageral"/>
              <w:jc w:val="left"/>
              <w:rPr>
                <w:rFonts w:cs="Arial"/>
                <w:b/>
                <w:szCs w:val="14"/>
              </w:rPr>
            </w:pPr>
            <w:r w:rsidRPr="0093755D">
              <w:rPr>
                <w:rFonts w:cs="Arial"/>
                <w:b/>
                <w:szCs w:val="14"/>
              </w:rPr>
              <w:t>Financial Result</w:t>
            </w:r>
          </w:p>
        </w:tc>
        <w:tc>
          <w:tcPr>
            <w:tcW w:w="1240" w:type="dxa"/>
            <w:shd w:val="clear" w:color="auto" w:fill="auto"/>
            <w:vAlign w:val="bottom"/>
          </w:tcPr>
          <w:p w14:paraId="184CDD27" w14:textId="77777777" w:rsidR="008B7E19" w:rsidRPr="0093755D" w:rsidRDefault="008B7E19" w:rsidP="008B7E19">
            <w:pPr>
              <w:pStyle w:val="08-Tabelageral"/>
              <w:rPr>
                <w:rFonts w:cs="Arial"/>
                <w:b/>
                <w:szCs w:val="14"/>
              </w:rPr>
            </w:pPr>
            <w:r>
              <w:rPr>
                <w:rFonts w:cs="Arial"/>
                <w:b/>
                <w:bCs/>
                <w:color w:val="000000"/>
                <w:szCs w:val="14"/>
              </w:rPr>
              <w:t>37,637</w:t>
            </w:r>
          </w:p>
        </w:tc>
        <w:tc>
          <w:tcPr>
            <w:tcW w:w="1240" w:type="dxa"/>
            <w:shd w:val="clear" w:color="auto" w:fill="auto"/>
            <w:vAlign w:val="bottom"/>
          </w:tcPr>
          <w:p w14:paraId="57CCDC96" w14:textId="77777777" w:rsidR="008B7E19" w:rsidRPr="0093755D" w:rsidRDefault="008B7E19" w:rsidP="008B7E19">
            <w:pPr>
              <w:pStyle w:val="08-Tabelageral"/>
              <w:rPr>
                <w:rFonts w:cs="Arial"/>
                <w:b/>
                <w:szCs w:val="14"/>
              </w:rPr>
            </w:pPr>
            <w:r>
              <w:rPr>
                <w:rFonts w:cs="Arial"/>
                <w:b/>
                <w:bCs/>
                <w:color w:val="000000"/>
                <w:szCs w:val="14"/>
              </w:rPr>
              <w:t>138,280</w:t>
            </w:r>
          </w:p>
        </w:tc>
        <w:tc>
          <w:tcPr>
            <w:tcW w:w="1240" w:type="dxa"/>
            <w:shd w:val="clear" w:color="auto" w:fill="auto"/>
            <w:vAlign w:val="bottom"/>
          </w:tcPr>
          <w:p w14:paraId="693741E7" w14:textId="77777777" w:rsidR="008B7E19" w:rsidRPr="0093755D" w:rsidRDefault="008B7E19" w:rsidP="008B7E19">
            <w:pPr>
              <w:pStyle w:val="08-Tabelageral"/>
              <w:rPr>
                <w:rFonts w:cs="Arial"/>
                <w:b/>
                <w:szCs w:val="14"/>
              </w:rPr>
            </w:pPr>
            <w:r>
              <w:rPr>
                <w:rFonts w:cs="Arial"/>
                <w:b/>
                <w:bCs/>
                <w:color w:val="000000"/>
                <w:szCs w:val="14"/>
              </w:rPr>
              <w:t>--</w:t>
            </w:r>
          </w:p>
        </w:tc>
        <w:tc>
          <w:tcPr>
            <w:tcW w:w="1241" w:type="dxa"/>
            <w:shd w:val="clear" w:color="auto" w:fill="auto"/>
            <w:vAlign w:val="bottom"/>
          </w:tcPr>
          <w:p w14:paraId="07E82BD7" w14:textId="77777777" w:rsidR="008B7E19" w:rsidRPr="0093755D" w:rsidRDefault="008B7E19" w:rsidP="008B7E19">
            <w:pPr>
              <w:pStyle w:val="08-Tabelageral"/>
              <w:rPr>
                <w:rFonts w:cs="Arial"/>
                <w:b/>
                <w:szCs w:val="14"/>
              </w:rPr>
            </w:pPr>
            <w:r>
              <w:rPr>
                <w:rFonts w:cs="Arial"/>
                <w:b/>
                <w:bCs/>
                <w:color w:val="000000"/>
                <w:szCs w:val="14"/>
              </w:rPr>
              <w:t>175,917</w:t>
            </w:r>
          </w:p>
        </w:tc>
      </w:tr>
      <w:tr w:rsidR="008B7E19" w:rsidRPr="0093755D" w14:paraId="66DEA301" w14:textId="77777777" w:rsidTr="008B7E19">
        <w:trPr>
          <w:trHeight w:val="238"/>
        </w:trPr>
        <w:tc>
          <w:tcPr>
            <w:tcW w:w="4678" w:type="dxa"/>
            <w:shd w:val="clear" w:color="auto" w:fill="auto"/>
          </w:tcPr>
          <w:p w14:paraId="55D57984" w14:textId="77777777" w:rsidR="008B7E19" w:rsidRPr="0093755D" w:rsidRDefault="008B7E19" w:rsidP="008B7E19">
            <w:pPr>
              <w:pStyle w:val="08-Tabelageral"/>
              <w:ind w:left="113"/>
              <w:jc w:val="left"/>
              <w:rPr>
                <w:rFonts w:cs="Arial"/>
                <w:szCs w:val="14"/>
              </w:rPr>
            </w:pPr>
            <w:r w:rsidRPr="0093755D">
              <w:rPr>
                <w:rFonts w:cs="Arial"/>
                <w:szCs w:val="14"/>
              </w:rPr>
              <w:t>Financial revenue</w:t>
            </w:r>
          </w:p>
        </w:tc>
        <w:tc>
          <w:tcPr>
            <w:tcW w:w="1240" w:type="dxa"/>
            <w:shd w:val="clear" w:color="auto" w:fill="auto"/>
            <w:vAlign w:val="bottom"/>
          </w:tcPr>
          <w:p w14:paraId="79A3B1EA" w14:textId="77777777" w:rsidR="008B7E19" w:rsidRPr="0093755D" w:rsidRDefault="008B7E19" w:rsidP="008B7E19">
            <w:pPr>
              <w:pStyle w:val="08-Tabelageral"/>
              <w:rPr>
                <w:rFonts w:cs="Arial"/>
                <w:szCs w:val="14"/>
              </w:rPr>
            </w:pPr>
            <w:r>
              <w:rPr>
                <w:rFonts w:cs="Arial"/>
                <w:color w:val="000000"/>
                <w:szCs w:val="14"/>
              </w:rPr>
              <w:t>71,196</w:t>
            </w:r>
          </w:p>
        </w:tc>
        <w:tc>
          <w:tcPr>
            <w:tcW w:w="1240" w:type="dxa"/>
            <w:shd w:val="clear" w:color="auto" w:fill="auto"/>
            <w:vAlign w:val="bottom"/>
          </w:tcPr>
          <w:p w14:paraId="17ED4C9B" w14:textId="77777777" w:rsidR="008B7E19" w:rsidRPr="0093755D" w:rsidRDefault="008B7E19" w:rsidP="008B7E19">
            <w:pPr>
              <w:pStyle w:val="08-Tabelageral"/>
              <w:rPr>
                <w:rFonts w:cs="Arial"/>
                <w:szCs w:val="14"/>
              </w:rPr>
            </w:pPr>
            <w:r>
              <w:rPr>
                <w:rFonts w:cs="Arial"/>
                <w:color w:val="000000"/>
                <w:szCs w:val="14"/>
              </w:rPr>
              <w:t>155,465</w:t>
            </w:r>
          </w:p>
        </w:tc>
        <w:tc>
          <w:tcPr>
            <w:tcW w:w="1240" w:type="dxa"/>
            <w:shd w:val="clear" w:color="auto" w:fill="auto"/>
            <w:vAlign w:val="bottom"/>
          </w:tcPr>
          <w:p w14:paraId="05A08DAF" w14:textId="77777777" w:rsidR="008B7E19" w:rsidRPr="0093755D" w:rsidRDefault="008B7E19" w:rsidP="008B7E19">
            <w:pPr>
              <w:pStyle w:val="08-Tabelageral"/>
              <w:rPr>
                <w:rFonts w:cs="Arial"/>
                <w:szCs w:val="14"/>
              </w:rPr>
            </w:pPr>
            <w:r>
              <w:rPr>
                <w:rFonts w:cs="Arial"/>
                <w:color w:val="000000"/>
                <w:szCs w:val="14"/>
              </w:rPr>
              <w:t>(22,106)</w:t>
            </w:r>
          </w:p>
        </w:tc>
        <w:tc>
          <w:tcPr>
            <w:tcW w:w="1241" w:type="dxa"/>
            <w:shd w:val="clear" w:color="auto" w:fill="auto"/>
            <w:vAlign w:val="bottom"/>
          </w:tcPr>
          <w:p w14:paraId="7B682EF7" w14:textId="77777777" w:rsidR="008B7E19" w:rsidRPr="0093755D" w:rsidRDefault="008B7E19" w:rsidP="008B7E19">
            <w:pPr>
              <w:pStyle w:val="08-Tabelageral"/>
              <w:rPr>
                <w:rFonts w:cs="Arial"/>
                <w:szCs w:val="14"/>
              </w:rPr>
            </w:pPr>
            <w:r>
              <w:rPr>
                <w:rFonts w:cs="Arial"/>
                <w:color w:val="000000"/>
                <w:szCs w:val="14"/>
              </w:rPr>
              <w:t>204,555</w:t>
            </w:r>
          </w:p>
        </w:tc>
      </w:tr>
      <w:tr w:rsidR="008B7E19" w:rsidRPr="0093755D" w14:paraId="6568F44D" w14:textId="77777777" w:rsidTr="008B7E19">
        <w:trPr>
          <w:trHeight w:val="238"/>
        </w:trPr>
        <w:tc>
          <w:tcPr>
            <w:tcW w:w="4678" w:type="dxa"/>
            <w:shd w:val="clear" w:color="auto" w:fill="auto"/>
          </w:tcPr>
          <w:p w14:paraId="06203F26" w14:textId="77777777" w:rsidR="008B7E19" w:rsidRPr="0093755D" w:rsidRDefault="008B7E19" w:rsidP="008B7E19">
            <w:pPr>
              <w:pStyle w:val="08-Tabelageral"/>
              <w:ind w:left="113"/>
              <w:jc w:val="left"/>
              <w:rPr>
                <w:rFonts w:cs="Arial"/>
                <w:szCs w:val="14"/>
              </w:rPr>
            </w:pPr>
            <w:r w:rsidRPr="0093755D">
              <w:rPr>
                <w:rFonts w:cs="Arial"/>
                <w:szCs w:val="14"/>
              </w:rPr>
              <w:t>Financial expenses</w:t>
            </w:r>
          </w:p>
        </w:tc>
        <w:tc>
          <w:tcPr>
            <w:tcW w:w="1240" w:type="dxa"/>
            <w:shd w:val="clear" w:color="auto" w:fill="auto"/>
            <w:vAlign w:val="bottom"/>
          </w:tcPr>
          <w:p w14:paraId="1E2349DB" w14:textId="77777777" w:rsidR="008B7E19" w:rsidRPr="0093755D" w:rsidRDefault="008B7E19" w:rsidP="008B7E19">
            <w:pPr>
              <w:pStyle w:val="08-Tabelageral"/>
              <w:rPr>
                <w:rFonts w:cs="Arial"/>
                <w:szCs w:val="14"/>
              </w:rPr>
            </w:pPr>
            <w:r>
              <w:rPr>
                <w:rFonts w:cs="Arial"/>
                <w:color w:val="000000"/>
                <w:szCs w:val="14"/>
              </w:rPr>
              <w:t>(33,559)</w:t>
            </w:r>
          </w:p>
        </w:tc>
        <w:tc>
          <w:tcPr>
            <w:tcW w:w="1240" w:type="dxa"/>
            <w:shd w:val="clear" w:color="auto" w:fill="auto"/>
            <w:vAlign w:val="bottom"/>
          </w:tcPr>
          <w:p w14:paraId="4AD5211D" w14:textId="77777777" w:rsidR="008B7E19" w:rsidRPr="0093755D" w:rsidRDefault="008B7E19" w:rsidP="008B7E19">
            <w:pPr>
              <w:pStyle w:val="08-Tabelageral"/>
              <w:rPr>
                <w:rFonts w:cs="Arial"/>
                <w:szCs w:val="14"/>
              </w:rPr>
            </w:pPr>
            <w:r>
              <w:rPr>
                <w:rFonts w:cs="Arial"/>
                <w:color w:val="000000"/>
                <w:szCs w:val="14"/>
              </w:rPr>
              <w:t>(17,185)</w:t>
            </w:r>
          </w:p>
        </w:tc>
        <w:tc>
          <w:tcPr>
            <w:tcW w:w="1240" w:type="dxa"/>
            <w:shd w:val="clear" w:color="auto" w:fill="auto"/>
            <w:vAlign w:val="bottom"/>
          </w:tcPr>
          <w:p w14:paraId="6D64251B" w14:textId="77777777" w:rsidR="008B7E19" w:rsidRPr="0093755D" w:rsidRDefault="008B7E19" w:rsidP="008B7E19">
            <w:pPr>
              <w:pStyle w:val="08-Tabelageral"/>
              <w:rPr>
                <w:rFonts w:cs="Arial"/>
                <w:szCs w:val="14"/>
              </w:rPr>
            </w:pPr>
            <w:r>
              <w:rPr>
                <w:rFonts w:cs="Arial"/>
                <w:color w:val="000000"/>
                <w:szCs w:val="14"/>
              </w:rPr>
              <w:t>22,106</w:t>
            </w:r>
          </w:p>
        </w:tc>
        <w:tc>
          <w:tcPr>
            <w:tcW w:w="1241" w:type="dxa"/>
            <w:shd w:val="clear" w:color="auto" w:fill="auto"/>
            <w:vAlign w:val="bottom"/>
          </w:tcPr>
          <w:p w14:paraId="35F07944" w14:textId="77777777" w:rsidR="008B7E19" w:rsidRPr="0093755D" w:rsidRDefault="008B7E19" w:rsidP="008B7E19">
            <w:pPr>
              <w:pStyle w:val="08-Tabelageral"/>
              <w:rPr>
                <w:rFonts w:cs="Arial"/>
                <w:szCs w:val="14"/>
              </w:rPr>
            </w:pPr>
            <w:r>
              <w:rPr>
                <w:rFonts w:cs="Arial"/>
                <w:color w:val="000000"/>
                <w:szCs w:val="14"/>
              </w:rPr>
              <w:t>(28,638)</w:t>
            </w:r>
          </w:p>
        </w:tc>
      </w:tr>
      <w:tr w:rsidR="008B7E19" w:rsidRPr="0093755D" w14:paraId="4BC355A7" w14:textId="77777777" w:rsidTr="008B7E19">
        <w:trPr>
          <w:trHeight w:val="238"/>
        </w:trPr>
        <w:tc>
          <w:tcPr>
            <w:tcW w:w="4678" w:type="dxa"/>
            <w:shd w:val="clear" w:color="auto" w:fill="auto"/>
          </w:tcPr>
          <w:p w14:paraId="06711C92" w14:textId="77777777" w:rsidR="008B7E19" w:rsidRPr="0093755D" w:rsidRDefault="008B7E19" w:rsidP="008B7E19">
            <w:pPr>
              <w:pStyle w:val="08-Tabelageral"/>
              <w:jc w:val="left"/>
              <w:rPr>
                <w:rFonts w:cs="Arial"/>
                <w:b/>
                <w:bCs/>
                <w:szCs w:val="14"/>
                <w:lang w:val="en-US"/>
              </w:rPr>
            </w:pPr>
            <w:r w:rsidRPr="0093755D">
              <w:rPr>
                <w:rFonts w:cs="Arial"/>
                <w:b/>
                <w:szCs w:val="14"/>
                <w:lang w:val="en-US"/>
              </w:rPr>
              <w:t xml:space="preserve">Income Before Taxes </w:t>
            </w:r>
            <w:r>
              <w:rPr>
                <w:rFonts w:cs="Arial"/>
                <w:b/>
                <w:szCs w:val="14"/>
                <w:lang w:val="en-US"/>
              </w:rPr>
              <w:t>a</w:t>
            </w:r>
            <w:r w:rsidRPr="0093755D">
              <w:rPr>
                <w:rFonts w:cs="Arial"/>
                <w:b/>
                <w:szCs w:val="14"/>
                <w:lang w:val="en-US"/>
              </w:rPr>
              <w:t>nd Equities</w:t>
            </w:r>
          </w:p>
        </w:tc>
        <w:tc>
          <w:tcPr>
            <w:tcW w:w="1240" w:type="dxa"/>
            <w:shd w:val="clear" w:color="auto" w:fill="auto"/>
            <w:vAlign w:val="bottom"/>
          </w:tcPr>
          <w:p w14:paraId="3C61C469" w14:textId="77777777" w:rsidR="008B7E19" w:rsidRPr="0093755D" w:rsidRDefault="008B7E19" w:rsidP="008B7E19">
            <w:pPr>
              <w:pStyle w:val="08-Tabelageral"/>
              <w:rPr>
                <w:rFonts w:cs="Arial"/>
                <w:b/>
                <w:szCs w:val="14"/>
              </w:rPr>
            </w:pPr>
            <w:r>
              <w:rPr>
                <w:rFonts w:cs="Arial"/>
                <w:b/>
                <w:bCs/>
                <w:color w:val="000000"/>
                <w:szCs w:val="14"/>
              </w:rPr>
              <w:t>4,065,841</w:t>
            </w:r>
          </w:p>
        </w:tc>
        <w:tc>
          <w:tcPr>
            <w:tcW w:w="1240" w:type="dxa"/>
            <w:shd w:val="clear" w:color="auto" w:fill="auto"/>
            <w:vAlign w:val="bottom"/>
          </w:tcPr>
          <w:p w14:paraId="0DB8D2E7" w14:textId="77777777" w:rsidR="008B7E19" w:rsidRPr="0093755D" w:rsidRDefault="008B7E19" w:rsidP="008B7E19">
            <w:pPr>
              <w:pStyle w:val="08-Tabelageral"/>
              <w:rPr>
                <w:rFonts w:cs="Arial"/>
                <w:b/>
                <w:szCs w:val="14"/>
              </w:rPr>
            </w:pPr>
            <w:r>
              <w:rPr>
                <w:rFonts w:cs="Arial"/>
                <w:b/>
                <w:bCs/>
                <w:color w:val="000000"/>
                <w:szCs w:val="14"/>
              </w:rPr>
              <w:t>1,831,408</w:t>
            </w:r>
          </w:p>
        </w:tc>
        <w:tc>
          <w:tcPr>
            <w:tcW w:w="1240" w:type="dxa"/>
            <w:shd w:val="clear" w:color="auto" w:fill="auto"/>
            <w:vAlign w:val="bottom"/>
          </w:tcPr>
          <w:p w14:paraId="067FAAD5" w14:textId="77777777" w:rsidR="008B7E19" w:rsidRPr="0093755D" w:rsidRDefault="008B7E19" w:rsidP="008B7E19">
            <w:pPr>
              <w:pStyle w:val="08-Tabelageral"/>
              <w:rPr>
                <w:rFonts w:cs="Arial"/>
                <w:b/>
                <w:szCs w:val="14"/>
              </w:rPr>
            </w:pPr>
            <w:r>
              <w:rPr>
                <w:rFonts w:cs="Arial"/>
                <w:b/>
                <w:bCs/>
                <w:color w:val="000000"/>
                <w:szCs w:val="14"/>
              </w:rPr>
              <w:t>(2,586,472)</w:t>
            </w:r>
          </w:p>
        </w:tc>
        <w:tc>
          <w:tcPr>
            <w:tcW w:w="1241" w:type="dxa"/>
            <w:shd w:val="clear" w:color="auto" w:fill="auto"/>
            <w:vAlign w:val="bottom"/>
          </w:tcPr>
          <w:p w14:paraId="6AC968B8" w14:textId="77777777" w:rsidR="008B7E19" w:rsidRPr="0093755D" w:rsidRDefault="008B7E19" w:rsidP="008B7E19">
            <w:pPr>
              <w:pStyle w:val="08-Tabelageral"/>
              <w:rPr>
                <w:rFonts w:cs="Arial"/>
                <w:b/>
                <w:szCs w:val="14"/>
              </w:rPr>
            </w:pPr>
            <w:r>
              <w:rPr>
                <w:rFonts w:cs="Arial"/>
                <w:b/>
                <w:bCs/>
                <w:color w:val="000000"/>
                <w:szCs w:val="14"/>
              </w:rPr>
              <w:t>3,310,777</w:t>
            </w:r>
          </w:p>
        </w:tc>
      </w:tr>
      <w:tr w:rsidR="008B7E19" w:rsidRPr="000F19A6" w14:paraId="53ACE434" w14:textId="77777777" w:rsidTr="008B7E19">
        <w:trPr>
          <w:trHeight w:val="238"/>
        </w:trPr>
        <w:tc>
          <w:tcPr>
            <w:tcW w:w="4678" w:type="dxa"/>
            <w:tcBorders>
              <w:bottom w:val="nil"/>
            </w:tcBorders>
            <w:shd w:val="clear" w:color="auto" w:fill="auto"/>
          </w:tcPr>
          <w:p w14:paraId="1FB9B66B" w14:textId="77777777" w:rsidR="008B7E19" w:rsidRPr="000F19A6" w:rsidRDefault="008B7E19" w:rsidP="008B7E19">
            <w:pPr>
              <w:pStyle w:val="08-Tabelageral"/>
              <w:ind w:left="113"/>
              <w:jc w:val="left"/>
              <w:rPr>
                <w:rFonts w:cs="Arial"/>
                <w:szCs w:val="14"/>
                <w:lang w:val="en-US"/>
              </w:rPr>
            </w:pPr>
            <w:r w:rsidRPr="000F19A6">
              <w:rPr>
                <w:rFonts w:cs="Arial"/>
                <w:szCs w:val="14"/>
                <w:lang w:val="en-US"/>
              </w:rPr>
              <w:t>Income Tax and Social Contribution</w:t>
            </w:r>
          </w:p>
        </w:tc>
        <w:tc>
          <w:tcPr>
            <w:tcW w:w="1240" w:type="dxa"/>
            <w:tcBorders>
              <w:bottom w:val="nil"/>
            </w:tcBorders>
            <w:shd w:val="clear" w:color="auto" w:fill="auto"/>
            <w:vAlign w:val="bottom"/>
          </w:tcPr>
          <w:p w14:paraId="3297FD0A" w14:textId="77777777" w:rsidR="008B7E19" w:rsidRPr="000F19A6" w:rsidRDefault="008B7E19" w:rsidP="008B7E19">
            <w:pPr>
              <w:pStyle w:val="08-Tabelageral"/>
              <w:rPr>
                <w:rFonts w:cs="Arial"/>
                <w:szCs w:val="14"/>
              </w:rPr>
            </w:pPr>
            <w:r>
              <w:rPr>
                <w:rFonts w:cs="Arial"/>
                <w:color w:val="000000"/>
                <w:szCs w:val="14"/>
              </w:rPr>
              <w:t>(3,326)</w:t>
            </w:r>
          </w:p>
        </w:tc>
        <w:tc>
          <w:tcPr>
            <w:tcW w:w="1240" w:type="dxa"/>
            <w:tcBorders>
              <w:bottom w:val="nil"/>
            </w:tcBorders>
            <w:shd w:val="clear" w:color="auto" w:fill="auto"/>
            <w:vAlign w:val="bottom"/>
          </w:tcPr>
          <w:p w14:paraId="0BD33E21" w14:textId="77777777" w:rsidR="008B7E19" w:rsidRPr="000F19A6" w:rsidRDefault="008B7E19" w:rsidP="008B7E19">
            <w:pPr>
              <w:pStyle w:val="08-Tabelageral"/>
              <w:rPr>
                <w:rFonts w:cs="Arial"/>
                <w:szCs w:val="14"/>
              </w:rPr>
            </w:pPr>
            <w:r>
              <w:rPr>
                <w:rFonts w:cs="Arial"/>
                <w:color w:val="000000"/>
                <w:szCs w:val="14"/>
              </w:rPr>
              <w:t>(624,293)</w:t>
            </w:r>
          </w:p>
        </w:tc>
        <w:tc>
          <w:tcPr>
            <w:tcW w:w="1240" w:type="dxa"/>
            <w:tcBorders>
              <w:bottom w:val="nil"/>
            </w:tcBorders>
            <w:shd w:val="clear" w:color="auto" w:fill="auto"/>
            <w:vAlign w:val="bottom"/>
          </w:tcPr>
          <w:p w14:paraId="42033521" w14:textId="77777777" w:rsidR="008B7E19" w:rsidRPr="000F19A6" w:rsidRDefault="008B7E19" w:rsidP="008B7E19">
            <w:pPr>
              <w:pStyle w:val="08-Tabelageral"/>
              <w:rPr>
                <w:rFonts w:cs="Arial"/>
                <w:szCs w:val="14"/>
              </w:rPr>
            </w:pPr>
            <w:r>
              <w:rPr>
                <w:rFonts w:cs="Arial"/>
                <w:color w:val="000000"/>
                <w:szCs w:val="14"/>
              </w:rPr>
              <w:t>--</w:t>
            </w:r>
          </w:p>
        </w:tc>
        <w:tc>
          <w:tcPr>
            <w:tcW w:w="1241" w:type="dxa"/>
            <w:tcBorders>
              <w:bottom w:val="nil"/>
            </w:tcBorders>
            <w:shd w:val="clear" w:color="auto" w:fill="auto"/>
            <w:vAlign w:val="bottom"/>
          </w:tcPr>
          <w:p w14:paraId="101A1539" w14:textId="77777777" w:rsidR="008B7E19" w:rsidRPr="000F19A6" w:rsidRDefault="008B7E19" w:rsidP="008B7E19">
            <w:pPr>
              <w:pStyle w:val="08-Tabelageral"/>
              <w:rPr>
                <w:rFonts w:cs="Arial"/>
                <w:szCs w:val="14"/>
              </w:rPr>
            </w:pPr>
            <w:r>
              <w:rPr>
                <w:rFonts w:cs="Arial"/>
                <w:color w:val="000000"/>
                <w:szCs w:val="14"/>
              </w:rPr>
              <w:t>(627,619)</w:t>
            </w:r>
          </w:p>
        </w:tc>
      </w:tr>
      <w:tr w:rsidR="008B7E19" w:rsidRPr="0093755D" w14:paraId="592AB813" w14:textId="77777777" w:rsidTr="008B7E19">
        <w:trPr>
          <w:trHeight w:val="238"/>
        </w:trPr>
        <w:tc>
          <w:tcPr>
            <w:tcW w:w="4678" w:type="dxa"/>
            <w:tcBorders>
              <w:top w:val="nil"/>
              <w:bottom w:val="single" w:sz="2" w:space="0" w:color="1F3864" w:themeColor="accent5" w:themeShade="80"/>
            </w:tcBorders>
            <w:shd w:val="clear" w:color="auto" w:fill="auto"/>
          </w:tcPr>
          <w:p w14:paraId="2ABB7715" w14:textId="77777777" w:rsidR="008B7E19" w:rsidRPr="0093755D" w:rsidRDefault="008B7E19" w:rsidP="008B7E19">
            <w:pPr>
              <w:pStyle w:val="08-Tabelageral"/>
              <w:jc w:val="left"/>
              <w:rPr>
                <w:rFonts w:cs="Arial"/>
                <w:b/>
                <w:bCs/>
                <w:szCs w:val="14"/>
                <w:lang w:val="en-US"/>
              </w:rPr>
            </w:pPr>
            <w:r w:rsidRPr="0093755D">
              <w:rPr>
                <w:rFonts w:cs="Arial"/>
                <w:b/>
                <w:szCs w:val="14"/>
                <w:lang w:val="en-US"/>
              </w:rPr>
              <w:t>Net Income</w:t>
            </w:r>
          </w:p>
        </w:tc>
        <w:tc>
          <w:tcPr>
            <w:tcW w:w="1240" w:type="dxa"/>
            <w:tcBorders>
              <w:top w:val="nil"/>
              <w:bottom w:val="single" w:sz="2" w:space="0" w:color="1F3864" w:themeColor="accent5" w:themeShade="80"/>
            </w:tcBorders>
            <w:shd w:val="clear" w:color="auto" w:fill="auto"/>
            <w:vAlign w:val="bottom"/>
          </w:tcPr>
          <w:p w14:paraId="74D43273" w14:textId="77777777" w:rsidR="008B7E19" w:rsidRPr="0093755D" w:rsidRDefault="008B7E19" w:rsidP="008B7E19">
            <w:pPr>
              <w:pStyle w:val="08-Tabelageral"/>
              <w:rPr>
                <w:rFonts w:cs="Arial"/>
                <w:b/>
                <w:szCs w:val="14"/>
              </w:rPr>
            </w:pPr>
            <w:r>
              <w:rPr>
                <w:rFonts w:cs="Arial"/>
                <w:b/>
                <w:bCs/>
                <w:color w:val="000000"/>
                <w:szCs w:val="14"/>
              </w:rPr>
              <w:t>4,092,601</w:t>
            </w:r>
          </w:p>
        </w:tc>
        <w:tc>
          <w:tcPr>
            <w:tcW w:w="1240" w:type="dxa"/>
            <w:tcBorders>
              <w:top w:val="nil"/>
              <w:bottom w:val="single" w:sz="2" w:space="0" w:color="1F3864" w:themeColor="accent5" w:themeShade="80"/>
            </w:tcBorders>
            <w:shd w:val="clear" w:color="auto" w:fill="auto"/>
            <w:vAlign w:val="bottom"/>
          </w:tcPr>
          <w:p w14:paraId="0BA04D1B" w14:textId="77777777" w:rsidR="008B7E19" w:rsidRPr="0093755D" w:rsidRDefault="008B7E19" w:rsidP="008B7E19">
            <w:pPr>
              <w:pStyle w:val="08-Tabelageral"/>
              <w:rPr>
                <w:rFonts w:cs="Arial"/>
                <w:b/>
                <w:szCs w:val="14"/>
              </w:rPr>
            </w:pPr>
            <w:r>
              <w:rPr>
                <w:rFonts w:cs="Arial"/>
                <w:b/>
                <w:bCs/>
                <w:color w:val="000000"/>
                <w:szCs w:val="14"/>
              </w:rPr>
              <w:t>1,207,115</w:t>
            </w:r>
          </w:p>
        </w:tc>
        <w:tc>
          <w:tcPr>
            <w:tcW w:w="1240" w:type="dxa"/>
            <w:tcBorders>
              <w:top w:val="nil"/>
              <w:bottom w:val="single" w:sz="2" w:space="0" w:color="1F3864" w:themeColor="accent5" w:themeShade="80"/>
            </w:tcBorders>
            <w:shd w:val="clear" w:color="auto" w:fill="auto"/>
            <w:vAlign w:val="bottom"/>
          </w:tcPr>
          <w:p w14:paraId="1FBACADE" w14:textId="77777777" w:rsidR="008B7E19" w:rsidRPr="0093755D" w:rsidRDefault="008B7E19" w:rsidP="008B7E19">
            <w:pPr>
              <w:pStyle w:val="08-Tabelageral"/>
              <w:rPr>
                <w:rFonts w:cs="Arial"/>
                <w:b/>
                <w:szCs w:val="14"/>
              </w:rPr>
            </w:pPr>
            <w:r>
              <w:rPr>
                <w:rFonts w:cs="Arial"/>
                <w:b/>
                <w:bCs/>
                <w:color w:val="000000"/>
                <w:szCs w:val="14"/>
              </w:rPr>
              <w:t>(2,586,472)</w:t>
            </w:r>
          </w:p>
        </w:tc>
        <w:tc>
          <w:tcPr>
            <w:tcW w:w="1241" w:type="dxa"/>
            <w:tcBorders>
              <w:top w:val="nil"/>
              <w:bottom w:val="single" w:sz="2" w:space="0" w:color="1F3864" w:themeColor="accent5" w:themeShade="80"/>
            </w:tcBorders>
            <w:shd w:val="clear" w:color="auto" w:fill="auto"/>
            <w:vAlign w:val="bottom"/>
          </w:tcPr>
          <w:p w14:paraId="5C057A1E" w14:textId="77777777" w:rsidR="008B7E19" w:rsidRPr="0093755D" w:rsidRDefault="008B7E19" w:rsidP="008B7E19">
            <w:pPr>
              <w:pStyle w:val="08-Tabelageral"/>
              <w:rPr>
                <w:rFonts w:cs="Arial"/>
                <w:b/>
                <w:szCs w:val="14"/>
              </w:rPr>
            </w:pPr>
            <w:r>
              <w:rPr>
                <w:rFonts w:cs="Arial"/>
                <w:b/>
                <w:bCs/>
                <w:color w:val="000000"/>
                <w:szCs w:val="14"/>
              </w:rPr>
              <w:t>2,713,244</w:t>
            </w:r>
          </w:p>
        </w:tc>
      </w:tr>
    </w:tbl>
    <w:p w14:paraId="56E48F50" w14:textId="77777777" w:rsidR="008B7E19" w:rsidRDefault="008B7E19" w:rsidP="008B7E19">
      <w:pPr>
        <w:spacing w:after="0" w:line="240" w:lineRule="auto"/>
        <w:rPr>
          <w:rFonts w:cs="Arial"/>
          <w:b/>
          <w:color w:val="1F4E79" w:themeColor="accent1" w:themeShade="80"/>
          <w:szCs w:val="18"/>
          <w:lang w:val="en-US"/>
        </w:rPr>
      </w:pPr>
    </w:p>
    <w:p w14:paraId="195AC4CF" w14:textId="77777777" w:rsidR="008B7E19" w:rsidRDefault="008B7E19" w:rsidP="008B7E19">
      <w:pPr>
        <w:spacing w:after="0" w:line="240" w:lineRule="auto"/>
        <w:rPr>
          <w:rFonts w:cs="Arial"/>
          <w:b/>
          <w:color w:val="1F4E79" w:themeColor="accent1" w:themeShade="80"/>
          <w:szCs w:val="18"/>
          <w:lang w:val="en-US"/>
        </w:rPr>
      </w:pPr>
    </w:p>
    <w:p w14:paraId="4A3CFD62" w14:textId="77777777" w:rsidR="008B7E19" w:rsidRDefault="008B7E19" w:rsidP="008B7E19">
      <w:pPr>
        <w:spacing w:after="0" w:line="240" w:lineRule="auto"/>
        <w:rPr>
          <w:rFonts w:cs="Arial"/>
          <w:b/>
          <w:color w:val="1F4E79" w:themeColor="accent1" w:themeShade="80"/>
          <w:szCs w:val="18"/>
          <w:lang w:val="en-US"/>
        </w:rPr>
      </w:pPr>
      <w:r w:rsidRPr="00C7533E">
        <w:rPr>
          <w:rFonts w:cs="Arial"/>
          <w:b/>
          <w:color w:val="1F4E79" w:themeColor="accent1" w:themeShade="80"/>
          <w:szCs w:val="18"/>
          <w:lang w:val="en-US"/>
        </w:rPr>
        <w:t>d) Balance sheet by segment</w:t>
      </w:r>
    </w:p>
    <w:p w14:paraId="20D17DAF" w14:textId="77777777" w:rsidR="008B7E19" w:rsidRPr="00C7533E" w:rsidRDefault="008B7E19" w:rsidP="008B7E19">
      <w:pPr>
        <w:pStyle w:val="05-Textonormal"/>
        <w:spacing w:after="0"/>
        <w:jc w:val="right"/>
        <w:rPr>
          <w:b/>
          <w:sz w:val="14"/>
          <w:lang w:val="en-US"/>
        </w:rPr>
      </w:pPr>
      <w:r w:rsidRPr="00C7533E">
        <w:rPr>
          <w:b/>
          <w:sz w:val="14"/>
          <w:lang w:val="en-US"/>
        </w:rPr>
        <w:t xml:space="preserve">R$ </w:t>
      </w:r>
      <w:r w:rsidRPr="00C7533E">
        <w:rPr>
          <w:rFonts w:cs="Arial"/>
          <w:b/>
          <w:sz w:val="14"/>
          <w:lang w:val="en-US"/>
        </w:rPr>
        <w:t>thousand</w:t>
      </w:r>
    </w:p>
    <w:tbl>
      <w:tblPr>
        <w:tblW w:w="9639" w:type="dxa"/>
        <w:tblLayout w:type="fixed"/>
        <w:tblLook w:val="04A0" w:firstRow="1" w:lastRow="0" w:firstColumn="1" w:lastColumn="0" w:noHBand="0" w:noVBand="1"/>
      </w:tblPr>
      <w:tblGrid>
        <w:gridCol w:w="3119"/>
        <w:gridCol w:w="1630"/>
        <w:gridCol w:w="1630"/>
        <w:gridCol w:w="1630"/>
        <w:gridCol w:w="1630"/>
      </w:tblGrid>
      <w:tr w:rsidR="008B7E19" w:rsidRPr="005C67D6" w14:paraId="2986BE39" w14:textId="77777777" w:rsidTr="008B7E19">
        <w:trPr>
          <w:trHeight w:val="238"/>
        </w:trPr>
        <w:tc>
          <w:tcPr>
            <w:tcW w:w="3119" w:type="dxa"/>
            <w:tcBorders>
              <w:top w:val="single" w:sz="2" w:space="0" w:color="1F4E79" w:themeColor="accent1" w:themeShade="80"/>
            </w:tcBorders>
            <w:shd w:val="clear" w:color="auto" w:fill="auto"/>
            <w:vAlign w:val="center"/>
          </w:tcPr>
          <w:p w14:paraId="1FCF5753" w14:textId="77777777" w:rsidR="008B7E19" w:rsidRPr="00C7533E" w:rsidRDefault="008B7E19" w:rsidP="008B7E19">
            <w:pPr>
              <w:spacing w:after="0"/>
              <w:jc w:val="center"/>
              <w:rPr>
                <w:rFonts w:cs="Arial"/>
                <w:b/>
                <w:szCs w:val="18"/>
                <w:lang w:val="en-US"/>
              </w:rPr>
            </w:pPr>
          </w:p>
        </w:tc>
        <w:tc>
          <w:tcPr>
            <w:tcW w:w="6520" w:type="dxa"/>
            <w:gridSpan w:val="4"/>
            <w:tcBorders>
              <w:top w:val="single" w:sz="2" w:space="0" w:color="1F4E79" w:themeColor="accent1" w:themeShade="80"/>
              <w:bottom w:val="single" w:sz="2" w:space="0" w:color="1F4E79" w:themeColor="accent1" w:themeShade="80"/>
            </w:tcBorders>
            <w:shd w:val="clear" w:color="auto" w:fill="auto"/>
            <w:vAlign w:val="center"/>
          </w:tcPr>
          <w:p w14:paraId="7055E031" w14:textId="77777777" w:rsidR="008B7E19" w:rsidRPr="005C67D6" w:rsidRDefault="008B7E19" w:rsidP="008B7E19">
            <w:pPr>
              <w:spacing w:after="0"/>
              <w:jc w:val="center"/>
              <w:rPr>
                <w:rFonts w:cs="Arial"/>
                <w:b/>
                <w:szCs w:val="18"/>
              </w:rPr>
            </w:pPr>
            <w:r>
              <w:rPr>
                <w:rFonts w:cs="Arial"/>
                <w:b/>
                <w:sz w:val="14"/>
                <w:szCs w:val="18"/>
              </w:rPr>
              <w:t>June 31, 2023</w:t>
            </w:r>
          </w:p>
        </w:tc>
      </w:tr>
      <w:tr w:rsidR="008B7E19" w:rsidRPr="005C67D6" w14:paraId="7ACE0CDD" w14:textId="77777777" w:rsidTr="008B7E19">
        <w:trPr>
          <w:trHeight w:val="238"/>
        </w:trPr>
        <w:tc>
          <w:tcPr>
            <w:tcW w:w="3119" w:type="dxa"/>
            <w:tcBorders>
              <w:bottom w:val="single" w:sz="2" w:space="0" w:color="1F4E79" w:themeColor="accent1" w:themeShade="80"/>
            </w:tcBorders>
            <w:shd w:val="clear" w:color="auto" w:fill="auto"/>
            <w:vAlign w:val="center"/>
          </w:tcPr>
          <w:p w14:paraId="313C6574" w14:textId="77777777" w:rsidR="008B7E19" w:rsidRPr="005C67D6" w:rsidRDefault="008B7E19" w:rsidP="008B7E19">
            <w:pPr>
              <w:pStyle w:val="08-Tabelageral"/>
              <w:rPr>
                <w:rFonts w:cs="Arial"/>
                <w:b/>
              </w:rPr>
            </w:pPr>
          </w:p>
        </w:tc>
        <w:tc>
          <w:tcPr>
            <w:tcW w:w="1630" w:type="dxa"/>
            <w:tcBorders>
              <w:top w:val="single" w:sz="2" w:space="0" w:color="1F4E79" w:themeColor="accent1" w:themeShade="80"/>
              <w:bottom w:val="single" w:sz="2" w:space="0" w:color="1F4E79" w:themeColor="accent1" w:themeShade="80"/>
            </w:tcBorders>
            <w:shd w:val="clear" w:color="auto" w:fill="auto"/>
            <w:vAlign w:val="center"/>
          </w:tcPr>
          <w:p w14:paraId="750CD753" w14:textId="77777777" w:rsidR="008B7E19" w:rsidRPr="005C67D6" w:rsidRDefault="008B7E19" w:rsidP="008B7E19">
            <w:pPr>
              <w:pStyle w:val="08-Tabelageral"/>
              <w:jc w:val="center"/>
              <w:rPr>
                <w:rFonts w:cs="Arial"/>
                <w:b/>
              </w:rPr>
            </w:pPr>
            <w:r w:rsidRPr="005C67D6">
              <w:rPr>
                <w:rFonts w:cs="Arial"/>
                <w:b/>
              </w:rPr>
              <w:t>Insurance</w:t>
            </w:r>
          </w:p>
        </w:tc>
        <w:tc>
          <w:tcPr>
            <w:tcW w:w="1630" w:type="dxa"/>
            <w:tcBorders>
              <w:top w:val="single" w:sz="2" w:space="0" w:color="1F4E79" w:themeColor="accent1" w:themeShade="80"/>
              <w:bottom w:val="single" w:sz="2" w:space="0" w:color="1F4E79" w:themeColor="accent1" w:themeShade="80"/>
            </w:tcBorders>
            <w:shd w:val="clear" w:color="auto" w:fill="auto"/>
            <w:vAlign w:val="center"/>
          </w:tcPr>
          <w:p w14:paraId="08AD703C" w14:textId="77777777" w:rsidR="008B7E19" w:rsidRPr="005C67D6" w:rsidRDefault="008B7E19" w:rsidP="008B7E19">
            <w:pPr>
              <w:pStyle w:val="08-Tabelageral"/>
              <w:jc w:val="center"/>
              <w:rPr>
                <w:rFonts w:cs="Arial"/>
                <w:b/>
                <w:szCs w:val="12"/>
              </w:rPr>
            </w:pPr>
            <w:r w:rsidRPr="005C67D6">
              <w:rPr>
                <w:b/>
                <w:szCs w:val="12"/>
              </w:rPr>
              <w:t>Brokerage</w:t>
            </w:r>
          </w:p>
        </w:tc>
        <w:tc>
          <w:tcPr>
            <w:tcW w:w="1630" w:type="dxa"/>
            <w:tcBorders>
              <w:top w:val="single" w:sz="2" w:space="0" w:color="1F4E79" w:themeColor="accent1" w:themeShade="80"/>
              <w:bottom w:val="single" w:sz="2" w:space="0" w:color="1F4E79" w:themeColor="accent1" w:themeShade="80"/>
            </w:tcBorders>
            <w:shd w:val="clear" w:color="auto" w:fill="auto"/>
            <w:vAlign w:val="center"/>
          </w:tcPr>
          <w:p w14:paraId="00B762A0" w14:textId="77777777" w:rsidR="008B7E19" w:rsidRPr="005C67D6" w:rsidRDefault="008B7E19" w:rsidP="008B7E19">
            <w:pPr>
              <w:pStyle w:val="08-Tabelageral"/>
              <w:jc w:val="center"/>
              <w:rPr>
                <w:rFonts w:cs="Arial"/>
                <w:b/>
              </w:rPr>
            </w:pPr>
            <w:r w:rsidRPr="005C67D6">
              <w:rPr>
                <w:rFonts w:cs="Arial"/>
                <w:b/>
              </w:rPr>
              <w:t>Intersegment transactions</w:t>
            </w:r>
          </w:p>
        </w:tc>
        <w:tc>
          <w:tcPr>
            <w:tcW w:w="1630" w:type="dxa"/>
            <w:tcBorders>
              <w:top w:val="single" w:sz="2" w:space="0" w:color="1F4E79" w:themeColor="accent1" w:themeShade="80"/>
              <w:bottom w:val="single" w:sz="2" w:space="0" w:color="1F4E79" w:themeColor="accent1" w:themeShade="80"/>
            </w:tcBorders>
            <w:shd w:val="clear" w:color="auto" w:fill="auto"/>
            <w:vAlign w:val="center"/>
          </w:tcPr>
          <w:p w14:paraId="164F49C7" w14:textId="77777777" w:rsidR="008B7E19" w:rsidRPr="005C67D6" w:rsidRDefault="008B7E19" w:rsidP="008B7E19">
            <w:pPr>
              <w:pStyle w:val="08-Tabelageral"/>
              <w:jc w:val="center"/>
              <w:rPr>
                <w:rFonts w:cs="Arial"/>
                <w:b/>
              </w:rPr>
            </w:pPr>
            <w:r w:rsidRPr="005C67D6">
              <w:rPr>
                <w:rFonts w:cs="Arial"/>
                <w:b/>
              </w:rPr>
              <w:t>Total</w:t>
            </w:r>
          </w:p>
        </w:tc>
      </w:tr>
      <w:tr w:rsidR="008B7E19" w:rsidRPr="005C67D6" w14:paraId="09F1B3A3" w14:textId="77777777" w:rsidTr="008B7E19">
        <w:trPr>
          <w:trHeight w:val="238"/>
        </w:trPr>
        <w:tc>
          <w:tcPr>
            <w:tcW w:w="3119" w:type="dxa"/>
            <w:tcBorders>
              <w:top w:val="single" w:sz="2" w:space="0" w:color="1F4E79" w:themeColor="accent1" w:themeShade="80"/>
            </w:tcBorders>
            <w:shd w:val="clear" w:color="auto" w:fill="auto"/>
          </w:tcPr>
          <w:p w14:paraId="4DD0811E" w14:textId="77777777" w:rsidR="008B7E19" w:rsidRPr="005C67D6" w:rsidRDefault="008B7E19" w:rsidP="008B7E19">
            <w:pPr>
              <w:pStyle w:val="08-Tabelageral"/>
              <w:ind w:left="113"/>
              <w:jc w:val="left"/>
              <w:rPr>
                <w:rFonts w:cs="Arial"/>
                <w:bCs/>
              </w:rPr>
            </w:pPr>
            <w:r w:rsidRPr="005C67D6">
              <w:t>Current assets</w:t>
            </w:r>
          </w:p>
        </w:tc>
        <w:tc>
          <w:tcPr>
            <w:tcW w:w="1630" w:type="dxa"/>
            <w:tcBorders>
              <w:top w:val="single" w:sz="2" w:space="0" w:color="1F4E79" w:themeColor="accent1" w:themeShade="80"/>
            </w:tcBorders>
            <w:shd w:val="clear" w:color="auto" w:fill="auto"/>
            <w:vAlign w:val="bottom"/>
          </w:tcPr>
          <w:p w14:paraId="52F643AC" w14:textId="77777777" w:rsidR="008B7E19" w:rsidRPr="005C67D6" w:rsidRDefault="008B7E19" w:rsidP="008B7E19">
            <w:pPr>
              <w:pStyle w:val="08-Tabelageral"/>
              <w:rPr>
                <w:color w:val="000000"/>
              </w:rPr>
            </w:pPr>
            <w:r>
              <w:rPr>
                <w:rFonts w:cs="Arial"/>
                <w:color w:val="000000"/>
                <w:szCs w:val="14"/>
              </w:rPr>
              <w:t>4,158,887</w:t>
            </w:r>
          </w:p>
        </w:tc>
        <w:tc>
          <w:tcPr>
            <w:tcW w:w="1630" w:type="dxa"/>
            <w:tcBorders>
              <w:top w:val="single" w:sz="2" w:space="0" w:color="1F4E79" w:themeColor="accent1" w:themeShade="80"/>
            </w:tcBorders>
            <w:shd w:val="clear" w:color="auto" w:fill="auto"/>
            <w:vAlign w:val="bottom"/>
          </w:tcPr>
          <w:p w14:paraId="4C8F0D47" w14:textId="77777777" w:rsidR="008B7E19" w:rsidRPr="005C67D6" w:rsidRDefault="008B7E19" w:rsidP="008B7E19">
            <w:pPr>
              <w:pStyle w:val="08-Tabelageral"/>
            </w:pPr>
            <w:r>
              <w:rPr>
                <w:rFonts w:cs="Arial"/>
                <w:color w:val="000000"/>
                <w:szCs w:val="14"/>
              </w:rPr>
              <w:t>3,491,161</w:t>
            </w:r>
          </w:p>
        </w:tc>
        <w:tc>
          <w:tcPr>
            <w:tcW w:w="1630" w:type="dxa"/>
            <w:tcBorders>
              <w:top w:val="single" w:sz="2" w:space="0" w:color="1F4E79" w:themeColor="accent1" w:themeShade="80"/>
            </w:tcBorders>
            <w:shd w:val="clear" w:color="auto" w:fill="auto"/>
            <w:vAlign w:val="bottom"/>
          </w:tcPr>
          <w:p w14:paraId="26FD36EF" w14:textId="77777777" w:rsidR="008B7E19" w:rsidRPr="005C67D6" w:rsidRDefault="008B7E19" w:rsidP="008B7E19">
            <w:pPr>
              <w:pStyle w:val="08-Tabelageral"/>
            </w:pPr>
            <w:r>
              <w:rPr>
                <w:rFonts w:cs="Arial"/>
                <w:color w:val="000000"/>
                <w:szCs w:val="14"/>
              </w:rPr>
              <w:t>(2,236,555)</w:t>
            </w:r>
          </w:p>
        </w:tc>
        <w:tc>
          <w:tcPr>
            <w:tcW w:w="1630" w:type="dxa"/>
            <w:tcBorders>
              <w:top w:val="single" w:sz="2" w:space="0" w:color="1F4E79" w:themeColor="accent1" w:themeShade="80"/>
            </w:tcBorders>
            <w:shd w:val="clear" w:color="auto" w:fill="auto"/>
            <w:vAlign w:val="bottom"/>
          </w:tcPr>
          <w:p w14:paraId="5B313601" w14:textId="77777777" w:rsidR="008B7E19" w:rsidRPr="005C67D6" w:rsidRDefault="008B7E19" w:rsidP="008B7E19">
            <w:pPr>
              <w:pStyle w:val="08-Tabelageral"/>
            </w:pPr>
            <w:r>
              <w:rPr>
                <w:rFonts w:cs="Arial"/>
                <w:color w:val="000000"/>
                <w:szCs w:val="14"/>
              </w:rPr>
              <w:t>5,413,493</w:t>
            </w:r>
          </w:p>
        </w:tc>
      </w:tr>
      <w:tr w:rsidR="008B7E19" w:rsidRPr="005C67D6" w14:paraId="17286780" w14:textId="77777777" w:rsidTr="008B7E19">
        <w:trPr>
          <w:trHeight w:val="238"/>
        </w:trPr>
        <w:tc>
          <w:tcPr>
            <w:tcW w:w="3119" w:type="dxa"/>
            <w:shd w:val="clear" w:color="auto" w:fill="auto"/>
          </w:tcPr>
          <w:p w14:paraId="18851D94" w14:textId="77777777" w:rsidR="008B7E19" w:rsidRPr="005C67D6" w:rsidRDefault="008B7E19" w:rsidP="008B7E19">
            <w:pPr>
              <w:pStyle w:val="08-Tabelageral"/>
              <w:ind w:left="113"/>
              <w:jc w:val="left"/>
              <w:rPr>
                <w:rFonts w:cs="Arial"/>
                <w:bCs/>
              </w:rPr>
            </w:pPr>
            <w:r w:rsidRPr="005C67D6">
              <w:t>Non-current assets</w:t>
            </w:r>
          </w:p>
        </w:tc>
        <w:tc>
          <w:tcPr>
            <w:tcW w:w="1630" w:type="dxa"/>
            <w:shd w:val="clear" w:color="auto" w:fill="auto"/>
            <w:vAlign w:val="bottom"/>
          </w:tcPr>
          <w:p w14:paraId="45CC746E" w14:textId="77777777" w:rsidR="008B7E19" w:rsidRPr="005C67D6" w:rsidRDefault="008B7E19" w:rsidP="008B7E19">
            <w:pPr>
              <w:pStyle w:val="08-Tabelageral"/>
              <w:rPr>
                <w:color w:val="000000"/>
              </w:rPr>
            </w:pPr>
            <w:r>
              <w:rPr>
                <w:rFonts w:cs="Arial"/>
                <w:color w:val="000000"/>
                <w:szCs w:val="14"/>
              </w:rPr>
              <w:t>17,790,511</w:t>
            </w:r>
          </w:p>
        </w:tc>
        <w:tc>
          <w:tcPr>
            <w:tcW w:w="1630" w:type="dxa"/>
            <w:shd w:val="clear" w:color="auto" w:fill="auto"/>
            <w:vAlign w:val="bottom"/>
          </w:tcPr>
          <w:p w14:paraId="4F9B8C9B" w14:textId="77777777" w:rsidR="008B7E19" w:rsidRPr="005C67D6" w:rsidRDefault="008B7E19" w:rsidP="008B7E19">
            <w:pPr>
              <w:pStyle w:val="08-Tabelageral"/>
            </w:pPr>
            <w:r>
              <w:rPr>
                <w:rFonts w:cs="Arial"/>
                <w:color w:val="000000"/>
                <w:szCs w:val="14"/>
              </w:rPr>
              <w:t>2,519,198</w:t>
            </w:r>
          </w:p>
        </w:tc>
        <w:tc>
          <w:tcPr>
            <w:tcW w:w="1630" w:type="dxa"/>
            <w:shd w:val="clear" w:color="auto" w:fill="auto"/>
            <w:vAlign w:val="bottom"/>
          </w:tcPr>
          <w:p w14:paraId="1D6DFEB0" w14:textId="77777777" w:rsidR="008B7E19" w:rsidRPr="005C67D6" w:rsidRDefault="008B7E19" w:rsidP="008B7E19">
            <w:pPr>
              <w:pStyle w:val="08-Tabelageral"/>
            </w:pPr>
            <w:r>
              <w:rPr>
                <w:rFonts w:cs="Arial"/>
                <w:color w:val="000000"/>
                <w:szCs w:val="14"/>
              </w:rPr>
              <w:t>(8,742,971)</w:t>
            </w:r>
          </w:p>
        </w:tc>
        <w:tc>
          <w:tcPr>
            <w:tcW w:w="1630" w:type="dxa"/>
            <w:shd w:val="clear" w:color="auto" w:fill="auto"/>
            <w:vAlign w:val="bottom"/>
          </w:tcPr>
          <w:p w14:paraId="1FD05A64" w14:textId="77777777" w:rsidR="008B7E19" w:rsidRPr="005C67D6" w:rsidRDefault="008B7E19" w:rsidP="008B7E19">
            <w:pPr>
              <w:pStyle w:val="08-Tabelageral"/>
            </w:pPr>
            <w:r>
              <w:rPr>
                <w:rFonts w:cs="Arial"/>
                <w:color w:val="000000"/>
                <w:szCs w:val="14"/>
              </w:rPr>
              <w:t>11,566,738</w:t>
            </w:r>
          </w:p>
        </w:tc>
      </w:tr>
      <w:tr w:rsidR="008B7E19" w:rsidRPr="00B0013B" w14:paraId="406B011A" w14:textId="77777777" w:rsidTr="008B7E19">
        <w:trPr>
          <w:trHeight w:val="238"/>
        </w:trPr>
        <w:tc>
          <w:tcPr>
            <w:tcW w:w="3119" w:type="dxa"/>
            <w:shd w:val="clear" w:color="auto" w:fill="auto"/>
          </w:tcPr>
          <w:p w14:paraId="041763AF" w14:textId="77777777" w:rsidR="008B7E19" w:rsidRPr="00B0013B" w:rsidRDefault="008B7E19" w:rsidP="008B7E19">
            <w:pPr>
              <w:pStyle w:val="08-Tabelageral"/>
              <w:jc w:val="left"/>
              <w:rPr>
                <w:rFonts w:cs="Arial"/>
                <w:b/>
              </w:rPr>
            </w:pPr>
            <w:r w:rsidRPr="00B0013B">
              <w:rPr>
                <w:rFonts w:cs="Arial"/>
                <w:b/>
              </w:rPr>
              <w:t>Total assets</w:t>
            </w:r>
          </w:p>
        </w:tc>
        <w:tc>
          <w:tcPr>
            <w:tcW w:w="1630" w:type="dxa"/>
            <w:shd w:val="clear" w:color="auto" w:fill="auto"/>
            <w:vAlign w:val="bottom"/>
          </w:tcPr>
          <w:p w14:paraId="1057DD4F" w14:textId="77777777" w:rsidR="008B7E19" w:rsidRPr="00B0013B" w:rsidRDefault="008B7E19" w:rsidP="008B7E19">
            <w:pPr>
              <w:pStyle w:val="08-Tabelageral"/>
              <w:rPr>
                <w:b/>
                <w:color w:val="000000"/>
              </w:rPr>
            </w:pPr>
            <w:r>
              <w:rPr>
                <w:rFonts w:cs="Arial"/>
                <w:b/>
                <w:bCs/>
                <w:color w:val="000000"/>
                <w:szCs w:val="14"/>
              </w:rPr>
              <w:t>21,949,398</w:t>
            </w:r>
          </w:p>
        </w:tc>
        <w:tc>
          <w:tcPr>
            <w:tcW w:w="1630" w:type="dxa"/>
            <w:shd w:val="clear" w:color="auto" w:fill="auto"/>
            <w:vAlign w:val="bottom"/>
          </w:tcPr>
          <w:p w14:paraId="15D1E409" w14:textId="77777777" w:rsidR="008B7E19" w:rsidRPr="00B0013B" w:rsidRDefault="008B7E19" w:rsidP="008B7E19">
            <w:pPr>
              <w:pStyle w:val="08-Tabelageral"/>
              <w:rPr>
                <w:b/>
              </w:rPr>
            </w:pPr>
            <w:r>
              <w:rPr>
                <w:rFonts w:cs="Arial"/>
                <w:b/>
                <w:bCs/>
                <w:color w:val="000000"/>
                <w:szCs w:val="14"/>
              </w:rPr>
              <w:t>6,010,359</w:t>
            </w:r>
          </w:p>
        </w:tc>
        <w:tc>
          <w:tcPr>
            <w:tcW w:w="1630" w:type="dxa"/>
            <w:shd w:val="clear" w:color="auto" w:fill="auto"/>
            <w:vAlign w:val="bottom"/>
          </w:tcPr>
          <w:p w14:paraId="3025F9EC" w14:textId="77777777" w:rsidR="008B7E19" w:rsidRPr="00B0013B" w:rsidRDefault="008B7E19" w:rsidP="008B7E19">
            <w:pPr>
              <w:pStyle w:val="08-Tabelageral"/>
              <w:rPr>
                <w:b/>
              </w:rPr>
            </w:pPr>
            <w:r>
              <w:rPr>
                <w:rFonts w:cs="Arial"/>
                <w:b/>
                <w:bCs/>
                <w:color w:val="000000"/>
                <w:szCs w:val="14"/>
              </w:rPr>
              <w:t>(10,979,527)</w:t>
            </w:r>
          </w:p>
        </w:tc>
        <w:tc>
          <w:tcPr>
            <w:tcW w:w="1630" w:type="dxa"/>
            <w:shd w:val="clear" w:color="auto" w:fill="auto"/>
            <w:vAlign w:val="bottom"/>
          </w:tcPr>
          <w:p w14:paraId="3BF1A59B" w14:textId="77777777" w:rsidR="008B7E19" w:rsidRPr="00B0013B" w:rsidRDefault="008B7E19" w:rsidP="008B7E19">
            <w:pPr>
              <w:pStyle w:val="08-Tabelageral"/>
              <w:rPr>
                <w:b/>
              </w:rPr>
            </w:pPr>
            <w:r>
              <w:rPr>
                <w:rFonts w:cs="Arial"/>
                <w:b/>
                <w:bCs/>
                <w:color w:val="000000"/>
                <w:szCs w:val="14"/>
              </w:rPr>
              <w:t>16,980,230</w:t>
            </w:r>
          </w:p>
        </w:tc>
      </w:tr>
      <w:tr w:rsidR="008B7E19" w:rsidRPr="005C67D6" w14:paraId="68D2E09D" w14:textId="77777777" w:rsidTr="008B7E19">
        <w:trPr>
          <w:trHeight w:val="238"/>
        </w:trPr>
        <w:tc>
          <w:tcPr>
            <w:tcW w:w="3119" w:type="dxa"/>
            <w:shd w:val="clear" w:color="auto" w:fill="auto"/>
          </w:tcPr>
          <w:p w14:paraId="64161B75" w14:textId="77777777" w:rsidR="008B7E19" w:rsidRPr="005C67D6" w:rsidRDefault="008B7E19" w:rsidP="008B7E19">
            <w:pPr>
              <w:pStyle w:val="08-Tabelageral"/>
              <w:ind w:left="113"/>
              <w:jc w:val="left"/>
              <w:rPr>
                <w:rFonts w:cs="Arial"/>
                <w:bCs/>
              </w:rPr>
            </w:pPr>
            <w:r w:rsidRPr="005C67D6">
              <w:rPr>
                <w:rFonts w:cs="Arial"/>
              </w:rPr>
              <w:t>Current liabilities</w:t>
            </w:r>
          </w:p>
        </w:tc>
        <w:tc>
          <w:tcPr>
            <w:tcW w:w="1630" w:type="dxa"/>
            <w:shd w:val="clear" w:color="auto" w:fill="auto"/>
            <w:vAlign w:val="bottom"/>
          </w:tcPr>
          <w:p w14:paraId="3F284F9D" w14:textId="77777777" w:rsidR="008B7E19" w:rsidRPr="005C67D6" w:rsidRDefault="008B7E19" w:rsidP="008B7E19">
            <w:pPr>
              <w:pStyle w:val="08-Tabelageral"/>
              <w:rPr>
                <w:color w:val="000000"/>
              </w:rPr>
            </w:pPr>
            <w:r>
              <w:rPr>
                <w:rFonts w:cs="Arial"/>
                <w:color w:val="000000"/>
                <w:szCs w:val="14"/>
              </w:rPr>
              <w:t>4,039,359</w:t>
            </w:r>
          </w:p>
        </w:tc>
        <w:tc>
          <w:tcPr>
            <w:tcW w:w="1630" w:type="dxa"/>
            <w:shd w:val="clear" w:color="auto" w:fill="auto"/>
            <w:vAlign w:val="bottom"/>
          </w:tcPr>
          <w:p w14:paraId="08831A66" w14:textId="77777777" w:rsidR="008B7E19" w:rsidRPr="005C67D6" w:rsidRDefault="008B7E19" w:rsidP="008B7E19">
            <w:pPr>
              <w:pStyle w:val="08-Tabelageral"/>
            </w:pPr>
            <w:r>
              <w:rPr>
                <w:rFonts w:cs="Arial"/>
                <w:color w:val="000000"/>
                <w:szCs w:val="14"/>
              </w:rPr>
              <w:t>3,730,450</w:t>
            </w:r>
          </w:p>
        </w:tc>
        <w:tc>
          <w:tcPr>
            <w:tcW w:w="1630" w:type="dxa"/>
            <w:shd w:val="clear" w:color="auto" w:fill="auto"/>
            <w:vAlign w:val="bottom"/>
          </w:tcPr>
          <w:p w14:paraId="28985ECC" w14:textId="77777777" w:rsidR="008B7E19" w:rsidRPr="005C67D6" w:rsidRDefault="008B7E19" w:rsidP="008B7E19">
            <w:pPr>
              <w:pStyle w:val="08-Tabelageral"/>
            </w:pPr>
            <w:r>
              <w:rPr>
                <w:rFonts w:cs="Arial"/>
                <w:color w:val="000000"/>
                <w:szCs w:val="14"/>
              </w:rPr>
              <w:t>(2,236,556)</w:t>
            </w:r>
          </w:p>
        </w:tc>
        <w:tc>
          <w:tcPr>
            <w:tcW w:w="1630" w:type="dxa"/>
            <w:shd w:val="clear" w:color="auto" w:fill="auto"/>
            <w:vAlign w:val="bottom"/>
          </w:tcPr>
          <w:p w14:paraId="7879843C" w14:textId="77777777" w:rsidR="008B7E19" w:rsidRPr="005C67D6" w:rsidRDefault="008B7E19" w:rsidP="008B7E19">
            <w:pPr>
              <w:pStyle w:val="08-Tabelageral"/>
            </w:pPr>
            <w:r>
              <w:rPr>
                <w:rFonts w:cs="Arial"/>
                <w:color w:val="000000"/>
                <w:szCs w:val="14"/>
              </w:rPr>
              <w:t>5,533,253</w:t>
            </w:r>
          </w:p>
        </w:tc>
      </w:tr>
      <w:tr w:rsidR="008B7E19" w:rsidRPr="005C67D6" w14:paraId="3983D39D" w14:textId="77777777" w:rsidTr="008B7E19">
        <w:trPr>
          <w:trHeight w:val="238"/>
        </w:trPr>
        <w:tc>
          <w:tcPr>
            <w:tcW w:w="3119" w:type="dxa"/>
            <w:shd w:val="clear" w:color="auto" w:fill="auto"/>
          </w:tcPr>
          <w:p w14:paraId="7CFFD9BF" w14:textId="77777777" w:rsidR="008B7E19" w:rsidRPr="005C67D6" w:rsidRDefault="008B7E19" w:rsidP="008B7E19">
            <w:pPr>
              <w:pStyle w:val="08-Tabelageral"/>
              <w:ind w:left="113"/>
              <w:jc w:val="left"/>
              <w:rPr>
                <w:rFonts w:cs="Arial"/>
                <w:bCs/>
              </w:rPr>
            </w:pPr>
            <w:r w:rsidRPr="005C67D6">
              <w:rPr>
                <w:rFonts w:cs="Arial"/>
              </w:rPr>
              <w:t>Non-current liabilities</w:t>
            </w:r>
          </w:p>
        </w:tc>
        <w:tc>
          <w:tcPr>
            <w:tcW w:w="1630" w:type="dxa"/>
            <w:shd w:val="clear" w:color="auto" w:fill="auto"/>
            <w:vAlign w:val="bottom"/>
          </w:tcPr>
          <w:p w14:paraId="7E51781B" w14:textId="77777777" w:rsidR="008B7E19" w:rsidRPr="005C67D6" w:rsidRDefault="008B7E19" w:rsidP="008B7E19">
            <w:pPr>
              <w:pStyle w:val="08-Tabelageral"/>
              <w:rPr>
                <w:color w:val="000000"/>
              </w:rPr>
            </w:pPr>
            <w:r>
              <w:rPr>
                <w:rFonts w:cs="Arial"/>
                <w:b/>
                <w:bCs/>
                <w:color w:val="000000"/>
                <w:szCs w:val="14"/>
              </w:rPr>
              <w:t>229,216</w:t>
            </w:r>
          </w:p>
        </w:tc>
        <w:tc>
          <w:tcPr>
            <w:tcW w:w="1630" w:type="dxa"/>
            <w:shd w:val="clear" w:color="auto" w:fill="auto"/>
            <w:vAlign w:val="bottom"/>
          </w:tcPr>
          <w:p w14:paraId="1679B09A" w14:textId="77777777" w:rsidR="008B7E19" w:rsidRPr="005C67D6" w:rsidRDefault="008B7E19" w:rsidP="008B7E19">
            <w:pPr>
              <w:pStyle w:val="08-Tabelageral"/>
            </w:pPr>
            <w:r>
              <w:rPr>
                <w:rFonts w:cs="Arial"/>
                <w:b/>
                <w:bCs/>
                <w:color w:val="000000"/>
                <w:szCs w:val="14"/>
              </w:rPr>
              <w:t>2,273,819</w:t>
            </w:r>
          </w:p>
        </w:tc>
        <w:tc>
          <w:tcPr>
            <w:tcW w:w="1630" w:type="dxa"/>
            <w:shd w:val="clear" w:color="auto" w:fill="auto"/>
            <w:vAlign w:val="bottom"/>
          </w:tcPr>
          <w:p w14:paraId="5578C31C" w14:textId="77777777" w:rsidR="008B7E19" w:rsidRPr="005C67D6" w:rsidRDefault="008B7E19" w:rsidP="008B7E19">
            <w:pPr>
              <w:pStyle w:val="08-Tabelageral"/>
            </w:pPr>
            <w:r>
              <w:rPr>
                <w:rFonts w:cs="Arial"/>
                <w:color w:val="000000"/>
                <w:szCs w:val="14"/>
              </w:rPr>
              <w:t>--</w:t>
            </w:r>
          </w:p>
        </w:tc>
        <w:tc>
          <w:tcPr>
            <w:tcW w:w="1630" w:type="dxa"/>
            <w:shd w:val="clear" w:color="auto" w:fill="auto"/>
            <w:vAlign w:val="bottom"/>
          </w:tcPr>
          <w:p w14:paraId="14E1E7BC" w14:textId="77777777" w:rsidR="008B7E19" w:rsidRPr="005C67D6" w:rsidRDefault="008B7E19" w:rsidP="008B7E19">
            <w:pPr>
              <w:pStyle w:val="08-Tabelageral"/>
            </w:pPr>
            <w:r>
              <w:rPr>
                <w:rFonts w:cs="Arial"/>
                <w:b/>
                <w:bCs/>
                <w:color w:val="000000"/>
                <w:szCs w:val="14"/>
              </w:rPr>
              <w:t>2,503,035</w:t>
            </w:r>
          </w:p>
        </w:tc>
      </w:tr>
      <w:tr w:rsidR="008B7E19" w:rsidRPr="005C67D6" w14:paraId="3AE147CF" w14:textId="77777777" w:rsidTr="008B7E19">
        <w:trPr>
          <w:trHeight w:val="238"/>
        </w:trPr>
        <w:tc>
          <w:tcPr>
            <w:tcW w:w="3119" w:type="dxa"/>
            <w:shd w:val="clear" w:color="auto" w:fill="auto"/>
          </w:tcPr>
          <w:p w14:paraId="115A1058" w14:textId="77777777" w:rsidR="008B7E19" w:rsidRPr="005C67D6" w:rsidRDefault="008B7E19" w:rsidP="008B7E19">
            <w:pPr>
              <w:pStyle w:val="08-Tabelageral"/>
              <w:ind w:left="113"/>
              <w:jc w:val="left"/>
              <w:rPr>
                <w:rFonts w:cs="Arial"/>
                <w:bCs/>
              </w:rPr>
            </w:pPr>
            <w:r w:rsidRPr="005C67D6">
              <w:t>Equity</w:t>
            </w:r>
          </w:p>
        </w:tc>
        <w:tc>
          <w:tcPr>
            <w:tcW w:w="1630" w:type="dxa"/>
            <w:shd w:val="clear" w:color="auto" w:fill="auto"/>
            <w:vAlign w:val="bottom"/>
          </w:tcPr>
          <w:p w14:paraId="4731BF6F" w14:textId="77777777" w:rsidR="008B7E19" w:rsidRPr="005C67D6" w:rsidRDefault="008B7E19" w:rsidP="008B7E19">
            <w:pPr>
              <w:pStyle w:val="08-Tabelageral"/>
              <w:rPr>
                <w:color w:val="000000"/>
              </w:rPr>
            </w:pPr>
            <w:r>
              <w:rPr>
                <w:rFonts w:cs="Arial"/>
                <w:color w:val="000000"/>
                <w:szCs w:val="14"/>
              </w:rPr>
              <w:t>17,680,823</w:t>
            </w:r>
          </w:p>
        </w:tc>
        <w:tc>
          <w:tcPr>
            <w:tcW w:w="1630" w:type="dxa"/>
            <w:shd w:val="clear" w:color="auto" w:fill="auto"/>
            <w:vAlign w:val="bottom"/>
          </w:tcPr>
          <w:p w14:paraId="5A89D964" w14:textId="77777777" w:rsidR="008B7E19" w:rsidRPr="005C67D6" w:rsidRDefault="008B7E19" w:rsidP="008B7E19">
            <w:pPr>
              <w:pStyle w:val="08-Tabelageral"/>
            </w:pPr>
            <w:r>
              <w:rPr>
                <w:rFonts w:cs="Arial"/>
                <w:color w:val="000000"/>
                <w:szCs w:val="14"/>
              </w:rPr>
              <w:t>6,090</w:t>
            </w:r>
          </w:p>
        </w:tc>
        <w:tc>
          <w:tcPr>
            <w:tcW w:w="1630" w:type="dxa"/>
            <w:shd w:val="clear" w:color="auto" w:fill="auto"/>
            <w:vAlign w:val="bottom"/>
          </w:tcPr>
          <w:p w14:paraId="7565C9E3" w14:textId="77777777" w:rsidR="008B7E19" w:rsidRPr="005C67D6" w:rsidRDefault="008B7E19" w:rsidP="008B7E19">
            <w:pPr>
              <w:pStyle w:val="08-Tabelageral"/>
            </w:pPr>
            <w:r>
              <w:rPr>
                <w:rFonts w:cs="Arial"/>
                <w:color w:val="000000"/>
                <w:szCs w:val="14"/>
              </w:rPr>
              <w:t>(8,742,971)</w:t>
            </w:r>
          </w:p>
        </w:tc>
        <w:tc>
          <w:tcPr>
            <w:tcW w:w="1630" w:type="dxa"/>
            <w:shd w:val="clear" w:color="auto" w:fill="auto"/>
            <w:vAlign w:val="bottom"/>
          </w:tcPr>
          <w:p w14:paraId="5CFEED45" w14:textId="77777777" w:rsidR="008B7E19" w:rsidRPr="005C67D6" w:rsidRDefault="008B7E19" w:rsidP="008B7E19">
            <w:pPr>
              <w:pStyle w:val="08-Tabelageral"/>
            </w:pPr>
            <w:r>
              <w:rPr>
                <w:rFonts w:cs="Arial"/>
                <w:color w:val="000000"/>
                <w:szCs w:val="14"/>
              </w:rPr>
              <w:t>8,943,942</w:t>
            </w:r>
          </w:p>
        </w:tc>
      </w:tr>
      <w:tr w:rsidR="008B7E19" w:rsidRPr="00B0013B" w14:paraId="4C29B7DD" w14:textId="77777777" w:rsidTr="008B7E19">
        <w:trPr>
          <w:trHeight w:val="238"/>
        </w:trPr>
        <w:tc>
          <w:tcPr>
            <w:tcW w:w="3119" w:type="dxa"/>
            <w:tcBorders>
              <w:bottom w:val="single" w:sz="2" w:space="0" w:color="1F4E79" w:themeColor="accent1" w:themeShade="80"/>
            </w:tcBorders>
            <w:shd w:val="clear" w:color="auto" w:fill="auto"/>
          </w:tcPr>
          <w:p w14:paraId="6F8C9E92" w14:textId="77777777" w:rsidR="008B7E19" w:rsidRPr="00B0013B" w:rsidRDefault="008B7E19" w:rsidP="008B7E19">
            <w:pPr>
              <w:pStyle w:val="08-Tabelageral"/>
              <w:jc w:val="left"/>
              <w:rPr>
                <w:rFonts w:cs="Arial"/>
                <w:b/>
              </w:rPr>
            </w:pPr>
            <w:r w:rsidRPr="00B0013B">
              <w:rPr>
                <w:b/>
              </w:rPr>
              <w:t>Total liabilities and equity</w:t>
            </w:r>
          </w:p>
        </w:tc>
        <w:tc>
          <w:tcPr>
            <w:tcW w:w="1630" w:type="dxa"/>
            <w:tcBorders>
              <w:bottom w:val="single" w:sz="2" w:space="0" w:color="1F4E79" w:themeColor="accent1" w:themeShade="80"/>
            </w:tcBorders>
            <w:shd w:val="clear" w:color="auto" w:fill="auto"/>
            <w:vAlign w:val="bottom"/>
          </w:tcPr>
          <w:p w14:paraId="00AC4719" w14:textId="77777777" w:rsidR="008B7E19" w:rsidRPr="00B0013B" w:rsidRDefault="008B7E19" w:rsidP="008B7E19">
            <w:pPr>
              <w:pStyle w:val="08-Tabelageral"/>
              <w:rPr>
                <w:b/>
                <w:color w:val="000000"/>
              </w:rPr>
            </w:pPr>
            <w:r>
              <w:rPr>
                <w:rFonts w:cs="Arial"/>
                <w:b/>
                <w:bCs/>
                <w:color w:val="000000"/>
                <w:szCs w:val="14"/>
              </w:rPr>
              <w:t>21,949,398</w:t>
            </w:r>
          </w:p>
        </w:tc>
        <w:tc>
          <w:tcPr>
            <w:tcW w:w="1630" w:type="dxa"/>
            <w:tcBorders>
              <w:bottom w:val="single" w:sz="2" w:space="0" w:color="1F4E79" w:themeColor="accent1" w:themeShade="80"/>
            </w:tcBorders>
            <w:shd w:val="clear" w:color="auto" w:fill="auto"/>
            <w:vAlign w:val="bottom"/>
          </w:tcPr>
          <w:p w14:paraId="6C302787" w14:textId="77777777" w:rsidR="008B7E19" w:rsidRPr="00B0013B" w:rsidRDefault="008B7E19" w:rsidP="008B7E19">
            <w:pPr>
              <w:pStyle w:val="08-Tabelageral"/>
              <w:rPr>
                <w:b/>
              </w:rPr>
            </w:pPr>
            <w:r>
              <w:rPr>
                <w:rFonts w:cs="Arial"/>
                <w:b/>
                <w:bCs/>
                <w:color w:val="000000"/>
                <w:szCs w:val="14"/>
              </w:rPr>
              <w:t>6,010,359</w:t>
            </w:r>
          </w:p>
        </w:tc>
        <w:tc>
          <w:tcPr>
            <w:tcW w:w="1630" w:type="dxa"/>
            <w:tcBorders>
              <w:bottom w:val="single" w:sz="2" w:space="0" w:color="1F4E79" w:themeColor="accent1" w:themeShade="80"/>
            </w:tcBorders>
            <w:shd w:val="clear" w:color="auto" w:fill="auto"/>
            <w:vAlign w:val="bottom"/>
          </w:tcPr>
          <w:p w14:paraId="0E694EA6" w14:textId="77777777" w:rsidR="008B7E19" w:rsidRPr="00B0013B" w:rsidRDefault="008B7E19" w:rsidP="008B7E19">
            <w:pPr>
              <w:pStyle w:val="08-Tabelageral"/>
              <w:rPr>
                <w:b/>
              </w:rPr>
            </w:pPr>
            <w:r>
              <w:rPr>
                <w:rFonts w:cs="Arial"/>
                <w:b/>
                <w:bCs/>
                <w:color w:val="000000"/>
                <w:szCs w:val="14"/>
              </w:rPr>
              <w:t>(10,979,527)</w:t>
            </w:r>
          </w:p>
        </w:tc>
        <w:tc>
          <w:tcPr>
            <w:tcW w:w="1630" w:type="dxa"/>
            <w:tcBorders>
              <w:bottom w:val="single" w:sz="2" w:space="0" w:color="1F4E79" w:themeColor="accent1" w:themeShade="80"/>
            </w:tcBorders>
            <w:shd w:val="clear" w:color="auto" w:fill="auto"/>
            <w:vAlign w:val="bottom"/>
          </w:tcPr>
          <w:p w14:paraId="78FAE4D5" w14:textId="77777777" w:rsidR="008B7E19" w:rsidRPr="00B0013B" w:rsidRDefault="008B7E19" w:rsidP="008B7E19">
            <w:pPr>
              <w:pStyle w:val="08-Tabelageral"/>
              <w:rPr>
                <w:b/>
              </w:rPr>
            </w:pPr>
            <w:r>
              <w:rPr>
                <w:rFonts w:cs="Arial"/>
                <w:b/>
                <w:bCs/>
                <w:color w:val="000000"/>
                <w:szCs w:val="14"/>
              </w:rPr>
              <w:t>16,980,230</w:t>
            </w:r>
          </w:p>
        </w:tc>
      </w:tr>
    </w:tbl>
    <w:p w14:paraId="777F761E" w14:textId="77777777" w:rsidR="008B7E19" w:rsidRPr="006D081B" w:rsidRDefault="008B7E19" w:rsidP="008B7E19">
      <w:pPr>
        <w:pStyle w:val="05-Textonormal"/>
        <w:spacing w:after="0"/>
        <w:jc w:val="right"/>
        <w:rPr>
          <w:b/>
          <w:sz w:val="14"/>
          <w:lang w:val="en-US"/>
        </w:rPr>
      </w:pPr>
      <w:r w:rsidRPr="006D081B">
        <w:rPr>
          <w:b/>
          <w:sz w:val="14"/>
          <w:lang w:val="en-US"/>
        </w:rPr>
        <w:t xml:space="preserve">R$ </w:t>
      </w:r>
      <w:r w:rsidRPr="006D081B">
        <w:rPr>
          <w:rFonts w:cs="Arial"/>
          <w:b/>
          <w:sz w:val="14"/>
          <w:lang w:val="en-US"/>
        </w:rPr>
        <w:t>thousand</w:t>
      </w:r>
    </w:p>
    <w:tbl>
      <w:tblPr>
        <w:tblW w:w="9639" w:type="dxa"/>
        <w:tblBorders>
          <w:top w:val="single" w:sz="2" w:space="0" w:color="8EAADB" w:themeColor="accent5" w:themeTint="99"/>
          <w:bottom w:val="single" w:sz="2" w:space="0" w:color="8EAADB" w:themeColor="accent5" w:themeTint="99"/>
        </w:tblBorders>
        <w:tblLayout w:type="fixed"/>
        <w:tblLook w:val="04A0" w:firstRow="1" w:lastRow="0" w:firstColumn="1" w:lastColumn="0" w:noHBand="0" w:noVBand="1"/>
      </w:tblPr>
      <w:tblGrid>
        <w:gridCol w:w="3119"/>
        <w:gridCol w:w="1630"/>
        <w:gridCol w:w="1630"/>
        <w:gridCol w:w="1630"/>
        <w:gridCol w:w="1630"/>
      </w:tblGrid>
      <w:tr w:rsidR="008B7E19" w:rsidRPr="006A0EC8" w14:paraId="24EDC327" w14:textId="77777777" w:rsidTr="008B7E19">
        <w:trPr>
          <w:trHeight w:val="238"/>
        </w:trPr>
        <w:tc>
          <w:tcPr>
            <w:tcW w:w="3119" w:type="dxa"/>
            <w:tcBorders>
              <w:top w:val="single" w:sz="2" w:space="0" w:color="1F4E79" w:themeColor="accent1" w:themeShade="80"/>
            </w:tcBorders>
            <w:shd w:val="clear" w:color="auto" w:fill="auto"/>
          </w:tcPr>
          <w:p w14:paraId="6FE35F1F" w14:textId="77777777" w:rsidR="008B7E19" w:rsidRPr="006D081B" w:rsidRDefault="008B7E19" w:rsidP="008B7E19">
            <w:pPr>
              <w:spacing w:after="0"/>
              <w:jc w:val="center"/>
              <w:rPr>
                <w:rFonts w:cs="Arial"/>
                <w:b/>
                <w:szCs w:val="18"/>
                <w:lang w:val="en-US"/>
              </w:rPr>
            </w:pPr>
          </w:p>
        </w:tc>
        <w:tc>
          <w:tcPr>
            <w:tcW w:w="6520" w:type="dxa"/>
            <w:gridSpan w:val="4"/>
            <w:tcBorders>
              <w:top w:val="single" w:sz="2" w:space="0" w:color="1F4E79" w:themeColor="accent1" w:themeShade="80"/>
              <w:bottom w:val="single" w:sz="2" w:space="0" w:color="1F4E79" w:themeColor="accent1" w:themeShade="80"/>
            </w:tcBorders>
            <w:shd w:val="clear" w:color="auto" w:fill="auto"/>
            <w:vAlign w:val="center"/>
          </w:tcPr>
          <w:p w14:paraId="00C51CC8" w14:textId="77777777" w:rsidR="008B7E19" w:rsidRPr="006A0EC8" w:rsidRDefault="008B7E19" w:rsidP="008B7E19">
            <w:pPr>
              <w:spacing w:after="0"/>
              <w:jc w:val="center"/>
              <w:rPr>
                <w:rFonts w:cs="Arial"/>
                <w:b/>
                <w:szCs w:val="18"/>
              </w:rPr>
            </w:pPr>
            <w:r>
              <w:rPr>
                <w:rFonts w:cs="Arial"/>
                <w:b/>
                <w:sz w:val="14"/>
                <w:szCs w:val="18"/>
              </w:rPr>
              <w:t>Dec</w:t>
            </w:r>
            <w:r w:rsidRPr="006A0EC8">
              <w:rPr>
                <w:rFonts w:cs="Arial"/>
                <w:b/>
                <w:sz w:val="14"/>
                <w:szCs w:val="18"/>
              </w:rPr>
              <w:t xml:space="preserve"> 3</w:t>
            </w:r>
            <w:r>
              <w:rPr>
                <w:rFonts w:cs="Arial"/>
                <w:b/>
                <w:sz w:val="14"/>
                <w:szCs w:val="18"/>
              </w:rPr>
              <w:t>1</w:t>
            </w:r>
            <w:r w:rsidRPr="006A0EC8">
              <w:rPr>
                <w:rFonts w:cs="Arial"/>
                <w:b/>
                <w:sz w:val="14"/>
                <w:szCs w:val="18"/>
              </w:rPr>
              <w:t>,</w:t>
            </w:r>
            <w:r>
              <w:rPr>
                <w:rFonts w:cs="Arial"/>
                <w:b/>
                <w:sz w:val="14"/>
                <w:szCs w:val="18"/>
              </w:rPr>
              <w:t xml:space="preserve"> </w:t>
            </w:r>
            <w:r w:rsidRPr="006A0EC8">
              <w:rPr>
                <w:rFonts w:cs="Arial"/>
                <w:b/>
                <w:sz w:val="14"/>
                <w:szCs w:val="18"/>
              </w:rPr>
              <w:t>20</w:t>
            </w:r>
            <w:r>
              <w:rPr>
                <w:rFonts w:cs="Arial"/>
                <w:b/>
                <w:sz w:val="14"/>
                <w:szCs w:val="18"/>
              </w:rPr>
              <w:t>22</w:t>
            </w:r>
          </w:p>
        </w:tc>
      </w:tr>
      <w:tr w:rsidR="008B7E19" w:rsidRPr="006A0EC8" w14:paraId="04B7FA91" w14:textId="77777777" w:rsidTr="008B7E19">
        <w:trPr>
          <w:trHeight w:val="238"/>
        </w:trPr>
        <w:tc>
          <w:tcPr>
            <w:tcW w:w="3119" w:type="dxa"/>
            <w:tcBorders>
              <w:bottom w:val="single" w:sz="2" w:space="0" w:color="1F4E79" w:themeColor="accent1" w:themeShade="80"/>
            </w:tcBorders>
            <w:shd w:val="clear" w:color="auto" w:fill="auto"/>
            <w:vAlign w:val="center"/>
          </w:tcPr>
          <w:p w14:paraId="5064863C" w14:textId="77777777" w:rsidR="008B7E19" w:rsidRPr="006A0EC8" w:rsidRDefault="008B7E19" w:rsidP="008B7E19">
            <w:pPr>
              <w:pStyle w:val="08-Tabelageral"/>
              <w:rPr>
                <w:rFonts w:cs="Arial"/>
                <w:b/>
              </w:rPr>
            </w:pPr>
          </w:p>
        </w:tc>
        <w:tc>
          <w:tcPr>
            <w:tcW w:w="1630" w:type="dxa"/>
            <w:tcBorders>
              <w:top w:val="single" w:sz="2" w:space="0" w:color="1F4E79" w:themeColor="accent1" w:themeShade="80"/>
              <w:bottom w:val="single" w:sz="2" w:space="0" w:color="1F4E79" w:themeColor="accent1" w:themeShade="80"/>
            </w:tcBorders>
            <w:shd w:val="clear" w:color="auto" w:fill="auto"/>
            <w:vAlign w:val="center"/>
          </w:tcPr>
          <w:p w14:paraId="3B7E93B0" w14:textId="77777777" w:rsidR="008B7E19" w:rsidRPr="006A0EC8" w:rsidRDefault="008B7E19" w:rsidP="008B7E19">
            <w:pPr>
              <w:pStyle w:val="08-Tabelageral"/>
              <w:jc w:val="center"/>
              <w:rPr>
                <w:rFonts w:cs="Arial"/>
                <w:b/>
              </w:rPr>
            </w:pPr>
            <w:r w:rsidRPr="006A0EC8">
              <w:rPr>
                <w:rFonts w:cs="Arial"/>
                <w:b/>
              </w:rPr>
              <w:t>Insurance</w:t>
            </w:r>
          </w:p>
        </w:tc>
        <w:tc>
          <w:tcPr>
            <w:tcW w:w="1630" w:type="dxa"/>
            <w:tcBorders>
              <w:top w:val="single" w:sz="2" w:space="0" w:color="1F4E79" w:themeColor="accent1" w:themeShade="80"/>
              <w:bottom w:val="single" w:sz="2" w:space="0" w:color="1F4E79" w:themeColor="accent1" w:themeShade="80"/>
            </w:tcBorders>
            <w:shd w:val="clear" w:color="auto" w:fill="auto"/>
            <w:vAlign w:val="center"/>
          </w:tcPr>
          <w:p w14:paraId="01F487AE" w14:textId="77777777" w:rsidR="008B7E19" w:rsidRPr="006A0EC8" w:rsidRDefault="008B7E19" w:rsidP="008B7E19">
            <w:pPr>
              <w:pStyle w:val="08-Tabelageral"/>
              <w:jc w:val="center"/>
              <w:rPr>
                <w:rFonts w:cs="Arial"/>
                <w:b/>
              </w:rPr>
            </w:pPr>
            <w:r w:rsidRPr="006A0EC8">
              <w:rPr>
                <w:b/>
                <w:szCs w:val="12"/>
              </w:rPr>
              <w:t>Brokerage</w:t>
            </w:r>
          </w:p>
        </w:tc>
        <w:tc>
          <w:tcPr>
            <w:tcW w:w="1630" w:type="dxa"/>
            <w:tcBorders>
              <w:top w:val="single" w:sz="2" w:space="0" w:color="1F4E79" w:themeColor="accent1" w:themeShade="80"/>
              <w:bottom w:val="single" w:sz="2" w:space="0" w:color="1F4E79" w:themeColor="accent1" w:themeShade="80"/>
            </w:tcBorders>
            <w:shd w:val="clear" w:color="auto" w:fill="auto"/>
            <w:vAlign w:val="center"/>
          </w:tcPr>
          <w:p w14:paraId="1D05CF4B" w14:textId="77777777" w:rsidR="008B7E19" w:rsidRPr="006A0EC8" w:rsidRDefault="008B7E19" w:rsidP="008B7E19">
            <w:pPr>
              <w:pStyle w:val="08-Tabelageral"/>
              <w:jc w:val="center"/>
              <w:rPr>
                <w:rFonts w:cs="Arial"/>
                <w:b/>
              </w:rPr>
            </w:pPr>
            <w:r w:rsidRPr="006A0EC8">
              <w:rPr>
                <w:rFonts w:cs="Arial"/>
                <w:b/>
              </w:rPr>
              <w:t>Intersegment transactions</w:t>
            </w:r>
          </w:p>
        </w:tc>
        <w:tc>
          <w:tcPr>
            <w:tcW w:w="1630" w:type="dxa"/>
            <w:tcBorders>
              <w:top w:val="single" w:sz="2" w:space="0" w:color="1F4E79" w:themeColor="accent1" w:themeShade="80"/>
              <w:bottom w:val="single" w:sz="2" w:space="0" w:color="1F4E79" w:themeColor="accent1" w:themeShade="80"/>
            </w:tcBorders>
            <w:shd w:val="clear" w:color="auto" w:fill="auto"/>
            <w:vAlign w:val="center"/>
          </w:tcPr>
          <w:p w14:paraId="02EE22C1" w14:textId="77777777" w:rsidR="008B7E19" w:rsidRPr="006A0EC8" w:rsidRDefault="008B7E19" w:rsidP="008B7E19">
            <w:pPr>
              <w:pStyle w:val="08-Tabelageral"/>
              <w:jc w:val="center"/>
              <w:rPr>
                <w:rFonts w:cs="Arial"/>
                <w:b/>
              </w:rPr>
            </w:pPr>
            <w:r w:rsidRPr="006A0EC8">
              <w:rPr>
                <w:rFonts w:cs="Arial"/>
                <w:b/>
              </w:rPr>
              <w:t>Total</w:t>
            </w:r>
          </w:p>
        </w:tc>
      </w:tr>
      <w:tr w:rsidR="008B7E19" w:rsidRPr="006A0EC8" w14:paraId="3E8D8F63" w14:textId="77777777" w:rsidTr="008B7E19">
        <w:trPr>
          <w:trHeight w:hRule="exact" w:val="238"/>
        </w:trPr>
        <w:tc>
          <w:tcPr>
            <w:tcW w:w="3119" w:type="dxa"/>
            <w:tcBorders>
              <w:top w:val="single" w:sz="2" w:space="0" w:color="1F4E79" w:themeColor="accent1" w:themeShade="80"/>
              <w:bottom w:val="nil"/>
            </w:tcBorders>
            <w:shd w:val="clear" w:color="auto" w:fill="auto"/>
          </w:tcPr>
          <w:p w14:paraId="211445DA" w14:textId="77777777" w:rsidR="008B7E19" w:rsidRPr="006A0EC8" w:rsidRDefault="008B7E19" w:rsidP="008B7E19">
            <w:pPr>
              <w:pStyle w:val="08-Tabelageral"/>
              <w:ind w:left="113"/>
              <w:jc w:val="left"/>
              <w:rPr>
                <w:rFonts w:cs="Arial"/>
                <w:bCs/>
              </w:rPr>
            </w:pPr>
            <w:r w:rsidRPr="006A0EC8">
              <w:t>Current assets</w:t>
            </w:r>
          </w:p>
        </w:tc>
        <w:tc>
          <w:tcPr>
            <w:tcW w:w="1630" w:type="dxa"/>
            <w:tcBorders>
              <w:top w:val="single" w:sz="2" w:space="0" w:color="1F4E79" w:themeColor="accent1" w:themeShade="80"/>
              <w:bottom w:val="nil"/>
            </w:tcBorders>
            <w:shd w:val="clear" w:color="auto" w:fill="auto"/>
            <w:vAlign w:val="bottom"/>
          </w:tcPr>
          <w:p w14:paraId="21C87702" w14:textId="77777777" w:rsidR="008B7E19" w:rsidRPr="00D255FB" w:rsidRDefault="008B7E19" w:rsidP="008B7E19">
            <w:pPr>
              <w:pStyle w:val="08-Tabelageral"/>
            </w:pPr>
            <w:r>
              <w:rPr>
                <w:rFonts w:cs="Arial"/>
                <w:color w:val="000000"/>
                <w:szCs w:val="14"/>
              </w:rPr>
              <w:t>6,148,927</w:t>
            </w:r>
          </w:p>
        </w:tc>
        <w:tc>
          <w:tcPr>
            <w:tcW w:w="1630" w:type="dxa"/>
            <w:tcBorders>
              <w:top w:val="single" w:sz="2" w:space="0" w:color="1F4E79" w:themeColor="accent1" w:themeShade="80"/>
              <w:bottom w:val="nil"/>
            </w:tcBorders>
            <w:shd w:val="clear" w:color="auto" w:fill="auto"/>
            <w:vAlign w:val="bottom"/>
          </w:tcPr>
          <w:p w14:paraId="228A4283" w14:textId="77777777" w:rsidR="008B7E19" w:rsidRPr="00D255FB" w:rsidRDefault="008B7E19" w:rsidP="008B7E19">
            <w:pPr>
              <w:pStyle w:val="08-Tabelageral"/>
            </w:pPr>
            <w:r>
              <w:rPr>
                <w:rFonts w:cs="Arial"/>
                <w:color w:val="000000"/>
                <w:szCs w:val="14"/>
              </w:rPr>
              <w:t>4,764,889</w:t>
            </w:r>
          </w:p>
        </w:tc>
        <w:tc>
          <w:tcPr>
            <w:tcW w:w="1630" w:type="dxa"/>
            <w:tcBorders>
              <w:top w:val="single" w:sz="2" w:space="0" w:color="1F4E79" w:themeColor="accent1" w:themeShade="80"/>
              <w:bottom w:val="nil"/>
            </w:tcBorders>
            <w:shd w:val="clear" w:color="auto" w:fill="auto"/>
            <w:vAlign w:val="bottom"/>
          </w:tcPr>
          <w:p w14:paraId="2D264EF4" w14:textId="77777777" w:rsidR="008B7E19" w:rsidRPr="00D255FB" w:rsidRDefault="008B7E19" w:rsidP="008B7E19">
            <w:pPr>
              <w:pStyle w:val="08-Tabelageral"/>
            </w:pPr>
            <w:r>
              <w:rPr>
                <w:rFonts w:cs="Arial"/>
                <w:color w:val="000000"/>
                <w:szCs w:val="14"/>
              </w:rPr>
              <w:t>(3,692,720)</w:t>
            </w:r>
          </w:p>
        </w:tc>
        <w:tc>
          <w:tcPr>
            <w:tcW w:w="1630" w:type="dxa"/>
            <w:tcBorders>
              <w:top w:val="single" w:sz="2" w:space="0" w:color="1F4E79" w:themeColor="accent1" w:themeShade="80"/>
              <w:bottom w:val="nil"/>
            </w:tcBorders>
            <w:shd w:val="clear" w:color="auto" w:fill="auto"/>
            <w:vAlign w:val="bottom"/>
          </w:tcPr>
          <w:p w14:paraId="31AFC10B" w14:textId="77777777" w:rsidR="008B7E19" w:rsidRPr="00D255FB" w:rsidRDefault="008B7E19" w:rsidP="008B7E19">
            <w:pPr>
              <w:pStyle w:val="08-Tabelageral"/>
            </w:pPr>
            <w:r>
              <w:rPr>
                <w:rFonts w:cs="Arial"/>
                <w:color w:val="000000"/>
                <w:szCs w:val="14"/>
              </w:rPr>
              <w:t>7,221,096</w:t>
            </w:r>
          </w:p>
        </w:tc>
      </w:tr>
      <w:tr w:rsidR="008B7E19" w:rsidRPr="006A0EC8" w14:paraId="1086E91B" w14:textId="77777777" w:rsidTr="008B7E19">
        <w:trPr>
          <w:trHeight w:hRule="exact" w:val="238"/>
        </w:trPr>
        <w:tc>
          <w:tcPr>
            <w:tcW w:w="3119" w:type="dxa"/>
            <w:tcBorders>
              <w:top w:val="nil"/>
            </w:tcBorders>
            <w:shd w:val="clear" w:color="auto" w:fill="auto"/>
          </w:tcPr>
          <w:p w14:paraId="57C296A0" w14:textId="77777777" w:rsidR="008B7E19" w:rsidRPr="006A0EC8" w:rsidRDefault="008B7E19" w:rsidP="008B7E19">
            <w:pPr>
              <w:pStyle w:val="08-Tabelageral"/>
              <w:ind w:left="113"/>
              <w:jc w:val="left"/>
              <w:rPr>
                <w:rFonts w:cs="Arial"/>
                <w:bCs/>
              </w:rPr>
            </w:pPr>
            <w:r w:rsidRPr="006A0EC8">
              <w:t>Non-current assets</w:t>
            </w:r>
          </w:p>
        </w:tc>
        <w:tc>
          <w:tcPr>
            <w:tcW w:w="1630" w:type="dxa"/>
            <w:tcBorders>
              <w:top w:val="nil"/>
            </w:tcBorders>
            <w:shd w:val="clear" w:color="auto" w:fill="auto"/>
            <w:vAlign w:val="bottom"/>
          </w:tcPr>
          <w:p w14:paraId="5F196F8F" w14:textId="77777777" w:rsidR="008B7E19" w:rsidRPr="00D255FB" w:rsidRDefault="008B7E19" w:rsidP="008B7E19">
            <w:pPr>
              <w:pStyle w:val="08-Tabelageral"/>
            </w:pPr>
            <w:r>
              <w:rPr>
                <w:rFonts w:cs="Arial"/>
                <w:color w:val="000000"/>
                <w:szCs w:val="14"/>
              </w:rPr>
              <w:t>15,473,418</w:t>
            </w:r>
          </w:p>
        </w:tc>
        <w:tc>
          <w:tcPr>
            <w:tcW w:w="1630" w:type="dxa"/>
            <w:tcBorders>
              <w:top w:val="nil"/>
            </w:tcBorders>
            <w:shd w:val="clear" w:color="auto" w:fill="auto"/>
            <w:vAlign w:val="bottom"/>
          </w:tcPr>
          <w:p w14:paraId="6DD9AF51" w14:textId="77777777" w:rsidR="008B7E19" w:rsidRPr="00D255FB" w:rsidRDefault="008B7E19" w:rsidP="008B7E19">
            <w:pPr>
              <w:pStyle w:val="08-Tabelageral"/>
            </w:pPr>
            <w:r>
              <w:rPr>
                <w:rFonts w:cs="Arial"/>
                <w:color w:val="000000"/>
                <w:szCs w:val="14"/>
              </w:rPr>
              <w:t>1,292,715</w:t>
            </w:r>
          </w:p>
        </w:tc>
        <w:tc>
          <w:tcPr>
            <w:tcW w:w="1630" w:type="dxa"/>
            <w:tcBorders>
              <w:top w:val="nil"/>
            </w:tcBorders>
            <w:shd w:val="clear" w:color="auto" w:fill="auto"/>
            <w:vAlign w:val="bottom"/>
          </w:tcPr>
          <w:p w14:paraId="5327A59E" w14:textId="77777777" w:rsidR="008B7E19" w:rsidRPr="00D255FB" w:rsidRDefault="008B7E19" w:rsidP="008B7E19">
            <w:pPr>
              <w:pStyle w:val="08-Tabelageral"/>
            </w:pPr>
            <w:r>
              <w:rPr>
                <w:rFonts w:cs="Arial"/>
                <w:color w:val="000000"/>
                <w:szCs w:val="14"/>
              </w:rPr>
              <w:t>(7,416,770)</w:t>
            </w:r>
          </w:p>
        </w:tc>
        <w:tc>
          <w:tcPr>
            <w:tcW w:w="1630" w:type="dxa"/>
            <w:tcBorders>
              <w:top w:val="nil"/>
            </w:tcBorders>
            <w:shd w:val="clear" w:color="auto" w:fill="auto"/>
            <w:vAlign w:val="bottom"/>
          </w:tcPr>
          <w:p w14:paraId="33098D85" w14:textId="77777777" w:rsidR="008B7E19" w:rsidRPr="00D255FB" w:rsidRDefault="008B7E19" w:rsidP="008B7E19">
            <w:pPr>
              <w:pStyle w:val="08-Tabelageral"/>
            </w:pPr>
            <w:r>
              <w:rPr>
                <w:rFonts w:cs="Arial"/>
                <w:color w:val="000000"/>
                <w:szCs w:val="14"/>
              </w:rPr>
              <w:t>9,349,363</w:t>
            </w:r>
          </w:p>
        </w:tc>
      </w:tr>
      <w:tr w:rsidR="008B7E19" w:rsidRPr="00B0013B" w14:paraId="1EB5B393" w14:textId="77777777" w:rsidTr="008B7E19">
        <w:trPr>
          <w:trHeight w:hRule="exact" w:val="238"/>
        </w:trPr>
        <w:tc>
          <w:tcPr>
            <w:tcW w:w="3119" w:type="dxa"/>
            <w:shd w:val="clear" w:color="auto" w:fill="auto"/>
          </w:tcPr>
          <w:p w14:paraId="22A976B8" w14:textId="77777777" w:rsidR="008B7E19" w:rsidRPr="00B0013B" w:rsidRDefault="008B7E19" w:rsidP="008B7E19">
            <w:pPr>
              <w:pStyle w:val="08-Tabelageral"/>
              <w:jc w:val="left"/>
              <w:rPr>
                <w:rFonts w:cs="Arial"/>
                <w:b/>
              </w:rPr>
            </w:pPr>
            <w:r w:rsidRPr="00B0013B">
              <w:rPr>
                <w:rFonts w:cs="Arial"/>
                <w:b/>
              </w:rPr>
              <w:t>Total assets</w:t>
            </w:r>
          </w:p>
        </w:tc>
        <w:tc>
          <w:tcPr>
            <w:tcW w:w="1630" w:type="dxa"/>
            <w:shd w:val="clear" w:color="auto" w:fill="auto"/>
            <w:vAlign w:val="bottom"/>
          </w:tcPr>
          <w:p w14:paraId="5A3C3660" w14:textId="77777777" w:rsidR="008B7E19" w:rsidRPr="00D255FB" w:rsidRDefault="008B7E19" w:rsidP="008B7E19">
            <w:pPr>
              <w:pStyle w:val="08-Tabelageral"/>
              <w:rPr>
                <w:b/>
              </w:rPr>
            </w:pPr>
            <w:r>
              <w:rPr>
                <w:rFonts w:cs="Arial"/>
                <w:b/>
                <w:bCs/>
                <w:color w:val="000000"/>
                <w:szCs w:val="14"/>
              </w:rPr>
              <w:t>21,622,347</w:t>
            </w:r>
          </w:p>
        </w:tc>
        <w:tc>
          <w:tcPr>
            <w:tcW w:w="1630" w:type="dxa"/>
            <w:shd w:val="clear" w:color="auto" w:fill="auto"/>
            <w:vAlign w:val="bottom"/>
          </w:tcPr>
          <w:p w14:paraId="52FEF04B" w14:textId="77777777" w:rsidR="008B7E19" w:rsidRPr="00D255FB" w:rsidRDefault="008B7E19" w:rsidP="008B7E19">
            <w:pPr>
              <w:pStyle w:val="08-Tabelageral"/>
              <w:rPr>
                <w:b/>
              </w:rPr>
            </w:pPr>
            <w:r>
              <w:rPr>
                <w:rFonts w:cs="Arial"/>
                <w:b/>
                <w:bCs/>
                <w:color w:val="000000"/>
                <w:szCs w:val="14"/>
              </w:rPr>
              <w:t>6,057,604</w:t>
            </w:r>
          </w:p>
        </w:tc>
        <w:tc>
          <w:tcPr>
            <w:tcW w:w="1630" w:type="dxa"/>
            <w:shd w:val="clear" w:color="auto" w:fill="auto"/>
            <w:vAlign w:val="bottom"/>
          </w:tcPr>
          <w:p w14:paraId="19554AE9" w14:textId="77777777" w:rsidR="008B7E19" w:rsidRPr="00D255FB" w:rsidRDefault="008B7E19" w:rsidP="008B7E19">
            <w:pPr>
              <w:pStyle w:val="08-Tabelageral"/>
              <w:rPr>
                <w:b/>
              </w:rPr>
            </w:pPr>
            <w:r>
              <w:rPr>
                <w:rFonts w:cs="Arial"/>
                <w:b/>
                <w:bCs/>
                <w:color w:val="000000"/>
                <w:szCs w:val="14"/>
              </w:rPr>
              <w:t>(11,109,490)</w:t>
            </w:r>
          </w:p>
        </w:tc>
        <w:tc>
          <w:tcPr>
            <w:tcW w:w="1630" w:type="dxa"/>
            <w:shd w:val="clear" w:color="auto" w:fill="auto"/>
            <w:vAlign w:val="bottom"/>
          </w:tcPr>
          <w:p w14:paraId="78278211" w14:textId="77777777" w:rsidR="008B7E19" w:rsidRPr="00D255FB" w:rsidRDefault="008B7E19" w:rsidP="008B7E19">
            <w:pPr>
              <w:pStyle w:val="08-Tabelageral"/>
              <w:rPr>
                <w:b/>
              </w:rPr>
            </w:pPr>
            <w:r>
              <w:rPr>
                <w:rFonts w:cs="Arial"/>
                <w:b/>
                <w:bCs/>
                <w:color w:val="000000"/>
                <w:szCs w:val="14"/>
              </w:rPr>
              <w:t>16,570,461</w:t>
            </w:r>
          </w:p>
        </w:tc>
      </w:tr>
      <w:tr w:rsidR="008B7E19" w:rsidRPr="006A0EC8" w14:paraId="7A153AD6" w14:textId="77777777" w:rsidTr="008B7E19">
        <w:trPr>
          <w:trHeight w:hRule="exact" w:val="238"/>
        </w:trPr>
        <w:tc>
          <w:tcPr>
            <w:tcW w:w="3119" w:type="dxa"/>
            <w:shd w:val="clear" w:color="auto" w:fill="auto"/>
          </w:tcPr>
          <w:p w14:paraId="3BB6C95F" w14:textId="77777777" w:rsidR="008B7E19" w:rsidRPr="006A0EC8" w:rsidRDefault="008B7E19" w:rsidP="008B7E19">
            <w:pPr>
              <w:pStyle w:val="08-Tabelageral"/>
              <w:ind w:left="113"/>
              <w:jc w:val="left"/>
              <w:rPr>
                <w:rFonts w:cs="Arial"/>
                <w:bCs/>
              </w:rPr>
            </w:pPr>
            <w:r w:rsidRPr="006A0EC8">
              <w:rPr>
                <w:rFonts w:cs="Arial"/>
              </w:rPr>
              <w:t>Current liabilities</w:t>
            </w:r>
          </w:p>
        </w:tc>
        <w:tc>
          <w:tcPr>
            <w:tcW w:w="1630" w:type="dxa"/>
            <w:shd w:val="clear" w:color="auto" w:fill="auto"/>
            <w:vAlign w:val="bottom"/>
          </w:tcPr>
          <w:p w14:paraId="6E58197A" w14:textId="77777777" w:rsidR="008B7E19" w:rsidRPr="00D255FB" w:rsidRDefault="008B7E19" w:rsidP="008B7E19">
            <w:pPr>
              <w:pStyle w:val="08-Tabelageral"/>
            </w:pPr>
            <w:r>
              <w:rPr>
                <w:rFonts w:cs="Arial"/>
                <w:color w:val="000000"/>
                <w:szCs w:val="14"/>
              </w:rPr>
              <w:t>5,945,959</w:t>
            </w:r>
          </w:p>
        </w:tc>
        <w:tc>
          <w:tcPr>
            <w:tcW w:w="1630" w:type="dxa"/>
            <w:shd w:val="clear" w:color="auto" w:fill="auto"/>
            <w:vAlign w:val="bottom"/>
          </w:tcPr>
          <w:p w14:paraId="44D6409A" w14:textId="77777777" w:rsidR="008B7E19" w:rsidRPr="00D255FB" w:rsidRDefault="008B7E19" w:rsidP="008B7E19">
            <w:pPr>
              <w:pStyle w:val="08-Tabelageral"/>
            </w:pPr>
            <w:r>
              <w:rPr>
                <w:rFonts w:cs="Arial"/>
                <w:color w:val="000000"/>
                <w:szCs w:val="14"/>
              </w:rPr>
              <w:t>4,254,928</w:t>
            </w:r>
          </w:p>
        </w:tc>
        <w:tc>
          <w:tcPr>
            <w:tcW w:w="1630" w:type="dxa"/>
            <w:shd w:val="clear" w:color="auto" w:fill="auto"/>
            <w:vAlign w:val="bottom"/>
          </w:tcPr>
          <w:p w14:paraId="6A792158" w14:textId="77777777" w:rsidR="008B7E19" w:rsidRPr="00D255FB" w:rsidRDefault="008B7E19" w:rsidP="008B7E19">
            <w:pPr>
              <w:pStyle w:val="08-Tabelageral"/>
            </w:pPr>
            <w:r>
              <w:rPr>
                <w:rFonts w:cs="Arial"/>
                <w:color w:val="000000"/>
                <w:szCs w:val="14"/>
              </w:rPr>
              <w:t>(3,692,719)</w:t>
            </w:r>
          </w:p>
        </w:tc>
        <w:tc>
          <w:tcPr>
            <w:tcW w:w="1630" w:type="dxa"/>
            <w:shd w:val="clear" w:color="auto" w:fill="auto"/>
            <w:vAlign w:val="bottom"/>
          </w:tcPr>
          <w:p w14:paraId="44011F29" w14:textId="77777777" w:rsidR="008B7E19" w:rsidRPr="00D255FB" w:rsidRDefault="008B7E19" w:rsidP="008B7E19">
            <w:pPr>
              <w:pStyle w:val="08-Tabelageral"/>
            </w:pPr>
            <w:r>
              <w:rPr>
                <w:rFonts w:cs="Arial"/>
                <w:color w:val="000000"/>
                <w:szCs w:val="14"/>
              </w:rPr>
              <w:t>6,508,168</w:t>
            </w:r>
          </w:p>
        </w:tc>
      </w:tr>
      <w:tr w:rsidR="008B7E19" w:rsidRPr="006A0EC8" w14:paraId="0254A7EB" w14:textId="77777777" w:rsidTr="008B7E19">
        <w:trPr>
          <w:trHeight w:hRule="exact" w:val="238"/>
        </w:trPr>
        <w:tc>
          <w:tcPr>
            <w:tcW w:w="3119" w:type="dxa"/>
            <w:shd w:val="clear" w:color="auto" w:fill="auto"/>
          </w:tcPr>
          <w:p w14:paraId="1B7F26DF" w14:textId="77777777" w:rsidR="008B7E19" w:rsidRPr="006A0EC8" w:rsidRDefault="008B7E19" w:rsidP="008B7E19">
            <w:pPr>
              <w:pStyle w:val="08-Tabelageral"/>
              <w:ind w:left="113"/>
              <w:jc w:val="left"/>
              <w:rPr>
                <w:rFonts w:cs="Arial"/>
                <w:bCs/>
              </w:rPr>
            </w:pPr>
            <w:r w:rsidRPr="006A0EC8">
              <w:rPr>
                <w:rFonts w:cs="Arial"/>
              </w:rPr>
              <w:t>Non-current liabilities</w:t>
            </w:r>
          </w:p>
        </w:tc>
        <w:tc>
          <w:tcPr>
            <w:tcW w:w="1630" w:type="dxa"/>
            <w:shd w:val="clear" w:color="auto" w:fill="auto"/>
            <w:vAlign w:val="bottom"/>
          </w:tcPr>
          <w:p w14:paraId="7802E7B0" w14:textId="77777777" w:rsidR="008B7E19" w:rsidRPr="00D255FB" w:rsidRDefault="008B7E19" w:rsidP="008B7E19">
            <w:pPr>
              <w:pStyle w:val="08-Tabelageral"/>
            </w:pPr>
            <w:r w:rsidRPr="00D62AC4">
              <w:rPr>
                <w:rFonts w:cs="Arial"/>
                <w:color w:val="000000"/>
                <w:szCs w:val="14"/>
              </w:rPr>
              <w:t>229</w:t>
            </w:r>
            <w:r>
              <w:rPr>
                <w:rFonts w:cs="Arial"/>
                <w:color w:val="000000"/>
                <w:szCs w:val="14"/>
              </w:rPr>
              <w:t>,</w:t>
            </w:r>
            <w:r w:rsidRPr="00D62AC4">
              <w:rPr>
                <w:rFonts w:cs="Arial"/>
                <w:color w:val="000000"/>
                <w:szCs w:val="14"/>
              </w:rPr>
              <w:t>225</w:t>
            </w:r>
          </w:p>
        </w:tc>
        <w:tc>
          <w:tcPr>
            <w:tcW w:w="1630" w:type="dxa"/>
            <w:shd w:val="clear" w:color="auto" w:fill="auto"/>
            <w:vAlign w:val="bottom"/>
          </w:tcPr>
          <w:p w14:paraId="227F515C" w14:textId="77777777" w:rsidR="008B7E19" w:rsidRPr="00D255FB" w:rsidRDefault="008B7E19" w:rsidP="008B7E19">
            <w:pPr>
              <w:pStyle w:val="08-Tabelageral"/>
            </w:pPr>
            <w:r w:rsidRPr="00D62AC4">
              <w:rPr>
                <w:rFonts w:cs="Arial"/>
                <w:color w:val="000000"/>
                <w:szCs w:val="14"/>
              </w:rPr>
              <w:t>1</w:t>
            </w:r>
            <w:r>
              <w:rPr>
                <w:rFonts w:cs="Arial"/>
                <w:color w:val="000000"/>
                <w:szCs w:val="14"/>
              </w:rPr>
              <w:t>,</w:t>
            </w:r>
            <w:r w:rsidRPr="00D62AC4">
              <w:rPr>
                <w:rFonts w:cs="Arial"/>
                <w:color w:val="000000"/>
                <w:szCs w:val="14"/>
              </w:rPr>
              <w:t>796</w:t>
            </w:r>
            <w:r>
              <w:rPr>
                <w:rFonts w:cs="Arial"/>
                <w:color w:val="000000"/>
                <w:szCs w:val="14"/>
              </w:rPr>
              <w:t>,</w:t>
            </w:r>
            <w:r w:rsidRPr="00D62AC4">
              <w:rPr>
                <w:rFonts w:cs="Arial"/>
                <w:color w:val="000000"/>
                <w:szCs w:val="14"/>
              </w:rPr>
              <w:t>338</w:t>
            </w:r>
          </w:p>
        </w:tc>
        <w:tc>
          <w:tcPr>
            <w:tcW w:w="1630" w:type="dxa"/>
            <w:shd w:val="clear" w:color="auto" w:fill="auto"/>
            <w:vAlign w:val="bottom"/>
          </w:tcPr>
          <w:p w14:paraId="09610B2B" w14:textId="77777777" w:rsidR="008B7E19" w:rsidRPr="00D255FB" w:rsidRDefault="008B7E19" w:rsidP="008B7E19">
            <w:pPr>
              <w:pStyle w:val="08-Tabelageral"/>
            </w:pPr>
            <w:r>
              <w:t>--</w:t>
            </w:r>
          </w:p>
        </w:tc>
        <w:tc>
          <w:tcPr>
            <w:tcW w:w="1630" w:type="dxa"/>
            <w:shd w:val="clear" w:color="auto" w:fill="auto"/>
            <w:vAlign w:val="bottom"/>
          </w:tcPr>
          <w:p w14:paraId="6AF634CE" w14:textId="77777777" w:rsidR="008B7E19" w:rsidRPr="00D255FB" w:rsidRDefault="008B7E19" w:rsidP="008B7E19">
            <w:pPr>
              <w:pStyle w:val="08-Tabelageral"/>
            </w:pPr>
            <w:r w:rsidRPr="00D62AC4">
              <w:rPr>
                <w:rFonts w:cs="Arial"/>
                <w:color w:val="000000"/>
                <w:szCs w:val="14"/>
              </w:rPr>
              <w:t>2</w:t>
            </w:r>
            <w:r>
              <w:rPr>
                <w:rFonts w:cs="Arial"/>
                <w:color w:val="000000"/>
                <w:szCs w:val="14"/>
              </w:rPr>
              <w:t>,</w:t>
            </w:r>
            <w:r w:rsidRPr="00D62AC4">
              <w:rPr>
                <w:rFonts w:cs="Arial"/>
                <w:color w:val="000000"/>
                <w:szCs w:val="14"/>
              </w:rPr>
              <w:t>025</w:t>
            </w:r>
            <w:r>
              <w:rPr>
                <w:rFonts w:cs="Arial"/>
                <w:color w:val="000000"/>
                <w:szCs w:val="14"/>
              </w:rPr>
              <w:t>,</w:t>
            </w:r>
            <w:r w:rsidRPr="00D62AC4">
              <w:rPr>
                <w:rFonts w:cs="Arial"/>
                <w:color w:val="000000"/>
                <w:szCs w:val="14"/>
              </w:rPr>
              <w:t>563</w:t>
            </w:r>
          </w:p>
        </w:tc>
      </w:tr>
      <w:tr w:rsidR="008B7E19" w:rsidRPr="006A0EC8" w14:paraId="71EDBF6C" w14:textId="77777777" w:rsidTr="008B7E19">
        <w:trPr>
          <w:trHeight w:hRule="exact" w:val="238"/>
        </w:trPr>
        <w:tc>
          <w:tcPr>
            <w:tcW w:w="3119" w:type="dxa"/>
            <w:shd w:val="clear" w:color="auto" w:fill="auto"/>
          </w:tcPr>
          <w:p w14:paraId="04BA9733" w14:textId="77777777" w:rsidR="008B7E19" w:rsidRPr="006A0EC8" w:rsidRDefault="008B7E19" w:rsidP="008B7E19">
            <w:pPr>
              <w:pStyle w:val="08-Tabelageral"/>
              <w:ind w:left="113"/>
              <w:jc w:val="left"/>
              <w:rPr>
                <w:rFonts w:cs="Arial"/>
                <w:bCs/>
              </w:rPr>
            </w:pPr>
            <w:r w:rsidRPr="006A0EC8">
              <w:t>Equity</w:t>
            </w:r>
          </w:p>
        </w:tc>
        <w:tc>
          <w:tcPr>
            <w:tcW w:w="1630" w:type="dxa"/>
            <w:shd w:val="clear" w:color="auto" w:fill="auto"/>
            <w:vAlign w:val="bottom"/>
          </w:tcPr>
          <w:p w14:paraId="0547352F" w14:textId="77777777" w:rsidR="008B7E19" w:rsidRPr="00D255FB" w:rsidRDefault="008B7E19" w:rsidP="008B7E19">
            <w:pPr>
              <w:pStyle w:val="08-Tabelageral"/>
            </w:pPr>
            <w:r>
              <w:rPr>
                <w:rFonts w:cs="Arial"/>
                <w:color w:val="000000"/>
                <w:szCs w:val="14"/>
              </w:rPr>
              <w:t>15,447,161</w:t>
            </w:r>
          </w:p>
        </w:tc>
        <w:tc>
          <w:tcPr>
            <w:tcW w:w="1630" w:type="dxa"/>
            <w:shd w:val="clear" w:color="auto" w:fill="auto"/>
            <w:vAlign w:val="bottom"/>
          </w:tcPr>
          <w:p w14:paraId="17CFF248" w14:textId="77777777" w:rsidR="008B7E19" w:rsidRPr="00D255FB" w:rsidRDefault="008B7E19" w:rsidP="008B7E19">
            <w:pPr>
              <w:pStyle w:val="08-Tabelageral"/>
            </w:pPr>
            <w:r>
              <w:rPr>
                <w:rFonts w:cs="Arial"/>
                <w:color w:val="000000"/>
                <w:szCs w:val="14"/>
              </w:rPr>
              <w:t>6,338</w:t>
            </w:r>
          </w:p>
        </w:tc>
        <w:tc>
          <w:tcPr>
            <w:tcW w:w="1630" w:type="dxa"/>
            <w:shd w:val="clear" w:color="auto" w:fill="auto"/>
            <w:vAlign w:val="bottom"/>
          </w:tcPr>
          <w:p w14:paraId="1F8E70CE" w14:textId="77777777" w:rsidR="008B7E19" w:rsidRPr="00D255FB" w:rsidRDefault="008B7E19" w:rsidP="008B7E19">
            <w:pPr>
              <w:pStyle w:val="08-Tabelageral"/>
            </w:pPr>
            <w:r>
              <w:rPr>
                <w:rFonts w:cs="Arial"/>
                <w:color w:val="000000"/>
                <w:szCs w:val="14"/>
              </w:rPr>
              <w:t>(7,416,770)</w:t>
            </w:r>
          </w:p>
        </w:tc>
        <w:tc>
          <w:tcPr>
            <w:tcW w:w="1630" w:type="dxa"/>
            <w:shd w:val="clear" w:color="auto" w:fill="auto"/>
            <w:vAlign w:val="bottom"/>
          </w:tcPr>
          <w:p w14:paraId="368A47B5" w14:textId="77777777" w:rsidR="008B7E19" w:rsidRPr="00D255FB" w:rsidRDefault="008B7E19" w:rsidP="008B7E19">
            <w:pPr>
              <w:pStyle w:val="08-Tabelageral"/>
            </w:pPr>
            <w:r>
              <w:rPr>
                <w:rFonts w:cs="Arial"/>
                <w:color w:val="000000"/>
                <w:szCs w:val="14"/>
              </w:rPr>
              <w:t>8,036,729</w:t>
            </w:r>
          </w:p>
        </w:tc>
      </w:tr>
      <w:tr w:rsidR="008B7E19" w:rsidRPr="00B0013B" w14:paraId="18C7C7CE" w14:textId="77777777" w:rsidTr="008B7E19">
        <w:trPr>
          <w:trHeight w:hRule="exact" w:val="238"/>
        </w:trPr>
        <w:tc>
          <w:tcPr>
            <w:tcW w:w="3119" w:type="dxa"/>
            <w:tcBorders>
              <w:bottom w:val="single" w:sz="2" w:space="0" w:color="1F4E79" w:themeColor="accent1" w:themeShade="80"/>
            </w:tcBorders>
            <w:shd w:val="clear" w:color="auto" w:fill="auto"/>
          </w:tcPr>
          <w:p w14:paraId="48D575D0" w14:textId="77777777" w:rsidR="008B7E19" w:rsidRPr="00B0013B" w:rsidRDefault="008B7E19" w:rsidP="008B7E19">
            <w:pPr>
              <w:pStyle w:val="08-Tabelageral"/>
              <w:jc w:val="left"/>
              <w:rPr>
                <w:rFonts w:cs="Arial"/>
                <w:b/>
              </w:rPr>
            </w:pPr>
            <w:r w:rsidRPr="00B0013B">
              <w:rPr>
                <w:b/>
              </w:rPr>
              <w:t>Total liabilities and equity</w:t>
            </w:r>
          </w:p>
        </w:tc>
        <w:tc>
          <w:tcPr>
            <w:tcW w:w="1630" w:type="dxa"/>
            <w:tcBorders>
              <w:bottom w:val="single" w:sz="2" w:space="0" w:color="1F4E79" w:themeColor="accent1" w:themeShade="80"/>
            </w:tcBorders>
            <w:shd w:val="clear" w:color="auto" w:fill="auto"/>
            <w:vAlign w:val="bottom"/>
          </w:tcPr>
          <w:p w14:paraId="401595D6" w14:textId="77777777" w:rsidR="008B7E19" w:rsidRPr="00D255FB" w:rsidRDefault="008B7E19" w:rsidP="008B7E19">
            <w:pPr>
              <w:pStyle w:val="08-Tabelageral"/>
              <w:rPr>
                <w:b/>
              </w:rPr>
            </w:pPr>
            <w:r>
              <w:rPr>
                <w:rFonts w:cs="Arial"/>
                <w:b/>
                <w:bCs/>
                <w:color w:val="000000"/>
                <w:szCs w:val="14"/>
              </w:rPr>
              <w:t>21,622,347</w:t>
            </w:r>
          </w:p>
        </w:tc>
        <w:tc>
          <w:tcPr>
            <w:tcW w:w="1630" w:type="dxa"/>
            <w:tcBorders>
              <w:bottom w:val="single" w:sz="2" w:space="0" w:color="1F4E79" w:themeColor="accent1" w:themeShade="80"/>
            </w:tcBorders>
            <w:shd w:val="clear" w:color="auto" w:fill="auto"/>
            <w:vAlign w:val="bottom"/>
          </w:tcPr>
          <w:p w14:paraId="17221474" w14:textId="77777777" w:rsidR="008B7E19" w:rsidRPr="00D255FB" w:rsidRDefault="008B7E19" w:rsidP="008B7E19">
            <w:pPr>
              <w:pStyle w:val="08-Tabelageral"/>
              <w:rPr>
                <w:b/>
              </w:rPr>
            </w:pPr>
            <w:r>
              <w:rPr>
                <w:rFonts w:cs="Arial"/>
                <w:b/>
                <w:bCs/>
                <w:color w:val="000000"/>
                <w:szCs w:val="14"/>
              </w:rPr>
              <w:t>6,057,604</w:t>
            </w:r>
          </w:p>
        </w:tc>
        <w:tc>
          <w:tcPr>
            <w:tcW w:w="1630" w:type="dxa"/>
            <w:tcBorders>
              <w:bottom w:val="single" w:sz="2" w:space="0" w:color="1F4E79" w:themeColor="accent1" w:themeShade="80"/>
            </w:tcBorders>
            <w:shd w:val="clear" w:color="auto" w:fill="auto"/>
            <w:vAlign w:val="bottom"/>
          </w:tcPr>
          <w:p w14:paraId="1177543A" w14:textId="77777777" w:rsidR="008B7E19" w:rsidRPr="00D255FB" w:rsidRDefault="008B7E19" w:rsidP="008B7E19">
            <w:pPr>
              <w:pStyle w:val="08-Tabelageral"/>
              <w:rPr>
                <w:b/>
              </w:rPr>
            </w:pPr>
            <w:r>
              <w:rPr>
                <w:rFonts w:cs="Arial"/>
                <w:b/>
                <w:bCs/>
                <w:color w:val="000000"/>
                <w:szCs w:val="14"/>
              </w:rPr>
              <w:t>(11,109,490)</w:t>
            </w:r>
          </w:p>
        </w:tc>
        <w:tc>
          <w:tcPr>
            <w:tcW w:w="1630" w:type="dxa"/>
            <w:tcBorders>
              <w:bottom w:val="single" w:sz="2" w:space="0" w:color="1F4E79" w:themeColor="accent1" w:themeShade="80"/>
            </w:tcBorders>
            <w:shd w:val="clear" w:color="auto" w:fill="auto"/>
            <w:vAlign w:val="bottom"/>
          </w:tcPr>
          <w:p w14:paraId="29E6DD62" w14:textId="77777777" w:rsidR="008B7E19" w:rsidRPr="00D255FB" w:rsidRDefault="008B7E19" w:rsidP="008B7E19">
            <w:pPr>
              <w:pStyle w:val="08-Tabelageral"/>
              <w:rPr>
                <w:b/>
              </w:rPr>
            </w:pPr>
            <w:r>
              <w:rPr>
                <w:rFonts w:cs="Arial"/>
                <w:b/>
                <w:bCs/>
                <w:color w:val="000000"/>
                <w:szCs w:val="14"/>
              </w:rPr>
              <w:t>16,570,461</w:t>
            </w:r>
          </w:p>
        </w:tc>
      </w:tr>
      <w:bookmarkEnd w:id="26"/>
    </w:tbl>
    <w:p w14:paraId="4348DD16" w14:textId="77777777" w:rsidR="008B7E19" w:rsidRDefault="008B7E19" w:rsidP="008B7E19">
      <w:pPr>
        <w:pStyle w:val="05-Textonormal"/>
        <w:spacing w:after="0"/>
        <w:rPr>
          <w:b/>
          <w:sz w:val="14"/>
          <w:lang w:val="en-US"/>
        </w:rPr>
      </w:pPr>
    </w:p>
    <w:p w14:paraId="0766F722" w14:textId="7E6B363D" w:rsidR="008B7E19" w:rsidRPr="00751C98" w:rsidRDefault="008B7E19" w:rsidP="008B7E19">
      <w:pPr>
        <w:pStyle w:val="Ttulo1"/>
        <w:rPr>
          <w:b w:val="0"/>
        </w:rPr>
      </w:pPr>
      <w:bookmarkStart w:id="27" w:name="_Toc141966685"/>
      <w:r w:rsidRPr="00751C98">
        <w:t>7 - INVESTMENTS IN ASSOCIATES</w:t>
      </w:r>
      <w:bookmarkEnd w:id="27"/>
    </w:p>
    <w:p w14:paraId="14239092" w14:textId="77777777" w:rsidR="008B7E19" w:rsidRPr="00CF49A3" w:rsidRDefault="008B7E19" w:rsidP="008B7E19">
      <w:pPr>
        <w:pStyle w:val="01-TtulodeNota"/>
        <w:rPr>
          <w:color w:val="1F4E79" w:themeColor="accent1" w:themeShade="80"/>
          <w:lang w:val="en-US"/>
        </w:rPr>
      </w:pPr>
      <w:r w:rsidRPr="00CF49A3">
        <w:rPr>
          <w:color w:val="1F4E79" w:themeColor="accent1" w:themeShade="80"/>
          <w:lang w:val="en-US"/>
        </w:rPr>
        <w:t>a) Description of Investments in Equity Holdings, by business segment</w:t>
      </w:r>
    </w:p>
    <w:p w14:paraId="336DF3E0" w14:textId="77777777" w:rsidR="008B7E19" w:rsidRPr="00E22381" w:rsidRDefault="008B7E19" w:rsidP="008B7E19">
      <w:pPr>
        <w:rPr>
          <w:rFonts w:cs="Arial"/>
          <w:sz w:val="2"/>
          <w:szCs w:val="2"/>
          <w:lang w:val="en-US" w:eastAsia="pt-BR"/>
        </w:rPr>
      </w:pPr>
    </w:p>
    <w:tbl>
      <w:tblPr>
        <w:tblStyle w:val="TabeladeLista6Colorida-nfase510"/>
        <w:tblW w:w="9639" w:type="dxa"/>
        <w:jc w:val="center"/>
        <w:tblInd w:w="0" w:type="dxa"/>
        <w:tblLayout w:type="fixed"/>
        <w:tblLook w:val="04A0" w:firstRow="1" w:lastRow="0" w:firstColumn="1" w:lastColumn="0" w:noHBand="0" w:noVBand="1"/>
      </w:tblPr>
      <w:tblGrid>
        <w:gridCol w:w="990"/>
        <w:gridCol w:w="1242"/>
        <w:gridCol w:w="1493"/>
        <w:gridCol w:w="1811"/>
        <w:gridCol w:w="1224"/>
        <w:gridCol w:w="440"/>
        <w:gridCol w:w="664"/>
        <w:gridCol w:w="712"/>
        <w:gridCol w:w="1063"/>
      </w:tblGrid>
      <w:tr w:rsidR="008B7E19" w:rsidRPr="004C4523" w14:paraId="6F449FCF" w14:textId="77777777" w:rsidTr="008B7E19">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994" w:type="dxa"/>
            <w:vMerge w:val="restart"/>
            <w:tcBorders>
              <w:top w:val="single" w:sz="2" w:space="0" w:color="1F4E79" w:themeColor="accent1" w:themeShade="80"/>
            </w:tcBorders>
            <w:shd w:val="clear" w:color="auto" w:fill="auto"/>
            <w:vAlign w:val="center"/>
          </w:tcPr>
          <w:p w14:paraId="1C31B31E" w14:textId="77777777" w:rsidR="008B7E19" w:rsidRPr="004369A3" w:rsidRDefault="008B7E19" w:rsidP="008B7E19">
            <w:pPr>
              <w:jc w:val="center"/>
              <w:rPr>
                <w:rFonts w:cs="Arial"/>
                <w:sz w:val="14"/>
                <w:szCs w:val="14"/>
              </w:rPr>
            </w:pPr>
            <w:r w:rsidRPr="004369A3">
              <w:rPr>
                <w:rFonts w:cs="Arial"/>
                <w:sz w:val="14"/>
                <w:szCs w:val="14"/>
                <w:lang w:val="en-US"/>
              </w:rPr>
              <w:t>Segment</w:t>
            </w:r>
          </w:p>
        </w:tc>
        <w:tc>
          <w:tcPr>
            <w:tcW w:w="1248" w:type="dxa"/>
            <w:vMerge w:val="restart"/>
            <w:tcBorders>
              <w:top w:val="single" w:sz="2" w:space="0" w:color="1F4E79" w:themeColor="accent1" w:themeShade="80"/>
            </w:tcBorders>
            <w:shd w:val="clear" w:color="auto" w:fill="auto"/>
            <w:vAlign w:val="center"/>
          </w:tcPr>
          <w:p w14:paraId="39B1381A" w14:textId="77777777" w:rsidR="008B7E19" w:rsidRPr="004369A3" w:rsidRDefault="008B7E19" w:rsidP="008B7E19">
            <w:pPr>
              <w:jc w:val="center"/>
              <w:cnfStyle w:val="100000000000" w:firstRow="1" w:lastRow="0" w:firstColumn="0" w:lastColumn="0" w:oddVBand="0" w:evenVBand="0" w:oddHBand="0" w:evenHBand="0" w:firstRowFirstColumn="0" w:firstRowLastColumn="0" w:lastRowFirstColumn="0" w:lastRowLastColumn="0"/>
              <w:rPr>
                <w:rFonts w:cs="Arial"/>
                <w:sz w:val="14"/>
                <w:szCs w:val="14"/>
              </w:rPr>
            </w:pPr>
            <w:r w:rsidRPr="004369A3">
              <w:rPr>
                <w:rFonts w:cs="Arial"/>
                <w:sz w:val="14"/>
                <w:szCs w:val="14"/>
                <w:lang w:val="en-US"/>
              </w:rPr>
              <w:t>Line of business</w:t>
            </w:r>
          </w:p>
        </w:tc>
        <w:tc>
          <w:tcPr>
            <w:tcW w:w="1500" w:type="dxa"/>
            <w:vMerge w:val="restart"/>
            <w:tcBorders>
              <w:top w:val="single" w:sz="2" w:space="0" w:color="1F4E79" w:themeColor="accent1" w:themeShade="80"/>
            </w:tcBorders>
            <w:shd w:val="clear" w:color="auto" w:fill="auto"/>
            <w:vAlign w:val="center"/>
          </w:tcPr>
          <w:p w14:paraId="5EC20BBE" w14:textId="77777777" w:rsidR="008B7E19" w:rsidRPr="004369A3" w:rsidRDefault="008B7E19" w:rsidP="008B7E19">
            <w:pPr>
              <w:jc w:val="center"/>
              <w:cnfStyle w:val="100000000000" w:firstRow="1" w:lastRow="0" w:firstColumn="0" w:lastColumn="0" w:oddVBand="0" w:evenVBand="0" w:oddHBand="0" w:evenHBand="0" w:firstRowFirstColumn="0" w:firstRowLastColumn="0" w:lastRowFirstColumn="0" w:lastRowLastColumn="0"/>
              <w:rPr>
                <w:rFonts w:cs="Arial"/>
                <w:sz w:val="14"/>
                <w:szCs w:val="14"/>
              </w:rPr>
            </w:pPr>
            <w:r w:rsidRPr="004369A3">
              <w:rPr>
                <w:rFonts w:cs="Arial"/>
                <w:sz w:val="14"/>
                <w:szCs w:val="14"/>
              </w:rPr>
              <w:t>Company</w:t>
            </w:r>
          </w:p>
        </w:tc>
        <w:tc>
          <w:tcPr>
            <w:tcW w:w="1820" w:type="dxa"/>
            <w:vMerge w:val="restart"/>
            <w:tcBorders>
              <w:top w:val="single" w:sz="2" w:space="0" w:color="1F4E79" w:themeColor="accent1" w:themeShade="80"/>
            </w:tcBorders>
            <w:shd w:val="clear" w:color="auto" w:fill="auto"/>
            <w:vAlign w:val="center"/>
          </w:tcPr>
          <w:p w14:paraId="5549711B" w14:textId="77777777" w:rsidR="008B7E19" w:rsidRPr="004369A3" w:rsidRDefault="008B7E19" w:rsidP="008B7E19">
            <w:pPr>
              <w:jc w:val="center"/>
              <w:cnfStyle w:val="100000000000" w:firstRow="1" w:lastRow="0" w:firstColumn="0" w:lastColumn="0" w:oddVBand="0" w:evenVBand="0" w:oddHBand="0" w:evenHBand="0" w:firstRowFirstColumn="0" w:firstRowLastColumn="0" w:lastRowFirstColumn="0" w:lastRowLastColumn="0"/>
              <w:rPr>
                <w:rFonts w:cs="Arial"/>
                <w:sz w:val="14"/>
                <w:szCs w:val="14"/>
              </w:rPr>
            </w:pPr>
            <w:r w:rsidRPr="004369A3">
              <w:rPr>
                <w:rFonts w:cs="Arial"/>
                <w:sz w:val="14"/>
                <w:szCs w:val="14"/>
                <w:lang w:val="en-US"/>
              </w:rPr>
              <w:t>Description</w:t>
            </w:r>
          </w:p>
        </w:tc>
        <w:tc>
          <w:tcPr>
            <w:tcW w:w="1230" w:type="dxa"/>
            <w:vMerge w:val="restart"/>
            <w:tcBorders>
              <w:top w:val="single" w:sz="2" w:space="0" w:color="1F4E79" w:themeColor="accent1" w:themeShade="80"/>
            </w:tcBorders>
            <w:shd w:val="clear" w:color="auto" w:fill="auto"/>
            <w:vAlign w:val="center"/>
          </w:tcPr>
          <w:p w14:paraId="7D850706" w14:textId="77777777" w:rsidR="008B7E19" w:rsidRPr="004369A3" w:rsidRDefault="008B7E19" w:rsidP="008B7E19">
            <w:pPr>
              <w:pStyle w:val="08-Tabelageral"/>
              <w:jc w:val="center"/>
              <w:cnfStyle w:val="100000000000" w:firstRow="1" w:lastRow="0" w:firstColumn="0" w:lastColumn="0" w:oddVBand="0" w:evenVBand="0" w:oddHBand="0" w:evenHBand="0" w:firstRowFirstColumn="0" w:firstRowLastColumn="0" w:lastRowFirstColumn="0" w:lastRowLastColumn="0"/>
              <w:rPr>
                <w:rFonts w:cs="Arial"/>
                <w:szCs w:val="14"/>
              </w:rPr>
            </w:pPr>
            <w:r w:rsidRPr="004369A3">
              <w:rPr>
                <w:rFonts w:cs="Arial"/>
                <w:szCs w:val="14"/>
              </w:rPr>
              <w:t>Original Acconting Practice</w:t>
            </w:r>
          </w:p>
        </w:tc>
        <w:tc>
          <w:tcPr>
            <w:tcW w:w="441" w:type="dxa"/>
            <w:tcBorders>
              <w:top w:val="single" w:sz="2" w:space="0" w:color="1F4E79" w:themeColor="accent1" w:themeShade="80"/>
              <w:bottom w:val="single" w:sz="2" w:space="0" w:color="1F4E79" w:themeColor="accent1" w:themeShade="80"/>
            </w:tcBorders>
            <w:shd w:val="clear" w:color="auto" w:fill="auto"/>
          </w:tcPr>
          <w:p w14:paraId="736B78CC" w14:textId="77777777" w:rsidR="008B7E19" w:rsidRPr="004369A3" w:rsidRDefault="008B7E19" w:rsidP="008B7E19">
            <w:pPr>
              <w:pStyle w:val="08-Tabelageral"/>
              <w:jc w:val="center"/>
              <w:cnfStyle w:val="100000000000" w:firstRow="1" w:lastRow="0" w:firstColumn="0" w:lastColumn="0" w:oddVBand="0" w:evenVBand="0" w:oddHBand="0" w:evenHBand="0" w:firstRowFirstColumn="0" w:firstRowLastColumn="0" w:lastRowFirstColumn="0" w:lastRowLastColumn="0"/>
              <w:rPr>
                <w:rFonts w:cs="Arial"/>
                <w:szCs w:val="14"/>
                <w:lang w:val="en-US"/>
              </w:rPr>
            </w:pPr>
          </w:p>
        </w:tc>
        <w:tc>
          <w:tcPr>
            <w:tcW w:w="2450" w:type="dxa"/>
            <w:gridSpan w:val="3"/>
            <w:tcBorders>
              <w:top w:val="single" w:sz="2" w:space="0" w:color="1F4E79" w:themeColor="accent1" w:themeShade="80"/>
              <w:bottom w:val="single" w:sz="2" w:space="0" w:color="1F4E79" w:themeColor="accent1" w:themeShade="80"/>
            </w:tcBorders>
            <w:shd w:val="clear" w:color="auto" w:fill="auto"/>
          </w:tcPr>
          <w:p w14:paraId="7D06219E" w14:textId="77777777" w:rsidR="008B7E19" w:rsidRPr="00944050" w:rsidRDefault="008B7E19" w:rsidP="008B7E19">
            <w:pPr>
              <w:pStyle w:val="08-Tabelageral"/>
              <w:jc w:val="center"/>
              <w:cnfStyle w:val="100000000000" w:firstRow="1" w:lastRow="0" w:firstColumn="0" w:lastColumn="0" w:oddVBand="0" w:evenVBand="0" w:oddHBand="0" w:evenHBand="0" w:firstRowFirstColumn="0" w:firstRowLastColumn="0" w:lastRowFirstColumn="0" w:lastRowLastColumn="0"/>
              <w:rPr>
                <w:rFonts w:cs="Arial"/>
                <w:szCs w:val="14"/>
                <w:lang w:val="en-US"/>
              </w:rPr>
            </w:pPr>
            <w:r w:rsidRPr="004369A3">
              <w:rPr>
                <w:rFonts w:cs="Arial"/>
                <w:szCs w:val="14"/>
                <w:lang w:val="en-US"/>
              </w:rPr>
              <w:t>% of total share</w:t>
            </w:r>
            <w:r>
              <w:rPr>
                <w:rFonts w:cs="Arial"/>
                <w:szCs w:val="14"/>
                <w:lang w:val="en-US"/>
              </w:rPr>
              <w:t xml:space="preserve"> on</w:t>
            </w:r>
            <w:r w:rsidRPr="00944050">
              <w:rPr>
                <w:rFonts w:cs="Arial"/>
                <w:szCs w:val="14"/>
                <w:lang w:val="en-US"/>
              </w:rPr>
              <w:br/>
            </w:r>
            <w:r>
              <w:rPr>
                <w:rFonts w:cs="Arial"/>
                <w:szCs w:val="14"/>
                <w:lang w:val="en-US"/>
              </w:rPr>
              <w:t xml:space="preserve">June </w:t>
            </w:r>
            <w:r w:rsidRPr="00944050">
              <w:rPr>
                <w:rFonts w:cs="Arial"/>
                <w:szCs w:val="14"/>
                <w:lang w:val="en-US"/>
              </w:rPr>
              <w:t>3</w:t>
            </w:r>
            <w:r>
              <w:rPr>
                <w:rFonts w:cs="Arial"/>
                <w:szCs w:val="14"/>
                <w:lang w:val="en-US"/>
              </w:rPr>
              <w:t xml:space="preserve">0, </w:t>
            </w:r>
            <w:r w:rsidRPr="00944050">
              <w:rPr>
                <w:rFonts w:cs="Arial"/>
                <w:szCs w:val="14"/>
                <w:lang w:val="en-US"/>
              </w:rPr>
              <w:t>202</w:t>
            </w:r>
            <w:r>
              <w:rPr>
                <w:rFonts w:cs="Arial"/>
                <w:szCs w:val="14"/>
                <w:lang w:val="en-US"/>
              </w:rPr>
              <w:t>3</w:t>
            </w:r>
            <w:r w:rsidRPr="00944050">
              <w:rPr>
                <w:rFonts w:cs="Arial"/>
                <w:szCs w:val="14"/>
                <w:lang w:val="en-US"/>
              </w:rPr>
              <w:t xml:space="preserve"> and </w:t>
            </w:r>
            <w:r>
              <w:rPr>
                <w:rFonts w:cs="Arial"/>
                <w:szCs w:val="14"/>
                <w:lang w:val="en-US"/>
              </w:rPr>
              <w:t xml:space="preserve">Dec </w:t>
            </w:r>
            <w:r w:rsidRPr="00944050">
              <w:rPr>
                <w:rFonts w:cs="Arial"/>
                <w:szCs w:val="14"/>
                <w:lang w:val="en-US"/>
              </w:rPr>
              <w:t>31</w:t>
            </w:r>
            <w:r>
              <w:rPr>
                <w:rFonts w:cs="Arial"/>
                <w:szCs w:val="14"/>
                <w:lang w:val="en-US"/>
              </w:rPr>
              <w:t xml:space="preserve">, 2022 </w:t>
            </w:r>
            <w:r w:rsidRPr="00B64AF5">
              <w:rPr>
                <w:rFonts w:cs="Arial"/>
                <w:szCs w:val="14"/>
                <w:vertAlign w:val="superscript"/>
                <w:lang w:val="en-US"/>
              </w:rPr>
              <w:t>(1)</w:t>
            </w:r>
          </w:p>
        </w:tc>
      </w:tr>
      <w:tr w:rsidR="008B7E19" w:rsidRPr="00E22381" w14:paraId="3E841364" w14:textId="77777777" w:rsidTr="008B7E19">
        <w:trPr>
          <w:cnfStyle w:val="000000100000" w:firstRow="0" w:lastRow="0" w:firstColumn="0" w:lastColumn="0" w:oddVBand="0" w:evenVBand="0" w:oddHBand="1" w:evenHBand="0" w:firstRowFirstColumn="0" w:firstRowLastColumn="0" w:lastRowFirstColumn="0" w:lastRowLastColumn="0"/>
          <w:trHeight w:val="419"/>
          <w:jc w:val="center"/>
        </w:trPr>
        <w:tc>
          <w:tcPr>
            <w:cnfStyle w:val="001000000000" w:firstRow="0" w:lastRow="0" w:firstColumn="1" w:lastColumn="0" w:oddVBand="0" w:evenVBand="0" w:oddHBand="0" w:evenHBand="0" w:firstRowFirstColumn="0" w:firstRowLastColumn="0" w:lastRowFirstColumn="0" w:lastRowLastColumn="0"/>
            <w:tcW w:w="994" w:type="dxa"/>
            <w:vMerge/>
            <w:tcBorders>
              <w:bottom w:val="single" w:sz="2" w:space="0" w:color="1F4E79" w:themeColor="accent1" w:themeShade="80"/>
            </w:tcBorders>
            <w:shd w:val="clear" w:color="auto" w:fill="auto"/>
            <w:vAlign w:val="center"/>
          </w:tcPr>
          <w:p w14:paraId="36B3BA51" w14:textId="77777777" w:rsidR="008B7E19" w:rsidRPr="00944050" w:rsidRDefault="008B7E19" w:rsidP="008B7E19">
            <w:pPr>
              <w:rPr>
                <w:rFonts w:cs="Arial"/>
                <w:sz w:val="14"/>
                <w:szCs w:val="14"/>
                <w:highlight w:val="yellow"/>
                <w:lang w:val="en-US"/>
              </w:rPr>
            </w:pPr>
          </w:p>
        </w:tc>
        <w:tc>
          <w:tcPr>
            <w:tcW w:w="1248" w:type="dxa"/>
            <w:vMerge/>
            <w:tcBorders>
              <w:bottom w:val="single" w:sz="4" w:space="0" w:color="1F4E79" w:themeColor="accent1" w:themeShade="80"/>
            </w:tcBorders>
            <w:shd w:val="clear" w:color="auto" w:fill="auto"/>
          </w:tcPr>
          <w:p w14:paraId="27FF817B" w14:textId="77777777" w:rsidR="008B7E19" w:rsidRPr="00944050" w:rsidRDefault="008B7E19" w:rsidP="008B7E19">
            <w:pPr>
              <w:pStyle w:val="08-Tabelageral"/>
              <w:jc w:val="left"/>
              <w:cnfStyle w:val="000000100000" w:firstRow="0" w:lastRow="0" w:firstColumn="0" w:lastColumn="0" w:oddVBand="0" w:evenVBand="0" w:oddHBand="1" w:evenHBand="0" w:firstRowFirstColumn="0" w:firstRowLastColumn="0" w:lastRowFirstColumn="0" w:lastRowLastColumn="0"/>
              <w:rPr>
                <w:rFonts w:cs="Arial"/>
                <w:b/>
                <w:bCs/>
                <w:szCs w:val="14"/>
                <w:highlight w:val="yellow"/>
                <w:lang w:val="en-US"/>
              </w:rPr>
            </w:pPr>
          </w:p>
        </w:tc>
        <w:tc>
          <w:tcPr>
            <w:tcW w:w="1500" w:type="dxa"/>
            <w:vMerge/>
            <w:tcBorders>
              <w:bottom w:val="single" w:sz="4" w:space="0" w:color="1F4E79" w:themeColor="accent1" w:themeShade="80"/>
            </w:tcBorders>
            <w:shd w:val="clear" w:color="auto" w:fill="auto"/>
          </w:tcPr>
          <w:p w14:paraId="10170D2D" w14:textId="77777777" w:rsidR="008B7E19" w:rsidRPr="00944050" w:rsidRDefault="008B7E19" w:rsidP="008B7E19">
            <w:pPr>
              <w:pStyle w:val="08-Tabelageral"/>
              <w:jc w:val="left"/>
              <w:cnfStyle w:val="000000100000" w:firstRow="0" w:lastRow="0" w:firstColumn="0" w:lastColumn="0" w:oddVBand="0" w:evenVBand="0" w:oddHBand="1" w:evenHBand="0" w:firstRowFirstColumn="0" w:firstRowLastColumn="0" w:lastRowFirstColumn="0" w:lastRowLastColumn="0"/>
              <w:rPr>
                <w:rFonts w:cs="Arial"/>
                <w:b/>
                <w:bCs/>
                <w:szCs w:val="14"/>
                <w:highlight w:val="yellow"/>
                <w:lang w:val="en-US"/>
              </w:rPr>
            </w:pPr>
          </w:p>
        </w:tc>
        <w:tc>
          <w:tcPr>
            <w:tcW w:w="1820" w:type="dxa"/>
            <w:vMerge/>
            <w:tcBorders>
              <w:bottom w:val="single" w:sz="4" w:space="0" w:color="1F4E79" w:themeColor="accent1" w:themeShade="80"/>
            </w:tcBorders>
            <w:shd w:val="clear" w:color="auto" w:fill="auto"/>
            <w:vAlign w:val="center"/>
          </w:tcPr>
          <w:p w14:paraId="5F612161" w14:textId="77777777" w:rsidR="008B7E19" w:rsidRPr="00944050" w:rsidRDefault="008B7E19" w:rsidP="008B7E19">
            <w:pPr>
              <w:pStyle w:val="08-Tabelageral"/>
              <w:jc w:val="left"/>
              <w:cnfStyle w:val="000000100000" w:firstRow="0" w:lastRow="0" w:firstColumn="0" w:lastColumn="0" w:oddVBand="0" w:evenVBand="0" w:oddHBand="1" w:evenHBand="0" w:firstRowFirstColumn="0" w:firstRowLastColumn="0" w:lastRowFirstColumn="0" w:lastRowLastColumn="0"/>
              <w:rPr>
                <w:rFonts w:cs="Arial"/>
                <w:b/>
                <w:bCs/>
                <w:szCs w:val="14"/>
                <w:lang w:val="en-US"/>
              </w:rPr>
            </w:pPr>
          </w:p>
        </w:tc>
        <w:tc>
          <w:tcPr>
            <w:tcW w:w="1230" w:type="dxa"/>
            <w:vMerge/>
            <w:tcBorders>
              <w:bottom w:val="single" w:sz="4" w:space="0" w:color="1F4E79" w:themeColor="accent1" w:themeShade="80"/>
            </w:tcBorders>
            <w:shd w:val="clear" w:color="auto" w:fill="auto"/>
            <w:vAlign w:val="center"/>
          </w:tcPr>
          <w:p w14:paraId="2C4A829F" w14:textId="77777777" w:rsidR="008B7E19" w:rsidRPr="00944050" w:rsidRDefault="008B7E19" w:rsidP="008B7E19">
            <w:pPr>
              <w:jc w:val="center"/>
              <w:cnfStyle w:val="000000100000" w:firstRow="0" w:lastRow="0" w:firstColumn="0" w:lastColumn="0" w:oddVBand="0" w:evenVBand="0" w:oddHBand="1" w:evenHBand="0" w:firstRowFirstColumn="0" w:firstRowLastColumn="0" w:lastRowFirstColumn="0" w:lastRowLastColumn="0"/>
              <w:rPr>
                <w:rFonts w:cs="Arial"/>
                <w:b/>
                <w:bCs/>
                <w:sz w:val="14"/>
                <w:szCs w:val="14"/>
                <w:highlight w:val="yellow"/>
                <w:lang w:val="en-US"/>
              </w:rPr>
            </w:pPr>
          </w:p>
        </w:tc>
        <w:tc>
          <w:tcPr>
            <w:tcW w:w="441" w:type="dxa"/>
            <w:tcBorders>
              <w:top w:val="single" w:sz="2" w:space="0" w:color="1F4E79" w:themeColor="accent1" w:themeShade="80"/>
              <w:bottom w:val="single" w:sz="4" w:space="0" w:color="1F4E79" w:themeColor="accent1" w:themeShade="80"/>
            </w:tcBorders>
            <w:shd w:val="clear" w:color="auto" w:fill="auto"/>
          </w:tcPr>
          <w:p w14:paraId="4181D552" w14:textId="77777777" w:rsidR="008B7E19" w:rsidRPr="00475564" w:rsidRDefault="008B7E19" w:rsidP="008B7E19">
            <w:pPr>
              <w:jc w:val="center"/>
              <w:cnfStyle w:val="000000100000" w:firstRow="0" w:lastRow="0" w:firstColumn="0" w:lastColumn="0" w:oddVBand="0" w:evenVBand="0" w:oddHBand="1" w:evenHBand="0" w:firstRowFirstColumn="0" w:firstRowLastColumn="0" w:lastRowFirstColumn="0" w:lastRowLastColumn="0"/>
              <w:rPr>
                <w:rFonts w:cs="Arial"/>
                <w:b/>
                <w:bCs/>
                <w:sz w:val="14"/>
                <w:szCs w:val="14"/>
                <w:lang w:val="en-US"/>
              </w:rPr>
            </w:pPr>
          </w:p>
        </w:tc>
        <w:tc>
          <w:tcPr>
            <w:tcW w:w="667" w:type="dxa"/>
            <w:tcBorders>
              <w:top w:val="single" w:sz="2" w:space="0" w:color="1F4E79" w:themeColor="accent1" w:themeShade="80"/>
              <w:bottom w:val="single" w:sz="4" w:space="0" w:color="1F4E79" w:themeColor="accent1" w:themeShade="80"/>
            </w:tcBorders>
            <w:shd w:val="clear" w:color="auto" w:fill="auto"/>
            <w:vAlign w:val="center"/>
          </w:tcPr>
          <w:p w14:paraId="2CE1702D" w14:textId="77777777" w:rsidR="008B7E19" w:rsidRPr="004369A3" w:rsidRDefault="008B7E19" w:rsidP="008B7E19">
            <w:pPr>
              <w:jc w:val="center"/>
              <w:cnfStyle w:val="000000100000" w:firstRow="0" w:lastRow="0" w:firstColumn="0" w:lastColumn="0" w:oddVBand="0" w:evenVBand="0" w:oddHBand="1" w:evenHBand="0" w:firstRowFirstColumn="0" w:firstRowLastColumn="0" w:lastRowFirstColumn="0" w:lastRowLastColumn="0"/>
              <w:rPr>
                <w:rFonts w:cs="Arial"/>
                <w:b/>
                <w:bCs/>
                <w:sz w:val="14"/>
                <w:szCs w:val="14"/>
              </w:rPr>
            </w:pPr>
            <w:r w:rsidRPr="004369A3">
              <w:rPr>
                <w:rFonts w:cs="Arial"/>
                <w:b/>
                <w:bCs/>
                <w:sz w:val="14"/>
                <w:szCs w:val="14"/>
              </w:rPr>
              <w:t>ON</w:t>
            </w:r>
          </w:p>
        </w:tc>
        <w:tc>
          <w:tcPr>
            <w:tcW w:w="715" w:type="dxa"/>
            <w:tcBorders>
              <w:top w:val="single" w:sz="2" w:space="0" w:color="1F4E79" w:themeColor="accent1" w:themeShade="80"/>
              <w:bottom w:val="single" w:sz="4" w:space="0" w:color="1F4E79" w:themeColor="accent1" w:themeShade="80"/>
            </w:tcBorders>
            <w:shd w:val="clear" w:color="auto" w:fill="auto"/>
            <w:vAlign w:val="center"/>
          </w:tcPr>
          <w:p w14:paraId="5F992977" w14:textId="77777777" w:rsidR="008B7E19" w:rsidRPr="004369A3" w:rsidRDefault="008B7E19" w:rsidP="008B7E19">
            <w:pPr>
              <w:jc w:val="center"/>
              <w:cnfStyle w:val="000000100000" w:firstRow="0" w:lastRow="0" w:firstColumn="0" w:lastColumn="0" w:oddVBand="0" w:evenVBand="0" w:oddHBand="1" w:evenHBand="0" w:firstRowFirstColumn="0" w:firstRowLastColumn="0" w:lastRowFirstColumn="0" w:lastRowLastColumn="0"/>
              <w:rPr>
                <w:rFonts w:cs="Arial"/>
                <w:b/>
                <w:bCs/>
                <w:sz w:val="14"/>
                <w:szCs w:val="14"/>
              </w:rPr>
            </w:pPr>
            <w:r>
              <w:rPr>
                <w:rFonts w:cs="Arial"/>
                <w:b/>
                <w:sz w:val="14"/>
                <w:szCs w:val="14"/>
              </w:rPr>
              <w:t>PN</w:t>
            </w:r>
          </w:p>
        </w:tc>
        <w:tc>
          <w:tcPr>
            <w:tcW w:w="1068" w:type="dxa"/>
            <w:tcBorders>
              <w:top w:val="single" w:sz="2" w:space="0" w:color="1F4E79" w:themeColor="accent1" w:themeShade="80"/>
              <w:bottom w:val="single" w:sz="4" w:space="0" w:color="1F4E79" w:themeColor="accent1" w:themeShade="80"/>
            </w:tcBorders>
            <w:shd w:val="clear" w:color="auto" w:fill="auto"/>
            <w:vAlign w:val="center"/>
          </w:tcPr>
          <w:p w14:paraId="11D8A023" w14:textId="77777777" w:rsidR="008B7E19" w:rsidRPr="004369A3" w:rsidRDefault="008B7E19" w:rsidP="008B7E19">
            <w:pPr>
              <w:jc w:val="center"/>
              <w:cnfStyle w:val="000000100000" w:firstRow="0" w:lastRow="0" w:firstColumn="0" w:lastColumn="0" w:oddVBand="0" w:evenVBand="0" w:oddHBand="1" w:evenHBand="0" w:firstRowFirstColumn="0" w:firstRowLastColumn="0" w:lastRowFirstColumn="0" w:lastRowLastColumn="0"/>
              <w:rPr>
                <w:rFonts w:cs="Arial"/>
                <w:b/>
                <w:bCs/>
                <w:sz w:val="14"/>
                <w:szCs w:val="14"/>
              </w:rPr>
            </w:pPr>
            <w:r w:rsidRPr="004369A3">
              <w:rPr>
                <w:rFonts w:cs="Arial"/>
                <w:b/>
                <w:bCs/>
                <w:sz w:val="14"/>
                <w:szCs w:val="14"/>
              </w:rPr>
              <w:t>Total</w:t>
            </w:r>
          </w:p>
        </w:tc>
      </w:tr>
      <w:tr w:rsidR="008B7E19" w:rsidRPr="00E22381" w14:paraId="7709215C" w14:textId="77777777" w:rsidTr="008B7E1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994" w:type="dxa"/>
            <w:vMerge w:val="restart"/>
            <w:tcBorders>
              <w:top w:val="single" w:sz="2" w:space="0" w:color="1F4E79" w:themeColor="accent1" w:themeShade="80"/>
              <w:left w:val="nil"/>
              <w:bottom w:val="single" w:sz="2" w:space="0" w:color="1F4E79" w:themeColor="accent1" w:themeShade="80"/>
              <w:right w:val="single" w:sz="4" w:space="0" w:color="1F4E79" w:themeColor="accent1" w:themeShade="80"/>
            </w:tcBorders>
            <w:shd w:val="clear" w:color="auto" w:fill="auto"/>
            <w:vAlign w:val="center"/>
          </w:tcPr>
          <w:p w14:paraId="6BE8B167" w14:textId="77777777" w:rsidR="008B7E19" w:rsidRPr="004369A3" w:rsidRDefault="008B7E19" w:rsidP="008B7E19">
            <w:pPr>
              <w:pStyle w:val="08-Tabelageral"/>
              <w:jc w:val="center"/>
              <w:rPr>
                <w:rFonts w:cs="Arial"/>
                <w:bCs w:val="0"/>
                <w:szCs w:val="14"/>
              </w:rPr>
            </w:pPr>
            <w:r w:rsidRPr="004369A3">
              <w:rPr>
                <w:rFonts w:cs="Arial"/>
                <w:bCs w:val="0"/>
                <w:szCs w:val="14"/>
              </w:rPr>
              <w:t>Security</w:t>
            </w:r>
          </w:p>
        </w:tc>
        <w:tc>
          <w:tcPr>
            <w:tcW w:w="1248" w:type="dxa"/>
            <w:tcBorders>
              <w:top w:val="single" w:sz="4" w:space="0" w:color="1F4E79" w:themeColor="accent1" w:themeShade="80"/>
              <w:left w:val="single" w:sz="4" w:space="0" w:color="1F4E79" w:themeColor="accent1" w:themeShade="80"/>
              <w:bottom w:val="single" w:sz="2" w:space="0" w:color="1F4E79" w:themeColor="accent1" w:themeShade="80"/>
              <w:right w:val="single" w:sz="4" w:space="0" w:color="1F4E79" w:themeColor="accent1" w:themeShade="80"/>
            </w:tcBorders>
            <w:shd w:val="clear" w:color="auto" w:fill="auto"/>
            <w:vAlign w:val="center"/>
          </w:tcPr>
          <w:p w14:paraId="58EAA099" w14:textId="77777777" w:rsidR="008B7E19" w:rsidRPr="004369A3" w:rsidRDefault="008B7E19" w:rsidP="008B7E19">
            <w:pPr>
              <w:pStyle w:val="08-Tabelageral"/>
              <w:jc w:val="left"/>
              <w:cnfStyle w:val="000000010000" w:firstRow="0" w:lastRow="0" w:firstColumn="0" w:lastColumn="0" w:oddVBand="0" w:evenVBand="0" w:oddHBand="0" w:evenHBand="1" w:firstRowFirstColumn="0" w:firstRowLastColumn="0" w:lastRowFirstColumn="0" w:lastRowLastColumn="0"/>
              <w:rPr>
                <w:rFonts w:cs="Arial"/>
                <w:b/>
                <w:bCs/>
                <w:szCs w:val="14"/>
              </w:rPr>
            </w:pPr>
          </w:p>
        </w:tc>
        <w:tc>
          <w:tcPr>
            <w:tcW w:w="1500" w:type="dxa"/>
            <w:tcBorders>
              <w:top w:val="single" w:sz="4" w:space="0" w:color="1F4E79" w:themeColor="accent1" w:themeShade="80"/>
              <w:left w:val="single" w:sz="4" w:space="0" w:color="1F4E79" w:themeColor="accent1" w:themeShade="80"/>
              <w:bottom w:val="single" w:sz="2" w:space="0" w:color="1F4E79" w:themeColor="accent1" w:themeShade="80"/>
            </w:tcBorders>
            <w:shd w:val="clear" w:color="auto" w:fill="auto"/>
            <w:vAlign w:val="center"/>
          </w:tcPr>
          <w:p w14:paraId="3C1FE1E0" w14:textId="77777777" w:rsidR="008B7E19" w:rsidRPr="004369A3" w:rsidRDefault="008B7E19" w:rsidP="008B7E19">
            <w:pPr>
              <w:pStyle w:val="08-Tabelageral"/>
              <w:jc w:val="left"/>
              <w:cnfStyle w:val="000000010000" w:firstRow="0" w:lastRow="0" w:firstColumn="0" w:lastColumn="0" w:oddVBand="0" w:evenVBand="0" w:oddHBand="0" w:evenHBand="1" w:firstRowFirstColumn="0" w:firstRowLastColumn="0" w:lastRowFirstColumn="0" w:lastRowLastColumn="0"/>
              <w:rPr>
                <w:rFonts w:cs="Arial"/>
                <w:bCs/>
                <w:szCs w:val="14"/>
              </w:rPr>
            </w:pPr>
            <w:r w:rsidRPr="004369A3">
              <w:rPr>
                <w:rFonts w:cs="Arial"/>
                <w:szCs w:val="14"/>
              </w:rPr>
              <w:t>BB Seguros Participações S.A. (</w:t>
            </w:r>
            <w:r w:rsidRPr="004369A3">
              <w:rPr>
                <w:rFonts w:cs="Arial"/>
                <w:bCs/>
                <w:szCs w:val="14"/>
              </w:rPr>
              <w:t>BB Seguros)</w:t>
            </w:r>
          </w:p>
        </w:tc>
        <w:tc>
          <w:tcPr>
            <w:tcW w:w="1820" w:type="dxa"/>
            <w:tcBorders>
              <w:top w:val="single" w:sz="4" w:space="0" w:color="1F4E79" w:themeColor="accent1" w:themeShade="80"/>
              <w:bottom w:val="single" w:sz="2" w:space="0" w:color="1F4E79" w:themeColor="accent1" w:themeShade="80"/>
            </w:tcBorders>
            <w:shd w:val="clear" w:color="auto" w:fill="auto"/>
            <w:vAlign w:val="center"/>
          </w:tcPr>
          <w:p w14:paraId="2E29357A" w14:textId="77777777" w:rsidR="008B7E19" w:rsidRPr="004369A3" w:rsidRDefault="008B7E19" w:rsidP="008B7E19">
            <w:pPr>
              <w:pStyle w:val="08-Tabelageral"/>
              <w:jc w:val="left"/>
              <w:cnfStyle w:val="000000010000" w:firstRow="0" w:lastRow="0" w:firstColumn="0" w:lastColumn="0" w:oddVBand="0" w:evenVBand="0" w:oddHBand="0" w:evenHBand="1" w:firstRowFirstColumn="0" w:firstRowLastColumn="0" w:lastRowFirstColumn="0" w:lastRowLastColumn="0"/>
              <w:rPr>
                <w:rFonts w:cs="Arial"/>
                <w:bCs/>
                <w:szCs w:val="14"/>
                <w:lang w:val="en-US"/>
              </w:rPr>
            </w:pPr>
            <w:r w:rsidRPr="001E7B1C">
              <w:rPr>
                <w:rStyle w:val="tlid-translation"/>
                <w:rFonts w:cs="Arial"/>
                <w:szCs w:val="14"/>
                <w:lang w:val="en"/>
              </w:rPr>
              <w:t>Holding of insurance companies, capitalization companies, open supplementary pension entities and companies that operate health care plans.</w:t>
            </w:r>
          </w:p>
        </w:tc>
        <w:tc>
          <w:tcPr>
            <w:tcW w:w="1230" w:type="dxa"/>
            <w:tcBorders>
              <w:top w:val="single" w:sz="4" w:space="0" w:color="1F4E79" w:themeColor="accent1" w:themeShade="80"/>
              <w:bottom w:val="single" w:sz="2" w:space="0" w:color="1F4E79" w:themeColor="accent1" w:themeShade="80"/>
            </w:tcBorders>
            <w:shd w:val="clear" w:color="auto" w:fill="auto"/>
            <w:vAlign w:val="center"/>
          </w:tcPr>
          <w:p w14:paraId="7DF560C2" w14:textId="77777777" w:rsidR="008B7E19" w:rsidRPr="004369A3" w:rsidRDefault="008B7E19" w:rsidP="008B7E19">
            <w:pPr>
              <w:pStyle w:val="08-Tabelageral"/>
              <w:jc w:val="center"/>
              <w:cnfStyle w:val="000000010000" w:firstRow="0" w:lastRow="0" w:firstColumn="0" w:lastColumn="0" w:oddVBand="0" w:evenVBand="0" w:oddHBand="0" w:evenHBand="1" w:firstRowFirstColumn="0" w:firstRowLastColumn="0" w:lastRowFirstColumn="0" w:lastRowLastColumn="0"/>
              <w:rPr>
                <w:rFonts w:cs="Arial"/>
                <w:szCs w:val="14"/>
              </w:rPr>
            </w:pPr>
            <w:r w:rsidRPr="004369A3">
              <w:rPr>
                <w:rFonts w:cs="Arial"/>
                <w:szCs w:val="14"/>
              </w:rPr>
              <w:t>BRGAAP</w:t>
            </w:r>
          </w:p>
        </w:tc>
        <w:tc>
          <w:tcPr>
            <w:tcW w:w="441" w:type="dxa"/>
            <w:tcBorders>
              <w:top w:val="single" w:sz="4" w:space="0" w:color="1F4E79" w:themeColor="accent1" w:themeShade="80"/>
              <w:bottom w:val="single" w:sz="2" w:space="0" w:color="1F4E79" w:themeColor="accent1" w:themeShade="80"/>
            </w:tcBorders>
            <w:shd w:val="clear" w:color="auto" w:fill="auto"/>
          </w:tcPr>
          <w:p w14:paraId="498DF1B4" w14:textId="77777777" w:rsidR="008B7E19" w:rsidRPr="004369A3" w:rsidRDefault="008B7E19" w:rsidP="008B7E19">
            <w:pPr>
              <w:pStyle w:val="08-Tabelageral"/>
              <w:jc w:val="center"/>
              <w:cnfStyle w:val="000000010000" w:firstRow="0" w:lastRow="0" w:firstColumn="0" w:lastColumn="0" w:oddVBand="0" w:evenVBand="0" w:oddHBand="0" w:evenHBand="1" w:firstRowFirstColumn="0" w:firstRowLastColumn="0" w:lastRowFirstColumn="0" w:lastRowLastColumn="0"/>
              <w:rPr>
                <w:rFonts w:cs="Arial"/>
                <w:szCs w:val="14"/>
              </w:rPr>
            </w:pPr>
          </w:p>
        </w:tc>
        <w:tc>
          <w:tcPr>
            <w:tcW w:w="667" w:type="dxa"/>
            <w:tcBorders>
              <w:top w:val="single" w:sz="4" w:space="0" w:color="1F4E79" w:themeColor="accent1" w:themeShade="80"/>
              <w:bottom w:val="single" w:sz="2" w:space="0" w:color="1F4E79" w:themeColor="accent1" w:themeShade="80"/>
            </w:tcBorders>
            <w:shd w:val="clear" w:color="auto" w:fill="auto"/>
            <w:vAlign w:val="center"/>
          </w:tcPr>
          <w:p w14:paraId="657E70B6" w14:textId="77777777" w:rsidR="008B7E19" w:rsidRPr="004369A3" w:rsidRDefault="008B7E19" w:rsidP="008B7E19">
            <w:pPr>
              <w:pStyle w:val="08-Tabelageral"/>
              <w:jc w:val="center"/>
              <w:cnfStyle w:val="000000010000" w:firstRow="0" w:lastRow="0" w:firstColumn="0" w:lastColumn="0" w:oddVBand="0" w:evenVBand="0" w:oddHBand="0" w:evenHBand="1" w:firstRowFirstColumn="0" w:firstRowLastColumn="0" w:lastRowFirstColumn="0" w:lastRowLastColumn="0"/>
              <w:rPr>
                <w:rFonts w:cs="Arial"/>
                <w:szCs w:val="14"/>
              </w:rPr>
            </w:pPr>
            <w:r w:rsidRPr="004369A3">
              <w:rPr>
                <w:rFonts w:cs="Arial"/>
                <w:szCs w:val="14"/>
              </w:rPr>
              <w:t>100.00</w:t>
            </w:r>
          </w:p>
        </w:tc>
        <w:tc>
          <w:tcPr>
            <w:tcW w:w="715" w:type="dxa"/>
            <w:tcBorders>
              <w:top w:val="single" w:sz="4" w:space="0" w:color="1F4E79" w:themeColor="accent1" w:themeShade="80"/>
              <w:bottom w:val="single" w:sz="2" w:space="0" w:color="1F4E79" w:themeColor="accent1" w:themeShade="80"/>
            </w:tcBorders>
            <w:shd w:val="clear" w:color="auto" w:fill="auto"/>
            <w:vAlign w:val="center"/>
          </w:tcPr>
          <w:p w14:paraId="3EB6ECA7" w14:textId="77777777" w:rsidR="008B7E19" w:rsidRPr="004369A3" w:rsidRDefault="008B7E19" w:rsidP="008B7E19">
            <w:pPr>
              <w:pStyle w:val="08-Tabelageral"/>
              <w:jc w:val="center"/>
              <w:cnfStyle w:val="000000010000" w:firstRow="0" w:lastRow="0" w:firstColumn="0" w:lastColumn="0" w:oddVBand="0" w:evenVBand="0" w:oddHBand="0" w:evenHBand="1" w:firstRowFirstColumn="0" w:firstRowLastColumn="0" w:lastRowFirstColumn="0" w:lastRowLastColumn="0"/>
              <w:rPr>
                <w:rFonts w:cs="Arial"/>
                <w:szCs w:val="14"/>
              </w:rPr>
            </w:pPr>
            <w:r>
              <w:rPr>
                <w:rFonts w:cs="Arial"/>
                <w:szCs w:val="14"/>
              </w:rPr>
              <w:t>--</w:t>
            </w:r>
          </w:p>
        </w:tc>
        <w:tc>
          <w:tcPr>
            <w:tcW w:w="1068" w:type="dxa"/>
            <w:tcBorders>
              <w:top w:val="single" w:sz="4" w:space="0" w:color="1F4E79" w:themeColor="accent1" w:themeShade="80"/>
              <w:bottom w:val="single" w:sz="2" w:space="0" w:color="1F4E79" w:themeColor="accent1" w:themeShade="80"/>
            </w:tcBorders>
            <w:shd w:val="clear" w:color="auto" w:fill="auto"/>
            <w:vAlign w:val="center"/>
          </w:tcPr>
          <w:p w14:paraId="0AA1AA26" w14:textId="77777777" w:rsidR="008B7E19" w:rsidRPr="004369A3" w:rsidRDefault="008B7E19" w:rsidP="008B7E19">
            <w:pPr>
              <w:pStyle w:val="08-Tabelageral"/>
              <w:jc w:val="center"/>
              <w:cnfStyle w:val="000000010000" w:firstRow="0" w:lastRow="0" w:firstColumn="0" w:lastColumn="0" w:oddVBand="0" w:evenVBand="0" w:oddHBand="0" w:evenHBand="1" w:firstRowFirstColumn="0" w:firstRowLastColumn="0" w:lastRowFirstColumn="0" w:lastRowLastColumn="0"/>
              <w:rPr>
                <w:rFonts w:cs="Arial"/>
                <w:szCs w:val="14"/>
              </w:rPr>
            </w:pPr>
            <w:r w:rsidRPr="004369A3">
              <w:rPr>
                <w:rFonts w:cs="Arial"/>
                <w:szCs w:val="14"/>
              </w:rPr>
              <w:t>100.00</w:t>
            </w:r>
          </w:p>
        </w:tc>
      </w:tr>
      <w:tr w:rsidR="008B7E19" w:rsidRPr="00E22381" w14:paraId="2D3E7DE2" w14:textId="77777777" w:rsidTr="008B7E19">
        <w:trPr>
          <w:cnfStyle w:val="000000100000" w:firstRow="0" w:lastRow="0" w:firstColumn="0" w:lastColumn="0" w:oddVBand="0" w:evenVBand="0" w:oddHBand="1" w:evenHBand="0" w:firstRowFirstColumn="0" w:firstRowLastColumn="0" w:lastRowFirstColumn="0" w:lastRowLastColumn="0"/>
          <w:trHeight w:val="58"/>
          <w:jc w:val="center"/>
        </w:trPr>
        <w:tc>
          <w:tcPr>
            <w:cnfStyle w:val="001000000000" w:firstRow="0" w:lastRow="0" w:firstColumn="1" w:lastColumn="0" w:oddVBand="0" w:evenVBand="0" w:oddHBand="0" w:evenHBand="0" w:firstRowFirstColumn="0" w:firstRowLastColumn="0" w:lastRowFirstColumn="0" w:lastRowLastColumn="0"/>
            <w:tcW w:w="994" w:type="dxa"/>
            <w:vMerge/>
            <w:tcBorders>
              <w:top w:val="single" w:sz="2" w:space="0" w:color="8EAADB" w:themeColor="accent5" w:themeTint="99"/>
              <w:left w:val="nil"/>
              <w:bottom w:val="single" w:sz="2" w:space="0" w:color="1F4E79" w:themeColor="accent1" w:themeShade="80"/>
              <w:right w:val="single" w:sz="2" w:space="0" w:color="1F4E79" w:themeColor="accent1" w:themeShade="80"/>
            </w:tcBorders>
            <w:shd w:val="clear" w:color="auto" w:fill="auto"/>
            <w:vAlign w:val="center"/>
          </w:tcPr>
          <w:p w14:paraId="3451B10C" w14:textId="77777777" w:rsidR="008B7E19" w:rsidRPr="004369A3" w:rsidRDefault="008B7E19" w:rsidP="008B7E19">
            <w:pPr>
              <w:pStyle w:val="08-Tabelageral"/>
              <w:jc w:val="left"/>
              <w:rPr>
                <w:rFonts w:cs="Arial"/>
                <w:bCs w:val="0"/>
                <w:szCs w:val="14"/>
              </w:rPr>
            </w:pPr>
          </w:p>
        </w:tc>
        <w:tc>
          <w:tcPr>
            <w:tcW w:w="1248" w:type="dxa"/>
            <w:vMerge w:val="restart"/>
            <w:tcBorders>
              <w:top w:val="single" w:sz="2" w:space="0" w:color="1F4E79" w:themeColor="accent1" w:themeShade="80"/>
              <w:left w:val="single" w:sz="2" w:space="0" w:color="1F4E79" w:themeColor="accent1" w:themeShade="80"/>
              <w:bottom w:val="nil"/>
              <w:right w:val="single" w:sz="4" w:space="0" w:color="1F4E79" w:themeColor="accent1" w:themeShade="80"/>
            </w:tcBorders>
            <w:shd w:val="clear" w:color="auto" w:fill="auto"/>
            <w:vAlign w:val="center"/>
          </w:tcPr>
          <w:p w14:paraId="3D01DF1E" w14:textId="77777777" w:rsidR="008B7E19" w:rsidRPr="004369A3" w:rsidRDefault="008B7E19" w:rsidP="008B7E19">
            <w:pPr>
              <w:pStyle w:val="08-Tabelageral"/>
              <w:jc w:val="center"/>
              <w:cnfStyle w:val="000000100000" w:firstRow="0" w:lastRow="0" w:firstColumn="0" w:lastColumn="0" w:oddVBand="0" w:evenVBand="0" w:oddHBand="1" w:evenHBand="0" w:firstRowFirstColumn="0" w:firstRowLastColumn="0" w:lastRowFirstColumn="0" w:lastRowLastColumn="0"/>
              <w:rPr>
                <w:rFonts w:cs="Arial"/>
                <w:b/>
                <w:szCs w:val="14"/>
                <w:lang w:val="en-US"/>
              </w:rPr>
            </w:pPr>
            <w:r w:rsidRPr="004369A3">
              <w:rPr>
                <w:rFonts w:cs="Arial"/>
                <w:b/>
                <w:szCs w:val="14"/>
                <w:lang w:val="en-US"/>
              </w:rPr>
              <w:t>Insurance - Life, housing, rural and property</w:t>
            </w:r>
          </w:p>
        </w:tc>
        <w:tc>
          <w:tcPr>
            <w:tcW w:w="1500" w:type="dxa"/>
            <w:tcBorders>
              <w:top w:val="single" w:sz="2" w:space="0" w:color="1F4E79" w:themeColor="accent1" w:themeShade="80"/>
              <w:left w:val="single" w:sz="4" w:space="0" w:color="1F4E79" w:themeColor="accent1" w:themeShade="80"/>
              <w:bottom w:val="nil"/>
            </w:tcBorders>
            <w:shd w:val="clear" w:color="auto" w:fill="auto"/>
            <w:vAlign w:val="center"/>
          </w:tcPr>
          <w:p w14:paraId="0BD95FDD" w14:textId="77777777" w:rsidR="008B7E19" w:rsidRPr="004369A3" w:rsidRDefault="008B7E19" w:rsidP="008B7E19">
            <w:pPr>
              <w:pStyle w:val="08-Tabelageral"/>
              <w:jc w:val="left"/>
              <w:cnfStyle w:val="000000100000" w:firstRow="0" w:lastRow="0" w:firstColumn="0" w:lastColumn="0" w:oddVBand="0" w:evenVBand="0" w:oddHBand="1" w:evenHBand="0" w:firstRowFirstColumn="0" w:firstRowLastColumn="0" w:lastRowFirstColumn="0" w:lastRowLastColumn="0"/>
              <w:rPr>
                <w:rFonts w:cs="Arial"/>
                <w:szCs w:val="14"/>
              </w:rPr>
            </w:pPr>
            <w:r w:rsidRPr="004369A3">
              <w:rPr>
                <w:rFonts w:cs="Arial"/>
                <w:szCs w:val="14"/>
              </w:rPr>
              <w:t xml:space="preserve">BB </w:t>
            </w:r>
            <w:r>
              <w:rPr>
                <w:rFonts w:cs="Arial"/>
                <w:szCs w:val="14"/>
              </w:rPr>
              <w:t>MAPFRE</w:t>
            </w:r>
            <w:r w:rsidRPr="004369A3">
              <w:rPr>
                <w:rFonts w:cs="Arial"/>
                <w:szCs w:val="14"/>
              </w:rPr>
              <w:t xml:space="preserve"> Participações S.A. (BB Mapfre)</w:t>
            </w:r>
          </w:p>
        </w:tc>
        <w:tc>
          <w:tcPr>
            <w:tcW w:w="1820" w:type="dxa"/>
            <w:tcBorders>
              <w:top w:val="single" w:sz="2" w:space="0" w:color="1F4E79" w:themeColor="accent1" w:themeShade="80"/>
              <w:bottom w:val="nil"/>
            </w:tcBorders>
            <w:shd w:val="clear" w:color="auto" w:fill="auto"/>
            <w:vAlign w:val="center"/>
          </w:tcPr>
          <w:p w14:paraId="2D3F4C38" w14:textId="77777777" w:rsidR="008B7E19" w:rsidRPr="004369A3" w:rsidRDefault="008B7E19" w:rsidP="008B7E19">
            <w:pPr>
              <w:pStyle w:val="08-Tabelageral"/>
              <w:jc w:val="left"/>
              <w:cnfStyle w:val="000000100000" w:firstRow="0" w:lastRow="0" w:firstColumn="0" w:lastColumn="0" w:oddVBand="0" w:evenVBand="0" w:oddHBand="1" w:evenHBand="0" w:firstRowFirstColumn="0" w:firstRowLastColumn="0" w:lastRowFirstColumn="0" w:lastRowLastColumn="0"/>
              <w:rPr>
                <w:rFonts w:cs="Arial"/>
                <w:szCs w:val="14"/>
                <w:lang w:val="en-US"/>
              </w:rPr>
            </w:pPr>
            <w:r w:rsidRPr="001E7B1C">
              <w:rPr>
                <w:rFonts w:cs="Arial"/>
                <w:iCs/>
                <w:szCs w:val="14"/>
                <w:lang w:val="en-US"/>
              </w:rPr>
              <w:t>Holding of other companies dedicated to the commercialization of personal, real estate and agricultural insurance.</w:t>
            </w:r>
          </w:p>
        </w:tc>
        <w:tc>
          <w:tcPr>
            <w:tcW w:w="1230" w:type="dxa"/>
            <w:tcBorders>
              <w:top w:val="single" w:sz="2" w:space="0" w:color="1F4E79" w:themeColor="accent1" w:themeShade="80"/>
              <w:bottom w:val="nil"/>
            </w:tcBorders>
            <w:shd w:val="clear" w:color="auto" w:fill="auto"/>
            <w:vAlign w:val="center"/>
          </w:tcPr>
          <w:p w14:paraId="705BDD41" w14:textId="77777777" w:rsidR="008B7E19" w:rsidRPr="004369A3" w:rsidRDefault="008B7E19" w:rsidP="008B7E19">
            <w:pPr>
              <w:pStyle w:val="08-Tabelageral"/>
              <w:jc w:val="center"/>
              <w:cnfStyle w:val="000000100000" w:firstRow="0" w:lastRow="0" w:firstColumn="0" w:lastColumn="0" w:oddVBand="0" w:evenVBand="0" w:oddHBand="1" w:evenHBand="0" w:firstRowFirstColumn="0" w:firstRowLastColumn="0" w:lastRowFirstColumn="0" w:lastRowLastColumn="0"/>
              <w:rPr>
                <w:rFonts w:cs="Arial"/>
                <w:bCs/>
                <w:szCs w:val="14"/>
              </w:rPr>
            </w:pPr>
            <w:r w:rsidRPr="004369A3">
              <w:rPr>
                <w:rFonts w:cs="Arial"/>
                <w:szCs w:val="14"/>
              </w:rPr>
              <w:t>BRGAAP</w:t>
            </w:r>
          </w:p>
        </w:tc>
        <w:tc>
          <w:tcPr>
            <w:tcW w:w="441" w:type="dxa"/>
            <w:tcBorders>
              <w:top w:val="single" w:sz="2" w:space="0" w:color="1F4E79" w:themeColor="accent1" w:themeShade="80"/>
              <w:bottom w:val="nil"/>
            </w:tcBorders>
            <w:shd w:val="clear" w:color="auto" w:fill="auto"/>
          </w:tcPr>
          <w:p w14:paraId="0F43E972" w14:textId="77777777" w:rsidR="008B7E19" w:rsidRPr="004369A3" w:rsidRDefault="008B7E19" w:rsidP="008B7E19">
            <w:pPr>
              <w:pStyle w:val="08-Tabelageral"/>
              <w:jc w:val="center"/>
              <w:cnfStyle w:val="000000100000" w:firstRow="0" w:lastRow="0" w:firstColumn="0" w:lastColumn="0" w:oddVBand="0" w:evenVBand="0" w:oddHBand="1" w:evenHBand="0" w:firstRowFirstColumn="0" w:firstRowLastColumn="0" w:lastRowFirstColumn="0" w:lastRowLastColumn="0"/>
              <w:rPr>
                <w:rFonts w:cs="Arial"/>
                <w:bCs/>
                <w:szCs w:val="14"/>
              </w:rPr>
            </w:pPr>
          </w:p>
        </w:tc>
        <w:tc>
          <w:tcPr>
            <w:tcW w:w="667" w:type="dxa"/>
            <w:tcBorders>
              <w:top w:val="single" w:sz="2" w:space="0" w:color="1F4E79" w:themeColor="accent1" w:themeShade="80"/>
              <w:bottom w:val="nil"/>
            </w:tcBorders>
            <w:shd w:val="clear" w:color="auto" w:fill="auto"/>
            <w:vAlign w:val="center"/>
          </w:tcPr>
          <w:p w14:paraId="3B5F845E" w14:textId="77777777" w:rsidR="008B7E19" w:rsidRPr="004369A3" w:rsidRDefault="008B7E19" w:rsidP="008B7E19">
            <w:pPr>
              <w:pStyle w:val="08-Tabelageral"/>
              <w:jc w:val="center"/>
              <w:cnfStyle w:val="000000100000" w:firstRow="0" w:lastRow="0" w:firstColumn="0" w:lastColumn="0" w:oddVBand="0" w:evenVBand="0" w:oddHBand="1" w:evenHBand="0" w:firstRowFirstColumn="0" w:firstRowLastColumn="0" w:lastRowFirstColumn="0" w:lastRowLastColumn="0"/>
              <w:rPr>
                <w:rFonts w:cs="Arial"/>
                <w:bCs/>
                <w:szCs w:val="14"/>
              </w:rPr>
            </w:pPr>
            <w:r w:rsidRPr="004369A3">
              <w:rPr>
                <w:rFonts w:cs="Arial"/>
                <w:bCs/>
                <w:szCs w:val="14"/>
              </w:rPr>
              <w:t>49.99</w:t>
            </w:r>
          </w:p>
        </w:tc>
        <w:tc>
          <w:tcPr>
            <w:tcW w:w="715" w:type="dxa"/>
            <w:tcBorders>
              <w:top w:val="single" w:sz="2" w:space="0" w:color="1F4E79" w:themeColor="accent1" w:themeShade="80"/>
              <w:bottom w:val="nil"/>
            </w:tcBorders>
            <w:shd w:val="clear" w:color="auto" w:fill="auto"/>
            <w:vAlign w:val="center"/>
          </w:tcPr>
          <w:p w14:paraId="5A65EEB3" w14:textId="77777777" w:rsidR="008B7E19" w:rsidRPr="004369A3" w:rsidRDefault="008B7E19" w:rsidP="008B7E19">
            <w:pPr>
              <w:pStyle w:val="08-Tabelageral"/>
              <w:jc w:val="center"/>
              <w:cnfStyle w:val="000000100000" w:firstRow="0" w:lastRow="0" w:firstColumn="0" w:lastColumn="0" w:oddVBand="0" w:evenVBand="0" w:oddHBand="1" w:evenHBand="0" w:firstRowFirstColumn="0" w:firstRowLastColumn="0" w:lastRowFirstColumn="0" w:lastRowLastColumn="0"/>
              <w:rPr>
                <w:rFonts w:cs="Arial"/>
                <w:bCs/>
                <w:szCs w:val="14"/>
              </w:rPr>
            </w:pPr>
            <w:r>
              <w:rPr>
                <w:bCs/>
              </w:rPr>
              <w:t>100,00</w:t>
            </w:r>
          </w:p>
        </w:tc>
        <w:tc>
          <w:tcPr>
            <w:tcW w:w="1068" w:type="dxa"/>
            <w:tcBorders>
              <w:top w:val="single" w:sz="2" w:space="0" w:color="1F4E79" w:themeColor="accent1" w:themeShade="80"/>
              <w:bottom w:val="nil"/>
            </w:tcBorders>
            <w:shd w:val="clear" w:color="auto" w:fill="auto"/>
            <w:vAlign w:val="center"/>
          </w:tcPr>
          <w:p w14:paraId="13834017" w14:textId="77777777" w:rsidR="008B7E19" w:rsidRPr="004369A3" w:rsidRDefault="008B7E19" w:rsidP="008B7E19">
            <w:pPr>
              <w:pStyle w:val="08-Tabelageral"/>
              <w:jc w:val="center"/>
              <w:cnfStyle w:val="000000100000" w:firstRow="0" w:lastRow="0" w:firstColumn="0" w:lastColumn="0" w:oddVBand="0" w:evenVBand="0" w:oddHBand="1" w:evenHBand="0" w:firstRowFirstColumn="0" w:firstRowLastColumn="0" w:lastRowFirstColumn="0" w:lastRowLastColumn="0"/>
              <w:rPr>
                <w:rFonts w:cs="Arial"/>
                <w:bCs/>
                <w:szCs w:val="14"/>
              </w:rPr>
            </w:pPr>
            <w:r w:rsidRPr="004369A3">
              <w:rPr>
                <w:rFonts w:cs="Arial"/>
                <w:bCs/>
                <w:szCs w:val="14"/>
              </w:rPr>
              <w:t>74.99</w:t>
            </w:r>
          </w:p>
        </w:tc>
      </w:tr>
      <w:tr w:rsidR="008B7E19" w:rsidRPr="00E22381" w14:paraId="06BED92D" w14:textId="77777777" w:rsidTr="008B7E1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994" w:type="dxa"/>
            <w:vMerge/>
            <w:tcBorders>
              <w:top w:val="single" w:sz="2" w:space="0" w:color="8EAADB" w:themeColor="accent5" w:themeTint="99"/>
              <w:left w:val="nil"/>
              <w:bottom w:val="single" w:sz="2" w:space="0" w:color="1F4E79" w:themeColor="accent1" w:themeShade="80"/>
              <w:right w:val="single" w:sz="2" w:space="0" w:color="1F4E79" w:themeColor="accent1" w:themeShade="80"/>
            </w:tcBorders>
            <w:shd w:val="clear" w:color="auto" w:fill="auto"/>
            <w:vAlign w:val="center"/>
          </w:tcPr>
          <w:p w14:paraId="51702489" w14:textId="77777777" w:rsidR="008B7E19" w:rsidRPr="004369A3" w:rsidRDefault="008B7E19" w:rsidP="008B7E19">
            <w:pPr>
              <w:pStyle w:val="08-Tabelageral"/>
              <w:ind w:left="113"/>
              <w:jc w:val="left"/>
              <w:rPr>
                <w:rFonts w:cs="Arial"/>
                <w:b w:val="0"/>
                <w:bCs w:val="0"/>
                <w:szCs w:val="14"/>
                <w:highlight w:val="yellow"/>
              </w:rPr>
            </w:pPr>
          </w:p>
        </w:tc>
        <w:tc>
          <w:tcPr>
            <w:tcW w:w="1248" w:type="dxa"/>
            <w:vMerge/>
            <w:tcBorders>
              <w:top w:val="nil"/>
              <w:left w:val="single" w:sz="2" w:space="0" w:color="1F4E79" w:themeColor="accent1" w:themeShade="80"/>
              <w:bottom w:val="nil"/>
              <w:right w:val="single" w:sz="4" w:space="0" w:color="1F4E79" w:themeColor="accent1" w:themeShade="80"/>
            </w:tcBorders>
            <w:shd w:val="clear" w:color="auto" w:fill="auto"/>
            <w:vAlign w:val="center"/>
          </w:tcPr>
          <w:p w14:paraId="56368904" w14:textId="77777777" w:rsidR="008B7E19" w:rsidRPr="004369A3" w:rsidRDefault="008B7E19" w:rsidP="008B7E19">
            <w:pPr>
              <w:pStyle w:val="08-Tabelageral"/>
              <w:jc w:val="center"/>
              <w:cnfStyle w:val="000000010000" w:firstRow="0" w:lastRow="0" w:firstColumn="0" w:lastColumn="0" w:oddVBand="0" w:evenVBand="0" w:oddHBand="0" w:evenHBand="1" w:firstRowFirstColumn="0" w:firstRowLastColumn="0" w:lastRowFirstColumn="0" w:lastRowLastColumn="0"/>
              <w:rPr>
                <w:rFonts w:cs="Arial"/>
                <w:b/>
                <w:szCs w:val="14"/>
              </w:rPr>
            </w:pPr>
          </w:p>
        </w:tc>
        <w:tc>
          <w:tcPr>
            <w:tcW w:w="1500" w:type="dxa"/>
            <w:tcBorders>
              <w:top w:val="nil"/>
              <w:left w:val="single" w:sz="4" w:space="0" w:color="1F4E79" w:themeColor="accent1" w:themeShade="80"/>
              <w:bottom w:val="nil"/>
            </w:tcBorders>
            <w:shd w:val="clear" w:color="auto" w:fill="auto"/>
            <w:vAlign w:val="center"/>
          </w:tcPr>
          <w:p w14:paraId="053331DA" w14:textId="77777777" w:rsidR="008B7E19" w:rsidRPr="004369A3" w:rsidRDefault="008B7E19" w:rsidP="008B7E19">
            <w:pPr>
              <w:pStyle w:val="08-Tabelageral"/>
              <w:jc w:val="left"/>
              <w:cnfStyle w:val="000000010000" w:firstRow="0" w:lastRow="0" w:firstColumn="0" w:lastColumn="0" w:oddVBand="0" w:evenVBand="0" w:oddHBand="0" w:evenHBand="1" w:firstRowFirstColumn="0" w:firstRowLastColumn="0" w:lastRowFirstColumn="0" w:lastRowLastColumn="0"/>
              <w:rPr>
                <w:rFonts w:cs="Arial"/>
                <w:szCs w:val="14"/>
              </w:rPr>
            </w:pPr>
            <w:r w:rsidRPr="004369A3">
              <w:rPr>
                <w:rFonts w:cs="Arial"/>
                <w:szCs w:val="14"/>
              </w:rPr>
              <w:t>Brasilseg Companhia de Seguros S.A. (Brasilseg)</w:t>
            </w:r>
          </w:p>
        </w:tc>
        <w:tc>
          <w:tcPr>
            <w:tcW w:w="1820" w:type="dxa"/>
            <w:tcBorders>
              <w:top w:val="nil"/>
              <w:bottom w:val="nil"/>
            </w:tcBorders>
            <w:shd w:val="clear" w:color="auto" w:fill="auto"/>
            <w:vAlign w:val="center"/>
          </w:tcPr>
          <w:p w14:paraId="180C320B" w14:textId="77777777" w:rsidR="008B7E19" w:rsidRPr="004369A3" w:rsidRDefault="008B7E19" w:rsidP="008B7E19">
            <w:pPr>
              <w:pStyle w:val="08-Tabelageral"/>
              <w:jc w:val="left"/>
              <w:cnfStyle w:val="000000010000" w:firstRow="0" w:lastRow="0" w:firstColumn="0" w:lastColumn="0" w:oddVBand="0" w:evenVBand="0" w:oddHBand="0" w:evenHBand="1" w:firstRowFirstColumn="0" w:firstRowLastColumn="0" w:lastRowFirstColumn="0" w:lastRowLastColumn="0"/>
              <w:rPr>
                <w:rFonts w:cs="Arial"/>
                <w:szCs w:val="14"/>
                <w:lang w:val="en-US"/>
              </w:rPr>
            </w:pPr>
            <w:r w:rsidRPr="001E7B1C">
              <w:rPr>
                <w:rFonts w:cs="Arial"/>
                <w:iCs/>
                <w:szCs w:val="14"/>
                <w:lang w:val="en-US"/>
              </w:rPr>
              <w:t>Acting in the personal risk, rural insurance and housing insurance segment.</w:t>
            </w:r>
          </w:p>
        </w:tc>
        <w:tc>
          <w:tcPr>
            <w:tcW w:w="1230" w:type="dxa"/>
            <w:tcBorders>
              <w:top w:val="nil"/>
              <w:bottom w:val="nil"/>
            </w:tcBorders>
            <w:shd w:val="clear" w:color="auto" w:fill="auto"/>
            <w:vAlign w:val="center"/>
          </w:tcPr>
          <w:p w14:paraId="26E88C2A" w14:textId="77777777" w:rsidR="008B7E19" w:rsidRPr="004369A3" w:rsidRDefault="008B7E19" w:rsidP="008B7E19">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szCs w:val="14"/>
              </w:rPr>
            </w:pPr>
            <w:r w:rsidRPr="004369A3">
              <w:rPr>
                <w:rFonts w:cs="Arial"/>
                <w:szCs w:val="14"/>
              </w:rPr>
              <w:t>SUSEPGAAP</w:t>
            </w:r>
          </w:p>
        </w:tc>
        <w:tc>
          <w:tcPr>
            <w:tcW w:w="441" w:type="dxa"/>
            <w:tcBorders>
              <w:top w:val="nil"/>
              <w:bottom w:val="nil"/>
            </w:tcBorders>
            <w:shd w:val="clear" w:color="auto" w:fill="auto"/>
          </w:tcPr>
          <w:p w14:paraId="4255FBA1" w14:textId="77777777" w:rsidR="008B7E19" w:rsidRPr="004369A3" w:rsidRDefault="008B7E19" w:rsidP="008B7E19">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szCs w:val="14"/>
              </w:rPr>
            </w:pPr>
          </w:p>
        </w:tc>
        <w:tc>
          <w:tcPr>
            <w:tcW w:w="667" w:type="dxa"/>
            <w:tcBorders>
              <w:top w:val="nil"/>
              <w:bottom w:val="nil"/>
            </w:tcBorders>
            <w:shd w:val="clear" w:color="auto" w:fill="auto"/>
            <w:vAlign w:val="center"/>
          </w:tcPr>
          <w:p w14:paraId="77A31731" w14:textId="77777777" w:rsidR="008B7E19" w:rsidRPr="004369A3" w:rsidRDefault="008B7E19" w:rsidP="008B7E19">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szCs w:val="14"/>
              </w:rPr>
            </w:pPr>
            <w:r w:rsidRPr="004369A3">
              <w:rPr>
                <w:rFonts w:cs="Arial"/>
                <w:bCs/>
                <w:szCs w:val="14"/>
              </w:rPr>
              <w:t>49.99</w:t>
            </w:r>
          </w:p>
        </w:tc>
        <w:tc>
          <w:tcPr>
            <w:tcW w:w="715" w:type="dxa"/>
            <w:tcBorders>
              <w:top w:val="nil"/>
              <w:bottom w:val="nil"/>
            </w:tcBorders>
            <w:shd w:val="clear" w:color="auto" w:fill="auto"/>
            <w:vAlign w:val="center"/>
          </w:tcPr>
          <w:p w14:paraId="46BDAC7C" w14:textId="77777777" w:rsidR="008B7E19" w:rsidRPr="004369A3" w:rsidRDefault="008B7E19" w:rsidP="008B7E19">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szCs w:val="14"/>
              </w:rPr>
            </w:pPr>
            <w:r>
              <w:rPr>
                <w:bCs/>
              </w:rPr>
              <w:t>100,00</w:t>
            </w:r>
          </w:p>
        </w:tc>
        <w:tc>
          <w:tcPr>
            <w:tcW w:w="1068" w:type="dxa"/>
            <w:tcBorders>
              <w:top w:val="nil"/>
              <w:bottom w:val="nil"/>
            </w:tcBorders>
            <w:shd w:val="clear" w:color="auto" w:fill="auto"/>
            <w:vAlign w:val="center"/>
          </w:tcPr>
          <w:p w14:paraId="758EEA49" w14:textId="77777777" w:rsidR="008B7E19" w:rsidRPr="004369A3" w:rsidRDefault="008B7E19" w:rsidP="008B7E19">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szCs w:val="14"/>
              </w:rPr>
            </w:pPr>
            <w:r w:rsidRPr="004369A3">
              <w:rPr>
                <w:rFonts w:cs="Arial"/>
                <w:bCs/>
                <w:szCs w:val="14"/>
              </w:rPr>
              <w:t>74.99</w:t>
            </w:r>
          </w:p>
        </w:tc>
      </w:tr>
      <w:tr w:rsidR="008B7E19" w:rsidRPr="00E22381" w14:paraId="49993DBA"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994" w:type="dxa"/>
            <w:vMerge/>
            <w:tcBorders>
              <w:top w:val="single" w:sz="2" w:space="0" w:color="8EAADB" w:themeColor="accent5" w:themeTint="99"/>
              <w:left w:val="nil"/>
              <w:bottom w:val="single" w:sz="2" w:space="0" w:color="1F4E79" w:themeColor="accent1" w:themeShade="80"/>
              <w:right w:val="single" w:sz="2" w:space="0" w:color="1F4E79" w:themeColor="accent1" w:themeShade="80"/>
            </w:tcBorders>
            <w:shd w:val="clear" w:color="auto" w:fill="auto"/>
            <w:vAlign w:val="center"/>
          </w:tcPr>
          <w:p w14:paraId="629E4121" w14:textId="77777777" w:rsidR="008B7E19" w:rsidRPr="004369A3" w:rsidRDefault="008B7E19" w:rsidP="008B7E19">
            <w:pPr>
              <w:pStyle w:val="08-Tabelageral"/>
              <w:ind w:left="113"/>
              <w:jc w:val="left"/>
              <w:rPr>
                <w:rFonts w:cs="Arial"/>
                <w:b w:val="0"/>
                <w:bCs w:val="0"/>
                <w:szCs w:val="14"/>
                <w:highlight w:val="yellow"/>
              </w:rPr>
            </w:pPr>
          </w:p>
        </w:tc>
        <w:tc>
          <w:tcPr>
            <w:tcW w:w="1248" w:type="dxa"/>
            <w:vMerge/>
            <w:tcBorders>
              <w:top w:val="nil"/>
              <w:left w:val="single" w:sz="2" w:space="0" w:color="1F4E79" w:themeColor="accent1" w:themeShade="80"/>
              <w:bottom w:val="single" w:sz="2" w:space="0" w:color="1F4E79" w:themeColor="accent1" w:themeShade="80"/>
              <w:right w:val="single" w:sz="4" w:space="0" w:color="1F4E79" w:themeColor="accent1" w:themeShade="80"/>
            </w:tcBorders>
            <w:shd w:val="clear" w:color="auto" w:fill="auto"/>
            <w:vAlign w:val="center"/>
          </w:tcPr>
          <w:p w14:paraId="6C356827" w14:textId="77777777" w:rsidR="008B7E19" w:rsidRPr="004369A3" w:rsidRDefault="008B7E19" w:rsidP="008B7E19">
            <w:pPr>
              <w:pStyle w:val="08-Tabelageral"/>
              <w:jc w:val="center"/>
              <w:cnfStyle w:val="000000100000" w:firstRow="0" w:lastRow="0" w:firstColumn="0" w:lastColumn="0" w:oddVBand="0" w:evenVBand="0" w:oddHBand="1" w:evenHBand="0" w:firstRowFirstColumn="0" w:firstRowLastColumn="0" w:lastRowFirstColumn="0" w:lastRowLastColumn="0"/>
              <w:rPr>
                <w:rFonts w:cs="Arial"/>
                <w:b/>
                <w:szCs w:val="14"/>
              </w:rPr>
            </w:pPr>
          </w:p>
        </w:tc>
        <w:tc>
          <w:tcPr>
            <w:tcW w:w="1500" w:type="dxa"/>
            <w:tcBorders>
              <w:top w:val="nil"/>
              <w:left w:val="single" w:sz="4" w:space="0" w:color="1F4E79" w:themeColor="accent1" w:themeShade="80"/>
              <w:bottom w:val="nil"/>
            </w:tcBorders>
            <w:shd w:val="clear" w:color="auto" w:fill="auto"/>
            <w:vAlign w:val="center"/>
          </w:tcPr>
          <w:p w14:paraId="57E97FDA" w14:textId="77777777" w:rsidR="008B7E19" w:rsidRPr="004369A3" w:rsidRDefault="008B7E19" w:rsidP="008B7E19">
            <w:pPr>
              <w:pStyle w:val="08-Tabelageral"/>
              <w:jc w:val="left"/>
              <w:cnfStyle w:val="000000100000" w:firstRow="0" w:lastRow="0" w:firstColumn="0" w:lastColumn="0" w:oddVBand="0" w:evenVBand="0" w:oddHBand="1" w:evenHBand="0" w:firstRowFirstColumn="0" w:firstRowLastColumn="0" w:lastRowFirstColumn="0" w:lastRowLastColumn="0"/>
              <w:rPr>
                <w:rFonts w:cs="Arial"/>
                <w:szCs w:val="14"/>
              </w:rPr>
            </w:pPr>
            <w:r w:rsidRPr="004369A3">
              <w:rPr>
                <w:rFonts w:cs="Arial"/>
                <w:szCs w:val="14"/>
              </w:rPr>
              <w:t>Aliança do Brasil Seguros S.A. (Aliança do Brasil)</w:t>
            </w:r>
          </w:p>
        </w:tc>
        <w:tc>
          <w:tcPr>
            <w:tcW w:w="1820" w:type="dxa"/>
            <w:tcBorders>
              <w:top w:val="nil"/>
              <w:bottom w:val="nil"/>
            </w:tcBorders>
            <w:shd w:val="clear" w:color="auto" w:fill="auto"/>
            <w:vAlign w:val="center"/>
          </w:tcPr>
          <w:p w14:paraId="33DAA663" w14:textId="77777777" w:rsidR="008B7E19" w:rsidRPr="0057175F" w:rsidRDefault="008B7E19" w:rsidP="008B7E19">
            <w:pPr>
              <w:pStyle w:val="08-Tabelageral"/>
              <w:jc w:val="left"/>
              <w:cnfStyle w:val="000000100000" w:firstRow="0" w:lastRow="0" w:firstColumn="0" w:lastColumn="0" w:oddVBand="0" w:evenVBand="0" w:oddHBand="1" w:evenHBand="0" w:firstRowFirstColumn="0" w:firstRowLastColumn="0" w:lastRowFirstColumn="0" w:lastRowLastColumn="0"/>
              <w:rPr>
                <w:rFonts w:cs="Arial"/>
                <w:szCs w:val="14"/>
                <w:lang w:val="en-US"/>
              </w:rPr>
            </w:pPr>
            <w:r w:rsidRPr="0057175F">
              <w:rPr>
                <w:rFonts w:cs="Arial"/>
                <w:szCs w:val="14"/>
                <w:lang w:val="en-US"/>
              </w:rPr>
              <w:t>Operating in the damage insurance segment.</w:t>
            </w:r>
          </w:p>
        </w:tc>
        <w:tc>
          <w:tcPr>
            <w:tcW w:w="1230" w:type="dxa"/>
            <w:tcBorders>
              <w:top w:val="nil"/>
              <w:bottom w:val="nil"/>
            </w:tcBorders>
            <w:shd w:val="clear" w:color="auto" w:fill="auto"/>
            <w:vAlign w:val="center"/>
          </w:tcPr>
          <w:p w14:paraId="662DF5C9" w14:textId="77777777" w:rsidR="008B7E19" w:rsidRPr="004369A3" w:rsidRDefault="008B7E19" w:rsidP="008B7E19">
            <w:pPr>
              <w:pStyle w:val="08-Tabelageral"/>
              <w:jc w:val="center"/>
              <w:cnfStyle w:val="000000100000" w:firstRow="0" w:lastRow="0" w:firstColumn="0" w:lastColumn="0" w:oddVBand="0" w:evenVBand="0" w:oddHBand="1" w:evenHBand="0" w:firstRowFirstColumn="0" w:firstRowLastColumn="0" w:lastRowFirstColumn="0" w:lastRowLastColumn="0"/>
              <w:rPr>
                <w:rFonts w:cs="Arial"/>
                <w:szCs w:val="14"/>
              </w:rPr>
            </w:pPr>
            <w:r w:rsidRPr="004369A3">
              <w:rPr>
                <w:rFonts w:cs="Arial"/>
                <w:szCs w:val="14"/>
              </w:rPr>
              <w:t>SUSEPGAAP</w:t>
            </w:r>
          </w:p>
        </w:tc>
        <w:tc>
          <w:tcPr>
            <w:tcW w:w="441" w:type="dxa"/>
            <w:tcBorders>
              <w:top w:val="nil"/>
              <w:bottom w:val="nil"/>
            </w:tcBorders>
            <w:shd w:val="clear" w:color="auto" w:fill="auto"/>
          </w:tcPr>
          <w:p w14:paraId="0C3B0759" w14:textId="77777777" w:rsidR="008B7E19" w:rsidRPr="004369A3" w:rsidRDefault="008B7E19" w:rsidP="008B7E19">
            <w:pPr>
              <w:pStyle w:val="08-Tabelageral"/>
              <w:jc w:val="center"/>
              <w:cnfStyle w:val="000000100000" w:firstRow="0" w:lastRow="0" w:firstColumn="0" w:lastColumn="0" w:oddVBand="0" w:evenVBand="0" w:oddHBand="1" w:evenHBand="0" w:firstRowFirstColumn="0" w:firstRowLastColumn="0" w:lastRowFirstColumn="0" w:lastRowLastColumn="0"/>
              <w:rPr>
                <w:rFonts w:cs="Arial"/>
                <w:bCs/>
                <w:szCs w:val="14"/>
              </w:rPr>
            </w:pPr>
          </w:p>
        </w:tc>
        <w:tc>
          <w:tcPr>
            <w:tcW w:w="667" w:type="dxa"/>
            <w:tcBorders>
              <w:top w:val="nil"/>
              <w:bottom w:val="nil"/>
            </w:tcBorders>
            <w:shd w:val="clear" w:color="auto" w:fill="auto"/>
            <w:vAlign w:val="center"/>
          </w:tcPr>
          <w:p w14:paraId="4F95A750" w14:textId="77777777" w:rsidR="008B7E19" w:rsidRPr="004369A3" w:rsidRDefault="008B7E19" w:rsidP="008B7E19">
            <w:pPr>
              <w:pStyle w:val="08-Tabelageral"/>
              <w:jc w:val="center"/>
              <w:cnfStyle w:val="000000100000" w:firstRow="0" w:lastRow="0" w:firstColumn="0" w:lastColumn="0" w:oddVBand="0" w:evenVBand="0" w:oddHBand="1" w:evenHBand="0" w:firstRowFirstColumn="0" w:firstRowLastColumn="0" w:lastRowFirstColumn="0" w:lastRowLastColumn="0"/>
              <w:rPr>
                <w:rFonts w:cs="Arial"/>
                <w:bCs/>
                <w:szCs w:val="14"/>
              </w:rPr>
            </w:pPr>
            <w:r w:rsidRPr="004369A3">
              <w:rPr>
                <w:rFonts w:cs="Arial"/>
                <w:bCs/>
                <w:szCs w:val="14"/>
              </w:rPr>
              <w:t>49.99</w:t>
            </w:r>
          </w:p>
        </w:tc>
        <w:tc>
          <w:tcPr>
            <w:tcW w:w="715" w:type="dxa"/>
            <w:tcBorders>
              <w:top w:val="nil"/>
              <w:bottom w:val="nil"/>
            </w:tcBorders>
            <w:shd w:val="clear" w:color="auto" w:fill="auto"/>
            <w:vAlign w:val="center"/>
          </w:tcPr>
          <w:p w14:paraId="3B409AEE" w14:textId="77777777" w:rsidR="008B7E19" w:rsidRDefault="008B7E19" w:rsidP="008B7E19">
            <w:pPr>
              <w:pStyle w:val="08-Tabelageral"/>
              <w:jc w:val="center"/>
              <w:cnfStyle w:val="000000100000" w:firstRow="0" w:lastRow="0" w:firstColumn="0" w:lastColumn="0" w:oddVBand="0" w:evenVBand="0" w:oddHBand="1" w:evenHBand="0" w:firstRowFirstColumn="0" w:firstRowLastColumn="0" w:lastRowFirstColumn="0" w:lastRowLastColumn="0"/>
              <w:rPr>
                <w:bCs/>
              </w:rPr>
            </w:pPr>
            <w:r>
              <w:rPr>
                <w:bCs/>
              </w:rPr>
              <w:t>100,00</w:t>
            </w:r>
          </w:p>
        </w:tc>
        <w:tc>
          <w:tcPr>
            <w:tcW w:w="1068" w:type="dxa"/>
            <w:tcBorders>
              <w:top w:val="nil"/>
              <w:bottom w:val="nil"/>
            </w:tcBorders>
            <w:shd w:val="clear" w:color="auto" w:fill="auto"/>
            <w:vAlign w:val="center"/>
          </w:tcPr>
          <w:p w14:paraId="38846165" w14:textId="77777777" w:rsidR="008B7E19" w:rsidRPr="004369A3" w:rsidRDefault="008B7E19" w:rsidP="008B7E19">
            <w:pPr>
              <w:pStyle w:val="08-Tabelageral"/>
              <w:jc w:val="center"/>
              <w:cnfStyle w:val="000000100000" w:firstRow="0" w:lastRow="0" w:firstColumn="0" w:lastColumn="0" w:oddVBand="0" w:evenVBand="0" w:oddHBand="1" w:evenHBand="0" w:firstRowFirstColumn="0" w:firstRowLastColumn="0" w:lastRowFirstColumn="0" w:lastRowLastColumn="0"/>
              <w:rPr>
                <w:rFonts w:cs="Arial"/>
                <w:bCs/>
                <w:szCs w:val="14"/>
              </w:rPr>
            </w:pPr>
            <w:r w:rsidRPr="004369A3">
              <w:rPr>
                <w:rFonts w:cs="Arial"/>
                <w:bCs/>
                <w:szCs w:val="14"/>
              </w:rPr>
              <w:t>74.99</w:t>
            </w:r>
          </w:p>
        </w:tc>
      </w:tr>
      <w:tr w:rsidR="008B7E19" w:rsidRPr="00E22381" w14:paraId="41125746" w14:textId="77777777" w:rsidTr="008B7E1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994" w:type="dxa"/>
            <w:vMerge/>
            <w:tcBorders>
              <w:top w:val="single" w:sz="2" w:space="0" w:color="8EAADB" w:themeColor="accent5" w:themeTint="99"/>
              <w:left w:val="nil"/>
              <w:bottom w:val="single" w:sz="2" w:space="0" w:color="1F4E79" w:themeColor="accent1" w:themeShade="80"/>
              <w:right w:val="single" w:sz="2" w:space="0" w:color="1F4E79" w:themeColor="accent1" w:themeShade="80"/>
            </w:tcBorders>
            <w:shd w:val="clear" w:color="auto" w:fill="auto"/>
            <w:vAlign w:val="center"/>
          </w:tcPr>
          <w:p w14:paraId="16E1E0D7" w14:textId="77777777" w:rsidR="008B7E19" w:rsidRPr="004369A3" w:rsidRDefault="008B7E19" w:rsidP="008B7E19">
            <w:pPr>
              <w:pStyle w:val="08-Tabelageral"/>
              <w:ind w:left="113"/>
              <w:jc w:val="left"/>
              <w:rPr>
                <w:rFonts w:cs="Arial"/>
                <w:b w:val="0"/>
                <w:bCs w:val="0"/>
                <w:szCs w:val="14"/>
                <w:highlight w:val="yellow"/>
              </w:rPr>
            </w:pPr>
          </w:p>
        </w:tc>
        <w:tc>
          <w:tcPr>
            <w:tcW w:w="1248" w:type="dxa"/>
            <w:vMerge/>
            <w:tcBorders>
              <w:top w:val="nil"/>
              <w:left w:val="single" w:sz="2" w:space="0" w:color="1F4E79" w:themeColor="accent1" w:themeShade="80"/>
              <w:bottom w:val="single" w:sz="2" w:space="0" w:color="1F4E79" w:themeColor="accent1" w:themeShade="80"/>
              <w:right w:val="single" w:sz="4" w:space="0" w:color="1F4E79" w:themeColor="accent1" w:themeShade="80"/>
            </w:tcBorders>
            <w:shd w:val="clear" w:color="auto" w:fill="auto"/>
            <w:vAlign w:val="center"/>
          </w:tcPr>
          <w:p w14:paraId="727B4A88" w14:textId="77777777" w:rsidR="008B7E19" w:rsidRPr="004369A3" w:rsidRDefault="008B7E19" w:rsidP="008B7E19">
            <w:pPr>
              <w:pStyle w:val="08-Tabelageral"/>
              <w:jc w:val="center"/>
              <w:cnfStyle w:val="000000010000" w:firstRow="0" w:lastRow="0" w:firstColumn="0" w:lastColumn="0" w:oddVBand="0" w:evenVBand="0" w:oddHBand="0" w:evenHBand="1" w:firstRowFirstColumn="0" w:firstRowLastColumn="0" w:lastRowFirstColumn="0" w:lastRowLastColumn="0"/>
              <w:rPr>
                <w:rFonts w:cs="Arial"/>
                <w:b/>
                <w:szCs w:val="14"/>
              </w:rPr>
            </w:pPr>
          </w:p>
        </w:tc>
        <w:tc>
          <w:tcPr>
            <w:tcW w:w="1500" w:type="dxa"/>
            <w:tcBorders>
              <w:top w:val="nil"/>
              <w:left w:val="single" w:sz="4" w:space="0" w:color="1F4E79" w:themeColor="accent1" w:themeShade="80"/>
              <w:bottom w:val="single" w:sz="2" w:space="0" w:color="1F4E79" w:themeColor="accent1" w:themeShade="80"/>
            </w:tcBorders>
            <w:shd w:val="clear" w:color="auto" w:fill="auto"/>
            <w:vAlign w:val="center"/>
          </w:tcPr>
          <w:p w14:paraId="7EE7269C" w14:textId="77777777" w:rsidR="008B7E19" w:rsidRPr="004369A3" w:rsidRDefault="008B7E19" w:rsidP="008B7E19">
            <w:pPr>
              <w:pStyle w:val="08-Tabelageral"/>
              <w:jc w:val="left"/>
              <w:cnfStyle w:val="000000010000" w:firstRow="0" w:lastRow="0" w:firstColumn="0" w:lastColumn="0" w:oddVBand="0" w:evenVBand="0" w:oddHBand="0" w:evenHBand="1" w:firstRowFirstColumn="0" w:firstRowLastColumn="0" w:lastRowFirstColumn="0" w:lastRowLastColumn="0"/>
              <w:rPr>
                <w:rFonts w:cs="Arial"/>
                <w:szCs w:val="14"/>
              </w:rPr>
            </w:pPr>
            <w:r>
              <w:rPr>
                <w:rFonts w:cs="Arial"/>
                <w:szCs w:val="14"/>
              </w:rPr>
              <w:t>Broto S.A</w:t>
            </w:r>
          </w:p>
        </w:tc>
        <w:tc>
          <w:tcPr>
            <w:tcW w:w="1820" w:type="dxa"/>
            <w:tcBorders>
              <w:top w:val="nil"/>
              <w:bottom w:val="single" w:sz="2" w:space="0" w:color="1F4E79" w:themeColor="accent1" w:themeShade="80"/>
            </w:tcBorders>
            <w:shd w:val="clear" w:color="auto" w:fill="auto"/>
            <w:vAlign w:val="center"/>
          </w:tcPr>
          <w:p w14:paraId="04C11B66" w14:textId="77777777" w:rsidR="008B7E19" w:rsidRPr="004369A3" w:rsidRDefault="008B7E19" w:rsidP="008B7E19">
            <w:pPr>
              <w:pStyle w:val="08-Tabelageral"/>
              <w:jc w:val="left"/>
              <w:cnfStyle w:val="000000010000" w:firstRow="0" w:lastRow="0" w:firstColumn="0" w:lastColumn="0" w:oddVBand="0" w:evenVBand="0" w:oddHBand="0" w:evenHBand="1" w:firstRowFirstColumn="0" w:firstRowLastColumn="0" w:lastRowFirstColumn="0" w:lastRowLastColumn="0"/>
              <w:rPr>
                <w:rFonts w:cs="Arial"/>
                <w:szCs w:val="14"/>
                <w:lang w:val="en-US"/>
              </w:rPr>
            </w:pPr>
            <w:r>
              <w:rPr>
                <w:rStyle w:val="rynqvb"/>
                <w:lang w:val="en"/>
              </w:rPr>
              <w:t>Intermediation and agency services and business in general.</w:t>
            </w:r>
          </w:p>
        </w:tc>
        <w:tc>
          <w:tcPr>
            <w:tcW w:w="1230" w:type="dxa"/>
            <w:tcBorders>
              <w:top w:val="nil"/>
              <w:bottom w:val="single" w:sz="2" w:space="0" w:color="1F4E79" w:themeColor="accent1" w:themeShade="80"/>
            </w:tcBorders>
            <w:shd w:val="clear" w:color="auto" w:fill="auto"/>
            <w:vAlign w:val="center"/>
          </w:tcPr>
          <w:p w14:paraId="7F44BABE" w14:textId="77777777" w:rsidR="008B7E19" w:rsidRPr="004369A3" w:rsidRDefault="008B7E19" w:rsidP="008B7E19">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szCs w:val="14"/>
              </w:rPr>
            </w:pPr>
            <w:r>
              <w:rPr>
                <w:rFonts w:cs="Arial"/>
                <w:szCs w:val="14"/>
              </w:rPr>
              <w:t>BRGAAP</w:t>
            </w:r>
          </w:p>
        </w:tc>
        <w:tc>
          <w:tcPr>
            <w:tcW w:w="441" w:type="dxa"/>
            <w:tcBorders>
              <w:top w:val="nil"/>
              <w:bottom w:val="single" w:sz="2" w:space="0" w:color="1F4E79" w:themeColor="accent1" w:themeShade="80"/>
            </w:tcBorders>
            <w:shd w:val="clear" w:color="auto" w:fill="auto"/>
          </w:tcPr>
          <w:p w14:paraId="0ABD0F0D" w14:textId="77777777" w:rsidR="008B7E19" w:rsidRPr="004369A3" w:rsidRDefault="008B7E19" w:rsidP="008B7E19">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szCs w:val="14"/>
              </w:rPr>
            </w:pPr>
          </w:p>
        </w:tc>
        <w:tc>
          <w:tcPr>
            <w:tcW w:w="667" w:type="dxa"/>
            <w:tcBorders>
              <w:top w:val="nil"/>
              <w:bottom w:val="single" w:sz="2" w:space="0" w:color="1F4E79" w:themeColor="accent1" w:themeShade="80"/>
            </w:tcBorders>
            <w:shd w:val="clear" w:color="auto" w:fill="auto"/>
            <w:vAlign w:val="center"/>
          </w:tcPr>
          <w:p w14:paraId="11F71B4D" w14:textId="77777777" w:rsidR="008B7E19" w:rsidRPr="004369A3" w:rsidRDefault="008B7E19" w:rsidP="008B7E19">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szCs w:val="14"/>
              </w:rPr>
            </w:pPr>
            <w:r>
              <w:rPr>
                <w:bCs/>
              </w:rPr>
              <w:t>100,00</w:t>
            </w:r>
          </w:p>
        </w:tc>
        <w:tc>
          <w:tcPr>
            <w:tcW w:w="715" w:type="dxa"/>
            <w:tcBorders>
              <w:top w:val="nil"/>
              <w:bottom w:val="single" w:sz="2" w:space="0" w:color="1F4E79" w:themeColor="accent1" w:themeShade="80"/>
            </w:tcBorders>
            <w:shd w:val="clear" w:color="auto" w:fill="auto"/>
            <w:vAlign w:val="center"/>
          </w:tcPr>
          <w:p w14:paraId="4FDF0794" w14:textId="77777777" w:rsidR="008B7E19" w:rsidRPr="004369A3" w:rsidRDefault="008B7E19" w:rsidP="008B7E19">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szCs w:val="14"/>
              </w:rPr>
            </w:pPr>
            <w:r>
              <w:rPr>
                <w:bCs/>
              </w:rPr>
              <w:t>--</w:t>
            </w:r>
          </w:p>
        </w:tc>
        <w:tc>
          <w:tcPr>
            <w:tcW w:w="1068" w:type="dxa"/>
            <w:tcBorders>
              <w:top w:val="nil"/>
              <w:bottom w:val="single" w:sz="2" w:space="0" w:color="1F4E79" w:themeColor="accent1" w:themeShade="80"/>
            </w:tcBorders>
            <w:shd w:val="clear" w:color="auto" w:fill="auto"/>
            <w:vAlign w:val="center"/>
          </w:tcPr>
          <w:p w14:paraId="3A3291DB" w14:textId="77777777" w:rsidR="008B7E19" w:rsidRPr="004369A3" w:rsidRDefault="008B7E19" w:rsidP="008B7E19">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szCs w:val="14"/>
              </w:rPr>
            </w:pPr>
            <w:r>
              <w:rPr>
                <w:bCs/>
              </w:rPr>
              <w:t>50,00</w:t>
            </w:r>
          </w:p>
        </w:tc>
      </w:tr>
      <w:tr w:rsidR="008B7E19" w:rsidRPr="00E22381" w14:paraId="37F6385A"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994" w:type="dxa"/>
            <w:vMerge/>
            <w:tcBorders>
              <w:top w:val="single" w:sz="2" w:space="0" w:color="8EAADB" w:themeColor="accent5" w:themeTint="99"/>
              <w:left w:val="nil"/>
              <w:bottom w:val="single" w:sz="2" w:space="0" w:color="1F4E79" w:themeColor="accent1" w:themeShade="80"/>
              <w:right w:val="single" w:sz="2" w:space="0" w:color="1F4E79" w:themeColor="accent1" w:themeShade="80"/>
            </w:tcBorders>
            <w:shd w:val="clear" w:color="auto" w:fill="auto"/>
            <w:vAlign w:val="center"/>
          </w:tcPr>
          <w:p w14:paraId="77AAF4AA" w14:textId="77777777" w:rsidR="008B7E19" w:rsidRPr="004369A3" w:rsidRDefault="008B7E19" w:rsidP="008B7E19">
            <w:pPr>
              <w:pStyle w:val="08-Tabelageral"/>
              <w:ind w:left="113"/>
              <w:jc w:val="left"/>
              <w:rPr>
                <w:rFonts w:cs="Arial"/>
                <w:b w:val="0"/>
                <w:bCs w:val="0"/>
                <w:szCs w:val="14"/>
                <w:highlight w:val="yellow"/>
              </w:rPr>
            </w:pPr>
          </w:p>
        </w:tc>
        <w:tc>
          <w:tcPr>
            <w:tcW w:w="1248" w:type="dxa"/>
            <w:vMerge w:val="restart"/>
            <w:tcBorders>
              <w:top w:val="single" w:sz="2" w:space="0" w:color="1F4E79" w:themeColor="accent1" w:themeShade="80"/>
              <w:left w:val="single" w:sz="2" w:space="0" w:color="1F4E79" w:themeColor="accent1" w:themeShade="80"/>
              <w:right w:val="single" w:sz="4" w:space="0" w:color="1F4E79" w:themeColor="accent1" w:themeShade="80"/>
            </w:tcBorders>
            <w:shd w:val="clear" w:color="auto" w:fill="auto"/>
            <w:vAlign w:val="center"/>
          </w:tcPr>
          <w:p w14:paraId="74790E99" w14:textId="77777777" w:rsidR="008B7E19" w:rsidRPr="004369A3" w:rsidRDefault="008B7E19" w:rsidP="008B7E19">
            <w:pPr>
              <w:pStyle w:val="08-Tabelageral"/>
              <w:jc w:val="center"/>
              <w:cnfStyle w:val="000000100000" w:firstRow="0" w:lastRow="0" w:firstColumn="0" w:lastColumn="0" w:oddVBand="0" w:evenVBand="0" w:oddHBand="1" w:evenHBand="0" w:firstRowFirstColumn="0" w:firstRowLastColumn="0" w:lastRowFirstColumn="0" w:lastRowLastColumn="0"/>
              <w:rPr>
                <w:rFonts w:cs="Arial"/>
                <w:b/>
                <w:szCs w:val="14"/>
              </w:rPr>
            </w:pPr>
            <w:r w:rsidRPr="004369A3">
              <w:rPr>
                <w:rFonts w:cs="Arial"/>
                <w:b/>
                <w:szCs w:val="14"/>
              </w:rPr>
              <w:t>Capitalization</w:t>
            </w:r>
          </w:p>
        </w:tc>
        <w:tc>
          <w:tcPr>
            <w:tcW w:w="1500" w:type="dxa"/>
            <w:vMerge w:val="restart"/>
            <w:tcBorders>
              <w:top w:val="single" w:sz="2" w:space="0" w:color="1F4E79" w:themeColor="accent1" w:themeShade="80"/>
              <w:left w:val="single" w:sz="4" w:space="0" w:color="1F4E79" w:themeColor="accent1" w:themeShade="80"/>
            </w:tcBorders>
            <w:shd w:val="clear" w:color="auto" w:fill="auto"/>
            <w:vAlign w:val="center"/>
          </w:tcPr>
          <w:p w14:paraId="6331F2B3" w14:textId="77777777" w:rsidR="008B7E19" w:rsidRPr="004369A3" w:rsidRDefault="008B7E19" w:rsidP="008B7E19">
            <w:pPr>
              <w:pStyle w:val="08-Tabelageral"/>
              <w:jc w:val="left"/>
              <w:cnfStyle w:val="000000100000" w:firstRow="0" w:lastRow="0" w:firstColumn="0" w:lastColumn="0" w:oddVBand="0" w:evenVBand="0" w:oddHBand="1" w:evenHBand="0" w:firstRowFirstColumn="0" w:firstRowLastColumn="0" w:lastRowFirstColumn="0" w:lastRowLastColumn="0"/>
              <w:rPr>
                <w:rFonts w:cs="Arial"/>
                <w:szCs w:val="14"/>
              </w:rPr>
            </w:pPr>
            <w:r w:rsidRPr="004369A3">
              <w:rPr>
                <w:rFonts w:cs="Arial"/>
                <w:szCs w:val="14"/>
              </w:rPr>
              <w:t>Brasilcap Capitalização S.A. (Brasilcap)</w:t>
            </w:r>
          </w:p>
        </w:tc>
        <w:tc>
          <w:tcPr>
            <w:tcW w:w="1820" w:type="dxa"/>
            <w:vMerge w:val="restart"/>
            <w:tcBorders>
              <w:top w:val="single" w:sz="2" w:space="0" w:color="1F4E79" w:themeColor="accent1" w:themeShade="80"/>
            </w:tcBorders>
            <w:shd w:val="clear" w:color="auto" w:fill="auto"/>
            <w:vAlign w:val="center"/>
          </w:tcPr>
          <w:p w14:paraId="0E38A542" w14:textId="77777777" w:rsidR="008B7E19" w:rsidRPr="0057175F" w:rsidRDefault="008B7E19" w:rsidP="008B7E19">
            <w:pPr>
              <w:pStyle w:val="08-Tabelageral"/>
              <w:jc w:val="left"/>
              <w:cnfStyle w:val="000000100000" w:firstRow="0" w:lastRow="0" w:firstColumn="0" w:lastColumn="0" w:oddVBand="0" w:evenVBand="0" w:oddHBand="1" w:evenHBand="0" w:firstRowFirstColumn="0" w:firstRowLastColumn="0" w:lastRowFirstColumn="0" w:lastRowLastColumn="0"/>
              <w:rPr>
                <w:rFonts w:cs="Arial"/>
                <w:snapToGrid w:val="0"/>
                <w:szCs w:val="14"/>
                <w:lang w:val="en-US"/>
              </w:rPr>
            </w:pPr>
            <w:r w:rsidRPr="0057175F">
              <w:rPr>
                <w:rFonts w:cs="Arial"/>
                <w:snapToGrid w:val="0"/>
                <w:szCs w:val="14"/>
                <w:lang w:val="en-US"/>
              </w:rPr>
              <w:t>It sells capitalization plans, as well as other products and services admitted to capitalization companies.</w:t>
            </w:r>
          </w:p>
        </w:tc>
        <w:tc>
          <w:tcPr>
            <w:tcW w:w="1230" w:type="dxa"/>
            <w:vMerge w:val="restart"/>
            <w:tcBorders>
              <w:top w:val="single" w:sz="2" w:space="0" w:color="1F4E79" w:themeColor="accent1" w:themeShade="80"/>
            </w:tcBorders>
            <w:shd w:val="clear" w:color="auto" w:fill="auto"/>
            <w:vAlign w:val="center"/>
          </w:tcPr>
          <w:p w14:paraId="2E287B7E" w14:textId="77777777" w:rsidR="008B7E19" w:rsidRPr="004369A3" w:rsidRDefault="008B7E19" w:rsidP="008B7E19">
            <w:pPr>
              <w:pStyle w:val="08-Tabelageral"/>
              <w:jc w:val="center"/>
              <w:cnfStyle w:val="000000100000" w:firstRow="0" w:lastRow="0" w:firstColumn="0" w:lastColumn="0" w:oddVBand="0" w:evenVBand="0" w:oddHBand="1" w:evenHBand="0" w:firstRowFirstColumn="0" w:firstRowLastColumn="0" w:lastRowFirstColumn="0" w:lastRowLastColumn="0"/>
              <w:rPr>
                <w:rFonts w:cs="Arial"/>
                <w:bCs/>
                <w:szCs w:val="14"/>
              </w:rPr>
            </w:pPr>
            <w:r w:rsidRPr="004369A3">
              <w:rPr>
                <w:rFonts w:cs="Arial"/>
                <w:bCs/>
                <w:szCs w:val="14"/>
              </w:rPr>
              <w:t>SUSEPGAAP</w:t>
            </w:r>
          </w:p>
        </w:tc>
        <w:tc>
          <w:tcPr>
            <w:tcW w:w="441" w:type="dxa"/>
            <w:tcBorders>
              <w:top w:val="single" w:sz="2" w:space="0" w:color="1F4E79" w:themeColor="accent1" w:themeShade="80"/>
              <w:bottom w:val="nil"/>
            </w:tcBorders>
            <w:shd w:val="clear" w:color="auto" w:fill="auto"/>
          </w:tcPr>
          <w:p w14:paraId="6216522F" w14:textId="77777777" w:rsidR="008B7E19" w:rsidRPr="009B18D3" w:rsidRDefault="008B7E19" w:rsidP="008B7E19">
            <w:pPr>
              <w:pStyle w:val="08-Tabelageral"/>
              <w:jc w:val="center"/>
              <w:cnfStyle w:val="000000100000" w:firstRow="0" w:lastRow="0" w:firstColumn="0" w:lastColumn="0" w:oddVBand="0" w:evenVBand="0" w:oddHBand="1" w:evenHBand="0" w:firstRowFirstColumn="0" w:firstRowLastColumn="0" w:lastRowFirstColumn="0" w:lastRowLastColumn="0"/>
              <w:rPr>
                <w:rFonts w:cs="Arial"/>
                <w:b/>
                <w:bCs/>
                <w:szCs w:val="14"/>
              </w:rPr>
            </w:pPr>
          </w:p>
        </w:tc>
        <w:tc>
          <w:tcPr>
            <w:tcW w:w="667" w:type="dxa"/>
            <w:tcBorders>
              <w:top w:val="single" w:sz="2" w:space="0" w:color="1F4E79" w:themeColor="accent1" w:themeShade="80"/>
              <w:bottom w:val="nil"/>
            </w:tcBorders>
            <w:shd w:val="clear" w:color="auto" w:fill="auto"/>
            <w:vAlign w:val="center"/>
          </w:tcPr>
          <w:p w14:paraId="0D5BC4DF" w14:textId="77777777" w:rsidR="008B7E19" w:rsidRPr="001114F8" w:rsidRDefault="008B7E19" w:rsidP="008B7E19">
            <w:pPr>
              <w:pStyle w:val="08-Tabelageral"/>
              <w:jc w:val="left"/>
              <w:cnfStyle w:val="000000100000" w:firstRow="0" w:lastRow="0" w:firstColumn="0" w:lastColumn="0" w:oddVBand="0" w:evenVBand="0" w:oddHBand="1" w:evenHBand="0" w:firstRowFirstColumn="0" w:firstRowLastColumn="0" w:lastRowFirstColumn="0" w:lastRowLastColumn="0"/>
              <w:rPr>
                <w:bCs/>
                <w:sz w:val="6"/>
                <w:szCs w:val="6"/>
              </w:rPr>
            </w:pPr>
          </w:p>
          <w:p w14:paraId="149C52CA" w14:textId="77777777" w:rsidR="008B7E19" w:rsidRPr="001114F8" w:rsidRDefault="008B7E19" w:rsidP="008B7E19">
            <w:pPr>
              <w:pStyle w:val="08-Tabelageral"/>
              <w:jc w:val="center"/>
              <w:cnfStyle w:val="000000100000" w:firstRow="0" w:lastRow="0" w:firstColumn="0" w:lastColumn="0" w:oddVBand="0" w:evenVBand="0" w:oddHBand="1" w:evenHBand="0" w:firstRowFirstColumn="0" w:firstRowLastColumn="0" w:lastRowFirstColumn="0" w:lastRowLastColumn="0"/>
              <w:rPr>
                <w:bCs/>
                <w:sz w:val="6"/>
                <w:szCs w:val="6"/>
              </w:rPr>
            </w:pPr>
          </w:p>
          <w:p w14:paraId="4C20D690" w14:textId="77777777" w:rsidR="008B7E19" w:rsidRPr="004369A3" w:rsidRDefault="008B7E19" w:rsidP="008B7E19">
            <w:pPr>
              <w:pStyle w:val="08-Tabelageral"/>
              <w:jc w:val="center"/>
              <w:cnfStyle w:val="000000100000" w:firstRow="0" w:lastRow="0" w:firstColumn="0" w:lastColumn="0" w:oddVBand="0" w:evenVBand="0" w:oddHBand="1" w:evenHBand="0" w:firstRowFirstColumn="0" w:firstRowLastColumn="0" w:lastRowFirstColumn="0" w:lastRowLastColumn="0"/>
              <w:rPr>
                <w:rFonts w:cs="Arial"/>
                <w:bCs/>
                <w:szCs w:val="14"/>
              </w:rPr>
            </w:pPr>
            <w:r w:rsidRPr="001114F8">
              <w:rPr>
                <w:bCs/>
              </w:rPr>
              <w:t>49,99</w:t>
            </w:r>
          </w:p>
        </w:tc>
        <w:tc>
          <w:tcPr>
            <w:tcW w:w="715" w:type="dxa"/>
            <w:tcBorders>
              <w:top w:val="single" w:sz="2" w:space="0" w:color="1F4E79" w:themeColor="accent1" w:themeShade="80"/>
              <w:bottom w:val="nil"/>
            </w:tcBorders>
            <w:shd w:val="clear" w:color="auto" w:fill="auto"/>
            <w:vAlign w:val="center"/>
          </w:tcPr>
          <w:p w14:paraId="22D44195" w14:textId="77777777" w:rsidR="008B7E19" w:rsidRDefault="008B7E19" w:rsidP="008B7E19">
            <w:pPr>
              <w:pStyle w:val="08-Tabelageral"/>
              <w:jc w:val="center"/>
              <w:cnfStyle w:val="000000100000" w:firstRow="0" w:lastRow="0" w:firstColumn="0" w:lastColumn="0" w:oddVBand="0" w:evenVBand="0" w:oddHBand="1" w:evenHBand="0" w:firstRowFirstColumn="0" w:firstRowLastColumn="0" w:lastRowFirstColumn="0" w:lastRowLastColumn="0"/>
              <w:rPr>
                <w:bCs/>
              </w:rPr>
            </w:pPr>
          </w:p>
          <w:p w14:paraId="43E4C0DA" w14:textId="77777777" w:rsidR="008B7E19" w:rsidRDefault="008B7E19" w:rsidP="008B7E19">
            <w:pPr>
              <w:pStyle w:val="08-Tabelageral"/>
              <w:jc w:val="center"/>
              <w:cnfStyle w:val="000000100000" w:firstRow="0" w:lastRow="0" w:firstColumn="0" w:lastColumn="0" w:oddVBand="0" w:evenVBand="0" w:oddHBand="1" w:evenHBand="0" w:firstRowFirstColumn="0" w:firstRowLastColumn="0" w:lastRowFirstColumn="0" w:lastRowLastColumn="0"/>
              <w:rPr>
                <w:bCs/>
              </w:rPr>
            </w:pPr>
            <w:r w:rsidRPr="001114F8">
              <w:rPr>
                <w:bCs/>
              </w:rPr>
              <w:t>86,43</w:t>
            </w:r>
          </w:p>
        </w:tc>
        <w:tc>
          <w:tcPr>
            <w:tcW w:w="1068" w:type="dxa"/>
            <w:tcBorders>
              <w:top w:val="single" w:sz="2" w:space="0" w:color="1F4E79" w:themeColor="accent1" w:themeShade="80"/>
              <w:bottom w:val="nil"/>
            </w:tcBorders>
            <w:shd w:val="clear" w:color="auto" w:fill="auto"/>
            <w:vAlign w:val="center"/>
          </w:tcPr>
          <w:p w14:paraId="39C74F3A" w14:textId="77777777" w:rsidR="008B7E19" w:rsidRPr="001114F8" w:rsidRDefault="008B7E19" w:rsidP="008B7E19">
            <w:pPr>
              <w:pStyle w:val="08-Tabelageral"/>
              <w:jc w:val="center"/>
              <w:cnfStyle w:val="000000100000" w:firstRow="0" w:lastRow="0" w:firstColumn="0" w:lastColumn="0" w:oddVBand="0" w:evenVBand="0" w:oddHBand="1" w:evenHBand="0" w:firstRowFirstColumn="0" w:firstRowLastColumn="0" w:lastRowFirstColumn="0" w:lastRowLastColumn="0"/>
              <w:rPr>
                <w:bCs/>
                <w:sz w:val="6"/>
                <w:szCs w:val="6"/>
              </w:rPr>
            </w:pPr>
          </w:p>
          <w:p w14:paraId="2E372A5B" w14:textId="77777777" w:rsidR="008B7E19" w:rsidRPr="001114F8" w:rsidRDefault="008B7E19" w:rsidP="008B7E19">
            <w:pPr>
              <w:pStyle w:val="08-Tabelageral"/>
              <w:jc w:val="center"/>
              <w:cnfStyle w:val="000000100000" w:firstRow="0" w:lastRow="0" w:firstColumn="0" w:lastColumn="0" w:oddVBand="0" w:evenVBand="0" w:oddHBand="1" w:evenHBand="0" w:firstRowFirstColumn="0" w:firstRowLastColumn="0" w:lastRowFirstColumn="0" w:lastRowLastColumn="0"/>
              <w:rPr>
                <w:bCs/>
                <w:sz w:val="6"/>
                <w:szCs w:val="6"/>
              </w:rPr>
            </w:pPr>
          </w:p>
          <w:p w14:paraId="1560A713" w14:textId="77777777" w:rsidR="008B7E19" w:rsidRPr="004369A3" w:rsidRDefault="008B7E19" w:rsidP="008B7E19">
            <w:pPr>
              <w:pStyle w:val="08-Tabelageral"/>
              <w:jc w:val="left"/>
              <w:cnfStyle w:val="000000100000" w:firstRow="0" w:lastRow="0" w:firstColumn="0" w:lastColumn="0" w:oddVBand="0" w:evenVBand="0" w:oddHBand="1" w:evenHBand="0" w:firstRowFirstColumn="0" w:firstRowLastColumn="0" w:lastRowFirstColumn="0" w:lastRowLastColumn="0"/>
              <w:rPr>
                <w:rFonts w:cs="Arial"/>
                <w:bCs/>
                <w:szCs w:val="14"/>
              </w:rPr>
            </w:pPr>
            <w:r w:rsidRPr="001114F8">
              <w:rPr>
                <w:bCs/>
              </w:rPr>
              <w:t>66,77</w:t>
            </w:r>
          </w:p>
        </w:tc>
      </w:tr>
      <w:tr w:rsidR="008B7E19" w:rsidRPr="00E22381" w14:paraId="5A24E1EB" w14:textId="77777777" w:rsidTr="008B7E1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994" w:type="dxa"/>
            <w:vMerge/>
            <w:tcBorders>
              <w:top w:val="single" w:sz="2" w:space="0" w:color="8EAADB" w:themeColor="accent5" w:themeTint="99"/>
              <w:left w:val="nil"/>
              <w:bottom w:val="single" w:sz="2" w:space="0" w:color="1F4E79" w:themeColor="accent1" w:themeShade="80"/>
              <w:right w:val="single" w:sz="2" w:space="0" w:color="1F4E79" w:themeColor="accent1" w:themeShade="80"/>
            </w:tcBorders>
            <w:shd w:val="clear" w:color="auto" w:fill="auto"/>
            <w:vAlign w:val="center"/>
          </w:tcPr>
          <w:p w14:paraId="7BDCB43A" w14:textId="77777777" w:rsidR="008B7E19" w:rsidRPr="004369A3" w:rsidRDefault="008B7E19" w:rsidP="008B7E19">
            <w:pPr>
              <w:pStyle w:val="08-Tabelageral"/>
              <w:ind w:left="113"/>
              <w:jc w:val="left"/>
              <w:rPr>
                <w:rFonts w:cs="Arial"/>
                <w:b w:val="0"/>
                <w:bCs w:val="0"/>
                <w:szCs w:val="14"/>
                <w:highlight w:val="yellow"/>
              </w:rPr>
            </w:pPr>
          </w:p>
        </w:tc>
        <w:tc>
          <w:tcPr>
            <w:tcW w:w="1248" w:type="dxa"/>
            <w:vMerge/>
            <w:tcBorders>
              <w:left w:val="single" w:sz="2" w:space="0" w:color="1F4E79" w:themeColor="accent1" w:themeShade="80"/>
              <w:bottom w:val="single" w:sz="2" w:space="0" w:color="1F4E79" w:themeColor="accent1" w:themeShade="80"/>
              <w:right w:val="single" w:sz="4" w:space="0" w:color="1F4E79" w:themeColor="accent1" w:themeShade="80"/>
            </w:tcBorders>
            <w:shd w:val="clear" w:color="auto" w:fill="auto"/>
            <w:vAlign w:val="center"/>
          </w:tcPr>
          <w:p w14:paraId="5CFB059C" w14:textId="77777777" w:rsidR="008B7E19" w:rsidRPr="004369A3" w:rsidRDefault="008B7E19" w:rsidP="008B7E19">
            <w:pPr>
              <w:pStyle w:val="08-Tabelageral"/>
              <w:jc w:val="center"/>
              <w:cnfStyle w:val="000000010000" w:firstRow="0" w:lastRow="0" w:firstColumn="0" w:lastColumn="0" w:oddVBand="0" w:evenVBand="0" w:oddHBand="0" w:evenHBand="1" w:firstRowFirstColumn="0" w:firstRowLastColumn="0" w:lastRowFirstColumn="0" w:lastRowLastColumn="0"/>
              <w:rPr>
                <w:rFonts w:cs="Arial"/>
                <w:b/>
                <w:szCs w:val="14"/>
              </w:rPr>
            </w:pPr>
          </w:p>
        </w:tc>
        <w:tc>
          <w:tcPr>
            <w:tcW w:w="1500" w:type="dxa"/>
            <w:vMerge/>
            <w:tcBorders>
              <w:left w:val="single" w:sz="4" w:space="0" w:color="1F4E79" w:themeColor="accent1" w:themeShade="80"/>
              <w:bottom w:val="single" w:sz="2" w:space="0" w:color="1F4E79" w:themeColor="accent1" w:themeShade="80"/>
            </w:tcBorders>
            <w:shd w:val="clear" w:color="auto" w:fill="auto"/>
            <w:vAlign w:val="center"/>
          </w:tcPr>
          <w:p w14:paraId="25132B48" w14:textId="77777777" w:rsidR="008B7E19" w:rsidRPr="004369A3" w:rsidRDefault="008B7E19" w:rsidP="008B7E19">
            <w:pPr>
              <w:pStyle w:val="08-Tabelageral"/>
              <w:jc w:val="left"/>
              <w:cnfStyle w:val="000000010000" w:firstRow="0" w:lastRow="0" w:firstColumn="0" w:lastColumn="0" w:oddVBand="0" w:evenVBand="0" w:oddHBand="0" w:evenHBand="1" w:firstRowFirstColumn="0" w:firstRowLastColumn="0" w:lastRowFirstColumn="0" w:lastRowLastColumn="0"/>
              <w:rPr>
                <w:rFonts w:cs="Arial"/>
                <w:szCs w:val="14"/>
              </w:rPr>
            </w:pPr>
          </w:p>
        </w:tc>
        <w:tc>
          <w:tcPr>
            <w:tcW w:w="1820" w:type="dxa"/>
            <w:vMerge/>
            <w:tcBorders>
              <w:bottom w:val="single" w:sz="2" w:space="0" w:color="1F4E79" w:themeColor="accent1" w:themeShade="80"/>
            </w:tcBorders>
            <w:shd w:val="clear" w:color="auto" w:fill="auto"/>
            <w:vAlign w:val="center"/>
          </w:tcPr>
          <w:p w14:paraId="6B703B6D" w14:textId="77777777" w:rsidR="008B7E19" w:rsidRPr="004369A3" w:rsidRDefault="008B7E19" w:rsidP="008B7E19">
            <w:pPr>
              <w:pStyle w:val="08-Tabelageral"/>
              <w:jc w:val="left"/>
              <w:cnfStyle w:val="000000010000" w:firstRow="0" w:lastRow="0" w:firstColumn="0" w:lastColumn="0" w:oddVBand="0" w:evenVBand="0" w:oddHBand="0" w:evenHBand="1" w:firstRowFirstColumn="0" w:firstRowLastColumn="0" w:lastRowFirstColumn="0" w:lastRowLastColumn="0"/>
              <w:rPr>
                <w:rFonts w:cs="Arial"/>
                <w:szCs w:val="14"/>
                <w:lang w:val="en-US"/>
              </w:rPr>
            </w:pPr>
          </w:p>
        </w:tc>
        <w:tc>
          <w:tcPr>
            <w:tcW w:w="1230" w:type="dxa"/>
            <w:vMerge/>
            <w:tcBorders>
              <w:bottom w:val="single" w:sz="2" w:space="0" w:color="1F4E79" w:themeColor="accent1" w:themeShade="80"/>
            </w:tcBorders>
            <w:shd w:val="clear" w:color="auto" w:fill="auto"/>
            <w:vAlign w:val="center"/>
          </w:tcPr>
          <w:p w14:paraId="4BA4AF5F" w14:textId="77777777" w:rsidR="008B7E19" w:rsidRPr="004369A3" w:rsidRDefault="008B7E19" w:rsidP="008B7E19">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szCs w:val="14"/>
              </w:rPr>
            </w:pPr>
          </w:p>
        </w:tc>
        <w:tc>
          <w:tcPr>
            <w:tcW w:w="441" w:type="dxa"/>
            <w:tcBorders>
              <w:top w:val="nil"/>
              <w:bottom w:val="single" w:sz="2" w:space="0" w:color="1F4E79" w:themeColor="accent1" w:themeShade="80"/>
            </w:tcBorders>
            <w:shd w:val="clear" w:color="auto" w:fill="auto"/>
          </w:tcPr>
          <w:p w14:paraId="07E8A336" w14:textId="77777777" w:rsidR="008B7E19" w:rsidRPr="009B18D3" w:rsidRDefault="008B7E19" w:rsidP="008B7E19">
            <w:pPr>
              <w:pStyle w:val="08-Tabelageral"/>
              <w:jc w:val="center"/>
              <w:cnfStyle w:val="000000010000" w:firstRow="0" w:lastRow="0" w:firstColumn="0" w:lastColumn="0" w:oddVBand="0" w:evenVBand="0" w:oddHBand="0" w:evenHBand="1" w:firstRowFirstColumn="0" w:firstRowLastColumn="0" w:lastRowFirstColumn="0" w:lastRowLastColumn="0"/>
              <w:rPr>
                <w:rFonts w:cs="Arial"/>
                <w:b/>
                <w:bCs/>
                <w:szCs w:val="14"/>
              </w:rPr>
            </w:pPr>
          </w:p>
        </w:tc>
        <w:tc>
          <w:tcPr>
            <w:tcW w:w="667" w:type="dxa"/>
            <w:tcBorders>
              <w:top w:val="nil"/>
              <w:bottom w:val="single" w:sz="2" w:space="0" w:color="1F4E79" w:themeColor="accent1" w:themeShade="80"/>
            </w:tcBorders>
            <w:shd w:val="clear" w:color="auto" w:fill="auto"/>
          </w:tcPr>
          <w:p w14:paraId="02C9FDFA" w14:textId="77777777" w:rsidR="008B7E19" w:rsidRPr="004369A3" w:rsidRDefault="008B7E19" w:rsidP="008B7E19">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szCs w:val="14"/>
              </w:rPr>
            </w:pPr>
          </w:p>
        </w:tc>
        <w:tc>
          <w:tcPr>
            <w:tcW w:w="715" w:type="dxa"/>
            <w:tcBorders>
              <w:top w:val="nil"/>
              <w:bottom w:val="single" w:sz="2" w:space="0" w:color="1F4E79" w:themeColor="accent1" w:themeShade="80"/>
            </w:tcBorders>
            <w:shd w:val="clear" w:color="auto" w:fill="auto"/>
          </w:tcPr>
          <w:p w14:paraId="1A210B82" w14:textId="77777777" w:rsidR="008B7E19" w:rsidRPr="004369A3" w:rsidRDefault="008B7E19" w:rsidP="008B7E19">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szCs w:val="14"/>
              </w:rPr>
            </w:pPr>
          </w:p>
        </w:tc>
        <w:tc>
          <w:tcPr>
            <w:tcW w:w="1068" w:type="dxa"/>
            <w:tcBorders>
              <w:top w:val="nil"/>
              <w:bottom w:val="single" w:sz="2" w:space="0" w:color="1F4E79" w:themeColor="accent1" w:themeShade="80"/>
            </w:tcBorders>
            <w:shd w:val="clear" w:color="auto" w:fill="auto"/>
          </w:tcPr>
          <w:p w14:paraId="00C329BD" w14:textId="77777777" w:rsidR="008B7E19" w:rsidRPr="004369A3" w:rsidRDefault="008B7E19" w:rsidP="008B7E19">
            <w:pPr>
              <w:pStyle w:val="08-Tabelageral"/>
              <w:jc w:val="left"/>
              <w:cnfStyle w:val="000000010000" w:firstRow="0" w:lastRow="0" w:firstColumn="0" w:lastColumn="0" w:oddVBand="0" w:evenVBand="0" w:oddHBand="0" w:evenHBand="1" w:firstRowFirstColumn="0" w:firstRowLastColumn="0" w:lastRowFirstColumn="0" w:lastRowLastColumn="0"/>
              <w:rPr>
                <w:rFonts w:cs="Arial"/>
                <w:bCs/>
                <w:szCs w:val="14"/>
              </w:rPr>
            </w:pPr>
          </w:p>
        </w:tc>
      </w:tr>
      <w:tr w:rsidR="008B7E19" w:rsidRPr="00E22381" w14:paraId="01BF44EF"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994" w:type="dxa"/>
            <w:vMerge/>
            <w:tcBorders>
              <w:top w:val="single" w:sz="2" w:space="0" w:color="8EAADB" w:themeColor="accent5" w:themeTint="99"/>
              <w:left w:val="nil"/>
              <w:bottom w:val="single" w:sz="2" w:space="0" w:color="1F4E79" w:themeColor="accent1" w:themeShade="80"/>
              <w:right w:val="single" w:sz="2" w:space="0" w:color="1F4E79" w:themeColor="accent1" w:themeShade="80"/>
            </w:tcBorders>
            <w:shd w:val="clear" w:color="auto" w:fill="auto"/>
            <w:vAlign w:val="center"/>
          </w:tcPr>
          <w:p w14:paraId="53FBDF4B" w14:textId="77777777" w:rsidR="008B7E19" w:rsidRPr="004369A3" w:rsidRDefault="008B7E19" w:rsidP="008B7E19">
            <w:pPr>
              <w:pStyle w:val="08-Tabelageral"/>
              <w:ind w:left="113"/>
              <w:jc w:val="left"/>
              <w:rPr>
                <w:rFonts w:cs="Arial"/>
                <w:b w:val="0"/>
                <w:bCs w:val="0"/>
                <w:szCs w:val="14"/>
                <w:highlight w:val="yellow"/>
              </w:rPr>
            </w:pPr>
          </w:p>
        </w:tc>
        <w:tc>
          <w:tcPr>
            <w:tcW w:w="1248" w:type="dxa"/>
            <w:tcBorders>
              <w:top w:val="single" w:sz="2" w:space="0" w:color="1F4E79" w:themeColor="accent1" w:themeShade="80"/>
              <w:left w:val="single" w:sz="2" w:space="0" w:color="1F4E79" w:themeColor="accent1" w:themeShade="80"/>
              <w:bottom w:val="single" w:sz="2" w:space="0" w:color="1F4E79" w:themeColor="accent1" w:themeShade="80"/>
              <w:right w:val="single" w:sz="4" w:space="0" w:color="1F4E79" w:themeColor="accent1" w:themeShade="80"/>
            </w:tcBorders>
            <w:shd w:val="clear" w:color="auto" w:fill="auto"/>
            <w:vAlign w:val="center"/>
          </w:tcPr>
          <w:p w14:paraId="00B22D45" w14:textId="77777777" w:rsidR="008B7E19" w:rsidRPr="004369A3" w:rsidRDefault="008B7E19" w:rsidP="008B7E19">
            <w:pPr>
              <w:pStyle w:val="08-Tabelageral"/>
              <w:jc w:val="center"/>
              <w:cnfStyle w:val="000000100000" w:firstRow="0" w:lastRow="0" w:firstColumn="0" w:lastColumn="0" w:oddVBand="0" w:evenVBand="0" w:oddHBand="1" w:evenHBand="0" w:firstRowFirstColumn="0" w:firstRowLastColumn="0" w:lastRowFirstColumn="0" w:lastRowLastColumn="0"/>
              <w:rPr>
                <w:rFonts w:cs="Arial"/>
                <w:b/>
                <w:szCs w:val="14"/>
              </w:rPr>
            </w:pPr>
            <w:r w:rsidRPr="004369A3">
              <w:rPr>
                <w:rFonts w:cs="Arial"/>
                <w:b/>
                <w:szCs w:val="14"/>
              </w:rPr>
              <w:t>Private Pension</w:t>
            </w:r>
          </w:p>
        </w:tc>
        <w:tc>
          <w:tcPr>
            <w:tcW w:w="1500" w:type="dxa"/>
            <w:tcBorders>
              <w:top w:val="single" w:sz="2" w:space="0" w:color="1F4E79" w:themeColor="accent1" w:themeShade="80"/>
              <w:left w:val="single" w:sz="4" w:space="0" w:color="1F4E79" w:themeColor="accent1" w:themeShade="80"/>
              <w:bottom w:val="single" w:sz="2" w:space="0" w:color="1F4E79" w:themeColor="accent1" w:themeShade="80"/>
            </w:tcBorders>
            <w:shd w:val="clear" w:color="auto" w:fill="auto"/>
            <w:vAlign w:val="center"/>
          </w:tcPr>
          <w:p w14:paraId="4E7F6E8E" w14:textId="77777777" w:rsidR="008B7E19" w:rsidRPr="004369A3" w:rsidRDefault="008B7E19" w:rsidP="008B7E19">
            <w:pPr>
              <w:pStyle w:val="08-Tabelageral"/>
              <w:jc w:val="left"/>
              <w:cnfStyle w:val="000000100000" w:firstRow="0" w:lastRow="0" w:firstColumn="0" w:lastColumn="0" w:oddVBand="0" w:evenVBand="0" w:oddHBand="1" w:evenHBand="0" w:firstRowFirstColumn="0" w:firstRowLastColumn="0" w:lastRowFirstColumn="0" w:lastRowLastColumn="0"/>
              <w:rPr>
                <w:rFonts w:cs="Arial"/>
                <w:szCs w:val="14"/>
              </w:rPr>
            </w:pPr>
            <w:r w:rsidRPr="004369A3">
              <w:rPr>
                <w:rFonts w:cs="Arial"/>
                <w:szCs w:val="14"/>
              </w:rPr>
              <w:t>Brasilprev Seguros e Previdência S.A. (Brasilprev)</w:t>
            </w:r>
          </w:p>
        </w:tc>
        <w:tc>
          <w:tcPr>
            <w:tcW w:w="1820" w:type="dxa"/>
            <w:tcBorders>
              <w:top w:val="single" w:sz="2" w:space="0" w:color="1F4E79" w:themeColor="accent1" w:themeShade="80"/>
              <w:bottom w:val="single" w:sz="2" w:space="0" w:color="1F4E79" w:themeColor="accent1" w:themeShade="80"/>
            </w:tcBorders>
            <w:shd w:val="clear" w:color="auto" w:fill="auto"/>
            <w:vAlign w:val="center"/>
          </w:tcPr>
          <w:p w14:paraId="09C12A29" w14:textId="77777777" w:rsidR="008B7E19" w:rsidRPr="004369A3" w:rsidRDefault="008B7E19" w:rsidP="008B7E19">
            <w:pPr>
              <w:pStyle w:val="08-Tabelageral"/>
              <w:jc w:val="left"/>
              <w:cnfStyle w:val="000000100000" w:firstRow="0" w:lastRow="0" w:firstColumn="0" w:lastColumn="0" w:oddVBand="0" w:evenVBand="0" w:oddHBand="1" w:evenHBand="0" w:firstRowFirstColumn="0" w:firstRowLastColumn="0" w:lastRowFirstColumn="0" w:lastRowLastColumn="0"/>
              <w:rPr>
                <w:rFonts w:cs="Arial"/>
                <w:szCs w:val="14"/>
                <w:lang w:val="en-US"/>
              </w:rPr>
            </w:pPr>
            <w:r w:rsidRPr="0057175F">
              <w:rPr>
                <w:rFonts w:cs="Arial"/>
                <w:snapToGrid w:val="0"/>
                <w:szCs w:val="14"/>
                <w:lang w:val="en-US" w:eastAsia="en-US"/>
              </w:rPr>
              <w:t>It sells life insurance with survival coverage and retirement plans and supplementary benefits.</w:t>
            </w:r>
          </w:p>
        </w:tc>
        <w:tc>
          <w:tcPr>
            <w:tcW w:w="1230" w:type="dxa"/>
            <w:tcBorders>
              <w:top w:val="single" w:sz="2" w:space="0" w:color="1F4E79" w:themeColor="accent1" w:themeShade="80"/>
              <w:bottom w:val="single" w:sz="2" w:space="0" w:color="1F4E79" w:themeColor="accent1" w:themeShade="80"/>
            </w:tcBorders>
            <w:shd w:val="clear" w:color="auto" w:fill="auto"/>
            <w:vAlign w:val="center"/>
          </w:tcPr>
          <w:p w14:paraId="527B2D67" w14:textId="77777777" w:rsidR="008B7E19" w:rsidRPr="004369A3" w:rsidRDefault="008B7E19" w:rsidP="008B7E19">
            <w:pPr>
              <w:pStyle w:val="08-Tabelageral"/>
              <w:jc w:val="center"/>
              <w:cnfStyle w:val="000000100000" w:firstRow="0" w:lastRow="0" w:firstColumn="0" w:lastColumn="0" w:oddVBand="0" w:evenVBand="0" w:oddHBand="1" w:evenHBand="0" w:firstRowFirstColumn="0" w:firstRowLastColumn="0" w:lastRowFirstColumn="0" w:lastRowLastColumn="0"/>
              <w:rPr>
                <w:rFonts w:cs="Arial"/>
                <w:bCs/>
                <w:szCs w:val="14"/>
              </w:rPr>
            </w:pPr>
            <w:r w:rsidRPr="004369A3">
              <w:rPr>
                <w:rFonts w:cs="Arial"/>
                <w:bCs/>
                <w:szCs w:val="14"/>
              </w:rPr>
              <w:t>SUSEPGAAP</w:t>
            </w:r>
          </w:p>
        </w:tc>
        <w:tc>
          <w:tcPr>
            <w:tcW w:w="441" w:type="dxa"/>
            <w:tcBorders>
              <w:top w:val="single" w:sz="2" w:space="0" w:color="1F4E79" w:themeColor="accent1" w:themeShade="80"/>
              <w:bottom w:val="single" w:sz="2" w:space="0" w:color="1F4E79" w:themeColor="accent1" w:themeShade="80"/>
            </w:tcBorders>
            <w:shd w:val="clear" w:color="auto" w:fill="auto"/>
          </w:tcPr>
          <w:p w14:paraId="5A899F55" w14:textId="77777777" w:rsidR="008B7E19" w:rsidRPr="004369A3" w:rsidRDefault="008B7E19" w:rsidP="008B7E19">
            <w:pPr>
              <w:pStyle w:val="08-Tabelageral"/>
              <w:jc w:val="center"/>
              <w:cnfStyle w:val="000000100000" w:firstRow="0" w:lastRow="0" w:firstColumn="0" w:lastColumn="0" w:oddVBand="0" w:evenVBand="0" w:oddHBand="1" w:evenHBand="0" w:firstRowFirstColumn="0" w:firstRowLastColumn="0" w:lastRowFirstColumn="0" w:lastRowLastColumn="0"/>
              <w:rPr>
                <w:rFonts w:cs="Arial"/>
                <w:bCs/>
                <w:szCs w:val="14"/>
              </w:rPr>
            </w:pPr>
          </w:p>
        </w:tc>
        <w:tc>
          <w:tcPr>
            <w:tcW w:w="667" w:type="dxa"/>
            <w:tcBorders>
              <w:top w:val="single" w:sz="2" w:space="0" w:color="1F4E79" w:themeColor="accent1" w:themeShade="80"/>
              <w:bottom w:val="single" w:sz="2" w:space="0" w:color="1F4E79" w:themeColor="accent1" w:themeShade="80"/>
            </w:tcBorders>
            <w:shd w:val="clear" w:color="auto" w:fill="auto"/>
            <w:vAlign w:val="center"/>
          </w:tcPr>
          <w:p w14:paraId="6CB274B1" w14:textId="77777777" w:rsidR="008B7E19" w:rsidRPr="004369A3" w:rsidRDefault="008B7E19" w:rsidP="008B7E19">
            <w:pPr>
              <w:pStyle w:val="08-Tabelageral"/>
              <w:jc w:val="center"/>
              <w:cnfStyle w:val="000000100000" w:firstRow="0" w:lastRow="0" w:firstColumn="0" w:lastColumn="0" w:oddVBand="0" w:evenVBand="0" w:oddHBand="1" w:evenHBand="0" w:firstRowFirstColumn="0" w:firstRowLastColumn="0" w:lastRowFirstColumn="0" w:lastRowLastColumn="0"/>
              <w:rPr>
                <w:rFonts w:cs="Arial"/>
                <w:bCs/>
                <w:szCs w:val="14"/>
              </w:rPr>
            </w:pPr>
            <w:r w:rsidRPr="004369A3">
              <w:rPr>
                <w:rFonts w:cs="Arial"/>
                <w:bCs/>
                <w:szCs w:val="14"/>
              </w:rPr>
              <w:t>49.99</w:t>
            </w:r>
          </w:p>
        </w:tc>
        <w:tc>
          <w:tcPr>
            <w:tcW w:w="715" w:type="dxa"/>
            <w:tcBorders>
              <w:top w:val="single" w:sz="2" w:space="0" w:color="1F4E79" w:themeColor="accent1" w:themeShade="80"/>
              <w:bottom w:val="single" w:sz="2" w:space="0" w:color="1F4E79" w:themeColor="accent1" w:themeShade="80"/>
            </w:tcBorders>
            <w:shd w:val="clear" w:color="auto" w:fill="auto"/>
            <w:vAlign w:val="center"/>
          </w:tcPr>
          <w:p w14:paraId="15338AF6" w14:textId="77777777" w:rsidR="008B7E19" w:rsidRPr="004369A3" w:rsidRDefault="008B7E19" w:rsidP="008B7E19">
            <w:pPr>
              <w:pStyle w:val="08-Tabelageral"/>
              <w:jc w:val="center"/>
              <w:cnfStyle w:val="000000100000" w:firstRow="0" w:lastRow="0" w:firstColumn="0" w:lastColumn="0" w:oddVBand="0" w:evenVBand="0" w:oddHBand="1" w:evenHBand="0" w:firstRowFirstColumn="0" w:firstRowLastColumn="0" w:lastRowFirstColumn="0" w:lastRowLastColumn="0"/>
              <w:rPr>
                <w:rFonts w:cs="Arial"/>
                <w:bCs/>
                <w:szCs w:val="14"/>
              </w:rPr>
            </w:pPr>
            <w:r>
              <w:rPr>
                <w:bCs/>
              </w:rPr>
              <w:t>100,00</w:t>
            </w:r>
          </w:p>
        </w:tc>
        <w:tc>
          <w:tcPr>
            <w:tcW w:w="1068" w:type="dxa"/>
            <w:tcBorders>
              <w:top w:val="single" w:sz="2" w:space="0" w:color="1F4E79" w:themeColor="accent1" w:themeShade="80"/>
              <w:bottom w:val="single" w:sz="2" w:space="0" w:color="1F4E79" w:themeColor="accent1" w:themeShade="80"/>
            </w:tcBorders>
            <w:shd w:val="clear" w:color="auto" w:fill="auto"/>
            <w:vAlign w:val="center"/>
          </w:tcPr>
          <w:p w14:paraId="7566BF21" w14:textId="77777777" w:rsidR="008B7E19" w:rsidRPr="004369A3" w:rsidRDefault="008B7E19" w:rsidP="008B7E19">
            <w:pPr>
              <w:pStyle w:val="08-Tabelageral"/>
              <w:jc w:val="center"/>
              <w:cnfStyle w:val="000000100000" w:firstRow="0" w:lastRow="0" w:firstColumn="0" w:lastColumn="0" w:oddVBand="0" w:evenVBand="0" w:oddHBand="1" w:evenHBand="0" w:firstRowFirstColumn="0" w:firstRowLastColumn="0" w:lastRowFirstColumn="0" w:lastRowLastColumn="0"/>
              <w:rPr>
                <w:rFonts w:cs="Arial"/>
                <w:bCs/>
                <w:szCs w:val="14"/>
              </w:rPr>
            </w:pPr>
            <w:r w:rsidRPr="004369A3">
              <w:rPr>
                <w:rFonts w:cs="Arial"/>
                <w:bCs/>
                <w:szCs w:val="14"/>
              </w:rPr>
              <w:t>74.99</w:t>
            </w:r>
          </w:p>
        </w:tc>
      </w:tr>
      <w:tr w:rsidR="008B7E19" w:rsidRPr="00E22381" w14:paraId="31B2983A" w14:textId="77777777" w:rsidTr="008B7E1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994" w:type="dxa"/>
            <w:vMerge/>
            <w:tcBorders>
              <w:top w:val="single" w:sz="2" w:space="0" w:color="8EAADB" w:themeColor="accent5" w:themeTint="99"/>
              <w:left w:val="nil"/>
              <w:bottom w:val="single" w:sz="2" w:space="0" w:color="1F4E79" w:themeColor="accent1" w:themeShade="80"/>
              <w:right w:val="single" w:sz="2" w:space="0" w:color="1F4E79" w:themeColor="accent1" w:themeShade="80"/>
            </w:tcBorders>
            <w:shd w:val="clear" w:color="auto" w:fill="auto"/>
            <w:vAlign w:val="center"/>
          </w:tcPr>
          <w:p w14:paraId="21C446B0" w14:textId="77777777" w:rsidR="008B7E19" w:rsidRPr="004369A3" w:rsidRDefault="008B7E19" w:rsidP="008B7E19">
            <w:pPr>
              <w:pStyle w:val="08-Tabelageral"/>
              <w:ind w:left="113"/>
              <w:jc w:val="left"/>
              <w:rPr>
                <w:rFonts w:cs="Arial"/>
                <w:b w:val="0"/>
                <w:bCs w:val="0"/>
                <w:szCs w:val="14"/>
                <w:highlight w:val="yellow"/>
              </w:rPr>
            </w:pPr>
          </w:p>
        </w:tc>
        <w:tc>
          <w:tcPr>
            <w:tcW w:w="1248" w:type="dxa"/>
            <w:tcBorders>
              <w:top w:val="single" w:sz="2" w:space="0" w:color="1F4E79" w:themeColor="accent1" w:themeShade="80"/>
              <w:left w:val="single" w:sz="2" w:space="0" w:color="1F4E79" w:themeColor="accent1" w:themeShade="80"/>
              <w:bottom w:val="single" w:sz="2" w:space="0" w:color="1F4E79" w:themeColor="accent1" w:themeShade="80"/>
              <w:right w:val="single" w:sz="4" w:space="0" w:color="1F4E79" w:themeColor="accent1" w:themeShade="80"/>
            </w:tcBorders>
            <w:shd w:val="clear" w:color="auto" w:fill="auto"/>
            <w:vAlign w:val="center"/>
          </w:tcPr>
          <w:p w14:paraId="01D89AD2" w14:textId="77777777" w:rsidR="008B7E19" w:rsidRPr="004369A3" w:rsidRDefault="008B7E19" w:rsidP="008B7E19">
            <w:pPr>
              <w:pStyle w:val="08-Tabelageral"/>
              <w:jc w:val="center"/>
              <w:cnfStyle w:val="000000010000" w:firstRow="0" w:lastRow="0" w:firstColumn="0" w:lastColumn="0" w:oddVBand="0" w:evenVBand="0" w:oddHBand="0" w:evenHBand="1" w:firstRowFirstColumn="0" w:firstRowLastColumn="0" w:lastRowFirstColumn="0" w:lastRowLastColumn="0"/>
              <w:rPr>
                <w:rFonts w:cs="Arial"/>
                <w:b/>
                <w:szCs w:val="14"/>
              </w:rPr>
            </w:pPr>
            <w:r w:rsidRPr="004369A3">
              <w:rPr>
                <w:rFonts w:cs="Arial"/>
                <w:b/>
                <w:szCs w:val="14"/>
              </w:rPr>
              <w:t>Health</w:t>
            </w:r>
          </w:p>
        </w:tc>
        <w:tc>
          <w:tcPr>
            <w:tcW w:w="1500" w:type="dxa"/>
            <w:tcBorders>
              <w:top w:val="single" w:sz="2" w:space="0" w:color="1F4E79" w:themeColor="accent1" w:themeShade="80"/>
              <w:left w:val="single" w:sz="4" w:space="0" w:color="1F4E79" w:themeColor="accent1" w:themeShade="80"/>
              <w:bottom w:val="single" w:sz="2" w:space="0" w:color="1F4E79" w:themeColor="accent1" w:themeShade="80"/>
            </w:tcBorders>
            <w:shd w:val="clear" w:color="auto" w:fill="auto"/>
            <w:vAlign w:val="center"/>
          </w:tcPr>
          <w:p w14:paraId="6DB81C57" w14:textId="77777777" w:rsidR="008B7E19" w:rsidRPr="004369A3" w:rsidRDefault="008B7E19" w:rsidP="008B7E19">
            <w:pPr>
              <w:pStyle w:val="08-Tabelageral"/>
              <w:jc w:val="left"/>
              <w:cnfStyle w:val="000000010000" w:firstRow="0" w:lastRow="0" w:firstColumn="0" w:lastColumn="0" w:oddVBand="0" w:evenVBand="0" w:oddHBand="0" w:evenHBand="1" w:firstRowFirstColumn="0" w:firstRowLastColumn="0" w:lastRowFirstColumn="0" w:lastRowLastColumn="0"/>
              <w:rPr>
                <w:rFonts w:cs="Arial"/>
                <w:szCs w:val="14"/>
              </w:rPr>
            </w:pPr>
            <w:r w:rsidRPr="004369A3">
              <w:rPr>
                <w:rFonts w:cs="Arial"/>
                <w:szCs w:val="14"/>
              </w:rPr>
              <w:t>Brasildental Operadora de Planos Odontológicos S.A. (Brasildental)</w:t>
            </w:r>
          </w:p>
        </w:tc>
        <w:tc>
          <w:tcPr>
            <w:tcW w:w="1820" w:type="dxa"/>
            <w:tcBorders>
              <w:top w:val="single" w:sz="2" w:space="0" w:color="1F4E79" w:themeColor="accent1" w:themeShade="80"/>
              <w:bottom w:val="single" w:sz="2" w:space="0" w:color="1F4E79" w:themeColor="accent1" w:themeShade="80"/>
            </w:tcBorders>
            <w:shd w:val="clear" w:color="auto" w:fill="auto"/>
            <w:vAlign w:val="center"/>
          </w:tcPr>
          <w:p w14:paraId="4B241C56" w14:textId="77777777" w:rsidR="008B7E19" w:rsidRPr="004369A3" w:rsidRDefault="008B7E19" w:rsidP="008B7E19">
            <w:pPr>
              <w:pStyle w:val="08-Tabelageral"/>
              <w:jc w:val="left"/>
              <w:cnfStyle w:val="000000010000" w:firstRow="0" w:lastRow="0" w:firstColumn="0" w:lastColumn="0" w:oddVBand="0" w:evenVBand="0" w:oddHBand="0" w:evenHBand="1" w:firstRowFirstColumn="0" w:firstRowLastColumn="0" w:lastRowFirstColumn="0" w:lastRowLastColumn="0"/>
              <w:rPr>
                <w:rFonts w:cs="Arial"/>
                <w:szCs w:val="14"/>
                <w:lang w:val="en-US"/>
              </w:rPr>
            </w:pPr>
            <w:r w:rsidRPr="0057175F">
              <w:rPr>
                <w:rFonts w:cs="Arial"/>
                <w:szCs w:val="14"/>
                <w:lang w:val="en-US"/>
              </w:rPr>
              <w:t>It sells dental plans.</w:t>
            </w:r>
          </w:p>
        </w:tc>
        <w:tc>
          <w:tcPr>
            <w:tcW w:w="1230" w:type="dxa"/>
            <w:tcBorders>
              <w:top w:val="single" w:sz="2" w:space="0" w:color="1F4E79" w:themeColor="accent1" w:themeShade="80"/>
              <w:bottom w:val="single" w:sz="2" w:space="0" w:color="1F4E79" w:themeColor="accent1" w:themeShade="80"/>
            </w:tcBorders>
            <w:shd w:val="clear" w:color="auto" w:fill="auto"/>
            <w:vAlign w:val="center"/>
          </w:tcPr>
          <w:p w14:paraId="435FDAD8" w14:textId="77777777" w:rsidR="008B7E19" w:rsidRPr="004369A3" w:rsidRDefault="008B7E19" w:rsidP="008B7E19">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szCs w:val="14"/>
              </w:rPr>
            </w:pPr>
            <w:r w:rsidRPr="004369A3">
              <w:rPr>
                <w:rFonts w:cs="Arial"/>
                <w:bCs/>
                <w:szCs w:val="14"/>
              </w:rPr>
              <w:t>ANSGAAP</w:t>
            </w:r>
          </w:p>
        </w:tc>
        <w:tc>
          <w:tcPr>
            <w:tcW w:w="441" w:type="dxa"/>
            <w:tcBorders>
              <w:top w:val="single" w:sz="2" w:space="0" w:color="1F4E79" w:themeColor="accent1" w:themeShade="80"/>
              <w:bottom w:val="single" w:sz="2" w:space="0" w:color="1F4E79" w:themeColor="accent1" w:themeShade="80"/>
            </w:tcBorders>
            <w:shd w:val="clear" w:color="auto" w:fill="auto"/>
          </w:tcPr>
          <w:p w14:paraId="4F5B74DF" w14:textId="77777777" w:rsidR="008B7E19" w:rsidRPr="004369A3" w:rsidRDefault="008B7E19" w:rsidP="008B7E19">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szCs w:val="14"/>
              </w:rPr>
            </w:pPr>
          </w:p>
        </w:tc>
        <w:tc>
          <w:tcPr>
            <w:tcW w:w="667" w:type="dxa"/>
            <w:tcBorders>
              <w:top w:val="single" w:sz="2" w:space="0" w:color="1F4E79" w:themeColor="accent1" w:themeShade="80"/>
              <w:bottom w:val="single" w:sz="2" w:space="0" w:color="1F4E79" w:themeColor="accent1" w:themeShade="80"/>
            </w:tcBorders>
            <w:shd w:val="clear" w:color="auto" w:fill="auto"/>
            <w:vAlign w:val="center"/>
          </w:tcPr>
          <w:p w14:paraId="029F7824" w14:textId="77777777" w:rsidR="008B7E19" w:rsidRPr="004369A3" w:rsidRDefault="008B7E19" w:rsidP="008B7E19">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szCs w:val="14"/>
              </w:rPr>
            </w:pPr>
            <w:r w:rsidRPr="004369A3">
              <w:rPr>
                <w:rFonts w:cs="Arial"/>
                <w:bCs/>
                <w:szCs w:val="14"/>
              </w:rPr>
              <w:t>49.99</w:t>
            </w:r>
          </w:p>
        </w:tc>
        <w:tc>
          <w:tcPr>
            <w:tcW w:w="715" w:type="dxa"/>
            <w:tcBorders>
              <w:top w:val="single" w:sz="2" w:space="0" w:color="1F4E79" w:themeColor="accent1" w:themeShade="80"/>
              <w:bottom w:val="single" w:sz="2" w:space="0" w:color="1F4E79" w:themeColor="accent1" w:themeShade="80"/>
            </w:tcBorders>
            <w:shd w:val="clear" w:color="auto" w:fill="auto"/>
            <w:vAlign w:val="center"/>
          </w:tcPr>
          <w:p w14:paraId="3AD0AA7C" w14:textId="77777777" w:rsidR="008B7E19" w:rsidRPr="004369A3" w:rsidRDefault="008B7E19" w:rsidP="008B7E19">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szCs w:val="14"/>
              </w:rPr>
            </w:pPr>
            <w:r>
              <w:rPr>
                <w:bCs/>
              </w:rPr>
              <w:t>100,00</w:t>
            </w:r>
          </w:p>
        </w:tc>
        <w:tc>
          <w:tcPr>
            <w:tcW w:w="1068" w:type="dxa"/>
            <w:tcBorders>
              <w:top w:val="single" w:sz="2" w:space="0" w:color="1F4E79" w:themeColor="accent1" w:themeShade="80"/>
              <w:bottom w:val="single" w:sz="2" w:space="0" w:color="1F4E79" w:themeColor="accent1" w:themeShade="80"/>
            </w:tcBorders>
            <w:shd w:val="clear" w:color="auto" w:fill="auto"/>
            <w:vAlign w:val="center"/>
          </w:tcPr>
          <w:p w14:paraId="722933BC" w14:textId="77777777" w:rsidR="008B7E19" w:rsidRPr="004369A3" w:rsidRDefault="008B7E19" w:rsidP="008B7E19">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szCs w:val="14"/>
              </w:rPr>
            </w:pPr>
            <w:r w:rsidRPr="004369A3">
              <w:rPr>
                <w:rFonts w:cs="Arial"/>
                <w:bCs/>
                <w:szCs w:val="14"/>
              </w:rPr>
              <w:t>74.99</w:t>
            </w:r>
          </w:p>
        </w:tc>
      </w:tr>
      <w:tr w:rsidR="008B7E19" w:rsidRPr="00E22381" w14:paraId="5A2AA893"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994" w:type="dxa"/>
            <w:vMerge w:val="restart"/>
            <w:tcBorders>
              <w:top w:val="single" w:sz="2" w:space="0" w:color="1F4E79" w:themeColor="accent1" w:themeShade="80"/>
              <w:left w:val="nil"/>
              <w:bottom w:val="single" w:sz="2" w:space="0" w:color="8EAADB" w:themeColor="accent5" w:themeTint="99"/>
              <w:right w:val="single" w:sz="2" w:space="0" w:color="1F4E79" w:themeColor="accent1" w:themeShade="80"/>
            </w:tcBorders>
            <w:shd w:val="clear" w:color="auto" w:fill="auto"/>
            <w:vAlign w:val="center"/>
          </w:tcPr>
          <w:p w14:paraId="2B86B653" w14:textId="77777777" w:rsidR="008B7E19" w:rsidRPr="004369A3" w:rsidRDefault="008B7E19" w:rsidP="008B7E19">
            <w:pPr>
              <w:pStyle w:val="08-Tabelageral"/>
              <w:jc w:val="center"/>
              <w:rPr>
                <w:rFonts w:cs="Arial"/>
                <w:b w:val="0"/>
                <w:bCs w:val="0"/>
                <w:szCs w:val="14"/>
              </w:rPr>
            </w:pPr>
            <w:r w:rsidRPr="004369A3">
              <w:rPr>
                <w:rFonts w:cs="Arial"/>
                <w:bCs w:val="0"/>
                <w:szCs w:val="14"/>
              </w:rPr>
              <w:t>Brokerage</w:t>
            </w:r>
          </w:p>
        </w:tc>
        <w:tc>
          <w:tcPr>
            <w:tcW w:w="1248" w:type="dxa"/>
            <w:tcBorders>
              <w:top w:val="single" w:sz="2" w:space="0" w:color="1F4E79" w:themeColor="accent1" w:themeShade="80"/>
              <w:left w:val="single" w:sz="2" w:space="0" w:color="1F4E79" w:themeColor="accent1" w:themeShade="80"/>
              <w:bottom w:val="nil"/>
              <w:right w:val="single" w:sz="4" w:space="0" w:color="1F4E79" w:themeColor="accent1" w:themeShade="80"/>
            </w:tcBorders>
            <w:shd w:val="clear" w:color="auto" w:fill="auto"/>
            <w:vAlign w:val="center"/>
          </w:tcPr>
          <w:p w14:paraId="6A0D4C0A" w14:textId="77777777" w:rsidR="008B7E19" w:rsidRPr="004369A3" w:rsidRDefault="008B7E19" w:rsidP="008B7E19">
            <w:pPr>
              <w:pStyle w:val="08-Tabelageral"/>
              <w:jc w:val="center"/>
              <w:cnfStyle w:val="000000100000" w:firstRow="0" w:lastRow="0" w:firstColumn="0" w:lastColumn="0" w:oddVBand="0" w:evenVBand="0" w:oddHBand="1" w:evenHBand="0" w:firstRowFirstColumn="0" w:firstRowLastColumn="0" w:lastRowFirstColumn="0" w:lastRowLastColumn="0"/>
              <w:rPr>
                <w:rFonts w:cs="Arial"/>
                <w:b/>
                <w:szCs w:val="14"/>
              </w:rPr>
            </w:pPr>
          </w:p>
        </w:tc>
        <w:tc>
          <w:tcPr>
            <w:tcW w:w="1500" w:type="dxa"/>
            <w:tcBorders>
              <w:top w:val="single" w:sz="2" w:space="0" w:color="1F4E79" w:themeColor="accent1" w:themeShade="80"/>
              <w:left w:val="single" w:sz="4" w:space="0" w:color="1F4E79" w:themeColor="accent1" w:themeShade="80"/>
              <w:bottom w:val="nil"/>
            </w:tcBorders>
            <w:shd w:val="clear" w:color="auto" w:fill="auto"/>
            <w:vAlign w:val="center"/>
          </w:tcPr>
          <w:p w14:paraId="1B2B1D30" w14:textId="77777777" w:rsidR="008B7E19" w:rsidRPr="004369A3" w:rsidRDefault="008B7E19" w:rsidP="008B7E19">
            <w:pPr>
              <w:pStyle w:val="08-Tabelageral"/>
              <w:jc w:val="left"/>
              <w:cnfStyle w:val="000000100000" w:firstRow="0" w:lastRow="0" w:firstColumn="0" w:lastColumn="0" w:oddVBand="0" w:evenVBand="0" w:oddHBand="1" w:evenHBand="0" w:firstRowFirstColumn="0" w:firstRowLastColumn="0" w:lastRowFirstColumn="0" w:lastRowLastColumn="0"/>
              <w:rPr>
                <w:rFonts w:cs="Arial"/>
                <w:szCs w:val="14"/>
              </w:rPr>
            </w:pPr>
            <w:r w:rsidRPr="004369A3">
              <w:rPr>
                <w:rFonts w:cs="Arial"/>
                <w:bCs/>
                <w:szCs w:val="14"/>
              </w:rPr>
              <w:t>BB Corretora de Seguros e Adm. de Bens S.A. (</w:t>
            </w:r>
            <w:r w:rsidRPr="004369A3">
              <w:rPr>
                <w:rFonts w:cs="Arial"/>
                <w:szCs w:val="14"/>
              </w:rPr>
              <w:t>BB Corretora)</w:t>
            </w:r>
          </w:p>
        </w:tc>
        <w:tc>
          <w:tcPr>
            <w:tcW w:w="1820" w:type="dxa"/>
            <w:tcBorders>
              <w:top w:val="single" w:sz="2" w:space="0" w:color="1F4E79" w:themeColor="accent1" w:themeShade="80"/>
              <w:bottom w:val="nil"/>
            </w:tcBorders>
            <w:shd w:val="clear" w:color="auto" w:fill="auto"/>
            <w:vAlign w:val="center"/>
          </w:tcPr>
          <w:p w14:paraId="600B7016" w14:textId="77777777" w:rsidR="008B7E19" w:rsidRPr="004369A3" w:rsidRDefault="008B7E19" w:rsidP="008B7E19">
            <w:pPr>
              <w:pStyle w:val="08-Tabelageral"/>
              <w:jc w:val="left"/>
              <w:cnfStyle w:val="000000100000" w:firstRow="0" w:lastRow="0" w:firstColumn="0" w:lastColumn="0" w:oddVBand="0" w:evenVBand="0" w:oddHBand="1" w:evenHBand="0" w:firstRowFirstColumn="0" w:firstRowLastColumn="0" w:lastRowFirstColumn="0" w:lastRowLastColumn="0"/>
              <w:rPr>
                <w:rFonts w:cs="Arial"/>
                <w:szCs w:val="14"/>
                <w:lang w:val="en-US"/>
              </w:rPr>
            </w:pPr>
            <w:r w:rsidRPr="0057175F">
              <w:rPr>
                <w:rFonts w:cs="Arial"/>
                <w:szCs w:val="14"/>
                <w:lang w:val="en-US"/>
              </w:rPr>
              <w:t>Insurance brokerage for property and casualty, life and health, capitalization bonds, open supplementary pension plans and asset management.</w:t>
            </w:r>
          </w:p>
        </w:tc>
        <w:tc>
          <w:tcPr>
            <w:tcW w:w="1230" w:type="dxa"/>
            <w:tcBorders>
              <w:top w:val="single" w:sz="2" w:space="0" w:color="1F4E79" w:themeColor="accent1" w:themeShade="80"/>
              <w:bottom w:val="nil"/>
            </w:tcBorders>
            <w:shd w:val="clear" w:color="auto" w:fill="auto"/>
            <w:vAlign w:val="center"/>
          </w:tcPr>
          <w:p w14:paraId="31D7D7EE" w14:textId="77777777" w:rsidR="008B7E19" w:rsidRPr="004369A3" w:rsidRDefault="008B7E19" w:rsidP="008B7E19">
            <w:pPr>
              <w:pStyle w:val="08-Tabelageral"/>
              <w:jc w:val="center"/>
              <w:cnfStyle w:val="000000100000" w:firstRow="0" w:lastRow="0" w:firstColumn="0" w:lastColumn="0" w:oddVBand="0" w:evenVBand="0" w:oddHBand="1" w:evenHBand="0" w:firstRowFirstColumn="0" w:firstRowLastColumn="0" w:lastRowFirstColumn="0" w:lastRowLastColumn="0"/>
              <w:rPr>
                <w:rFonts w:cs="Arial"/>
                <w:bCs/>
                <w:szCs w:val="14"/>
              </w:rPr>
            </w:pPr>
            <w:r w:rsidRPr="004369A3">
              <w:rPr>
                <w:rFonts w:cs="Arial"/>
                <w:bCs/>
                <w:szCs w:val="14"/>
              </w:rPr>
              <w:t>BRGAAP</w:t>
            </w:r>
          </w:p>
        </w:tc>
        <w:tc>
          <w:tcPr>
            <w:tcW w:w="441" w:type="dxa"/>
            <w:tcBorders>
              <w:top w:val="single" w:sz="2" w:space="0" w:color="1F4E79" w:themeColor="accent1" w:themeShade="80"/>
              <w:bottom w:val="nil"/>
            </w:tcBorders>
            <w:shd w:val="clear" w:color="auto" w:fill="auto"/>
          </w:tcPr>
          <w:p w14:paraId="40839A6E" w14:textId="77777777" w:rsidR="008B7E19" w:rsidRPr="004369A3" w:rsidRDefault="008B7E19" w:rsidP="008B7E19">
            <w:pPr>
              <w:pStyle w:val="08-Tabelageral"/>
              <w:jc w:val="center"/>
              <w:cnfStyle w:val="000000100000" w:firstRow="0" w:lastRow="0" w:firstColumn="0" w:lastColumn="0" w:oddVBand="0" w:evenVBand="0" w:oddHBand="1" w:evenHBand="0" w:firstRowFirstColumn="0" w:firstRowLastColumn="0" w:lastRowFirstColumn="0" w:lastRowLastColumn="0"/>
              <w:rPr>
                <w:rFonts w:cs="Arial"/>
                <w:bCs/>
                <w:szCs w:val="14"/>
              </w:rPr>
            </w:pPr>
          </w:p>
        </w:tc>
        <w:tc>
          <w:tcPr>
            <w:tcW w:w="667" w:type="dxa"/>
            <w:tcBorders>
              <w:top w:val="single" w:sz="2" w:space="0" w:color="1F4E79" w:themeColor="accent1" w:themeShade="80"/>
              <w:bottom w:val="nil"/>
            </w:tcBorders>
            <w:shd w:val="clear" w:color="auto" w:fill="auto"/>
            <w:vAlign w:val="center"/>
          </w:tcPr>
          <w:p w14:paraId="13C8470E" w14:textId="77777777" w:rsidR="008B7E19" w:rsidRPr="004369A3" w:rsidRDefault="008B7E19" w:rsidP="008B7E19">
            <w:pPr>
              <w:pStyle w:val="08-Tabelageral"/>
              <w:jc w:val="center"/>
              <w:cnfStyle w:val="000000100000" w:firstRow="0" w:lastRow="0" w:firstColumn="0" w:lastColumn="0" w:oddVBand="0" w:evenVBand="0" w:oddHBand="1" w:evenHBand="0" w:firstRowFirstColumn="0" w:firstRowLastColumn="0" w:lastRowFirstColumn="0" w:lastRowLastColumn="0"/>
              <w:rPr>
                <w:rFonts w:cs="Arial"/>
                <w:bCs/>
                <w:szCs w:val="14"/>
              </w:rPr>
            </w:pPr>
            <w:r w:rsidRPr="004369A3">
              <w:rPr>
                <w:rFonts w:cs="Arial"/>
                <w:bCs/>
                <w:szCs w:val="14"/>
              </w:rPr>
              <w:t>100.00</w:t>
            </w:r>
          </w:p>
        </w:tc>
        <w:tc>
          <w:tcPr>
            <w:tcW w:w="715" w:type="dxa"/>
            <w:tcBorders>
              <w:top w:val="single" w:sz="2" w:space="0" w:color="1F4E79" w:themeColor="accent1" w:themeShade="80"/>
              <w:bottom w:val="nil"/>
            </w:tcBorders>
            <w:shd w:val="clear" w:color="auto" w:fill="auto"/>
            <w:vAlign w:val="center"/>
          </w:tcPr>
          <w:p w14:paraId="055A9671" w14:textId="77777777" w:rsidR="008B7E19" w:rsidRPr="004369A3" w:rsidRDefault="008B7E19" w:rsidP="008B7E19">
            <w:pPr>
              <w:pStyle w:val="08-Tabelageral"/>
              <w:jc w:val="center"/>
              <w:cnfStyle w:val="000000100000" w:firstRow="0" w:lastRow="0" w:firstColumn="0" w:lastColumn="0" w:oddVBand="0" w:evenVBand="0" w:oddHBand="1" w:evenHBand="0" w:firstRowFirstColumn="0" w:firstRowLastColumn="0" w:lastRowFirstColumn="0" w:lastRowLastColumn="0"/>
              <w:rPr>
                <w:rFonts w:cs="Arial"/>
                <w:bCs/>
                <w:szCs w:val="14"/>
              </w:rPr>
            </w:pPr>
            <w:r>
              <w:rPr>
                <w:bCs/>
              </w:rPr>
              <w:t>--</w:t>
            </w:r>
          </w:p>
        </w:tc>
        <w:tc>
          <w:tcPr>
            <w:tcW w:w="1068" w:type="dxa"/>
            <w:tcBorders>
              <w:top w:val="single" w:sz="2" w:space="0" w:color="1F4E79" w:themeColor="accent1" w:themeShade="80"/>
              <w:bottom w:val="nil"/>
            </w:tcBorders>
            <w:shd w:val="clear" w:color="auto" w:fill="auto"/>
            <w:vAlign w:val="center"/>
          </w:tcPr>
          <w:p w14:paraId="7F4A22EC" w14:textId="77777777" w:rsidR="008B7E19" w:rsidRPr="004369A3" w:rsidRDefault="008B7E19" w:rsidP="008B7E19">
            <w:pPr>
              <w:pStyle w:val="08-Tabelageral"/>
              <w:jc w:val="center"/>
              <w:cnfStyle w:val="000000100000" w:firstRow="0" w:lastRow="0" w:firstColumn="0" w:lastColumn="0" w:oddVBand="0" w:evenVBand="0" w:oddHBand="1" w:evenHBand="0" w:firstRowFirstColumn="0" w:firstRowLastColumn="0" w:lastRowFirstColumn="0" w:lastRowLastColumn="0"/>
              <w:rPr>
                <w:rFonts w:cs="Arial"/>
                <w:bCs/>
                <w:szCs w:val="14"/>
              </w:rPr>
            </w:pPr>
            <w:r w:rsidRPr="004369A3">
              <w:rPr>
                <w:rFonts w:cs="Arial"/>
                <w:bCs/>
                <w:szCs w:val="14"/>
              </w:rPr>
              <w:t>100.00</w:t>
            </w:r>
          </w:p>
        </w:tc>
      </w:tr>
      <w:tr w:rsidR="008B7E19" w:rsidRPr="00E22381" w14:paraId="1102C623" w14:textId="77777777" w:rsidTr="008B7E1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994" w:type="dxa"/>
            <w:vMerge/>
            <w:tcBorders>
              <w:top w:val="single" w:sz="2" w:space="0" w:color="8EAADB" w:themeColor="accent5" w:themeTint="99"/>
              <w:left w:val="nil"/>
              <w:bottom w:val="single" w:sz="2" w:space="0" w:color="1F4E79" w:themeColor="accent1" w:themeShade="80"/>
              <w:right w:val="single" w:sz="2" w:space="0" w:color="1F4E79" w:themeColor="accent1" w:themeShade="80"/>
            </w:tcBorders>
            <w:shd w:val="clear" w:color="auto" w:fill="auto"/>
          </w:tcPr>
          <w:p w14:paraId="3191FE86" w14:textId="77777777" w:rsidR="008B7E19" w:rsidRPr="004369A3" w:rsidRDefault="008B7E19" w:rsidP="008B7E19">
            <w:pPr>
              <w:pStyle w:val="08-Tabelageral"/>
              <w:ind w:left="113"/>
              <w:jc w:val="left"/>
              <w:rPr>
                <w:rFonts w:cs="Arial"/>
                <w:b w:val="0"/>
                <w:bCs w:val="0"/>
                <w:szCs w:val="14"/>
                <w:highlight w:val="yellow"/>
              </w:rPr>
            </w:pPr>
          </w:p>
        </w:tc>
        <w:tc>
          <w:tcPr>
            <w:tcW w:w="1248" w:type="dxa"/>
            <w:tcBorders>
              <w:top w:val="nil"/>
              <w:left w:val="single" w:sz="2" w:space="0" w:color="1F4E79" w:themeColor="accent1" w:themeShade="80"/>
              <w:bottom w:val="single" w:sz="2" w:space="0" w:color="1F4E79" w:themeColor="accent1" w:themeShade="80"/>
              <w:right w:val="single" w:sz="4" w:space="0" w:color="1F4E79" w:themeColor="accent1" w:themeShade="80"/>
            </w:tcBorders>
            <w:shd w:val="clear" w:color="auto" w:fill="auto"/>
            <w:vAlign w:val="center"/>
          </w:tcPr>
          <w:p w14:paraId="48DE1C77" w14:textId="77777777" w:rsidR="008B7E19" w:rsidRPr="004369A3" w:rsidRDefault="008B7E19" w:rsidP="008B7E19">
            <w:pPr>
              <w:pStyle w:val="08-Tabelageral"/>
              <w:jc w:val="center"/>
              <w:cnfStyle w:val="000000010000" w:firstRow="0" w:lastRow="0" w:firstColumn="0" w:lastColumn="0" w:oddVBand="0" w:evenVBand="0" w:oddHBand="0" w:evenHBand="1" w:firstRowFirstColumn="0" w:firstRowLastColumn="0" w:lastRowFirstColumn="0" w:lastRowLastColumn="0"/>
              <w:rPr>
                <w:rFonts w:cs="Arial"/>
                <w:b/>
                <w:szCs w:val="14"/>
              </w:rPr>
            </w:pPr>
          </w:p>
        </w:tc>
        <w:tc>
          <w:tcPr>
            <w:tcW w:w="1500" w:type="dxa"/>
            <w:tcBorders>
              <w:top w:val="nil"/>
              <w:left w:val="single" w:sz="4" w:space="0" w:color="1F4E79" w:themeColor="accent1" w:themeShade="80"/>
              <w:bottom w:val="single" w:sz="2" w:space="0" w:color="1F4E79" w:themeColor="accent1" w:themeShade="80"/>
            </w:tcBorders>
            <w:shd w:val="clear" w:color="auto" w:fill="auto"/>
            <w:vAlign w:val="center"/>
          </w:tcPr>
          <w:p w14:paraId="0BF6ED81" w14:textId="77777777" w:rsidR="008B7E19" w:rsidRPr="004369A3" w:rsidRDefault="008B7E19" w:rsidP="008B7E19">
            <w:pPr>
              <w:pStyle w:val="08-Tabelageral"/>
              <w:jc w:val="left"/>
              <w:cnfStyle w:val="000000010000" w:firstRow="0" w:lastRow="0" w:firstColumn="0" w:lastColumn="0" w:oddVBand="0" w:evenVBand="0" w:oddHBand="0" w:evenHBand="1" w:firstRowFirstColumn="0" w:firstRowLastColumn="0" w:lastRowFirstColumn="0" w:lastRowLastColumn="0"/>
              <w:rPr>
                <w:rFonts w:cs="Arial"/>
                <w:szCs w:val="14"/>
              </w:rPr>
            </w:pPr>
            <w:r w:rsidRPr="004369A3">
              <w:rPr>
                <w:rFonts w:cs="Arial"/>
                <w:bCs/>
                <w:szCs w:val="14"/>
              </w:rPr>
              <w:t>Ciclic Corretora de Seguros S.A. (</w:t>
            </w:r>
            <w:r w:rsidRPr="004369A3">
              <w:rPr>
                <w:rFonts w:cs="Arial"/>
                <w:szCs w:val="14"/>
              </w:rPr>
              <w:t>Ciclic)</w:t>
            </w:r>
          </w:p>
        </w:tc>
        <w:tc>
          <w:tcPr>
            <w:tcW w:w="1820" w:type="dxa"/>
            <w:tcBorders>
              <w:top w:val="nil"/>
              <w:bottom w:val="single" w:sz="2" w:space="0" w:color="1F4E79" w:themeColor="accent1" w:themeShade="80"/>
            </w:tcBorders>
            <w:shd w:val="clear" w:color="auto" w:fill="auto"/>
            <w:vAlign w:val="center"/>
          </w:tcPr>
          <w:p w14:paraId="1B023366" w14:textId="77777777" w:rsidR="008B7E19" w:rsidRPr="004369A3" w:rsidRDefault="008B7E19" w:rsidP="008B7E19">
            <w:pPr>
              <w:pStyle w:val="08-Tabelageral"/>
              <w:jc w:val="left"/>
              <w:cnfStyle w:val="000000010000" w:firstRow="0" w:lastRow="0" w:firstColumn="0" w:lastColumn="0" w:oddVBand="0" w:evenVBand="0" w:oddHBand="0" w:evenHBand="1" w:firstRowFirstColumn="0" w:firstRowLastColumn="0" w:lastRowFirstColumn="0" w:lastRowLastColumn="0"/>
              <w:rPr>
                <w:rFonts w:cs="Arial"/>
                <w:szCs w:val="14"/>
                <w:lang w:val="en-US"/>
              </w:rPr>
            </w:pPr>
            <w:r w:rsidRPr="0057175F">
              <w:rPr>
                <w:rStyle w:val="tlid-translation"/>
                <w:rFonts w:cs="Arial"/>
                <w:szCs w:val="14"/>
                <w:lang w:val="en"/>
              </w:rPr>
              <w:t>Brokerage of private pension products, travel insurance and residential assistance in the digital channel.</w:t>
            </w:r>
          </w:p>
        </w:tc>
        <w:tc>
          <w:tcPr>
            <w:tcW w:w="1230" w:type="dxa"/>
            <w:tcBorders>
              <w:top w:val="nil"/>
              <w:bottom w:val="single" w:sz="2" w:space="0" w:color="1F4E79" w:themeColor="accent1" w:themeShade="80"/>
            </w:tcBorders>
            <w:shd w:val="clear" w:color="auto" w:fill="auto"/>
            <w:vAlign w:val="center"/>
          </w:tcPr>
          <w:p w14:paraId="3E7A991C" w14:textId="77777777" w:rsidR="008B7E19" w:rsidRPr="004369A3" w:rsidRDefault="008B7E19" w:rsidP="008B7E19">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szCs w:val="14"/>
              </w:rPr>
            </w:pPr>
            <w:r w:rsidRPr="004369A3">
              <w:rPr>
                <w:rFonts w:cs="Arial"/>
                <w:bCs/>
                <w:szCs w:val="14"/>
              </w:rPr>
              <w:t>BRGAAP</w:t>
            </w:r>
          </w:p>
        </w:tc>
        <w:tc>
          <w:tcPr>
            <w:tcW w:w="441" w:type="dxa"/>
            <w:tcBorders>
              <w:top w:val="nil"/>
              <w:bottom w:val="single" w:sz="2" w:space="0" w:color="1F4E79" w:themeColor="accent1" w:themeShade="80"/>
            </w:tcBorders>
            <w:shd w:val="clear" w:color="auto" w:fill="auto"/>
          </w:tcPr>
          <w:p w14:paraId="0050A4D6" w14:textId="77777777" w:rsidR="008B7E19" w:rsidRPr="004369A3" w:rsidRDefault="008B7E19" w:rsidP="008B7E19">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szCs w:val="14"/>
              </w:rPr>
            </w:pPr>
          </w:p>
        </w:tc>
        <w:tc>
          <w:tcPr>
            <w:tcW w:w="667" w:type="dxa"/>
            <w:tcBorders>
              <w:top w:val="nil"/>
              <w:bottom w:val="single" w:sz="2" w:space="0" w:color="1F4E79" w:themeColor="accent1" w:themeShade="80"/>
            </w:tcBorders>
            <w:shd w:val="clear" w:color="auto" w:fill="auto"/>
            <w:vAlign w:val="center"/>
          </w:tcPr>
          <w:p w14:paraId="30D05B2B" w14:textId="77777777" w:rsidR="008B7E19" w:rsidRPr="004369A3" w:rsidRDefault="008B7E19" w:rsidP="008B7E19">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szCs w:val="14"/>
              </w:rPr>
            </w:pPr>
            <w:r w:rsidRPr="004369A3">
              <w:rPr>
                <w:rFonts w:cs="Arial"/>
                <w:bCs/>
                <w:szCs w:val="14"/>
              </w:rPr>
              <w:t>49.99</w:t>
            </w:r>
          </w:p>
        </w:tc>
        <w:tc>
          <w:tcPr>
            <w:tcW w:w="715" w:type="dxa"/>
            <w:tcBorders>
              <w:top w:val="nil"/>
              <w:bottom w:val="single" w:sz="2" w:space="0" w:color="1F4E79" w:themeColor="accent1" w:themeShade="80"/>
            </w:tcBorders>
            <w:shd w:val="clear" w:color="auto" w:fill="auto"/>
            <w:vAlign w:val="center"/>
          </w:tcPr>
          <w:p w14:paraId="444647A8" w14:textId="77777777" w:rsidR="008B7E19" w:rsidRPr="004369A3" w:rsidRDefault="008B7E19" w:rsidP="008B7E19">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szCs w:val="14"/>
              </w:rPr>
            </w:pPr>
            <w:r>
              <w:rPr>
                <w:bCs/>
              </w:rPr>
              <w:t>100,00</w:t>
            </w:r>
          </w:p>
        </w:tc>
        <w:tc>
          <w:tcPr>
            <w:tcW w:w="1068" w:type="dxa"/>
            <w:tcBorders>
              <w:top w:val="nil"/>
              <w:bottom w:val="single" w:sz="2" w:space="0" w:color="1F4E79" w:themeColor="accent1" w:themeShade="80"/>
            </w:tcBorders>
            <w:shd w:val="clear" w:color="auto" w:fill="auto"/>
            <w:vAlign w:val="center"/>
          </w:tcPr>
          <w:p w14:paraId="5737C163" w14:textId="77777777" w:rsidR="008B7E19" w:rsidRPr="004369A3" w:rsidRDefault="008B7E19" w:rsidP="008B7E19">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szCs w:val="14"/>
              </w:rPr>
            </w:pPr>
            <w:r w:rsidRPr="004369A3">
              <w:rPr>
                <w:rFonts w:cs="Arial"/>
                <w:bCs/>
                <w:szCs w:val="14"/>
              </w:rPr>
              <w:t>74.99</w:t>
            </w:r>
          </w:p>
        </w:tc>
      </w:tr>
    </w:tbl>
    <w:p w14:paraId="3277F805" w14:textId="77777777" w:rsidR="008B7E19" w:rsidRPr="00925790" w:rsidRDefault="008B7E19" w:rsidP="008B7E19">
      <w:pPr>
        <w:pStyle w:val="paragraph"/>
        <w:spacing w:before="0" w:beforeAutospacing="0" w:after="0" w:afterAutospacing="0"/>
        <w:ind w:left="284" w:hanging="284"/>
        <w:jc w:val="both"/>
        <w:textAlignment w:val="baseline"/>
        <w:rPr>
          <w:rStyle w:val="normaltextrun"/>
          <w:rFonts w:ascii="Arial" w:hAnsi="Arial" w:cs="Arial"/>
          <w:sz w:val="14"/>
          <w:szCs w:val="14"/>
          <w:lang w:val="en-US"/>
        </w:rPr>
      </w:pPr>
      <w:r w:rsidRPr="00925790">
        <w:rPr>
          <w:rStyle w:val="normaltextrun"/>
          <w:rFonts w:ascii="Arial" w:hAnsi="Arial" w:cs="Arial"/>
          <w:sz w:val="14"/>
          <w:szCs w:val="14"/>
          <w:lang w:val="en-US"/>
        </w:rPr>
        <w:t xml:space="preserve">(1) </w:t>
      </w:r>
      <w:r w:rsidRPr="00925790">
        <w:rPr>
          <w:rStyle w:val="normaltextrun"/>
          <w:rFonts w:ascii="Arial" w:hAnsi="Arial" w:cs="Arial"/>
          <w:sz w:val="14"/>
          <w:szCs w:val="14"/>
          <w:lang w:val="en-US"/>
        </w:rPr>
        <w:tab/>
        <w:t>There was no change in the participation percentages of Investments in Shareholdings in the period.</w:t>
      </w:r>
    </w:p>
    <w:p w14:paraId="3F72A059" w14:textId="77777777" w:rsidR="008B7E19" w:rsidRPr="004369A3" w:rsidRDefault="008B7E19" w:rsidP="008B7E19">
      <w:pPr>
        <w:pStyle w:val="05-Textonormal"/>
        <w:spacing w:line="240" w:lineRule="auto"/>
        <w:rPr>
          <w:rFonts w:cs="Arial"/>
          <w:spacing w:val="0"/>
          <w:lang w:val="en-US" w:eastAsia="zh-CN"/>
        </w:rPr>
      </w:pPr>
      <w:r w:rsidRPr="004369A3">
        <w:rPr>
          <w:rFonts w:cs="Arial"/>
          <w:spacing w:val="0"/>
          <w:lang w:val="en-US" w:eastAsia="zh-CN"/>
        </w:rPr>
        <w:t>The investees are valued using the equity method and there is no indication of operating discontinuity</w:t>
      </w:r>
      <w:r w:rsidRPr="008C2739">
        <w:rPr>
          <w:lang w:val="en"/>
        </w:rPr>
        <w:t xml:space="preserve"> </w:t>
      </w:r>
      <w:r>
        <w:rPr>
          <w:rStyle w:val="q4iawc"/>
          <w:lang w:val="en"/>
        </w:rPr>
        <w:t>nor do they have shares regularly traded on stock exchanges.</w:t>
      </w:r>
    </w:p>
    <w:p w14:paraId="2B7E4994" w14:textId="77777777" w:rsidR="008B7E19" w:rsidRPr="00CF49A3" w:rsidRDefault="008B7E19" w:rsidP="008B7E19">
      <w:pPr>
        <w:pStyle w:val="01-TtulodeNota"/>
        <w:keepNext/>
        <w:keepLines/>
        <w:pageBreakBefore/>
        <w:rPr>
          <w:color w:val="1F4E79" w:themeColor="accent1" w:themeShade="80"/>
          <w:lang w:val="en-US"/>
        </w:rPr>
      </w:pPr>
      <w:r w:rsidRPr="00CF49A3">
        <w:rPr>
          <w:color w:val="1F4E79" w:themeColor="accent1" w:themeShade="80"/>
          <w:lang w:val="en-US"/>
        </w:rPr>
        <w:t>b) Equity interests valued using the equity method</w:t>
      </w:r>
    </w:p>
    <w:p w14:paraId="26D9850A" w14:textId="77777777" w:rsidR="008B7E19" w:rsidRPr="00E22381" w:rsidRDefault="008B7E19" w:rsidP="008B7E19">
      <w:pPr>
        <w:pStyle w:val="06-Rmil"/>
        <w:ind w:left="720" w:right="-2"/>
        <w:rPr>
          <w:rFonts w:cs="Arial"/>
        </w:rPr>
      </w:pPr>
      <w:r w:rsidRPr="00E22381">
        <w:rPr>
          <w:rFonts w:cs="Arial"/>
        </w:rPr>
        <w:t>R$ thousand</w:t>
      </w:r>
    </w:p>
    <w:tbl>
      <w:tblPr>
        <w:tblStyle w:val="TabeladeLista6Colorida-nfase510"/>
        <w:tblW w:w="9639" w:type="dxa"/>
        <w:jc w:val="center"/>
        <w:tblInd w:w="0" w:type="dxa"/>
        <w:tblBorders>
          <w:top w:val="single" w:sz="2" w:space="0" w:color="8EAADB" w:themeColor="accent5" w:themeTint="99"/>
          <w:bottom w:val="single" w:sz="2" w:space="0" w:color="8EAADB" w:themeColor="accent5" w:themeTint="99"/>
        </w:tblBorders>
        <w:tblLayout w:type="fixed"/>
        <w:tblLook w:val="04A0" w:firstRow="1" w:lastRow="0" w:firstColumn="1" w:lastColumn="0" w:noHBand="0" w:noVBand="1"/>
      </w:tblPr>
      <w:tblGrid>
        <w:gridCol w:w="4042"/>
        <w:gridCol w:w="2020"/>
        <w:gridCol w:w="1753"/>
        <w:gridCol w:w="1824"/>
      </w:tblGrid>
      <w:tr w:rsidR="008B7E19" w:rsidRPr="00E22381" w14:paraId="68EB6E26" w14:textId="77777777" w:rsidTr="008B7E19">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42" w:type="dxa"/>
            <w:tcBorders>
              <w:top w:val="single" w:sz="2" w:space="0" w:color="1F4E79" w:themeColor="accent1" w:themeShade="80"/>
              <w:bottom w:val="nil"/>
            </w:tcBorders>
            <w:shd w:val="clear" w:color="auto" w:fill="auto"/>
            <w:vAlign w:val="center"/>
          </w:tcPr>
          <w:p w14:paraId="01D1950C" w14:textId="77777777" w:rsidR="008B7E19" w:rsidRPr="00696049" w:rsidRDefault="008B7E19" w:rsidP="008B7E19">
            <w:pPr>
              <w:rPr>
                <w:rFonts w:cs="Arial"/>
                <w:color w:val="FF0000"/>
                <w:sz w:val="14"/>
                <w:szCs w:val="14"/>
              </w:rPr>
            </w:pPr>
          </w:p>
        </w:tc>
        <w:tc>
          <w:tcPr>
            <w:tcW w:w="5597" w:type="dxa"/>
            <w:gridSpan w:val="3"/>
            <w:tcBorders>
              <w:top w:val="single" w:sz="2" w:space="0" w:color="1F4E79" w:themeColor="accent1" w:themeShade="80"/>
              <w:bottom w:val="single" w:sz="2" w:space="0" w:color="1F4E79" w:themeColor="accent1" w:themeShade="80"/>
            </w:tcBorders>
            <w:shd w:val="clear" w:color="auto" w:fill="auto"/>
            <w:vAlign w:val="center"/>
          </w:tcPr>
          <w:p w14:paraId="604F9A9D" w14:textId="77777777" w:rsidR="008B7E19" w:rsidRPr="00696049" w:rsidRDefault="008B7E19" w:rsidP="008B7E19">
            <w:pPr>
              <w:jc w:val="center"/>
              <w:cnfStyle w:val="100000000000" w:firstRow="1" w:lastRow="0" w:firstColumn="0" w:lastColumn="0" w:oddVBand="0" w:evenVBand="0" w:oddHBand="0" w:evenHBand="0" w:firstRowFirstColumn="0" w:firstRowLastColumn="0" w:lastRowFirstColumn="0" w:lastRowLastColumn="0"/>
              <w:rPr>
                <w:rFonts w:cs="Arial"/>
                <w:bCs w:val="0"/>
                <w:sz w:val="14"/>
                <w:szCs w:val="14"/>
              </w:rPr>
            </w:pPr>
            <w:r w:rsidRPr="00696049">
              <w:rPr>
                <w:rFonts w:cs="Arial"/>
                <w:sz w:val="14"/>
                <w:szCs w:val="14"/>
              </w:rPr>
              <w:t>Parent</w:t>
            </w:r>
          </w:p>
        </w:tc>
      </w:tr>
      <w:tr w:rsidR="008B7E19" w:rsidRPr="00E22381" w14:paraId="68A0768D"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42" w:type="dxa"/>
            <w:tcBorders>
              <w:top w:val="nil"/>
              <w:bottom w:val="single" w:sz="2" w:space="0" w:color="1F4E79" w:themeColor="accent1" w:themeShade="80"/>
            </w:tcBorders>
            <w:shd w:val="clear" w:color="auto" w:fill="auto"/>
            <w:vAlign w:val="center"/>
          </w:tcPr>
          <w:p w14:paraId="2AED94FA" w14:textId="77777777" w:rsidR="008B7E19" w:rsidRPr="00696049" w:rsidRDefault="008B7E19" w:rsidP="008B7E19">
            <w:pPr>
              <w:rPr>
                <w:rFonts w:cs="Arial"/>
                <w:color w:val="FF0000"/>
                <w:sz w:val="14"/>
                <w:szCs w:val="14"/>
              </w:rPr>
            </w:pPr>
          </w:p>
        </w:tc>
        <w:tc>
          <w:tcPr>
            <w:tcW w:w="2020" w:type="dxa"/>
            <w:tcBorders>
              <w:top w:val="single" w:sz="2" w:space="0" w:color="1F4E79" w:themeColor="accent1" w:themeShade="80"/>
              <w:bottom w:val="single" w:sz="2" w:space="0" w:color="1F4E79" w:themeColor="accent1" w:themeShade="80"/>
            </w:tcBorders>
            <w:shd w:val="clear" w:color="auto" w:fill="auto"/>
            <w:vAlign w:val="center"/>
          </w:tcPr>
          <w:p w14:paraId="7779073E" w14:textId="77777777" w:rsidR="008B7E19" w:rsidRPr="00696049" w:rsidRDefault="008B7E19" w:rsidP="008B7E19">
            <w:pPr>
              <w:jc w:val="right"/>
              <w:cnfStyle w:val="000000100000" w:firstRow="0" w:lastRow="0" w:firstColumn="0" w:lastColumn="0" w:oddVBand="0" w:evenVBand="0" w:oddHBand="1" w:evenHBand="0" w:firstRowFirstColumn="0" w:firstRowLastColumn="0" w:lastRowFirstColumn="0" w:lastRowLastColumn="0"/>
              <w:rPr>
                <w:rFonts w:cs="Arial"/>
                <w:b/>
                <w:sz w:val="14"/>
                <w:szCs w:val="14"/>
              </w:rPr>
            </w:pPr>
            <w:r w:rsidRPr="00696049">
              <w:rPr>
                <w:rFonts w:cs="Arial"/>
                <w:b/>
                <w:color w:val="auto"/>
                <w:sz w:val="14"/>
                <w:szCs w:val="14"/>
              </w:rPr>
              <w:t>BB Seguros</w:t>
            </w:r>
          </w:p>
        </w:tc>
        <w:tc>
          <w:tcPr>
            <w:tcW w:w="1753" w:type="dxa"/>
            <w:tcBorders>
              <w:top w:val="single" w:sz="2" w:space="0" w:color="1F4E79" w:themeColor="accent1" w:themeShade="80"/>
              <w:bottom w:val="single" w:sz="2" w:space="0" w:color="1F4E79" w:themeColor="accent1" w:themeShade="80"/>
            </w:tcBorders>
            <w:shd w:val="clear" w:color="auto" w:fill="auto"/>
            <w:vAlign w:val="center"/>
          </w:tcPr>
          <w:p w14:paraId="7917E036" w14:textId="77777777" w:rsidR="008B7E19" w:rsidRPr="00696049" w:rsidRDefault="008B7E19" w:rsidP="008B7E19">
            <w:pPr>
              <w:jc w:val="right"/>
              <w:cnfStyle w:val="000000100000" w:firstRow="0" w:lastRow="0" w:firstColumn="0" w:lastColumn="0" w:oddVBand="0" w:evenVBand="0" w:oddHBand="1" w:evenHBand="0" w:firstRowFirstColumn="0" w:firstRowLastColumn="0" w:lastRowFirstColumn="0" w:lastRowLastColumn="0"/>
              <w:rPr>
                <w:rFonts w:cs="Arial"/>
                <w:b/>
                <w:sz w:val="14"/>
                <w:szCs w:val="14"/>
              </w:rPr>
            </w:pPr>
            <w:r w:rsidRPr="00696049">
              <w:rPr>
                <w:rFonts w:cs="Arial"/>
                <w:b/>
                <w:color w:val="auto"/>
                <w:sz w:val="14"/>
                <w:szCs w:val="14"/>
              </w:rPr>
              <w:t>BB Corretora</w:t>
            </w:r>
          </w:p>
        </w:tc>
        <w:tc>
          <w:tcPr>
            <w:tcW w:w="1824" w:type="dxa"/>
            <w:tcBorders>
              <w:top w:val="single" w:sz="2" w:space="0" w:color="1F4E79" w:themeColor="accent1" w:themeShade="80"/>
              <w:bottom w:val="single" w:sz="2" w:space="0" w:color="1F4E79" w:themeColor="accent1" w:themeShade="80"/>
            </w:tcBorders>
            <w:shd w:val="clear" w:color="auto" w:fill="auto"/>
            <w:vAlign w:val="center"/>
          </w:tcPr>
          <w:p w14:paraId="24018037" w14:textId="77777777" w:rsidR="008B7E19" w:rsidRPr="00696049" w:rsidRDefault="008B7E19" w:rsidP="008B7E19">
            <w:pPr>
              <w:jc w:val="right"/>
              <w:cnfStyle w:val="000000100000" w:firstRow="0" w:lastRow="0" w:firstColumn="0" w:lastColumn="0" w:oddVBand="0" w:evenVBand="0" w:oddHBand="1" w:evenHBand="0" w:firstRowFirstColumn="0" w:firstRowLastColumn="0" w:lastRowFirstColumn="0" w:lastRowLastColumn="0"/>
              <w:rPr>
                <w:rFonts w:cs="Arial"/>
                <w:b/>
                <w:sz w:val="14"/>
                <w:szCs w:val="14"/>
              </w:rPr>
            </w:pPr>
            <w:r w:rsidRPr="00696049">
              <w:rPr>
                <w:rFonts w:cs="Arial"/>
                <w:b/>
                <w:color w:val="auto"/>
                <w:sz w:val="14"/>
                <w:szCs w:val="14"/>
              </w:rPr>
              <w:t>Total</w:t>
            </w:r>
          </w:p>
        </w:tc>
      </w:tr>
      <w:tr w:rsidR="008B7E19" w:rsidRPr="00E22381" w14:paraId="19A728C0" w14:textId="77777777" w:rsidTr="008B7E1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42" w:type="dxa"/>
            <w:tcBorders>
              <w:top w:val="single" w:sz="2" w:space="0" w:color="1F4E79" w:themeColor="accent1" w:themeShade="80"/>
              <w:bottom w:val="nil"/>
            </w:tcBorders>
            <w:shd w:val="clear" w:color="auto" w:fill="auto"/>
            <w:vAlign w:val="center"/>
          </w:tcPr>
          <w:p w14:paraId="6EF0DE61" w14:textId="77777777" w:rsidR="008B7E19" w:rsidRPr="00696049" w:rsidRDefault="008B7E19" w:rsidP="008B7E19">
            <w:pPr>
              <w:rPr>
                <w:rFonts w:cs="Arial"/>
                <w:sz w:val="14"/>
                <w:szCs w:val="14"/>
              </w:rPr>
            </w:pPr>
            <w:r w:rsidRPr="00696049">
              <w:rPr>
                <w:rFonts w:cs="Arial"/>
                <w:sz w:val="14"/>
                <w:szCs w:val="14"/>
              </w:rPr>
              <w:t xml:space="preserve">Balance on </w:t>
            </w:r>
            <w:r>
              <w:rPr>
                <w:rFonts w:cs="Arial"/>
                <w:sz w:val="14"/>
                <w:szCs w:val="14"/>
              </w:rPr>
              <w:t xml:space="preserve">June </w:t>
            </w:r>
            <w:r w:rsidRPr="00696049">
              <w:rPr>
                <w:rFonts w:cs="Arial"/>
                <w:sz w:val="14"/>
                <w:szCs w:val="14"/>
              </w:rPr>
              <w:t>3</w:t>
            </w:r>
            <w:r>
              <w:rPr>
                <w:rFonts w:cs="Arial"/>
                <w:sz w:val="14"/>
                <w:szCs w:val="14"/>
              </w:rPr>
              <w:t xml:space="preserve">0, </w:t>
            </w:r>
            <w:r w:rsidRPr="00696049">
              <w:rPr>
                <w:rFonts w:cs="Arial"/>
                <w:sz w:val="14"/>
                <w:szCs w:val="14"/>
              </w:rPr>
              <w:t>202</w:t>
            </w:r>
            <w:r>
              <w:rPr>
                <w:rFonts w:cs="Arial"/>
                <w:sz w:val="14"/>
                <w:szCs w:val="14"/>
              </w:rPr>
              <w:t>2</w:t>
            </w:r>
          </w:p>
        </w:tc>
        <w:tc>
          <w:tcPr>
            <w:tcW w:w="5597" w:type="dxa"/>
            <w:gridSpan w:val="3"/>
            <w:tcBorders>
              <w:top w:val="single" w:sz="2" w:space="0" w:color="1F4E79" w:themeColor="accent1" w:themeShade="80"/>
              <w:bottom w:val="nil"/>
            </w:tcBorders>
            <w:shd w:val="clear" w:color="auto" w:fill="auto"/>
            <w:vAlign w:val="center"/>
          </w:tcPr>
          <w:p w14:paraId="2990234E" w14:textId="77777777" w:rsidR="008B7E19" w:rsidRPr="00696049" w:rsidRDefault="008B7E19" w:rsidP="008B7E19">
            <w:pPr>
              <w:pStyle w:val="08-Tabelageral"/>
              <w:ind w:left="113"/>
              <w:jc w:val="center"/>
              <w:cnfStyle w:val="000000010000" w:firstRow="0" w:lastRow="0" w:firstColumn="0" w:lastColumn="0" w:oddVBand="0" w:evenVBand="0" w:oddHBand="0" w:evenHBand="1" w:firstRowFirstColumn="0" w:firstRowLastColumn="0" w:lastRowFirstColumn="0" w:lastRowLastColumn="0"/>
              <w:rPr>
                <w:rFonts w:cs="Arial"/>
                <w:b/>
                <w:color w:val="auto"/>
                <w:szCs w:val="14"/>
              </w:rPr>
            </w:pPr>
          </w:p>
        </w:tc>
      </w:tr>
      <w:tr w:rsidR="008B7E19" w:rsidRPr="00E22381" w14:paraId="786D2429"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42" w:type="dxa"/>
            <w:tcBorders>
              <w:top w:val="nil"/>
            </w:tcBorders>
            <w:shd w:val="clear" w:color="auto" w:fill="auto"/>
            <w:vAlign w:val="center"/>
          </w:tcPr>
          <w:p w14:paraId="3CD3172E" w14:textId="77777777" w:rsidR="008B7E19" w:rsidRPr="00696049" w:rsidRDefault="008B7E19" w:rsidP="008B7E19">
            <w:pPr>
              <w:rPr>
                <w:rFonts w:cs="Arial"/>
                <w:b w:val="0"/>
                <w:bCs w:val="0"/>
                <w:color w:val="FF0000"/>
                <w:sz w:val="14"/>
                <w:szCs w:val="14"/>
              </w:rPr>
            </w:pPr>
            <w:r w:rsidRPr="00696049">
              <w:rPr>
                <w:rFonts w:cs="Arial"/>
                <w:b w:val="0"/>
                <w:sz w:val="14"/>
                <w:szCs w:val="14"/>
              </w:rPr>
              <w:t>Capital</w:t>
            </w:r>
          </w:p>
        </w:tc>
        <w:tc>
          <w:tcPr>
            <w:tcW w:w="2020" w:type="dxa"/>
            <w:tcBorders>
              <w:top w:val="nil"/>
            </w:tcBorders>
            <w:shd w:val="clear" w:color="auto" w:fill="auto"/>
            <w:vAlign w:val="center"/>
          </w:tcPr>
          <w:p w14:paraId="092D19DA" w14:textId="77777777" w:rsidR="008B7E19" w:rsidRPr="00696049" w:rsidRDefault="008B7E19" w:rsidP="008B7E19">
            <w:pPr>
              <w:pStyle w:val="08-Tabelageral"/>
              <w:ind w:left="113"/>
              <w:cnfStyle w:val="000000100000" w:firstRow="0" w:lastRow="0" w:firstColumn="0" w:lastColumn="0" w:oddVBand="0" w:evenVBand="0" w:oddHBand="1" w:evenHBand="0" w:firstRowFirstColumn="0" w:firstRowLastColumn="0" w:lastRowFirstColumn="0" w:lastRowLastColumn="0"/>
              <w:rPr>
                <w:rFonts w:cs="Arial"/>
                <w:color w:val="auto"/>
                <w:szCs w:val="14"/>
              </w:rPr>
            </w:pPr>
            <w:r>
              <w:rPr>
                <w:rFonts w:cs="Arial"/>
                <w:color w:val="000000"/>
                <w:szCs w:val="14"/>
                <w:lang w:eastAsia="en-US"/>
              </w:rPr>
              <w:t>4,210,872</w:t>
            </w:r>
          </w:p>
        </w:tc>
        <w:tc>
          <w:tcPr>
            <w:tcW w:w="1753" w:type="dxa"/>
            <w:tcBorders>
              <w:top w:val="nil"/>
            </w:tcBorders>
            <w:shd w:val="clear" w:color="auto" w:fill="auto"/>
            <w:vAlign w:val="center"/>
          </w:tcPr>
          <w:p w14:paraId="22458761" w14:textId="77777777" w:rsidR="008B7E19" w:rsidRPr="00696049" w:rsidRDefault="008B7E19" w:rsidP="008B7E19">
            <w:pPr>
              <w:pStyle w:val="08-Tabelageral"/>
              <w:ind w:left="113"/>
              <w:cnfStyle w:val="000000100000" w:firstRow="0" w:lastRow="0" w:firstColumn="0" w:lastColumn="0" w:oddVBand="0" w:evenVBand="0" w:oddHBand="1" w:evenHBand="0" w:firstRowFirstColumn="0" w:firstRowLastColumn="0" w:lastRowFirstColumn="0" w:lastRowLastColumn="0"/>
              <w:rPr>
                <w:rFonts w:cs="Arial"/>
                <w:color w:val="auto"/>
                <w:szCs w:val="14"/>
              </w:rPr>
            </w:pPr>
            <w:r>
              <w:rPr>
                <w:rFonts w:cs="Arial"/>
                <w:color w:val="000000"/>
                <w:szCs w:val="14"/>
                <w:lang w:eastAsia="en-US"/>
              </w:rPr>
              <w:t>1,000</w:t>
            </w:r>
          </w:p>
        </w:tc>
        <w:tc>
          <w:tcPr>
            <w:tcW w:w="1824" w:type="dxa"/>
            <w:tcBorders>
              <w:top w:val="nil"/>
            </w:tcBorders>
            <w:shd w:val="clear" w:color="auto" w:fill="auto"/>
            <w:vAlign w:val="center"/>
          </w:tcPr>
          <w:p w14:paraId="60675D24" w14:textId="77777777" w:rsidR="008B7E19" w:rsidRPr="00696049" w:rsidRDefault="008B7E19" w:rsidP="008B7E19">
            <w:pPr>
              <w:pStyle w:val="08-Tabelageral"/>
              <w:ind w:left="113"/>
              <w:cnfStyle w:val="000000100000" w:firstRow="0" w:lastRow="0" w:firstColumn="0" w:lastColumn="0" w:oddVBand="0" w:evenVBand="0" w:oddHBand="1" w:evenHBand="0" w:firstRowFirstColumn="0" w:firstRowLastColumn="0" w:lastRowFirstColumn="0" w:lastRowLastColumn="0"/>
              <w:rPr>
                <w:rFonts w:cs="Arial"/>
                <w:b/>
                <w:bCs/>
                <w:color w:val="auto"/>
                <w:szCs w:val="14"/>
              </w:rPr>
            </w:pPr>
            <w:r>
              <w:rPr>
                <w:rFonts w:cs="Arial"/>
                <w:color w:val="000000"/>
                <w:szCs w:val="14"/>
                <w:lang w:eastAsia="en-US"/>
              </w:rPr>
              <w:t>--</w:t>
            </w:r>
          </w:p>
        </w:tc>
      </w:tr>
      <w:tr w:rsidR="008B7E19" w:rsidRPr="00E22381" w14:paraId="1ABBB57F" w14:textId="77777777" w:rsidTr="008B7E1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42" w:type="dxa"/>
            <w:shd w:val="clear" w:color="auto" w:fill="auto"/>
            <w:vAlign w:val="center"/>
          </w:tcPr>
          <w:p w14:paraId="0E11434A" w14:textId="77777777" w:rsidR="008B7E19" w:rsidRPr="00696049" w:rsidRDefault="008B7E19" w:rsidP="008B7E19">
            <w:pPr>
              <w:rPr>
                <w:rFonts w:cs="Arial"/>
                <w:b w:val="0"/>
                <w:bCs w:val="0"/>
                <w:color w:val="FF0000"/>
                <w:sz w:val="14"/>
                <w:szCs w:val="14"/>
              </w:rPr>
            </w:pPr>
            <w:r w:rsidRPr="00696049">
              <w:rPr>
                <w:rFonts w:cs="Arial"/>
                <w:b w:val="0"/>
                <w:sz w:val="14"/>
                <w:szCs w:val="14"/>
              </w:rPr>
              <w:t xml:space="preserve">Stockholders' equity </w:t>
            </w:r>
          </w:p>
        </w:tc>
        <w:tc>
          <w:tcPr>
            <w:tcW w:w="2020" w:type="dxa"/>
            <w:shd w:val="clear" w:color="auto" w:fill="auto"/>
            <w:vAlign w:val="center"/>
          </w:tcPr>
          <w:p w14:paraId="474F343E" w14:textId="77777777" w:rsidR="008B7E19" w:rsidRPr="00696049" w:rsidRDefault="008B7E19" w:rsidP="008B7E19">
            <w:pPr>
              <w:pStyle w:val="08-Tabelageral"/>
              <w:ind w:left="113"/>
              <w:cnfStyle w:val="000000010000" w:firstRow="0" w:lastRow="0" w:firstColumn="0" w:lastColumn="0" w:oddVBand="0" w:evenVBand="0" w:oddHBand="0" w:evenHBand="1" w:firstRowFirstColumn="0" w:firstRowLastColumn="0" w:lastRowFirstColumn="0" w:lastRowLastColumn="0"/>
              <w:rPr>
                <w:rFonts w:cs="Arial"/>
                <w:color w:val="auto"/>
                <w:szCs w:val="14"/>
              </w:rPr>
            </w:pPr>
            <w:r>
              <w:rPr>
                <w:rFonts w:cs="Arial"/>
                <w:color w:val="000000"/>
                <w:szCs w:val="14"/>
              </w:rPr>
              <w:t>8,736,881</w:t>
            </w:r>
          </w:p>
        </w:tc>
        <w:tc>
          <w:tcPr>
            <w:tcW w:w="1753" w:type="dxa"/>
            <w:shd w:val="clear" w:color="auto" w:fill="auto"/>
            <w:vAlign w:val="center"/>
          </w:tcPr>
          <w:p w14:paraId="4493F781" w14:textId="77777777" w:rsidR="008B7E19" w:rsidRPr="00696049" w:rsidRDefault="008B7E19" w:rsidP="008B7E19">
            <w:pPr>
              <w:pStyle w:val="08-Tabelageral"/>
              <w:ind w:left="113"/>
              <w:cnfStyle w:val="000000010000" w:firstRow="0" w:lastRow="0" w:firstColumn="0" w:lastColumn="0" w:oddVBand="0" w:evenVBand="0" w:oddHBand="0" w:evenHBand="1" w:firstRowFirstColumn="0" w:firstRowLastColumn="0" w:lastRowFirstColumn="0" w:lastRowLastColumn="0"/>
              <w:rPr>
                <w:rFonts w:cs="Arial"/>
                <w:color w:val="auto"/>
                <w:szCs w:val="14"/>
              </w:rPr>
            </w:pPr>
            <w:r>
              <w:rPr>
                <w:rFonts w:cs="Arial"/>
                <w:color w:val="000000"/>
                <w:szCs w:val="14"/>
              </w:rPr>
              <w:t>6,090</w:t>
            </w:r>
          </w:p>
        </w:tc>
        <w:tc>
          <w:tcPr>
            <w:tcW w:w="1824" w:type="dxa"/>
            <w:shd w:val="clear" w:color="auto" w:fill="auto"/>
            <w:vAlign w:val="center"/>
          </w:tcPr>
          <w:p w14:paraId="7B8AE68D" w14:textId="77777777" w:rsidR="008B7E19" w:rsidRPr="00696049" w:rsidRDefault="008B7E19" w:rsidP="008B7E19">
            <w:pPr>
              <w:pStyle w:val="08-Tabelageral"/>
              <w:ind w:left="113"/>
              <w:cnfStyle w:val="000000010000" w:firstRow="0" w:lastRow="0" w:firstColumn="0" w:lastColumn="0" w:oddVBand="0" w:evenVBand="0" w:oddHBand="0" w:evenHBand="1" w:firstRowFirstColumn="0" w:firstRowLastColumn="0" w:lastRowFirstColumn="0" w:lastRowLastColumn="0"/>
              <w:rPr>
                <w:rFonts w:cs="Arial"/>
                <w:b/>
                <w:bCs/>
                <w:color w:val="auto"/>
                <w:szCs w:val="14"/>
              </w:rPr>
            </w:pPr>
            <w:r>
              <w:rPr>
                <w:rFonts w:cs="Arial"/>
                <w:color w:val="000000"/>
                <w:szCs w:val="14"/>
              </w:rPr>
              <w:t>--</w:t>
            </w:r>
          </w:p>
        </w:tc>
      </w:tr>
      <w:tr w:rsidR="008B7E19" w:rsidRPr="00E22381" w14:paraId="3AE13127"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42" w:type="dxa"/>
            <w:shd w:val="clear" w:color="auto" w:fill="auto"/>
            <w:vAlign w:val="center"/>
          </w:tcPr>
          <w:p w14:paraId="2E2E8FCC" w14:textId="77777777" w:rsidR="008B7E19" w:rsidRPr="00696049" w:rsidRDefault="008B7E19" w:rsidP="008B7E19">
            <w:pPr>
              <w:pStyle w:val="08-Tabelageral"/>
              <w:jc w:val="left"/>
              <w:rPr>
                <w:rFonts w:cs="Arial"/>
                <w:bCs w:val="0"/>
                <w:szCs w:val="14"/>
              </w:rPr>
            </w:pPr>
            <w:r w:rsidRPr="00696049">
              <w:rPr>
                <w:rFonts w:cs="Arial"/>
                <w:szCs w:val="14"/>
              </w:rPr>
              <w:t xml:space="preserve">Balance on </w:t>
            </w:r>
            <w:r>
              <w:rPr>
                <w:rFonts w:cs="Arial"/>
                <w:szCs w:val="14"/>
              </w:rPr>
              <w:t xml:space="preserve">Dec </w:t>
            </w:r>
            <w:r w:rsidRPr="00696049">
              <w:rPr>
                <w:rFonts w:cs="Arial"/>
                <w:szCs w:val="14"/>
              </w:rPr>
              <w:t>31</w:t>
            </w:r>
            <w:r>
              <w:rPr>
                <w:rFonts w:cs="Arial"/>
                <w:szCs w:val="14"/>
              </w:rPr>
              <w:t>, 2022</w:t>
            </w:r>
          </w:p>
        </w:tc>
        <w:tc>
          <w:tcPr>
            <w:tcW w:w="5597" w:type="dxa"/>
            <w:gridSpan w:val="3"/>
            <w:shd w:val="clear" w:color="auto" w:fill="auto"/>
            <w:vAlign w:val="center"/>
          </w:tcPr>
          <w:p w14:paraId="4B4F4399" w14:textId="77777777" w:rsidR="008B7E19" w:rsidRPr="00696049" w:rsidRDefault="008B7E19" w:rsidP="008B7E19">
            <w:pPr>
              <w:pStyle w:val="08-Tabelageral"/>
              <w:ind w:left="113"/>
              <w:jc w:val="center"/>
              <w:cnfStyle w:val="000000100000" w:firstRow="0" w:lastRow="0" w:firstColumn="0" w:lastColumn="0" w:oddVBand="0" w:evenVBand="0" w:oddHBand="1" w:evenHBand="0" w:firstRowFirstColumn="0" w:firstRowLastColumn="0" w:lastRowFirstColumn="0" w:lastRowLastColumn="0"/>
              <w:rPr>
                <w:rFonts w:cs="Arial"/>
                <w:b/>
                <w:bCs/>
                <w:color w:val="auto"/>
                <w:szCs w:val="14"/>
              </w:rPr>
            </w:pPr>
          </w:p>
        </w:tc>
      </w:tr>
      <w:tr w:rsidR="008B7E19" w:rsidRPr="00E22381" w14:paraId="6DA82F7D" w14:textId="77777777" w:rsidTr="008B7E1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42" w:type="dxa"/>
            <w:shd w:val="clear" w:color="auto" w:fill="auto"/>
            <w:vAlign w:val="center"/>
          </w:tcPr>
          <w:p w14:paraId="6C278693" w14:textId="77777777" w:rsidR="008B7E19" w:rsidRPr="00696049" w:rsidRDefault="008B7E19" w:rsidP="008B7E19">
            <w:pPr>
              <w:pStyle w:val="08-Tabelageral"/>
              <w:jc w:val="left"/>
              <w:rPr>
                <w:rFonts w:cs="Arial"/>
                <w:b w:val="0"/>
                <w:bCs w:val="0"/>
                <w:szCs w:val="14"/>
              </w:rPr>
            </w:pPr>
            <w:r w:rsidRPr="00696049">
              <w:rPr>
                <w:rFonts w:cs="Arial"/>
                <w:b w:val="0"/>
                <w:szCs w:val="14"/>
              </w:rPr>
              <w:t>Capital</w:t>
            </w:r>
          </w:p>
        </w:tc>
        <w:tc>
          <w:tcPr>
            <w:tcW w:w="2020" w:type="dxa"/>
            <w:shd w:val="clear" w:color="auto" w:fill="auto"/>
            <w:vAlign w:val="center"/>
          </w:tcPr>
          <w:p w14:paraId="43629456" w14:textId="77777777" w:rsidR="008B7E19" w:rsidRPr="00696049" w:rsidRDefault="008B7E19" w:rsidP="008B7E19">
            <w:pPr>
              <w:pStyle w:val="08-Tabelageral"/>
              <w:ind w:left="113"/>
              <w:cnfStyle w:val="000000010000" w:firstRow="0" w:lastRow="0" w:firstColumn="0" w:lastColumn="0" w:oddVBand="0" w:evenVBand="0" w:oddHBand="0" w:evenHBand="1" w:firstRowFirstColumn="0" w:firstRowLastColumn="0" w:lastRowFirstColumn="0" w:lastRowLastColumn="0"/>
              <w:rPr>
                <w:rFonts w:cs="Arial"/>
                <w:color w:val="auto"/>
                <w:szCs w:val="14"/>
              </w:rPr>
            </w:pPr>
            <w:r>
              <w:rPr>
                <w:rFonts w:cs="Arial"/>
                <w:szCs w:val="14"/>
                <w:lang w:eastAsia="en-US"/>
              </w:rPr>
              <w:t xml:space="preserve">4,210,872 </w:t>
            </w:r>
          </w:p>
        </w:tc>
        <w:tc>
          <w:tcPr>
            <w:tcW w:w="1753" w:type="dxa"/>
            <w:shd w:val="clear" w:color="auto" w:fill="auto"/>
            <w:vAlign w:val="center"/>
          </w:tcPr>
          <w:p w14:paraId="37E1867A" w14:textId="77777777" w:rsidR="008B7E19" w:rsidRPr="00696049" w:rsidRDefault="008B7E19" w:rsidP="008B7E19">
            <w:pPr>
              <w:pStyle w:val="08-Tabelageral"/>
              <w:ind w:left="113"/>
              <w:cnfStyle w:val="000000010000" w:firstRow="0" w:lastRow="0" w:firstColumn="0" w:lastColumn="0" w:oddVBand="0" w:evenVBand="0" w:oddHBand="0" w:evenHBand="1" w:firstRowFirstColumn="0" w:firstRowLastColumn="0" w:lastRowFirstColumn="0" w:lastRowLastColumn="0"/>
              <w:rPr>
                <w:rFonts w:cs="Arial"/>
                <w:color w:val="auto"/>
                <w:szCs w:val="14"/>
              </w:rPr>
            </w:pPr>
            <w:r>
              <w:rPr>
                <w:rFonts w:cs="Arial"/>
                <w:szCs w:val="14"/>
                <w:lang w:eastAsia="en-US"/>
              </w:rPr>
              <w:t xml:space="preserve">1,000 </w:t>
            </w:r>
          </w:p>
        </w:tc>
        <w:tc>
          <w:tcPr>
            <w:tcW w:w="1824" w:type="dxa"/>
            <w:shd w:val="clear" w:color="auto" w:fill="auto"/>
            <w:vAlign w:val="center"/>
          </w:tcPr>
          <w:p w14:paraId="61F0CAFD" w14:textId="77777777" w:rsidR="008B7E19" w:rsidRPr="00696049" w:rsidRDefault="008B7E19" w:rsidP="008B7E19">
            <w:pPr>
              <w:pStyle w:val="08-Tabelageral"/>
              <w:ind w:left="113"/>
              <w:cnfStyle w:val="000000010000" w:firstRow="0" w:lastRow="0" w:firstColumn="0" w:lastColumn="0" w:oddVBand="0" w:evenVBand="0" w:oddHBand="0" w:evenHBand="1" w:firstRowFirstColumn="0" w:firstRowLastColumn="0" w:lastRowFirstColumn="0" w:lastRowLastColumn="0"/>
              <w:rPr>
                <w:rFonts w:cs="Arial"/>
                <w:b/>
                <w:bCs/>
                <w:color w:val="auto"/>
                <w:szCs w:val="14"/>
              </w:rPr>
            </w:pPr>
            <w:r>
              <w:rPr>
                <w:rFonts w:cs="Arial"/>
                <w:szCs w:val="14"/>
                <w:lang w:eastAsia="en-US"/>
              </w:rPr>
              <w:t>--</w:t>
            </w:r>
          </w:p>
        </w:tc>
      </w:tr>
      <w:tr w:rsidR="008B7E19" w:rsidRPr="00E22381" w14:paraId="0A33A156"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42" w:type="dxa"/>
            <w:shd w:val="clear" w:color="auto" w:fill="auto"/>
            <w:vAlign w:val="center"/>
          </w:tcPr>
          <w:p w14:paraId="6832B79B" w14:textId="77777777" w:rsidR="008B7E19" w:rsidRPr="00696049" w:rsidRDefault="008B7E19" w:rsidP="008B7E19">
            <w:pPr>
              <w:pStyle w:val="08-Tabelageral"/>
              <w:jc w:val="left"/>
              <w:rPr>
                <w:rFonts w:cs="Arial"/>
                <w:b w:val="0"/>
                <w:bCs w:val="0"/>
                <w:szCs w:val="14"/>
              </w:rPr>
            </w:pPr>
            <w:r w:rsidRPr="00696049">
              <w:rPr>
                <w:rFonts w:cs="Arial"/>
                <w:b w:val="0"/>
                <w:szCs w:val="14"/>
              </w:rPr>
              <w:t xml:space="preserve">Stockholders' </w:t>
            </w:r>
            <w:r w:rsidRPr="00A30250">
              <w:rPr>
                <w:rFonts w:cs="Arial"/>
                <w:b w:val="0"/>
                <w:szCs w:val="14"/>
              </w:rPr>
              <w:t xml:space="preserve">equity </w:t>
            </w:r>
            <w:r w:rsidRPr="00A30250">
              <w:rPr>
                <w:rStyle w:val="rynqvb"/>
                <w:b w:val="0"/>
                <w:lang w:val="en"/>
              </w:rPr>
              <w:t>(</w:t>
            </w:r>
            <w:r>
              <w:rPr>
                <w:rStyle w:val="rynqvb"/>
                <w:b w:val="0"/>
                <w:lang w:val="en"/>
              </w:rPr>
              <w:t>restated balances</w:t>
            </w:r>
            <w:r w:rsidRPr="00A30250">
              <w:rPr>
                <w:rStyle w:val="rynqvb"/>
                <w:b w:val="0"/>
                <w:lang w:val="en"/>
              </w:rPr>
              <w:t>)</w:t>
            </w:r>
            <w:r w:rsidRPr="00696049">
              <w:rPr>
                <w:rFonts w:cs="Arial"/>
                <w:b w:val="0"/>
                <w:szCs w:val="14"/>
              </w:rPr>
              <w:t xml:space="preserve"> </w:t>
            </w:r>
            <w:r w:rsidRPr="000B4CE4">
              <w:rPr>
                <w:rFonts w:cs="Arial"/>
                <w:b w:val="0"/>
                <w:szCs w:val="14"/>
                <w:vertAlign w:val="superscript"/>
              </w:rPr>
              <w:t>(1)</w:t>
            </w:r>
          </w:p>
        </w:tc>
        <w:tc>
          <w:tcPr>
            <w:tcW w:w="2020" w:type="dxa"/>
            <w:shd w:val="clear" w:color="auto" w:fill="auto"/>
            <w:vAlign w:val="center"/>
          </w:tcPr>
          <w:p w14:paraId="7CBAB668" w14:textId="77777777" w:rsidR="008B7E19" w:rsidRPr="00696049" w:rsidRDefault="008B7E19" w:rsidP="008B7E19">
            <w:pPr>
              <w:pStyle w:val="08-Tabelageral"/>
              <w:ind w:left="113"/>
              <w:cnfStyle w:val="000000100000" w:firstRow="0" w:lastRow="0" w:firstColumn="0" w:lastColumn="0" w:oddVBand="0" w:evenVBand="0" w:oddHBand="1" w:evenHBand="0" w:firstRowFirstColumn="0" w:firstRowLastColumn="0" w:lastRowFirstColumn="0" w:lastRowLastColumn="0"/>
              <w:rPr>
                <w:rFonts w:cs="Arial"/>
                <w:color w:val="auto"/>
                <w:szCs w:val="14"/>
              </w:rPr>
            </w:pPr>
            <w:r>
              <w:rPr>
                <w:rFonts w:cs="Arial"/>
                <w:color w:val="000000"/>
                <w:szCs w:val="14"/>
              </w:rPr>
              <w:t>7,851,061</w:t>
            </w:r>
          </w:p>
        </w:tc>
        <w:tc>
          <w:tcPr>
            <w:tcW w:w="1753" w:type="dxa"/>
            <w:shd w:val="clear" w:color="auto" w:fill="auto"/>
            <w:vAlign w:val="center"/>
          </w:tcPr>
          <w:p w14:paraId="21F4B2B6" w14:textId="77777777" w:rsidR="008B7E19" w:rsidRPr="00696049" w:rsidRDefault="008B7E19" w:rsidP="008B7E19">
            <w:pPr>
              <w:pStyle w:val="08-Tabelageral"/>
              <w:ind w:left="113"/>
              <w:cnfStyle w:val="000000100000" w:firstRow="0" w:lastRow="0" w:firstColumn="0" w:lastColumn="0" w:oddVBand="0" w:evenVBand="0" w:oddHBand="1" w:evenHBand="0" w:firstRowFirstColumn="0" w:firstRowLastColumn="0" w:lastRowFirstColumn="0" w:lastRowLastColumn="0"/>
              <w:rPr>
                <w:rFonts w:cs="Arial"/>
                <w:color w:val="auto"/>
                <w:szCs w:val="14"/>
              </w:rPr>
            </w:pPr>
            <w:r>
              <w:rPr>
                <w:rFonts w:cs="Arial"/>
                <w:color w:val="000000"/>
                <w:szCs w:val="14"/>
                <w:lang w:eastAsia="en-US"/>
              </w:rPr>
              <w:t>6,338</w:t>
            </w:r>
          </w:p>
        </w:tc>
        <w:tc>
          <w:tcPr>
            <w:tcW w:w="1824" w:type="dxa"/>
            <w:shd w:val="clear" w:color="auto" w:fill="auto"/>
            <w:vAlign w:val="center"/>
          </w:tcPr>
          <w:p w14:paraId="4378BE91" w14:textId="77777777" w:rsidR="008B7E19" w:rsidRPr="00696049" w:rsidRDefault="008B7E19" w:rsidP="008B7E19">
            <w:pPr>
              <w:pStyle w:val="08-Tabelageral"/>
              <w:ind w:left="113"/>
              <w:cnfStyle w:val="000000100000" w:firstRow="0" w:lastRow="0" w:firstColumn="0" w:lastColumn="0" w:oddVBand="0" w:evenVBand="0" w:oddHBand="1" w:evenHBand="0" w:firstRowFirstColumn="0" w:firstRowLastColumn="0" w:lastRowFirstColumn="0" w:lastRowLastColumn="0"/>
              <w:rPr>
                <w:rFonts w:cs="Arial"/>
                <w:b/>
                <w:bCs/>
                <w:color w:val="auto"/>
                <w:szCs w:val="14"/>
              </w:rPr>
            </w:pPr>
            <w:r>
              <w:rPr>
                <w:rFonts w:cs="Arial"/>
                <w:color w:val="000000"/>
                <w:szCs w:val="14"/>
              </w:rPr>
              <w:t>--</w:t>
            </w:r>
          </w:p>
        </w:tc>
      </w:tr>
      <w:tr w:rsidR="008B7E19" w:rsidRPr="00E22381" w14:paraId="10D2E2A2" w14:textId="77777777" w:rsidTr="008B7E1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42" w:type="dxa"/>
            <w:tcBorders>
              <w:bottom w:val="single" w:sz="2" w:space="0" w:color="1F4E79" w:themeColor="accent1" w:themeShade="80"/>
            </w:tcBorders>
            <w:shd w:val="clear" w:color="auto" w:fill="auto"/>
            <w:vAlign w:val="center"/>
          </w:tcPr>
          <w:p w14:paraId="79C11FDA" w14:textId="77777777" w:rsidR="008B7E19" w:rsidRPr="00696049" w:rsidRDefault="008B7E19" w:rsidP="008B7E19">
            <w:pPr>
              <w:pStyle w:val="08-Tabelageral"/>
              <w:jc w:val="left"/>
              <w:rPr>
                <w:rFonts w:cs="Arial"/>
                <w:bCs w:val="0"/>
                <w:szCs w:val="14"/>
              </w:rPr>
            </w:pPr>
          </w:p>
        </w:tc>
        <w:tc>
          <w:tcPr>
            <w:tcW w:w="5597" w:type="dxa"/>
            <w:gridSpan w:val="3"/>
            <w:tcBorders>
              <w:bottom w:val="single" w:sz="2" w:space="0" w:color="1F4E79" w:themeColor="accent1" w:themeShade="80"/>
            </w:tcBorders>
            <w:shd w:val="clear" w:color="auto" w:fill="auto"/>
            <w:vAlign w:val="center"/>
          </w:tcPr>
          <w:p w14:paraId="00EFF692" w14:textId="77777777" w:rsidR="008B7E19" w:rsidRPr="00696049" w:rsidRDefault="008B7E19" w:rsidP="008B7E19">
            <w:pPr>
              <w:pStyle w:val="08-Tabelageral"/>
              <w:ind w:left="113"/>
              <w:jc w:val="center"/>
              <w:cnfStyle w:val="000000010000" w:firstRow="0" w:lastRow="0" w:firstColumn="0" w:lastColumn="0" w:oddVBand="0" w:evenVBand="0" w:oddHBand="0" w:evenHBand="1" w:firstRowFirstColumn="0" w:firstRowLastColumn="0" w:lastRowFirstColumn="0" w:lastRowLastColumn="0"/>
              <w:rPr>
                <w:rFonts w:cs="Arial"/>
                <w:b/>
                <w:color w:val="FF0000"/>
                <w:szCs w:val="14"/>
              </w:rPr>
            </w:pPr>
          </w:p>
        </w:tc>
      </w:tr>
      <w:tr w:rsidR="008B7E19" w:rsidRPr="00FE3061" w14:paraId="7AACC531"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9639" w:type="dxa"/>
            <w:gridSpan w:val="4"/>
            <w:tcBorders>
              <w:top w:val="single" w:sz="2" w:space="0" w:color="1F4E79" w:themeColor="accent1" w:themeShade="80"/>
              <w:bottom w:val="single" w:sz="2" w:space="0" w:color="1F4E79" w:themeColor="accent1" w:themeShade="80"/>
            </w:tcBorders>
            <w:shd w:val="clear" w:color="auto" w:fill="auto"/>
            <w:vAlign w:val="center"/>
          </w:tcPr>
          <w:p w14:paraId="054D1F0C" w14:textId="77777777" w:rsidR="008B7E19" w:rsidRPr="00696049" w:rsidRDefault="008B7E19" w:rsidP="008B7E19">
            <w:pPr>
              <w:pStyle w:val="08-Tabelageral"/>
              <w:jc w:val="left"/>
              <w:rPr>
                <w:rFonts w:cs="Arial"/>
                <w:b w:val="0"/>
                <w:szCs w:val="14"/>
                <w:lang w:val="en-US"/>
              </w:rPr>
            </w:pPr>
            <w:r w:rsidRPr="00696049">
              <w:rPr>
                <w:rFonts w:cs="Arial"/>
                <w:szCs w:val="14"/>
                <w:lang w:val="en-US"/>
              </w:rPr>
              <w:t xml:space="preserve">Moviments </w:t>
            </w:r>
            <w:r>
              <w:rPr>
                <w:rFonts w:cs="Arial"/>
                <w:szCs w:val="14"/>
                <w:lang w:val="en-US"/>
              </w:rPr>
              <w:t>in 01.01 to 06.30.2023</w:t>
            </w:r>
          </w:p>
        </w:tc>
      </w:tr>
      <w:tr w:rsidR="008B7E19" w:rsidRPr="00E22381" w14:paraId="3C10E0DA" w14:textId="77777777" w:rsidTr="008B7E1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42" w:type="dxa"/>
            <w:tcBorders>
              <w:top w:val="single" w:sz="2" w:space="0" w:color="1F4E79" w:themeColor="accent1" w:themeShade="80"/>
            </w:tcBorders>
            <w:shd w:val="clear" w:color="auto" w:fill="auto"/>
            <w:vAlign w:val="center"/>
          </w:tcPr>
          <w:p w14:paraId="5115E957" w14:textId="77777777" w:rsidR="008B7E19" w:rsidRPr="00751C98" w:rsidRDefault="008B7E19" w:rsidP="008B7E19">
            <w:pPr>
              <w:pStyle w:val="08-Tabelageral"/>
              <w:jc w:val="left"/>
              <w:rPr>
                <w:rFonts w:cs="Arial"/>
                <w:color w:val="FF0000"/>
                <w:szCs w:val="14"/>
                <w:lang w:val="en-US"/>
              </w:rPr>
            </w:pPr>
            <w:r w:rsidRPr="00751C98">
              <w:rPr>
                <w:rFonts w:cs="Arial"/>
                <w:szCs w:val="14"/>
                <w:lang w:val="en-US"/>
              </w:rPr>
              <w:t xml:space="preserve">Book Balance on Dec 31, </w:t>
            </w:r>
            <w:r w:rsidRPr="00CB6B64">
              <w:rPr>
                <w:rFonts w:cs="Arial"/>
                <w:szCs w:val="14"/>
                <w:lang w:val="en-US"/>
              </w:rPr>
              <w:t xml:space="preserve">2022 </w:t>
            </w:r>
            <w:r w:rsidRPr="00CB6B64">
              <w:rPr>
                <w:rStyle w:val="rynqvb"/>
                <w:lang w:val="en"/>
              </w:rPr>
              <w:t>(restated balances)</w:t>
            </w:r>
            <w:r>
              <w:rPr>
                <w:rStyle w:val="rynqvb"/>
                <w:lang w:val="en"/>
              </w:rPr>
              <w:t xml:space="preserve"> </w:t>
            </w:r>
            <w:r w:rsidRPr="000B4CE4">
              <w:rPr>
                <w:rStyle w:val="rynqvb"/>
                <w:vertAlign w:val="superscript"/>
                <w:lang w:val="en"/>
              </w:rPr>
              <w:t>(1)</w:t>
            </w:r>
          </w:p>
        </w:tc>
        <w:tc>
          <w:tcPr>
            <w:tcW w:w="2020" w:type="dxa"/>
            <w:tcBorders>
              <w:top w:val="single" w:sz="2" w:space="0" w:color="1F4E79" w:themeColor="accent1" w:themeShade="80"/>
            </w:tcBorders>
            <w:shd w:val="clear" w:color="auto" w:fill="auto"/>
            <w:vAlign w:val="center"/>
          </w:tcPr>
          <w:p w14:paraId="50A58C7D" w14:textId="77777777" w:rsidR="008B7E19" w:rsidRPr="00550732" w:rsidRDefault="008B7E19" w:rsidP="008B7E19">
            <w:pPr>
              <w:pStyle w:val="08-Tabelageral"/>
              <w:ind w:left="113"/>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Pr>
                <w:rFonts w:cs="Arial"/>
                <w:b/>
                <w:bCs/>
                <w:color w:val="000000"/>
                <w:szCs w:val="14"/>
                <w:lang w:eastAsia="en-US"/>
              </w:rPr>
              <w:t>7,851,061</w:t>
            </w:r>
          </w:p>
        </w:tc>
        <w:tc>
          <w:tcPr>
            <w:tcW w:w="1753" w:type="dxa"/>
            <w:tcBorders>
              <w:top w:val="single" w:sz="2" w:space="0" w:color="1F4E79" w:themeColor="accent1" w:themeShade="80"/>
            </w:tcBorders>
            <w:shd w:val="clear" w:color="auto" w:fill="auto"/>
            <w:vAlign w:val="center"/>
          </w:tcPr>
          <w:p w14:paraId="7A0B8819" w14:textId="77777777" w:rsidR="008B7E19" w:rsidRPr="00550732" w:rsidRDefault="008B7E19" w:rsidP="008B7E19">
            <w:pPr>
              <w:pStyle w:val="08-Tabelageral"/>
              <w:ind w:left="113"/>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Pr>
                <w:rFonts w:cs="Arial"/>
                <w:b/>
                <w:bCs/>
                <w:color w:val="000000"/>
                <w:szCs w:val="14"/>
                <w:lang w:eastAsia="en-US"/>
              </w:rPr>
              <w:t>6,338</w:t>
            </w:r>
          </w:p>
        </w:tc>
        <w:tc>
          <w:tcPr>
            <w:tcW w:w="1824" w:type="dxa"/>
            <w:tcBorders>
              <w:top w:val="single" w:sz="2" w:space="0" w:color="1F4E79" w:themeColor="accent1" w:themeShade="80"/>
            </w:tcBorders>
            <w:shd w:val="clear" w:color="auto" w:fill="auto"/>
            <w:vAlign w:val="center"/>
          </w:tcPr>
          <w:p w14:paraId="27712E7B" w14:textId="77777777" w:rsidR="008B7E19" w:rsidRPr="00DE4C4A" w:rsidRDefault="008B7E19" w:rsidP="008B7E19">
            <w:pPr>
              <w:pStyle w:val="08-Tabelageral"/>
              <w:ind w:left="113"/>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Pr>
                <w:rFonts w:cs="Arial"/>
                <w:b/>
                <w:bCs/>
                <w:color w:val="000000"/>
                <w:szCs w:val="14"/>
                <w:lang w:eastAsia="en-US"/>
              </w:rPr>
              <w:t>7,857,399</w:t>
            </w:r>
          </w:p>
        </w:tc>
      </w:tr>
      <w:tr w:rsidR="008B7E19" w:rsidRPr="00E22381" w14:paraId="692FC9DE"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42" w:type="dxa"/>
            <w:shd w:val="clear" w:color="auto" w:fill="auto"/>
            <w:vAlign w:val="center"/>
          </w:tcPr>
          <w:p w14:paraId="6E8EDF90" w14:textId="77777777" w:rsidR="008B7E19" w:rsidRPr="00696049" w:rsidRDefault="008B7E19" w:rsidP="008B7E19">
            <w:pPr>
              <w:pStyle w:val="08-Tabelageral"/>
              <w:jc w:val="left"/>
              <w:rPr>
                <w:rFonts w:cs="Arial"/>
                <w:b w:val="0"/>
                <w:bCs w:val="0"/>
                <w:szCs w:val="14"/>
              </w:rPr>
            </w:pPr>
            <w:r w:rsidRPr="004B42CF">
              <w:rPr>
                <w:rFonts w:cs="Arial"/>
                <w:b w:val="0"/>
                <w:bCs w:val="0"/>
                <w:szCs w:val="14"/>
              </w:rPr>
              <w:t>Dividends</w:t>
            </w:r>
          </w:p>
        </w:tc>
        <w:tc>
          <w:tcPr>
            <w:tcW w:w="2020" w:type="dxa"/>
            <w:shd w:val="clear" w:color="auto" w:fill="auto"/>
            <w:vAlign w:val="center"/>
          </w:tcPr>
          <w:p w14:paraId="7A238561" w14:textId="77777777" w:rsidR="008B7E19" w:rsidRDefault="008B7E19" w:rsidP="008B7E19">
            <w:pPr>
              <w:pStyle w:val="08-Tabelageral"/>
              <w:ind w:left="113"/>
              <w:cnfStyle w:val="000000100000" w:firstRow="0" w:lastRow="0" w:firstColumn="0" w:lastColumn="0" w:oddVBand="0" w:evenVBand="0" w:oddHBand="1" w:evenHBand="0" w:firstRowFirstColumn="0" w:firstRowLastColumn="0" w:lastRowFirstColumn="0" w:lastRowLastColumn="0"/>
              <w:rPr>
                <w:rFonts w:cs="Arial"/>
                <w:color w:val="000000"/>
                <w:szCs w:val="14"/>
              </w:rPr>
            </w:pPr>
            <w:r>
              <w:rPr>
                <w:rFonts w:cs="Arial"/>
                <w:color w:val="000000"/>
                <w:szCs w:val="14"/>
                <w:lang w:eastAsia="en-US"/>
              </w:rPr>
              <w:t>(1,814,174)</w:t>
            </w:r>
          </w:p>
        </w:tc>
        <w:tc>
          <w:tcPr>
            <w:tcW w:w="1753" w:type="dxa"/>
            <w:shd w:val="clear" w:color="auto" w:fill="auto"/>
            <w:vAlign w:val="center"/>
          </w:tcPr>
          <w:p w14:paraId="3FC0D3FF" w14:textId="77777777" w:rsidR="008B7E19" w:rsidRDefault="008B7E19" w:rsidP="008B7E19">
            <w:pPr>
              <w:pStyle w:val="08-Tabelageral"/>
              <w:ind w:left="113"/>
              <w:cnfStyle w:val="000000100000" w:firstRow="0" w:lastRow="0" w:firstColumn="0" w:lastColumn="0" w:oddVBand="0" w:evenVBand="0" w:oddHBand="1" w:evenHBand="0" w:firstRowFirstColumn="0" w:firstRowLastColumn="0" w:lastRowFirstColumn="0" w:lastRowLastColumn="0"/>
              <w:rPr>
                <w:rFonts w:cs="Arial"/>
                <w:color w:val="000000"/>
                <w:szCs w:val="14"/>
              </w:rPr>
            </w:pPr>
            <w:r>
              <w:rPr>
                <w:rFonts w:cs="Arial"/>
                <w:color w:val="000000"/>
                <w:szCs w:val="14"/>
                <w:lang w:eastAsia="en-US"/>
              </w:rPr>
              <w:t>(1,414,506)</w:t>
            </w:r>
          </w:p>
        </w:tc>
        <w:tc>
          <w:tcPr>
            <w:tcW w:w="1824" w:type="dxa"/>
            <w:shd w:val="clear" w:color="auto" w:fill="auto"/>
            <w:vAlign w:val="center"/>
          </w:tcPr>
          <w:p w14:paraId="6391BDEB" w14:textId="77777777" w:rsidR="008B7E19" w:rsidRDefault="008B7E19" w:rsidP="008B7E19">
            <w:pPr>
              <w:pStyle w:val="08-Tabelageral"/>
              <w:ind w:left="113"/>
              <w:cnfStyle w:val="000000100000" w:firstRow="0" w:lastRow="0" w:firstColumn="0" w:lastColumn="0" w:oddVBand="0" w:evenVBand="0" w:oddHBand="1" w:evenHBand="0" w:firstRowFirstColumn="0" w:firstRowLastColumn="0" w:lastRowFirstColumn="0" w:lastRowLastColumn="0"/>
              <w:rPr>
                <w:rFonts w:cs="Arial"/>
                <w:b/>
                <w:bCs/>
                <w:color w:val="000000"/>
                <w:szCs w:val="14"/>
              </w:rPr>
            </w:pPr>
            <w:r>
              <w:rPr>
                <w:rFonts w:cs="Arial"/>
                <w:b/>
                <w:bCs/>
                <w:color w:val="000000"/>
                <w:szCs w:val="14"/>
                <w:lang w:eastAsia="en-US"/>
              </w:rPr>
              <w:t>(3,228,680)</w:t>
            </w:r>
          </w:p>
        </w:tc>
      </w:tr>
      <w:tr w:rsidR="008B7E19" w:rsidRPr="00E22381" w14:paraId="2D7BA072" w14:textId="77777777" w:rsidTr="008B7E1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42" w:type="dxa"/>
            <w:shd w:val="clear" w:color="auto" w:fill="auto"/>
            <w:vAlign w:val="center"/>
          </w:tcPr>
          <w:p w14:paraId="69604042" w14:textId="77777777" w:rsidR="008B7E19" w:rsidRPr="00696049" w:rsidRDefault="008B7E19" w:rsidP="008B7E19">
            <w:pPr>
              <w:pStyle w:val="08-Tabelageral"/>
              <w:jc w:val="left"/>
              <w:rPr>
                <w:rFonts w:cs="Arial"/>
                <w:b w:val="0"/>
                <w:color w:val="FF0000"/>
                <w:szCs w:val="14"/>
              </w:rPr>
            </w:pPr>
            <w:r w:rsidRPr="00696049">
              <w:rPr>
                <w:rFonts w:cs="Arial"/>
                <w:b w:val="0"/>
                <w:bCs w:val="0"/>
                <w:szCs w:val="14"/>
              </w:rPr>
              <w:t>Equity valuation adjustments</w:t>
            </w:r>
          </w:p>
        </w:tc>
        <w:tc>
          <w:tcPr>
            <w:tcW w:w="2020" w:type="dxa"/>
            <w:shd w:val="clear" w:color="auto" w:fill="auto"/>
            <w:vAlign w:val="center"/>
          </w:tcPr>
          <w:p w14:paraId="2C8E126C" w14:textId="77777777" w:rsidR="008B7E19" w:rsidRPr="00550732" w:rsidRDefault="008B7E19" w:rsidP="008B7E19">
            <w:pPr>
              <w:pStyle w:val="08-Tabelageral"/>
              <w:ind w:left="113"/>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Pr>
                <w:rFonts w:cs="Arial"/>
                <w:color w:val="000000"/>
                <w:szCs w:val="14"/>
                <w:lang w:eastAsia="en-US"/>
              </w:rPr>
              <w:t xml:space="preserve">75,357 </w:t>
            </w:r>
          </w:p>
        </w:tc>
        <w:tc>
          <w:tcPr>
            <w:tcW w:w="1753" w:type="dxa"/>
            <w:shd w:val="clear" w:color="auto" w:fill="auto"/>
            <w:vAlign w:val="center"/>
          </w:tcPr>
          <w:p w14:paraId="61658908" w14:textId="77777777" w:rsidR="008B7E19" w:rsidRPr="00550732" w:rsidRDefault="008B7E19" w:rsidP="008B7E19">
            <w:pPr>
              <w:pStyle w:val="08-Tabelageral"/>
              <w:ind w:left="113"/>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Pr>
                <w:rFonts w:cs="Arial"/>
                <w:color w:val="000000"/>
                <w:szCs w:val="14"/>
                <w:lang w:eastAsia="en-US"/>
              </w:rPr>
              <w:t>--</w:t>
            </w:r>
          </w:p>
        </w:tc>
        <w:tc>
          <w:tcPr>
            <w:tcW w:w="1824" w:type="dxa"/>
            <w:shd w:val="clear" w:color="auto" w:fill="auto"/>
            <w:vAlign w:val="center"/>
          </w:tcPr>
          <w:p w14:paraId="0F46E2E8" w14:textId="77777777" w:rsidR="008B7E19" w:rsidRPr="00DE4C4A" w:rsidRDefault="008B7E19" w:rsidP="008B7E19">
            <w:pPr>
              <w:pStyle w:val="08-Tabelageral"/>
              <w:ind w:left="113"/>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Pr>
                <w:rFonts w:cs="Arial"/>
                <w:b/>
                <w:bCs/>
                <w:color w:val="000000"/>
                <w:szCs w:val="14"/>
                <w:lang w:eastAsia="en-US"/>
              </w:rPr>
              <w:t xml:space="preserve">75,357 </w:t>
            </w:r>
          </w:p>
        </w:tc>
      </w:tr>
      <w:tr w:rsidR="008B7E19" w:rsidRPr="00E22381" w14:paraId="683A0128"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42" w:type="dxa"/>
            <w:shd w:val="clear" w:color="auto" w:fill="auto"/>
            <w:vAlign w:val="center"/>
          </w:tcPr>
          <w:p w14:paraId="7AC6F7CC" w14:textId="77777777" w:rsidR="008B7E19" w:rsidRPr="00696049" w:rsidRDefault="008B7E19" w:rsidP="008B7E19">
            <w:pPr>
              <w:pStyle w:val="08-Tabelageral"/>
              <w:jc w:val="left"/>
              <w:rPr>
                <w:rFonts w:cs="Arial"/>
                <w:b w:val="0"/>
                <w:szCs w:val="14"/>
              </w:rPr>
            </w:pPr>
            <w:r w:rsidRPr="004B42CF">
              <w:rPr>
                <w:rFonts w:cs="Arial"/>
                <w:b w:val="0"/>
                <w:bCs w:val="0"/>
                <w:szCs w:val="14"/>
              </w:rPr>
              <w:t>Other comprehensive income - CPC 50</w:t>
            </w:r>
          </w:p>
        </w:tc>
        <w:tc>
          <w:tcPr>
            <w:tcW w:w="2020" w:type="dxa"/>
            <w:shd w:val="clear" w:color="auto" w:fill="auto"/>
            <w:vAlign w:val="center"/>
          </w:tcPr>
          <w:p w14:paraId="3E1D4AC4" w14:textId="77777777" w:rsidR="008B7E19" w:rsidRDefault="008B7E19" w:rsidP="008B7E19">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r>
              <w:rPr>
                <w:rFonts w:cs="Arial"/>
                <w:color w:val="000000"/>
                <w:szCs w:val="14"/>
                <w:lang w:eastAsia="en-US"/>
              </w:rPr>
              <w:t>316,156</w:t>
            </w:r>
          </w:p>
        </w:tc>
        <w:tc>
          <w:tcPr>
            <w:tcW w:w="1753" w:type="dxa"/>
            <w:shd w:val="clear" w:color="auto" w:fill="auto"/>
            <w:vAlign w:val="center"/>
          </w:tcPr>
          <w:p w14:paraId="04CA0C36" w14:textId="77777777" w:rsidR="008B7E19" w:rsidRDefault="008B7E19" w:rsidP="008B7E19">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r>
              <w:rPr>
                <w:rFonts w:cs="Arial"/>
                <w:color w:val="000000"/>
                <w:szCs w:val="14"/>
                <w:lang w:eastAsia="en-US"/>
              </w:rPr>
              <w:t>--</w:t>
            </w:r>
          </w:p>
        </w:tc>
        <w:tc>
          <w:tcPr>
            <w:tcW w:w="1824" w:type="dxa"/>
            <w:shd w:val="clear" w:color="auto" w:fill="auto"/>
            <w:vAlign w:val="center"/>
          </w:tcPr>
          <w:p w14:paraId="56432046" w14:textId="77777777" w:rsidR="008B7E19" w:rsidRDefault="008B7E19" w:rsidP="008B7E19">
            <w:pPr>
              <w:pStyle w:val="08-Tabelageral"/>
              <w:ind w:left="113"/>
              <w:cnfStyle w:val="000000100000" w:firstRow="0" w:lastRow="0" w:firstColumn="0" w:lastColumn="0" w:oddVBand="0" w:evenVBand="0" w:oddHBand="1" w:evenHBand="0" w:firstRowFirstColumn="0" w:firstRowLastColumn="0" w:lastRowFirstColumn="0" w:lastRowLastColumn="0"/>
              <w:rPr>
                <w:rFonts w:cs="Arial"/>
                <w:b/>
                <w:bCs/>
                <w:color w:val="000000"/>
                <w:szCs w:val="14"/>
              </w:rPr>
            </w:pPr>
            <w:r>
              <w:rPr>
                <w:rFonts w:cs="Arial"/>
                <w:b/>
                <w:bCs/>
                <w:color w:val="000000"/>
                <w:szCs w:val="14"/>
                <w:lang w:eastAsia="en-US"/>
              </w:rPr>
              <w:t>316,156</w:t>
            </w:r>
          </w:p>
        </w:tc>
      </w:tr>
      <w:tr w:rsidR="008B7E19" w:rsidRPr="00E22381" w14:paraId="573D0B88" w14:textId="77777777" w:rsidTr="008B7E1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42" w:type="dxa"/>
            <w:shd w:val="clear" w:color="auto" w:fill="auto"/>
            <w:vAlign w:val="center"/>
          </w:tcPr>
          <w:p w14:paraId="144B52AC" w14:textId="77777777" w:rsidR="008B7E19" w:rsidRPr="00696049" w:rsidRDefault="008B7E19" w:rsidP="008B7E19">
            <w:pPr>
              <w:rPr>
                <w:rFonts w:cs="Arial"/>
                <w:b w:val="0"/>
                <w:sz w:val="14"/>
                <w:szCs w:val="14"/>
              </w:rPr>
            </w:pPr>
            <w:r w:rsidRPr="004B42CF">
              <w:rPr>
                <w:rFonts w:cs="Arial"/>
                <w:b w:val="0"/>
                <w:bCs w:val="0"/>
                <w:sz w:val="14"/>
                <w:szCs w:val="14"/>
              </w:rPr>
              <w:t>Other comprehensive income</w:t>
            </w:r>
          </w:p>
        </w:tc>
        <w:tc>
          <w:tcPr>
            <w:tcW w:w="2020" w:type="dxa"/>
            <w:shd w:val="clear" w:color="auto" w:fill="auto"/>
            <w:vAlign w:val="center"/>
          </w:tcPr>
          <w:p w14:paraId="28AF3C9E" w14:textId="77777777" w:rsidR="008B7E19" w:rsidRDefault="008B7E19" w:rsidP="008B7E19">
            <w:pPr>
              <w:pStyle w:val="08-Tabelageral"/>
              <w:ind w:left="113"/>
              <w:cnfStyle w:val="000000010000" w:firstRow="0" w:lastRow="0" w:firstColumn="0" w:lastColumn="0" w:oddVBand="0" w:evenVBand="0" w:oddHBand="0" w:evenHBand="1" w:firstRowFirstColumn="0" w:firstRowLastColumn="0" w:lastRowFirstColumn="0" w:lastRowLastColumn="0"/>
              <w:rPr>
                <w:rFonts w:cs="Arial"/>
                <w:szCs w:val="14"/>
              </w:rPr>
            </w:pPr>
            <w:r>
              <w:rPr>
                <w:rFonts w:cs="Arial"/>
                <w:color w:val="000000"/>
                <w:szCs w:val="14"/>
                <w:lang w:eastAsia="en-US"/>
              </w:rPr>
              <w:t>--</w:t>
            </w:r>
          </w:p>
        </w:tc>
        <w:tc>
          <w:tcPr>
            <w:tcW w:w="1753" w:type="dxa"/>
            <w:shd w:val="clear" w:color="auto" w:fill="auto"/>
            <w:vAlign w:val="center"/>
          </w:tcPr>
          <w:p w14:paraId="65B552B6" w14:textId="77777777" w:rsidR="008B7E19" w:rsidRDefault="008B7E19" w:rsidP="008B7E19">
            <w:pPr>
              <w:pStyle w:val="08-Tabelageral"/>
              <w:ind w:left="113"/>
              <w:cnfStyle w:val="000000010000" w:firstRow="0" w:lastRow="0" w:firstColumn="0" w:lastColumn="0" w:oddVBand="0" w:evenVBand="0" w:oddHBand="0" w:evenHBand="1" w:firstRowFirstColumn="0" w:firstRowLastColumn="0" w:lastRowFirstColumn="0" w:lastRowLastColumn="0"/>
              <w:rPr>
                <w:rFonts w:cs="Arial"/>
                <w:szCs w:val="14"/>
              </w:rPr>
            </w:pPr>
            <w:r>
              <w:rPr>
                <w:rFonts w:cs="Arial"/>
                <w:color w:val="000000"/>
                <w:szCs w:val="14"/>
                <w:lang w:eastAsia="en-US"/>
              </w:rPr>
              <w:t>(248)</w:t>
            </w:r>
          </w:p>
        </w:tc>
        <w:tc>
          <w:tcPr>
            <w:tcW w:w="1824" w:type="dxa"/>
            <w:shd w:val="clear" w:color="auto" w:fill="auto"/>
            <w:vAlign w:val="center"/>
          </w:tcPr>
          <w:p w14:paraId="7832FDBC" w14:textId="77777777" w:rsidR="008B7E19" w:rsidRDefault="008B7E19" w:rsidP="008B7E19">
            <w:pPr>
              <w:pStyle w:val="08-Tabelageral"/>
              <w:ind w:left="113"/>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Pr>
                <w:rFonts w:cs="Arial"/>
                <w:b/>
                <w:bCs/>
                <w:color w:val="000000"/>
                <w:szCs w:val="14"/>
                <w:lang w:eastAsia="en-US"/>
              </w:rPr>
              <w:t>(248)</w:t>
            </w:r>
          </w:p>
        </w:tc>
      </w:tr>
      <w:tr w:rsidR="008B7E19" w:rsidRPr="00E22381" w14:paraId="09D3C8B1"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42" w:type="dxa"/>
            <w:shd w:val="clear" w:color="auto" w:fill="auto"/>
            <w:vAlign w:val="center"/>
          </w:tcPr>
          <w:p w14:paraId="5BF05285" w14:textId="77777777" w:rsidR="008B7E19" w:rsidRPr="00696049" w:rsidRDefault="008B7E19" w:rsidP="008B7E19">
            <w:pPr>
              <w:pStyle w:val="08-Tabelageral"/>
              <w:jc w:val="left"/>
              <w:rPr>
                <w:rFonts w:cs="Arial"/>
                <w:b w:val="0"/>
                <w:color w:val="FF0000"/>
                <w:szCs w:val="14"/>
              </w:rPr>
            </w:pPr>
            <w:r w:rsidRPr="004B42CF">
              <w:rPr>
                <w:rFonts w:cs="Arial"/>
                <w:b w:val="0"/>
                <w:bCs w:val="0"/>
                <w:szCs w:val="14"/>
              </w:rPr>
              <w:t>Equity Income</w:t>
            </w:r>
          </w:p>
        </w:tc>
        <w:tc>
          <w:tcPr>
            <w:tcW w:w="2020" w:type="dxa"/>
            <w:shd w:val="clear" w:color="auto" w:fill="auto"/>
            <w:vAlign w:val="center"/>
          </w:tcPr>
          <w:p w14:paraId="2D9AAAA9" w14:textId="77777777" w:rsidR="008B7E19" w:rsidRPr="00550732" w:rsidRDefault="008B7E19" w:rsidP="008B7E19">
            <w:pPr>
              <w:pStyle w:val="08-Tabelageral"/>
              <w:ind w:left="113"/>
              <w:cnfStyle w:val="000000100000" w:firstRow="0" w:lastRow="0" w:firstColumn="0" w:lastColumn="0" w:oddVBand="0" w:evenVBand="0" w:oddHBand="1" w:evenHBand="0" w:firstRowFirstColumn="0" w:firstRowLastColumn="0" w:lastRowFirstColumn="0" w:lastRowLastColumn="0"/>
              <w:rPr>
                <w:rFonts w:cs="Arial"/>
                <w:b/>
                <w:bCs/>
                <w:color w:val="000000"/>
                <w:szCs w:val="14"/>
              </w:rPr>
            </w:pPr>
            <w:r>
              <w:rPr>
                <w:rFonts w:cs="Arial"/>
                <w:szCs w:val="14"/>
              </w:rPr>
              <w:t>2,308,481</w:t>
            </w:r>
          </w:p>
        </w:tc>
        <w:tc>
          <w:tcPr>
            <w:tcW w:w="1753" w:type="dxa"/>
            <w:shd w:val="clear" w:color="auto" w:fill="auto"/>
            <w:vAlign w:val="center"/>
          </w:tcPr>
          <w:p w14:paraId="2191CFEA" w14:textId="77777777" w:rsidR="008B7E19" w:rsidRPr="00550732" w:rsidRDefault="008B7E19" w:rsidP="008B7E19">
            <w:pPr>
              <w:pStyle w:val="08-Tabelageral"/>
              <w:ind w:left="113"/>
              <w:cnfStyle w:val="000000100000" w:firstRow="0" w:lastRow="0" w:firstColumn="0" w:lastColumn="0" w:oddVBand="0" w:evenVBand="0" w:oddHBand="1" w:evenHBand="0" w:firstRowFirstColumn="0" w:firstRowLastColumn="0" w:lastRowFirstColumn="0" w:lastRowLastColumn="0"/>
              <w:rPr>
                <w:rFonts w:cs="Arial"/>
                <w:b/>
                <w:bCs/>
                <w:color w:val="000000"/>
                <w:szCs w:val="14"/>
              </w:rPr>
            </w:pPr>
            <w:r w:rsidRPr="0043297B">
              <w:rPr>
                <w:rFonts w:cs="Arial"/>
                <w:szCs w:val="14"/>
              </w:rPr>
              <w:t>1</w:t>
            </w:r>
            <w:r>
              <w:rPr>
                <w:rFonts w:cs="Arial"/>
                <w:szCs w:val="14"/>
              </w:rPr>
              <w:t>,</w:t>
            </w:r>
            <w:r w:rsidRPr="0043297B">
              <w:rPr>
                <w:rFonts w:cs="Arial"/>
                <w:szCs w:val="14"/>
              </w:rPr>
              <w:t>414</w:t>
            </w:r>
            <w:r>
              <w:rPr>
                <w:rFonts w:cs="Arial"/>
                <w:szCs w:val="14"/>
              </w:rPr>
              <w:t>,</w:t>
            </w:r>
            <w:r w:rsidRPr="0043297B">
              <w:rPr>
                <w:rFonts w:cs="Arial"/>
                <w:szCs w:val="14"/>
              </w:rPr>
              <w:t>506</w:t>
            </w:r>
          </w:p>
        </w:tc>
        <w:tc>
          <w:tcPr>
            <w:tcW w:w="1824" w:type="dxa"/>
            <w:shd w:val="clear" w:color="auto" w:fill="auto"/>
            <w:vAlign w:val="center"/>
          </w:tcPr>
          <w:p w14:paraId="71E21886" w14:textId="77777777" w:rsidR="008B7E19" w:rsidRPr="00DE4C4A" w:rsidRDefault="008B7E19" w:rsidP="008B7E19">
            <w:pPr>
              <w:pStyle w:val="08-Tabelageral"/>
              <w:ind w:left="113"/>
              <w:cnfStyle w:val="000000100000" w:firstRow="0" w:lastRow="0" w:firstColumn="0" w:lastColumn="0" w:oddVBand="0" w:evenVBand="0" w:oddHBand="1" w:evenHBand="0" w:firstRowFirstColumn="0" w:firstRowLastColumn="0" w:lastRowFirstColumn="0" w:lastRowLastColumn="0"/>
              <w:rPr>
                <w:rFonts w:cs="Arial"/>
                <w:b/>
                <w:bCs/>
                <w:color w:val="000000"/>
                <w:szCs w:val="14"/>
              </w:rPr>
            </w:pPr>
            <w:r w:rsidRPr="0043297B">
              <w:rPr>
                <w:rFonts w:cs="Arial"/>
                <w:b/>
                <w:szCs w:val="14"/>
              </w:rPr>
              <w:t>3</w:t>
            </w:r>
            <w:r>
              <w:rPr>
                <w:rFonts w:cs="Arial"/>
                <w:b/>
                <w:szCs w:val="14"/>
              </w:rPr>
              <w:t>,</w:t>
            </w:r>
            <w:r w:rsidRPr="0043297B">
              <w:rPr>
                <w:rFonts w:cs="Arial"/>
                <w:b/>
                <w:szCs w:val="14"/>
              </w:rPr>
              <w:t>722</w:t>
            </w:r>
            <w:r>
              <w:rPr>
                <w:rFonts w:cs="Arial"/>
                <w:b/>
                <w:szCs w:val="14"/>
              </w:rPr>
              <w:t>,</w:t>
            </w:r>
            <w:r w:rsidRPr="0043297B">
              <w:rPr>
                <w:rFonts w:cs="Arial"/>
                <w:b/>
                <w:szCs w:val="14"/>
              </w:rPr>
              <w:t>98</w:t>
            </w:r>
            <w:r>
              <w:rPr>
                <w:rFonts w:cs="Arial"/>
                <w:b/>
                <w:szCs w:val="14"/>
              </w:rPr>
              <w:t>7</w:t>
            </w:r>
          </w:p>
        </w:tc>
      </w:tr>
      <w:tr w:rsidR="008B7E19" w:rsidRPr="00E22381" w14:paraId="54C4CED7" w14:textId="77777777" w:rsidTr="008B7E1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42" w:type="dxa"/>
            <w:shd w:val="clear" w:color="auto" w:fill="auto"/>
            <w:vAlign w:val="center"/>
          </w:tcPr>
          <w:p w14:paraId="1CC6D318" w14:textId="77777777" w:rsidR="008B7E19" w:rsidRPr="00696049" w:rsidRDefault="008B7E19" w:rsidP="008B7E19">
            <w:pPr>
              <w:pStyle w:val="08-Tabelageral"/>
              <w:jc w:val="left"/>
              <w:rPr>
                <w:rFonts w:cs="Arial"/>
                <w:bCs w:val="0"/>
                <w:color w:val="FF0000"/>
                <w:szCs w:val="14"/>
              </w:rPr>
            </w:pPr>
            <w:r w:rsidRPr="00696049">
              <w:rPr>
                <w:rFonts w:cs="Arial"/>
                <w:szCs w:val="14"/>
              </w:rPr>
              <w:t xml:space="preserve">Book Balance on </w:t>
            </w:r>
            <w:r>
              <w:rPr>
                <w:rFonts w:cs="Arial"/>
                <w:szCs w:val="14"/>
              </w:rPr>
              <w:t xml:space="preserve">June </w:t>
            </w:r>
            <w:r w:rsidRPr="00696049">
              <w:rPr>
                <w:rFonts w:cs="Arial"/>
                <w:szCs w:val="14"/>
              </w:rPr>
              <w:t>3</w:t>
            </w:r>
            <w:r>
              <w:rPr>
                <w:rFonts w:cs="Arial"/>
                <w:szCs w:val="14"/>
              </w:rPr>
              <w:t xml:space="preserve">0, </w:t>
            </w:r>
            <w:r w:rsidRPr="00696049">
              <w:rPr>
                <w:rFonts w:cs="Arial"/>
                <w:szCs w:val="14"/>
              </w:rPr>
              <w:t>202</w:t>
            </w:r>
            <w:r>
              <w:rPr>
                <w:rFonts w:cs="Arial"/>
                <w:szCs w:val="14"/>
              </w:rPr>
              <w:t>3</w:t>
            </w:r>
          </w:p>
        </w:tc>
        <w:tc>
          <w:tcPr>
            <w:tcW w:w="2020" w:type="dxa"/>
            <w:shd w:val="clear" w:color="auto" w:fill="auto"/>
            <w:vAlign w:val="center"/>
          </w:tcPr>
          <w:p w14:paraId="129CFA51" w14:textId="77777777" w:rsidR="008B7E19" w:rsidRPr="00550732" w:rsidRDefault="008B7E19" w:rsidP="008B7E19">
            <w:pPr>
              <w:pStyle w:val="08-Tabelageral"/>
              <w:ind w:left="113"/>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Pr>
                <w:rFonts w:cs="Arial"/>
                <w:b/>
                <w:bCs/>
                <w:color w:val="000000"/>
                <w:szCs w:val="14"/>
              </w:rPr>
              <w:t>8,736,881</w:t>
            </w:r>
          </w:p>
        </w:tc>
        <w:tc>
          <w:tcPr>
            <w:tcW w:w="1753" w:type="dxa"/>
            <w:shd w:val="clear" w:color="auto" w:fill="auto"/>
            <w:vAlign w:val="center"/>
          </w:tcPr>
          <w:p w14:paraId="2B3BAA8D" w14:textId="77777777" w:rsidR="008B7E19" w:rsidRPr="00550732" w:rsidRDefault="008B7E19" w:rsidP="008B7E19">
            <w:pPr>
              <w:pStyle w:val="08-Tabelageral"/>
              <w:ind w:left="113"/>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Pr>
                <w:rFonts w:cs="Arial"/>
                <w:b/>
                <w:bCs/>
                <w:color w:val="000000"/>
                <w:szCs w:val="14"/>
              </w:rPr>
              <w:t>6,090</w:t>
            </w:r>
          </w:p>
        </w:tc>
        <w:tc>
          <w:tcPr>
            <w:tcW w:w="1824" w:type="dxa"/>
            <w:shd w:val="clear" w:color="auto" w:fill="auto"/>
            <w:vAlign w:val="center"/>
          </w:tcPr>
          <w:p w14:paraId="2B0AB4BF" w14:textId="77777777" w:rsidR="008B7E19" w:rsidRPr="00DE4C4A" w:rsidRDefault="008B7E19" w:rsidP="008B7E19">
            <w:pPr>
              <w:pStyle w:val="08-Tabelageral"/>
              <w:ind w:left="113"/>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Pr>
                <w:rFonts w:cs="Arial"/>
                <w:b/>
                <w:bCs/>
                <w:color w:val="000000"/>
                <w:szCs w:val="14"/>
              </w:rPr>
              <w:t>8,742,971</w:t>
            </w:r>
          </w:p>
        </w:tc>
      </w:tr>
      <w:tr w:rsidR="008B7E19" w:rsidRPr="00E22381" w14:paraId="606CB6CD"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42" w:type="dxa"/>
            <w:tcBorders>
              <w:bottom w:val="single" w:sz="2" w:space="0" w:color="1F4E79" w:themeColor="accent1" w:themeShade="80"/>
            </w:tcBorders>
            <w:shd w:val="clear" w:color="auto" w:fill="auto"/>
            <w:vAlign w:val="center"/>
          </w:tcPr>
          <w:p w14:paraId="1D3FE493" w14:textId="77777777" w:rsidR="008B7E19" w:rsidRPr="00696049" w:rsidRDefault="008B7E19" w:rsidP="008B7E19">
            <w:pPr>
              <w:pStyle w:val="08-Tabelageral"/>
              <w:jc w:val="left"/>
              <w:rPr>
                <w:rFonts w:cs="Arial"/>
                <w:color w:val="FF0000"/>
                <w:szCs w:val="14"/>
              </w:rPr>
            </w:pPr>
          </w:p>
        </w:tc>
        <w:tc>
          <w:tcPr>
            <w:tcW w:w="5597" w:type="dxa"/>
            <w:gridSpan w:val="3"/>
            <w:tcBorders>
              <w:bottom w:val="single" w:sz="2" w:space="0" w:color="1F4E79" w:themeColor="accent1" w:themeShade="80"/>
            </w:tcBorders>
            <w:shd w:val="clear" w:color="auto" w:fill="auto"/>
            <w:vAlign w:val="center"/>
          </w:tcPr>
          <w:p w14:paraId="3730A668" w14:textId="77777777" w:rsidR="008B7E19" w:rsidRPr="00696049" w:rsidRDefault="008B7E19" w:rsidP="008B7E19">
            <w:pPr>
              <w:pStyle w:val="08-Tabelageral"/>
              <w:ind w:left="113"/>
              <w:jc w:val="center"/>
              <w:cnfStyle w:val="000000100000" w:firstRow="0" w:lastRow="0" w:firstColumn="0" w:lastColumn="0" w:oddVBand="0" w:evenVBand="0" w:oddHBand="1" w:evenHBand="0" w:firstRowFirstColumn="0" w:firstRowLastColumn="0" w:lastRowFirstColumn="0" w:lastRowLastColumn="0"/>
              <w:rPr>
                <w:rFonts w:cs="Arial"/>
                <w:b/>
                <w:bCs/>
                <w:color w:val="000000"/>
                <w:szCs w:val="14"/>
              </w:rPr>
            </w:pPr>
          </w:p>
        </w:tc>
      </w:tr>
      <w:tr w:rsidR="008B7E19" w:rsidRPr="00E22381" w14:paraId="34CD2DAA" w14:textId="77777777" w:rsidTr="008B7E1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9639" w:type="dxa"/>
            <w:gridSpan w:val="4"/>
            <w:tcBorders>
              <w:top w:val="single" w:sz="2" w:space="0" w:color="1F4E79" w:themeColor="accent1" w:themeShade="80"/>
              <w:bottom w:val="single" w:sz="2" w:space="0" w:color="1F4E79" w:themeColor="accent1" w:themeShade="80"/>
            </w:tcBorders>
            <w:shd w:val="clear" w:color="auto" w:fill="auto"/>
            <w:vAlign w:val="center"/>
          </w:tcPr>
          <w:p w14:paraId="45ADBA34" w14:textId="77777777" w:rsidR="008B7E19" w:rsidRPr="006A019D" w:rsidRDefault="008B7E19" w:rsidP="008B7E19">
            <w:pPr>
              <w:pStyle w:val="08-Tabelageral"/>
              <w:jc w:val="left"/>
              <w:rPr>
                <w:rFonts w:cs="Arial"/>
                <w:bCs w:val="0"/>
                <w:szCs w:val="14"/>
              </w:rPr>
            </w:pPr>
            <w:r w:rsidRPr="006A019D">
              <w:rPr>
                <w:rFonts w:cs="Arial"/>
                <w:szCs w:val="14"/>
                <w:lang w:val="en-US"/>
              </w:rPr>
              <w:t>Equity Income</w:t>
            </w:r>
          </w:p>
        </w:tc>
      </w:tr>
      <w:tr w:rsidR="008B7E19" w:rsidRPr="00CF5925" w14:paraId="694D5472" w14:textId="77777777" w:rsidTr="008B7E19">
        <w:trPr>
          <w:cnfStyle w:val="000000100000" w:firstRow="0" w:lastRow="0" w:firstColumn="0" w:lastColumn="0" w:oddVBand="0" w:evenVBand="0" w:oddHBand="1" w:evenHBand="0" w:firstRowFirstColumn="0" w:firstRowLastColumn="0" w:lastRowFirstColumn="0" w:lastRowLastColumn="0"/>
          <w:trHeight w:val="68"/>
          <w:jc w:val="center"/>
        </w:trPr>
        <w:tc>
          <w:tcPr>
            <w:cnfStyle w:val="001000000000" w:firstRow="0" w:lastRow="0" w:firstColumn="1" w:lastColumn="0" w:oddVBand="0" w:evenVBand="0" w:oddHBand="0" w:evenHBand="0" w:firstRowFirstColumn="0" w:firstRowLastColumn="0" w:lastRowFirstColumn="0" w:lastRowLastColumn="0"/>
            <w:tcW w:w="4042" w:type="dxa"/>
            <w:tcBorders>
              <w:top w:val="single" w:sz="2" w:space="0" w:color="1F4E79" w:themeColor="accent1" w:themeShade="80"/>
              <w:bottom w:val="nil"/>
            </w:tcBorders>
            <w:shd w:val="clear" w:color="auto" w:fill="auto"/>
            <w:vAlign w:val="center"/>
          </w:tcPr>
          <w:p w14:paraId="3E5DA541" w14:textId="77777777" w:rsidR="008B7E19" w:rsidRPr="00696049" w:rsidRDefault="008B7E19" w:rsidP="008B7E19">
            <w:pPr>
              <w:pStyle w:val="08-Tabelageral"/>
              <w:jc w:val="left"/>
              <w:rPr>
                <w:rFonts w:cs="Arial"/>
                <w:bCs w:val="0"/>
                <w:szCs w:val="14"/>
              </w:rPr>
            </w:pPr>
            <w:r>
              <w:rPr>
                <w:rStyle w:val="rynqvb"/>
                <w:lang w:val="en"/>
              </w:rPr>
              <w:t>2</w:t>
            </w:r>
            <w:r>
              <w:rPr>
                <w:rStyle w:val="rynqvb"/>
                <w:vertAlign w:val="superscript"/>
                <w:lang w:val="en"/>
              </w:rPr>
              <w:t>nd</w:t>
            </w:r>
            <w:r w:rsidRPr="005C3AB8">
              <w:rPr>
                <w:rStyle w:val="rynqvb"/>
                <w:vertAlign w:val="superscript"/>
                <w:lang w:val="en"/>
              </w:rPr>
              <w:t xml:space="preserve"> </w:t>
            </w:r>
            <w:r>
              <w:rPr>
                <w:rStyle w:val="rynqvb"/>
                <w:lang w:val="en"/>
              </w:rPr>
              <w:t>Quarter 2023</w:t>
            </w:r>
          </w:p>
        </w:tc>
        <w:tc>
          <w:tcPr>
            <w:tcW w:w="2020" w:type="dxa"/>
            <w:tcBorders>
              <w:top w:val="single" w:sz="2" w:space="0" w:color="1F4E79" w:themeColor="accent1" w:themeShade="80"/>
              <w:bottom w:val="nil"/>
            </w:tcBorders>
            <w:shd w:val="clear" w:color="auto" w:fill="auto"/>
            <w:vAlign w:val="center"/>
          </w:tcPr>
          <w:p w14:paraId="299987EE" w14:textId="77777777" w:rsidR="008B7E19" w:rsidRPr="00DB5EB4" w:rsidRDefault="008B7E19" w:rsidP="008B7E19">
            <w:pPr>
              <w:jc w:val="right"/>
              <w:cnfStyle w:val="000000100000" w:firstRow="0" w:lastRow="0" w:firstColumn="0" w:lastColumn="0" w:oddVBand="0" w:evenVBand="0" w:oddHBand="1" w:evenHBand="0" w:firstRowFirstColumn="0" w:firstRowLastColumn="0" w:lastRowFirstColumn="0" w:lastRowLastColumn="0"/>
              <w:rPr>
                <w:rFonts w:eastAsia="Times New Roman" w:cs="Arial"/>
                <w:b/>
                <w:color w:val="000000"/>
                <w:sz w:val="14"/>
                <w:szCs w:val="14"/>
              </w:rPr>
            </w:pPr>
            <w:r w:rsidRPr="00DB5EB4">
              <w:rPr>
                <w:rFonts w:cs="Arial"/>
                <w:b/>
                <w:color w:val="000000"/>
                <w:sz w:val="14"/>
                <w:szCs w:val="14"/>
              </w:rPr>
              <w:t>1</w:t>
            </w:r>
            <w:r>
              <w:rPr>
                <w:rFonts w:cs="Arial"/>
                <w:b/>
                <w:color w:val="000000"/>
                <w:sz w:val="14"/>
                <w:szCs w:val="14"/>
              </w:rPr>
              <w:t>,</w:t>
            </w:r>
            <w:r w:rsidRPr="00DB5EB4">
              <w:rPr>
                <w:rFonts w:cs="Arial"/>
                <w:b/>
                <w:color w:val="000000"/>
                <w:sz w:val="14"/>
                <w:szCs w:val="14"/>
              </w:rPr>
              <w:t>180</w:t>
            </w:r>
            <w:r>
              <w:rPr>
                <w:rFonts w:cs="Arial"/>
                <w:b/>
                <w:color w:val="000000"/>
                <w:sz w:val="14"/>
                <w:szCs w:val="14"/>
              </w:rPr>
              <w:t>,</w:t>
            </w:r>
            <w:r w:rsidRPr="00DB5EB4">
              <w:rPr>
                <w:rFonts w:cs="Arial"/>
                <w:b/>
                <w:color w:val="000000"/>
                <w:sz w:val="14"/>
                <w:szCs w:val="14"/>
              </w:rPr>
              <w:t xml:space="preserve">083 </w:t>
            </w:r>
          </w:p>
        </w:tc>
        <w:tc>
          <w:tcPr>
            <w:tcW w:w="1753" w:type="dxa"/>
            <w:tcBorders>
              <w:top w:val="single" w:sz="2" w:space="0" w:color="1F4E79" w:themeColor="accent1" w:themeShade="80"/>
              <w:bottom w:val="nil"/>
            </w:tcBorders>
            <w:shd w:val="clear" w:color="auto" w:fill="auto"/>
            <w:vAlign w:val="center"/>
          </w:tcPr>
          <w:p w14:paraId="02007CB9" w14:textId="77777777" w:rsidR="008B7E19" w:rsidRPr="00DB5EB4" w:rsidRDefault="008B7E19" w:rsidP="008B7E19">
            <w:pPr>
              <w:jc w:val="right"/>
              <w:cnfStyle w:val="000000100000" w:firstRow="0" w:lastRow="0" w:firstColumn="0" w:lastColumn="0" w:oddVBand="0" w:evenVBand="0" w:oddHBand="1" w:evenHBand="0" w:firstRowFirstColumn="0" w:firstRowLastColumn="0" w:lastRowFirstColumn="0" w:lastRowLastColumn="0"/>
              <w:rPr>
                <w:rFonts w:eastAsia="Times New Roman" w:cs="Arial"/>
                <w:b/>
                <w:color w:val="000000"/>
                <w:sz w:val="14"/>
                <w:szCs w:val="14"/>
              </w:rPr>
            </w:pPr>
            <w:r w:rsidRPr="00DB5EB4">
              <w:rPr>
                <w:rFonts w:cs="Arial"/>
                <w:b/>
                <w:color w:val="000000"/>
                <w:sz w:val="14"/>
                <w:szCs w:val="14"/>
              </w:rPr>
              <w:t>706</w:t>
            </w:r>
            <w:r>
              <w:rPr>
                <w:rFonts w:cs="Arial"/>
                <w:b/>
                <w:color w:val="000000"/>
                <w:sz w:val="14"/>
                <w:szCs w:val="14"/>
              </w:rPr>
              <w:t>,</w:t>
            </w:r>
            <w:r w:rsidRPr="00DB5EB4">
              <w:rPr>
                <w:rFonts w:cs="Arial"/>
                <w:b/>
                <w:color w:val="000000"/>
                <w:sz w:val="14"/>
                <w:szCs w:val="14"/>
              </w:rPr>
              <w:t xml:space="preserve">795 </w:t>
            </w:r>
          </w:p>
        </w:tc>
        <w:tc>
          <w:tcPr>
            <w:tcW w:w="1824" w:type="dxa"/>
            <w:tcBorders>
              <w:top w:val="single" w:sz="2" w:space="0" w:color="1F4E79" w:themeColor="accent1" w:themeShade="80"/>
              <w:bottom w:val="nil"/>
            </w:tcBorders>
            <w:shd w:val="clear" w:color="auto" w:fill="auto"/>
            <w:vAlign w:val="center"/>
          </w:tcPr>
          <w:p w14:paraId="67BD6EB7" w14:textId="77777777" w:rsidR="008B7E19" w:rsidRPr="00DB5EB4" w:rsidRDefault="008B7E19" w:rsidP="008B7E19">
            <w:pPr>
              <w:jc w:val="right"/>
              <w:cnfStyle w:val="000000100000" w:firstRow="0" w:lastRow="0" w:firstColumn="0" w:lastColumn="0" w:oddVBand="0" w:evenVBand="0" w:oddHBand="1" w:evenHBand="0" w:firstRowFirstColumn="0" w:firstRowLastColumn="0" w:lastRowFirstColumn="0" w:lastRowLastColumn="0"/>
              <w:rPr>
                <w:rFonts w:eastAsia="Times New Roman" w:cs="Arial"/>
                <w:b/>
                <w:color w:val="000000"/>
                <w:sz w:val="14"/>
                <w:szCs w:val="14"/>
              </w:rPr>
            </w:pPr>
            <w:r w:rsidRPr="00DB5EB4">
              <w:rPr>
                <w:rFonts w:cs="Arial"/>
                <w:b/>
                <w:color w:val="000000"/>
                <w:sz w:val="14"/>
                <w:szCs w:val="14"/>
              </w:rPr>
              <w:t>1</w:t>
            </w:r>
            <w:r>
              <w:rPr>
                <w:rFonts w:cs="Arial"/>
                <w:b/>
                <w:color w:val="000000"/>
                <w:sz w:val="14"/>
                <w:szCs w:val="14"/>
              </w:rPr>
              <w:t>,</w:t>
            </w:r>
            <w:r w:rsidRPr="00DB5EB4">
              <w:rPr>
                <w:rFonts w:cs="Arial"/>
                <w:b/>
                <w:color w:val="000000"/>
                <w:sz w:val="14"/>
                <w:szCs w:val="14"/>
              </w:rPr>
              <w:t>886</w:t>
            </w:r>
            <w:r>
              <w:rPr>
                <w:rFonts w:cs="Arial"/>
                <w:b/>
                <w:color w:val="000000"/>
                <w:sz w:val="14"/>
                <w:szCs w:val="14"/>
              </w:rPr>
              <w:t>,</w:t>
            </w:r>
            <w:r w:rsidRPr="00DB5EB4">
              <w:rPr>
                <w:rFonts w:cs="Arial"/>
                <w:b/>
                <w:color w:val="000000"/>
                <w:sz w:val="14"/>
                <w:szCs w:val="14"/>
              </w:rPr>
              <w:t xml:space="preserve">878 </w:t>
            </w:r>
          </w:p>
        </w:tc>
      </w:tr>
      <w:tr w:rsidR="008B7E19" w:rsidRPr="00CF5925" w14:paraId="67677312" w14:textId="77777777" w:rsidTr="008B7E19">
        <w:trPr>
          <w:cnfStyle w:val="000000010000" w:firstRow="0" w:lastRow="0" w:firstColumn="0" w:lastColumn="0" w:oddVBand="0" w:evenVBand="0" w:oddHBand="0" w:evenHBand="1" w:firstRowFirstColumn="0" w:firstRowLastColumn="0" w:lastRowFirstColumn="0" w:lastRowLastColumn="0"/>
          <w:trHeight w:val="68"/>
          <w:jc w:val="center"/>
        </w:trPr>
        <w:tc>
          <w:tcPr>
            <w:cnfStyle w:val="001000000000" w:firstRow="0" w:lastRow="0" w:firstColumn="1" w:lastColumn="0" w:oddVBand="0" w:evenVBand="0" w:oddHBand="0" w:evenHBand="0" w:firstRowFirstColumn="0" w:firstRowLastColumn="0" w:lastRowFirstColumn="0" w:lastRowLastColumn="0"/>
            <w:tcW w:w="4042" w:type="dxa"/>
            <w:tcBorders>
              <w:top w:val="nil"/>
              <w:bottom w:val="nil"/>
            </w:tcBorders>
            <w:shd w:val="clear" w:color="auto" w:fill="auto"/>
            <w:vAlign w:val="center"/>
          </w:tcPr>
          <w:p w14:paraId="56AD94D2" w14:textId="77777777" w:rsidR="008B7E19" w:rsidRDefault="008B7E19" w:rsidP="008B7E19">
            <w:pPr>
              <w:pStyle w:val="08-Tabelageral"/>
              <w:jc w:val="left"/>
              <w:rPr>
                <w:rStyle w:val="rynqvb"/>
                <w:lang w:val="en"/>
              </w:rPr>
            </w:pPr>
            <w:r>
              <w:rPr>
                <w:rStyle w:val="rynqvb"/>
                <w:lang w:val="en"/>
              </w:rPr>
              <w:t>1</w:t>
            </w:r>
            <w:r w:rsidRPr="005C3AB8">
              <w:rPr>
                <w:rStyle w:val="rynqvb"/>
                <w:vertAlign w:val="superscript"/>
                <w:lang w:val="en"/>
              </w:rPr>
              <w:t>st</w:t>
            </w:r>
            <w:r>
              <w:rPr>
                <w:rStyle w:val="rynqvb"/>
                <w:lang w:val="en"/>
              </w:rPr>
              <w:t xml:space="preserve"> Half 2023</w:t>
            </w:r>
          </w:p>
        </w:tc>
        <w:tc>
          <w:tcPr>
            <w:tcW w:w="2020" w:type="dxa"/>
            <w:tcBorders>
              <w:top w:val="nil"/>
              <w:bottom w:val="nil"/>
            </w:tcBorders>
            <w:shd w:val="clear" w:color="auto" w:fill="auto"/>
            <w:vAlign w:val="center"/>
          </w:tcPr>
          <w:p w14:paraId="5C331C59" w14:textId="77777777" w:rsidR="008B7E19" w:rsidRPr="00DB5EB4" w:rsidRDefault="008B7E19" w:rsidP="008B7E19">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DB5EB4">
              <w:rPr>
                <w:rFonts w:cs="Arial"/>
                <w:b/>
                <w:color w:val="000000"/>
                <w:szCs w:val="14"/>
                <w:lang w:eastAsia="en-US"/>
              </w:rPr>
              <w:t>2</w:t>
            </w:r>
            <w:r>
              <w:rPr>
                <w:rFonts w:cs="Arial"/>
                <w:b/>
                <w:color w:val="000000"/>
                <w:szCs w:val="14"/>
                <w:lang w:eastAsia="en-US"/>
              </w:rPr>
              <w:t>,</w:t>
            </w:r>
            <w:r w:rsidRPr="00DB5EB4">
              <w:rPr>
                <w:rFonts w:cs="Arial"/>
                <w:b/>
                <w:color w:val="000000"/>
                <w:szCs w:val="14"/>
                <w:lang w:eastAsia="en-US"/>
              </w:rPr>
              <w:t>308</w:t>
            </w:r>
            <w:r>
              <w:rPr>
                <w:rFonts w:cs="Arial"/>
                <w:b/>
                <w:color w:val="000000"/>
                <w:szCs w:val="14"/>
                <w:lang w:eastAsia="en-US"/>
              </w:rPr>
              <w:t>,</w:t>
            </w:r>
            <w:r w:rsidRPr="00DB5EB4">
              <w:rPr>
                <w:rFonts w:cs="Arial"/>
                <w:b/>
                <w:color w:val="000000"/>
                <w:szCs w:val="14"/>
                <w:lang w:eastAsia="en-US"/>
              </w:rPr>
              <w:t>483</w:t>
            </w:r>
          </w:p>
        </w:tc>
        <w:tc>
          <w:tcPr>
            <w:tcW w:w="1753" w:type="dxa"/>
            <w:tcBorders>
              <w:top w:val="nil"/>
              <w:bottom w:val="nil"/>
            </w:tcBorders>
            <w:shd w:val="clear" w:color="auto" w:fill="auto"/>
            <w:vAlign w:val="center"/>
          </w:tcPr>
          <w:p w14:paraId="2FD356ED" w14:textId="77777777" w:rsidR="008B7E19" w:rsidRPr="00DB5EB4" w:rsidRDefault="008B7E19" w:rsidP="008B7E19">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DB5EB4">
              <w:rPr>
                <w:rFonts w:cs="Arial"/>
                <w:b/>
                <w:color w:val="000000"/>
                <w:szCs w:val="14"/>
                <w:lang w:eastAsia="en-US"/>
              </w:rPr>
              <w:t>1</w:t>
            </w:r>
            <w:r>
              <w:rPr>
                <w:rFonts w:cs="Arial"/>
                <w:b/>
                <w:color w:val="000000"/>
                <w:szCs w:val="14"/>
                <w:lang w:eastAsia="en-US"/>
              </w:rPr>
              <w:t>,</w:t>
            </w:r>
            <w:r w:rsidRPr="00DB5EB4">
              <w:rPr>
                <w:rFonts w:cs="Arial"/>
                <w:b/>
                <w:color w:val="000000"/>
                <w:szCs w:val="14"/>
                <w:lang w:eastAsia="en-US"/>
              </w:rPr>
              <w:t>414</w:t>
            </w:r>
            <w:r>
              <w:rPr>
                <w:rFonts w:cs="Arial"/>
                <w:b/>
                <w:color w:val="000000"/>
                <w:szCs w:val="14"/>
                <w:lang w:eastAsia="en-US"/>
              </w:rPr>
              <w:t>,</w:t>
            </w:r>
            <w:r w:rsidRPr="00DB5EB4">
              <w:rPr>
                <w:rFonts w:cs="Arial"/>
                <w:b/>
                <w:color w:val="000000"/>
                <w:szCs w:val="14"/>
                <w:lang w:eastAsia="en-US"/>
              </w:rPr>
              <w:t>506</w:t>
            </w:r>
          </w:p>
        </w:tc>
        <w:tc>
          <w:tcPr>
            <w:tcW w:w="1824" w:type="dxa"/>
            <w:tcBorders>
              <w:top w:val="nil"/>
              <w:bottom w:val="nil"/>
            </w:tcBorders>
            <w:shd w:val="clear" w:color="auto" w:fill="auto"/>
            <w:vAlign w:val="center"/>
          </w:tcPr>
          <w:p w14:paraId="59BA9EB5" w14:textId="77777777" w:rsidR="008B7E19" w:rsidRPr="00DB5EB4" w:rsidRDefault="008B7E19" w:rsidP="008B7E19">
            <w:pPr>
              <w:pStyle w:val="08-Tabelageral"/>
              <w:ind w:left="113"/>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sidRPr="00DB5EB4">
              <w:rPr>
                <w:rFonts w:cs="Arial"/>
                <w:b/>
                <w:color w:val="000000"/>
                <w:szCs w:val="14"/>
                <w:lang w:eastAsia="en-US"/>
              </w:rPr>
              <w:t>3</w:t>
            </w:r>
            <w:r>
              <w:rPr>
                <w:rFonts w:cs="Arial"/>
                <w:b/>
                <w:color w:val="000000"/>
                <w:szCs w:val="14"/>
                <w:lang w:eastAsia="en-US"/>
              </w:rPr>
              <w:t>,</w:t>
            </w:r>
            <w:r w:rsidRPr="00DB5EB4">
              <w:rPr>
                <w:rFonts w:cs="Arial"/>
                <w:b/>
                <w:color w:val="000000"/>
                <w:szCs w:val="14"/>
                <w:lang w:eastAsia="en-US"/>
              </w:rPr>
              <w:t>722</w:t>
            </w:r>
            <w:r>
              <w:rPr>
                <w:rFonts w:cs="Arial"/>
                <w:b/>
                <w:color w:val="000000"/>
                <w:szCs w:val="14"/>
                <w:lang w:eastAsia="en-US"/>
              </w:rPr>
              <w:t>,</w:t>
            </w:r>
            <w:r w:rsidRPr="00DB5EB4">
              <w:rPr>
                <w:rFonts w:cs="Arial"/>
                <w:b/>
                <w:color w:val="000000"/>
                <w:szCs w:val="14"/>
                <w:lang w:eastAsia="en-US"/>
              </w:rPr>
              <w:t>987</w:t>
            </w:r>
          </w:p>
        </w:tc>
      </w:tr>
      <w:tr w:rsidR="008B7E19" w:rsidRPr="00CF5925" w14:paraId="1B6F0867" w14:textId="77777777" w:rsidTr="008B7E19">
        <w:trPr>
          <w:cnfStyle w:val="000000100000" w:firstRow="0" w:lastRow="0" w:firstColumn="0" w:lastColumn="0" w:oddVBand="0" w:evenVBand="0" w:oddHBand="1" w:evenHBand="0" w:firstRowFirstColumn="0" w:firstRowLastColumn="0" w:lastRowFirstColumn="0" w:lastRowLastColumn="0"/>
          <w:trHeight w:val="68"/>
          <w:jc w:val="center"/>
        </w:trPr>
        <w:tc>
          <w:tcPr>
            <w:cnfStyle w:val="001000000000" w:firstRow="0" w:lastRow="0" w:firstColumn="1" w:lastColumn="0" w:oddVBand="0" w:evenVBand="0" w:oddHBand="0" w:evenHBand="0" w:firstRowFirstColumn="0" w:firstRowLastColumn="0" w:lastRowFirstColumn="0" w:lastRowLastColumn="0"/>
            <w:tcW w:w="4042" w:type="dxa"/>
            <w:tcBorders>
              <w:top w:val="nil"/>
              <w:bottom w:val="nil"/>
            </w:tcBorders>
            <w:shd w:val="clear" w:color="auto" w:fill="auto"/>
            <w:vAlign w:val="center"/>
          </w:tcPr>
          <w:p w14:paraId="06B67A45" w14:textId="77777777" w:rsidR="008B7E19" w:rsidRDefault="008B7E19" w:rsidP="008B7E19">
            <w:pPr>
              <w:pStyle w:val="08-Tabelageral"/>
              <w:jc w:val="left"/>
              <w:rPr>
                <w:rStyle w:val="rynqvb"/>
                <w:lang w:val="en"/>
              </w:rPr>
            </w:pPr>
            <w:r>
              <w:rPr>
                <w:rStyle w:val="rynqvb"/>
                <w:lang w:val="en"/>
              </w:rPr>
              <w:t>2</w:t>
            </w:r>
            <w:r>
              <w:rPr>
                <w:rStyle w:val="rynqvb"/>
                <w:vertAlign w:val="superscript"/>
                <w:lang w:val="en"/>
              </w:rPr>
              <w:t>nd</w:t>
            </w:r>
            <w:r w:rsidRPr="005C3AB8">
              <w:rPr>
                <w:rStyle w:val="rynqvb"/>
                <w:vertAlign w:val="superscript"/>
                <w:lang w:val="en"/>
              </w:rPr>
              <w:t xml:space="preserve"> </w:t>
            </w:r>
            <w:r>
              <w:rPr>
                <w:rStyle w:val="rynqvb"/>
                <w:lang w:val="en"/>
              </w:rPr>
              <w:t xml:space="preserve">Quarter 2022 (restated balances) </w:t>
            </w:r>
            <w:r w:rsidRPr="00DB5EB4">
              <w:rPr>
                <w:rStyle w:val="rynqvb"/>
                <w:vertAlign w:val="superscript"/>
                <w:lang w:val="en"/>
              </w:rPr>
              <w:t>(1)</w:t>
            </w:r>
          </w:p>
        </w:tc>
        <w:tc>
          <w:tcPr>
            <w:tcW w:w="2020" w:type="dxa"/>
            <w:tcBorders>
              <w:top w:val="nil"/>
              <w:bottom w:val="nil"/>
            </w:tcBorders>
            <w:shd w:val="clear" w:color="auto" w:fill="auto"/>
            <w:vAlign w:val="center"/>
          </w:tcPr>
          <w:p w14:paraId="217D5ECB" w14:textId="77777777" w:rsidR="008B7E19" w:rsidRPr="00DB5EB4"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DB5EB4">
              <w:rPr>
                <w:rFonts w:cs="Arial"/>
                <w:b/>
                <w:color w:val="000000"/>
                <w:szCs w:val="14"/>
                <w:lang w:eastAsia="en-US"/>
              </w:rPr>
              <w:t xml:space="preserve"> 872</w:t>
            </w:r>
            <w:r>
              <w:rPr>
                <w:rFonts w:cs="Arial"/>
                <w:b/>
                <w:color w:val="000000"/>
                <w:szCs w:val="14"/>
                <w:lang w:eastAsia="en-US"/>
              </w:rPr>
              <w:t>,</w:t>
            </w:r>
            <w:r w:rsidRPr="00DB5EB4">
              <w:rPr>
                <w:rFonts w:cs="Arial"/>
                <w:b/>
                <w:color w:val="000000"/>
                <w:szCs w:val="14"/>
                <w:lang w:eastAsia="en-US"/>
              </w:rPr>
              <w:t xml:space="preserve">934 </w:t>
            </w:r>
          </w:p>
        </w:tc>
        <w:tc>
          <w:tcPr>
            <w:tcW w:w="1753" w:type="dxa"/>
            <w:tcBorders>
              <w:top w:val="nil"/>
              <w:bottom w:val="nil"/>
            </w:tcBorders>
            <w:shd w:val="clear" w:color="auto" w:fill="auto"/>
            <w:vAlign w:val="center"/>
          </w:tcPr>
          <w:p w14:paraId="61AA4E49" w14:textId="77777777" w:rsidR="008B7E19" w:rsidRPr="00DB5EB4"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DB5EB4">
              <w:rPr>
                <w:rFonts w:cs="Arial"/>
                <w:b/>
                <w:color w:val="000000"/>
                <w:szCs w:val="14"/>
                <w:lang w:eastAsia="en-US"/>
              </w:rPr>
              <w:t xml:space="preserve"> 631</w:t>
            </w:r>
            <w:r>
              <w:rPr>
                <w:rFonts w:cs="Arial"/>
                <w:b/>
                <w:color w:val="000000"/>
                <w:szCs w:val="14"/>
                <w:lang w:eastAsia="en-US"/>
              </w:rPr>
              <w:t>,</w:t>
            </w:r>
            <w:r w:rsidRPr="00DB5EB4">
              <w:rPr>
                <w:rFonts w:cs="Arial"/>
                <w:b/>
                <w:color w:val="000000"/>
                <w:szCs w:val="14"/>
                <w:lang w:eastAsia="en-US"/>
              </w:rPr>
              <w:t xml:space="preserve">810 </w:t>
            </w:r>
          </w:p>
        </w:tc>
        <w:tc>
          <w:tcPr>
            <w:tcW w:w="1824" w:type="dxa"/>
            <w:tcBorders>
              <w:top w:val="nil"/>
              <w:bottom w:val="nil"/>
            </w:tcBorders>
            <w:shd w:val="clear" w:color="auto" w:fill="auto"/>
            <w:vAlign w:val="center"/>
          </w:tcPr>
          <w:p w14:paraId="5D8A3DBB" w14:textId="77777777" w:rsidR="008B7E19" w:rsidRPr="00DB5EB4" w:rsidRDefault="008B7E19" w:rsidP="008B7E19">
            <w:pPr>
              <w:pStyle w:val="08-Tabelageral"/>
              <w:ind w:left="113"/>
              <w:cnfStyle w:val="000000100000" w:firstRow="0" w:lastRow="0" w:firstColumn="0" w:lastColumn="0" w:oddVBand="0" w:evenVBand="0" w:oddHBand="1" w:evenHBand="0" w:firstRowFirstColumn="0" w:firstRowLastColumn="0" w:lastRowFirstColumn="0" w:lastRowLastColumn="0"/>
              <w:rPr>
                <w:rFonts w:cs="Arial"/>
                <w:b/>
                <w:bCs/>
                <w:color w:val="000000"/>
                <w:szCs w:val="14"/>
              </w:rPr>
            </w:pPr>
            <w:r w:rsidRPr="00DB5EB4">
              <w:rPr>
                <w:rFonts w:cs="Arial"/>
                <w:b/>
                <w:color w:val="000000"/>
                <w:szCs w:val="14"/>
                <w:lang w:eastAsia="en-US"/>
              </w:rPr>
              <w:t>1</w:t>
            </w:r>
            <w:r>
              <w:rPr>
                <w:rFonts w:cs="Arial"/>
                <w:b/>
                <w:color w:val="000000"/>
                <w:szCs w:val="14"/>
                <w:lang w:eastAsia="en-US"/>
              </w:rPr>
              <w:t>,</w:t>
            </w:r>
            <w:r w:rsidRPr="00DB5EB4">
              <w:rPr>
                <w:rFonts w:cs="Arial"/>
                <w:b/>
                <w:color w:val="000000"/>
                <w:szCs w:val="14"/>
                <w:lang w:eastAsia="en-US"/>
              </w:rPr>
              <w:t>504</w:t>
            </w:r>
            <w:r>
              <w:rPr>
                <w:rFonts w:cs="Arial"/>
                <w:b/>
                <w:color w:val="000000"/>
                <w:szCs w:val="14"/>
                <w:lang w:eastAsia="en-US"/>
              </w:rPr>
              <w:t>,</w:t>
            </w:r>
            <w:r w:rsidRPr="00DB5EB4">
              <w:rPr>
                <w:rFonts w:cs="Arial"/>
                <w:b/>
                <w:color w:val="000000"/>
                <w:szCs w:val="14"/>
                <w:lang w:eastAsia="en-US"/>
              </w:rPr>
              <w:t xml:space="preserve">744 </w:t>
            </w:r>
          </w:p>
        </w:tc>
      </w:tr>
      <w:tr w:rsidR="008B7E19" w:rsidRPr="00CF5925" w14:paraId="202D2DC8" w14:textId="77777777" w:rsidTr="008B7E19">
        <w:trPr>
          <w:cnfStyle w:val="000000010000" w:firstRow="0" w:lastRow="0" w:firstColumn="0" w:lastColumn="0" w:oddVBand="0" w:evenVBand="0" w:oddHBand="0" w:evenHBand="1" w:firstRowFirstColumn="0" w:firstRowLastColumn="0" w:lastRowFirstColumn="0" w:lastRowLastColumn="0"/>
          <w:trHeight w:val="68"/>
          <w:jc w:val="center"/>
        </w:trPr>
        <w:tc>
          <w:tcPr>
            <w:cnfStyle w:val="001000000000" w:firstRow="0" w:lastRow="0" w:firstColumn="1" w:lastColumn="0" w:oddVBand="0" w:evenVBand="0" w:oddHBand="0" w:evenHBand="0" w:firstRowFirstColumn="0" w:firstRowLastColumn="0" w:lastRowFirstColumn="0" w:lastRowLastColumn="0"/>
            <w:tcW w:w="4042" w:type="dxa"/>
            <w:tcBorders>
              <w:top w:val="nil"/>
              <w:bottom w:val="single" w:sz="2" w:space="0" w:color="1F4E79" w:themeColor="accent1" w:themeShade="80"/>
            </w:tcBorders>
            <w:shd w:val="clear" w:color="auto" w:fill="auto"/>
            <w:vAlign w:val="center"/>
          </w:tcPr>
          <w:p w14:paraId="0DA20640" w14:textId="77777777" w:rsidR="008B7E19" w:rsidRPr="00696049" w:rsidRDefault="008B7E19" w:rsidP="008B7E19">
            <w:pPr>
              <w:pStyle w:val="08-Tabelageral"/>
              <w:jc w:val="left"/>
              <w:rPr>
                <w:rFonts w:cs="Arial"/>
                <w:bCs w:val="0"/>
                <w:szCs w:val="14"/>
                <w:highlight w:val="yellow"/>
              </w:rPr>
            </w:pPr>
            <w:r>
              <w:rPr>
                <w:rStyle w:val="rynqvb"/>
                <w:lang w:val="en"/>
              </w:rPr>
              <w:t>1</w:t>
            </w:r>
            <w:r w:rsidRPr="005C3AB8">
              <w:rPr>
                <w:rStyle w:val="rynqvb"/>
                <w:vertAlign w:val="superscript"/>
                <w:lang w:val="en"/>
              </w:rPr>
              <w:t>st</w:t>
            </w:r>
            <w:r>
              <w:rPr>
                <w:rStyle w:val="rynqvb"/>
                <w:lang w:val="en"/>
              </w:rPr>
              <w:t xml:space="preserve"> Half </w:t>
            </w:r>
            <w:r w:rsidRPr="00CB6B64">
              <w:rPr>
                <w:rStyle w:val="rynqvb"/>
                <w:lang w:val="en"/>
              </w:rPr>
              <w:t>2022 (restated balances)</w:t>
            </w:r>
            <w:r>
              <w:rPr>
                <w:rStyle w:val="rynqvb"/>
                <w:lang w:val="en"/>
              </w:rPr>
              <w:t xml:space="preserve"> </w:t>
            </w:r>
            <w:r w:rsidRPr="00DB5EB4">
              <w:rPr>
                <w:rStyle w:val="rynqvb"/>
                <w:vertAlign w:val="superscript"/>
                <w:lang w:val="en"/>
              </w:rPr>
              <w:t>(1)</w:t>
            </w:r>
          </w:p>
        </w:tc>
        <w:tc>
          <w:tcPr>
            <w:tcW w:w="2020" w:type="dxa"/>
            <w:tcBorders>
              <w:top w:val="nil"/>
              <w:bottom w:val="single" w:sz="2" w:space="0" w:color="1F4E79" w:themeColor="accent1" w:themeShade="80"/>
            </w:tcBorders>
            <w:shd w:val="clear" w:color="auto" w:fill="auto"/>
            <w:vAlign w:val="center"/>
          </w:tcPr>
          <w:p w14:paraId="1BD68CE2" w14:textId="77777777" w:rsidR="008B7E19" w:rsidRPr="00DB5EB4" w:rsidRDefault="008B7E19" w:rsidP="008B7E19">
            <w:pPr>
              <w:pStyle w:val="08-Tabelageral"/>
              <w:cnfStyle w:val="000000010000" w:firstRow="0" w:lastRow="0" w:firstColumn="0" w:lastColumn="0" w:oddVBand="0" w:evenVBand="0" w:oddHBand="0" w:evenHBand="1" w:firstRowFirstColumn="0" w:firstRowLastColumn="0" w:lastRowFirstColumn="0" w:lastRowLastColumn="0"/>
              <w:rPr>
                <w:rFonts w:cs="Arial"/>
                <w:b/>
                <w:color w:val="FF0000"/>
                <w:szCs w:val="14"/>
              </w:rPr>
            </w:pPr>
            <w:r w:rsidRPr="00DB5EB4">
              <w:rPr>
                <w:rFonts w:cs="Arial"/>
                <w:b/>
                <w:color w:val="000000"/>
                <w:szCs w:val="14"/>
                <w:lang w:eastAsia="en-US"/>
              </w:rPr>
              <w:t>1</w:t>
            </w:r>
            <w:r>
              <w:rPr>
                <w:rFonts w:cs="Arial"/>
                <w:b/>
                <w:color w:val="000000"/>
                <w:szCs w:val="14"/>
                <w:lang w:eastAsia="en-US"/>
              </w:rPr>
              <w:t>,</w:t>
            </w:r>
            <w:r w:rsidRPr="00DB5EB4">
              <w:rPr>
                <w:rFonts w:cs="Arial"/>
                <w:b/>
                <w:color w:val="000000"/>
                <w:szCs w:val="14"/>
                <w:lang w:eastAsia="en-US"/>
              </w:rPr>
              <w:t>506</w:t>
            </w:r>
            <w:r>
              <w:rPr>
                <w:rFonts w:cs="Arial"/>
                <w:b/>
                <w:color w:val="000000"/>
                <w:szCs w:val="14"/>
                <w:lang w:eastAsia="en-US"/>
              </w:rPr>
              <w:t>,</w:t>
            </w:r>
            <w:r w:rsidRPr="00DB5EB4">
              <w:rPr>
                <w:rFonts w:cs="Arial"/>
                <w:b/>
                <w:color w:val="000000"/>
                <w:szCs w:val="14"/>
                <w:lang w:eastAsia="en-US"/>
              </w:rPr>
              <w:t>800</w:t>
            </w:r>
          </w:p>
        </w:tc>
        <w:tc>
          <w:tcPr>
            <w:tcW w:w="1753" w:type="dxa"/>
            <w:tcBorders>
              <w:top w:val="nil"/>
              <w:bottom w:val="single" w:sz="2" w:space="0" w:color="1F4E79" w:themeColor="accent1" w:themeShade="80"/>
            </w:tcBorders>
            <w:shd w:val="clear" w:color="auto" w:fill="auto"/>
            <w:vAlign w:val="center"/>
          </w:tcPr>
          <w:p w14:paraId="10E78675" w14:textId="77777777" w:rsidR="008B7E19" w:rsidRPr="00DB5EB4" w:rsidRDefault="008B7E19" w:rsidP="008B7E19">
            <w:pPr>
              <w:pStyle w:val="08-Tabelageral"/>
              <w:cnfStyle w:val="000000010000" w:firstRow="0" w:lastRow="0" w:firstColumn="0" w:lastColumn="0" w:oddVBand="0" w:evenVBand="0" w:oddHBand="0" w:evenHBand="1" w:firstRowFirstColumn="0" w:firstRowLastColumn="0" w:lastRowFirstColumn="0" w:lastRowLastColumn="0"/>
              <w:rPr>
                <w:rFonts w:cs="Arial"/>
                <w:b/>
                <w:color w:val="FF0000"/>
                <w:szCs w:val="14"/>
              </w:rPr>
            </w:pPr>
            <w:r w:rsidRPr="00DB5EB4">
              <w:rPr>
                <w:rFonts w:cs="Arial"/>
                <w:b/>
                <w:color w:val="000000"/>
                <w:szCs w:val="14"/>
                <w:lang w:eastAsia="en-US"/>
              </w:rPr>
              <w:t>1</w:t>
            </w:r>
            <w:r>
              <w:rPr>
                <w:rFonts w:cs="Arial"/>
                <w:b/>
                <w:color w:val="000000"/>
                <w:szCs w:val="14"/>
                <w:lang w:eastAsia="en-US"/>
              </w:rPr>
              <w:t>,</w:t>
            </w:r>
            <w:r w:rsidRPr="00DB5EB4">
              <w:rPr>
                <w:rFonts w:cs="Arial"/>
                <w:b/>
                <w:color w:val="000000"/>
                <w:szCs w:val="14"/>
                <w:lang w:eastAsia="en-US"/>
              </w:rPr>
              <w:t>207</w:t>
            </w:r>
            <w:r>
              <w:rPr>
                <w:rFonts w:cs="Arial"/>
                <w:b/>
                <w:color w:val="000000"/>
                <w:szCs w:val="14"/>
                <w:lang w:eastAsia="en-US"/>
              </w:rPr>
              <w:t>,</w:t>
            </w:r>
            <w:r w:rsidRPr="00DB5EB4">
              <w:rPr>
                <w:rFonts w:cs="Arial"/>
                <w:b/>
                <w:color w:val="000000"/>
                <w:szCs w:val="14"/>
                <w:lang w:eastAsia="en-US"/>
              </w:rPr>
              <w:t>114</w:t>
            </w:r>
          </w:p>
        </w:tc>
        <w:tc>
          <w:tcPr>
            <w:tcW w:w="1824" w:type="dxa"/>
            <w:tcBorders>
              <w:top w:val="nil"/>
              <w:bottom w:val="single" w:sz="2" w:space="0" w:color="1F4E79" w:themeColor="accent1" w:themeShade="80"/>
            </w:tcBorders>
            <w:shd w:val="clear" w:color="auto" w:fill="auto"/>
            <w:vAlign w:val="center"/>
          </w:tcPr>
          <w:p w14:paraId="1D1DED81" w14:textId="77777777" w:rsidR="008B7E19" w:rsidRPr="00DB5EB4" w:rsidRDefault="008B7E19" w:rsidP="008B7E19">
            <w:pPr>
              <w:pStyle w:val="08-Tabelageral"/>
              <w:ind w:left="113"/>
              <w:cnfStyle w:val="000000010000" w:firstRow="0" w:lastRow="0" w:firstColumn="0" w:lastColumn="0" w:oddVBand="0" w:evenVBand="0" w:oddHBand="0" w:evenHBand="1" w:firstRowFirstColumn="0" w:firstRowLastColumn="0" w:lastRowFirstColumn="0" w:lastRowLastColumn="0"/>
              <w:rPr>
                <w:rFonts w:cs="Arial"/>
                <w:b/>
                <w:color w:val="000000"/>
                <w:szCs w:val="14"/>
              </w:rPr>
            </w:pPr>
            <w:r w:rsidRPr="00DB5EB4">
              <w:rPr>
                <w:rFonts w:cs="Arial"/>
                <w:b/>
                <w:color w:val="000000"/>
                <w:szCs w:val="14"/>
                <w:lang w:eastAsia="en-US"/>
              </w:rPr>
              <w:t>2</w:t>
            </w:r>
            <w:r>
              <w:rPr>
                <w:rFonts w:cs="Arial"/>
                <w:b/>
                <w:color w:val="000000"/>
                <w:szCs w:val="14"/>
                <w:lang w:eastAsia="en-US"/>
              </w:rPr>
              <w:t>,</w:t>
            </w:r>
            <w:r w:rsidRPr="00DB5EB4">
              <w:rPr>
                <w:rFonts w:cs="Arial"/>
                <w:b/>
                <w:color w:val="000000"/>
                <w:szCs w:val="14"/>
                <w:lang w:eastAsia="en-US"/>
              </w:rPr>
              <w:t>713</w:t>
            </w:r>
            <w:r>
              <w:rPr>
                <w:rFonts w:cs="Arial"/>
                <w:b/>
                <w:color w:val="000000"/>
                <w:szCs w:val="14"/>
                <w:lang w:eastAsia="en-US"/>
              </w:rPr>
              <w:t>,</w:t>
            </w:r>
            <w:r w:rsidRPr="00DB5EB4">
              <w:rPr>
                <w:rFonts w:cs="Arial"/>
                <w:b/>
                <w:color w:val="000000"/>
                <w:szCs w:val="14"/>
                <w:lang w:eastAsia="en-US"/>
              </w:rPr>
              <w:t>914</w:t>
            </w:r>
          </w:p>
        </w:tc>
      </w:tr>
    </w:tbl>
    <w:p w14:paraId="004202D0" w14:textId="77777777" w:rsidR="008B7E19" w:rsidRPr="00925790" w:rsidRDefault="008B7E19" w:rsidP="00882B41">
      <w:pPr>
        <w:pStyle w:val="paragraph"/>
        <w:numPr>
          <w:ilvl w:val="0"/>
          <w:numId w:val="33"/>
        </w:numPr>
        <w:spacing w:before="0" w:beforeAutospacing="0" w:after="0" w:afterAutospacing="0"/>
        <w:ind w:left="284" w:hanging="284"/>
        <w:jc w:val="both"/>
        <w:textAlignment w:val="baseline"/>
        <w:rPr>
          <w:rStyle w:val="normaltextrun"/>
          <w:rFonts w:ascii="Arial" w:hAnsi="Arial"/>
          <w:sz w:val="14"/>
          <w:szCs w:val="14"/>
          <w:lang w:val="en-US"/>
        </w:rPr>
      </w:pPr>
      <w:r w:rsidRPr="00925790">
        <w:rPr>
          <w:rStyle w:val="normaltextrun"/>
          <w:rFonts w:ascii="Arial" w:hAnsi="Arial" w:cs="Arial"/>
          <w:sz w:val="14"/>
          <w:szCs w:val="14"/>
          <w:lang w:val="en-US"/>
        </w:rPr>
        <w:t>The restated balances of Shareholders' Equity, Investment and Equity Income refer to BB Seguros, related to the impacts of CPC 48 and 50.</w:t>
      </w:r>
    </w:p>
    <w:p w14:paraId="7F729F07" w14:textId="77777777" w:rsidR="008B7E19" w:rsidRPr="00925790" w:rsidRDefault="008B7E19" w:rsidP="008B7E19">
      <w:pPr>
        <w:pStyle w:val="01-TtulodeNota"/>
        <w:keepNext/>
        <w:keepLines/>
        <w:spacing w:before="0" w:after="0"/>
        <w:jc w:val="right"/>
        <w:rPr>
          <w:rFonts w:cs="Arial"/>
          <w:sz w:val="14"/>
          <w:szCs w:val="14"/>
          <w:lang w:val="en-US"/>
        </w:rPr>
      </w:pPr>
    </w:p>
    <w:p w14:paraId="6B4BDBF5" w14:textId="77777777" w:rsidR="008B7E19" w:rsidRDefault="008B7E19" w:rsidP="008B7E19">
      <w:pPr>
        <w:pStyle w:val="01-TtulodeNota"/>
        <w:keepNext/>
        <w:keepLines/>
        <w:spacing w:before="0" w:after="0"/>
        <w:jc w:val="right"/>
        <w:rPr>
          <w:rFonts w:cs="Arial"/>
          <w:sz w:val="14"/>
          <w:szCs w:val="14"/>
        </w:rPr>
      </w:pPr>
      <w:r w:rsidRPr="00FC6C4B">
        <w:rPr>
          <w:rFonts w:cs="Arial"/>
          <w:sz w:val="14"/>
          <w:szCs w:val="14"/>
        </w:rPr>
        <w:t xml:space="preserve">R$ </w:t>
      </w:r>
      <w:r>
        <w:rPr>
          <w:rFonts w:cs="Arial"/>
          <w:sz w:val="14"/>
          <w:szCs w:val="14"/>
        </w:rPr>
        <w:t>thousand</w:t>
      </w:r>
    </w:p>
    <w:tbl>
      <w:tblPr>
        <w:tblStyle w:val="TabeladeLista6Colorida-nfase510"/>
        <w:tblW w:w="9639" w:type="dxa"/>
        <w:jc w:val="center"/>
        <w:tblInd w:w="0" w:type="dxa"/>
        <w:tblBorders>
          <w:top w:val="single" w:sz="2" w:space="0" w:color="8EAADB" w:themeColor="accent5" w:themeTint="99"/>
          <w:bottom w:val="single" w:sz="2" w:space="0" w:color="8EAADB" w:themeColor="accent5" w:themeTint="99"/>
        </w:tblBorders>
        <w:tblLayout w:type="fixed"/>
        <w:tblLook w:val="04A0" w:firstRow="1" w:lastRow="0" w:firstColumn="1" w:lastColumn="0" w:noHBand="0" w:noVBand="1"/>
      </w:tblPr>
      <w:tblGrid>
        <w:gridCol w:w="3490"/>
        <w:gridCol w:w="140"/>
        <w:gridCol w:w="1001"/>
        <w:gridCol w:w="140"/>
        <w:gridCol w:w="904"/>
        <w:gridCol w:w="19"/>
        <w:gridCol w:w="942"/>
        <w:gridCol w:w="139"/>
        <w:gridCol w:w="1002"/>
        <w:gridCol w:w="139"/>
        <w:gridCol w:w="569"/>
        <w:gridCol w:w="135"/>
        <w:gridCol w:w="1019"/>
      </w:tblGrid>
      <w:tr w:rsidR="008B7E19" w:rsidRPr="000F5532" w14:paraId="25CBDE43" w14:textId="77777777" w:rsidTr="008B7E19">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90" w:type="dxa"/>
            <w:tcBorders>
              <w:top w:val="single" w:sz="2" w:space="0" w:color="1F4E79" w:themeColor="accent1" w:themeShade="80"/>
              <w:bottom w:val="nil"/>
            </w:tcBorders>
            <w:shd w:val="clear" w:color="auto" w:fill="auto"/>
            <w:vAlign w:val="center"/>
          </w:tcPr>
          <w:p w14:paraId="58423D5D" w14:textId="77777777" w:rsidR="008B7E19" w:rsidRPr="00D511DC" w:rsidRDefault="008B7E19" w:rsidP="008B7E19">
            <w:pPr>
              <w:rPr>
                <w:rFonts w:cs="Arial"/>
                <w:color w:val="FF0000"/>
                <w:sz w:val="14"/>
                <w:szCs w:val="14"/>
              </w:rPr>
            </w:pPr>
          </w:p>
        </w:tc>
        <w:tc>
          <w:tcPr>
            <w:tcW w:w="6149" w:type="dxa"/>
            <w:gridSpan w:val="12"/>
            <w:tcBorders>
              <w:top w:val="single" w:sz="2" w:space="0" w:color="1F4E79" w:themeColor="accent1" w:themeShade="80"/>
              <w:bottom w:val="single" w:sz="2" w:space="0" w:color="1F4E79" w:themeColor="accent1" w:themeShade="80"/>
            </w:tcBorders>
            <w:shd w:val="clear" w:color="auto" w:fill="auto"/>
            <w:vAlign w:val="center"/>
          </w:tcPr>
          <w:p w14:paraId="00390044" w14:textId="77777777" w:rsidR="008B7E19" w:rsidRPr="00D511DC" w:rsidRDefault="008B7E19" w:rsidP="008B7E19">
            <w:pPr>
              <w:jc w:val="center"/>
              <w:cnfStyle w:val="100000000000" w:firstRow="1" w:lastRow="0" w:firstColumn="0" w:lastColumn="0" w:oddVBand="0" w:evenVBand="0" w:oddHBand="0" w:evenHBand="0" w:firstRowFirstColumn="0" w:firstRowLastColumn="0" w:lastRowFirstColumn="0" w:lastRowLastColumn="0"/>
              <w:rPr>
                <w:rFonts w:cs="Arial"/>
                <w:b w:val="0"/>
                <w:sz w:val="14"/>
                <w:szCs w:val="14"/>
              </w:rPr>
            </w:pPr>
            <w:r w:rsidRPr="00D511DC">
              <w:rPr>
                <w:rFonts w:cs="Arial"/>
                <w:sz w:val="14"/>
                <w:szCs w:val="14"/>
              </w:rPr>
              <w:t>Consolidated</w:t>
            </w:r>
          </w:p>
        </w:tc>
      </w:tr>
      <w:tr w:rsidR="008B7E19" w:rsidRPr="000F5532" w14:paraId="6CB508B8"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90" w:type="dxa"/>
            <w:tcBorders>
              <w:top w:val="nil"/>
              <w:bottom w:val="single" w:sz="2" w:space="0" w:color="1F4E79" w:themeColor="accent1" w:themeShade="80"/>
            </w:tcBorders>
            <w:shd w:val="clear" w:color="auto" w:fill="auto"/>
            <w:vAlign w:val="center"/>
          </w:tcPr>
          <w:p w14:paraId="191A749B" w14:textId="77777777" w:rsidR="008B7E19" w:rsidRPr="00D511DC" w:rsidRDefault="008B7E19" w:rsidP="008B7E19">
            <w:pPr>
              <w:rPr>
                <w:rFonts w:cs="Arial"/>
                <w:color w:val="FF0000"/>
                <w:sz w:val="14"/>
                <w:szCs w:val="14"/>
              </w:rPr>
            </w:pPr>
            <w:r w:rsidRPr="00D511DC">
              <w:rPr>
                <w:rFonts w:cs="Arial"/>
                <w:color w:val="FF0000"/>
                <w:sz w:val="14"/>
                <w:szCs w:val="14"/>
              </w:rPr>
              <w:t xml:space="preserve"> </w:t>
            </w:r>
          </w:p>
        </w:tc>
        <w:tc>
          <w:tcPr>
            <w:tcW w:w="1141" w:type="dxa"/>
            <w:gridSpan w:val="2"/>
            <w:tcBorders>
              <w:top w:val="single" w:sz="2" w:space="0" w:color="1F4E79" w:themeColor="accent1" w:themeShade="80"/>
              <w:bottom w:val="single" w:sz="2" w:space="0" w:color="1F4E79" w:themeColor="accent1" w:themeShade="80"/>
            </w:tcBorders>
            <w:shd w:val="clear" w:color="auto" w:fill="auto"/>
            <w:vAlign w:val="center"/>
          </w:tcPr>
          <w:p w14:paraId="26F80C04" w14:textId="77777777" w:rsidR="008B7E19" w:rsidRPr="00D511DC" w:rsidRDefault="008B7E19" w:rsidP="008B7E19">
            <w:pPr>
              <w:jc w:val="center"/>
              <w:cnfStyle w:val="000000100000" w:firstRow="0" w:lastRow="0" w:firstColumn="0" w:lastColumn="0" w:oddVBand="0" w:evenVBand="0" w:oddHBand="1" w:evenHBand="0" w:firstRowFirstColumn="0" w:firstRowLastColumn="0" w:lastRowFirstColumn="0" w:lastRowLastColumn="0"/>
              <w:rPr>
                <w:rFonts w:cs="Arial"/>
                <w:b/>
                <w:sz w:val="14"/>
                <w:szCs w:val="14"/>
              </w:rPr>
            </w:pPr>
            <w:r w:rsidRPr="00D511DC">
              <w:rPr>
                <w:rFonts w:cs="Arial"/>
                <w:b/>
                <w:color w:val="auto"/>
                <w:sz w:val="14"/>
                <w:szCs w:val="14"/>
              </w:rPr>
              <w:t>BB Mapfre</w:t>
            </w:r>
          </w:p>
        </w:tc>
        <w:tc>
          <w:tcPr>
            <w:tcW w:w="1044" w:type="dxa"/>
            <w:gridSpan w:val="2"/>
            <w:tcBorders>
              <w:top w:val="single" w:sz="2" w:space="0" w:color="1F4E79" w:themeColor="accent1" w:themeShade="80"/>
              <w:bottom w:val="single" w:sz="2" w:space="0" w:color="1F4E79" w:themeColor="accent1" w:themeShade="80"/>
            </w:tcBorders>
            <w:shd w:val="clear" w:color="auto" w:fill="auto"/>
            <w:vAlign w:val="center"/>
          </w:tcPr>
          <w:p w14:paraId="14F1C7A7" w14:textId="77777777" w:rsidR="008B7E19" w:rsidRPr="00D511DC" w:rsidRDefault="008B7E19" w:rsidP="008B7E19">
            <w:pPr>
              <w:jc w:val="center"/>
              <w:cnfStyle w:val="000000100000" w:firstRow="0" w:lastRow="0" w:firstColumn="0" w:lastColumn="0" w:oddVBand="0" w:evenVBand="0" w:oddHBand="1" w:evenHBand="0" w:firstRowFirstColumn="0" w:firstRowLastColumn="0" w:lastRowFirstColumn="0" w:lastRowLastColumn="0"/>
              <w:rPr>
                <w:rFonts w:cs="Arial"/>
                <w:b/>
                <w:sz w:val="14"/>
                <w:szCs w:val="14"/>
              </w:rPr>
            </w:pPr>
            <w:r w:rsidRPr="00D511DC">
              <w:rPr>
                <w:rFonts w:cs="Arial"/>
                <w:b/>
                <w:color w:val="auto"/>
                <w:sz w:val="14"/>
                <w:szCs w:val="14"/>
              </w:rPr>
              <w:t>Brasilprev</w:t>
            </w:r>
          </w:p>
        </w:tc>
        <w:tc>
          <w:tcPr>
            <w:tcW w:w="961" w:type="dxa"/>
            <w:gridSpan w:val="2"/>
            <w:tcBorders>
              <w:top w:val="single" w:sz="2" w:space="0" w:color="1F4E79" w:themeColor="accent1" w:themeShade="80"/>
              <w:bottom w:val="single" w:sz="2" w:space="0" w:color="1F4E79" w:themeColor="accent1" w:themeShade="80"/>
            </w:tcBorders>
            <w:shd w:val="clear" w:color="auto" w:fill="auto"/>
            <w:vAlign w:val="center"/>
          </w:tcPr>
          <w:p w14:paraId="1A850F1D" w14:textId="77777777" w:rsidR="008B7E19" w:rsidRPr="00D511DC" w:rsidRDefault="008B7E19" w:rsidP="008B7E19">
            <w:pPr>
              <w:jc w:val="center"/>
              <w:cnfStyle w:val="000000100000" w:firstRow="0" w:lastRow="0" w:firstColumn="0" w:lastColumn="0" w:oddVBand="0" w:evenVBand="0" w:oddHBand="1" w:evenHBand="0" w:firstRowFirstColumn="0" w:firstRowLastColumn="0" w:lastRowFirstColumn="0" w:lastRowLastColumn="0"/>
              <w:rPr>
                <w:rFonts w:cs="Arial"/>
                <w:b/>
                <w:sz w:val="14"/>
                <w:szCs w:val="14"/>
              </w:rPr>
            </w:pPr>
            <w:r w:rsidRPr="00D511DC">
              <w:rPr>
                <w:rFonts w:cs="Arial"/>
                <w:b/>
                <w:color w:val="auto"/>
                <w:sz w:val="14"/>
                <w:szCs w:val="14"/>
              </w:rPr>
              <w:t>Brasilcap</w:t>
            </w:r>
          </w:p>
        </w:tc>
        <w:tc>
          <w:tcPr>
            <w:tcW w:w="1141" w:type="dxa"/>
            <w:gridSpan w:val="2"/>
            <w:tcBorders>
              <w:top w:val="single" w:sz="2" w:space="0" w:color="1F4E79" w:themeColor="accent1" w:themeShade="80"/>
              <w:bottom w:val="single" w:sz="2" w:space="0" w:color="1F4E79" w:themeColor="accent1" w:themeShade="80"/>
            </w:tcBorders>
            <w:shd w:val="clear" w:color="auto" w:fill="auto"/>
            <w:vAlign w:val="center"/>
          </w:tcPr>
          <w:p w14:paraId="7DA17CE9" w14:textId="77777777" w:rsidR="008B7E19" w:rsidRPr="00D511DC" w:rsidRDefault="008B7E19" w:rsidP="008B7E19">
            <w:pPr>
              <w:jc w:val="center"/>
              <w:cnfStyle w:val="000000100000" w:firstRow="0" w:lastRow="0" w:firstColumn="0" w:lastColumn="0" w:oddVBand="0" w:evenVBand="0" w:oddHBand="1" w:evenHBand="0" w:firstRowFirstColumn="0" w:firstRowLastColumn="0" w:lastRowFirstColumn="0" w:lastRowLastColumn="0"/>
              <w:rPr>
                <w:rFonts w:cs="Arial"/>
                <w:b/>
                <w:sz w:val="14"/>
                <w:szCs w:val="14"/>
              </w:rPr>
            </w:pPr>
            <w:r w:rsidRPr="00D511DC">
              <w:rPr>
                <w:rFonts w:cs="Arial"/>
                <w:b/>
                <w:color w:val="auto"/>
                <w:sz w:val="14"/>
                <w:szCs w:val="14"/>
              </w:rPr>
              <w:t>Brasildental</w:t>
            </w:r>
          </w:p>
        </w:tc>
        <w:tc>
          <w:tcPr>
            <w:tcW w:w="708" w:type="dxa"/>
            <w:gridSpan w:val="2"/>
            <w:tcBorders>
              <w:top w:val="single" w:sz="2" w:space="0" w:color="1F4E79" w:themeColor="accent1" w:themeShade="80"/>
              <w:bottom w:val="single" w:sz="2" w:space="0" w:color="1F4E79" w:themeColor="accent1" w:themeShade="80"/>
            </w:tcBorders>
            <w:shd w:val="clear" w:color="auto" w:fill="auto"/>
            <w:vAlign w:val="center"/>
          </w:tcPr>
          <w:p w14:paraId="3741EB62" w14:textId="77777777" w:rsidR="008B7E19" w:rsidRPr="00D511DC" w:rsidRDefault="008B7E19" w:rsidP="008B7E19">
            <w:pPr>
              <w:jc w:val="center"/>
              <w:cnfStyle w:val="000000100000" w:firstRow="0" w:lastRow="0" w:firstColumn="0" w:lastColumn="0" w:oddVBand="0" w:evenVBand="0" w:oddHBand="1" w:evenHBand="0" w:firstRowFirstColumn="0" w:firstRowLastColumn="0" w:lastRowFirstColumn="0" w:lastRowLastColumn="0"/>
              <w:rPr>
                <w:rFonts w:cs="Arial"/>
                <w:b/>
                <w:sz w:val="14"/>
                <w:szCs w:val="14"/>
              </w:rPr>
            </w:pPr>
            <w:r w:rsidRPr="00D511DC">
              <w:rPr>
                <w:rFonts w:cs="Arial"/>
                <w:b/>
                <w:color w:val="auto"/>
                <w:sz w:val="14"/>
                <w:szCs w:val="14"/>
              </w:rPr>
              <w:t>Ciclic</w:t>
            </w:r>
          </w:p>
        </w:tc>
        <w:tc>
          <w:tcPr>
            <w:tcW w:w="1154" w:type="dxa"/>
            <w:gridSpan w:val="2"/>
            <w:tcBorders>
              <w:top w:val="single" w:sz="2" w:space="0" w:color="1F4E79" w:themeColor="accent1" w:themeShade="80"/>
              <w:bottom w:val="single" w:sz="2" w:space="0" w:color="1F4E79" w:themeColor="accent1" w:themeShade="80"/>
            </w:tcBorders>
            <w:shd w:val="clear" w:color="auto" w:fill="auto"/>
            <w:vAlign w:val="center"/>
          </w:tcPr>
          <w:p w14:paraId="76EFE870" w14:textId="77777777" w:rsidR="008B7E19" w:rsidRPr="00D511DC" w:rsidRDefault="008B7E19" w:rsidP="008B7E19">
            <w:pPr>
              <w:jc w:val="center"/>
              <w:cnfStyle w:val="000000100000" w:firstRow="0" w:lastRow="0" w:firstColumn="0" w:lastColumn="0" w:oddVBand="0" w:evenVBand="0" w:oddHBand="1" w:evenHBand="0" w:firstRowFirstColumn="0" w:firstRowLastColumn="0" w:lastRowFirstColumn="0" w:lastRowLastColumn="0"/>
              <w:rPr>
                <w:rFonts w:cs="Arial"/>
                <w:b/>
                <w:sz w:val="14"/>
                <w:szCs w:val="14"/>
              </w:rPr>
            </w:pPr>
            <w:r w:rsidRPr="00D511DC">
              <w:rPr>
                <w:rFonts w:cs="Arial"/>
                <w:b/>
                <w:color w:val="auto"/>
                <w:sz w:val="14"/>
                <w:szCs w:val="14"/>
              </w:rPr>
              <w:t>Total</w:t>
            </w:r>
          </w:p>
        </w:tc>
      </w:tr>
      <w:tr w:rsidR="008B7E19" w:rsidRPr="00FB2B7E" w14:paraId="11687069" w14:textId="77777777" w:rsidTr="008B7E1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90" w:type="dxa"/>
            <w:tcBorders>
              <w:top w:val="single" w:sz="2" w:space="0" w:color="1F4E79" w:themeColor="accent1" w:themeShade="80"/>
            </w:tcBorders>
            <w:shd w:val="clear" w:color="auto" w:fill="auto"/>
            <w:vAlign w:val="center"/>
          </w:tcPr>
          <w:p w14:paraId="781C7ABE" w14:textId="77777777" w:rsidR="008B7E19" w:rsidRPr="00D511DC" w:rsidRDefault="008B7E19" w:rsidP="008B7E19">
            <w:pPr>
              <w:rPr>
                <w:rFonts w:cs="Arial"/>
                <w:b w:val="0"/>
                <w:bCs w:val="0"/>
                <w:sz w:val="14"/>
                <w:szCs w:val="14"/>
              </w:rPr>
            </w:pPr>
            <w:r w:rsidRPr="00D511DC">
              <w:rPr>
                <w:rFonts w:cs="Arial"/>
                <w:sz w:val="14"/>
                <w:szCs w:val="14"/>
              </w:rPr>
              <w:t xml:space="preserve">Balance on </w:t>
            </w:r>
            <w:r>
              <w:rPr>
                <w:rFonts w:cs="Arial"/>
                <w:sz w:val="14"/>
                <w:szCs w:val="14"/>
              </w:rPr>
              <w:t xml:space="preserve">June 30, </w:t>
            </w:r>
            <w:r w:rsidRPr="00D511DC">
              <w:rPr>
                <w:rFonts w:cs="Arial"/>
                <w:sz w:val="14"/>
                <w:szCs w:val="14"/>
              </w:rPr>
              <w:t>202</w:t>
            </w:r>
            <w:r>
              <w:rPr>
                <w:rFonts w:cs="Arial"/>
                <w:sz w:val="14"/>
                <w:szCs w:val="14"/>
              </w:rPr>
              <w:t>3</w:t>
            </w:r>
          </w:p>
        </w:tc>
        <w:tc>
          <w:tcPr>
            <w:tcW w:w="1141" w:type="dxa"/>
            <w:gridSpan w:val="2"/>
            <w:tcBorders>
              <w:top w:val="single" w:sz="2" w:space="0" w:color="1F4E79" w:themeColor="accent1" w:themeShade="80"/>
            </w:tcBorders>
            <w:shd w:val="clear" w:color="auto" w:fill="auto"/>
            <w:vAlign w:val="center"/>
          </w:tcPr>
          <w:p w14:paraId="779DCD9F" w14:textId="77777777" w:rsidR="008B7E19" w:rsidRPr="00D511DC" w:rsidRDefault="008B7E19" w:rsidP="008B7E19">
            <w:pPr>
              <w:jc w:val="right"/>
              <w:cnfStyle w:val="000000010000" w:firstRow="0" w:lastRow="0" w:firstColumn="0" w:lastColumn="0" w:oddVBand="0" w:evenVBand="0" w:oddHBand="0" w:evenHBand="1" w:firstRowFirstColumn="0" w:firstRowLastColumn="0" w:lastRowFirstColumn="0" w:lastRowLastColumn="0"/>
              <w:rPr>
                <w:rFonts w:eastAsia="Times New Roman" w:cs="Arial"/>
                <w:sz w:val="14"/>
                <w:szCs w:val="14"/>
              </w:rPr>
            </w:pPr>
            <w:r w:rsidRPr="00D511DC">
              <w:rPr>
                <w:rFonts w:cs="Arial"/>
                <w:color w:val="000000"/>
                <w:sz w:val="14"/>
                <w:szCs w:val="14"/>
              </w:rPr>
              <w:t xml:space="preserve">              </w:t>
            </w:r>
          </w:p>
        </w:tc>
        <w:tc>
          <w:tcPr>
            <w:tcW w:w="1044" w:type="dxa"/>
            <w:gridSpan w:val="2"/>
            <w:tcBorders>
              <w:top w:val="single" w:sz="2" w:space="0" w:color="1F4E79" w:themeColor="accent1" w:themeShade="80"/>
            </w:tcBorders>
            <w:shd w:val="clear" w:color="auto" w:fill="auto"/>
            <w:vAlign w:val="center"/>
          </w:tcPr>
          <w:p w14:paraId="7BE63DAD" w14:textId="77777777" w:rsidR="008B7E19" w:rsidRPr="00D511DC" w:rsidRDefault="008B7E19" w:rsidP="008B7E19">
            <w:pPr>
              <w:pStyle w:val="08-Tabelageral"/>
              <w:ind w:left="113"/>
              <w:cnfStyle w:val="000000010000" w:firstRow="0" w:lastRow="0" w:firstColumn="0" w:lastColumn="0" w:oddVBand="0" w:evenVBand="0" w:oddHBand="0" w:evenHBand="1" w:firstRowFirstColumn="0" w:firstRowLastColumn="0" w:lastRowFirstColumn="0" w:lastRowLastColumn="0"/>
              <w:rPr>
                <w:szCs w:val="14"/>
              </w:rPr>
            </w:pPr>
          </w:p>
        </w:tc>
        <w:tc>
          <w:tcPr>
            <w:tcW w:w="961" w:type="dxa"/>
            <w:gridSpan w:val="2"/>
            <w:tcBorders>
              <w:top w:val="single" w:sz="2" w:space="0" w:color="1F4E79" w:themeColor="accent1" w:themeShade="80"/>
            </w:tcBorders>
            <w:shd w:val="clear" w:color="auto" w:fill="auto"/>
            <w:vAlign w:val="center"/>
          </w:tcPr>
          <w:p w14:paraId="4AD90BDC" w14:textId="77777777" w:rsidR="008B7E19" w:rsidRPr="00D511DC" w:rsidRDefault="008B7E19" w:rsidP="008B7E19">
            <w:pPr>
              <w:pStyle w:val="08-Tabelageral"/>
              <w:ind w:left="113"/>
              <w:cnfStyle w:val="000000010000" w:firstRow="0" w:lastRow="0" w:firstColumn="0" w:lastColumn="0" w:oddVBand="0" w:evenVBand="0" w:oddHBand="0" w:evenHBand="1" w:firstRowFirstColumn="0" w:firstRowLastColumn="0" w:lastRowFirstColumn="0" w:lastRowLastColumn="0"/>
              <w:rPr>
                <w:szCs w:val="14"/>
              </w:rPr>
            </w:pPr>
          </w:p>
        </w:tc>
        <w:tc>
          <w:tcPr>
            <w:tcW w:w="1141" w:type="dxa"/>
            <w:gridSpan w:val="2"/>
            <w:tcBorders>
              <w:top w:val="single" w:sz="2" w:space="0" w:color="1F4E79" w:themeColor="accent1" w:themeShade="80"/>
            </w:tcBorders>
            <w:shd w:val="clear" w:color="auto" w:fill="auto"/>
            <w:vAlign w:val="center"/>
          </w:tcPr>
          <w:p w14:paraId="03A8D410" w14:textId="77777777" w:rsidR="008B7E19" w:rsidRPr="00D511DC" w:rsidRDefault="008B7E19" w:rsidP="008B7E19">
            <w:pPr>
              <w:pStyle w:val="08-Tabelageral"/>
              <w:ind w:left="113"/>
              <w:cnfStyle w:val="000000010000" w:firstRow="0" w:lastRow="0" w:firstColumn="0" w:lastColumn="0" w:oddVBand="0" w:evenVBand="0" w:oddHBand="0" w:evenHBand="1" w:firstRowFirstColumn="0" w:firstRowLastColumn="0" w:lastRowFirstColumn="0" w:lastRowLastColumn="0"/>
              <w:rPr>
                <w:szCs w:val="14"/>
              </w:rPr>
            </w:pPr>
          </w:p>
        </w:tc>
        <w:tc>
          <w:tcPr>
            <w:tcW w:w="708" w:type="dxa"/>
            <w:gridSpan w:val="2"/>
            <w:tcBorders>
              <w:top w:val="single" w:sz="2" w:space="0" w:color="1F4E79" w:themeColor="accent1" w:themeShade="80"/>
            </w:tcBorders>
            <w:shd w:val="clear" w:color="auto" w:fill="auto"/>
            <w:vAlign w:val="center"/>
          </w:tcPr>
          <w:p w14:paraId="7EDC14D1" w14:textId="77777777" w:rsidR="008B7E19" w:rsidRPr="00D511DC" w:rsidRDefault="008B7E19" w:rsidP="008B7E19">
            <w:pPr>
              <w:pStyle w:val="08-Tabelageral"/>
              <w:ind w:left="113"/>
              <w:cnfStyle w:val="000000010000" w:firstRow="0" w:lastRow="0" w:firstColumn="0" w:lastColumn="0" w:oddVBand="0" w:evenVBand="0" w:oddHBand="0" w:evenHBand="1" w:firstRowFirstColumn="0" w:firstRowLastColumn="0" w:lastRowFirstColumn="0" w:lastRowLastColumn="0"/>
              <w:rPr>
                <w:szCs w:val="14"/>
              </w:rPr>
            </w:pPr>
          </w:p>
        </w:tc>
        <w:tc>
          <w:tcPr>
            <w:tcW w:w="1154" w:type="dxa"/>
            <w:gridSpan w:val="2"/>
            <w:tcBorders>
              <w:top w:val="single" w:sz="2" w:space="0" w:color="1F4E79" w:themeColor="accent1" w:themeShade="80"/>
            </w:tcBorders>
            <w:shd w:val="clear" w:color="auto" w:fill="auto"/>
            <w:vAlign w:val="center"/>
          </w:tcPr>
          <w:p w14:paraId="5C17A02B" w14:textId="77777777" w:rsidR="008B7E19" w:rsidRPr="00D511DC" w:rsidRDefault="008B7E19" w:rsidP="008B7E19">
            <w:pPr>
              <w:pStyle w:val="08-Tabelageral"/>
              <w:ind w:left="113"/>
              <w:cnfStyle w:val="000000010000" w:firstRow="0" w:lastRow="0" w:firstColumn="0" w:lastColumn="0" w:oddVBand="0" w:evenVBand="0" w:oddHBand="0" w:evenHBand="1" w:firstRowFirstColumn="0" w:firstRowLastColumn="0" w:lastRowFirstColumn="0" w:lastRowLastColumn="0"/>
              <w:rPr>
                <w:b/>
                <w:bCs/>
                <w:szCs w:val="14"/>
              </w:rPr>
            </w:pPr>
          </w:p>
        </w:tc>
      </w:tr>
      <w:tr w:rsidR="008B7E19" w:rsidRPr="00FB2B7E" w14:paraId="2326B745"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90" w:type="dxa"/>
            <w:shd w:val="clear" w:color="auto" w:fill="auto"/>
            <w:vAlign w:val="center"/>
          </w:tcPr>
          <w:p w14:paraId="6EAD1700" w14:textId="77777777" w:rsidR="008B7E19" w:rsidRPr="00D511DC" w:rsidRDefault="008B7E19" w:rsidP="008B7E19">
            <w:pPr>
              <w:rPr>
                <w:b w:val="0"/>
                <w:bCs w:val="0"/>
                <w:color w:val="auto"/>
                <w:sz w:val="14"/>
                <w:szCs w:val="14"/>
              </w:rPr>
            </w:pPr>
            <w:r w:rsidRPr="00D511DC">
              <w:rPr>
                <w:rFonts w:cs="Arial"/>
                <w:b w:val="0"/>
                <w:sz w:val="14"/>
                <w:szCs w:val="14"/>
              </w:rPr>
              <w:t>Capital</w:t>
            </w:r>
          </w:p>
        </w:tc>
        <w:tc>
          <w:tcPr>
            <w:tcW w:w="1141" w:type="dxa"/>
            <w:gridSpan w:val="2"/>
            <w:shd w:val="clear" w:color="auto" w:fill="auto"/>
            <w:vAlign w:val="center"/>
          </w:tcPr>
          <w:p w14:paraId="0158574F" w14:textId="77777777" w:rsidR="008B7E19" w:rsidRPr="00D511DC" w:rsidRDefault="008B7E19" w:rsidP="008B7E19">
            <w:pPr>
              <w:jc w:val="right"/>
              <w:cnfStyle w:val="000000100000" w:firstRow="0" w:lastRow="0" w:firstColumn="0" w:lastColumn="0" w:oddVBand="0" w:evenVBand="0" w:oddHBand="1" w:evenHBand="0" w:firstRowFirstColumn="0" w:firstRowLastColumn="0" w:lastRowFirstColumn="0" w:lastRowLastColumn="0"/>
              <w:rPr>
                <w:rFonts w:eastAsia="Times New Roman" w:cs="Arial"/>
                <w:color w:val="auto"/>
                <w:sz w:val="14"/>
                <w:szCs w:val="14"/>
              </w:rPr>
            </w:pPr>
            <w:r>
              <w:rPr>
                <w:rFonts w:cs="Arial"/>
                <w:color w:val="000000"/>
                <w:sz w:val="14"/>
                <w:szCs w:val="14"/>
              </w:rPr>
              <w:t>1,469,848</w:t>
            </w:r>
          </w:p>
        </w:tc>
        <w:tc>
          <w:tcPr>
            <w:tcW w:w="1044" w:type="dxa"/>
            <w:gridSpan w:val="2"/>
            <w:shd w:val="clear" w:color="auto" w:fill="auto"/>
            <w:vAlign w:val="center"/>
          </w:tcPr>
          <w:p w14:paraId="351A325D" w14:textId="77777777" w:rsidR="008B7E19" w:rsidRPr="00D511DC" w:rsidRDefault="008B7E19" w:rsidP="008B7E19">
            <w:pPr>
              <w:jc w:val="right"/>
              <w:cnfStyle w:val="000000100000" w:firstRow="0" w:lastRow="0" w:firstColumn="0" w:lastColumn="0" w:oddVBand="0" w:evenVBand="0" w:oddHBand="1" w:evenHBand="0" w:firstRowFirstColumn="0" w:firstRowLastColumn="0" w:lastRowFirstColumn="0" w:lastRowLastColumn="0"/>
              <w:rPr>
                <w:color w:val="auto"/>
                <w:sz w:val="14"/>
                <w:szCs w:val="14"/>
              </w:rPr>
            </w:pPr>
            <w:r>
              <w:rPr>
                <w:rFonts w:cs="Arial"/>
                <w:color w:val="000000"/>
                <w:sz w:val="14"/>
                <w:szCs w:val="14"/>
              </w:rPr>
              <w:t>3,529,257</w:t>
            </w:r>
          </w:p>
        </w:tc>
        <w:tc>
          <w:tcPr>
            <w:tcW w:w="961" w:type="dxa"/>
            <w:gridSpan w:val="2"/>
            <w:shd w:val="clear" w:color="auto" w:fill="auto"/>
            <w:vAlign w:val="center"/>
          </w:tcPr>
          <w:p w14:paraId="490AEA42" w14:textId="77777777" w:rsidR="008B7E19" w:rsidRPr="00D511DC" w:rsidRDefault="008B7E19" w:rsidP="008B7E19">
            <w:pPr>
              <w:jc w:val="right"/>
              <w:cnfStyle w:val="000000100000" w:firstRow="0" w:lastRow="0" w:firstColumn="0" w:lastColumn="0" w:oddVBand="0" w:evenVBand="0" w:oddHBand="1" w:evenHBand="0" w:firstRowFirstColumn="0" w:firstRowLastColumn="0" w:lastRowFirstColumn="0" w:lastRowLastColumn="0"/>
              <w:rPr>
                <w:color w:val="auto"/>
                <w:sz w:val="14"/>
                <w:szCs w:val="14"/>
              </w:rPr>
            </w:pPr>
            <w:r>
              <w:rPr>
                <w:rFonts w:cs="Arial"/>
                <w:color w:val="000000"/>
                <w:sz w:val="14"/>
                <w:szCs w:val="14"/>
              </w:rPr>
              <w:t>354,398</w:t>
            </w:r>
          </w:p>
        </w:tc>
        <w:tc>
          <w:tcPr>
            <w:tcW w:w="1141" w:type="dxa"/>
            <w:gridSpan w:val="2"/>
            <w:shd w:val="clear" w:color="auto" w:fill="auto"/>
            <w:vAlign w:val="center"/>
          </w:tcPr>
          <w:p w14:paraId="42C9CE77" w14:textId="77777777" w:rsidR="008B7E19" w:rsidRPr="00D511DC" w:rsidRDefault="008B7E19" w:rsidP="008B7E19">
            <w:pPr>
              <w:jc w:val="right"/>
              <w:cnfStyle w:val="000000100000" w:firstRow="0" w:lastRow="0" w:firstColumn="0" w:lastColumn="0" w:oddVBand="0" w:evenVBand="0" w:oddHBand="1" w:evenHBand="0" w:firstRowFirstColumn="0" w:firstRowLastColumn="0" w:lastRowFirstColumn="0" w:lastRowLastColumn="0"/>
              <w:rPr>
                <w:color w:val="auto"/>
                <w:sz w:val="14"/>
                <w:szCs w:val="14"/>
              </w:rPr>
            </w:pPr>
            <w:r>
              <w:rPr>
                <w:rFonts w:cs="Arial"/>
                <w:color w:val="000000"/>
                <w:sz w:val="14"/>
                <w:szCs w:val="14"/>
              </w:rPr>
              <w:t>9,500</w:t>
            </w:r>
          </w:p>
        </w:tc>
        <w:tc>
          <w:tcPr>
            <w:tcW w:w="708" w:type="dxa"/>
            <w:gridSpan w:val="2"/>
            <w:shd w:val="clear" w:color="auto" w:fill="auto"/>
            <w:vAlign w:val="center"/>
          </w:tcPr>
          <w:p w14:paraId="53027D5A" w14:textId="77777777" w:rsidR="008B7E19" w:rsidRPr="00D511DC" w:rsidRDefault="008B7E19" w:rsidP="008B7E19">
            <w:pPr>
              <w:jc w:val="right"/>
              <w:cnfStyle w:val="000000100000" w:firstRow="0" w:lastRow="0" w:firstColumn="0" w:lastColumn="0" w:oddVBand="0" w:evenVBand="0" w:oddHBand="1" w:evenHBand="0" w:firstRowFirstColumn="0" w:firstRowLastColumn="0" w:lastRowFirstColumn="0" w:lastRowLastColumn="0"/>
              <w:rPr>
                <w:color w:val="auto"/>
                <w:sz w:val="14"/>
                <w:szCs w:val="14"/>
              </w:rPr>
            </w:pPr>
            <w:r>
              <w:rPr>
                <w:rFonts w:cs="Arial"/>
                <w:color w:val="000000"/>
                <w:sz w:val="14"/>
                <w:szCs w:val="14"/>
              </w:rPr>
              <w:t>61,133</w:t>
            </w:r>
          </w:p>
        </w:tc>
        <w:tc>
          <w:tcPr>
            <w:tcW w:w="1154" w:type="dxa"/>
            <w:gridSpan w:val="2"/>
            <w:shd w:val="clear" w:color="auto" w:fill="auto"/>
            <w:vAlign w:val="center"/>
          </w:tcPr>
          <w:p w14:paraId="218FC289" w14:textId="77777777" w:rsidR="008B7E19" w:rsidRPr="00D511DC" w:rsidRDefault="008B7E19" w:rsidP="008B7E19">
            <w:pPr>
              <w:pStyle w:val="08-Tabelageral"/>
              <w:ind w:left="113"/>
              <w:cnfStyle w:val="000000100000" w:firstRow="0" w:lastRow="0" w:firstColumn="0" w:lastColumn="0" w:oddVBand="0" w:evenVBand="0" w:oddHBand="1" w:evenHBand="0" w:firstRowFirstColumn="0" w:firstRowLastColumn="0" w:lastRowFirstColumn="0" w:lastRowLastColumn="0"/>
              <w:rPr>
                <w:b/>
                <w:bCs/>
                <w:color w:val="auto"/>
                <w:szCs w:val="14"/>
              </w:rPr>
            </w:pPr>
            <w:r>
              <w:rPr>
                <w:rFonts w:cs="Arial"/>
                <w:b/>
                <w:bCs/>
                <w:color w:val="000000"/>
                <w:szCs w:val="14"/>
              </w:rPr>
              <w:t>--</w:t>
            </w:r>
          </w:p>
        </w:tc>
      </w:tr>
      <w:tr w:rsidR="008B7E19" w:rsidRPr="00FB2B7E" w14:paraId="6E9BC5FD" w14:textId="77777777" w:rsidTr="008B7E1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90" w:type="dxa"/>
            <w:shd w:val="clear" w:color="auto" w:fill="auto"/>
            <w:vAlign w:val="center"/>
          </w:tcPr>
          <w:p w14:paraId="1F51A012" w14:textId="77777777" w:rsidR="008B7E19" w:rsidRPr="00D511DC" w:rsidRDefault="008B7E19" w:rsidP="008B7E19">
            <w:pPr>
              <w:rPr>
                <w:rFonts w:cs="Arial"/>
                <w:b w:val="0"/>
                <w:bCs w:val="0"/>
                <w:color w:val="auto"/>
                <w:sz w:val="14"/>
                <w:szCs w:val="14"/>
              </w:rPr>
            </w:pPr>
            <w:r w:rsidRPr="00D511DC">
              <w:rPr>
                <w:rFonts w:cs="Arial"/>
                <w:b w:val="0"/>
                <w:sz w:val="14"/>
                <w:szCs w:val="14"/>
              </w:rPr>
              <w:t xml:space="preserve">Stockholders' equity </w:t>
            </w:r>
          </w:p>
        </w:tc>
        <w:tc>
          <w:tcPr>
            <w:tcW w:w="1141" w:type="dxa"/>
            <w:gridSpan w:val="2"/>
            <w:shd w:val="clear" w:color="auto" w:fill="auto"/>
            <w:vAlign w:val="center"/>
          </w:tcPr>
          <w:p w14:paraId="19768964" w14:textId="77777777" w:rsidR="008B7E19" w:rsidRPr="00D511DC" w:rsidRDefault="008B7E19" w:rsidP="008B7E19">
            <w:pPr>
              <w:jc w:val="right"/>
              <w:cnfStyle w:val="000000010000" w:firstRow="0" w:lastRow="0" w:firstColumn="0" w:lastColumn="0" w:oddVBand="0" w:evenVBand="0" w:oddHBand="0" w:evenHBand="1" w:firstRowFirstColumn="0" w:firstRowLastColumn="0" w:lastRowFirstColumn="0" w:lastRowLastColumn="0"/>
              <w:rPr>
                <w:rFonts w:cs="Arial"/>
                <w:color w:val="auto"/>
                <w:sz w:val="14"/>
                <w:szCs w:val="14"/>
              </w:rPr>
            </w:pPr>
            <w:r>
              <w:rPr>
                <w:rFonts w:cs="Arial"/>
                <w:color w:val="000000"/>
                <w:sz w:val="14"/>
                <w:szCs w:val="14"/>
              </w:rPr>
              <w:t>2,973,032</w:t>
            </w:r>
          </w:p>
        </w:tc>
        <w:tc>
          <w:tcPr>
            <w:tcW w:w="1044" w:type="dxa"/>
            <w:gridSpan w:val="2"/>
            <w:shd w:val="clear" w:color="auto" w:fill="auto"/>
            <w:vAlign w:val="center"/>
          </w:tcPr>
          <w:p w14:paraId="7381734D" w14:textId="77777777" w:rsidR="008B7E19" w:rsidRPr="00D511DC" w:rsidRDefault="008B7E19" w:rsidP="008B7E19">
            <w:pPr>
              <w:jc w:val="right"/>
              <w:cnfStyle w:val="000000010000" w:firstRow="0" w:lastRow="0" w:firstColumn="0" w:lastColumn="0" w:oddVBand="0" w:evenVBand="0" w:oddHBand="0" w:evenHBand="1" w:firstRowFirstColumn="0" w:firstRowLastColumn="0" w:lastRowFirstColumn="0" w:lastRowLastColumn="0"/>
              <w:rPr>
                <w:color w:val="auto"/>
                <w:sz w:val="14"/>
                <w:szCs w:val="14"/>
              </w:rPr>
            </w:pPr>
            <w:r>
              <w:rPr>
                <w:rFonts w:cs="Arial"/>
                <w:color w:val="000000"/>
                <w:sz w:val="14"/>
                <w:szCs w:val="14"/>
              </w:rPr>
              <w:t>7,545,783</w:t>
            </w:r>
          </w:p>
        </w:tc>
        <w:tc>
          <w:tcPr>
            <w:tcW w:w="961" w:type="dxa"/>
            <w:gridSpan w:val="2"/>
            <w:shd w:val="clear" w:color="auto" w:fill="auto"/>
            <w:vAlign w:val="center"/>
          </w:tcPr>
          <w:p w14:paraId="48315718" w14:textId="77777777" w:rsidR="008B7E19" w:rsidRPr="00D511DC" w:rsidRDefault="008B7E19" w:rsidP="008B7E19">
            <w:pPr>
              <w:jc w:val="right"/>
              <w:cnfStyle w:val="000000010000" w:firstRow="0" w:lastRow="0" w:firstColumn="0" w:lastColumn="0" w:oddVBand="0" w:evenVBand="0" w:oddHBand="0" w:evenHBand="1" w:firstRowFirstColumn="0" w:firstRowLastColumn="0" w:lastRowFirstColumn="0" w:lastRowLastColumn="0"/>
              <w:rPr>
                <w:color w:val="auto"/>
                <w:sz w:val="14"/>
                <w:szCs w:val="14"/>
              </w:rPr>
            </w:pPr>
            <w:r>
              <w:rPr>
                <w:rFonts w:cs="Arial"/>
                <w:color w:val="000000"/>
                <w:sz w:val="14"/>
                <w:szCs w:val="14"/>
              </w:rPr>
              <w:t>664,622</w:t>
            </w:r>
          </w:p>
        </w:tc>
        <w:tc>
          <w:tcPr>
            <w:tcW w:w="1141" w:type="dxa"/>
            <w:gridSpan w:val="2"/>
            <w:shd w:val="clear" w:color="auto" w:fill="auto"/>
            <w:vAlign w:val="center"/>
          </w:tcPr>
          <w:p w14:paraId="27E712F4" w14:textId="77777777" w:rsidR="008B7E19" w:rsidRPr="00D511DC" w:rsidRDefault="008B7E19" w:rsidP="008B7E19">
            <w:pPr>
              <w:jc w:val="right"/>
              <w:cnfStyle w:val="000000010000" w:firstRow="0" w:lastRow="0" w:firstColumn="0" w:lastColumn="0" w:oddVBand="0" w:evenVBand="0" w:oddHBand="0" w:evenHBand="1" w:firstRowFirstColumn="0" w:firstRowLastColumn="0" w:lastRowFirstColumn="0" w:lastRowLastColumn="0"/>
              <w:rPr>
                <w:color w:val="auto"/>
                <w:sz w:val="14"/>
                <w:szCs w:val="14"/>
              </w:rPr>
            </w:pPr>
            <w:r>
              <w:rPr>
                <w:rFonts w:cs="Arial"/>
                <w:color w:val="000000"/>
                <w:sz w:val="14"/>
                <w:szCs w:val="14"/>
              </w:rPr>
              <w:t>20,052</w:t>
            </w:r>
          </w:p>
        </w:tc>
        <w:tc>
          <w:tcPr>
            <w:tcW w:w="708" w:type="dxa"/>
            <w:gridSpan w:val="2"/>
            <w:shd w:val="clear" w:color="auto" w:fill="auto"/>
            <w:vAlign w:val="center"/>
          </w:tcPr>
          <w:p w14:paraId="66CEEF4F" w14:textId="77777777" w:rsidR="008B7E19" w:rsidRPr="00D511DC" w:rsidRDefault="008B7E19" w:rsidP="008B7E19">
            <w:pPr>
              <w:jc w:val="right"/>
              <w:cnfStyle w:val="000000010000" w:firstRow="0" w:lastRow="0" w:firstColumn="0" w:lastColumn="0" w:oddVBand="0" w:evenVBand="0" w:oddHBand="0" w:evenHBand="1" w:firstRowFirstColumn="0" w:firstRowLastColumn="0" w:lastRowFirstColumn="0" w:lastRowLastColumn="0"/>
              <w:rPr>
                <w:color w:val="auto"/>
                <w:sz w:val="14"/>
                <w:szCs w:val="14"/>
              </w:rPr>
            </w:pPr>
            <w:r>
              <w:rPr>
                <w:rFonts w:cs="Arial"/>
                <w:color w:val="000000"/>
                <w:sz w:val="14"/>
                <w:szCs w:val="14"/>
              </w:rPr>
              <w:t>3,349</w:t>
            </w:r>
          </w:p>
        </w:tc>
        <w:tc>
          <w:tcPr>
            <w:tcW w:w="1154" w:type="dxa"/>
            <w:gridSpan w:val="2"/>
            <w:shd w:val="clear" w:color="auto" w:fill="auto"/>
            <w:vAlign w:val="center"/>
          </w:tcPr>
          <w:p w14:paraId="2BBF8D48" w14:textId="77777777" w:rsidR="008B7E19" w:rsidRPr="00D511DC" w:rsidRDefault="008B7E19" w:rsidP="008B7E19">
            <w:pPr>
              <w:pStyle w:val="08-Tabelageral"/>
              <w:ind w:left="113"/>
              <w:cnfStyle w:val="000000010000" w:firstRow="0" w:lastRow="0" w:firstColumn="0" w:lastColumn="0" w:oddVBand="0" w:evenVBand="0" w:oddHBand="0" w:evenHBand="1" w:firstRowFirstColumn="0" w:firstRowLastColumn="0" w:lastRowFirstColumn="0" w:lastRowLastColumn="0"/>
              <w:rPr>
                <w:b/>
                <w:bCs/>
                <w:color w:val="auto"/>
                <w:szCs w:val="14"/>
              </w:rPr>
            </w:pPr>
            <w:r>
              <w:rPr>
                <w:rFonts w:cs="Arial"/>
                <w:b/>
                <w:bCs/>
                <w:color w:val="000000"/>
                <w:szCs w:val="14"/>
              </w:rPr>
              <w:t>--</w:t>
            </w:r>
          </w:p>
        </w:tc>
      </w:tr>
      <w:tr w:rsidR="008B7E19" w:rsidRPr="00B32376" w14:paraId="79DC1503"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90" w:type="dxa"/>
            <w:shd w:val="clear" w:color="auto" w:fill="auto"/>
            <w:vAlign w:val="center"/>
          </w:tcPr>
          <w:p w14:paraId="69077C02" w14:textId="77777777" w:rsidR="008B7E19" w:rsidRPr="00D511DC" w:rsidRDefault="008B7E19" w:rsidP="008B7E19">
            <w:pPr>
              <w:pStyle w:val="08-Tabelageral"/>
              <w:jc w:val="left"/>
              <w:rPr>
                <w:rFonts w:cs="Arial"/>
                <w:b w:val="0"/>
                <w:szCs w:val="14"/>
              </w:rPr>
            </w:pPr>
            <w:r w:rsidRPr="00D511DC">
              <w:rPr>
                <w:rFonts w:cs="Arial"/>
                <w:szCs w:val="14"/>
              </w:rPr>
              <w:t xml:space="preserve">Balance on </w:t>
            </w:r>
            <w:r>
              <w:rPr>
                <w:rFonts w:cs="Arial"/>
                <w:szCs w:val="14"/>
              </w:rPr>
              <w:t xml:space="preserve">Dec </w:t>
            </w:r>
            <w:r w:rsidRPr="00D511DC">
              <w:rPr>
                <w:rFonts w:cs="Arial"/>
                <w:szCs w:val="14"/>
              </w:rPr>
              <w:t>31</w:t>
            </w:r>
            <w:r>
              <w:rPr>
                <w:rFonts w:cs="Arial"/>
                <w:szCs w:val="14"/>
              </w:rPr>
              <w:t xml:space="preserve">, </w:t>
            </w:r>
            <w:r w:rsidRPr="00D511DC">
              <w:rPr>
                <w:rFonts w:cs="Arial"/>
                <w:szCs w:val="14"/>
              </w:rPr>
              <w:t>202</w:t>
            </w:r>
            <w:r>
              <w:rPr>
                <w:rFonts w:cs="Arial"/>
                <w:szCs w:val="14"/>
              </w:rPr>
              <w:t>2</w:t>
            </w:r>
          </w:p>
        </w:tc>
        <w:tc>
          <w:tcPr>
            <w:tcW w:w="1141" w:type="dxa"/>
            <w:gridSpan w:val="2"/>
            <w:shd w:val="clear" w:color="auto" w:fill="auto"/>
            <w:vAlign w:val="center"/>
          </w:tcPr>
          <w:p w14:paraId="5F2D57BA" w14:textId="77777777" w:rsidR="008B7E19" w:rsidRPr="00D511DC" w:rsidRDefault="008B7E19" w:rsidP="008B7E19">
            <w:pPr>
              <w:jc w:val="right"/>
              <w:cnfStyle w:val="000000100000" w:firstRow="0" w:lastRow="0" w:firstColumn="0" w:lastColumn="0" w:oddVBand="0" w:evenVBand="0" w:oddHBand="1" w:evenHBand="0" w:firstRowFirstColumn="0" w:firstRowLastColumn="0" w:lastRowFirstColumn="0" w:lastRowLastColumn="0"/>
              <w:rPr>
                <w:rFonts w:cs="Arial"/>
                <w:sz w:val="14"/>
                <w:szCs w:val="14"/>
              </w:rPr>
            </w:pPr>
            <w:r>
              <w:rPr>
                <w:rFonts w:cs="Arial"/>
                <w:color w:val="000000"/>
                <w:sz w:val="14"/>
                <w:szCs w:val="14"/>
              </w:rPr>
              <w:t> </w:t>
            </w:r>
          </w:p>
        </w:tc>
        <w:tc>
          <w:tcPr>
            <w:tcW w:w="1044" w:type="dxa"/>
            <w:gridSpan w:val="2"/>
            <w:shd w:val="clear" w:color="auto" w:fill="auto"/>
            <w:vAlign w:val="center"/>
          </w:tcPr>
          <w:p w14:paraId="698B7633" w14:textId="77777777" w:rsidR="008B7E19" w:rsidRPr="00D511DC" w:rsidRDefault="008B7E19" w:rsidP="008B7E19">
            <w:pPr>
              <w:jc w:val="right"/>
              <w:cnfStyle w:val="000000100000" w:firstRow="0" w:lastRow="0" w:firstColumn="0" w:lastColumn="0" w:oddVBand="0" w:evenVBand="0" w:oddHBand="1" w:evenHBand="0" w:firstRowFirstColumn="0" w:firstRowLastColumn="0" w:lastRowFirstColumn="0" w:lastRowLastColumn="0"/>
              <w:rPr>
                <w:rFonts w:cs="Arial"/>
                <w:sz w:val="14"/>
                <w:szCs w:val="14"/>
              </w:rPr>
            </w:pPr>
            <w:r>
              <w:rPr>
                <w:rFonts w:cs="Arial"/>
                <w:color w:val="000000"/>
                <w:sz w:val="14"/>
                <w:szCs w:val="14"/>
              </w:rPr>
              <w:t> </w:t>
            </w:r>
          </w:p>
        </w:tc>
        <w:tc>
          <w:tcPr>
            <w:tcW w:w="961" w:type="dxa"/>
            <w:gridSpan w:val="2"/>
            <w:shd w:val="clear" w:color="auto" w:fill="auto"/>
            <w:vAlign w:val="center"/>
          </w:tcPr>
          <w:p w14:paraId="2642777E" w14:textId="77777777" w:rsidR="008B7E19" w:rsidRPr="00D511DC" w:rsidRDefault="008B7E19" w:rsidP="008B7E19">
            <w:pPr>
              <w:jc w:val="right"/>
              <w:cnfStyle w:val="000000100000" w:firstRow="0" w:lastRow="0" w:firstColumn="0" w:lastColumn="0" w:oddVBand="0" w:evenVBand="0" w:oddHBand="1" w:evenHBand="0" w:firstRowFirstColumn="0" w:firstRowLastColumn="0" w:lastRowFirstColumn="0" w:lastRowLastColumn="0"/>
              <w:rPr>
                <w:rFonts w:cs="Arial"/>
                <w:sz w:val="14"/>
                <w:szCs w:val="14"/>
              </w:rPr>
            </w:pPr>
            <w:r>
              <w:rPr>
                <w:rFonts w:cs="Arial"/>
                <w:color w:val="000000"/>
                <w:sz w:val="14"/>
                <w:szCs w:val="14"/>
              </w:rPr>
              <w:t> </w:t>
            </w:r>
          </w:p>
        </w:tc>
        <w:tc>
          <w:tcPr>
            <w:tcW w:w="1141" w:type="dxa"/>
            <w:gridSpan w:val="2"/>
            <w:shd w:val="clear" w:color="auto" w:fill="auto"/>
            <w:vAlign w:val="center"/>
          </w:tcPr>
          <w:p w14:paraId="5EEEE501" w14:textId="77777777" w:rsidR="008B7E19" w:rsidRPr="00D511DC" w:rsidRDefault="008B7E19" w:rsidP="008B7E19">
            <w:pPr>
              <w:jc w:val="right"/>
              <w:cnfStyle w:val="000000100000" w:firstRow="0" w:lastRow="0" w:firstColumn="0" w:lastColumn="0" w:oddVBand="0" w:evenVBand="0" w:oddHBand="1" w:evenHBand="0" w:firstRowFirstColumn="0" w:firstRowLastColumn="0" w:lastRowFirstColumn="0" w:lastRowLastColumn="0"/>
              <w:rPr>
                <w:rFonts w:cs="Arial"/>
                <w:sz w:val="14"/>
                <w:szCs w:val="14"/>
              </w:rPr>
            </w:pPr>
            <w:r>
              <w:rPr>
                <w:rFonts w:cs="Arial"/>
                <w:color w:val="000000"/>
                <w:sz w:val="14"/>
                <w:szCs w:val="14"/>
              </w:rPr>
              <w:t> </w:t>
            </w:r>
          </w:p>
        </w:tc>
        <w:tc>
          <w:tcPr>
            <w:tcW w:w="708" w:type="dxa"/>
            <w:gridSpan w:val="2"/>
            <w:shd w:val="clear" w:color="auto" w:fill="auto"/>
            <w:vAlign w:val="center"/>
          </w:tcPr>
          <w:p w14:paraId="0DD4351A" w14:textId="77777777" w:rsidR="008B7E19" w:rsidRPr="00D511DC" w:rsidRDefault="008B7E19" w:rsidP="008B7E19">
            <w:pPr>
              <w:jc w:val="right"/>
              <w:cnfStyle w:val="000000100000" w:firstRow="0" w:lastRow="0" w:firstColumn="0" w:lastColumn="0" w:oddVBand="0" w:evenVBand="0" w:oddHBand="1" w:evenHBand="0" w:firstRowFirstColumn="0" w:firstRowLastColumn="0" w:lastRowFirstColumn="0" w:lastRowLastColumn="0"/>
              <w:rPr>
                <w:rFonts w:cs="Arial"/>
                <w:sz w:val="14"/>
                <w:szCs w:val="14"/>
              </w:rPr>
            </w:pPr>
            <w:r>
              <w:rPr>
                <w:rFonts w:cs="Arial"/>
                <w:color w:val="000000"/>
                <w:sz w:val="14"/>
                <w:szCs w:val="14"/>
              </w:rPr>
              <w:t> </w:t>
            </w:r>
          </w:p>
        </w:tc>
        <w:tc>
          <w:tcPr>
            <w:tcW w:w="1154" w:type="dxa"/>
            <w:gridSpan w:val="2"/>
            <w:shd w:val="clear" w:color="auto" w:fill="auto"/>
            <w:vAlign w:val="center"/>
          </w:tcPr>
          <w:p w14:paraId="2105E2D7" w14:textId="77777777" w:rsidR="008B7E19" w:rsidRPr="00D511DC" w:rsidRDefault="008B7E19" w:rsidP="008B7E19">
            <w:pPr>
              <w:jc w:val="right"/>
              <w:cnfStyle w:val="000000100000" w:firstRow="0" w:lastRow="0" w:firstColumn="0" w:lastColumn="0" w:oddVBand="0" w:evenVBand="0" w:oddHBand="1" w:evenHBand="0" w:firstRowFirstColumn="0" w:firstRowLastColumn="0" w:lastRowFirstColumn="0" w:lastRowLastColumn="0"/>
              <w:rPr>
                <w:rFonts w:cs="Arial"/>
                <w:sz w:val="14"/>
                <w:szCs w:val="14"/>
              </w:rPr>
            </w:pPr>
          </w:p>
        </w:tc>
      </w:tr>
      <w:tr w:rsidR="008B7E19" w:rsidRPr="00B32376" w14:paraId="4CADE97C" w14:textId="77777777" w:rsidTr="008B7E1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90" w:type="dxa"/>
            <w:shd w:val="clear" w:color="auto" w:fill="auto"/>
            <w:vAlign w:val="center"/>
          </w:tcPr>
          <w:p w14:paraId="0B1F1C2A" w14:textId="77777777" w:rsidR="008B7E19" w:rsidRPr="00D511DC" w:rsidRDefault="008B7E19" w:rsidP="008B7E19">
            <w:pPr>
              <w:pStyle w:val="08-Tabelageral"/>
              <w:jc w:val="left"/>
              <w:rPr>
                <w:rFonts w:cs="Arial"/>
                <w:b w:val="0"/>
                <w:szCs w:val="14"/>
              </w:rPr>
            </w:pPr>
            <w:r w:rsidRPr="00D511DC">
              <w:rPr>
                <w:rFonts w:cs="Arial"/>
                <w:b w:val="0"/>
                <w:szCs w:val="14"/>
              </w:rPr>
              <w:t>Capital</w:t>
            </w:r>
          </w:p>
        </w:tc>
        <w:tc>
          <w:tcPr>
            <w:tcW w:w="1141" w:type="dxa"/>
            <w:gridSpan w:val="2"/>
            <w:shd w:val="clear" w:color="auto" w:fill="auto"/>
            <w:vAlign w:val="center"/>
          </w:tcPr>
          <w:p w14:paraId="43882557" w14:textId="77777777" w:rsidR="008B7E19" w:rsidRPr="00D511DC" w:rsidRDefault="008B7E19" w:rsidP="008B7E19">
            <w:pPr>
              <w:jc w:val="right"/>
              <w:cnfStyle w:val="000000010000" w:firstRow="0" w:lastRow="0" w:firstColumn="0" w:lastColumn="0" w:oddVBand="0" w:evenVBand="0" w:oddHBand="0" w:evenHBand="1" w:firstRowFirstColumn="0" w:firstRowLastColumn="0" w:lastRowFirstColumn="0" w:lastRowLastColumn="0"/>
              <w:rPr>
                <w:rFonts w:cs="Arial"/>
                <w:color w:val="auto"/>
                <w:sz w:val="14"/>
                <w:szCs w:val="14"/>
              </w:rPr>
            </w:pPr>
            <w:r>
              <w:rPr>
                <w:rFonts w:cs="Arial"/>
                <w:color w:val="000000"/>
                <w:sz w:val="14"/>
                <w:szCs w:val="14"/>
              </w:rPr>
              <w:t>1,469,848</w:t>
            </w:r>
          </w:p>
        </w:tc>
        <w:tc>
          <w:tcPr>
            <w:tcW w:w="1044" w:type="dxa"/>
            <w:gridSpan w:val="2"/>
            <w:shd w:val="clear" w:color="auto" w:fill="auto"/>
            <w:vAlign w:val="center"/>
          </w:tcPr>
          <w:p w14:paraId="590D4947" w14:textId="77777777" w:rsidR="008B7E19" w:rsidRPr="00D511DC" w:rsidRDefault="008B7E19" w:rsidP="008B7E19">
            <w:pPr>
              <w:jc w:val="right"/>
              <w:cnfStyle w:val="000000010000" w:firstRow="0" w:lastRow="0" w:firstColumn="0" w:lastColumn="0" w:oddVBand="0" w:evenVBand="0" w:oddHBand="0" w:evenHBand="1" w:firstRowFirstColumn="0" w:firstRowLastColumn="0" w:lastRowFirstColumn="0" w:lastRowLastColumn="0"/>
              <w:rPr>
                <w:rFonts w:cs="Arial"/>
                <w:color w:val="auto"/>
                <w:sz w:val="14"/>
                <w:szCs w:val="14"/>
              </w:rPr>
            </w:pPr>
            <w:r>
              <w:rPr>
                <w:rFonts w:cs="Arial"/>
                <w:color w:val="000000"/>
                <w:sz w:val="14"/>
                <w:szCs w:val="14"/>
              </w:rPr>
              <w:t>3,529,257</w:t>
            </w:r>
          </w:p>
        </w:tc>
        <w:tc>
          <w:tcPr>
            <w:tcW w:w="961" w:type="dxa"/>
            <w:gridSpan w:val="2"/>
            <w:shd w:val="clear" w:color="auto" w:fill="auto"/>
            <w:vAlign w:val="center"/>
          </w:tcPr>
          <w:p w14:paraId="6DC11E5A" w14:textId="77777777" w:rsidR="008B7E19" w:rsidRPr="00D511DC" w:rsidRDefault="008B7E19" w:rsidP="008B7E19">
            <w:pPr>
              <w:jc w:val="right"/>
              <w:cnfStyle w:val="000000010000" w:firstRow="0" w:lastRow="0" w:firstColumn="0" w:lastColumn="0" w:oddVBand="0" w:evenVBand="0" w:oddHBand="0" w:evenHBand="1" w:firstRowFirstColumn="0" w:firstRowLastColumn="0" w:lastRowFirstColumn="0" w:lastRowLastColumn="0"/>
              <w:rPr>
                <w:rFonts w:cs="Arial"/>
                <w:color w:val="auto"/>
                <w:sz w:val="14"/>
                <w:szCs w:val="14"/>
              </w:rPr>
            </w:pPr>
            <w:r>
              <w:rPr>
                <w:rFonts w:cs="Arial"/>
                <w:color w:val="000000"/>
                <w:sz w:val="14"/>
                <w:szCs w:val="14"/>
              </w:rPr>
              <w:t>354,398</w:t>
            </w:r>
          </w:p>
        </w:tc>
        <w:tc>
          <w:tcPr>
            <w:tcW w:w="1141" w:type="dxa"/>
            <w:gridSpan w:val="2"/>
            <w:shd w:val="clear" w:color="auto" w:fill="auto"/>
            <w:vAlign w:val="center"/>
          </w:tcPr>
          <w:p w14:paraId="24B662AD" w14:textId="77777777" w:rsidR="008B7E19" w:rsidRPr="00D511DC" w:rsidRDefault="008B7E19" w:rsidP="008B7E19">
            <w:pPr>
              <w:jc w:val="right"/>
              <w:cnfStyle w:val="000000010000" w:firstRow="0" w:lastRow="0" w:firstColumn="0" w:lastColumn="0" w:oddVBand="0" w:evenVBand="0" w:oddHBand="0" w:evenHBand="1" w:firstRowFirstColumn="0" w:firstRowLastColumn="0" w:lastRowFirstColumn="0" w:lastRowLastColumn="0"/>
              <w:rPr>
                <w:rFonts w:cs="Arial"/>
                <w:color w:val="auto"/>
                <w:sz w:val="14"/>
                <w:szCs w:val="14"/>
              </w:rPr>
            </w:pPr>
            <w:r>
              <w:rPr>
                <w:rFonts w:cs="Arial"/>
                <w:color w:val="000000"/>
                <w:sz w:val="14"/>
                <w:szCs w:val="14"/>
              </w:rPr>
              <w:t>9,500</w:t>
            </w:r>
          </w:p>
        </w:tc>
        <w:tc>
          <w:tcPr>
            <w:tcW w:w="708" w:type="dxa"/>
            <w:gridSpan w:val="2"/>
            <w:shd w:val="clear" w:color="auto" w:fill="auto"/>
            <w:vAlign w:val="center"/>
          </w:tcPr>
          <w:p w14:paraId="03F4439E" w14:textId="77777777" w:rsidR="008B7E19" w:rsidRPr="00D511DC" w:rsidRDefault="008B7E19" w:rsidP="008B7E19">
            <w:pPr>
              <w:jc w:val="right"/>
              <w:cnfStyle w:val="000000010000" w:firstRow="0" w:lastRow="0" w:firstColumn="0" w:lastColumn="0" w:oddVBand="0" w:evenVBand="0" w:oddHBand="0" w:evenHBand="1" w:firstRowFirstColumn="0" w:firstRowLastColumn="0" w:lastRowFirstColumn="0" w:lastRowLastColumn="0"/>
              <w:rPr>
                <w:rFonts w:cs="Arial"/>
                <w:color w:val="auto"/>
                <w:sz w:val="14"/>
                <w:szCs w:val="14"/>
              </w:rPr>
            </w:pPr>
            <w:r>
              <w:rPr>
                <w:rFonts w:cs="Arial"/>
                <w:color w:val="000000"/>
                <w:sz w:val="14"/>
                <w:szCs w:val="14"/>
              </w:rPr>
              <w:t>61,133</w:t>
            </w:r>
          </w:p>
        </w:tc>
        <w:tc>
          <w:tcPr>
            <w:tcW w:w="1154" w:type="dxa"/>
            <w:gridSpan w:val="2"/>
            <w:shd w:val="clear" w:color="auto" w:fill="auto"/>
            <w:vAlign w:val="center"/>
          </w:tcPr>
          <w:p w14:paraId="4CD2C3CA" w14:textId="77777777" w:rsidR="008B7E19" w:rsidRPr="00D511DC" w:rsidRDefault="008B7E19" w:rsidP="008B7E19">
            <w:pPr>
              <w:jc w:val="right"/>
              <w:cnfStyle w:val="000000010000" w:firstRow="0" w:lastRow="0" w:firstColumn="0" w:lastColumn="0" w:oddVBand="0" w:evenVBand="0" w:oddHBand="0" w:evenHBand="1" w:firstRowFirstColumn="0" w:firstRowLastColumn="0" w:lastRowFirstColumn="0" w:lastRowLastColumn="0"/>
              <w:rPr>
                <w:rFonts w:cs="Arial"/>
                <w:color w:val="auto"/>
                <w:sz w:val="14"/>
                <w:szCs w:val="14"/>
              </w:rPr>
            </w:pPr>
            <w:r w:rsidRPr="00F52A6C">
              <w:rPr>
                <w:rFonts w:cs="Arial"/>
                <w:b/>
                <w:bCs/>
                <w:color w:val="auto"/>
                <w:sz w:val="14"/>
                <w:szCs w:val="14"/>
              </w:rPr>
              <w:t>--</w:t>
            </w:r>
          </w:p>
        </w:tc>
      </w:tr>
      <w:tr w:rsidR="008B7E19" w:rsidRPr="00B32376" w14:paraId="42531CA4"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90" w:type="dxa"/>
            <w:shd w:val="clear" w:color="auto" w:fill="auto"/>
            <w:vAlign w:val="center"/>
          </w:tcPr>
          <w:p w14:paraId="46E3105D" w14:textId="77777777" w:rsidR="008B7E19" w:rsidRPr="005C3AB8" w:rsidRDefault="008B7E19" w:rsidP="008B7E19">
            <w:pPr>
              <w:pStyle w:val="08-Tabelageral"/>
              <w:jc w:val="left"/>
              <w:rPr>
                <w:rFonts w:cs="Arial"/>
                <w:b w:val="0"/>
                <w:szCs w:val="14"/>
              </w:rPr>
            </w:pPr>
            <w:r w:rsidRPr="005C3AB8">
              <w:rPr>
                <w:rFonts w:cs="Arial"/>
                <w:b w:val="0"/>
                <w:szCs w:val="14"/>
              </w:rPr>
              <w:t xml:space="preserve">Stockholders' equity </w:t>
            </w:r>
            <w:r w:rsidRPr="005C3AB8">
              <w:rPr>
                <w:rStyle w:val="rynqvb"/>
                <w:b w:val="0"/>
                <w:lang w:val="en"/>
              </w:rPr>
              <w:t>(</w:t>
            </w:r>
            <w:r>
              <w:rPr>
                <w:rStyle w:val="rynqvb"/>
                <w:b w:val="0"/>
                <w:lang w:val="en"/>
              </w:rPr>
              <w:t>restated balances</w:t>
            </w:r>
            <w:r w:rsidRPr="005C3AB8">
              <w:rPr>
                <w:rStyle w:val="rynqvb"/>
                <w:b w:val="0"/>
                <w:lang w:val="en"/>
              </w:rPr>
              <w:t>)</w:t>
            </w:r>
            <w:r>
              <w:rPr>
                <w:rStyle w:val="rynqvb"/>
                <w:b w:val="0"/>
                <w:lang w:val="en"/>
              </w:rPr>
              <w:t xml:space="preserve"> </w:t>
            </w:r>
            <w:r w:rsidRPr="000B4CE4">
              <w:rPr>
                <w:rStyle w:val="rynqvb"/>
                <w:b w:val="0"/>
                <w:vertAlign w:val="superscript"/>
                <w:lang w:val="en"/>
              </w:rPr>
              <w:t>(1)</w:t>
            </w:r>
          </w:p>
        </w:tc>
        <w:tc>
          <w:tcPr>
            <w:tcW w:w="1141" w:type="dxa"/>
            <w:gridSpan w:val="2"/>
            <w:shd w:val="clear" w:color="auto" w:fill="auto"/>
            <w:vAlign w:val="center"/>
          </w:tcPr>
          <w:p w14:paraId="0FF7A338" w14:textId="77777777" w:rsidR="008B7E19" w:rsidRPr="00D511DC" w:rsidRDefault="008B7E19" w:rsidP="008B7E19">
            <w:pPr>
              <w:jc w:val="right"/>
              <w:cnfStyle w:val="000000100000" w:firstRow="0" w:lastRow="0" w:firstColumn="0" w:lastColumn="0" w:oddVBand="0" w:evenVBand="0" w:oddHBand="1" w:evenHBand="0" w:firstRowFirstColumn="0" w:firstRowLastColumn="0" w:lastRowFirstColumn="0" w:lastRowLastColumn="0"/>
              <w:rPr>
                <w:rFonts w:cs="Arial"/>
                <w:color w:val="auto"/>
                <w:sz w:val="14"/>
                <w:szCs w:val="14"/>
              </w:rPr>
            </w:pPr>
            <w:r>
              <w:rPr>
                <w:rFonts w:cs="Arial"/>
                <w:color w:val="000000"/>
                <w:sz w:val="14"/>
                <w:szCs w:val="14"/>
              </w:rPr>
              <w:t>2,743,341</w:t>
            </w:r>
          </w:p>
        </w:tc>
        <w:tc>
          <w:tcPr>
            <w:tcW w:w="1044" w:type="dxa"/>
            <w:gridSpan w:val="2"/>
            <w:shd w:val="clear" w:color="auto" w:fill="auto"/>
            <w:vAlign w:val="center"/>
          </w:tcPr>
          <w:p w14:paraId="2A3D503F" w14:textId="77777777" w:rsidR="008B7E19" w:rsidRPr="00D511DC" w:rsidRDefault="008B7E19" w:rsidP="008B7E19">
            <w:pPr>
              <w:jc w:val="right"/>
              <w:cnfStyle w:val="000000100000" w:firstRow="0" w:lastRow="0" w:firstColumn="0" w:lastColumn="0" w:oddVBand="0" w:evenVBand="0" w:oddHBand="1" w:evenHBand="0" w:firstRowFirstColumn="0" w:firstRowLastColumn="0" w:lastRowFirstColumn="0" w:lastRowLastColumn="0"/>
              <w:rPr>
                <w:rFonts w:cs="Arial"/>
                <w:color w:val="auto"/>
                <w:sz w:val="14"/>
                <w:szCs w:val="14"/>
              </w:rPr>
            </w:pPr>
            <w:r>
              <w:rPr>
                <w:rFonts w:cs="Arial"/>
                <w:color w:val="000000"/>
                <w:sz w:val="14"/>
                <w:szCs w:val="14"/>
              </w:rPr>
              <w:t>6,487,315</w:t>
            </w:r>
          </w:p>
        </w:tc>
        <w:tc>
          <w:tcPr>
            <w:tcW w:w="961" w:type="dxa"/>
            <w:gridSpan w:val="2"/>
            <w:shd w:val="clear" w:color="auto" w:fill="auto"/>
            <w:vAlign w:val="center"/>
          </w:tcPr>
          <w:p w14:paraId="0D3C3D82" w14:textId="77777777" w:rsidR="008B7E19" w:rsidRPr="00D511DC" w:rsidRDefault="008B7E19" w:rsidP="008B7E19">
            <w:pPr>
              <w:jc w:val="right"/>
              <w:cnfStyle w:val="000000100000" w:firstRow="0" w:lastRow="0" w:firstColumn="0" w:lastColumn="0" w:oddVBand="0" w:evenVBand="0" w:oddHBand="1" w:evenHBand="0" w:firstRowFirstColumn="0" w:firstRowLastColumn="0" w:lastRowFirstColumn="0" w:lastRowLastColumn="0"/>
              <w:rPr>
                <w:rFonts w:cs="Arial"/>
                <w:color w:val="auto"/>
                <w:sz w:val="14"/>
                <w:szCs w:val="14"/>
              </w:rPr>
            </w:pPr>
            <w:r>
              <w:rPr>
                <w:rFonts w:cs="Arial"/>
                <w:color w:val="000000"/>
                <w:sz w:val="14"/>
                <w:szCs w:val="14"/>
              </w:rPr>
              <w:t>649,780</w:t>
            </w:r>
          </w:p>
        </w:tc>
        <w:tc>
          <w:tcPr>
            <w:tcW w:w="1141" w:type="dxa"/>
            <w:gridSpan w:val="2"/>
            <w:shd w:val="clear" w:color="auto" w:fill="auto"/>
            <w:vAlign w:val="center"/>
          </w:tcPr>
          <w:p w14:paraId="5B1055AE" w14:textId="77777777" w:rsidR="008B7E19" w:rsidRPr="00D511DC" w:rsidRDefault="008B7E19" w:rsidP="008B7E19">
            <w:pPr>
              <w:jc w:val="right"/>
              <w:cnfStyle w:val="000000100000" w:firstRow="0" w:lastRow="0" w:firstColumn="0" w:lastColumn="0" w:oddVBand="0" w:evenVBand="0" w:oddHBand="1" w:evenHBand="0" w:firstRowFirstColumn="0" w:firstRowLastColumn="0" w:lastRowFirstColumn="0" w:lastRowLastColumn="0"/>
              <w:rPr>
                <w:rFonts w:cs="Arial"/>
                <w:color w:val="auto"/>
                <w:sz w:val="14"/>
                <w:szCs w:val="14"/>
              </w:rPr>
            </w:pPr>
            <w:r>
              <w:rPr>
                <w:rFonts w:cs="Arial"/>
                <w:color w:val="000000"/>
                <w:sz w:val="14"/>
                <w:szCs w:val="14"/>
              </w:rPr>
              <w:t>21,992</w:t>
            </w:r>
          </w:p>
        </w:tc>
        <w:tc>
          <w:tcPr>
            <w:tcW w:w="708" w:type="dxa"/>
            <w:gridSpan w:val="2"/>
            <w:shd w:val="clear" w:color="auto" w:fill="auto"/>
            <w:vAlign w:val="center"/>
          </w:tcPr>
          <w:p w14:paraId="1CB3C98F" w14:textId="77777777" w:rsidR="008B7E19" w:rsidRPr="00D511DC" w:rsidRDefault="008B7E19" w:rsidP="008B7E19">
            <w:pPr>
              <w:jc w:val="right"/>
              <w:cnfStyle w:val="000000100000" w:firstRow="0" w:lastRow="0" w:firstColumn="0" w:lastColumn="0" w:oddVBand="0" w:evenVBand="0" w:oddHBand="1" w:evenHBand="0" w:firstRowFirstColumn="0" w:firstRowLastColumn="0" w:lastRowFirstColumn="0" w:lastRowLastColumn="0"/>
              <w:rPr>
                <w:rFonts w:cs="Arial"/>
                <w:color w:val="auto"/>
                <w:sz w:val="14"/>
                <w:szCs w:val="14"/>
              </w:rPr>
            </w:pPr>
            <w:r>
              <w:rPr>
                <w:rFonts w:cs="Arial"/>
                <w:color w:val="000000"/>
                <w:sz w:val="14"/>
                <w:szCs w:val="14"/>
              </w:rPr>
              <w:t>2,466</w:t>
            </w:r>
          </w:p>
        </w:tc>
        <w:tc>
          <w:tcPr>
            <w:tcW w:w="1154" w:type="dxa"/>
            <w:gridSpan w:val="2"/>
            <w:shd w:val="clear" w:color="auto" w:fill="auto"/>
            <w:vAlign w:val="center"/>
          </w:tcPr>
          <w:p w14:paraId="38482228" w14:textId="77777777" w:rsidR="008B7E19" w:rsidRPr="00D511DC" w:rsidRDefault="008B7E19" w:rsidP="008B7E19">
            <w:pPr>
              <w:jc w:val="right"/>
              <w:cnfStyle w:val="000000100000" w:firstRow="0" w:lastRow="0" w:firstColumn="0" w:lastColumn="0" w:oddVBand="0" w:evenVBand="0" w:oddHBand="1" w:evenHBand="0" w:firstRowFirstColumn="0" w:firstRowLastColumn="0" w:lastRowFirstColumn="0" w:lastRowLastColumn="0"/>
              <w:rPr>
                <w:rFonts w:cs="Arial"/>
                <w:color w:val="auto"/>
                <w:sz w:val="14"/>
                <w:szCs w:val="14"/>
              </w:rPr>
            </w:pPr>
            <w:r w:rsidRPr="00F52A6C">
              <w:rPr>
                <w:rFonts w:cs="Arial"/>
                <w:b/>
                <w:bCs/>
                <w:color w:val="auto"/>
                <w:sz w:val="14"/>
                <w:szCs w:val="14"/>
              </w:rPr>
              <w:t>--</w:t>
            </w:r>
          </w:p>
        </w:tc>
      </w:tr>
      <w:tr w:rsidR="008B7E19" w:rsidRPr="00B32376" w14:paraId="41A848CD" w14:textId="77777777" w:rsidTr="008B7E1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90" w:type="dxa"/>
            <w:tcBorders>
              <w:bottom w:val="single" w:sz="2" w:space="0" w:color="1F4E79" w:themeColor="accent1" w:themeShade="80"/>
            </w:tcBorders>
            <w:shd w:val="clear" w:color="auto" w:fill="auto"/>
            <w:vAlign w:val="center"/>
          </w:tcPr>
          <w:p w14:paraId="097E9DB1" w14:textId="77777777" w:rsidR="008B7E19" w:rsidRPr="00D511DC" w:rsidRDefault="008B7E19" w:rsidP="008B7E19">
            <w:pPr>
              <w:pStyle w:val="08-Tabelageral"/>
              <w:jc w:val="left"/>
              <w:rPr>
                <w:rFonts w:cs="Arial"/>
                <w:szCs w:val="14"/>
              </w:rPr>
            </w:pPr>
          </w:p>
        </w:tc>
        <w:tc>
          <w:tcPr>
            <w:tcW w:w="1141" w:type="dxa"/>
            <w:gridSpan w:val="2"/>
            <w:tcBorders>
              <w:bottom w:val="single" w:sz="2" w:space="0" w:color="1F4E79" w:themeColor="accent1" w:themeShade="80"/>
            </w:tcBorders>
            <w:shd w:val="clear" w:color="auto" w:fill="auto"/>
            <w:vAlign w:val="center"/>
          </w:tcPr>
          <w:p w14:paraId="5974482C" w14:textId="77777777" w:rsidR="008B7E19" w:rsidRPr="00D511DC" w:rsidRDefault="008B7E19" w:rsidP="008B7E19">
            <w:pPr>
              <w:jc w:val="right"/>
              <w:cnfStyle w:val="000000010000" w:firstRow="0" w:lastRow="0" w:firstColumn="0" w:lastColumn="0" w:oddVBand="0" w:evenVBand="0" w:oddHBand="0" w:evenHBand="1" w:firstRowFirstColumn="0" w:firstRowLastColumn="0" w:lastRowFirstColumn="0" w:lastRowLastColumn="0"/>
              <w:rPr>
                <w:rFonts w:cs="Arial"/>
                <w:b/>
                <w:bCs/>
                <w:sz w:val="14"/>
                <w:szCs w:val="14"/>
              </w:rPr>
            </w:pPr>
          </w:p>
        </w:tc>
        <w:tc>
          <w:tcPr>
            <w:tcW w:w="1044" w:type="dxa"/>
            <w:gridSpan w:val="2"/>
            <w:tcBorders>
              <w:bottom w:val="single" w:sz="2" w:space="0" w:color="1F4E79" w:themeColor="accent1" w:themeShade="80"/>
            </w:tcBorders>
            <w:shd w:val="clear" w:color="auto" w:fill="auto"/>
            <w:vAlign w:val="center"/>
          </w:tcPr>
          <w:p w14:paraId="5D0194A7" w14:textId="77777777" w:rsidR="008B7E19" w:rsidRPr="00D511DC" w:rsidRDefault="008B7E19" w:rsidP="008B7E19">
            <w:pPr>
              <w:jc w:val="right"/>
              <w:cnfStyle w:val="000000010000" w:firstRow="0" w:lastRow="0" w:firstColumn="0" w:lastColumn="0" w:oddVBand="0" w:evenVBand="0" w:oddHBand="0" w:evenHBand="1" w:firstRowFirstColumn="0" w:firstRowLastColumn="0" w:lastRowFirstColumn="0" w:lastRowLastColumn="0"/>
              <w:rPr>
                <w:rFonts w:cs="Arial"/>
                <w:b/>
                <w:bCs/>
                <w:sz w:val="14"/>
                <w:szCs w:val="14"/>
              </w:rPr>
            </w:pPr>
          </w:p>
        </w:tc>
        <w:tc>
          <w:tcPr>
            <w:tcW w:w="961" w:type="dxa"/>
            <w:gridSpan w:val="2"/>
            <w:tcBorders>
              <w:bottom w:val="single" w:sz="2" w:space="0" w:color="1F4E79" w:themeColor="accent1" w:themeShade="80"/>
            </w:tcBorders>
            <w:shd w:val="clear" w:color="auto" w:fill="auto"/>
            <w:vAlign w:val="center"/>
          </w:tcPr>
          <w:p w14:paraId="20B0AE40" w14:textId="77777777" w:rsidR="008B7E19" w:rsidRPr="00D511DC" w:rsidRDefault="008B7E19" w:rsidP="008B7E19">
            <w:pPr>
              <w:jc w:val="right"/>
              <w:cnfStyle w:val="000000010000" w:firstRow="0" w:lastRow="0" w:firstColumn="0" w:lastColumn="0" w:oddVBand="0" w:evenVBand="0" w:oddHBand="0" w:evenHBand="1" w:firstRowFirstColumn="0" w:firstRowLastColumn="0" w:lastRowFirstColumn="0" w:lastRowLastColumn="0"/>
              <w:rPr>
                <w:rFonts w:cs="Arial"/>
                <w:b/>
                <w:bCs/>
                <w:sz w:val="14"/>
                <w:szCs w:val="14"/>
              </w:rPr>
            </w:pPr>
          </w:p>
        </w:tc>
        <w:tc>
          <w:tcPr>
            <w:tcW w:w="1141" w:type="dxa"/>
            <w:gridSpan w:val="2"/>
            <w:tcBorders>
              <w:bottom w:val="single" w:sz="2" w:space="0" w:color="1F4E79" w:themeColor="accent1" w:themeShade="80"/>
            </w:tcBorders>
            <w:shd w:val="clear" w:color="auto" w:fill="auto"/>
            <w:vAlign w:val="center"/>
          </w:tcPr>
          <w:p w14:paraId="35199016" w14:textId="77777777" w:rsidR="008B7E19" w:rsidRPr="00D511DC" w:rsidRDefault="008B7E19" w:rsidP="008B7E19">
            <w:pPr>
              <w:jc w:val="right"/>
              <w:cnfStyle w:val="000000010000" w:firstRow="0" w:lastRow="0" w:firstColumn="0" w:lastColumn="0" w:oddVBand="0" w:evenVBand="0" w:oddHBand="0" w:evenHBand="1" w:firstRowFirstColumn="0" w:firstRowLastColumn="0" w:lastRowFirstColumn="0" w:lastRowLastColumn="0"/>
              <w:rPr>
                <w:rFonts w:cs="Arial"/>
                <w:b/>
                <w:bCs/>
                <w:sz w:val="14"/>
                <w:szCs w:val="14"/>
              </w:rPr>
            </w:pPr>
          </w:p>
        </w:tc>
        <w:tc>
          <w:tcPr>
            <w:tcW w:w="708" w:type="dxa"/>
            <w:gridSpan w:val="2"/>
            <w:tcBorders>
              <w:bottom w:val="single" w:sz="2" w:space="0" w:color="1F4E79" w:themeColor="accent1" w:themeShade="80"/>
            </w:tcBorders>
            <w:shd w:val="clear" w:color="auto" w:fill="auto"/>
            <w:vAlign w:val="center"/>
          </w:tcPr>
          <w:p w14:paraId="30B976BB" w14:textId="77777777" w:rsidR="008B7E19" w:rsidRPr="00D511DC" w:rsidRDefault="008B7E19" w:rsidP="008B7E19">
            <w:pPr>
              <w:jc w:val="right"/>
              <w:cnfStyle w:val="000000010000" w:firstRow="0" w:lastRow="0" w:firstColumn="0" w:lastColumn="0" w:oddVBand="0" w:evenVBand="0" w:oddHBand="0" w:evenHBand="1" w:firstRowFirstColumn="0" w:firstRowLastColumn="0" w:lastRowFirstColumn="0" w:lastRowLastColumn="0"/>
              <w:rPr>
                <w:rFonts w:cs="Arial"/>
                <w:b/>
                <w:bCs/>
                <w:sz w:val="14"/>
                <w:szCs w:val="14"/>
              </w:rPr>
            </w:pPr>
          </w:p>
        </w:tc>
        <w:tc>
          <w:tcPr>
            <w:tcW w:w="1154" w:type="dxa"/>
            <w:gridSpan w:val="2"/>
            <w:tcBorders>
              <w:bottom w:val="single" w:sz="2" w:space="0" w:color="1F4E79" w:themeColor="accent1" w:themeShade="80"/>
            </w:tcBorders>
            <w:shd w:val="clear" w:color="auto" w:fill="auto"/>
            <w:vAlign w:val="center"/>
          </w:tcPr>
          <w:p w14:paraId="560CBC7F" w14:textId="77777777" w:rsidR="008B7E19" w:rsidRPr="00D511DC" w:rsidRDefault="008B7E19" w:rsidP="008B7E19">
            <w:pPr>
              <w:jc w:val="right"/>
              <w:cnfStyle w:val="000000010000" w:firstRow="0" w:lastRow="0" w:firstColumn="0" w:lastColumn="0" w:oddVBand="0" w:evenVBand="0" w:oddHBand="0" w:evenHBand="1" w:firstRowFirstColumn="0" w:firstRowLastColumn="0" w:lastRowFirstColumn="0" w:lastRowLastColumn="0"/>
              <w:rPr>
                <w:rFonts w:cs="Arial"/>
                <w:b/>
                <w:bCs/>
                <w:sz w:val="14"/>
                <w:szCs w:val="14"/>
              </w:rPr>
            </w:pPr>
          </w:p>
        </w:tc>
      </w:tr>
      <w:tr w:rsidR="008B7E19" w:rsidRPr="00FE3061" w14:paraId="72D04D04"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9639" w:type="dxa"/>
            <w:gridSpan w:val="13"/>
            <w:tcBorders>
              <w:top w:val="single" w:sz="2" w:space="0" w:color="1F4E79" w:themeColor="accent1" w:themeShade="80"/>
              <w:bottom w:val="single" w:sz="2" w:space="0" w:color="1F4E79" w:themeColor="accent1" w:themeShade="80"/>
            </w:tcBorders>
            <w:shd w:val="clear" w:color="auto" w:fill="auto"/>
            <w:vAlign w:val="center"/>
          </w:tcPr>
          <w:p w14:paraId="6FFDB331" w14:textId="77777777" w:rsidR="008B7E19" w:rsidRPr="005C3AB8" w:rsidRDefault="008B7E19" w:rsidP="008B7E19">
            <w:pPr>
              <w:pStyle w:val="08-Tabelageral"/>
              <w:jc w:val="left"/>
              <w:rPr>
                <w:rFonts w:cs="Arial"/>
                <w:szCs w:val="14"/>
                <w:lang w:val="en-US"/>
              </w:rPr>
            </w:pPr>
            <w:r w:rsidRPr="005C3AB8">
              <w:rPr>
                <w:rFonts w:cs="Arial"/>
                <w:szCs w:val="14"/>
                <w:lang w:val="en-US"/>
              </w:rPr>
              <w:t xml:space="preserve">Moviments in 01.01 to </w:t>
            </w:r>
            <w:r>
              <w:rPr>
                <w:rFonts w:cs="Arial"/>
                <w:szCs w:val="14"/>
                <w:lang w:val="en-US"/>
              </w:rPr>
              <w:t>06</w:t>
            </w:r>
            <w:r w:rsidRPr="005C3AB8">
              <w:rPr>
                <w:rFonts w:cs="Arial"/>
                <w:szCs w:val="14"/>
                <w:lang w:val="en-US"/>
              </w:rPr>
              <w:t>.3</w:t>
            </w:r>
            <w:r>
              <w:rPr>
                <w:rFonts w:cs="Arial"/>
                <w:szCs w:val="14"/>
                <w:lang w:val="en-US"/>
              </w:rPr>
              <w:t>0.2023</w:t>
            </w:r>
          </w:p>
        </w:tc>
      </w:tr>
      <w:tr w:rsidR="008B7E19" w:rsidRPr="00B32376" w14:paraId="08A559A8" w14:textId="77777777" w:rsidTr="008B7E1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30" w:type="dxa"/>
            <w:gridSpan w:val="2"/>
            <w:tcBorders>
              <w:top w:val="single" w:sz="2" w:space="0" w:color="1F4E79" w:themeColor="accent1" w:themeShade="80"/>
            </w:tcBorders>
            <w:shd w:val="clear" w:color="auto" w:fill="auto"/>
            <w:vAlign w:val="center"/>
          </w:tcPr>
          <w:p w14:paraId="3C279A26" w14:textId="77777777" w:rsidR="008B7E19" w:rsidRPr="00CB6B64" w:rsidRDefault="008B7E19" w:rsidP="008B7E19">
            <w:pPr>
              <w:pStyle w:val="08-Tabelageral"/>
              <w:jc w:val="left"/>
              <w:rPr>
                <w:color w:val="FF0000"/>
                <w:szCs w:val="14"/>
                <w:lang w:val="en-US"/>
              </w:rPr>
            </w:pPr>
            <w:r w:rsidRPr="00CB6B64">
              <w:rPr>
                <w:rFonts w:cs="Arial"/>
                <w:szCs w:val="14"/>
                <w:lang w:val="en-US"/>
              </w:rPr>
              <w:t>Book Balance on Dec 31, 2022</w:t>
            </w:r>
            <w:r w:rsidRPr="00CB6B64">
              <w:rPr>
                <w:rStyle w:val="rynqvb"/>
                <w:lang w:val="en"/>
              </w:rPr>
              <w:t xml:space="preserve"> (restated balances)</w:t>
            </w:r>
            <w:r>
              <w:rPr>
                <w:rStyle w:val="rynqvb"/>
                <w:lang w:val="en"/>
              </w:rPr>
              <w:t xml:space="preserve"> </w:t>
            </w:r>
            <w:r w:rsidRPr="00DB4B4B">
              <w:rPr>
                <w:rStyle w:val="rynqvb"/>
                <w:vertAlign w:val="superscript"/>
                <w:lang w:val="en"/>
              </w:rPr>
              <w:t>(1)</w:t>
            </w:r>
          </w:p>
        </w:tc>
        <w:tc>
          <w:tcPr>
            <w:tcW w:w="1141" w:type="dxa"/>
            <w:gridSpan w:val="2"/>
            <w:tcBorders>
              <w:top w:val="single" w:sz="2" w:space="0" w:color="1F4E79" w:themeColor="accent1" w:themeShade="80"/>
            </w:tcBorders>
            <w:shd w:val="clear" w:color="auto" w:fill="auto"/>
            <w:vAlign w:val="center"/>
          </w:tcPr>
          <w:p w14:paraId="56517BD8" w14:textId="77777777" w:rsidR="008B7E19" w:rsidRPr="00D511DC" w:rsidRDefault="008B7E19" w:rsidP="008B7E19">
            <w:pPr>
              <w:jc w:val="center"/>
              <w:cnfStyle w:val="000000010000" w:firstRow="0" w:lastRow="0" w:firstColumn="0" w:lastColumn="0" w:oddVBand="0" w:evenVBand="0" w:oddHBand="0" w:evenHBand="1" w:firstRowFirstColumn="0" w:firstRowLastColumn="0" w:lastRowFirstColumn="0" w:lastRowLastColumn="0"/>
              <w:rPr>
                <w:rFonts w:cs="Arial"/>
                <w:b/>
                <w:bCs/>
                <w:color w:val="auto"/>
                <w:sz w:val="14"/>
                <w:szCs w:val="14"/>
              </w:rPr>
            </w:pPr>
            <w:r>
              <w:rPr>
                <w:rFonts w:cs="Arial"/>
                <w:b/>
                <w:bCs/>
                <w:color w:val="000000"/>
                <w:sz w:val="14"/>
                <w:szCs w:val="14"/>
              </w:rPr>
              <w:t>2,552,517</w:t>
            </w:r>
          </w:p>
        </w:tc>
        <w:tc>
          <w:tcPr>
            <w:tcW w:w="923" w:type="dxa"/>
            <w:gridSpan w:val="2"/>
            <w:tcBorders>
              <w:top w:val="single" w:sz="2" w:space="0" w:color="1F4E79" w:themeColor="accent1" w:themeShade="80"/>
            </w:tcBorders>
            <w:shd w:val="clear" w:color="auto" w:fill="auto"/>
            <w:vAlign w:val="center"/>
          </w:tcPr>
          <w:p w14:paraId="0F08F7B8" w14:textId="77777777" w:rsidR="008B7E19" w:rsidRPr="00D511DC" w:rsidRDefault="008B7E19" w:rsidP="008B7E19">
            <w:pPr>
              <w:jc w:val="right"/>
              <w:cnfStyle w:val="000000010000" w:firstRow="0" w:lastRow="0" w:firstColumn="0" w:lastColumn="0" w:oddVBand="0" w:evenVBand="0" w:oddHBand="0" w:evenHBand="1" w:firstRowFirstColumn="0" w:firstRowLastColumn="0" w:lastRowFirstColumn="0" w:lastRowLastColumn="0"/>
              <w:rPr>
                <w:rFonts w:cs="Arial"/>
                <w:b/>
                <w:bCs/>
                <w:color w:val="auto"/>
                <w:sz w:val="14"/>
                <w:szCs w:val="14"/>
              </w:rPr>
            </w:pPr>
            <w:r>
              <w:rPr>
                <w:rFonts w:cs="Arial"/>
                <w:b/>
                <w:bCs/>
                <w:color w:val="000000"/>
                <w:sz w:val="14"/>
                <w:szCs w:val="14"/>
              </w:rPr>
              <w:t>4,842,331</w:t>
            </w:r>
          </w:p>
        </w:tc>
        <w:tc>
          <w:tcPr>
            <w:tcW w:w="1081" w:type="dxa"/>
            <w:gridSpan w:val="2"/>
            <w:tcBorders>
              <w:top w:val="single" w:sz="2" w:space="0" w:color="1F4E79" w:themeColor="accent1" w:themeShade="80"/>
            </w:tcBorders>
            <w:shd w:val="clear" w:color="auto" w:fill="auto"/>
            <w:vAlign w:val="center"/>
          </w:tcPr>
          <w:p w14:paraId="6614170C" w14:textId="77777777" w:rsidR="008B7E19" w:rsidRPr="00D511DC" w:rsidRDefault="008B7E19" w:rsidP="008B7E19">
            <w:pPr>
              <w:jc w:val="center"/>
              <w:cnfStyle w:val="000000010000" w:firstRow="0" w:lastRow="0" w:firstColumn="0" w:lastColumn="0" w:oddVBand="0" w:evenVBand="0" w:oddHBand="0" w:evenHBand="1" w:firstRowFirstColumn="0" w:firstRowLastColumn="0" w:lastRowFirstColumn="0" w:lastRowLastColumn="0"/>
              <w:rPr>
                <w:rFonts w:cs="Arial"/>
                <w:b/>
                <w:bCs/>
                <w:color w:val="auto"/>
                <w:sz w:val="14"/>
                <w:szCs w:val="14"/>
              </w:rPr>
            </w:pPr>
            <w:r>
              <w:rPr>
                <w:rFonts w:cs="Arial"/>
                <w:b/>
                <w:bCs/>
                <w:color w:val="000000"/>
                <w:sz w:val="14"/>
                <w:szCs w:val="14"/>
              </w:rPr>
              <w:t>544,590</w:t>
            </w:r>
          </w:p>
        </w:tc>
        <w:tc>
          <w:tcPr>
            <w:tcW w:w="1141" w:type="dxa"/>
            <w:gridSpan w:val="2"/>
            <w:tcBorders>
              <w:top w:val="single" w:sz="2" w:space="0" w:color="1F4E79" w:themeColor="accent1" w:themeShade="80"/>
            </w:tcBorders>
            <w:shd w:val="clear" w:color="auto" w:fill="auto"/>
            <w:vAlign w:val="center"/>
          </w:tcPr>
          <w:p w14:paraId="2BC512F5" w14:textId="77777777" w:rsidR="008B7E19" w:rsidRPr="00D511DC" w:rsidRDefault="008B7E19" w:rsidP="008B7E19">
            <w:pPr>
              <w:jc w:val="center"/>
              <w:cnfStyle w:val="000000010000" w:firstRow="0" w:lastRow="0" w:firstColumn="0" w:lastColumn="0" w:oddVBand="0" w:evenVBand="0" w:oddHBand="0" w:evenHBand="1" w:firstRowFirstColumn="0" w:firstRowLastColumn="0" w:lastRowFirstColumn="0" w:lastRowLastColumn="0"/>
              <w:rPr>
                <w:rFonts w:cs="Arial"/>
                <w:b/>
                <w:bCs/>
                <w:color w:val="auto"/>
                <w:sz w:val="14"/>
                <w:szCs w:val="14"/>
              </w:rPr>
            </w:pPr>
            <w:r>
              <w:rPr>
                <w:rFonts w:cs="Arial"/>
                <w:b/>
                <w:bCs/>
                <w:color w:val="000000"/>
                <w:sz w:val="14"/>
                <w:szCs w:val="14"/>
              </w:rPr>
              <w:t>16,495</w:t>
            </w:r>
          </w:p>
        </w:tc>
        <w:tc>
          <w:tcPr>
            <w:tcW w:w="704" w:type="dxa"/>
            <w:gridSpan w:val="2"/>
            <w:tcBorders>
              <w:top w:val="single" w:sz="2" w:space="0" w:color="1F4E79" w:themeColor="accent1" w:themeShade="80"/>
            </w:tcBorders>
            <w:shd w:val="clear" w:color="auto" w:fill="auto"/>
            <w:vAlign w:val="center"/>
          </w:tcPr>
          <w:p w14:paraId="4275148D" w14:textId="77777777" w:rsidR="008B7E19" w:rsidRPr="00D511DC" w:rsidRDefault="008B7E19" w:rsidP="008B7E19">
            <w:pPr>
              <w:cnfStyle w:val="000000010000" w:firstRow="0" w:lastRow="0" w:firstColumn="0" w:lastColumn="0" w:oddVBand="0" w:evenVBand="0" w:oddHBand="0" w:evenHBand="1" w:firstRowFirstColumn="0" w:firstRowLastColumn="0" w:lastRowFirstColumn="0" w:lastRowLastColumn="0"/>
              <w:rPr>
                <w:rFonts w:cs="Arial"/>
                <w:b/>
                <w:bCs/>
                <w:color w:val="auto"/>
                <w:sz w:val="14"/>
                <w:szCs w:val="14"/>
              </w:rPr>
            </w:pPr>
            <w:r>
              <w:rPr>
                <w:rFonts w:cs="Arial"/>
                <w:b/>
                <w:bCs/>
                <w:color w:val="000000"/>
                <w:sz w:val="14"/>
                <w:szCs w:val="14"/>
              </w:rPr>
              <w:t>1,506</w:t>
            </w:r>
          </w:p>
        </w:tc>
        <w:tc>
          <w:tcPr>
            <w:tcW w:w="1019" w:type="dxa"/>
            <w:tcBorders>
              <w:top w:val="single" w:sz="2" w:space="0" w:color="1F4E79" w:themeColor="accent1" w:themeShade="80"/>
            </w:tcBorders>
            <w:shd w:val="clear" w:color="auto" w:fill="auto"/>
            <w:vAlign w:val="center"/>
          </w:tcPr>
          <w:p w14:paraId="20A22D02" w14:textId="77777777" w:rsidR="008B7E19" w:rsidRPr="00D511DC" w:rsidRDefault="008B7E19" w:rsidP="008B7E19">
            <w:pPr>
              <w:jc w:val="right"/>
              <w:cnfStyle w:val="000000010000" w:firstRow="0" w:lastRow="0" w:firstColumn="0" w:lastColumn="0" w:oddVBand="0" w:evenVBand="0" w:oddHBand="0" w:evenHBand="1" w:firstRowFirstColumn="0" w:firstRowLastColumn="0" w:lastRowFirstColumn="0" w:lastRowLastColumn="0"/>
              <w:rPr>
                <w:rFonts w:cs="Arial"/>
                <w:b/>
                <w:bCs/>
                <w:color w:val="auto"/>
                <w:sz w:val="14"/>
                <w:szCs w:val="14"/>
              </w:rPr>
            </w:pPr>
            <w:r>
              <w:rPr>
                <w:rFonts w:cs="Arial"/>
                <w:b/>
                <w:bCs/>
                <w:color w:val="000000"/>
                <w:sz w:val="14"/>
                <w:szCs w:val="14"/>
              </w:rPr>
              <w:t>7,957,439</w:t>
            </w:r>
          </w:p>
        </w:tc>
      </w:tr>
      <w:tr w:rsidR="008B7E19" w:rsidRPr="00FB2B7E" w14:paraId="428D20EA"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90" w:type="dxa"/>
            <w:shd w:val="clear" w:color="auto" w:fill="auto"/>
            <w:vAlign w:val="center"/>
          </w:tcPr>
          <w:p w14:paraId="4A6D30C9" w14:textId="77777777" w:rsidR="008B7E19" w:rsidRPr="00D511DC" w:rsidRDefault="008B7E19" w:rsidP="008B7E19">
            <w:pPr>
              <w:rPr>
                <w:b w:val="0"/>
                <w:color w:val="FF0000"/>
                <w:sz w:val="14"/>
                <w:szCs w:val="14"/>
              </w:rPr>
            </w:pPr>
            <w:r w:rsidRPr="004B42CF">
              <w:rPr>
                <w:rFonts w:cs="Arial"/>
                <w:b w:val="0"/>
                <w:bCs w:val="0"/>
                <w:sz w:val="14"/>
                <w:szCs w:val="14"/>
              </w:rPr>
              <w:t>Dividends</w:t>
            </w:r>
          </w:p>
        </w:tc>
        <w:tc>
          <w:tcPr>
            <w:tcW w:w="1141" w:type="dxa"/>
            <w:gridSpan w:val="2"/>
            <w:shd w:val="clear" w:color="auto" w:fill="auto"/>
            <w:vAlign w:val="center"/>
          </w:tcPr>
          <w:p w14:paraId="59F5760B" w14:textId="77777777" w:rsidR="008B7E19" w:rsidRPr="00D511DC" w:rsidRDefault="008B7E19" w:rsidP="008B7E19">
            <w:pPr>
              <w:jc w:val="right"/>
              <w:cnfStyle w:val="000000100000" w:firstRow="0" w:lastRow="0" w:firstColumn="0" w:lastColumn="0" w:oddVBand="0" w:evenVBand="0" w:oddHBand="1" w:evenHBand="0" w:firstRowFirstColumn="0" w:firstRowLastColumn="0" w:lastRowFirstColumn="0" w:lastRowLastColumn="0"/>
              <w:rPr>
                <w:rFonts w:eastAsia="Times New Roman" w:cs="Arial"/>
                <w:color w:val="auto"/>
                <w:sz w:val="14"/>
                <w:szCs w:val="14"/>
              </w:rPr>
            </w:pPr>
            <w:r>
              <w:rPr>
                <w:rFonts w:cs="Arial"/>
                <w:color w:val="000000"/>
                <w:sz w:val="14"/>
                <w:szCs w:val="14"/>
              </w:rPr>
              <w:t>(1,217,089)</w:t>
            </w:r>
          </w:p>
        </w:tc>
        <w:tc>
          <w:tcPr>
            <w:tcW w:w="1044" w:type="dxa"/>
            <w:gridSpan w:val="2"/>
            <w:shd w:val="clear" w:color="auto" w:fill="auto"/>
            <w:vAlign w:val="center"/>
          </w:tcPr>
          <w:p w14:paraId="38BE7AD5" w14:textId="77777777" w:rsidR="008B7E19" w:rsidRPr="00D511DC" w:rsidRDefault="008B7E19" w:rsidP="008B7E19">
            <w:pPr>
              <w:pStyle w:val="08-Tabelageral"/>
              <w:ind w:left="113"/>
              <w:cnfStyle w:val="000000100000" w:firstRow="0" w:lastRow="0" w:firstColumn="0" w:lastColumn="0" w:oddVBand="0" w:evenVBand="0" w:oddHBand="1" w:evenHBand="0" w:firstRowFirstColumn="0" w:firstRowLastColumn="0" w:lastRowFirstColumn="0" w:lastRowLastColumn="0"/>
              <w:rPr>
                <w:color w:val="auto"/>
                <w:szCs w:val="14"/>
              </w:rPr>
            </w:pPr>
            <w:r>
              <w:rPr>
                <w:rFonts w:eastAsia="MS Mincho" w:cs="Arial"/>
                <w:color w:val="000000"/>
                <w:spacing w:val="0"/>
                <w:szCs w:val="14"/>
                <w:lang w:eastAsia="en-US"/>
              </w:rPr>
              <w:t>(374,975)</w:t>
            </w:r>
          </w:p>
        </w:tc>
        <w:tc>
          <w:tcPr>
            <w:tcW w:w="961" w:type="dxa"/>
            <w:gridSpan w:val="2"/>
            <w:shd w:val="clear" w:color="auto" w:fill="auto"/>
            <w:vAlign w:val="center"/>
          </w:tcPr>
          <w:p w14:paraId="7E7B1A5D" w14:textId="77777777" w:rsidR="008B7E19" w:rsidRPr="00D511DC" w:rsidRDefault="008B7E19" w:rsidP="008B7E19">
            <w:pPr>
              <w:pStyle w:val="08-Tabelageral"/>
              <w:ind w:left="113"/>
              <w:cnfStyle w:val="000000100000" w:firstRow="0" w:lastRow="0" w:firstColumn="0" w:lastColumn="0" w:oddVBand="0" w:evenVBand="0" w:oddHBand="1" w:evenHBand="0" w:firstRowFirstColumn="0" w:firstRowLastColumn="0" w:lastRowFirstColumn="0" w:lastRowLastColumn="0"/>
              <w:rPr>
                <w:color w:val="auto"/>
                <w:szCs w:val="14"/>
              </w:rPr>
            </w:pPr>
            <w:r>
              <w:rPr>
                <w:rFonts w:eastAsia="MS Mincho" w:cs="Arial"/>
                <w:color w:val="000000"/>
                <w:spacing w:val="0"/>
                <w:szCs w:val="14"/>
                <w:lang w:eastAsia="en-US"/>
              </w:rPr>
              <w:t>(97,592)</w:t>
            </w:r>
          </w:p>
        </w:tc>
        <w:tc>
          <w:tcPr>
            <w:tcW w:w="1141" w:type="dxa"/>
            <w:gridSpan w:val="2"/>
            <w:shd w:val="clear" w:color="auto" w:fill="auto"/>
            <w:vAlign w:val="center"/>
          </w:tcPr>
          <w:p w14:paraId="53AF4B95" w14:textId="77777777" w:rsidR="008B7E19" w:rsidRPr="00D511DC" w:rsidRDefault="008B7E19" w:rsidP="008B7E19">
            <w:pPr>
              <w:pStyle w:val="08-Tabelageral"/>
              <w:ind w:left="113"/>
              <w:cnfStyle w:val="000000100000" w:firstRow="0" w:lastRow="0" w:firstColumn="0" w:lastColumn="0" w:oddVBand="0" w:evenVBand="0" w:oddHBand="1" w:evenHBand="0" w:firstRowFirstColumn="0" w:firstRowLastColumn="0" w:lastRowFirstColumn="0" w:lastRowLastColumn="0"/>
              <w:rPr>
                <w:color w:val="auto"/>
                <w:szCs w:val="14"/>
              </w:rPr>
            </w:pPr>
            <w:r>
              <w:rPr>
                <w:rFonts w:eastAsia="MS Mincho" w:cs="Arial"/>
                <w:color w:val="000000"/>
                <w:spacing w:val="0"/>
                <w:szCs w:val="14"/>
                <w:lang w:eastAsia="en-US"/>
              </w:rPr>
              <w:t>(12,750)</w:t>
            </w:r>
          </w:p>
        </w:tc>
        <w:tc>
          <w:tcPr>
            <w:tcW w:w="708" w:type="dxa"/>
            <w:gridSpan w:val="2"/>
            <w:shd w:val="clear" w:color="auto" w:fill="auto"/>
            <w:vAlign w:val="center"/>
          </w:tcPr>
          <w:p w14:paraId="06F37F41" w14:textId="77777777" w:rsidR="008B7E19" w:rsidRPr="00D511DC" w:rsidRDefault="008B7E19" w:rsidP="008B7E19">
            <w:pPr>
              <w:pStyle w:val="08-Tabelageral"/>
              <w:ind w:left="113"/>
              <w:cnfStyle w:val="000000100000" w:firstRow="0" w:lastRow="0" w:firstColumn="0" w:lastColumn="0" w:oddVBand="0" w:evenVBand="0" w:oddHBand="1" w:evenHBand="0" w:firstRowFirstColumn="0" w:firstRowLastColumn="0" w:lastRowFirstColumn="0" w:lastRowLastColumn="0"/>
              <w:rPr>
                <w:color w:val="auto"/>
                <w:szCs w:val="14"/>
              </w:rPr>
            </w:pPr>
            <w:r>
              <w:rPr>
                <w:rFonts w:eastAsia="MS Mincho" w:cs="Arial"/>
                <w:color w:val="000000"/>
                <w:spacing w:val="0"/>
                <w:szCs w:val="14"/>
                <w:lang w:eastAsia="en-US"/>
              </w:rPr>
              <w:t>--</w:t>
            </w:r>
          </w:p>
        </w:tc>
        <w:tc>
          <w:tcPr>
            <w:tcW w:w="1154" w:type="dxa"/>
            <w:gridSpan w:val="2"/>
            <w:shd w:val="clear" w:color="auto" w:fill="auto"/>
            <w:vAlign w:val="center"/>
          </w:tcPr>
          <w:p w14:paraId="46659836" w14:textId="77777777" w:rsidR="008B7E19" w:rsidRPr="00D511DC" w:rsidRDefault="008B7E19" w:rsidP="008B7E19">
            <w:pPr>
              <w:pStyle w:val="08-Tabelageral"/>
              <w:ind w:left="113"/>
              <w:cnfStyle w:val="000000100000" w:firstRow="0" w:lastRow="0" w:firstColumn="0" w:lastColumn="0" w:oddVBand="0" w:evenVBand="0" w:oddHBand="1" w:evenHBand="0" w:firstRowFirstColumn="0" w:firstRowLastColumn="0" w:lastRowFirstColumn="0" w:lastRowLastColumn="0"/>
              <w:rPr>
                <w:rFonts w:cs="Arial"/>
                <w:b/>
                <w:bCs/>
                <w:color w:val="auto"/>
                <w:szCs w:val="14"/>
              </w:rPr>
            </w:pPr>
            <w:r>
              <w:rPr>
                <w:rFonts w:eastAsia="MS Mincho" w:cs="Arial"/>
                <w:b/>
                <w:bCs/>
                <w:color w:val="000000"/>
                <w:spacing w:val="0"/>
                <w:szCs w:val="14"/>
                <w:lang w:eastAsia="en-US"/>
              </w:rPr>
              <w:t>(1,702,406)</w:t>
            </w:r>
          </w:p>
        </w:tc>
      </w:tr>
      <w:tr w:rsidR="008B7E19" w:rsidRPr="00FB2B7E" w14:paraId="1F1B3A0E" w14:textId="77777777" w:rsidTr="008B7E1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90" w:type="dxa"/>
            <w:shd w:val="clear" w:color="auto" w:fill="auto"/>
            <w:vAlign w:val="center"/>
          </w:tcPr>
          <w:p w14:paraId="3B348DEB" w14:textId="77777777" w:rsidR="008B7E19" w:rsidRPr="00D511DC" w:rsidRDefault="008B7E19" w:rsidP="008B7E19">
            <w:pPr>
              <w:pStyle w:val="08-Tabelageral"/>
              <w:jc w:val="left"/>
              <w:rPr>
                <w:b w:val="0"/>
                <w:color w:val="FF0000"/>
                <w:szCs w:val="14"/>
              </w:rPr>
            </w:pPr>
            <w:r w:rsidRPr="00696049">
              <w:rPr>
                <w:rFonts w:cs="Arial"/>
                <w:b w:val="0"/>
                <w:bCs w:val="0"/>
                <w:szCs w:val="14"/>
              </w:rPr>
              <w:t>Equity valuation adjustments</w:t>
            </w:r>
          </w:p>
        </w:tc>
        <w:tc>
          <w:tcPr>
            <w:tcW w:w="1141" w:type="dxa"/>
            <w:gridSpan w:val="2"/>
            <w:shd w:val="clear" w:color="auto" w:fill="auto"/>
            <w:vAlign w:val="center"/>
          </w:tcPr>
          <w:p w14:paraId="6A355333" w14:textId="77777777" w:rsidR="008B7E19" w:rsidRPr="00D511DC" w:rsidRDefault="008B7E19" w:rsidP="008B7E19">
            <w:pPr>
              <w:jc w:val="right"/>
              <w:cnfStyle w:val="000000010000" w:firstRow="0" w:lastRow="0" w:firstColumn="0" w:lastColumn="0" w:oddVBand="0" w:evenVBand="0" w:oddHBand="0" w:evenHBand="1" w:firstRowFirstColumn="0" w:firstRowLastColumn="0" w:lastRowFirstColumn="0" w:lastRowLastColumn="0"/>
              <w:rPr>
                <w:rFonts w:eastAsia="Times New Roman" w:cs="Arial"/>
                <w:color w:val="auto"/>
                <w:sz w:val="14"/>
                <w:szCs w:val="14"/>
              </w:rPr>
            </w:pPr>
            <w:r>
              <w:rPr>
                <w:rFonts w:cs="Arial"/>
                <w:color w:val="000000"/>
                <w:sz w:val="14"/>
                <w:szCs w:val="14"/>
              </w:rPr>
              <w:t>39,868</w:t>
            </w:r>
          </w:p>
        </w:tc>
        <w:tc>
          <w:tcPr>
            <w:tcW w:w="1044" w:type="dxa"/>
            <w:gridSpan w:val="2"/>
            <w:shd w:val="clear" w:color="auto" w:fill="auto"/>
            <w:vAlign w:val="center"/>
          </w:tcPr>
          <w:p w14:paraId="1AC5BBC6" w14:textId="77777777" w:rsidR="008B7E19" w:rsidRPr="00D511DC" w:rsidRDefault="008B7E19" w:rsidP="008B7E19">
            <w:pPr>
              <w:jc w:val="right"/>
              <w:cnfStyle w:val="000000010000" w:firstRow="0" w:lastRow="0" w:firstColumn="0" w:lastColumn="0" w:oddVBand="0" w:evenVBand="0" w:oddHBand="0" w:evenHBand="1" w:firstRowFirstColumn="0" w:firstRowLastColumn="0" w:lastRowFirstColumn="0" w:lastRowLastColumn="0"/>
              <w:rPr>
                <w:color w:val="auto"/>
                <w:sz w:val="14"/>
                <w:szCs w:val="14"/>
              </w:rPr>
            </w:pPr>
            <w:r>
              <w:rPr>
                <w:rFonts w:cs="Arial"/>
                <w:color w:val="000000"/>
                <w:sz w:val="14"/>
                <w:szCs w:val="14"/>
              </w:rPr>
              <w:t>12,202</w:t>
            </w:r>
          </w:p>
        </w:tc>
        <w:tc>
          <w:tcPr>
            <w:tcW w:w="961" w:type="dxa"/>
            <w:gridSpan w:val="2"/>
            <w:shd w:val="clear" w:color="auto" w:fill="auto"/>
            <w:vAlign w:val="center"/>
          </w:tcPr>
          <w:p w14:paraId="2EC15227" w14:textId="77777777" w:rsidR="008B7E19" w:rsidRPr="00D511DC" w:rsidRDefault="008B7E19" w:rsidP="008B7E19">
            <w:pPr>
              <w:jc w:val="right"/>
              <w:cnfStyle w:val="000000010000" w:firstRow="0" w:lastRow="0" w:firstColumn="0" w:lastColumn="0" w:oddVBand="0" w:evenVBand="0" w:oddHBand="0" w:evenHBand="1" w:firstRowFirstColumn="0" w:firstRowLastColumn="0" w:lastRowFirstColumn="0" w:lastRowLastColumn="0"/>
              <w:rPr>
                <w:color w:val="auto"/>
                <w:sz w:val="14"/>
                <w:szCs w:val="14"/>
              </w:rPr>
            </w:pPr>
            <w:r>
              <w:rPr>
                <w:rFonts w:cs="Arial"/>
                <w:color w:val="000000"/>
                <w:sz w:val="14"/>
                <w:szCs w:val="14"/>
              </w:rPr>
              <w:t>23,287</w:t>
            </w:r>
          </w:p>
        </w:tc>
        <w:tc>
          <w:tcPr>
            <w:tcW w:w="1141" w:type="dxa"/>
            <w:gridSpan w:val="2"/>
            <w:shd w:val="clear" w:color="auto" w:fill="auto"/>
            <w:vAlign w:val="center"/>
          </w:tcPr>
          <w:p w14:paraId="497976FD" w14:textId="77777777" w:rsidR="008B7E19" w:rsidRPr="00D511DC" w:rsidRDefault="008B7E19" w:rsidP="008B7E19">
            <w:pPr>
              <w:pStyle w:val="08-Tabelageral"/>
              <w:ind w:left="113"/>
              <w:cnfStyle w:val="000000010000" w:firstRow="0" w:lastRow="0" w:firstColumn="0" w:lastColumn="0" w:oddVBand="0" w:evenVBand="0" w:oddHBand="0" w:evenHBand="1" w:firstRowFirstColumn="0" w:firstRowLastColumn="0" w:lastRowFirstColumn="0" w:lastRowLastColumn="0"/>
              <w:rPr>
                <w:color w:val="auto"/>
                <w:szCs w:val="14"/>
              </w:rPr>
            </w:pPr>
            <w:r>
              <w:rPr>
                <w:rFonts w:eastAsia="MS Mincho" w:cs="Arial"/>
                <w:color w:val="000000"/>
                <w:spacing w:val="0"/>
                <w:szCs w:val="14"/>
                <w:lang w:eastAsia="en-US"/>
              </w:rPr>
              <w:t>--</w:t>
            </w:r>
          </w:p>
        </w:tc>
        <w:tc>
          <w:tcPr>
            <w:tcW w:w="708" w:type="dxa"/>
            <w:gridSpan w:val="2"/>
            <w:shd w:val="clear" w:color="auto" w:fill="auto"/>
            <w:vAlign w:val="bottom"/>
          </w:tcPr>
          <w:p w14:paraId="53D69310" w14:textId="77777777" w:rsidR="008B7E19" w:rsidRPr="00D511DC" w:rsidRDefault="008B7E19" w:rsidP="008B7E19">
            <w:pPr>
              <w:pStyle w:val="08-Tabelageral"/>
              <w:ind w:left="113"/>
              <w:cnfStyle w:val="000000010000" w:firstRow="0" w:lastRow="0" w:firstColumn="0" w:lastColumn="0" w:oddVBand="0" w:evenVBand="0" w:oddHBand="0" w:evenHBand="1" w:firstRowFirstColumn="0" w:firstRowLastColumn="0" w:lastRowFirstColumn="0" w:lastRowLastColumn="0"/>
              <w:rPr>
                <w:color w:val="auto"/>
                <w:szCs w:val="14"/>
              </w:rPr>
            </w:pPr>
            <w:r>
              <w:rPr>
                <w:rFonts w:eastAsia="MS Mincho" w:cs="Arial"/>
                <w:color w:val="000000"/>
                <w:spacing w:val="0"/>
                <w:szCs w:val="14"/>
                <w:lang w:eastAsia="en-US"/>
              </w:rPr>
              <w:t>--</w:t>
            </w:r>
          </w:p>
        </w:tc>
        <w:tc>
          <w:tcPr>
            <w:tcW w:w="1154" w:type="dxa"/>
            <w:gridSpan w:val="2"/>
            <w:shd w:val="clear" w:color="auto" w:fill="auto"/>
            <w:vAlign w:val="center"/>
          </w:tcPr>
          <w:p w14:paraId="69D4ADC4" w14:textId="77777777" w:rsidR="008B7E19" w:rsidRPr="00D511DC" w:rsidRDefault="008B7E19" w:rsidP="008B7E19">
            <w:pPr>
              <w:jc w:val="right"/>
              <w:cnfStyle w:val="000000010000" w:firstRow="0" w:lastRow="0" w:firstColumn="0" w:lastColumn="0" w:oddVBand="0" w:evenVBand="0" w:oddHBand="0" w:evenHBand="1" w:firstRowFirstColumn="0" w:firstRowLastColumn="0" w:lastRowFirstColumn="0" w:lastRowLastColumn="0"/>
              <w:rPr>
                <w:rFonts w:cs="Arial"/>
                <w:b/>
                <w:bCs/>
                <w:color w:val="auto"/>
                <w:sz w:val="14"/>
                <w:szCs w:val="14"/>
              </w:rPr>
            </w:pPr>
            <w:r>
              <w:rPr>
                <w:rFonts w:cs="Arial"/>
                <w:b/>
                <w:bCs/>
                <w:color w:val="000000"/>
                <w:sz w:val="14"/>
                <w:szCs w:val="14"/>
              </w:rPr>
              <w:t>75,357</w:t>
            </w:r>
          </w:p>
        </w:tc>
      </w:tr>
      <w:tr w:rsidR="008B7E19" w:rsidRPr="00FB2B7E" w14:paraId="10EBD7A9"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90" w:type="dxa"/>
            <w:shd w:val="clear" w:color="auto" w:fill="auto"/>
            <w:vAlign w:val="center"/>
          </w:tcPr>
          <w:p w14:paraId="728EFC9B" w14:textId="77777777" w:rsidR="008B7E19" w:rsidRPr="00751C98" w:rsidRDefault="008B7E19" w:rsidP="008B7E19">
            <w:pPr>
              <w:pStyle w:val="08-Tabelageral"/>
              <w:jc w:val="left"/>
              <w:rPr>
                <w:rFonts w:cs="Arial"/>
                <w:b w:val="0"/>
                <w:szCs w:val="14"/>
                <w:lang w:val="en-US"/>
              </w:rPr>
            </w:pPr>
            <w:r w:rsidRPr="004B42CF">
              <w:rPr>
                <w:rFonts w:cs="Arial"/>
                <w:b w:val="0"/>
                <w:bCs w:val="0"/>
                <w:szCs w:val="14"/>
              </w:rPr>
              <w:t>Other comprehensive income - CPC 50</w:t>
            </w:r>
          </w:p>
        </w:tc>
        <w:tc>
          <w:tcPr>
            <w:tcW w:w="1141" w:type="dxa"/>
            <w:gridSpan w:val="2"/>
            <w:shd w:val="clear" w:color="auto" w:fill="auto"/>
            <w:vAlign w:val="center"/>
          </w:tcPr>
          <w:p w14:paraId="727DB81F" w14:textId="77777777" w:rsidR="008B7E19" w:rsidRDefault="008B7E19" w:rsidP="008B7E19">
            <w:pPr>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Pr>
                <w:rFonts w:cs="Arial"/>
                <w:color w:val="000000"/>
                <w:sz w:val="14"/>
                <w:szCs w:val="14"/>
              </w:rPr>
              <w:t>12,448</w:t>
            </w:r>
          </w:p>
        </w:tc>
        <w:tc>
          <w:tcPr>
            <w:tcW w:w="1044" w:type="dxa"/>
            <w:gridSpan w:val="2"/>
            <w:shd w:val="clear" w:color="auto" w:fill="auto"/>
            <w:vAlign w:val="center"/>
          </w:tcPr>
          <w:p w14:paraId="5C0D7A2A" w14:textId="77777777" w:rsidR="008B7E19" w:rsidRDefault="008B7E19" w:rsidP="008B7E19">
            <w:pPr>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Pr>
                <w:rFonts w:cs="Arial"/>
                <w:color w:val="000000"/>
                <w:sz w:val="14"/>
                <w:szCs w:val="14"/>
              </w:rPr>
              <w:t>302,186</w:t>
            </w:r>
          </w:p>
        </w:tc>
        <w:tc>
          <w:tcPr>
            <w:tcW w:w="961" w:type="dxa"/>
            <w:gridSpan w:val="2"/>
            <w:shd w:val="clear" w:color="auto" w:fill="auto"/>
            <w:vAlign w:val="center"/>
          </w:tcPr>
          <w:p w14:paraId="0C1495AC" w14:textId="77777777" w:rsidR="008B7E19" w:rsidRDefault="008B7E19" w:rsidP="008B7E19">
            <w:pPr>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Pr>
                <w:rFonts w:cs="Arial"/>
                <w:color w:val="000000"/>
                <w:sz w:val="14"/>
                <w:szCs w:val="14"/>
              </w:rPr>
              <w:t>--</w:t>
            </w:r>
          </w:p>
        </w:tc>
        <w:tc>
          <w:tcPr>
            <w:tcW w:w="1141" w:type="dxa"/>
            <w:gridSpan w:val="2"/>
            <w:shd w:val="clear" w:color="auto" w:fill="auto"/>
            <w:vAlign w:val="center"/>
          </w:tcPr>
          <w:p w14:paraId="0CBE96FE" w14:textId="77777777" w:rsidR="008B7E19" w:rsidRDefault="008B7E19" w:rsidP="008B7E19">
            <w:pPr>
              <w:pStyle w:val="08-Tabelageral"/>
              <w:ind w:left="113"/>
              <w:cnfStyle w:val="000000100000" w:firstRow="0" w:lastRow="0" w:firstColumn="0" w:lastColumn="0" w:oddVBand="0" w:evenVBand="0" w:oddHBand="1" w:evenHBand="0" w:firstRowFirstColumn="0" w:firstRowLastColumn="0" w:lastRowFirstColumn="0" w:lastRowLastColumn="0"/>
              <w:rPr>
                <w:rFonts w:cs="Arial"/>
                <w:color w:val="000000"/>
                <w:szCs w:val="14"/>
              </w:rPr>
            </w:pPr>
            <w:r>
              <w:rPr>
                <w:rFonts w:eastAsia="MS Mincho" w:cs="Arial"/>
                <w:color w:val="000000"/>
                <w:spacing w:val="0"/>
                <w:szCs w:val="14"/>
                <w:lang w:eastAsia="en-US"/>
              </w:rPr>
              <w:t>1,522</w:t>
            </w:r>
          </w:p>
        </w:tc>
        <w:tc>
          <w:tcPr>
            <w:tcW w:w="708" w:type="dxa"/>
            <w:gridSpan w:val="2"/>
            <w:shd w:val="clear" w:color="auto" w:fill="auto"/>
            <w:vAlign w:val="center"/>
          </w:tcPr>
          <w:p w14:paraId="06B347E6" w14:textId="77777777" w:rsidR="008B7E19" w:rsidRPr="00DB4B4B" w:rsidRDefault="008B7E19" w:rsidP="008B7E19">
            <w:pPr>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DB4B4B">
              <w:rPr>
                <w:rFonts w:cs="Arial"/>
                <w:color w:val="000000"/>
                <w:sz w:val="14"/>
                <w:szCs w:val="14"/>
              </w:rPr>
              <w:t>--</w:t>
            </w:r>
          </w:p>
        </w:tc>
        <w:tc>
          <w:tcPr>
            <w:tcW w:w="1154" w:type="dxa"/>
            <w:gridSpan w:val="2"/>
            <w:shd w:val="clear" w:color="auto" w:fill="auto"/>
            <w:vAlign w:val="center"/>
          </w:tcPr>
          <w:p w14:paraId="26D9E9D2" w14:textId="77777777" w:rsidR="008B7E19" w:rsidRDefault="008B7E19" w:rsidP="008B7E19">
            <w:pPr>
              <w:jc w:val="right"/>
              <w:cnfStyle w:val="000000100000" w:firstRow="0" w:lastRow="0" w:firstColumn="0" w:lastColumn="0" w:oddVBand="0" w:evenVBand="0" w:oddHBand="1" w:evenHBand="0" w:firstRowFirstColumn="0" w:firstRowLastColumn="0" w:lastRowFirstColumn="0" w:lastRowLastColumn="0"/>
              <w:rPr>
                <w:rFonts w:cs="Arial"/>
                <w:b/>
                <w:bCs/>
                <w:color w:val="000000"/>
                <w:sz w:val="14"/>
                <w:szCs w:val="14"/>
              </w:rPr>
            </w:pPr>
            <w:r>
              <w:rPr>
                <w:rFonts w:cs="Arial"/>
                <w:b/>
                <w:bCs/>
                <w:color w:val="000000"/>
                <w:sz w:val="14"/>
                <w:szCs w:val="14"/>
              </w:rPr>
              <w:t>316,156</w:t>
            </w:r>
          </w:p>
        </w:tc>
      </w:tr>
      <w:tr w:rsidR="008B7E19" w:rsidRPr="00FB2B7E" w14:paraId="1C050518" w14:textId="77777777" w:rsidTr="008B7E1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90" w:type="dxa"/>
            <w:shd w:val="clear" w:color="auto" w:fill="auto"/>
            <w:vAlign w:val="center"/>
          </w:tcPr>
          <w:p w14:paraId="42BD34FA" w14:textId="77777777" w:rsidR="008B7E19" w:rsidRPr="00D511DC" w:rsidRDefault="008B7E19" w:rsidP="008B7E19">
            <w:pPr>
              <w:rPr>
                <w:rFonts w:cs="Arial"/>
                <w:b w:val="0"/>
                <w:sz w:val="14"/>
                <w:szCs w:val="14"/>
              </w:rPr>
            </w:pPr>
            <w:r w:rsidRPr="004B42CF">
              <w:rPr>
                <w:rFonts w:cs="Arial"/>
                <w:b w:val="0"/>
                <w:bCs w:val="0"/>
                <w:sz w:val="14"/>
                <w:szCs w:val="14"/>
              </w:rPr>
              <w:t>Other comprehensive income</w:t>
            </w:r>
          </w:p>
        </w:tc>
        <w:tc>
          <w:tcPr>
            <w:tcW w:w="1141" w:type="dxa"/>
            <w:gridSpan w:val="2"/>
            <w:shd w:val="clear" w:color="auto" w:fill="auto"/>
            <w:vAlign w:val="center"/>
          </w:tcPr>
          <w:p w14:paraId="6FA638B4" w14:textId="77777777" w:rsidR="008B7E19" w:rsidRDefault="008B7E19" w:rsidP="008B7E19">
            <w:pPr>
              <w:jc w:val="right"/>
              <w:cnfStyle w:val="000000010000" w:firstRow="0" w:lastRow="0" w:firstColumn="0" w:lastColumn="0" w:oddVBand="0" w:evenVBand="0" w:oddHBand="0" w:evenHBand="1" w:firstRowFirstColumn="0" w:firstRowLastColumn="0" w:lastRowFirstColumn="0" w:lastRowLastColumn="0"/>
              <w:rPr>
                <w:rFonts w:cs="Arial"/>
                <w:color w:val="000000"/>
                <w:sz w:val="14"/>
                <w:szCs w:val="14"/>
              </w:rPr>
            </w:pPr>
            <w:r>
              <w:rPr>
                <w:rFonts w:cs="Arial"/>
                <w:color w:val="000000"/>
                <w:sz w:val="14"/>
                <w:szCs w:val="14"/>
              </w:rPr>
              <w:t>--</w:t>
            </w:r>
          </w:p>
        </w:tc>
        <w:tc>
          <w:tcPr>
            <w:tcW w:w="1044" w:type="dxa"/>
            <w:gridSpan w:val="2"/>
            <w:shd w:val="clear" w:color="auto" w:fill="auto"/>
            <w:vAlign w:val="center"/>
          </w:tcPr>
          <w:p w14:paraId="56DA4215" w14:textId="77777777" w:rsidR="008B7E19" w:rsidRDefault="008B7E19" w:rsidP="008B7E19">
            <w:pPr>
              <w:jc w:val="right"/>
              <w:cnfStyle w:val="000000010000" w:firstRow="0" w:lastRow="0" w:firstColumn="0" w:lastColumn="0" w:oddVBand="0" w:evenVBand="0" w:oddHBand="0" w:evenHBand="1" w:firstRowFirstColumn="0" w:firstRowLastColumn="0" w:lastRowFirstColumn="0" w:lastRowLastColumn="0"/>
              <w:rPr>
                <w:rFonts w:cs="Arial"/>
                <w:color w:val="000000"/>
                <w:sz w:val="14"/>
                <w:szCs w:val="14"/>
              </w:rPr>
            </w:pPr>
            <w:r>
              <w:rPr>
                <w:rFonts w:cs="Arial"/>
                <w:color w:val="000000"/>
                <w:sz w:val="14"/>
                <w:szCs w:val="14"/>
              </w:rPr>
              <w:t>--</w:t>
            </w:r>
          </w:p>
        </w:tc>
        <w:tc>
          <w:tcPr>
            <w:tcW w:w="961" w:type="dxa"/>
            <w:gridSpan w:val="2"/>
            <w:shd w:val="clear" w:color="auto" w:fill="auto"/>
            <w:vAlign w:val="center"/>
          </w:tcPr>
          <w:p w14:paraId="0E2600AA" w14:textId="77777777" w:rsidR="008B7E19" w:rsidRDefault="008B7E19" w:rsidP="008B7E19">
            <w:pPr>
              <w:jc w:val="right"/>
              <w:cnfStyle w:val="000000010000" w:firstRow="0" w:lastRow="0" w:firstColumn="0" w:lastColumn="0" w:oddVBand="0" w:evenVBand="0" w:oddHBand="0" w:evenHBand="1" w:firstRowFirstColumn="0" w:firstRowLastColumn="0" w:lastRowFirstColumn="0" w:lastRowLastColumn="0"/>
              <w:rPr>
                <w:rFonts w:cs="Arial"/>
                <w:color w:val="000000"/>
                <w:sz w:val="14"/>
                <w:szCs w:val="14"/>
              </w:rPr>
            </w:pPr>
            <w:r>
              <w:rPr>
                <w:rFonts w:cs="Arial"/>
                <w:color w:val="000000"/>
                <w:sz w:val="14"/>
                <w:szCs w:val="14"/>
              </w:rPr>
              <w:t>--</w:t>
            </w:r>
          </w:p>
        </w:tc>
        <w:tc>
          <w:tcPr>
            <w:tcW w:w="1141" w:type="dxa"/>
            <w:gridSpan w:val="2"/>
            <w:shd w:val="clear" w:color="auto" w:fill="auto"/>
            <w:vAlign w:val="center"/>
          </w:tcPr>
          <w:p w14:paraId="62F435D9" w14:textId="77777777" w:rsidR="008B7E19" w:rsidRDefault="008B7E19" w:rsidP="008B7E19">
            <w:pPr>
              <w:jc w:val="right"/>
              <w:cnfStyle w:val="000000010000" w:firstRow="0" w:lastRow="0" w:firstColumn="0" w:lastColumn="0" w:oddVBand="0" w:evenVBand="0" w:oddHBand="0" w:evenHBand="1" w:firstRowFirstColumn="0" w:firstRowLastColumn="0" w:lastRowFirstColumn="0" w:lastRowLastColumn="0"/>
              <w:rPr>
                <w:rFonts w:cs="Arial"/>
                <w:color w:val="000000"/>
                <w:sz w:val="14"/>
                <w:szCs w:val="14"/>
              </w:rPr>
            </w:pPr>
            <w:r>
              <w:rPr>
                <w:rFonts w:cs="Arial"/>
                <w:color w:val="000000"/>
                <w:sz w:val="14"/>
                <w:szCs w:val="14"/>
              </w:rPr>
              <w:t>--</w:t>
            </w:r>
          </w:p>
        </w:tc>
        <w:tc>
          <w:tcPr>
            <w:tcW w:w="708" w:type="dxa"/>
            <w:gridSpan w:val="2"/>
            <w:shd w:val="clear" w:color="auto" w:fill="auto"/>
            <w:vAlign w:val="center"/>
          </w:tcPr>
          <w:p w14:paraId="4DC2B999" w14:textId="77777777" w:rsidR="008B7E19" w:rsidRDefault="008B7E19" w:rsidP="008B7E19">
            <w:pPr>
              <w:jc w:val="right"/>
              <w:cnfStyle w:val="000000010000" w:firstRow="0" w:lastRow="0" w:firstColumn="0" w:lastColumn="0" w:oddVBand="0" w:evenVBand="0" w:oddHBand="0" w:evenHBand="1" w:firstRowFirstColumn="0" w:firstRowLastColumn="0" w:lastRowFirstColumn="0" w:lastRowLastColumn="0"/>
              <w:rPr>
                <w:rFonts w:cs="Arial"/>
                <w:color w:val="000000"/>
                <w:sz w:val="14"/>
                <w:szCs w:val="14"/>
              </w:rPr>
            </w:pPr>
            <w:r>
              <w:rPr>
                <w:rFonts w:cs="Arial"/>
                <w:color w:val="000000"/>
                <w:sz w:val="14"/>
                <w:szCs w:val="14"/>
              </w:rPr>
              <w:t>(248)</w:t>
            </w:r>
          </w:p>
        </w:tc>
        <w:tc>
          <w:tcPr>
            <w:tcW w:w="1154" w:type="dxa"/>
            <w:gridSpan w:val="2"/>
            <w:shd w:val="clear" w:color="auto" w:fill="auto"/>
            <w:vAlign w:val="center"/>
          </w:tcPr>
          <w:p w14:paraId="4256EE69" w14:textId="77777777" w:rsidR="008B7E19" w:rsidRDefault="008B7E19" w:rsidP="008B7E19">
            <w:pPr>
              <w:jc w:val="right"/>
              <w:cnfStyle w:val="000000010000" w:firstRow="0" w:lastRow="0" w:firstColumn="0" w:lastColumn="0" w:oddVBand="0" w:evenVBand="0" w:oddHBand="0" w:evenHBand="1" w:firstRowFirstColumn="0" w:firstRowLastColumn="0" w:lastRowFirstColumn="0" w:lastRowLastColumn="0"/>
              <w:rPr>
                <w:rFonts w:cs="Arial"/>
                <w:b/>
                <w:bCs/>
                <w:color w:val="000000"/>
                <w:sz w:val="14"/>
                <w:szCs w:val="14"/>
              </w:rPr>
            </w:pPr>
            <w:r>
              <w:rPr>
                <w:rFonts w:cs="Arial"/>
                <w:b/>
                <w:bCs/>
                <w:color w:val="000000"/>
                <w:sz w:val="14"/>
                <w:szCs w:val="14"/>
              </w:rPr>
              <w:t>(248)</w:t>
            </w:r>
          </w:p>
        </w:tc>
      </w:tr>
      <w:tr w:rsidR="008B7E19" w:rsidRPr="00FB2B7E" w14:paraId="3C8D5882"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90" w:type="dxa"/>
            <w:shd w:val="clear" w:color="auto" w:fill="auto"/>
            <w:vAlign w:val="center"/>
          </w:tcPr>
          <w:p w14:paraId="07A1201F" w14:textId="77777777" w:rsidR="008B7E19" w:rsidRPr="00D511DC" w:rsidRDefault="008B7E19" w:rsidP="008B7E19">
            <w:pPr>
              <w:rPr>
                <w:b w:val="0"/>
                <w:color w:val="FF0000"/>
                <w:sz w:val="14"/>
                <w:szCs w:val="14"/>
              </w:rPr>
            </w:pPr>
            <w:r w:rsidRPr="004B42CF">
              <w:rPr>
                <w:rFonts w:cs="Arial"/>
                <w:b w:val="0"/>
                <w:bCs w:val="0"/>
                <w:sz w:val="14"/>
                <w:szCs w:val="14"/>
              </w:rPr>
              <w:t>Equity Income</w:t>
            </w:r>
          </w:p>
        </w:tc>
        <w:tc>
          <w:tcPr>
            <w:tcW w:w="1141" w:type="dxa"/>
            <w:gridSpan w:val="2"/>
            <w:shd w:val="clear" w:color="auto" w:fill="auto"/>
            <w:vAlign w:val="center"/>
          </w:tcPr>
          <w:p w14:paraId="4B59F3CB" w14:textId="77777777" w:rsidR="008B7E19" w:rsidRPr="00D511DC" w:rsidRDefault="008B7E19" w:rsidP="008B7E19">
            <w:pPr>
              <w:jc w:val="right"/>
              <w:cnfStyle w:val="000000100000" w:firstRow="0" w:lastRow="0" w:firstColumn="0" w:lastColumn="0" w:oddVBand="0" w:evenVBand="0" w:oddHBand="1" w:evenHBand="0" w:firstRowFirstColumn="0" w:firstRowLastColumn="0" w:lastRowFirstColumn="0" w:lastRowLastColumn="0"/>
              <w:rPr>
                <w:rFonts w:eastAsia="Times New Roman" w:cs="Arial"/>
                <w:color w:val="auto"/>
                <w:sz w:val="14"/>
                <w:szCs w:val="14"/>
              </w:rPr>
            </w:pPr>
            <w:r>
              <w:rPr>
                <w:rFonts w:cs="Arial"/>
                <w:color w:val="000000"/>
                <w:sz w:val="14"/>
                <w:szCs w:val="14"/>
              </w:rPr>
              <w:t>1,329,316</w:t>
            </w:r>
          </w:p>
        </w:tc>
        <w:tc>
          <w:tcPr>
            <w:tcW w:w="1044" w:type="dxa"/>
            <w:gridSpan w:val="2"/>
            <w:shd w:val="clear" w:color="auto" w:fill="auto"/>
            <w:vAlign w:val="center"/>
          </w:tcPr>
          <w:p w14:paraId="54EA84DE" w14:textId="77777777" w:rsidR="008B7E19" w:rsidRPr="00D511DC" w:rsidRDefault="008B7E19" w:rsidP="008B7E19">
            <w:pPr>
              <w:jc w:val="right"/>
              <w:cnfStyle w:val="000000100000" w:firstRow="0" w:lastRow="0" w:firstColumn="0" w:lastColumn="0" w:oddVBand="0" w:evenVBand="0" w:oddHBand="1" w:evenHBand="0" w:firstRowFirstColumn="0" w:firstRowLastColumn="0" w:lastRowFirstColumn="0" w:lastRowLastColumn="0"/>
              <w:rPr>
                <w:color w:val="auto"/>
                <w:sz w:val="14"/>
                <w:szCs w:val="14"/>
              </w:rPr>
            </w:pPr>
            <w:r>
              <w:rPr>
                <w:rFonts w:cs="Arial"/>
                <w:color w:val="000000"/>
                <w:sz w:val="14"/>
                <w:szCs w:val="14"/>
              </w:rPr>
              <w:t>862,862</w:t>
            </w:r>
          </w:p>
        </w:tc>
        <w:tc>
          <w:tcPr>
            <w:tcW w:w="961" w:type="dxa"/>
            <w:gridSpan w:val="2"/>
            <w:shd w:val="clear" w:color="auto" w:fill="auto"/>
            <w:vAlign w:val="center"/>
          </w:tcPr>
          <w:p w14:paraId="43F8157C" w14:textId="77777777" w:rsidR="008B7E19" w:rsidRPr="00D511DC" w:rsidRDefault="008B7E19" w:rsidP="008B7E19">
            <w:pPr>
              <w:jc w:val="right"/>
              <w:cnfStyle w:val="000000100000" w:firstRow="0" w:lastRow="0" w:firstColumn="0" w:lastColumn="0" w:oddVBand="0" w:evenVBand="0" w:oddHBand="1" w:evenHBand="0" w:firstRowFirstColumn="0" w:firstRowLastColumn="0" w:lastRowFirstColumn="0" w:lastRowLastColumn="0"/>
              <w:rPr>
                <w:color w:val="auto"/>
                <w:sz w:val="14"/>
                <w:szCs w:val="14"/>
              </w:rPr>
            </w:pPr>
            <w:r>
              <w:rPr>
                <w:rFonts w:cs="Arial"/>
                <w:color w:val="000000"/>
                <w:sz w:val="14"/>
                <w:szCs w:val="14"/>
              </w:rPr>
              <w:t>84,213</w:t>
            </w:r>
          </w:p>
        </w:tc>
        <w:tc>
          <w:tcPr>
            <w:tcW w:w="1141" w:type="dxa"/>
            <w:gridSpan w:val="2"/>
            <w:shd w:val="clear" w:color="auto" w:fill="auto"/>
            <w:vAlign w:val="center"/>
          </w:tcPr>
          <w:p w14:paraId="1F5D11E9" w14:textId="77777777" w:rsidR="008B7E19" w:rsidRPr="00D511DC" w:rsidRDefault="008B7E19" w:rsidP="008B7E19">
            <w:pPr>
              <w:jc w:val="right"/>
              <w:cnfStyle w:val="000000100000" w:firstRow="0" w:lastRow="0" w:firstColumn="0" w:lastColumn="0" w:oddVBand="0" w:evenVBand="0" w:oddHBand="1" w:evenHBand="0" w:firstRowFirstColumn="0" w:firstRowLastColumn="0" w:lastRowFirstColumn="0" w:lastRowLastColumn="0"/>
              <w:rPr>
                <w:color w:val="auto"/>
                <w:sz w:val="14"/>
                <w:szCs w:val="14"/>
              </w:rPr>
            </w:pPr>
            <w:r>
              <w:rPr>
                <w:rFonts w:cs="Arial"/>
                <w:color w:val="000000"/>
                <w:sz w:val="14"/>
                <w:szCs w:val="14"/>
              </w:rPr>
              <w:t>8,272</w:t>
            </w:r>
          </w:p>
        </w:tc>
        <w:tc>
          <w:tcPr>
            <w:tcW w:w="708" w:type="dxa"/>
            <w:gridSpan w:val="2"/>
            <w:shd w:val="clear" w:color="auto" w:fill="auto"/>
            <w:vAlign w:val="center"/>
          </w:tcPr>
          <w:p w14:paraId="5084E5A5" w14:textId="77777777" w:rsidR="008B7E19" w:rsidRPr="00D511DC" w:rsidRDefault="008B7E19" w:rsidP="008B7E19">
            <w:pPr>
              <w:jc w:val="right"/>
              <w:cnfStyle w:val="000000100000" w:firstRow="0" w:lastRow="0" w:firstColumn="0" w:lastColumn="0" w:oddVBand="0" w:evenVBand="0" w:oddHBand="1" w:evenHBand="0" w:firstRowFirstColumn="0" w:firstRowLastColumn="0" w:lastRowFirstColumn="0" w:lastRowLastColumn="0"/>
              <w:rPr>
                <w:color w:val="auto"/>
                <w:sz w:val="14"/>
                <w:szCs w:val="14"/>
              </w:rPr>
            </w:pPr>
            <w:r>
              <w:rPr>
                <w:rFonts w:cs="Arial"/>
                <w:color w:val="000000"/>
                <w:sz w:val="14"/>
                <w:szCs w:val="14"/>
              </w:rPr>
              <w:t>1,088</w:t>
            </w:r>
          </w:p>
        </w:tc>
        <w:tc>
          <w:tcPr>
            <w:tcW w:w="1154" w:type="dxa"/>
            <w:gridSpan w:val="2"/>
            <w:shd w:val="clear" w:color="auto" w:fill="auto"/>
            <w:vAlign w:val="center"/>
          </w:tcPr>
          <w:p w14:paraId="156AC828" w14:textId="77777777" w:rsidR="008B7E19" w:rsidRPr="00D511DC" w:rsidRDefault="008B7E19" w:rsidP="008B7E19">
            <w:pPr>
              <w:jc w:val="right"/>
              <w:cnfStyle w:val="000000100000" w:firstRow="0" w:lastRow="0" w:firstColumn="0" w:lastColumn="0" w:oddVBand="0" w:evenVBand="0" w:oddHBand="1" w:evenHBand="0" w:firstRowFirstColumn="0" w:firstRowLastColumn="0" w:lastRowFirstColumn="0" w:lastRowLastColumn="0"/>
              <w:rPr>
                <w:rFonts w:cs="Arial"/>
                <w:b/>
                <w:bCs/>
                <w:color w:val="auto"/>
                <w:sz w:val="14"/>
                <w:szCs w:val="14"/>
              </w:rPr>
            </w:pPr>
            <w:r>
              <w:rPr>
                <w:rFonts w:cs="Arial"/>
                <w:b/>
                <w:bCs/>
                <w:color w:val="000000"/>
                <w:sz w:val="14"/>
                <w:szCs w:val="14"/>
              </w:rPr>
              <w:t>2,285,751</w:t>
            </w:r>
          </w:p>
        </w:tc>
      </w:tr>
      <w:tr w:rsidR="008B7E19" w:rsidRPr="00FE64D2" w14:paraId="6B9E6BED" w14:textId="77777777" w:rsidTr="008B7E1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90" w:type="dxa"/>
            <w:shd w:val="clear" w:color="auto" w:fill="auto"/>
            <w:vAlign w:val="center"/>
          </w:tcPr>
          <w:p w14:paraId="158952FD" w14:textId="77777777" w:rsidR="008B7E19" w:rsidRPr="00D511DC" w:rsidRDefault="008B7E19" w:rsidP="008B7E19">
            <w:pPr>
              <w:pStyle w:val="08-Tabelageral"/>
              <w:jc w:val="left"/>
              <w:rPr>
                <w:bCs w:val="0"/>
                <w:color w:val="FF0000"/>
                <w:szCs w:val="14"/>
              </w:rPr>
            </w:pPr>
            <w:r w:rsidRPr="00D511DC">
              <w:rPr>
                <w:rFonts w:cs="Arial"/>
                <w:szCs w:val="14"/>
              </w:rPr>
              <w:t xml:space="preserve">Book Balance on </w:t>
            </w:r>
            <w:r>
              <w:rPr>
                <w:rFonts w:cs="Arial"/>
                <w:szCs w:val="14"/>
              </w:rPr>
              <w:t xml:space="preserve">June </w:t>
            </w:r>
            <w:r w:rsidRPr="00D511DC">
              <w:rPr>
                <w:rFonts w:cs="Arial"/>
                <w:szCs w:val="14"/>
              </w:rPr>
              <w:t>3</w:t>
            </w:r>
            <w:r>
              <w:rPr>
                <w:rFonts w:cs="Arial"/>
                <w:szCs w:val="14"/>
              </w:rPr>
              <w:t>0,</w:t>
            </w:r>
            <w:r w:rsidRPr="00D511DC">
              <w:rPr>
                <w:rFonts w:cs="Arial"/>
                <w:szCs w:val="14"/>
              </w:rPr>
              <w:t>202</w:t>
            </w:r>
            <w:r>
              <w:rPr>
                <w:rFonts w:cs="Arial"/>
                <w:szCs w:val="14"/>
              </w:rPr>
              <w:t>3</w:t>
            </w:r>
          </w:p>
        </w:tc>
        <w:tc>
          <w:tcPr>
            <w:tcW w:w="1141" w:type="dxa"/>
            <w:gridSpan w:val="2"/>
            <w:shd w:val="clear" w:color="auto" w:fill="auto"/>
            <w:vAlign w:val="center"/>
          </w:tcPr>
          <w:p w14:paraId="50416CA1" w14:textId="77777777" w:rsidR="008B7E19" w:rsidRPr="00D511DC" w:rsidRDefault="008B7E19" w:rsidP="008B7E19">
            <w:pPr>
              <w:jc w:val="right"/>
              <w:cnfStyle w:val="000000010000" w:firstRow="0" w:lastRow="0" w:firstColumn="0" w:lastColumn="0" w:oddVBand="0" w:evenVBand="0" w:oddHBand="0" w:evenHBand="1" w:firstRowFirstColumn="0" w:firstRowLastColumn="0" w:lastRowFirstColumn="0" w:lastRowLastColumn="0"/>
              <w:rPr>
                <w:rFonts w:eastAsia="Times New Roman" w:cs="Arial"/>
                <w:b/>
                <w:color w:val="auto"/>
                <w:sz w:val="14"/>
                <w:szCs w:val="14"/>
              </w:rPr>
            </w:pPr>
            <w:r>
              <w:rPr>
                <w:rFonts w:cs="Arial"/>
                <w:b/>
                <w:bCs/>
                <w:color w:val="000000"/>
                <w:sz w:val="14"/>
                <w:szCs w:val="14"/>
              </w:rPr>
              <w:t>2,717,060</w:t>
            </w:r>
          </w:p>
        </w:tc>
        <w:tc>
          <w:tcPr>
            <w:tcW w:w="1044" w:type="dxa"/>
            <w:gridSpan w:val="2"/>
            <w:shd w:val="clear" w:color="auto" w:fill="auto"/>
            <w:vAlign w:val="center"/>
          </w:tcPr>
          <w:p w14:paraId="78F14995" w14:textId="73EEDC55" w:rsidR="008B7E19" w:rsidRPr="00D511DC" w:rsidRDefault="008B7E19" w:rsidP="00954422">
            <w:pPr>
              <w:jc w:val="right"/>
              <w:cnfStyle w:val="000000010000" w:firstRow="0" w:lastRow="0" w:firstColumn="0" w:lastColumn="0" w:oddVBand="0" w:evenVBand="0" w:oddHBand="0" w:evenHBand="1" w:firstRowFirstColumn="0" w:firstRowLastColumn="0" w:lastRowFirstColumn="0" w:lastRowLastColumn="0"/>
              <w:rPr>
                <w:b/>
                <w:color w:val="auto"/>
                <w:sz w:val="14"/>
                <w:szCs w:val="14"/>
              </w:rPr>
            </w:pPr>
            <w:r>
              <w:rPr>
                <w:rFonts w:cs="Arial"/>
                <w:b/>
                <w:bCs/>
                <w:color w:val="000000"/>
                <w:sz w:val="14"/>
                <w:szCs w:val="14"/>
              </w:rPr>
              <w:t>5,644,60</w:t>
            </w:r>
            <w:r w:rsidR="00954422">
              <w:rPr>
                <w:rFonts w:cs="Arial"/>
                <w:b/>
                <w:bCs/>
                <w:color w:val="000000"/>
                <w:sz w:val="14"/>
                <w:szCs w:val="14"/>
              </w:rPr>
              <w:t>6</w:t>
            </w:r>
          </w:p>
        </w:tc>
        <w:tc>
          <w:tcPr>
            <w:tcW w:w="961" w:type="dxa"/>
            <w:gridSpan w:val="2"/>
            <w:shd w:val="clear" w:color="auto" w:fill="auto"/>
            <w:vAlign w:val="center"/>
          </w:tcPr>
          <w:p w14:paraId="5BA0C4F3" w14:textId="77777777" w:rsidR="008B7E19" w:rsidRPr="00D511DC" w:rsidRDefault="008B7E19" w:rsidP="008B7E19">
            <w:pPr>
              <w:jc w:val="right"/>
              <w:cnfStyle w:val="000000010000" w:firstRow="0" w:lastRow="0" w:firstColumn="0" w:lastColumn="0" w:oddVBand="0" w:evenVBand="0" w:oddHBand="0" w:evenHBand="1" w:firstRowFirstColumn="0" w:firstRowLastColumn="0" w:lastRowFirstColumn="0" w:lastRowLastColumn="0"/>
              <w:rPr>
                <w:b/>
                <w:color w:val="auto"/>
                <w:sz w:val="14"/>
                <w:szCs w:val="14"/>
              </w:rPr>
            </w:pPr>
            <w:r>
              <w:rPr>
                <w:rFonts w:cs="Arial"/>
                <w:b/>
                <w:bCs/>
                <w:color w:val="000000"/>
                <w:sz w:val="14"/>
                <w:szCs w:val="14"/>
              </w:rPr>
              <w:t>554,498</w:t>
            </w:r>
          </w:p>
        </w:tc>
        <w:tc>
          <w:tcPr>
            <w:tcW w:w="1141" w:type="dxa"/>
            <w:gridSpan w:val="2"/>
            <w:shd w:val="clear" w:color="auto" w:fill="auto"/>
            <w:vAlign w:val="center"/>
          </w:tcPr>
          <w:p w14:paraId="41B086CD" w14:textId="77777777" w:rsidR="008B7E19" w:rsidRPr="00D511DC" w:rsidRDefault="008B7E19" w:rsidP="008B7E19">
            <w:pPr>
              <w:jc w:val="right"/>
              <w:cnfStyle w:val="000000010000" w:firstRow="0" w:lastRow="0" w:firstColumn="0" w:lastColumn="0" w:oddVBand="0" w:evenVBand="0" w:oddHBand="0" w:evenHBand="1" w:firstRowFirstColumn="0" w:firstRowLastColumn="0" w:lastRowFirstColumn="0" w:lastRowLastColumn="0"/>
              <w:rPr>
                <w:b/>
                <w:color w:val="auto"/>
                <w:sz w:val="14"/>
                <w:szCs w:val="14"/>
              </w:rPr>
            </w:pPr>
            <w:r>
              <w:rPr>
                <w:rFonts w:cs="Arial"/>
                <w:b/>
                <w:bCs/>
                <w:color w:val="000000"/>
                <w:sz w:val="14"/>
                <w:szCs w:val="14"/>
              </w:rPr>
              <w:t>13,539</w:t>
            </w:r>
          </w:p>
        </w:tc>
        <w:tc>
          <w:tcPr>
            <w:tcW w:w="708" w:type="dxa"/>
            <w:gridSpan w:val="2"/>
            <w:shd w:val="clear" w:color="auto" w:fill="auto"/>
            <w:vAlign w:val="center"/>
          </w:tcPr>
          <w:p w14:paraId="2C304F39" w14:textId="77777777" w:rsidR="008B7E19" w:rsidRPr="00D511DC" w:rsidRDefault="008B7E19" w:rsidP="008B7E19">
            <w:pPr>
              <w:jc w:val="right"/>
              <w:cnfStyle w:val="000000010000" w:firstRow="0" w:lastRow="0" w:firstColumn="0" w:lastColumn="0" w:oddVBand="0" w:evenVBand="0" w:oddHBand="0" w:evenHBand="1" w:firstRowFirstColumn="0" w:firstRowLastColumn="0" w:lastRowFirstColumn="0" w:lastRowLastColumn="0"/>
              <w:rPr>
                <w:b/>
                <w:color w:val="auto"/>
                <w:sz w:val="14"/>
                <w:szCs w:val="14"/>
              </w:rPr>
            </w:pPr>
            <w:r>
              <w:rPr>
                <w:rFonts w:cs="Arial"/>
                <w:b/>
                <w:bCs/>
                <w:color w:val="000000"/>
                <w:sz w:val="14"/>
                <w:szCs w:val="14"/>
              </w:rPr>
              <w:t>2,346</w:t>
            </w:r>
          </w:p>
        </w:tc>
        <w:tc>
          <w:tcPr>
            <w:tcW w:w="1154" w:type="dxa"/>
            <w:gridSpan w:val="2"/>
            <w:shd w:val="clear" w:color="auto" w:fill="auto"/>
            <w:vAlign w:val="center"/>
          </w:tcPr>
          <w:p w14:paraId="545C14FF" w14:textId="77777777" w:rsidR="008B7E19" w:rsidRPr="00D511DC" w:rsidRDefault="008B7E19" w:rsidP="008B7E19">
            <w:pPr>
              <w:jc w:val="right"/>
              <w:cnfStyle w:val="000000010000" w:firstRow="0" w:lastRow="0" w:firstColumn="0" w:lastColumn="0" w:oddVBand="0" w:evenVBand="0" w:oddHBand="0" w:evenHBand="1" w:firstRowFirstColumn="0" w:firstRowLastColumn="0" w:lastRowFirstColumn="0" w:lastRowLastColumn="0"/>
              <w:rPr>
                <w:rFonts w:cs="Arial"/>
                <w:b/>
                <w:color w:val="auto"/>
                <w:sz w:val="14"/>
                <w:szCs w:val="14"/>
              </w:rPr>
            </w:pPr>
            <w:r>
              <w:rPr>
                <w:rFonts w:cs="Arial"/>
                <w:b/>
                <w:bCs/>
                <w:color w:val="000000"/>
                <w:sz w:val="14"/>
                <w:szCs w:val="14"/>
              </w:rPr>
              <w:t>8,932,049</w:t>
            </w:r>
          </w:p>
        </w:tc>
      </w:tr>
      <w:tr w:rsidR="008B7E19" w:rsidRPr="00FB2B7E" w14:paraId="56F1A116"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90" w:type="dxa"/>
            <w:shd w:val="clear" w:color="auto" w:fill="auto"/>
            <w:vAlign w:val="center"/>
          </w:tcPr>
          <w:p w14:paraId="379F5584" w14:textId="77777777" w:rsidR="008B7E19" w:rsidRPr="00D511DC" w:rsidRDefault="008B7E19" w:rsidP="008B7E19">
            <w:pPr>
              <w:pStyle w:val="08-Tabelageral"/>
              <w:jc w:val="left"/>
              <w:rPr>
                <w:szCs w:val="14"/>
              </w:rPr>
            </w:pPr>
          </w:p>
        </w:tc>
        <w:tc>
          <w:tcPr>
            <w:tcW w:w="1141" w:type="dxa"/>
            <w:gridSpan w:val="2"/>
            <w:shd w:val="clear" w:color="auto" w:fill="auto"/>
            <w:vAlign w:val="center"/>
          </w:tcPr>
          <w:p w14:paraId="76A06A83" w14:textId="77777777" w:rsidR="008B7E19" w:rsidRPr="00D511DC" w:rsidRDefault="008B7E19" w:rsidP="008B7E19">
            <w:pPr>
              <w:jc w:val="right"/>
              <w:cnfStyle w:val="000000100000" w:firstRow="0" w:lastRow="0" w:firstColumn="0" w:lastColumn="0" w:oddVBand="0" w:evenVBand="0" w:oddHBand="1" w:evenHBand="0" w:firstRowFirstColumn="0" w:firstRowLastColumn="0" w:lastRowFirstColumn="0" w:lastRowLastColumn="0"/>
              <w:rPr>
                <w:rFonts w:eastAsia="Times New Roman" w:cs="Arial"/>
                <w:b/>
                <w:bCs/>
                <w:sz w:val="14"/>
                <w:szCs w:val="14"/>
              </w:rPr>
            </w:pPr>
          </w:p>
        </w:tc>
        <w:tc>
          <w:tcPr>
            <w:tcW w:w="1044" w:type="dxa"/>
            <w:gridSpan w:val="2"/>
            <w:shd w:val="clear" w:color="auto" w:fill="auto"/>
            <w:vAlign w:val="center"/>
          </w:tcPr>
          <w:p w14:paraId="03232153" w14:textId="77777777" w:rsidR="008B7E19" w:rsidRPr="00D511DC"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b/>
                <w:bCs/>
                <w:szCs w:val="14"/>
              </w:rPr>
            </w:pPr>
          </w:p>
        </w:tc>
        <w:tc>
          <w:tcPr>
            <w:tcW w:w="961" w:type="dxa"/>
            <w:gridSpan w:val="2"/>
            <w:shd w:val="clear" w:color="auto" w:fill="auto"/>
            <w:vAlign w:val="center"/>
          </w:tcPr>
          <w:p w14:paraId="75C218D5" w14:textId="77777777" w:rsidR="008B7E19" w:rsidRPr="00D511DC"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b/>
                <w:bCs/>
                <w:szCs w:val="14"/>
              </w:rPr>
            </w:pPr>
          </w:p>
        </w:tc>
        <w:tc>
          <w:tcPr>
            <w:tcW w:w="1141" w:type="dxa"/>
            <w:gridSpan w:val="2"/>
            <w:shd w:val="clear" w:color="auto" w:fill="auto"/>
            <w:vAlign w:val="center"/>
          </w:tcPr>
          <w:p w14:paraId="323F9F9D" w14:textId="77777777" w:rsidR="008B7E19" w:rsidRPr="00D511DC"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b/>
                <w:bCs/>
                <w:szCs w:val="14"/>
              </w:rPr>
            </w:pPr>
          </w:p>
        </w:tc>
        <w:tc>
          <w:tcPr>
            <w:tcW w:w="708" w:type="dxa"/>
            <w:gridSpan w:val="2"/>
            <w:shd w:val="clear" w:color="auto" w:fill="auto"/>
            <w:vAlign w:val="center"/>
          </w:tcPr>
          <w:p w14:paraId="4DDB1ABB" w14:textId="77777777" w:rsidR="008B7E19" w:rsidRPr="00D511DC"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b/>
                <w:bCs/>
                <w:szCs w:val="14"/>
              </w:rPr>
            </w:pPr>
          </w:p>
        </w:tc>
        <w:tc>
          <w:tcPr>
            <w:tcW w:w="1154" w:type="dxa"/>
            <w:gridSpan w:val="2"/>
            <w:shd w:val="clear" w:color="auto" w:fill="auto"/>
            <w:vAlign w:val="center"/>
          </w:tcPr>
          <w:p w14:paraId="699D69D3" w14:textId="77777777" w:rsidR="008B7E19" w:rsidRPr="00D511DC" w:rsidRDefault="008B7E19" w:rsidP="008B7E19">
            <w:pPr>
              <w:pStyle w:val="08-Tabelageral"/>
              <w:ind w:left="113"/>
              <w:cnfStyle w:val="000000100000" w:firstRow="0" w:lastRow="0" w:firstColumn="0" w:lastColumn="0" w:oddVBand="0" w:evenVBand="0" w:oddHBand="1" w:evenHBand="0" w:firstRowFirstColumn="0" w:firstRowLastColumn="0" w:lastRowFirstColumn="0" w:lastRowLastColumn="0"/>
              <w:rPr>
                <w:rFonts w:cs="Arial"/>
                <w:b/>
                <w:bCs/>
                <w:szCs w:val="14"/>
              </w:rPr>
            </w:pPr>
          </w:p>
        </w:tc>
      </w:tr>
      <w:tr w:rsidR="008B7E19" w:rsidRPr="000B2A0A" w14:paraId="1F05158F" w14:textId="77777777" w:rsidTr="008B7E1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9639" w:type="dxa"/>
            <w:gridSpan w:val="13"/>
            <w:tcBorders>
              <w:top w:val="single" w:sz="2" w:space="0" w:color="1F4E79" w:themeColor="accent1" w:themeShade="80"/>
              <w:bottom w:val="single" w:sz="2" w:space="0" w:color="1F4E79" w:themeColor="accent1" w:themeShade="80"/>
            </w:tcBorders>
            <w:shd w:val="clear" w:color="auto" w:fill="auto"/>
            <w:vAlign w:val="center"/>
          </w:tcPr>
          <w:p w14:paraId="0EBDB63E" w14:textId="77777777" w:rsidR="008B7E19" w:rsidRPr="006A019D" w:rsidRDefault="008B7E19" w:rsidP="008B7E19">
            <w:pPr>
              <w:pStyle w:val="08-Tabelageral"/>
              <w:jc w:val="left"/>
              <w:rPr>
                <w:bCs w:val="0"/>
                <w:szCs w:val="14"/>
              </w:rPr>
            </w:pPr>
            <w:r w:rsidRPr="006A019D">
              <w:rPr>
                <w:rFonts w:cs="Arial"/>
                <w:szCs w:val="14"/>
                <w:lang w:val="en-US"/>
              </w:rPr>
              <w:t>Equity Income</w:t>
            </w:r>
          </w:p>
        </w:tc>
      </w:tr>
      <w:tr w:rsidR="008B7E19" w:rsidRPr="00FB2B7E" w14:paraId="4CAC2DD0"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90" w:type="dxa"/>
            <w:tcBorders>
              <w:bottom w:val="nil"/>
            </w:tcBorders>
            <w:shd w:val="clear" w:color="auto" w:fill="auto"/>
            <w:vAlign w:val="center"/>
          </w:tcPr>
          <w:p w14:paraId="2118C8CC" w14:textId="77777777" w:rsidR="008B7E19" w:rsidRDefault="008B7E19" w:rsidP="008B7E19">
            <w:pPr>
              <w:pStyle w:val="08-Tabelageral"/>
              <w:jc w:val="left"/>
            </w:pPr>
            <w:r>
              <w:rPr>
                <w:rStyle w:val="rynqvb"/>
                <w:lang w:val="en"/>
              </w:rPr>
              <w:t>2</w:t>
            </w:r>
            <w:r>
              <w:rPr>
                <w:rStyle w:val="rynqvb"/>
                <w:vertAlign w:val="superscript"/>
                <w:lang w:val="en"/>
              </w:rPr>
              <w:t>nd</w:t>
            </w:r>
            <w:r w:rsidRPr="005C3AB8">
              <w:rPr>
                <w:rStyle w:val="rynqvb"/>
                <w:vertAlign w:val="superscript"/>
                <w:lang w:val="en"/>
              </w:rPr>
              <w:t xml:space="preserve"> </w:t>
            </w:r>
            <w:r>
              <w:rPr>
                <w:rStyle w:val="rynqvb"/>
                <w:lang w:val="en"/>
              </w:rPr>
              <w:t>Quarter 2023</w:t>
            </w:r>
          </w:p>
        </w:tc>
        <w:tc>
          <w:tcPr>
            <w:tcW w:w="1141" w:type="dxa"/>
            <w:gridSpan w:val="2"/>
            <w:tcBorders>
              <w:bottom w:val="nil"/>
            </w:tcBorders>
            <w:shd w:val="clear" w:color="auto" w:fill="auto"/>
            <w:vAlign w:val="center"/>
          </w:tcPr>
          <w:p w14:paraId="4EDBF647" w14:textId="77777777" w:rsidR="008B7E19" w:rsidRDefault="008B7E19" w:rsidP="008B7E19">
            <w:pPr>
              <w:jc w:val="right"/>
              <w:cnfStyle w:val="000000100000" w:firstRow="0" w:lastRow="0" w:firstColumn="0" w:lastColumn="0" w:oddVBand="0" w:evenVBand="0" w:oddHBand="1" w:evenHBand="0" w:firstRowFirstColumn="0" w:firstRowLastColumn="0" w:lastRowFirstColumn="0" w:lastRowLastColumn="0"/>
              <w:rPr>
                <w:rFonts w:cs="Arial"/>
                <w:b/>
                <w:bCs/>
                <w:color w:val="000000"/>
                <w:sz w:val="14"/>
                <w:szCs w:val="14"/>
              </w:rPr>
            </w:pPr>
            <w:r>
              <w:rPr>
                <w:rFonts w:cs="Arial"/>
                <w:b/>
                <w:bCs/>
                <w:color w:val="000000"/>
                <w:sz w:val="14"/>
                <w:szCs w:val="14"/>
              </w:rPr>
              <w:t>715,096</w:t>
            </w:r>
          </w:p>
        </w:tc>
        <w:tc>
          <w:tcPr>
            <w:tcW w:w="1044" w:type="dxa"/>
            <w:gridSpan w:val="2"/>
            <w:tcBorders>
              <w:bottom w:val="nil"/>
            </w:tcBorders>
            <w:shd w:val="clear" w:color="auto" w:fill="auto"/>
            <w:vAlign w:val="center"/>
          </w:tcPr>
          <w:p w14:paraId="6783D629" w14:textId="77777777" w:rsidR="008B7E19" w:rsidRDefault="008B7E19" w:rsidP="008B7E19">
            <w:pPr>
              <w:jc w:val="right"/>
              <w:cnfStyle w:val="000000100000" w:firstRow="0" w:lastRow="0" w:firstColumn="0" w:lastColumn="0" w:oddVBand="0" w:evenVBand="0" w:oddHBand="1" w:evenHBand="0" w:firstRowFirstColumn="0" w:firstRowLastColumn="0" w:lastRowFirstColumn="0" w:lastRowLastColumn="0"/>
              <w:rPr>
                <w:rFonts w:cs="Arial"/>
                <w:b/>
                <w:bCs/>
                <w:color w:val="000000"/>
                <w:sz w:val="14"/>
                <w:szCs w:val="14"/>
              </w:rPr>
            </w:pPr>
            <w:r>
              <w:rPr>
                <w:rFonts w:cs="Arial"/>
                <w:b/>
                <w:bCs/>
                <w:color w:val="000000"/>
                <w:sz w:val="14"/>
                <w:szCs w:val="14"/>
              </w:rPr>
              <w:t>397,178</w:t>
            </w:r>
          </w:p>
        </w:tc>
        <w:tc>
          <w:tcPr>
            <w:tcW w:w="961" w:type="dxa"/>
            <w:gridSpan w:val="2"/>
            <w:tcBorders>
              <w:bottom w:val="nil"/>
            </w:tcBorders>
            <w:shd w:val="clear" w:color="auto" w:fill="auto"/>
            <w:vAlign w:val="center"/>
          </w:tcPr>
          <w:p w14:paraId="47BBD0F7" w14:textId="77777777" w:rsidR="008B7E19" w:rsidRDefault="008B7E19" w:rsidP="008B7E19">
            <w:pPr>
              <w:jc w:val="right"/>
              <w:cnfStyle w:val="000000100000" w:firstRow="0" w:lastRow="0" w:firstColumn="0" w:lastColumn="0" w:oddVBand="0" w:evenVBand="0" w:oddHBand="1" w:evenHBand="0" w:firstRowFirstColumn="0" w:firstRowLastColumn="0" w:lastRowFirstColumn="0" w:lastRowLastColumn="0"/>
              <w:rPr>
                <w:rFonts w:cs="Arial"/>
                <w:b/>
                <w:bCs/>
                <w:color w:val="000000"/>
                <w:sz w:val="14"/>
                <w:szCs w:val="14"/>
              </w:rPr>
            </w:pPr>
            <w:r>
              <w:rPr>
                <w:rFonts w:cs="Arial"/>
                <w:b/>
                <w:bCs/>
                <w:color w:val="000000"/>
                <w:sz w:val="14"/>
                <w:szCs w:val="14"/>
              </w:rPr>
              <w:t>42,358</w:t>
            </w:r>
          </w:p>
        </w:tc>
        <w:tc>
          <w:tcPr>
            <w:tcW w:w="1141" w:type="dxa"/>
            <w:gridSpan w:val="2"/>
            <w:tcBorders>
              <w:bottom w:val="nil"/>
            </w:tcBorders>
            <w:shd w:val="clear" w:color="auto" w:fill="auto"/>
            <w:vAlign w:val="center"/>
          </w:tcPr>
          <w:p w14:paraId="0B4C670E" w14:textId="77777777" w:rsidR="008B7E19" w:rsidRDefault="008B7E19" w:rsidP="008B7E19">
            <w:pPr>
              <w:jc w:val="right"/>
              <w:cnfStyle w:val="000000100000" w:firstRow="0" w:lastRow="0" w:firstColumn="0" w:lastColumn="0" w:oddVBand="0" w:evenVBand="0" w:oddHBand="1" w:evenHBand="0" w:firstRowFirstColumn="0" w:firstRowLastColumn="0" w:lastRowFirstColumn="0" w:lastRowLastColumn="0"/>
              <w:rPr>
                <w:rFonts w:cs="Arial"/>
                <w:b/>
                <w:bCs/>
                <w:color w:val="000000"/>
                <w:sz w:val="14"/>
                <w:szCs w:val="14"/>
              </w:rPr>
            </w:pPr>
            <w:r>
              <w:rPr>
                <w:rFonts w:cs="Arial"/>
                <w:b/>
                <w:bCs/>
                <w:color w:val="000000"/>
                <w:sz w:val="14"/>
                <w:szCs w:val="14"/>
              </w:rPr>
              <w:t>5,038</w:t>
            </w:r>
          </w:p>
        </w:tc>
        <w:tc>
          <w:tcPr>
            <w:tcW w:w="708" w:type="dxa"/>
            <w:gridSpan w:val="2"/>
            <w:tcBorders>
              <w:bottom w:val="nil"/>
            </w:tcBorders>
            <w:shd w:val="clear" w:color="auto" w:fill="auto"/>
            <w:vAlign w:val="center"/>
          </w:tcPr>
          <w:p w14:paraId="0D1A36F7" w14:textId="77777777" w:rsidR="008B7E19" w:rsidRDefault="008B7E19" w:rsidP="008B7E19">
            <w:pPr>
              <w:jc w:val="right"/>
              <w:cnfStyle w:val="000000100000" w:firstRow="0" w:lastRow="0" w:firstColumn="0" w:lastColumn="0" w:oddVBand="0" w:evenVBand="0" w:oddHBand="1" w:evenHBand="0" w:firstRowFirstColumn="0" w:firstRowLastColumn="0" w:lastRowFirstColumn="0" w:lastRowLastColumn="0"/>
              <w:rPr>
                <w:rFonts w:cs="Arial"/>
                <w:b/>
                <w:bCs/>
                <w:color w:val="000000"/>
                <w:sz w:val="14"/>
                <w:szCs w:val="14"/>
              </w:rPr>
            </w:pPr>
            <w:r>
              <w:rPr>
                <w:rFonts w:cs="Arial"/>
                <w:b/>
                <w:bCs/>
                <w:color w:val="000000"/>
                <w:sz w:val="14"/>
                <w:szCs w:val="14"/>
              </w:rPr>
              <w:t>1,050</w:t>
            </w:r>
          </w:p>
        </w:tc>
        <w:tc>
          <w:tcPr>
            <w:tcW w:w="1154" w:type="dxa"/>
            <w:gridSpan w:val="2"/>
            <w:tcBorders>
              <w:bottom w:val="nil"/>
            </w:tcBorders>
            <w:shd w:val="clear" w:color="auto" w:fill="auto"/>
            <w:vAlign w:val="center"/>
          </w:tcPr>
          <w:p w14:paraId="41BB6205" w14:textId="77777777" w:rsidR="008B7E19" w:rsidRDefault="008B7E19" w:rsidP="008B7E19">
            <w:pPr>
              <w:jc w:val="right"/>
              <w:cnfStyle w:val="000000100000" w:firstRow="0" w:lastRow="0" w:firstColumn="0" w:lastColumn="0" w:oddVBand="0" w:evenVBand="0" w:oddHBand="1" w:evenHBand="0" w:firstRowFirstColumn="0" w:firstRowLastColumn="0" w:lastRowFirstColumn="0" w:lastRowLastColumn="0"/>
              <w:rPr>
                <w:rFonts w:cs="Arial"/>
                <w:b/>
                <w:bCs/>
                <w:color w:val="000000"/>
                <w:sz w:val="14"/>
                <w:szCs w:val="14"/>
              </w:rPr>
            </w:pPr>
            <w:r>
              <w:rPr>
                <w:rFonts w:cs="Arial"/>
                <w:b/>
                <w:bCs/>
                <w:color w:val="000000"/>
                <w:sz w:val="14"/>
                <w:szCs w:val="14"/>
              </w:rPr>
              <w:t>1,160,720</w:t>
            </w:r>
          </w:p>
        </w:tc>
      </w:tr>
      <w:tr w:rsidR="008B7E19" w:rsidRPr="00F96730" w14:paraId="5306FCD9" w14:textId="77777777" w:rsidTr="008B7E1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90" w:type="dxa"/>
            <w:tcBorders>
              <w:top w:val="nil"/>
              <w:bottom w:val="nil"/>
            </w:tcBorders>
            <w:shd w:val="clear" w:color="auto" w:fill="auto"/>
            <w:vAlign w:val="center"/>
          </w:tcPr>
          <w:p w14:paraId="04664FCB" w14:textId="77777777" w:rsidR="008B7E19" w:rsidRDefault="008B7E19" w:rsidP="008B7E19">
            <w:pPr>
              <w:pStyle w:val="08-Tabelageral"/>
              <w:jc w:val="left"/>
              <w:rPr>
                <w:rStyle w:val="rynqvb"/>
                <w:lang w:val="en"/>
              </w:rPr>
            </w:pPr>
            <w:r>
              <w:rPr>
                <w:rStyle w:val="rynqvb"/>
                <w:lang w:val="en"/>
              </w:rPr>
              <w:t>1</w:t>
            </w:r>
            <w:r w:rsidRPr="005C3AB8">
              <w:rPr>
                <w:rStyle w:val="rynqvb"/>
                <w:vertAlign w:val="superscript"/>
                <w:lang w:val="en"/>
              </w:rPr>
              <w:t>st</w:t>
            </w:r>
            <w:r>
              <w:rPr>
                <w:rStyle w:val="rynqvb"/>
                <w:lang w:val="en"/>
              </w:rPr>
              <w:t xml:space="preserve"> Half 2023</w:t>
            </w:r>
          </w:p>
        </w:tc>
        <w:tc>
          <w:tcPr>
            <w:tcW w:w="1141" w:type="dxa"/>
            <w:gridSpan w:val="2"/>
            <w:tcBorders>
              <w:top w:val="nil"/>
              <w:bottom w:val="nil"/>
            </w:tcBorders>
            <w:shd w:val="clear" w:color="auto" w:fill="auto"/>
            <w:vAlign w:val="center"/>
          </w:tcPr>
          <w:p w14:paraId="640FE04E" w14:textId="77777777" w:rsidR="008B7E19" w:rsidRDefault="008B7E19" w:rsidP="008B7E19">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Pr>
                <w:rFonts w:cs="Arial"/>
                <w:b/>
                <w:bCs/>
                <w:szCs w:val="14"/>
                <w:lang w:eastAsia="en-US"/>
              </w:rPr>
              <w:t>1,329,316</w:t>
            </w:r>
          </w:p>
        </w:tc>
        <w:tc>
          <w:tcPr>
            <w:tcW w:w="1044" w:type="dxa"/>
            <w:gridSpan w:val="2"/>
            <w:tcBorders>
              <w:top w:val="nil"/>
              <w:bottom w:val="nil"/>
            </w:tcBorders>
            <w:shd w:val="clear" w:color="auto" w:fill="auto"/>
            <w:vAlign w:val="center"/>
          </w:tcPr>
          <w:p w14:paraId="501D0E11" w14:textId="77777777" w:rsidR="008B7E19" w:rsidRDefault="008B7E19" w:rsidP="008B7E19">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Pr>
                <w:rFonts w:cs="Arial"/>
                <w:b/>
                <w:bCs/>
                <w:szCs w:val="14"/>
                <w:lang w:eastAsia="en-US"/>
              </w:rPr>
              <w:t>862,862</w:t>
            </w:r>
          </w:p>
        </w:tc>
        <w:tc>
          <w:tcPr>
            <w:tcW w:w="961" w:type="dxa"/>
            <w:gridSpan w:val="2"/>
            <w:tcBorders>
              <w:top w:val="nil"/>
              <w:bottom w:val="nil"/>
            </w:tcBorders>
            <w:shd w:val="clear" w:color="auto" w:fill="auto"/>
            <w:vAlign w:val="center"/>
          </w:tcPr>
          <w:p w14:paraId="05B17414" w14:textId="77777777" w:rsidR="008B7E19" w:rsidRDefault="008B7E19" w:rsidP="008B7E19">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Pr>
                <w:rFonts w:cs="Arial"/>
                <w:b/>
                <w:bCs/>
                <w:szCs w:val="14"/>
                <w:lang w:eastAsia="en-US"/>
              </w:rPr>
              <w:t>84,213</w:t>
            </w:r>
          </w:p>
        </w:tc>
        <w:tc>
          <w:tcPr>
            <w:tcW w:w="1141" w:type="dxa"/>
            <w:gridSpan w:val="2"/>
            <w:tcBorders>
              <w:top w:val="nil"/>
              <w:bottom w:val="nil"/>
            </w:tcBorders>
            <w:shd w:val="clear" w:color="auto" w:fill="auto"/>
            <w:vAlign w:val="center"/>
          </w:tcPr>
          <w:p w14:paraId="03BEC4D6" w14:textId="77777777" w:rsidR="008B7E19" w:rsidRDefault="008B7E19" w:rsidP="008B7E19">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Pr>
                <w:rFonts w:cs="Arial"/>
                <w:b/>
                <w:bCs/>
                <w:szCs w:val="14"/>
                <w:lang w:eastAsia="en-US"/>
              </w:rPr>
              <w:t>8,272</w:t>
            </w:r>
          </w:p>
        </w:tc>
        <w:tc>
          <w:tcPr>
            <w:tcW w:w="708" w:type="dxa"/>
            <w:gridSpan w:val="2"/>
            <w:tcBorders>
              <w:top w:val="nil"/>
              <w:bottom w:val="nil"/>
            </w:tcBorders>
            <w:shd w:val="clear" w:color="auto" w:fill="auto"/>
            <w:vAlign w:val="center"/>
          </w:tcPr>
          <w:p w14:paraId="4892079B" w14:textId="77777777" w:rsidR="008B7E19" w:rsidRDefault="008B7E19" w:rsidP="008B7E19">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Pr>
                <w:rFonts w:cs="Arial"/>
                <w:b/>
                <w:bCs/>
                <w:szCs w:val="14"/>
                <w:lang w:eastAsia="en-US"/>
              </w:rPr>
              <w:t>1,088</w:t>
            </w:r>
          </w:p>
        </w:tc>
        <w:tc>
          <w:tcPr>
            <w:tcW w:w="1154" w:type="dxa"/>
            <w:gridSpan w:val="2"/>
            <w:tcBorders>
              <w:top w:val="nil"/>
              <w:bottom w:val="nil"/>
            </w:tcBorders>
            <w:shd w:val="clear" w:color="auto" w:fill="auto"/>
            <w:vAlign w:val="center"/>
          </w:tcPr>
          <w:p w14:paraId="253A9230" w14:textId="77777777" w:rsidR="008B7E19" w:rsidRDefault="008B7E19" w:rsidP="008B7E19">
            <w:pPr>
              <w:pStyle w:val="08-Tabelageral"/>
              <w:ind w:left="113"/>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Pr>
                <w:rFonts w:cs="Arial"/>
                <w:b/>
                <w:bCs/>
                <w:color w:val="000000"/>
                <w:szCs w:val="14"/>
                <w:lang w:eastAsia="en-US"/>
              </w:rPr>
              <w:t>2,285,751</w:t>
            </w:r>
          </w:p>
        </w:tc>
      </w:tr>
      <w:tr w:rsidR="008B7E19" w:rsidRPr="00F96730" w14:paraId="17D56C23"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90" w:type="dxa"/>
            <w:tcBorders>
              <w:top w:val="nil"/>
              <w:bottom w:val="nil"/>
            </w:tcBorders>
            <w:shd w:val="clear" w:color="auto" w:fill="auto"/>
            <w:vAlign w:val="center"/>
          </w:tcPr>
          <w:p w14:paraId="4E1F00A0" w14:textId="77777777" w:rsidR="008B7E19" w:rsidRDefault="008B7E19" w:rsidP="008B7E19">
            <w:pPr>
              <w:pStyle w:val="08-Tabelageral"/>
              <w:jc w:val="left"/>
              <w:rPr>
                <w:rStyle w:val="rynqvb"/>
                <w:lang w:val="en"/>
              </w:rPr>
            </w:pPr>
            <w:r>
              <w:rPr>
                <w:rStyle w:val="rynqvb"/>
                <w:lang w:val="en"/>
              </w:rPr>
              <w:t>2</w:t>
            </w:r>
            <w:r>
              <w:rPr>
                <w:rStyle w:val="rynqvb"/>
                <w:vertAlign w:val="superscript"/>
                <w:lang w:val="en"/>
              </w:rPr>
              <w:t>nd</w:t>
            </w:r>
            <w:r w:rsidRPr="005C3AB8">
              <w:rPr>
                <w:rStyle w:val="rynqvb"/>
                <w:vertAlign w:val="superscript"/>
                <w:lang w:val="en"/>
              </w:rPr>
              <w:t xml:space="preserve"> </w:t>
            </w:r>
            <w:r>
              <w:rPr>
                <w:rStyle w:val="rynqvb"/>
                <w:lang w:val="en"/>
              </w:rPr>
              <w:t xml:space="preserve">Quarter 2022 (restated balances) </w:t>
            </w:r>
            <w:r w:rsidRPr="00DB5EB4">
              <w:rPr>
                <w:rStyle w:val="rynqvb"/>
                <w:vertAlign w:val="superscript"/>
                <w:lang w:val="en"/>
              </w:rPr>
              <w:t>(1)</w:t>
            </w:r>
          </w:p>
        </w:tc>
        <w:tc>
          <w:tcPr>
            <w:tcW w:w="1141" w:type="dxa"/>
            <w:gridSpan w:val="2"/>
            <w:tcBorders>
              <w:top w:val="nil"/>
              <w:bottom w:val="nil"/>
            </w:tcBorders>
            <w:shd w:val="clear" w:color="auto" w:fill="auto"/>
            <w:vAlign w:val="center"/>
          </w:tcPr>
          <w:p w14:paraId="1667D444" w14:textId="77777777" w:rsidR="008B7E19"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Pr>
                <w:rFonts w:cs="Arial"/>
                <w:b/>
                <w:bCs/>
                <w:color w:val="000000"/>
                <w:szCs w:val="14"/>
              </w:rPr>
              <w:t>504,624</w:t>
            </w:r>
          </w:p>
        </w:tc>
        <w:tc>
          <w:tcPr>
            <w:tcW w:w="1044" w:type="dxa"/>
            <w:gridSpan w:val="2"/>
            <w:tcBorders>
              <w:top w:val="nil"/>
              <w:bottom w:val="nil"/>
            </w:tcBorders>
            <w:shd w:val="clear" w:color="auto" w:fill="auto"/>
            <w:vAlign w:val="center"/>
          </w:tcPr>
          <w:p w14:paraId="2846FBE3" w14:textId="77777777" w:rsidR="008B7E19"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Pr>
                <w:rFonts w:cs="Arial"/>
                <w:b/>
                <w:bCs/>
                <w:color w:val="000000"/>
                <w:szCs w:val="14"/>
              </w:rPr>
              <w:t>313,178</w:t>
            </w:r>
          </w:p>
        </w:tc>
        <w:tc>
          <w:tcPr>
            <w:tcW w:w="961" w:type="dxa"/>
            <w:gridSpan w:val="2"/>
            <w:tcBorders>
              <w:top w:val="nil"/>
              <w:bottom w:val="nil"/>
            </w:tcBorders>
            <w:shd w:val="clear" w:color="auto" w:fill="auto"/>
            <w:vAlign w:val="center"/>
          </w:tcPr>
          <w:p w14:paraId="4639FC5F" w14:textId="77777777" w:rsidR="008B7E19"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Pr>
                <w:rFonts w:cs="Arial"/>
                <w:b/>
                <w:bCs/>
                <w:color w:val="000000"/>
                <w:szCs w:val="14"/>
              </w:rPr>
              <w:t>42,783</w:t>
            </w:r>
          </w:p>
        </w:tc>
        <w:tc>
          <w:tcPr>
            <w:tcW w:w="1141" w:type="dxa"/>
            <w:gridSpan w:val="2"/>
            <w:tcBorders>
              <w:top w:val="nil"/>
              <w:bottom w:val="nil"/>
            </w:tcBorders>
            <w:shd w:val="clear" w:color="auto" w:fill="auto"/>
            <w:vAlign w:val="center"/>
          </w:tcPr>
          <w:p w14:paraId="3993983C" w14:textId="77777777" w:rsidR="008B7E19"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Pr>
                <w:rFonts w:cs="Arial"/>
                <w:b/>
                <w:bCs/>
                <w:color w:val="000000"/>
                <w:szCs w:val="14"/>
              </w:rPr>
              <w:t>3,519</w:t>
            </w:r>
          </w:p>
        </w:tc>
        <w:tc>
          <w:tcPr>
            <w:tcW w:w="708" w:type="dxa"/>
            <w:gridSpan w:val="2"/>
            <w:tcBorders>
              <w:top w:val="nil"/>
              <w:bottom w:val="nil"/>
            </w:tcBorders>
            <w:shd w:val="clear" w:color="auto" w:fill="auto"/>
            <w:vAlign w:val="center"/>
          </w:tcPr>
          <w:p w14:paraId="6E4419D3" w14:textId="77777777" w:rsidR="008B7E19"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Pr>
                <w:rFonts w:cs="Arial"/>
                <w:b/>
                <w:bCs/>
                <w:color w:val="000000"/>
                <w:szCs w:val="14"/>
              </w:rPr>
              <w:t>635</w:t>
            </w:r>
          </w:p>
        </w:tc>
        <w:tc>
          <w:tcPr>
            <w:tcW w:w="1154" w:type="dxa"/>
            <w:gridSpan w:val="2"/>
            <w:tcBorders>
              <w:top w:val="nil"/>
              <w:bottom w:val="nil"/>
            </w:tcBorders>
            <w:shd w:val="clear" w:color="auto" w:fill="auto"/>
            <w:vAlign w:val="center"/>
          </w:tcPr>
          <w:p w14:paraId="459FA04C" w14:textId="77777777" w:rsidR="008B7E19" w:rsidRDefault="008B7E19" w:rsidP="008B7E19">
            <w:pPr>
              <w:pStyle w:val="08-Tabelageral"/>
              <w:ind w:left="113"/>
              <w:cnfStyle w:val="000000100000" w:firstRow="0" w:lastRow="0" w:firstColumn="0" w:lastColumn="0" w:oddVBand="0" w:evenVBand="0" w:oddHBand="1" w:evenHBand="0" w:firstRowFirstColumn="0" w:firstRowLastColumn="0" w:lastRowFirstColumn="0" w:lastRowLastColumn="0"/>
              <w:rPr>
                <w:rFonts w:cs="Arial"/>
                <w:b/>
                <w:bCs/>
                <w:color w:val="000000"/>
                <w:szCs w:val="14"/>
              </w:rPr>
            </w:pPr>
            <w:r>
              <w:rPr>
                <w:rFonts w:cs="Arial"/>
                <w:b/>
                <w:bCs/>
                <w:color w:val="000000"/>
                <w:szCs w:val="14"/>
              </w:rPr>
              <w:t>864,739</w:t>
            </w:r>
          </w:p>
        </w:tc>
      </w:tr>
      <w:tr w:rsidR="008B7E19" w:rsidRPr="00F96730" w14:paraId="5581EC9A" w14:textId="77777777" w:rsidTr="008B7E1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90" w:type="dxa"/>
            <w:tcBorders>
              <w:top w:val="nil"/>
              <w:bottom w:val="single" w:sz="2" w:space="0" w:color="1F4E79" w:themeColor="accent1" w:themeShade="80"/>
            </w:tcBorders>
            <w:shd w:val="clear" w:color="auto" w:fill="auto"/>
            <w:vAlign w:val="center"/>
          </w:tcPr>
          <w:p w14:paraId="71A23D19" w14:textId="77777777" w:rsidR="008B7E19" w:rsidRPr="00D511DC" w:rsidRDefault="008B7E19" w:rsidP="008B7E19">
            <w:pPr>
              <w:pStyle w:val="08-Tabelageral"/>
              <w:jc w:val="left"/>
              <w:rPr>
                <w:bCs w:val="0"/>
                <w:color w:val="auto"/>
                <w:szCs w:val="14"/>
              </w:rPr>
            </w:pPr>
            <w:r>
              <w:rPr>
                <w:rStyle w:val="rynqvb"/>
                <w:lang w:val="en"/>
              </w:rPr>
              <w:t>1</w:t>
            </w:r>
            <w:r w:rsidRPr="005C3AB8">
              <w:rPr>
                <w:rStyle w:val="rynqvb"/>
                <w:vertAlign w:val="superscript"/>
                <w:lang w:val="en"/>
              </w:rPr>
              <w:t>st</w:t>
            </w:r>
            <w:r>
              <w:rPr>
                <w:rStyle w:val="rynqvb"/>
                <w:lang w:val="en"/>
              </w:rPr>
              <w:t xml:space="preserve"> Half </w:t>
            </w:r>
            <w:r w:rsidRPr="00CB6B64">
              <w:rPr>
                <w:rStyle w:val="rynqvb"/>
                <w:lang w:val="en"/>
              </w:rPr>
              <w:t>2022 (restated balances)</w:t>
            </w:r>
            <w:r>
              <w:rPr>
                <w:rStyle w:val="rynqvb"/>
                <w:lang w:val="en"/>
              </w:rPr>
              <w:t xml:space="preserve"> </w:t>
            </w:r>
            <w:r w:rsidRPr="00DB5EB4">
              <w:rPr>
                <w:rStyle w:val="rynqvb"/>
                <w:vertAlign w:val="superscript"/>
                <w:lang w:val="en"/>
              </w:rPr>
              <w:t>(1)</w:t>
            </w:r>
          </w:p>
        </w:tc>
        <w:tc>
          <w:tcPr>
            <w:tcW w:w="1141" w:type="dxa"/>
            <w:gridSpan w:val="2"/>
            <w:tcBorders>
              <w:top w:val="nil"/>
              <w:bottom w:val="single" w:sz="2" w:space="0" w:color="1F4E79" w:themeColor="accent1" w:themeShade="80"/>
            </w:tcBorders>
            <w:shd w:val="clear" w:color="auto" w:fill="auto"/>
            <w:vAlign w:val="center"/>
          </w:tcPr>
          <w:p w14:paraId="780EE5BC" w14:textId="77777777" w:rsidR="008B7E19" w:rsidRPr="00D511DC" w:rsidRDefault="008B7E19" w:rsidP="008B7E19">
            <w:pPr>
              <w:pStyle w:val="08-Tabelageral"/>
              <w:cnfStyle w:val="000000010000" w:firstRow="0" w:lastRow="0" w:firstColumn="0" w:lastColumn="0" w:oddVBand="0" w:evenVBand="0" w:oddHBand="0" w:evenHBand="1" w:firstRowFirstColumn="0" w:firstRowLastColumn="0" w:lastRowFirstColumn="0" w:lastRowLastColumn="0"/>
              <w:rPr>
                <w:b/>
                <w:color w:val="auto"/>
                <w:szCs w:val="14"/>
              </w:rPr>
            </w:pPr>
            <w:r>
              <w:rPr>
                <w:rFonts w:cs="Arial"/>
                <w:b/>
                <w:bCs/>
                <w:color w:val="000000"/>
                <w:szCs w:val="14"/>
                <w:lang w:eastAsia="en-US"/>
              </w:rPr>
              <w:t>746,321</w:t>
            </w:r>
          </w:p>
        </w:tc>
        <w:tc>
          <w:tcPr>
            <w:tcW w:w="1044" w:type="dxa"/>
            <w:gridSpan w:val="2"/>
            <w:tcBorders>
              <w:top w:val="nil"/>
              <w:bottom w:val="single" w:sz="2" w:space="0" w:color="1F4E79" w:themeColor="accent1" w:themeShade="80"/>
            </w:tcBorders>
            <w:shd w:val="clear" w:color="auto" w:fill="auto"/>
            <w:vAlign w:val="center"/>
          </w:tcPr>
          <w:p w14:paraId="6E904EA9" w14:textId="77777777" w:rsidR="008B7E19" w:rsidRPr="00D511DC" w:rsidRDefault="008B7E19" w:rsidP="008B7E19">
            <w:pPr>
              <w:pStyle w:val="08-Tabelageral"/>
              <w:cnfStyle w:val="000000010000" w:firstRow="0" w:lastRow="0" w:firstColumn="0" w:lastColumn="0" w:oddVBand="0" w:evenVBand="0" w:oddHBand="0" w:evenHBand="1" w:firstRowFirstColumn="0" w:firstRowLastColumn="0" w:lastRowFirstColumn="0" w:lastRowLastColumn="0"/>
              <w:rPr>
                <w:b/>
                <w:color w:val="auto"/>
                <w:szCs w:val="14"/>
              </w:rPr>
            </w:pPr>
            <w:r>
              <w:rPr>
                <w:rFonts w:cs="Arial"/>
                <w:b/>
                <w:bCs/>
                <w:color w:val="000000"/>
                <w:szCs w:val="14"/>
                <w:lang w:eastAsia="en-US"/>
              </w:rPr>
              <w:t>667,113</w:t>
            </w:r>
          </w:p>
        </w:tc>
        <w:tc>
          <w:tcPr>
            <w:tcW w:w="961" w:type="dxa"/>
            <w:gridSpan w:val="2"/>
            <w:tcBorders>
              <w:top w:val="nil"/>
              <w:bottom w:val="single" w:sz="2" w:space="0" w:color="1F4E79" w:themeColor="accent1" w:themeShade="80"/>
            </w:tcBorders>
            <w:shd w:val="clear" w:color="auto" w:fill="auto"/>
            <w:vAlign w:val="center"/>
          </w:tcPr>
          <w:p w14:paraId="3126A2DB" w14:textId="77777777" w:rsidR="008B7E19" w:rsidRPr="00D511DC" w:rsidRDefault="008B7E19" w:rsidP="008B7E19">
            <w:pPr>
              <w:pStyle w:val="08-Tabelageral"/>
              <w:cnfStyle w:val="000000010000" w:firstRow="0" w:lastRow="0" w:firstColumn="0" w:lastColumn="0" w:oddVBand="0" w:evenVBand="0" w:oddHBand="0" w:evenHBand="1" w:firstRowFirstColumn="0" w:firstRowLastColumn="0" w:lastRowFirstColumn="0" w:lastRowLastColumn="0"/>
              <w:rPr>
                <w:b/>
                <w:color w:val="auto"/>
                <w:szCs w:val="14"/>
              </w:rPr>
            </w:pPr>
            <w:r>
              <w:rPr>
                <w:rFonts w:cs="Arial"/>
                <w:b/>
                <w:bCs/>
                <w:color w:val="000000"/>
                <w:szCs w:val="14"/>
                <w:lang w:eastAsia="en-US"/>
              </w:rPr>
              <w:t>78,239</w:t>
            </w:r>
          </w:p>
        </w:tc>
        <w:tc>
          <w:tcPr>
            <w:tcW w:w="1141" w:type="dxa"/>
            <w:gridSpan w:val="2"/>
            <w:tcBorders>
              <w:top w:val="nil"/>
              <w:bottom w:val="single" w:sz="2" w:space="0" w:color="1F4E79" w:themeColor="accent1" w:themeShade="80"/>
            </w:tcBorders>
            <w:shd w:val="clear" w:color="auto" w:fill="auto"/>
            <w:vAlign w:val="center"/>
          </w:tcPr>
          <w:p w14:paraId="32426FF8" w14:textId="77777777" w:rsidR="008B7E19" w:rsidRPr="00D511DC" w:rsidRDefault="008B7E19" w:rsidP="008B7E19">
            <w:pPr>
              <w:pStyle w:val="08-Tabelageral"/>
              <w:cnfStyle w:val="000000010000" w:firstRow="0" w:lastRow="0" w:firstColumn="0" w:lastColumn="0" w:oddVBand="0" w:evenVBand="0" w:oddHBand="0" w:evenHBand="1" w:firstRowFirstColumn="0" w:firstRowLastColumn="0" w:lastRowFirstColumn="0" w:lastRowLastColumn="0"/>
              <w:rPr>
                <w:b/>
                <w:color w:val="auto"/>
                <w:szCs w:val="14"/>
              </w:rPr>
            </w:pPr>
            <w:r>
              <w:rPr>
                <w:rFonts w:cs="Arial"/>
                <w:b/>
                <w:bCs/>
                <w:color w:val="000000"/>
                <w:szCs w:val="14"/>
                <w:lang w:eastAsia="en-US"/>
              </w:rPr>
              <w:t>8,639</w:t>
            </w:r>
          </w:p>
        </w:tc>
        <w:tc>
          <w:tcPr>
            <w:tcW w:w="708" w:type="dxa"/>
            <w:gridSpan w:val="2"/>
            <w:tcBorders>
              <w:top w:val="nil"/>
              <w:bottom w:val="single" w:sz="2" w:space="0" w:color="1F4E79" w:themeColor="accent1" w:themeShade="80"/>
            </w:tcBorders>
            <w:shd w:val="clear" w:color="auto" w:fill="auto"/>
            <w:vAlign w:val="center"/>
          </w:tcPr>
          <w:p w14:paraId="39CE50B7" w14:textId="77777777" w:rsidR="008B7E19" w:rsidRPr="00D511DC" w:rsidRDefault="008B7E19" w:rsidP="008B7E19">
            <w:pPr>
              <w:pStyle w:val="08-Tabelageral"/>
              <w:cnfStyle w:val="000000010000" w:firstRow="0" w:lastRow="0" w:firstColumn="0" w:lastColumn="0" w:oddVBand="0" w:evenVBand="0" w:oddHBand="0" w:evenHBand="1" w:firstRowFirstColumn="0" w:firstRowLastColumn="0" w:lastRowFirstColumn="0" w:lastRowLastColumn="0"/>
              <w:rPr>
                <w:rFonts w:cs="Arial"/>
                <w:b/>
                <w:color w:val="auto"/>
                <w:szCs w:val="14"/>
              </w:rPr>
            </w:pPr>
            <w:r>
              <w:rPr>
                <w:rFonts w:cs="Arial"/>
                <w:b/>
                <w:bCs/>
                <w:color w:val="000000"/>
                <w:szCs w:val="14"/>
                <w:lang w:eastAsia="en-US"/>
              </w:rPr>
              <w:t>(204)</w:t>
            </w:r>
          </w:p>
        </w:tc>
        <w:tc>
          <w:tcPr>
            <w:tcW w:w="1154" w:type="dxa"/>
            <w:gridSpan w:val="2"/>
            <w:tcBorders>
              <w:top w:val="nil"/>
              <w:bottom w:val="single" w:sz="2" w:space="0" w:color="1F4E79" w:themeColor="accent1" w:themeShade="80"/>
            </w:tcBorders>
            <w:shd w:val="clear" w:color="auto" w:fill="auto"/>
            <w:vAlign w:val="center"/>
          </w:tcPr>
          <w:p w14:paraId="3AFB4B3B" w14:textId="77777777" w:rsidR="008B7E19" w:rsidRPr="00D511DC" w:rsidRDefault="008B7E19" w:rsidP="008B7E19">
            <w:pPr>
              <w:pStyle w:val="08-Tabelageral"/>
              <w:ind w:left="113"/>
              <w:cnfStyle w:val="000000010000" w:firstRow="0" w:lastRow="0" w:firstColumn="0" w:lastColumn="0" w:oddVBand="0" w:evenVBand="0" w:oddHBand="0" w:evenHBand="1" w:firstRowFirstColumn="0" w:firstRowLastColumn="0" w:lastRowFirstColumn="0" w:lastRowLastColumn="0"/>
              <w:rPr>
                <w:rFonts w:cs="Arial"/>
                <w:b/>
                <w:color w:val="auto"/>
                <w:szCs w:val="14"/>
              </w:rPr>
            </w:pPr>
            <w:r>
              <w:rPr>
                <w:rFonts w:cs="Arial"/>
                <w:b/>
                <w:bCs/>
                <w:color w:val="000000"/>
                <w:szCs w:val="14"/>
                <w:lang w:eastAsia="en-US"/>
              </w:rPr>
              <w:t>1,500,108</w:t>
            </w:r>
          </w:p>
        </w:tc>
      </w:tr>
    </w:tbl>
    <w:p w14:paraId="745EA570" w14:textId="77777777" w:rsidR="008B7E19" w:rsidRPr="00925790" w:rsidRDefault="008B7E19" w:rsidP="00882B41">
      <w:pPr>
        <w:pStyle w:val="01-TtulodeNota"/>
        <w:numPr>
          <w:ilvl w:val="0"/>
          <w:numId w:val="34"/>
        </w:numPr>
        <w:spacing w:before="0" w:after="0"/>
        <w:ind w:left="284" w:right="-31" w:hanging="284"/>
        <w:jc w:val="left"/>
        <w:rPr>
          <w:rStyle w:val="normaltextrun"/>
          <w:rFonts w:cs="Arial"/>
          <w:b w:val="0"/>
          <w:spacing w:val="0"/>
          <w:sz w:val="14"/>
          <w:szCs w:val="14"/>
          <w:lang w:val="en-US"/>
        </w:rPr>
      </w:pPr>
      <w:r w:rsidRPr="00925790">
        <w:rPr>
          <w:rStyle w:val="normaltextrun"/>
          <w:rFonts w:cs="Arial"/>
          <w:b w:val="0"/>
          <w:spacing w:val="0"/>
          <w:sz w:val="14"/>
          <w:szCs w:val="14"/>
          <w:lang w:val="en-US"/>
        </w:rPr>
        <w:t>The restated balances of Shareholders' Equity, Investment and Equity Income refer to BB MAPFRE, Brasilprev and Brasildental, related to the impacts of CPC 48 and 50.</w:t>
      </w:r>
    </w:p>
    <w:p w14:paraId="6DFD9D31" w14:textId="77777777" w:rsidR="008B7E19" w:rsidRDefault="008B7E19" w:rsidP="008B7E19">
      <w:pPr>
        <w:pStyle w:val="05-Textonormal"/>
        <w:spacing w:before="0" w:after="80" w:line="240" w:lineRule="auto"/>
        <w:rPr>
          <w:rStyle w:val="q4iawc"/>
          <w:lang w:val="en"/>
        </w:rPr>
      </w:pPr>
    </w:p>
    <w:p w14:paraId="35844308" w14:textId="77777777" w:rsidR="008B7E19" w:rsidRDefault="008B7E19" w:rsidP="008B7E19">
      <w:pPr>
        <w:pStyle w:val="05-Textonormal"/>
        <w:spacing w:before="0" w:after="80" w:line="240" w:lineRule="auto"/>
        <w:rPr>
          <w:rStyle w:val="q4iawc"/>
          <w:lang w:val="en"/>
        </w:rPr>
      </w:pPr>
      <w:r w:rsidRPr="007C3614">
        <w:rPr>
          <w:rStyle w:val="q4iawc"/>
          <w:lang w:val="en"/>
        </w:rPr>
        <w:t xml:space="preserve">The values of the equity of investees BB </w:t>
      </w:r>
      <w:r>
        <w:rPr>
          <w:rStyle w:val="q4iawc"/>
          <w:lang w:val="en"/>
        </w:rPr>
        <w:t>MAPFRE</w:t>
      </w:r>
      <w:r w:rsidRPr="007C3614">
        <w:rPr>
          <w:rStyle w:val="q4iawc"/>
          <w:lang w:val="en"/>
        </w:rPr>
        <w:t>, Brasilprev, Brasilcap, Brasildental and Ciclic presented in the previous table are not proportional to the percentage of equity interest held by BB Seguridade, that is, they represent the total balance of the equity of the respective companies.</w:t>
      </w:r>
    </w:p>
    <w:p w14:paraId="2E0C68D8" w14:textId="77777777" w:rsidR="008B7E19" w:rsidRDefault="008B7E19" w:rsidP="008B7E19">
      <w:pPr>
        <w:pStyle w:val="05-Textonormal"/>
        <w:spacing w:before="0" w:after="80" w:line="240" w:lineRule="auto"/>
        <w:rPr>
          <w:rFonts w:cs="Arial"/>
          <w:lang w:val="en-US"/>
        </w:rPr>
      </w:pPr>
      <w:r w:rsidRPr="00F575A5">
        <w:rPr>
          <w:rFonts w:cs="Arial"/>
          <w:lang w:val="en-US"/>
        </w:rPr>
        <w:t>The book balance</w:t>
      </w:r>
      <w:r>
        <w:rPr>
          <w:rFonts w:cs="Arial"/>
          <w:lang w:val="en-US"/>
        </w:rPr>
        <w:t>,</w:t>
      </w:r>
      <w:r w:rsidRPr="00F575A5">
        <w:rPr>
          <w:rFonts w:cs="Arial"/>
          <w:lang w:val="en-US"/>
        </w:rPr>
        <w:t xml:space="preserve"> on </w:t>
      </w:r>
      <w:r>
        <w:rPr>
          <w:rFonts w:cs="Arial"/>
          <w:lang w:val="en-US"/>
        </w:rPr>
        <w:t xml:space="preserve">June </w:t>
      </w:r>
      <w:r w:rsidRPr="00F575A5">
        <w:rPr>
          <w:rFonts w:cs="Arial"/>
          <w:lang w:val="en-US"/>
        </w:rPr>
        <w:t>3</w:t>
      </w:r>
      <w:r>
        <w:rPr>
          <w:rFonts w:cs="Arial"/>
          <w:lang w:val="en-US"/>
        </w:rPr>
        <w:t xml:space="preserve">0, </w:t>
      </w:r>
      <w:r w:rsidRPr="00F575A5">
        <w:rPr>
          <w:rFonts w:cs="Arial"/>
          <w:lang w:val="en-US"/>
        </w:rPr>
        <w:t>202</w:t>
      </w:r>
      <w:r>
        <w:rPr>
          <w:rFonts w:cs="Arial"/>
          <w:lang w:val="en-US"/>
        </w:rPr>
        <w:t>3,</w:t>
      </w:r>
      <w:r w:rsidRPr="00F575A5">
        <w:rPr>
          <w:rFonts w:cs="Arial"/>
          <w:lang w:val="en-US"/>
        </w:rPr>
        <w:t xml:space="preserve"> of the investment in BB </w:t>
      </w:r>
      <w:r>
        <w:rPr>
          <w:rFonts w:cs="Arial"/>
          <w:lang w:val="en-US"/>
        </w:rPr>
        <w:t>MAPFRE</w:t>
      </w:r>
      <w:r w:rsidRPr="00F575A5">
        <w:rPr>
          <w:rFonts w:cs="Arial"/>
          <w:lang w:val="en-US"/>
        </w:rPr>
        <w:t xml:space="preserve"> of R$ </w:t>
      </w:r>
      <w:r>
        <w:rPr>
          <w:rFonts w:cs="Arial"/>
          <w:lang w:val="en-US"/>
        </w:rPr>
        <w:t xml:space="preserve">2,717,058 </w:t>
      </w:r>
      <w:r w:rsidRPr="00F575A5">
        <w:rPr>
          <w:rFonts w:cs="Arial"/>
          <w:lang w:val="en-US"/>
        </w:rPr>
        <w:t xml:space="preserve">thousand, includes intangible assets defined in the net amortization amount of R$ </w:t>
      </w:r>
      <w:r w:rsidRPr="00DC3495">
        <w:rPr>
          <w:rFonts w:cs="Arial"/>
          <w:lang w:val="en-US"/>
        </w:rPr>
        <w:t>1</w:t>
      </w:r>
      <w:r>
        <w:rPr>
          <w:rFonts w:cs="Arial"/>
          <w:lang w:val="en-US"/>
        </w:rPr>
        <w:t xml:space="preserve">48,577 </w:t>
      </w:r>
      <w:r w:rsidRPr="00F575A5">
        <w:rPr>
          <w:rFonts w:cs="Arial"/>
          <w:lang w:val="en-US"/>
        </w:rPr>
        <w:t>thousand</w:t>
      </w:r>
      <w:r>
        <w:rPr>
          <w:rFonts w:cs="Arial"/>
          <w:lang w:val="en-US"/>
        </w:rPr>
        <w:t xml:space="preserve"> </w:t>
      </w:r>
      <w:r w:rsidRPr="00F575A5">
        <w:rPr>
          <w:rFonts w:cs="Arial"/>
          <w:lang w:val="en-US"/>
        </w:rPr>
        <w:t xml:space="preserve">(R$ </w:t>
      </w:r>
      <w:r>
        <w:rPr>
          <w:lang w:val="en-US"/>
        </w:rPr>
        <w:t>156,281</w:t>
      </w:r>
      <w:r w:rsidRPr="00A44662">
        <w:rPr>
          <w:lang w:val="en-US"/>
        </w:rPr>
        <w:t xml:space="preserve"> </w:t>
      </w:r>
      <w:r w:rsidRPr="00F575A5">
        <w:rPr>
          <w:rFonts w:cs="Arial"/>
          <w:lang w:val="en-US"/>
        </w:rPr>
        <w:t xml:space="preserve">thousand on </w:t>
      </w:r>
      <w:r>
        <w:rPr>
          <w:rFonts w:cs="Arial"/>
          <w:lang w:val="en-US"/>
        </w:rPr>
        <w:t>12.31.2022</w:t>
      </w:r>
      <w:r w:rsidRPr="00F575A5">
        <w:rPr>
          <w:rFonts w:cs="Arial"/>
          <w:lang w:val="en-US"/>
        </w:rPr>
        <w:t>),</w:t>
      </w:r>
      <w:r>
        <w:rPr>
          <w:rFonts w:cs="Arial"/>
          <w:lang w:val="en-US"/>
        </w:rPr>
        <w:t xml:space="preserve"> </w:t>
      </w:r>
      <w:r w:rsidRPr="00F575A5">
        <w:rPr>
          <w:rFonts w:cs="Arial"/>
          <w:lang w:val="en-US"/>
        </w:rPr>
        <w:t xml:space="preserve">with the amortization amount of </w:t>
      </w:r>
      <w:r w:rsidRPr="00944050">
        <w:rPr>
          <w:rFonts w:cs="Arial"/>
          <w:lang w:val="en-US"/>
        </w:rPr>
        <w:t xml:space="preserve">R$ </w:t>
      </w:r>
      <w:r>
        <w:rPr>
          <w:rFonts w:cs="Arial"/>
          <w:lang w:val="en-US"/>
        </w:rPr>
        <w:t>7,704</w:t>
      </w:r>
      <w:r w:rsidRPr="00DC3495">
        <w:rPr>
          <w:rFonts w:cs="Arial"/>
          <w:lang w:val="en-US"/>
        </w:rPr>
        <w:t xml:space="preserve"> </w:t>
      </w:r>
      <w:r w:rsidRPr="001B58AD">
        <w:rPr>
          <w:rFonts w:cs="Arial"/>
          <w:lang w:val="en-US"/>
        </w:rPr>
        <w:t>thousand</w:t>
      </w:r>
      <w:r w:rsidRPr="00944050">
        <w:rPr>
          <w:rFonts w:cs="Arial"/>
          <w:lang w:val="en-US"/>
        </w:rPr>
        <w:t xml:space="preserve"> </w:t>
      </w:r>
      <w:r>
        <w:rPr>
          <w:rStyle w:val="rynqvb"/>
          <w:lang w:val="en"/>
        </w:rPr>
        <w:t>in the 1</w:t>
      </w:r>
      <w:r w:rsidRPr="005B0D7F">
        <w:rPr>
          <w:rStyle w:val="rynqvb"/>
          <w:vertAlign w:val="superscript"/>
          <w:lang w:val="en"/>
        </w:rPr>
        <w:t>st</w:t>
      </w:r>
      <w:r>
        <w:rPr>
          <w:rStyle w:val="rynqvb"/>
          <w:lang w:val="en"/>
        </w:rPr>
        <w:t xml:space="preserve"> Half 2023 </w:t>
      </w:r>
      <w:r w:rsidRPr="00944050">
        <w:rPr>
          <w:rFonts w:cs="Arial"/>
          <w:lang w:val="en-US"/>
        </w:rPr>
        <w:t>(</w:t>
      </w:r>
      <w:r>
        <w:rPr>
          <w:rFonts w:cs="Arial"/>
          <w:lang w:val="en-US"/>
        </w:rPr>
        <w:t>R$ 7,363</w:t>
      </w:r>
      <w:r>
        <w:rPr>
          <w:rStyle w:val="rynqvb"/>
          <w:lang w:val="en"/>
        </w:rPr>
        <w:t xml:space="preserve"> thousand in the 1</w:t>
      </w:r>
      <w:r w:rsidRPr="005B0D7F">
        <w:rPr>
          <w:rStyle w:val="rynqvb"/>
          <w:vertAlign w:val="superscript"/>
          <w:lang w:val="en"/>
        </w:rPr>
        <w:t>st</w:t>
      </w:r>
      <w:r>
        <w:rPr>
          <w:rStyle w:val="rynqvb"/>
          <w:lang w:val="en"/>
        </w:rPr>
        <w:t xml:space="preserve"> Half 2022</w:t>
      </w:r>
      <w:r>
        <w:rPr>
          <w:rFonts w:cs="Arial"/>
          <w:lang w:val="en-US"/>
        </w:rPr>
        <w:t>), R$</w:t>
      </w:r>
      <w:r w:rsidRPr="00717D9A">
        <w:rPr>
          <w:rFonts w:cs="Arial"/>
          <w:lang w:val="en-US"/>
        </w:rPr>
        <w:t xml:space="preserve"> 3,852 thousand in the 2</w:t>
      </w:r>
      <w:r w:rsidRPr="00717D9A">
        <w:rPr>
          <w:rFonts w:cs="Arial"/>
          <w:vertAlign w:val="superscript"/>
          <w:lang w:val="en-US"/>
        </w:rPr>
        <w:t>nd</w:t>
      </w:r>
      <w:r w:rsidRPr="00717D9A">
        <w:rPr>
          <w:rFonts w:cs="Arial"/>
          <w:lang w:val="en-US"/>
        </w:rPr>
        <w:t xml:space="preserve"> </w:t>
      </w:r>
      <w:r>
        <w:rPr>
          <w:rFonts w:cs="Arial"/>
          <w:lang w:val="en-US"/>
        </w:rPr>
        <w:t>Q</w:t>
      </w:r>
      <w:r w:rsidRPr="00717D9A">
        <w:rPr>
          <w:rFonts w:cs="Arial"/>
          <w:lang w:val="en-US"/>
        </w:rPr>
        <w:t>uarter 2023 (</w:t>
      </w:r>
      <w:r>
        <w:rPr>
          <w:rFonts w:cs="Arial"/>
          <w:lang w:val="en-US"/>
        </w:rPr>
        <w:t>R$</w:t>
      </w:r>
      <w:r w:rsidRPr="00717D9A">
        <w:rPr>
          <w:rFonts w:cs="Arial"/>
          <w:lang w:val="en-US"/>
        </w:rPr>
        <w:t xml:space="preserve"> 3,682 thousand in the 2</w:t>
      </w:r>
      <w:r w:rsidRPr="00717D9A">
        <w:rPr>
          <w:rFonts w:cs="Arial"/>
          <w:vertAlign w:val="superscript"/>
          <w:lang w:val="en-US"/>
        </w:rPr>
        <w:t>nd</w:t>
      </w:r>
      <w:r w:rsidRPr="00717D9A">
        <w:rPr>
          <w:rFonts w:cs="Arial"/>
          <w:lang w:val="en-US"/>
        </w:rPr>
        <w:t xml:space="preserve"> </w:t>
      </w:r>
      <w:r>
        <w:rPr>
          <w:rFonts w:cs="Arial"/>
          <w:lang w:val="en-US"/>
        </w:rPr>
        <w:t>Q</w:t>
      </w:r>
      <w:r w:rsidRPr="00717D9A">
        <w:rPr>
          <w:rFonts w:cs="Arial"/>
          <w:lang w:val="en-US"/>
        </w:rPr>
        <w:t>uarter 2022)</w:t>
      </w:r>
      <w:r>
        <w:rPr>
          <w:rFonts w:cs="Arial"/>
          <w:lang w:val="en-US"/>
        </w:rPr>
        <w:t xml:space="preserve"> </w:t>
      </w:r>
      <w:r w:rsidRPr="00F575A5">
        <w:rPr>
          <w:rFonts w:cs="Arial"/>
          <w:lang w:val="en-US"/>
        </w:rPr>
        <w:t>and intangible assets with an indefinite useful life in the amount of R$</w:t>
      </w:r>
      <w:r>
        <w:rPr>
          <w:rFonts w:cs="Arial"/>
          <w:lang w:val="en-US"/>
        </w:rPr>
        <w:t xml:space="preserve"> </w:t>
      </w:r>
      <w:r w:rsidRPr="00F575A5">
        <w:rPr>
          <w:rFonts w:cs="Arial"/>
          <w:lang w:val="en-US"/>
        </w:rPr>
        <w:t xml:space="preserve">339,004 thousand resulting from the partnership agreement with </w:t>
      </w:r>
      <w:r>
        <w:rPr>
          <w:rFonts w:cs="Arial"/>
          <w:lang w:val="en-US"/>
        </w:rPr>
        <w:t>Grupo MAPFRE</w:t>
      </w:r>
      <w:r w:rsidRPr="00F575A5">
        <w:rPr>
          <w:rFonts w:cs="Arial"/>
          <w:lang w:val="en-US"/>
        </w:rPr>
        <w:t>.</w:t>
      </w:r>
    </w:p>
    <w:p w14:paraId="2D1EDF44" w14:textId="77777777" w:rsidR="008B7E19" w:rsidRDefault="008B7E19" w:rsidP="008B7E19">
      <w:pPr>
        <w:pStyle w:val="05-Textonormal"/>
        <w:spacing w:before="0" w:after="80" w:line="240" w:lineRule="auto"/>
        <w:rPr>
          <w:rFonts w:cs="Arial"/>
          <w:lang w:val="en-US"/>
        </w:rPr>
      </w:pPr>
      <w:r w:rsidRPr="00E6648E">
        <w:rPr>
          <w:rFonts w:cs="Arial"/>
          <w:lang w:val="en-US"/>
        </w:rPr>
        <w:t>The book balance</w:t>
      </w:r>
      <w:r>
        <w:rPr>
          <w:rFonts w:cs="Arial"/>
          <w:lang w:val="en-US"/>
        </w:rPr>
        <w:t>,</w:t>
      </w:r>
      <w:r w:rsidRPr="00E6648E">
        <w:rPr>
          <w:rFonts w:cs="Arial"/>
          <w:lang w:val="en-US"/>
        </w:rPr>
        <w:t xml:space="preserve"> on </w:t>
      </w:r>
      <w:r>
        <w:rPr>
          <w:rFonts w:cs="Arial"/>
          <w:lang w:val="en-US"/>
        </w:rPr>
        <w:t xml:space="preserve">June </w:t>
      </w:r>
      <w:r w:rsidRPr="00E6648E">
        <w:rPr>
          <w:rFonts w:cs="Arial"/>
          <w:lang w:val="en-US"/>
        </w:rPr>
        <w:t>3</w:t>
      </w:r>
      <w:r>
        <w:rPr>
          <w:rFonts w:cs="Arial"/>
          <w:lang w:val="en-US"/>
        </w:rPr>
        <w:t xml:space="preserve">0, </w:t>
      </w:r>
      <w:r w:rsidRPr="00E6648E">
        <w:rPr>
          <w:rFonts w:cs="Arial"/>
          <w:lang w:val="en-US"/>
        </w:rPr>
        <w:t>202</w:t>
      </w:r>
      <w:r>
        <w:rPr>
          <w:rFonts w:cs="Arial"/>
          <w:lang w:val="en-US"/>
        </w:rPr>
        <w:t>3,</w:t>
      </w:r>
      <w:r w:rsidRPr="00E6648E">
        <w:rPr>
          <w:rFonts w:cs="Arial"/>
          <w:lang w:val="en-US"/>
        </w:rPr>
        <w:t xml:space="preserve"> of the investment in Brasilcap of R$</w:t>
      </w:r>
      <w:r>
        <w:rPr>
          <w:rFonts w:cs="Arial"/>
          <w:lang w:val="en-US"/>
        </w:rPr>
        <w:t xml:space="preserve"> </w:t>
      </w:r>
      <w:r w:rsidRPr="00DC3495">
        <w:rPr>
          <w:rFonts w:cs="Arial"/>
          <w:lang w:val="en-US"/>
        </w:rPr>
        <w:t>5</w:t>
      </w:r>
      <w:r>
        <w:rPr>
          <w:rFonts w:cs="Arial"/>
          <w:lang w:val="en-US"/>
        </w:rPr>
        <w:t>54,498</w:t>
      </w:r>
      <w:r w:rsidRPr="00DC3495">
        <w:rPr>
          <w:rFonts w:cs="Arial"/>
          <w:lang w:val="en-US"/>
        </w:rPr>
        <w:t xml:space="preserve"> </w:t>
      </w:r>
      <w:r w:rsidRPr="00E6648E">
        <w:rPr>
          <w:rFonts w:cs="Arial"/>
          <w:lang w:val="en-US"/>
        </w:rPr>
        <w:t xml:space="preserve">thousand, includes the goodwill of R$ 110,749 thousand, in the acquisition of equity interest in the company Sulacap by BB Seguros, which occurred on </w:t>
      </w:r>
      <w:r>
        <w:rPr>
          <w:rFonts w:cs="Arial"/>
          <w:lang w:val="en-US"/>
        </w:rPr>
        <w:t>07.</w:t>
      </w:r>
      <w:r w:rsidRPr="00E6648E">
        <w:rPr>
          <w:rFonts w:cs="Arial"/>
          <w:lang w:val="en-US"/>
        </w:rPr>
        <w:t>22</w:t>
      </w:r>
      <w:r>
        <w:rPr>
          <w:rFonts w:cs="Arial"/>
          <w:lang w:val="en-US"/>
        </w:rPr>
        <w:t>.</w:t>
      </w:r>
      <w:r w:rsidRPr="00E6648E">
        <w:rPr>
          <w:rFonts w:cs="Arial"/>
          <w:lang w:val="en-US"/>
        </w:rPr>
        <w:t>2011</w:t>
      </w:r>
      <w:r>
        <w:rPr>
          <w:rFonts w:cs="Arial"/>
          <w:lang w:val="en-US"/>
        </w:rPr>
        <w:t>.</w:t>
      </w:r>
    </w:p>
    <w:p w14:paraId="14680168" w14:textId="77777777" w:rsidR="008B7E19" w:rsidRDefault="008B7E19" w:rsidP="008B7E19">
      <w:pPr>
        <w:pStyle w:val="05-Textonormal"/>
        <w:spacing w:before="0" w:after="80" w:line="240" w:lineRule="auto"/>
        <w:rPr>
          <w:rStyle w:val="rynqvb"/>
          <w:lang w:val="en"/>
        </w:rPr>
      </w:pPr>
      <w:r w:rsidRPr="00731CC0">
        <w:rPr>
          <w:rStyle w:val="rynqvb"/>
          <w:lang w:val="en"/>
        </w:rPr>
        <w:t>In accordance with IAS 28, the equity value of investees, for the purpose of applying the equity method, will be recognized based on the balance sheet or verification balance drawn up, on the same date, or within two months of lag. Due to operational issues, as of January 2023, the accounting recognition of the investment in Brasildental, through the equity method, is being carried out with a delay of one month. In June 2023, R$ 1,500 thousand in dividends were received from Brasildental, already reflected in the investment</w:t>
      </w:r>
      <w:r w:rsidRPr="00925790">
        <w:rPr>
          <w:rStyle w:val="rynqvb"/>
          <w:rFonts w:ascii="Helvetica" w:hAnsi="Helvetica" w:cs="Helvetica"/>
          <w:color w:val="3C4043"/>
          <w:sz w:val="27"/>
          <w:szCs w:val="27"/>
          <w:shd w:val="clear" w:color="auto" w:fill="F5F5F5"/>
          <w:lang w:val="en-US"/>
        </w:rPr>
        <w:t>.</w:t>
      </w:r>
    </w:p>
    <w:p w14:paraId="750AB41E" w14:textId="77777777" w:rsidR="008B7E19" w:rsidRDefault="008B7E19" w:rsidP="008B7E19">
      <w:pPr>
        <w:pStyle w:val="05-Textonormal"/>
        <w:spacing w:before="0" w:after="80" w:line="240" w:lineRule="auto"/>
        <w:rPr>
          <w:rFonts w:cs="Arial"/>
          <w:lang w:val="en-US"/>
        </w:rPr>
      </w:pPr>
      <w:r w:rsidRPr="00E22381">
        <w:rPr>
          <w:rFonts w:cs="Arial"/>
          <w:lang w:val="en-US"/>
        </w:rPr>
        <w:t xml:space="preserve">BB </w:t>
      </w:r>
      <w:r>
        <w:rPr>
          <w:rFonts w:cs="Arial"/>
          <w:lang w:val="en-US"/>
        </w:rPr>
        <w:t>MAPFRE</w:t>
      </w:r>
      <w:r w:rsidRPr="00E22381">
        <w:rPr>
          <w:rFonts w:cs="Arial"/>
          <w:lang w:val="en-US"/>
        </w:rPr>
        <w:t xml:space="preserve"> adopts BRGAAP in its accounting information. Therefore, it makes the necessary adjustments to standardize the practices adopted by its subsidiaries, Brasilseg and Aliança do Brasil, which adopt the accounting standards defined by SUSEP</w:t>
      </w:r>
      <w:r>
        <w:rPr>
          <w:rFonts w:cs="Arial"/>
          <w:lang w:val="en-US"/>
        </w:rPr>
        <w:t xml:space="preserve"> (SUSEPGAAP)</w:t>
      </w:r>
      <w:r w:rsidRPr="00E22381">
        <w:rPr>
          <w:rFonts w:cs="Arial"/>
          <w:lang w:val="en-US"/>
        </w:rPr>
        <w:t>.</w:t>
      </w:r>
    </w:p>
    <w:p w14:paraId="36ACCBB9" w14:textId="77777777" w:rsidR="008B7E19" w:rsidRDefault="008B7E19" w:rsidP="008B7E19">
      <w:pPr>
        <w:pStyle w:val="01-TtulodeNota"/>
        <w:rPr>
          <w:rStyle w:val="rynqvb"/>
          <w:lang w:val="en"/>
        </w:rPr>
      </w:pPr>
      <w:r>
        <w:rPr>
          <w:rFonts w:cs="Arial"/>
          <w:b w:val="0"/>
          <w:sz w:val="18"/>
          <w:szCs w:val="18"/>
          <w:lang w:val="en-US"/>
        </w:rPr>
        <w:t>R$ 4</w:t>
      </w:r>
      <w:r w:rsidRPr="006507A4">
        <w:rPr>
          <w:rFonts w:cs="Arial"/>
          <w:b w:val="0"/>
          <w:sz w:val="18"/>
          <w:szCs w:val="18"/>
          <w:lang w:val="en-US"/>
        </w:rPr>
        <w:t>,760,838 thousand of dividends (R$ 1,594,5</w:t>
      </w:r>
      <w:r>
        <w:rPr>
          <w:rFonts w:cs="Arial"/>
          <w:b w:val="0"/>
          <w:sz w:val="18"/>
          <w:szCs w:val="18"/>
          <w:lang w:val="en-US"/>
        </w:rPr>
        <w:t>34</w:t>
      </w:r>
      <w:r w:rsidRPr="006507A4">
        <w:rPr>
          <w:rFonts w:cs="Arial"/>
          <w:b w:val="0"/>
          <w:sz w:val="18"/>
          <w:szCs w:val="18"/>
          <w:lang w:val="en-US"/>
        </w:rPr>
        <w:t xml:space="preserve"> thousand in the 1</w:t>
      </w:r>
      <w:r w:rsidRPr="006507A4">
        <w:rPr>
          <w:rFonts w:cs="Arial"/>
          <w:b w:val="0"/>
          <w:sz w:val="18"/>
          <w:szCs w:val="18"/>
          <w:vertAlign w:val="superscript"/>
          <w:lang w:val="en-US"/>
        </w:rPr>
        <w:t>st</w:t>
      </w:r>
      <w:r w:rsidRPr="006507A4">
        <w:rPr>
          <w:rFonts w:cs="Arial"/>
          <w:b w:val="0"/>
          <w:sz w:val="18"/>
          <w:szCs w:val="18"/>
          <w:lang w:val="en-US"/>
        </w:rPr>
        <w:t xml:space="preserve"> </w:t>
      </w:r>
      <w:r>
        <w:rPr>
          <w:rFonts w:cs="Arial"/>
          <w:b w:val="0"/>
          <w:sz w:val="18"/>
          <w:szCs w:val="18"/>
          <w:lang w:val="en-US"/>
        </w:rPr>
        <w:t>Half</w:t>
      </w:r>
      <w:r w:rsidRPr="006507A4">
        <w:rPr>
          <w:rFonts w:cs="Arial"/>
          <w:b w:val="0"/>
          <w:sz w:val="18"/>
          <w:szCs w:val="18"/>
          <w:lang w:val="en-US"/>
        </w:rPr>
        <w:t xml:space="preserve"> 2022) were received from investments in equity interests, evaluated by the equity method, by the Controller, R$ </w:t>
      </w:r>
      <w:r>
        <w:rPr>
          <w:rFonts w:cs="Arial"/>
          <w:b w:val="0"/>
          <w:sz w:val="18"/>
          <w:szCs w:val="18"/>
          <w:lang w:val="en-US"/>
        </w:rPr>
        <w:t>1,715,924</w:t>
      </w:r>
      <w:r w:rsidRPr="006507A4">
        <w:rPr>
          <w:rFonts w:cs="Arial"/>
          <w:b w:val="0"/>
          <w:sz w:val="18"/>
          <w:szCs w:val="18"/>
          <w:lang w:val="en-US"/>
        </w:rPr>
        <w:t xml:space="preserve"> thousand of dividends (R$ 57</w:t>
      </w:r>
      <w:r>
        <w:rPr>
          <w:rFonts w:cs="Arial"/>
          <w:b w:val="0"/>
          <w:sz w:val="18"/>
          <w:szCs w:val="18"/>
          <w:lang w:val="en-US"/>
        </w:rPr>
        <w:t>5</w:t>
      </w:r>
      <w:r w:rsidRPr="006507A4">
        <w:rPr>
          <w:rFonts w:cs="Arial"/>
          <w:b w:val="0"/>
          <w:sz w:val="18"/>
          <w:szCs w:val="18"/>
          <w:lang w:val="en-US"/>
        </w:rPr>
        <w:t>,</w:t>
      </w:r>
      <w:r>
        <w:rPr>
          <w:rFonts w:cs="Arial"/>
          <w:b w:val="0"/>
          <w:sz w:val="18"/>
          <w:szCs w:val="18"/>
          <w:lang w:val="en-US"/>
        </w:rPr>
        <w:t>220</w:t>
      </w:r>
      <w:r w:rsidRPr="006507A4">
        <w:rPr>
          <w:rFonts w:cs="Arial"/>
          <w:b w:val="0"/>
          <w:sz w:val="18"/>
          <w:szCs w:val="18"/>
          <w:lang w:val="en-US"/>
        </w:rPr>
        <w:t xml:space="preserve"> thousand in the 1</w:t>
      </w:r>
      <w:r w:rsidRPr="006507A4">
        <w:rPr>
          <w:rFonts w:cs="Arial"/>
          <w:b w:val="0"/>
          <w:sz w:val="18"/>
          <w:szCs w:val="18"/>
          <w:vertAlign w:val="superscript"/>
          <w:lang w:val="en-US"/>
        </w:rPr>
        <w:t>st</w:t>
      </w:r>
      <w:r w:rsidRPr="006507A4">
        <w:rPr>
          <w:rFonts w:cs="Arial"/>
          <w:b w:val="0"/>
          <w:sz w:val="18"/>
          <w:szCs w:val="18"/>
          <w:lang w:val="en-US"/>
        </w:rPr>
        <w:t xml:space="preserve"> </w:t>
      </w:r>
      <w:r>
        <w:rPr>
          <w:rFonts w:cs="Arial"/>
          <w:b w:val="0"/>
          <w:sz w:val="18"/>
          <w:szCs w:val="18"/>
          <w:lang w:val="en-US"/>
        </w:rPr>
        <w:t>Half</w:t>
      </w:r>
      <w:r w:rsidRPr="006507A4">
        <w:rPr>
          <w:rFonts w:cs="Arial"/>
          <w:b w:val="0"/>
          <w:sz w:val="18"/>
          <w:szCs w:val="18"/>
          <w:lang w:val="en-US"/>
        </w:rPr>
        <w:t xml:space="preserve"> 2022) by Consolidated</w:t>
      </w:r>
      <w:r>
        <w:rPr>
          <w:rStyle w:val="rynqvb"/>
          <w:lang w:val="en"/>
        </w:rPr>
        <w:t>.</w:t>
      </w:r>
    </w:p>
    <w:p w14:paraId="1E10568B" w14:textId="77777777" w:rsidR="008B7E19" w:rsidRPr="00CF49A3" w:rsidRDefault="008B7E19" w:rsidP="008B7E19">
      <w:pPr>
        <w:pStyle w:val="01-TtulodeNota"/>
        <w:rPr>
          <w:color w:val="1F4E79" w:themeColor="accent1" w:themeShade="80"/>
          <w:lang w:val="en-US"/>
        </w:rPr>
      </w:pPr>
      <w:r w:rsidRPr="00CF49A3">
        <w:rPr>
          <w:color w:val="1F4E79" w:themeColor="accent1" w:themeShade="80"/>
          <w:lang w:val="en-US"/>
        </w:rPr>
        <w:t>Increase in Equity Interest in Brasilcap</w:t>
      </w:r>
    </w:p>
    <w:p w14:paraId="73D4E045" w14:textId="77777777" w:rsidR="008B7E19" w:rsidRPr="00DC3495" w:rsidRDefault="008B7E19" w:rsidP="008B7E19">
      <w:pPr>
        <w:pStyle w:val="05-Textonormal"/>
        <w:spacing w:line="240" w:lineRule="auto"/>
        <w:rPr>
          <w:rFonts w:cs="Arial"/>
          <w:spacing w:val="0"/>
          <w:szCs w:val="20"/>
          <w:lang w:val="en-US" w:eastAsia="zh-CN"/>
        </w:rPr>
      </w:pPr>
      <w:r w:rsidRPr="00DC3495">
        <w:rPr>
          <w:rFonts w:cs="Arial"/>
          <w:spacing w:val="0"/>
          <w:szCs w:val="20"/>
          <w:lang w:val="en-US" w:eastAsia="zh-CN"/>
        </w:rPr>
        <w:t xml:space="preserve">In November 2022, the increase in the shareholding of BB Seguros Participações S.A. was completed. (“BB Seguros”) in the subsidiary Brasilcap Capitalização S.A. (“Brasilcap”), through the exercise of the option to purchase 430,635 preferred shares owned by shareholders Companhia de Seguros Aliança da Bahia (“Aliança da Bahia”) and Icatu Seguros S.A. (“Icatu”), corresponding to 0.11 percentage points of the total capital of the subsidiary, pursuant to the Private Instrument of Commitment for Subscription of Equity Interest and Other Covenants (“Subscription Instrument”), entered into on </w:t>
      </w:r>
      <w:r>
        <w:rPr>
          <w:rFonts w:cs="Arial"/>
          <w:spacing w:val="0"/>
          <w:szCs w:val="20"/>
          <w:lang w:val="en-US" w:eastAsia="zh-CN"/>
        </w:rPr>
        <w:t>December 2</w:t>
      </w:r>
      <w:r w:rsidRPr="00DC3495">
        <w:rPr>
          <w:rFonts w:cs="Arial"/>
          <w:spacing w:val="0"/>
          <w:szCs w:val="20"/>
          <w:lang w:val="en-US" w:eastAsia="zh-CN"/>
        </w:rPr>
        <w:t>2</w:t>
      </w:r>
      <w:r>
        <w:rPr>
          <w:rFonts w:cs="Arial"/>
          <w:spacing w:val="0"/>
          <w:szCs w:val="20"/>
          <w:lang w:val="en-US" w:eastAsia="zh-CN"/>
        </w:rPr>
        <w:t>, 2</w:t>
      </w:r>
      <w:r w:rsidRPr="00DC3495">
        <w:rPr>
          <w:rFonts w:cs="Arial"/>
          <w:spacing w:val="0"/>
          <w:szCs w:val="20"/>
          <w:lang w:val="en-US" w:eastAsia="zh-CN"/>
        </w:rPr>
        <w:t>021.</w:t>
      </w:r>
    </w:p>
    <w:p w14:paraId="48ACA5BC" w14:textId="77777777" w:rsidR="008B7E19" w:rsidRPr="001643E0" w:rsidRDefault="008B7E19" w:rsidP="008B7E19">
      <w:pPr>
        <w:pStyle w:val="04-TtuloNegrito"/>
        <w:rPr>
          <w:color w:val="1F4E79" w:themeColor="accent1" w:themeShade="80"/>
          <w:sz w:val="18"/>
          <w:szCs w:val="18"/>
          <w:lang w:val="en-US"/>
        </w:rPr>
      </w:pPr>
      <w:bookmarkStart w:id="28" w:name="_Hlk86925654"/>
      <w:r w:rsidRPr="001643E0">
        <w:rPr>
          <w:color w:val="1F4E79" w:themeColor="accent1" w:themeShade="80"/>
          <w:sz w:val="18"/>
          <w:szCs w:val="18"/>
          <w:lang w:val="en-US"/>
        </w:rPr>
        <w:t>c) Summary financial information on Investments in Equity Holdings</w:t>
      </w:r>
    </w:p>
    <w:p w14:paraId="225F0214" w14:textId="77777777" w:rsidR="008B7E19" w:rsidRPr="001643E0" w:rsidRDefault="008B7E19" w:rsidP="008B7E19">
      <w:pPr>
        <w:pStyle w:val="01-TtulodeNota"/>
        <w:spacing w:before="0" w:after="0"/>
        <w:rPr>
          <w:rFonts w:cs="Arial"/>
          <w:b w:val="0"/>
          <w:sz w:val="18"/>
          <w:lang w:val="en-US" w:eastAsia="zh-CN"/>
        </w:rPr>
      </w:pPr>
      <w:r w:rsidRPr="001643E0">
        <w:rPr>
          <w:rFonts w:cs="Arial"/>
          <w:b w:val="0"/>
          <w:sz w:val="18"/>
          <w:lang w:val="en-US" w:eastAsia="zh-CN"/>
        </w:rPr>
        <w:t>The amounts presented below refer to the financial statements of the investees with accounting practices in the international standard (IFRS).</w:t>
      </w:r>
    </w:p>
    <w:p w14:paraId="31DF7882" w14:textId="77777777" w:rsidR="008B7E19" w:rsidRPr="001643E0" w:rsidRDefault="008B7E19" w:rsidP="008B7E19">
      <w:pPr>
        <w:spacing w:after="0" w:line="240" w:lineRule="auto"/>
        <w:rPr>
          <w:rFonts w:eastAsia="Times New Roman" w:cs="Times New Roman"/>
          <w:b/>
          <w:color w:val="1F4E79" w:themeColor="accent1" w:themeShade="80"/>
          <w:spacing w:val="-2"/>
          <w:szCs w:val="20"/>
          <w:lang w:val="en-US" w:eastAsia="pt-BR"/>
        </w:rPr>
      </w:pPr>
    </w:p>
    <w:p w14:paraId="651ED264" w14:textId="77777777" w:rsidR="008B7E19" w:rsidRPr="001643E0" w:rsidRDefault="008B7E19" w:rsidP="008B7E19">
      <w:pPr>
        <w:spacing w:after="0" w:line="240" w:lineRule="auto"/>
        <w:rPr>
          <w:rFonts w:eastAsia="Times New Roman" w:cs="Times New Roman"/>
          <w:b/>
          <w:color w:val="1F4E79" w:themeColor="accent1" w:themeShade="80"/>
          <w:spacing w:val="-2"/>
          <w:szCs w:val="20"/>
          <w:lang w:eastAsia="pt-BR"/>
        </w:rPr>
      </w:pPr>
      <w:bookmarkStart w:id="29" w:name="_Hlk117187389"/>
      <w:bookmarkStart w:id="30" w:name="_Hlk86328757"/>
      <w:r w:rsidRPr="001643E0">
        <w:rPr>
          <w:rFonts w:eastAsia="Times New Roman" w:cs="Times New Roman"/>
          <w:b/>
          <w:color w:val="1F4E79" w:themeColor="accent1" w:themeShade="80"/>
          <w:spacing w:val="-2"/>
          <w:szCs w:val="20"/>
          <w:lang w:eastAsia="pt-BR"/>
        </w:rPr>
        <w:t xml:space="preserve">c.1) </w:t>
      </w:r>
      <w:r>
        <w:rPr>
          <w:rFonts w:eastAsia="Times New Roman" w:cs="Times New Roman"/>
          <w:b/>
          <w:color w:val="1F4E79" w:themeColor="accent1" w:themeShade="80"/>
          <w:spacing w:val="-2"/>
          <w:szCs w:val="20"/>
          <w:lang w:eastAsia="pt-BR"/>
        </w:rPr>
        <w:t>BB MAPFRE Participações, Brasilseg and Aliança do Brasil Seguros</w:t>
      </w:r>
    </w:p>
    <w:p w14:paraId="6A7A24E3" w14:textId="77777777" w:rsidR="008B7E19" w:rsidRPr="004C4523" w:rsidRDefault="008B7E19" w:rsidP="008B7E19">
      <w:pPr>
        <w:keepNext/>
        <w:keepLines/>
        <w:spacing w:after="0" w:line="240" w:lineRule="auto"/>
        <w:rPr>
          <w:rFonts w:eastAsia="Times New Roman" w:cs="Arial"/>
          <w:kern w:val="20"/>
          <w:szCs w:val="20"/>
          <w:lang w:eastAsia="pt-BR"/>
        </w:rPr>
      </w:pPr>
    </w:p>
    <w:p w14:paraId="6AE5FB25" w14:textId="77777777" w:rsidR="008B7E19" w:rsidRPr="00261F6E" w:rsidRDefault="008B7E19" w:rsidP="008B7E19">
      <w:pPr>
        <w:keepNext/>
        <w:keepLines/>
        <w:spacing w:after="0" w:line="240" w:lineRule="auto"/>
        <w:rPr>
          <w:rFonts w:eastAsia="Times New Roman" w:cs="Times New Roman"/>
          <w:b/>
          <w:color w:val="1F4E79" w:themeColor="accent1" w:themeShade="80"/>
          <w:spacing w:val="-2"/>
          <w:szCs w:val="20"/>
          <w:lang w:eastAsia="pt-BR"/>
        </w:rPr>
      </w:pPr>
      <w:r w:rsidRPr="00261F6E">
        <w:rPr>
          <w:rFonts w:eastAsia="Times New Roman" w:cs="Times New Roman"/>
          <w:b/>
          <w:color w:val="1F4E79" w:themeColor="accent1" w:themeShade="80"/>
          <w:spacing w:val="-2"/>
          <w:szCs w:val="20"/>
          <w:lang w:eastAsia="pt-BR"/>
        </w:rPr>
        <w:t xml:space="preserve">BB </w:t>
      </w:r>
      <w:r>
        <w:rPr>
          <w:rFonts w:eastAsia="Times New Roman" w:cs="Times New Roman"/>
          <w:b/>
          <w:color w:val="1F4E79" w:themeColor="accent1" w:themeShade="80"/>
          <w:spacing w:val="-2"/>
          <w:szCs w:val="20"/>
          <w:lang w:eastAsia="pt-BR"/>
        </w:rPr>
        <w:t>MAPFRE</w:t>
      </w:r>
      <w:r w:rsidRPr="00261F6E">
        <w:rPr>
          <w:rFonts w:eastAsia="Times New Roman" w:cs="Times New Roman"/>
          <w:b/>
          <w:color w:val="1F4E79" w:themeColor="accent1" w:themeShade="80"/>
          <w:spacing w:val="-2"/>
          <w:szCs w:val="20"/>
          <w:lang w:eastAsia="pt-BR"/>
        </w:rPr>
        <w:t xml:space="preserve"> Participações S.A. (BB </w:t>
      </w:r>
      <w:r>
        <w:rPr>
          <w:rFonts w:eastAsia="Times New Roman" w:cs="Times New Roman"/>
          <w:b/>
          <w:color w:val="1F4E79" w:themeColor="accent1" w:themeShade="80"/>
          <w:spacing w:val="-2"/>
          <w:szCs w:val="20"/>
          <w:lang w:eastAsia="pt-BR"/>
        </w:rPr>
        <w:t>MAPFRE</w:t>
      </w:r>
      <w:r w:rsidRPr="00261F6E">
        <w:rPr>
          <w:rFonts w:eastAsia="Times New Roman" w:cs="Times New Roman"/>
          <w:b/>
          <w:color w:val="1F4E79" w:themeColor="accent1" w:themeShade="80"/>
          <w:spacing w:val="-2"/>
          <w:szCs w:val="20"/>
          <w:lang w:eastAsia="pt-BR"/>
        </w:rPr>
        <w:t>)</w:t>
      </w:r>
    </w:p>
    <w:p w14:paraId="13E09CC0" w14:textId="77777777" w:rsidR="008B7E19" w:rsidRDefault="008B7E19" w:rsidP="008B7E19">
      <w:pPr>
        <w:spacing w:after="0" w:line="240" w:lineRule="auto"/>
        <w:rPr>
          <w:rFonts w:eastAsia="Times New Roman" w:cs="Arial"/>
          <w:b/>
          <w:color w:val="1F4E79" w:themeColor="accent1" w:themeShade="80"/>
          <w:spacing w:val="-2"/>
          <w:szCs w:val="18"/>
          <w:lang w:eastAsia="pt-BR"/>
        </w:rPr>
      </w:pPr>
    </w:p>
    <w:p w14:paraId="2AEA3137" w14:textId="77777777" w:rsidR="008B7E19" w:rsidRPr="00FC09E4" w:rsidRDefault="008B7E19" w:rsidP="008B7E19">
      <w:pPr>
        <w:spacing w:after="0" w:line="240" w:lineRule="auto"/>
        <w:rPr>
          <w:rFonts w:eastAsia="Times New Roman" w:cs="Arial"/>
          <w:spacing w:val="-2"/>
          <w:szCs w:val="20"/>
          <w:lang w:val="en-US" w:eastAsia="zh-CN"/>
        </w:rPr>
      </w:pPr>
      <w:r w:rsidRPr="00FC09E4">
        <w:rPr>
          <w:rFonts w:eastAsia="Times New Roman" w:cs="Times New Roman"/>
          <w:b/>
          <w:color w:val="1F4E79" w:themeColor="accent1" w:themeShade="80"/>
          <w:spacing w:val="-2"/>
          <w:szCs w:val="20"/>
          <w:lang w:val="en-US" w:eastAsia="pt-BR"/>
        </w:rPr>
        <w:t>Income Statement Information</w:t>
      </w:r>
    </w:p>
    <w:p w14:paraId="756EDF0C" w14:textId="77777777" w:rsidR="008B7E19" w:rsidRPr="00FC09E4" w:rsidRDefault="008B7E19" w:rsidP="008B7E19">
      <w:pPr>
        <w:keepNext/>
        <w:keepLines/>
        <w:spacing w:after="0" w:line="240" w:lineRule="auto"/>
        <w:rPr>
          <w:rFonts w:eastAsia="Times New Roman" w:cs="Arial"/>
          <w:spacing w:val="-2"/>
          <w:szCs w:val="20"/>
          <w:lang w:val="en-US" w:eastAsia="zh-CN"/>
        </w:rPr>
      </w:pPr>
    </w:p>
    <w:p w14:paraId="396FC7EB" w14:textId="77777777" w:rsidR="008B7E19" w:rsidRPr="00FC09E4" w:rsidRDefault="008B7E19" w:rsidP="008B7E19">
      <w:pPr>
        <w:spacing w:after="0" w:line="240" w:lineRule="auto"/>
        <w:jc w:val="right"/>
        <w:rPr>
          <w:rFonts w:cs="Arial"/>
          <w:b/>
          <w:sz w:val="14"/>
          <w:lang w:val="en-US" w:eastAsia="pt-BR"/>
        </w:rPr>
      </w:pPr>
      <w:r w:rsidRPr="00FC09E4">
        <w:rPr>
          <w:rFonts w:cs="Arial"/>
          <w:b/>
          <w:sz w:val="14"/>
          <w:lang w:val="en-US" w:eastAsia="pt-BR"/>
        </w:rPr>
        <w:t>R$ thousand</w:t>
      </w:r>
    </w:p>
    <w:tbl>
      <w:tblPr>
        <w:tblStyle w:val="TabeladeLista6Colorida-nfase512"/>
        <w:tblW w:w="9639" w:type="dxa"/>
        <w:jc w:val="center"/>
        <w:tblInd w:w="0" w:type="dxa"/>
        <w:tblLayout w:type="fixed"/>
        <w:tblLook w:val="04A0" w:firstRow="1" w:lastRow="0" w:firstColumn="1" w:lastColumn="0" w:noHBand="0" w:noVBand="1"/>
      </w:tblPr>
      <w:tblGrid>
        <w:gridCol w:w="2803"/>
        <w:gridCol w:w="1709"/>
        <w:gridCol w:w="1709"/>
        <w:gridCol w:w="1709"/>
        <w:gridCol w:w="1709"/>
      </w:tblGrid>
      <w:tr w:rsidR="008B7E19" w:rsidRPr="00537AE7" w14:paraId="74550075" w14:textId="77777777" w:rsidTr="008B7E19">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single" w:sz="2" w:space="0" w:color="1F4E79" w:themeColor="accent1" w:themeShade="80"/>
              <w:left w:val="nil"/>
              <w:bottom w:val="single" w:sz="2" w:space="0" w:color="1F4E79" w:themeColor="accent1" w:themeShade="80"/>
              <w:right w:val="nil"/>
            </w:tcBorders>
            <w:shd w:val="clear" w:color="auto" w:fill="auto"/>
            <w:vAlign w:val="center"/>
          </w:tcPr>
          <w:p w14:paraId="10556641" w14:textId="77777777" w:rsidR="008B7E19" w:rsidRPr="00FC09E4" w:rsidRDefault="008B7E19" w:rsidP="008B7E19">
            <w:pPr>
              <w:jc w:val="center"/>
              <w:rPr>
                <w:rFonts w:cs="Arial"/>
                <w:sz w:val="14"/>
                <w:szCs w:val="14"/>
                <w:lang w:val="en-US"/>
              </w:rPr>
            </w:pPr>
          </w:p>
        </w:tc>
        <w:tc>
          <w:tcPr>
            <w:tcW w:w="1709" w:type="dxa"/>
            <w:tcBorders>
              <w:top w:val="single" w:sz="2" w:space="0" w:color="1F4E79" w:themeColor="accent1" w:themeShade="80"/>
              <w:left w:val="nil"/>
              <w:bottom w:val="single" w:sz="2" w:space="0" w:color="1F4E79" w:themeColor="accent1" w:themeShade="80"/>
              <w:right w:val="nil"/>
            </w:tcBorders>
            <w:shd w:val="clear" w:color="auto" w:fill="auto"/>
            <w:vAlign w:val="center"/>
          </w:tcPr>
          <w:p w14:paraId="374083F6" w14:textId="77777777" w:rsidR="008B7E19" w:rsidRPr="00925790" w:rsidRDefault="008B7E19" w:rsidP="008B7E19">
            <w:pPr>
              <w:jc w:val="right"/>
              <w:cnfStyle w:val="100000000000" w:firstRow="1" w:lastRow="0" w:firstColumn="0" w:lastColumn="0" w:oddVBand="0" w:evenVBand="0" w:oddHBand="0" w:evenHBand="0" w:firstRowFirstColumn="0" w:firstRowLastColumn="0" w:lastRowFirstColumn="0" w:lastRowLastColumn="0"/>
              <w:rPr>
                <w:rFonts w:cs="Arial"/>
                <w:sz w:val="14"/>
                <w:szCs w:val="14"/>
                <w:highlight w:val="yellow"/>
              </w:rPr>
            </w:pPr>
            <w:r w:rsidRPr="00925790">
              <w:rPr>
                <w:rFonts w:cs="Arial"/>
                <w:sz w:val="14"/>
                <w:szCs w:val="14"/>
              </w:rPr>
              <w:t>2</w:t>
            </w:r>
            <w:r w:rsidRPr="00925790">
              <w:rPr>
                <w:rFonts w:cs="Arial"/>
                <w:sz w:val="14"/>
                <w:szCs w:val="14"/>
                <w:vertAlign w:val="superscript"/>
              </w:rPr>
              <w:t>nd</w:t>
            </w:r>
            <w:r w:rsidRPr="00925790">
              <w:rPr>
                <w:rFonts w:cs="Arial"/>
                <w:sz w:val="14"/>
                <w:szCs w:val="14"/>
              </w:rPr>
              <w:t xml:space="preserve"> Quarter 2023</w:t>
            </w:r>
          </w:p>
        </w:tc>
        <w:tc>
          <w:tcPr>
            <w:tcW w:w="1709" w:type="dxa"/>
            <w:tcBorders>
              <w:top w:val="single" w:sz="2" w:space="0" w:color="1F4E79" w:themeColor="accent1" w:themeShade="80"/>
              <w:left w:val="nil"/>
              <w:bottom w:val="single" w:sz="2" w:space="0" w:color="1F4E79" w:themeColor="accent1" w:themeShade="80"/>
              <w:right w:val="nil"/>
            </w:tcBorders>
            <w:shd w:val="clear" w:color="auto" w:fill="auto"/>
            <w:vAlign w:val="center"/>
          </w:tcPr>
          <w:p w14:paraId="41133E9F" w14:textId="77777777" w:rsidR="008B7E19" w:rsidRPr="00925790" w:rsidRDefault="008B7E19" w:rsidP="008B7E19">
            <w:pPr>
              <w:jc w:val="right"/>
              <w:cnfStyle w:val="100000000000" w:firstRow="1" w:lastRow="0" w:firstColumn="0" w:lastColumn="0" w:oddVBand="0" w:evenVBand="0" w:oddHBand="0" w:evenHBand="0" w:firstRowFirstColumn="0" w:firstRowLastColumn="0" w:lastRowFirstColumn="0" w:lastRowLastColumn="0"/>
              <w:rPr>
                <w:rFonts w:cs="Arial"/>
                <w:sz w:val="14"/>
                <w:szCs w:val="14"/>
                <w:highlight w:val="yellow"/>
              </w:rPr>
            </w:pPr>
            <w:r w:rsidRPr="00925790">
              <w:rPr>
                <w:rFonts w:cs="Arial"/>
                <w:sz w:val="14"/>
                <w:szCs w:val="14"/>
              </w:rPr>
              <w:t>1</w:t>
            </w:r>
            <w:r w:rsidRPr="00925790">
              <w:rPr>
                <w:rFonts w:cs="Arial"/>
                <w:sz w:val="14"/>
                <w:szCs w:val="14"/>
                <w:vertAlign w:val="superscript"/>
              </w:rPr>
              <w:t>st</w:t>
            </w:r>
            <w:r w:rsidRPr="00925790">
              <w:rPr>
                <w:rFonts w:cs="Arial"/>
                <w:sz w:val="14"/>
                <w:szCs w:val="14"/>
              </w:rPr>
              <w:t xml:space="preserve"> Half 2023</w:t>
            </w:r>
          </w:p>
        </w:tc>
        <w:tc>
          <w:tcPr>
            <w:tcW w:w="1709" w:type="dxa"/>
            <w:tcBorders>
              <w:top w:val="single" w:sz="2" w:space="0" w:color="1F4E79" w:themeColor="accent1" w:themeShade="80"/>
              <w:left w:val="nil"/>
              <w:bottom w:val="single" w:sz="2" w:space="0" w:color="1F4E79" w:themeColor="accent1" w:themeShade="80"/>
              <w:right w:val="nil"/>
            </w:tcBorders>
            <w:shd w:val="clear" w:color="auto" w:fill="auto"/>
            <w:vAlign w:val="center"/>
          </w:tcPr>
          <w:p w14:paraId="1A5633D4" w14:textId="77777777" w:rsidR="008B7E19" w:rsidRPr="00925790" w:rsidRDefault="008B7E19" w:rsidP="008B7E19">
            <w:pPr>
              <w:pStyle w:val="08-Tabelageral"/>
              <w:cnfStyle w:val="100000000000" w:firstRow="1" w:lastRow="0" w:firstColumn="0" w:lastColumn="0" w:oddVBand="0" w:evenVBand="0" w:oddHBand="0" w:evenHBand="0" w:firstRowFirstColumn="0" w:firstRowLastColumn="0" w:lastRowFirstColumn="0" w:lastRowLastColumn="0"/>
              <w:rPr>
                <w:rFonts w:cs="Arial"/>
                <w:b w:val="0"/>
                <w:bCs w:val="0"/>
                <w:szCs w:val="14"/>
              </w:rPr>
            </w:pPr>
            <w:r w:rsidRPr="00925790">
              <w:rPr>
                <w:rFonts w:cs="Arial"/>
                <w:szCs w:val="14"/>
              </w:rPr>
              <w:t>2</w:t>
            </w:r>
            <w:r w:rsidRPr="00925790">
              <w:rPr>
                <w:rFonts w:cs="Arial"/>
                <w:szCs w:val="14"/>
                <w:vertAlign w:val="superscript"/>
              </w:rPr>
              <w:t>nd</w:t>
            </w:r>
            <w:r w:rsidRPr="00925790">
              <w:rPr>
                <w:rFonts w:cs="Arial"/>
                <w:szCs w:val="14"/>
              </w:rPr>
              <w:t xml:space="preserve"> Quarter 2022</w:t>
            </w:r>
            <w:r>
              <w:rPr>
                <w:rFonts w:cs="Arial"/>
                <w:szCs w:val="14"/>
              </w:rPr>
              <w:br/>
              <w:t>(</w:t>
            </w:r>
            <w:r w:rsidRPr="00925790">
              <w:rPr>
                <w:rFonts w:cs="Arial"/>
                <w:szCs w:val="14"/>
              </w:rPr>
              <w:t>Restated balances</w:t>
            </w:r>
            <w:r>
              <w:rPr>
                <w:rFonts w:cs="Arial"/>
                <w:szCs w:val="14"/>
              </w:rPr>
              <w:t>)</w:t>
            </w:r>
          </w:p>
        </w:tc>
        <w:tc>
          <w:tcPr>
            <w:tcW w:w="1709" w:type="dxa"/>
            <w:tcBorders>
              <w:top w:val="single" w:sz="2" w:space="0" w:color="1F4E79" w:themeColor="accent1" w:themeShade="80"/>
              <w:left w:val="nil"/>
              <w:bottom w:val="single" w:sz="2" w:space="0" w:color="1F4E79" w:themeColor="accent1" w:themeShade="80"/>
              <w:right w:val="nil"/>
            </w:tcBorders>
            <w:shd w:val="clear" w:color="auto" w:fill="auto"/>
            <w:vAlign w:val="center"/>
          </w:tcPr>
          <w:p w14:paraId="780F0C3A" w14:textId="77777777" w:rsidR="008B7E19" w:rsidRPr="00925790" w:rsidRDefault="008B7E19" w:rsidP="008B7E19">
            <w:pPr>
              <w:pStyle w:val="08-Tabelageral"/>
              <w:cnfStyle w:val="100000000000" w:firstRow="1" w:lastRow="0" w:firstColumn="0" w:lastColumn="0" w:oddVBand="0" w:evenVBand="0" w:oddHBand="0" w:evenHBand="0" w:firstRowFirstColumn="0" w:firstRowLastColumn="0" w:lastRowFirstColumn="0" w:lastRowLastColumn="0"/>
              <w:rPr>
                <w:rFonts w:cs="Arial"/>
                <w:b w:val="0"/>
                <w:bCs w:val="0"/>
                <w:szCs w:val="14"/>
              </w:rPr>
            </w:pPr>
            <w:r w:rsidRPr="00925790">
              <w:rPr>
                <w:rFonts w:cs="Arial"/>
                <w:szCs w:val="14"/>
              </w:rPr>
              <w:t>1</w:t>
            </w:r>
            <w:r w:rsidRPr="00925790">
              <w:rPr>
                <w:rFonts w:cs="Arial"/>
                <w:szCs w:val="14"/>
                <w:vertAlign w:val="superscript"/>
              </w:rPr>
              <w:t>st</w:t>
            </w:r>
            <w:r w:rsidRPr="00925790">
              <w:rPr>
                <w:rFonts w:cs="Arial"/>
                <w:szCs w:val="14"/>
              </w:rPr>
              <w:t xml:space="preserve"> Half 2022</w:t>
            </w:r>
            <w:r>
              <w:rPr>
                <w:rFonts w:cs="Arial"/>
                <w:szCs w:val="14"/>
              </w:rPr>
              <w:br/>
              <w:t>(</w:t>
            </w:r>
            <w:r w:rsidRPr="00925790">
              <w:rPr>
                <w:rFonts w:cs="Arial"/>
                <w:szCs w:val="14"/>
              </w:rPr>
              <w:t>Restated balances</w:t>
            </w:r>
            <w:r>
              <w:rPr>
                <w:rFonts w:cs="Arial"/>
                <w:szCs w:val="14"/>
              </w:rPr>
              <w:t>)</w:t>
            </w:r>
          </w:p>
        </w:tc>
      </w:tr>
      <w:tr w:rsidR="008B7E19" w:rsidRPr="00B26535" w14:paraId="2359013E"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single" w:sz="2" w:space="0" w:color="1F4E79" w:themeColor="accent1" w:themeShade="80"/>
              <w:left w:val="nil"/>
              <w:bottom w:val="nil"/>
              <w:right w:val="nil"/>
            </w:tcBorders>
            <w:shd w:val="clear" w:color="auto" w:fill="auto"/>
            <w:vAlign w:val="center"/>
          </w:tcPr>
          <w:p w14:paraId="7BFF7E37" w14:textId="77777777" w:rsidR="008B7E19" w:rsidRPr="00B26535" w:rsidRDefault="008B7E19" w:rsidP="008B7E19">
            <w:pPr>
              <w:keepNext/>
              <w:keepLines/>
              <w:rPr>
                <w:rFonts w:eastAsia="Times New Roman" w:cs="Arial"/>
                <w:spacing w:val="-2"/>
                <w:sz w:val="14"/>
                <w:szCs w:val="14"/>
              </w:rPr>
            </w:pPr>
            <w:r>
              <w:rPr>
                <w:rFonts w:cs="Arial"/>
                <w:sz w:val="14"/>
                <w:szCs w:val="14"/>
              </w:rPr>
              <w:t>Equity income</w:t>
            </w:r>
          </w:p>
        </w:tc>
        <w:tc>
          <w:tcPr>
            <w:tcW w:w="1709" w:type="dxa"/>
            <w:tcBorders>
              <w:top w:val="single" w:sz="2" w:space="0" w:color="1F4E79" w:themeColor="accent1" w:themeShade="80"/>
              <w:left w:val="nil"/>
              <w:bottom w:val="nil"/>
              <w:right w:val="nil"/>
            </w:tcBorders>
            <w:shd w:val="clear" w:color="auto" w:fill="auto"/>
            <w:vAlign w:val="center"/>
          </w:tcPr>
          <w:p w14:paraId="1399EB9C" w14:textId="77777777" w:rsidR="008B7E19" w:rsidRPr="00B26535"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b/>
                <w:bCs/>
                <w:sz w:val="14"/>
                <w:szCs w:val="14"/>
              </w:rPr>
            </w:pPr>
            <w:r w:rsidRPr="00B26535">
              <w:rPr>
                <w:rFonts w:cs="Arial"/>
                <w:b/>
                <w:bCs/>
                <w:sz w:val="14"/>
                <w:szCs w:val="14"/>
              </w:rPr>
              <w:t>958</w:t>
            </w:r>
            <w:r>
              <w:rPr>
                <w:rFonts w:cs="Arial"/>
                <w:b/>
                <w:bCs/>
                <w:sz w:val="14"/>
                <w:szCs w:val="14"/>
              </w:rPr>
              <w:t>,</w:t>
            </w:r>
            <w:r w:rsidRPr="00B26535">
              <w:rPr>
                <w:rFonts w:cs="Arial"/>
                <w:b/>
                <w:bCs/>
                <w:sz w:val="14"/>
                <w:szCs w:val="14"/>
              </w:rPr>
              <w:t>68</w:t>
            </w:r>
            <w:r>
              <w:rPr>
                <w:rFonts w:cs="Arial"/>
                <w:b/>
                <w:bCs/>
                <w:sz w:val="14"/>
                <w:szCs w:val="14"/>
              </w:rPr>
              <w:t>4</w:t>
            </w:r>
          </w:p>
        </w:tc>
        <w:tc>
          <w:tcPr>
            <w:tcW w:w="1709" w:type="dxa"/>
            <w:tcBorders>
              <w:top w:val="single" w:sz="2" w:space="0" w:color="1F4E79" w:themeColor="accent1" w:themeShade="80"/>
              <w:left w:val="nil"/>
              <w:bottom w:val="nil"/>
              <w:right w:val="nil"/>
            </w:tcBorders>
            <w:shd w:val="clear" w:color="auto" w:fill="auto"/>
            <w:vAlign w:val="center"/>
          </w:tcPr>
          <w:p w14:paraId="12F07B3E" w14:textId="77777777" w:rsidR="008B7E19" w:rsidRPr="00B26535"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b/>
                <w:bCs/>
                <w:sz w:val="14"/>
                <w:szCs w:val="14"/>
              </w:rPr>
            </w:pPr>
            <w:r w:rsidRPr="00B26535">
              <w:rPr>
                <w:rFonts w:cs="Arial"/>
                <w:b/>
                <w:bCs/>
                <w:sz w:val="14"/>
                <w:szCs w:val="14"/>
              </w:rPr>
              <w:t>1</w:t>
            </w:r>
            <w:r>
              <w:rPr>
                <w:rFonts w:cs="Arial"/>
                <w:b/>
                <w:bCs/>
                <w:sz w:val="14"/>
                <w:szCs w:val="14"/>
              </w:rPr>
              <w:t>,</w:t>
            </w:r>
            <w:r w:rsidRPr="00B26535">
              <w:rPr>
                <w:rFonts w:cs="Arial"/>
                <w:b/>
                <w:bCs/>
                <w:sz w:val="14"/>
                <w:szCs w:val="14"/>
              </w:rPr>
              <w:t>782</w:t>
            </w:r>
            <w:r>
              <w:rPr>
                <w:rFonts w:cs="Arial"/>
                <w:b/>
                <w:bCs/>
                <w:sz w:val="14"/>
                <w:szCs w:val="14"/>
              </w:rPr>
              <w:t>,</w:t>
            </w:r>
            <w:r w:rsidRPr="00B26535">
              <w:rPr>
                <w:rFonts w:cs="Arial"/>
                <w:b/>
                <w:bCs/>
                <w:sz w:val="14"/>
                <w:szCs w:val="14"/>
              </w:rPr>
              <w:t>89</w:t>
            </w:r>
            <w:r>
              <w:rPr>
                <w:rFonts w:cs="Arial"/>
                <w:b/>
                <w:bCs/>
                <w:sz w:val="14"/>
                <w:szCs w:val="14"/>
              </w:rPr>
              <w:t>1</w:t>
            </w:r>
          </w:p>
        </w:tc>
        <w:tc>
          <w:tcPr>
            <w:tcW w:w="1709" w:type="dxa"/>
            <w:tcBorders>
              <w:top w:val="single" w:sz="2" w:space="0" w:color="1F4E79" w:themeColor="accent1" w:themeShade="80"/>
              <w:left w:val="nil"/>
              <w:bottom w:val="nil"/>
              <w:right w:val="nil"/>
            </w:tcBorders>
            <w:shd w:val="clear" w:color="auto" w:fill="auto"/>
            <w:vAlign w:val="center"/>
          </w:tcPr>
          <w:p w14:paraId="2EB4BC83" w14:textId="77777777" w:rsidR="008B7E19" w:rsidRPr="00B26535"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b/>
                <w:bCs/>
                <w:sz w:val="14"/>
                <w:szCs w:val="14"/>
              </w:rPr>
            </w:pPr>
            <w:r w:rsidRPr="00B26535">
              <w:rPr>
                <w:rFonts w:cs="Arial"/>
                <w:b/>
                <w:bCs/>
                <w:sz w:val="14"/>
                <w:szCs w:val="14"/>
              </w:rPr>
              <w:t>677</w:t>
            </w:r>
            <w:r>
              <w:rPr>
                <w:rFonts w:cs="Arial"/>
                <w:b/>
                <w:bCs/>
                <w:sz w:val="14"/>
                <w:szCs w:val="14"/>
              </w:rPr>
              <w:t>,</w:t>
            </w:r>
            <w:r w:rsidRPr="00B26535">
              <w:rPr>
                <w:rFonts w:cs="Arial"/>
                <w:b/>
                <w:bCs/>
                <w:sz w:val="14"/>
                <w:szCs w:val="14"/>
              </w:rPr>
              <w:t>83</w:t>
            </w:r>
            <w:r>
              <w:rPr>
                <w:rFonts w:cs="Arial"/>
                <w:b/>
                <w:bCs/>
                <w:sz w:val="14"/>
                <w:szCs w:val="14"/>
              </w:rPr>
              <w:t>0</w:t>
            </w:r>
          </w:p>
        </w:tc>
        <w:tc>
          <w:tcPr>
            <w:tcW w:w="1709" w:type="dxa"/>
            <w:tcBorders>
              <w:top w:val="single" w:sz="2" w:space="0" w:color="1F4E79" w:themeColor="accent1" w:themeShade="80"/>
              <w:left w:val="nil"/>
              <w:bottom w:val="nil"/>
              <w:right w:val="nil"/>
            </w:tcBorders>
            <w:shd w:val="clear" w:color="auto" w:fill="auto"/>
            <w:vAlign w:val="center"/>
          </w:tcPr>
          <w:p w14:paraId="66B0AFE6" w14:textId="77777777" w:rsidR="008B7E19" w:rsidRPr="00B26535"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b/>
                <w:bCs/>
                <w:color w:val="000000"/>
                <w:sz w:val="14"/>
                <w:szCs w:val="14"/>
              </w:rPr>
            </w:pPr>
            <w:r w:rsidRPr="00B26535">
              <w:rPr>
                <w:rFonts w:cs="Arial"/>
                <w:b/>
                <w:bCs/>
                <w:color w:val="000000"/>
                <w:sz w:val="14"/>
                <w:szCs w:val="14"/>
              </w:rPr>
              <w:t>1</w:t>
            </w:r>
            <w:r>
              <w:rPr>
                <w:rFonts w:cs="Arial"/>
                <w:b/>
                <w:bCs/>
                <w:color w:val="000000"/>
                <w:sz w:val="14"/>
                <w:szCs w:val="14"/>
              </w:rPr>
              <w:t>,</w:t>
            </w:r>
            <w:r w:rsidRPr="00B26535">
              <w:rPr>
                <w:rFonts w:cs="Arial"/>
                <w:b/>
                <w:bCs/>
                <w:color w:val="000000"/>
                <w:sz w:val="14"/>
                <w:szCs w:val="14"/>
              </w:rPr>
              <w:t>005</w:t>
            </w:r>
            <w:r>
              <w:rPr>
                <w:rFonts w:cs="Arial"/>
                <w:b/>
                <w:bCs/>
                <w:color w:val="000000"/>
                <w:sz w:val="14"/>
                <w:szCs w:val="14"/>
              </w:rPr>
              <w:t>,</w:t>
            </w:r>
            <w:r w:rsidRPr="00B26535">
              <w:rPr>
                <w:rFonts w:cs="Arial"/>
                <w:b/>
                <w:bCs/>
                <w:color w:val="000000"/>
                <w:sz w:val="14"/>
                <w:szCs w:val="14"/>
              </w:rPr>
              <w:t>204</w:t>
            </w:r>
          </w:p>
        </w:tc>
      </w:tr>
      <w:tr w:rsidR="008B7E19" w:rsidRPr="00B26535" w14:paraId="0607CB78" w14:textId="77777777" w:rsidTr="008B7E1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shd w:val="clear" w:color="auto" w:fill="auto"/>
            <w:vAlign w:val="center"/>
          </w:tcPr>
          <w:p w14:paraId="28917693" w14:textId="77777777" w:rsidR="008B7E19" w:rsidRPr="00B26535" w:rsidRDefault="008B7E19" w:rsidP="008B7E19">
            <w:pPr>
              <w:keepNext/>
              <w:keepLines/>
              <w:spacing w:before="40" w:after="40"/>
              <w:rPr>
                <w:rFonts w:cs="Arial"/>
                <w:sz w:val="14"/>
                <w:szCs w:val="14"/>
              </w:rPr>
            </w:pPr>
            <w:r>
              <w:rPr>
                <w:rFonts w:cs="Arial"/>
                <w:sz w:val="14"/>
                <w:szCs w:val="14"/>
              </w:rPr>
              <w:t>Financial result</w:t>
            </w:r>
          </w:p>
        </w:tc>
        <w:tc>
          <w:tcPr>
            <w:tcW w:w="1709" w:type="dxa"/>
            <w:tcBorders>
              <w:top w:val="nil"/>
              <w:left w:val="nil"/>
              <w:bottom w:val="nil"/>
              <w:right w:val="nil"/>
            </w:tcBorders>
            <w:shd w:val="clear" w:color="auto" w:fill="auto"/>
            <w:vAlign w:val="center"/>
          </w:tcPr>
          <w:p w14:paraId="6F7EB114" w14:textId="77777777" w:rsidR="008B7E19" w:rsidRPr="00B26535"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b/>
                <w:bCs/>
                <w:sz w:val="14"/>
                <w:szCs w:val="14"/>
              </w:rPr>
            </w:pPr>
            <w:r w:rsidRPr="00B26535">
              <w:rPr>
                <w:rFonts w:cs="Arial"/>
                <w:b/>
                <w:bCs/>
                <w:sz w:val="14"/>
                <w:szCs w:val="14"/>
              </w:rPr>
              <w:t>337</w:t>
            </w:r>
          </w:p>
        </w:tc>
        <w:tc>
          <w:tcPr>
            <w:tcW w:w="1709" w:type="dxa"/>
            <w:tcBorders>
              <w:top w:val="nil"/>
              <w:left w:val="nil"/>
              <w:bottom w:val="nil"/>
              <w:right w:val="nil"/>
            </w:tcBorders>
            <w:shd w:val="clear" w:color="auto" w:fill="auto"/>
            <w:vAlign w:val="center"/>
          </w:tcPr>
          <w:p w14:paraId="6A5C37A3" w14:textId="77777777" w:rsidR="008B7E19" w:rsidRPr="00B26535"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b/>
                <w:bCs/>
                <w:sz w:val="14"/>
                <w:szCs w:val="14"/>
              </w:rPr>
            </w:pPr>
            <w:r w:rsidRPr="00B26535">
              <w:rPr>
                <w:rFonts w:cs="Arial"/>
                <w:b/>
                <w:bCs/>
                <w:sz w:val="14"/>
                <w:szCs w:val="14"/>
              </w:rPr>
              <w:t>678</w:t>
            </w:r>
          </w:p>
        </w:tc>
        <w:tc>
          <w:tcPr>
            <w:tcW w:w="1709" w:type="dxa"/>
            <w:tcBorders>
              <w:top w:val="nil"/>
              <w:left w:val="nil"/>
              <w:bottom w:val="nil"/>
              <w:right w:val="nil"/>
            </w:tcBorders>
            <w:shd w:val="clear" w:color="auto" w:fill="auto"/>
            <w:vAlign w:val="center"/>
          </w:tcPr>
          <w:p w14:paraId="6ECF4D4A" w14:textId="77777777" w:rsidR="008B7E19" w:rsidRPr="00B26535"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b/>
                <w:bCs/>
                <w:sz w:val="14"/>
                <w:szCs w:val="14"/>
              </w:rPr>
            </w:pPr>
            <w:r w:rsidRPr="00B26535">
              <w:rPr>
                <w:rFonts w:cs="Arial"/>
                <w:b/>
                <w:bCs/>
                <w:sz w:val="14"/>
                <w:szCs w:val="14"/>
              </w:rPr>
              <w:t>193</w:t>
            </w:r>
          </w:p>
        </w:tc>
        <w:tc>
          <w:tcPr>
            <w:tcW w:w="1709" w:type="dxa"/>
            <w:tcBorders>
              <w:top w:val="nil"/>
              <w:left w:val="nil"/>
              <w:bottom w:val="nil"/>
              <w:right w:val="nil"/>
            </w:tcBorders>
            <w:shd w:val="clear" w:color="auto" w:fill="auto"/>
            <w:vAlign w:val="center"/>
          </w:tcPr>
          <w:p w14:paraId="21D5115C" w14:textId="77777777" w:rsidR="008B7E19" w:rsidRPr="00B26535"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b/>
                <w:bCs/>
                <w:color w:val="000000"/>
                <w:sz w:val="14"/>
                <w:szCs w:val="14"/>
              </w:rPr>
            </w:pPr>
            <w:r w:rsidRPr="00B26535">
              <w:rPr>
                <w:rFonts w:cs="Arial"/>
                <w:b/>
                <w:bCs/>
                <w:sz w:val="14"/>
                <w:szCs w:val="14"/>
              </w:rPr>
              <w:t>293</w:t>
            </w:r>
          </w:p>
        </w:tc>
      </w:tr>
      <w:tr w:rsidR="008B7E19" w:rsidRPr="00B83804" w14:paraId="5EFE7EFF"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shd w:val="clear" w:color="auto" w:fill="auto"/>
            <w:vAlign w:val="center"/>
          </w:tcPr>
          <w:p w14:paraId="74157449" w14:textId="77777777" w:rsidR="008B7E19" w:rsidRPr="00B83804" w:rsidRDefault="008B7E19" w:rsidP="008B7E19">
            <w:pPr>
              <w:keepNext/>
              <w:keepLines/>
              <w:ind w:left="113"/>
              <w:rPr>
                <w:rFonts w:cs="Arial"/>
                <w:b w:val="0"/>
                <w:bCs w:val="0"/>
                <w:sz w:val="14"/>
                <w:szCs w:val="14"/>
              </w:rPr>
            </w:pPr>
            <w:r>
              <w:rPr>
                <w:rFonts w:cs="Arial"/>
                <w:b w:val="0"/>
                <w:bCs w:val="0"/>
                <w:sz w:val="14"/>
                <w:szCs w:val="14"/>
              </w:rPr>
              <w:t>Financial income</w:t>
            </w:r>
          </w:p>
        </w:tc>
        <w:tc>
          <w:tcPr>
            <w:tcW w:w="1709" w:type="dxa"/>
            <w:tcBorders>
              <w:top w:val="nil"/>
              <w:left w:val="nil"/>
              <w:bottom w:val="nil"/>
              <w:right w:val="nil"/>
            </w:tcBorders>
            <w:shd w:val="clear" w:color="auto" w:fill="auto"/>
            <w:vAlign w:val="center"/>
          </w:tcPr>
          <w:p w14:paraId="761B0F79" w14:textId="77777777" w:rsidR="008B7E19" w:rsidRPr="00B26535" w:rsidRDefault="008B7E19" w:rsidP="008B7E19">
            <w:pPr>
              <w:keepNext/>
              <w:keepLines/>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B26535">
              <w:rPr>
                <w:rFonts w:cs="Arial"/>
                <w:sz w:val="14"/>
                <w:szCs w:val="14"/>
              </w:rPr>
              <w:t>337</w:t>
            </w:r>
          </w:p>
        </w:tc>
        <w:tc>
          <w:tcPr>
            <w:tcW w:w="1709" w:type="dxa"/>
            <w:tcBorders>
              <w:top w:val="nil"/>
              <w:left w:val="nil"/>
              <w:bottom w:val="nil"/>
              <w:right w:val="nil"/>
            </w:tcBorders>
            <w:shd w:val="clear" w:color="auto" w:fill="auto"/>
            <w:vAlign w:val="center"/>
          </w:tcPr>
          <w:p w14:paraId="072D9803" w14:textId="77777777" w:rsidR="008B7E19" w:rsidRPr="00B26535" w:rsidRDefault="008B7E19" w:rsidP="008B7E19">
            <w:pPr>
              <w:keepNext/>
              <w:keepLines/>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B26535">
              <w:rPr>
                <w:rFonts w:cs="Arial"/>
                <w:sz w:val="14"/>
                <w:szCs w:val="14"/>
              </w:rPr>
              <w:t>678</w:t>
            </w:r>
          </w:p>
        </w:tc>
        <w:tc>
          <w:tcPr>
            <w:tcW w:w="1709" w:type="dxa"/>
            <w:tcBorders>
              <w:top w:val="nil"/>
              <w:left w:val="nil"/>
              <w:bottom w:val="nil"/>
              <w:right w:val="nil"/>
            </w:tcBorders>
            <w:shd w:val="clear" w:color="auto" w:fill="auto"/>
            <w:vAlign w:val="center"/>
          </w:tcPr>
          <w:p w14:paraId="7B2D52B9" w14:textId="77777777" w:rsidR="008B7E19" w:rsidRPr="00B26535" w:rsidRDefault="008B7E19" w:rsidP="008B7E19">
            <w:pPr>
              <w:keepNext/>
              <w:keepLines/>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B26535">
              <w:rPr>
                <w:rFonts w:cs="Arial"/>
                <w:sz w:val="14"/>
                <w:szCs w:val="14"/>
              </w:rPr>
              <w:t>206</w:t>
            </w:r>
          </w:p>
        </w:tc>
        <w:tc>
          <w:tcPr>
            <w:tcW w:w="1709" w:type="dxa"/>
            <w:tcBorders>
              <w:top w:val="nil"/>
              <w:left w:val="nil"/>
              <w:bottom w:val="nil"/>
              <w:right w:val="nil"/>
            </w:tcBorders>
            <w:shd w:val="clear" w:color="auto" w:fill="auto"/>
            <w:vAlign w:val="center"/>
          </w:tcPr>
          <w:p w14:paraId="14CB86C9" w14:textId="77777777" w:rsidR="008B7E19" w:rsidRPr="00B26535"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B26535">
              <w:rPr>
                <w:rFonts w:cs="Arial"/>
                <w:sz w:val="14"/>
                <w:szCs w:val="14"/>
              </w:rPr>
              <w:t>306</w:t>
            </w:r>
          </w:p>
        </w:tc>
      </w:tr>
      <w:tr w:rsidR="008B7E19" w:rsidRPr="00B26535" w14:paraId="1370C190" w14:textId="77777777" w:rsidTr="008B7E1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shd w:val="clear" w:color="auto" w:fill="auto"/>
            <w:vAlign w:val="center"/>
          </w:tcPr>
          <w:p w14:paraId="645ADC65" w14:textId="77777777" w:rsidR="008B7E19" w:rsidRPr="00B26535" w:rsidRDefault="008B7E19" w:rsidP="008B7E19">
            <w:pPr>
              <w:keepNext/>
              <w:keepLines/>
              <w:ind w:left="113"/>
              <w:rPr>
                <w:rFonts w:cs="Arial"/>
                <w:b w:val="0"/>
                <w:bCs w:val="0"/>
                <w:sz w:val="14"/>
                <w:szCs w:val="14"/>
              </w:rPr>
            </w:pPr>
            <w:r>
              <w:rPr>
                <w:rFonts w:cs="Arial"/>
                <w:b w:val="0"/>
                <w:bCs w:val="0"/>
                <w:sz w:val="14"/>
                <w:szCs w:val="14"/>
              </w:rPr>
              <w:t>Financial expenses</w:t>
            </w:r>
          </w:p>
        </w:tc>
        <w:tc>
          <w:tcPr>
            <w:tcW w:w="1709" w:type="dxa"/>
            <w:tcBorders>
              <w:top w:val="nil"/>
              <w:left w:val="nil"/>
              <w:bottom w:val="nil"/>
              <w:right w:val="nil"/>
            </w:tcBorders>
            <w:shd w:val="clear" w:color="auto" w:fill="auto"/>
            <w:vAlign w:val="center"/>
          </w:tcPr>
          <w:p w14:paraId="0CC5EDC7" w14:textId="77777777" w:rsidR="008B7E19" w:rsidRPr="00B26535" w:rsidRDefault="008B7E19" w:rsidP="008B7E19">
            <w:pPr>
              <w:keepNext/>
              <w:keepLines/>
              <w:jc w:val="right"/>
              <w:cnfStyle w:val="000000010000" w:firstRow="0" w:lastRow="0" w:firstColumn="0" w:lastColumn="0" w:oddVBand="0" w:evenVBand="0" w:oddHBand="0" w:evenHBand="1" w:firstRowFirstColumn="0" w:firstRowLastColumn="0" w:lastRowFirstColumn="0" w:lastRowLastColumn="0"/>
              <w:rPr>
                <w:rFonts w:cs="Arial"/>
                <w:sz w:val="14"/>
                <w:szCs w:val="14"/>
              </w:rPr>
            </w:pPr>
            <w:r>
              <w:rPr>
                <w:rFonts w:cs="Arial"/>
                <w:sz w:val="14"/>
                <w:szCs w:val="14"/>
              </w:rPr>
              <w:t>--</w:t>
            </w:r>
          </w:p>
        </w:tc>
        <w:tc>
          <w:tcPr>
            <w:tcW w:w="1709" w:type="dxa"/>
            <w:tcBorders>
              <w:top w:val="nil"/>
              <w:left w:val="nil"/>
              <w:bottom w:val="nil"/>
              <w:right w:val="nil"/>
            </w:tcBorders>
            <w:shd w:val="clear" w:color="auto" w:fill="auto"/>
            <w:vAlign w:val="center"/>
          </w:tcPr>
          <w:p w14:paraId="203FB207" w14:textId="77777777" w:rsidR="008B7E19" w:rsidRPr="00B26535" w:rsidRDefault="008B7E19" w:rsidP="008B7E19">
            <w:pPr>
              <w:keepNext/>
              <w:keepLines/>
              <w:jc w:val="right"/>
              <w:cnfStyle w:val="000000010000" w:firstRow="0" w:lastRow="0" w:firstColumn="0" w:lastColumn="0" w:oddVBand="0" w:evenVBand="0" w:oddHBand="0" w:evenHBand="1" w:firstRowFirstColumn="0" w:firstRowLastColumn="0" w:lastRowFirstColumn="0" w:lastRowLastColumn="0"/>
              <w:rPr>
                <w:rFonts w:cs="Arial"/>
                <w:color w:val="000000"/>
                <w:sz w:val="14"/>
                <w:szCs w:val="14"/>
              </w:rPr>
            </w:pPr>
            <w:r>
              <w:rPr>
                <w:rFonts w:cs="Arial"/>
                <w:color w:val="000000"/>
                <w:sz w:val="14"/>
                <w:szCs w:val="14"/>
              </w:rPr>
              <w:t>--</w:t>
            </w:r>
          </w:p>
        </w:tc>
        <w:tc>
          <w:tcPr>
            <w:tcW w:w="1709" w:type="dxa"/>
            <w:tcBorders>
              <w:top w:val="nil"/>
              <w:left w:val="nil"/>
              <w:bottom w:val="nil"/>
              <w:right w:val="nil"/>
            </w:tcBorders>
            <w:shd w:val="clear" w:color="auto" w:fill="auto"/>
            <w:vAlign w:val="center"/>
          </w:tcPr>
          <w:p w14:paraId="469D7C00" w14:textId="77777777" w:rsidR="008B7E19" w:rsidRPr="00B26535" w:rsidRDefault="008B7E19" w:rsidP="008B7E19">
            <w:pPr>
              <w:keepNext/>
              <w:keepLines/>
              <w:jc w:val="right"/>
              <w:cnfStyle w:val="000000010000" w:firstRow="0" w:lastRow="0" w:firstColumn="0" w:lastColumn="0" w:oddVBand="0" w:evenVBand="0" w:oddHBand="0" w:evenHBand="1" w:firstRowFirstColumn="0" w:firstRowLastColumn="0" w:lastRowFirstColumn="0" w:lastRowLastColumn="0"/>
              <w:rPr>
                <w:rFonts w:cs="Arial"/>
                <w:color w:val="000000"/>
                <w:sz w:val="14"/>
                <w:szCs w:val="14"/>
              </w:rPr>
            </w:pPr>
            <w:r w:rsidRPr="00B26535">
              <w:rPr>
                <w:rFonts w:cs="Arial"/>
                <w:sz w:val="14"/>
                <w:szCs w:val="14"/>
              </w:rPr>
              <w:t>(13)</w:t>
            </w:r>
          </w:p>
        </w:tc>
        <w:tc>
          <w:tcPr>
            <w:tcW w:w="1709" w:type="dxa"/>
            <w:tcBorders>
              <w:top w:val="nil"/>
              <w:left w:val="nil"/>
              <w:bottom w:val="nil"/>
              <w:right w:val="nil"/>
            </w:tcBorders>
            <w:shd w:val="clear" w:color="auto" w:fill="auto"/>
            <w:vAlign w:val="center"/>
          </w:tcPr>
          <w:p w14:paraId="22AAF474" w14:textId="77777777" w:rsidR="008B7E19" w:rsidRPr="00B26535"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color w:val="000000"/>
                <w:sz w:val="14"/>
                <w:szCs w:val="14"/>
              </w:rPr>
            </w:pPr>
            <w:r w:rsidRPr="00B26535">
              <w:rPr>
                <w:rFonts w:cs="Arial"/>
                <w:sz w:val="14"/>
                <w:szCs w:val="14"/>
              </w:rPr>
              <w:t>(13)</w:t>
            </w:r>
          </w:p>
        </w:tc>
      </w:tr>
      <w:tr w:rsidR="008B7E19" w:rsidRPr="00B26535" w14:paraId="7653190B"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shd w:val="clear" w:color="auto" w:fill="auto"/>
            <w:vAlign w:val="center"/>
          </w:tcPr>
          <w:p w14:paraId="67BE665C" w14:textId="77777777" w:rsidR="008B7E19" w:rsidRPr="00B26535" w:rsidRDefault="008B7E19" w:rsidP="008B7E19">
            <w:pPr>
              <w:keepNext/>
              <w:keepLines/>
              <w:rPr>
                <w:rFonts w:cs="Arial"/>
                <w:color w:val="000000"/>
                <w:sz w:val="14"/>
                <w:szCs w:val="14"/>
              </w:rPr>
            </w:pPr>
            <w:r>
              <w:rPr>
                <w:rFonts w:cs="Arial"/>
                <w:sz w:val="14"/>
                <w:szCs w:val="14"/>
              </w:rPr>
              <w:t>Other income and expenses</w:t>
            </w:r>
          </w:p>
        </w:tc>
        <w:tc>
          <w:tcPr>
            <w:tcW w:w="1709" w:type="dxa"/>
            <w:tcBorders>
              <w:top w:val="nil"/>
              <w:left w:val="nil"/>
              <w:bottom w:val="nil"/>
              <w:right w:val="nil"/>
            </w:tcBorders>
            <w:shd w:val="clear" w:color="auto" w:fill="auto"/>
            <w:vAlign w:val="center"/>
          </w:tcPr>
          <w:p w14:paraId="0E69C858" w14:textId="77777777" w:rsidR="008B7E19" w:rsidRPr="00B26535" w:rsidRDefault="008B7E19" w:rsidP="008B7E19">
            <w:pPr>
              <w:keepNext/>
              <w:keepLines/>
              <w:jc w:val="right"/>
              <w:cnfStyle w:val="000000100000" w:firstRow="0" w:lastRow="0" w:firstColumn="0" w:lastColumn="0" w:oddVBand="0" w:evenVBand="0" w:oddHBand="1" w:evenHBand="0" w:firstRowFirstColumn="0" w:firstRowLastColumn="0" w:lastRowFirstColumn="0" w:lastRowLastColumn="0"/>
              <w:rPr>
                <w:rFonts w:cs="Arial"/>
                <w:b/>
                <w:bCs/>
                <w:color w:val="000000"/>
                <w:sz w:val="14"/>
                <w:szCs w:val="14"/>
              </w:rPr>
            </w:pPr>
            <w:r w:rsidRPr="00B26535">
              <w:rPr>
                <w:rFonts w:cs="Arial"/>
                <w:b/>
                <w:bCs/>
                <w:sz w:val="14"/>
                <w:szCs w:val="14"/>
              </w:rPr>
              <w:t>(28</w:t>
            </w:r>
            <w:r>
              <w:rPr>
                <w:rFonts w:cs="Arial"/>
                <w:b/>
                <w:bCs/>
                <w:sz w:val="14"/>
                <w:szCs w:val="14"/>
              </w:rPr>
              <w:t>4</w:t>
            </w:r>
            <w:r w:rsidRPr="00B26535">
              <w:rPr>
                <w:rFonts w:cs="Arial"/>
                <w:b/>
                <w:bCs/>
                <w:sz w:val="14"/>
                <w:szCs w:val="14"/>
              </w:rPr>
              <w:t>)</w:t>
            </w:r>
          </w:p>
        </w:tc>
        <w:tc>
          <w:tcPr>
            <w:tcW w:w="1709" w:type="dxa"/>
            <w:tcBorders>
              <w:top w:val="nil"/>
              <w:left w:val="nil"/>
              <w:bottom w:val="nil"/>
              <w:right w:val="nil"/>
            </w:tcBorders>
            <w:shd w:val="clear" w:color="auto" w:fill="auto"/>
            <w:vAlign w:val="center"/>
          </w:tcPr>
          <w:p w14:paraId="0B37812F" w14:textId="77777777" w:rsidR="008B7E19" w:rsidRPr="00B26535" w:rsidRDefault="008B7E19" w:rsidP="008B7E19">
            <w:pPr>
              <w:keepNext/>
              <w:keepLines/>
              <w:jc w:val="right"/>
              <w:cnfStyle w:val="000000100000" w:firstRow="0" w:lastRow="0" w:firstColumn="0" w:lastColumn="0" w:oddVBand="0" w:evenVBand="0" w:oddHBand="1" w:evenHBand="0" w:firstRowFirstColumn="0" w:firstRowLastColumn="0" w:lastRowFirstColumn="0" w:lastRowLastColumn="0"/>
              <w:rPr>
                <w:rFonts w:cs="Arial"/>
                <w:b/>
                <w:bCs/>
                <w:color w:val="000000"/>
                <w:sz w:val="14"/>
                <w:szCs w:val="14"/>
              </w:rPr>
            </w:pPr>
            <w:r w:rsidRPr="00B26535">
              <w:rPr>
                <w:rFonts w:cs="Arial"/>
                <w:b/>
                <w:bCs/>
                <w:sz w:val="14"/>
                <w:szCs w:val="14"/>
              </w:rPr>
              <w:t>(6</w:t>
            </w:r>
            <w:r>
              <w:rPr>
                <w:rFonts w:cs="Arial"/>
                <w:b/>
                <w:bCs/>
                <w:sz w:val="14"/>
                <w:szCs w:val="14"/>
              </w:rPr>
              <w:t>28</w:t>
            </w:r>
            <w:r w:rsidRPr="00B26535">
              <w:rPr>
                <w:rFonts w:cs="Arial"/>
                <w:b/>
                <w:bCs/>
                <w:sz w:val="14"/>
                <w:szCs w:val="14"/>
              </w:rPr>
              <w:t>)</w:t>
            </w:r>
          </w:p>
        </w:tc>
        <w:tc>
          <w:tcPr>
            <w:tcW w:w="1709" w:type="dxa"/>
            <w:tcBorders>
              <w:top w:val="nil"/>
              <w:left w:val="nil"/>
              <w:bottom w:val="nil"/>
              <w:right w:val="nil"/>
            </w:tcBorders>
            <w:shd w:val="clear" w:color="auto" w:fill="auto"/>
            <w:vAlign w:val="center"/>
          </w:tcPr>
          <w:p w14:paraId="6B6397CD" w14:textId="77777777" w:rsidR="008B7E19" w:rsidRPr="00B26535" w:rsidRDefault="008B7E19" w:rsidP="008B7E19">
            <w:pPr>
              <w:keepNext/>
              <w:keepLines/>
              <w:jc w:val="right"/>
              <w:cnfStyle w:val="000000100000" w:firstRow="0" w:lastRow="0" w:firstColumn="0" w:lastColumn="0" w:oddVBand="0" w:evenVBand="0" w:oddHBand="1" w:evenHBand="0" w:firstRowFirstColumn="0" w:firstRowLastColumn="0" w:lastRowFirstColumn="0" w:lastRowLastColumn="0"/>
              <w:rPr>
                <w:rFonts w:cs="Arial"/>
                <w:b/>
                <w:bCs/>
                <w:color w:val="000000"/>
                <w:sz w:val="14"/>
                <w:szCs w:val="14"/>
              </w:rPr>
            </w:pPr>
            <w:r w:rsidRPr="00B26535">
              <w:rPr>
                <w:rFonts w:cs="Arial"/>
                <w:b/>
                <w:bCs/>
                <w:sz w:val="14"/>
                <w:szCs w:val="14"/>
              </w:rPr>
              <w:t>(119)</w:t>
            </w:r>
          </w:p>
        </w:tc>
        <w:tc>
          <w:tcPr>
            <w:tcW w:w="1709" w:type="dxa"/>
            <w:tcBorders>
              <w:top w:val="nil"/>
              <w:left w:val="nil"/>
              <w:bottom w:val="nil"/>
              <w:right w:val="nil"/>
            </w:tcBorders>
            <w:shd w:val="clear" w:color="auto" w:fill="auto"/>
            <w:vAlign w:val="center"/>
          </w:tcPr>
          <w:p w14:paraId="66C3885C" w14:textId="77777777" w:rsidR="008B7E19" w:rsidRPr="00B26535"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b/>
                <w:bCs/>
                <w:color w:val="000000"/>
                <w:sz w:val="14"/>
                <w:szCs w:val="14"/>
              </w:rPr>
            </w:pPr>
            <w:r w:rsidRPr="00B26535">
              <w:rPr>
                <w:rFonts w:cs="Arial"/>
                <w:b/>
                <w:bCs/>
                <w:sz w:val="14"/>
                <w:szCs w:val="14"/>
              </w:rPr>
              <w:t>(425)</w:t>
            </w:r>
          </w:p>
        </w:tc>
      </w:tr>
      <w:tr w:rsidR="008B7E19" w:rsidRPr="00B26535" w14:paraId="785CAD25" w14:textId="77777777" w:rsidTr="008B7E1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shd w:val="clear" w:color="auto" w:fill="auto"/>
            <w:vAlign w:val="center"/>
          </w:tcPr>
          <w:p w14:paraId="6CF4C337" w14:textId="77777777" w:rsidR="008B7E19" w:rsidRPr="00B26535" w:rsidRDefault="008B7E19" w:rsidP="008B7E19">
            <w:pPr>
              <w:keepNext/>
              <w:keepLines/>
              <w:spacing w:before="40" w:after="40"/>
              <w:rPr>
                <w:rFonts w:cs="Arial"/>
                <w:sz w:val="14"/>
                <w:szCs w:val="14"/>
              </w:rPr>
            </w:pPr>
            <w:r>
              <w:rPr>
                <w:rFonts w:cs="Arial"/>
                <w:sz w:val="14"/>
                <w:szCs w:val="14"/>
              </w:rPr>
              <w:t>Income before taxes</w:t>
            </w:r>
          </w:p>
        </w:tc>
        <w:tc>
          <w:tcPr>
            <w:tcW w:w="1709" w:type="dxa"/>
            <w:tcBorders>
              <w:top w:val="nil"/>
              <w:left w:val="nil"/>
              <w:bottom w:val="nil"/>
              <w:right w:val="nil"/>
            </w:tcBorders>
            <w:shd w:val="clear" w:color="auto" w:fill="auto"/>
            <w:vAlign w:val="center"/>
          </w:tcPr>
          <w:p w14:paraId="04F1F784" w14:textId="77777777" w:rsidR="008B7E19" w:rsidRPr="00B26535"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b/>
                <w:bCs/>
                <w:sz w:val="14"/>
                <w:szCs w:val="14"/>
              </w:rPr>
            </w:pPr>
            <w:r w:rsidRPr="00B26535">
              <w:rPr>
                <w:rFonts w:cs="Arial"/>
                <w:b/>
                <w:bCs/>
                <w:sz w:val="14"/>
                <w:szCs w:val="14"/>
              </w:rPr>
              <w:t>958</w:t>
            </w:r>
            <w:r>
              <w:rPr>
                <w:rFonts w:cs="Arial"/>
                <w:b/>
                <w:bCs/>
                <w:sz w:val="14"/>
                <w:szCs w:val="14"/>
              </w:rPr>
              <w:t>,</w:t>
            </w:r>
            <w:r w:rsidRPr="00B26535">
              <w:rPr>
                <w:rFonts w:cs="Arial"/>
                <w:b/>
                <w:bCs/>
                <w:sz w:val="14"/>
                <w:szCs w:val="14"/>
              </w:rPr>
              <w:t>737</w:t>
            </w:r>
          </w:p>
        </w:tc>
        <w:tc>
          <w:tcPr>
            <w:tcW w:w="1709" w:type="dxa"/>
            <w:tcBorders>
              <w:top w:val="nil"/>
              <w:left w:val="nil"/>
              <w:bottom w:val="nil"/>
              <w:right w:val="nil"/>
            </w:tcBorders>
            <w:shd w:val="clear" w:color="auto" w:fill="auto"/>
            <w:vAlign w:val="center"/>
          </w:tcPr>
          <w:p w14:paraId="51B13109" w14:textId="77777777" w:rsidR="008B7E19" w:rsidRPr="00B26535"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b/>
                <w:bCs/>
                <w:sz w:val="14"/>
                <w:szCs w:val="14"/>
              </w:rPr>
            </w:pPr>
            <w:r w:rsidRPr="00B26535">
              <w:rPr>
                <w:rFonts w:cs="Arial"/>
                <w:b/>
                <w:bCs/>
                <w:sz w:val="14"/>
                <w:szCs w:val="14"/>
              </w:rPr>
              <w:t>1</w:t>
            </w:r>
            <w:r>
              <w:rPr>
                <w:rFonts w:cs="Arial"/>
                <w:b/>
                <w:bCs/>
                <w:sz w:val="14"/>
                <w:szCs w:val="14"/>
              </w:rPr>
              <w:t>,</w:t>
            </w:r>
            <w:r w:rsidRPr="00B26535">
              <w:rPr>
                <w:rFonts w:cs="Arial"/>
                <w:b/>
                <w:bCs/>
                <w:sz w:val="14"/>
                <w:szCs w:val="14"/>
              </w:rPr>
              <w:t>782</w:t>
            </w:r>
            <w:r>
              <w:rPr>
                <w:rFonts w:cs="Arial"/>
                <w:b/>
                <w:bCs/>
                <w:sz w:val="14"/>
                <w:szCs w:val="14"/>
              </w:rPr>
              <w:t>,</w:t>
            </w:r>
            <w:r w:rsidRPr="00B26535">
              <w:rPr>
                <w:rFonts w:cs="Arial"/>
                <w:b/>
                <w:bCs/>
                <w:sz w:val="14"/>
                <w:szCs w:val="14"/>
              </w:rPr>
              <w:t>941</w:t>
            </w:r>
          </w:p>
        </w:tc>
        <w:tc>
          <w:tcPr>
            <w:tcW w:w="1709" w:type="dxa"/>
            <w:tcBorders>
              <w:top w:val="nil"/>
              <w:left w:val="nil"/>
              <w:bottom w:val="nil"/>
              <w:right w:val="nil"/>
            </w:tcBorders>
            <w:shd w:val="clear" w:color="auto" w:fill="auto"/>
            <w:vAlign w:val="center"/>
          </w:tcPr>
          <w:p w14:paraId="15B2F4F2" w14:textId="77777777" w:rsidR="008B7E19" w:rsidRPr="00B26535"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b/>
                <w:bCs/>
                <w:sz w:val="14"/>
                <w:szCs w:val="14"/>
              </w:rPr>
            </w:pPr>
            <w:r w:rsidRPr="00B26535">
              <w:rPr>
                <w:rFonts w:cs="Arial"/>
                <w:b/>
                <w:bCs/>
                <w:sz w:val="14"/>
                <w:szCs w:val="14"/>
              </w:rPr>
              <w:t>677</w:t>
            </w:r>
            <w:r>
              <w:rPr>
                <w:rFonts w:cs="Arial"/>
                <w:b/>
                <w:bCs/>
                <w:sz w:val="14"/>
                <w:szCs w:val="14"/>
              </w:rPr>
              <w:t>,</w:t>
            </w:r>
            <w:r w:rsidRPr="00B26535">
              <w:rPr>
                <w:rFonts w:cs="Arial"/>
                <w:b/>
                <w:bCs/>
                <w:sz w:val="14"/>
                <w:szCs w:val="14"/>
              </w:rPr>
              <w:t>904</w:t>
            </w:r>
          </w:p>
        </w:tc>
        <w:tc>
          <w:tcPr>
            <w:tcW w:w="1709" w:type="dxa"/>
            <w:tcBorders>
              <w:top w:val="nil"/>
              <w:left w:val="nil"/>
              <w:bottom w:val="nil"/>
              <w:right w:val="nil"/>
            </w:tcBorders>
            <w:shd w:val="clear" w:color="auto" w:fill="auto"/>
            <w:vAlign w:val="center"/>
          </w:tcPr>
          <w:p w14:paraId="0D6BB71E" w14:textId="77777777" w:rsidR="008B7E19" w:rsidRPr="00B26535"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b/>
                <w:bCs/>
                <w:color w:val="000000"/>
                <w:sz w:val="14"/>
                <w:szCs w:val="14"/>
              </w:rPr>
            </w:pPr>
            <w:r w:rsidRPr="00B26535">
              <w:rPr>
                <w:rFonts w:cs="Arial"/>
                <w:b/>
                <w:bCs/>
                <w:sz w:val="14"/>
                <w:szCs w:val="14"/>
              </w:rPr>
              <w:t>1</w:t>
            </w:r>
            <w:r>
              <w:rPr>
                <w:rFonts w:cs="Arial"/>
                <w:b/>
                <w:bCs/>
                <w:sz w:val="14"/>
                <w:szCs w:val="14"/>
              </w:rPr>
              <w:t>,</w:t>
            </w:r>
            <w:r w:rsidRPr="00B26535">
              <w:rPr>
                <w:rFonts w:cs="Arial"/>
                <w:b/>
                <w:bCs/>
                <w:sz w:val="14"/>
                <w:szCs w:val="14"/>
              </w:rPr>
              <w:t>005</w:t>
            </w:r>
            <w:r>
              <w:rPr>
                <w:rFonts w:cs="Arial"/>
                <w:b/>
                <w:bCs/>
                <w:sz w:val="14"/>
                <w:szCs w:val="14"/>
              </w:rPr>
              <w:t>,</w:t>
            </w:r>
            <w:r w:rsidRPr="00B26535">
              <w:rPr>
                <w:rFonts w:cs="Arial"/>
                <w:b/>
                <w:bCs/>
                <w:sz w:val="14"/>
                <w:szCs w:val="14"/>
              </w:rPr>
              <w:t>072</w:t>
            </w:r>
          </w:p>
        </w:tc>
      </w:tr>
      <w:tr w:rsidR="008B7E19" w:rsidRPr="00B83804" w14:paraId="62036D65"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shd w:val="clear" w:color="auto" w:fill="auto"/>
            <w:vAlign w:val="center"/>
          </w:tcPr>
          <w:p w14:paraId="166B6DF0" w14:textId="77777777" w:rsidR="008B7E19" w:rsidRPr="00B83804" w:rsidRDefault="008B7E19" w:rsidP="008B7E19">
            <w:pPr>
              <w:keepNext/>
              <w:keepLines/>
              <w:spacing w:before="40" w:after="40"/>
              <w:ind w:left="113"/>
              <w:rPr>
                <w:rFonts w:cs="Arial"/>
                <w:b w:val="0"/>
                <w:bCs w:val="0"/>
                <w:color w:val="000000"/>
                <w:sz w:val="14"/>
                <w:szCs w:val="14"/>
              </w:rPr>
            </w:pPr>
            <w:r>
              <w:rPr>
                <w:rFonts w:cs="Arial"/>
                <w:b w:val="0"/>
                <w:bCs w:val="0"/>
                <w:sz w:val="14"/>
                <w:szCs w:val="14"/>
              </w:rPr>
              <w:t>Taxes</w:t>
            </w:r>
          </w:p>
        </w:tc>
        <w:tc>
          <w:tcPr>
            <w:tcW w:w="1709" w:type="dxa"/>
            <w:tcBorders>
              <w:top w:val="nil"/>
              <w:left w:val="nil"/>
              <w:bottom w:val="nil"/>
              <w:right w:val="nil"/>
            </w:tcBorders>
            <w:shd w:val="clear" w:color="auto" w:fill="auto"/>
            <w:vAlign w:val="center"/>
          </w:tcPr>
          <w:p w14:paraId="32654FA7" w14:textId="77777777" w:rsidR="008B7E19" w:rsidRPr="00B26535" w:rsidRDefault="008B7E19" w:rsidP="008B7E19">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B26535">
              <w:rPr>
                <w:rFonts w:cs="Arial"/>
                <w:color w:val="000000"/>
                <w:sz w:val="14"/>
                <w:szCs w:val="14"/>
              </w:rPr>
              <w:t>(13)</w:t>
            </w:r>
          </w:p>
        </w:tc>
        <w:tc>
          <w:tcPr>
            <w:tcW w:w="1709" w:type="dxa"/>
            <w:tcBorders>
              <w:top w:val="nil"/>
              <w:left w:val="nil"/>
              <w:bottom w:val="nil"/>
              <w:right w:val="nil"/>
            </w:tcBorders>
            <w:shd w:val="clear" w:color="auto" w:fill="auto"/>
            <w:vAlign w:val="center"/>
          </w:tcPr>
          <w:p w14:paraId="73AD8DBC" w14:textId="77777777" w:rsidR="008B7E19" w:rsidRPr="00B26535" w:rsidRDefault="008B7E19" w:rsidP="008B7E19">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B26535">
              <w:rPr>
                <w:rFonts w:cs="Arial"/>
                <w:color w:val="000000"/>
                <w:sz w:val="14"/>
                <w:szCs w:val="14"/>
              </w:rPr>
              <w:t>(11)</w:t>
            </w:r>
          </w:p>
        </w:tc>
        <w:tc>
          <w:tcPr>
            <w:tcW w:w="1709" w:type="dxa"/>
            <w:tcBorders>
              <w:top w:val="nil"/>
              <w:left w:val="nil"/>
              <w:bottom w:val="nil"/>
              <w:right w:val="nil"/>
            </w:tcBorders>
            <w:shd w:val="clear" w:color="auto" w:fill="auto"/>
            <w:vAlign w:val="center"/>
          </w:tcPr>
          <w:p w14:paraId="64235DDB" w14:textId="77777777" w:rsidR="008B7E19" w:rsidRPr="00B26535" w:rsidRDefault="008B7E19" w:rsidP="008B7E19">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B26535">
              <w:rPr>
                <w:rFonts w:cs="Arial"/>
                <w:color w:val="000000"/>
                <w:sz w:val="14"/>
                <w:szCs w:val="14"/>
              </w:rPr>
              <w:t>(73)</w:t>
            </w:r>
          </w:p>
        </w:tc>
        <w:tc>
          <w:tcPr>
            <w:tcW w:w="1709" w:type="dxa"/>
            <w:tcBorders>
              <w:top w:val="nil"/>
              <w:left w:val="nil"/>
              <w:bottom w:val="nil"/>
              <w:right w:val="nil"/>
            </w:tcBorders>
            <w:shd w:val="clear" w:color="auto" w:fill="auto"/>
            <w:vAlign w:val="center"/>
          </w:tcPr>
          <w:p w14:paraId="3BD47E70" w14:textId="77777777" w:rsidR="008B7E19" w:rsidRPr="00B26535"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B26535">
              <w:rPr>
                <w:rFonts w:cs="Arial"/>
                <w:color w:val="000000"/>
                <w:sz w:val="14"/>
                <w:szCs w:val="14"/>
              </w:rPr>
              <w:t>(24)</w:t>
            </w:r>
          </w:p>
        </w:tc>
      </w:tr>
      <w:tr w:rsidR="008B7E19" w:rsidRPr="00B26535" w14:paraId="13C4215D" w14:textId="77777777" w:rsidTr="008B7E1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shd w:val="clear" w:color="auto" w:fill="auto"/>
            <w:vAlign w:val="center"/>
          </w:tcPr>
          <w:p w14:paraId="3888AC4F" w14:textId="77777777" w:rsidR="008B7E19" w:rsidRPr="00B26535" w:rsidRDefault="008B7E19" w:rsidP="008B7E19">
            <w:pPr>
              <w:keepNext/>
              <w:keepLines/>
              <w:spacing w:before="40" w:after="40"/>
              <w:rPr>
                <w:rFonts w:cs="Arial"/>
                <w:color w:val="000000"/>
                <w:sz w:val="14"/>
                <w:szCs w:val="14"/>
              </w:rPr>
            </w:pPr>
            <w:r>
              <w:rPr>
                <w:rFonts w:cs="Arial"/>
                <w:sz w:val="14"/>
                <w:szCs w:val="14"/>
              </w:rPr>
              <w:t>N</w:t>
            </w:r>
            <w:r w:rsidRPr="00FF20D1">
              <w:rPr>
                <w:rFonts w:cs="Arial"/>
                <w:sz w:val="14"/>
                <w:szCs w:val="14"/>
              </w:rPr>
              <w:t>et income</w:t>
            </w:r>
          </w:p>
        </w:tc>
        <w:tc>
          <w:tcPr>
            <w:tcW w:w="1709" w:type="dxa"/>
            <w:tcBorders>
              <w:top w:val="nil"/>
              <w:left w:val="nil"/>
              <w:bottom w:val="nil"/>
              <w:right w:val="nil"/>
            </w:tcBorders>
            <w:shd w:val="clear" w:color="auto" w:fill="auto"/>
            <w:vAlign w:val="center"/>
          </w:tcPr>
          <w:p w14:paraId="6E472CC3" w14:textId="77777777" w:rsidR="008B7E19" w:rsidRPr="00B26535" w:rsidRDefault="008B7E19" w:rsidP="008B7E19">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cs="Arial"/>
                <w:b/>
                <w:bCs/>
                <w:color w:val="000000"/>
                <w:sz w:val="14"/>
                <w:szCs w:val="14"/>
              </w:rPr>
            </w:pPr>
            <w:r w:rsidRPr="00B26535">
              <w:rPr>
                <w:rFonts w:cs="Arial"/>
                <w:b/>
                <w:bCs/>
                <w:sz w:val="14"/>
                <w:szCs w:val="14"/>
              </w:rPr>
              <w:t>958</w:t>
            </w:r>
            <w:r>
              <w:rPr>
                <w:rFonts w:cs="Arial"/>
                <w:b/>
                <w:bCs/>
                <w:sz w:val="14"/>
                <w:szCs w:val="14"/>
              </w:rPr>
              <w:t>,</w:t>
            </w:r>
            <w:r w:rsidRPr="00B26535">
              <w:rPr>
                <w:rFonts w:cs="Arial"/>
                <w:b/>
                <w:bCs/>
                <w:sz w:val="14"/>
                <w:szCs w:val="14"/>
              </w:rPr>
              <w:t>72</w:t>
            </w:r>
            <w:r>
              <w:rPr>
                <w:rFonts w:cs="Arial"/>
                <w:b/>
                <w:bCs/>
                <w:sz w:val="14"/>
                <w:szCs w:val="14"/>
              </w:rPr>
              <w:t>4</w:t>
            </w:r>
          </w:p>
        </w:tc>
        <w:tc>
          <w:tcPr>
            <w:tcW w:w="1709" w:type="dxa"/>
            <w:tcBorders>
              <w:top w:val="nil"/>
              <w:left w:val="nil"/>
              <w:bottom w:val="nil"/>
              <w:right w:val="nil"/>
            </w:tcBorders>
            <w:shd w:val="clear" w:color="auto" w:fill="auto"/>
            <w:vAlign w:val="center"/>
          </w:tcPr>
          <w:p w14:paraId="3B8D1B6B" w14:textId="77777777" w:rsidR="008B7E19" w:rsidRPr="00B26535" w:rsidRDefault="008B7E19" w:rsidP="008B7E19">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cs="Arial"/>
                <w:b/>
                <w:bCs/>
                <w:color w:val="000000"/>
                <w:sz w:val="14"/>
                <w:szCs w:val="14"/>
              </w:rPr>
            </w:pPr>
            <w:r w:rsidRPr="00B26535">
              <w:rPr>
                <w:rFonts w:cs="Arial"/>
                <w:b/>
                <w:bCs/>
                <w:sz w:val="14"/>
                <w:szCs w:val="14"/>
              </w:rPr>
              <w:t>1</w:t>
            </w:r>
            <w:r>
              <w:rPr>
                <w:rFonts w:cs="Arial"/>
                <w:b/>
                <w:bCs/>
                <w:sz w:val="14"/>
                <w:szCs w:val="14"/>
              </w:rPr>
              <w:t>,</w:t>
            </w:r>
            <w:r w:rsidRPr="00B26535">
              <w:rPr>
                <w:rFonts w:cs="Arial"/>
                <w:b/>
                <w:bCs/>
                <w:sz w:val="14"/>
                <w:szCs w:val="14"/>
              </w:rPr>
              <w:t>782</w:t>
            </w:r>
            <w:r>
              <w:rPr>
                <w:rFonts w:cs="Arial"/>
                <w:b/>
                <w:bCs/>
                <w:sz w:val="14"/>
                <w:szCs w:val="14"/>
              </w:rPr>
              <w:t>,</w:t>
            </w:r>
            <w:r w:rsidRPr="00B26535">
              <w:rPr>
                <w:rFonts w:cs="Arial"/>
                <w:b/>
                <w:bCs/>
                <w:sz w:val="14"/>
                <w:szCs w:val="14"/>
              </w:rPr>
              <w:t>9</w:t>
            </w:r>
            <w:r>
              <w:rPr>
                <w:rFonts w:cs="Arial"/>
                <w:b/>
                <w:bCs/>
                <w:sz w:val="14"/>
                <w:szCs w:val="14"/>
              </w:rPr>
              <w:t>30</w:t>
            </w:r>
          </w:p>
        </w:tc>
        <w:tc>
          <w:tcPr>
            <w:tcW w:w="1709" w:type="dxa"/>
            <w:tcBorders>
              <w:top w:val="nil"/>
              <w:left w:val="nil"/>
              <w:bottom w:val="nil"/>
              <w:right w:val="nil"/>
            </w:tcBorders>
            <w:shd w:val="clear" w:color="auto" w:fill="auto"/>
            <w:vAlign w:val="center"/>
          </w:tcPr>
          <w:p w14:paraId="2F61A4F9" w14:textId="77777777" w:rsidR="008B7E19" w:rsidRPr="00307607" w:rsidRDefault="008B7E19" w:rsidP="008B7E19">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cs="Arial"/>
                <w:b/>
                <w:bCs/>
                <w:color w:val="000000"/>
                <w:sz w:val="14"/>
                <w:szCs w:val="14"/>
              </w:rPr>
            </w:pPr>
            <w:r w:rsidRPr="00307607">
              <w:rPr>
                <w:rFonts w:cs="Arial"/>
                <w:b/>
                <w:bCs/>
                <w:sz w:val="14"/>
                <w:szCs w:val="14"/>
              </w:rPr>
              <w:t>677</w:t>
            </w:r>
            <w:r>
              <w:rPr>
                <w:rFonts w:cs="Arial"/>
                <w:b/>
                <w:bCs/>
                <w:sz w:val="14"/>
                <w:szCs w:val="14"/>
              </w:rPr>
              <w:t>,</w:t>
            </w:r>
            <w:r w:rsidRPr="00307607">
              <w:rPr>
                <w:rFonts w:cs="Arial"/>
                <w:b/>
                <w:bCs/>
                <w:sz w:val="14"/>
                <w:szCs w:val="14"/>
              </w:rPr>
              <w:t>831</w:t>
            </w:r>
          </w:p>
        </w:tc>
        <w:tc>
          <w:tcPr>
            <w:tcW w:w="1709" w:type="dxa"/>
            <w:tcBorders>
              <w:top w:val="nil"/>
              <w:left w:val="nil"/>
              <w:bottom w:val="nil"/>
              <w:right w:val="nil"/>
            </w:tcBorders>
            <w:shd w:val="clear" w:color="auto" w:fill="auto"/>
            <w:vAlign w:val="center"/>
          </w:tcPr>
          <w:p w14:paraId="5002BAC6" w14:textId="77777777" w:rsidR="008B7E19" w:rsidRPr="00B26535"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b/>
                <w:bCs/>
                <w:color w:val="000000"/>
                <w:sz w:val="14"/>
                <w:szCs w:val="14"/>
              </w:rPr>
            </w:pPr>
            <w:r w:rsidRPr="00B26535">
              <w:rPr>
                <w:rFonts w:cs="Arial"/>
                <w:b/>
                <w:bCs/>
                <w:sz w:val="14"/>
                <w:szCs w:val="14"/>
              </w:rPr>
              <w:t>1</w:t>
            </w:r>
            <w:r>
              <w:rPr>
                <w:rFonts w:cs="Arial"/>
                <w:b/>
                <w:bCs/>
                <w:sz w:val="14"/>
                <w:szCs w:val="14"/>
              </w:rPr>
              <w:t>,</w:t>
            </w:r>
            <w:r w:rsidRPr="00B26535">
              <w:rPr>
                <w:rFonts w:cs="Arial"/>
                <w:b/>
                <w:bCs/>
                <w:sz w:val="14"/>
                <w:szCs w:val="14"/>
              </w:rPr>
              <w:t>005</w:t>
            </w:r>
            <w:r>
              <w:rPr>
                <w:rFonts w:cs="Arial"/>
                <w:b/>
                <w:bCs/>
                <w:sz w:val="14"/>
                <w:szCs w:val="14"/>
              </w:rPr>
              <w:t>,</w:t>
            </w:r>
            <w:r w:rsidRPr="00B26535">
              <w:rPr>
                <w:rFonts w:cs="Arial"/>
                <w:b/>
                <w:bCs/>
                <w:sz w:val="14"/>
                <w:szCs w:val="14"/>
              </w:rPr>
              <w:t>048</w:t>
            </w:r>
          </w:p>
        </w:tc>
      </w:tr>
      <w:tr w:rsidR="008B7E19" w:rsidRPr="00B83804" w14:paraId="4D027E41"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shd w:val="clear" w:color="auto" w:fill="auto"/>
            <w:vAlign w:val="center"/>
          </w:tcPr>
          <w:p w14:paraId="6640A1AF" w14:textId="77777777" w:rsidR="008B7E19" w:rsidRPr="00B83804" w:rsidRDefault="008B7E19" w:rsidP="008B7E19">
            <w:pPr>
              <w:keepNext/>
              <w:keepLines/>
              <w:ind w:left="113"/>
              <w:rPr>
                <w:rFonts w:cs="Arial"/>
                <w:b w:val="0"/>
                <w:bCs w:val="0"/>
                <w:color w:val="000000"/>
                <w:sz w:val="14"/>
                <w:szCs w:val="14"/>
              </w:rPr>
            </w:pPr>
            <w:r>
              <w:rPr>
                <w:rFonts w:cs="Arial"/>
                <w:b w:val="0"/>
                <w:bCs w:val="0"/>
                <w:sz w:val="14"/>
                <w:szCs w:val="14"/>
              </w:rPr>
              <w:t>Other comprehensive results</w:t>
            </w:r>
          </w:p>
        </w:tc>
        <w:tc>
          <w:tcPr>
            <w:tcW w:w="1709" w:type="dxa"/>
            <w:tcBorders>
              <w:top w:val="nil"/>
              <w:left w:val="nil"/>
              <w:bottom w:val="nil"/>
              <w:right w:val="nil"/>
            </w:tcBorders>
            <w:shd w:val="clear" w:color="auto" w:fill="auto"/>
            <w:vAlign w:val="center"/>
          </w:tcPr>
          <w:p w14:paraId="5887998E" w14:textId="77777777" w:rsidR="008B7E19" w:rsidRPr="001C661F" w:rsidRDefault="008B7E19" w:rsidP="008B7E19">
            <w:pPr>
              <w:keepNext/>
              <w:keepLines/>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1C661F">
              <w:rPr>
                <w:rFonts w:cs="Arial"/>
                <w:sz w:val="14"/>
                <w:szCs w:val="14"/>
              </w:rPr>
              <w:t>56</w:t>
            </w:r>
            <w:r>
              <w:rPr>
                <w:rFonts w:cs="Arial"/>
                <w:sz w:val="14"/>
                <w:szCs w:val="14"/>
              </w:rPr>
              <w:t>,</w:t>
            </w:r>
            <w:r w:rsidRPr="001C661F">
              <w:rPr>
                <w:rFonts w:cs="Arial"/>
                <w:sz w:val="14"/>
                <w:szCs w:val="14"/>
              </w:rPr>
              <w:t>698</w:t>
            </w:r>
          </w:p>
        </w:tc>
        <w:tc>
          <w:tcPr>
            <w:tcW w:w="1709" w:type="dxa"/>
            <w:tcBorders>
              <w:top w:val="nil"/>
              <w:left w:val="nil"/>
              <w:bottom w:val="nil"/>
              <w:right w:val="nil"/>
            </w:tcBorders>
            <w:shd w:val="clear" w:color="auto" w:fill="auto"/>
            <w:vAlign w:val="center"/>
          </w:tcPr>
          <w:p w14:paraId="651AB466" w14:textId="77777777" w:rsidR="008B7E19" w:rsidRPr="001C661F" w:rsidRDefault="008B7E19" w:rsidP="008B7E19">
            <w:pPr>
              <w:keepNext/>
              <w:keepLines/>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1C661F">
              <w:rPr>
                <w:rFonts w:cs="Arial"/>
                <w:sz w:val="14"/>
                <w:szCs w:val="14"/>
              </w:rPr>
              <w:t>69</w:t>
            </w:r>
            <w:r>
              <w:rPr>
                <w:rFonts w:cs="Arial"/>
                <w:sz w:val="14"/>
                <w:szCs w:val="14"/>
              </w:rPr>
              <w:t>,</w:t>
            </w:r>
            <w:r w:rsidRPr="001C661F">
              <w:rPr>
                <w:rFonts w:cs="Arial"/>
                <w:sz w:val="14"/>
                <w:szCs w:val="14"/>
              </w:rPr>
              <w:t>761</w:t>
            </w:r>
          </w:p>
        </w:tc>
        <w:tc>
          <w:tcPr>
            <w:tcW w:w="1709" w:type="dxa"/>
            <w:tcBorders>
              <w:top w:val="nil"/>
              <w:left w:val="nil"/>
              <w:bottom w:val="nil"/>
              <w:right w:val="nil"/>
            </w:tcBorders>
            <w:shd w:val="clear" w:color="auto" w:fill="auto"/>
            <w:vAlign w:val="center"/>
          </w:tcPr>
          <w:p w14:paraId="4C87A8C3" w14:textId="77777777" w:rsidR="008B7E19" w:rsidRPr="00307607" w:rsidRDefault="008B7E19" w:rsidP="008B7E19">
            <w:pPr>
              <w:keepNext/>
              <w:keepLines/>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307607">
              <w:rPr>
                <w:rFonts w:cs="Arial"/>
                <w:sz w:val="14"/>
                <w:szCs w:val="14"/>
              </w:rPr>
              <w:t xml:space="preserve"> (27</w:t>
            </w:r>
            <w:r>
              <w:rPr>
                <w:rFonts w:cs="Arial"/>
                <w:sz w:val="14"/>
                <w:szCs w:val="14"/>
              </w:rPr>
              <w:t>,</w:t>
            </w:r>
            <w:r w:rsidRPr="00307607">
              <w:rPr>
                <w:rFonts w:cs="Arial"/>
                <w:sz w:val="14"/>
                <w:szCs w:val="14"/>
              </w:rPr>
              <w:t>335)</w:t>
            </w:r>
          </w:p>
        </w:tc>
        <w:tc>
          <w:tcPr>
            <w:tcW w:w="1709" w:type="dxa"/>
            <w:tcBorders>
              <w:top w:val="nil"/>
              <w:left w:val="nil"/>
              <w:bottom w:val="nil"/>
              <w:right w:val="nil"/>
            </w:tcBorders>
            <w:shd w:val="clear" w:color="auto" w:fill="auto"/>
            <w:vAlign w:val="center"/>
          </w:tcPr>
          <w:p w14:paraId="0B621669" w14:textId="77777777" w:rsidR="008B7E19" w:rsidRPr="00307607"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307607">
              <w:rPr>
                <w:rFonts w:cs="Arial"/>
                <w:color w:val="000000"/>
                <w:sz w:val="14"/>
                <w:szCs w:val="14"/>
              </w:rPr>
              <w:t xml:space="preserve">                        (42</w:t>
            </w:r>
            <w:r>
              <w:rPr>
                <w:rFonts w:cs="Arial"/>
                <w:color w:val="000000"/>
                <w:sz w:val="14"/>
                <w:szCs w:val="14"/>
              </w:rPr>
              <w:t>,</w:t>
            </w:r>
            <w:r w:rsidRPr="00307607">
              <w:rPr>
                <w:rFonts w:cs="Arial"/>
                <w:color w:val="000000"/>
                <w:sz w:val="14"/>
                <w:szCs w:val="14"/>
              </w:rPr>
              <w:t>983)</w:t>
            </w:r>
          </w:p>
        </w:tc>
      </w:tr>
      <w:tr w:rsidR="008B7E19" w:rsidRPr="001C661F" w14:paraId="1106DF45" w14:textId="77777777" w:rsidTr="008B7E1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shd w:val="clear" w:color="auto" w:fill="auto"/>
            <w:vAlign w:val="center"/>
          </w:tcPr>
          <w:p w14:paraId="73B261B8" w14:textId="77777777" w:rsidR="008B7E19" w:rsidRPr="001C661F" w:rsidRDefault="008B7E19" w:rsidP="008B7E19">
            <w:pPr>
              <w:keepNext/>
              <w:keepLines/>
              <w:rPr>
                <w:rFonts w:cs="Arial"/>
                <w:color w:val="000000"/>
                <w:sz w:val="14"/>
                <w:szCs w:val="14"/>
              </w:rPr>
            </w:pPr>
            <w:r>
              <w:rPr>
                <w:rFonts w:cs="Arial"/>
                <w:sz w:val="14"/>
                <w:szCs w:val="14"/>
              </w:rPr>
              <w:t>C</w:t>
            </w:r>
            <w:r w:rsidRPr="00FF20D1">
              <w:rPr>
                <w:rFonts w:cs="Arial"/>
                <w:sz w:val="14"/>
                <w:szCs w:val="14"/>
              </w:rPr>
              <w:t>omprehensive income</w:t>
            </w:r>
          </w:p>
        </w:tc>
        <w:tc>
          <w:tcPr>
            <w:tcW w:w="1709" w:type="dxa"/>
            <w:tcBorders>
              <w:top w:val="nil"/>
              <w:left w:val="nil"/>
              <w:bottom w:val="nil"/>
              <w:right w:val="nil"/>
            </w:tcBorders>
            <w:shd w:val="clear" w:color="auto" w:fill="auto"/>
            <w:vAlign w:val="center"/>
          </w:tcPr>
          <w:p w14:paraId="1D5BD571" w14:textId="77777777" w:rsidR="008B7E19" w:rsidRPr="001C661F" w:rsidRDefault="008B7E19" w:rsidP="008B7E19">
            <w:pPr>
              <w:keepNext/>
              <w:keepLines/>
              <w:jc w:val="right"/>
              <w:cnfStyle w:val="000000010000" w:firstRow="0" w:lastRow="0" w:firstColumn="0" w:lastColumn="0" w:oddVBand="0" w:evenVBand="0" w:oddHBand="0" w:evenHBand="1" w:firstRowFirstColumn="0" w:firstRowLastColumn="0" w:lastRowFirstColumn="0" w:lastRowLastColumn="0"/>
              <w:rPr>
                <w:rFonts w:cs="Arial"/>
                <w:b/>
                <w:bCs/>
                <w:color w:val="000000"/>
                <w:sz w:val="14"/>
                <w:szCs w:val="14"/>
              </w:rPr>
            </w:pPr>
            <w:r w:rsidRPr="001C661F">
              <w:rPr>
                <w:rFonts w:cs="Arial"/>
                <w:b/>
                <w:bCs/>
                <w:sz w:val="14"/>
                <w:szCs w:val="14"/>
              </w:rPr>
              <w:t>1</w:t>
            </w:r>
            <w:r>
              <w:rPr>
                <w:rFonts w:cs="Arial"/>
                <w:b/>
                <w:bCs/>
                <w:sz w:val="14"/>
                <w:szCs w:val="14"/>
              </w:rPr>
              <w:t>,</w:t>
            </w:r>
            <w:r w:rsidRPr="001C661F">
              <w:rPr>
                <w:rFonts w:cs="Arial"/>
                <w:b/>
                <w:bCs/>
                <w:sz w:val="14"/>
                <w:szCs w:val="14"/>
              </w:rPr>
              <w:t>015</w:t>
            </w:r>
            <w:r>
              <w:rPr>
                <w:rFonts w:cs="Arial"/>
                <w:b/>
                <w:bCs/>
                <w:sz w:val="14"/>
                <w:szCs w:val="14"/>
              </w:rPr>
              <w:t>,</w:t>
            </w:r>
            <w:r w:rsidRPr="001C661F">
              <w:rPr>
                <w:rFonts w:cs="Arial"/>
                <w:b/>
                <w:bCs/>
                <w:sz w:val="14"/>
                <w:szCs w:val="14"/>
              </w:rPr>
              <w:t>422</w:t>
            </w:r>
          </w:p>
        </w:tc>
        <w:tc>
          <w:tcPr>
            <w:tcW w:w="1709" w:type="dxa"/>
            <w:tcBorders>
              <w:top w:val="nil"/>
              <w:left w:val="nil"/>
              <w:bottom w:val="nil"/>
              <w:right w:val="nil"/>
            </w:tcBorders>
            <w:shd w:val="clear" w:color="auto" w:fill="auto"/>
            <w:vAlign w:val="center"/>
          </w:tcPr>
          <w:p w14:paraId="671824CB" w14:textId="77777777" w:rsidR="008B7E19" w:rsidRPr="001C661F" w:rsidRDefault="008B7E19" w:rsidP="008B7E19">
            <w:pPr>
              <w:keepNext/>
              <w:keepLines/>
              <w:jc w:val="right"/>
              <w:cnfStyle w:val="000000010000" w:firstRow="0" w:lastRow="0" w:firstColumn="0" w:lastColumn="0" w:oddVBand="0" w:evenVBand="0" w:oddHBand="0" w:evenHBand="1" w:firstRowFirstColumn="0" w:firstRowLastColumn="0" w:lastRowFirstColumn="0" w:lastRowLastColumn="0"/>
              <w:rPr>
                <w:rFonts w:cs="Arial"/>
                <w:b/>
                <w:bCs/>
                <w:color w:val="000000"/>
                <w:sz w:val="14"/>
                <w:szCs w:val="14"/>
              </w:rPr>
            </w:pPr>
            <w:r w:rsidRPr="001C661F">
              <w:rPr>
                <w:rFonts w:cs="Arial"/>
                <w:b/>
                <w:bCs/>
                <w:sz w:val="14"/>
                <w:szCs w:val="14"/>
              </w:rPr>
              <w:t>1</w:t>
            </w:r>
            <w:r>
              <w:rPr>
                <w:rFonts w:cs="Arial"/>
                <w:b/>
                <w:bCs/>
                <w:sz w:val="14"/>
                <w:szCs w:val="14"/>
              </w:rPr>
              <w:t>,</w:t>
            </w:r>
            <w:r w:rsidRPr="001C661F">
              <w:rPr>
                <w:rFonts w:cs="Arial"/>
                <w:b/>
                <w:bCs/>
                <w:sz w:val="14"/>
                <w:szCs w:val="14"/>
              </w:rPr>
              <w:t>852</w:t>
            </w:r>
            <w:r>
              <w:rPr>
                <w:rFonts w:cs="Arial"/>
                <w:b/>
                <w:bCs/>
                <w:sz w:val="14"/>
                <w:szCs w:val="14"/>
              </w:rPr>
              <w:t>,</w:t>
            </w:r>
            <w:r w:rsidRPr="001C661F">
              <w:rPr>
                <w:rFonts w:cs="Arial"/>
                <w:b/>
                <w:bCs/>
                <w:sz w:val="14"/>
                <w:szCs w:val="14"/>
              </w:rPr>
              <w:t>691</w:t>
            </w:r>
          </w:p>
        </w:tc>
        <w:tc>
          <w:tcPr>
            <w:tcW w:w="1709" w:type="dxa"/>
            <w:tcBorders>
              <w:top w:val="nil"/>
              <w:left w:val="nil"/>
              <w:bottom w:val="nil"/>
              <w:right w:val="nil"/>
            </w:tcBorders>
            <w:shd w:val="clear" w:color="auto" w:fill="auto"/>
            <w:vAlign w:val="center"/>
          </w:tcPr>
          <w:p w14:paraId="24486A4C" w14:textId="77777777" w:rsidR="008B7E19" w:rsidRPr="001C661F" w:rsidRDefault="008B7E19" w:rsidP="008B7E19">
            <w:pPr>
              <w:keepNext/>
              <w:keepLines/>
              <w:jc w:val="right"/>
              <w:cnfStyle w:val="000000010000" w:firstRow="0" w:lastRow="0" w:firstColumn="0" w:lastColumn="0" w:oddVBand="0" w:evenVBand="0" w:oddHBand="0" w:evenHBand="1" w:firstRowFirstColumn="0" w:firstRowLastColumn="0" w:lastRowFirstColumn="0" w:lastRowLastColumn="0"/>
              <w:rPr>
                <w:rFonts w:cs="Arial"/>
                <w:b/>
                <w:bCs/>
                <w:color w:val="000000"/>
                <w:sz w:val="14"/>
                <w:szCs w:val="14"/>
              </w:rPr>
            </w:pPr>
            <w:r w:rsidRPr="001C661F">
              <w:rPr>
                <w:rFonts w:cs="Arial"/>
                <w:b/>
                <w:bCs/>
                <w:sz w:val="14"/>
                <w:szCs w:val="14"/>
              </w:rPr>
              <w:t xml:space="preserve"> 650</w:t>
            </w:r>
            <w:r>
              <w:rPr>
                <w:rFonts w:cs="Arial"/>
                <w:b/>
                <w:bCs/>
                <w:sz w:val="14"/>
                <w:szCs w:val="14"/>
              </w:rPr>
              <w:t>,</w:t>
            </w:r>
            <w:r w:rsidRPr="001C661F">
              <w:rPr>
                <w:rFonts w:cs="Arial"/>
                <w:b/>
                <w:bCs/>
                <w:sz w:val="14"/>
                <w:szCs w:val="14"/>
              </w:rPr>
              <w:t xml:space="preserve">496 </w:t>
            </w:r>
          </w:p>
        </w:tc>
        <w:tc>
          <w:tcPr>
            <w:tcW w:w="1709" w:type="dxa"/>
            <w:tcBorders>
              <w:top w:val="nil"/>
              <w:left w:val="nil"/>
              <w:bottom w:val="nil"/>
              <w:right w:val="nil"/>
            </w:tcBorders>
            <w:shd w:val="clear" w:color="auto" w:fill="auto"/>
            <w:vAlign w:val="center"/>
          </w:tcPr>
          <w:p w14:paraId="0922A454" w14:textId="77777777" w:rsidR="008B7E19" w:rsidRPr="001C661F"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b/>
                <w:bCs/>
                <w:color w:val="000000"/>
                <w:sz w:val="14"/>
                <w:szCs w:val="14"/>
              </w:rPr>
            </w:pPr>
            <w:r w:rsidRPr="001C661F">
              <w:rPr>
                <w:rFonts w:cs="Arial"/>
                <w:b/>
                <w:bCs/>
                <w:color w:val="000000"/>
                <w:sz w:val="14"/>
                <w:szCs w:val="14"/>
              </w:rPr>
              <w:t>962</w:t>
            </w:r>
            <w:r>
              <w:rPr>
                <w:rFonts w:cs="Arial"/>
                <w:b/>
                <w:bCs/>
                <w:color w:val="000000"/>
                <w:sz w:val="14"/>
                <w:szCs w:val="14"/>
              </w:rPr>
              <w:t>,</w:t>
            </w:r>
            <w:r w:rsidRPr="001C661F">
              <w:rPr>
                <w:rFonts w:cs="Arial"/>
                <w:b/>
                <w:bCs/>
                <w:color w:val="000000"/>
                <w:sz w:val="14"/>
                <w:szCs w:val="14"/>
              </w:rPr>
              <w:t xml:space="preserve">065 </w:t>
            </w:r>
          </w:p>
        </w:tc>
      </w:tr>
      <w:tr w:rsidR="008B7E19" w:rsidRPr="00B26535" w14:paraId="5333D8AD"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shd w:val="clear" w:color="auto" w:fill="auto"/>
            <w:vAlign w:val="center"/>
          </w:tcPr>
          <w:p w14:paraId="4FB008BF" w14:textId="77777777" w:rsidR="008B7E19" w:rsidRPr="00B26535" w:rsidRDefault="008B7E19" w:rsidP="008B7E19">
            <w:pPr>
              <w:keepNext/>
              <w:keepLines/>
              <w:rPr>
                <w:rFonts w:cs="Arial"/>
                <w:sz w:val="14"/>
                <w:szCs w:val="14"/>
              </w:rPr>
            </w:pPr>
            <w:r>
              <w:rPr>
                <w:rFonts w:eastAsia="Times New Roman" w:cs="Arial"/>
                <w:color w:val="000000"/>
                <w:spacing w:val="-2"/>
                <w:sz w:val="14"/>
                <w:szCs w:val="14"/>
                <w:lang w:eastAsia="pt-BR"/>
              </w:rPr>
              <w:t>Attributable to BB Seguridade</w:t>
            </w:r>
          </w:p>
        </w:tc>
        <w:tc>
          <w:tcPr>
            <w:tcW w:w="1709" w:type="dxa"/>
            <w:tcBorders>
              <w:top w:val="nil"/>
              <w:left w:val="nil"/>
              <w:bottom w:val="nil"/>
              <w:right w:val="nil"/>
            </w:tcBorders>
            <w:shd w:val="clear" w:color="auto" w:fill="auto"/>
            <w:vAlign w:val="center"/>
          </w:tcPr>
          <w:p w14:paraId="2F4C6772" w14:textId="77777777" w:rsidR="008B7E19" w:rsidRPr="00B26535" w:rsidRDefault="008B7E19" w:rsidP="008B7E19">
            <w:pPr>
              <w:keepNext/>
              <w:keepLines/>
              <w:jc w:val="right"/>
              <w:cnfStyle w:val="000000100000" w:firstRow="0" w:lastRow="0" w:firstColumn="0" w:lastColumn="0" w:oddVBand="0" w:evenVBand="0" w:oddHBand="1" w:evenHBand="0" w:firstRowFirstColumn="0" w:firstRowLastColumn="0" w:lastRowFirstColumn="0" w:lastRowLastColumn="0"/>
              <w:rPr>
                <w:rFonts w:cs="Arial"/>
                <w:b/>
                <w:bCs/>
                <w:color w:val="000000"/>
                <w:sz w:val="14"/>
                <w:szCs w:val="14"/>
              </w:rPr>
            </w:pPr>
            <w:r w:rsidRPr="00B26535">
              <w:rPr>
                <w:rFonts w:cs="Arial"/>
                <w:b/>
                <w:bCs/>
                <w:color w:val="000000"/>
                <w:sz w:val="14"/>
                <w:szCs w:val="14"/>
              </w:rPr>
              <w:t>718</w:t>
            </w:r>
            <w:r>
              <w:rPr>
                <w:rFonts w:cs="Arial"/>
                <w:b/>
                <w:bCs/>
                <w:color w:val="000000"/>
                <w:sz w:val="14"/>
                <w:szCs w:val="14"/>
              </w:rPr>
              <w:t>,</w:t>
            </w:r>
            <w:r w:rsidRPr="00B26535">
              <w:rPr>
                <w:rFonts w:cs="Arial"/>
                <w:b/>
                <w:bCs/>
                <w:color w:val="000000"/>
                <w:sz w:val="14"/>
                <w:szCs w:val="14"/>
              </w:rPr>
              <w:t>947</w:t>
            </w:r>
          </w:p>
        </w:tc>
        <w:tc>
          <w:tcPr>
            <w:tcW w:w="1709" w:type="dxa"/>
            <w:tcBorders>
              <w:top w:val="nil"/>
              <w:left w:val="nil"/>
              <w:bottom w:val="nil"/>
              <w:right w:val="nil"/>
            </w:tcBorders>
            <w:shd w:val="clear" w:color="auto" w:fill="auto"/>
            <w:vAlign w:val="center"/>
          </w:tcPr>
          <w:p w14:paraId="21295503" w14:textId="77777777" w:rsidR="008B7E19" w:rsidRPr="00B26535" w:rsidRDefault="008B7E19" w:rsidP="008B7E19">
            <w:pPr>
              <w:keepNext/>
              <w:keepLines/>
              <w:jc w:val="right"/>
              <w:cnfStyle w:val="000000100000" w:firstRow="0" w:lastRow="0" w:firstColumn="0" w:lastColumn="0" w:oddVBand="0" w:evenVBand="0" w:oddHBand="1" w:evenHBand="0" w:firstRowFirstColumn="0" w:firstRowLastColumn="0" w:lastRowFirstColumn="0" w:lastRowLastColumn="0"/>
              <w:rPr>
                <w:rFonts w:cs="Arial"/>
                <w:b/>
                <w:bCs/>
                <w:color w:val="000000"/>
                <w:sz w:val="14"/>
                <w:szCs w:val="14"/>
              </w:rPr>
            </w:pPr>
            <w:r w:rsidRPr="00B26535">
              <w:rPr>
                <w:rFonts w:cs="Arial"/>
                <w:b/>
                <w:bCs/>
                <w:color w:val="000000"/>
                <w:sz w:val="14"/>
                <w:szCs w:val="14"/>
              </w:rPr>
              <w:t>1</w:t>
            </w:r>
            <w:r>
              <w:rPr>
                <w:rFonts w:cs="Arial"/>
                <w:b/>
                <w:bCs/>
                <w:color w:val="000000"/>
                <w:sz w:val="14"/>
                <w:szCs w:val="14"/>
              </w:rPr>
              <w:t>,</w:t>
            </w:r>
            <w:r w:rsidRPr="00B26535">
              <w:rPr>
                <w:rFonts w:cs="Arial"/>
                <w:b/>
                <w:bCs/>
                <w:color w:val="000000"/>
                <w:sz w:val="14"/>
                <w:szCs w:val="14"/>
              </w:rPr>
              <w:t>337</w:t>
            </w:r>
            <w:r>
              <w:rPr>
                <w:rFonts w:cs="Arial"/>
                <w:b/>
                <w:bCs/>
                <w:color w:val="000000"/>
                <w:sz w:val="14"/>
                <w:szCs w:val="14"/>
              </w:rPr>
              <w:t>,</w:t>
            </w:r>
            <w:r w:rsidRPr="00B26535">
              <w:rPr>
                <w:rFonts w:cs="Arial"/>
                <w:b/>
                <w:bCs/>
                <w:color w:val="000000"/>
                <w:sz w:val="14"/>
                <w:szCs w:val="14"/>
              </w:rPr>
              <w:t>019</w:t>
            </w:r>
          </w:p>
        </w:tc>
        <w:tc>
          <w:tcPr>
            <w:tcW w:w="1709" w:type="dxa"/>
            <w:tcBorders>
              <w:top w:val="nil"/>
              <w:left w:val="nil"/>
              <w:bottom w:val="nil"/>
              <w:right w:val="nil"/>
            </w:tcBorders>
            <w:shd w:val="clear" w:color="auto" w:fill="auto"/>
            <w:vAlign w:val="center"/>
          </w:tcPr>
          <w:p w14:paraId="49AF0A56" w14:textId="77777777" w:rsidR="008B7E19" w:rsidRPr="00307607" w:rsidRDefault="008B7E19" w:rsidP="008B7E19">
            <w:pPr>
              <w:keepNext/>
              <w:keepLines/>
              <w:jc w:val="right"/>
              <w:cnfStyle w:val="000000100000" w:firstRow="0" w:lastRow="0" w:firstColumn="0" w:lastColumn="0" w:oddVBand="0" w:evenVBand="0" w:oddHBand="1" w:evenHBand="0" w:firstRowFirstColumn="0" w:firstRowLastColumn="0" w:lastRowFirstColumn="0" w:lastRowLastColumn="0"/>
              <w:rPr>
                <w:rFonts w:cs="Arial"/>
                <w:b/>
                <w:bCs/>
                <w:color w:val="000000"/>
                <w:sz w:val="14"/>
                <w:szCs w:val="14"/>
              </w:rPr>
            </w:pPr>
            <w:r w:rsidRPr="00307607">
              <w:rPr>
                <w:rFonts w:cs="Arial"/>
                <w:b/>
                <w:bCs/>
                <w:color w:val="000000"/>
                <w:sz w:val="14"/>
                <w:szCs w:val="14"/>
              </w:rPr>
              <w:t>508</w:t>
            </w:r>
            <w:r>
              <w:rPr>
                <w:rFonts w:cs="Arial"/>
                <w:b/>
                <w:bCs/>
                <w:color w:val="000000"/>
                <w:sz w:val="14"/>
                <w:szCs w:val="14"/>
              </w:rPr>
              <w:t>,</w:t>
            </w:r>
            <w:r w:rsidRPr="00307607">
              <w:rPr>
                <w:rFonts w:cs="Arial"/>
                <w:b/>
                <w:bCs/>
                <w:color w:val="000000"/>
                <w:sz w:val="14"/>
                <w:szCs w:val="14"/>
              </w:rPr>
              <w:t>306</w:t>
            </w:r>
          </w:p>
        </w:tc>
        <w:tc>
          <w:tcPr>
            <w:tcW w:w="1709" w:type="dxa"/>
            <w:tcBorders>
              <w:top w:val="nil"/>
              <w:left w:val="nil"/>
              <w:bottom w:val="nil"/>
              <w:right w:val="nil"/>
            </w:tcBorders>
            <w:shd w:val="clear" w:color="auto" w:fill="auto"/>
            <w:vAlign w:val="center"/>
          </w:tcPr>
          <w:p w14:paraId="5B2C7290" w14:textId="77777777" w:rsidR="008B7E19" w:rsidRPr="00B26535" w:rsidRDefault="008B7E19" w:rsidP="008B7E19">
            <w:pPr>
              <w:keepNext/>
              <w:keepLines/>
              <w:jc w:val="right"/>
              <w:cnfStyle w:val="000000100000" w:firstRow="0" w:lastRow="0" w:firstColumn="0" w:lastColumn="0" w:oddVBand="0" w:evenVBand="0" w:oddHBand="1" w:evenHBand="0" w:firstRowFirstColumn="0" w:firstRowLastColumn="0" w:lastRowFirstColumn="0" w:lastRowLastColumn="0"/>
              <w:rPr>
                <w:rFonts w:cs="Arial"/>
                <w:b/>
                <w:bCs/>
                <w:color w:val="000000"/>
                <w:sz w:val="14"/>
                <w:szCs w:val="14"/>
              </w:rPr>
            </w:pPr>
            <w:r w:rsidRPr="00B26535">
              <w:rPr>
                <w:rFonts w:cs="Arial"/>
                <w:b/>
                <w:bCs/>
                <w:color w:val="000000"/>
                <w:sz w:val="14"/>
                <w:szCs w:val="14"/>
              </w:rPr>
              <w:t>753</w:t>
            </w:r>
            <w:r>
              <w:rPr>
                <w:rFonts w:cs="Arial"/>
                <w:b/>
                <w:bCs/>
                <w:color w:val="000000"/>
                <w:sz w:val="14"/>
                <w:szCs w:val="14"/>
              </w:rPr>
              <w:t>,</w:t>
            </w:r>
            <w:r w:rsidRPr="00B26535">
              <w:rPr>
                <w:rFonts w:cs="Arial"/>
                <w:b/>
                <w:bCs/>
                <w:color w:val="000000"/>
                <w:sz w:val="14"/>
                <w:szCs w:val="14"/>
              </w:rPr>
              <w:t>685</w:t>
            </w:r>
          </w:p>
        </w:tc>
      </w:tr>
      <w:tr w:rsidR="008B7E19" w:rsidRPr="00B83804" w14:paraId="179D7F07" w14:textId="77777777" w:rsidTr="008B7E1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shd w:val="clear" w:color="auto" w:fill="auto"/>
            <w:vAlign w:val="center"/>
          </w:tcPr>
          <w:p w14:paraId="070C40F0" w14:textId="77777777" w:rsidR="008B7E19" w:rsidRPr="00B83804" w:rsidRDefault="008B7E19" w:rsidP="008B7E19">
            <w:pPr>
              <w:keepNext/>
              <w:keepLines/>
              <w:ind w:left="113"/>
              <w:rPr>
                <w:rFonts w:cs="Arial"/>
                <w:b w:val="0"/>
                <w:bCs w:val="0"/>
                <w:sz w:val="14"/>
                <w:szCs w:val="14"/>
              </w:rPr>
            </w:pPr>
            <w:r>
              <w:rPr>
                <w:rFonts w:cs="Arial"/>
                <w:b w:val="0"/>
                <w:bCs w:val="0"/>
                <w:sz w:val="14"/>
                <w:szCs w:val="14"/>
              </w:rPr>
              <w:t>Amortization of intangible assets</w:t>
            </w:r>
            <w:r w:rsidRPr="00B83804">
              <w:rPr>
                <w:rFonts w:cs="Arial"/>
                <w:b w:val="0"/>
                <w:bCs w:val="0"/>
                <w:sz w:val="14"/>
                <w:szCs w:val="14"/>
              </w:rPr>
              <w:t xml:space="preserve"> </w:t>
            </w:r>
            <w:r w:rsidRPr="00A263A7">
              <w:rPr>
                <w:rFonts w:cs="Arial"/>
                <w:b w:val="0"/>
                <w:bCs w:val="0"/>
                <w:sz w:val="14"/>
                <w:szCs w:val="14"/>
                <w:vertAlign w:val="superscript"/>
              </w:rPr>
              <w:t>(1)</w:t>
            </w:r>
          </w:p>
        </w:tc>
        <w:tc>
          <w:tcPr>
            <w:tcW w:w="1709" w:type="dxa"/>
            <w:tcBorders>
              <w:top w:val="nil"/>
              <w:left w:val="nil"/>
              <w:bottom w:val="nil"/>
              <w:right w:val="nil"/>
            </w:tcBorders>
            <w:shd w:val="clear" w:color="auto" w:fill="auto"/>
            <w:vAlign w:val="center"/>
          </w:tcPr>
          <w:p w14:paraId="7C23F3BA" w14:textId="77777777" w:rsidR="008B7E19" w:rsidRPr="00B26535" w:rsidRDefault="008B7E19" w:rsidP="008B7E19">
            <w:pPr>
              <w:keepNext/>
              <w:keepLines/>
              <w:jc w:val="right"/>
              <w:cnfStyle w:val="000000010000" w:firstRow="0" w:lastRow="0" w:firstColumn="0" w:lastColumn="0" w:oddVBand="0" w:evenVBand="0" w:oddHBand="0" w:evenHBand="1" w:firstRowFirstColumn="0" w:firstRowLastColumn="0" w:lastRowFirstColumn="0" w:lastRowLastColumn="0"/>
              <w:rPr>
                <w:rFonts w:cs="Arial"/>
                <w:color w:val="000000"/>
                <w:sz w:val="14"/>
                <w:szCs w:val="14"/>
              </w:rPr>
            </w:pPr>
            <w:r w:rsidRPr="00B26535">
              <w:rPr>
                <w:rFonts w:cs="Arial"/>
                <w:sz w:val="14"/>
                <w:szCs w:val="14"/>
              </w:rPr>
              <w:t>(3</w:t>
            </w:r>
            <w:r>
              <w:rPr>
                <w:rFonts w:cs="Arial"/>
                <w:sz w:val="14"/>
                <w:szCs w:val="14"/>
              </w:rPr>
              <w:t>,</w:t>
            </w:r>
            <w:r w:rsidRPr="00B26535">
              <w:rPr>
                <w:rFonts w:cs="Arial"/>
                <w:sz w:val="14"/>
                <w:szCs w:val="14"/>
              </w:rPr>
              <w:t>852)</w:t>
            </w:r>
          </w:p>
        </w:tc>
        <w:tc>
          <w:tcPr>
            <w:tcW w:w="1709" w:type="dxa"/>
            <w:tcBorders>
              <w:top w:val="nil"/>
              <w:left w:val="nil"/>
              <w:bottom w:val="nil"/>
              <w:right w:val="nil"/>
            </w:tcBorders>
            <w:shd w:val="clear" w:color="auto" w:fill="auto"/>
            <w:vAlign w:val="center"/>
          </w:tcPr>
          <w:p w14:paraId="0A4A1DC9" w14:textId="77777777" w:rsidR="008B7E19" w:rsidRPr="00B26535" w:rsidRDefault="008B7E19" w:rsidP="008B7E19">
            <w:pPr>
              <w:keepNext/>
              <w:keepLines/>
              <w:jc w:val="right"/>
              <w:cnfStyle w:val="000000010000" w:firstRow="0" w:lastRow="0" w:firstColumn="0" w:lastColumn="0" w:oddVBand="0" w:evenVBand="0" w:oddHBand="0" w:evenHBand="1" w:firstRowFirstColumn="0" w:firstRowLastColumn="0" w:lastRowFirstColumn="0" w:lastRowLastColumn="0"/>
              <w:rPr>
                <w:rFonts w:cs="Arial"/>
                <w:color w:val="000000"/>
                <w:sz w:val="14"/>
                <w:szCs w:val="14"/>
              </w:rPr>
            </w:pPr>
            <w:r w:rsidRPr="00B26535">
              <w:rPr>
                <w:rFonts w:cs="Arial"/>
                <w:sz w:val="14"/>
                <w:szCs w:val="14"/>
              </w:rPr>
              <w:t>(7</w:t>
            </w:r>
            <w:r>
              <w:rPr>
                <w:rFonts w:cs="Arial"/>
                <w:sz w:val="14"/>
                <w:szCs w:val="14"/>
              </w:rPr>
              <w:t>,</w:t>
            </w:r>
            <w:r w:rsidRPr="00B26535">
              <w:rPr>
                <w:rFonts w:cs="Arial"/>
                <w:sz w:val="14"/>
                <w:szCs w:val="14"/>
              </w:rPr>
              <w:t>704)</w:t>
            </w:r>
          </w:p>
        </w:tc>
        <w:tc>
          <w:tcPr>
            <w:tcW w:w="1709" w:type="dxa"/>
            <w:tcBorders>
              <w:top w:val="nil"/>
              <w:left w:val="nil"/>
              <w:bottom w:val="nil"/>
              <w:right w:val="nil"/>
            </w:tcBorders>
            <w:shd w:val="clear" w:color="auto" w:fill="auto"/>
            <w:vAlign w:val="center"/>
          </w:tcPr>
          <w:p w14:paraId="58655B32" w14:textId="77777777" w:rsidR="008B7E19" w:rsidRPr="00B26535" w:rsidRDefault="008B7E19" w:rsidP="008B7E19">
            <w:pPr>
              <w:keepNext/>
              <w:keepLines/>
              <w:jc w:val="right"/>
              <w:cnfStyle w:val="000000010000" w:firstRow="0" w:lastRow="0" w:firstColumn="0" w:lastColumn="0" w:oddVBand="0" w:evenVBand="0" w:oddHBand="0" w:evenHBand="1" w:firstRowFirstColumn="0" w:firstRowLastColumn="0" w:lastRowFirstColumn="0" w:lastRowLastColumn="0"/>
              <w:rPr>
                <w:rFonts w:cs="Arial"/>
                <w:color w:val="000000"/>
                <w:sz w:val="14"/>
                <w:szCs w:val="14"/>
              </w:rPr>
            </w:pPr>
            <w:r w:rsidRPr="00B26535">
              <w:rPr>
                <w:rFonts w:cs="Arial"/>
                <w:sz w:val="14"/>
                <w:szCs w:val="14"/>
              </w:rPr>
              <w:t>(3</w:t>
            </w:r>
            <w:r>
              <w:rPr>
                <w:rFonts w:cs="Arial"/>
                <w:sz w:val="14"/>
                <w:szCs w:val="14"/>
              </w:rPr>
              <w:t>,</w:t>
            </w:r>
            <w:r w:rsidRPr="00B26535">
              <w:rPr>
                <w:rFonts w:cs="Arial"/>
                <w:sz w:val="14"/>
                <w:szCs w:val="14"/>
              </w:rPr>
              <w:t>682)</w:t>
            </w:r>
          </w:p>
        </w:tc>
        <w:tc>
          <w:tcPr>
            <w:tcW w:w="1709" w:type="dxa"/>
            <w:tcBorders>
              <w:top w:val="nil"/>
              <w:left w:val="nil"/>
              <w:bottom w:val="nil"/>
              <w:right w:val="nil"/>
            </w:tcBorders>
            <w:shd w:val="clear" w:color="auto" w:fill="auto"/>
            <w:vAlign w:val="center"/>
          </w:tcPr>
          <w:p w14:paraId="43686953" w14:textId="77777777" w:rsidR="008B7E19" w:rsidRPr="00B26535" w:rsidRDefault="008B7E19" w:rsidP="008B7E19">
            <w:pPr>
              <w:keepNext/>
              <w:keepLines/>
              <w:jc w:val="right"/>
              <w:cnfStyle w:val="000000010000" w:firstRow="0" w:lastRow="0" w:firstColumn="0" w:lastColumn="0" w:oddVBand="0" w:evenVBand="0" w:oddHBand="0" w:evenHBand="1" w:firstRowFirstColumn="0" w:firstRowLastColumn="0" w:lastRowFirstColumn="0" w:lastRowLastColumn="0"/>
              <w:rPr>
                <w:rFonts w:cs="Arial"/>
                <w:color w:val="000000"/>
                <w:sz w:val="14"/>
                <w:szCs w:val="14"/>
              </w:rPr>
            </w:pPr>
            <w:r w:rsidRPr="00B26535">
              <w:rPr>
                <w:rFonts w:cs="Arial"/>
                <w:sz w:val="14"/>
                <w:szCs w:val="14"/>
              </w:rPr>
              <w:t>(7</w:t>
            </w:r>
            <w:r>
              <w:rPr>
                <w:rFonts w:cs="Arial"/>
                <w:sz w:val="14"/>
                <w:szCs w:val="14"/>
              </w:rPr>
              <w:t>,</w:t>
            </w:r>
            <w:r w:rsidRPr="00B26535">
              <w:rPr>
                <w:rFonts w:cs="Arial"/>
                <w:sz w:val="14"/>
                <w:szCs w:val="14"/>
              </w:rPr>
              <w:t>363)</w:t>
            </w:r>
          </w:p>
        </w:tc>
      </w:tr>
      <w:tr w:rsidR="008B7E19" w:rsidRPr="00B26535" w14:paraId="59B2C00C"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single" w:sz="2" w:space="0" w:color="1F4E79" w:themeColor="accent1" w:themeShade="80"/>
              <w:right w:val="nil"/>
            </w:tcBorders>
            <w:shd w:val="clear" w:color="auto" w:fill="auto"/>
            <w:vAlign w:val="center"/>
          </w:tcPr>
          <w:p w14:paraId="101EFC46" w14:textId="77777777" w:rsidR="008B7E19" w:rsidRPr="00B26535" w:rsidRDefault="008B7E19" w:rsidP="008B7E19">
            <w:pPr>
              <w:keepNext/>
              <w:keepLines/>
              <w:rPr>
                <w:rFonts w:cs="Arial"/>
                <w:color w:val="000000"/>
                <w:sz w:val="14"/>
                <w:szCs w:val="14"/>
              </w:rPr>
            </w:pPr>
            <w:r>
              <w:rPr>
                <w:rFonts w:eastAsia="Times New Roman" w:cs="Arial"/>
                <w:color w:val="000000"/>
                <w:spacing w:val="-2"/>
                <w:sz w:val="14"/>
                <w:szCs w:val="14"/>
                <w:lang w:eastAsia="pt-BR"/>
              </w:rPr>
              <w:t>Equity income</w:t>
            </w:r>
          </w:p>
        </w:tc>
        <w:tc>
          <w:tcPr>
            <w:tcW w:w="1709" w:type="dxa"/>
            <w:tcBorders>
              <w:top w:val="nil"/>
              <w:left w:val="nil"/>
              <w:bottom w:val="single" w:sz="2" w:space="0" w:color="1F4E79" w:themeColor="accent1" w:themeShade="80"/>
              <w:right w:val="nil"/>
            </w:tcBorders>
            <w:shd w:val="clear" w:color="auto" w:fill="auto"/>
            <w:vAlign w:val="center"/>
          </w:tcPr>
          <w:p w14:paraId="0FC0BCE9" w14:textId="77777777" w:rsidR="008B7E19" w:rsidRPr="00B26535" w:rsidRDefault="008B7E19" w:rsidP="008B7E19">
            <w:pPr>
              <w:keepNext/>
              <w:keepLines/>
              <w:jc w:val="right"/>
              <w:cnfStyle w:val="000000100000" w:firstRow="0" w:lastRow="0" w:firstColumn="0" w:lastColumn="0" w:oddVBand="0" w:evenVBand="0" w:oddHBand="1" w:evenHBand="0" w:firstRowFirstColumn="0" w:firstRowLastColumn="0" w:lastRowFirstColumn="0" w:lastRowLastColumn="0"/>
              <w:rPr>
                <w:rFonts w:cs="Arial"/>
                <w:b/>
                <w:bCs/>
                <w:color w:val="000000"/>
                <w:sz w:val="14"/>
                <w:szCs w:val="14"/>
              </w:rPr>
            </w:pPr>
            <w:r w:rsidRPr="00B26535">
              <w:rPr>
                <w:rFonts w:cs="Arial"/>
                <w:b/>
                <w:bCs/>
                <w:sz w:val="14"/>
                <w:szCs w:val="14"/>
              </w:rPr>
              <w:t>715</w:t>
            </w:r>
            <w:r>
              <w:rPr>
                <w:rFonts w:cs="Arial"/>
                <w:b/>
                <w:bCs/>
                <w:sz w:val="14"/>
                <w:szCs w:val="14"/>
              </w:rPr>
              <w:t>,</w:t>
            </w:r>
            <w:r w:rsidRPr="00B26535">
              <w:rPr>
                <w:rFonts w:cs="Arial"/>
                <w:b/>
                <w:bCs/>
                <w:sz w:val="14"/>
                <w:szCs w:val="14"/>
              </w:rPr>
              <w:t>095</w:t>
            </w:r>
          </w:p>
        </w:tc>
        <w:tc>
          <w:tcPr>
            <w:tcW w:w="1709" w:type="dxa"/>
            <w:tcBorders>
              <w:top w:val="nil"/>
              <w:left w:val="nil"/>
              <w:bottom w:val="single" w:sz="2" w:space="0" w:color="1F4E79" w:themeColor="accent1" w:themeShade="80"/>
              <w:right w:val="nil"/>
            </w:tcBorders>
            <w:shd w:val="clear" w:color="auto" w:fill="auto"/>
            <w:vAlign w:val="center"/>
          </w:tcPr>
          <w:p w14:paraId="701BE1F3" w14:textId="77777777" w:rsidR="008B7E19" w:rsidRPr="00B26535" w:rsidRDefault="008B7E19" w:rsidP="008B7E19">
            <w:pPr>
              <w:keepNext/>
              <w:keepLines/>
              <w:jc w:val="right"/>
              <w:cnfStyle w:val="000000100000" w:firstRow="0" w:lastRow="0" w:firstColumn="0" w:lastColumn="0" w:oddVBand="0" w:evenVBand="0" w:oddHBand="1" w:evenHBand="0" w:firstRowFirstColumn="0" w:firstRowLastColumn="0" w:lastRowFirstColumn="0" w:lastRowLastColumn="0"/>
              <w:rPr>
                <w:rFonts w:cs="Arial"/>
                <w:b/>
                <w:bCs/>
                <w:color w:val="000000"/>
                <w:sz w:val="14"/>
                <w:szCs w:val="14"/>
              </w:rPr>
            </w:pPr>
            <w:r w:rsidRPr="00B26535">
              <w:rPr>
                <w:rFonts w:cs="Arial"/>
                <w:b/>
                <w:bCs/>
                <w:sz w:val="14"/>
                <w:szCs w:val="14"/>
              </w:rPr>
              <w:t>1</w:t>
            </w:r>
            <w:r>
              <w:rPr>
                <w:rFonts w:cs="Arial"/>
                <w:b/>
                <w:bCs/>
                <w:sz w:val="14"/>
                <w:szCs w:val="14"/>
              </w:rPr>
              <w:t>,</w:t>
            </w:r>
            <w:r w:rsidRPr="00B26535">
              <w:rPr>
                <w:rFonts w:cs="Arial"/>
                <w:b/>
                <w:bCs/>
                <w:sz w:val="14"/>
                <w:szCs w:val="14"/>
              </w:rPr>
              <w:t>329</w:t>
            </w:r>
            <w:r>
              <w:rPr>
                <w:rFonts w:cs="Arial"/>
                <w:b/>
                <w:bCs/>
                <w:sz w:val="14"/>
                <w:szCs w:val="14"/>
              </w:rPr>
              <w:t>,</w:t>
            </w:r>
            <w:r w:rsidRPr="00B26535">
              <w:rPr>
                <w:rFonts w:cs="Arial"/>
                <w:b/>
                <w:bCs/>
                <w:sz w:val="14"/>
                <w:szCs w:val="14"/>
              </w:rPr>
              <w:t>315</w:t>
            </w:r>
          </w:p>
        </w:tc>
        <w:tc>
          <w:tcPr>
            <w:tcW w:w="1709" w:type="dxa"/>
            <w:tcBorders>
              <w:top w:val="nil"/>
              <w:left w:val="nil"/>
              <w:bottom w:val="single" w:sz="2" w:space="0" w:color="1F4E79" w:themeColor="accent1" w:themeShade="80"/>
              <w:right w:val="nil"/>
            </w:tcBorders>
            <w:shd w:val="clear" w:color="auto" w:fill="auto"/>
            <w:vAlign w:val="center"/>
          </w:tcPr>
          <w:p w14:paraId="78B82707" w14:textId="77777777" w:rsidR="008B7E19" w:rsidRPr="00B26535" w:rsidRDefault="008B7E19" w:rsidP="008B7E19">
            <w:pPr>
              <w:keepNext/>
              <w:keepLines/>
              <w:jc w:val="right"/>
              <w:cnfStyle w:val="000000100000" w:firstRow="0" w:lastRow="0" w:firstColumn="0" w:lastColumn="0" w:oddVBand="0" w:evenVBand="0" w:oddHBand="1" w:evenHBand="0" w:firstRowFirstColumn="0" w:firstRowLastColumn="0" w:lastRowFirstColumn="0" w:lastRowLastColumn="0"/>
              <w:rPr>
                <w:rFonts w:cs="Arial"/>
                <w:b/>
                <w:bCs/>
                <w:color w:val="000000"/>
                <w:sz w:val="14"/>
                <w:szCs w:val="14"/>
              </w:rPr>
            </w:pPr>
            <w:r w:rsidRPr="00B26535">
              <w:rPr>
                <w:rFonts w:cs="Arial"/>
                <w:b/>
                <w:bCs/>
                <w:sz w:val="14"/>
                <w:szCs w:val="14"/>
              </w:rPr>
              <w:t>504</w:t>
            </w:r>
            <w:r>
              <w:rPr>
                <w:rFonts w:cs="Arial"/>
                <w:b/>
                <w:bCs/>
                <w:sz w:val="14"/>
                <w:szCs w:val="14"/>
              </w:rPr>
              <w:t>,</w:t>
            </w:r>
            <w:r w:rsidRPr="00B26535">
              <w:rPr>
                <w:rFonts w:cs="Arial"/>
                <w:b/>
                <w:bCs/>
                <w:sz w:val="14"/>
                <w:szCs w:val="14"/>
              </w:rPr>
              <w:t>624</w:t>
            </w:r>
          </w:p>
        </w:tc>
        <w:tc>
          <w:tcPr>
            <w:tcW w:w="1709" w:type="dxa"/>
            <w:tcBorders>
              <w:top w:val="nil"/>
              <w:left w:val="nil"/>
              <w:bottom w:val="single" w:sz="2" w:space="0" w:color="1F4E79" w:themeColor="accent1" w:themeShade="80"/>
              <w:right w:val="nil"/>
            </w:tcBorders>
            <w:shd w:val="clear" w:color="auto" w:fill="auto"/>
            <w:vAlign w:val="center"/>
          </w:tcPr>
          <w:p w14:paraId="4BBE2C35" w14:textId="77777777" w:rsidR="008B7E19" w:rsidRPr="00B26535" w:rsidRDefault="008B7E19" w:rsidP="008B7E19">
            <w:pPr>
              <w:keepNext/>
              <w:keepLines/>
              <w:jc w:val="right"/>
              <w:cnfStyle w:val="000000100000" w:firstRow="0" w:lastRow="0" w:firstColumn="0" w:lastColumn="0" w:oddVBand="0" w:evenVBand="0" w:oddHBand="1" w:evenHBand="0" w:firstRowFirstColumn="0" w:firstRowLastColumn="0" w:lastRowFirstColumn="0" w:lastRowLastColumn="0"/>
              <w:rPr>
                <w:rFonts w:cs="Arial"/>
                <w:b/>
                <w:bCs/>
                <w:color w:val="000000"/>
                <w:sz w:val="14"/>
                <w:szCs w:val="14"/>
              </w:rPr>
            </w:pPr>
            <w:r w:rsidRPr="00B26535">
              <w:rPr>
                <w:rFonts w:cs="Arial"/>
                <w:b/>
                <w:bCs/>
                <w:sz w:val="14"/>
                <w:szCs w:val="14"/>
              </w:rPr>
              <w:t>746</w:t>
            </w:r>
            <w:r>
              <w:rPr>
                <w:rFonts w:cs="Arial"/>
                <w:b/>
                <w:bCs/>
                <w:sz w:val="14"/>
                <w:szCs w:val="14"/>
              </w:rPr>
              <w:t>,</w:t>
            </w:r>
            <w:r w:rsidRPr="00B26535">
              <w:rPr>
                <w:rFonts w:cs="Arial"/>
                <w:b/>
                <w:bCs/>
                <w:sz w:val="14"/>
                <w:szCs w:val="14"/>
              </w:rPr>
              <w:t>322</w:t>
            </w:r>
          </w:p>
        </w:tc>
      </w:tr>
    </w:tbl>
    <w:p w14:paraId="397E818C" w14:textId="77777777" w:rsidR="008B7E19" w:rsidRPr="00925790" w:rsidRDefault="008B7E19" w:rsidP="00882B41">
      <w:pPr>
        <w:pStyle w:val="PargrafodaLista"/>
        <w:numPr>
          <w:ilvl w:val="0"/>
          <w:numId w:val="39"/>
        </w:numPr>
        <w:spacing w:after="0" w:line="240" w:lineRule="auto"/>
        <w:rPr>
          <w:rFonts w:ascii="Arial" w:hAnsi="Arial" w:cs="Arial"/>
          <w:b/>
          <w:sz w:val="14"/>
          <w:lang w:val="en-US" w:eastAsia="pt-BR"/>
        </w:rPr>
      </w:pPr>
      <w:r w:rsidRPr="00925790">
        <w:rPr>
          <w:rFonts w:ascii="Arial" w:eastAsia="Times New Roman" w:hAnsi="Arial" w:cs="Times New Roman"/>
          <w:spacing w:val="-2"/>
          <w:sz w:val="14"/>
          <w:szCs w:val="18"/>
          <w:lang w:val="en-US" w:eastAsia="pt-BR"/>
        </w:rPr>
        <w:t>Arising from the partnership agreement with MAPFRE.</w:t>
      </w:r>
    </w:p>
    <w:p w14:paraId="453CB4FF" w14:textId="77777777" w:rsidR="008B7E19" w:rsidRPr="003222DA" w:rsidRDefault="008B7E19" w:rsidP="008B7E19">
      <w:pPr>
        <w:spacing w:after="0" w:line="240" w:lineRule="auto"/>
        <w:rPr>
          <w:rFonts w:eastAsia="Times New Roman" w:cs="Times New Roman"/>
          <w:b/>
          <w:color w:val="1F4E79" w:themeColor="accent1" w:themeShade="80"/>
          <w:spacing w:val="-2"/>
          <w:szCs w:val="20"/>
          <w:lang w:val="en-US" w:eastAsia="pt-BR"/>
        </w:rPr>
      </w:pPr>
    </w:p>
    <w:p w14:paraId="44F86C02" w14:textId="77777777" w:rsidR="008B7E19" w:rsidRDefault="008B7E19" w:rsidP="008B7E19">
      <w:pPr>
        <w:pageBreakBefore/>
        <w:spacing w:after="0" w:line="240" w:lineRule="auto"/>
        <w:rPr>
          <w:rFonts w:eastAsia="Times New Roman" w:cs="Times New Roman"/>
          <w:b/>
          <w:color w:val="1F4E79" w:themeColor="accent1" w:themeShade="80"/>
          <w:spacing w:val="-2"/>
          <w:szCs w:val="20"/>
          <w:lang w:eastAsia="pt-BR"/>
        </w:rPr>
      </w:pPr>
      <w:r>
        <w:rPr>
          <w:rFonts w:eastAsia="Times New Roman" w:cs="Times New Roman"/>
          <w:b/>
          <w:color w:val="1F4E79" w:themeColor="accent1" w:themeShade="80"/>
          <w:spacing w:val="-2"/>
          <w:szCs w:val="20"/>
          <w:lang w:eastAsia="pt-BR"/>
        </w:rPr>
        <w:t>Balance Sheet Information</w:t>
      </w:r>
    </w:p>
    <w:p w14:paraId="09546C9C" w14:textId="77777777" w:rsidR="008B7E19" w:rsidRDefault="008B7E19" w:rsidP="008B7E19">
      <w:pPr>
        <w:spacing w:after="0" w:line="240" w:lineRule="auto"/>
        <w:rPr>
          <w:rFonts w:eastAsia="Times New Roman" w:cs="Times New Roman"/>
          <w:b/>
          <w:color w:val="1F4E79" w:themeColor="accent1" w:themeShade="80"/>
          <w:spacing w:val="-2"/>
          <w:szCs w:val="20"/>
          <w:lang w:eastAsia="pt-BR"/>
        </w:rPr>
      </w:pPr>
    </w:p>
    <w:p w14:paraId="06D75506" w14:textId="77777777" w:rsidR="008B7E19" w:rsidRPr="00537AE7" w:rsidRDefault="008B7E19" w:rsidP="008B7E19">
      <w:pPr>
        <w:spacing w:after="0" w:line="240" w:lineRule="auto"/>
        <w:jc w:val="right"/>
        <w:rPr>
          <w:rFonts w:cs="Arial"/>
          <w:b/>
          <w:sz w:val="14"/>
          <w:lang w:eastAsia="pt-BR"/>
        </w:rPr>
      </w:pPr>
      <w:r w:rsidRPr="00537AE7">
        <w:rPr>
          <w:rFonts w:cs="Arial"/>
          <w:b/>
          <w:sz w:val="14"/>
          <w:lang w:eastAsia="pt-BR"/>
        </w:rPr>
        <w:t xml:space="preserve">R$ </w:t>
      </w:r>
      <w:r>
        <w:rPr>
          <w:rFonts w:cs="Arial"/>
          <w:b/>
          <w:sz w:val="14"/>
          <w:lang w:eastAsia="pt-BR"/>
        </w:rPr>
        <w:t>thousand</w:t>
      </w:r>
    </w:p>
    <w:tbl>
      <w:tblPr>
        <w:tblStyle w:val="TabeladeLista6Colorida-nfase512"/>
        <w:tblW w:w="9640" w:type="dxa"/>
        <w:jc w:val="center"/>
        <w:tblInd w:w="0" w:type="dxa"/>
        <w:tblLayout w:type="fixed"/>
        <w:tblLook w:val="04A0" w:firstRow="1" w:lastRow="0" w:firstColumn="1" w:lastColumn="0" w:noHBand="0" w:noVBand="1"/>
      </w:tblPr>
      <w:tblGrid>
        <w:gridCol w:w="4395"/>
        <w:gridCol w:w="2622"/>
        <w:gridCol w:w="2623"/>
      </w:tblGrid>
      <w:tr w:rsidR="008B7E19" w:rsidRPr="00AF47CC" w14:paraId="2DF2B6B5" w14:textId="77777777" w:rsidTr="008B7E19">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395" w:type="dxa"/>
            <w:tcBorders>
              <w:top w:val="single" w:sz="2" w:space="0" w:color="1F4E79" w:themeColor="accent1" w:themeShade="80"/>
              <w:left w:val="nil"/>
              <w:bottom w:val="single" w:sz="2" w:space="0" w:color="1F4E79" w:themeColor="accent1" w:themeShade="80"/>
              <w:right w:val="nil"/>
            </w:tcBorders>
            <w:shd w:val="clear" w:color="auto" w:fill="auto"/>
            <w:vAlign w:val="center"/>
          </w:tcPr>
          <w:p w14:paraId="0DE56B13" w14:textId="77777777" w:rsidR="008B7E19" w:rsidRPr="00AF47CC" w:rsidRDefault="008B7E19" w:rsidP="008B7E19">
            <w:pPr>
              <w:rPr>
                <w:rFonts w:cs="Arial"/>
                <w:sz w:val="14"/>
                <w:szCs w:val="14"/>
              </w:rPr>
            </w:pPr>
          </w:p>
        </w:tc>
        <w:tc>
          <w:tcPr>
            <w:tcW w:w="2622" w:type="dxa"/>
            <w:tcBorders>
              <w:top w:val="single" w:sz="2" w:space="0" w:color="1F4E79" w:themeColor="accent1" w:themeShade="80"/>
              <w:left w:val="nil"/>
              <w:bottom w:val="single" w:sz="2" w:space="0" w:color="1F4E79" w:themeColor="accent1" w:themeShade="80"/>
              <w:right w:val="nil"/>
            </w:tcBorders>
            <w:shd w:val="clear" w:color="auto" w:fill="auto"/>
            <w:vAlign w:val="center"/>
          </w:tcPr>
          <w:p w14:paraId="35496B9B" w14:textId="77777777" w:rsidR="008B7E19" w:rsidRPr="00AF47CC" w:rsidRDefault="008B7E19" w:rsidP="008B7E19">
            <w:pPr>
              <w:jc w:val="right"/>
              <w:cnfStyle w:val="100000000000" w:firstRow="1" w:lastRow="0" w:firstColumn="0" w:lastColumn="0" w:oddVBand="0" w:evenVBand="0" w:oddHBand="0" w:evenHBand="0" w:firstRowFirstColumn="0" w:firstRowLastColumn="0" w:lastRowFirstColumn="0" w:lastRowLastColumn="0"/>
              <w:rPr>
                <w:rFonts w:cs="Arial"/>
                <w:sz w:val="14"/>
                <w:szCs w:val="14"/>
              </w:rPr>
            </w:pPr>
            <w:r>
              <w:rPr>
                <w:rFonts w:cs="Arial"/>
                <w:sz w:val="14"/>
                <w:szCs w:val="14"/>
              </w:rPr>
              <w:t>June 30, 2023</w:t>
            </w:r>
          </w:p>
        </w:tc>
        <w:tc>
          <w:tcPr>
            <w:tcW w:w="2623" w:type="dxa"/>
            <w:tcBorders>
              <w:top w:val="single" w:sz="2" w:space="0" w:color="1F4E79" w:themeColor="accent1" w:themeShade="80"/>
              <w:left w:val="nil"/>
              <w:bottom w:val="single" w:sz="2" w:space="0" w:color="1F4E79" w:themeColor="accent1" w:themeShade="80"/>
              <w:right w:val="nil"/>
            </w:tcBorders>
            <w:shd w:val="clear" w:color="auto" w:fill="auto"/>
            <w:vAlign w:val="center"/>
          </w:tcPr>
          <w:p w14:paraId="5CB1D985" w14:textId="77777777" w:rsidR="008B7E19" w:rsidRPr="00AF47CC" w:rsidRDefault="008B7E19" w:rsidP="008B7E19">
            <w:pPr>
              <w:jc w:val="right"/>
              <w:cnfStyle w:val="100000000000" w:firstRow="1" w:lastRow="0" w:firstColumn="0" w:lastColumn="0" w:oddVBand="0" w:evenVBand="0" w:oddHBand="0" w:evenHBand="0" w:firstRowFirstColumn="0" w:firstRowLastColumn="0" w:lastRowFirstColumn="0" w:lastRowLastColumn="0"/>
              <w:rPr>
                <w:rFonts w:cs="Arial"/>
                <w:sz w:val="14"/>
                <w:szCs w:val="14"/>
              </w:rPr>
            </w:pPr>
            <w:r>
              <w:rPr>
                <w:rFonts w:cs="Arial"/>
                <w:sz w:val="14"/>
                <w:szCs w:val="14"/>
              </w:rPr>
              <w:t>Dec 31, 2022 (Restated balances)</w:t>
            </w:r>
          </w:p>
        </w:tc>
      </w:tr>
      <w:tr w:rsidR="008B7E19" w:rsidRPr="00AF47CC" w14:paraId="0DE09543"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395" w:type="dxa"/>
            <w:tcBorders>
              <w:top w:val="single" w:sz="2" w:space="0" w:color="1F4E79" w:themeColor="accent1" w:themeShade="80"/>
              <w:left w:val="nil"/>
              <w:bottom w:val="nil"/>
              <w:right w:val="nil"/>
            </w:tcBorders>
            <w:shd w:val="clear" w:color="auto" w:fill="auto"/>
            <w:vAlign w:val="center"/>
          </w:tcPr>
          <w:p w14:paraId="53580D1A" w14:textId="77777777" w:rsidR="008B7E19" w:rsidRPr="00AF47CC" w:rsidRDefault="008B7E19" w:rsidP="008B7E19">
            <w:pPr>
              <w:keepNext/>
              <w:keepLines/>
              <w:rPr>
                <w:rFonts w:eastAsia="Times New Roman" w:cs="Arial"/>
                <w:spacing w:val="-2"/>
                <w:sz w:val="14"/>
                <w:szCs w:val="14"/>
                <w:highlight w:val="yellow"/>
              </w:rPr>
            </w:pPr>
            <w:r>
              <w:rPr>
                <w:rFonts w:cs="Arial"/>
                <w:color w:val="000000"/>
                <w:sz w:val="14"/>
                <w:szCs w:val="14"/>
              </w:rPr>
              <w:t>Current Assets</w:t>
            </w:r>
          </w:p>
        </w:tc>
        <w:tc>
          <w:tcPr>
            <w:tcW w:w="2622" w:type="dxa"/>
            <w:tcBorders>
              <w:top w:val="single" w:sz="2" w:space="0" w:color="1F4E79" w:themeColor="accent1" w:themeShade="80"/>
              <w:left w:val="nil"/>
              <w:bottom w:val="nil"/>
              <w:right w:val="nil"/>
            </w:tcBorders>
            <w:shd w:val="clear" w:color="auto" w:fill="auto"/>
            <w:vAlign w:val="center"/>
          </w:tcPr>
          <w:p w14:paraId="73FB85FE" w14:textId="77777777" w:rsidR="008B7E19" w:rsidRPr="00AF47CC"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b/>
                <w:bCs/>
                <w:sz w:val="14"/>
                <w:szCs w:val="14"/>
                <w:highlight w:val="yellow"/>
              </w:rPr>
            </w:pPr>
            <w:r w:rsidRPr="003B13AF">
              <w:rPr>
                <w:rFonts w:cs="Arial"/>
                <w:b/>
                <w:bCs/>
                <w:color w:val="000000"/>
                <w:sz w:val="14"/>
                <w:szCs w:val="14"/>
              </w:rPr>
              <w:t>23</w:t>
            </w:r>
            <w:r>
              <w:rPr>
                <w:rFonts w:cs="Arial"/>
                <w:b/>
                <w:bCs/>
                <w:color w:val="000000"/>
                <w:sz w:val="14"/>
                <w:szCs w:val="14"/>
              </w:rPr>
              <w:t>,</w:t>
            </w:r>
            <w:r w:rsidRPr="003B13AF">
              <w:rPr>
                <w:rFonts w:cs="Arial"/>
                <w:b/>
                <w:bCs/>
                <w:color w:val="000000"/>
                <w:sz w:val="14"/>
                <w:szCs w:val="14"/>
              </w:rPr>
              <w:t>442</w:t>
            </w:r>
          </w:p>
        </w:tc>
        <w:tc>
          <w:tcPr>
            <w:tcW w:w="2623" w:type="dxa"/>
            <w:tcBorders>
              <w:top w:val="single" w:sz="2" w:space="0" w:color="1F4E79" w:themeColor="accent1" w:themeShade="80"/>
              <w:left w:val="nil"/>
              <w:bottom w:val="nil"/>
              <w:right w:val="nil"/>
            </w:tcBorders>
            <w:shd w:val="clear" w:color="auto" w:fill="auto"/>
            <w:vAlign w:val="center"/>
          </w:tcPr>
          <w:p w14:paraId="13506287" w14:textId="77777777" w:rsidR="008B7E19" w:rsidRPr="00AF47CC"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b/>
                <w:bCs/>
                <w:sz w:val="14"/>
                <w:szCs w:val="14"/>
                <w:highlight w:val="yellow"/>
              </w:rPr>
            </w:pPr>
            <w:r w:rsidRPr="003B13AF">
              <w:rPr>
                <w:rFonts w:cs="Arial"/>
                <w:b/>
                <w:bCs/>
                <w:color w:val="000000"/>
                <w:sz w:val="14"/>
                <w:szCs w:val="14"/>
              </w:rPr>
              <w:t>23</w:t>
            </w:r>
            <w:r>
              <w:rPr>
                <w:rFonts w:cs="Arial"/>
                <w:b/>
                <w:bCs/>
                <w:color w:val="000000"/>
                <w:sz w:val="14"/>
                <w:szCs w:val="14"/>
              </w:rPr>
              <w:t>,</w:t>
            </w:r>
            <w:r w:rsidRPr="003B13AF">
              <w:rPr>
                <w:rFonts w:cs="Arial"/>
                <w:b/>
                <w:bCs/>
                <w:color w:val="000000"/>
                <w:sz w:val="14"/>
                <w:szCs w:val="14"/>
              </w:rPr>
              <w:t>362</w:t>
            </w:r>
          </w:p>
        </w:tc>
      </w:tr>
      <w:tr w:rsidR="008B7E19" w:rsidRPr="00AF47CC" w14:paraId="7D832AE0" w14:textId="77777777" w:rsidTr="008B7E1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395" w:type="dxa"/>
            <w:tcBorders>
              <w:top w:val="nil"/>
              <w:left w:val="nil"/>
              <w:bottom w:val="nil"/>
              <w:right w:val="nil"/>
            </w:tcBorders>
            <w:shd w:val="clear" w:color="auto" w:fill="auto"/>
            <w:vAlign w:val="center"/>
          </w:tcPr>
          <w:p w14:paraId="7BCAD200" w14:textId="77777777" w:rsidR="008B7E19" w:rsidRPr="00AF47CC" w:rsidRDefault="008B7E19" w:rsidP="008B7E19">
            <w:pPr>
              <w:keepNext/>
              <w:keepLines/>
              <w:ind w:left="113"/>
              <w:rPr>
                <w:rFonts w:eastAsia="Times New Roman" w:cs="Arial"/>
                <w:b w:val="0"/>
                <w:bCs w:val="0"/>
                <w:spacing w:val="-2"/>
                <w:sz w:val="14"/>
                <w:szCs w:val="14"/>
                <w:highlight w:val="yellow"/>
              </w:rPr>
            </w:pPr>
            <w:r>
              <w:rPr>
                <w:rFonts w:cs="Arial"/>
                <w:b w:val="0"/>
                <w:bCs w:val="0"/>
                <w:color w:val="000000"/>
                <w:sz w:val="14"/>
                <w:szCs w:val="14"/>
              </w:rPr>
              <w:t>Receivables</w:t>
            </w:r>
          </w:p>
        </w:tc>
        <w:tc>
          <w:tcPr>
            <w:tcW w:w="2622" w:type="dxa"/>
            <w:tcBorders>
              <w:top w:val="nil"/>
              <w:left w:val="nil"/>
              <w:bottom w:val="nil"/>
              <w:right w:val="nil"/>
            </w:tcBorders>
            <w:shd w:val="clear" w:color="auto" w:fill="auto"/>
            <w:vAlign w:val="center"/>
          </w:tcPr>
          <w:p w14:paraId="2EE73FB7" w14:textId="77777777" w:rsidR="008B7E19" w:rsidRPr="00AF47CC"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sz w:val="14"/>
                <w:szCs w:val="14"/>
                <w:highlight w:val="yellow"/>
              </w:rPr>
            </w:pPr>
            <w:r w:rsidRPr="008A603F">
              <w:rPr>
                <w:rFonts w:cs="Arial"/>
                <w:color w:val="000000"/>
                <w:sz w:val="14"/>
                <w:szCs w:val="14"/>
              </w:rPr>
              <w:t>12</w:t>
            </w:r>
            <w:r>
              <w:rPr>
                <w:rFonts w:cs="Arial"/>
                <w:color w:val="000000"/>
                <w:sz w:val="14"/>
                <w:szCs w:val="14"/>
              </w:rPr>
              <w:t>,</w:t>
            </w:r>
            <w:r w:rsidRPr="008A603F">
              <w:rPr>
                <w:rFonts w:cs="Arial"/>
                <w:color w:val="000000"/>
                <w:sz w:val="14"/>
                <w:szCs w:val="14"/>
              </w:rPr>
              <w:t>003</w:t>
            </w:r>
          </w:p>
        </w:tc>
        <w:tc>
          <w:tcPr>
            <w:tcW w:w="2623" w:type="dxa"/>
            <w:tcBorders>
              <w:top w:val="nil"/>
              <w:left w:val="nil"/>
              <w:bottom w:val="nil"/>
              <w:right w:val="nil"/>
            </w:tcBorders>
            <w:shd w:val="clear" w:color="auto" w:fill="auto"/>
            <w:vAlign w:val="center"/>
          </w:tcPr>
          <w:p w14:paraId="788410BD" w14:textId="77777777" w:rsidR="008B7E19" w:rsidRPr="00AF47CC"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sz w:val="14"/>
                <w:szCs w:val="14"/>
                <w:highlight w:val="yellow"/>
              </w:rPr>
            </w:pPr>
            <w:r w:rsidRPr="003B13AF">
              <w:rPr>
                <w:rFonts w:cs="Arial"/>
                <w:sz w:val="14"/>
                <w:szCs w:val="14"/>
              </w:rPr>
              <w:t>12</w:t>
            </w:r>
            <w:r>
              <w:rPr>
                <w:rFonts w:cs="Arial"/>
                <w:sz w:val="14"/>
                <w:szCs w:val="14"/>
              </w:rPr>
              <w:t>,</w:t>
            </w:r>
            <w:r w:rsidRPr="003B13AF">
              <w:rPr>
                <w:rFonts w:cs="Arial"/>
                <w:sz w:val="14"/>
                <w:szCs w:val="14"/>
              </w:rPr>
              <w:t>082</w:t>
            </w:r>
          </w:p>
        </w:tc>
      </w:tr>
      <w:tr w:rsidR="008B7E19" w:rsidRPr="00AF47CC" w14:paraId="17A3BEE8"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395" w:type="dxa"/>
            <w:tcBorders>
              <w:top w:val="nil"/>
              <w:left w:val="nil"/>
              <w:bottom w:val="nil"/>
              <w:right w:val="nil"/>
            </w:tcBorders>
            <w:shd w:val="clear" w:color="auto" w:fill="auto"/>
            <w:vAlign w:val="center"/>
          </w:tcPr>
          <w:p w14:paraId="2C10DC45" w14:textId="77777777" w:rsidR="008B7E19" w:rsidRPr="00AF47CC" w:rsidRDefault="008B7E19" w:rsidP="008B7E19">
            <w:pPr>
              <w:keepNext/>
              <w:keepLines/>
              <w:ind w:left="113"/>
              <w:rPr>
                <w:rFonts w:eastAsia="Times New Roman" w:cs="Arial"/>
                <w:b w:val="0"/>
                <w:bCs w:val="0"/>
                <w:spacing w:val="-2"/>
                <w:sz w:val="14"/>
                <w:szCs w:val="14"/>
                <w:highlight w:val="yellow"/>
              </w:rPr>
            </w:pPr>
            <w:r>
              <w:rPr>
                <w:rFonts w:cs="Arial"/>
                <w:b w:val="0"/>
                <w:bCs w:val="0"/>
                <w:color w:val="000000"/>
                <w:sz w:val="14"/>
                <w:szCs w:val="14"/>
              </w:rPr>
              <w:t>Financial Instruments</w:t>
            </w:r>
          </w:p>
        </w:tc>
        <w:tc>
          <w:tcPr>
            <w:tcW w:w="2622" w:type="dxa"/>
            <w:tcBorders>
              <w:top w:val="nil"/>
              <w:left w:val="nil"/>
              <w:bottom w:val="nil"/>
              <w:right w:val="nil"/>
            </w:tcBorders>
            <w:shd w:val="clear" w:color="auto" w:fill="auto"/>
            <w:vAlign w:val="center"/>
          </w:tcPr>
          <w:p w14:paraId="1DDF1783" w14:textId="77777777" w:rsidR="008B7E19" w:rsidRPr="00AF47CC"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highlight w:val="yellow"/>
              </w:rPr>
            </w:pPr>
            <w:r w:rsidRPr="008A603F">
              <w:rPr>
                <w:rFonts w:cs="Arial"/>
                <w:color w:val="000000"/>
                <w:sz w:val="14"/>
                <w:szCs w:val="14"/>
              </w:rPr>
              <w:t>9</w:t>
            </w:r>
            <w:r>
              <w:rPr>
                <w:rFonts w:cs="Arial"/>
                <w:color w:val="000000"/>
                <w:sz w:val="14"/>
                <w:szCs w:val="14"/>
              </w:rPr>
              <w:t>,</w:t>
            </w:r>
            <w:r w:rsidRPr="008A603F">
              <w:rPr>
                <w:rFonts w:cs="Arial"/>
                <w:color w:val="000000"/>
                <w:sz w:val="14"/>
                <w:szCs w:val="14"/>
              </w:rPr>
              <w:t>553</w:t>
            </w:r>
          </w:p>
        </w:tc>
        <w:tc>
          <w:tcPr>
            <w:tcW w:w="2623" w:type="dxa"/>
            <w:tcBorders>
              <w:top w:val="nil"/>
              <w:left w:val="nil"/>
              <w:bottom w:val="nil"/>
              <w:right w:val="nil"/>
            </w:tcBorders>
            <w:shd w:val="clear" w:color="auto" w:fill="auto"/>
            <w:vAlign w:val="center"/>
          </w:tcPr>
          <w:p w14:paraId="1295CB45" w14:textId="77777777" w:rsidR="008B7E19" w:rsidRPr="00AF47CC"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highlight w:val="yellow"/>
              </w:rPr>
            </w:pPr>
            <w:r w:rsidRPr="003B13AF">
              <w:rPr>
                <w:rFonts w:cs="Arial"/>
                <w:sz w:val="14"/>
                <w:szCs w:val="14"/>
              </w:rPr>
              <w:t>9</w:t>
            </w:r>
            <w:r>
              <w:rPr>
                <w:rFonts w:cs="Arial"/>
                <w:sz w:val="14"/>
                <w:szCs w:val="14"/>
              </w:rPr>
              <w:t>,</w:t>
            </w:r>
            <w:r w:rsidRPr="003B13AF">
              <w:rPr>
                <w:rFonts w:cs="Arial"/>
                <w:sz w:val="14"/>
                <w:szCs w:val="14"/>
              </w:rPr>
              <w:t>487</w:t>
            </w:r>
          </w:p>
        </w:tc>
      </w:tr>
      <w:tr w:rsidR="008B7E19" w:rsidRPr="00AF47CC" w14:paraId="24CE2FA7" w14:textId="77777777" w:rsidTr="008B7E1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395" w:type="dxa"/>
            <w:tcBorders>
              <w:top w:val="nil"/>
              <w:left w:val="nil"/>
              <w:bottom w:val="nil"/>
              <w:right w:val="nil"/>
            </w:tcBorders>
            <w:shd w:val="clear" w:color="auto" w:fill="auto"/>
            <w:vAlign w:val="center"/>
          </w:tcPr>
          <w:p w14:paraId="7FDF7D87" w14:textId="77777777" w:rsidR="008B7E19" w:rsidRPr="00AF47CC" w:rsidRDefault="008B7E19" w:rsidP="008B7E19">
            <w:pPr>
              <w:keepNext/>
              <w:keepLines/>
              <w:ind w:left="113"/>
              <w:rPr>
                <w:rFonts w:cs="Arial"/>
                <w:b w:val="0"/>
                <w:bCs w:val="0"/>
                <w:color w:val="000000"/>
                <w:sz w:val="14"/>
                <w:szCs w:val="14"/>
              </w:rPr>
            </w:pPr>
            <w:r w:rsidRPr="00142668">
              <w:rPr>
                <w:rFonts w:cs="Arial"/>
                <w:b w:val="0"/>
                <w:bCs w:val="0"/>
                <w:color w:val="000000"/>
                <w:sz w:val="14"/>
                <w:szCs w:val="14"/>
              </w:rPr>
              <w:t>Current tax asset</w:t>
            </w:r>
          </w:p>
        </w:tc>
        <w:tc>
          <w:tcPr>
            <w:tcW w:w="2622" w:type="dxa"/>
            <w:tcBorders>
              <w:top w:val="nil"/>
              <w:left w:val="nil"/>
              <w:bottom w:val="nil"/>
              <w:right w:val="nil"/>
            </w:tcBorders>
            <w:shd w:val="clear" w:color="auto" w:fill="auto"/>
            <w:vAlign w:val="center"/>
          </w:tcPr>
          <w:p w14:paraId="3BDFAD89" w14:textId="77777777" w:rsidR="008B7E19" w:rsidRPr="00AF47CC" w:rsidRDefault="008B7E19" w:rsidP="008B7E19">
            <w:pPr>
              <w:keepNext/>
              <w:keepLines/>
              <w:jc w:val="right"/>
              <w:cnfStyle w:val="000000010000" w:firstRow="0" w:lastRow="0" w:firstColumn="0" w:lastColumn="0" w:oddVBand="0" w:evenVBand="0" w:oddHBand="0" w:evenHBand="1" w:firstRowFirstColumn="0" w:firstRowLastColumn="0" w:lastRowFirstColumn="0" w:lastRowLastColumn="0"/>
              <w:rPr>
                <w:rFonts w:cs="Arial"/>
                <w:color w:val="000000"/>
                <w:sz w:val="14"/>
                <w:szCs w:val="14"/>
                <w:highlight w:val="yellow"/>
              </w:rPr>
            </w:pPr>
            <w:r w:rsidRPr="008A603F">
              <w:rPr>
                <w:rFonts w:cs="Arial"/>
                <w:color w:val="000000"/>
                <w:sz w:val="14"/>
                <w:szCs w:val="14"/>
              </w:rPr>
              <w:t>1</w:t>
            </w:r>
            <w:r>
              <w:rPr>
                <w:rFonts w:cs="Arial"/>
                <w:color w:val="000000"/>
                <w:sz w:val="14"/>
                <w:szCs w:val="14"/>
              </w:rPr>
              <w:t>,</w:t>
            </w:r>
            <w:r w:rsidRPr="008A603F">
              <w:rPr>
                <w:rFonts w:cs="Arial"/>
                <w:color w:val="000000"/>
                <w:sz w:val="14"/>
                <w:szCs w:val="14"/>
              </w:rPr>
              <w:t>646</w:t>
            </w:r>
          </w:p>
        </w:tc>
        <w:tc>
          <w:tcPr>
            <w:tcW w:w="2623" w:type="dxa"/>
            <w:tcBorders>
              <w:top w:val="nil"/>
              <w:left w:val="nil"/>
              <w:bottom w:val="nil"/>
              <w:right w:val="nil"/>
            </w:tcBorders>
            <w:shd w:val="clear" w:color="auto" w:fill="auto"/>
            <w:vAlign w:val="center"/>
          </w:tcPr>
          <w:p w14:paraId="0F11469A" w14:textId="77777777" w:rsidR="008B7E19" w:rsidRPr="00AF47CC" w:rsidRDefault="008B7E19" w:rsidP="008B7E19">
            <w:pPr>
              <w:keepNext/>
              <w:keepLines/>
              <w:jc w:val="right"/>
              <w:cnfStyle w:val="000000010000" w:firstRow="0" w:lastRow="0" w:firstColumn="0" w:lastColumn="0" w:oddVBand="0" w:evenVBand="0" w:oddHBand="0" w:evenHBand="1" w:firstRowFirstColumn="0" w:firstRowLastColumn="0" w:lastRowFirstColumn="0" w:lastRowLastColumn="0"/>
              <w:rPr>
                <w:rFonts w:cs="Arial"/>
                <w:color w:val="000000"/>
                <w:sz w:val="14"/>
                <w:szCs w:val="14"/>
                <w:highlight w:val="yellow"/>
              </w:rPr>
            </w:pPr>
            <w:r w:rsidRPr="003B13AF">
              <w:rPr>
                <w:rFonts w:cs="Arial"/>
                <w:sz w:val="14"/>
                <w:szCs w:val="14"/>
              </w:rPr>
              <w:t>1</w:t>
            </w:r>
            <w:r>
              <w:rPr>
                <w:rFonts w:cs="Arial"/>
                <w:sz w:val="14"/>
                <w:szCs w:val="14"/>
              </w:rPr>
              <w:t>,</w:t>
            </w:r>
            <w:r w:rsidRPr="003B13AF">
              <w:rPr>
                <w:rFonts w:cs="Arial"/>
                <w:sz w:val="14"/>
                <w:szCs w:val="14"/>
              </w:rPr>
              <w:t>651</w:t>
            </w:r>
          </w:p>
        </w:tc>
      </w:tr>
      <w:tr w:rsidR="008B7E19" w:rsidRPr="00AF47CC" w14:paraId="294B9875"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395" w:type="dxa"/>
            <w:tcBorders>
              <w:top w:val="nil"/>
              <w:left w:val="nil"/>
              <w:bottom w:val="nil"/>
              <w:right w:val="nil"/>
            </w:tcBorders>
            <w:shd w:val="clear" w:color="auto" w:fill="auto"/>
            <w:vAlign w:val="center"/>
          </w:tcPr>
          <w:p w14:paraId="1506EBDE" w14:textId="77777777" w:rsidR="008B7E19" w:rsidRPr="00AF47CC" w:rsidRDefault="008B7E19" w:rsidP="008B7E19">
            <w:pPr>
              <w:keepNext/>
              <w:keepLines/>
              <w:ind w:left="113"/>
              <w:rPr>
                <w:rFonts w:cs="Arial"/>
                <w:b w:val="0"/>
                <w:bCs w:val="0"/>
                <w:color w:val="000000"/>
                <w:sz w:val="14"/>
                <w:szCs w:val="14"/>
              </w:rPr>
            </w:pPr>
            <w:r>
              <w:rPr>
                <w:rFonts w:cs="Arial"/>
                <w:b w:val="0"/>
                <w:bCs w:val="0"/>
                <w:color w:val="000000"/>
                <w:sz w:val="14"/>
                <w:szCs w:val="14"/>
              </w:rPr>
              <w:t>Other assets</w:t>
            </w:r>
          </w:p>
        </w:tc>
        <w:tc>
          <w:tcPr>
            <w:tcW w:w="2622" w:type="dxa"/>
            <w:tcBorders>
              <w:top w:val="nil"/>
              <w:left w:val="nil"/>
              <w:bottom w:val="nil"/>
              <w:right w:val="nil"/>
            </w:tcBorders>
            <w:shd w:val="clear" w:color="auto" w:fill="auto"/>
            <w:vAlign w:val="center"/>
          </w:tcPr>
          <w:p w14:paraId="45936117" w14:textId="77777777" w:rsidR="008B7E19" w:rsidRPr="00AF47CC"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highlight w:val="yellow"/>
              </w:rPr>
            </w:pPr>
            <w:r w:rsidRPr="008A603F">
              <w:rPr>
                <w:rFonts w:cs="Arial"/>
                <w:color w:val="000000"/>
                <w:sz w:val="14"/>
                <w:szCs w:val="14"/>
              </w:rPr>
              <w:t>2</w:t>
            </w:r>
            <w:r>
              <w:rPr>
                <w:rFonts w:cs="Arial"/>
                <w:color w:val="000000"/>
                <w:sz w:val="14"/>
                <w:szCs w:val="14"/>
              </w:rPr>
              <w:t>40</w:t>
            </w:r>
          </w:p>
        </w:tc>
        <w:tc>
          <w:tcPr>
            <w:tcW w:w="2623" w:type="dxa"/>
            <w:tcBorders>
              <w:top w:val="nil"/>
              <w:left w:val="nil"/>
              <w:bottom w:val="nil"/>
              <w:right w:val="nil"/>
            </w:tcBorders>
            <w:shd w:val="clear" w:color="auto" w:fill="auto"/>
            <w:vAlign w:val="center"/>
          </w:tcPr>
          <w:p w14:paraId="42008719" w14:textId="77777777" w:rsidR="008B7E19" w:rsidRPr="00AF47CC"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highlight w:val="yellow"/>
              </w:rPr>
            </w:pPr>
            <w:r w:rsidRPr="003B13AF">
              <w:rPr>
                <w:rFonts w:cs="Arial"/>
                <w:sz w:val="14"/>
                <w:szCs w:val="14"/>
              </w:rPr>
              <w:t>14</w:t>
            </w:r>
            <w:r>
              <w:rPr>
                <w:rFonts w:cs="Arial"/>
                <w:sz w:val="14"/>
                <w:szCs w:val="14"/>
              </w:rPr>
              <w:t>2</w:t>
            </w:r>
          </w:p>
        </w:tc>
      </w:tr>
      <w:tr w:rsidR="008B7E19" w:rsidRPr="00AF47CC" w14:paraId="63685EE9" w14:textId="77777777" w:rsidTr="008B7E1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395" w:type="dxa"/>
            <w:tcBorders>
              <w:top w:val="nil"/>
              <w:left w:val="nil"/>
              <w:bottom w:val="nil"/>
              <w:right w:val="nil"/>
            </w:tcBorders>
            <w:shd w:val="clear" w:color="auto" w:fill="auto"/>
            <w:vAlign w:val="center"/>
          </w:tcPr>
          <w:p w14:paraId="54249A31" w14:textId="77777777" w:rsidR="008B7E19" w:rsidRPr="00AF47CC" w:rsidRDefault="008B7E19" w:rsidP="008B7E19">
            <w:pPr>
              <w:keepNext/>
              <w:keepLines/>
              <w:rPr>
                <w:rFonts w:cs="Arial"/>
                <w:color w:val="000000"/>
                <w:sz w:val="14"/>
                <w:szCs w:val="14"/>
              </w:rPr>
            </w:pPr>
            <w:r>
              <w:rPr>
                <w:rFonts w:cs="Arial"/>
                <w:color w:val="000000"/>
                <w:sz w:val="14"/>
                <w:szCs w:val="14"/>
              </w:rPr>
              <w:t>Non-current assets</w:t>
            </w:r>
          </w:p>
        </w:tc>
        <w:tc>
          <w:tcPr>
            <w:tcW w:w="2622" w:type="dxa"/>
            <w:tcBorders>
              <w:top w:val="nil"/>
              <w:left w:val="nil"/>
              <w:bottom w:val="nil"/>
              <w:right w:val="nil"/>
            </w:tcBorders>
            <w:shd w:val="clear" w:color="auto" w:fill="auto"/>
            <w:vAlign w:val="center"/>
          </w:tcPr>
          <w:p w14:paraId="1B3C33E7" w14:textId="77777777" w:rsidR="008B7E19" w:rsidRPr="00AF47CC"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b/>
                <w:bCs/>
                <w:sz w:val="14"/>
                <w:szCs w:val="14"/>
                <w:highlight w:val="yellow"/>
              </w:rPr>
            </w:pPr>
            <w:r w:rsidRPr="003B13AF">
              <w:rPr>
                <w:rFonts w:cs="Arial"/>
                <w:b/>
                <w:bCs/>
                <w:color w:val="000000"/>
                <w:sz w:val="14"/>
                <w:szCs w:val="14"/>
              </w:rPr>
              <w:t>2</w:t>
            </w:r>
            <w:r>
              <w:rPr>
                <w:rFonts w:cs="Arial"/>
                <w:b/>
                <w:bCs/>
                <w:color w:val="000000"/>
                <w:sz w:val="14"/>
                <w:szCs w:val="14"/>
              </w:rPr>
              <w:t>,</w:t>
            </w:r>
            <w:r w:rsidRPr="003B13AF">
              <w:rPr>
                <w:rFonts w:cs="Arial"/>
                <w:b/>
                <w:bCs/>
                <w:color w:val="000000"/>
                <w:sz w:val="14"/>
                <w:szCs w:val="14"/>
              </w:rPr>
              <w:t>949</w:t>
            </w:r>
            <w:r>
              <w:rPr>
                <w:rFonts w:cs="Arial"/>
                <w:b/>
                <w:bCs/>
                <w:color w:val="000000"/>
                <w:sz w:val="14"/>
                <w:szCs w:val="14"/>
              </w:rPr>
              <w:t>,</w:t>
            </w:r>
            <w:r w:rsidRPr="003B13AF">
              <w:rPr>
                <w:rFonts w:cs="Arial"/>
                <w:b/>
                <w:bCs/>
                <w:color w:val="000000"/>
                <w:sz w:val="14"/>
                <w:szCs w:val="14"/>
              </w:rPr>
              <w:t>804</w:t>
            </w:r>
          </w:p>
        </w:tc>
        <w:tc>
          <w:tcPr>
            <w:tcW w:w="2623" w:type="dxa"/>
            <w:tcBorders>
              <w:top w:val="nil"/>
              <w:left w:val="nil"/>
              <w:bottom w:val="nil"/>
              <w:right w:val="nil"/>
            </w:tcBorders>
            <w:shd w:val="clear" w:color="auto" w:fill="auto"/>
            <w:vAlign w:val="center"/>
          </w:tcPr>
          <w:p w14:paraId="6F9FE02F" w14:textId="77777777" w:rsidR="008B7E19" w:rsidRPr="00AF47CC"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b/>
                <w:bCs/>
                <w:sz w:val="14"/>
                <w:szCs w:val="14"/>
                <w:highlight w:val="yellow"/>
              </w:rPr>
            </w:pPr>
            <w:r w:rsidRPr="003B13AF">
              <w:rPr>
                <w:rFonts w:cs="Arial"/>
                <w:b/>
                <w:bCs/>
                <w:sz w:val="14"/>
                <w:szCs w:val="14"/>
              </w:rPr>
              <w:t>2</w:t>
            </w:r>
            <w:r>
              <w:rPr>
                <w:rFonts w:cs="Arial"/>
                <w:b/>
                <w:bCs/>
                <w:sz w:val="14"/>
                <w:szCs w:val="14"/>
              </w:rPr>
              <w:t>,</w:t>
            </w:r>
            <w:r w:rsidRPr="003B13AF">
              <w:rPr>
                <w:rFonts w:cs="Arial"/>
                <w:b/>
                <w:bCs/>
                <w:sz w:val="14"/>
                <w:szCs w:val="14"/>
              </w:rPr>
              <w:t>720</w:t>
            </w:r>
            <w:r>
              <w:rPr>
                <w:rFonts w:cs="Arial"/>
                <w:b/>
                <w:bCs/>
                <w:sz w:val="14"/>
                <w:szCs w:val="14"/>
              </w:rPr>
              <w:t>,</w:t>
            </w:r>
            <w:r w:rsidRPr="003B13AF">
              <w:rPr>
                <w:rFonts w:cs="Arial"/>
                <w:b/>
                <w:bCs/>
                <w:sz w:val="14"/>
                <w:szCs w:val="14"/>
              </w:rPr>
              <w:t>155</w:t>
            </w:r>
          </w:p>
        </w:tc>
      </w:tr>
      <w:tr w:rsidR="008B7E19" w:rsidRPr="00AF47CC" w14:paraId="410B452F"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395" w:type="dxa"/>
            <w:tcBorders>
              <w:top w:val="nil"/>
              <w:left w:val="nil"/>
              <w:bottom w:val="nil"/>
              <w:right w:val="nil"/>
            </w:tcBorders>
            <w:shd w:val="clear" w:color="auto" w:fill="auto"/>
            <w:vAlign w:val="center"/>
          </w:tcPr>
          <w:p w14:paraId="360E09F4" w14:textId="77777777" w:rsidR="008B7E19" w:rsidRPr="00AF47CC" w:rsidRDefault="008B7E19" w:rsidP="008B7E19">
            <w:pPr>
              <w:keepNext/>
              <w:keepLines/>
              <w:ind w:left="113"/>
              <w:rPr>
                <w:rFonts w:cs="Arial"/>
                <w:b w:val="0"/>
                <w:bCs w:val="0"/>
                <w:color w:val="000000"/>
                <w:sz w:val="14"/>
                <w:szCs w:val="14"/>
              </w:rPr>
            </w:pPr>
            <w:r>
              <w:rPr>
                <w:rFonts w:cs="Arial"/>
                <w:b w:val="0"/>
                <w:bCs w:val="0"/>
                <w:color w:val="000000"/>
                <w:sz w:val="14"/>
                <w:szCs w:val="14"/>
              </w:rPr>
              <w:t>Investments in associates</w:t>
            </w:r>
          </w:p>
        </w:tc>
        <w:tc>
          <w:tcPr>
            <w:tcW w:w="2622" w:type="dxa"/>
            <w:tcBorders>
              <w:top w:val="nil"/>
              <w:left w:val="nil"/>
              <w:bottom w:val="nil"/>
              <w:right w:val="nil"/>
            </w:tcBorders>
            <w:shd w:val="clear" w:color="auto" w:fill="auto"/>
            <w:vAlign w:val="center"/>
          </w:tcPr>
          <w:p w14:paraId="53A0B267" w14:textId="77777777" w:rsidR="008B7E19" w:rsidRPr="00AF47CC" w:rsidRDefault="008B7E19" w:rsidP="008B7E19">
            <w:pPr>
              <w:keepNext/>
              <w:keepLines/>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highlight w:val="yellow"/>
              </w:rPr>
            </w:pPr>
            <w:r w:rsidRPr="008A603F">
              <w:rPr>
                <w:rFonts w:cs="Arial"/>
                <w:color w:val="000000"/>
                <w:sz w:val="14"/>
                <w:szCs w:val="14"/>
              </w:rPr>
              <w:t>2</w:t>
            </w:r>
            <w:r>
              <w:rPr>
                <w:rFonts w:cs="Arial"/>
                <w:color w:val="000000"/>
                <w:sz w:val="14"/>
                <w:szCs w:val="14"/>
              </w:rPr>
              <w:t>,</w:t>
            </w:r>
            <w:r w:rsidRPr="008A603F">
              <w:rPr>
                <w:rFonts w:cs="Arial"/>
                <w:color w:val="000000"/>
                <w:sz w:val="14"/>
                <w:szCs w:val="14"/>
              </w:rPr>
              <w:t>949</w:t>
            </w:r>
            <w:r>
              <w:rPr>
                <w:rFonts w:cs="Arial"/>
                <w:color w:val="000000"/>
                <w:sz w:val="14"/>
                <w:szCs w:val="14"/>
              </w:rPr>
              <w:t>,</w:t>
            </w:r>
            <w:r w:rsidRPr="008A603F">
              <w:rPr>
                <w:rFonts w:cs="Arial"/>
                <w:color w:val="000000"/>
                <w:sz w:val="14"/>
                <w:szCs w:val="14"/>
              </w:rPr>
              <w:t>520</w:t>
            </w:r>
          </w:p>
        </w:tc>
        <w:tc>
          <w:tcPr>
            <w:tcW w:w="2623" w:type="dxa"/>
            <w:tcBorders>
              <w:top w:val="nil"/>
              <w:left w:val="nil"/>
              <w:bottom w:val="nil"/>
              <w:right w:val="nil"/>
            </w:tcBorders>
            <w:shd w:val="clear" w:color="auto" w:fill="auto"/>
            <w:vAlign w:val="center"/>
          </w:tcPr>
          <w:p w14:paraId="56E8EE50" w14:textId="77777777" w:rsidR="008B7E19" w:rsidRPr="003C32ED" w:rsidRDefault="008B7E19" w:rsidP="008B7E19">
            <w:pPr>
              <w:keepNext/>
              <w:keepLines/>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3B13AF">
              <w:rPr>
                <w:rFonts w:cs="Arial"/>
                <w:sz w:val="14"/>
                <w:szCs w:val="14"/>
              </w:rPr>
              <w:t>2</w:t>
            </w:r>
            <w:r>
              <w:rPr>
                <w:rFonts w:cs="Arial"/>
                <w:sz w:val="14"/>
                <w:szCs w:val="14"/>
              </w:rPr>
              <w:t>,</w:t>
            </w:r>
            <w:r w:rsidRPr="003B13AF">
              <w:rPr>
                <w:rFonts w:cs="Arial"/>
                <w:sz w:val="14"/>
                <w:szCs w:val="14"/>
              </w:rPr>
              <w:t>719</w:t>
            </w:r>
            <w:r>
              <w:rPr>
                <w:rFonts w:cs="Arial"/>
                <w:sz w:val="14"/>
                <w:szCs w:val="14"/>
              </w:rPr>
              <w:t>,</w:t>
            </w:r>
            <w:r w:rsidRPr="003B13AF">
              <w:rPr>
                <w:rFonts w:cs="Arial"/>
                <w:sz w:val="14"/>
                <w:szCs w:val="14"/>
              </w:rPr>
              <w:t>867</w:t>
            </w:r>
          </w:p>
        </w:tc>
      </w:tr>
      <w:tr w:rsidR="008B7E19" w:rsidRPr="00AF47CC" w14:paraId="54286148" w14:textId="77777777" w:rsidTr="008B7E1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395" w:type="dxa"/>
            <w:tcBorders>
              <w:top w:val="nil"/>
              <w:left w:val="nil"/>
              <w:bottom w:val="nil"/>
              <w:right w:val="nil"/>
            </w:tcBorders>
            <w:shd w:val="clear" w:color="auto" w:fill="auto"/>
            <w:vAlign w:val="center"/>
          </w:tcPr>
          <w:p w14:paraId="6869F8E9" w14:textId="77777777" w:rsidR="008B7E19" w:rsidRPr="00AF47CC" w:rsidRDefault="008B7E19" w:rsidP="008B7E19">
            <w:pPr>
              <w:keepNext/>
              <w:keepLines/>
              <w:ind w:left="113"/>
              <w:rPr>
                <w:rFonts w:cs="Arial"/>
                <w:b w:val="0"/>
                <w:bCs w:val="0"/>
                <w:color w:val="000000"/>
                <w:sz w:val="14"/>
                <w:szCs w:val="14"/>
              </w:rPr>
            </w:pPr>
            <w:r>
              <w:rPr>
                <w:rFonts w:cs="Arial"/>
                <w:b w:val="0"/>
                <w:bCs w:val="0"/>
                <w:color w:val="000000"/>
                <w:sz w:val="14"/>
                <w:szCs w:val="14"/>
              </w:rPr>
              <w:t>Other assets</w:t>
            </w:r>
          </w:p>
        </w:tc>
        <w:tc>
          <w:tcPr>
            <w:tcW w:w="2622" w:type="dxa"/>
            <w:tcBorders>
              <w:top w:val="nil"/>
              <w:left w:val="nil"/>
              <w:bottom w:val="nil"/>
              <w:right w:val="nil"/>
            </w:tcBorders>
            <w:shd w:val="clear" w:color="auto" w:fill="auto"/>
            <w:vAlign w:val="center"/>
          </w:tcPr>
          <w:p w14:paraId="447EDE82" w14:textId="77777777" w:rsidR="008B7E19" w:rsidRPr="00AF47CC"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sz w:val="14"/>
                <w:szCs w:val="14"/>
                <w:highlight w:val="yellow"/>
              </w:rPr>
            </w:pPr>
            <w:r w:rsidRPr="008A603F">
              <w:rPr>
                <w:rFonts w:cs="Arial"/>
                <w:color w:val="000000"/>
                <w:sz w:val="14"/>
                <w:szCs w:val="14"/>
              </w:rPr>
              <w:t>284</w:t>
            </w:r>
          </w:p>
        </w:tc>
        <w:tc>
          <w:tcPr>
            <w:tcW w:w="2623" w:type="dxa"/>
            <w:tcBorders>
              <w:top w:val="nil"/>
              <w:left w:val="nil"/>
              <w:bottom w:val="nil"/>
              <w:right w:val="nil"/>
            </w:tcBorders>
            <w:shd w:val="clear" w:color="auto" w:fill="auto"/>
            <w:vAlign w:val="center"/>
          </w:tcPr>
          <w:p w14:paraId="522AEF3A" w14:textId="77777777" w:rsidR="008B7E19" w:rsidRPr="003C32ED" w:rsidRDefault="008B7E19" w:rsidP="008B7E19">
            <w:pPr>
              <w:keepNext/>
              <w:keepLines/>
              <w:jc w:val="right"/>
              <w:cnfStyle w:val="000000010000" w:firstRow="0" w:lastRow="0" w:firstColumn="0" w:lastColumn="0" w:oddVBand="0" w:evenVBand="0" w:oddHBand="0" w:evenHBand="1" w:firstRowFirstColumn="0" w:firstRowLastColumn="0" w:lastRowFirstColumn="0" w:lastRowLastColumn="0"/>
              <w:rPr>
                <w:rFonts w:cs="Arial"/>
                <w:color w:val="000000"/>
                <w:sz w:val="14"/>
                <w:szCs w:val="14"/>
              </w:rPr>
            </w:pPr>
            <w:r w:rsidRPr="003B13AF">
              <w:rPr>
                <w:rFonts w:cs="Arial"/>
                <w:sz w:val="14"/>
                <w:szCs w:val="14"/>
              </w:rPr>
              <w:t>28</w:t>
            </w:r>
            <w:r>
              <w:rPr>
                <w:rFonts w:cs="Arial"/>
                <w:sz w:val="14"/>
                <w:szCs w:val="14"/>
              </w:rPr>
              <w:t>8</w:t>
            </w:r>
          </w:p>
        </w:tc>
      </w:tr>
      <w:tr w:rsidR="008B7E19" w:rsidRPr="00AF47CC" w14:paraId="46F79486"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395" w:type="dxa"/>
            <w:tcBorders>
              <w:top w:val="nil"/>
              <w:left w:val="nil"/>
              <w:bottom w:val="nil"/>
              <w:right w:val="nil"/>
            </w:tcBorders>
            <w:shd w:val="clear" w:color="auto" w:fill="auto"/>
            <w:vAlign w:val="center"/>
          </w:tcPr>
          <w:p w14:paraId="2C28DF80" w14:textId="77777777" w:rsidR="008B7E19" w:rsidRPr="00AF47CC" w:rsidRDefault="008B7E19" w:rsidP="008B7E19">
            <w:pPr>
              <w:keepNext/>
              <w:keepLines/>
              <w:rPr>
                <w:rFonts w:cs="Arial"/>
                <w:color w:val="000000"/>
                <w:sz w:val="14"/>
                <w:szCs w:val="14"/>
              </w:rPr>
            </w:pPr>
            <w:r>
              <w:rPr>
                <w:rFonts w:cs="Arial"/>
                <w:color w:val="000000"/>
                <w:sz w:val="14"/>
                <w:szCs w:val="14"/>
              </w:rPr>
              <w:t>Total Assets</w:t>
            </w:r>
          </w:p>
        </w:tc>
        <w:tc>
          <w:tcPr>
            <w:tcW w:w="2622" w:type="dxa"/>
            <w:tcBorders>
              <w:top w:val="nil"/>
              <w:left w:val="nil"/>
              <w:bottom w:val="nil"/>
              <w:right w:val="nil"/>
            </w:tcBorders>
            <w:shd w:val="clear" w:color="auto" w:fill="auto"/>
            <w:vAlign w:val="center"/>
          </w:tcPr>
          <w:p w14:paraId="3712EAE5" w14:textId="77777777" w:rsidR="008B7E19" w:rsidRPr="00AF47CC"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b/>
                <w:bCs/>
                <w:sz w:val="14"/>
                <w:szCs w:val="14"/>
                <w:highlight w:val="yellow"/>
              </w:rPr>
            </w:pPr>
            <w:r w:rsidRPr="003B13AF">
              <w:rPr>
                <w:rFonts w:cs="Arial"/>
                <w:b/>
                <w:bCs/>
                <w:color w:val="000000"/>
                <w:sz w:val="14"/>
                <w:szCs w:val="14"/>
              </w:rPr>
              <w:t>2</w:t>
            </w:r>
            <w:r>
              <w:rPr>
                <w:rFonts w:cs="Arial"/>
                <w:b/>
                <w:bCs/>
                <w:color w:val="000000"/>
                <w:sz w:val="14"/>
                <w:szCs w:val="14"/>
              </w:rPr>
              <w:t>,</w:t>
            </w:r>
            <w:r w:rsidRPr="003B13AF">
              <w:rPr>
                <w:rFonts w:cs="Arial"/>
                <w:b/>
                <w:bCs/>
                <w:color w:val="000000"/>
                <w:sz w:val="14"/>
                <w:szCs w:val="14"/>
              </w:rPr>
              <w:t>973</w:t>
            </w:r>
            <w:r>
              <w:rPr>
                <w:rFonts w:cs="Arial"/>
                <w:b/>
                <w:bCs/>
                <w:color w:val="000000"/>
                <w:sz w:val="14"/>
                <w:szCs w:val="14"/>
              </w:rPr>
              <w:t>,</w:t>
            </w:r>
            <w:r w:rsidRPr="003B13AF">
              <w:rPr>
                <w:rFonts w:cs="Arial"/>
                <w:b/>
                <w:bCs/>
                <w:color w:val="000000"/>
                <w:sz w:val="14"/>
                <w:szCs w:val="14"/>
              </w:rPr>
              <w:t>246</w:t>
            </w:r>
          </w:p>
        </w:tc>
        <w:tc>
          <w:tcPr>
            <w:tcW w:w="2623" w:type="dxa"/>
            <w:tcBorders>
              <w:top w:val="nil"/>
              <w:left w:val="nil"/>
              <w:bottom w:val="nil"/>
              <w:right w:val="nil"/>
            </w:tcBorders>
            <w:shd w:val="clear" w:color="auto" w:fill="auto"/>
            <w:vAlign w:val="center"/>
          </w:tcPr>
          <w:p w14:paraId="6BCA3246" w14:textId="77777777" w:rsidR="008B7E19" w:rsidRPr="00AF47CC"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b/>
                <w:bCs/>
                <w:sz w:val="14"/>
                <w:szCs w:val="14"/>
                <w:highlight w:val="yellow"/>
              </w:rPr>
            </w:pPr>
            <w:r w:rsidRPr="003B13AF">
              <w:rPr>
                <w:rFonts w:cs="Arial"/>
                <w:b/>
                <w:bCs/>
                <w:sz w:val="14"/>
                <w:szCs w:val="14"/>
              </w:rPr>
              <w:t>2</w:t>
            </w:r>
            <w:r>
              <w:rPr>
                <w:rFonts w:cs="Arial"/>
                <w:b/>
                <w:bCs/>
                <w:sz w:val="14"/>
                <w:szCs w:val="14"/>
              </w:rPr>
              <w:t>,</w:t>
            </w:r>
            <w:r w:rsidRPr="003B13AF">
              <w:rPr>
                <w:rFonts w:cs="Arial"/>
                <w:b/>
                <w:bCs/>
                <w:sz w:val="14"/>
                <w:szCs w:val="14"/>
              </w:rPr>
              <w:t>743</w:t>
            </w:r>
            <w:r>
              <w:rPr>
                <w:rFonts w:cs="Arial"/>
                <w:b/>
                <w:bCs/>
                <w:sz w:val="14"/>
                <w:szCs w:val="14"/>
              </w:rPr>
              <w:t>,</w:t>
            </w:r>
            <w:r w:rsidRPr="003B13AF">
              <w:rPr>
                <w:rFonts w:cs="Arial"/>
                <w:b/>
                <w:bCs/>
                <w:sz w:val="14"/>
                <w:szCs w:val="14"/>
              </w:rPr>
              <w:t>517</w:t>
            </w:r>
          </w:p>
        </w:tc>
      </w:tr>
      <w:tr w:rsidR="008B7E19" w:rsidRPr="00AF47CC" w14:paraId="0FFFD0DD" w14:textId="77777777" w:rsidTr="008B7E1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395" w:type="dxa"/>
            <w:tcBorders>
              <w:top w:val="nil"/>
              <w:left w:val="nil"/>
              <w:bottom w:val="nil"/>
              <w:right w:val="nil"/>
            </w:tcBorders>
            <w:shd w:val="clear" w:color="auto" w:fill="auto"/>
            <w:vAlign w:val="center"/>
          </w:tcPr>
          <w:p w14:paraId="2309C481" w14:textId="77777777" w:rsidR="008B7E19" w:rsidRPr="00AF47CC" w:rsidRDefault="008B7E19" w:rsidP="008B7E19">
            <w:pPr>
              <w:keepNext/>
              <w:keepLines/>
              <w:spacing w:before="40" w:after="40"/>
              <w:ind w:left="113"/>
              <w:rPr>
                <w:rFonts w:eastAsia="Times New Roman" w:cs="Arial"/>
                <w:b w:val="0"/>
                <w:bCs w:val="0"/>
                <w:spacing w:val="-2"/>
                <w:sz w:val="14"/>
                <w:szCs w:val="14"/>
                <w:highlight w:val="yellow"/>
              </w:rPr>
            </w:pPr>
          </w:p>
        </w:tc>
        <w:tc>
          <w:tcPr>
            <w:tcW w:w="2622" w:type="dxa"/>
            <w:tcBorders>
              <w:top w:val="nil"/>
              <w:left w:val="nil"/>
              <w:bottom w:val="nil"/>
              <w:right w:val="nil"/>
            </w:tcBorders>
            <w:shd w:val="clear" w:color="auto" w:fill="auto"/>
            <w:vAlign w:val="center"/>
          </w:tcPr>
          <w:p w14:paraId="48C44AF3" w14:textId="77777777" w:rsidR="008B7E19" w:rsidRPr="00AF47CC"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sz w:val="14"/>
                <w:szCs w:val="14"/>
                <w:highlight w:val="yellow"/>
              </w:rPr>
            </w:pPr>
          </w:p>
        </w:tc>
        <w:tc>
          <w:tcPr>
            <w:tcW w:w="2623" w:type="dxa"/>
            <w:tcBorders>
              <w:top w:val="nil"/>
              <w:left w:val="nil"/>
              <w:bottom w:val="nil"/>
              <w:right w:val="nil"/>
            </w:tcBorders>
            <w:shd w:val="clear" w:color="auto" w:fill="auto"/>
            <w:vAlign w:val="center"/>
          </w:tcPr>
          <w:p w14:paraId="2D7C2E0F" w14:textId="77777777" w:rsidR="008B7E19" w:rsidRPr="00AF47CC"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sz w:val="14"/>
                <w:szCs w:val="14"/>
                <w:highlight w:val="yellow"/>
              </w:rPr>
            </w:pPr>
          </w:p>
        </w:tc>
      </w:tr>
      <w:tr w:rsidR="008B7E19" w:rsidRPr="00AF47CC" w14:paraId="2604FADD"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395" w:type="dxa"/>
            <w:tcBorders>
              <w:top w:val="nil"/>
              <w:left w:val="nil"/>
              <w:bottom w:val="nil"/>
              <w:right w:val="nil"/>
            </w:tcBorders>
            <w:shd w:val="clear" w:color="auto" w:fill="auto"/>
            <w:vAlign w:val="center"/>
          </w:tcPr>
          <w:p w14:paraId="63FC78D6" w14:textId="77777777" w:rsidR="008B7E19" w:rsidRPr="00AF47CC" w:rsidRDefault="008B7E19" w:rsidP="008B7E19">
            <w:pPr>
              <w:keepNext/>
              <w:keepLines/>
              <w:rPr>
                <w:rFonts w:cs="Arial"/>
                <w:color w:val="000000"/>
                <w:sz w:val="14"/>
                <w:szCs w:val="14"/>
              </w:rPr>
            </w:pPr>
            <w:r>
              <w:rPr>
                <w:rFonts w:cs="Arial"/>
                <w:color w:val="000000"/>
                <w:sz w:val="14"/>
                <w:szCs w:val="14"/>
              </w:rPr>
              <w:t>Current Liabilities</w:t>
            </w:r>
          </w:p>
        </w:tc>
        <w:tc>
          <w:tcPr>
            <w:tcW w:w="2622" w:type="dxa"/>
            <w:tcBorders>
              <w:top w:val="nil"/>
              <w:left w:val="nil"/>
              <w:bottom w:val="nil"/>
              <w:right w:val="nil"/>
            </w:tcBorders>
            <w:shd w:val="clear" w:color="auto" w:fill="auto"/>
            <w:vAlign w:val="center"/>
          </w:tcPr>
          <w:p w14:paraId="67B49FAD" w14:textId="77777777" w:rsidR="008B7E19" w:rsidRPr="00AF47CC"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b/>
                <w:bCs/>
                <w:sz w:val="14"/>
                <w:szCs w:val="14"/>
                <w:highlight w:val="yellow"/>
              </w:rPr>
            </w:pPr>
            <w:r w:rsidRPr="00500AE6">
              <w:rPr>
                <w:rFonts w:cs="Arial"/>
                <w:b/>
                <w:bCs/>
                <w:color w:val="000000"/>
                <w:sz w:val="14"/>
                <w:szCs w:val="14"/>
              </w:rPr>
              <w:t>214</w:t>
            </w:r>
          </w:p>
        </w:tc>
        <w:tc>
          <w:tcPr>
            <w:tcW w:w="2623" w:type="dxa"/>
            <w:tcBorders>
              <w:top w:val="nil"/>
              <w:left w:val="nil"/>
              <w:bottom w:val="nil"/>
              <w:right w:val="nil"/>
            </w:tcBorders>
            <w:shd w:val="clear" w:color="auto" w:fill="auto"/>
          </w:tcPr>
          <w:p w14:paraId="175EAC4E" w14:textId="77777777" w:rsidR="008B7E19" w:rsidRPr="00AF47CC"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b/>
                <w:bCs/>
                <w:sz w:val="14"/>
                <w:szCs w:val="14"/>
                <w:highlight w:val="yellow"/>
              </w:rPr>
            </w:pPr>
            <w:r w:rsidRPr="00500AE6">
              <w:rPr>
                <w:rFonts w:cs="Arial"/>
                <w:b/>
                <w:bCs/>
                <w:sz w:val="14"/>
                <w:szCs w:val="14"/>
              </w:rPr>
              <w:t>175</w:t>
            </w:r>
          </w:p>
        </w:tc>
      </w:tr>
      <w:tr w:rsidR="008B7E19" w:rsidRPr="00AF47CC" w14:paraId="5B2B6BB7" w14:textId="77777777" w:rsidTr="008B7E1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395" w:type="dxa"/>
            <w:tcBorders>
              <w:top w:val="nil"/>
              <w:left w:val="nil"/>
              <w:bottom w:val="nil"/>
              <w:right w:val="nil"/>
            </w:tcBorders>
            <w:shd w:val="clear" w:color="auto" w:fill="auto"/>
            <w:vAlign w:val="center"/>
          </w:tcPr>
          <w:p w14:paraId="2818B18D" w14:textId="77777777" w:rsidR="008B7E19" w:rsidRPr="00AF47CC" w:rsidRDefault="008B7E19" w:rsidP="008B7E19">
            <w:pPr>
              <w:keepNext/>
              <w:keepLines/>
              <w:spacing w:before="40" w:after="40"/>
              <w:ind w:left="113"/>
              <w:rPr>
                <w:rFonts w:cs="Arial"/>
                <w:b w:val="0"/>
                <w:bCs w:val="0"/>
                <w:color w:val="000000"/>
                <w:sz w:val="14"/>
                <w:szCs w:val="14"/>
              </w:rPr>
            </w:pPr>
            <w:r w:rsidRPr="00142668">
              <w:rPr>
                <w:rFonts w:cs="Arial"/>
                <w:b w:val="0"/>
                <w:bCs w:val="0"/>
                <w:color w:val="000000"/>
                <w:sz w:val="14"/>
                <w:szCs w:val="14"/>
              </w:rPr>
              <w:t>Amounts payable</w:t>
            </w:r>
          </w:p>
        </w:tc>
        <w:tc>
          <w:tcPr>
            <w:tcW w:w="2622" w:type="dxa"/>
            <w:tcBorders>
              <w:top w:val="nil"/>
              <w:left w:val="nil"/>
              <w:bottom w:val="nil"/>
              <w:right w:val="nil"/>
            </w:tcBorders>
            <w:shd w:val="clear" w:color="auto" w:fill="auto"/>
            <w:vAlign w:val="center"/>
          </w:tcPr>
          <w:p w14:paraId="566029B7" w14:textId="77777777" w:rsidR="008B7E19" w:rsidRPr="00AF47CC"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sz w:val="14"/>
                <w:szCs w:val="14"/>
                <w:highlight w:val="yellow"/>
              </w:rPr>
            </w:pPr>
            <w:r w:rsidRPr="008A603F">
              <w:rPr>
                <w:rFonts w:cs="Arial"/>
                <w:color w:val="000000"/>
                <w:sz w:val="14"/>
                <w:szCs w:val="14"/>
              </w:rPr>
              <w:t>59</w:t>
            </w:r>
          </w:p>
        </w:tc>
        <w:tc>
          <w:tcPr>
            <w:tcW w:w="2623" w:type="dxa"/>
            <w:tcBorders>
              <w:top w:val="nil"/>
              <w:left w:val="nil"/>
              <w:bottom w:val="nil"/>
              <w:right w:val="nil"/>
            </w:tcBorders>
            <w:shd w:val="clear" w:color="auto" w:fill="auto"/>
          </w:tcPr>
          <w:p w14:paraId="422D33DD" w14:textId="77777777" w:rsidR="008B7E19" w:rsidRPr="00AF47CC"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sz w:val="14"/>
                <w:szCs w:val="14"/>
                <w:highlight w:val="yellow"/>
              </w:rPr>
            </w:pPr>
            <w:r w:rsidRPr="00500AE6">
              <w:rPr>
                <w:rFonts w:cs="Arial"/>
                <w:sz w:val="14"/>
                <w:szCs w:val="14"/>
              </w:rPr>
              <w:t>2</w:t>
            </w:r>
          </w:p>
        </w:tc>
      </w:tr>
      <w:tr w:rsidR="008B7E19" w:rsidRPr="00AF47CC" w14:paraId="4E431354"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395" w:type="dxa"/>
            <w:tcBorders>
              <w:top w:val="nil"/>
              <w:left w:val="nil"/>
              <w:bottom w:val="nil"/>
              <w:right w:val="nil"/>
            </w:tcBorders>
            <w:shd w:val="clear" w:color="auto" w:fill="auto"/>
            <w:vAlign w:val="center"/>
          </w:tcPr>
          <w:p w14:paraId="2BD041CB" w14:textId="77777777" w:rsidR="008B7E19" w:rsidRPr="00AF47CC" w:rsidRDefault="008B7E19" w:rsidP="008B7E19">
            <w:pPr>
              <w:keepNext/>
              <w:keepLines/>
              <w:spacing w:before="40" w:after="40"/>
              <w:ind w:left="113"/>
              <w:rPr>
                <w:rFonts w:cs="Arial"/>
                <w:b w:val="0"/>
                <w:bCs w:val="0"/>
                <w:color w:val="000000"/>
                <w:sz w:val="14"/>
                <w:szCs w:val="14"/>
              </w:rPr>
            </w:pPr>
            <w:r>
              <w:rPr>
                <w:rFonts w:cs="Arial"/>
                <w:b w:val="0"/>
                <w:bCs w:val="0"/>
                <w:color w:val="000000"/>
                <w:sz w:val="14"/>
                <w:szCs w:val="14"/>
              </w:rPr>
              <w:t>C</w:t>
            </w:r>
            <w:r w:rsidRPr="00142668">
              <w:rPr>
                <w:rFonts w:cs="Arial"/>
                <w:b w:val="0"/>
                <w:bCs w:val="0"/>
                <w:color w:val="000000"/>
                <w:sz w:val="14"/>
                <w:szCs w:val="14"/>
              </w:rPr>
              <w:t>urrent tax liability</w:t>
            </w:r>
          </w:p>
        </w:tc>
        <w:tc>
          <w:tcPr>
            <w:tcW w:w="2622" w:type="dxa"/>
            <w:tcBorders>
              <w:top w:val="nil"/>
              <w:left w:val="nil"/>
              <w:bottom w:val="nil"/>
              <w:right w:val="nil"/>
            </w:tcBorders>
            <w:shd w:val="clear" w:color="auto" w:fill="auto"/>
            <w:vAlign w:val="center"/>
          </w:tcPr>
          <w:p w14:paraId="6F78DB51" w14:textId="77777777" w:rsidR="008B7E19" w:rsidRPr="00AF47CC"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highlight w:val="yellow"/>
              </w:rPr>
            </w:pPr>
            <w:r w:rsidRPr="008A603F">
              <w:rPr>
                <w:rFonts w:cs="Arial"/>
                <w:color w:val="000000"/>
                <w:sz w:val="14"/>
                <w:szCs w:val="14"/>
              </w:rPr>
              <w:t>155</w:t>
            </w:r>
          </w:p>
        </w:tc>
        <w:tc>
          <w:tcPr>
            <w:tcW w:w="2623" w:type="dxa"/>
            <w:tcBorders>
              <w:top w:val="nil"/>
              <w:left w:val="nil"/>
              <w:bottom w:val="nil"/>
              <w:right w:val="nil"/>
            </w:tcBorders>
            <w:shd w:val="clear" w:color="auto" w:fill="auto"/>
          </w:tcPr>
          <w:p w14:paraId="0A8292B6" w14:textId="77777777" w:rsidR="008B7E19" w:rsidRPr="00AF47CC"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highlight w:val="yellow"/>
              </w:rPr>
            </w:pPr>
            <w:r w:rsidRPr="00500AE6">
              <w:rPr>
                <w:rFonts w:cs="Arial"/>
                <w:sz w:val="14"/>
                <w:szCs w:val="14"/>
              </w:rPr>
              <w:t>173</w:t>
            </w:r>
          </w:p>
        </w:tc>
      </w:tr>
      <w:tr w:rsidR="008B7E19" w:rsidRPr="00AF47CC" w14:paraId="6A6FF126" w14:textId="77777777" w:rsidTr="008B7E1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395" w:type="dxa"/>
            <w:tcBorders>
              <w:top w:val="nil"/>
              <w:left w:val="nil"/>
              <w:bottom w:val="nil"/>
              <w:right w:val="nil"/>
            </w:tcBorders>
            <w:shd w:val="clear" w:color="auto" w:fill="auto"/>
            <w:vAlign w:val="center"/>
          </w:tcPr>
          <w:p w14:paraId="7E4954BB" w14:textId="77777777" w:rsidR="008B7E19" w:rsidRPr="00AF47CC" w:rsidRDefault="008B7E19" w:rsidP="008B7E19">
            <w:pPr>
              <w:keepNext/>
              <w:keepLines/>
              <w:spacing w:before="40" w:after="40"/>
              <w:rPr>
                <w:rFonts w:eastAsia="Times New Roman" w:cs="Arial"/>
                <w:spacing w:val="-2"/>
                <w:sz w:val="14"/>
                <w:szCs w:val="14"/>
                <w:highlight w:val="yellow"/>
              </w:rPr>
            </w:pPr>
            <w:r>
              <w:rPr>
                <w:rFonts w:cs="Arial"/>
                <w:color w:val="000000"/>
                <w:sz w:val="14"/>
                <w:szCs w:val="14"/>
              </w:rPr>
              <w:t>Equity</w:t>
            </w:r>
          </w:p>
        </w:tc>
        <w:tc>
          <w:tcPr>
            <w:tcW w:w="2622" w:type="dxa"/>
            <w:tcBorders>
              <w:top w:val="nil"/>
              <w:left w:val="nil"/>
              <w:bottom w:val="nil"/>
              <w:right w:val="nil"/>
            </w:tcBorders>
            <w:shd w:val="clear" w:color="auto" w:fill="auto"/>
            <w:vAlign w:val="center"/>
          </w:tcPr>
          <w:p w14:paraId="5E447441" w14:textId="77777777" w:rsidR="008B7E19" w:rsidRPr="00AF47CC"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b/>
                <w:bCs/>
                <w:sz w:val="14"/>
                <w:szCs w:val="14"/>
                <w:highlight w:val="yellow"/>
              </w:rPr>
            </w:pPr>
            <w:r w:rsidRPr="00500AE6">
              <w:rPr>
                <w:rFonts w:cs="Arial"/>
                <w:b/>
                <w:bCs/>
                <w:color w:val="000000"/>
                <w:sz w:val="14"/>
                <w:szCs w:val="14"/>
              </w:rPr>
              <w:t>2</w:t>
            </w:r>
            <w:r>
              <w:rPr>
                <w:rFonts w:cs="Arial"/>
                <w:b/>
                <w:bCs/>
                <w:color w:val="000000"/>
                <w:sz w:val="14"/>
                <w:szCs w:val="14"/>
              </w:rPr>
              <w:t>,</w:t>
            </w:r>
            <w:r w:rsidRPr="00500AE6">
              <w:rPr>
                <w:rFonts w:cs="Arial"/>
                <w:b/>
                <w:bCs/>
                <w:color w:val="000000"/>
                <w:sz w:val="14"/>
                <w:szCs w:val="14"/>
              </w:rPr>
              <w:t>973</w:t>
            </w:r>
            <w:r>
              <w:rPr>
                <w:rFonts w:cs="Arial"/>
                <w:b/>
                <w:bCs/>
                <w:color w:val="000000"/>
                <w:sz w:val="14"/>
                <w:szCs w:val="14"/>
              </w:rPr>
              <w:t>,</w:t>
            </w:r>
            <w:r w:rsidRPr="00500AE6">
              <w:rPr>
                <w:rFonts w:cs="Arial"/>
                <w:b/>
                <w:bCs/>
                <w:color w:val="000000"/>
                <w:sz w:val="14"/>
                <w:szCs w:val="14"/>
              </w:rPr>
              <w:t>032</w:t>
            </w:r>
          </w:p>
        </w:tc>
        <w:tc>
          <w:tcPr>
            <w:tcW w:w="2623" w:type="dxa"/>
            <w:tcBorders>
              <w:top w:val="nil"/>
              <w:left w:val="nil"/>
              <w:bottom w:val="nil"/>
              <w:right w:val="nil"/>
            </w:tcBorders>
            <w:shd w:val="clear" w:color="auto" w:fill="auto"/>
            <w:vAlign w:val="center"/>
          </w:tcPr>
          <w:p w14:paraId="032CD83B" w14:textId="77777777" w:rsidR="008B7E19" w:rsidRPr="00AF47CC"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b/>
                <w:bCs/>
                <w:sz w:val="14"/>
                <w:szCs w:val="14"/>
                <w:highlight w:val="yellow"/>
              </w:rPr>
            </w:pPr>
            <w:r w:rsidRPr="00500AE6">
              <w:rPr>
                <w:rFonts w:cs="Arial"/>
                <w:b/>
                <w:bCs/>
                <w:sz w:val="14"/>
                <w:szCs w:val="14"/>
              </w:rPr>
              <w:t>2</w:t>
            </w:r>
            <w:r>
              <w:rPr>
                <w:rFonts w:cs="Arial"/>
                <w:b/>
                <w:bCs/>
                <w:sz w:val="14"/>
                <w:szCs w:val="14"/>
              </w:rPr>
              <w:t>,</w:t>
            </w:r>
            <w:r w:rsidRPr="00500AE6">
              <w:rPr>
                <w:rFonts w:cs="Arial"/>
                <w:b/>
                <w:bCs/>
                <w:sz w:val="14"/>
                <w:szCs w:val="14"/>
              </w:rPr>
              <w:t>743</w:t>
            </w:r>
            <w:r>
              <w:rPr>
                <w:rFonts w:cs="Arial"/>
                <w:b/>
                <w:bCs/>
                <w:sz w:val="14"/>
                <w:szCs w:val="14"/>
              </w:rPr>
              <w:t>,</w:t>
            </w:r>
            <w:r w:rsidRPr="00500AE6">
              <w:rPr>
                <w:rFonts w:cs="Arial"/>
                <w:b/>
                <w:bCs/>
                <w:sz w:val="14"/>
                <w:szCs w:val="14"/>
              </w:rPr>
              <w:t>34</w:t>
            </w:r>
            <w:r>
              <w:rPr>
                <w:rFonts w:cs="Arial"/>
                <w:b/>
                <w:bCs/>
                <w:sz w:val="14"/>
                <w:szCs w:val="14"/>
              </w:rPr>
              <w:t>2</w:t>
            </w:r>
          </w:p>
        </w:tc>
      </w:tr>
      <w:tr w:rsidR="008B7E19" w:rsidRPr="00AF47CC" w14:paraId="5C1C07E7"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395" w:type="dxa"/>
            <w:tcBorders>
              <w:top w:val="nil"/>
              <w:left w:val="nil"/>
              <w:bottom w:val="nil"/>
              <w:right w:val="nil"/>
            </w:tcBorders>
            <w:shd w:val="clear" w:color="auto" w:fill="auto"/>
            <w:vAlign w:val="center"/>
          </w:tcPr>
          <w:p w14:paraId="638334F8" w14:textId="77777777" w:rsidR="008B7E19" w:rsidRPr="005B5C95" w:rsidRDefault="008B7E19" w:rsidP="008B7E19">
            <w:pPr>
              <w:keepNext/>
              <w:keepLines/>
              <w:spacing w:before="40" w:after="40"/>
              <w:ind w:left="113"/>
              <w:rPr>
                <w:rFonts w:eastAsia="Times New Roman" w:cs="Arial"/>
                <w:b w:val="0"/>
                <w:bCs w:val="0"/>
                <w:spacing w:val="-2"/>
                <w:sz w:val="14"/>
                <w:szCs w:val="14"/>
              </w:rPr>
            </w:pPr>
            <w:r>
              <w:rPr>
                <w:rFonts w:cs="Arial"/>
                <w:b w:val="0"/>
                <w:bCs w:val="0"/>
                <w:color w:val="000000"/>
                <w:sz w:val="14"/>
                <w:szCs w:val="14"/>
              </w:rPr>
              <w:t>Capital and reserves</w:t>
            </w:r>
          </w:p>
        </w:tc>
        <w:tc>
          <w:tcPr>
            <w:tcW w:w="2622" w:type="dxa"/>
            <w:tcBorders>
              <w:top w:val="nil"/>
              <w:left w:val="nil"/>
              <w:bottom w:val="nil"/>
              <w:right w:val="nil"/>
            </w:tcBorders>
            <w:shd w:val="clear" w:color="auto" w:fill="auto"/>
            <w:vAlign w:val="center"/>
          </w:tcPr>
          <w:p w14:paraId="3B93E9BB" w14:textId="77777777" w:rsidR="008B7E19" w:rsidRPr="005B5C95"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rPr>
            </w:pPr>
            <w:r w:rsidRPr="008A603F">
              <w:rPr>
                <w:rFonts w:cs="Arial"/>
                <w:color w:val="000000"/>
                <w:sz w:val="14"/>
                <w:szCs w:val="14"/>
              </w:rPr>
              <w:t>1</w:t>
            </w:r>
            <w:r>
              <w:rPr>
                <w:rFonts w:cs="Arial"/>
                <w:color w:val="000000"/>
                <w:sz w:val="14"/>
                <w:szCs w:val="14"/>
              </w:rPr>
              <w:t>,</w:t>
            </w:r>
            <w:r w:rsidRPr="008A603F">
              <w:rPr>
                <w:rFonts w:cs="Arial"/>
                <w:color w:val="000000"/>
                <w:sz w:val="14"/>
                <w:szCs w:val="14"/>
              </w:rPr>
              <w:t>763</w:t>
            </w:r>
            <w:r>
              <w:rPr>
                <w:rFonts w:cs="Arial"/>
                <w:color w:val="000000"/>
                <w:sz w:val="14"/>
                <w:szCs w:val="14"/>
              </w:rPr>
              <w:t>,</w:t>
            </w:r>
            <w:r w:rsidRPr="008A603F">
              <w:rPr>
                <w:rFonts w:cs="Arial"/>
                <w:color w:val="000000"/>
                <w:sz w:val="14"/>
                <w:szCs w:val="14"/>
              </w:rPr>
              <w:t>817</w:t>
            </w:r>
          </w:p>
        </w:tc>
        <w:tc>
          <w:tcPr>
            <w:tcW w:w="2623" w:type="dxa"/>
            <w:tcBorders>
              <w:top w:val="nil"/>
              <w:left w:val="nil"/>
              <w:bottom w:val="nil"/>
              <w:right w:val="nil"/>
            </w:tcBorders>
            <w:shd w:val="clear" w:color="auto" w:fill="auto"/>
            <w:vAlign w:val="center"/>
          </w:tcPr>
          <w:p w14:paraId="347A8A65" w14:textId="77777777" w:rsidR="008B7E19" w:rsidRPr="005B5C95"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rPr>
            </w:pPr>
            <w:r w:rsidRPr="003B13AF">
              <w:rPr>
                <w:rFonts w:cs="Arial"/>
                <w:sz w:val="14"/>
                <w:szCs w:val="14"/>
              </w:rPr>
              <w:t>2</w:t>
            </w:r>
            <w:r>
              <w:rPr>
                <w:rFonts w:cs="Arial"/>
                <w:sz w:val="14"/>
                <w:szCs w:val="14"/>
              </w:rPr>
              <w:t>,</w:t>
            </w:r>
            <w:r w:rsidRPr="003B13AF">
              <w:rPr>
                <w:rFonts w:cs="Arial"/>
                <w:sz w:val="14"/>
                <w:szCs w:val="14"/>
              </w:rPr>
              <w:t>686</w:t>
            </w:r>
            <w:r>
              <w:rPr>
                <w:rFonts w:cs="Arial"/>
                <w:sz w:val="14"/>
                <w:szCs w:val="14"/>
              </w:rPr>
              <w:t>,</w:t>
            </w:r>
            <w:r w:rsidRPr="003B13AF">
              <w:rPr>
                <w:rFonts w:cs="Arial"/>
                <w:sz w:val="14"/>
                <w:szCs w:val="14"/>
              </w:rPr>
              <w:t>447</w:t>
            </w:r>
          </w:p>
        </w:tc>
      </w:tr>
      <w:tr w:rsidR="008B7E19" w:rsidRPr="006F1964" w14:paraId="26D3E24B" w14:textId="77777777" w:rsidTr="008B7E1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395" w:type="dxa"/>
            <w:tcBorders>
              <w:top w:val="nil"/>
              <w:left w:val="nil"/>
              <w:bottom w:val="nil"/>
              <w:right w:val="nil"/>
            </w:tcBorders>
            <w:shd w:val="clear" w:color="auto" w:fill="auto"/>
            <w:vAlign w:val="center"/>
          </w:tcPr>
          <w:p w14:paraId="3A680023" w14:textId="77777777" w:rsidR="008B7E19" w:rsidRPr="006F1964" w:rsidRDefault="008B7E19" w:rsidP="008B7E19">
            <w:pPr>
              <w:keepNext/>
              <w:keepLines/>
              <w:spacing w:before="40" w:after="40"/>
              <w:ind w:left="113"/>
              <w:rPr>
                <w:rFonts w:cs="Arial"/>
                <w:b w:val="0"/>
                <w:bCs w:val="0"/>
                <w:color w:val="000000"/>
                <w:sz w:val="14"/>
                <w:szCs w:val="14"/>
              </w:rPr>
            </w:pPr>
            <w:r>
              <w:rPr>
                <w:rFonts w:cs="Arial"/>
                <w:b w:val="0"/>
                <w:bCs w:val="0"/>
                <w:color w:val="000000"/>
                <w:sz w:val="14"/>
                <w:szCs w:val="14"/>
              </w:rPr>
              <w:t>Retained earnings</w:t>
            </w:r>
          </w:p>
        </w:tc>
        <w:tc>
          <w:tcPr>
            <w:tcW w:w="2622" w:type="dxa"/>
            <w:tcBorders>
              <w:top w:val="nil"/>
              <w:left w:val="nil"/>
              <w:bottom w:val="nil"/>
              <w:right w:val="nil"/>
            </w:tcBorders>
            <w:shd w:val="clear" w:color="auto" w:fill="auto"/>
            <w:vAlign w:val="center"/>
          </w:tcPr>
          <w:p w14:paraId="42DA02AD" w14:textId="77777777" w:rsidR="008B7E19" w:rsidRPr="006F1964" w:rsidRDefault="008B7E19" w:rsidP="008B7E19">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cs="Arial"/>
                <w:color w:val="000000"/>
                <w:sz w:val="14"/>
                <w:szCs w:val="14"/>
              </w:rPr>
            </w:pPr>
            <w:r w:rsidRPr="008A603F">
              <w:rPr>
                <w:rFonts w:cs="Arial"/>
                <w:color w:val="000000"/>
                <w:sz w:val="14"/>
                <w:szCs w:val="14"/>
              </w:rPr>
              <w:t>1</w:t>
            </w:r>
            <w:r>
              <w:rPr>
                <w:rFonts w:cs="Arial"/>
                <w:color w:val="000000"/>
                <w:sz w:val="14"/>
                <w:szCs w:val="14"/>
              </w:rPr>
              <w:t>,</w:t>
            </w:r>
            <w:r w:rsidRPr="008A603F">
              <w:rPr>
                <w:rFonts w:cs="Arial"/>
                <w:color w:val="000000"/>
                <w:sz w:val="14"/>
                <w:szCs w:val="14"/>
              </w:rPr>
              <w:t>261</w:t>
            </w:r>
            <w:r>
              <w:rPr>
                <w:rFonts w:cs="Arial"/>
                <w:color w:val="000000"/>
                <w:sz w:val="14"/>
                <w:szCs w:val="14"/>
              </w:rPr>
              <w:t>,</w:t>
            </w:r>
            <w:r w:rsidRPr="008A603F">
              <w:rPr>
                <w:rFonts w:cs="Arial"/>
                <w:color w:val="000000"/>
                <w:sz w:val="14"/>
                <w:szCs w:val="14"/>
              </w:rPr>
              <w:t>626</w:t>
            </w:r>
          </w:p>
        </w:tc>
        <w:tc>
          <w:tcPr>
            <w:tcW w:w="2623" w:type="dxa"/>
            <w:tcBorders>
              <w:top w:val="nil"/>
              <w:left w:val="nil"/>
              <w:bottom w:val="nil"/>
              <w:right w:val="nil"/>
            </w:tcBorders>
            <w:shd w:val="clear" w:color="auto" w:fill="auto"/>
            <w:vAlign w:val="center"/>
          </w:tcPr>
          <w:p w14:paraId="40A57705" w14:textId="77777777" w:rsidR="008B7E19" w:rsidRPr="006F1964" w:rsidRDefault="008B7E19" w:rsidP="008B7E19">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cs="Arial"/>
                <w:color w:val="000000"/>
                <w:sz w:val="14"/>
                <w:szCs w:val="14"/>
              </w:rPr>
            </w:pPr>
            <w:r w:rsidRPr="003B13AF">
              <w:rPr>
                <w:rFonts w:cs="Arial"/>
                <w:sz w:val="14"/>
                <w:szCs w:val="14"/>
              </w:rPr>
              <w:t>179</w:t>
            </w:r>
            <w:r>
              <w:rPr>
                <w:rFonts w:cs="Arial"/>
                <w:sz w:val="14"/>
                <w:szCs w:val="14"/>
              </w:rPr>
              <w:t>,</w:t>
            </w:r>
            <w:r w:rsidRPr="003B13AF">
              <w:rPr>
                <w:rFonts w:cs="Arial"/>
                <w:sz w:val="14"/>
                <w:szCs w:val="14"/>
              </w:rPr>
              <w:t>067</w:t>
            </w:r>
          </w:p>
        </w:tc>
      </w:tr>
      <w:tr w:rsidR="008B7E19" w:rsidRPr="006F1964" w14:paraId="6D2DA102"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395" w:type="dxa"/>
            <w:tcBorders>
              <w:top w:val="nil"/>
              <w:left w:val="nil"/>
              <w:bottom w:val="nil"/>
              <w:right w:val="nil"/>
            </w:tcBorders>
            <w:shd w:val="clear" w:color="auto" w:fill="auto"/>
            <w:vAlign w:val="center"/>
          </w:tcPr>
          <w:p w14:paraId="299D2B2B" w14:textId="77777777" w:rsidR="008B7E19" w:rsidRPr="006F1964" w:rsidRDefault="008B7E19" w:rsidP="008B7E19">
            <w:pPr>
              <w:keepNext/>
              <w:keepLines/>
              <w:spacing w:before="40" w:after="40"/>
              <w:ind w:left="113"/>
              <w:rPr>
                <w:rFonts w:cs="Arial"/>
                <w:b w:val="0"/>
                <w:bCs w:val="0"/>
                <w:color w:val="000000"/>
                <w:sz w:val="14"/>
                <w:szCs w:val="14"/>
              </w:rPr>
            </w:pPr>
            <w:r>
              <w:rPr>
                <w:rFonts w:cs="Arial"/>
                <w:b w:val="0"/>
                <w:bCs w:val="0"/>
                <w:color w:val="000000"/>
                <w:sz w:val="14"/>
                <w:szCs w:val="14"/>
              </w:rPr>
              <w:t>Other comprehensive results</w:t>
            </w:r>
          </w:p>
        </w:tc>
        <w:tc>
          <w:tcPr>
            <w:tcW w:w="2622" w:type="dxa"/>
            <w:tcBorders>
              <w:top w:val="nil"/>
              <w:left w:val="nil"/>
              <w:bottom w:val="nil"/>
              <w:right w:val="nil"/>
            </w:tcBorders>
            <w:shd w:val="clear" w:color="auto" w:fill="auto"/>
            <w:vAlign w:val="center"/>
          </w:tcPr>
          <w:p w14:paraId="0D8DD4E2" w14:textId="77777777" w:rsidR="008B7E19" w:rsidRPr="006F1964" w:rsidRDefault="008B7E19" w:rsidP="008B7E19">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8A603F">
              <w:rPr>
                <w:rFonts w:cs="Arial"/>
                <w:color w:val="000000"/>
                <w:sz w:val="14"/>
                <w:szCs w:val="14"/>
              </w:rPr>
              <w:t>(52</w:t>
            </w:r>
            <w:r>
              <w:rPr>
                <w:rFonts w:cs="Arial"/>
                <w:color w:val="000000"/>
                <w:sz w:val="14"/>
                <w:szCs w:val="14"/>
              </w:rPr>
              <w:t>,</w:t>
            </w:r>
            <w:r w:rsidRPr="008A603F">
              <w:rPr>
                <w:rFonts w:cs="Arial"/>
                <w:color w:val="000000"/>
                <w:sz w:val="14"/>
                <w:szCs w:val="14"/>
              </w:rPr>
              <w:t>41</w:t>
            </w:r>
            <w:r>
              <w:rPr>
                <w:rFonts w:cs="Arial"/>
                <w:color w:val="000000"/>
                <w:sz w:val="14"/>
                <w:szCs w:val="14"/>
              </w:rPr>
              <w:t>1</w:t>
            </w:r>
            <w:r w:rsidRPr="008A603F">
              <w:rPr>
                <w:rFonts w:cs="Arial"/>
                <w:color w:val="000000"/>
                <w:sz w:val="14"/>
                <w:szCs w:val="14"/>
              </w:rPr>
              <w:t>)</w:t>
            </w:r>
          </w:p>
        </w:tc>
        <w:tc>
          <w:tcPr>
            <w:tcW w:w="2623" w:type="dxa"/>
            <w:tcBorders>
              <w:top w:val="nil"/>
              <w:left w:val="nil"/>
              <w:bottom w:val="nil"/>
              <w:right w:val="nil"/>
            </w:tcBorders>
            <w:shd w:val="clear" w:color="auto" w:fill="auto"/>
            <w:vAlign w:val="center"/>
          </w:tcPr>
          <w:p w14:paraId="152CA7CA" w14:textId="77777777" w:rsidR="008B7E19" w:rsidRPr="006F1964" w:rsidRDefault="008B7E19" w:rsidP="008B7E19">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3B13AF">
              <w:rPr>
                <w:rFonts w:cs="Arial"/>
                <w:sz w:val="14"/>
                <w:szCs w:val="14"/>
              </w:rPr>
              <w:t>(122</w:t>
            </w:r>
            <w:r>
              <w:rPr>
                <w:rFonts w:cs="Arial"/>
                <w:sz w:val="14"/>
                <w:szCs w:val="14"/>
              </w:rPr>
              <w:t>,</w:t>
            </w:r>
            <w:r w:rsidRPr="003B13AF">
              <w:rPr>
                <w:rFonts w:cs="Arial"/>
                <w:sz w:val="14"/>
                <w:szCs w:val="14"/>
              </w:rPr>
              <w:t>17</w:t>
            </w:r>
            <w:r>
              <w:rPr>
                <w:rFonts w:cs="Arial"/>
                <w:sz w:val="14"/>
                <w:szCs w:val="14"/>
              </w:rPr>
              <w:t>2</w:t>
            </w:r>
            <w:r w:rsidRPr="003B13AF">
              <w:rPr>
                <w:rFonts w:cs="Arial"/>
                <w:sz w:val="14"/>
                <w:szCs w:val="14"/>
              </w:rPr>
              <w:t>)</w:t>
            </w:r>
          </w:p>
        </w:tc>
      </w:tr>
      <w:tr w:rsidR="008B7E19" w:rsidRPr="00AF47CC" w14:paraId="2D24A170" w14:textId="77777777" w:rsidTr="008B7E1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395" w:type="dxa"/>
            <w:tcBorders>
              <w:top w:val="nil"/>
              <w:left w:val="nil"/>
              <w:bottom w:val="nil"/>
              <w:right w:val="nil"/>
            </w:tcBorders>
            <w:shd w:val="clear" w:color="auto" w:fill="auto"/>
            <w:vAlign w:val="center"/>
          </w:tcPr>
          <w:p w14:paraId="0A86C583" w14:textId="77777777" w:rsidR="008B7E19" w:rsidRPr="00AF47CC" w:rsidRDefault="008B7E19" w:rsidP="008B7E19">
            <w:pPr>
              <w:keepNext/>
              <w:keepLines/>
              <w:rPr>
                <w:rFonts w:cs="Arial"/>
                <w:color w:val="000000"/>
                <w:sz w:val="14"/>
                <w:szCs w:val="14"/>
              </w:rPr>
            </w:pPr>
            <w:r>
              <w:rPr>
                <w:rFonts w:cs="Arial"/>
                <w:color w:val="000000"/>
                <w:sz w:val="14"/>
                <w:szCs w:val="14"/>
              </w:rPr>
              <w:t>Liabilities and Equity</w:t>
            </w:r>
          </w:p>
        </w:tc>
        <w:tc>
          <w:tcPr>
            <w:tcW w:w="2622" w:type="dxa"/>
            <w:tcBorders>
              <w:top w:val="nil"/>
              <w:left w:val="nil"/>
              <w:bottom w:val="nil"/>
              <w:right w:val="nil"/>
            </w:tcBorders>
            <w:shd w:val="clear" w:color="auto" w:fill="auto"/>
            <w:vAlign w:val="center"/>
          </w:tcPr>
          <w:p w14:paraId="6F53E8C3" w14:textId="77777777" w:rsidR="008B7E19" w:rsidRPr="00AF47CC" w:rsidRDefault="008B7E19" w:rsidP="008B7E19">
            <w:pPr>
              <w:keepNext/>
              <w:keepLines/>
              <w:jc w:val="right"/>
              <w:cnfStyle w:val="000000010000" w:firstRow="0" w:lastRow="0" w:firstColumn="0" w:lastColumn="0" w:oddVBand="0" w:evenVBand="0" w:oddHBand="0" w:evenHBand="1" w:firstRowFirstColumn="0" w:firstRowLastColumn="0" w:lastRowFirstColumn="0" w:lastRowLastColumn="0"/>
              <w:rPr>
                <w:rFonts w:cs="Arial"/>
                <w:b/>
                <w:bCs/>
                <w:color w:val="000000"/>
                <w:sz w:val="14"/>
                <w:szCs w:val="14"/>
                <w:highlight w:val="yellow"/>
              </w:rPr>
            </w:pPr>
            <w:r w:rsidRPr="003B13AF">
              <w:rPr>
                <w:rFonts w:cs="Arial"/>
                <w:b/>
                <w:bCs/>
                <w:color w:val="000000"/>
                <w:sz w:val="14"/>
                <w:szCs w:val="14"/>
              </w:rPr>
              <w:t>2</w:t>
            </w:r>
            <w:r>
              <w:rPr>
                <w:rFonts w:cs="Arial"/>
                <w:b/>
                <w:bCs/>
                <w:color w:val="000000"/>
                <w:sz w:val="14"/>
                <w:szCs w:val="14"/>
              </w:rPr>
              <w:t>,</w:t>
            </w:r>
            <w:r w:rsidRPr="003B13AF">
              <w:rPr>
                <w:rFonts w:cs="Arial"/>
                <w:b/>
                <w:bCs/>
                <w:color w:val="000000"/>
                <w:sz w:val="14"/>
                <w:szCs w:val="14"/>
              </w:rPr>
              <w:t>973</w:t>
            </w:r>
            <w:r>
              <w:rPr>
                <w:rFonts w:cs="Arial"/>
                <w:b/>
                <w:bCs/>
                <w:color w:val="000000"/>
                <w:sz w:val="14"/>
                <w:szCs w:val="14"/>
              </w:rPr>
              <w:t>,</w:t>
            </w:r>
            <w:r w:rsidRPr="003B13AF">
              <w:rPr>
                <w:rFonts w:cs="Arial"/>
                <w:b/>
                <w:bCs/>
                <w:color w:val="000000"/>
                <w:sz w:val="14"/>
                <w:szCs w:val="14"/>
              </w:rPr>
              <w:t>246</w:t>
            </w:r>
          </w:p>
        </w:tc>
        <w:tc>
          <w:tcPr>
            <w:tcW w:w="2623" w:type="dxa"/>
            <w:tcBorders>
              <w:top w:val="nil"/>
              <w:left w:val="nil"/>
              <w:bottom w:val="nil"/>
              <w:right w:val="nil"/>
            </w:tcBorders>
            <w:shd w:val="clear" w:color="auto" w:fill="auto"/>
            <w:vAlign w:val="center"/>
          </w:tcPr>
          <w:p w14:paraId="01156732" w14:textId="77777777" w:rsidR="008B7E19" w:rsidRPr="00AF47CC" w:rsidRDefault="008B7E19" w:rsidP="008B7E19">
            <w:pPr>
              <w:keepNext/>
              <w:keepLines/>
              <w:jc w:val="right"/>
              <w:cnfStyle w:val="000000010000" w:firstRow="0" w:lastRow="0" w:firstColumn="0" w:lastColumn="0" w:oddVBand="0" w:evenVBand="0" w:oddHBand="0" w:evenHBand="1" w:firstRowFirstColumn="0" w:firstRowLastColumn="0" w:lastRowFirstColumn="0" w:lastRowLastColumn="0"/>
              <w:rPr>
                <w:rFonts w:cs="Arial"/>
                <w:b/>
                <w:bCs/>
                <w:color w:val="000000"/>
                <w:sz w:val="14"/>
                <w:szCs w:val="14"/>
                <w:highlight w:val="yellow"/>
              </w:rPr>
            </w:pPr>
            <w:r w:rsidRPr="003B13AF">
              <w:rPr>
                <w:rFonts w:cs="Arial"/>
                <w:b/>
                <w:bCs/>
                <w:sz w:val="14"/>
                <w:szCs w:val="14"/>
              </w:rPr>
              <w:t>2</w:t>
            </w:r>
            <w:r>
              <w:rPr>
                <w:rFonts w:cs="Arial"/>
                <w:b/>
                <w:bCs/>
                <w:sz w:val="14"/>
                <w:szCs w:val="14"/>
              </w:rPr>
              <w:t>,</w:t>
            </w:r>
            <w:r w:rsidRPr="003B13AF">
              <w:rPr>
                <w:rFonts w:cs="Arial"/>
                <w:b/>
                <w:bCs/>
                <w:sz w:val="14"/>
                <w:szCs w:val="14"/>
              </w:rPr>
              <w:t>743</w:t>
            </w:r>
            <w:r>
              <w:rPr>
                <w:rFonts w:cs="Arial"/>
                <w:b/>
                <w:bCs/>
                <w:sz w:val="14"/>
                <w:szCs w:val="14"/>
              </w:rPr>
              <w:t>,</w:t>
            </w:r>
            <w:r w:rsidRPr="003B13AF">
              <w:rPr>
                <w:rFonts w:cs="Arial"/>
                <w:b/>
                <w:bCs/>
                <w:sz w:val="14"/>
                <w:szCs w:val="14"/>
              </w:rPr>
              <w:t>517</w:t>
            </w:r>
          </w:p>
        </w:tc>
      </w:tr>
      <w:tr w:rsidR="008B7E19" w:rsidRPr="00AF47CC" w14:paraId="4430D24D"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395" w:type="dxa"/>
            <w:tcBorders>
              <w:top w:val="nil"/>
              <w:left w:val="nil"/>
              <w:bottom w:val="nil"/>
              <w:right w:val="nil"/>
            </w:tcBorders>
            <w:shd w:val="clear" w:color="auto" w:fill="auto"/>
            <w:vAlign w:val="center"/>
          </w:tcPr>
          <w:p w14:paraId="715208F9" w14:textId="77777777" w:rsidR="008B7E19" w:rsidRPr="00AF47CC" w:rsidRDefault="008B7E19" w:rsidP="008B7E19">
            <w:pPr>
              <w:keepNext/>
              <w:keepLines/>
              <w:rPr>
                <w:rFonts w:cs="Arial"/>
                <w:b w:val="0"/>
                <w:bCs w:val="0"/>
                <w:color w:val="000000"/>
                <w:sz w:val="14"/>
                <w:szCs w:val="14"/>
              </w:rPr>
            </w:pPr>
            <w:r>
              <w:rPr>
                <w:rFonts w:cs="Arial"/>
                <w:sz w:val="14"/>
                <w:szCs w:val="14"/>
              </w:rPr>
              <w:t>Attributable to BB Seguridade</w:t>
            </w:r>
          </w:p>
        </w:tc>
        <w:tc>
          <w:tcPr>
            <w:tcW w:w="2622" w:type="dxa"/>
            <w:tcBorders>
              <w:top w:val="nil"/>
              <w:left w:val="nil"/>
              <w:bottom w:val="nil"/>
              <w:right w:val="nil"/>
            </w:tcBorders>
            <w:shd w:val="clear" w:color="auto" w:fill="auto"/>
            <w:vAlign w:val="center"/>
          </w:tcPr>
          <w:p w14:paraId="732F2224" w14:textId="77777777" w:rsidR="008B7E19" w:rsidRPr="00AF47CC" w:rsidRDefault="008B7E19" w:rsidP="008B7E19">
            <w:pPr>
              <w:keepNext/>
              <w:keepLines/>
              <w:jc w:val="right"/>
              <w:cnfStyle w:val="000000100000" w:firstRow="0" w:lastRow="0" w:firstColumn="0" w:lastColumn="0" w:oddVBand="0" w:evenVBand="0" w:oddHBand="1" w:evenHBand="0" w:firstRowFirstColumn="0" w:firstRowLastColumn="0" w:lastRowFirstColumn="0" w:lastRowLastColumn="0"/>
              <w:rPr>
                <w:rFonts w:cs="Arial"/>
                <w:b/>
                <w:bCs/>
                <w:color w:val="000000"/>
                <w:sz w:val="14"/>
                <w:szCs w:val="14"/>
              </w:rPr>
            </w:pPr>
            <w:r w:rsidRPr="003B13AF">
              <w:rPr>
                <w:rFonts w:cs="Arial"/>
                <w:b/>
                <w:bCs/>
                <w:color w:val="000000"/>
                <w:sz w:val="14"/>
                <w:szCs w:val="14"/>
              </w:rPr>
              <w:t>2</w:t>
            </w:r>
            <w:r>
              <w:rPr>
                <w:rFonts w:cs="Arial"/>
                <w:b/>
                <w:bCs/>
                <w:color w:val="000000"/>
                <w:sz w:val="14"/>
                <w:szCs w:val="14"/>
              </w:rPr>
              <w:t>,</w:t>
            </w:r>
            <w:r w:rsidRPr="003B13AF">
              <w:rPr>
                <w:rFonts w:cs="Arial"/>
                <w:b/>
                <w:bCs/>
                <w:color w:val="000000"/>
                <w:sz w:val="14"/>
                <w:szCs w:val="14"/>
              </w:rPr>
              <w:t>229</w:t>
            </w:r>
            <w:r>
              <w:rPr>
                <w:rFonts w:cs="Arial"/>
                <w:b/>
                <w:bCs/>
                <w:color w:val="000000"/>
                <w:sz w:val="14"/>
                <w:szCs w:val="14"/>
              </w:rPr>
              <w:t>,</w:t>
            </w:r>
            <w:r w:rsidRPr="003B13AF">
              <w:rPr>
                <w:rFonts w:cs="Arial"/>
                <w:b/>
                <w:bCs/>
                <w:color w:val="000000"/>
                <w:sz w:val="14"/>
                <w:szCs w:val="14"/>
              </w:rPr>
              <w:t>477</w:t>
            </w:r>
          </w:p>
        </w:tc>
        <w:tc>
          <w:tcPr>
            <w:tcW w:w="2623" w:type="dxa"/>
            <w:tcBorders>
              <w:top w:val="nil"/>
              <w:left w:val="nil"/>
              <w:bottom w:val="nil"/>
              <w:right w:val="nil"/>
            </w:tcBorders>
            <w:shd w:val="clear" w:color="auto" w:fill="auto"/>
            <w:vAlign w:val="center"/>
          </w:tcPr>
          <w:p w14:paraId="723DB40A" w14:textId="77777777" w:rsidR="008B7E19" w:rsidRPr="00AF47CC" w:rsidRDefault="008B7E19" w:rsidP="008B7E19">
            <w:pPr>
              <w:keepNext/>
              <w:keepLines/>
              <w:jc w:val="right"/>
              <w:cnfStyle w:val="000000100000" w:firstRow="0" w:lastRow="0" w:firstColumn="0" w:lastColumn="0" w:oddVBand="0" w:evenVBand="0" w:oddHBand="1" w:evenHBand="0" w:firstRowFirstColumn="0" w:firstRowLastColumn="0" w:lastRowFirstColumn="0" w:lastRowLastColumn="0"/>
              <w:rPr>
                <w:rFonts w:cs="Arial"/>
                <w:b/>
                <w:bCs/>
                <w:color w:val="000000"/>
                <w:sz w:val="14"/>
                <w:szCs w:val="14"/>
              </w:rPr>
            </w:pPr>
            <w:r w:rsidRPr="003B13AF">
              <w:rPr>
                <w:rFonts w:cs="Arial"/>
                <w:b/>
                <w:bCs/>
                <w:color w:val="000000"/>
                <w:sz w:val="14"/>
                <w:szCs w:val="14"/>
              </w:rPr>
              <w:t>2</w:t>
            </w:r>
            <w:r>
              <w:rPr>
                <w:rFonts w:cs="Arial"/>
                <w:b/>
                <w:bCs/>
                <w:color w:val="000000"/>
                <w:sz w:val="14"/>
                <w:szCs w:val="14"/>
              </w:rPr>
              <w:t>,</w:t>
            </w:r>
            <w:r w:rsidRPr="003B13AF">
              <w:rPr>
                <w:rFonts w:cs="Arial"/>
                <w:b/>
                <w:bCs/>
                <w:color w:val="000000"/>
                <w:sz w:val="14"/>
                <w:szCs w:val="14"/>
              </w:rPr>
              <w:t>057</w:t>
            </w:r>
            <w:r>
              <w:rPr>
                <w:rFonts w:cs="Arial"/>
                <w:b/>
                <w:bCs/>
                <w:color w:val="000000"/>
                <w:sz w:val="14"/>
                <w:szCs w:val="14"/>
              </w:rPr>
              <w:t>,</w:t>
            </w:r>
            <w:r w:rsidRPr="003B13AF">
              <w:rPr>
                <w:rFonts w:cs="Arial"/>
                <w:b/>
                <w:bCs/>
                <w:color w:val="000000"/>
                <w:sz w:val="14"/>
                <w:szCs w:val="14"/>
              </w:rPr>
              <w:t>232</w:t>
            </w:r>
          </w:p>
        </w:tc>
      </w:tr>
      <w:tr w:rsidR="008B7E19" w:rsidRPr="00A877DC" w14:paraId="61F0DE44" w14:textId="77777777" w:rsidTr="008B7E1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395" w:type="dxa"/>
            <w:tcBorders>
              <w:top w:val="nil"/>
              <w:left w:val="nil"/>
              <w:bottom w:val="nil"/>
              <w:right w:val="nil"/>
            </w:tcBorders>
            <w:shd w:val="clear" w:color="auto" w:fill="auto"/>
            <w:vAlign w:val="center"/>
          </w:tcPr>
          <w:p w14:paraId="2000B8C1" w14:textId="77777777" w:rsidR="008B7E19" w:rsidRPr="00A877DC" w:rsidRDefault="008B7E19" w:rsidP="008B7E19">
            <w:pPr>
              <w:keepNext/>
              <w:keepLines/>
              <w:spacing w:before="40" w:after="40"/>
              <w:ind w:left="113"/>
              <w:rPr>
                <w:rFonts w:cs="Arial"/>
                <w:b w:val="0"/>
                <w:bCs w:val="0"/>
                <w:color w:val="000000"/>
                <w:sz w:val="14"/>
                <w:szCs w:val="14"/>
              </w:rPr>
            </w:pPr>
            <w:r w:rsidRPr="00142668">
              <w:rPr>
                <w:rFonts w:cs="Arial"/>
                <w:b w:val="0"/>
                <w:bCs w:val="0"/>
                <w:color w:val="000000"/>
                <w:sz w:val="14"/>
                <w:szCs w:val="14"/>
              </w:rPr>
              <w:t xml:space="preserve">Intangible </w:t>
            </w:r>
            <w:r w:rsidRPr="005B5C95">
              <w:rPr>
                <w:rFonts w:cs="Arial"/>
                <w:b w:val="0"/>
                <w:bCs w:val="0"/>
                <w:color w:val="000000"/>
                <w:sz w:val="14"/>
                <w:szCs w:val="14"/>
                <w:vertAlign w:val="superscript"/>
              </w:rPr>
              <w:t>(1)</w:t>
            </w:r>
          </w:p>
        </w:tc>
        <w:tc>
          <w:tcPr>
            <w:tcW w:w="2622" w:type="dxa"/>
            <w:tcBorders>
              <w:top w:val="nil"/>
              <w:left w:val="nil"/>
              <w:bottom w:val="nil"/>
              <w:right w:val="nil"/>
            </w:tcBorders>
            <w:shd w:val="clear" w:color="auto" w:fill="auto"/>
            <w:vAlign w:val="center"/>
          </w:tcPr>
          <w:p w14:paraId="56BC835A" w14:textId="77777777" w:rsidR="008B7E19" w:rsidRPr="00A877DC" w:rsidRDefault="008B7E19" w:rsidP="008B7E19">
            <w:pPr>
              <w:keepNext/>
              <w:keepLines/>
              <w:jc w:val="right"/>
              <w:cnfStyle w:val="000000010000" w:firstRow="0" w:lastRow="0" w:firstColumn="0" w:lastColumn="0" w:oddVBand="0" w:evenVBand="0" w:oddHBand="0" w:evenHBand="1" w:firstRowFirstColumn="0" w:firstRowLastColumn="0" w:lastRowFirstColumn="0" w:lastRowLastColumn="0"/>
              <w:rPr>
                <w:rFonts w:cs="Arial"/>
                <w:b/>
                <w:bCs/>
                <w:color w:val="000000"/>
                <w:sz w:val="14"/>
                <w:szCs w:val="14"/>
              </w:rPr>
            </w:pPr>
            <w:r w:rsidRPr="003B13AF">
              <w:rPr>
                <w:rFonts w:cs="Arial"/>
                <w:b/>
                <w:bCs/>
                <w:color w:val="000000"/>
                <w:sz w:val="14"/>
                <w:szCs w:val="14"/>
              </w:rPr>
              <w:t>487</w:t>
            </w:r>
            <w:r>
              <w:rPr>
                <w:rFonts w:cs="Arial"/>
                <w:b/>
                <w:bCs/>
                <w:color w:val="000000"/>
                <w:sz w:val="14"/>
                <w:szCs w:val="14"/>
              </w:rPr>
              <w:t>,</w:t>
            </w:r>
            <w:r w:rsidRPr="003B13AF">
              <w:rPr>
                <w:rFonts w:cs="Arial"/>
                <w:b/>
                <w:bCs/>
                <w:color w:val="000000"/>
                <w:sz w:val="14"/>
                <w:szCs w:val="14"/>
              </w:rPr>
              <w:t>581</w:t>
            </w:r>
          </w:p>
        </w:tc>
        <w:tc>
          <w:tcPr>
            <w:tcW w:w="2623" w:type="dxa"/>
            <w:tcBorders>
              <w:top w:val="nil"/>
              <w:left w:val="nil"/>
              <w:bottom w:val="nil"/>
              <w:right w:val="nil"/>
            </w:tcBorders>
            <w:shd w:val="clear" w:color="auto" w:fill="auto"/>
            <w:vAlign w:val="center"/>
          </w:tcPr>
          <w:p w14:paraId="1907F93A" w14:textId="77777777" w:rsidR="008B7E19" w:rsidRPr="00A877DC" w:rsidRDefault="008B7E19" w:rsidP="008B7E19">
            <w:pPr>
              <w:keepNext/>
              <w:keepLines/>
              <w:jc w:val="right"/>
              <w:cnfStyle w:val="000000010000" w:firstRow="0" w:lastRow="0" w:firstColumn="0" w:lastColumn="0" w:oddVBand="0" w:evenVBand="0" w:oddHBand="0" w:evenHBand="1" w:firstRowFirstColumn="0" w:firstRowLastColumn="0" w:lastRowFirstColumn="0" w:lastRowLastColumn="0"/>
              <w:rPr>
                <w:rFonts w:cs="Arial"/>
                <w:b/>
                <w:bCs/>
                <w:color w:val="000000"/>
                <w:sz w:val="14"/>
                <w:szCs w:val="14"/>
              </w:rPr>
            </w:pPr>
            <w:r w:rsidRPr="003B13AF">
              <w:rPr>
                <w:rFonts w:cs="Arial"/>
                <w:b/>
                <w:bCs/>
                <w:sz w:val="14"/>
                <w:szCs w:val="14"/>
              </w:rPr>
              <w:t xml:space="preserve"> 495</w:t>
            </w:r>
            <w:r>
              <w:rPr>
                <w:rFonts w:cs="Arial"/>
                <w:b/>
                <w:bCs/>
                <w:sz w:val="14"/>
                <w:szCs w:val="14"/>
              </w:rPr>
              <w:t>,</w:t>
            </w:r>
            <w:r w:rsidRPr="003B13AF">
              <w:rPr>
                <w:rFonts w:cs="Arial"/>
                <w:b/>
                <w:bCs/>
                <w:sz w:val="14"/>
                <w:szCs w:val="14"/>
              </w:rPr>
              <w:t xml:space="preserve">285 </w:t>
            </w:r>
          </w:p>
        </w:tc>
      </w:tr>
      <w:tr w:rsidR="008B7E19" w:rsidRPr="004B635B" w14:paraId="36923E3E"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395" w:type="dxa"/>
            <w:tcBorders>
              <w:top w:val="nil"/>
              <w:left w:val="nil"/>
              <w:bottom w:val="single" w:sz="2" w:space="0" w:color="1F4E79" w:themeColor="accent1" w:themeShade="80"/>
              <w:right w:val="nil"/>
            </w:tcBorders>
            <w:shd w:val="clear" w:color="auto" w:fill="auto"/>
            <w:vAlign w:val="center"/>
          </w:tcPr>
          <w:p w14:paraId="708BB962" w14:textId="77777777" w:rsidR="008B7E19" w:rsidRPr="004B635B" w:rsidRDefault="008B7E19" w:rsidP="008B7E19">
            <w:pPr>
              <w:keepNext/>
              <w:keepLines/>
              <w:rPr>
                <w:rFonts w:cs="Arial"/>
                <w:color w:val="000000"/>
                <w:sz w:val="14"/>
                <w:szCs w:val="14"/>
              </w:rPr>
            </w:pPr>
            <w:r>
              <w:rPr>
                <w:rFonts w:cs="Arial"/>
                <w:sz w:val="14"/>
                <w:szCs w:val="14"/>
              </w:rPr>
              <w:t>Investment balance</w:t>
            </w:r>
          </w:p>
        </w:tc>
        <w:tc>
          <w:tcPr>
            <w:tcW w:w="2622" w:type="dxa"/>
            <w:tcBorders>
              <w:top w:val="nil"/>
              <w:left w:val="nil"/>
              <w:bottom w:val="single" w:sz="2" w:space="0" w:color="1F4E79" w:themeColor="accent1" w:themeShade="80"/>
              <w:right w:val="nil"/>
            </w:tcBorders>
            <w:shd w:val="clear" w:color="auto" w:fill="auto"/>
            <w:vAlign w:val="center"/>
          </w:tcPr>
          <w:p w14:paraId="3B53C6E8" w14:textId="77777777" w:rsidR="008B7E19" w:rsidRPr="004B635B" w:rsidRDefault="008B7E19" w:rsidP="008B7E19">
            <w:pPr>
              <w:keepNext/>
              <w:keepLines/>
              <w:jc w:val="right"/>
              <w:cnfStyle w:val="000000100000" w:firstRow="0" w:lastRow="0" w:firstColumn="0" w:lastColumn="0" w:oddVBand="0" w:evenVBand="0" w:oddHBand="1" w:evenHBand="0" w:firstRowFirstColumn="0" w:firstRowLastColumn="0" w:lastRowFirstColumn="0" w:lastRowLastColumn="0"/>
              <w:rPr>
                <w:rFonts w:cs="Arial"/>
                <w:b/>
                <w:bCs/>
                <w:color w:val="000000"/>
                <w:sz w:val="14"/>
                <w:szCs w:val="14"/>
              </w:rPr>
            </w:pPr>
            <w:r w:rsidRPr="003B13AF">
              <w:rPr>
                <w:rFonts w:cs="Arial"/>
                <w:b/>
                <w:bCs/>
                <w:color w:val="000000"/>
                <w:sz w:val="14"/>
                <w:szCs w:val="14"/>
              </w:rPr>
              <w:t>2</w:t>
            </w:r>
            <w:r>
              <w:rPr>
                <w:rFonts w:cs="Arial"/>
                <w:b/>
                <w:bCs/>
                <w:color w:val="000000"/>
                <w:sz w:val="14"/>
                <w:szCs w:val="14"/>
              </w:rPr>
              <w:t>,</w:t>
            </w:r>
            <w:r w:rsidRPr="003B13AF">
              <w:rPr>
                <w:rFonts w:cs="Arial"/>
                <w:b/>
                <w:bCs/>
                <w:color w:val="000000"/>
                <w:sz w:val="14"/>
                <w:szCs w:val="14"/>
              </w:rPr>
              <w:t>717</w:t>
            </w:r>
            <w:r>
              <w:rPr>
                <w:rFonts w:cs="Arial"/>
                <w:b/>
                <w:bCs/>
                <w:color w:val="000000"/>
                <w:sz w:val="14"/>
                <w:szCs w:val="14"/>
              </w:rPr>
              <w:t>,</w:t>
            </w:r>
            <w:r w:rsidRPr="003B13AF">
              <w:rPr>
                <w:rFonts w:cs="Arial"/>
                <w:b/>
                <w:bCs/>
                <w:color w:val="000000"/>
                <w:sz w:val="14"/>
                <w:szCs w:val="14"/>
              </w:rPr>
              <w:t>058</w:t>
            </w:r>
          </w:p>
        </w:tc>
        <w:tc>
          <w:tcPr>
            <w:tcW w:w="2623" w:type="dxa"/>
            <w:tcBorders>
              <w:top w:val="nil"/>
              <w:left w:val="nil"/>
              <w:bottom w:val="single" w:sz="2" w:space="0" w:color="1F4E79" w:themeColor="accent1" w:themeShade="80"/>
              <w:right w:val="nil"/>
            </w:tcBorders>
            <w:shd w:val="clear" w:color="auto" w:fill="auto"/>
            <w:vAlign w:val="center"/>
          </w:tcPr>
          <w:p w14:paraId="1802981D" w14:textId="77777777" w:rsidR="008B7E19" w:rsidRPr="004B635B" w:rsidRDefault="008B7E19" w:rsidP="008B7E19">
            <w:pPr>
              <w:keepNext/>
              <w:keepLines/>
              <w:jc w:val="right"/>
              <w:cnfStyle w:val="000000100000" w:firstRow="0" w:lastRow="0" w:firstColumn="0" w:lastColumn="0" w:oddVBand="0" w:evenVBand="0" w:oddHBand="1" w:evenHBand="0" w:firstRowFirstColumn="0" w:firstRowLastColumn="0" w:lastRowFirstColumn="0" w:lastRowLastColumn="0"/>
              <w:rPr>
                <w:rFonts w:cs="Arial"/>
                <w:b/>
                <w:bCs/>
                <w:color w:val="000000"/>
                <w:sz w:val="14"/>
                <w:szCs w:val="14"/>
              </w:rPr>
            </w:pPr>
            <w:r w:rsidRPr="003B13AF">
              <w:rPr>
                <w:rFonts w:cs="Arial"/>
                <w:b/>
                <w:bCs/>
                <w:sz w:val="14"/>
                <w:szCs w:val="14"/>
              </w:rPr>
              <w:t xml:space="preserve"> 2</w:t>
            </w:r>
            <w:r>
              <w:rPr>
                <w:rFonts w:cs="Arial"/>
                <w:b/>
                <w:bCs/>
                <w:sz w:val="14"/>
                <w:szCs w:val="14"/>
              </w:rPr>
              <w:t>,</w:t>
            </w:r>
            <w:r w:rsidRPr="003B13AF">
              <w:rPr>
                <w:rFonts w:cs="Arial"/>
                <w:b/>
                <w:bCs/>
                <w:sz w:val="14"/>
                <w:szCs w:val="14"/>
              </w:rPr>
              <w:t>552</w:t>
            </w:r>
            <w:r>
              <w:rPr>
                <w:rFonts w:cs="Arial"/>
                <w:b/>
                <w:bCs/>
                <w:sz w:val="14"/>
                <w:szCs w:val="14"/>
              </w:rPr>
              <w:t>,</w:t>
            </w:r>
            <w:r w:rsidRPr="003B13AF">
              <w:rPr>
                <w:rFonts w:cs="Arial"/>
                <w:b/>
                <w:bCs/>
                <w:sz w:val="14"/>
                <w:szCs w:val="14"/>
              </w:rPr>
              <w:t xml:space="preserve">517 </w:t>
            </w:r>
          </w:p>
        </w:tc>
      </w:tr>
    </w:tbl>
    <w:p w14:paraId="236AA2B9" w14:textId="77777777" w:rsidR="008B7E19" w:rsidRPr="00196D50" w:rsidRDefault="008B7E19" w:rsidP="00882B41">
      <w:pPr>
        <w:numPr>
          <w:ilvl w:val="0"/>
          <w:numId w:val="20"/>
        </w:numPr>
        <w:spacing w:line="257" w:lineRule="auto"/>
        <w:contextualSpacing/>
        <w:jc w:val="both"/>
        <w:rPr>
          <w:rFonts w:eastAsia="Times New Roman" w:cs="Times New Roman"/>
          <w:spacing w:val="-2"/>
          <w:sz w:val="14"/>
          <w:szCs w:val="18"/>
          <w:lang w:val="en-US" w:eastAsia="pt-BR"/>
        </w:rPr>
      </w:pPr>
      <w:r w:rsidRPr="00196D50">
        <w:rPr>
          <w:rFonts w:eastAsia="Times New Roman" w:cs="Times New Roman"/>
          <w:spacing w:val="-2"/>
          <w:sz w:val="14"/>
          <w:szCs w:val="18"/>
          <w:lang w:val="en-US" w:eastAsia="pt-BR"/>
        </w:rPr>
        <w:t xml:space="preserve">Includes in the book value of the investment, intangible assets with a defined useful life in the amount net of amortizations of R$ </w:t>
      </w:r>
      <w:r>
        <w:rPr>
          <w:rFonts w:eastAsia="Times New Roman" w:cs="Times New Roman"/>
          <w:spacing w:val="-2"/>
          <w:sz w:val="14"/>
          <w:szCs w:val="18"/>
          <w:lang w:val="en-US" w:eastAsia="pt-BR"/>
        </w:rPr>
        <w:t>148</w:t>
      </w:r>
      <w:r w:rsidRPr="00196D50">
        <w:rPr>
          <w:rFonts w:eastAsia="Times New Roman" w:cs="Times New Roman"/>
          <w:spacing w:val="-2"/>
          <w:sz w:val="14"/>
          <w:szCs w:val="18"/>
          <w:lang w:val="en-US" w:eastAsia="pt-BR"/>
        </w:rPr>
        <w:t>,</w:t>
      </w:r>
      <w:r>
        <w:rPr>
          <w:rFonts w:eastAsia="Times New Roman" w:cs="Times New Roman"/>
          <w:spacing w:val="-2"/>
          <w:sz w:val="14"/>
          <w:szCs w:val="18"/>
          <w:lang w:val="en-US" w:eastAsia="pt-BR"/>
        </w:rPr>
        <w:t>577</w:t>
      </w:r>
      <w:r w:rsidRPr="00196D50">
        <w:rPr>
          <w:rFonts w:eastAsia="Times New Roman" w:cs="Times New Roman"/>
          <w:spacing w:val="-2"/>
          <w:sz w:val="14"/>
          <w:szCs w:val="18"/>
          <w:lang w:val="en-US" w:eastAsia="pt-BR"/>
        </w:rPr>
        <w:t xml:space="preserve"> thousand (R$ 156,281 thousand on Dec 31, 2022) and intangible assets with an indefinite useful life in the amount of R$ 339,004 thousand arising from of the partnership agreement with the MAPFRE Group.</w:t>
      </w:r>
    </w:p>
    <w:p w14:paraId="4CF150A6" w14:textId="77777777" w:rsidR="008B7E19" w:rsidRDefault="008B7E19" w:rsidP="008B7E19">
      <w:pPr>
        <w:keepNext/>
        <w:keepLines/>
        <w:spacing w:after="0" w:line="240" w:lineRule="auto"/>
        <w:rPr>
          <w:rFonts w:eastAsia="Times New Roman" w:cs="Arial"/>
          <w:spacing w:val="-2"/>
          <w:szCs w:val="20"/>
          <w:highlight w:val="yellow"/>
          <w:lang w:val="en-US" w:eastAsia="zh-CN"/>
        </w:rPr>
      </w:pPr>
    </w:p>
    <w:p w14:paraId="60AFC80B" w14:textId="77777777" w:rsidR="008B7E19" w:rsidRPr="00FC09E4" w:rsidRDefault="008B7E19" w:rsidP="008B7E19">
      <w:pPr>
        <w:spacing w:after="0" w:line="240" w:lineRule="auto"/>
        <w:rPr>
          <w:rFonts w:eastAsia="Times New Roman" w:cs="Times New Roman"/>
          <w:b/>
          <w:color w:val="1F4E79" w:themeColor="accent1" w:themeShade="80"/>
          <w:spacing w:val="-2"/>
          <w:szCs w:val="20"/>
          <w:lang w:val="en-US" w:eastAsia="pt-BR"/>
        </w:rPr>
      </w:pPr>
      <w:r w:rsidRPr="00FC09E4">
        <w:rPr>
          <w:rFonts w:eastAsia="Times New Roman" w:cs="Times New Roman"/>
          <w:b/>
          <w:color w:val="1F4E79" w:themeColor="accent1" w:themeShade="80"/>
          <w:spacing w:val="-2"/>
          <w:szCs w:val="20"/>
          <w:lang w:val="en-US" w:eastAsia="pt-BR"/>
        </w:rPr>
        <w:t>Information for comparison purposes</w:t>
      </w:r>
    </w:p>
    <w:p w14:paraId="529A42BC" w14:textId="77777777" w:rsidR="008B7E19" w:rsidRPr="00FC09E4" w:rsidRDefault="008B7E19" w:rsidP="008B7E19">
      <w:pPr>
        <w:spacing w:after="0" w:line="240" w:lineRule="auto"/>
        <w:jc w:val="right"/>
        <w:rPr>
          <w:rFonts w:cs="Arial"/>
          <w:b/>
          <w:sz w:val="14"/>
          <w:lang w:val="en-US" w:eastAsia="pt-BR"/>
        </w:rPr>
      </w:pPr>
      <w:r w:rsidRPr="00FC09E4">
        <w:rPr>
          <w:rFonts w:cs="Arial"/>
          <w:b/>
          <w:sz w:val="14"/>
          <w:lang w:val="en-US" w:eastAsia="pt-BR"/>
        </w:rPr>
        <w:t>R$ thousand</w:t>
      </w:r>
    </w:p>
    <w:tbl>
      <w:tblPr>
        <w:tblStyle w:val="TabeladeLista6Colorida-nfase512"/>
        <w:tblW w:w="9639" w:type="dxa"/>
        <w:jc w:val="center"/>
        <w:tblInd w:w="0" w:type="dxa"/>
        <w:tblLayout w:type="fixed"/>
        <w:tblLook w:val="04A0" w:firstRow="1" w:lastRow="0" w:firstColumn="1" w:lastColumn="0" w:noHBand="0" w:noVBand="1"/>
      </w:tblPr>
      <w:tblGrid>
        <w:gridCol w:w="2803"/>
        <w:gridCol w:w="1709"/>
        <w:gridCol w:w="1709"/>
        <w:gridCol w:w="1709"/>
        <w:gridCol w:w="1709"/>
      </w:tblGrid>
      <w:tr w:rsidR="008B7E19" w:rsidRPr="00537AE7" w14:paraId="022D5ED8" w14:textId="77777777" w:rsidTr="008B7E19">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single" w:sz="2" w:space="0" w:color="1F4E79" w:themeColor="accent1" w:themeShade="80"/>
              <w:left w:val="nil"/>
              <w:bottom w:val="single" w:sz="2" w:space="0" w:color="1F4E79" w:themeColor="accent1" w:themeShade="80"/>
              <w:right w:val="nil"/>
            </w:tcBorders>
            <w:shd w:val="clear" w:color="auto" w:fill="auto"/>
            <w:vAlign w:val="center"/>
          </w:tcPr>
          <w:p w14:paraId="02FEFFFD" w14:textId="77777777" w:rsidR="008B7E19" w:rsidRPr="00FC09E4" w:rsidRDefault="008B7E19" w:rsidP="008B7E19">
            <w:pPr>
              <w:jc w:val="center"/>
              <w:rPr>
                <w:rFonts w:cs="Arial"/>
                <w:sz w:val="14"/>
                <w:szCs w:val="14"/>
                <w:lang w:val="en-US"/>
              </w:rPr>
            </w:pPr>
          </w:p>
        </w:tc>
        <w:tc>
          <w:tcPr>
            <w:tcW w:w="1709" w:type="dxa"/>
            <w:tcBorders>
              <w:top w:val="single" w:sz="2" w:space="0" w:color="1F4E79" w:themeColor="accent1" w:themeShade="80"/>
              <w:left w:val="nil"/>
              <w:bottom w:val="single" w:sz="2" w:space="0" w:color="1F4E79" w:themeColor="accent1" w:themeShade="80"/>
              <w:right w:val="nil"/>
            </w:tcBorders>
            <w:shd w:val="clear" w:color="auto" w:fill="auto"/>
            <w:vAlign w:val="center"/>
          </w:tcPr>
          <w:p w14:paraId="0BAF50A6" w14:textId="77777777" w:rsidR="008B7E19" w:rsidRDefault="008B7E19" w:rsidP="008B7E19">
            <w:pPr>
              <w:jc w:val="right"/>
              <w:cnfStyle w:val="100000000000" w:firstRow="1" w:lastRow="0" w:firstColumn="0" w:lastColumn="0" w:oddVBand="0" w:evenVBand="0" w:oddHBand="0" w:evenHBand="0" w:firstRowFirstColumn="0" w:firstRowLastColumn="0" w:lastRowFirstColumn="0" w:lastRowLastColumn="0"/>
              <w:rPr>
                <w:rFonts w:cs="Arial"/>
                <w:sz w:val="14"/>
                <w:szCs w:val="14"/>
              </w:rPr>
            </w:pPr>
            <w:r w:rsidRPr="00925790">
              <w:rPr>
                <w:rFonts w:cs="Arial"/>
                <w:sz w:val="14"/>
                <w:szCs w:val="14"/>
              </w:rPr>
              <w:t>2</w:t>
            </w:r>
            <w:r w:rsidRPr="00925790">
              <w:rPr>
                <w:rFonts w:cs="Arial"/>
                <w:sz w:val="14"/>
                <w:szCs w:val="14"/>
                <w:vertAlign w:val="superscript"/>
              </w:rPr>
              <w:t>nd</w:t>
            </w:r>
            <w:r w:rsidRPr="00925790">
              <w:rPr>
                <w:rFonts w:cs="Arial"/>
                <w:sz w:val="14"/>
                <w:szCs w:val="14"/>
              </w:rPr>
              <w:t xml:space="preserve"> Quarter 2023</w:t>
            </w:r>
          </w:p>
        </w:tc>
        <w:tc>
          <w:tcPr>
            <w:tcW w:w="1709" w:type="dxa"/>
            <w:tcBorders>
              <w:top w:val="single" w:sz="2" w:space="0" w:color="1F4E79" w:themeColor="accent1" w:themeShade="80"/>
              <w:left w:val="nil"/>
              <w:bottom w:val="single" w:sz="2" w:space="0" w:color="1F4E79" w:themeColor="accent1" w:themeShade="80"/>
              <w:right w:val="nil"/>
            </w:tcBorders>
            <w:shd w:val="clear" w:color="auto" w:fill="auto"/>
            <w:vAlign w:val="center"/>
          </w:tcPr>
          <w:p w14:paraId="5FB5AB93" w14:textId="77777777" w:rsidR="008B7E19" w:rsidRDefault="008B7E19" w:rsidP="008B7E19">
            <w:pPr>
              <w:jc w:val="right"/>
              <w:cnfStyle w:val="100000000000" w:firstRow="1" w:lastRow="0" w:firstColumn="0" w:lastColumn="0" w:oddVBand="0" w:evenVBand="0" w:oddHBand="0" w:evenHBand="0" w:firstRowFirstColumn="0" w:firstRowLastColumn="0" w:lastRowFirstColumn="0" w:lastRowLastColumn="0"/>
              <w:rPr>
                <w:rFonts w:cs="Arial"/>
                <w:sz w:val="14"/>
                <w:szCs w:val="14"/>
              </w:rPr>
            </w:pPr>
            <w:r w:rsidRPr="00925790">
              <w:rPr>
                <w:rFonts w:cs="Arial"/>
                <w:sz w:val="14"/>
                <w:szCs w:val="14"/>
              </w:rPr>
              <w:t>1</w:t>
            </w:r>
            <w:r w:rsidRPr="00925790">
              <w:rPr>
                <w:rFonts w:cs="Arial"/>
                <w:sz w:val="14"/>
                <w:szCs w:val="14"/>
                <w:vertAlign w:val="superscript"/>
              </w:rPr>
              <w:t>st</w:t>
            </w:r>
            <w:r w:rsidRPr="00925790">
              <w:rPr>
                <w:rFonts w:cs="Arial"/>
                <w:sz w:val="14"/>
                <w:szCs w:val="14"/>
              </w:rPr>
              <w:t xml:space="preserve"> Half 2023</w:t>
            </w:r>
          </w:p>
        </w:tc>
        <w:tc>
          <w:tcPr>
            <w:tcW w:w="1709" w:type="dxa"/>
            <w:tcBorders>
              <w:top w:val="single" w:sz="2" w:space="0" w:color="1F4E79" w:themeColor="accent1" w:themeShade="80"/>
              <w:left w:val="nil"/>
              <w:bottom w:val="single" w:sz="2" w:space="0" w:color="1F4E79" w:themeColor="accent1" w:themeShade="80"/>
              <w:right w:val="nil"/>
            </w:tcBorders>
            <w:shd w:val="clear" w:color="auto" w:fill="auto"/>
            <w:vAlign w:val="center"/>
          </w:tcPr>
          <w:p w14:paraId="57840ADF" w14:textId="77777777" w:rsidR="008B7E19" w:rsidRPr="00537AE7" w:rsidRDefault="008B7E19" w:rsidP="008B7E19">
            <w:pPr>
              <w:jc w:val="right"/>
              <w:cnfStyle w:val="100000000000" w:firstRow="1" w:lastRow="0" w:firstColumn="0" w:lastColumn="0" w:oddVBand="0" w:evenVBand="0" w:oddHBand="0" w:evenHBand="0" w:firstRowFirstColumn="0" w:firstRowLastColumn="0" w:lastRowFirstColumn="0" w:lastRowLastColumn="0"/>
              <w:rPr>
                <w:rFonts w:cs="Arial"/>
                <w:b w:val="0"/>
                <w:sz w:val="14"/>
                <w:szCs w:val="14"/>
              </w:rPr>
            </w:pPr>
            <w:r w:rsidRPr="00925790">
              <w:rPr>
                <w:rFonts w:cs="Arial"/>
                <w:sz w:val="14"/>
                <w:szCs w:val="14"/>
              </w:rPr>
              <w:t>2</w:t>
            </w:r>
            <w:r w:rsidRPr="00925790">
              <w:rPr>
                <w:rFonts w:cs="Arial"/>
                <w:sz w:val="14"/>
                <w:szCs w:val="14"/>
                <w:vertAlign w:val="superscript"/>
              </w:rPr>
              <w:t>nd</w:t>
            </w:r>
            <w:r w:rsidRPr="00925790">
              <w:rPr>
                <w:rFonts w:cs="Arial"/>
                <w:sz w:val="14"/>
                <w:szCs w:val="14"/>
              </w:rPr>
              <w:t xml:space="preserve"> Quarter 2022</w:t>
            </w:r>
          </w:p>
        </w:tc>
        <w:tc>
          <w:tcPr>
            <w:tcW w:w="1709" w:type="dxa"/>
            <w:tcBorders>
              <w:top w:val="single" w:sz="2" w:space="0" w:color="1F4E79" w:themeColor="accent1" w:themeShade="80"/>
              <w:left w:val="nil"/>
              <w:bottom w:val="single" w:sz="2" w:space="0" w:color="1F4E79" w:themeColor="accent1" w:themeShade="80"/>
              <w:right w:val="nil"/>
            </w:tcBorders>
            <w:shd w:val="clear" w:color="auto" w:fill="auto"/>
            <w:vAlign w:val="center"/>
          </w:tcPr>
          <w:p w14:paraId="7FA1EDD1" w14:textId="77777777" w:rsidR="008B7E19" w:rsidRPr="00537AE7" w:rsidRDefault="008B7E19" w:rsidP="008B7E19">
            <w:pPr>
              <w:jc w:val="right"/>
              <w:cnfStyle w:val="100000000000" w:firstRow="1" w:lastRow="0" w:firstColumn="0" w:lastColumn="0" w:oddVBand="0" w:evenVBand="0" w:oddHBand="0" w:evenHBand="0" w:firstRowFirstColumn="0" w:firstRowLastColumn="0" w:lastRowFirstColumn="0" w:lastRowLastColumn="0"/>
              <w:rPr>
                <w:rFonts w:cs="Arial"/>
                <w:sz w:val="14"/>
                <w:szCs w:val="14"/>
              </w:rPr>
            </w:pPr>
            <w:r w:rsidRPr="00925790">
              <w:rPr>
                <w:rFonts w:cs="Arial"/>
                <w:sz w:val="14"/>
                <w:szCs w:val="14"/>
              </w:rPr>
              <w:t>1</w:t>
            </w:r>
            <w:r w:rsidRPr="00925790">
              <w:rPr>
                <w:rFonts w:cs="Arial"/>
                <w:sz w:val="14"/>
                <w:szCs w:val="14"/>
                <w:vertAlign w:val="superscript"/>
              </w:rPr>
              <w:t>st</w:t>
            </w:r>
            <w:r w:rsidRPr="00925790">
              <w:rPr>
                <w:rFonts w:cs="Arial"/>
                <w:sz w:val="14"/>
                <w:szCs w:val="14"/>
              </w:rPr>
              <w:t xml:space="preserve"> Half 2022</w:t>
            </w:r>
          </w:p>
        </w:tc>
      </w:tr>
      <w:tr w:rsidR="008B7E19" w:rsidRPr="00026122" w14:paraId="22CAB474"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single" w:sz="2" w:space="0" w:color="1F4E79" w:themeColor="accent1" w:themeShade="80"/>
              <w:left w:val="nil"/>
              <w:bottom w:val="nil"/>
              <w:right w:val="nil"/>
            </w:tcBorders>
            <w:shd w:val="clear" w:color="auto" w:fill="auto"/>
            <w:vAlign w:val="center"/>
          </w:tcPr>
          <w:p w14:paraId="219C37F2" w14:textId="77777777" w:rsidR="008B7E19" w:rsidRPr="00026122" w:rsidRDefault="008B7E19" w:rsidP="008B7E19">
            <w:pPr>
              <w:keepNext/>
              <w:keepLines/>
              <w:rPr>
                <w:rFonts w:eastAsia="Times New Roman" w:cs="Arial"/>
                <w:b w:val="0"/>
                <w:bCs w:val="0"/>
                <w:spacing w:val="-2"/>
                <w:sz w:val="14"/>
                <w:szCs w:val="14"/>
              </w:rPr>
            </w:pPr>
            <w:r w:rsidRPr="00FC09E4">
              <w:rPr>
                <w:rFonts w:cs="Arial"/>
                <w:b w:val="0"/>
                <w:bCs w:val="0"/>
                <w:sz w:val="14"/>
                <w:szCs w:val="14"/>
              </w:rPr>
              <w:t>Net income</w:t>
            </w:r>
            <w:r w:rsidRPr="00026122">
              <w:rPr>
                <w:rFonts w:cs="Arial"/>
                <w:b w:val="0"/>
                <w:bCs w:val="0"/>
                <w:sz w:val="14"/>
                <w:szCs w:val="14"/>
              </w:rPr>
              <w:t xml:space="preserve"> (SUSEP)</w:t>
            </w:r>
          </w:p>
        </w:tc>
        <w:tc>
          <w:tcPr>
            <w:tcW w:w="1709" w:type="dxa"/>
            <w:tcBorders>
              <w:top w:val="single" w:sz="2" w:space="0" w:color="1F4E79" w:themeColor="accent1" w:themeShade="80"/>
              <w:left w:val="nil"/>
              <w:bottom w:val="nil"/>
              <w:right w:val="nil"/>
            </w:tcBorders>
            <w:shd w:val="clear" w:color="auto" w:fill="auto"/>
            <w:vAlign w:val="center"/>
          </w:tcPr>
          <w:p w14:paraId="011B1098" w14:textId="77777777" w:rsidR="008B7E19" w:rsidRPr="00026122"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rPr>
            </w:pPr>
            <w:r w:rsidRPr="00026122">
              <w:rPr>
                <w:rFonts w:cs="Arial"/>
                <w:sz w:val="14"/>
                <w:szCs w:val="14"/>
              </w:rPr>
              <w:t xml:space="preserve">                970</w:t>
            </w:r>
            <w:r>
              <w:rPr>
                <w:rFonts w:cs="Arial"/>
                <w:sz w:val="14"/>
                <w:szCs w:val="14"/>
              </w:rPr>
              <w:t>,</w:t>
            </w:r>
            <w:r w:rsidRPr="00026122">
              <w:rPr>
                <w:rFonts w:cs="Arial"/>
                <w:sz w:val="14"/>
                <w:szCs w:val="14"/>
              </w:rPr>
              <w:t xml:space="preserve">915 </w:t>
            </w:r>
          </w:p>
        </w:tc>
        <w:tc>
          <w:tcPr>
            <w:tcW w:w="1709" w:type="dxa"/>
            <w:tcBorders>
              <w:top w:val="single" w:sz="2" w:space="0" w:color="1F4E79" w:themeColor="accent1" w:themeShade="80"/>
              <w:left w:val="nil"/>
              <w:bottom w:val="nil"/>
              <w:right w:val="nil"/>
            </w:tcBorders>
            <w:shd w:val="clear" w:color="auto" w:fill="auto"/>
            <w:vAlign w:val="center"/>
          </w:tcPr>
          <w:p w14:paraId="06583AE3" w14:textId="77777777" w:rsidR="008B7E19" w:rsidRPr="00026122"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rPr>
            </w:pPr>
            <w:r w:rsidRPr="00026122">
              <w:rPr>
                <w:rFonts w:cs="Arial"/>
                <w:sz w:val="14"/>
                <w:szCs w:val="14"/>
              </w:rPr>
              <w:t xml:space="preserve">             1</w:t>
            </w:r>
            <w:r>
              <w:rPr>
                <w:rFonts w:cs="Arial"/>
                <w:sz w:val="14"/>
                <w:szCs w:val="14"/>
              </w:rPr>
              <w:t>,</w:t>
            </w:r>
            <w:r w:rsidRPr="00026122">
              <w:rPr>
                <w:rFonts w:cs="Arial"/>
                <w:sz w:val="14"/>
                <w:szCs w:val="14"/>
              </w:rPr>
              <w:t>880</w:t>
            </w:r>
            <w:r>
              <w:rPr>
                <w:rFonts w:cs="Arial"/>
                <w:sz w:val="14"/>
                <w:szCs w:val="14"/>
              </w:rPr>
              <w:t>,</w:t>
            </w:r>
            <w:r w:rsidRPr="00026122">
              <w:rPr>
                <w:rFonts w:cs="Arial"/>
                <w:sz w:val="14"/>
                <w:szCs w:val="14"/>
              </w:rPr>
              <w:t xml:space="preserve">994 </w:t>
            </w:r>
          </w:p>
        </w:tc>
        <w:tc>
          <w:tcPr>
            <w:tcW w:w="1709" w:type="dxa"/>
            <w:tcBorders>
              <w:top w:val="single" w:sz="2" w:space="0" w:color="1F4E79" w:themeColor="accent1" w:themeShade="80"/>
              <w:left w:val="nil"/>
              <w:bottom w:val="nil"/>
              <w:right w:val="nil"/>
            </w:tcBorders>
            <w:shd w:val="clear" w:color="auto" w:fill="auto"/>
            <w:vAlign w:val="center"/>
          </w:tcPr>
          <w:p w14:paraId="01D7DBA1" w14:textId="77777777" w:rsidR="008B7E19" w:rsidRPr="00026122"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rPr>
            </w:pPr>
            <w:r w:rsidRPr="00026122">
              <w:rPr>
                <w:rFonts w:cs="Arial"/>
                <w:sz w:val="14"/>
                <w:szCs w:val="14"/>
              </w:rPr>
              <w:t xml:space="preserve">        734</w:t>
            </w:r>
            <w:r>
              <w:rPr>
                <w:rFonts w:cs="Arial"/>
                <w:sz w:val="14"/>
                <w:szCs w:val="14"/>
              </w:rPr>
              <w:t>,</w:t>
            </w:r>
            <w:r w:rsidRPr="00026122">
              <w:rPr>
                <w:rFonts w:cs="Arial"/>
                <w:sz w:val="14"/>
                <w:szCs w:val="14"/>
              </w:rPr>
              <w:t xml:space="preserve">133 </w:t>
            </w:r>
          </w:p>
        </w:tc>
        <w:tc>
          <w:tcPr>
            <w:tcW w:w="1709" w:type="dxa"/>
            <w:tcBorders>
              <w:top w:val="single" w:sz="2" w:space="0" w:color="1F4E79" w:themeColor="accent1" w:themeShade="80"/>
              <w:left w:val="nil"/>
              <w:bottom w:val="nil"/>
              <w:right w:val="nil"/>
            </w:tcBorders>
            <w:shd w:val="clear" w:color="auto" w:fill="auto"/>
            <w:vAlign w:val="center"/>
          </w:tcPr>
          <w:p w14:paraId="51116133" w14:textId="77777777" w:rsidR="008B7E19" w:rsidRPr="00026122"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026122">
              <w:rPr>
                <w:rFonts w:cs="Arial"/>
                <w:color w:val="000000"/>
                <w:sz w:val="14"/>
                <w:szCs w:val="14"/>
              </w:rPr>
              <w:t xml:space="preserve">    1</w:t>
            </w:r>
            <w:r>
              <w:rPr>
                <w:rFonts w:cs="Arial"/>
                <w:color w:val="000000"/>
                <w:sz w:val="14"/>
                <w:szCs w:val="14"/>
              </w:rPr>
              <w:t>,</w:t>
            </w:r>
            <w:r w:rsidRPr="00026122">
              <w:rPr>
                <w:rFonts w:cs="Arial"/>
                <w:color w:val="000000"/>
                <w:sz w:val="14"/>
                <w:szCs w:val="14"/>
              </w:rPr>
              <w:t>089</w:t>
            </w:r>
            <w:r>
              <w:rPr>
                <w:rFonts w:cs="Arial"/>
                <w:color w:val="000000"/>
                <w:sz w:val="14"/>
                <w:szCs w:val="14"/>
              </w:rPr>
              <w:t>,</w:t>
            </w:r>
            <w:r w:rsidRPr="00026122">
              <w:rPr>
                <w:rFonts w:cs="Arial"/>
                <w:color w:val="000000"/>
                <w:sz w:val="14"/>
                <w:szCs w:val="14"/>
              </w:rPr>
              <w:t xml:space="preserve">159 </w:t>
            </w:r>
          </w:p>
        </w:tc>
      </w:tr>
      <w:tr w:rsidR="008B7E19" w:rsidRPr="00026122" w14:paraId="2EEECAA1" w14:textId="77777777" w:rsidTr="008B7E1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shd w:val="clear" w:color="auto" w:fill="auto"/>
            <w:vAlign w:val="center"/>
          </w:tcPr>
          <w:p w14:paraId="557993C4" w14:textId="77777777" w:rsidR="008B7E19" w:rsidRPr="00026122" w:rsidRDefault="008B7E19" w:rsidP="008B7E19">
            <w:pPr>
              <w:keepNext/>
              <w:keepLines/>
              <w:rPr>
                <w:rFonts w:cs="Arial"/>
                <w:b w:val="0"/>
                <w:bCs w:val="0"/>
                <w:sz w:val="14"/>
                <w:szCs w:val="14"/>
              </w:rPr>
            </w:pPr>
            <w:r w:rsidRPr="00FC09E4">
              <w:rPr>
                <w:rFonts w:cs="Arial"/>
                <w:b w:val="0"/>
                <w:bCs w:val="0"/>
                <w:sz w:val="14"/>
                <w:szCs w:val="14"/>
              </w:rPr>
              <w:t xml:space="preserve">Comprehensive income </w:t>
            </w:r>
            <w:r w:rsidRPr="00026122">
              <w:rPr>
                <w:rFonts w:cs="Arial"/>
                <w:b w:val="0"/>
                <w:bCs w:val="0"/>
                <w:sz w:val="14"/>
                <w:szCs w:val="14"/>
              </w:rPr>
              <w:t>(SUSEP)</w:t>
            </w:r>
          </w:p>
        </w:tc>
        <w:tc>
          <w:tcPr>
            <w:tcW w:w="1709" w:type="dxa"/>
            <w:tcBorders>
              <w:top w:val="nil"/>
              <w:left w:val="nil"/>
              <w:bottom w:val="nil"/>
              <w:right w:val="nil"/>
            </w:tcBorders>
            <w:shd w:val="clear" w:color="auto" w:fill="auto"/>
            <w:vAlign w:val="center"/>
          </w:tcPr>
          <w:p w14:paraId="3426A6F0" w14:textId="77777777" w:rsidR="008B7E19" w:rsidRPr="00026122"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sz w:val="14"/>
                <w:szCs w:val="14"/>
              </w:rPr>
            </w:pPr>
            <w:r w:rsidRPr="00A225CF">
              <w:rPr>
                <w:rFonts w:cs="Arial"/>
                <w:sz w:val="14"/>
                <w:szCs w:val="14"/>
              </w:rPr>
              <w:t>1</w:t>
            </w:r>
            <w:r>
              <w:rPr>
                <w:rFonts w:cs="Arial"/>
                <w:sz w:val="14"/>
                <w:szCs w:val="14"/>
              </w:rPr>
              <w:t>,</w:t>
            </w:r>
            <w:r w:rsidRPr="00A225CF">
              <w:rPr>
                <w:rFonts w:cs="Arial"/>
                <w:sz w:val="14"/>
                <w:szCs w:val="14"/>
              </w:rPr>
              <w:t>002</w:t>
            </w:r>
            <w:r>
              <w:rPr>
                <w:rFonts w:cs="Arial"/>
                <w:sz w:val="14"/>
                <w:szCs w:val="14"/>
              </w:rPr>
              <w:t>,</w:t>
            </w:r>
            <w:r w:rsidRPr="00A225CF">
              <w:rPr>
                <w:rFonts w:cs="Arial"/>
                <w:sz w:val="14"/>
                <w:szCs w:val="14"/>
              </w:rPr>
              <w:t>668</w:t>
            </w:r>
          </w:p>
        </w:tc>
        <w:tc>
          <w:tcPr>
            <w:tcW w:w="1709" w:type="dxa"/>
            <w:tcBorders>
              <w:top w:val="nil"/>
              <w:left w:val="nil"/>
              <w:bottom w:val="nil"/>
              <w:right w:val="nil"/>
            </w:tcBorders>
            <w:shd w:val="clear" w:color="auto" w:fill="auto"/>
            <w:vAlign w:val="center"/>
          </w:tcPr>
          <w:p w14:paraId="49DF0BC5" w14:textId="77777777" w:rsidR="008B7E19" w:rsidRPr="00026122"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sz w:val="14"/>
                <w:szCs w:val="14"/>
              </w:rPr>
            </w:pPr>
            <w:r w:rsidRPr="00A225CF">
              <w:rPr>
                <w:rFonts w:cs="Arial"/>
                <w:sz w:val="14"/>
                <w:szCs w:val="14"/>
              </w:rPr>
              <w:t>1</w:t>
            </w:r>
            <w:r>
              <w:rPr>
                <w:rFonts w:cs="Arial"/>
                <w:sz w:val="14"/>
                <w:szCs w:val="14"/>
              </w:rPr>
              <w:t>,</w:t>
            </w:r>
            <w:r w:rsidRPr="00A225CF">
              <w:rPr>
                <w:rFonts w:cs="Arial"/>
                <w:sz w:val="14"/>
                <w:szCs w:val="14"/>
              </w:rPr>
              <w:t>934</w:t>
            </w:r>
            <w:r>
              <w:rPr>
                <w:rFonts w:cs="Arial"/>
                <w:sz w:val="14"/>
                <w:szCs w:val="14"/>
              </w:rPr>
              <w:t>,</w:t>
            </w:r>
            <w:r w:rsidRPr="00A225CF">
              <w:rPr>
                <w:rFonts w:cs="Arial"/>
                <w:sz w:val="14"/>
                <w:szCs w:val="14"/>
              </w:rPr>
              <w:t>157</w:t>
            </w:r>
          </w:p>
        </w:tc>
        <w:tc>
          <w:tcPr>
            <w:tcW w:w="1709" w:type="dxa"/>
            <w:tcBorders>
              <w:top w:val="nil"/>
              <w:left w:val="nil"/>
              <w:bottom w:val="nil"/>
              <w:right w:val="nil"/>
            </w:tcBorders>
            <w:shd w:val="clear" w:color="auto" w:fill="auto"/>
            <w:vAlign w:val="center"/>
          </w:tcPr>
          <w:p w14:paraId="0CD36274" w14:textId="77777777" w:rsidR="008B7E19" w:rsidRPr="00026122"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sz w:val="14"/>
                <w:szCs w:val="14"/>
              </w:rPr>
            </w:pPr>
            <w:r w:rsidRPr="00026122">
              <w:rPr>
                <w:rFonts w:cs="Arial"/>
                <w:sz w:val="14"/>
                <w:szCs w:val="14"/>
              </w:rPr>
              <w:t xml:space="preserve">        725</w:t>
            </w:r>
            <w:r>
              <w:rPr>
                <w:rFonts w:cs="Arial"/>
                <w:sz w:val="14"/>
                <w:szCs w:val="14"/>
              </w:rPr>
              <w:t>,</w:t>
            </w:r>
            <w:r w:rsidRPr="00026122">
              <w:rPr>
                <w:rFonts w:cs="Arial"/>
                <w:sz w:val="14"/>
                <w:szCs w:val="14"/>
              </w:rPr>
              <w:t xml:space="preserve">250 </w:t>
            </w:r>
          </w:p>
        </w:tc>
        <w:tc>
          <w:tcPr>
            <w:tcW w:w="1709" w:type="dxa"/>
            <w:tcBorders>
              <w:top w:val="nil"/>
              <w:left w:val="nil"/>
              <w:bottom w:val="nil"/>
              <w:right w:val="nil"/>
            </w:tcBorders>
            <w:shd w:val="clear" w:color="auto" w:fill="auto"/>
            <w:vAlign w:val="center"/>
          </w:tcPr>
          <w:p w14:paraId="2474C679" w14:textId="77777777" w:rsidR="008B7E19" w:rsidRPr="00026122"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color w:val="000000"/>
                <w:sz w:val="14"/>
                <w:szCs w:val="14"/>
              </w:rPr>
            </w:pPr>
            <w:r w:rsidRPr="00026122">
              <w:rPr>
                <w:rFonts w:cs="Arial"/>
                <w:color w:val="000000"/>
                <w:sz w:val="14"/>
                <w:szCs w:val="14"/>
              </w:rPr>
              <w:t xml:space="preserve">    1</w:t>
            </w:r>
            <w:r>
              <w:rPr>
                <w:rFonts w:cs="Arial"/>
                <w:color w:val="000000"/>
                <w:sz w:val="14"/>
                <w:szCs w:val="14"/>
              </w:rPr>
              <w:t>,</w:t>
            </w:r>
            <w:r w:rsidRPr="00026122">
              <w:rPr>
                <w:rFonts w:cs="Arial"/>
                <w:color w:val="000000"/>
                <w:sz w:val="14"/>
                <w:szCs w:val="14"/>
              </w:rPr>
              <w:t>065</w:t>
            </w:r>
            <w:r>
              <w:rPr>
                <w:rFonts w:cs="Arial"/>
                <w:color w:val="000000"/>
                <w:sz w:val="14"/>
                <w:szCs w:val="14"/>
              </w:rPr>
              <w:t>,</w:t>
            </w:r>
            <w:r w:rsidRPr="00026122">
              <w:rPr>
                <w:rFonts w:cs="Arial"/>
                <w:color w:val="000000"/>
                <w:sz w:val="14"/>
                <w:szCs w:val="14"/>
              </w:rPr>
              <w:t xml:space="preserve">554 </w:t>
            </w:r>
          </w:p>
        </w:tc>
      </w:tr>
      <w:tr w:rsidR="008B7E19" w:rsidRPr="00026122" w14:paraId="64615CE9"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shd w:val="clear" w:color="auto" w:fill="auto"/>
            <w:vAlign w:val="center"/>
          </w:tcPr>
          <w:p w14:paraId="19E03E95" w14:textId="77777777" w:rsidR="008B7E19" w:rsidRPr="00026122" w:rsidRDefault="008B7E19" w:rsidP="008B7E19">
            <w:pPr>
              <w:keepNext/>
              <w:keepLines/>
              <w:rPr>
                <w:rFonts w:cs="Arial"/>
                <w:b w:val="0"/>
                <w:bCs w:val="0"/>
                <w:sz w:val="14"/>
                <w:szCs w:val="14"/>
              </w:rPr>
            </w:pPr>
          </w:p>
        </w:tc>
        <w:tc>
          <w:tcPr>
            <w:tcW w:w="1709" w:type="dxa"/>
            <w:tcBorders>
              <w:top w:val="nil"/>
              <w:left w:val="nil"/>
              <w:bottom w:val="nil"/>
              <w:right w:val="nil"/>
            </w:tcBorders>
            <w:shd w:val="clear" w:color="auto" w:fill="auto"/>
            <w:vAlign w:val="center"/>
          </w:tcPr>
          <w:p w14:paraId="4ACDA788" w14:textId="77777777" w:rsidR="008B7E19" w:rsidRPr="00026122"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rPr>
            </w:pPr>
          </w:p>
        </w:tc>
        <w:tc>
          <w:tcPr>
            <w:tcW w:w="1709" w:type="dxa"/>
            <w:tcBorders>
              <w:top w:val="nil"/>
              <w:left w:val="nil"/>
              <w:bottom w:val="nil"/>
              <w:right w:val="nil"/>
            </w:tcBorders>
            <w:shd w:val="clear" w:color="auto" w:fill="auto"/>
            <w:vAlign w:val="center"/>
          </w:tcPr>
          <w:p w14:paraId="4EA0D83C" w14:textId="77777777" w:rsidR="008B7E19" w:rsidRPr="00026122"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rPr>
            </w:pPr>
          </w:p>
        </w:tc>
        <w:tc>
          <w:tcPr>
            <w:tcW w:w="1709" w:type="dxa"/>
            <w:tcBorders>
              <w:top w:val="nil"/>
              <w:left w:val="nil"/>
              <w:bottom w:val="nil"/>
              <w:right w:val="nil"/>
            </w:tcBorders>
            <w:shd w:val="clear" w:color="auto" w:fill="auto"/>
            <w:vAlign w:val="center"/>
          </w:tcPr>
          <w:p w14:paraId="0B9448BF" w14:textId="77777777" w:rsidR="008B7E19" w:rsidRPr="00026122"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rPr>
            </w:pPr>
          </w:p>
        </w:tc>
        <w:tc>
          <w:tcPr>
            <w:tcW w:w="1709" w:type="dxa"/>
            <w:tcBorders>
              <w:top w:val="nil"/>
              <w:left w:val="nil"/>
              <w:bottom w:val="nil"/>
              <w:right w:val="nil"/>
            </w:tcBorders>
            <w:shd w:val="clear" w:color="auto" w:fill="auto"/>
            <w:vAlign w:val="center"/>
          </w:tcPr>
          <w:p w14:paraId="52B77DC9" w14:textId="77777777" w:rsidR="008B7E19" w:rsidRPr="00026122"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p>
        </w:tc>
      </w:tr>
      <w:tr w:rsidR="008B7E19" w:rsidRPr="00026122" w14:paraId="615A8030" w14:textId="77777777" w:rsidTr="008B7E1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shd w:val="clear" w:color="auto" w:fill="auto"/>
            <w:vAlign w:val="center"/>
          </w:tcPr>
          <w:p w14:paraId="06364F22" w14:textId="77777777" w:rsidR="008B7E19" w:rsidRPr="00026122" w:rsidRDefault="008B7E19" w:rsidP="008B7E19">
            <w:pPr>
              <w:keepNext/>
              <w:keepLines/>
              <w:spacing w:before="40" w:after="40"/>
              <w:rPr>
                <w:rFonts w:cs="Arial"/>
                <w:b w:val="0"/>
                <w:bCs w:val="0"/>
                <w:sz w:val="14"/>
                <w:szCs w:val="14"/>
              </w:rPr>
            </w:pPr>
            <w:r w:rsidRPr="00FC09E4">
              <w:rPr>
                <w:rFonts w:cs="Arial"/>
                <w:b w:val="0"/>
                <w:bCs w:val="0"/>
                <w:sz w:val="14"/>
                <w:szCs w:val="14"/>
              </w:rPr>
              <w:t>Net income</w:t>
            </w:r>
            <w:r w:rsidRPr="00026122">
              <w:rPr>
                <w:rFonts w:cs="Arial"/>
                <w:b w:val="0"/>
                <w:bCs w:val="0"/>
                <w:sz w:val="14"/>
                <w:szCs w:val="14"/>
              </w:rPr>
              <w:t xml:space="preserve"> (IFRS)</w:t>
            </w:r>
          </w:p>
        </w:tc>
        <w:tc>
          <w:tcPr>
            <w:tcW w:w="1709" w:type="dxa"/>
            <w:tcBorders>
              <w:top w:val="nil"/>
              <w:left w:val="nil"/>
              <w:bottom w:val="nil"/>
              <w:right w:val="nil"/>
            </w:tcBorders>
            <w:shd w:val="clear" w:color="auto" w:fill="auto"/>
            <w:vAlign w:val="center"/>
          </w:tcPr>
          <w:p w14:paraId="6C8681D2" w14:textId="77777777" w:rsidR="008B7E19" w:rsidRPr="00026122"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sz w:val="14"/>
                <w:szCs w:val="14"/>
              </w:rPr>
            </w:pPr>
            <w:r w:rsidRPr="00026122">
              <w:rPr>
                <w:rFonts w:cs="Arial"/>
                <w:sz w:val="14"/>
                <w:szCs w:val="14"/>
              </w:rPr>
              <w:t xml:space="preserve">                958</w:t>
            </w:r>
            <w:r>
              <w:rPr>
                <w:rFonts w:cs="Arial"/>
                <w:sz w:val="14"/>
                <w:szCs w:val="14"/>
              </w:rPr>
              <w:t>,</w:t>
            </w:r>
            <w:r w:rsidRPr="00026122">
              <w:rPr>
                <w:rFonts w:cs="Arial"/>
                <w:sz w:val="14"/>
                <w:szCs w:val="14"/>
              </w:rPr>
              <w:t xml:space="preserve">725 </w:t>
            </w:r>
          </w:p>
        </w:tc>
        <w:tc>
          <w:tcPr>
            <w:tcW w:w="1709" w:type="dxa"/>
            <w:tcBorders>
              <w:top w:val="nil"/>
              <w:left w:val="nil"/>
              <w:bottom w:val="nil"/>
              <w:right w:val="nil"/>
            </w:tcBorders>
            <w:shd w:val="clear" w:color="auto" w:fill="auto"/>
            <w:vAlign w:val="center"/>
          </w:tcPr>
          <w:p w14:paraId="7F2F5783" w14:textId="77777777" w:rsidR="008B7E19" w:rsidRPr="00026122"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sz w:val="14"/>
                <w:szCs w:val="14"/>
              </w:rPr>
            </w:pPr>
            <w:r w:rsidRPr="00026122">
              <w:rPr>
                <w:rFonts w:cs="Arial"/>
                <w:sz w:val="14"/>
                <w:szCs w:val="14"/>
              </w:rPr>
              <w:t xml:space="preserve">             1</w:t>
            </w:r>
            <w:r>
              <w:rPr>
                <w:rFonts w:cs="Arial"/>
                <w:sz w:val="14"/>
                <w:szCs w:val="14"/>
              </w:rPr>
              <w:t>,</w:t>
            </w:r>
            <w:r w:rsidRPr="00026122">
              <w:rPr>
                <w:rFonts w:cs="Arial"/>
                <w:sz w:val="14"/>
                <w:szCs w:val="14"/>
              </w:rPr>
              <w:t>782</w:t>
            </w:r>
            <w:r>
              <w:rPr>
                <w:rFonts w:cs="Arial"/>
                <w:sz w:val="14"/>
                <w:szCs w:val="14"/>
              </w:rPr>
              <w:t>,</w:t>
            </w:r>
            <w:r w:rsidRPr="00026122">
              <w:rPr>
                <w:rFonts w:cs="Arial"/>
                <w:sz w:val="14"/>
                <w:szCs w:val="14"/>
              </w:rPr>
              <w:t xml:space="preserve">929 </w:t>
            </w:r>
          </w:p>
        </w:tc>
        <w:tc>
          <w:tcPr>
            <w:tcW w:w="1709" w:type="dxa"/>
            <w:tcBorders>
              <w:top w:val="nil"/>
              <w:left w:val="nil"/>
              <w:bottom w:val="nil"/>
              <w:right w:val="nil"/>
            </w:tcBorders>
            <w:shd w:val="clear" w:color="auto" w:fill="auto"/>
            <w:vAlign w:val="center"/>
          </w:tcPr>
          <w:p w14:paraId="563D311A" w14:textId="77777777" w:rsidR="008B7E19" w:rsidRPr="00026122"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sz w:val="14"/>
                <w:szCs w:val="14"/>
              </w:rPr>
            </w:pPr>
            <w:r w:rsidRPr="00026122">
              <w:rPr>
                <w:rFonts w:cs="Arial"/>
                <w:sz w:val="14"/>
                <w:szCs w:val="14"/>
              </w:rPr>
              <w:t xml:space="preserve">        677</w:t>
            </w:r>
            <w:r>
              <w:rPr>
                <w:rFonts w:cs="Arial"/>
                <w:sz w:val="14"/>
                <w:szCs w:val="14"/>
              </w:rPr>
              <w:t>,</w:t>
            </w:r>
            <w:r w:rsidRPr="00026122">
              <w:rPr>
                <w:rFonts w:cs="Arial"/>
                <w:sz w:val="14"/>
                <w:szCs w:val="14"/>
              </w:rPr>
              <w:t xml:space="preserve">831 </w:t>
            </w:r>
          </w:p>
        </w:tc>
        <w:tc>
          <w:tcPr>
            <w:tcW w:w="1709" w:type="dxa"/>
            <w:tcBorders>
              <w:top w:val="nil"/>
              <w:left w:val="nil"/>
              <w:bottom w:val="nil"/>
              <w:right w:val="nil"/>
            </w:tcBorders>
            <w:shd w:val="clear" w:color="auto" w:fill="auto"/>
            <w:vAlign w:val="center"/>
          </w:tcPr>
          <w:p w14:paraId="04919DAC" w14:textId="77777777" w:rsidR="008B7E19" w:rsidRPr="00026122"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color w:val="000000"/>
                <w:sz w:val="14"/>
                <w:szCs w:val="14"/>
              </w:rPr>
            </w:pPr>
            <w:r w:rsidRPr="00026122">
              <w:rPr>
                <w:rFonts w:cs="Arial"/>
                <w:sz w:val="14"/>
                <w:szCs w:val="14"/>
              </w:rPr>
              <w:t xml:space="preserve">    1</w:t>
            </w:r>
            <w:r>
              <w:rPr>
                <w:rFonts w:cs="Arial"/>
                <w:sz w:val="14"/>
                <w:szCs w:val="14"/>
              </w:rPr>
              <w:t>,</w:t>
            </w:r>
            <w:r w:rsidRPr="00026122">
              <w:rPr>
                <w:rFonts w:cs="Arial"/>
                <w:sz w:val="14"/>
                <w:szCs w:val="14"/>
              </w:rPr>
              <w:t>005</w:t>
            </w:r>
            <w:r>
              <w:rPr>
                <w:rFonts w:cs="Arial"/>
                <w:sz w:val="14"/>
                <w:szCs w:val="14"/>
              </w:rPr>
              <w:t>,</w:t>
            </w:r>
            <w:r w:rsidRPr="00026122">
              <w:rPr>
                <w:rFonts w:cs="Arial"/>
                <w:sz w:val="14"/>
                <w:szCs w:val="14"/>
              </w:rPr>
              <w:t xml:space="preserve">048 </w:t>
            </w:r>
          </w:p>
        </w:tc>
      </w:tr>
      <w:tr w:rsidR="008B7E19" w:rsidRPr="00026122" w14:paraId="7FE5AC5E"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single" w:sz="2" w:space="0" w:color="1F4E79" w:themeColor="accent1" w:themeShade="80"/>
              <w:right w:val="nil"/>
            </w:tcBorders>
            <w:shd w:val="clear" w:color="auto" w:fill="auto"/>
            <w:vAlign w:val="center"/>
          </w:tcPr>
          <w:p w14:paraId="67F48DD2" w14:textId="77777777" w:rsidR="008B7E19" w:rsidRPr="00026122" w:rsidRDefault="008B7E19" w:rsidP="008B7E19">
            <w:pPr>
              <w:keepNext/>
              <w:keepLines/>
              <w:spacing w:before="40" w:after="40"/>
              <w:rPr>
                <w:rFonts w:cs="Arial"/>
                <w:b w:val="0"/>
                <w:bCs w:val="0"/>
                <w:sz w:val="14"/>
                <w:szCs w:val="14"/>
              </w:rPr>
            </w:pPr>
            <w:r w:rsidRPr="00FC09E4">
              <w:rPr>
                <w:rFonts w:cs="Arial"/>
                <w:b w:val="0"/>
                <w:bCs w:val="0"/>
                <w:sz w:val="14"/>
                <w:szCs w:val="14"/>
              </w:rPr>
              <w:t>Comprehensive income</w:t>
            </w:r>
            <w:r>
              <w:rPr>
                <w:rFonts w:cs="Arial"/>
                <w:b w:val="0"/>
                <w:bCs w:val="0"/>
                <w:sz w:val="14"/>
                <w:szCs w:val="14"/>
              </w:rPr>
              <w:t xml:space="preserve"> </w:t>
            </w:r>
            <w:r w:rsidRPr="00026122">
              <w:rPr>
                <w:rFonts w:cs="Arial"/>
                <w:b w:val="0"/>
                <w:bCs w:val="0"/>
                <w:sz w:val="14"/>
                <w:szCs w:val="14"/>
              </w:rPr>
              <w:t>(IFRS)</w:t>
            </w:r>
          </w:p>
        </w:tc>
        <w:tc>
          <w:tcPr>
            <w:tcW w:w="1709" w:type="dxa"/>
            <w:tcBorders>
              <w:top w:val="nil"/>
              <w:left w:val="nil"/>
              <w:bottom w:val="single" w:sz="2" w:space="0" w:color="1F4E79" w:themeColor="accent1" w:themeShade="80"/>
              <w:right w:val="nil"/>
            </w:tcBorders>
            <w:shd w:val="clear" w:color="auto" w:fill="auto"/>
          </w:tcPr>
          <w:p w14:paraId="2BF1B012" w14:textId="77777777" w:rsidR="008B7E19" w:rsidRPr="00A225CF"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rPr>
            </w:pPr>
            <w:r w:rsidRPr="00A225CF">
              <w:rPr>
                <w:rFonts w:cs="Arial"/>
                <w:sz w:val="14"/>
                <w:szCs w:val="14"/>
              </w:rPr>
              <w:t>1</w:t>
            </w:r>
            <w:r>
              <w:rPr>
                <w:rFonts w:cs="Arial"/>
                <w:sz w:val="14"/>
                <w:szCs w:val="14"/>
              </w:rPr>
              <w:t>,</w:t>
            </w:r>
            <w:r w:rsidRPr="00A225CF">
              <w:rPr>
                <w:rFonts w:cs="Arial"/>
                <w:sz w:val="14"/>
                <w:szCs w:val="14"/>
              </w:rPr>
              <w:t>015</w:t>
            </w:r>
            <w:r>
              <w:rPr>
                <w:rFonts w:cs="Arial"/>
                <w:sz w:val="14"/>
                <w:szCs w:val="14"/>
              </w:rPr>
              <w:t>,</w:t>
            </w:r>
            <w:r w:rsidRPr="00A225CF">
              <w:rPr>
                <w:rFonts w:cs="Arial"/>
                <w:sz w:val="14"/>
                <w:szCs w:val="14"/>
              </w:rPr>
              <w:t>422</w:t>
            </w:r>
          </w:p>
        </w:tc>
        <w:tc>
          <w:tcPr>
            <w:tcW w:w="1709" w:type="dxa"/>
            <w:tcBorders>
              <w:top w:val="nil"/>
              <w:left w:val="nil"/>
              <w:bottom w:val="single" w:sz="2" w:space="0" w:color="1F4E79" w:themeColor="accent1" w:themeShade="80"/>
              <w:right w:val="nil"/>
            </w:tcBorders>
            <w:shd w:val="clear" w:color="auto" w:fill="auto"/>
          </w:tcPr>
          <w:p w14:paraId="71FC62E6" w14:textId="77777777" w:rsidR="008B7E19" w:rsidRPr="00A225CF"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rPr>
            </w:pPr>
            <w:r w:rsidRPr="00A225CF">
              <w:rPr>
                <w:rFonts w:cs="Arial"/>
                <w:sz w:val="14"/>
                <w:szCs w:val="14"/>
              </w:rPr>
              <w:t>1</w:t>
            </w:r>
            <w:r>
              <w:rPr>
                <w:rFonts w:cs="Arial"/>
                <w:sz w:val="14"/>
                <w:szCs w:val="14"/>
              </w:rPr>
              <w:t>,</w:t>
            </w:r>
            <w:r w:rsidRPr="00A225CF">
              <w:rPr>
                <w:rFonts w:cs="Arial"/>
                <w:sz w:val="14"/>
                <w:szCs w:val="14"/>
              </w:rPr>
              <w:t>852</w:t>
            </w:r>
            <w:r>
              <w:rPr>
                <w:rFonts w:cs="Arial"/>
                <w:sz w:val="14"/>
                <w:szCs w:val="14"/>
              </w:rPr>
              <w:t>,</w:t>
            </w:r>
            <w:r w:rsidRPr="00A225CF">
              <w:rPr>
                <w:rFonts w:cs="Arial"/>
                <w:sz w:val="14"/>
                <w:szCs w:val="14"/>
              </w:rPr>
              <w:t>691</w:t>
            </w:r>
          </w:p>
        </w:tc>
        <w:tc>
          <w:tcPr>
            <w:tcW w:w="1709" w:type="dxa"/>
            <w:tcBorders>
              <w:top w:val="nil"/>
              <w:left w:val="nil"/>
              <w:bottom w:val="single" w:sz="2" w:space="0" w:color="1F4E79" w:themeColor="accent1" w:themeShade="80"/>
              <w:right w:val="nil"/>
            </w:tcBorders>
            <w:shd w:val="clear" w:color="auto" w:fill="auto"/>
            <w:vAlign w:val="center"/>
          </w:tcPr>
          <w:p w14:paraId="7A6B12E1" w14:textId="77777777" w:rsidR="008B7E19" w:rsidRPr="00026122"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rPr>
            </w:pPr>
            <w:r w:rsidRPr="00026122">
              <w:rPr>
                <w:rFonts w:cs="Arial"/>
                <w:sz w:val="14"/>
                <w:szCs w:val="14"/>
              </w:rPr>
              <w:t xml:space="preserve">        650</w:t>
            </w:r>
            <w:r>
              <w:rPr>
                <w:rFonts w:cs="Arial"/>
                <w:sz w:val="14"/>
                <w:szCs w:val="14"/>
              </w:rPr>
              <w:t>,</w:t>
            </w:r>
            <w:r w:rsidRPr="00026122">
              <w:rPr>
                <w:rFonts w:cs="Arial"/>
                <w:sz w:val="14"/>
                <w:szCs w:val="14"/>
              </w:rPr>
              <w:t xml:space="preserve">496 </w:t>
            </w:r>
          </w:p>
        </w:tc>
        <w:tc>
          <w:tcPr>
            <w:tcW w:w="1709" w:type="dxa"/>
            <w:tcBorders>
              <w:top w:val="nil"/>
              <w:left w:val="nil"/>
              <w:bottom w:val="single" w:sz="2" w:space="0" w:color="1F4E79" w:themeColor="accent1" w:themeShade="80"/>
              <w:right w:val="nil"/>
            </w:tcBorders>
            <w:shd w:val="clear" w:color="auto" w:fill="auto"/>
            <w:vAlign w:val="center"/>
          </w:tcPr>
          <w:p w14:paraId="78C02F5B" w14:textId="77777777" w:rsidR="008B7E19" w:rsidRPr="00026122"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026122">
              <w:rPr>
                <w:rFonts w:cs="Arial"/>
                <w:sz w:val="14"/>
                <w:szCs w:val="14"/>
              </w:rPr>
              <w:t xml:space="preserve">       962</w:t>
            </w:r>
            <w:r>
              <w:rPr>
                <w:rFonts w:cs="Arial"/>
                <w:sz w:val="14"/>
                <w:szCs w:val="14"/>
              </w:rPr>
              <w:t>,</w:t>
            </w:r>
            <w:r w:rsidRPr="00026122">
              <w:rPr>
                <w:rFonts w:cs="Arial"/>
                <w:sz w:val="14"/>
                <w:szCs w:val="14"/>
              </w:rPr>
              <w:t xml:space="preserve">065 </w:t>
            </w:r>
          </w:p>
        </w:tc>
      </w:tr>
    </w:tbl>
    <w:p w14:paraId="29128B29" w14:textId="77777777" w:rsidR="008B7E19" w:rsidRDefault="008B7E19" w:rsidP="008B7E19">
      <w:pPr>
        <w:spacing w:after="0" w:line="240" w:lineRule="auto"/>
        <w:rPr>
          <w:rFonts w:eastAsia="Times New Roman" w:cs="Arial"/>
          <w:spacing w:val="-2"/>
          <w:szCs w:val="20"/>
          <w:lang w:eastAsia="zh-CN"/>
        </w:rPr>
      </w:pPr>
    </w:p>
    <w:p w14:paraId="477164DB" w14:textId="77777777" w:rsidR="008B7E19" w:rsidRPr="00FC09E4" w:rsidRDefault="008B7E19" w:rsidP="008B7E19">
      <w:pPr>
        <w:spacing w:after="0" w:line="240" w:lineRule="auto"/>
        <w:jc w:val="right"/>
        <w:rPr>
          <w:rFonts w:cs="Arial"/>
          <w:b/>
          <w:sz w:val="14"/>
          <w:lang w:val="en-US" w:eastAsia="pt-BR"/>
        </w:rPr>
      </w:pPr>
      <w:r w:rsidRPr="00FC09E4">
        <w:rPr>
          <w:rFonts w:cs="Arial"/>
          <w:b/>
          <w:sz w:val="14"/>
          <w:lang w:val="en-US" w:eastAsia="pt-BR"/>
        </w:rPr>
        <w:t>R$ thousand</w:t>
      </w:r>
    </w:p>
    <w:tbl>
      <w:tblPr>
        <w:tblStyle w:val="TabeladeLista6Colorida-nfase512"/>
        <w:tblW w:w="9639" w:type="dxa"/>
        <w:jc w:val="center"/>
        <w:tblInd w:w="0" w:type="dxa"/>
        <w:tblLayout w:type="fixed"/>
        <w:tblLook w:val="04A0" w:firstRow="1" w:lastRow="0" w:firstColumn="1" w:lastColumn="0" w:noHBand="0" w:noVBand="1"/>
      </w:tblPr>
      <w:tblGrid>
        <w:gridCol w:w="5387"/>
        <w:gridCol w:w="2126"/>
        <w:gridCol w:w="2126"/>
      </w:tblGrid>
      <w:tr w:rsidR="008B7E19" w:rsidRPr="00537AE7" w14:paraId="3A7B4AAD" w14:textId="77777777" w:rsidTr="008B7E19">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387" w:type="dxa"/>
            <w:tcBorders>
              <w:top w:val="single" w:sz="2" w:space="0" w:color="1F4E79" w:themeColor="accent1" w:themeShade="80"/>
              <w:left w:val="nil"/>
              <w:bottom w:val="single" w:sz="2" w:space="0" w:color="1F4E79" w:themeColor="accent1" w:themeShade="80"/>
              <w:right w:val="nil"/>
            </w:tcBorders>
            <w:shd w:val="clear" w:color="auto" w:fill="auto"/>
            <w:vAlign w:val="center"/>
          </w:tcPr>
          <w:p w14:paraId="643711E7" w14:textId="77777777" w:rsidR="008B7E19" w:rsidRPr="00537AE7" w:rsidRDefault="008B7E19" w:rsidP="008B7E19">
            <w:pPr>
              <w:jc w:val="center"/>
              <w:rPr>
                <w:rFonts w:cs="Arial"/>
                <w:sz w:val="14"/>
                <w:szCs w:val="14"/>
              </w:rPr>
            </w:pPr>
          </w:p>
        </w:tc>
        <w:tc>
          <w:tcPr>
            <w:tcW w:w="2126" w:type="dxa"/>
            <w:tcBorders>
              <w:top w:val="single" w:sz="2" w:space="0" w:color="1F4E79" w:themeColor="accent1" w:themeShade="80"/>
              <w:left w:val="nil"/>
              <w:bottom w:val="single" w:sz="2" w:space="0" w:color="1F4E79" w:themeColor="accent1" w:themeShade="80"/>
              <w:right w:val="nil"/>
            </w:tcBorders>
            <w:shd w:val="clear" w:color="auto" w:fill="auto"/>
            <w:vAlign w:val="center"/>
          </w:tcPr>
          <w:p w14:paraId="2FB6BDC9" w14:textId="77777777" w:rsidR="008B7E19" w:rsidRDefault="008B7E19" w:rsidP="008B7E19">
            <w:pPr>
              <w:jc w:val="right"/>
              <w:cnfStyle w:val="100000000000" w:firstRow="1" w:lastRow="0" w:firstColumn="0" w:lastColumn="0" w:oddVBand="0" w:evenVBand="0" w:oddHBand="0" w:evenHBand="0" w:firstRowFirstColumn="0" w:firstRowLastColumn="0" w:lastRowFirstColumn="0" w:lastRowLastColumn="0"/>
              <w:rPr>
                <w:rFonts w:cs="Arial"/>
                <w:sz w:val="14"/>
                <w:szCs w:val="14"/>
              </w:rPr>
            </w:pPr>
            <w:r>
              <w:rPr>
                <w:rFonts w:cs="Arial"/>
                <w:sz w:val="14"/>
                <w:szCs w:val="14"/>
              </w:rPr>
              <w:t>June 30, 2023</w:t>
            </w:r>
          </w:p>
        </w:tc>
        <w:tc>
          <w:tcPr>
            <w:tcW w:w="2126" w:type="dxa"/>
            <w:tcBorders>
              <w:top w:val="single" w:sz="2" w:space="0" w:color="1F4E79" w:themeColor="accent1" w:themeShade="80"/>
              <w:left w:val="nil"/>
              <w:bottom w:val="single" w:sz="2" w:space="0" w:color="1F4E79" w:themeColor="accent1" w:themeShade="80"/>
              <w:right w:val="nil"/>
            </w:tcBorders>
            <w:shd w:val="clear" w:color="auto" w:fill="auto"/>
            <w:vAlign w:val="center"/>
          </w:tcPr>
          <w:p w14:paraId="109B8CF5" w14:textId="77777777" w:rsidR="008B7E19" w:rsidRDefault="008B7E19" w:rsidP="008B7E19">
            <w:pPr>
              <w:jc w:val="right"/>
              <w:cnfStyle w:val="100000000000" w:firstRow="1" w:lastRow="0" w:firstColumn="0" w:lastColumn="0" w:oddVBand="0" w:evenVBand="0" w:oddHBand="0" w:evenHBand="0" w:firstRowFirstColumn="0" w:firstRowLastColumn="0" w:lastRowFirstColumn="0" w:lastRowLastColumn="0"/>
              <w:rPr>
                <w:rFonts w:cs="Arial"/>
                <w:sz w:val="14"/>
                <w:szCs w:val="14"/>
              </w:rPr>
            </w:pPr>
            <w:r>
              <w:rPr>
                <w:rFonts w:cs="Arial"/>
                <w:sz w:val="14"/>
                <w:szCs w:val="14"/>
              </w:rPr>
              <w:t>Dec 31, 2022</w:t>
            </w:r>
          </w:p>
        </w:tc>
      </w:tr>
      <w:tr w:rsidR="008B7E19" w:rsidRPr="00026122" w14:paraId="006372C9"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387" w:type="dxa"/>
            <w:tcBorders>
              <w:top w:val="single" w:sz="2" w:space="0" w:color="1F4E79" w:themeColor="accent1" w:themeShade="80"/>
              <w:left w:val="nil"/>
              <w:bottom w:val="nil"/>
              <w:right w:val="nil"/>
            </w:tcBorders>
            <w:shd w:val="clear" w:color="auto" w:fill="auto"/>
            <w:vAlign w:val="center"/>
          </w:tcPr>
          <w:p w14:paraId="26ECA71D" w14:textId="77777777" w:rsidR="008B7E19" w:rsidRPr="00026122" w:rsidRDefault="008B7E19" w:rsidP="008B7E19">
            <w:pPr>
              <w:keepNext/>
              <w:keepLines/>
              <w:rPr>
                <w:rFonts w:eastAsia="Times New Roman" w:cs="Arial"/>
                <w:b w:val="0"/>
                <w:bCs w:val="0"/>
                <w:spacing w:val="-2"/>
                <w:sz w:val="14"/>
                <w:szCs w:val="14"/>
              </w:rPr>
            </w:pPr>
            <w:r w:rsidRPr="00FC09E4">
              <w:rPr>
                <w:rFonts w:cs="Arial"/>
                <w:b w:val="0"/>
                <w:bCs w:val="0"/>
                <w:sz w:val="14"/>
                <w:szCs w:val="14"/>
              </w:rPr>
              <w:t>Equity</w:t>
            </w:r>
            <w:r w:rsidRPr="00026122">
              <w:rPr>
                <w:rFonts w:cs="Arial"/>
                <w:b w:val="0"/>
                <w:bCs w:val="0"/>
                <w:sz w:val="14"/>
                <w:szCs w:val="14"/>
              </w:rPr>
              <w:t xml:space="preserve"> (SUSEP)</w:t>
            </w:r>
          </w:p>
        </w:tc>
        <w:tc>
          <w:tcPr>
            <w:tcW w:w="2126" w:type="dxa"/>
            <w:tcBorders>
              <w:top w:val="single" w:sz="2" w:space="0" w:color="1F4E79" w:themeColor="accent1" w:themeShade="80"/>
              <w:left w:val="nil"/>
              <w:bottom w:val="nil"/>
              <w:right w:val="nil"/>
            </w:tcBorders>
            <w:shd w:val="clear" w:color="auto" w:fill="auto"/>
            <w:vAlign w:val="center"/>
          </w:tcPr>
          <w:p w14:paraId="5FD3DC53" w14:textId="77777777" w:rsidR="008B7E19" w:rsidRPr="00026122"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rPr>
            </w:pPr>
            <w:r w:rsidRPr="00026122">
              <w:rPr>
                <w:rFonts w:cs="Arial"/>
                <w:sz w:val="14"/>
                <w:szCs w:val="14"/>
              </w:rPr>
              <w:t xml:space="preserve">             2</w:t>
            </w:r>
            <w:r>
              <w:rPr>
                <w:rFonts w:cs="Arial"/>
                <w:sz w:val="14"/>
                <w:szCs w:val="14"/>
              </w:rPr>
              <w:t>,</w:t>
            </w:r>
            <w:r w:rsidRPr="00026122">
              <w:rPr>
                <w:rFonts w:cs="Arial"/>
                <w:sz w:val="14"/>
                <w:szCs w:val="14"/>
              </w:rPr>
              <w:t>899</w:t>
            </w:r>
            <w:r>
              <w:rPr>
                <w:rFonts w:cs="Arial"/>
                <w:sz w:val="14"/>
                <w:szCs w:val="14"/>
              </w:rPr>
              <w:t>,</w:t>
            </w:r>
            <w:r w:rsidRPr="00026122">
              <w:rPr>
                <w:rFonts w:cs="Arial"/>
                <w:sz w:val="14"/>
                <w:szCs w:val="14"/>
              </w:rPr>
              <w:t xml:space="preserve">582 </w:t>
            </w:r>
          </w:p>
        </w:tc>
        <w:tc>
          <w:tcPr>
            <w:tcW w:w="2126" w:type="dxa"/>
            <w:tcBorders>
              <w:top w:val="single" w:sz="2" w:space="0" w:color="1F4E79" w:themeColor="accent1" w:themeShade="80"/>
              <w:left w:val="nil"/>
              <w:bottom w:val="nil"/>
              <w:right w:val="nil"/>
            </w:tcBorders>
            <w:shd w:val="clear" w:color="auto" w:fill="auto"/>
            <w:vAlign w:val="center"/>
          </w:tcPr>
          <w:p w14:paraId="5DB83F5B" w14:textId="77777777" w:rsidR="008B7E19" w:rsidRPr="00026122"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rPr>
            </w:pPr>
            <w:r w:rsidRPr="00026122">
              <w:rPr>
                <w:rFonts w:cs="Arial"/>
                <w:sz w:val="14"/>
                <w:szCs w:val="14"/>
              </w:rPr>
              <w:t xml:space="preserve">             2</w:t>
            </w:r>
            <w:r>
              <w:rPr>
                <w:rFonts w:cs="Arial"/>
                <w:sz w:val="14"/>
                <w:szCs w:val="14"/>
              </w:rPr>
              <w:t>,</w:t>
            </w:r>
            <w:r w:rsidRPr="00026122">
              <w:rPr>
                <w:rFonts w:cs="Arial"/>
                <w:sz w:val="14"/>
                <w:szCs w:val="14"/>
              </w:rPr>
              <w:t>588</w:t>
            </w:r>
            <w:r>
              <w:rPr>
                <w:rFonts w:cs="Arial"/>
                <w:sz w:val="14"/>
                <w:szCs w:val="14"/>
              </w:rPr>
              <w:t>,</w:t>
            </w:r>
            <w:r w:rsidRPr="00026122">
              <w:rPr>
                <w:rFonts w:cs="Arial"/>
                <w:sz w:val="14"/>
                <w:szCs w:val="14"/>
              </w:rPr>
              <w:t xml:space="preserve">425 </w:t>
            </w:r>
          </w:p>
        </w:tc>
      </w:tr>
      <w:tr w:rsidR="008B7E19" w:rsidRPr="00026122" w14:paraId="754698A6" w14:textId="77777777" w:rsidTr="008B7E1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387" w:type="dxa"/>
            <w:tcBorders>
              <w:top w:val="nil"/>
              <w:left w:val="nil"/>
              <w:bottom w:val="single" w:sz="2" w:space="0" w:color="1F4E79" w:themeColor="accent1" w:themeShade="80"/>
              <w:right w:val="nil"/>
            </w:tcBorders>
            <w:shd w:val="clear" w:color="auto" w:fill="auto"/>
            <w:vAlign w:val="center"/>
          </w:tcPr>
          <w:p w14:paraId="02372BA4" w14:textId="77777777" w:rsidR="008B7E19" w:rsidRPr="00026122" w:rsidRDefault="008B7E19" w:rsidP="008B7E19">
            <w:pPr>
              <w:keepNext/>
              <w:keepLines/>
              <w:spacing w:before="40" w:after="40"/>
              <w:rPr>
                <w:rFonts w:cs="Arial"/>
                <w:b w:val="0"/>
                <w:bCs w:val="0"/>
                <w:sz w:val="14"/>
                <w:szCs w:val="14"/>
              </w:rPr>
            </w:pPr>
            <w:r w:rsidRPr="00FC09E4">
              <w:rPr>
                <w:rFonts w:cs="Arial"/>
                <w:b w:val="0"/>
                <w:bCs w:val="0"/>
                <w:sz w:val="14"/>
                <w:szCs w:val="14"/>
              </w:rPr>
              <w:t>Equity</w:t>
            </w:r>
            <w:r w:rsidRPr="00026122">
              <w:rPr>
                <w:rFonts w:cs="Arial"/>
                <w:b w:val="0"/>
                <w:bCs w:val="0"/>
                <w:sz w:val="14"/>
                <w:szCs w:val="14"/>
              </w:rPr>
              <w:t xml:space="preserve"> (IFRS)</w:t>
            </w:r>
          </w:p>
        </w:tc>
        <w:tc>
          <w:tcPr>
            <w:tcW w:w="2126" w:type="dxa"/>
            <w:tcBorders>
              <w:top w:val="nil"/>
              <w:left w:val="nil"/>
              <w:bottom w:val="single" w:sz="2" w:space="0" w:color="1F4E79" w:themeColor="accent1" w:themeShade="80"/>
              <w:right w:val="nil"/>
            </w:tcBorders>
            <w:shd w:val="clear" w:color="auto" w:fill="auto"/>
            <w:vAlign w:val="center"/>
          </w:tcPr>
          <w:p w14:paraId="1991E2E9" w14:textId="77777777" w:rsidR="008B7E19" w:rsidRPr="00026122"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sz w:val="14"/>
                <w:szCs w:val="14"/>
              </w:rPr>
            </w:pPr>
            <w:r w:rsidRPr="00026122">
              <w:rPr>
                <w:rFonts w:cs="Arial"/>
                <w:sz w:val="14"/>
                <w:szCs w:val="14"/>
              </w:rPr>
              <w:t xml:space="preserve">             2</w:t>
            </w:r>
            <w:r>
              <w:rPr>
                <w:rFonts w:cs="Arial"/>
                <w:sz w:val="14"/>
                <w:szCs w:val="14"/>
              </w:rPr>
              <w:t>,</w:t>
            </w:r>
            <w:r w:rsidRPr="00026122">
              <w:rPr>
                <w:rFonts w:cs="Arial"/>
                <w:sz w:val="14"/>
                <w:szCs w:val="14"/>
              </w:rPr>
              <w:t>973</w:t>
            </w:r>
            <w:r>
              <w:rPr>
                <w:rFonts w:cs="Arial"/>
                <w:sz w:val="14"/>
                <w:szCs w:val="14"/>
              </w:rPr>
              <w:t>,</w:t>
            </w:r>
            <w:r w:rsidRPr="00026122">
              <w:rPr>
                <w:rFonts w:cs="Arial"/>
                <w:sz w:val="14"/>
                <w:szCs w:val="14"/>
              </w:rPr>
              <w:t xml:space="preserve">032 </w:t>
            </w:r>
          </w:p>
        </w:tc>
        <w:tc>
          <w:tcPr>
            <w:tcW w:w="2126" w:type="dxa"/>
            <w:tcBorders>
              <w:top w:val="nil"/>
              <w:left w:val="nil"/>
              <w:bottom w:val="single" w:sz="2" w:space="0" w:color="1F4E79" w:themeColor="accent1" w:themeShade="80"/>
              <w:right w:val="nil"/>
            </w:tcBorders>
            <w:shd w:val="clear" w:color="auto" w:fill="auto"/>
            <w:vAlign w:val="center"/>
          </w:tcPr>
          <w:p w14:paraId="0CBACC91" w14:textId="77777777" w:rsidR="008B7E19" w:rsidRPr="00026122"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sz w:val="14"/>
                <w:szCs w:val="14"/>
              </w:rPr>
            </w:pPr>
            <w:r w:rsidRPr="00026122">
              <w:rPr>
                <w:rFonts w:cs="Arial"/>
                <w:sz w:val="14"/>
                <w:szCs w:val="14"/>
              </w:rPr>
              <w:t xml:space="preserve">             2</w:t>
            </w:r>
            <w:r>
              <w:rPr>
                <w:rFonts w:cs="Arial"/>
                <w:sz w:val="14"/>
                <w:szCs w:val="14"/>
              </w:rPr>
              <w:t>,</w:t>
            </w:r>
            <w:r w:rsidRPr="00026122">
              <w:rPr>
                <w:rFonts w:cs="Arial"/>
                <w:sz w:val="14"/>
                <w:szCs w:val="14"/>
              </w:rPr>
              <w:t>743</w:t>
            </w:r>
            <w:r>
              <w:rPr>
                <w:rFonts w:cs="Arial"/>
                <w:sz w:val="14"/>
                <w:szCs w:val="14"/>
              </w:rPr>
              <w:t>,</w:t>
            </w:r>
            <w:r w:rsidRPr="00026122">
              <w:rPr>
                <w:rFonts w:cs="Arial"/>
                <w:sz w:val="14"/>
                <w:szCs w:val="14"/>
              </w:rPr>
              <w:t xml:space="preserve">341 </w:t>
            </w:r>
          </w:p>
        </w:tc>
      </w:tr>
    </w:tbl>
    <w:p w14:paraId="305B02D1" w14:textId="77777777" w:rsidR="008B7E19" w:rsidRPr="00196D50" w:rsidRDefault="008B7E19" w:rsidP="008B7E19">
      <w:pPr>
        <w:keepNext/>
        <w:keepLines/>
        <w:spacing w:after="0" w:line="240" w:lineRule="auto"/>
        <w:rPr>
          <w:rFonts w:eastAsia="Times New Roman" w:cs="Arial"/>
          <w:spacing w:val="-2"/>
          <w:szCs w:val="20"/>
          <w:highlight w:val="yellow"/>
          <w:lang w:val="en-US" w:eastAsia="zh-CN"/>
        </w:rPr>
      </w:pPr>
    </w:p>
    <w:p w14:paraId="2E87DA61" w14:textId="77777777" w:rsidR="008B7E19" w:rsidRDefault="008B7E19" w:rsidP="008B7E19">
      <w:pPr>
        <w:pageBreakBefore/>
        <w:spacing w:after="0" w:line="240" w:lineRule="auto"/>
        <w:rPr>
          <w:rFonts w:eastAsia="Times New Roman" w:cs="Times New Roman"/>
          <w:b/>
          <w:color w:val="1F4E79" w:themeColor="accent1" w:themeShade="80"/>
          <w:spacing w:val="-2"/>
          <w:szCs w:val="20"/>
          <w:lang w:eastAsia="pt-BR"/>
        </w:rPr>
      </w:pPr>
      <w:r w:rsidRPr="00261F6E">
        <w:rPr>
          <w:rFonts w:eastAsia="Times New Roman" w:cs="Times New Roman"/>
          <w:b/>
          <w:color w:val="1F4E79" w:themeColor="accent1" w:themeShade="80"/>
          <w:spacing w:val="-2"/>
          <w:szCs w:val="20"/>
          <w:lang w:eastAsia="pt-BR"/>
        </w:rPr>
        <w:t>Brasilseg Companhia de Seguros S.A. (Brasilseg)</w:t>
      </w:r>
    </w:p>
    <w:p w14:paraId="2CD17589" w14:textId="77777777" w:rsidR="008B7E19" w:rsidRDefault="008B7E19" w:rsidP="008B7E19">
      <w:pPr>
        <w:spacing w:after="0" w:line="240" w:lineRule="auto"/>
        <w:rPr>
          <w:rFonts w:eastAsia="Times New Roman" w:cs="Times New Roman"/>
          <w:b/>
          <w:color w:val="1F4E79" w:themeColor="accent1" w:themeShade="80"/>
          <w:spacing w:val="-2"/>
          <w:szCs w:val="20"/>
          <w:lang w:eastAsia="pt-BR"/>
        </w:rPr>
      </w:pPr>
    </w:p>
    <w:p w14:paraId="7A96C861" w14:textId="77777777" w:rsidR="008B7E19" w:rsidRDefault="008B7E19" w:rsidP="008B7E19">
      <w:pPr>
        <w:spacing w:after="0" w:line="240" w:lineRule="auto"/>
        <w:rPr>
          <w:rFonts w:eastAsia="Times New Roman" w:cs="Times New Roman"/>
          <w:b/>
          <w:color w:val="1F4E79" w:themeColor="accent1" w:themeShade="80"/>
          <w:spacing w:val="-2"/>
          <w:szCs w:val="20"/>
          <w:lang w:eastAsia="pt-BR"/>
        </w:rPr>
      </w:pPr>
      <w:r>
        <w:rPr>
          <w:rFonts w:eastAsia="Times New Roman" w:cs="Times New Roman"/>
          <w:b/>
          <w:color w:val="1F4E79" w:themeColor="accent1" w:themeShade="80"/>
          <w:spacing w:val="-2"/>
          <w:szCs w:val="20"/>
          <w:lang w:eastAsia="pt-BR"/>
        </w:rPr>
        <w:t>Income Statement Information</w:t>
      </w:r>
    </w:p>
    <w:p w14:paraId="0592399D" w14:textId="77777777" w:rsidR="008B7E19" w:rsidRDefault="008B7E19" w:rsidP="008B7E19">
      <w:pPr>
        <w:spacing w:after="0" w:line="240" w:lineRule="auto"/>
        <w:rPr>
          <w:rFonts w:eastAsia="Times New Roman" w:cs="Times New Roman"/>
          <w:b/>
          <w:color w:val="1F4E79" w:themeColor="accent1" w:themeShade="80"/>
          <w:spacing w:val="-2"/>
          <w:szCs w:val="20"/>
          <w:lang w:eastAsia="pt-BR"/>
        </w:rPr>
      </w:pPr>
    </w:p>
    <w:p w14:paraId="55B8DFA0" w14:textId="77777777" w:rsidR="008B7E19" w:rsidRPr="00537AE7" w:rsidRDefault="008B7E19" w:rsidP="008B7E19">
      <w:pPr>
        <w:spacing w:after="0" w:line="240" w:lineRule="auto"/>
        <w:jc w:val="right"/>
        <w:rPr>
          <w:rFonts w:cs="Arial"/>
          <w:b/>
          <w:sz w:val="14"/>
          <w:lang w:eastAsia="pt-BR"/>
        </w:rPr>
      </w:pPr>
      <w:r w:rsidRPr="00537AE7">
        <w:rPr>
          <w:rFonts w:cs="Arial"/>
          <w:b/>
          <w:sz w:val="14"/>
          <w:lang w:eastAsia="pt-BR"/>
        </w:rPr>
        <w:t xml:space="preserve">R$ </w:t>
      </w:r>
      <w:r>
        <w:rPr>
          <w:rFonts w:cs="Arial"/>
          <w:b/>
          <w:sz w:val="14"/>
          <w:lang w:eastAsia="pt-BR"/>
        </w:rPr>
        <w:t>thousand</w:t>
      </w:r>
    </w:p>
    <w:tbl>
      <w:tblPr>
        <w:tblStyle w:val="TabeladeLista6Colorida-nfase512"/>
        <w:tblW w:w="9639" w:type="dxa"/>
        <w:jc w:val="center"/>
        <w:tblInd w:w="0" w:type="dxa"/>
        <w:tblLayout w:type="fixed"/>
        <w:tblLook w:val="04A0" w:firstRow="1" w:lastRow="0" w:firstColumn="1" w:lastColumn="0" w:noHBand="0" w:noVBand="1"/>
      </w:tblPr>
      <w:tblGrid>
        <w:gridCol w:w="2364"/>
        <w:gridCol w:w="1818"/>
        <w:gridCol w:w="1819"/>
        <w:gridCol w:w="1819"/>
        <w:gridCol w:w="1819"/>
      </w:tblGrid>
      <w:tr w:rsidR="008B7E19" w:rsidRPr="0066615C" w14:paraId="335CBB4C" w14:textId="77777777" w:rsidTr="008B7E19">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single" w:sz="2" w:space="0" w:color="1F4E79" w:themeColor="accent1" w:themeShade="80"/>
              <w:left w:val="nil"/>
              <w:bottom w:val="single" w:sz="2" w:space="0" w:color="1F4E79" w:themeColor="accent1" w:themeShade="80"/>
              <w:right w:val="nil"/>
            </w:tcBorders>
            <w:shd w:val="clear" w:color="auto" w:fill="auto"/>
            <w:vAlign w:val="center"/>
          </w:tcPr>
          <w:p w14:paraId="3067E1AE" w14:textId="77777777" w:rsidR="008B7E19" w:rsidRPr="0066615C" w:rsidRDefault="008B7E19" w:rsidP="008B7E19">
            <w:pPr>
              <w:jc w:val="center"/>
              <w:rPr>
                <w:rFonts w:cs="Arial"/>
                <w:sz w:val="14"/>
                <w:szCs w:val="14"/>
              </w:rPr>
            </w:pPr>
          </w:p>
        </w:tc>
        <w:tc>
          <w:tcPr>
            <w:tcW w:w="1818" w:type="dxa"/>
            <w:tcBorders>
              <w:top w:val="single" w:sz="2" w:space="0" w:color="1F4E79" w:themeColor="accent1" w:themeShade="80"/>
              <w:left w:val="nil"/>
              <w:bottom w:val="single" w:sz="2" w:space="0" w:color="1F4E79" w:themeColor="accent1" w:themeShade="80"/>
              <w:right w:val="nil"/>
            </w:tcBorders>
            <w:shd w:val="clear" w:color="auto" w:fill="auto"/>
            <w:vAlign w:val="center"/>
          </w:tcPr>
          <w:p w14:paraId="1C49A0E9" w14:textId="77777777" w:rsidR="008B7E19" w:rsidRPr="002062A7" w:rsidRDefault="008B7E19" w:rsidP="008B7E19">
            <w:pPr>
              <w:jc w:val="right"/>
              <w:cnfStyle w:val="100000000000" w:firstRow="1" w:lastRow="0" w:firstColumn="0" w:lastColumn="0" w:oddVBand="0" w:evenVBand="0" w:oddHBand="0" w:evenHBand="0" w:firstRowFirstColumn="0" w:firstRowLastColumn="0" w:lastRowFirstColumn="0" w:lastRowLastColumn="0"/>
              <w:rPr>
                <w:rFonts w:cs="Arial"/>
                <w:sz w:val="14"/>
                <w:szCs w:val="14"/>
              </w:rPr>
            </w:pPr>
            <w:r w:rsidRPr="002062A7">
              <w:rPr>
                <w:rFonts w:cs="Arial"/>
                <w:sz w:val="14"/>
                <w:szCs w:val="14"/>
              </w:rPr>
              <w:t>2</w:t>
            </w:r>
            <w:r w:rsidRPr="002062A7">
              <w:rPr>
                <w:rFonts w:cs="Arial"/>
                <w:sz w:val="14"/>
                <w:szCs w:val="14"/>
                <w:vertAlign w:val="superscript"/>
              </w:rPr>
              <w:t>nd</w:t>
            </w:r>
            <w:r w:rsidRPr="002062A7">
              <w:rPr>
                <w:rFonts w:cs="Arial"/>
                <w:sz w:val="14"/>
                <w:szCs w:val="14"/>
              </w:rPr>
              <w:t xml:space="preserve"> Quarter 2023</w:t>
            </w:r>
          </w:p>
        </w:tc>
        <w:tc>
          <w:tcPr>
            <w:tcW w:w="1819" w:type="dxa"/>
            <w:tcBorders>
              <w:top w:val="single" w:sz="2" w:space="0" w:color="1F4E79" w:themeColor="accent1" w:themeShade="80"/>
              <w:left w:val="nil"/>
              <w:bottom w:val="single" w:sz="2" w:space="0" w:color="1F4E79" w:themeColor="accent1" w:themeShade="80"/>
              <w:right w:val="nil"/>
            </w:tcBorders>
            <w:shd w:val="clear" w:color="auto" w:fill="auto"/>
            <w:vAlign w:val="center"/>
          </w:tcPr>
          <w:p w14:paraId="4FAED62C" w14:textId="77777777" w:rsidR="008B7E19" w:rsidRPr="002062A7" w:rsidRDefault="008B7E19" w:rsidP="008B7E19">
            <w:pPr>
              <w:jc w:val="right"/>
              <w:cnfStyle w:val="100000000000" w:firstRow="1" w:lastRow="0" w:firstColumn="0" w:lastColumn="0" w:oddVBand="0" w:evenVBand="0" w:oddHBand="0" w:evenHBand="0" w:firstRowFirstColumn="0" w:firstRowLastColumn="0" w:lastRowFirstColumn="0" w:lastRowLastColumn="0"/>
              <w:rPr>
                <w:rFonts w:cs="Arial"/>
                <w:sz w:val="14"/>
                <w:szCs w:val="14"/>
              </w:rPr>
            </w:pPr>
            <w:r w:rsidRPr="002062A7">
              <w:rPr>
                <w:rFonts w:cs="Arial"/>
                <w:sz w:val="14"/>
                <w:szCs w:val="14"/>
              </w:rPr>
              <w:t>1</w:t>
            </w:r>
            <w:r w:rsidRPr="002062A7">
              <w:rPr>
                <w:rFonts w:cs="Arial"/>
                <w:sz w:val="14"/>
                <w:szCs w:val="14"/>
                <w:vertAlign w:val="superscript"/>
              </w:rPr>
              <w:t>st</w:t>
            </w:r>
            <w:r w:rsidRPr="002062A7">
              <w:rPr>
                <w:rFonts w:cs="Arial"/>
                <w:sz w:val="14"/>
                <w:szCs w:val="14"/>
              </w:rPr>
              <w:t xml:space="preserve"> Half 2023</w:t>
            </w:r>
          </w:p>
        </w:tc>
        <w:tc>
          <w:tcPr>
            <w:tcW w:w="1819" w:type="dxa"/>
            <w:tcBorders>
              <w:top w:val="single" w:sz="2" w:space="0" w:color="1F4E79" w:themeColor="accent1" w:themeShade="80"/>
              <w:left w:val="nil"/>
              <w:bottom w:val="single" w:sz="2" w:space="0" w:color="1F4E79" w:themeColor="accent1" w:themeShade="80"/>
              <w:right w:val="nil"/>
            </w:tcBorders>
            <w:shd w:val="clear" w:color="auto" w:fill="auto"/>
            <w:vAlign w:val="center"/>
          </w:tcPr>
          <w:p w14:paraId="015B336D" w14:textId="77777777" w:rsidR="008B7E19" w:rsidRPr="002062A7" w:rsidRDefault="008B7E19" w:rsidP="008B7E19">
            <w:pPr>
              <w:jc w:val="right"/>
              <w:cnfStyle w:val="100000000000" w:firstRow="1" w:lastRow="0" w:firstColumn="0" w:lastColumn="0" w:oddVBand="0" w:evenVBand="0" w:oddHBand="0" w:evenHBand="0" w:firstRowFirstColumn="0" w:firstRowLastColumn="0" w:lastRowFirstColumn="0" w:lastRowLastColumn="0"/>
              <w:rPr>
                <w:rFonts w:cs="Arial"/>
                <w:b w:val="0"/>
                <w:sz w:val="14"/>
                <w:szCs w:val="14"/>
              </w:rPr>
            </w:pPr>
            <w:r w:rsidRPr="002062A7">
              <w:rPr>
                <w:rFonts w:cs="Arial"/>
                <w:sz w:val="14"/>
                <w:szCs w:val="14"/>
              </w:rPr>
              <w:t>2</w:t>
            </w:r>
            <w:r w:rsidRPr="002062A7">
              <w:rPr>
                <w:rFonts w:cs="Arial"/>
                <w:sz w:val="14"/>
                <w:szCs w:val="14"/>
                <w:vertAlign w:val="superscript"/>
              </w:rPr>
              <w:t>nd</w:t>
            </w:r>
            <w:r w:rsidRPr="002062A7">
              <w:rPr>
                <w:rFonts w:cs="Arial"/>
                <w:sz w:val="14"/>
                <w:szCs w:val="14"/>
              </w:rPr>
              <w:t xml:space="preserve"> Quarter 2022</w:t>
            </w:r>
            <w:r w:rsidRPr="002062A7">
              <w:rPr>
                <w:rFonts w:cs="Arial"/>
                <w:sz w:val="14"/>
                <w:szCs w:val="14"/>
              </w:rPr>
              <w:br/>
              <w:t>(Restated balances)</w:t>
            </w:r>
          </w:p>
        </w:tc>
        <w:tc>
          <w:tcPr>
            <w:tcW w:w="1819" w:type="dxa"/>
            <w:tcBorders>
              <w:top w:val="single" w:sz="2" w:space="0" w:color="1F4E79" w:themeColor="accent1" w:themeShade="80"/>
              <w:left w:val="nil"/>
              <w:bottom w:val="single" w:sz="2" w:space="0" w:color="1F4E79" w:themeColor="accent1" w:themeShade="80"/>
              <w:right w:val="nil"/>
            </w:tcBorders>
            <w:shd w:val="clear" w:color="auto" w:fill="auto"/>
            <w:vAlign w:val="center"/>
          </w:tcPr>
          <w:p w14:paraId="22D07D1E" w14:textId="77777777" w:rsidR="008B7E19" w:rsidRPr="002062A7" w:rsidRDefault="008B7E19" w:rsidP="008B7E19">
            <w:pPr>
              <w:jc w:val="right"/>
              <w:cnfStyle w:val="100000000000" w:firstRow="1" w:lastRow="0" w:firstColumn="0" w:lastColumn="0" w:oddVBand="0" w:evenVBand="0" w:oddHBand="0" w:evenHBand="0" w:firstRowFirstColumn="0" w:firstRowLastColumn="0" w:lastRowFirstColumn="0" w:lastRowLastColumn="0"/>
              <w:rPr>
                <w:rFonts w:cs="Arial"/>
                <w:sz w:val="14"/>
                <w:szCs w:val="14"/>
              </w:rPr>
            </w:pPr>
            <w:r w:rsidRPr="002062A7">
              <w:rPr>
                <w:rFonts w:cs="Arial"/>
                <w:sz w:val="14"/>
                <w:szCs w:val="14"/>
              </w:rPr>
              <w:t>1</w:t>
            </w:r>
            <w:r w:rsidRPr="002062A7">
              <w:rPr>
                <w:rFonts w:cs="Arial"/>
                <w:sz w:val="14"/>
                <w:szCs w:val="14"/>
                <w:vertAlign w:val="superscript"/>
              </w:rPr>
              <w:t>st</w:t>
            </w:r>
            <w:r w:rsidRPr="002062A7">
              <w:rPr>
                <w:rFonts w:cs="Arial"/>
                <w:sz w:val="14"/>
                <w:szCs w:val="14"/>
              </w:rPr>
              <w:t xml:space="preserve"> Half 2022</w:t>
            </w:r>
            <w:r w:rsidRPr="002062A7">
              <w:rPr>
                <w:rFonts w:cs="Arial"/>
                <w:sz w:val="14"/>
                <w:szCs w:val="14"/>
              </w:rPr>
              <w:br/>
              <w:t>(Restated balances)</w:t>
            </w:r>
          </w:p>
        </w:tc>
      </w:tr>
      <w:tr w:rsidR="008B7E19" w:rsidRPr="003A6AA6" w14:paraId="29B1DF9D"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single" w:sz="2" w:space="0" w:color="1F4E79" w:themeColor="accent1" w:themeShade="80"/>
              <w:left w:val="nil"/>
              <w:bottom w:val="nil"/>
              <w:right w:val="nil"/>
            </w:tcBorders>
            <w:shd w:val="clear" w:color="auto" w:fill="auto"/>
            <w:vAlign w:val="center"/>
          </w:tcPr>
          <w:p w14:paraId="078A17F6" w14:textId="77777777" w:rsidR="008B7E19" w:rsidRPr="003A6AA6" w:rsidRDefault="008B7E19" w:rsidP="008B7E19">
            <w:pPr>
              <w:keepNext/>
              <w:keepLines/>
              <w:rPr>
                <w:rFonts w:eastAsia="Times New Roman" w:cs="Arial"/>
                <w:spacing w:val="-2"/>
                <w:sz w:val="14"/>
                <w:szCs w:val="14"/>
              </w:rPr>
            </w:pPr>
            <w:r>
              <w:rPr>
                <w:rFonts w:cs="Arial"/>
                <w:color w:val="000000"/>
                <w:sz w:val="14"/>
                <w:szCs w:val="14"/>
              </w:rPr>
              <w:t>Result of insurance contracts</w:t>
            </w:r>
          </w:p>
        </w:tc>
        <w:tc>
          <w:tcPr>
            <w:tcW w:w="1818" w:type="dxa"/>
            <w:tcBorders>
              <w:top w:val="single" w:sz="2" w:space="0" w:color="1F4E79" w:themeColor="accent1" w:themeShade="80"/>
              <w:left w:val="nil"/>
              <w:bottom w:val="nil"/>
              <w:right w:val="nil"/>
            </w:tcBorders>
            <w:shd w:val="clear" w:color="auto" w:fill="auto"/>
            <w:vAlign w:val="center"/>
          </w:tcPr>
          <w:p w14:paraId="57C5DCD2" w14:textId="77777777" w:rsidR="008B7E19" w:rsidRPr="003A6AA6"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b/>
                <w:bCs/>
                <w:sz w:val="14"/>
                <w:szCs w:val="14"/>
              </w:rPr>
            </w:pPr>
            <w:r w:rsidRPr="003A6AA6">
              <w:rPr>
                <w:rFonts w:cs="Arial"/>
                <w:b/>
                <w:bCs/>
                <w:sz w:val="14"/>
                <w:szCs w:val="14"/>
              </w:rPr>
              <w:t>3</w:t>
            </w:r>
            <w:r>
              <w:rPr>
                <w:rFonts w:cs="Arial"/>
                <w:b/>
                <w:bCs/>
                <w:sz w:val="14"/>
                <w:szCs w:val="14"/>
              </w:rPr>
              <w:t>,</w:t>
            </w:r>
            <w:r w:rsidRPr="003A6AA6">
              <w:rPr>
                <w:rFonts w:cs="Arial"/>
                <w:b/>
                <w:bCs/>
                <w:sz w:val="14"/>
                <w:szCs w:val="14"/>
              </w:rPr>
              <w:t>675</w:t>
            </w:r>
            <w:r>
              <w:rPr>
                <w:rFonts w:cs="Arial"/>
                <w:b/>
                <w:bCs/>
                <w:sz w:val="14"/>
                <w:szCs w:val="14"/>
              </w:rPr>
              <w:t>,</w:t>
            </w:r>
            <w:r w:rsidRPr="003A6AA6">
              <w:rPr>
                <w:rFonts w:cs="Arial"/>
                <w:b/>
                <w:bCs/>
                <w:sz w:val="14"/>
                <w:szCs w:val="14"/>
              </w:rPr>
              <w:t>169</w:t>
            </w:r>
          </w:p>
        </w:tc>
        <w:tc>
          <w:tcPr>
            <w:tcW w:w="1819" w:type="dxa"/>
            <w:tcBorders>
              <w:top w:val="single" w:sz="2" w:space="0" w:color="1F4E79" w:themeColor="accent1" w:themeShade="80"/>
              <w:left w:val="nil"/>
              <w:bottom w:val="nil"/>
              <w:right w:val="nil"/>
            </w:tcBorders>
            <w:shd w:val="clear" w:color="auto" w:fill="auto"/>
            <w:vAlign w:val="center"/>
          </w:tcPr>
          <w:p w14:paraId="5CB53912" w14:textId="77777777" w:rsidR="008B7E19" w:rsidRPr="003A6AA6"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b/>
                <w:bCs/>
                <w:sz w:val="14"/>
                <w:szCs w:val="14"/>
              </w:rPr>
            </w:pPr>
            <w:r w:rsidRPr="003A6AA6">
              <w:rPr>
                <w:rFonts w:cs="Arial"/>
                <w:b/>
                <w:bCs/>
                <w:sz w:val="14"/>
                <w:szCs w:val="14"/>
              </w:rPr>
              <w:t>7</w:t>
            </w:r>
            <w:r>
              <w:rPr>
                <w:rFonts w:cs="Arial"/>
                <w:b/>
                <w:bCs/>
                <w:sz w:val="14"/>
                <w:szCs w:val="14"/>
              </w:rPr>
              <w:t>,</w:t>
            </w:r>
            <w:r w:rsidRPr="003A6AA6">
              <w:rPr>
                <w:rFonts w:cs="Arial"/>
                <w:b/>
                <w:bCs/>
                <w:sz w:val="14"/>
                <w:szCs w:val="14"/>
              </w:rPr>
              <w:t>205</w:t>
            </w:r>
            <w:r>
              <w:rPr>
                <w:rFonts w:cs="Arial"/>
                <w:b/>
                <w:bCs/>
                <w:sz w:val="14"/>
                <w:szCs w:val="14"/>
              </w:rPr>
              <w:t>,</w:t>
            </w:r>
            <w:r w:rsidRPr="003A6AA6">
              <w:rPr>
                <w:rFonts w:cs="Arial"/>
                <w:b/>
                <w:bCs/>
                <w:sz w:val="14"/>
                <w:szCs w:val="14"/>
              </w:rPr>
              <w:t>970</w:t>
            </w:r>
          </w:p>
        </w:tc>
        <w:tc>
          <w:tcPr>
            <w:tcW w:w="1819" w:type="dxa"/>
            <w:tcBorders>
              <w:top w:val="single" w:sz="2" w:space="0" w:color="1F4E79" w:themeColor="accent1" w:themeShade="80"/>
              <w:left w:val="nil"/>
              <w:bottom w:val="nil"/>
              <w:right w:val="nil"/>
            </w:tcBorders>
            <w:shd w:val="clear" w:color="auto" w:fill="auto"/>
            <w:vAlign w:val="center"/>
          </w:tcPr>
          <w:p w14:paraId="2F5B425A" w14:textId="77777777" w:rsidR="008B7E19" w:rsidRPr="003A6AA6"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b/>
                <w:bCs/>
                <w:sz w:val="14"/>
                <w:szCs w:val="14"/>
              </w:rPr>
            </w:pPr>
            <w:r w:rsidRPr="003A6AA6">
              <w:rPr>
                <w:rFonts w:cs="Arial"/>
                <w:b/>
                <w:bCs/>
                <w:sz w:val="14"/>
                <w:szCs w:val="14"/>
              </w:rPr>
              <w:t>2</w:t>
            </w:r>
            <w:r>
              <w:rPr>
                <w:rFonts w:cs="Arial"/>
                <w:b/>
                <w:bCs/>
                <w:sz w:val="14"/>
                <w:szCs w:val="14"/>
              </w:rPr>
              <w:t>,</w:t>
            </w:r>
            <w:r w:rsidRPr="003A6AA6">
              <w:rPr>
                <w:rFonts w:cs="Arial"/>
                <w:b/>
                <w:bCs/>
                <w:sz w:val="14"/>
                <w:szCs w:val="14"/>
              </w:rPr>
              <w:t>899</w:t>
            </w:r>
            <w:r>
              <w:rPr>
                <w:rFonts w:cs="Arial"/>
                <w:b/>
                <w:bCs/>
                <w:sz w:val="14"/>
                <w:szCs w:val="14"/>
              </w:rPr>
              <w:t>,</w:t>
            </w:r>
            <w:r w:rsidRPr="003A6AA6">
              <w:rPr>
                <w:rFonts w:cs="Arial"/>
                <w:b/>
                <w:bCs/>
                <w:sz w:val="14"/>
                <w:szCs w:val="14"/>
              </w:rPr>
              <w:t>578</w:t>
            </w:r>
          </w:p>
        </w:tc>
        <w:tc>
          <w:tcPr>
            <w:tcW w:w="1819" w:type="dxa"/>
            <w:tcBorders>
              <w:top w:val="single" w:sz="2" w:space="0" w:color="1F4E79" w:themeColor="accent1" w:themeShade="80"/>
              <w:left w:val="nil"/>
              <w:bottom w:val="nil"/>
              <w:right w:val="nil"/>
            </w:tcBorders>
            <w:shd w:val="clear" w:color="auto" w:fill="auto"/>
            <w:vAlign w:val="center"/>
          </w:tcPr>
          <w:p w14:paraId="5B0D563A" w14:textId="77777777" w:rsidR="008B7E19" w:rsidRPr="003A6AA6"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b/>
                <w:bCs/>
                <w:sz w:val="14"/>
                <w:szCs w:val="14"/>
              </w:rPr>
            </w:pPr>
            <w:r w:rsidRPr="003A6AA6">
              <w:rPr>
                <w:rFonts w:cs="Arial"/>
                <w:b/>
                <w:bCs/>
                <w:sz w:val="14"/>
                <w:szCs w:val="14"/>
              </w:rPr>
              <w:t>5</w:t>
            </w:r>
            <w:r>
              <w:rPr>
                <w:rFonts w:cs="Arial"/>
                <w:b/>
                <w:bCs/>
                <w:sz w:val="14"/>
                <w:szCs w:val="14"/>
              </w:rPr>
              <w:t>,</w:t>
            </w:r>
            <w:r w:rsidRPr="003A6AA6">
              <w:rPr>
                <w:rFonts w:cs="Arial"/>
                <w:b/>
                <w:bCs/>
                <w:sz w:val="14"/>
                <w:szCs w:val="14"/>
              </w:rPr>
              <w:t>680</w:t>
            </w:r>
            <w:r>
              <w:rPr>
                <w:rFonts w:cs="Arial"/>
                <w:b/>
                <w:bCs/>
                <w:sz w:val="14"/>
                <w:szCs w:val="14"/>
              </w:rPr>
              <w:t>,</w:t>
            </w:r>
            <w:r w:rsidRPr="003A6AA6">
              <w:rPr>
                <w:rFonts w:cs="Arial"/>
                <w:b/>
                <w:bCs/>
                <w:sz w:val="14"/>
                <w:szCs w:val="14"/>
              </w:rPr>
              <w:t>451</w:t>
            </w:r>
          </w:p>
        </w:tc>
      </w:tr>
      <w:tr w:rsidR="008B7E19" w:rsidRPr="0066615C" w14:paraId="6C0F259D" w14:textId="77777777" w:rsidTr="008B7E1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27DC5D22" w14:textId="77777777" w:rsidR="008B7E19" w:rsidRPr="0066615C" w:rsidRDefault="008B7E19" w:rsidP="008B7E19">
            <w:pPr>
              <w:keepNext/>
              <w:keepLines/>
              <w:ind w:left="113"/>
              <w:rPr>
                <w:rFonts w:cs="Arial"/>
                <w:b w:val="0"/>
                <w:bCs w:val="0"/>
                <w:color w:val="000000"/>
                <w:sz w:val="14"/>
                <w:szCs w:val="14"/>
              </w:rPr>
            </w:pPr>
            <w:r>
              <w:rPr>
                <w:rFonts w:cs="Arial"/>
                <w:b w:val="0"/>
                <w:bCs w:val="0"/>
                <w:color w:val="000000"/>
                <w:sz w:val="14"/>
                <w:szCs w:val="14"/>
              </w:rPr>
              <w:t>Result of contracts</w:t>
            </w:r>
            <w:r w:rsidRPr="009C18D9">
              <w:rPr>
                <w:rFonts w:cs="Arial"/>
                <w:b w:val="0"/>
                <w:bCs w:val="0"/>
                <w:color w:val="000000"/>
                <w:sz w:val="14"/>
                <w:szCs w:val="14"/>
              </w:rPr>
              <w:t xml:space="preserve"> BBA</w:t>
            </w:r>
            <w:r>
              <w:rPr>
                <w:rFonts w:cs="Arial"/>
                <w:b w:val="0"/>
                <w:bCs w:val="0"/>
                <w:color w:val="000000"/>
                <w:sz w:val="14"/>
                <w:szCs w:val="14"/>
              </w:rPr>
              <w:t xml:space="preserve"> </w:t>
            </w:r>
            <w:r w:rsidRPr="002062A7">
              <w:rPr>
                <w:rFonts w:cs="Arial"/>
                <w:b w:val="0"/>
                <w:bCs w:val="0"/>
                <w:color w:val="000000"/>
                <w:sz w:val="14"/>
                <w:szCs w:val="14"/>
                <w:vertAlign w:val="superscript"/>
              </w:rPr>
              <w:t>(1)</w:t>
            </w:r>
          </w:p>
        </w:tc>
        <w:tc>
          <w:tcPr>
            <w:tcW w:w="1818" w:type="dxa"/>
            <w:tcBorders>
              <w:top w:val="nil"/>
              <w:left w:val="nil"/>
              <w:bottom w:val="nil"/>
              <w:right w:val="nil"/>
            </w:tcBorders>
            <w:shd w:val="clear" w:color="auto" w:fill="auto"/>
            <w:vAlign w:val="center"/>
          </w:tcPr>
          <w:p w14:paraId="4BEDA5B0" w14:textId="77777777" w:rsidR="008B7E19" w:rsidRPr="001849A6" w:rsidRDefault="008B7E19" w:rsidP="008B7E19">
            <w:pPr>
              <w:keepNext/>
              <w:keepLines/>
              <w:jc w:val="right"/>
              <w:cnfStyle w:val="000000010000" w:firstRow="0" w:lastRow="0" w:firstColumn="0" w:lastColumn="0" w:oddVBand="0" w:evenVBand="0" w:oddHBand="0" w:evenHBand="1" w:firstRowFirstColumn="0" w:firstRowLastColumn="0" w:lastRowFirstColumn="0" w:lastRowLastColumn="0"/>
              <w:rPr>
                <w:rFonts w:cs="Arial"/>
                <w:color w:val="000000"/>
                <w:sz w:val="14"/>
                <w:szCs w:val="14"/>
              </w:rPr>
            </w:pPr>
            <w:r w:rsidRPr="001849A6">
              <w:rPr>
                <w:rFonts w:cs="Arial"/>
                <w:sz w:val="14"/>
                <w:szCs w:val="14"/>
              </w:rPr>
              <w:t>685</w:t>
            </w:r>
            <w:r>
              <w:rPr>
                <w:rFonts w:cs="Arial"/>
                <w:sz w:val="14"/>
                <w:szCs w:val="14"/>
              </w:rPr>
              <w:t>,</w:t>
            </w:r>
            <w:r w:rsidRPr="001849A6">
              <w:rPr>
                <w:rFonts w:cs="Arial"/>
                <w:sz w:val="14"/>
                <w:szCs w:val="14"/>
              </w:rPr>
              <w:t>139</w:t>
            </w:r>
          </w:p>
        </w:tc>
        <w:tc>
          <w:tcPr>
            <w:tcW w:w="1819" w:type="dxa"/>
            <w:tcBorders>
              <w:top w:val="nil"/>
              <w:left w:val="nil"/>
              <w:bottom w:val="nil"/>
              <w:right w:val="nil"/>
            </w:tcBorders>
            <w:shd w:val="clear" w:color="auto" w:fill="auto"/>
            <w:vAlign w:val="center"/>
          </w:tcPr>
          <w:p w14:paraId="76FA1D96" w14:textId="77777777" w:rsidR="008B7E19" w:rsidRPr="001849A6" w:rsidRDefault="008B7E19" w:rsidP="008B7E19">
            <w:pPr>
              <w:keepNext/>
              <w:keepLines/>
              <w:jc w:val="right"/>
              <w:cnfStyle w:val="000000010000" w:firstRow="0" w:lastRow="0" w:firstColumn="0" w:lastColumn="0" w:oddVBand="0" w:evenVBand="0" w:oddHBand="0" w:evenHBand="1" w:firstRowFirstColumn="0" w:firstRowLastColumn="0" w:lastRowFirstColumn="0" w:lastRowLastColumn="0"/>
              <w:rPr>
                <w:rFonts w:cs="Arial"/>
                <w:color w:val="000000"/>
                <w:sz w:val="14"/>
                <w:szCs w:val="14"/>
              </w:rPr>
            </w:pPr>
            <w:r w:rsidRPr="001849A6">
              <w:rPr>
                <w:rFonts w:cs="Arial"/>
                <w:sz w:val="14"/>
                <w:szCs w:val="14"/>
              </w:rPr>
              <w:t>1</w:t>
            </w:r>
            <w:r>
              <w:rPr>
                <w:rFonts w:cs="Arial"/>
                <w:sz w:val="14"/>
                <w:szCs w:val="14"/>
              </w:rPr>
              <w:t>,</w:t>
            </w:r>
            <w:r w:rsidRPr="001849A6">
              <w:rPr>
                <w:rFonts w:cs="Arial"/>
                <w:sz w:val="14"/>
                <w:szCs w:val="14"/>
              </w:rPr>
              <w:t>293</w:t>
            </w:r>
            <w:r>
              <w:rPr>
                <w:rFonts w:cs="Arial"/>
                <w:sz w:val="14"/>
                <w:szCs w:val="14"/>
              </w:rPr>
              <w:t>,</w:t>
            </w:r>
            <w:r w:rsidRPr="001849A6">
              <w:rPr>
                <w:rFonts w:cs="Arial"/>
                <w:sz w:val="14"/>
                <w:szCs w:val="14"/>
              </w:rPr>
              <w:t>731</w:t>
            </w:r>
          </w:p>
        </w:tc>
        <w:tc>
          <w:tcPr>
            <w:tcW w:w="1819" w:type="dxa"/>
            <w:tcBorders>
              <w:top w:val="nil"/>
              <w:left w:val="nil"/>
              <w:bottom w:val="nil"/>
              <w:right w:val="nil"/>
            </w:tcBorders>
            <w:shd w:val="clear" w:color="auto" w:fill="auto"/>
            <w:vAlign w:val="center"/>
          </w:tcPr>
          <w:p w14:paraId="744DFCB9" w14:textId="77777777" w:rsidR="008B7E19" w:rsidRPr="001849A6" w:rsidRDefault="008B7E19" w:rsidP="008B7E19">
            <w:pPr>
              <w:keepNext/>
              <w:keepLines/>
              <w:jc w:val="right"/>
              <w:cnfStyle w:val="000000010000" w:firstRow="0" w:lastRow="0" w:firstColumn="0" w:lastColumn="0" w:oddVBand="0" w:evenVBand="0" w:oddHBand="0" w:evenHBand="1" w:firstRowFirstColumn="0" w:firstRowLastColumn="0" w:lastRowFirstColumn="0" w:lastRowLastColumn="0"/>
              <w:rPr>
                <w:rFonts w:cs="Arial"/>
                <w:color w:val="000000"/>
                <w:sz w:val="14"/>
                <w:szCs w:val="14"/>
              </w:rPr>
            </w:pPr>
            <w:r w:rsidRPr="001849A6">
              <w:rPr>
                <w:rFonts w:cs="Arial"/>
                <w:sz w:val="14"/>
                <w:szCs w:val="14"/>
              </w:rPr>
              <w:t>534</w:t>
            </w:r>
            <w:r>
              <w:rPr>
                <w:rFonts w:cs="Arial"/>
                <w:sz w:val="14"/>
                <w:szCs w:val="14"/>
              </w:rPr>
              <w:t>,</w:t>
            </w:r>
            <w:r w:rsidRPr="001849A6">
              <w:rPr>
                <w:rFonts w:cs="Arial"/>
                <w:sz w:val="14"/>
                <w:szCs w:val="14"/>
              </w:rPr>
              <w:t>505</w:t>
            </w:r>
          </w:p>
        </w:tc>
        <w:tc>
          <w:tcPr>
            <w:tcW w:w="1819" w:type="dxa"/>
            <w:tcBorders>
              <w:top w:val="nil"/>
              <w:left w:val="nil"/>
              <w:bottom w:val="nil"/>
              <w:right w:val="nil"/>
            </w:tcBorders>
            <w:shd w:val="clear" w:color="auto" w:fill="auto"/>
            <w:vAlign w:val="center"/>
          </w:tcPr>
          <w:p w14:paraId="6EE54183" w14:textId="77777777" w:rsidR="008B7E19" w:rsidRPr="001849A6" w:rsidRDefault="008B7E19" w:rsidP="008B7E19">
            <w:pPr>
              <w:keepNext/>
              <w:keepLines/>
              <w:jc w:val="right"/>
              <w:cnfStyle w:val="000000010000" w:firstRow="0" w:lastRow="0" w:firstColumn="0" w:lastColumn="0" w:oddVBand="0" w:evenVBand="0" w:oddHBand="0" w:evenHBand="1" w:firstRowFirstColumn="0" w:firstRowLastColumn="0" w:lastRowFirstColumn="0" w:lastRowLastColumn="0"/>
              <w:rPr>
                <w:rFonts w:cs="Arial"/>
                <w:color w:val="000000"/>
                <w:sz w:val="14"/>
                <w:szCs w:val="14"/>
              </w:rPr>
            </w:pPr>
            <w:r w:rsidRPr="001849A6">
              <w:rPr>
                <w:rFonts w:cs="Arial"/>
                <w:sz w:val="14"/>
                <w:szCs w:val="14"/>
              </w:rPr>
              <w:t>1</w:t>
            </w:r>
            <w:r>
              <w:rPr>
                <w:rFonts w:cs="Arial"/>
                <w:sz w:val="14"/>
                <w:szCs w:val="14"/>
              </w:rPr>
              <w:t>,</w:t>
            </w:r>
            <w:r w:rsidRPr="001849A6">
              <w:rPr>
                <w:rFonts w:cs="Arial"/>
                <w:sz w:val="14"/>
                <w:szCs w:val="14"/>
              </w:rPr>
              <w:t>063</w:t>
            </w:r>
            <w:r>
              <w:rPr>
                <w:rFonts w:cs="Arial"/>
                <w:sz w:val="14"/>
                <w:szCs w:val="14"/>
              </w:rPr>
              <w:t>,</w:t>
            </w:r>
            <w:r w:rsidRPr="001849A6">
              <w:rPr>
                <w:rFonts w:cs="Arial"/>
                <w:sz w:val="14"/>
                <w:szCs w:val="14"/>
              </w:rPr>
              <w:t>156</w:t>
            </w:r>
          </w:p>
        </w:tc>
      </w:tr>
      <w:tr w:rsidR="008B7E19" w:rsidRPr="0066615C" w14:paraId="470978BF"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1C22EEF3" w14:textId="77777777" w:rsidR="008B7E19" w:rsidRPr="0066615C" w:rsidRDefault="008B7E19" w:rsidP="008B7E19">
            <w:pPr>
              <w:keepNext/>
              <w:keepLines/>
              <w:ind w:left="113"/>
              <w:rPr>
                <w:rFonts w:cs="Arial"/>
                <w:b w:val="0"/>
                <w:bCs w:val="0"/>
                <w:color w:val="000000"/>
                <w:sz w:val="14"/>
                <w:szCs w:val="14"/>
              </w:rPr>
            </w:pPr>
            <w:r>
              <w:rPr>
                <w:rFonts w:cs="Arial"/>
                <w:b w:val="0"/>
                <w:bCs w:val="0"/>
                <w:color w:val="000000"/>
                <w:sz w:val="14"/>
                <w:szCs w:val="14"/>
              </w:rPr>
              <w:t>Result of contracts</w:t>
            </w:r>
            <w:r w:rsidRPr="009C18D9">
              <w:rPr>
                <w:rFonts w:cs="Arial"/>
                <w:b w:val="0"/>
                <w:bCs w:val="0"/>
                <w:color w:val="000000"/>
                <w:sz w:val="14"/>
                <w:szCs w:val="14"/>
              </w:rPr>
              <w:t xml:space="preserve"> PAA</w:t>
            </w:r>
            <w:r>
              <w:rPr>
                <w:rFonts w:cs="Arial"/>
                <w:b w:val="0"/>
                <w:bCs w:val="0"/>
                <w:color w:val="000000"/>
                <w:sz w:val="14"/>
                <w:szCs w:val="14"/>
              </w:rPr>
              <w:t xml:space="preserve"> </w:t>
            </w:r>
            <w:r w:rsidRPr="002062A7">
              <w:rPr>
                <w:rFonts w:cs="Arial"/>
                <w:b w:val="0"/>
                <w:bCs w:val="0"/>
                <w:color w:val="000000"/>
                <w:sz w:val="14"/>
                <w:szCs w:val="14"/>
                <w:vertAlign w:val="superscript"/>
              </w:rPr>
              <w:t>(1)</w:t>
            </w:r>
          </w:p>
        </w:tc>
        <w:tc>
          <w:tcPr>
            <w:tcW w:w="1818" w:type="dxa"/>
            <w:tcBorders>
              <w:top w:val="nil"/>
              <w:left w:val="nil"/>
              <w:bottom w:val="nil"/>
              <w:right w:val="nil"/>
            </w:tcBorders>
            <w:shd w:val="clear" w:color="auto" w:fill="auto"/>
            <w:vAlign w:val="center"/>
          </w:tcPr>
          <w:p w14:paraId="03359DF3" w14:textId="77777777" w:rsidR="008B7E19" w:rsidRPr="001849A6" w:rsidRDefault="008B7E19" w:rsidP="008B7E19">
            <w:pPr>
              <w:keepNext/>
              <w:keepLines/>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1849A6">
              <w:rPr>
                <w:rFonts w:cs="Arial"/>
                <w:sz w:val="14"/>
                <w:szCs w:val="14"/>
              </w:rPr>
              <w:t>2</w:t>
            </w:r>
            <w:r>
              <w:rPr>
                <w:rFonts w:cs="Arial"/>
                <w:sz w:val="14"/>
                <w:szCs w:val="14"/>
              </w:rPr>
              <w:t>,</w:t>
            </w:r>
            <w:r w:rsidRPr="001849A6">
              <w:rPr>
                <w:rFonts w:cs="Arial"/>
                <w:sz w:val="14"/>
                <w:szCs w:val="14"/>
              </w:rPr>
              <w:t>990</w:t>
            </w:r>
            <w:r>
              <w:rPr>
                <w:rFonts w:cs="Arial"/>
                <w:sz w:val="14"/>
                <w:szCs w:val="14"/>
              </w:rPr>
              <w:t>,</w:t>
            </w:r>
            <w:r w:rsidRPr="001849A6">
              <w:rPr>
                <w:rFonts w:cs="Arial"/>
                <w:sz w:val="14"/>
                <w:szCs w:val="14"/>
              </w:rPr>
              <w:t>030</w:t>
            </w:r>
          </w:p>
        </w:tc>
        <w:tc>
          <w:tcPr>
            <w:tcW w:w="1819" w:type="dxa"/>
            <w:tcBorders>
              <w:top w:val="nil"/>
              <w:left w:val="nil"/>
              <w:bottom w:val="nil"/>
              <w:right w:val="nil"/>
            </w:tcBorders>
            <w:shd w:val="clear" w:color="auto" w:fill="auto"/>
            <w:vAlign w:val="center"/>
          </w:tcPr>
          <w:p w14:paraId="3AF91333" w14:textId="77777777" w:rsidR="008B7E19" w:rsidRPr="001849A6" w:rsidRDefault="008B7E19" w:rsidP="008B7E19">
            <w:pPr>
              <w:keepNext/>
              <w:keepLines/>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1849A6">
              <w:rPr>
                <w:rFonts w:cs="Arial"/>
                <w:sz w:val="14"/>
                <w:szCs w:val="14"/>
              </w:rPr>
              <w:t>5</w:t>
            </w:r>
            <w:r>
              <w:rPr>
                <w:rFonts w:cs="Arial"/>
                <w:sz w:val="14"/>
                <w:szCs w:val="14"/>
              </w:rPr>
              <w:t>,</w:t>
            </w:r>
            <w:r w:rsidRPr="001849A6">
              <w:rPr>
                <w:rFonts w:cs="Arial"/>
                <w:sz w:val="14"/>
                <w:szCs w:val="14"/>
              </w:rPr>
              <w:t>912</w:t>
            </w:r>
            <w:r>
              <w:rPr>
                <w:rFonts w:cs="Arial"/>
                <w:sz w:val="14"/>
                <w:szCs w:val="14"/>
              </w:rPr>
              <w:t>,</w:t>
            </w:r>
            <w:r w:rsidRPr="001849A6">
              <w:rPr>
                <w:rFonts w:cs="Arial"/>
                <w:sz w:val="14"/>
                <w:szCs w:val="14"/>
              </w:rPr>
              <w:t>239</w:t>
            </w:r>
          </w:p>
        </w:tc>
        <w:tc>
          <w:tcPr>
            <w:tcW w:w="1819" w:type="dxa"/>
            <w:tcBorders>
              <w:top w:val="nil"/>
              <w:left w:val="nil"/>
              <w:bottom w:val="nil"/>
              <w:right w:val="nil"/>
            </w:tcBorders>
            <w:shd w:val="clear" w:color="auto" w:fill="auto"/>
            <w:vAlign w:val="center"/>
          </w:tcPr>
          <w:p w14:paraId="00624D8C" w14:textId="77777777" w:rsidR="008B7E19" w:rsidRPr="001849A6" w:rsidRDefault="008B7E19" w:rsidP="008B7E19">
            <w:pPr>
              <w:keepNext/>
              <w:keepLines/>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1849A6">
              <w:rPr>
                <w:rFonts w:cs="Arial"/>
                <w:sz w:val="14"/>
                <w:szCs w:val="14"/>
              </w:rPr>
              <w:t>2</w:t>
            </w:r>
            <w:r>
              <w:rPr>
                <w:rFonts w:cs="Arial"/>
                <w:sz w:val="14"/>
                <w:szCs w:val="14"/>
              </w:rPr>
              <w:t>,</w:t>
            </w:r>
            <w:r w:rsidRPr="001849A6">
              <w:rPr>
                <w:rFonts w:cs="Arial"/>
                <w:sz w:val="14"/>
                <w:szCs w:val="14"/>
              </w:rPr>
              <w:t>365</w:t>
            </w:r>
            <w:r>
              <w:rPr>
                <w:rFonts w:cs="Arial"/>
                <w:sz w:val="14"/>
                <w:szCs w:val="14"/>
              </w:rPr>
              <w:t>,</w:t>
            </w:r>
            <w:r w:rsidRPr="001849A6">
              <w:rPr>
                <w:rFonts w:cs="Arial"/>
                <w:sz w:val="14"/>
                <w:szCs w:val="14"/>
              </w:rPr>
              <w:t>073</w:t>
            </w:r>
          </w:p>
        </w:tc>
        <w:tc>
          <w:tcPr>
            <w:tcW w:w="1819" w:type="dxa"/>
            <w:tcBorders>
              <w:top w:val="nil"/>
              <w:left w:val="nil"/>
              <w:bottom w:val="nil"/>
              <w:right w:val="nil"/>
            </w:tcBorders>
            <w:shd w:val="clear" w:color="auto" w:fill="auto"/>
            <w:vAlign w:val="center"/>
          </w:tcPr>
          <w:p w14:paraId="564598F3" w14:textId="77777777" w:rsidR="008B7E19" w:rsidRPr="001849A6" w:rsidRDefault="008B7E19" w:rsidP="008B7E19">
            <w:pPr>
              <w:keepNext/>
              <w:keepLines/>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1849A6">
              <w:rPr>
                <w:rFonts w:cs="Arial"/>
                <w:sz w:val="14"/>
                <w:szCs w:val="14"/>
              </w:rPr>
              <w:t>4</w:t>
            </w:r>
            <w:r>
              <w:rPr>
                <w:rFonts w:cs="Arial"/>
                <w:sz w:val="14"/>
                <w:szCs w:val="14"/>
              </w:rPr>
              <w:t>,</w:t>
            </w:r>
            <w:r w:rsidRPr="001849A6">
              <w:rPr>
                <w:rFonts w:cs="Arial"/>
                <w:sz w:val="14"/>
                <w:szCs w:val="14"/>
              </w:rPr>
              <w:t>617</w:t>
            </w:r>
            <w:r>
              <w:rPr>
                <w:rFonts w:cs="Arial"/>
                <w:sz w:val="14"/>
                <w:szCs w:val="14"/>
              </w:rPr>
              <w:t>,</w:t>
            </w:r>
            <w:r w:rsidRPr="001849A6">
              <w:rPr>
                <w:rFonts w:cs="Arial"/>
                <w:sz w:val="14"/>
                <w:szCs w:val="14"/>
              </w:rPr>
              <w:t>295</w:t>
            </w:r>
          </w:p>
        </w:tc>
      </w:tr>
      <w:tr w:rsidR="008B7E19" w:rsidRPr="0066615C" w14:paraId="4C843806" w14:textId="77777777" w:rsidTr="008B7E1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516A10C7" w14:textId="77777777" w:rsidR="008B7E19" w:rsidRPr="0066615C" w:rsidRDefault="008B7E19" w:rsidP="008B7E19">
            <w:pPr>
              <w:keepNext/>
              <w:keepLines/>
              <w:rPr>
                <w:rFonts w:cs="Arial"/>
                <w:b w:val="0"/>
                <w:bCs w:val="0"/>
                <w:color w:val="000000"/>
                <w:sz w:val="14"/>
                <w:szCs w:val="14"/>
              </w:rPr>
            </w:pPr>
            <w:r>
              <w:rPr>
                <w:rFonts w:cs="Arial"/>
                <w:b w:val="0"/>
                <w:bCs w:val="0"/>
                <w:color w:val="000000"/>
                <w:sz w:val="14"/>
                <w:szCs w:val="14"/>
              </w:rPr>
              <w:t>Insurance expenses</w:t>
            </w:r>
          </w:p>
        </w:tc>
        <w:tc>
          <w:tcPr>
            <w:tcW w:w="1818" w:type="dxa"/>
            <w:tcBorders>
              <w:top w:val="nil"/>
              <w:left w:val="nil"/>
              <w:bottom w:val="nil"/>
              <w:right w:val="nil"/>
            </w:tcBorders>
            <w:shd w:val="clear" w:color="auto" w:fill="auto"/>
            <w:vAlign w:val="center"/>
          </w:tcPr>
          <w:p w14:paraId="6D127084" w14:textId="77777777" w:rsidR="008B7E19" w:rsidRPr="001849A6" w:rsidRDefault="008B7E19" w:rsidP="008B7E19">
            <w:pPr>
              <w:keepNext/>
              <w:keepLines/>
              <w:jc w:val="right"/>
              <w:cnfStyle w:val="000000010000" w:firstRow="0" w:lastRow="0" w:firstColumn="0" w:lastColumn="0" w:oddVBand="0" w:evenVBand="0" w:oddHBand="0" w:evenHBand="1" w:firstRowFirstColumn="0" w:firstRowLastColumn="0" w:lastRowFirstColumn="0" w:lastRowLastColumn="0"/>
              <w:rPr>
                <w:rFonts w:cs="Arial"/>
                <w:color w:val="000000"/>
                <w:sz w:val="14"/>
                <w:szCs w:val="14"/>
              </w:rPr>
            </w:pPr>
            <w:r w:rsidRPr="001849A6">
              <w:rPr>
                <w:rFonts w:cs="Arial"/>
                <w:sz w:val="14"/>
                <w:szCs w:val="14"/>
              </w:rPr>
              <w:t>(2</w:t>
            </w:r>
            <w:r>
              <w:rPr>
                <w:rFonts w:cs="Arial"/>
                <w:sz w:val="14"/>
                <w:szCs w:val="14"/>
              </w:rPr>
              <w:t>,</w:t>
            </w:r>
            <w:r w:rsidRPr="001849A6">
              <w:rPr>
                <w:rFonts w:cs="Arial"/>
                <w:sz w:val="14"/>
                <w:szCs w:val="14"/>
              </w:rPr>
              <w:t>358</w:t>
            </w:r>
            <w:r>
              <w:rPr>
                <w:rFonts w:cs="Arial"/>
                <w:sz w:val="14"/>
                <w:szCs w:val="14"/>
              </w:rPr>
              <w:t>,</w:t>
            </w:r>
            <w:r w:rsidRPr="001849A6">
              <w:rPr>
                <w:rFonts w:cs="Arial"/>
                <w:sz w:val="14"/>
                <w:szCs w:val="14"/>
              </w:rPr>
              <w:t>248)</w:t>
            </w:r>
          </w:p>
        </w:tc>
        <w:tc>
          <w:tcPr>
            <w:tcW w:w="1819" w:type="dxa"/>
            <w:tcBorders>
              <w:top w:val="nil"/>
              <w:left w:val="nil"/>
              <w:bottom w:val="nil"/>
              <w:right w:val="nil"/>
            </w:tcBorders>
            <w:shd w:val="clear" w:color="auto" w:fill="auto"/>
            <w:vAlign w:val="center"/>
          </w:tcPr>
          <w:p w14:paraId="77736A11" w14:textId="77777777" w:rsidR="008B7E19" w:rsidRPr="001849A6" w:rsidRDefault="008B7E19" w:rsidP="008B7E19">
            <w:pPr>
              <w:keepNext/>
              <w:keepLines/>
              <w:jc w:val="right"/>
              <w:cnfStyle w:val="000000010000" w:firstRow="0" w:lastRow="0" w:firstColumn="0" w:lastColumn="0" w:oddVBand="0" w:evenVBand="0" w:oddHBand="0" w:evenHBand="1" w:firstRowFirstColumn="0" w:firstRowLastColumn="0" w:lastRowFirstColumn="0" w:lastRowLastColumn="0"/>
              <w:rPr>
                <w:rFonts w:cs="Arial"/>
                <w:color w:val="000000"/>
                <w:sz w:val="14"/>
                <w:szCs w:val="14"/>
              </w:rPr>
            </w:pPr>
            <w:r w:rsidRPr="001849A6">
              <w:rPr>
                <w:rFonts w:cs="Arial"/>
                <w:sz w:val="14"/>
                <w:szCs w:val="14"/>
              </w:rPr>
              <w:t>(4</w:t>
            </w:r>
            <w:r>
              <w:rPr>
                <w:rFonts w:cs="Arial"/>
                <w:sz w:val="14"/>
                <w:szCs w:val="14"/>
              </w:rPr>
              <w:t>,</w:t>
            </w:r>
            <w:r w:rsidRPr="001849A6">
              <w:rPr>
                <w:rFonts w:cs="Arial"/>
                <w:sz w:val="14"/>
                <w:szCs w:val="14"/>
              </w:rPr>
              <w:t>718</w:t>
            </w:r>
            <w:r>
              <w:rPr>
                <w:rFonts w:cs="Arial"/>
                <w:sz w:val="14"/>
                <w:szCs w:val="14"/>
              </w:rPr>
              <w:t>,</w:t>
            </w:r>
            <w:r w:rsidRPr="001849A6">
              <w:rPr>
                <w:rFonts w:cs="Arial"/>
                <w:sz w:val="14"/>
                <w:szCs w:val="14"/>
              </w:rPr>
              <w:t>563)</w:t>
            </w:r>
          </w:p>
        </w:tc>
        <w:tc>
          <w:tcPr>
            <w:tcW w:w="1819" w:type="dxa"/>
            <w:tcBorders>
              <w:top w:val="nil"/>
              <w:left w:val="nil"/>
              <w:bottom w:val="nil"/>
              <w:right w:val="nil"/>
            </w:tcBorders>
            <w:shd w:val="clear" w:color="auto" w:fill="auto"/>
            <w:vAlign w:val="center"/>
          </w:tcPr>
          <w:p w14:paraId="21B90098" w14:textId="77777777" w:rsidR="008B7E19" w:rsidRPr="001849A6" w:rsidRDefault="008B7E19" w:rsidP="008B7E19">
            <w:pPr>
              <w:keepNext/>
              <w:keepLines/>
              <w:jc w:val="right"/>
              <w:cnfStyle w:val="000000010000" w:firstRow="0" w:lastRow="0" w:firstColumn="0" w:lastColumn="0" w:oddVBand="0" w:evenVBand="0" w:oddHBand="0" w:evenHBand="1" w:firstRowFirstColumn="0" w:firstRowLastColumn="0" w:lastRowFirstColumn="0" w:lastRowLastColumn="0"/>
              <w:rPr>
                <w:rFonts w:cs="Arial"/>
                <w:color w:val="000000"/>
                <w:sz w:val="14"/>
                <w:szCs w:val="14"/>
              </w:rPr>
            </w:pPr>
            <w:r w:rsidRPr="001849A6">
              <w:rPr>
                <w:rFonts w:cs="Arial"/>
                <w:sz w:val="14"/>
                <w:szCs w:val="14"/>
              </w:rPr>
              <w:t>(1</w:t>
            </w:r>
            <w:r>
              <w:rPr>
                <w:rFonts w:cs="Arial"/>
                <w:sz w:val="14"/>
                <w:szCs w:val="14"/>
              </w:rPr>
              <w:t>,</w:t>
            </w:r>
            <w:r w:rsidRPr="001849A6">
              <w:rPr>
                <w:rFonts w:cs="Arial"/>
                <w:sz w:val="14"/>
                <w:szCs w:val="14"/>
              </w:rPr>
              <w:t>901</w:t>
            </w:r>
            <w:r>
              <w:rPr>
                <w:rFonts w:cs="Arial"/>
                <w:sz w:val="14"/>
                <w:szCs w:val="14"/>
              </w:rPr>
              <w:t>,</w:t>
            </w:r>
            <w:r w:rsidRPr="001849A6">
              <w:rPr>
                <w:rFonts w:cs="Arial"/>
                <w:sz w:val="14"/>
                <w:szCs w:val="14"/>
              </w:rPr>
              <w:t>248)</w:t>
            </w:r>
          </w:p>
        </w:tc>
        <w:tc>
          <w:tcPr>
            <w:tcW w:w="1819" w:type="dxa"/>
            <w:tcBorders>
              <w:top w:val="nil"/>
              <w:left w:val="nil"/>
              <w:bottom w:val="nil"/>
              <w:right w:val="nil"/>
            </w:tcBorders>
            <w:shd w:val="clear" w:color="auto" w:fill="auto"/>
            <w:vAlign w:val="center"/>
          </w:tcPr>
          <w:p w14:paraId="515888C8" w14:textId="77777777" w:rsidR="008B7E19" w:rsidRPr="001849A6" w:rsidRDefault="008B7E19" w:rsidP="008B7E19">
            <w:pPr>
              <w:keepNext/>
              <w:keepLines/>
              <w:jc w:val="right"/>
              <w:cnfStyle w:val="000000010000" w:firstRow="0" w:lastRow="0" w:firstColumn="0" w:lastColumn="0" w:oddVBand="0" w:evenVBand="0" w:oddHBand="0" w:evenHBand="1" w:firstRowFirstColumn="0" w:firstRowLastColumn="0" w:lastRowFirstColumn="0" w:lastRowLastColumn="0"/>
              <w:rPr>
                <w:rFonts w:cs="Arial"/>
                <w:color w:val="000000"/>
                <w:sz w:val="14"/>
                <w:szCs w:val="14"/>
              </w:rPr>
            </w:pPr>
            <w:r w:rsidRPr="001849A6">
              <w:rPr>
                <w:rFonts w:cs="Arial"/>
                <w:sz w:val="14"/>
                <w:szCs w:val="14"/>
              </w:rPr>
              <w:t>(4</w:t>
            </w:r>
            <w:r>
              <w:rPr>
                <w:rFonts w:cs="Arial"/>
                <w:sz w:val="14"/>
                <w:szCs w:val="14"/>
              </w:rPr>
              <w:t>,</w:t>
            </w:r>
            <w:r w:rsidRPr="001849A6">
              <w:rPr>
                <w:rFonts w:cs="Arial"/>
                <w:sz w:val="14"/>
                <w:szCs w:val="14"/>
              </w:rPr>
              <w:t>165</w:t>
            </w:r>
            <w:r>
              <w:rPr>
                <w:rFonts w:cs="Arial"/>
                <w:sz w:val="14"/>
                <w:szCs w:val="14"/>
              </w:rPr>
              <w:t>,</w:t>
            </w:r>
            <w:r w:rsidRPr="001849A6">
              <w:rPr>
                <w:rFonts w:cs="Arial"/>
                <w:sz w:val="14"/>
                <w:szCs w:val="14"/>
              </w:rPr>
              <w:t>527)</w:t>
            </w:r>
          </w:p>
        </w:tc>
      </w:tr>
      <w:tr w:rsidR="008B7E19" w:rsidRPr="003A6AA6" w14:paraId="3CD89371"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07661015" w14:textId="77777777" w:rsidR="008B7E19" w:rsidRPr="003A6AA6" w:rsidRDefault="008B7E19" w:rsidP="008B7E19">
            <w:pPr>
              <w:keepNext/>
              <w:keepLines/>
              <w:rPr>
                <w:rFonts w:cs="Arial"/>
                <w:color w:val="000000"/>
                <w:sz w:val="14"/>
                <w:szCs w:val="14"/>
              </w:rPr>
            </w:pPr>
            <w:r>
              <w:rPr>
                <w:rFonts w:cs="Arial"/>
                <w:color w:val="000000"/>
                <w:sz w:val="14"/>
                <w:szCs w:val="14"/>
              </w:rPr>
              <w:t>Insurance margin</w:t>
            </w:r>
          </w:p>
        </w:tc>
        <w:tc>
          <w:tcPr>
            <w:tcW w:w="1818" w:type="dxa"/>
            <w:tcBorders>
              <w:top w:val="nil"/>
              <w:left w:val="nil"/>
              <w:bottom w:val="nil"/>
              <w:right w:val="nil"/>
            </w:tcBorders>
            <w:shd w:val="clear" w:color="auto" w:fill="auto"/>
            <w:vAlign w:val="center"/>
          </w:tcPr>
          <w:p w14:paraId="71839732" w14:textId="77777777" w:rsidR="008B7E19" w:rsidRPr="003A6AA6" w:rsidRDefault="008B7E19" w:rsidP="008B7E19">
            <w:pPr>
              <w:keepNext/>
              <w:keepLines/>
              <w:jc w:val="right"/>
              <w:cnfStyle w:val="000000100000" w:firstRow="0" w:lastRow="0" w:firstColumn="0" w:lastColumn="0" w:oddVBand="0" w:evenVBand="0" w:oddHBand="1" w:evenHBand="0" w:firstRowFirstColumn="0" w:firstRowLastColumn="0" w:lastRowFirstColumn="0" w:lastRowLastColumn="0"/>
              <w:rPr>
                <w:rFonts w:cs="Arial"/>
                <w:b/>
                <w:bCs/>
                <w:color w:val="000000"/>
                <w:sz w:val="14"/>
                <w:szCs w:val="14"/>
              </w:rPr>
            </w:pPr>
            <w:r w:rsidRPr="003A6AA6">
              <w:rPr>
                <w:rFonts w:cs="Arial"/>
                <w:b/>
                <w:bCs/>
                <w:sz w:val="14"/>
                <w:szCs w:val="14"/>
              </w:rPr>
              <w:t>1</w:t>
            </w:r>
            <w:r>
              <w:rPr>
                <w:rFonts w:cs="Arial"/>
                <w:b/>
                <w:bCs/>
                <w:sz w:val="14"/>
                <w:szCs w:val="14"/>
              </w:rPr>
              <w:t>,</w:t>
            </w:r>
            <w:r w:rsidRPr="003A6AA6">
              <w:rPr>
                <w:rFonts w:cs="Arial"/>
                <w:b/>
                <w:bCs/>
                <w:sz w:val="14"/>
                <w:szCs w:val="14"/>
              </w:rPr>
              <w:t>316</w:t>
            </w:r>
            <w:r>
              <w:rPr>
                <w:rFonts w:cs="Arial"/>
                <w:b/>
                <w:bCs/>
                <w:sz w:val="14"/>
                <w:szCs w:val="14"/>
              </w:rPr>
              <w:t>,</w:t>
            </w:r>
            <w:r w:rsidRPr="003A6AA6">
              <w:rPr>
                <w:rFonts w:cs="Arial"/>
                <w:b/>
                <w:bCs/>
                <w:sz w:val="14"/>
                <w:szCs w:val="14"/>
              </w:rPr>
              <w:t>921</w:t>
            </w:r>
          </w:p>
        </w:tc>
        <w:tc>
          <w:tcPr>
            <w:tcW w:w="1819" w:type="dxa"/>
            <w:tcBorders>
              <w:top w:val="nil"/>
              <w:left w:val="nil"/>
              <w:bottom w:val="nil"/>
              <w:right w:val="nil"/>
            </w:tcBorders>
            <w:shd w:val="clear" w:color="auto" w:fill="auto"/>
            <w:vAlign w:val="center"/>
          </w:tcPr>
          <w:p w14:paraId="604C4163" w14:textId="77777777" w:rsidR="008B7E19" w:rsidRPr="003A6AA6" w:rsidRDefault="008B7E19" w:rsidP="008B7E19">
            <w:pPr>
              <w:keepNext/>
              <w:keepLines/>
              <w:jc w:val="right"/>
              <w:cnfStyle w:val="000000100000" w:firstRow="0" w:lastRow="0" w:firstColumn="0" w:lastColumn="0" w:oddVBand="0" w:evenVBand="0" w:oddHBand="1" w:evenHBand="0" w:firstRowFirstColumn="0" w:firstRowLastColumn="0" w:lastRowFirstColumn="0" w:lastRowLastColumn="0"/>
              <w:rPr>
                <w:rFonts w:cs="Arial"/>
                <w:b/>
                <w:bCs/>
                <w:color w:val="000000"/>
                <w:sz w:val="14"/>
                <w:szCs w:val="14"/>
              </w:rPr>
            </w:pPr>
            <w:r w:rsidRPr="003A6AA6">
              <w:rPr>
                <w:rFonts w:cs="Arial"/>
                <w:b/>
                <w:bCs/>
                <w:sz w:val="14"/>
                <w:szCs w:val="14"/>
              </w:rPr>
              <w:t>2</w:t>
            </w:r>
            <w:r>
              <w:rPr>
                <w:rFonts w:cs="Arial"/>
                <w:b/>
                <w:bCs/>
                <w:sz w:val="14"/>
                <w:szCs w:val="14"/>
              </w:rPr>
              <w:t>,</w:t>
            </w:r>
            <w:r w:rsidRPr="003A6AA6">
              <w:rPr>
                <w:rFonts w:cs="Arial"/>
                <w:b/>
                <w:bCs/>
                <w:sz w:val="14"/>
                <w:szCs w:val="14"/>
              </w:rPr>
              <w:t>487</w:t>
            </w:r>
            <w:r>
              <w:rPr>
                <w:rFonts w:cs="Arial"/>
                <w:b/>
                <w:bCs/>
                <w:sz w:val="14"/>
                <w:szCs w:val="14"/>
              </w:rPr>
              <w:t>,</w:t>
            </w:r>
            <w:r w:rsidRPr="003A6AA6">
              <w:rPr>
                <w:rFonts w:cs="Arial"/>
                <w:b/>
                <w:bCs/>
                <w:sz w:val="14"/>
                <w:szCs w:val="14"/>
              </w:rPr>
              <w:t>407</w:t>
            </w:r>
          </w:p>
        </w:tc>
        <w:tc>
          <w:tcPr>
            <w:tcW w:w="1819" w:type="dxa"/>
            <w:tcBorders>
              <w:top w:val="nil"/>
              <w:left w:val="nil"/>
              <w:bottom w:val="nil"/>
              <w:right w:val="nil"/>
            </w:tcBorders>
            <w:shd w:val="clear" w:color="auto" w:fill="auto"/>
            <w:vAlign w:val="center"/>
          </w:tcPr>
          <w:p w14:paraId="68756647" w14:textId="77777777" w:rsidR="008B7E19" w:rsidRPr="003A6AA6" w:rsidRDefault="008B7E19" w:rsidP="008B7E19">
            <w:pPr>
              <w:keepNext/>
              <w:keepLines/>
              <w:jc w:val="right"/>
              <w:cnfStyle w:val="000000100000" w:firstRow="0" w:lastRow="0" w:firstColumn="0" w:lastColumn="0" w:oddVBand="0" w:evenVBand="0" w:oddHBand="1" w:evenHBand="0" w:firstRowFirstColumn="0" w:firstRowLastColumn="0" w:lastRowFirstColumn="0" w:lastRowLastColumn="0"/>
              <w:rPr>
                <w:rFonts w:cs="Arial"/>
                <w:b/>
                <w:bCs/>
                <w:color w:val="000000"/>
                <w:sz w:val="14"/>
                <w:szCs w:val="14"/>
              </w:rPr>
            </w:pPr>
            <w:r w:rsidRPr="003A6AA6">
              <w:rPr>
                <w:rFonts w:cs="Arial"/>
                <w:b/>
                <w:bCs/>
                <w:sz w:val="14"/>
                <w:szCs w:val="14"/>
              </w:rPr>
              <w:t>998</w:t>
            </w:r>
            <w:r>
              <w:rPr>
                <w:rFonts w:cs="Arial"/>
                <w:b/>
                <w:bCs/>
                <w:sz w:val="14"/>
                <w:szCs w:val="14"/>
              </w:rPr>
              <w:t>,</w:t>
            </w:r>
            <w:r w:rsidRPr="003A6AA6">
              <w:rPr>
                <w:rFonts w:cs="Arial"/>
                <w:b/>
                <w:bCs/>
                <w:sz w:val="14"/>
                <w:szCs w:val="14"/>
              </w:rPr>
              <w:t>330</w:t>
            </w:r>
          </w:p>
        </w:tc>
        <w:tc>
          <w:tcPr>
            <w:tcW w:w="1819" w:type="dxa"/>
            <w:tcBorders>
              <w:top w:val="nil"/>
              <w:left w:val="nil"/>
              <w:bottom w:val="nil"/>
              <w:right w:val="nil"/>
            </w:tcBorders>
            <w:shd w:val="clear" w:color="auto" w:fill="auto"/>
            <w:vAlign w:val="center"/>
          </w:tcPr>
          <w:p w14:paraId="7AE1A089" w14:textId="77777777" w:rsidR="008B7E19" w:rsidRPr="003A6AA6" w:rsidRDefault="008B7E19" w:rsidP="008B7E19">
            <w:pPr>
              <w:keepNext/>
              <w:keepLines/>
              <w:jc w:val="right"/>
              <w:cnfStyle w:val="000000100000" w:firstRow="0" w:lastRow="0" w:firstColumn="0" w:lastColumn="0" w:oddVBand="0" w:evenVBand="0" w:oddHBand="1" w:evenHBand="0" w:firstRowFirstColumn="0" w:firstRowLastColumn="0" w:lastRowFirstColumn="0" w:lastRowLastColumn="0"/>
              <w:rPr>
                <w:rFonts w:cs="Arial"/>
                <w:b/>
                <w:bCs/>
                <w:color w:val="000000"/>
                <w:sz w:val="14"/>
                <w:szCs w:val="14"/>
              </w:rPr>
            </w:pPr>
            <w:r w:rsidRPr="003A6AA6">
              <w:rPr>
                <w:rFonts w:cs="Arial"/>
                <w:b/>
                <w:bCs/>
                <w:sz w:val="14"/>
                <w:szCs w:val="14"/>
              </w:rPr>
              <w:t>1</w:t>
            </w:r>
            <w:r>
              <w:rPr>
                <w:rFonts w:cs="Arial"/>
                <w:b/>
                <w:bCs/>
                <w:sz w:val="14"/>
                <w:szCs w:val="14"/>
              </w:rPr>
              <w:t>,</w:t>
            </w:r>
            <w:r w:rsidRPr="003A6AA6">
              <w:rPr>
                <w:rFonts w:cs="Arial"/>
                <w:b/>
                <w:bCs/>
                <w:sz w:val="14"/>
                <w:szCs w:val="14"/>
              </w:rPr>
              <w:t>514</w:t>
            </w:r>
            <w:r>
              <w:rPr>
                <w:rFonts w:cs="Arial"/>
                <w:b/>
                <w:bCs/>
                <w:sz w:val="14"/>
                <w:szCs w:val="14"/>
              </w:rPr>
              <w:t>,</w:t>
            </w:r>
            <w:r w:rsidRPr="003A6AA6">
              <w:rPr>
                <w:rFonts w:cs="Arial"/>
                <w:b/>
                <w:bCs/>
                <w:sz w:val="14"/>
                <w:szCs w:val="14"/>
              </w:rPr>
              <w:t>924</w:t>
            </w:r>
          </w:p>
        </w:tc>
      </w:tr>
      <w:tr w:rsidR="008B7E19" w:rsidRPr="003A6AA6" w14:paraId="62035825" w14:textId="77777777" w:rsidTr="008B7E1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5B9D30A3" w14:textId="77777777" w:rsidR="008B7E19" w:rsidRPr="003A6AA6" w:rsidRDefault="008B7E19" w:rsidP="008B7E19">
            <w:pPr>
              <w:keepNext/>
              <w:keepLines/>
              <w:rPr>
                <w:rFonts w:cs="Arial"/>
                <w:color w:val="000000"/>
                <w:sz w:val="14"/>
                <w:szCs w:val="14"/>
              </w:rPr>
            </w:pPr>
            <w:r>
              <w:rPr>
                <w:rFonts w:cs="Arial"/>
                <w:color w:val="000000"/>
                <w:sz w:val="14"/>
                <w:szCs w:val="14"/>
              </w:rPr>
              <w:t>Financial result</w:t>
            </w:r>
          </w:p>
        </w:tc>
        <w:tc>
          <w:tcPr>
            <w:tcW w:w="1818" w:type="dxa"/>
            <w:tcBorders>
              <w:top w:val="nil"/>
              <w:left w:val="nil"/>
              <w:bottom w:val="nil"/>
              <w:right w:val="nil"/>
            </w:tcBorders>
            <w:shd w:val="clear" w:color="auto" w:fill="auto"/>
            <w:vAlign w:val="center"/>
          </w:tcPr>
          <w:p w14:paraId="385FCE35" w14:textId="77777777" w:rsidR="008B7E19" w:rsidRPr="003A6AA6" w:rsidRDefault="008B7E19" w:rsidP="008B7E19">
            <w:pPr>
              <w:keepNext/>
              <w:keepLines/>
              <w:jc w:val="right"/>
              <w:cnfStyle w:val="000000010000" w:firstRow="0" w:lastRow="0" w:firstColumn="0" w:lastColumn="0" w:oddVBand="0" w:evenVBand="0" w:oddHBand="0" w:evenHBand="1" w:firstRowFirstColumn="0" w:firstRowLastColumn="0" w:lastRowFirstColumn="0" w:lastRowLastColumn="0"/>
              <w:rPr>
                <w:rFonts w:cs="Arial"/>
                <w:b/>
                <w:bCs/>
                <w:color w:val="000000"/>
                <w:sz w:val="14"/>
                <w:szCs w:val="14"/>
              </w:rPr>
            </w:pPr>
            <w:r w:rsidRPr="003A6AA6">
              <w:rPr>
                <w:rFonts w:cs="Arial"/>
                <w:b/>
                <w:bCs/>
                <w:sz w:val="14"/>
                <w:szCs w:val="14"/>
              </w:rPr>
              <w:t>117</w:t>
            </w:r>
            <w:r>
              <w:rPr>
                <w:rFonts w:cs="Arial"/>
                <w:b/>
                <w:bCs/>
                <w:sz w:val="14"/>
                <w:szCs w:val="14"/>
              </w:rPr>
              <w:t>,</w:t>
            </w:r>
            <w:r w:rsidRPr="003A6AA6">
              <w:rPr>
                <w:rFonts w:cs="Arial"/>
                <w:b/>
                <w:bCs/>
                <w:sz w:val="14"/>
                <w:szCs w:val="14"/>
              </w:rPr>
              <w:t>476</w:t>
            </w:r>
          </w:p>
        </w:tc>
        <w:tc>
          <w:tcPr>
            <w:tcW w:w="1819" w:type="dxa"/>
            <w:tcBorders>
              <w:top w:val="nil"/>
              <w:left w:val="nil"/>
              <w:bottom w:val="nil"/>
              <w:right w:val="nil"/>
            </w:tcBorders>
            <w:shd w:val="clear" w:color="auto" w:fill="auto"/>
            <w:vAlign w:val="center"/>
          </w:tcPr>
          <w:p w14:paraId="4E769DCC" w14:textId="77777777" w:rsidR="008B7E19" w:rsidRPr="003A6AA6" w:rsidRDefault="008B7E19" w:rsidP="008B7E19">
            <w:pPr>
              <w:keepNext/>
              <w:keepLines/>
              <w:jc w:val="right"/>
              <w:cnfStyle w:val="000000010000" w:firstRow="0" w:lastRow="0" w:firstColumn="0" w:lastColumn="0" w:oddVBand="0" w:evenVBand="0" w:oddHBand="0" w:evenHBand="1" w:firstRowFirstColumn="0" w:firstRowLastColumn="0" w:lastRowFirstColumn="0" w:lastRowLastColumn="0"/>
              <w:rPr>
                <w:rFonts w:cs="Arial"/>
                <w:b/>
                <w:bCs/>
                <w:color w:val="000000"/>
                <w:sz w:val="14"/>
                <w:szCs w:val="14"/>
              </w:rPr>
            </w:pPr>
            <w:r w:rsidRPr="003A6AA6">
              <w:rPr>
                <w:rFonts w:cs="Arial"/>
                <w:b/>
                <w:bCs/>
                <w:sz w:val="14"/>
                <w:szCs w:val="14"/>
              </w:rPr>
              <w:t>270</w:t>
            </w:r>
            <w:r>
              <w:rPr>
                <w:rFonts w:cs="Arial"/>
                <w:b/>
                <w:bCs/>
                <w:sz w:val="14"/>
                <w:szCs w:val="14"/>
              </w:rPr>
              <w:t>,</w:t>
            </w:r>
            <w:r w:rsidRPr="003A6AA6">
              <w:rPr>
                <w:rFonts w:cs="Arial"/>
                <w:b/>
                <w:bCs/>
                <w:sz w:val="14"/>
                <w:szCs w:val="14"/>
              </w:rPr>
              <w:t>102</w:t>
            </w:r>
          </w:p>
        </w:tc>
        <w:tc>
          <w:tcPr>
            <w:tcW w:w="1819" w:type="dxa"/>
            <w:tcBorders>
              <w:top w:val="nil"/>
              <w:left w:val="nil"/>
              <w:bottom w:val="nil"/>
              <w:right w:val="nil"/>
            </w:tcBorders>
            <w:shd w:val="clear" w:color="auto" w:fill="auto"/>
            <w:vAlign w:val="center"/>
          </w:tcPr>
          <w:p w14:paraId="37906D15" w14:textId="77777777" w:rsidR="008B7E19" w:rsidRPr="003A6AA6" w:rsidRDefault="008B7E19" w:rsidP="008B7E19">
            <w:pPr>
              <w:keepNext/>
              <w:keepLines/>
              <w:jc w:val="right"/>
              <w:cnfStyle w:val="000000010000" w:firstRow="0" w:lastRow="0" w:firstColumn="0" w:lastColumn="0" w:oddVBand="0" w:evenVBand="0" w:oddHBand="0" w:evenHBand="1" w:firstRowFirstColumn="0" w:firstRowLastColumn="0" w:lastRowFirstColumn="0" w:lastRowLastColumn="0"/>
              <w:rPr>
                <w:rFonts w:cs="Arial"/>
                <w:b/>
                <w:bCs/>
                <w:color w:val="000000"/>
                <w:sz w:val="14"/>
                <w:szCs w:val="14"/>
              </w:rPr>
            </w:pPr>
            <w:r w:rsidRPr="003A6AA6">
              <w:rPr>
                <w:rFonts w:cs="Arial"/>
                <w:b/>
                <w:bCs/>
                <w:sz w:val="14"/>
                <w:szCs w:val="14"/>
              </w:rPr>
              <w:t>88</w:t>
            </w:r>
            <w:r>
              <w:rPr>
                <w:rFonts w:cs="Arial"/>
                <w:b/>
                <w:bCs/>
                <w:sz w:val="14"/>
                <w:szCs w:val="14"/>
              </w:rPr>
              <w:t>,</w:t>
            </w:r>
            <w:r w:rsidRPr="003A6AA6">
              <w:rPr>
                <w:rFonts w:cs="Arial"/>
                <w:b/>
                <w:bCs/>
                <w:sz w:val="14"/>
                <w:szCs w:val="14"/>
              </w:rPr>
              <w:t>959</w:t>
            </w:r>
          </w:p>
        </w:tc>
        <w:tc>
          <w:tcPr>
            <w:tcW w:w="1819" w:type="dxa"/>
            <w:tcBorders>
              <w:top w:val="nil"/>
              <w:left w:val="nil"/>
              <w:bottom w:val="nil"/>
              <w:right w:val="nil"/>
            </w:tcBorders>
            <w:shd w:val="clear" w:color="auto" w:fill="auto"/>
            <w:vAlign w:val="center"/>
          </w:tcPr>
          <w:p w14:paraId="3AB58D87" w14:textId="77777777" w:rsidR="008B7E19" w:rsidRPr="003A6AA6" w:rsidRDefault="008B7E19" w:rsidP="008B7E19">
            <w:pPr>
              <w:keepNext/>
              <w:keepLines/>
              <w:jc w:val="right"/>
              <w:cnfStyle w:val="000000010000" w:firstRow="0" w:lastRow="0" w:firstColumn="0" w:lastColumn="0" w:oddVBand="0" w:evenVBand="0" w:oddHBand="0" w:evenHBand="1" w:firstRowFirstColumn="0" w:firstRowLastColumn="0" w:lastRowFirstColumn="0" w:lastRowLastColumn="0"/>
              <w:rPr>
                <w:rFonts w:cs="Arial"/>
                <w:b/>
                <w:bCs/>
                <w:color w:val="000000"/>
                <w:sz w:val="14"/>
                <w:szCs w:val="14"/>
              </w:rPr>
            </w:pPr>
            <w:r w:rsidRPr="003A6AA6">
              <w:rPr>
                <w:rFonts w:cs="Arial"/>
                <w:b/>
                <w:bCs/>
                <w:sz w:val="14"/>
                <w:szCs w:val="14"/>
              </w:rPr>
              <w:t>184</w:t>
            </w:r>
            <w:r>
              <w:rPr>
                <w:rFonts w:cs="Arial"/>
                <w:b/>
                <w:bCs/>
                <w:sz w:val="14"/>
                <w:szCs w:val="14"/>
              </w:rPr>
              <w:t>,</w:t>
            </w:r>
            <w:r w:rsidRPr="003A6AA6">
              <w:rPr>
                <w:rFonts w:cs="Arial"/>
                <w:b/>
                <w:bCs/>
                <w:sz w:val="14"/>
                <w:szCs w:val="14"/>
              </w:rPr>
              <w:t>397</w:t>
            </w:r>
          </w:p>
        </w:tc>
      </w:tr>
      <w:tr w:rsidR="008B7E19" w:rsidRPr="0066615C" w14:paraId="59F2187A"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3559770F" w14:textId="77777777" w:rsidR="008B7E19" w:rsidRPr="0066615C" w:rsidRDefault="008B7E19" w:rsidP="008B7E19">
            <w:pPr>
              <w:keepNext/>
              <w:keepLines/>
              <w:ind w:left="113"/>
              <w:rPr>
                <w:rFonts w:cs="Arial"/>
                <w:b w:val="0"/>
                <w:bCs w:val="0"/>
                <w:color w:val="000000"/>
                <w:sz w:val="14"/>
                <w:szCs w:val="14"/>
              </w:rPr>
            </w:pPr>
            <w:r>
              <w:rPr>
                <w:rFonts w:cs="Arial"/>
                <w:b w:val="0"/>
                <w:bCs w:val="0"/>
                <w:color w:val="000000"/>
                <w:sz w:val="14"/>
                <w:szCs w:val="14"/>
              </w:rPr>
              <w:t>Financial income</w:t>
            </w:r>
          </w:p>
        </w:tc>
        <w:tc>
          <w:tcPr>
            <w:tcW w:w="1818" w:type="dxa"/>
            <w:tcBorders>
              <w:top w:val="nil"/>
              <w:left w:val="nil"/>
              <w:bottom w:val="nil"/>
              <w:right w:val="nil"/>
            </w:tcBorders>
            <w:shd w:val="clear" w:color="auto" w:fill="auto"/>
            <w:vAlign w:val="center"/>
          </w:tcPr>
          <w:p w14:paraId="44393857" w14:textId="77777777" w:rsidR="008B7E19" w:rsidRPr="001849A6" w:rsidRDefault="008B7E19" w:rsidP="008B7E19">
            <w:pPr>
              <w:keepNext/>
              <w:keepLines/>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1849A6">
              <w:rPr>
                <w:rFonts w:cs="Arial"/>
                <w:sz w:val="14"/>
                <w:szCs w:val="14"/>
              </w:rPr>
              <w:t>226</w:t>
            </w:r>
            <w:r>
              <w:rPr>
                <w:rFonts w:cs="Arial"/>
                <w:sz w:val="14"/>
                <w:szCs w:val="14"/>
              </w:rPr>
              <w:t>,</w:t>
            </w:r>
            <w:r w:rsidRPr="001849A6">
              <w:rPr>
                <w:rFonts w:cs="Arial"/>
                <w:sz w:val="14"/>
                <w:szCs w:val="14"/>
              </w:rPr>
              <w:t>898</w:t>
            </w:r>
          </w:p>
        </w:tc>
        <w:tc>
          <w:tcPr>
            <w:tcW w:w="1819" w:type="dxa"/>
            <w:tcBorders>
              <w:top w:val="nil"/>
              <w:left w:val="nil"/>
              <w:bottom w:val="nil"/>
              <w:right w:val="nil"/>
            </w:tcBorders>
            <w:shd w:val="clear" w:color="auto" w:fill="auto"/>
            <w:vAlign w:val="center"/>
          </w:tcPr>
          <w:p w14:paraId="62333CCB" w14:textId="77777777" w:rsidR="008B7E19" w:rsidRPr="001849A6" w:rsidRDefault="008B7E19" w:rsidP="008B7E19">
            <w:pPr>
              <w:keepNext/>
              <w:keepLines/>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1849A6">
              <w:rPr>
                <w:rFonts w:cs="Arial"/>
                <w:sz w:val="14"/>
                <w:szCs w:val="14"/>
              </w:rPr>
              <w:t>475</w:t>
            </w:r>
            <w:r>
              <w:rPr>
                <w:rFonts w:cs="Arial"/>
                <w:sz w:val="14"/>
                <w:szCs w:val="14"/>
              </w:rPr>
              <w:t>,</w:t>
            </w:r>
            <w:r w:rsidRPr="001849A6">
              <w:rPr>
                <w:rFonts w:cs="Arial"/>
                <w:sz w:val="14"/>
                <w:szCs w:val="14"/>
              </w:rPr>
              <w:t>971</w:t>
            </w:r>
          </w:p>
        </w:tc>
        <w:tc>
          <w:tcPr>
            <w:tcW w:w="1819" w:type="dxa"/>
            <w:tcBorders>
              <w:top w:val="nil"/>
              <w:left w:val="nil"/>
              <w:bottom w:val="nil"/>
              <w:right w:val="nil"/>
            </w:tcBorders>
            <w:shd w:val="clear" w:color="auto" w:fill="auto"/>
            <w:vAlign w:val="center"/>
          </w:tcPr>
          <w:p w14:paraId="62B013C2" w14:textId="77777777" w:rsidR="008B7E19" w:rsidRPr="001849A6" w:rsidRDefault="008B7E19" w:rsidP="008B7E19">
            <w:pPr>
              <w:keepNext/>
              <w:keepLines/>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1849A6">
              <w:rPr>
                <w:rFonts w:cs="Arial"/>
                <w:sz w:val="14"/>
                <w:szCs w:val="14"/>
              </w:rPr>
              <w:t>194</w:t>
            </w:r>
            <w:r>
              <w:rPr>
                <w:rFonts w:cs="Arial"/>
                <w:sz w:val="14"/>
                <w:szCs w:val="14"/>
              </w:rPr>
              <w:t>,</w:t>
            </w:r>
            <w:r w:rsidRPr="001849A6">
              <w:rPr>
                <w:rFonts w:cs="Arial"/>
                <w:sz w:val="14"/>
                <w:szCs w:val="14"/>
              </w:rPr>
              <w:t>706</w:t>
            </w:r>
          </w:p>
        </w:tc>
        <w:tc>
          <w:tcPr>
            <w:tcW w:w="1819" w:type="dxa"/>
            <w:tcBorders>
              <w:top w:val="nil"/>
              <w:left w:val="nil"/>
              <w:bottom w:val="nil"/>
              <w:right w:val="nil"/>
            </w:tcBorders>
            <w:shd w:val="clear" w:color="auto" w:fill="auto"/>
            <w:vAlign w:val="center"/>
          </w:tcPr>
          <w:p w14:paraId="17F2D56B" w14:textId="77777777" w:rsidR="008B7E19" w:rsidRPr="001849A6" w:rsidRDefault="008B7E19" w:rsidP="008B7E19">
            <w:pPr>
              <w:keepNext/>
              <w:keepLines/>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1849A6">
              <w:rPr>
                <w:rFonts w:cs="Arial"/>
                <w:sz w:val="14"/>
                <w:szCs w:val="14"/>
              </w:rPr>
              <w:t>367</w:t>
            </w:r>
            <w:r>
              <w:rPr>
                <w:rFonts w:cs="Arial"/>
                <w:sz w:val="14"/>
                <w:szCs w:val="14"/>
              </w:rPr>
              <w:t>,</w:t>
            </w:r>
            <w:r w:rsidRPr="001849A6">
              <w:rPr>
                <w:rFonts w:cs="Arial"/>
                <w:sz w:val="14"/>
                <w:szCs w:val="14"/>
              </w:rPr>
              <w:t>998</w:t>
            </w:r>
          </w:p>
        </w:tc>
      </w:tr>
      <w:tr w:rsidR="008B7E19" w:rsidRPr="0066615C" w14:paraId="17486BFA" w14:textId="77777777" w:rsidTr="008B7E1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37A1D969" w14:textId="77777777" w:rsidR="008B7E19" w:rsidRPr="0066615C" w:rsidRDefault="008B7E19" w:rsidP="008B7E19">
            <w:pPr>
              <w:keepNext/>
              <w:keepLines/>
              <w:ind w:left="113"/>
              <w:rPr>
                <w:rFonts w:cs="Arial"/>
                <w:b w:val="0"/>
                <w:bCs w:val="0"/>
                <w:color w:val="000000"/>
                <w:sz w:val="14"/>
                <w:szCs w:val="14"/>
              </w:rPr>
            </w:pPr>
            <w:r>
              <w:rPr>
                <w:rFonts w:cs="Arial"/>
                <w:b w:val="0"/>
                <w:bCs w:val="0"/>
                <w:color w:val="000000"/>
                <w:sz w:val="14"/>
                <w:szCs w:val="14"/>
              </w:rPr>
              <w:t>Financial expenses</w:t>
            </w:r>
          </w:p>
        </w:tc>
        <w:tc>
          <w:tcPr>
            <w:tcW w:w="1818" w:type="dxa"/>
            <w:tcBorders>
              <w:top w:val="nil"/>
              <w:left w:val="nil"/>
              <w:bottom w:val="nil"/>
              <w:right w:val="nil"/>
            </w:tcBorders>
            <w:shd w:val="clear" w:color="auto" w:fill="auto"/>
            <w:vAlign w:val="center"/>
          </w:tcPr>
          <w:p w14:paraId="571E69DC" w14:textId="77777777" w:rsidR="008B7E19" w:rsidRPr="001849A6" w:rsidRDefault="008B7E19" w:rsidP="008B7E19">
            <w:pPr>
              <w:keepNext/>
              <w:keepLines/>
              <w:ind w:left="113"/>
              <w:jc w:val="right"/>
              <w:cnfStyle w:val="000000010000" w:firstRow="0" w:lastRow="0" w:firstColumn="0" w:lastColumn="0" w:oddVBand="0" w:evenVBand="0" w:oddHBand="0" w:evenHBand="1" w:firstRowFirstColumn="0" w:firstRowLastColumn="0" w:lastRowFirstColumn="0" w:lastRowLastColumn="0"/>
              <w:rPr>
                <w:rFonts w:cs="Arial"/>
                <w:color w:val="000000"/>
                <w:sz w:val="14"/>
                <w:szCs w:val="14"/>
              </w:rPr>
            </w:pPr>
            <w:r w:rsidRPr="001849A6">
              <w:rPr>
                <w:rFonts w:cs="Arial"/>
                <w:sz w:val="14"/>
                <w:szCs w:val="14"/>
              </w:rPr>
              <w:t>(109</w:t>
            </w:r>
            <w:r>
              <w:rPr>
                <w:rFonts w:cs="Arial"/>
                <w:sz w:val="14"/>
                <w:szCs w:val="14"/>
              </w:rPr>
              <w:t>,</w:t>
            </w:r>
            <w:r w:rsidRPr="001849A6">
              <w:rPr>
                <w:rFonts w:cs="Arial"/>
                <w:sz w:val="14"/>
                <w:szCs w:val="14"/>
              </w:rPr>
              <w:t>422)</w:t>
            </w:r>
          </w:p>
        </w:tc>
        <w:tc>
          <w:tcPr>
            <w:tcW w:w="1819" w:type="dxa"/>
            <w:tcBorders>
              <w:top w:val="nil"/>
              <w:left w:val="nil"/>
              <w:bottom w:val="nil"/>
              <w:right w:val="nil"/>
            </w:tcBorders>
            <w:shd w:val="clear" w:color="auto" w:fill="auto"/>
            <w:vAlign w:val="center"/>
          </w:tcPr>
          <w:p w14:paraId="44CFF929" w14:textId="77777777" w:rsidR="008B7E19" w:rsidRPr="001849A6" w:rsidRDefault="008B7E19" w:rsidP="008B7E19">
            <w:pPr>
              <w:keepNext/>
              <w:keepLines/>
              <w:ind w:left="113"/>
              <w:jc w:val="right"/>
              <w:cnfStyle w:val="000000010000" w:firstRow="0" w:lastRow="0" w:firstColumn="0" w:lastColumn="0" w:oddVBand="0" w:evenVBand="0" w:oddHBand="0" w:evenHBand="1" w:firstRowFirstColumn="0" w:firstRowLastColumn="0" w:lastRowFirstColumn="0" w:lastRowLastColumn="0"/>
              <w:rPr>
                <w:rFonts w:cs="Arial"/>
                <w:color w:val="000000"/>
                <w:sz w:val="14"/>
                <w:szCs w:val="14"/>
              </w:rPr>
            </w:pPr>
            <w:r w:rsidRPr="001849A6">
              <w:rPr>
                <w:rFonts w:cs="Arial"/>
                <w:sz w:val="14"/>
                <w:szCs w:val="14"/>
              </w:rPr>
              <w:t>(205</w:t>
            </w:r>
            <w:r>
              <w:rPr>
                <w:rFonts w:cs="Arial"/>
                <w:sz w:val="14"/>
                <w:szCs w:val="14"/>
              </w:rPr>
              <w:t>,</w:t>
            </w:r>
            <w:r w:rsidRPr="001849A6">
              <w:rPr>
                <w:rFonts w:cs="Arial"/>
                <w:sz w:val="14"/>
                <w:szCs w:val="14"/>
              </w:rPr>
              <w:t>869)</w:t>
            </w:r>
          </w:p>
        </w:tc>
        <w:tc>
          <w:tcPr>
            <w:tcW w:w="1819" w:type="dxa"/>
            <w:tcBorders>
              <w:top w:val="nil"/>
              <w:left w:val="nil"/>
              <w:bottom w:val="nil"/>
              <w:right w:val="nil"/>
            </w:tcBorders>
            <w:shd w:val="clear" w:color="auto" w:fill="auto"/>
            <w:vAlign w:val="center"/>
          </w:tcPr>
          <w:p w14:paraId="7996645F" w14:textId="77777777" w:rsidR="008B7E19" w:rsidRPr="001849A6" w:rsidRDefault="008B7E19" w:rsidP="008B7E19">
            <w:pPr>
              <w:keepNext/>
              <w:keepLines/>
              <w:ind w:left="113"/>
              <w:jc w:val="right"/>
              <w:cnfStyle w:val="000000010000" w:firstRow="0" w:lastRow="0" w:firstColumn="0" w:lastColumn="0" w:oddVBand="0" w:evenVBand="0" w:oddHBand="0" w:evenHBand="1" w:firstRowFirstColumn="0" w:firstRowLastColumn="0" w:lastRowFirstColumn="0" w:lastRowLastColumn="0"/>
              <w:rPr>
                <w:rFonts w:cs="Arial"/>
                <w:color w:val="000000"/>
                <w:sz w:val="14"/>
                <w:szCs w:val="14"/>
              </w:rPr>
            </w:pPr>
            <w:r w:rsidRPr="001849A6">
              <w:rPr>
                <w:rFonts w:cs="Arial"/>
                <w:sz w:val="14"/>
                <w:szCs w:val="14"/>
              </w:rPr>
              <w:t>(105</w:t>
            </w:r>
            <w:r>
              <w:rPr>
                <w:rFonts w:cs="Arial"/>
                <w:sz w:val="14"/>
                <w:szCs w:val="14"/>
              </w:rPr>
              <w:t>,</w:t>
            </w:r>
            <w:r w:rsidRPr="001849A6">
              <w:rPr>
                <w:rFonts w:cs="Arial"/>
                <w:sz w:val="14"/>
                <w:szCs w:val="14"/>
              </w:rPr>
              <w:t>747)</w:t>
            </w:r>
          </w:p>
        </w:tc>
        <w:tc>
          <w:tcPr>
            <w:tcW w:w="1819" w:type="dxa"/>
            <w:tcBorders>
              <w:top w:val="nil"/>
              <w:left w:val="nil"/>
              <w:bottom w:val="nil"/>
              <w:right w:val="nil"/>
            </w:tcBorders>
            <w:shd w:val="clear" w:color="auto" w:fill="auto"/>
            <w:vAlign w:val="center"/>
          </w:tcPr>
          <w:p w14:paraId="19957F7C" w14:textId="77777777" w:rsidR="008B7E19" w:rsidRPr="001849A6" w:rsidRDefault="008B7E19" w:rsidP="008B7E19">
            <w:pPr>
              <w:keepNext/>
              <w:keepLines/>
              <w:ind w:left="113"/>
              <w:jc w:val="right"/>
              <w:cnfStyle w:val="000000010000" w:firstRow="0" w:lastRow="0" w:firstColumn="0" w:lastColumn="0" w:oddVBand="0" w:evenVBand="0" w:oddHBand="0" w:evenHBand="1" w:firstRowFirstColumn="0" w:firstRowLastColumn="0" w:lastRowFirstColumn="0" w:lastRowLastColumn="0"/>
              <w:rPr>
                <w:rFonts w:cs="Arial"/>
                <w:color w:val="000000"/>
                <w:sz w:val="14"/>
                <w:szCs w:val="14"/>
              </w:rPr>
            </w:pPr>
            <w:r w:rsidRPr="001849A6">
              <w:rPr>
                <w:rFonts w:cs="Arial"/>
                <w:sz w:val="14"/>
                <w:szCs w:val="14"/>
              </w:rPr>
              <w:t>(183</w:t>
            </w:r>
            <w:r>
              <w:rPr>
                <w:rFonts w:cs="Arial"/>
                <w:sz w:val="14"/>
                <w:szCs w:val="14"/>
              </w:rPr>
              <w:t>,</w:t>
            </w:r>
            <w:r w:rsidRPr="001849A6">
              <w:rPr>
                <w:rFonts w:cs="Arial"/>
                <w:sz w:val="14"/>
                <w:szCs w:val="14"/>
              </w:rPr>
              <w:t>601)</w:t>
            </w:r>
          </w:p>
        </w:tc>
      </w:tr>
      <w:tr w:rsidR="008B7E19" w:rsidRPr="0066615C" w14:paraId="53CF618E"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50630493" w14:textId="77777777" w:rsidR="008B7E19" w:rsidRPr="0066615C" w:rsidRDefault="008B7E19" w:rsidP="008B7E19">
            <w:pPr>
              <w:keepNext/>
              <w:keepLines/>
              <w:rPr>
                <w:rFonts w:cs="Arial"/>
                <w:b w:val="0"/>
                <w:bCs w:val="0"/>
                <w:color w:val="000000"/>
                <w:sz w:val="14"/>
                <w:szCs w:val="14"/>
              </w:rPr>
            </w:pPr>
            <w:r>
              <w:rPr>
                <w:rFonts w:cs="Arial"/>
                <w:b w:val="0"/>
                <w:bCs w:val="0"/>
                <w:color w:val="000000"/>
                <w:sz w:val="14"/>
                <w:szCs w:val="14"/>
              </w:rPr>
              <w:t>Non-Attributable Expenses</w:t>
            </w:r>
          </w:p>
        </w:tc>
        <w:tc>
          <w:tcPr>
            <w:tcW w:w="1818" w:type="dxa"/>
            <w:tcBorders>
              <w:top w:val="nil"/>
              <w:left w:val="nil"/>
              <w:bottom w:val="nil"/>
              <w:right w:val="nil"/>
            </w:tcBorders>
            <w:shd w:val="clear" w:color="auto" w:fill="auto"/>
            <w:vAlign w:val="center"/>
          </w:tcPr>
          <w:p w14:paraId="01B3626F" w14:textId="77777777" w:rsidR="008B7E19" w:rsidRPr="001849A6" w:rsidRDefault="008B7E19" w:rsidP="008B7E19">
            <w:pPr>
              <w:keepNext/>
              <w:keepLines/>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1849A6">
              <w:rPr>
                <w:rFonts w:cs="Arial"/>
                <w:sz w:val="14"/>
                <w:szCs w:val="14"/>
              </w:rPr>
              <w:t>(206</w:t>
            </w:r>
            <w:r>
              <w:rPr>
                <w:rFonts w:cs="Arial"/>
                <w:sz w:val="14"/>
                <w:szCs w:val="14"/>
              </w:rPr>
              <w:t>,</w:t>
            </w:r>
            <w:r w:rsidRPr="001849A6">
              <w:rPr>
                <w:rFonts w:cs="Arial"/>
                <w:sz w:val="14"/>
                <w:szCs w:val="14"/>
              </w:rPr>
              <w:t>951)</w:t>
            </w:r>
          </w:p>
        </w:tc>
        <w:tc>
          <w:tcPr>
            <w:tcW w:w="1819" w:type="dxa"/>
            <w:tcBorders>
              <w:top w:val="nil"/>
              <w:left w:val="nil"/>
              <w:bottom w:val="nil"/>
              <w:right w:val="nil"/>
            </w:tcBorders>
            <w:shd w:val="clear" w:color="auto" w:fill="auto"/>
            <w:vAlign w:val="center"/>
          </w:tcPr>
          <w:p w14:paraId="59D3E66F" w14:textId="77777777" w:rsidR="008B7E19" w:rsidRPr="001849A6" w:rsidRDefault="008B7E19" w:rsidP="008B7E19">
            <w:pPr>
              <w:keepNext/>
              <w:keepLines/>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1849A6">
              <w:rPr>
                <w:rFonts w:cs="Arial"/>
                <w:sz w:val="14"/>
                <w:szCs w:val="14"/>
              </w:rPr>
              <w:t>(431</w:t>
            </w:r>
            <w:r>
              <w:rPr>
                <w:rFonts w:cs="Arial"/>
                <w:sz w:val="14"/>
                <w:szCs w:val="14"/>
              </w:rPr>
              <w:t>,</w:t>
            </w:r>
            <w:r w:rsidRPr="001849A6">
              <w:rPr>
                <w:rFonts w:cs="Arial"/>
                <w:sz w:val="14"/>
                <w:szCs w:val="14"/>
              </w:rPr>
              <w:t>177)</w:t>
            </w:r>
          </w:p>
        </w:tc>
        <w:tc>
          <w:tcPr>
            <w:tcW w:w="1819" w:type="dxa"/>
            <w:tcBorders>
              <w:top w:val="nil"/>
              <w:left w:val="nil"/>
              <w:bottom w:val="nil"/>
              <w:right w:val="nil"/>
            </w:tcBorders>
            <w:shd w:val="clear" w:color="auto" w:fill="auto"/>
            <w:vAlign w:val="center"/>
          </w:tcPr>
          <w:p w14:paraId="313C0D50" w14:textId="77777777" w:rsidR="008B7E19" w:rsidRPr="001849A6" w:rsidRDefault="008B7E19" w:rsidP="008B7E19">
            <w:pPr>
              <w:keepNext/>
              <w:keepLines/>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1849A6">
              <w:rPr>
                <w:rFonts w:cs="Arial"/>
                <w:sz w:val="14"/>
                <w:szCs w:val="14"/>
              </w:rPr>
              <w:t>(212</w:t>
            </w:r>
            <w:r>
              <w:rPr>
                <w:rFonts w:cs="Arial"/>
                <w:sz w:val="14"/>
                <w:szCs w:val="14"/>
              </w:rPr>
              <w:t>,</w:t>
            </w:r>
            <w:r w:rsidRPr="001849A6">
              <w:rPr>
                <w:rFonts w:cs="Arial"/>
                <w:sz w:val="14"/>
                <w:szCs w:val="14"/>
              </w:rPr>
              <w:t>926)</w:t>
            </w:r>
          </w:p>
        </w:tc>
        <w:tc>
          <w:tcPr>
            <w:tcW w:w="1819" w:type="dxa"/>
            <w:tcBorders>
              <w:top w:val="nil"/>
              <w:left w:val="nil"/>
              <w:bottom w:val="nil"/>
              <w:right w:val="nil"/>
            </w:tcBorders>
            <w:shd w:val="clear" w:color="auto" w:fill="auto"/>
            <w:vAlign w:val="center"/>
          </w:tcPr>
          <w:p w14:paraId="67D79080" w14:textId="77777777" w:rsidR="008B7E19" w:rsidRPr="001849A6" w:rsidRDefault="008B7E19" w:rsidP="008B7E19">
            <w:pPr>
              <w:keepNext/>
              <w:keepLines/>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1849A6">
              <w:rPr>
                <w:rFonts w:cs="Arial"/>
                <w:sz w:val="14"/>
                <w:szCs w:val="14"/>
              </w:rPr>
              <w:t>(321</w:t>
            </w:r>
            <w:r>
              <w:rPr>
                <w:rFonts w:cs="Arial"/>
                <w:sz w:val="14"/>
                <w:szCs w:val="14"/>
              </w:rPr>
              <w:t>,</w:t>
            </w:r>
            <w:r w:rsidRPr="001849A6">
              <w:rPr>
                <w:rFonts w:cs="Arial"/>
                <w:sz w:val="14"/>
                <w:szCs w:val="14"/>
              </w:rPr>
              <w:t>646)</w:t>
            </w:r>
          </w:p>
        </w:tc>
      </w:tr>
      <w:tr w:rsidR="008B7E19" w:rsidRPr="0066615C" w14:paraId="2F0A6B7C" w14:textId="77777777" w:rsidTr="008B7E1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55DE635F" w14:textId="77777777" w:rsidR="008B7E19" w:rsidRPr="0066615C" w:rsidRDefault="008B7E19" w:rsidP="008B7E19">
            <w:pPr>
              <w:keepNext/>
              <w:keepLines/>
              <w:rPr>
                <w:rFonts w:cs="Arial"/>
                <w:b w:val="0"/>
                <w:bCs w:val="0"/>
                <w:color w:val="000000"/>
                <w:sz w:val="14"/>
                <w:szCs w:val="14"/>
              </w:rPr>
            </w:pPr>
            <w:r>
              <w:rPr>
                <w:rFonts w:cs="Arial"/>
                <w:b w:val="0"/>
                <w:bCs w:val="0"/>
                <w:color w:val="000000"/>
                <w:sz w:val="14"/>
                <w:szCs w:val="14"/>
              </w:rPr>
              <w:t>Other income and expenses</w:t>
            </w:r>
          </w:p>
        </w:tc>
        <w:tc>
          <w:tcPr>
            <w:tcW w:w="1818" w:type="dxa"/>
            <w:tcBorders>
              <w:top w:val="nil"/>
              <w:left w:val="nil"/>
              <w:bottom w:val="nil"/>
              <w:right w:val="nil"/>
            </w:tcBorders>
            <w:shd w:val="clear" w:color="auto" w:fill="auto"/>
            <w:vAlign w:val="center"/>
          </w:tcPr>
          <w:p w14:paraId="4F9704BC" w14:textId="77777777" w:rsidR="008B7E19" w:rsidRPr="001849A6" w:rsidRDefault="008B7E19" w:rsidP="008B7E19">
            <w:pPr>
              <w:keepNext/>
              <w:keepLines/>
              <w:jc w:val="right"/>
              <w:cnfStyle w:val="000000010000" w:firstRow="0" w:lastRow="0" w:firstColumn="0" w:lastColumn="0" w:oddVBand="0" w:evenVBand="0" w:oddHBand="0" w:evenHBand="1" w:firstRowFirstColumn="0" w:firstRowLastColumn="0" w:lastRowFirstColumn="0" w:lastRowLastColumn="0"/>
              <w:rPr>
                <w:rFonts w:cs="Arial"/>
                <w:color w:val="000000"/>
                <w:sz w:val="14"/>
                <w:szCs w:val="14"/>
              </w:rPr>
            </w:pPr>
            <w:r w:rsidRPr="001849A6">
              <w:rPr>
                <w:rFonts w:cs="Arial"/>
                <w:sz w:val="14"/>
                <w:szCs w:val="14"/>
              </w:rPr>
              <w:t>(1</w:t>
            </w:r>
            <w:r>
              <w:rPr>
                <w:rFonts w:cs="Arial"/>
                <w:sz w:val="14"/>
                <w:szCs w:val="14"/>
              </w:rPr>
              <w:t>,</w:t>
            </w:r>
            <w:r w:rsidRPr="001849A6">
              <w:rPr>
                <w:rFonts w:cs="Arial"/>
                <w:sz w:val="14"/>
                <w:szCs w:val="14"/>
              </w:rPr>
              <w:t>496)</w:t>
            </w:r>
          </w:p>
        </w:tc>
        <w:tc>
          <w:tcPr>
            <w:tcW w:w="1819" w:type="dxa"/>
            <w:tcBorders>
              <w:top w:val="nil"/>
              <w:left w:val="nil"/>
              <w:bottom w:val="nil"/>
              <w:right w:val="nil"/>
            </w:tcBorders>
            <w:shd w:val="clear" w:color="auto" w:fill="auto"/>
            <w:vAlign w:val="center"/>
          </w:tcPr>
          <w:p w14:paraId="6F9D763D" w14:textId="77777777" w:rsidR="008B7E19" w:rsidRPr="001849A6" w:rsidRDefault="008B7E19" w:rsidP="008B7E19">
            <w:pPr>
              <w:keepNext/>
              <w:keepLines/>
              <w:jc w:val="right"/>
              <w:cnfStyle w:val="000000010000" w:firstRow="0" w:lastRow="0" w:firstColumn="0" w:lastColumn="0" w:oddVBand="0" w:evenVBand="0" w:oddHBand="0" w:evenHBand="1" w:firstRowFirstColumn="0" w:firstRowLastColumn="0" w:lastRowFirstColumn="0" w:lastRowLastColumn="0"/>
              <w:rPr>
                <w:rFonts w:cs="Arial"/>
                <w:color w:val="000000"/>
                <w:sz w:val="14"/>
                <w:szCs w:val="14"/>
              </w:rPr>
            </w:pPr>
            <w:r w:rsidRPr="001849A6">
              <w:rPr>
                <w:rFonts w:cs="Arial"/>
                <w:sz w:val="14"/>
                <w:szCs w:val="14"/>
              </w:rPr>
              <w:t>(3</w:t>
            </w:r>
            <w:r>
              <w:rPr>
                <w:rFonts w:cs="Arial"/>
                <w:sz w:val="14"/>
                <w:szCs w:val="14"/>
              </w:rPr>
              <w:t>,</w:t>
            </w:r>
            <w:r w:rsidRPr="001849A6">
              <w:rPr>
                <w:rFonts w:cs="Arial"/>
                <w:sz w:val="14"/>
                <w:szCs w:val="14"/>
              </w:rPr>
              <w:t>335)</w:t>
            </w:r>
          </w:p>
        </w:tc>
        <w:tc>
          <w:tcPr>
            <w:tcW w:w="1819" w:type="dxa"/>
            <w:tcBorders>
              <w:top w:val="nil"/>
              <w:left w:val="nil"/>
              <w:bottom w:val="nil"/>
              <w:right w:val="nil"/>
            </w:tcBorders>
            <w:shd w:val="clear" w:color="auto" w:fill="auto"/>
            <w:vAlign w:val="center"/>
          </w:tcPr>
          <w:p w14:paraId="06CDE91E" w14:textId="77777777" w:rsidR="008B7E19" w:rsidRPr="001849A6" w:rsidRDefault="008B7E19" w:rsidP="008B7E19">
            <w:pPr>
              <w:keepNext/>
              <w:keepLines/>
              <w:jc w:val="right"/>
              <w:cnfStyle w:val="000000010000" w:firstRow="0" w:lastRow="0" w:firstColumn="0" w:lastColumn="0" w:oddVBand="0" w:evenVBand="0" w:oddHBand="0" w:evenHBand="1" w:firstRowFirstColumn="0" w:firstRowLastColumn="0" w:lastRowFirstColumn="0" w:lastRowLastColumn="0"/>
              <w:rPr>
                <w:rFonts w:cs="Arial"/>
                <w:color w:val="000000"/>
                <w:sz w:val="14"/>
                <w:szCs w:val="14"/>
              </w:rPr>
            </w:pPr>
            <w:r w:rsidRPr="001849A6">
              <w:rPr>
                <w:rFonts w:cs="Arial"/>
                <w:sz w:val="14"/>
                <w:szCs w:val="14"/>
              </w:rPr>
              <w:t>337</w:t>
            </w:r>
          </w:p>
        </w:tc>
        <w:tc>
          <w:tcPr>
            <w:tcW w:w="1819" w:type="dxa"/>
            <w:tcBorders>
              <w:top w:val="nil"/>
              <w:left w:val="nil"/>
              <w:bottom w:val="nil"/>
              <w:right w:val="nil"/>
            </w:tcBorders>
            <w:shd w:val="clear" w:color="auto" w:fill="auto"/>
            <w:vAlign w:val="center"/>
          </w:tcPr>
          <w:p w14:paraId="2474C731" w14:textId="77777777" w:rsidR="008B7E19" w:rsidRPr="001849A6" w:rsidRDefault="008B7E19" w:rsidP="008B7E19">
            <w:pPr>
              <w:keepNext/>
              <w:keepLines/>
              <w:jc w:val="right"/>
              <w:cnfStyle w:val="000000010000" w:firstRow="0" w:lastRow="0" w:firstColumn="0" w:lastColumn="0" w:oddVBand="0" w:evenVBand="0" w:oddHBand="0" w:evenHBand="1" w:firstRowFirstColumn="0" w:firstRowLastColumn="0" w:lastRowFirstColumn="0" w:lastRowLastColumn="0"/>
              <w:rPr>
                <w:rFonts w:cs="Arial"/>
                <w:color w:val="000000"/>
                <w:sz w:val="14"/>
                <w:szCs w:val="14"/>
              </w:rPr>
            </w:pPr>
            <w:r w:rsidRPr="001849A6">
              <w:rPr>
                <w:rFonts w:cs="Arial"/>
                <w:sz w:val="14"/>
                <w:szCs w:val="14"/>
              </w:rPr>
              <w:t>264</w:t>
            </w:r>
          </w:p>
        </w:tc>
      </w:tr>
      <w:tr w:rsidR="008B7E19" w:rsidRPr="003A6AA6" w14:paraId="20C290E5"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3DCA2EDE" w14:textId="77777777" w:rsidR="008B7E19" w:rsidRPr="003A6AA6" w:rsidRDefault="008B7E19" w:rsidP="008B7E19">
            <w:pPr>
              <w:keepNext/>
              <w:keepLines/>
              <w:rPr>
                <w:rFonts w:cs="Arial"/>
                <w:color w:val="000000"/>
                <w:sz w:val="14"/>
                <w:szCs w:val="14"/>
              </w:rPr>
            </w:pPr>
            <w:r>
              <w:rPr>
                <w:rFonts w:cs="Arial"/>
                <w:color w:val="000000"/>
                <w:sz w:val="14"/>
                <w:szCs w:val="14"/>
              </w:rPr>
              <w:t>Income before taxes</w:t>
            </w:r>
          </w:p>
        </w:tc>
        <w:tc>
          <w:tcPr>
            <w:tcW w:w="1818" w:type="dxa"/>
            <w:tcBorders>
              <w:top w:val="nil"/>
              <w:left w:val="nil"/>
              <w:bottom w:val="nil"/>
              <w:right w:val="nil"/>
            </w:tcBorders>
            <w:shd w:val="clear" w:color="auto" w:fill="auto"/>
            <w:vAlign w:val="center"/>
          </w:tcPr>
          <w:p w14:paraId="1074C4AE" w14:textId="77777777" w:rsidR="008B7E19" w:rsidRPr="003A6AA6" w:rsidRDefault="008B7E19" w:rsidP="008B7E19">
            <w:pPr>
              <w:keepNext/>
              <w:keepLines/>
              <w:jc w:val="right"/>
              <w:cnfStyle w:val="000000100000" w:firstRow="0" w:lastRow="0" w:firstColumn="0" w:lastColumn="0" w:oddVBand="0" w:evenVBand="0" w:oddHBand="1" w:evenHBand="0" w:firstRowFirstColumn="0" w:firstRowLastColumn="0" w:lastRowFirstColumn="0" w:lastRowLastColumn="0"/>
              <w:rPr>
                <w:rFonts w:cs="Arial"/>
                <w:b/>
                <w:bCs/>
                <w:color w:val="000000"/>
                <w:sz w:val="14"/>
                <w:szCs w:val="14"/>
              </w:rPr>
            </w:pPr>
            <w:r w:rsidRPr="003A6AA6">
              <w:rPr>
                <w:rFonts w:cs="Arial"/>
                <w:b/>
                <w:bCs/>
                <w:sz w:val="14"/>
                <w:szCs w:val="14"/>
              </w:rPr>
              <w:t>1</w:t>
            </w:r>
            <w:r>
              <w:rPr>
                <w:rFonts w:cs="Arial"/>
                <w:b/>
                <w:bCs/>
                <w:sz w:val="14"/>
                <w:szCs w:val="14"/>
              </w:rPr>
              <w:t>,</w:t>
            </w:r>
            <w:r w:rsidRPr="003A6AA6">
              <w:rPr>
                <w:rFonts w:cs="Arial"/>
                <w:b/>
                <w:bCs/>
                <w:sz w:val="14"/>
                <w:szCs w:val="14"/>
              </w:rPr>
              <w:t>225</w:t>
            </w:r>
            <w:r>
              <w:rPr>
                <w:rFonts w:cs="Arial"/>
                <w:b/>
                <w:bCs/>
                <w:sz w:val="14"/>
                <w:szCs w:val="14"/>
              </w:rPr>
              <w:t>,</w:t>
            </w:r>
            <w:r w:rsidRPr="003A6AA6">
              <w:rPr>
                <w:rFonts w:cs="Arial"/>
                <w:b/>
                <w:bCs/>
                <w:sz w:val="14"/>
                <w:szCs w:val="14"/>
              </w:rPr>
              <w:t>950</w:t>
            </w:r>
          </w:p>
        </w:tc>
        <w:tc>
          <w:tcPr>
            <w:tcW w:w="1819" w:type="dxa"/>
            <w:tcBorders>
              <w:top w:val="nil"/>
              <w:left w:val="nil"/>
              <w:bottom w:val="nil"/>
              <w:right w:val="nil"/>
            </w:tcBorders>
            <w:shd w:val="clear" w:color="auto" w:fill="auto"/>
            <w:vAlign w:val="center"/>
          </w:tcPr>
          <w:p w14:paraId="6AAA0C5E" w14:textId="77777777" w:rsidR="008B7E19" w:rsidRPr="003A6AA6" w:rsidRDefault="008B7E19" w:rsidP="008B7E19">
            <w:pPr>
              <w:keepNext/>
              <w:keepLines/>
              <w:jc w:val="right"/>
              <w:cnfStyle w:val="000000100000" w:firstRow="0" w:lastRow="0" w:firstColumn="0" w:lastColumn="0" w:oddVBand="0" w:evenVBand="0" w:oddHBand="1" w:evenHBand="0" w:firstRowFirstColumn="0" w:firstRowLastColumn="0" w:lastRowFirstColumn="0" w:lastRowLastColumn="0"/>
              <w:rPr>
                <w:rFonts w:cs="Arial"/>
                <w:b/>
                <w:bCs/>
                <w:color w:val="000000"/>
                <w:sz w:val="14"/>
                <w:szCs w:val="14"/>
              </w:rPr>
            </w:pPr>
            <w:r w:rsidRPr="003A6AA6">
              <w:rPr>
                <w:rFonts w:cs="Arial"/>
                <w:b/>
                <w:bCs/>
                <w:sz w:val="14"/>
                <w:szCs w:val="14"/>
              </w:rPr>
              <w:t>2</w:t>
            </w:r>
            <w:r>
              <w:rPr>
                <w:rFonts w:cs="Arial"/>
                <w:b/>
                <w:bCs/>
                <w:sz w:val="14"/>
                <w:szCs w:val="14"/>
              </w:rPr>
              <w:t>,</w:t>
            </w:r>
            <w:r w:rsidRPr="003A6AA6">
              <w:rPr>
                <w:rFonts w:cs="Arial"/>
                <w:b/>
                <w:bCs/>
                <w:sz w:val="14"/>
                <w:szCs w:val="14"/>
              </w:rPr>
              <w:t>322</w:t>
            </w:r>
            <w:r>
              <w:rPr>
                <w:rFonts w:cs="Arial"/>
                <w:b/>
                <w:bCs/>
                <w:sz w:val="14"/>
                <w:szCs w:val="14"/>
              </w:rPr>
              <w:t>,</w:t>
            </w:r>
            <w:r w:rsidRPr="003A6AA6">
              <w:rPr>
                <w:rFonts w:cs="Arial"/>
                <w:b/>
                <w:bCs/>
                <w:sz w:val="14"/>
                <w:szCs w:val="14"/>
              </w:rPr>
              <w:t>997</w:t>
            </w:r>
          </w:p>
        </w:tc>
        <w:tc>
          <w:tcPr>
            <w:tcW w:w="1819" w:type="dxa"/>
            <w:tcBorders>
              <w:top w:val="nil"/>
              <w:left w:val="nil"/>
              <w:bottom w:val="nil"/>
              <w:right w:val="nil"/>
            </w:tcBorders>
            <w:shd w:val="clear" w:color="auto" w:fill="auto"/>
            <w:vAlign w:val="center"/>
          </w:tcPr>
          <w:p w14:paraId="18A96517" w14:textId="77777777" w:rsidR="008B7E19" w:rsidRPr="003A6AA6" w:rsidRDefault="008B7E19" w:rsidP="008B7E19">
            <w:pPr>
              <w:keepNext/>
              <w:keepLines/>
              <w:jc w:val="right"/>
              <w:cnfStyle w:val="000000100000" w:firstRow="0" w:lastRow="0" w:firstColumn="0" w:lastColumn="0" w:oddVBand="0" w:evenVBand="0" w:oddHBand="1" w:evenHBand="0" w:firstRowFirstColumn="0" w:firstRowLastColumn="0" w:lastRowFirstColumn="0" w:lastRowLastColumn="0"/>
              <w:rPr>
                <w:rFonts w:cs="Arial"/>
                <w:b/>
                <w:bCs/>
                <w:color w:val="000000"/>
                <w:sz w:val="14"/>
                <w:szCs w:val="14"/>
              </w:rPr>
            </w:pPr>
            <w:r w:rsidRPr="003A6AA6">
              <w:rPr>
                <w:rFonts w:cs="Arial"/>
                <w:b/>
                <w:bCs/>
                <w:sz w:val="14"/>
                <w:szCs w:val="14"/>
              </w:rPr>
              <w:t>874</w:t>
            </w:r>
            <w:r>
              <w:rPr>
                <w:rFonts w:cs="Arial"/>
                <w:b/>
                <w:bCs/>
                <w:sz w:val="14"/>
                <w:szCs w:val="14"/>
              </w:rPr>
              <w:t>,</w:t>
            </w:r>
            <w:r w:rsidRPr="003A6AA6">
              <w:rPr>
                <w:rFonts w:cs="Arial"/>
                <w:b/>
                <w:bCs/>
                <w:sz w:val="14"/>
                <w:szCs w:val="14"/>
              </w:rPr>
              <w:t>700</w:t>
            </w:r>
          </w:p>
        </w:tc>
        <w:tc>
          <w:tcPr>
            <w:tcW w:w="1819" w:type="dxa"/>
            <w:tcBorders>
              <w:top w:val="nil"/>
              <w:left w:val="nil"/>
              <w:bottom w:val="nil"/>
              <w:right w:val="nil"/>
            </w:tcBorders>
            <w:shd w:val="clear" w:color="auto" w:fill="auto"/>
            <w:vAlign w:val="center"/>
          </w:tcPr>
          <w:p w14:paraId="3597EF42" w14:textId="77777777" w:rsidR="008B7E19" w:rsidRPr="003A6AA6" w:rsidRDefault="008B7E19" w:rsidP="008B7E19">
            <w:pPr>
              <w:keepNext/>
              <w:keepLines/>
              <w:jc w:val="right"/>
              <w:cnfStyle w:val="000000100000" w:firstRow="0" w:lastRow="0" w:firstColumn="0" w:lastColumn="0" w:oddVBand="0" w:evenVBand="0" w:oddHBand="1" w:evenHBand="0" w:firstRowFirstColumn="0" w:firstRowLastColumn="0" w:lastRowFirstColumn="0" w:lastRowLastColumn="0"/>
              <w:rPr>
                <w:rFonts w:cs="Arial"/>
                <w:b/>
                <w:bCs/>
                <w:color w:val="000000"/>
                <w:sz w:val="14"/>
                <w:szCs w:val="14"/>
              </w:rPr>
            </w:pPr>
            <w:r w:rsidRPr="003A6AA6">
              <w:rPr>
                <w:rFonts w:cs="Arial"/>
                <w:b/>
                <w:bCs/>
                <w:sz w:val="14"/>
                <w:szCs w:val="14"/>
              </w:rPr>
              <w:t>1</w:t>
            </w:r>
            <w:r>
              <w:rPr>
                <w:rFonts w:cs="Arial"/>
                <w:b/>
                <w:bCs/>
                <w:sz w:val="14"/>
                <w:szCs w:val="14"/>
              </w:rPr>
              <w:t>,</w:t>
            </w:r>
            <w:r w:rsidRPr="003A6AA6">
              <w:rPr>
                <w:rFonts w:cs="Arial"/>
                <w:b/>
                <w:bCs/>
                <w:sz w:val="14"/>
                <w:szCs w:val="14"/>
              </w:rPr>
              <w:t>377</w:t>
            </w:r>
            <w:r>
              <w:rPr>
                <w:rFonts w:cs="Arial"/>
                <w:b/>
                <w:bCs/>
                <w:sz w:val="14"/>
                <w:szCs w:val="14"/>
              </w:rPr>
              <w:t>,</w:t>
            </w:r>
            <w:r w:rsidRPr="003A6AA6">
              <w:rPr>
                <w:rFonts w:cs="Arial"/>
                <w:b/>
                <w:bCs/>
                <w:sz w:val="14"/>
                <w:szCs w:val="14"/>
              </w:rPr>
              <w:t>939</w:t>
            </w:r>
          </w:p>
        </w:tc>
      </w:tr>
      <w:tr w:rsidR="008B7E19" w:rsidRPr="0066615C" w14:paraId="3826BCD0" w14:textId="77777777" w:rsidTr="008B7E1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633D5377" w14:textId="77777777" w:rsidR="008B7E19" w:rsidRPr="0066615C" w:rsidRDefault="008B7E19" w:rsidP="008B7E19">
            <w:pPr>
              <w:keepNext/>
              <w:keepLines/>
              <w:ind w:left="113"/>
              <w:rPr>
                <w:rFonts w:cs="Arial"/>
                <w:b w:val="0"/>
                <w:bCs w:val="0"/>
                <w:color w:val="000000"/>
                <w:sz w:val="14"/>
                <w:szCs w:val="14"/>
              </w:rPr>
            </w:pPr>
            <w:r>
              <w:rPr>
                <w:rFonts w:cs="Arial"/>
                <w:b w:val="0"/>
                <w:bCs w:val="0"/>
                <w:color w:val="000000"/>
                <w:sz w:val="14"/>
                <w:szCs w:val="14"/>
              </w:rPr>
              <w:t>Taxes</w:t>
            </w:r>
          </w:p>
        </w:tc>
        <w:tc>
          <w:tcPr>
            <w:tcW w:w="1818" w:type="dxa"/>
            <w:tcBorders>
              <w:top w:val="nil"/>
              <w:left w:val="nil"/>
              <w:bottom w:val="nil"/>
              <w:right w:val="nil"/>
            </w:tcBorders>
            <w:shd w:val="clear" w:color="auto" w:fill="auto"/>
            <w:vAlign w:val="center"/>
          </w:tcPr>
          <w:p w14:paraId="42B7F7DD" w14:textId="77777777" w:rsidR="008B7E19" w:rsidRPr="001849A6" w:rsidRDefault="008B7E19" w:rsidP="008B7E19">
            <w:pPr>
              <w:keepNext/>
              <w:keepLines/>
              <w:jc w:val="right"/>
              <w:cnfStyle w:val="000000010000" w:firstRow="0" w:lastRow="0" w:firstColumn="0" w:lastColumn="0" w:oddVBand="0" w:evenVBand="0" w:oddHBand="0" w:evenHBand="1" w:firstRowFirstColumn="0" w:firstRowLastColumn="0" w:lastRowFirstColumn="0" w:lastRowLastColumn="0"/>
              <w:rPr>
                <w:rFonts w:cs="Arial"/>
                <w:color w:val="000000"/>
                <w:sz w:val="14"/>
                <w:szCs w:val="14"/>
              </w:rPr>
            </w:pPr>
            <w:r w:rsidRPr="001849A6">
              <w:rPr>
                <w:rFonts w:cs="Arial"/>
                <w:sz w:val="14"/>
                <w:szCs w:val="14"/>
              </w:rPr>
              <w:t>(264</w:t>
            </w:r>
            <w:r>
              <w:rPr>
                <w:rFonts w:cs="Arial"/>
                <w:sz w:val="14"/>
                <w:szCs w:val="14"/>
              </w:rPr>
              <w:t>,</w:t>
            </w:r>
            <w:r w:rsidRPr="001849A6">
              <w:rPr>
                <w:rFonts w:cs="Arial"/>
                <w:sz w:val="14"/>
                <w:szCs w:val="14"/>
              </w:rPr>
              <w:t>416)</w:t>
            </w:r>
          </w:p>
        </w:tc>
        <w:tc>
          <w:tcPr>
            <w:tcW w:w="1819" w:type="dxa"/>
            <w:tcBorders>
              <w:top w:val="nil"/>
              <w:left w:val="nil"/>
              <w:bottom w:val="nil"/>
              <w:right w:val="nil"/>
            </w:tcBorders>
            <w:shd w:val="clear" w:color="auto" w:fill="auto"/>
            <w:vAlign w:val="center"/>
          </w:tcPr>
          <w:p w14:paraId="26ACA7E3" w14:textId="77777777" w:rsidR="008B7E19" w:rsidRPr="001849A6" w:rsidRDefault="008B7E19" w:rsidP="008B7E19">
            <w:pPr>
              <w:keepNext/>
              <w:keepLines/>
              <w:jc w:val="right"/>
              <w:cnfStyle w:val="000000010000" w:firstRow="0" w:lastRow="0" w:firstColumn="0" w:lastColumn="0" w:oddVBand="0" w:evenVBand="0" w:oddHBand="0" w:evenHBand="1" w:firstRowFirstColumn="0" w:firstRowLastColumn="0" w:lastRowFirstColumn="0" w:lastRowLastColumn="0"/>
              <w:rPr>
                <w:rFonts w:cs="Arial"/>
                <w:color w:val="000000"/>
                <w:sz w:val="14"/>
                <w:szCs w:val="14"/>
              </w:rPr>
            </w:pPr>
            <w:r w:rsidRPr="001849A6">
              <w:rPr>
                <w:rFonts w:cs="Arial"/>
                <w:sz w:val="14"/>
                <w:szCs w:val="14"/>
              </w:rPr>
              <w:t>(534</w:t>
            </w:r>
            <w:r>
              <w:rPr>
                <w:rFonts w:cs="Arial"/>
                <w:sz w:val="14"/>
                <w:szCs w:val="14"/>
              </w:rPr>
              <w:t>,</w:t>
            </w:r>
            <w:r w:rsidRPr="001849A6">
              <w:rPr>
                <w:rFonts w:cs="Arial"/>
                <w:sz w:val="14"/>
                <w:szCs w:val="14"/>
              </w:rPr>
              <w:t>042)</w:t>
            </w:r>
          </w:p>
        </w:tc>
        <w:tc>
          <w:tcPr>
            <w:tcW w:w="1819" w:type="dxa"/>
            <w:tcBorders>
              <w:top w:val="nil"/>
              <w:left w:val="nil"/>
              <w:bottom w:val="nil"/>
              <w:right w:val="nil"/>
            </w:tcBorders>
            <w:shd w:val="clear" w:color="auto" w:fill="auto"/>
            <w:vAlign w:val="center"/>
          </w:tcPr>
          <w:p w14:paraId="48B177B2" w14:textId="77777777" w:rsidR="008B7E19" w:rsidRPr="001849A6" w:rsidRDefault="008B7E19" w:rsidP="008B7E19">
            <w:pPr>
              <w:keepNext/>
              <w:keepLines/>
              <w:jc w:val="right"/>
              <w:cnfStyle w:val="000000010000" w:firstRow="0" w:lastRow="0" w:firstColumn="0" w:lastColumn="0" w:oddVBand="0" w:evenVBand="0" w:oddHBand="0" w:evenHBand="1" w:firstRowFirstColumn="0" w:firstRowLastColumn="0" w:lastRowFirstColumn="0" w:lastRowLastColumn="0"/>
              <w:rPr>
                <w:rFonts w:cs="Arial"/>
                <w:color w:val="000000"/>
                <w:sz w:val="14"/>
                <w:szCs w:val="14"/>
              </w:rPr>
            </w:pPr>
            <w:r w:rsidRPr="001849A6">
              <w:rPr>
                <w:rFonts w:cs="Arial"/>
                <w:sz w:val="14"/>
                <w:szCs w:val="14"/>
              </w:rPr>
              <w:t>(212</w:t>
            </w:r>
            <w:r>
              <w:rPr>
                <w:rFonts w:cs="Arial"/>
                <w:sz w:val="14"/>
                <w:szCs w:val="14"/>
              </w:rPr>
              <w:t>,</w:t>
            </w:r>
            <w:r w:rsidRPr="001849A6">
              <w:rPr>
                <w:rFonts w:cs="Arial"/>
                <w:sz w:val="14"/>
                <w:szCs w:val="14"/>
              </w:rPr>
              <w:t>562)</w:t>
            </w:r>
          </w:p>
        </w:tc>
        <w:tc>
          <w:tcPr>
            <w:tcW w:w="1819" w:type="dxa"/>
            <w:tcBorders>
              <w:top w:val="nil"/>
              <w:left w:val="nil"/>
              <w:bottom w:val="nil"/>
              <w:right w:val="nil"/>
            </w:tcBorders>
            <w:shd w:val="clear" w:color="auto" w:fill="auto"/>
            <w:vAlign w:val="center"/>
          </w:tcPr>
          <w:p w14:paraId="5B49C566" w14:textId="77777777" w:rsidR="008B7E19" w:rsidRPr="001849A6" w:rsidRDefault="008B7E19" w:rsidP="008B7E19">
            <w:pPr>
              <w:keepNext/>
              <w:keepLines/>
              <w:jc w:val="right"/>
              <w:cnfStyle w:val="000000010000" w:firstRow="0" w:lastRow="0" w:firstColumn="0" w:lastColumn="0" w:oddVBand="0" w:evenVBand="0" w:oddHBand="0" w:evenHBand="1" w:firstRowFirstColumn="0" w:firstRowLastColumn="0" w:lastRowFirstColumn="0" w:lastRowLastColumn="0"/>
              <w:rPr>
                <w:rFonts w:cs="Arial"/>
                <w:color w:val="000000"/>
                <w:sz w:val="14"/>
                <w:szCs w:val="14"/>
              </w:rPr>
            </w:pPr>
            <w:r w:rsidRPr="001849A6">
              <w:rPr>
                <w:rFonts w:cs="Arial"/>
                <w:sz w:val="14"/>
                <w:szCs w:val="14"/>
              </w:rPr>
              <w:t>(390</w:t>
            </w:r>
            <w:r>
              <w:rPr>
                <w:rFonts w:cs="Arial"/>
                <w:sz w:val="14"/>
                <w:szCs w:val="14"/>
              </w:rPr>
              <w:t>,</w:t>
            </w:r>
            <w:r w:rsidRPr="001849A6">
              <w:rPr>
                <w:rFonts w:cs="Arial"/>
                <w:sz w:val="14"/>
                <w:szCs w:val="14"/>
              </w:rPr>
              <w:t>764)</w:t>
            </w:r>
          </w:p>
        </w:tc>
      </w:tr>
      <w:tr w:rsidR="008B7E19" w:rsidRPr="0066615C" w14:paraId="30A965E2"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41263A79" w14:textId="77777777" w:rsidR="008B7E19" w:rsidRPr="0066615C" w:rsidRDefault="008B7E19" w:rsidP="008B7E19">
            <w:pPr>
              <w:keepNext/>
              <w:keepLines/>
              <w:ind w:left="113"/>
              <w:rPr>
                <w:rFonts w:cs="Arial"/>
                <w:b w:val="0"/>
                <w:bCs w:val="0"/>
                <w:color w:val="000000"/>
                <w:sz w:val="14"/>
                <w:szCs w:val="14"/>
              </w:rPr>
            </w:pPr>
            <w:r>
              <w:rPr>
                <w:rFonts w:cs="Arial"/>
                <w:b w:val="0"/>
                <w:bCs w:val="0"/>
                <w:color w:val="000000"/>
                <w:sz w:val="14"/>
                <w:szCs w:val="14"/>
              </w:rPr>
              <w:t>Shares on the result</w:t>
            </w:r>
          </w:p>
        </w:tc>
        <w:tc>
          <w:tcPr>
            <w:tcW w:w="1818" w:type="dxa"/>
            <w:tcBorders>
              <w:top w:val="nil"/>
              <w:left w:val="nil"/>
              <w:bottom w:val="nil"/>
              <w:right w:val="nil"/>
            </w:tcBorders>
            <w:shd w:val="clear" w:color="auto" w:fill="auto"/>
            <w:vAlign w:val="center"/>
          </w:tcPr>
          <w:p w14:paraId="729E15A9" w14:textId="77777777" w:rsidR="008B7E19" w:rsidRPr="001849A6" w:rsidRDefault="008B7E19" w:rsidP="008B7E19">
            <w:pPr>
              <w:keepNext/>
              <w:keepLines/>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1849A6">
              <w:rPr>
                <w:rFonts w:cs="Arial"/>
                <w:sz w:val="14"/>
                <w:szCs w:val="14"/>
              </w:rPr>
              <w:t>(12</w:t>
            </w:r>
            <w:r>
              <w:rPr>
                <w:rFonts w:cs="Arial"/>
                <w:sz w:val="14"/>
                <w:szCs w:val="14"/>
              </w:rPr>
              <w:t>,</w:t>
            </w:r>
            <w:r w:rsidRPr="001849A6">
              <w:rPr>
                <w:rFonts w:cs="Arial"/>
                <w:sz w:val="14"/>
                <w:szCs w:val="14"/>
              </w:rPr>
              <w:t>281)</w:t>
            </w:r>
          </w:p>
        </w:tc>
        <w:tc>
          <w:tcPr>
            <w:tcW w:w="1819" w:type="dxa"/>
            <w:tcBorders>
              <w:top w:val="nil"/>
              <w:left w:val="nil"/>
              <w:bottom w:val="nil"/>
              <w:right w:val="nil"/>
            </w:tcBorders>
            <w:shd w:val="clear" w:color="auto" w:fill="auto"/>
            <w:vAlign w:val="center"/>
          </w:tcPr>
          <w:p w14:paraId="35B1EF34" w14:textId="77777777" w:rsidR="008B7E19" w:rsidRPr="001849A6" w:rsidRDefault="008B7E19" w:rsidP="008B7E19">
            <w:pPr>
              <w:keepNext/>
              <w:keepLines/>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1849A6">
              <w:rPr>
                <w:rFonts w:cs="Arial"/>
                <w:sz w:val="14"/>
                <w:szCs w:val="14"/>
              </w:rPr>
              <w:t>(16</w:t>
            </w:r>
            <w:r>
              <w:rPr>
                <w:rFonts w:cs="Arial"/>
                <w:sz w:val="14"/>
                <w:szCs w:val="14"/>
              </w:rPr>
              <w:t>,</w:t>
            </w:r>
            <w:r w:rsidRPr="001849A6">
              <w:rPr>
                <w:rFonts w:cs="Arial"/>
                <w:sz w:val="14"/>
                <w:szCs w:val="14"/>
              </w:rPr>
              <w:t>206)</w:t>
            </w:r>
          </w:p>
        </w:tc>
        <w:tc>
          <w:tcPr>
            <w:tcW w:w="1819" w:type="dxa"/>
            <w:tcBorders>
              <w:top w:val="nil"/>
              <w:left w:val="nil"/>
              <w:bottom w:val="nil"/>
              <w:right w:val="nil"/>
            </w:tcBorders>
            <w:shd w:val="clear" w:color="auto" w:fill="auto"/>
            <w:vAlign w:val="center"/>
          </w:tcPr>
          <w:p w14:paraId="06326CA5" w14:textId="77777777" w:rsidR="008B7E19" w:rsidRPr="001849A6" w:rsidRDefault="008B7E19" w:rsidP="008B7E19">
            <w:pPr>
              <w:keepNext/>
              <w:keepLines/>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1849A6">
              <w:rPr>
                <w:rFonts w:cs="Arial"/>
                <w:sz w:val="14"/>
                <w:szCs w:val="14"/>
              </w:rPr>
              <w:t>(6</w:t>
            </w:r>
            <w:r>
              <w:rPr>
                <w:rFonts w:cs="Arial"/>
                <w:sz w:val="14"/>
                <w:szCs w:val="14"/>
              </w:rPr>
              <w:t>,</w:t>
            </w:r>
            <w:r w:rsidRPr="001849A6">
              <w:rPr>
                <w:rFonts w:cs="Arial"/>
                <w:sz w:val="14"/>
                <w:szCs w:val="14"/>
              </w:rPr>
              <w:t>523)</w:t>
            </w:r>
          </w:p>
        </w:tc>
        <w:tc>
          <w:tcPr>
            <w:tcW w:w="1819" w:type="dxa"/>
            <w:tcBorders>
              <w:top w:val="nil"/>
              <w:left w:val="nil"/>
              <w:bottom w:val="nil"/>
              <w:right w:val="nil"/>
            </w:tcBorders>
            <w:shd w:val="clear" w:color="auto" w:fill="auto"/>
            <w:vAlign w:val="center"/>
          </w:tcPr>
          <w:p w14:paraId="577EA5BF" w14:textId="77777777" w:rsidR="008B7E19" w:rsidRPr="001849A6" w:rsidRDefault="008B7E19" w:rsidP="008B7E19">
            <w:pPr>
              <w:keepNext/>
              <w:keepLines/>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1849A6">
              <w:rPr>
                <w:rFonts w:cs="Arial"/>
                <w:sz w:val="14"/>
                <w:szCs w:val="14"/>
              </w:rPr>
              <w:t>(12</w:t>
            </w:r>
            <w:r>
              <w:rPr>
                <w:rFonts w:cs="Arial"/>
                <w:sz w:val="14"/>
                <w:szCs w:val="14"/>
              </w:rPr>
              <w:t>,</w:t>
            </w:r>
            <w:r w:rsidRPr="001849A6">
              <w:rPr>
                <w:rFonts w:cs="Arial"/>
                <w:sz w:val="14"/>
                <w:szCs w:val="14"/>
              </w:rPr>
              <w:t>753)</w:t>
            </w:r>
          </w:p>
        </w:tc>
      </w:tr>
      <w:tr w:rsidR="008B7E19" w:rsidRPr="003A6AA6" w14:paraId="1B684F28" w14:textId="77777777" w:rsidTr="008B7E1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6DB64C3E" w14:textId="77777777" w:rsidR="008B7E19" w:rsidRPr="003A6AA6" w:rsidRDefault="008B7E19" w:rsidP="008B7E19">
            <w:pPr>
              <w:keepNext/>
              <w:keepLines/>
              <w:rPr>
                <w:rFonts w:cs="Arial"/>
                <w:color w:val="000000"/>
                <w:sz w:val="14"/>
                <w:szCs w:val="14"/>
              </w:rPr>
            </w:pPr>
            <w:r>
              <w:rPr>
                <w:rFonts w:cs="Arial"/>
                <w:color w:val="000000"/>
                <w:sz w:val="14"/>
                <w:szCs w:val="14"/>
              </w:rPr>
              <w:t>Net income</w:t>
            </w:r>
          </w:p>
        </w:tc>
        <w:tc>
          <w:tcPr>
            <w:tcW w:w="1818" w:type="dxa"/>
            <w:tcBorders>
              <w:top w:val="nil"/>
              <w:left w:val="nil"/>
              <w:bottom w:val="nil"/>
              <w:right w:val="nil"/>
            </w:tcBorders>
            <w:shd w:val="clear" w:color="auto" w:fill="auto"/>
            <w:vAlign w:val="center"/>
          </w:tcPr>
          <w:p w14:paraId="0597C8C2" w14:textId="77777777" w:rsidR="008B7E19" w:rsidRPr="003A6AA6" w:rsidRDefault="008B7E19" w:rsidP="008B7E19">
            <w:pPr>
              <w:keepNext/>
              <w:keepLines/>
              <w:jc w:val="right"/>
              <w:cnfStyle w:val="000000010000" w:firstRow="0" w:lastRow="0" w:firstColumn="0" w:lastColumn="0" w:oddVBand="0" w:evenVBand="0" w:oddHBand="0" w:evenHBand="1" w:firstRowFirstColumn="0" w:firstRowLastColumn="0" w:lastRowFirstColumn="0" w:lastRowLastColumn="0"/>
              <w:rPr>
                <w:rFonts w:cs="Arial"/>
                <w:b/>
                <w:bCs/>
                <w:color w:val="000000"/>
                <w:sz w:val="14"/>
                <w:szCs w:val="14"/>
              </w:rPr>
            </w:pPr>
            <w:r w:rsidRPr="003A6AA6">
              <w:rPr>
                <w:rFonts w:cs="Arial"/>
                <w:b/>
                <w:bCs/>
                <w:sz w:val="14"/>
                <w:szCs w:val="14"/>
              </w:rPr>
              <w:t>949</w:t>
            </w:r>
            <w:r>
              <w:rPr>
                <w:rFonts w:cs="Arial"/>
                <w:b/>
                <w:bCs/>
                <w:sz w:val="14"/>
                <w:szCs w:val="14"/>
              </w:rPr>
              <w:t>,</w:t>
            </w:r>
            <w:r w:rsidRPr="003A6AA6">
              <w:rPr>
                <w:rFonts w:cs="Arial"/>
                <w:b/>
                <w:bCs/>
                <w:sz w:val="14"/>
                <w:szCs w:val="14"/>
              </w:rPr>
              <w:t>253</w:t>
            </w:r>
          </w:p>
        </w:tc>
        <w:tc>
          <w:tcPr>
            <w:tcW w:w="1819" w:type="dxa"/>
            <w:tcBorders>
              <w:top w:val="nil"/>
              <w:left w:val="nil"/>
              <w:bottom w:val="nil"/>
              <w:right w:val="nil"/>
            </w:tcBorders>
            <w:shd w:val="clear" w:color="auto" w:fill="auto"/>
            <w:vAlign w:val="center"/>
          </w:tcPr>
          <w:p w14:paraId="2AFD730D" w14:textId="77777777" w:rsidR="008B7E19" w:rsidRPr="003A6AA6" w:rsidRDefault="008B7E19" w:rsidP="008B7E19">
            <w:pPr>
              <w:keepNext/>
              <w:keepLines/>
              <w:jc w:val="right"/>
              <w:cnfStyle w:val="000000010000" w:firstRow="0" w:lastRow="0" w:firstColumn="0" w:lastColumn="0" w:oddVBand="0" w:evenVBand="0" w:oddHBand="0" w:evenHBand="1" w:firstRowFirstColumn="0" w:firstRowLastColumn="0" w:lastRowFirstColumn="0" w:lastRowLastColumn="0"/>
              <w:rPr>
                <w:rFonts w:cs="Arial"/>
                <w:b/>
                <w:bCs/>
                <w:color w:val="000000"/>
                <w:sz w:val="14"/>
                <w:szCs w:val="14"/>
              </w:rPr>
            </w:pPr>
            <w:r w:rsidRPr="003A6AA6">
              <w:rPr>
                <w:rFonts w:cs="Arial"/>
                <w:b/>
                <w:bCs/>
                <w:sz w:val="14"/>
                <w:szCs w:val="14"/>
              </w:rPr>
              <w:t>1</w:t>
            </w:r>
            <w:r>
              <w:rPr>
                <w:rFonts w:cs="Arial"/>
                <w:b/>
                <w:bCs/>
                <w:sz w:val="14"/>
                <w:szCs w:val="14"/>
              </w:rPr>
              <w:t>,</w:t>
            </w:r>
            <w:r w:rsidRPr="003A6AA6">
              <w:rPr>
                <w:rFonts w:cs="Arial"/>
                <w:b/>
                <w:bCs/>
                <w:sz w:val="14"/>
                <w:szCs w:val="14"/>
              </w:rPr>
              <w:t>772</w:t>
            </w:r>
            <w:r>
              <w:rPr>
                <w:rFonts w:cs="Arial"/>
                <w:b/>
                <w:bCs/>
                <w:sz w:val="14"/>
                <w:szCs w:val="14"/>
              </w:rPr>
              <w:t>,</w:t>
            </w:r>
            <w:r w:rsidRPr="003A6AA6">
              <w:rPr>
                <w:rFonts w:cs="Arial"/>
                <w:b/>
                <w:bCs/>
                <w:sz w:val="14"/>
                <w:szCs w:val="14"/>
              </w:rPr>
              <w:t>749</w:t>
            </w:r>
          </w:p>
        </w:tc>
        <w:tc>
          <w:tcPr>
            <w:tcW w:w="1819" w:type="dxa"/>
            <w:tcBorders>
              <w:top w:val="nil"/>
              <w:left w:val="nil"/>
              <w:bottom w:val="nil"/>
              <w:right w:val="nil"/>
            </w:tcBorders>
            <w:shd w:val="clear" w:color="auto" w:fill="auto"/>
            <w:vAlign w:val="center"/>
          </w:tcPr>
          <w:p w14:paraId="58337284" w14:textId="77777777" w:rsidR="008B7E19" w:rsidRPr="003A6AA6" w:rsidRDefault="008B7E19" w:rsidP="008B7E19">
            <w:pPr>
              <w:keepNext/>
              <w:keepLines/>
              <w:jc w:val="right"/>
              <w:cnfStyle w:val="000000010000" w:firstRow="0" w:lastRow="0" w:firstColumn="0" w:lastColumn="0" w:oddVBand="0" w:evenVBand="0" w:oddHBand="0" w:evenHBand="1" w:firstRowFirstColumn="0" w:firstRowLastColumn="0" w:lastRowFirstColumn="0" w:lastRowLastColumn="0"/>
              <w:rPr>
                <w:rFonts w:cs="Arial"/>
                <w:b/>
                <w:bCs/>
                <w:color w:val="000000"/>
                <w:sz w:val="14"/>
                <w:szCs w:val="14"/>
              </w:rPr>
            </w:pPr>
            <w:r w:rsidRPr="003A6AA6">
              <w:rPr>
                <w:rFonts w:cs="Arial"/>
                <w:b/>
                <w:bCs/>
                <w:sz w:val="14"/>
                <w:szCs w:val="14"/>
              </w:rPr>
              <w:t>655</w:t>
            </w:r>
            <w:r>
              <w:rPr>
                <w:rFonts w:cs="Arial"/>
                <w:b/>
                <w:bCs/>
                <w:sz w:val="14"/>
                <w:szCs w:val="14"/>
              </w:rPr>
              <w:t>,</w:t>
            </w:r>
            <w:r w:rsidRPr="003A6AA6">
              <w:rPr>
                <w:rFonts w:cs="Arial"/>
                <w:b/>
                <w:bCs/>
                <w:sz w:val="14"/>
                <w:szCs w:val="14"/>
              </w:rPr>
              <w:t>615</w:t>
            </w:r>
          </w:p>
        </w:tc>
        <w:tc>
          <w:tcPr>
            <w:tcW w:w="1819" w:type="dxa"/>
            <w:tcBorders>
              <w:top w:val="nil"/>
              <w:left w:val="nil"/>
              <w:bottom w:val="nil"/>
              <w:right w:val="nil"/>
            </w:tcBorders>
            <w:shd w:val="clear" w:color="auto" w:fill="auto"/>
            <w:vAlign w:val="center"/>
          </w:tcPr>
          <w:p w14:paraId="48BD2604" w14:textId="77777777" w:rsidR="008B7E19" w:rsidRPr="003A6AA6" w:rsidRDefault="008B7E19" w:rsidP="008B7E19">
            <w:pPr>
              <w:keepNext/>
              <w:keepLines/>
              <w:jc w:val="right"/>
              <w:cnfStyle w:val="000000010000" w:firstRow="0" w:lastRow="0" w:firstColumn="0" w:lastColumn="0" w:oddVBand="0" w:evenVBand="0" w:oddHBand="0" w:evenHBand="1" w:firstRowFirstColumn="0" w:firstRowLastColumn="0" w:lastRowFirstColumn="0" w:lastRowLastColumn="0"/>
              <w:rPr>
                <w:rFonts w:cs="Arial"/>
                <w:b/>
                <w:bCs/>
                <w:color w:val="000000"/>
                <w:sz w:val="14"/>
                <w:szCs w:val="14"/>
              </w:rPr>
            </w:pPr>
            <w:r w:rsidRPr="003A6AA6">
              <w:rPr>
                <w:rFonts w:cs="Arial"/>
                <w:b/>
                <w:bCs/>
                <w:sz w:val="14"/>
                <w:szCs w:val="14"/>
              </w:rPr>
              <w:t>974</w:t>
            </w:r>
            <w:r>
              <w:rPr>
                <w:rFonts w:cs="Arial"/>
                <w:b/>
                <w:bCs/>
                <w:sz w:val="14"/>
                <w:szCs w:val="14"/>
              </w:rPr>
              <w:t>,</w:t>
            </w:r>
            <w:r w:rsidRPr="003A6AA6">
              <w:rPr>
                <w:rFonts w:cs="Arial"/>
                <w:b/>
                <w:bCs/>
                <w:sz w:val="14"/>
                <w:szCs w:val="14"/>
              </w:rPr>
              <w:t>422</w:t>
            </w:r>
          </w:p>
        </w:tc>
      </w:tr>
      <w:tr w:rsidR="008B7E19" w:rsidRPr="0066615C" w14:paraId="30043525"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0BB173FF" w14:textId="77777777" w:rsidR="008B7E19" w:rsidRPr="0066615C" w:rsidRDefault="008B7E19" w:rsidP="008B7E19">
            <w:pPr>
              <w:keepNext/>
              <w:keepLines/>
              <w:ind w:left="113"/>
              <w:rPr>
                <w:rFonts w:cs="Arial"/>
                <w:b w:val="0"/>
                <w:bCs w:val="0"/>
                <w:color w:val="000000"/>
                <w:sz w:val="14"/>
                <w:szCs w:val="14"/>
              </w:rPr>
            </w:pPr>
            <w:r>
              <w:rPr>
                <w:rFonts w:cs="Arial"/>
                <w:b w:val="0"/>
                <w:bCs w:val="0"/>
                <w:color w:val="000000"/>
                <w:sz w:val="14"/>
                <w:szCs w:val="14"/>
              </w:rPr>
              <w:t>Other comprehensive results</w:t>
            </w:r>
          </w:p>
        </w:tc>
        <w:tc>
          <w:tcPr>
            <w:tcW w:w="1818" w:type="dxa"/>
            <w:tcBorders>
              <w:top w:val="nil"/>
              <w:left w:val="nil"/>
              <w:bottom w:val="nil"/>
              <w:right w:val="nil"/>
            </w:tcBorders>
            <w:shd w:val="clear" w:color="auto" w:fill="auto"/>
            <w:vAlign w:val="center"/>
          </w:tcPr>
          <w:p w14:paraId="31BBB589" w14:textId="77777777" w:rsidR="008B7E19" w:rsidRPr="001849A6" w:rsidRDefault="008B7E19" w:rsidP="008B7E19">
            <w:pPr>
              <w:keepNext/>
              <w:keepLines/>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1849A6">
              <w:rPr>
                <w:rFonts w:cs="Arial"/>
                <w:sz w:val="14"/>
                <w:szCs w:val="14"/>
              </w:rPr>
              <w:t>57</w:t>
            </w:r>
            <w:r>
              <w:rPr>
                <w:rFonts w:cs="Arial"/>
                <w:sz w:val="14"/>
                <w:szCs w:val="14"/>
              </w:rPr>
              <w:t>,</w:t>
            </w:r>
            <w:r w:rsidRPr="001849A6">
              <w:rPr>
                <w:rFonts w:cs="Arial"/>
                <w:sz w:val="14"/>
                <w:szCs w:val="14"/>
              </w:rPr>
              <w:t>003</w:t>
            </w:r>
          </w:p>
        </w:tc>
        <w:tc>
          <w:tcPr>
            <w:tcW w:w="1819" w:type="dxa"/>
            <w:tcBorders>
              <w:top w:val="nil"/>
              <w:left w:val="nil"/>
              <w:bottom w:val="nil"/>
              <w:right w:val="nil"/>
            </w:tcBorders>
            <w:shd w:val="clear" w:color="auto" w:fill="auto"/>
            <w:vAlign w:val="center"/>
          </w:tcPr>
          <w:p w14:paraId="09300F95" w14:textId="77777777" w:rsidR="008B7E19" w:rsidRPr="001849A6" w:rsidRDefault="008B7E19" w:rsidP="008B7E19">
            <w:pPr>
              <w:keepNext/>
              <w:keepLines/>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1849A6">
              <w:rPr>
                <w:rFonts w:cs="Arial"/>
                <w:sz w:val="14"/>
                <w:szCs w:val="14"/>
              </w:rPr>
              <w:t>70</w:t>
            </w:r>
            <w:r>
              <w:rPr>
                <w:rFonts w:cs="Arial"/>
                <w:sz w:val="14"/>
                <w:szCs w:val="14"/>
              </w:rPr>
              <w:t>,</w:t>
            </w:r>
            <w:r w:rsidRPr="001849A6">
              <w:rPr>
                <w:rFonts w:cs="Arial"/>
                <w:sz w:val="14"/>
                <w:szCs w:val="14"/>
              </w:rPr>
              <w:t>016</w:t>
            </w:r>
          </w:p>
        </w:tc>
        <w:tc>
          <w:tcPr>
            <w:tcW w:w="1819" w:type="dxa"/>
            <w:tcBorders>
              <w:top w:val="nil"/>
              <w:left w:val="nil"/>
              <w:bottom w:val="nil"/>
              <w:right w:val="nil"/>
            </w:tcBorders>
            <w:shd w:val="clear" w:color="auto" w:fill="auto"/>
            <w:vAlign w:val="center"/>
          </w:tcPr>
          <w:p w14:paraId="13D26D32" w14:textId="77777777" w:rsidR="008B7E19" w:rsidRPr="001849A6" w:rsidRDefault="008B7E19" w:rsidP="008B7E19">
            <w:pPr>
              <w:keepNext/>
              <w:keepLines/>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1849A6">
              <w:rPr>
                <w:rFonts w:cs="Arial"/>
                <w:sz w:val="14"/>
                <w:szCs w:val="14"/>
              </w:rPr>
              <w:t>(27</w:t>
            </w:r>
            <w:r>
              <w:rPr>
                <w:rFonts w:cs="Arial"/>
                <w:sz w:val="14"/>
                <w:szCs w:val="14"/>
              </w:rPr>
              <w:t>,</w:t>
            </w:r>
            <w:r w:rsidRPr="001849A6">
              <w:rPr>
                <w:rFonts w:cs="Arial"/>
                <w:sz w:val="14"/>
                <w:szCs w:val="14"/>
              </w:rPr>
              <w:t>30</w:t>
            </w:r>
            <w:r>
              <w:rPr>
                <w:rFonts w:cs="Arial"/>
                <w:sz w:val="14"/>
                <w:szCs w:val="14"/>
              </w:rPr>
              <w:t>8</w:t>
            </w:r>
            <w:r w:rsidRPr="001849A6">
              <w:rPr>
                <w:rFonts w:cs="Arial"/>
                <w:sz w:val="14"/>
                <w:szCs w:val="14"/>
              </w:rPr>
              <w:t>)</w:t>
            </w:r>
          </w:p>
        </w:tc>
        <w:tc>
          <w:tcPr>
            <w:tcW w:w="1819" w:type="dxa"/>
            <w:tcBorders>
              <w:top w:val="nil"/>
              <w:left w:val="nil"/>
              <w:bottom w:val="nil"/>
              <w:right w:val="nil"/>
            </w:tcBorders>
            <w:shd w:val="clear" w:color="auto" w:fill="auto"/>
            <w:vAlign w:val="center"/>
          </w:tcPr>
          <w:p w14:paraId="0AB3D522" w14:textId="77777777" w:rsidR="008B7E19" w:rsidRPr="001849A6" w:rsidRDefault="008B7E19" w:rsidP="008B7E19">
            <w:pPr>
              <w:keepNext/>
              <w:keepLines/>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1849A6">
              <w:rPr>
                <w:rFonts w:cs="Arial"/>
                <w:sz w:val="14"/>
                <w:szCs w:val="14"/>
              </w:rPr>
              <w:t>(42</w:t>
            </w:r>
            <w:r>
              <w:rPr>
                <w:rFonts w:cs="Arial"/>
                <w:sz w:val="14"/>
                <w:szCs w:val="14"/>
              </w:rPr>
              <w:t>,</w:t>
            </w:r>
            <w:r w:rsidRPr="001849A6">
              <w:rPr>
                <w:rFonts w:cs="Arial"/>
                <w:sz w:val="14"/>
                <w:szCs w:val="14"/>
              </w:rPr>
              <w:t>996)</w:t>
            </w:r>
          </w:p>
        </w:tc>
      </w:tr>
      <w:tr w:rsidR="008B7E19" w:rsidRPr="003A6AA6" w14:paraId="58CAFA18" w14:textId="77777777" w:rsidTr="008B7E1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single" w:sz="2" w:space="0" w:color="1F4E79" w:themeColor="accent1" w:themeShade="80"/>
              <w:right w:val="nil"/>
            </w:tcBorders>
            <w:shd w:val="clear" w:color="auto" w:fill="auto"/>
            <w:vAlign w:val="center"/>
          </w:tcPr>
          <w:p w14:paraId="2C77A455" w14:textId="77777777" w:rsidR="008B7E19" w:rsidRPr="003A6AA6" w:rsidRDefault="008B7E19" w:rsidP="008B7E19">
            <w:pPr>
              <w:keepNext/>
              <w:keepLines/>
              <w:rPr>
                <w:rFonts w:cs="Arial"/>
                <w:color w:val="000000"/>
                <w:sz w:val="14"/>
                <w:szCs w:val="14"/>
              </w:rPr>
            </w:pPr>
            <w:r>
              <w:rPr>
                <w:rFonts w:cs="Arial"/>
                <w:color w:val="000000"/>
                <w:sz w:val="14"/>
                <w:szCs w:val="14"/>
              </w:rPr>
              <w:t>Comprehensive income</w:t>
            </w:r>
          </w:p>
        </w:tc>
        <w:tc>
          <w:tcPr>
            <w:tcW w:w="1818" w:type="dxa"/>
            <w:tcBorders>
              <w:top w:val="nil"/>
              <w:left w:val="nil"/>
              <w:bottom w:val="single" w:sz="2" w:space="0" w:color="1F4E79" w:themeColor="accent1" w:themeShade="80"/>
              <w:right w:val="nil"/>
            </w:tcBorders>
            <w:shd w:val="clear" w:color="auto" w:fill="auto"/>
            <w:vAlign w:val="center"/>
          </w:tcPr>
          <w:p w14:paraId="04E82D32" w14:textId="77777777" w:rsidR="008B7E19" w:rsidRPr="003A6AA6" w:rsidRDefault="008B7E19" w:rsidP="008B7E19">
            <w:pPr>
              <w:keepNext/>
              <w:keepLines/>
              <w:jc w:val="right"/>
              <w:cnfStyle w:val="000000010000" w:firstRow="0" w:lastRow="0" w:firstColumn="0" w:lastColumn="0" w:oddVBand="0" w:evenVBand="0" w:oddHBand="0" w:evenHBand="1" w:firstRowFirstColumn="0" w:firstRowLastColumn="0" w:lastRowFirstColumn="0" w:lastRowLastColumn="0"/>
              <w:rPr>
                <w:rFonts w:cs="Arial"/>
                <w:b/>
                <w:bCs/>
                <w:color w:val="000000"/>
                <w:sz w:val="14"/>
                <w:szCs w:val="14"/>
              </w:rPr>
            </w:pPr>
            <w:r w:rsidRPr="003A6AA6">
              <w:rPr>
                <w:rFonts w:cs="Arial"/>
                <w:b/>
                <w:bCs/>
                <w:sz w:val="14"/>
                <w:szCs w:val="14"/>
              </w:rPr>
              <w:t>1</w:t>
            </w:r>
            <w:r>
              <w:rPr>
                <w:rFonts w:cs="Arial"/>
                <w:b/>
                <w:bCs/>
                <w:sz w:val="14"/>
                <w:szCs w:val="14"/>
              </w:rPr>
              <w:t>,</w:t>
            </w:r>
            <w:r w:rsidRPr="003A6AA6">
              <w:rPr>
                <w:rFonts w:cs="Arial"/>
                <w:b/>
                <w:bCs/>
                <w:sz w:val="14"/>
                <w:szCs w:val="14"/>
              </w:rPr>
              <w:t>006</w:t>
            </w:r>
            <w:r>
              <w:rPr>
                <w:rFonts w:cs="Arial"/>
                <w:b/>
                <w:bCs/>
                <w:sz w:val="14"/>
                <w:szCs w:val="14"/>
              </w:rPr>
              <w:t>,</w:t>
            </w:r>
            <w:r w:rsidRPr="003A6AA6">
              <w:rPr>
                <w:rFonts w:cs="Arial"/>
                <w:b/>
                <w:bCs/>
                <w:sz w:val="14"/>
                <w:szCs w:val="14"/>
              </w:rPr>
              <w:t>256</w:t>
            </w:r>
          </w:p>
        </w:tc>
        <w:tc>
          <w:tcPr>
            <w:tcW w:w="1819" w:type="dxa"/>
            <w:tcBorders>
              <w:top w:val="nil"/>
              <w:left w:val="nil"/>
              <w:bottom w:val="single" w:sz="2" w:space="0" w:color="1F4E79" w:themeColor="accent1" w:themeShade="80"/>
              <w:right w:val="nil"/>
            </w:tcBorders>
            <w:shd w:val="clear" w:color="auto" w:fill="auto"/>
            <w:vAlign w:val="center"/>
          </w:tcPr>
          <w:p w14:paraId="5A1A823F" w14:textId="77777777" w:rsidR="008B7E19" w:rsidRPr="003A6AA6" w:rsidRDefault="008B7E19" w:rsidP="008B7E19">
            <w:pPr>
              <w:keepNext/>
              <w:keepLines/>
              <w:jc w:val="right"/>
              <w:cnfStyle w:val="000000010000" w:firstRow="0" w:lastRow="0" w:firstColumn="0" w:lastColumn="0" w:oddVBand="0" w:evenVBand="0" w:oddHBand="0" w:evenHBand="1" w:firstRowFirstColumn="0" w:firstRowLastColumn="0" w:lastRowFirstColumn="0" w:lastRowLastColumn="0"/>
              <w:rPr>
                <w:rFonts w:cs="Arial"/>
                <w:b/>
                <w:bCs/>
                <w:color w:val="000000"/>
                <w:sz w:val="14"/>
                <w:szCs w:val="14"/>
              </w:rPr>
            </w:pPr>
            <w:r w:rsidRPr="003A6AA6">
              <w:rPr>
                <w:rFonts w:cs="Arial"/>
                <w:b/>
                <w:bCs/>
                <w:sz w:val="14"/>
                <w:szCs w:val="14"/>
              </w:rPr>
              <w:t>1</w:t>
            </w:r>
            <w:r>
              <w:rPr>
                <w:rFonts w:cs="Arial"/>
                <w:b/>
                <w:bCs/>
                <w:sz w:val="14"/>
                <w:szCs w:val="14"/>
              </w:rPr>
              <w:t>,</w:t>
            </w:r>
            <w:r w:rsidRPr="003A6AA6">
              <w:rPr>
                <w:rFonts w:cs="Arial"/>
                <w:b/>
                <w:bCs/>
                <w:sz w:val="14"/>
                <w:szCs w:val="14"/>
              </w:rPr>
              <w:t>842</w:t>
            </w:r>
            <w:r>
              <w:rPr>
                <w:rFonts w:cs="Arial"/>
                <w:b/>
                <w:bCs/>
                <w:sz w:val="14"/>
                <w:szCs w:val="14"/>
              </w:rPr>
              <w:t>,</w:t>
            </w:r>
            <w:r w:rsidRPr="003A6AA6">
              <w:rPr>
                <w:rFonts w:cs="Arial"/>
                <w:b/>
                <w:bCs/>
                <w:sz w:val="14"/>
                <w:szCs w:val="14"/>
              </w:rPr>
              <w:t>765</w:t>
            </w:r>
          </w:p>
        </w:tc>
        <w:tc>
          <w:tcPr>
            <w:tcW w:w="1819" w:type="dxa"/>
            <w:tcBorders>
              <w:top w:val="nil"/>
              <w:left w:val="nil"/>
              <w:bottom w:val="single" w:sz="2" w:space="0" w:color="1F4E79" w:themeColor="accent1" w:themeShade="80"/>
              <w:right w:val="nil"/>
            </w:tcBorders>
            <w:shd w:val="clear" w:color="auto" w:fill="auto"/>
            <w:vAlign w:val="center"/>
          </w:tcPr>
          <w:p w14:paraId="460395BC" w14:textId="77777777" w:rsidR="008B7E19" w:rsidRPr="003A6AA6" w:rsidRDefault="008B7E19" w:rsidP="008B7E19">
            <w:pPr>
              <w:keepNext/>
              <w:keepLines/>
              <w:jc w:val="right"/>
              <w:cnfStyle w:val="000000010000" w:firstRow="0" w:lastRow="0" w:firstColumn="0" w:lastColumn="0" w:oddVBand="0" w:evenVBand="0" w:oddHBand="0" w:evenHBand="1" w:firstRowFirstColumn="0" w:firstRowLastColumn="0" w:lastRowFirstColumn="0" w:lastRowLastColumn="0"/>
              <w:rPr>
                <w:rFonts w:cs="Arial"/>
                <w:b/>
                <w:bCs/>
                <w:color w:val="000000"/>
                <w:sz w:val="14"/>
                <w:szCs w:val="14"/>
              </w:rPr>
            </w:pPr>
            <w:r w:rsidRPr="003A6AA6">
              <w:rPr>
                <w:rFonts w:cs="Arial"/>
                <w:b/>
                <w:bCs/>
                <w:sz w:val="14"/>
                <w:szCs w:val="14"/>
              </w:rPr>
              <w:t>628</w:t>
            </w:r>
            <w:r>
              <w:rPr>
                <w:rFonts w:cs="Arial"/>
                <w:b/>
                <w:bCs/>
                <w:sz w:val="14"/>
                <w:szCs w:val="14"/>
              </w:rPr>
              <w:t>,</w:t>
            </w:r>
            <w:r w:rsidRPr="003A6AA6">
              <w:rPr>
                <w:rFonts w:cs="Arial"/>
                <w:b/>
                <w:bCs/>
                <w:sz w:val="14"/>
                <w:szCs w:val="14"/>
              </w:rPr>
              <w:t>307</w:t>
            </w:r>
          </w:p>
        </w:tc>
        <w:tc>
          <w:tcPr>
            <w:tcW w:w="1819" w:type="dxa"/>
            <w:tcBorders>
              <w:top w:val="nil"/>
              <w:left w:val="nil"/>
              <w:bottom w:val="single" w:sz="2" w:space="0" w:color="1F4E79" w:themeColor="accent1" w:themeShade="80"/>
              <w:right w:val="nil"/>
            </w:tcBorders>
            <w:shd w:val="clear" w:color="auto" w:fill="auto"/>
            <w:vAlign w:val="center"/>
          </w:tcPr>
          <w:p w14:paraId="129427E3" w14:textId="77777777" w:rsidR="008B7E19" w:rsidRPr="003A6AA6" w:rsidRDefault="008B7E19" w:rsidP="008B7E19">
            <w:pPr>
              <w:keepNext/>
              <w:keepLines/>
              <w:jc w:val="right"/>
              <w:cnfStyle w:val="000000010000" w:firstRow="0" w:lastRow="0" w:firstColumn="0" w:lastColumn="0" w:oddVBand="0" w:evenVBand="0" w:oddHBand="0" w:evenHBand="1" w:firstRowFirstColumn="0" w:firstRowLastColumn="0" w:lastRowFirstColumn="0" w:lastRowLastColumn="0"/>
              <w:rPr>
                <w:rFonts w:cs="Arial"/>
                <w:b/>
                <w:bCs/>
                <w:color w:val="000000"/>
                <w:sz w:val="14"/>
                <w:szCs w:val="14"/>
              </w:rPr>
            </w:pPr>
            <w:r w:rsidRPr="003A6AA6">
              <w:rPr>
                <w:rFonts w:cs="Arial"/>
                <w:b/>
                <w:bCs/>
                <w:sz w:val="14"/>
                <w:szCs w:val="14"/>
              </w:rPr>
              <w:t>931</w:t>
            </w:r>
            <w:r>
              <w:rPr>
                <w:rFonts w:cs="Arial"/>
                <w:b/>
                <w:bCs/>
                <w:sz w:val="14"/>
                <w:szCs w:val="14"/>
              </w:rPr>
              <w:t>,</w:t>
            </w:r>
            <w:r w:rsidRPr="003A6AA6">
              <w:rPr>
                <w:rFonts w:cs="Arial"/>
                <w:b/>
                <w:bCs/>
                <w:sz w:val="14"/>
                <w:szCs w:val="14"/>
              </w:rPr>
              <w:t>426</w:t>
            </w:r>
          </w:p>
        </w:tc>
      </w:tr>
    </w:tbl>
    <w:p w14:paraId="7DE94142" w14:textId="77777777" w:rsidR="008B7E19" w:rsidRPr="002062A7" w:rsidRDefault="008B7E19" w:rsidP="00882B41">
      <w:pPr>
        <w:pStyle w:val="PargrafodaLista"/>
        <w:numPr>
          <w:ilvl w:val="0"/>
          <w:numId w:val="40"/>
        </w:numPr>
        <w:spacing w:after="0" w:line="240" w:lineRule="auto"/>
        <w:rPr>
          <w:rFonts w:ascii="Arial" w:eastAsia="Times New Roman" w:hAnsi="Arial" w:cs="Arial"/>
          <w:spacing w:val="-2"/>
          <w:sz w:val="18"/>
          <w:szCs w:val="20"/>
          <w:lang w:val="en-US" w:eastAsia="zh-CN"/>
        </w:rPr>
      </w:pPr>
      <w:r w:rsidRPr="002062A7">
        <w:rPr>
          <w:rFonts w:ascii="Arial" w:eastAsia="Times New Roman" w:hAnsi="Arial" w:cs="Times New Roman"/>
          <w:bCs/>
          <w:spacing w:val="-2"/>
          <w:sz w:val="14"/>
          <w:szCs w:val="16"/>
          <w:lang w:val="en-US" w:eastAsia="pt-BR"/>
        </w:rPr>
        <w:t xml:space="preserve">BBA - </w:t>
      </w:r>
      <w:r w:rsidRPr="002062A7">
        <w:rPr>
          <w:rFonts w:ascii="Arial" w:eastAsia="Times New Roman" w:hAnsi="Arial" w:cs="Times New Roman"/>
          <w:bCs/>
          <w:i/>
          <w:iCs/>
          <w:spacing w:val="-2"/>
          <w:sz w:val="14"/>
          <w:szCs w:val="16"/>
          <w:lang w:val="en-US" w:eastAsia="pt-BR"/>
        </w:rPr>
        <w:t>Building Block Approach</w:t>
      </w:r>
      <w:r w:rsidRPr="002062A7">
        <w:rPr>
          <w:rFonts w:ascii="Arial" w:eastAsia="Times New Roman" w:hAnsi="Arial" w:cs="Times New Roman"/>
          <w:bCs/>
          <w:spacing w:val="-2"/>
          <w:sz w:val="14"/>
          <w:szCs w:val="16"/>
          <w:lang w:val="en-US" w:eastAsia="pt-BR"/>
        </w:rPr>
        <w:t xml:space="preserve"> and </w:t>
      </w:r>
      <w:r w:rsidRPr="002062A7">
        <w:rPr>
          <w:rFonts w:ascii="Arial" w:eastAsia="Times New Roman" w:hAnsi="Arial" w:cs="Arial"/>
          <w:kern w:val="20"/>
          <w:sz w:val="14"/>
          <w:szCs w:val="16"/>
          <w:lang w:val="en-US" w:eastAsia="pt-BR"/>
        </w:rPr>
        <w:t xml:space="preserve">PAA - </w:t>
      </w:r>
      <w:r w:rsidRPr="002062A7">
        <w:rPr>
          <w:rFonts w:ascii="Arial" w:eastAsia="Times New Roman" w:hAnsi="Arial" w:cs="Arial"/>
          <w:i/>
          <w:iCs/>
          <w:kern w:val="20"/>
          <w:sz w:val="14"/>
          <w:szCs w:val="16"/>
          <w:lang w:val="en-US" w:eastAsia="pt-BR"/>
        </w:rPr>
        <w:t>Premium Allocation Approach</w:t>
      </w:r>
      <w:r w:rsidRPr="002062A7">
        <w:rPr>
          <w:rFonts w:ascii="Arial" w:eastAsia="Times New Roman" w:hAnsi="Arial" w:cs="Arial"/>
          <w:kern w:val="20"/>
          <w:sz w:val="14"/>
          <w:szCs w:val="16"/>
          <w:lang w:val="en-US" w:eastAsia="pt-BR"/>
        </w:rPr>
        <w:t>.</w:t>
      </w:r>
    </w:p>
    <w:p w14:paraId="7879794F" w14:textId="77777777" w:rsidR="008B7E19" w:rsidRPr="00A263A7" w:rsidRDefault="008B7E19" w:rsidP="008B7E19">
      <w:pPr>
        <w:spacing w:after="0" w:line="240" w:lineRule="auto"/>
        <w:rPr>
          <w:rFonts w:cs="Times New Roman"/>
          <w:b/>
          <w:color w:val="1F4E79" w:themeColor="accent1" w:themeShade="80"/>
          <w:spacing w:val="-2"/>
          <w:szCs w:val="20"/>
          <w:lang w:val="en-US" w:eastAsia="pt-BR"/>
        </w:rPr>
      </w:pPr>
    </w:p>
    <w:p w14:paraId="672FC11C" w14:textId="77777777" w:rsidR="008B7E19" w:rsidRDefault="008B7E19" w:rsidP="008B7E19">
      <w:pPr>
        <w:spacing w:after="0" w:line="240" w:lineRule="auto"/>
        <w:rPr>
          <w:rFonts w:eastAsia="Times New Roman" w:cs="Times New Roman"/>
          <w:b/>
          <w:color w:val="1F4E79" w:themeColor="accent1" w:themeShade="80"/>
          <w:spacing w:val="-2"/>
          <w:szCs w:val="20"/>
          <w:lang w:eastAsia="pt-BR"/>
        </w:rPr>
      </w:pPr>
      <w:r>
        <w:rPr>
          <w:rFonts w:eastAsia="Times New Roman" w:cs="Times New Roman"/>
          <w:b/>
          <w:color w:val="1F4E79" w:themeColor="accent1" w:themeShade="80"/>
          <w:spacing w:val="-2"/>
          <w:szCs w:val="20"/>
          <w:lang w:eastAsia="pt-BR"/>
        </w:rPr>
        <w:t>Balance Sheet Information</w:t>
      </w:r>
    </w:p>
    <w:p w14:paraId="2E10414A" w14:textId="77777777" w:rsidR="008B7E19" w:rsidRDefault="008B7E19" w:rsidP="008B7E19">
      <w:pPr>
        <w:spacing w:after="0" w:line="240" w:lineRule="auto"/>
        <w:rPr>
          <w:rFonts w:eastAsia="Times New Roman" w:cs="Times New Roman"/>
          <w:b/>
          <w:color w:val="1F4E79" w:themeColor="accent1" w:themeShade="80"/>
          <w:spacing w:val="-2"/>
          <w:szCs w:val="20"/>
          <w:lang w:eastAsia="pt-BR"/>
        </w:rPr>
      </w:pPr>
    </w:p>
    <w:p w14:paraId="40A57FDC" w14:textId="77777777" w:rsidR="008B7E19" w:rsidRPr="00537AE7" w:rsidRDefault="008B7E19" w:rsidP="008B7E19">
      <w:pPr>
        <w:spacing w:after="0" w:line="240" w:lineRule="auto"/>
        <w:jc w:val="right"/>
        <w:rPr>
          <w:rFonts w:cs="Arial"/>
          <w:b/>
          <w:sz w:val="14"/>
          <w:lang w:eastAsia="pt-BR"/>
        </w:rPr>
      </w:pPr>
      <w:r w:rsidRPr="00537AE7">
        <w:rPr>
          <w:rFonts w:cs="Arial"/>
          <w:b/>
          <w:sz w:val="14"/>
          <w:lang w:eastAsia="pt-BR"/>
        </w:rPr>
        <w:t xml:space="preserve">R$ </w:t>
      </w:r>
      <w:r>
        <w:rPr>
          <w:rFonts w:cs="Arial"/>
          <w:b/>
          <w:sz w:val="14"/>
          <w:lang w:eastAsia="pt-BR"/>
        </w:rPr>
        <w:t>thousand</w:t>
      </w:r>
    </w:p>
    <w:tbl>
      <w:tblPr>
        <w:tblStyle w:val="TabeladeLista6Colorida-nfase512"/>
        <w:tblW w:w="9640" w:type="dxa"/>
        <w:jc w:val="center"/>
        <w:tblInd w:w="0" w:type="dxa"/>
        <w:tblLayout w:type="fixed"/>
        <w:tblLook w:val="04A0" w:firstRow="1" w:lastRow="0" w:firstColumn="1" w:lastColumn="0" w:noHBand="0" w:noVBand="1"/>
      </w:tblPr>
      <w:tblGrid>
        <w:gridCol w:w="3120"/>
        <w:gridCol w:w="3260"/>
        <w:gridCol w:w="3260"/>
      </w:tblGrid>
      <w:tr w:rsidR="008B7E19" w:rsidRPr="00AC3343" w14:paraId="24E6CE8C" w14:textId="77777777" w:rsidTr="008B7E19">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single" w:sz="2" w:space="0" w:color="1F4E79" w:themeColor="accent1" w:themeShade="80"/>
              <w:left w:val="nil"/>
              <w:bottom w:val="single" w:sz="2" w:space="0" w:color="1F4E79" w:themeColor="accent1" w:themeShade="80"/>
              <w:right w:val="nil"/>
            </w:tcBorders>
            <w:shd w:val="clear" w:color="auto" w:fill="auto"/>
            <w:vAlign w:val="center"/>
          </w:tcPr>
          <w:p w14:paraId="2826FBCE" w14:textId="77777777" w:rsidR="008B7E19" w:rsidRPr="00AC3343" w:rsidRDefault="008B7E19" w:rsidP="008B7E19">
            <w:pPr>
              <w:rPr>
                <w:rFonts w:cs="Arial"/>
                <w:sz w:val="14"/>
                <w:szCs w:val="14"/>
              </w:rPr>
            </w:pPr>
          </w:p>
        </w:tc>
        <w:tc>
          <w:tcPr>
            <w:tcW w:w="3260" w:type="dxa"/>
            <w:tcBorders>
              <w:top w:val="single" w:sz="2" w:space="0" w:color="1F4E79" w:themeColor="accent1" w:themeShade="80"/>
              <w:left w:val="nil"/>
              <w:bottom w:val="single" w:sz="2" w:space="0" w:color="1F4E79" w:themeColor="accent1" w:themeShade="80"/>
              <w:right w:val="nil"/>
            </w:tcBorders>
            <w:shd w:val="clear" w:color="auto" w:fill="auto"/>
            <w:vAlign w:val="center"/>
          </w:tcPr>
          <w:p w14:paraId="7A96E25A" w14:textId="77777777" w:rsidR="008B7E19" w:rsidRPr="00AC3343" w:rsidRDefault="008B7E19" w:rsidP="008B7E19">
            <w:pPr>
              <w:jc w:val="right"/>
              <w:cnfStyle w:val="100000000000" w:firstRow="1" w:lastRow="0" w:firstColumn="0" w:lastColumn="0" w:oddVBand="0" w:evenVBand="0" w:oddHBand="0" w:evenHBand="0" w:firstRowFirstColumn="0" w:firstRowLastColumn="0" w:lastRowFirstColumn="0" w:lastRowLastColumn="0"/>
              <w:rPr>
                <w:rFonts w:cs="Arial"/>
                <w:sz w:val="14"/>
                <w:szCs w:val="14"/>
              </w:rPr>
            </w:pPr>
            <w:r>
              <w:rPr>
                <w:rFonts w:cs="Arial"/>
                <w:sz w:val="14"/>
                <w:szCs w:val="14"/>
              </w:rPr>
              <w:t>June 30, 2023</w:t>
            </w:r>
          </w:p>
        </w:tc>
        <w:tc>
          <w:tcPr>
            <w:tcW w:w="3260" w:type="dxa"/>
            <w:tcBorders>
              <w:top w:val="single" w:sz="2" w:space="0" w:color="1F4E79" w:themeColor="accent1" w:themeShade="80"/>
              <w:left w:val="nil"/>
              <w:bottom w:val="single" w:sz="2" w:space="0" w:color="1F4E79" w:themeColor="accent1" w:themeShade="80"/>
              <w:right w:val="nil"/>
            </w:tcBorders>
            <w:shd w:val="clear" w:color="auto" w:fill="auto"/>
            <w:vAlign w:val="center"/>
          </w:tcPr>
          <w:p w14:paraId="097692B5" w14:textId="77777777" w:rsidR="008B7E19" w:rsidRPr="00AC3343" w:rsidRDefault="008B7E19" w:rsidP="008B7E19">
            <w:pPr>
              <w:jc w:val="right"/>
              <w:cnfStyle w:val="100000000000" w:firstRow="1" w:lastRow="0" w:firstColumn="0" w:lastColumn="0" w:oddVBand="0" w:evenVBand="0" w:oddHBand="0" w:evenHBand="0" w:firstRowFirstColumn="0" w:firstRowLastColumn="0" w:lastRowFirstColumn="0" w:lastRowLastColumn="0"/>
              <w:rPr>
                <w:rFonts w:cs="Arial"/>
                <w:sz w:val="14"/>
                <w:szCs w:val="14"/>
              </w:rPr>
            </w:pPr>
            <w:r>
              <w:rPr>
                <w:rFonts w:cs="Arial"/>
                <w:sz w:val="14"/>
                <w:szCs w:val="14"/>
              </w:rPr>
              <w:t>Dec 31, 2022 (Restated balances)</w:t>
            </w:r>
          </w:p>
        </w:tc>
      </w:tr>
      <w:tr w:rsidR="008B7E19" w:rsidRPr="004B635B" w14:paraId="5D8CC48B"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single" w:sz="2" w:space="0" w:color="1F4E79" w:themeColor="accent1" w:themeShade="80"/>
              <w:left w:val="nil"/>
              <w:bottom w:val="nil"/>
              <w:right w:val="nil"/>
            </w:tcBorders>
            <w:shd w:val="clear" w:color="auto" w:fill="auto"/>
            <w:vAlign w:val="center"/>
          </w:tcPr>
          <w:p w14:paraId="458E8B74" w14:textId="77777777" w:rsidR="008B7E19" w:rsidRPr="004B635B" w:rsidRDefault="008B7E19" w:rsidP="008B7E19">
            <w:pPr>
              <w:keepNext/>
              <w:keepLines/>
              <w:rPr>
                <w:rFonts w:eastAsia="Times New Roman" w:cs="Arial"/>
                <w:spacing w:val="-2"/>
                <w:sz w:val="14"/>
                <w:szCs w:val="14"/>
                <w:highlight w:val="yellow"/>
              </w:rPr>
            </w:pPr>
            <w:r>
              <w:rPr>
                <w:rFonts w:cs="Arial"/>
                <w:color w:val="000000"/>
                <w:sz w:val="14"/>
                <w:szCs w:val="14"/>
              </w:rPr>
              <w:t>Current Assets</w:t>
            </w:r>
          </w:p>
        </w:tc>
        <w:tc>
          <w:tcPr>
            <w:tcW w:w="3260" w:type="dxa"/>
            <w:tcBorders>
              <w:top w:val="single" w:sz="2" w:space="0" w:color="1F4E79" w:themeColor="accent1" w:themeShade="80"/>
              <w:left w:val="nil"/>
              <w:bottom w:val="nil"/>
              <w:right w:val="nil"/>
            </w:tcBorders>
            <w:shd w:val="clear" w:color="auto" w:fill="auto"/>
            <w:vAlign w:val="center"/>
          </w:tcPr>
          <w:p w14:paraId="0888BCA2" w14:textId="77777777" w:rsidR="008B7E19" w:rsidRPr="004B635B"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b/>
                <w:bCs/>
                <w:sz w:val="14"/>
                <w:szCs w:val="14"/>
                <w:highlight w:val="yellow"/>
              </w:rPr>
            </w:pPr>
            <w:r w:rsidRPr="00E50436">
              <w:rPr>
                <w:rFonts w:cs="Arial"/>
                <w:b/>
                <w:bCs/>
                <w:color w:val="000000"/>
                <w:sz w:val="14"/>
                <w:szCs w:val="14"/>
              </w:rPr>
              <w:t>8.965.500</w:t>
            </w:r>
          </w:p>
        </w:tc>
        <w:tc>
          <w:tcPr>
            <w:tcW w:w="3260" w:type="dxa"/>
            <w:tcBorders>
              <w:top w:val="single" w:sz="2" w:space="0" w:color="1F4E79" w:themeColor="accent1" w:themeShade="80"/>
              <w:left w:val="nil"/>
              <w:bottom w:val="nil"/>
              <w:right w:val="nil"/>
            </w:tcBorders>
            <w:shd w:val="clear" w:color="auto" w:fill="auto"/>
            <w:vAlign w:val="center"/>
          </w:tcPr>
          <w:p w14:paraId="00B93E04" w14:textId="77777777" w:rsidR="008B7E19" w:rsidRPr="004B635B"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b/>
                <w:bCs/>
                <w:sz w:val="14"/>
                <w:szCs w:val="14"/>
                <w:highlight w:val="yellow"/>
              </w:rPr>
            </w:pPr>
            <w:r w:rsidRPr="00E50436">
              <w:rPr>
                <w:rFonts w:cs="Arial"/>
                <w:b/>
                <w:bCs/>
                <w:sz w:val="14"/>
                <w:szCs w:val="14"/>
              </w:rPr>
              <w:t>8.876.270</w:t>
            </w:r>
          </w:p>
        </w:tc>
      </w:tr>
      <w:tr w:rsidR="008B7E19" w:rsidRPr="00AC3343" w14:paraId="3D63C72B" w14:textId="77777777" w:rsidTr="008B7E1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7C5CDEF6" w14:textId="77777777" w:rsidR="008B7E19" w:rsidRPr="00AC3343" w:rsidRDefault="008B7E19" w:rsidP="008B7E19">
            <w:pPr>
              <w:keepNext/>
              <w:keepLines/>
              <w:ind w:left="113"/>
              <w:rPr>
                <w:rFonts w:eastAsia="Times New Roman" w:cs="Arial"/>
                <w:b w:val="0"/>
                <w:bCs w:val="0"/>
                <w:spacing w:val="-2"/>
                <w:sz w:val="14"/>
                <w:szCs w:val="14"/>
                <w:highlight w:val="yellow"/>
              </w:rPr>
            </w:pPr>
            <w:r>
              <w:rPr>
                <w:rFonts w:cs="Arial"/>
                <w:b w:val="0"/>
                <w:bCs w:val="0"/>
                <w:color w:val="000000"/>
                <w:sz w:val="14"/>
                <w:szCs w:val="14"/>
              </w:rPr>
              <w:t>Cash and cash equivalents</w:t>
            </w:r>
          </w:p>
        </w:tc>
        <w:tc>
          <w:tcPr>
            <w:tcW w:w="3260" w:type="dxa"/>
            <w:tcBorders>
              <w:top w:val="nil"/>
              <w:left w:val="nil"/>
              <w:bottom w:val="nil"/>
              <w:right w:val="nil"/>
            </w:tcBorders>
            <w:shd w:val="clear" w:color="auto" w:fill="auto"/>
            <w:vAlign w:val="center"/>
          </w:tcPr>
          <w:p w14:paraId="11E28033" w14:textId="77777777" w:rsidR="008B7E19" w:rsidRPr="00AC3343"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sz w:val="14"/>
                <w:szCs w:val="14"/>
                <w:highlight w:val="yellow"/>
              </w:rPr>
            </w:pPr>
            <w:r w:rsidRPr="00A46371">
              <w:rPr>
                <w:rFonts w:cs="Arial"/>
                <w:color w:val="000000"/>
                <w:sz w:val="14"/>
                <w:szCs w:val="14"/>
              </w:rPr>
              <w:t>6.999</w:t>
            </w:r>
          </w:p>
        </w:tc>
        <w:tc>
          <w:tcPr>
            <w:tcW w:w="3260" w:type="dxa"/>
            <w:tcBorders>
              <w:top w:val="nil"/>
              <w:left w:val="nil"/>
              <w:bottom w:val="nil"/>
              <w:right w:val="nil"/>
            </w:tcBorders>
            <w:shd w:val="clear" w:color="auto" w:fill="auto"/>
            <w:vAlign w:val="center"/>
          </w:tcPr>
          <w:p w14:paraId="395CEFAE" w14:textId="77777777" w:rsidR="008B7E19" w:rsidRPr="00AC3343"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sz w:val="14"/>
                <w:szCs w:val="14"/>
                <w:highlight w:val="yellow"/>
              </w:rPr>
            </w:pPr>
            <w:r w:rsidRPr="000C04CB">
              <w:rPr>
                <w:rFonts w:cs="Arial"/>
                <w:sz w:val="14"/>
                <w:szCs w:val="14"/>
              </w:rPr>
              <w:t>5.220</w:t>
            </w:r>
          </w:p>
        </w:tc>
      </w:tr>
      <w:tr w:rsidR="008B7E19" w:rsidRPr="00AC3343" w14:paraId="16D9405E"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37DC981C" w14:textId="77777777" w:rsidR="008B7E19" w:rsidRPr="00AC3343" w:rsidRDefault="008B7E19" w:rsidP="008B7E19">
            <w:pPr>
              <w:keepNext/>
              <w:keepLines/>
              <w:ind w:left="113"/>
              <w:rPr>
                <w:rFonts w:eastAsia="Times New Roman" w:cs="Arial"/>
                <w:b w:val="0"/>
                <w:bCs w:val="0"/>
                <w:spacing w:val="-2"/>
                <w:sz w:val="14"/>
                <w:szCs w:val="14"/>
                <w:highlight w:val="yellow"/>
              </w:rPr>
            </w:pPr>
            <w:r>
              <w:rPr>
                <w:rFonts w:cs="Arial"/>
                <w:b w:val="0"/>
                <w:bCs w:val="0"/>
                <w:color w:val="000000"/>
                <w:sz w:val="14"/>
                <w:szCs w:val="14"/>
              </w:rPr>
              <w:t>Receivables</w:t>
            </w:r>
          </w:p>
        </w:tc>
        <w:tc>
          <w:tcPr>
            <w:tcW w:w="3260" w:type="dxa"/>
            <w:tcBorders>
              <w:top w:val="nil"/>
              <w:left w:val="nil"/>
              <w:bottom w:val="nil"/>
              <w:right w:val="nil"/>
            </w:tcBorders>
            <w:shd w:val="clear" w:color="auto" w:fill="auto"/>
            <w:vAlign w:val="center"/>
          </w:tcPr>
          <w:p w14:paraId="24C43BB2" w14:textId="77777777" w:rsidR="008B7E19" w:rsidRPr="00AC3343"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highlight w:val="yellow"/>
              </w:rPr>
            </w:pPr>
            <w:r w:rsidRPr="00A46371">
              <w:rPr>
                <w:rFonts w:cs="Arial"/>
                <w:color w:val="000000"/>
                <w:sz w:val="14"/>
                <w:szCs w:val="14"/>
              </w:rPr>
              <w:t>321.185</w:t>
            </w:r>
          </w:p>
        </w:tc>
        <w:tc>
          <w:tcPr>
            <w:tcW w:w="3260" w:type="dxa"/>
            <w:tcBorders>
              <w:top w:val="nil"/>
              <w:left w:val="nil"/>
              <w:bottom w:val="nil"/>
              <w:right w:val="nil"/>
            </w:tcBorders>
            <w:shd w:val="clear" w:color="auto" w:fill="auto"/>
            <w:vAlign w:val="center"/>
          </w:tcPr>
          <w:p w14:paraId="1732E71F" w14:textId="77777777" w:rsidR="008B7E19" w:rsidRPr="00AC3343"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highlight w:val="yellow"/>
              </w:rPr>
            </w:pPr>
            <w:r w:rsidRPr="000C04CB">
              <w:rPr>
                <w:rFonts w:cs="Arial"/>
                <w:sz w:val="14"/>
                <w:szCs w:val="14"/>
              </w:rPr>
              <w:t>278.638</w:t>
            </w:r>
          </w:p>
        </w:tc>
      </w:tr>
      <w:tr w:rsidR="008B7E19" w:rsidRPr="00AC3343" w14:paraId="15CFCB66" w14:textId="77777777" w:rsidTr="008B7E1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27872127" w14:textId="77777777" w:rsidR="008B7E19" w:rsidRPr="00AC3343" w:rsidRDefault="008B7E19" w:rsidP="008B7E19">
            <w:pPr>
              <w:keepNext/>
              <w:keepLines/>
              <w:ind w:left="113"/>
              <w:rPr>
                <w:rFonts w:eastAsia="Times New Roman" w:cs="Arial"/>
                <w:b w:val="0"/>
                <w:bCs w:val="0"/>
                <w:spacing w:val="-2"/>
                <w:sz w:val="14"/>
                <w:szCs w:val="14"/>
                <w:highlight w:val="yellow"/>
              </w:rPr>
            </w:pPr>
            <w:r>
              <w:rPr>
                <w:rFonts w:cs="Arial"/>
                <w:b w:val="0"/>
                <w:bCs w:val="0"/>
                <w:color w:val="000000"/>
                <w:sz w:val="14"/>
                <w:szCs w:val="14"/>
              </w:rPr>
              <w:t>Financial Instruments</w:t>
            </w:r>
          </w:p>
        </w:tc>
        <w:tc>
          <w:tcPr>
            <w:tcW w:w="3260" w:type="dxa"/>
            <w:tcBorders>
              <w:top w:val="nil"/>
              <w:left w:val="nil"/>
              <w:bottom w:val="nil"/>
              <w:right w:val="nil"/>
            </w:tcBorders>
            <w:shd w:val="clear" w:color="auto" w:fill="auto"/>
            <w:vAlign w:val="center"/>
          </w:tcPr>
          <w:p w14:paraId="060FA831" w14:textId="77777777" w:rsidR="008B7E19" w:rsidRPr="00AC3343"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sz w:val="14"/>
                <w:szCs w:val="14"/>
                <w:highlight w:val="yellow"/>
              </w:rPr>
            </w:pPr>
            <w:r w:rsidRPr="00A46371">
              <w:rPr>
                <w:rFonts w:cs="Arial"/>
                <w:color w:val="000000"/>
                <w:sz w:val="14"/>
                <w:szCs w:val="14"/>
              </w:rPr>
              <w:t>7.048.112</w:t>
            </w:r>
          </w:p>
        </w:tc>
        <w:tc>
          <w:tcPr>
            <w:tcW w:w="3260" w:type="dxa"/>
            <w:tcBorders>
              <w:top w:val="nil"/>
              <w:left w:val="nil"/>
              <w:bottom w:val="nil"/>
              <w:right w:val="nil"/>
            </w:tcBorders>
            <w:shd w:val="clear" w:color="auto" w:fill="auto"/>
            <w:vAlign w:val="center"/>
          </w:tcPr>
          <w:p w14:paraId="21B41D2B" w14:textId="77777777" w:rsidR="008B7E19" w:rsidRPr="00AC3343"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sz w:val="14"/>
                <w:szCs w:val="14"/>
                <w:highlight w:val="yellow"/>
              </w:rPr>
            </w:pPr>
            <w:r w:rsidRPr="000C04CB">
              <w:rPr>
                <w:rFonts w:cs="Arial"/>
                <w:sz w:val="14"/>
                <w:szCs w:val="14"/>
              </w:rPr>
              <w:t>7.047.554</w:t>
            </w:r>
          </w:p>
        </w:tc>
      </w:tr>
      <w:tr w:rsidR="008B7E19" w:rsidRPr="00AC3343" w14:paraId="45367163"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5FBAB430" w14:textId="77777777" w:rsidR="008B7E19" w:rsidRPr="00AC3343" w:rsidRDefault="008B7E19" w:rsidP="008B7E19">
            <w:pPr>
              <w:keepNext/>
              <w:keepLines/>
              <w:ind w:left="113"/>
              <w:rPr>
                <w:rFonts w:cs="Arial"/>
                <w:b w:val="0"/>
                <w:bCs w:val="0"/>
                <w:color w:val="000000"/>
                <w:sz w:val="14"/>
                <w:szCs w:val="14"/>
                <w:highlight w:val="yellow"/>
              </w:rPr>
            </w:pPr>
            <w:r>
              <w:rPr>
                <w:rFonts w:cs="Arial"/>
                <w:b w:val="0"/>
                <w:bCs w:val="0"/>
                <w:color w:val="000000"/>
                <w:sz w:val="14"/>
                <w:szCs w:val="14"/>
              </w:rPr>
              <w:t>I</w:t>
            </w:r>
            <w:r w:rsidRPr="00A94E39">
              <w:rPr>
                <w:rFonts w:cs="Arial"/>
                <w:b w:val="0"/>
                <w:bCs w:val="0"/>
                <w:color w:val="000000"/>
                <w:sz w:val="14"/>
                <w:szCs w:val="14"/>
              </w:rPr>
              <w:t>nsurance contracts</w:t>
            </w:r>
          </w:p>
        </w:tc>
        <w:tc>
          <w:tcPr>
            <w:tcW w:w="3260" w:type="dxa"/>
            <w:tcBorders>
              <w:top w:val="nil"/>
              <w:left w:val="nil"/>
              <w:bottom w:val="nil"/>
              <w:right w:val="nil"/>
            </w:tcBorders>
            <w:shd w:val="clear" w:color="auto" w:fill="auto"/>
            <w:vAlign w:val="center"/>
          </w:tcPr>
          <w:p w14:paraId="189F6EC1" w14:textId="77777777" w:rsidR="008B7E19" w:rsidRPr="00AC3343"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highlight w:val="yellow"/>
              </w:rPr>
            </w:pPr>
            <w:r w:rsidRPr="00A46371">
              <w:rPr>
                <w:rFonts w:cs="Arial"/>
                <w:color w:val="000000"/>
                <w:sz w:val="14"/>
                <w:szCs w:val="14"/>
              </w:rPr>
              <w:t>1.457.438</w:t>
            </w:r>
          </w:p>
        </w:tc>
        <w:tc>
          <w:tcPr>
            <w:tcW w:w="3260" w:type="dxa"/>
            <w:tcBorders>
              <w:top w:val="nil"/>
              <w:left w:val="nil"/>
              <w:bottom w:val="nil"/>
              <w:right w:val="nil"/>
            </w:tcBorders>
            <w:shd w:val="clear" w:color="auto" w:fill="auto"/>
            <w:vAlign w:val="center"/>
          </w:tcPr>
          <w:p w14:paraId="3768A95F" w14:textId="77777777" w:rsidR="008B7E19" w:rsidRPr="00AC3343"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highlight w:val="yellow"/>
              </w:rPr>
            </w:pPr>
            <w:r w:rsidRPr="000C04CB">
              <w:rPr>
                <w:rFonts w:cs="Arial"/>
                <w:color w:val="000000"/>
                <w:sz w:val="14"/>
                <w:szCs w:val="14"/>
              </w:rPr>
              <w:t>1.462.281</w:t>
            </w:r>
          </w:p>
        </w:tc>
      </w:tr>
      <w:tr w:rsidR="008B7E19" w:rsidRPr="00AC3343" w14:paraId="2420551A" w14:textId="77777777" w:rsidTr="008B7E1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54A8AE91" w14:textId="77777777" w:rsidR="008B7E19" w:rsidRPr="00AC3343" w:rsidRDefault="008B7E19" w:rsidP="008B7E19">
            <w:pPr>
              <w:keepNext/>
              <w:keepLines/>
              <w:ind w:left="113"/>
              <w:rPr>
                <w:rFonts w:cs="Arial"/>
                <w:b w:val="0"/>
                <w:bCs w:val="0"/>
                <w:color w:val="000000"/>
                <w:sz w:val="14"/>
                <w:szCs w:val="14"/>
                <w:highlight w:val="yellow"/>
              </w:rPr>
            </w:pPr>
            <w:r w:rsidRPr="00A94E39">
              <w:rPr>
                <w:rFonts w:cs="Arial"/>
                <w:b w:val="0"/>
                <w:bCs w:val="0"/>
                <w:color w:val="000000"/>
                <w:sz w:val="14"/>
                <w:szCs w:val="14"/>
              </w:rPr>
              <w:t>Current tax asset</w:t>
            </w:r>
          </w:p>
        </w:tc>
        <w:tc>
          <w:tcPr>
            <w:tcW w:w="3260" w:type="dxa"/>
            <w:tcBorders>
              <w:top w:val="nil"/>
              <w:left w:val="nil"/>
              <w:bottom w:val="nil"/>
              <w:right w:val="nil"/>
            </w:tcBorders>
            <w:shd w:val="clear" w:color="auto" w:fill="auto"/>
            <w:vAlign w:val="center"/>
          </w:tcPr>
          <w:p w14:paraId="663DD514" w14:textId="77777777" w:rsidR="008B7E19" w:rsidRPr="00AC3343" w:rsidRDefault="008B7E19" w:rsidP="008B7E19">
            <w:pPr>
              <w:keepNext/>
              <w:keepLines/>
              <w:jc w:val="right"/>
              <w:cnfStyle w:val="000000010000" w:firstRow="0" w:lastRow="0" w:firstColumn="0" w:lastColumn="0" w:oddVBand="0" w:evenVBand="0" w:oddHBand="0" w:evenHBand="1" w:firstRowFirstColumn="0" w:firstRowLastColumn="0" w:lastRowFirstColumn="0" w:lastRowLastColumn="0"/>
              <w:rPr>
                <w:rFonts w:cs="Arial"/>
                <w:color w:val="000000"/>
                <w:sz w:val="14"/>
                <w:szCs w:val="14"/>
                <w:highlight w:val="yellow"/>
              </w:rPr>
            </w:pPr>
            <w:r w:rsidRPr="00A46371">
              <w:rPr>
                <w:rFonts w:cs="Arial"/>
                <w:color w:val="000000"/>
                <w:sz w:val="14"/>
                <w:szCs w:val="14"/>
              </w:rPr>
              <w:t>108.660</w:t>
            </w:r>
          </w:p>
        </w:tc>
        <w:tc>
          <w:tcPr>
            <w:tcW w:w="3260" w:type="dxa"/>
            <w:tcBorders>
              <w:top w:val="nil"/>
              <w:left w:val="nil"/>
              <w:bottom w:val="nil"/>
              <w:right w:val="nil"/>
            </w:tcBorders>
            <w:shd w:val="clear" w:color="auto" w:fill="auto"/>
            <w:vAlign w:val="center"/>
          </w:tcPr>
          <w:p w14:paraId="6D244963" w14:textId="77777777" w:rsidR="008B7E19" w:rsidRPr="00AC3343" w:rsidRDefault="008B7E19" w:rsidP="008B7E19">
            <w:pPr>
              <w:keepNext/>
              <w:keepLines/>
              <w:jc w:val="right"/>
              <w:cnfStyle w:val="000000010000" w:firstRow="0" w:lastRow="0" w:firstColumn="0" w:lastColumn="0" w:oddVBand="0" w:evenVBand="0" w:oddHBand="0" w:evenHBand="1" w:firstRowFirstColumn="0" w:firstRowLastColumn="0" w:lastRowFirstColumn="0" w:lastRowLastColumn="0"/>
              <w:rPr>
                <w:rFonts w:cs="Arial"/>
                <w:color w:val="000000"/>
                <w:sz w:val="14"/>
                <w:szCs w:val="14"/>
                <w:highlight w:val="yellow"/>
              </w:rPr>
            </w:pPr>
            <w:r w:rsidRPr="000C04CB">
              <w:rPr>
                <w:rFonts w:cs="Arial"/>
                <w:sz w:val="14"/>
                <w:szCs w:val="14"/>
              </w:rPr>
              <w:t>65.291</w:t>
            </w:r>
          </w:p>
        </w:tc>
      </w:tr>
      <w:tr w:rsidR="008B7E19" w:rsidRPr="00AC3343" w14:paraId="14018553"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076D7CEC" w14:textId="77777777" w:rsidR="008B7E19" w:rsidRPr="00AC3343" w:rsidRDefault="008B7E19" w:rsidP="008B7E19">
            <w:pPr>
              <w:keepNext/>
              <w:keepLines/>
              <w:spacing w:before="40" w:after="40"/>
              <w:ind w:left="113"/>
              <w:rPr>
                <w:rFonts w:cs="Arial"/>
                <w:b w:val="0"/>
                <w:bCs w:val="0"/>
                <w:sz w:val="14"/>
                <w:szCs w:val="14"/>
                <w:highlight w:val="yellow"/>
              </w:rPr>
            </w:pPr>
            <w:r>
              <w:rPr>
                <w:rFonts w:cs="Arial"/>
                <w:b w:val="0"/>
                <w:bCs w:val="0"/>
                <w:color w:val="000000"/>
                <w:sz w:val="14"/>
                <w:szCs w:val="14"/>
              </w:rPr>
              <w:t>Other assets</w:t>
            </w:r>
          </w:p>
        </w:tc>
        <w:tc>
          <w:tcPr>
            <w:tcW w:w="3260" w:type="dxa"/>
            <w:tcBorders>
              <w:top w:val="nil"/>
              <w:left w:val="nil"/>
              <w:bottom w:val="nil"/>
              <w:right w:val="nil"/>
            </w:tcBorders>
            <w:shd w:val="clear" w:color="auto" w:fill="auto"/>
            <w:vAlign w:val="center"/>
          </w:tcPr>
          <w:p w14:paraId="0E5E1F3D" w14:textId="77777777" w:rsidR="008B7E19" w:rsidRPr="00AC3343"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highlight w:val="yellow"/>
              </w:rPr>
            </w:pPr>
            <w:r w:rsidRPr="00A46371">
              <w:rPr>
                <w:rFonts w:cs="Arial"/>
                <w:color w:val="000000"/>
                <w:sz w:val="14"/>
                <w:szCs w:val="14"/>
              </w:rPr>
              <w:t>23.10</w:t>
            </w:r>
            <w:r>
              <w:rPr>
                <w:rFonts w:cs="Arial"/>
                <w:color w:val="000000"/>
                <w:sz w:val="14"/>
                <w:szCs w:val="14"/>
              </w:rPr>
              <w:t>6</w:t>
            </w:r>
          </w:p>
        </w:tc>
        <w:tc>
          <w:tcPr>
            <w:tcW w:w="3260" w:type="dxa"/>
            <w:tcBorders>
              <w:top w:val="nil"/>
              <w:left w:val="nil"/>
              <w:bottom w:val="nil"/>
              <w:right w:val="nil"/>
            </w:tcBorders>
            <w:shd w:val="clear" w:color="auto" w:fill="auto"/>
            <w:vAlign w:val="center"/>
          </w:tcPr>
          <w:p w14:paraId="4BE10ECC" w14:textId="77777777" w:rsidR="008B7E19" w:rsidRPr="00AC3343"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highlight w:val="yellow"/>
              </w:rPr>
            </w:pPr>
            <w:r w:rsidRPr="000C04CB">
              <w:rPr>
                <w:rFonts w:cs="Arial"/>
                <w:sz w:val="14"/>
                <w:szCs w:val="14"/>
              </w:rPr>
              <w:t>17.286</w:t>
            </w:r>
          </w:p>
        </w:tc>
      </w:tr>
      <w:tr w:rsidR="008B7E19" w:rsidRPr="004B635B" w14:paraId="3AFE06B1" w14:textId="77777777" w:rsidTr="008B7E1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19647322" w14:textId="77777777" w:rsidR="008B7E19" w:rsidRPr="004B635B" w:rsidRDefault="008B7E19" w:rsidP="008B7E19">
            <w:pPr>
              <w:keepNext/>
              <w:keepLines/>
              <w:spacing w:before="40" w:after="40"/>
              <w:rPr>
                <w:rFonts w:cs="Arial"/>
                <w:sz w:val="14"/>
                <w:szCs w:val="14"/>
                <w:highlight w:val="yellow"/>
              </w:rPr>
            </w:pPr>
            <w:r>
              <w:rPr>
                <w:rFonts w:cs="Arial"/>
                <w:color w:val="000000"/>
                <w:sz w:val="14"/>
                <w:szCs w:val="14"/>
              </w:rPr>
              <w:t>Non-current assets</w:t>
            </w:r>
          </w:p>
        </w:tc>
        <w:tc>
          <w:tcPr>
            <w:tcW w:w="3260" w:type="dxa"/>
            <w:tcBorders>
              <w:top w:val="nil"/>
              <w:left w:val="nil"/>
              <w:bottom w:val="nil"/>
              <w:right w:val="nil"/>
            </w:tcBorders>
            <w:shd w:val="clear" w:color="auto" w:fill="auto"/>
            <w:vAlign w:val="center"/>
          </w:tcPr>
          <w:p w14:paraId="3DA198BF" w14:textId="77777777" w:rsidR="008B7E19" w:rsidRPr="004B635B"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b/>
                <w:bCs/>
                <w:sz w:val="14"/>
                <w:szCs w:val="14"/>
                <w:highlight w:val="yellow"/>
              </w:rPr>
            </w:pPr>
            <w:r w:rsidRPr="00E50436">
              <w:rPr>
                <w:rFonts w:cs="Arial"/>
                <w:b/>
                <w:bCs/>
                <w:color w:val="000000"/>
                <w:sz w:val="14"/>
                <w:szCs w:val="14"/>
              </w:rPr>
              <w:t>3.017.031</w:t>
            </w:r>
          </w:p>
        </w:tc>
        <w:tc>
          <w:tcPr>
            <w:tcW w:w="3260" w:type="dxa"/>
            <w:tcBorders>
              <w:top w:val="nil"/>
              <w:left w:val="nil"/>
              <w:bottom w:val="nil"/>
              <w:right w:val="nil"/>
            </w:tcBorders>
            <w:shd w:val="clear" w:color="auto" w:fill="auto"/>
            <w:vAlign w:val="center"/>
          </w:tcPr>
          <w:p w14:paraId="7B6DB678" w14:textId="77777777" w:rsidR="008B7E19" w:rsidRPr="004B635B"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b/>
                <w:bCs/>
                <w:sz w:val="14"/>
                <w:szCs w:val="14"/>
                <w:highlight w:val="yellow"/>
              </w:rPr>
            </w:pPr>
            <w:r w:rsidRPr="00E50436">
              <w:rPr>
                <w:rFonts w:cs="Arial"/>
                <w:b/>
                <w:bCs/>
                <w:sz w:val="14"/>
                <w:szCs w:val="14"/>
              </w:rPr>
              <w:t>3.251.536</w:t>
            </w:r>
          </w:p>
        </w:tc>
      </w:tr>
      <w:tr w:rsidR="008B7E19" w:rsidRPr="00AC3343" w14:paraId="2B71EB27"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3E5379C2" w14:textId="77777777" w:rsidR="008B7E19" w:rsidRPr="00AC3343" w:rsidRDefault="008B7E19" w:rsidP="008B7E19">
            <w:pPr>
              <w:keepNext/>
              <w:keepLines/>
              <w:spacing w:before="40" w:after="40"/>
              <w:ind w:left="113"/>
              <w:rPr>
                <w:rFonts w:cs="Arial"/>
                <w:b w:val="0"/>
                <w:bCs w:val="0"/>
                <w:sz w:val="14"/>
                <w:szCs w:val="14"/>
                <w:highlight w:val="yellow"/>
              </w:rPr>
            </w:pPr>
            <w:r>
              <w:rPr>
                <w:rFonts w:cs="Arial"/>
                <w:b w:val="0"/>
                <w:bCs w:val="0"/>
                <w:color w:val="000000"/>
                <w:sz w:val="14"/>
                <w:szCs w:val="14"/>
              </w:rPr>
              <w:t>Financial Instruments</w:t>
            </w:r>
          </w:p>
        </w:tc>
        <w:tc>
          <w:tcPr>
            <w:tcW w:w="3260" w:type="dxa"/>
            <w:tcBorders>
              <w:top w:val="nil"/>
              <w:left w:val="nil"/>
              <w:bottom w:val="nil"/>
              <w:right w:val="nil"/>
            </w:tcBorders>
            <w:shd w:val="clear" w:color="auto" w:fill="auto"/>
            <w:vAlign w:val="center"/>
          </w:tcPr>
          <w:p w14:paraId="2372EFEE" w14:textId="77777777" w:rsidR="008B7E19" w:rsidRPr="00AC3343"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highlight w:val="yellow"/>
              </w:rPr>
            </w:pPr>
            <w:r w:rsidRPr="00A46371">
              <w:rPr>
                <w:rFonts w:cs="Arial"/>
                <w:color w:val="000000"/>
                <w:sz w:val="14"/>
                <w:szCs w:val="14"/>
              </w:rPr>
              <w:t>1.248.787</w:t>
            </w:r>
          </w:p>
        </w:tc>
        <w:tc>
          <w:tcPr>
            <w:tcW w:w="3260" w:type="dxa"/>
            <w:tcBorders>
              <w:top w:val="nil"/>
              <w:left w:val="nil"/>
              <w:bottom w:val="nil"/>
              <w:right w:val="nil"/>
            </w:tcBorders>
            <w:shd w:val="clear" w:color="auto" w:fill="auto"/>
            <w:vAlign w:val="center"/>
          </w:tcPr>
          <w:p w14:paraId="0B6B38E2" w14:textId="77777777" w:rsidR="008B7E19" w:rsidRPr="00AC3343"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highlight w:val="yellow"/>
              </w:rPr>
            </w:pPr>
            <w:r w:rsidRPr="000C04CB">
              <w:rPr>
                <w:rFonts w:cs="Arial"/>
                <w:sz w:val="14"/>
                <w:szCs w:val="14"/>
              </w:rPr>
              <w:t>1.581.690</w:t>
            </w:r>
          </w:p>
        </w:tc>
      </w:tr>
      <w:tr w:rsidR="008B7E19" w:rsidRPr="00AC3343" w14:paraId="55003746" w14:textId="77777777" w:rsidTr="008B7E1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4C5701B9" w14:textId="77777777" w:rsidR="008B7E19" w:rsidRPr="00AC3343" w:rsidRDefault="008B7E19" w:rsidP="008B7E19">
            <w:pPr>
              <w:keepNext/>
              <w:keepLines/>
              <w:ind w:left="113"/>
              <w:rPr>
                <w:rFonts w:cs="Arial"/>
                <w:b w:val="0"/>
                <w:bCs w:val="0"/>
                <w:color w:val="000000"/>
                <w:sz w:val="14"/>
                <w:szCs w:val="14"/>
                <w:highlight w:val="yellow"/>
              </w:rPr>
            </w:pPr>
            <w:r>
              <w:rPr>
                <w:rFonts w:cs="Arial"/>
                <w:b w:val="0"/>
                <w:bCs w:val="0"/>
                <w:color w:val="000000"/>
                <w:sz w:val="14"/>
                <w:szCs w:val="14"/>
              </w:rPr>
              <w:t>D</w:t>
            </w:r>
            <w:r w:rsidRPr="00A94E39">
              <w:rPr>
                <w:rFonts w:cs="Arial"/>
                <w:b w:val="0"/>
                <w:bCs w:val="0"/>
                <w:color w:val="000000"/>
                <w:sz w:val="14"/>
                <w:szCs w:val="14"/>
              </w:rPr>
              <w:t>eferred tax asset</w:t>
            </w:r>
          </w:p>
        </w:tc>
        <w:tc>
          <w:tcPr>
            <w:tcW w:w="3260" w:type="dxa"/>
            <w:tcBorders>
              <w:top w:val="nil"/>
              <w:left w:val="nil"/>
              <w:bottom w:val="nil"/>
              <w:right w:val="nil"/>
            </w:tcBorders>
            <w:shd w:val="clear" w:color="auto" w:fill="auto"/>
            <w:vAlign w:val="center"/>
          </w:tcPr>
          <w:p w14:paraId="40E9E5C8" w14:textId="77777777" w:rsidR="008B7E19" w:rsidRPr="00AC3343" w:rsidRDefault="008B7E19" w:rsidP="008B7E19">
            <w:pPr>
              <w:keepNext/>
              <w:keepLines/>
              <w:jc w:val="right"/>
              <w:cnfStyle w:val="000000010000" w:firstRow="0" w:lastRow="0" w:firstColumn="0" w:lastColumn="0" w:oddVBand="0" w:evenVBand="0" w:oddHBand="0" w:evenHBand="1" w:firstRowFirstColumn="0" w:firstRowLastColumn="0" w:lastRowFirstColumn="0" w:lastRowLastColumn="0"/>
              <w:rPr>
                <w:rFonts w:cs="Arial"/>
                <w:color w:val="000000"/>
                <w:sz w:val="14"/>
                <w:szCs w:val="14"/>
                <w:highlight w:val="yellow"/>
              </w:rPr>
            </w:pPr>
            <w:r w:rsidRPr="00A46371">
              <w:rPr>
                <w:rFonts w:cs="Arial"/>
                <w:color w:val="000000"/>
                <w:sz w:val="14"/>
                <w:szCs w:val="14"/>
              </w:rPr>
              <w:t>245.671</w:t>
            </w:r>
          </w:p>
        </w:tc>
        <w:tc>
          <w:tcPr>
            <w:tcW w:w="3260" w:type="dxa"/>
            <w:tcBorders>
              <w:top w:val="nil"/>
              <w:left w:val="nil"/>
              <w:bottom w:val="nil"/>
              <w:right w:val="nil"/>
            </w:tcBorders>
            <w:shd w:val="clear" w:color="auto" w:fill="auto"/>
            <w:vAlign w:val="center"/>
          </w:tcPr>
          <w:p w14:paraId="6820FFBF" w14:textId="77777777" w:rsidR="008B7E19" w:rsidRPr="00AC3343" w:rsidRDefault="008B7E19" w:rsidP="008B7E19">
            <w:pPr>
              <w:keepNext/>
              <w:keepLines/>
              <w:jc w:val="right"/>
              <w:cnfStyle w:val="000000010000" w:firstRow="0" w:lastRow="0" w:firstColumn="0" w:lastColumn="0" w:oddVBand="0" w:evenVBand="0" w:oddHBand="0" w:evenHBand="1" w:firstRowFirstColumn="0" w:firstRowLastColumn="0" w:lastRowFirstColumn="0" w:lastRowLastColumn="0"/>
              <w:rPr>
                <w:rFonts w:cs="Arial"/>
                <w:color w:val="000000"/>
                <w:sz w:val="14"/>
                <w:szCs w:val="14"/>
                <w:highlight w:val="yellow"/>
              </w:rPr>
            </w:pPr>
            <w:r w:rsidRPr="000C04CB">
              <w:rPr>
                <w:rFonts w:cs="Arial"/>
                <w:sz w:val="14"/>
                <w:szCs w:val="14"/>
              </w:rPr>
              <w:t>204.656</w:t>
            </w:r>
          </w:p>
        </w:tc>
      </w:tr>
      <w:tr w:rsidR="008B7E19" w:rsidRPr="00AC3343" w14:paraId="7DD66441"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0455600F" w14:textId="77777777" w:rsidR="008B7E19" w:rsidRPr="00AC3343" w:rsidRDefault="008B7E19" w:rsidP="008B7E19">
            <w:pPr>
              <w:keepNext/>
              <w:keepLines/>
              <w:spacing w:before="40" w:after="40"/>
              <w:ind w:left="113"/>
              <w:rPr>
                <w:rFonts w:eastAsia="Times New Roman" w:cs="Arial"/>
                <w:b w:val="0"/>
                <w:bCs w:val="0"/>
                <w:spacing w:val="-2"/>
                <w:sz w:val="14"/>
                <w:szCs w:val="14"/>
                <w:highlight w:val="yellow"/>
              </w:rPr>
            </w:pPr>
            <w:r>
              <w:rPr>
                <w:rFonts w:cs="Arial"/>
                <w:b w:val="0"/>
                <w:bCs w:val="0"/>
                <w:color w:val="000000"/>
                <w:sz w:val="14"/>
                <w:szCs w:val="14"/>
              </w:rPr>
              <w:t>Fixed and intangible</w:t>
            </w:r>
          </w:p>
        </w:tc>
        <w:tc>
          <w:tcPr>
            <w:tcW w:w="3260" w:type="dxa"/>
            <w:tcBorders>
              <w:top w:val="nil"/>
              <w:left w:val="nil"/>
              <w:bottom w:val="nil"/>
              <w:right w:val="nil"/>
            </w:tcBorders>
            <w:shd w:val="clear" w:color="auto" w:fill="auto"/>
            <w:vAlign w:val="center"/>
          </w:tcPr>
          <w:p w14:paraId="5A52DAF1" w14:textId="77777777" w:rsidR="008B7E19" w:rsidRPr="00AC3343"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highlight w:val="yellow"/>
              </w:rPr>
            </w:pPr>
            <w:r w:rsidRPr="00A46371">
              <w:rPr>
                <w:rFonts w:cs="Arial"/>
                <w:color w:val="000000"/>
                <w:sz w:val="14"/>
                <w:szCs w:val="14"/>
              </w:rPr>
              <w:t>443.830</w:t>
            </w:r>
          </w:p>
        </w:tc>
        <w:tc>
          <w:tcPr>
            <w:tcW w:w="3260" w:type="dxa"/>
            <w:tcBorders>
              <w:top w:val="nil"/>
              <w:left w:val="nil"/>
              <w:bottom w:val="nil"/>
              <w:right w:val="nil"/>
            </w:tcBorders>
            <w:shd w:val="clear" w:color="auto" w:fill="auto"/>
            <w:vAlign w:val="center"/>
          </w:tcPr>
          <w:p w14:paraId="37A631EF" w14:textId="77777777" w:rsidR="008B7E19" w:rsidRPr="00AC3343"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highlight w:val="yellow"/>
              </w:rPr>
            </w:pPr>
            <w:r w:rsidRPr="000C04CB">
              <w:rPr>
                <w:rFonts w:cs="Arial"/>
                <w:sz w:val="14"/>
                <w:szCs w:val="14"/>
              </w:rPr>
              <w:t>427.718</w:t>
            </w:r>
          </w:p>
        </w:tc>
      </w:tr>
      <w:tr w:rsidR="008B7E19" w:rsidRPr="00AC3343" w14:paraId="1A5DEBD0" w14:textId="77777777" w:rsidTr="008B7E1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24D107ED" w14:textId="77777777" w:rsidR="008B7E19" w:rsidRPr="00AC3343" w:rsidRDefault="008B7E19" w:rsidP="008B7E19">
            <w:pPr>
              <w:keepNext/>
              <w:keepLines/>
              <w:ind w:left="113"/>
              <w:rPr>
                <w:rFonts w:cs="Arial"/>
                <w:b w:val="0"/>
                <w:bCs w:val="0"/>
                <w:color w:val="000000"/>
                <w:sz w:val="14"/>
                <w:szCs w:val="14"/>
                <w:highlight w:val="yellow"/>
              </w:rPr>
            </w:pPr>
            <w:r>
              <w:rPr>
                <w:rFonts w:cs="Arial"/>
                <w:b w:val="0"/>
                <w:bCs w:val="0"/>
                <w:color w:val="000000"/>
                <w:sz w:val="14"/>
                <w:szCs w:val="14"/>
              </w:rPr>
              <w:t>Investments in associates</w:t>
            </w:r>
          </w:p>
        </w:tc>
        <w:tc>
          <w:tcPr>
            <w:tcW w:w="3260" w:type="dxa"/>
            <w:tcBorders>
              <w:top w:val="nil"/>
              <w:left w:val="nil"/>
              <w:bottom w:val="nil"/>
              <w:right w:val="nil"/>
            </w:tcBorders>
            <w:shd w:val="clear" w:color="auto" w:fill="auto"/>
            <w:vAlign w:val="center"/>
          </w:tcPr>
          <w:p w14:paraId="0229E1BF" w14:textId="77777777" w:rsidR="008B7E19" w:rsidRPr="00AC3343" w:rsidRDefault="008B7E19" w:rsidP="008B7E19">
            <w:pPr>
              <w:keepNext/>
              <w:keepLines/>
              <w:jc w:val="right"/>
              <w:cnfStyle w:val="000000010000" w:firstRow="0" w:lastRow="0" w:firstColumn="0" w:lastColumn="0" w:oddVBand="0" w:evenVBand="0" w:oddHBand="0" w:evenHBand="1" w:firstRowFirstColumn="0" w:firstRowLastColumn="0" w:lastRowFirstColumn="0" w:lastRowLastColumn="0"/>
              <w:rPr>
                <w:rFonts w:cs="Arial"/>
                <w:color w:val="000000"/>
                <w:sz w:val="14"/>
                <w:szCs w:val="14"/>
                <w:highlight w:val="yellow"/>
              </w:rPr>
            </w:pPr>
            <w:r w:rsidRPr="00A46371">
              <w:rPr>
                <w:rFonts w:cs="Arial"/>
                <w:color w:val="000000"/>
                <w:sz w:val="14"/>
                <w:szCs w:val="14"/>
              </w:rPr>
              <w:t>28.305</w:t>
            </w:r>
          </w:p>
        </w:tc>
        <w:tc>
          <w:tcPr>
            <w:tcW w:w="3260" w:type="dxa"/>
            <w:tcBorders>
              <w:top w:val="nil"/>
              <w:left w:val="nil"/>
              <w:bottom w:val="nil"/>
              <w:right w:val="nil"/>
            </w:tcBorders>
            <w:shd w:val="clear" w:color="auto" w:fill="auto"/>
            <w:vAlign w:val="center"/>
          </w:tcPr>
          <w:p w14:paraId="1BC61D47" w14:textId="77777777" w:rsidR="008B7E19" w:rsidRPr="00AC3343" w:rsidRDefault="008B7E19" w:rsidP="008B7E19">
            <w:pPr>
              <w:keepNext/>
              <w:keepLines/>
              <w:jc w:val="right"/>
              <w:cnfStyle w:val="000000010000" w:firstRow="0" w:lastRow="0" w:firstColumn="0" w:lastColumn="0" w:oddVBand="0" w:evenVBand="0" w:oddHBand="0" w:evenHBand="1" w:firstRowFirstColumn="0" w:firstRowLastColumn="0" w:lastRowFirstColumn="0" w:lastRowLastColumn="0"/>
              <w:rPr>
                <w:rFonts w:cs="Arial"/>
                <w:color w:val="000000"/>
                <w:sz w:val="14"/>
                <w:szCs w:val="14"/>
                <w:highlight w:val="yellow"/>
              </w:rPr>
            </w:pPr>
            <w:r w:rsidRPr="000C04CB">
              <w:rPr>
                <w:rFonts w:cs="Arial"/>
                <w:sz w:val="14"/>
                <w:szCs w:val="14"/>
              </w:rPr>
              <w:t>1.106</w:t>
            </w:r>
          </w:p>
        </w:tc>
      </w:tr>
      <w:tr w:rsidR="008B7E19" w:rsidRPr="00AC3343" w14:paraId="0099E71C"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202C4BD4" w14:textId="77777777" w:rsidR="008B7E19" w:rsidRPr="00AC3343" w:rsidRDefault="008B7E19" w:rsidP="008B7E19">
            <w:pPr>
              <w:keepNext/>
              <w:keepLines/>
              <w:spacing w:before="40" w:after="40"/>
              <w:ind w:left="113"/>
              <w:rPr>
                <w:rFonts w:eastAsia="Times New Roman" w:cs="Arial"/>
                <w:b w:val="0"/>
                <w:bCs w:val="0"/>
                <w:spacing w:val="-2"/>
                <w:sz w:val="14"/>
                <w:szCs w:val="14"/>
                <w:highlight w:val="yellow"/>
              </w:rPr>
            </w:pPr>
            <w:r>
              <w:rPr>
                <w:rFonts w:cs="Arial"/>
                <w:b w:val="0"/>
                <w:bCs w:val="0"/>
                <w:color w:val="000000"/>
                <w:sz w:val="14"/>
                <w:szCs w:val="14"/>
              </w:rPr>
              <w:t>Other assets</w:t>
            </w:r>
          </w:p>
        </w:tc>
        <w:tc>
          <w:tcPr>
            <w:tcW w:w="3260" w:type="dxa"/>
            <w:tcBorders>
              <w:top w:val="nil"/>
              <w:left w:val="nil"/>
              <w:bottom w:val="nil"/>
              <w:right w:val="nil"/>
            </w:tcBorders>
            <w:shd w:val="clear" w:color="auto" w:fill="auto"/>
            <w:vAlign w:val="center"/>
          </w:tcPr>
          <w:p w14:paraId="5E65BF82" w14:textId="77777777" w:rsidR="008B7E19" w:rsidRPr="00AC3343"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highlight w:val="yellow"/>
              </w:rPr>
            </w:pPr>
            <w:r w:rsidRPr="00A46371">
              <w:rPr>
                <w:rFonts w:cs="Arial"/>
                <w:color w:val="000000"/>
                <w:sz w:val="14"/>
                <w:szCs w:val="14"/>
              </w:rPr>
              <w:t>1.050.438</w:t>
            </w:r>
          </w:p>
        </w:tc>
        <w:tc>
          <w:tcPr>
            <w:tcW w:w="3260" w:type="dxa"/>
            <w:tcBorders>
              <w:top w:val="nil"/>
              <w:left w:val="nil"/>
              <w:bottom w:val="nil"/>
              <w:right w:val="nil"/>
            </w:tcBorders>
            <w:shd w:val="clear" w:color="auto" w:fill="auto"/>
            <w:vAlign w:val="center"/>
          </w:tcPr>
          <w:p w14:paraId="0070C09D" w14:textId="77777777" w:rsidR="008B7E19" w:rsidRPr="00AC3343"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highlight w:val="yellow"/>
              </w:rPr>
            </w:pPr>
            <w:r w:rsidRPr="000C04CB">
              <w:rPr>
                <w:rFonts w:cs="Arial"/>
                <w:sz w:val="14"/>
                <w:szCs w:val="14"/>
              </w:rPr>
              <w:t>1.036.366</w:t>
            </w:r>
          </w:p>
        </w:tc>
      </w:tr>
      <w:tr w:rsidR="008B7E19" w:rsidRPr="004B635B" w14:paraId="52C0A9F5" w14:textId="77777777" w:rsidTr="008B7E1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2B43C6C3" w14:textId="77777777" w:rsidR="008B7E19" w:rsidRPr="004B635B" w:rsidRDefault="008B7E19" w:rsidP="008B7E19">
            <w:pPr>
              <w:keepNext/>
              <w:keepLines/>
              <w:spacing w:before="40" w:after="40"/>
              <w:rPr>
                <w:rFonts w:eastAsia="Times New Roman" w:cs="Arial"/>
                <w:spacing w:val="-2"/>
                <w:sz w:val="14"/>
                <w:szCs w:val="14"/>
                <w:highlight w:val="yellow"/>
              </w:rPr>
            </w:pPr>
            <w:r>
              <w:rPr>
                <w:rFonts w:cs="Arial"/>
                <w:color w:val="000000"/>
                <w:sz w:val="14"/>
                <w:szCs w:val="14"/>
              </w:rPr>
              <w:t>Total Assets</w:t>
            </w:r>
          </w:p>
        </w:tc>
        <w:tc>
          <w:tcPr>
            <w:tcW w:w="3260" w:type="dxa"/>
            <w:tcBorders>
              <w:top w:val="nil"/>
              <w:left w:val="nil"/>
              <w:bottom w:val="nil"/>
              <w:right w:val="nil"/>
            </w:tcBorders>
            <w:shd w:val="clear" w:color="auto" w:fill="auto"/>
            <w:vAlign w:val="center"/>
          </w:tcPr>
          <w:p w14:paraId="622CDE8C" w14:textId="77777777" w:rsidR="008B7E19" w:rsidRPr="004B635B"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b/>
                <w:bCs/>
                <w:sz w:val="14"/>
                <w:szCs w:val="14"/>
                <w:highlight w:val="yellow"/>
              </w:rPr>
            </w:pPr>
            <w:r w:rsidRPr="00E50436">
              <w:rPr>
                <w:rFonts w:cs="Arial"/>
                <w:b/>
                <w:bCs/>
                <w:color w:val="000000"/>
                <w:sz w:val="14"/>
                <w:szCs w:val="14"/>
              </w:rPr>
              <w:t>11.982.531</w:t>
            </w:r>
          </w:p>
        </w:tc>
        <w:tc>
          <w:tcPr>
            <w:tcW w:w="3260" w:type="dxa"/>
            <w:tcBorders>
              <w:top w:val="nil"/>
              <w:left w:val="nil"/>
              <w:bottom w:val="nil"/>
              <w:right w:val="nil"/>
            </w:tcBorders>
            <w:shd w:val="clear" w:color="auto" w:fill="auto"/>
            <w:vAlign w:val="center"/>
          </w:tcPr>
          <w:p w14:paraId="6E6278C9" w14:textId="77777777" w:rsidR="008B7E19" w:rsidRPr="004B635B"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b/>
                <w:bCs/>
                <w:sz w:val="14"/>
                <w:szCs w:val="14"/>
                <w:highlight w:val="yellow"/>
              </w:rPr>
            </w:pPr>
            <w:r w:rsidRPr="00E50436">
              <w:rPr>
                <w:rFonts w:cs="Arial"/>
                <w:b/>
                <w:bCs/>
                <w:sz w:val="14"/>
                <w:szCs w:val="14"/>
              </w:rPr>
              <w:t>12.127.806</w:t>
            </w:r>
          </w:p>
        </w:tc>
      </w:tr>
      <w:tr w:rsidR="008B7E19" w:rsidRPr="00AC3343" w14:paraId="06658B55"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44450E6B" w14:textId="77777777" w:rsidR="008B7E19" w:rsidRPr="00AC3343" w:rsidRDefault="008B7E19" w:rsidP="008B7E19">
            <w:pPr>
              <w:keepNext/>
              <w:keepLines/>
              <w:spacing w:before="40" w:after="40"/>
              <w:rPr>
                <w:rFonts w:eastAsia="Times New Roman" w:cs="Arial"/>
                <w:b w:val="0"/>
                <w:bCs w:val="0"/>
                <w:spacing w:val="-2"/>
                <w:sz w:val="14"/>
                <w:szCs w:val="14"/>
                <w:highlight w:val="yellow"/>
              </w:rPr>
            </w:pPr>
            <w:r w:rsidRPr="00AC3343">
              <w:rPr>
                <w:rFonts w:cs="Arial"/>
                <w:b w:val="0"/>
                <w:bCs w:val="0"/>
                <w:color w:val="000000"/>
                <w:sz w:val="14"/>
                <w:szCs w:val="14"/>
              </w:rPr>
              <w:t> </w:t>
            </w:r>
          </w:p>
        </w:tc>
        <w:tc>
          <w:tcPr>
            <w:tcW w:w="3260" w:type="dxa"/>
            <w:tcBorders>
              <w:top w:val="nil"/>
              <w:left w:val="nil"/>
              <w:bottom w:val="nil"/>
              <w:right w:val="nil"/>
            </w:tcBorders>
            <w:shd w:val="clear" w:color="auto" w:fill="auto"/>
            <w:vAlign w:val="center"/>
          </w:tcPr>
          <w:p w14:paraId="284706B9" w14:textId="77777777" w:rsidR="008B7E19" w:rsidRPr="00AC3343"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highlight w:val="yellow"/>
              </w:rPr>
            </w:pPr>
          </w:p>
        </w:tc>
        <w:tc>
          <w:tcPr>
            <w:tcW w:w="3260" w:type="dxa"/>
            <w:tcBorders>
              <w:top w:val="nil"/>
              <w:left w:val="nil"/>
              <w:bottom w:val="nil"/>
              <w:right w:val="nil"/>
            </w:tcBorders>
            <w:shd w:val="clear" w:color="auto" w:fill="auto"/>
            <w:vAlign w:val="center"/>
          </w:tcPr>
          <w:p w14:paraId="47D9B79B" w14:textId="77777777" w:rsidR="008B7E19" w:rsidRPr="00AC3343"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highlight w:val="yellow"/>
              </w:rPr>
            </w:pPr>
          </w:p>
        </w:tc>
      </w:tr>
      <w:tr w:rsidR="008B7E19" w:rsidRPr="004B635B" w14:paraId="6B8B9A5D" w14:textId="77777777" w:rsidTr="008B7E1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009EDD14" w14:textId="77777777" w:rsidR="008B7E19" w:rsidRPr="004B635B" w:rsidRDefault="008B7E19" w:rsidP="008B7E19">
            <w:pPr>
              <w:keepNext/>
              <w:keepLines/>
              <w:spacing w:before="40" w:after="40"/>
              <w:rPr>
                <w:rFonts w:eastAsia="Times New Roman" w:cs="Arial"/>
                <w:spacing w:val="-2"/>
                <w:sz w:val="14"/>
                <w:szCs w:val="14"/>
                <w:highlight w:val="yellow"/>
              </w:rPr>
            </w:pPr>
            <w:r>
              <w:rPr>
                <w:rFonts w:cs="Arial"/>
                <w:color w:val="000000"/>
                <w:sz w:val="14"/>
                <w:szCs w:val="14"/>
              </w:rPr>
              <w:t>Current Liabilities</w:t>
            </w:r>
          </w:p>
        </w:tc>
        <w:tc>
          <w:tcPr>
            <w:tcW w:w="3260" w:type="dxa"/>
            <w:tcBorders>
              <w:top w:val="nil"/>
              <w:left w:val="nil"/>
              <w:bottom w:val="nil"/>
              <w:right w:val="nil"/>
            </w:tcBorders>
            <w:shd w:val="clear" w:color="auto" w:fill="auto"/>
            <w:vAlign w:val="center"/>
          </w:tcPr>
          <w:p w14:paraId="6993E749" w14:textId="77777777" w:rsidR="008B7E19" w:rsidRPr="004B635B"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b/>
                <w:bCs/>
                <w:sz w:val="14"/>
                <w:szCs w:val="14"/>
                <w:highlight w:val="yellow"/>
              </w:rPr>
            </w:pPr>
            <w:r w:rsidRPr="00E50436">
              <w:rPr>
                <w:rFonts w:cs="Arial"/>
                <w:b/>
                <w:bCs/>
                <w:color w:val="000000"/>
                <w:sz w:val="14"/>
                <w:szCs w:val="14"/>
              </w:rPr>
              <w:t>5.967.538</w:t>
            </w:r>
          </w:p>
        </w:tc>
        <w:tc>
          <w:tcPr>
            <w:tcW w:w="3260" w:type="dxa"/>
            <w:tcBorders>
              <w:top w:val="nil"/>
              <w:left w:val="nil"/>
              <w:bottom w:val="nil"/>
              <w:right w:val="nil"/>
            </w:tcBorders>
            <w:shd w:val="clear" w:color="auto" w:fill="auto"/>
            <w:vAlign w:val="center"/>
          </w:tcPr>
          <w:p w14:paraId="6A1CBD00" w14:textId="77777777" w:rsidR="008B7E19" w:rsidRPr="004B635B"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b/>
                <w:bCs/>
                <w:sz w:val="14"/>
                <w:szCs w:val="14"/>
                <w:highlight w:val="yellow"/>
              </w:rPr>
            </w:pPr>
            <w:r w:rsidRPr="00E50436">
              <w:rPr>
                <w:rFonts w:cs="Arial"/>
                <w:b/>
                <w:bCs/>
                <w:sz w:val="14"/>
                <w:szCs w:val="14"/>
              </w:rPr>
              <w:t>6.391.263</w:t>
            </w:r>
          </w:p>
        </w:tc>
      </w:tr>
      <w:tr w:rsidR="008B7E19" w:rsidRPr="00AC3343" w14:paraId="1E86CB18"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65ADDB2B" w14:textId="77777777" w:rsidR="008B7E19" w:rsidRPr="004B635B" w:rsidRDefault="008B7E19" w:rsidP="008B7E19">
            <w:pPr>
              <w:keepNext/>
              <w:keepLines/>
              <w:spacing w:before="40" w:after="40"/>
              <w:ind w:left="113"/>
              <w:rPr>
                <w:rFonts w:cs="Arial"/>
                <w:b w:val="0"/>
                <w:bCs w:val="0"/>
                <w:color w:val="000000"/>
                <w:sz w:val="14"/>
                <w:szCs w:val="14"/>
              </w:rPr>
            </w:pPr>
            <w:r w:rsidRPr="00A94E39">
              <w:rPr>
                <w:rFonts w:cs="Arial"/>
                <w:b w:val="0"/>
                <w:bCs w:val="0"/>
                <w:color w:val="000000"/>
                <w:sz w:val="14"/>
                <w:szCs w:val="14"/>
              </w:rPr>
              <w:t>Amounts payable</w:t>
            </w:r>
          </w:p>
        </w:tc>
        <w:tc>
          <w:tcPr>
            <w:tcW w:w="3260" w:type="dxa"/>
            <w:tcBorders>
              <w:top w:val="nil"/>
              <w:left w:val="nil"/>
              <w:bottom w:val="nil"/>
              <w:right w:val="nil"/>
            </w:tcBorders>
            <w:shd w:val="clear" w:color="auto" w:fill="auto"/>
            <w:vAlign w:val="center"/>
          </w:tcPr>
          <w:p w14:paraId="59BDE459" w14:textId="77777777" w:rsidR="008B7E19" w:rsidRPr="00AC3343"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highlight w:val="yellow"/>
              </w:rPr>
            </w:pPr>
            <w:r w:rsidRPr="00A46371">
              <w:rPr>
                <w:rFonts w:cs="Arial"/>
                <w:color w:val="000000"/>
                <w:sz w:val="14"/>
                <w:szCs w:val="14"/>
              </w:rPr>
              <w:t>140.755</w:t>
            </w:r>
          </w:p>
        </w:tc>
        <w:tc>
          <w:tcPr>
            <w:tcW w:w="3260" w:type="dxa"/>
            <w:tcBorders>
              <w:top w:val="nil"/>
              <w:left w:val="nil"/>
              <w:bottom w:val="nil"/>
              <w:right w:val="nil"/>
            </w:tcBorders>
            <w:shd w:val="clear" w:color="auto" w:fill="auto"/>
            <w:vAlign w:val="center"/>
          </w:tcPr>
          <w:p w14:paraId="64EE2177" w14:textId="77777777" w:rsidR="008B7E19" w:rsidRPr="00AC3343"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highlight w:val="yellow"/>
              </w:rPr>
            </w:pPr>
            <w:r w:rsidRPr="000C04CB">
              <w:rPr>
                <w:rFonts w:cs="Arial"/>
                <w:sz w:val="14"/>
                <w:szCs w:val="14"/>
              </w:rPr>
              <w:t>184.651</w:t>
            </w:r>
          </w:p>
        </w:tc>
      </w:tr>
      <w:tr w:rsidR="008B7E19" w:rsidRPr="00AC3343" w14:paraId="2EDE5229" w14:textId="77777777" w:rsidTr="008B7E1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342A0AAC" w14:textId="77777777" w:rsidR="008B7E19" w:rsidRPr="004B635B" w:rsidRDefault="008B7E19" w:rsidP="008B7E19">
            <w:pPr>
              <w:keepNext/>
              <w:keepLines/>
              <w:spacing w:before="40" w:after="40"/>
              <w:ind w:left="113"/>
              <w:rPr>
                <w:rFonts w:cs="Arial"/>
                <w:b w:val="0"/>
                <w:bCs w:val="0"/>
                <w:color w:val="000000"/>
                <w:sz w:val="14"/>
                <w:szCs w:val="14"/>
              </w:rPr>
            </w:pPr>
            <w:r>
              <w:rPr>
                <w:rFonts w:cs="Arial"/>
                <w:b w:val="0"/>
                <w:bCs w:val="0"/>
                <w:color w:val="000000"/>
                <w:sz w:val="14"/>
                <w:szCs w:val="14"/>
              </w:rPr>
              <w:t>C</w:t>
            </w:r>
            <w:r w:rsidRPr="00A94E39">
              <w:rPr>
                <w:rFonts w:cs="Arial"/>
                <w:b w:val="0"/>
                <w:bCs w:val="0"/>
                <w:color w:val="000000"/>
                <w:sz w:val="14"/>
                <w:szCs w:val="14"/>
              </w:rPr>
              <w:t>urrent tax liability</w:t>
            </w:r>
          </w:p>
        </w:tc>
        <w:tc>
          <w:tcPr>
            <w:tcW w:w="3260" w:type="dxa"/>
            <w:tcBorders>
              <w:top w:val="nil"/>
              <w:left w:val="nil"/>
              <w:bottom w:val="nil"/>
              <w:right w:val="nil"/>
            </w:tcBorders>
            <w:shd w:val="clear" w:color="auto" w:fill="auto"/>
            <w:vAlign w:val="center"/>
          </w:tcPr>
          <w:p w14:paraId="4BE82FBE" w14:textId="77777777" w:rsidR="008B7E19" w:rsidRPr="00AC3343" w:rsidRDefault="008B7E19" w:rsidP="008B7E19">
            <w:pPr>
              <w:keepNext/>
              <w:keepLines/>
              <w:jc w:val="right"/>
              <w:cnfStyle w:val="000000010000" w:firstRow="0" w:lastRow="0" w:firstColumn="0" w:lastColumn="0" w:oddVBand="0" w:evenVBand="0" w:oddHBand="0" w:evenHBand="1" w:firstRowFirstColumn="0" w:firstRowLastColumn="0" w:lastRowFirstColumn="0" w:lastRowLastColumn="0"/>
              <w:rPr>
                <w:rFonts w:cs="Arial"/>
                <w:color w:val="000000"/>
                <w:sz w:val="14"/>
                <w:szCs w:val="14"/>
                <w:highlight w:val="yellow"/>
              </w:rPr>
            </w:pPr>
            <w:r w:rsidRPr="00A46371">
              <w:rPr>
                <w:rFonts w:cs="Arial"/>
                <w:color w:val="000000"/>
                <w:sz w:val="14"/>
                <w:szCs w:val="14"/>
              </w:rPr>
              <w:t>418.640</w:t>
            </w:r>
          </w:p>
        </w:tc>
        <w:tc>
          <w:tcPr>
            <w:tcW w:w="3260" w:type="dxa"/>
            <w:tcBorders>
              <w:top w:val="nil"/>
              <w:left w:val="nil"/>
              <w:bottom w:val="nil"/>
              <w:right w:val="nil"/>
            </w:tcBorders>
            <w:shd w:val="clear" w:color="auto" w:fill="auto"/>
            <w:vAlign w:val="center"/>
          </w:tcPr>
          <w:p w14:paraId="257C5BE6" w14:textId="77777777" w:rsidR="008B7E19" w:rsidRPr="00AC3343" w:rsidRDefault="008B7E19" w:rsidP="008B7E19">
            <w:pPr>
              <w:keepNext/>
              <w:keepLines/>
              <w:jc w:val="right"/>
              <w:cnfStyle w:val="000000010000" w:firstRow="0" w:lastRow="0" w:firstColumn="0" w:lastColumn="0" w:oddVBand="0" w:evenVBand="0" w:oddHBand="0" w:evenHBand="1" w:firstRowFirstColumn="0" w:firstRowLastColumn="0" w:lastRowFirstColumn="0" w:lastRowLastColumn="0"/>
              <w:rPr>
                <w:rFonts w:cs="Arial"/>
                <w:color w:val="000000"/>
                <w:sz w:val="14"/>
                <w:szCs w:val="14"/>
                <w:highlight w:val="yellow"/>
              </w:rPr>
            </w:pPr>
            <w:r w:rsidRPr="000C04CB">
              <w:rPr>
                <w:rFonts w:cs="Arial"/>
                <w:sz w:val="14"/>
                <w:szCs w:val="14"/>
              </w:rPr>
              <w:t>533.422</w:t>
            </w:r>
          </w:p>
        </w:tc>
      </w:tr>
      <w:tr w:rsidR="008B7E19" w:rsidRPr="00AC3343" w14:paraId="2869CC0C"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2202ACF0" w14:textId="77777777" w:rsidR="008B7E19" w:rsidRPr="004B635B" w:rsidRDefault="008B7E19" w:rsidP="008B7E19">
            <w:pPr>
              <w:keepNext/>
              <w:keepLines/>
              <w:spacing w:before="40" w:after="40"/>
              <w:ind w:left="113"/>
              <w:rPr>
                <w:rFonts w:cs="Arial"/>
                <w:b w:val="0"/>
                <w:bCs w:val="0"/>
                <w:color w:val="000000"/>
                <w:sz w:val="14"/>
                <w:szCs w:val="14"/>
              </w:rPr>
            </w:pPr>
            <w:r w:rsidRPr="00A94E39">
              <w:rPr>
                <w:rFonts w:cs="Arial"/>
                <w:b w:val="0"/>
                <w:bCs w:val="0"/>
                <w:color w:val="000000"/>
                <w:sz w:val="14"/>
                <w:szCs w:val="14"/>
              </w:rPr>
              <w:t>Debt from insurance operations</w:t>
            </w:r>
          </w:p>
        </w:tc>
        <w:tc>
          <w:tcPr>
            <w:tcW w:w="3260" w:type="dxa"/>
            <w:tcBorders>
              <w:top w:val="nil"/>
              <w:left w:val="nil"/>
              <w:bottom w:val="nil"/>
              <w:right w:val="nil"/>
            </w:tcBorders>
            <w:shd w:val="clear" w:color="auto" w:fill="auto"/>
            <w:vAlign w:val="center"/>
          </w:tcPr>
          <w:p w14:paraId="5BB135F2" w14:textId="77777777" w:rsidR="008B7E19" w:rsidRPr="00AC3343"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highlight w:val="yellow"/>
              </w:rPr>
            </w:pPr>
            <w:r>
              <w:rPr>
                <w:rFonts w:cs="Arial"/>
                <w:color w:val="000000"/>
                <w:sz w:val="14"/>
                <w:szCs w:val="14"/>
              </w:rPr>
              <w:t>--</w:t>
            </w:r>
          </w:p>
        </w:tc>
        <w:tc>
          <w:tcPr>
            <w:tcW w:w="3260" w:type="dxa"/>
            <w:tcBorders>
              <w:top w:val="nil"/>
              <w:left w:val="nil"/>
              <w:bottom w:val="nil"/>
              <w:right w:val="nil"/>
            </w:tcBorders>
            <w:shd w:val="clear" w:color="auto" w:fill="auto"/>
            <w:vAlign w:val="center"/>
          </w:tcPr>
          <w:p w14:paraId="386F7F0C" w14:textId="77777777" w:rsidR="008B7E19" w:rsidRPr="00AC3343"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highlight w:val="yellow"/>
              </w:rPr>
            </w:pPr>
            <w:r w:rsidRPr="000C04CB">
              <w:rPr>
                <w:rFonts w:cs="Arial"/>
                <w:color w:val="000000"/>
                <w:sz w:val="14"/>
                <w:szCs w:val="14"/>
              </w:rPr>
              <w:t>16.097</w:t>
            </w:r>
          </w:p>
        </w:tc>
      </w:tr>
      <w:tr w:rsidR="008B7E19" w:rsidRPr="00AC3343" w14:paraId="3267EE3A" w14:textId="77777777" w:rsidTr="008B7E1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7DC5B648" w14:textId="77777777" w:rsidR="008B7E19" w:rsidRPr="004B635B" w:rsidRDefault="008B7E19" w:rsidP="008B7E19">
            <w:pPr>
              <w:keepNext/>
              <w:keepLines/>
              <w:spacing w:before="40" w:after="40"/>
              <w:ind w:left="113"/>
              <w:rPr>
                <w:rFonts w:cs="Arial"/>
                <w:b w:val="0"/>
                <w:bCs w:val="0"/>
                <w:color w:val="000000"/>
                <w:sz w:val="14"/>
                <w:szCs w:val="14"/>
              </w:rPr>
            </w:pPr>
            <w:r w:rsidRPr="00A94E39">
              <w:rPr>
                <w:rFonts w:cs="Arial"/>
                <w:b w:val="0"/>
                <w:bCs w:val="0"/>
                <w:color w:val="000000"/>
                <w:sz w:val="14"/>
                <w:szCs w:val="14"/>
              </w:rPr>
              <w:t xml:space="preserve">Insurance </w:t>
            </w:r>
            <w:r>
              <w:rPr>
                <w:rFonts w:cs="Arial"/>
                <w:b w:val="0"/>
                <w:bCs w:val="0"/>
                <w:color w:val="000000"/>
                <w:sz w:val="14"/>
                <w:szCs w:val="14"/>
              </w:rPr>
              <w:t>c</w:t>
            </w:r>
            <w:r w:rsidRPr="00A94E39">
              <w:rPr>
                <w:rFonts w:cs="Arial"/>
                <w:b w:val="0"/>
                <w:bCs w:val="0"/>
                <w:color w:val="000000"/>
                <w:sz w:val="14"/>
                <w:szCs w:val="14"/>
              </w:rPr>
              <w:t>ontract</w:t>
            </w:r>
          </w:p>
        </w:tc>
        <w:tc>
          <w:tcPr>
            <w:tcW w:w="3260" w:type="dxa"/>
            <w:tcBorders>
              <w:top w:val="nil"/>
              <w:left w:val="nil"/>
              <w:bottom w:val="nil"/>
              <w:right w:val="nil"/>
            </w:tcBorders>
            <w:shd w:val="clear" w:color="auto" w:fill="auto"/>
            <w:vAlign w:val="center"/>
          </w:tcPr>
          <w:p w14:paraId="24EEE4C4" w14:textId="77777777" w:rsidR="008B7E19" w:rsidRPr="00AC3343"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sz w:val="14"/>
                <w:szCs w:val="14"/>
                <w:highlight w:val="yellow"/>
              </w:rPr>
            </w:pPr>
            <w:r w:rsidRPr="00A46371">
              <w:rPr>
                <w:rFonts w:cs="Arial"/>
                <w:color w:val="000000"/>
                <w:sz w:val="14"/>
                <w:szCs w:val="14"/>
              </w:rPr>
              <w:t>5.387.895</w:t>
            </w:r>
          </w:p>
        </w:tc>
        <w:tc>
          <w:tcPr>
            <w:tcW w:w="3260" w:type="dxa"/>
            <w:tcBorders>
              <w:top w:val="nil"/>
              <w:left w:val="nil"/>
              <w:bottom w:val="nil"/>
              <w:right w:val="nil"/>
            </w:tcBorders>
            <w:shd w:val="clear" w:color="auto" w:fill="auto"/>
            <w:vAlign w:val="center"/>
          </w:tcPr>
          <w:p w14:paraId="7BCAE95F" w14:textId="77777777" w:rsidR="008B7E19" w:rsidRPr="00AC3343"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sz w:val="14"/>
                <w:szCs w:val="14"/>
                <w:highlight w:val="yellow"/>
              </w:rPr>
            </w:pPr>
            <w:r w:rsidRPr="000C04CB">
              <w:rPr>
                <w:rFonts w:cs="Arial"/>
                <w:color w:val="000000"/>
                <w:sz w:val="14"/>
                <w:szCs w:val="14"/>
              </w:rPr>
              <w:t>5.639.369</w:t>
            </w:r>
          </w:p>
        </w:tc>
      </w:tr>
      <w:tr w:rsidR="008B7E19" w:rsidRPr="00AC3343" w14:paraId="26D95521"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582B05B4" w14:textId="77777777" w:rsidR="008B7E19" w:rsidRPr="004B635B" w:rsidRDefault="008B7E19" w:rsidP="008B7E19">
            <w:pPr>
              <w:keepNext/>
              <w:keepLines/>
              <w:spacing w:before="40" w:after="40"/>
              <w:ind w:left="113"/>
              <w:rPr>
                <w:rFonts w:cs="Arial"/>
                <w:b w:val="0"/>
                <w:bCs w:val="0"/>
                <w:color w:val="000000"/>
                <w:sz w:val="14"/>
                <w:szCs w:val="14"/>
              </w:rPr>
            </w:pPr>
            <w:r>
              <w:rPr>
                <w:rFonts w:cs="Arial"/>
                <w:b w:val="0"/>
                <w:bCs w:val="0"/>
                <w:color w:val="000000"/>
                <w:sz w:val="14"/>
                <w:szCs w:val="14"/>
              </w:rPr>
              <w:t>Other liabilities</w:t>
            </w:r>
          </w:p>
        </w:tc>
        <w:tc>
          <w:tcPr>
            <w:tcW w:w="3260" w:type="dxa"/>
            <w:tcBorders>
              <w:top w:val="nil"/>
              <w:left w:val="nil"/>
              <w:bottom w:val="nil"/>
              <w:right w:val="nil"/>
            </w:tcBorders>
            <w:shd w:val="clear" w:color="auto" w:fill="auto"/>
            <w:vAlign w:val="center"/>
          </w:tcPr>
          <w:p w14:paraId="0586B40B" w14:textId="77777777" w:rsidR="008B7E19" w:rsidRPr="00AC3343"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highlight w:val="yellow"/>
              </w:rPr>
            </w:pPr>
            <w:r w:rsidRPr="00A46371">
              <w:rPr>
                <w:rFonts w:cs="Arial"/>
                <w:color w:val="000000"/>
                <w:sz w:val="14"/>
                <w:szCs w:val="14"/>
              </w:rPr>
              <w:t>20.248</w:t>
            </w:r>
          </w:p>
        </w:tc>
        <w:tc>
          <w:tcPr>
            <w:tcW w:w="3260" w:type="dxa"/>
            <w:tcBorders>
              <w:top w:val="nil"/>
              <w:left w:val="nil"/>
              <w:bottom w:val="nil"/>
              <w:right w:val="nil"/>
            </w:tcBorders>
            <w:shd w:val="clear" w:color="auto" w:fill="auto"/>
            <w:vAlign w:val="center"/>
          </w:tcPr>
          <w:p w14:paraId="1BB5C1D2" w14:textId="77777777" w:rsidR="008B7E19" w:rsidRPr="00AC3343"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highlight w:val="yellow"/>
              </w:rPr>
            </w:pPr>
            <w:r w:rsidRPr="000C04CB">
              <w:rPr>
                <w:rFonts w:cs="Arial"/>
                <w:sz w:val="14"/>
                <w:szCs w:val="14"/>
              </w:rPr>
              <w:t>17.724</w:t>
            </w:r>
          </w:p>
        </w:tc>
      </w:tr>
      <w:tr w:rsidR="008B7E19" w:rsidRPr="004B635B" w14:paraId="6430226A" w14:textId="77777777" w:rsidTr="008B7E1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7AA3A388" w14:textId="77777777" w:rsidR="008B7E19" w:rsidRPr="004B635B" w:rsidRDefault="008B7E19" w:rsidP="008B7E19">
            <w:pPr>
              <w:keepNext/>
              <w:keepLines/>
              <w:spacing w:before="40" w:after="40"/>
              <w:rPr>
                <w:rFonts w:cs="Arial"/>
                <w:sz w:val="14"/>
                <w:szCs w:val="14"/>
                <w:highlight w:val="yellow"/>
              </w:rPr>
            </w:pPr>
            <w:r>
              <w:rPr>
                <w:rFonts w:cs="Arial"/>
                <w:color w:val="000000"/>
                <w:sz w:val="14"/>
                <w:szCs w:val="14"/>
              </w:rPr>
              <w:t>Non-Current Liabilities</w:t>
            </w:r>
          </w:p>
        </w:tc>
        <w:tc>
          <w:tcPr>
            <w:tcW w:w="3260" w:type="dxa"/>
            <w:tcBorders>
              <w:top w:val="nil"/>
              <w:left w:val="nil"/>
              <w:bottom w:val="nil"/>
              <w:right w:val="nil"/>
            </w:tcBorders>
            <w:shd w:val="clear" w:color="auto" w:fill="auto"/>
            <w:vAlign w:val="center"/>
          </w:tcPr>
          <w:p w14:paraId="72C5A2B9" w14:textId="77777777" w:rsidR="008B7E19" w:rsidRPr="004B635B"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b/>
                <w:bCs/>
                <w:sz w:val="14"/>
                <w:szCs w:val="14"/>
                <w:highlight w:val="yellow"/>
              </w:rPr>
            </w:pPr>
            <w:r w:rsidRPr="00E50436">
              <w:rPr>
                <w:rFonts w:cs="Arial"/>
                <w:b/>
                <w:bCs/>
                <w:color w:val="000000"/>
                <w:sz w:val="14"/>
                <w:szCs w:val="14"/>
              </w:rPr>
              <w:t>3.677.556</w:t>
            </w:r>
          </w:p>
        </w:tc>
        <w:tc>
          <w:tcPr>
            <w:tcW w:w="3260" w:type="dxa"/>
            <w:tcBorders>
              <w:top w:val="nil"/>
              <w:left w:val="nil"/>
              <w:bottom w:val="nil"/>
              <w:right w:val="nil"/>
            </w:tcBorders>
            <w:shd w:val="clear" w:color="auto" w:fill="auto"/>
            <w:vAlign w:val="center"/>
          </w:tcPr>
          <w:p w14:paraId="23007909" w14:textId="77777777" w:rsidR="008B7E19" w:rsidRPr="004B635B"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b/>
                <w:bCs/>
                <w:sz w:val="14"/>
                <w:szCs w:val="14"/>
                <w:highlight w:val="yellow"/>
              </w:rPr>
            </w:pPr>
            <w:r w:rsidRPr="00E50436">
              <w:rPr>
                <w:rFonts w:cs="Arial"/>
                <w:b/>
                <w:bCs/>
                <w:sz w:val="14"/>
                <w:szCs w:val="14"/>
              </w:rPr>
              <w:t>3.618.871</w:t>
            </w:r>
          </w:p>
        </w:tc>
      </w:tr>
      <w:tr w:rsidR="008B7E19" w:rsidRPr="00AC3343" w14:paraId="05886184"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25A515AD" w14:textId="77777777" w:rsidR="008B7E19" w:rsidRPr="004B635B" w:rsidRDefault="008B7E19" w:rsidP="008B7E19">
            <w:pPr>
              <w:keepNext/>
              <w:keepLines/>
              <w:spacing w:before="40" w:after="40"/>
              <w:ind w:left="113"/>
              <w:rPr>
                <w:rFonts w:cs="Arial"/>
                <w:b w:val="0"/>
                <w:bCs w:val="0"/>
                <w:color w:val="000000"/>
                <w:sz w:val="14"/>
                <w:szCs w:val="14"/>
              </w:rPr>
            </w:pPr>
            <w:r w:rsidRPr="00A94E39">
              <w:rPr>
                <w:rFonts w:cs="Arial"/>
                <w:b w:val="0"/>
                <w:bCs w:val="0"/>
                <w:color w:val="000000"/>
                <w:sz w:val="14"/>
                <w:szCs w:val="14"/>
              </w:rPr>
              <w:t xml:space="preserve">Insurance </w:t>
            </w:r>
            <w:r>
              <w:rPr>
                <w:rFonts w:cs="Arial"/>
                <w:b w:val="0"/>
                <w:bCs w:val="0"/>
                <w:color w:val="000000"/>
                <w:sz w:val="14"/>
                <w:szCs w:val="14"/>
              </w:rPr>
              <w:t>c</w:t>
            </w:r>
            <w:r w:rsidRPr="00A94E39">
              <w:rPr>
                <w:rFonts w:cs="Arial"/>
                <w:b w:val="0"/>
                <w:bCs w:val="0"/>
                <w:color w:val="000000"/>
                <w:sz w:val="14"/>
                <w:szCs w:val="14"/>
              </w:rPr>
              <w:t>ontract</w:t>
            </w:r>
          </w:p>
        </w:tc>
        <w:tc>
          <w:tcPr>
            <w:tcW w:w="3260" w:type="dxa"/>
            <w:tcBorders>
              <w:top w:val="nil"/>
              <w:left w:val="nil"/>
              <w:bottom w:val="nil"/>
              <w:right w:val="nil"/>
            </w:tcBorders>
            <w:shd w:val="clear" w:color="auto" w:fill="auto"/>
            <w:vAlign w:val="center"/>
          </w:tcPr>
          <w:p w14:paraId="493D472B" w14:textId="77777777" w:rsidR="008B7E19" w:rsidRPr="00AC3343"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highlight w:val="yellow"/>
              </w:rPr>
            </w:pPr>
            <w:r w:rsidRPr="000C04CB">
              <w:rPr>
                <w:rFonts w:cs="Arial"/>
                <w:color w:val="000000"/>
                <w:sz w:val="14"/>
                <w:szCs w:val="14"/>
              </w:rPr>
              <w:t>2.657.875</w:t>
            </w:r>
          </w:p>
        </w:tc>
        <w:tc>
          <w:tcPr>
            <w:tcW w:w="3260" w:type="dxa"/>
            <w:tcBorders>
              <w:top w:val="nil"/>
              <w:left w:val="nil"/>
              <w:bottom w:val="nil"/>
              <w:right w:val="nil"/>
            </w:tcBorders>
            <w:shd w:val="clear" w:color="auto" w:fill="auto"/>
            <w:vAlign w:val="center"/>
          </w:tcPr>
          <w:p w14:paraId="4EE014BC" w14:textId="77777777" w:rsidR="008B7E19" w:rsidRPr="00AC3343"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highlight w:val="yellow"/>
              </w:rPr>
            </w:pPr>
            <w:r w:rsidRPr="000C04CB">
              <w:rPr>
                <w:rFonts w:cs="Arial"/>
                <w:color w:val="000000"/>
                <w:sz w:val="14"/>
                <w:szCs w:val="14"/>
              </w:rPr>
              <w:t>2.615.17</w:t>
            </w:r>
            <w:r>
              <w:rPr>
                <w:rFonts w:cs="Arial"/>
                <w:color w:val="000000"/>
                <w:sz w:val="14"/>
                <w:szCs w:val="14"/>
              </w:rPr>
              <w:t>5</w:t>
            </w:r>
          </w:p>
        </w:tc>
      </w:tr>
      <w:tr w:rsidR="008B7E19" w:rsidRPr="00AC3343" w14:paraId="2C536566" w14:textId="77777777" w:rsidTr="008B7E1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5C11CA09" w14:textId="77777777" w:rsidR="008B7E19" w:rsidRPr="004B635B" w:rsidRDefault="008B7E19" w:rsidP="008B7E19">
            <w:pPr>
              <w:keepNext/>
              <w:keepLines/>
              <w:spacing w:before="40" w:after="40"/>
              <w:ind w:left="113"/>
              <w:rPr>
                <w:rFonts w:cs="Arial"/>
                <w:b w:val="0"/>
                <w:bCs w:val="0"/>
                <w:color w:val="000000"/>
                <w:sz w:val="14"/>
                <w:szCs w:val="14"/>
              </w:rPr>
            </w:pPr>
            <w:r>
              <w:rPr>
                <w:rFonts w:cs="Arial"/>
                <w:b w:val="0"/>
                <w:bCs w:val="0"/>
                <w:color w:val="000000"/>
                <w:sz w:val="14"/>
                <w:szCs w:val="14"/>
              </w:rPr>
              <w:t>Other liabilities</w:t>
            </w:r>
          </w:p>
        </w:tc>
        <w:tc>
          <w:tcPr>
            <w:tcW w:w="3260" w:type="dxa"/>
            <w:tcBorders>
              <w:top w:val="nil"/>
              <w:left w:val="nil"/>
              <w:bottom w:val="nil"/>
              <w:right w:val="nil"/>
            </w:tcBorders>
            <w:shd w:val="clear" w:color="auto" w:fill="auto"/>
            <w:vAlign w:val="center"/>
          </w:tcPr>
          <w:p w14:paraId="3180A73E" w14:textId="77777777" w:rsidR="008B7E19" w:rsidRPr="00AC3343"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sz w:val="14"/>
                <w:szCs w:val="14"/>
                <w:highlight w:val="yellow"/>
              </w:rPr>
            </w:pPr>
            <w:r w:rsidRPr="000C04CB">
              <w:rPr>
                <w:rFonts w:cs="Arial"/>
                <w:color w:val="000000"/>
                <w:sz w:val="14"/>
                <w:szCs w:val="14"/>
              </w:rPr>
              <w:t>1.019.681</w:t>
            </w:r>
          </w:p>
        </w:tc>
        <w:tc>
          <w:tcPr>
            <w:tcW w:w="3260" w:type="dxa"/>
            <w:tcBorders>
              <w:top w:val="nil"/>
              <w:left w:val="nil"/>
              <w:bottom w:val="nil"/>
              <w:right w:val="nil"/>
            </w:tcBorders>
            <w:shd w:val="clear" w:color="auto" w:fill="auto"/>
            <w:vAlign w:val="center"/>
          </w:tcPr>
          <w:p w14:paraId="2F9CC58C" w14:textId="77777777" w:rsidR="008B7E19" w:rsidRPr="00AC3343"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sz w:val="14"/>
                <w:szCs w:val="14"/>
                <w:highlight w:val="yellow"/>
              </w:rPr>
            </w:pPr>
            <w:r w:rsidRPr="000C04CB">
              <w:rPr>
                <w:rFonts w:cs="Arial"/>
                <w:color w:val="000000"/>
                <w:sz w:val="14"/>
                <w:szCs w:val="14"/>
              </w:rPr>
              <w:t>1.003.696</w:t>
            </w:r>
          </w:p>
        </w:tc>
      </w:tr>
      <w:tr w:rsidR="008B7E19" w:rsidRPr="004B635B" w14:paraId="1BB1FD5C"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1665D638" w14:textId="77777777" w:rsidR="008B7E19" w:rsidRPr="004B635B" w:rsidRDefault="008B7E19" w:rsidP="008B7E19">
            <w:pPr>
              <w:keepNext/>
              <w:keepLines/>
              <w:spacing w:before="40" w:after="40"/>
              <w:rPr>
                <w:rFonts w:cs="Arial"/>
                <w:sz w:val="14"/>
                <w:szCs w:val="14"/>
                <w:highlight w:val="yellow"/>
              </w:rPr>
            </w:pPr>
            <w:r>
              <w:rPr>
                <w:rFonts w:cs="Arial"/>
                <w:color w:val="000000"/>
                <w:sz w:val="14"/>
                <w:szCs w:val="14"/>
              </w:rPr>
              <w:t>Equity</w:t>
            </w:r>
          </w:p>
        </w:tc>
        <w:tc>
          <w:tcPr>
            <w:tcW w:w="3260" w:type="dxa"/>
            <w:tcBorders>
              <w:top w:val="nil"/>
              <w:left w:val="nil"/>
              <w:bottom w:val="nil"/>
              <w:right w:val="nil"/>
            </w:tcBorders>
            <w:shd w:val="clear" w:color="auto" w:fill="auto"/>
            <w:vAlign w:val="center"/>
          </w:tcPr>
          <w:p w14:paraId="5BD7E5DA" w14:textId="77777777" w:rsidR="008B7E19" w:rsidRPr="004B635B"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b/>
                <w:bCs/>
                <w:sz w:val="14"/>
                <w:szCs w:val="14"/>
                <w:highlight w:val="yellow"/>
              </w:rPr>
            </w:pPr>
            <w:r w:rsidRPr="00E50436">
              <w:rPr>
                <w:rFonts w:cs="Arial"/>
                <w:b/>
                <w:bCs/>
                <w:color w:val="000000"/>
                <w:sz w:val="14"/>
                <w:szCs w:val="14"/>
              </w:rPr>
              <w:t>2.337.437</w:t>
            </w:r>
          </w:p>
        </w:tc>
        <w:tc>
          <w:tcPr>
            <w:tcW w:w="3260" w:type="dxa"/>
            <w:tcBorders>
              <w:top w:val="nil"/>
              <w:left w:val="nil"/>
              <w:bottom w:val="nil"/>
              <w:right w:val="nil"/>
            </w:tcBorders>
            <w:shd w:val="clear" w:color="auto" w:fill="auto"/>
            <w:vAlign w:val="center"/>
          </w:tcPr>
          <w:p w14:paraId="0499CF4A" w14:textId="77777777" w:rsidR="008B7E19" w:rsidRPr="004B635B"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b/>
                <w:bCs/>
                <w:sz w:val="14"/>
                <w:szCs w:val="14"/>
                <w:highlight w:val="yellow"/>
              </w:rPr>
            </w:pPr>
            <w:r w:rsidRPr="00E50436">
              <w:rPr>
                <w:rFonts w:cs="Arial"/>
                <w:b/>
                <w:bCs/>
                <w:sz w:val="14"/>
                <w:szCs w:val="14"/>
              </w:rPr>
              <w:t>2.117.672</w:t>
            </w:r>
          </w:p>
        </w:tc>
      </w:tr>
      <w:tr w:rsidR="008B7E19" w:rsidRPr="00AC3343" w14:paraId="53142ACE" w14:textId="77777777" w:rsidTr="008B7E1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16518419" w14:textId="77777777" w:rsidR="008B7E19" w:rsidRPr="004B635B" w:rsidRDefault="008B7E19" w:rsidP="008B7E19">
            <w:pPr>
              <w:keepNext/>
              <w:keepLines/>
              <w:spacing w:before="40" w:after="40"/>
              <w:ind w:left="113"/>
              <w:rPr>
                <w:rFonts w:cs="Arial"/>
                <w:b w:val="0"/>
                <w:bCs w:val="0"/>
                <w:color w:val="000000"/>
                <w:sz w:val="14"/>
                <w:szCs w:val="14"/>
              </w:rPr>
            </w:pPr>
            <w:r>
              <w:rPr>
                <w:rFonts w:cs="Arial"/>
                <w:b w:val="0"/>
                <w:bCs w:val="0"/>
                <w:color w:val="000000"/>
                <w:sz w:val="14"/>
                <w:szCs w:val="14"/>
              </w:rPr>
              <w:t>Capital and reserves</w:t>
            </w:r>
          </w:p>
        </w:tc>
        <w:tc>
          <w:tcPr>
            <w:tcW w:w="3260" w:type="dxa"/>
            <w:tcBorders>
              <w:top w:val="nil"/>
              <w:left w:val="nil"/>
              <w:bottom w:val="nil"/>
              <w:right w:val="nil"/>
            </w:tcBorders>
            <w:shd w:val="clear" w:color="auto" w:fill="auto"/>
            <w:vAlign w:val="center"/>
          </w:tcPr>
          <w:p w14:paraId="5045661C" w14:textId="77777777" w:rsidR="008B7E19" w:rsidRPr="00AC3343"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sz w:val="14"/>
                <w:szCs w:val="14"/>
                <w:highlight w:val="yellow"/>
              </w:rPr>
            </w:pPr>
            <w:r w:rsidRPr="000C04CB">
              <w:rPr>
                <w:rFonts w:cs="Arial"/>
                <w:color w:val="000000"/>
                <w:sz w:val="14"/>
                <w:szCs w:val="14"/>
              </w:rPr>
              <w:t>731.583</w:t>
            </w:r>
          </w:p>
        </w:tc>
        <w:tc>
          <w:tcPr>
            <w:tcW w:w="3260" w:type="dxa"/>
            <w:tcBorders>
              <w:top w:val="nil"/>
              <w:left w:val="nil"/>
              <w:bottom w:val="nil"/>
              <w:right w:val="nil"/>
            </w:tcBorders>
            <w:shd w:val="clear" w:color="auto" w:fill="auto"/>
            <w:vAlign w:val="center"/>
          </w:tcPr>
          <w:p w14:paraId="116B0E66" w14:textId="77777777" w:rsidR="008B7E19" w:rsidRPr="00AC3343"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sz w:val="14"/>
                <w:szCs w:val="14"/>
                <w:highlight w:val="yellow"/>
              </w:rPr>
            </w:pPr>
            <w:r w:rsidRPr="000C04CB">
              <w:rPr>
                <w:rFonts w:cs="Arial"/>
                <w:sz w:val="14"/>
                <w:szCs w:val="14"/>
              </w:rPr>
              <w:t>2.055.510</w:t>
            </w:r>
          </w:p>
        </w:tc>
      </w:tr>
      <w:tr w:rsidR="008B7E19" w:rsidRPr="006F1964" w14:paraId="3FBCBB49"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47BB132D" w14:textId="77777777" w:rsidR="008B7E19" w:rsidRPr="006F1964" w:rsidRDefault="008B7E19" w:rsidP="008B7E19">
            <w:pPr>
              <w:keepNext/>
              <w:keepLines/>
              <w:spacing w:before="40" w:after="40"/>
              <w:ind w:left="113"/>
              <w:rPr>
                <w:rFonts w:cs="Arial"/>
                <w:b w:val="0"/>
                <w:bCs w:val="0"/>
                <w:color w:val="000000"/>
                <w:sz w:val="14"/>
                <w:szCs w:val="14"/>
              </w:rPr>
            </w:pPr>
            <w:r>
              <w:rPr>
                <w:rFonts w:cs="Arial"/>
                <w:b w:val="0"/>
                <w:bCs w:val="0"/>
                <w:color w:val="000000"/>
                <w:sz w:val="14"/>
                <w:szCs w:val="14"/>
              </w:rPr>
              <w:t>Retained earnings</w:t>
            </w:r>
          </w:p>
        </w:tc>
        <w:tc>
          <w:tcPr>
            <w:tcW w:w="3260" w:type="dxa"/>
            <w:tcBorders>
              <w:top w:val="nil"/>
              <w:left w:val="nil"/>
              <w:bottom w:val="nil"/>
              <w:right w:val="nil"/>
            </w:tcBorders>
            <w:shd w:val="clear" w:color="auto" w:fill="auto"/>
            <w:vAlign w:val="center"/>
          </w:tcPr>
          <w:p w14:paraId="6EDB863A" w14:textId="77777777" w:rsidR="008B7E19" w:rsidRPr="006F1964"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rPr>
            </w:pPr>
            <w:r w:rsidRPr="00A46371">
              <w:rPr>
                <w:rFonts w:cs="Arial"/>
                <w:color w:val="000000"/>
                <w:sz w:val="14"/>
                <w:szCs w:val="14"/>
              </w:rPr>
              <w:t>1.658.149</w:t>
            </w:r>
          </w:p>
        </w:tc>
        <w:tc>
          <w:tcPr>
            <w:tcW w:w="3260" w:type="dxa"/>
            <w:tcBorders>
              <w:top w:val="nil"/>
              <w:left w:val="nil"/>
              <w:bottom w:val="nil"/>
              <w:right w:val="nil"/>
            </w:tcBorders>
            <w:shd w:val="clear" w:color="auto" w:fill="auto"/>
            <w:vAlign w:val="center"/>
          </w:tcPr>
          <w:p w14:paraId="76B959F3" w14:textId="77777777" w:rsidR="008B7E19" w:rsidRPr="006F1964"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rPr>
            </w:pPr>
            <w:r w:rsidRPr="000C04CB">
              <w:rPr>
                <w:rFonts w:cs="Arial"/>
                <w:sz w:val="14"/>
                <w:szCs w:val="14"/>
              </w:rPr>
              <w:t>184.473</w:t>
            </w:r>
          </w:p>
        </w:tc>
      </w:tr>
      <w:tr w:rsidR="008B7E19" w:rsidRPr="006F1964" w14:paraId="5F7452A7" w14:textId="77777777" w:rsidTr="008B7E1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4669AAAC" w14:textId="77777777" w:rsidR="008B7E19" w:rsidRPr="006F1964" w:rsidRDefault="008B7E19" w:rsidP="008B7E19">
            <w:pPr>
              <w:keepNext/>
              <w:keepLines/>
              <w:spacing w:before="40" w:after="40"/>
              <w:ind w:left="113"/>
              <w:rPr>
                <w:rFonts w:cs="Arial"/>
                <w:b w:val="0"/>
                <w:bCs w:val="0"/>
                <w:color w:val="000000"/>
                <w:sz w:val="14"/>
                <w:szCs w:val="14"/>
              </w:rPr>
            </w:pPr>
            <w:r>
              <w:rPr>
                <w:rFonts w:cs="Arial"/>
                <w:b w:val="0"/>
                <w:bCs w:val="0"/>
                <w:color w:val="000000"/>
                <w:sz w:val="14"/>
                <w:szCs w:val="14"/>
              </w:rPr>
              <w:t>Other comprehensive results</w:t>
            </w:r>
          </w:p>
        </w:tc>
        <w:tc>
          <w:tcPr>
            <w:tcW w:w="3260" w:type="dxa"/>
            <w:tcBorders>
              <w:top w:val="nil"/>
              <w:left w:val="nil"/>
              <w:bottom w:val="nil"/>
              <w:right w:val="nil"/>
            </w:tcBorders>
            <w:shd w:val="clear" w:color="auto" w:fill="auto"/>
            <w:vAlign w:val="center"/>
          </w:tcPr>
          <w:p w14:paraId="5EC56971" w14:textId="77777777" w:rsidR="008B7E19" w:rsidRPr="006F1964"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sz w:val="14"/>
                <w:szCs w:val="14"/>
              </w:rPr>
            </w:pPr>
            <w:r w:rsidRPr="00A46371">
              <w:rPr>
                <w:rFonts w:cs="Arial"/>
                <w:color w:val="000000"/>
                <w:sz w:val="14"/>
                <w:szCs w:val="14"/>
              </w:rPr>
              <w:t>(52.295)</w:t>
            </w:r>
          </w:p>
        </w:tc>
        <w:tc>
          <w:tcPr>
            <w:tcW w:w="3260" w:type="dxa"/>
            <w:tcBorders>
              <w:top w:val="nil"/>
              <w:left w:val="nil"/>
              <w:bottom w:val="nil"/>
              <w:right w:val="nil"/>
            </w:tcBorders>
            <w:shd w:val="clear" w:color="auto" w:fill="auto"/>
            <w:vAlign w:val="center"/>
          </w:tcPr>
          <w:p w14:paraId="566AEF8A" w14:textId="77777777" w:rsidR="008B7E19" w:rsidRPr="006F1964"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sz w:val="14"/>
                <w:szCs w:val="14"/>
              </w:rPr>
            </w:pPr>
            <w:r w:rsidRPr="000C04CB">
              <w:rPr>
                <w:rFonts w:cs="Arial"/>
                <w:sz w:val="14"/>
                <w:szCs w:val="14"/>
              </w:rPr>
              <w:t>(122.311)</w:t>
            </w:r>
          </w:p>
        </w:tc>
      </w:tr>
      <w:tr w:rsidR="008B7E19" w:rsidRPr="004B635B" w14:paraId="32CF6107"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single" w:sz="2" w:space="0" w:color="1F4E79" w:themeColor="accent1" w:themeShade="80"/>
              <w:right w:val="nil"/>
            </w:tcBorders>
            <w:shd w:val="clear" w:color="auto" w:fill="auto"/>
            <w:vAlign w:val="center"/>
          </w:tcPr>
          <w:p w14:paraId="0C93C27D" w14:textId="77777777" w:rsidR="008B7E19" w:rsidRPr="004B635B" w:rsidRDefault="008B7E19" w:rsidP="008B7E19">
            <w:pPr>
              <w:keepNext/>
              <w:keepLines/>
              <w:spacing w:before="40" w:after="40"/>
              <w:rPr>
                <w:rFonts w:cs="Arial"/>
                <w:sz w:val="14"/>
                <w:szCs w:val="14"/>
                <w:highlight w:val="yellow"/>
              </w:rPr>
            </w:pPr>
            <w:r>
              <w:rPr>
                <w:rFonts w:cs="Arial"/>
                <w:color w:val="000000"/>
                <w:sz w:val="14"/>
                <w:szCs w:val="14"/>
              </w:rPr>
              <w:t>Liabilities and Equity</w:t>
            </w:r>
          </w:p>
        </w:tc>
        <w:tc>
          <w:tcPr>
            <w:tcW w:w="3260" w:type="dxa"/>
            <w:tcBorders>
              <w:top w:val="nil"/>
              <w:left w:val="nil"/>
              <w:bottom w:val="single" w:sz="2" w:space="0" w:color="1F4E79" w:themeColor="accent1" w:themeShade="80"/>
              <w:right w:val="nil"/>
            </w:tcBorders>
            <w:shd w:val="clear" w:color="auto" w:fill="auto"/>
            <w:vAlign w:val="center"/>
          </w:tcPr>
          <w:p w14:paraId="1B98E584" w14:textId="77777777" w:rsidR="008B7E19" w:rsidRPr="004B635B"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b/>
                <w:bCs/>
                <w:sz w:val="14"/>
                <w:szCs w:val="14"/>
                <w:highlight w:val="yellow"/>
              </w:rPr>
            </w:pPr>
            <w:r w:rsidRPr="00E50436">
              <w:rPr>
                <w:rFonts w:cs="Arial"/>
                <w:b/>
                <w:bCs/>
                <w:color w:val="000000"/>
                <w:sz w:val="14"/>
                <w:szCs w:val="14"/>
              </w:rPr>
              <w:t>11.982.531</w:t>
            </w:r>
          </w:p>
        </w:tc>
        <w:tc>
          <w:tcPr>
            <w:tcW w:w="3260" w:type="dxa"/>
            <w:tcBorders>
              <w:top w:val="nil"/>
              <w:left w:val="nil"/>
              <w:bottom w:val="single" w:sz="2" w:space="0" w:color="1F4E79" w:themeColor="accent1" w:themeShade="80"/>
              <w:right w:val="nil"/>
            </w:tcBorders>
            <w:shd w:val="clear" w:color="auto" w:fill="auto"/>
            <w:vAlign w:val="center"/>
          </w:tcPr>
          <w:p w14:paraId="53A9C3F5" w14:textId="77777777" w:rsidR="008B7E19" w:rsidRPr="004B635B"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b/>
                <w:bCs/>
                <w:sz w:val="14"/>
                <w:szCs w:val="14"/>
                <w:highlight w:val="yellow"/>
              </w:rPr>
            </w:pPr>
            <w:r w:rsidRPr="00E50436">
              <w:rPr>
                <w:rFonts w:cs="Arial"/>
                <w:b/>
                <w:bCs/>
                <w:sz w:val="14"/>
                <w:szCs w:val="14"/>
              </w:rPr>
              <w:t>12.127.806</w:t>
            </w:r>
          </w:p>
        </w:tc>
      </w:tr>
    </w:tbl>
    <w:p w14:paraId="58CA06E8" w14:textId="77777777" w:rsidR="008B7E19" w:rsidRDefault="008B7E19" w:rsidP="008B7E19">
      <w:pPr>
        <w:keepNext/>
        <w:keepLines/>
        <w:spacing w:after="0" w:line="240" w:lineRule="auto"/>
        <w:rPr>
          <w:rFonts w:eastAsia="Times New Roman" w:cs="Times New Roman"/>
          <w:b/>
          <w:color w:val="1F4E79" w:themeColor="accent1" w:themeShade="80"/>
          <w:spacing w:val="-2"/>
          <w:szCs w:val="20"/>
          <w:lang w:eastAsia="pt-BR"/>
        </w:rPr>
      </w:pPr>
    </w:p>
    <w:p w14:paraId="5977E96A" w14:textId="77777777" w:rsidR="008B7E19" w:rsidRPr="00FC09E4" w:rsidRDefault="008B7E19" w:rsidP="008B7E19">
      <w:pPr>
        <w:pageBreakBefore/>
        <w:spacing w:after="0" w:line="240" w:lineRule="auto"/>
        <w:rPr>
          <w:rFonts w:eastAsia="Times New Roman" w:cs="Times New Roman"/>
          <w:b/>
          <w:color w:val="1F4E79" w:themeColor="accent1" w:themeShade="80"/>
          <w:spacing w:val="-2"/>
          <w:szCs w:val="20"/>
          <w:lang w:val="en-US" w:eastAsia="pt-BR"/>
        </w:rPr>
      </w:pPr>
      <w:r w:rsidRPr="00FC09E4">
        <w:rPr>
          <w:rFonts w:eastAsia="Times New Roman" w:cs="Times New Roman"/>
          <w:b/>
          <w:color w:val="1F4E79" w:themeColor="accent1" w:themeShade="80"/>
          <w:spacing w:val="-2"/>
          <w:szCs w:val="20"/>
          <w:lang w:val="en-US" w:eastAsia="pt-BR"/>
        </w:rPr>
        <w:t>Information for comparison purposes</w:t>
      </w:r>
    </w:p>
    <w:p w14:paraId="6842805D" w14:textId="77777777" w:rsidR="008B7E19" w:rsidRPr="00FC09E4" w:rsidRDefault="008B7E19" w:rsidP="008B7E19">
      <w:pPr>
        <w:spacing w:after="0" w:line="240" w:lineRule="auto"/>
        <w:jc w:val="right"/>
        <w:rPr>
          <w:rFonts w:cs="Arial"/>
          <w:b/>
          <w:sz w:val="14"/>
          <w:lang w:val="en-US" w:eastAsia="pt-BR"/>
        </w:rPr>
      </w:pPr>
      <w:r w:rsidRPr="00FC09E4">
        <w:rPr>
          <w:rFonts w:cs="Arial"/>
          <w:b/>
          <w:sz w:val="14"/>
          <w:lang w:val="en-US" w:eastAsia="pt-BR"/>
        </w:rPr>
        <w:t>R$ thousand</w:t>
      </w:r>
    </w:p>
    <w:tbl>
      <w:tblPr>
        <w:tblStyle w:val="TabeladeLista6Colorida-nfase512"/>
        <w:tblW w:w="9639" w:type="dxa"/>
        <w:jc w:val="center"/>
        <w:tblInd w:w="0" w:type="dxa"/>
        <w:tblLayout w:type="fixed"/>
        <w:tblLook w:val="04A0" w:firstRow="1" w:lastRow="0" w:firstColumn="1" w:lastColumn="0" w:noHBand="0" w:noVBand="1"/>
      </w:tblPr>
      <w:tblGrid>
        <w:gridCol w:w="2803"/>
        <w:gridCol w:w="1709"/>
        <w:gridCol w:w="1709"/>
        <w:gridCol w:w="1709"/>
        <w:gridCol w:w="1709"/>
      </w:tblGrid>
      <w:tr w:rsidR="008B7E19" w:rsidRPr="00537AE7" w14:paraId="543579C1" w14:textId="77777777" w:rsidTr="008B7E19">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single" w:sz="2" w:space="0" w:color="1F4E79" w:themeColor="accent1" w:themeShade="80"/>
              <w:left w:val="nil"/>
              <w:bottom w:val="single" w:sz="2" w:space="0" w:color="1F4E79" w:themeColor="accent1" w:themeShade="80"/>
              <w:right w:val="nil"/>
            </w:tcBorders>
            <w:shd w:val="clear" w:color="auto" w:fill="auto"/>
            <w:vAlign w:val="center"/>
          </w:tcPr>
          <w:p w14:paraId="5A436F76" w14:textId="77777777" w:rsidR="008B7E19" w:rsidRPr="00FC09E4" w:rsidRDefault="008B7E19" w:rsidP="008B7E19">
            <w:pPr>
              <w:jc w:val="center"/>
              <w:rPr>
                <w:rFonts w:cs="Arial"/>
                <w:sz w:val="14"/>
                <w:szCs w:val="14"/>
                <w:lang w:val="en-US"/>
              </w:rPr>
            </w:pPr>
          </w:p>
        </w:tc>
        <w:tc>
          <w:tcPr>
            <w:tcW w:w="1709" w:type="dxa"/>
            <w:tcBorders>
              <w:top w:val="single" w:sz="2" w:space="0" w:color="1F4E79" w:themeColor="accent1" w:themeShade="80"/>
              <w:left w:val="nil"/>
              <w:bottom w:val="single" w:sz="2" w:space="0" w:color="1F4E79" w:themeColor="accent1" w:themeShade="80"/>
              <w:right w:val="nil"/>
            </w:tcBorders>
            <w:shd w:val="clear" w:color="auto" w:fill="auto"/>
            <w:vAlign w:val="center"/>
          </w:tcPr>
          <w:p w14:paraId="6817EF7C" w14:textId="77777777" w:rsidR="008B7E19" w:rsidRDefault="008B7E19" w:rsidP="008B7E19">
            <w:pPr>
              <w:jc w:val="right"/>
              <w:cnfStyle w:val="100000000000" w:firstRow="1" w:lastRow="0" w:firstColumn="0" w:lastColumn="0" w:oddVBand="0" w:evenVBand="0" w:oddHBand="0" w:evenHBand="0" w:firstRowFirstColumn="0" w:firstRowLastColumn="0" w:lastRowFirstColumn="0" w:lastRowLastColumn="0"/>
              <w:rPr>
                <w:rFonts w:cs="Arial"/>
                <w:sz w:val="14"/>
                <w:szCs w:val="14"/>
              </w:rPr>
            </w:pPr>
            <w:r w:rsidRPr="00925790">
              <w:rPr>
                <w:rFonts w:cs="Arial"/>
                <w:sz w:val="14"/>
                <w:szCs w:val="14"/>
              </w:rPr>
              <w:t>2</w:t>
            </w:r>
            <w:r w:rsidRPr="00925790">
              <w:rPr>
                <w:rFonts w:cs="Arial"/>
                <w:sz w:val="14"/>
                <w:szCs w:val="14"/>
                <w:vertAlign w:val="superscript"/>
              </w:rPr>
              <w:t>nd</w:t>
            </w:r>
            <w:r w:rsidRPr="00925790">
              <w:rPr>
                <w:rFonts w:cs="Arial"/>
                <w:sz w:val="14"/>
                <w:szCs w:val="14"/>
              </w:rPr>
              <w:t xml:space="preserve"> Quarter 2023</w:t>
            </w:r>
          </w:p>
        </w:tc>
        <w:tc>
          <w:tcPr>
            <w:tcW w:w="1709" w:type="dxa"/>
            <w:tcBorders>
              <w:top w:val="single" w:sz="2" w:space="0" w:color="1F4E79" w:themeColor="accent1" w:themeShade="80"/>
              <w:left w:val="nil"/>
              <w:bottom w:val="single" w:sz="2" w:space="0" w:color="1F4E79" w:themeColor="accent1" w:themeShade="80"/>
              <w:right w:val="nil"/>
            </w:tcBorders>
            <w:shd w:val="clear" w:color="auto" w:fill="auto"/>
            <w:vAlign w:val="center"/>
          </w:tcPr>
          <w:p w14:paraId="794B5E48" w14:textId="77777777" w:rsidR="008B7E19" w:rsidRDefault="008B7E19" w:rsidP="008B7E19">
            <w:pPr>
              <w:jc w:val="right"/>
              <w:cnfStyle w:val="100000000000" w:firstRow="1" w:lastRow="0" w:firstColumn="0" w:lastColumn="0" w:oddVBand="0" w:evenVBand="0" w:oddHBand="0" w:evenHBand="0" w:firstRowFirstColumn="0" w:firstRowLastColumn="0" w:lastRowFirstColumn="0" w:lastRowLastColumn="0"/>
              <w:rPr>
                <w:rFonts w:cs="Arial"/>
                <w:sz w:val="14"/>
                <w:szCs w:val="14"/>
              </w:rPr>
            </w:pPr>
            <w:r w:rsidRPr="00925790">
              <w:rPr>
                <w:rFonts w:cs="Arial"/>
                <w:sz w:val="14"/>
                <w:szCs w:val="14"/>
              </w:rPr>
              <w:t>1</w:t>
            </w:r>
            <w:r w:rsidRPr="00925790">
              <w:rPr>
                <w:rFonts w:cs="Arial"/>
                <w:sz w:val="14"/>
                <w:szCs w:val="14"/>
                <w:vertAlign w:val="superscript"/>
              </w:rPr>
              <w:t>st</w:t>
            </w:r>
            <w:r w:rsidRPr="00925790">
              <w:rPr>
                <w:rFonts w:cs="Arial"/>
                <w:sz w:val="14"/>
                <w:szCs w:val="14"/>
              </w:rPr>
              <w:t xml:space="preserve"> Half 2023</w:t>
            </w:r>
          </w:p>
        </w:tc>
        <w:tc>
          <w:tcPr>
            <w:tcW w:w="1709" w:type="dxa"/>
            <w:tcBorders>
              <w:top w:val="single" w:sz="2" w:space="0" w:color="1F4E79" w:themeColor="accent1" w:themeShade="80"/>
              <w:left w:val="nil"/>
              <w:bottom w:val="single" w:sz="2" w:space="0" w:color="1F4E79" w:themeColor="accent1" w:themeShade="80"/>
              <w:right w:val="nil"/>
            </w:tcBorders>
            <w:shd w:val="clear" w:color="auto" w:fill="auto"/>
            <w:vAlign w:val="center"/>
          </w:tcPr>
          <w:p w14:paraId="5B6CE21F" w14:textId="77777777" w:rsidR="008B7E19" w:rsidRPr="00537AE7" w:rsidRDefault="008B7E19" w:rsidP="008B7E19">
            <w:pPr>
              <w:jc w:val="right"/>
              <w:cnfStyle w:val="100000000000" w:firstRow="1" w:lastRow="0" w:firstColumn="0" w:lastColumn="0" w:oddVBand="0" w:evenVBand="0" w:oddHBand="0" w:evenHBand="0" w:firstRowFirstColumn="0" w:firstRowLastColumn="0" w:lastRowFirstColumn="0" w:lastRowLastColumn="0"/>
              <w:rPr>
                <w:rFonts w:cs="Arial"/>
                <w:b w:val="0"/>
                <w:sz w:val="14"/>
                <w:szCs w:val="14"/>
              </w:rPr>
            </w:pPr>
            <w:r w:rsidRPr="00925790">
              <w:rPr>
                <w:rFonts w:cs="Arial"/>
                <w:sz w:val="14"/>
                <w:szCs w:val="14"/>
              </w:rPr>
              <w:t>2</w:t>
            </w:r>
            <w:r w:rsidRPr="00925790">
              <w:rPr>
                <w:rFonts w:cs="Arial"/>
                <w:sz w:val="14"/>
                <w:szCs w:val="14"/>
                <w:vertAlign w:val="superscript"/>
              </w:rPr>
              <w:t>nd</w:t>
            </w:r>
            <w:r w:rsidRPr="00925790">
              <w:rPr>
                <w:rFonts w:cs="Arial"/>
                <w:sz w:val="14"/>
                <w:szCs w:val="14"/>
              </w:rPr>
              <w:t xml:space="preserve"> Quarter 2022</w:t>
            </w:r>
          </w:p>
        </w:tc>
        <w:tc>
          <w:tcPr>
            <w:tcW w:w="1709" w:type="dxa"/>
            <w:tcBorders>
              <w:top w:val="single" w:sz="2" w:space="0" w:color="1F4E79" w:themeColor="accent1" w:themeShade="80"/>
              <w:left w:val="nil"/>
              <w:bottom w:val="single" w:sz="2" w:space="0" w:color="1F4E79" w:themeColor="accent1" w:themeShade="80"/>
              <w:right w:val="nil"/>
            </w:tcBorders>
            <w:shd w:val="clear" w:color="auto" w:fill="auto"/>
            <w:vAlign w:val="center"/>
          </w:tcPr>
          <w:p w14:paraId="7B2BA3BD" w14:textId="77777777" w:rsidR="008B7E19" w:rsidRPr="00537AE7" w:rsidRDefault="008B7E19" w:rsidP="008B7E19">
            <w:pPr>
              <w:jc w:val="right"/>
              <w:cnfStyle w:val="100000000000" w:firstRow="1" w:lastRow="0" w:firstColumn="0" w:lastColumn="0" w:oddVBand="0" w:evenVBand="0" w:oddHBand="0" w:evenHBand="0" w:firstRowFirstColumn="0" w:firstRowLastColumn="0" w:lastRowFirstColumn="0" w:lastRowLastColumn="0"/>
              <w:rPr>
                <w:rFonts w:cs="Arial"/>
                <w:sz w:val="14"/>
                <w:szCs w:val="14"/>
              </w:rPr>
            </w:pPr>
            <w:r w:rsidRPr="00925790">
              <w:rPr>
                <w:rFonts w:cs="Arial"/>
                <w:sz w:val="14"/>
                <w:szCs w:val="14"/>
              </w:rPr>
              <w:t>1</w:t>
            </w:r>
            <w:r w:rsidRPr="00925790">
              <w:rPr>
                <w:rFonts w:cs="Arial"/>
                <w:sz w:val="14"/>
                <w:szCs w:val="14"/>
                <w:vertAlign w:val="superscript"/>
              </w:rPr>
              <w:t>st</w:t>
            </w:r>
            <w:r w:rsidRPr="00925790">
              <w:rPr>
                <w:rFonts w:cs="Arial"/>
                <w:sz w:val="14"/>
                <w:szCs w:val="14"/>
              </w:rPr>
              <w:t xml:space="preserve"> Half 2022</w:t>
            </w:r>
          </w:p>
        </w:tc>
      </w:tr>
      <w:tr w:rsidR="008B7E19" w:rsidRPr="00026122" w14:paraId="4274AD9F"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single" w:sz="2" w:space="0" w:color="1F4E79" w:themeColor="accent1" w:themeShade="80"/>
              <w:left w:val="nil"/>
              <w:bottom w:val="nil"/>
              <w:right w:val="nil"/>
            </w:tcBorders>
            <w:shd w:val="clear" w:color="auto" w:fill="auto"/>
            <w:vAlign w:val="center"/>
          </w:tcPr>
          <w:p w14:paraId="228CB0C4" w14:textId="77777777" w:rsidR="008B7E19" w:rsidRPr="00026122" w:rsidRDefault="008B7E19" w:rsidP="008B7E19">
            <w:pPr>
              <w:keepNext/>
              <w:keepLines/>
              <w:rPr>
                <w:rFonts w:eastAsia="Times New Roman" w:cs="Arial"/>
                <w:b w:val="0"/>
                <w:bCs w:val="0"/>
                <w:spacing w:val="-2"/>
                <w:sz w:val="14"/>
                <w:szCs w:val="14"/>
              </w:rPr>
            </w:pPr>
            <w:r w:rsidRPr="00FC09E4">
              <w:rPr>
                <w:rFonts w:cs="Arial"/>
                <w:b w:val="0"/>
                <w:bCs w:val="0"/>
                <w:sz w:val="14"/>
                <w:szCs w:val="14"/>
              </w:rPr>
              <w:t>Net income</w:t>
            </w:r>
            <w:r w:rsidRPr="00026122">
              <w:rPr>
                <w:rFonts w:cs="Arial"/>
                <w:b w:val="0"/>
                <w:bCs w:val="0"/>
                <w:sz w:val="14"/>
                <w:szCs w:val="14"/>
              </w:rPr>
              <w:t xml:space="preserve"> (SUSEP)</w:t>
            </w:r>
          </w:p>
        </w:tc>
        <w:tc>
          <w:tcPr>
            <w:tcW w:w="1709" w:type="dxa"/>
            <w:tcBorders>
              <w:top w:val="single" w:sz="2" w:space="0" w:color="1F4E79" w:themeColor="accent1" w:themeShade="80"/>
              <w:left w:val="nil"/>
              <w:bottom w:val="nil"/>
              <w:right w:val="nil"/>
            </w:tcBorders>
            <w:shd w:val="clear" w:color="auto" w:fill="auto"/>
            <w:vAlign w:val="center"/>
          </w:tcPr>
          <w:p w14:paraId="0A6605E8" w14:textId="77777777" w:rsidR="008B7E19" w:rsidRPr="00026122"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rPr>
            </w:pPr>
            <w:r w:rsidRPr="00AE145F">
              <w:rPr>
                <w:rFonts w:cs="Arial"/>
                <w:sz w:val="14"/>
                <w:szCs w:val="14"/>
              </w:rPr>
              <w:t xml:space="preserve"> 962</w:t>
            </w:r>
            <w:r>
              <w:rPr>
                <w:rFonts w:cs="Arial"/>
                <w:sz w:val="14"/>
                <w:szCs w:val="14"/>
              </w:rPr>
              <w:t>,</w:t>
            </w:r>
            <w:r w:rsidRPr="00AE145F">
              <w:rPr>
                <w:rFonts w:cs="Arial"/>
                <w:sz w:val="14"/>
                <w:szCs w:val="14"/>
              </w:rPr>
              <w:t xml:space="preserve">168 </w:t>
            </w:r>
          </w:p>
        </w:tc>
        <w:tc>
          <w:tcPr>
            <w:tcW w:w="1709" w:type="dxa"/>
            <w:tcBorders>
              <w:top w:val="single" w:sz="2" w:space="0" w:color="1F4E79" w:themeColor="accent1" w:themeShade="80"/>
              <w:left w:val="nil"/>
              <w:bottom w:val="nil"/>
              <w:right w:val="nil"/>
            </w:tcBorders>
            <w:shd w:val="clear" w:color="auto" w:fill="auto"/>
            <w:vAlign w:val="center"/>
          </w:tcPr>
          <w:p w14:paraId="06FD3953" w14:textId="77777777" w:rsidR="008B7E19" w:rsidRPr="00026122"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rPr>
            </w:pPr>
            <w:r w:rsidRPr="00AE145F">
              <w:rPr>
                <w:rFonts w:cs="Arial"/>
                <w:sz w:val="14"/>
                <w:szCs w:val="14"/>
              </w:rPr>
              <w:t xml:space="preserve"> 1</w:t>
            </w:r>
            <w:r>
              <w:rPr>
                <w:rFonts w:cs="Arial"/>
                <w:sz w:val="14"/>
                <w:szCs w:val="14"/>
              </w:rPr>
              <w:t>,</w:t>
            </w:r>
            <w:r w:rsidRPr="00AE145F">
              <w:rPr>
                <w:rFonts w:cs="Arial"/>
                <w:sz w:val="14"/>
                <w:szCs w:val="14"/>
              </w:rPr>
              <w:t>870</w:t>
            </w:r>
            <w:r>
              <w:rPr>
                <w:rFonts w:cs="Arial"/>
                <w:sz w:val="14"/>
                <w:szCs w:val="14"/>
              </w:rPr>
              <w:t>,</w:t>
            </w:r>
            <w:r w:rsidRPr="00AE145F">
              <w:rPr>
                <w:rFonts w:cs="Arial"/>
                <w:sz w:val="14"/>
                <w:szCs w:val="14"/>
              </w:rPr>
              <w:t xml:space="preserve">161 </w:t>
            </w:r>
          </w:p>
        </w:tc>
        <w:tc>
          <w:tcPr>
            <w:tcW w:w="1709" w:type="dxa"/>
            <w:tcBorders>
              <w:top w:val="single" w:sz="2" w:space="0" w:color="1F4E79" w:themeColor="accent1" w:themeShade="80"/>
              <w:left w:val="nil"/>
              <w:bottom w:val="nil"/>
              <w:right w:val="nil"/>
            </w:tcBorders>
            <w:shd w:val="clear" w:color="auto" w:fill="auto"/>
            <w:vAlign w:val="center"/>
          </w:tcPr>
          <w:p w14:paraId="3B8CE6CA" w14:textId="77777777" w:rsidR="008B7E19" w:rsidRPr="00026122"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rPr>
            </w:pPr>
            <w:r w:rsidRPr="00AE145F">
              <w:rPr>
                <w:rFonts w:cs="Arial"/>
                <w:sz w:val="14"/>
                <w:szCs w:val="14"/>
              </w:rPr>
              <w:t xml:space="preserve"> 709</w:t>
            </w:r>
            <w:r>
              <w:rPr>
                <w:rFonts w:cs="Arial"/>
                <w:sz w:val="14"/>
                <w:szCs w:val="14"/>
              </w:rPr>
              <w:t>,</w:t>
            </w:r>
            <w:r w:rsidRPr="00AE145F">
              <w:rPr>
                <w:rFonts w:cs="Arial"/>
                <w:sz w:val="14"/>
                <w:szCs w:val="14"/>
              </w:rPr>
              <w:t xml:space="preserve">572 </w:t>
            </w:r>
          </w:p>
        </w:tc>
        <w:tc>
          <w:tcPr>
            <w:tcW w:w="1709" w:type="dxa"/>
            <w:tcBorders>
              <w:top w:val="single" w:sz="2" w:space="0" w:color="1F4E79" w:themeColor="accent1" w:themeShade="80"/>
              <w:left w:val="nil"/>
              <w:bottom w:val="nil"/>
              <w:right w:val="nil"/>
            </w:tcBorders>
            <w:shd w:val="clear" w:color="auto" w:fill="auto"/>
            <w:vAlign w:val="center"/>
          </w:tcPr>
          <w:p w14:paraId="277EB1B8" w14:textId="77777777" w:rsidR="008B7E19" w:rsidRPr="00026122"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E145F">
              <w:rPr>
                <w:rFonts w:cs="Arial"/>
                <w:sz w:val="14"/>
                <w:szCs w:val="14"/>
              </w:rPr>
              <w:t xml:space="preserve"> 1</w:t>
            </w:r>
            <w:r>
              <w:rPr>
                <w:rFonts w:cs="Arial"/>
                <w:sz w:val="14"/>
                <w:szCs w:val="14"/>
              </w:rPr>
              <w:t>,</w:t>
            </w:r>
            <w:r w:rsidRPr="00AE145F">
              <w:rPr>
                <w:rFonts w:cs="Arial"/>
                <w:sz w:val="14"/>
                <w:szCs w:val="14"/>
              </w:rPr>
              <w:t>057</w:t>
            </w:r>
            <w:r>
              <w:rPr>
                <w:rFonts w:cs="Arial"/>
                <w:sz w:val="14"/>
                <w:szCs w:val="14"/>
              </w:rPr>
              <w:t>,</w:t>
            </w:r>
            <w:r w:rsidRPr="00AE145F">
              <w:rPr>
                <w:rFonts w:cs="Arial"/>
                <w:sz w:val="14"/>
                <w:szCs w:val="14"/>
              </w:rPr>
              <w:t xml:space="preserve">555 </w:t>
            </w:r>
          </w:p>
        </w:tc>
      </w:tr>
      <w:tr w:rsidR="008B7E19" w:rsidRPr="00026122" w14:paraId="03FB4137" w14:textId="77777777" w:rsidTr="008B7E1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shd w:val="clear" w:color="auto" w:fill="auto"/>
            <w:vAlign w:val="center"/>
          </w:tcPr>
          <w:p w14:paraId="11357512" w14:textId="77777777" w:rsidR="008B7E19" w:rsidRPr="00026122" w:rsidRDefault="008B7E19" w:rsidP="008B7E19">
            <w:pPr>
              <w:keepNext/>
              <w:keepLines/>
              <w:rPr>
                <w:rFonts w:cs="Arial"/>
                <w:b w:val="0"/>
                <w:bCs w:val="0"/>
                <w:sz w:val="14"/>
                <w:szCs w:val="14"/>
              </w:rPr>
            </w:pPr>
            <w:r w:rsidRPr="00FC09E4">
              <w:rPr>
                <w:rFonts w:cs="Arial"/>
                <w:b w:val="0"/>
                <w:bCs w:val="0"/>
                <w:sz w:val="14"/>
                <w:szCs w:val="14"/>
              </w:rPr>
              <w:t xml:space="preserve">Comprehensive income </w:t>
            </w:r>
            <w:r w:rsidRPr="00026122">
              <w:rPr>
                <w:rFonts w:cs="Arial"/>
                <w:b w:val="0"/>
                <w:bCs w:val="0"/>
                <w:sz w:val="14"/>
                <w:szCs w:val="14"/>
              </w:rPr>
              <w:t>(SUSEP)</w:t>
            </w:r>
          </w:p>
        </w:tc>
        <w:tc>
          <w:tcPr>
            <w:tcW w:w="1709" w:type="dxa"/>
            <w:tcBorders>
              <w:top w:val="nil"/>
              <w:left w:val="nil"/>
              <w:bottom w:val="nil"/>
              <w:right w:val="nil"/>
            </w:tcBorders>
            <w:shd w:val="clear" w:color="auto" w:fill="auto"/>
            <w:vAlign w:val="center"/>
          </w:tcPr>
          <w:p w14:paraId="4AD8F1E1" w14:textId="77777777" w:rsidR="008B7E19" w:rsidRPr="00026122"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sz w:val="14"/>
                <w:szCs w:val="14"/>
              </w:rPr>
            </w:pPr>
            <w:r w:rsidRPr="00AE145F">
              <w:rPr>
                <w:rFonts w:cs="Arial"/>
                <w:sz w:val="14"/>
                <w:szCs w:val="14"/>
              </w:rPr>
              <w:t xml:space="preserve"> 994</w:t>
            </w:r>
            <w:r>
              <w:rPr>
                <w:rFonts w:cs="Arial"/>
                <w:sz w:val="14"/>
                <w:szCs w:val="14"/>
              </w:rPr>
              <w:t>,</w:t>
            </w:r>
            <w:r w:rsidRPr="00AE145F">
              <w:rPr>
                <w:rFonts w:cs="Arial"/>
                <w:sz w:val="14"/>
                <w:szCs w:val="14"/>
              </w:rPr>
              <w:t xml:space="preserve">226 </w:t>
            </w:r>
          </w:p>
        </w:tc>
        <w:tc>
          <w:tcPr>
            <w:tcW w:w="1709" w:type="dxa"/>
            <w:tcBorders>
              <w:top w:val="nil"/>
              <w:left w:val="nil"/>
              <w:bottom w:val="nil"/>
              <w:right w:val="nil"/>
            </w:tcBorders>
            <w:shd w:val="clear" w:color="auto" w:fill="auto"/>
            <w:vAlign w:val="center"/>
          </w:tcPr>
          <w:p w14:paraId="7FC4235F" w14:textId="77777777" w:rsidR="008B7E19" w:rsidRPr="00026122"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sz w:val="14"/>
                <w:szCs w:val="14"/>
              </w:rPr>
            </w:pPr>
            <w:r w:rsidRPr="00AE145F">
              <w:rPr>
                <w:rFonts w:cs="Arial"/>
                <w:sz w:val="14"/>
                <w:szCs w:val="14"/>
              </w:rPr>
              <w:t xml:space="preserve"> 1</w:t>
            </w:r>
            <w:r>
              <w:rPr>
                <w:rFonts w:cs="Arial"/>
                <w:sz w:val="14"/>
                <w:szCs w:val="14"/>
              </w:rPr>
              <w:t>,</w:t>
            </w:r>
            <w:r w:rsidRPr="00AE145F">
              <w:rPr>
                <w:rFonts w:cs="Arial"/>
                <w:sz w:val="14"/>
                <w:szCs w:val="14"/>
              </w:rPr>
              <w:t>923</w:t>
            </w:r>
            <w:r>
              <w:rPr>
                <w:rFonts w:cs="Arial"/>
                <w:sz w:val="14"/>
                <w:szCs w:val="14"/>
              </w:rPr>
              <w:t>,</w:t>
            </w:r>
            <w:r w:rsidRPr="00AE145F">
              <w:rPr>
                <w:rFonts w:cs="Arial"/>
                <w:sz w:val="14"/>
                <w:szCs w:val="14"/>
              </w:rPr>
              <w:t xml:space="preserve">578 </w:t>
            </w:r>
          </w:p>
        </w:tc>
        <w:tc>
          <w:tcPr>
            <w:tcW w:w="1709" w:type="dxa"/>
            <w:tcBorders>
              <w:top w:val="nil"/>
              <w:left w:val="nil"/>
              <w:bottom w:val="nil"/>
              <w:right w:val="nil"/>
            </w:tcBorders>
            <w:shd w:val="clear" w:color="auto" w:fill="auto"/>
            <w:vAlign w:val="center"/>
          </w:tcPr>
          <w:p w14:paraId="228DDD2A" w14:textId="77777777" w:rsidR="008B7E19" w:rsidRPr="00026122"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sz w:val="14"/>
                <w:szCs w:val="14"/>
              </w:rPr>
            </w:pPr>
            <w:r w:rsidRPr="00AE145F">
              <w:rPr>
                <w:rFonts w:cs="Arial"/>
                <w:sz w:val="14"/>
                <w:szCs w:val="14"/>
              </w:rPr>
              <w:t xml:space="preserve"> 700</w:t>
            </w:r>
            <w:r>
              <w:rPr>
                <w:rFonts w:cs="Arial"/>
                <w:sz w:val="14"/>
                <w:szCs w:val="14"/>
              </w:rPr>
              <w:t>,</w:t>
            </w:r>
            <w:r w:rsidRPr="00AE145F">
              <w:rPr>
                <w:rFonts w:cs="Arial"/>
                <w:sz w:val="14"/>
                <w:szCs w:val="14"/>
              </w:rPr>
              <w:t xml:space="preserve">717 </w:t>
            </w:r>
          </w:p>
        </w:tc>
        <w:tc>
          <w:tcPr>
            <w:tcW w:w="1709" w:type="dxa"/>
            <w:tcBorders>
              <w:top w:val="nil"/>
              <w:left w:val="nil"/>
              <w:bottom w:val="nil"/>
              <w:right w:val="nil"/>
            </w:tcBorders>
            <w:shd w:val="clear" w:color="auto" w:fill="auto"/>
            <w:vAlign w:val="center"/>
          </w:tcPr>
          <w:p w14:paraId="376A4C3B" w14:textId="77777777" w:rsidR="008B7E19" w:rsidRPr="00026122"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color w:val="000000"/>
                <w:sz w:val="14"/>
                <w:szCs w:val="14"/>
              </w:rPr>
            </w:pPr>
            <w:r w:rsidRPr="00AE145F">
              <w:rPr>
                <w:rFonts w:cs="Arial"/>
                <w:sz w:val="14"/>
                <w:szCs w:val="14"/>
              </w:rPr>
              <w:t xml:space="preserve"> 1</w:t>
            </w:r>
            <w:r>
              <w:rPr>
                <w:rFonts w:cs="Arial"/>
                <w:sz w:val="14"/>
                <w:szCs w:val="14"/>
              </w:rPr>
              <w:t>,</w:t>
            </w:r>
            <w:r w:rsidRPr="00AE145F">
              <w:rPr>
                <w:rFonts w:cs="Arial"/>
                <w:sz w:val="14"/>
                <w:szCs w:val="14"/>
              </w:rPr>
              <w:t>033</w:t>
            </w:r>
            <w:r>
              <w:rPr>
                <w:rFonts w:cs="Arial"/>
                <w:sz w:val="14"/>
                <w:szCs w:val="14"/>
              </w:rPr>
              <w:t>,</w:t>
            </w:r>
            <w:r w:rsidRPr="00AE145F">
              <w:rPr>
                <w:rFonts w:cs="Arial"/>
                <w:sz w:val="14"/>
                <w:szCs w:val="14"/>
              </w:rPr>
              <w:t xml:space="preserve">937 </w:t>
            </w:r>
          </w:p>
        </w:tc>
      </w:tr>
      <w:tr w:rsidR="008B7E19" w:rsidRPr="00026122" w14:paraId="43779B37"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shd w:val="clear" w:color="auto" w:fill="auto"/>
            <w:vAlign w:val="center"/>
          </w:tcPr>
          <w:p w14:paraId="59017CEC" w14:textId="77777777" w:rsidR="008B7E19" w:rsidRPr="00026122" w:rsidRDefault="008B7E19" w:rsidP="008B7E19">
            <w:pPr>
              <w:keepNext/>
              <w:keepLines/>
              <w:rPr>
                <w:rFonts w:cs="Arial"/>
                <w:b w:val="0"/>
                <w:bCs w:val="0"/>
                <w:sz w:val="14"/>
                <w:szCs w:val="14"/>
              </w:rPr>
            </w:pPr>
          </w:p>
        </w:tc>
        <w:tc>
          <w:tcPr>
            <w:tcW w:w="1709" w:type="dxa"/>
            <w:tcBorders>
              <w:top w:val="nil"/>
              <w:left w:val="nil"/>
              <w:bottom w:val="nil"/>
              <w:right w:val="nil"/>
            </w:tcBorders>
            <w:shd w:val="clear" w:color="auto" w:fill="auto"/>
            <w:vAlign w:val="center"/>
          </w:tcPr>
          <w:p w14:paraId="29224E71" w14:textId="77777777" w:rsidR="008B7E19" w:rsidRPr="00026122"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rPr>
            </w:pPr>
          </w:p>
        </w:tc>
        <w:tc>
          <w:tcPr>
            <w:tcW w:w="1709" w:type="dxa"/>
            <w:tcBorders>
              <w:top w:val="nil"/>
              <w:left w:val="nil"/>
              <w:bottom w:val="nil"/>
              <w:right w:val="nil"/>
            </w:tcBorders>
            <w:shd w:val="clear" w:color="auto" w:fill="auto"/>
            <w:vAlign w:val="center"/>
          </w:tcPr>
          <w:p w14:paraId="2427FD53" w14:textId="77777777" w:rsidR="008B7E19" w:rsidRPr="00026122"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rPr>
            </w:pPr>
          </w:p>
        </w:tc>
        <w:tc>
          <w:tcPr>
            <w:tcW w:w="1709" w:type="dxa"/>
            <w:tcBorders>
              <w:top w:val="nil"/>
              <w:left w:val="nil"/>
              <w:bottom w:val="nil"/>
              <w:right w:val="nil"/>
            </w:tcBorders>
            <w:shd w:val="clear" w:color="auto" w:fill="auto"/>
            <w:vAlign w:val="center"/>
          </w:tcPr>
          <w:p w14:paraId="2D2E1C70" w14:textId="77777777" w:rsidR="008B7E19" w:rsidRPr="00026122"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rPr>
            </w:pPr>
          </w:p>
        </w:tc>
        <w:tc>
          <w:tcPr>
            <w:tcW w:w="1709" w:type="dxa"/>
            <w:tcBorders>
              <w:top w:val="nil"/>
              <w:left w:val="nil"/>
              <w:bottom w:val="nil"/>
              <w:right w:val="nil"/>
            </w:tcBorders>
            <w:shd w:val="clear" w:color="auto" w:fill="auto"/>
            <w:vAlign w:val="center"/>
          </w:tcPr>
          <w:p w14:paraId="5D05D2DF" w14:textId="77777777" w:rsidR="008B7E19" w:rsidRPr="00026122"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p>
        </w:tc>
      </w:tr>
      <w:tr w:rsidR="008B7E19" w:rsidRPr="00026122" w14:paraId="18795EEA" w14:textId="77777777" w:rsidTr="008B7E1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shd w:val="clear" w:color="auto" w:fill="auto"/>
            <w:vAlign w:val="center"/>
          </w:tcPr>
          <w:p w14:paraId="5E8A5D87" w14:textId="77777777" w:rsidR="008B7E19" w:rsidRPr="00026122" w:rsidRDefault="008B7E19" w:rsidP="008B7E19">
            <w:pPr>
              <w:keepNext/>
              <w:keepLines/>
              <w:spacing w:before="40" w:after="40"/>
              <w:rPr>
                <w:rFonts w:cs="Arial"/>
                <w:b w:val="0"/>
                <w:bCs w:val="0"/>
                <w:sz w:val="14"/>
                <w:szCs w:val="14"/>
              </w:rPr>
            </w:pPr>
            <w:r w:rsidRPr="00FC09E4">
              <w:rPr>
                <w:rFonts w:cs="Arial"/>
                <w:b w:val="0"/>
                <w:bCs w:val="0"/>
                <w:sz w:val="14"/>
                <w:szCs w:val="14"/>
              </w:rPr>
              <w:t>Net income</w:t>
            </w:r>
            <w:r w:rsidRPr="00026122">
              <w:rPr>
                <w:rFonts w:cs="Arial"/>
                <w:b w:val="0"/>
                <w:bCs w:val="0"/>
                <w:sz w:val="14"/>
                <w:szCs w:val="14"/>
              </w:rPr>
              <w:t xml:space="preserve"> (IFRS)</w:t>
            </w:r>
          </w:p>
        </w:tc>
        <w:tc>
          <w:tcPr>
            <w:tcW w:w="1709" w:type="dxa"/>
            <w:tcBorders>
              <w:top w:val="nil"/>
              <w:left w:val="nil"/>
              <w:bottom w:val="nil"/>
              <w:right w:val="nil"/>
            </w:tcBorders>
            <w:shd w:val="clear" w:color="auto" w:fill="auto"/>
            <w:vAlign w:val="center"/>
          </w:tcPr>
          <w:p w14:paraId="7D32E7FE" w14:textId="77777777" w:rsidR="008B7E19" w:rsidRPr="00026122"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sz w:val="14"/>
                <w:szCs w:val="14"/>
              </w:rPr>
            </w:pPr>
            <w:r w:rsidRPr="00AE145F">
              <w:rPr>
                <w:rFonts w:cs="Arial"/>
                <w:sz w:val="14"/>
                <w:szCs w:val="14"/>
              </w:rPr>
              <w:t xml:space="preserve"> 949</w:t>
            </w:r>
            <w:r>
              <w:rPr>
                <w:rFonts w:cs="Arial"/>
                <w:sz w:val="14"/>
                <w:szCs w:val="14"/>
              </w:rPr>
              <w:t>,</w:t>
            </w:r>
            <w:r w:rsidRPr="00AE145F">
              <w:rPr>
                <w:rFonts w:cs="Arial"/>
                <w:sz w:val="14"/>
                <w:szCs w:val="14"/>
              </w:rPr>
              <w:t xml:space="preserve">253 </w:t>
            </w:r>
          </w:p>
        </w:tc>
        <w:tc>
          <w:tcPr>
            <w:tcW w:w="1709" w:type="dxa"/>
            <w:tcBorders>
              <w:top w:val="nil"/>
              <w:left w:val="nil"/>
              <w:bottom w:val="nil"/>
              <w:right w:val="nil"/>
            </w:tcBorders>
            <w:shd w:val="clear" w:color="auto" w:fill="auto"/>
            <w:vAlign w:val="center"/>
          </w:tcPr>
          <w:p w14:paraId="24FB0751" w14:textId="77777777" w:rsidR="008B7E19" w:rsidRPr="00026122"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sz w:val="14"/>
                <w:szCs w:val="14"/>
              </w:rPr>
            </w:pPr>
            <w:r w:rsidRPr="00AE145F">
              <w:rPr>
                <w:rFonts w:cs="Arial"/>
                <w:sz w:val="14"/>
                <w:szCs w:val="14"/>
              </w:rPr>
              <w:t xml:space="preserve"> 1</w:t>
            </w:r>
            <w:r>
              <w:rPr>
                <w:rFonts w:cs="Arial"/>
                <w:sz w:val="14"/>
                <w:szCs w:val="14"/>
              </w:rPr>
              <w:t>,</w:t>
            </w:r>
            <w:r w:rsidRPr="00AE145F">
              <w:rPr>
                <w:rFonts w:cs="Arial"/>
                <w:sz w:val="14"/>
                <w:szCs w:val="14"/>
              </w:rPr>
              <w:t>772</w:t>
            </w:r>
            <w:r>
              <w:rPr>
                <w:rFonts w:cs="Arial"/>
                <w:sz w:val="14"/>
                <w:szCs w:val="14"/>
              </w:rPr>
              <w:t>,</w:t>
            </w:r>
            <w:r w:rsidRPr="00AE145F">
              <w:rPr>
                <w:rFonts w:cs="Arial"/>
                <w:sz w:val="14"/>
                <w:szCs w:val="14"/>
              </w:rPr>
              <w:t xml:space="preserve">749 </w:t>
            </w:r>
          </w:p>
        </w:tc>
        <w:tc>
          <w:tcPr>
            <w:tcW w:w="1709" w:type="dxa"/>
            <w:tcBorders>
              <w:top w:val="nil"/>
              <w:left w:val="nil"/>
              <w:bottom w:val="nil"/>
              <w:right w:val="nil"/>
            </w:tcBorders>
            <w:shd w:val="clear" w:color="auto" w:fill="auto"/>
            <w:vAlign w:val="center"/>
          </w:tcPr>
          <w:p w14:paraId="4D5474A2" w14:textId="77777777" w:rsidR="008B7E19" w:rsidRPr="00026122"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sz w:val="14"/>
                <w:szCs w:val="14"/>
              </w:rPr>
            </w:pPr>
            <w:r w:rsidRPr="00AE145F">
              <w:rPr>
                <w:rFonts w:cs="Arial"/>
                <w:sz w:val="14"/>
                <w:szCs w:val="14"/>
              </w:rPr>
              <w:t xml:space="preserve"> 655</w:t>
            </w:r>
            <w:r>
              <w:rPr>
                <w:rFonts w:cs="Arial"/>
                <w:sz w:val="14"/>
                <w:szCs w:val="14"/>
              </w:rPr>
              <w:t>,</w:t>
            </w:r>
            <w:r w:rsidRPr="00AE145F">
              <w:rPr>
                <w:rFonts w:cs="Arial"/>
                <w:sz w:val="14"/>
                <w:szCs w:val="14"/>
              </w:rPr>
              <w:t xml:space="preserve">615 </w:t>
            </w:r>
          </w:p>
        </w:tc>
        <w:tc>
          <w:tcPr>
            <w:tcW w:w="1709" w:type="dxa"/>
            <w:tcBorders>
              <w:top w:val="nil"/>
              <w:left w:val="nil"/>
              <w:bottom w:val="nil"/>
              <w:right w:val="nil"/>
            </w:tcBorders>
            <w:shd w:val="clear" w:color="auto" w:fill="auto"/>
            <w:vAlign w:val="center"/>
          </w:tcPr>
          <w:p w14:paraId="3C0B4C42" w14:textId="77777777" w:rsidR="008B7E19" w:rsidRPr="00026122"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color w:val="000000"/>
                <w:sz w:val="14"/>
                <w:szCs w:val="14"/>
              </w:rPr>
            </w:pPr>
            <w:r w:rsidRPr="00AE145F">
              <w:rPr>
                <w:rFonts w:cs="Arial"/>
                <w:sz w:val="14"/>
                <w:szCs w:val="14"/>
              </w:rPr>
              <w:t xml:space="preserve"> 974</w:t>
            </w:r>
            <w:r>
              <w:rPr>
                <w:rFonts w:cs="Arial"/>
                <w:sz w:val="14"/>
                <w:szCs w:val="14"/>
              </w:rPr>
              <w:t>,</w:t>
            </w:r>
            <w:r w:rsidRPr="00AE145F">
              <w:rPr>
                <w:rFonts w:cs="Arial"/>
                <w:sz w:val="14"/>
                <w:szCs w:val="14"/>
              </w:rPr>
              <w:t xml:space="preserve">422 </w:t>
            </w:r>
          </w:p>
        </w:tc>
      </w:tr>
      <w:tr w:rsidR="008B7E19" w:rsidRPr="00026122" w14:paraId="4065C37B"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single" w:sz="2" w:space="0" w:color="1F4E79" w:themeColor="accent1" w:themeShade="80"/>
              <w:right w:val="nil"/>
            </w:tcBorders>
            <w:shd w:val="clear" w:color="auto" w:fill="auto"/>
            <w:vAlign w:val="center"/>
          </w:tcPr>
          <w:p w14:paraId="033AEFCF" w14:textId="77777777" w:rsidR="008B7E19" w:rsidRPr="00026122" w:rsidRDefault="008B7E19" w:rsidP="008B7E19">
            <w:pPr>
              <w:keepNext/>
              <w:keepLines/>
              <w:spacing w:before="40" w:after="40"/>
              <w:rPr>
                <w:rFonts w:cs="Arial"/>
                <w:b w:val="0"/>
                <w:bCs w:val="0"/>
                <w:sz w:val="14"/>
                <w:szCs w:val="14"/>
              </w:rPr>
            </w:pPr>
            <w:r w:rsidRPr="00FC09E4">
              <w:rPr>
                <w:rFonts w:cs="Arial"/>
                <w:b w:val="0"/>
                <w:bCs w:val="0"/>
                <w:sz w:val="14"/>
                <w:szCs w:val="14"/>
              </w:rPr>
              <w:t>Comprehensive income</w:t>
            </w:r>
            <w:r>
              <w:rPr>
                <w:rFonts w:cs="Arial"/>
                <w:b w:val="0"/>
                <w:bCs w:val="0"/>
                <w:sz w:val="14"/>
                <w:szCs w:val="14"/>
              </w:rPr>
              <w:t xml:space="preserve"> </w:t>
            </w:r>
            <w:r w:rsidRPr="00026122">
              <w:rPr>
                <w:rFonts w:cs="Arial"/>
                <w:b w:val="0"/>
                <w:bCs w:val="0"/>
                <w:sz w:val="14"/>
                <w:szCs w:val="14"/>
              </w:rPr>
              <w:t>(IFRS)</w:t>
            </w:r>
          </w:p>
        </w:tc>
        <w:tc>
          <w:tcPr>
            <w:tcW w:w="1709" w:type="dxa"/>
            <w:tcBorders>
              <w:top w:val="nil"/>
              <w:left w:val="nil"/>
              <w:bottom w:val="single" w:sz="2" w:space="0" w:color="1F4E79" w:themeColor="accent1" w:themeShade="80"/>
              <w:right w:val="nil"/>
            </w:tcBorders>
            <w:shd w:val="clear" w:color="auto" w:fill="auto"/>
            <w:vAlign w:val="center"/>
          </w:tcPr>
          <w:p w14:paraId="070E7F8A" w14:textId="77777777" w:rsidR="008B7E19" w:rsidRPr="00A225CF"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rPr>
            </w:pPr>
            <w:r w:rsidRPr="00AE145F">
              <w:rPr>
                <w:rFonts w:cs="Arial"/>
                <w:sz w:val="14"/>
                <w:szCs w:val="14"/>
              </w:rPr>
              <w:t xml:space="preserve"> 1</w:t>
            </w:r>
            <w:r>
              <w:rPr>
                <w:rFonts w:cs="Arial"/>
                <w:sz w:val="14"/>
                <w:szCs w:val="14"/>
              </w:rPr>
              <w:t>,</w:t>
            </w:r>
            <w:r w:rsidRPr="00AE145F">
              <w:rPr>
                <w:rFonts w:cs="Arial"/>
                <w:sz w:val="14"/>
                <w:szCs w:val="14"/>
              </w:rPr>
              <w:t>006</w:t>
            </w:r>
            <w:r>
              <w:rPr>
                <w:rFonts w:cs="Arial"/>
                <w:sz w:val="14"/>
                <w:szCs w:val="14"/>
              </w:rPr>
              <w:t>,</w:t>
            </w:r>
            <w:r w:rsidRPr="00AE145F">
              <w:rPr>
                <w:rFonts w:cs="Arial"/>
                <w:sz w:val="14"/>
                <w:szCs w:val="14"/>
              </w:rPr>
              <w:t xml:space="preserve">256 </w:t>
            </w:r>
          </w:p>
        </w:tc>
        <w:tc>
          <w:tcPr>
            <w:tcW w:w="1709" w:type="dxa"/>
            <w:tcBorders>
              <w:top w:val="nil"/>
              <w:left w:val="nil"/>
              <w:bottom w:val="single" w:sz="2" w:space="0" w:color="1F4E79" w:themeColor="accent1" w:themeShade="80"/>
              <w:right w:val="nil"/>
            </w:tcBorders>
            <w:shd w:val="clear" w:color="auto" w:fill="auto"/>
            <w:vAlign w:val="center"/>
          </w:tcPr>
          <w:p w14:paraId="523F9279" w14:textId="77777777" w:rsidR="008B7E19" w:rsidRPr="00A225CF"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rPr>
            </w:pPr>
            <w:r w:rsidRPr="00AE145F">
              <w:rPr>
                <w:rFonts w:cs="Arial"/>
                <w:sz w:val="14"/>
                <w:szCs w:val="14"/>
              </w:rPr>
              <w:t xml:space="preserve"> 1</w:t>
            </w:r>
            <w:r>
              <w:rPr>
                <w:rFonts w:cs="Arial"/>
                <w:sz w:val="14"/>
                <w:szCs w:val="14"/>
              </w:rPr>
              <w:t>,</w:t>
            </w:r>
            <w:r w:rsidRPr="00AE145F">
              <w:rPr>
                <w:rFonts w:cs="Arial"/>
                <w:sz w:val="14"/>
                <w:szCs w:val="14"/>
              </w:rPr>
              <w:t>842</w:t>
            </w:r>
            <w:r>
              <w:rPr>
                <w:rFonts w:cs="Arial"/>
                <w:sz w:val="14"/>
                <w:szCs w:val="14"/>
              </w:rPr>
              <w:t>,</w:t>
            </w:r>
            <w:r w:rsidRPr="00AE145F">
              <w:rPr>
                <w:rFonts w:cs="Arial"/>
                <w:sz w:val="14"/>
                <w:szCs w:val="14"/>
              </w:rPr>
              <w:t xml:space="preserve">765 </w:t>
            </w:r>
          </w:p>
        </w:tc>
        <w:tc>
          <w:tcPr>
            <w:tcW w:w="1709" w:type="dxa"/>
            <w:tcBorders>
              <w:top w:val="nil"/>
              <w:left w:val="nil"/>
              <w:bottom w:val="single" w:sz="2" w:space="0" w:color="1F4E79" w:themeColor="accent1" w:themeShade="80"/>
              <w:right w:val="nil"/>
            </w:tcBorders>
            <w:shd w:val="clear" w:color="auto" w:fill="auto"/>
            <w:vAlign w:val="center"/>
          </w:tcPr>
          <w:p w14:paraId="6BE30569" w14:textId="77777777" w:rsidR="008B7E19" w:rsidRPr="00026122"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rPr>
            </w:pPr>
            <w:r w:rsidRPr="00AE145F">
              <w:rPr>
                <w:rFonts w:cs="Arial"/>
                <w:sz w:val="14"/>
                <w:szCs w:val="14"/>
              </w:rPr>
              <w:t xml:space="preserve"> 628</w:t>
            </w:r>
            <w:r>
              <w:rPr>
                <w:rFonts w:cs="Arial"/>
                <w:sz w:val="14"/>
                <w:szCs w:val="14"/>
              </w:rPr>
              <w:t>,</w:t>
            </w:r>
            <w:r w:rsidRPr="00AE145F">
              <w:rPr>
                <w:rFonts w:cs="Arial"/>
                <w:sz w:val="14"/>
                <w:szCs w:val="14"/>
              </w:rPr>
              <w:t xml:space="preserve">307 </w:t>
            </w:r>
          </w:p>
        </w:tc>
        <w:tc>
          <w:tcPr>
            <w:tcW w:w="1709" w:type="dxa"/>
            <w:tcBorders>
              <w:top w:val="nil"/>
              <w:left w:val="nil"/>
              <w:bottom w:val="single" w:sz="2" w:space="0" w:color="1F4E79" w:themeColor="accent1" w:themeShade="80"/>
              <w:right w:val="nil"/>
            </w:tcBorders>
            <w:shd w:val="clear" w:color="auto" w:fill="auto"/>
            <w:vAlign w:val="center"/>
          </w:tcPr>
          <w:p w14:paraId="7F53796A" w14:textId="77777777" w:rsidR="008B7E19" w:rsidRPr="00026122"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E145F">
              <w:rPr>
                <w:rFonts w:cs="Arial"/>
                <w:sz w:val="14"/>
                <w:szCs w:val="14"/>
              </w:rPr>
              <w:t xml:space="preserve"> 931</w:t>
            </w:r>
            <w:r>
              <w:rPr>
                <w:rFonts w:cs="Arial"/>
                <w:sz w:val="14"/>
                <w:szCs w:val="14"/>
              </w:rPr>
              <w:t>,</w:t>
            </w:r>
            <w:r w:rsidRPr="00AE145F">
              <w:rPr>
                <w:rFonts w:cs="Arial"/>
                <w:sz w:val="14"/>
                <w:szCs w:val="14"/>
              </w:rPr>
              <w:t xml:space="preserve">426 </w:t>
            </w:r>
          </w:p>
        </w:tc>
      </w:tr>
    </w:tbl>
    <w:p w14:paraId="1B0915C9" w14:textId="77777777" w:rsidR="008B7E19" w:rsidRDefault="008B7E19" w:rsidP="008B7E19">
      <w:pPr>
        <w:spacing w:after="0" w:line="240" w:lineRule="auto"/>
        <w:rPr>
          <w:rFonts w:eastAsia="Times New Roman" w:cs="Arial"/>
          <w:spacing w:val="-2"/>
          <w:szCs w:val="20"/>
          <w:lang w:eastAsia="zh-CN"/>
        </w:rPr>
      </w:pPr>
    </w:p>
    <w:p w14:paraId="46957A2A" w14:textId="77777777" w:rsidR="008B7E19" w:rsidRPr="00FC09E4" w:rsidRDefault="008B7E19" w:rsidP="008B7E19">
      <w:pPr>
        <w:spacing w:after="0" w:line="240" w:lineRule="auto"/>
        <w:jc w:val="right"/>
        <w:rPr>
          <w:rFonts w:cs="Arial"/>
          <w:b/>
          <w:sz w:val="14"/>
          <w:lang w:val="en-US" w:eastAsia="pt-BR"/>
        </w:rPr>
      </w:pPr>
      <w:r w:rsidRPr="00FC09E4">
        <w:rPr>
          <w:rFonts w:cs="Arial"/>
          <w:b/>
          <w:sz w:val="14"/>
          <w:lang w:val="en-US" w:eastAsia="pt-BR"/>
        </w:rPr>
        <w:t>R$ thousand</w:t>
      </w:r>
    </w:p>
    <w:tbl>
      <w:tblPr>
        <w:tblStyle w:val="TabeladeLista6Colorida-nfase512"/>
        <w:tblW w:w="9639" w:type="dxa"/>
        <w:jc w:val="center"/>
        <w:tblInd w:w="0" w:type="dxa"/>
        <w:tblLayout w:type="fixed"/>
        <w:tblLook w:val="04A0" w:firstRow="1" w:lastRow="0" w:firstColumn="1" w:lastColumn="0" w:noHBand="0" w:noVBand="1"/>
      </w:tblPr>
      <w:tblGrid>
        <w:gridCol w:w="5387"/>
        <w:gridCol w:w="2126"/>
        <w:gridCol w:w="2126"/>
      </w:tblGrid>
      <w:tr w:rsidR="008B7E19" w:rsidRPr="00537AE7" w14:paraId="472051F7" w14:textId="77777777" w:rsidTr="008B7E19">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387" w:type="dxa"/>
            <w:tcBorders>
              <w:top w:val="single" w:sz="2" w:space="0" w:color="1F4E79" w:themeColor="accent1" w:themeShade="80"/>
              <w:left w:val="nil"/>
              <w:bottom w:val="single" w:sz="2" w:space="0" w:color="1F4E79" w:themeColor="accent1" w:themeShade="80"/>
              <w:right w:val="nil"/>
            </w:tcBorders>
            <w:shd w:val="clear" w:color="auto" w:fill="auto"/>
            <w:vAlign w:val="center"/>
          </w:tcPr>
          <w:p w14:paraId="6F7C754C" w14:textId="77777777" w:rsidR="008B7E19" w:rsidRPr="00537AE7" w:rsidRDefault="008B7E19" w:rsidP="008B7E19">
            <w:pPr>
              <w:jc w:val="center"/>
              <w:rPr>
                <w:rFonts w:cs="Arial"/>
                <w:sz w:val="14"/>
                <w:szCs w:val="14"/>
              </w:rPr>
            </w:pPr>
          </w:p>
        </w:tc>
        <w:tc>
          <w:tcPr>
            <w:tcW w:w="2126" w:type="dxa"/>
            <w:tcBorders>
              <w:top w:val="single" w:sz="2" w:space="0" w:color="1F4E79" w:themeColor="accent1" w:themeShade="80"/>
              <w:left w:val="nil"/>
              <w:bottom w:val="single" w:sz="2" w:space="0" w:color="1F4E79" w:themeColor="accent1" w:themeShade="80"/>
              <w:right w:val="nil"/>
            </w:tcBorders>
            <w:shd w:val="clear" w:color="auto" w:fill="auto"/>
            <w:vAlign w:val="center"/>
          </w:tcPr>
          <w:p w14:paraId="14ACCEDC" w14:textId="77777777" w:rsidR="008B7E19" w:rsidRDefault="008B7E19" w:rsidP="008B7E19">
            <w:pPr>
              <w:jc w:val="right"/>
              <w:cnfStyle w:val="100000000000" w:firstRow="1" w:lastRow="0" w:firstColumn="0" w:lastColumn="0" w:oddVBand="0" w:evenVBand="0" w:oddHBand="0" w:evenHBand="0" w:firstRowFirstColumn="0" w:firstRowLastColumn="0" w:lastRowFirstColumn="0" w:lastRowLastColumn="0"/>
              <w:rPr>
                <w:rFonts w:cs="Arial"/>
                <w:sz w:val="14"/>
                <w:szCs w:val="14"/>
              </w:rPr>
            </w:pPr>
            <w:r>
              <w:rPr>
                <w:rFonts w:cs="Arial"/>
                <w:sz w:val="14"/>
                <w:szCs w:val="14"/>
              </w:rPr>
              <w:t>June 30, 2023</w:t>
            </w:r>
          </w:p>
        </w:tc>
        <w:tc>
          <w:tcPr>
            <w:tcW w:w="2126" w:type="dxa"/>
            <w:tcBorders>
              <w:top w:val="single" w:sz="2" w:space="0" w:color="1F4E79" w:themeColor="accent1" w:themeShade="80"/>
              <w:left w:val="nil"/>
              <w:bottom w:val="single" w:sz="2" w:space="0" w:color="1F4E79" w:themeColor="accent1" w:themeShade="80"/>
              <w:right w:val="nil"/>
            </w:tcBorders>
            <w:shd w:val="clear" w:color="auto" w:fill="auto"/>
            <w:vAlign w:val="center"/>
          </w:tcPr>
          <w:p w14:paraId="44889747" w14:textId="77777777" w:rsidR="008B7E19" w:rsidRDefault="008B7E19" w:rsidP="008B7E19">
            <w:pPr>
              <w:jc w:val="right"/>
              <w:cnfStyle w:val="100000000000" w:firstRow="1" w:lastRow="0" w:firstColumn="0" w:lastColumn="0" w:oddVBand="0" w:evenVBand="0" w:oddHBand="0" w:evenHBand="0" w:firstRowFirstColumn="0" w:firstRowLastColumn="0" w:lastRowFirstColumn="0" w:lastRowLastColumn="0"/>
              <w:rPr>
                <w:rFonts w:cs="Arial"/>
                <w:sz w:val="14"/>
                <w:szCs w:val="14"/>
              </w:rPr>
            </w:pPr>
            <w:r>
              <w:rPr>
                <w:rFonts w:cs="Arial"/>
                <w:sz w:val="14"/>
                <w:szCs w:val="14"/>
              </w:rPr>
              <w:t>Dec 31, 2022</w:t>
            </w:r>
          </w:p>
        </w:tc>
      </w:tr>
      <w:tr w:rsidR="008B7E19" w:rsidRPr="00026122" w14:paraId="7CBAF91D"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387" w:type="dxa"/>
            <w:tcBorders>
              <w:top w:val="single" w:sz="2" w:space="0" w:color="1F4E79" w:themeColor="accent1" w:themeShade="80"/>
              <w:left w:val="nil"/>
              <w:bottom w:val="nil"/>
              <w:right w:val="nil"/>
            </w:tcBorders>
            <w:shd w:val="clear" w:color="auto" w:fill="auto"/>
            <w:vAlign w:val="center"/>
          </w:tcPr>
          <w:p w14:paraId="3DF53C09" w14:textId="77777777" w:rsidR="008B7E19" w:rsidRPr="00026122" w:rsidRDefault="008B7E19" w:rsidP="008B7E19">
            <w:pPr>
              <w:keepNext/>
              <w:keepLines/>
              <w:rPr>
                <w:rFonts w:eastAsia="Times New Roman" w:cs="Arial"/>
                <w:b w:val="0"/>
                <w:bCs w:val="0"/>
                <w:spacing w:val="-2"/>
                <w:sz w:val="14"/>
                <w:szCs w:val="14"/>
              </w:rPr>
            </w:pPr>
            <w:r w:rsidRPr="00FC09E4">
              <w:rPr>
                <w:rFonts w:cs="Arial"/>
                <w:b w:val="0"/>
                <w:bCs w:val="0"/>
                <w:sz w:val="14"/>
                <w:szCs w:val="14"/>
              </w:rPr>
              <w:t>Equity</w:t>
            </w:r>
            <w:r w:rsidRPr="00026122">
              <w:rPr>
                <w:rFonts w:cs="Arial"/>
                <w:b w:val="0"/>
                <w:bCs w:val="0"/>
                <w:sz w:val="14"/>
                <w:szCs w:val="14"/>
              </w:rPr>
              <w:t xml:space="preserve"> (SUSEP)</w:t>
            </w:r>
          </w:p>
        </w:tc>
        <w:tc>
          <w:tcPr>
            <w:tcW w:w="2126" w:type="dxa"/>
            <w:tcBorders>
              <w:top w:val="single" w:sz="2" w:space="0" w:color="1F4E79" w:themeColor="accent1" w:themeShade="80"/>
              <w:left w:val="nil"/>
              <w:bottom w:val="nil"/>
              <w:right w:val="nil"/>
            </w:tcBorders>
            <w:shd w:val="clear" w:color="auto" w:fill="auto"/>
            <w:vAlign w:val="center"/>
          </w:tcPr>
          <w:p w14:paraId="040CEDCE" w14:textId="77777777" w:rsidR="008B7E19" w:rsidRPr="00026122"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rPr>
            </w:pPr>
            <w:r w:rsidRPr="00026122">
              <w:rPr>
                <w:rFonts w:cs="Arial"/>
                <w:sz w:val="14"/>
                <w:szCs w:val="14"/>
              </w:rPr>
              <w:t>2</w:t>
            </w:r>
            <w:r>
              <w:rPr>
                <w:rFonts w:cs="Arial"/>
                <w:sz w:val="14"/>
                <w:szCs w:val="14"/>
              </w:rPr>
              <w:t>,</w:t>
            </w:r>
            <w:r w:rsidRPr="00026122">
              <w:rPr>
                <w:rFonts w:cs="Arial"/>
                <w:sz w:val="14"/>
                <w:szCs w:val="14"/>
              </w:rPr>
              <w:t>257</w:t>
            </w:r>
            <w:r>
              <w:rPr>
                <w:rFonts w:cs="Arial"/>
                <w:sz w:val="14"/>
                <w:szCs w:val="14"/>
              </w:rPr>
              <w:t>,</w:t>
            </w:r>
            <w:r w:rsidRPr="00026122">
              <w:rPr>
                <w:rFonts w:cs="Arial"/>
                <w:sz w:val="14"/>
                <w:szCs w:val="14"/>
              </w:rPr>
              <w:t>928</w:t>
            </w:r>
          </w:p>
        </w:tc>
        <w:tc>
          <w:tcPr>
            <w:tcW w:w="2126" w:type="dxa"/>
            <w:tcBorders>
              <w:top w:val="single" w:sz="2" w:space="0" w:color="1F4E79" w:themeColor="accent1" w:themeShade="80"/>
              <w:left w:val="nil"/>
              <w:bottom w:val="nil"/>
              <w:right w:val="nil"/>
            </w:tcBorders>
            <w:shd w:val="clear" w:color="auto" w:fill="auto"/>
            <w:vAlign w:val="center"/>
          </w:tcPr>
          <w:p w14:paraId="7F0BA4B7" w14:textId="77777777" w:rsidR="008B7E19" w:rsidRPr="00026122"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rPr>
            </w:pPr>
            <w:r w:rsidRPr="00026122">
              <w:rPr>
                <w:rFonts w:cs="Arial"/>
                <w:sz w:val="14"/>
                <w:szCs w:val="14"/>
              </w:rPr>
              <w:t>1</w:t>
            </w:r>
            <w:r>
              <w:rPr>
                <w:rFonts w:cs="Arial"/>
                <w:sz w:val="14"/>
                <w:szCs w:val="14"/>
              </w:rPr>
              <w:t>,</w:t>
            </w:r>
            <w:r w:rsidRPr="00026122">
              <w:rPr>
                <w:rFonts w:cs="Arial"/>
                <w:sz w:val="14"/>
                <w:szCs w:val="14"/>
              </w:rPr>
              <w:t>957</w:t>
            </w:r>
            <w:r>
              <w:rPr>
                <w:rFonts w:cs="Arial"/>
                <w:sz w:val="14"/>
                <w:szCs w:val="14"/>
              </w:rPr>
              <w:t>,</w:t>
            </w:r>
            <w:r w:rsidRPr="00026122">
              <w:rPr>
                <w:rFonts w:cs="Arial"/>
                <w:sz w:val="14"/>
                <w:szCs w:val="14"/>
              </w:rPr>
              <w:t>350</w:t>
            </w:r>
          </w:p>
        </w:tc>
      </w:tr>
      <w:tr w:rsidR="008B7E19" w:rsidRPr="00026122" w14:paraId="5F105898" w14:textId="77777777" w:rsidTr="008B7E1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387" w:type="dxa"/>
            <w:tcBorders>
              <w:top w:val="nil"/>
              <w:left w:val="nil"/>
              <w:bottom w:val="single" w:sz="2" w:space="0" w:color="1F4E79" w:themeColor="accent1" w:themeShade="80"/>
              <w:right w:val="nil"/>
            </w:tcBorders>
            <w:shd w:val="clear" w:color="auto" w:fill="auto"/>
            <w:vAlign w:val="center"/>
          </w:tcPr>
          <w:p w14:paraId="2BF3B876" w14:textId="77777777" w:rsidR="008B7E19" w:rsidRPr="00026122" w:rsidRDefault="008B7E19" w:rsidP="008B7E19">
            <w:pPr>
              <w:keepNext/>
              <w:keepLines/>
              <w:spacing w:before="40" w:after="40"/>
              <w:rPr>
                <w:rFonts w:cs="Arial"/>
                <w:b w:val="0"/>
                <w:bCs w:val="0"/>
                <w:sz w:val="14"/>
                <w:szCs w:val="14"/>
              </w:rPr>
            </w:pPr>
            <w:r w:rsidRPr="00FC09E4">
              <w:rPr>
                <w:rFonts w:cs="Arial"/>
                <w:b w:val="0"/>
                <w:bCs w:val="0"/>
                <w:sz w:val="14"/>
                <w:szCs w:val="14"/>
              </w:rPr>
              <w:t>Equity</w:t>
            </w:r>
            <w:r w:rsidRPr="00026122">
              <w:rPr>
                <w:rFonts w:cs="Arial"/>
                <w:b w:val="0"/>
                <w:bCs w:val="0"/>
                <w:sz w:val="14"/>
                <w:szCs w:val="14"/>
              </w:rPr>
              <w:t xml:space="preserve"> (IFRS)</w:t>
            </w:r>
          </w:p>
        </w:tc>
        <w:tc>
          <w:tcPr>
            <w:tcW w:w="2126" w:type="dxa"/>
            <w:tcBorders>
              <w:top w:val="nil"/>
              <w:left w:val="nil"/>
              <w:bottom w:val="single" w:sz="2" w:space="0" w:color="1F4E79" w:themeColor="accent1" w:themeShade="80"/>
              <w:right w:val="nil"/>
            </w:tcBorders>
            <w:shd w:val="clear" w:color="auto" w:fill="auto"/>
            <w:vAlign w:val="center"/>
          </w:tcPr>
          <w:p w14:paraId="3FF84223" w14:textId="77777777" w:rsidR="008B7E19" w:rsidRPr="00026122"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sz w:val="14"/>
                <w:szCs w:val="14"/>
              </w:rPr>
            </w:pPr>
            <w:r w:rsidRPr="00026122">
              <w:rPr>
                <w:rFonts w:cs="Arial"/>
                <w:sz w:val="14"/>
                <w:szCs w:val="14"/>
              </w:rPr>
              <w:t>2</w:t>
            </w:r>
            <w:r>
              <w:rPr>
                <w:rFonts w:cs="Arial"/>
                <w:sz w:val="14"/>
                <w:szCs w:val="14"/>
              </w:rPr>
              <w:t>,</w:t>
            </w:r>
            <w:r w:rsidRPr="00026122">
              <w:rPr>
                <w:rFonts w:cs="Arial"/>
                <w:sz w:val="14"/>
                <w:szCs w:val="14"/>
              </w:rPr>
              <w:t>337</w:t>
            </w:r>
            <w:r>
              <w:rPr>
                <w:rFonts w:cs="Arial"/>
                <w:sz w:val="14"/>
                <w:szCs w:val="14"/>
              </w:rPr>
              <w:t>,</w:t>
            </w:r>
            <w:r w:rsidRPr="00026122">
              <w:rPr>
                <w:rFonts w:cs="Arial"/>
                <w:sz w:val="14"/>
                <w:szCs w:val="14"/>
              </w:rPr>
              <w:t>437</w:t>
            </w:r>
          </w:p>
        </w:tc>
        <w:tc>
          <w:tcPr>
            <w:tcW w:w="2126" w:type="dxa"/>
            <w:tcBorders>
              <w:top w:val="nil"/>
              <w:left w:val="nil"/>
              <w:bottom w:val="single" w:sz="2" w:space="0" w:color="1F4E79" w:themeColor="accent1" w:themeShade="80"/>
              <w:right w:val="nil"/>
            </w:tcBorders>
            <w:shd w:val="clear" w:color="auto" w:fill="auto"/>
            <w:vAlign w:val="center"/>
          </w:tcPr>
          <w:p w14:paraId="320E0631" w14:textId="77777777" w:rsidR="008B7E19" w:rsidRPr="00026122"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sz w:val="14"/>
                <w:szCs w:val="14"/>
              </w:rPr>
            </w:pPr>
            <w:r w:rsidRPr="00026122">
              <w:rPr>
                <w:rFonts w:cs="Arial"/>
                <w:sz w:val="14"/>
                <w:szCs w:val="14"/>
              </w:rPr>
              <w:t>2</w:t>
            </w:r>
            <w:r>
              <w:rPr>
                <w:rFonts w:cs="Arial"/>
                <w:sz w:val="14"/>
                <w:szCs w:val="14"/>
              </w:rPr>
              <w:t>,</w:t>
            </w:r>
            <w:r w:rsidRPr="00026122">
              <w:rPr>
                <w:rFonts w:cs="Arial"/>
                <w:sz w:val="14"/>
                <w:szCs w:val="14"/>
              </w:rPr>
              <w:t>117</w:t>
            </w:r>
            <w:r>
              <w:rPr>
                <w:rFonts w:cs="Arial"/>
                <w:sz w:val="14"/>
                <w:szCs w:val="14"/>
              </w:rPr>
              <w:t>,</w:t>
            </w:r>
            <w:r w:rsidRPr="00026122">
              <w:rPr>
                <w:rFonts w:cs="Arial"/>
                <w:sz w:val="14"/>
                <w:szCs w:val="14"/>
              </w:rPr>
              <w:t>672</w:t>
            </w:r>
          </w:p>
        </w:tc>
      </w:tr>
    </w:tbl>
    <w:p w14:paraId="1123B469" w14:textId="77777777" w:rsidR="008B7E19" w:rsidRDefault="008B7E19" w:rsidP="008B7E19">
      <w:pPr>
        <w:spacing w:after="0" w:line="240" w:lineRule="auto"/>
        <w:rPr>
          <w:rFonts w:eastAsia="Times New Roman" w:cs="Times New Roman"/>
          <w:b/>
          <w:color w:val="1F4E79" w:themeColor="accent1" w:themeShade="80"/>
          <w:spacing w:val="-2"/>
          <w:szCs w:val="20"/>
          <w:lang w:eastAsia="pt-BR"/>
        </w:rPr>
      </w:pPr>
    </w:p>
    <w:p w14:paraId="21CCD6EB" w14:textId="77777777" w:rsidR="008B7E19" w:rsidRDefault="008B7E19" w:rsidP="008B7E19">
      <w:pPr>
        <w:spacing w:after="0" w:line="240" w:lineRule="auto"/>
        <w:rPr>
          <w:rFonts w:eastAsia="Times New Roman" w:cs="Times New Roman"/>
          <w:b/>
          <w:color w:val="1F4E79" w:themeColor="accent1" w:themeShade="80"/>
          <w:spacing w:val="-2"/>
          <w:szCs w:val="20"/>
          <w:lang w:eastAsia="pt-BR"/>
        </w:rPr>
      </w:pPr>
      <w:r w:rsidRPr="00261F6E">
        <w:rPr>
          <w:rFonts w:eastAsia="Times New Roman" w:cs="Times New Roman"/>
          <w:b/>
          <w:color w:val="1F4E79" w:themeColor="accent1" w:themeShade="80"/>
          <w:spacing w:val="-2"/>
          <w:szCs w:val="20"/>
          <w:lang w:eastAsia="pt-BR"/>
        </w:rPr>
        <w:t>Aliança do Brasil Seguros S.A. (Aliança do Brasil)</w:t>
      </w:r>
    </w:p>
    <w:p w14:paraId="4A5DC6BE" w14:textId="77777777" w:rsidR="008B7E19" w:rsidRDefault="008B7E19" w:rsidP="008B7E19">
      <w:pPr>
        <w:keepNext/>
        <w:keepLines/>
        <w:spacing w:after="0" w:line="240" w:lineRule="auto"/>
        <w:rPr>
          <w:rFonts w:eastAsia="Times New Roman" w:cs="Times New Roman"/>
          <w:b/>
          <w:color w:val="1F4E79" w:themeColor="accent1" w:themeShade="80"/>
          <w:spacing w:val="-2"/>
          <w:szCs w:val="20"/>
          <w:lang w:eastAsia="pt-BR"/>
        </w:rPr>
      </w:pPr>
    </w:p>
    <w:p w14:paraId="0A9E4AE8" w14:textId="77777777" w:rsidR="008B7E19" w:rsidRDefault="008B7E19" w:rsidP="008B7E19">
      <w:pPr>
        <w:spacing w:after="0" w:line="240" w:lineRule="auto"/>
        <w:rPr>
          <w:rFonts w:eastAsia="Times New Roman" w:cs="Arial"/>
          <w:spacing w:val="-2"/>
          <w:szCs w:val="20"/>
          <w:lang w:eastAsia="zh-CN"/>
        </w:rPr>
      </w:pPr>
      <w:r>
        <w:rPr>
          <w:rFonts w:eastAsia="Times New Roman" w:cs="Times New Roman"/>
          <w:b/>
          <w:color w:val="1F4E79" w:themeColor="accent1" w:themeShade="80"/>
          <w:spacing w:val="-2"/>
          <w:szCs w:val="20"/>
          <w:lang w:eastAsia="pt-BR"/>
        </w:rPr>
        <w:t>Income Statement Information</w:t>
      </w:r>
    </w:p>
    <w:p w14:paraId="75AC5EA0" w14:textId="77777777" w:rsidR="008B7E19" w:rsidRDefault="008B7E19" w:rsidP="008B7E19">
      <w:pPr>
        <w:keepNext/>
        <w:keepLines/>
        <w:spacing w:after="0" w:line="240" w:lineRule="auto"/>
        <w:rPr>
          <w:rFonts w:eastAsia="Times New Roman" w:cs="Arial"/>
          <w:spacing w:val="-2"/>
          <w:szCs w:val="20"/>
          <w:lang w:eastAsia="zh-CN"/>
        </w:rPr>
      </w:pPr>
    </w:p>
    <w:p w14:paraId="70B710BD" w14:textId="77777777" w:rsidR="008B7E19" w:rsidRPr="00537AE7" w:rsidRDefault="008B7E19" w:rsidP="008B7E19">
      <w:pPr>
        <w:spacing w:after="0" w:line="240" w:lineRule="auto"/>
        <w:jc w:val="right"/>
        <w:rPr>
          <w:rFonts w:cs="Arial"/>
          <w:b/>
          <w:sz w:val="14"/>
          <w:lang w:eastAsia="pt-BR"/>
        </w:rPr>
      </w:pPr>
      <w:r w:rsidRPr="00537AE7">
        <w:rPr>
          <w:rFonts w:cs="Arial"/>
          <w:b/>
          <w:sz w:val="14"/>
          <w:lang w:eastAsia="pt-BR"/>
        </w:rPr>
        <w:t xml:space="preserve">R$ </w:t>
      </w:r>
      <w:r>
        <w:rPr>
          <w:rFonts w:cs="Arial"/>
          <w:b/>
          <w:sz w:val="14"/>
          <w:lang w:eastAsia="pt-BR"/>
        </w:rPr>
        <w:t>thousand</w:t>
      </w:r>
    </w:p>
    <w:tbl>
      <w:tblPr>
        <w:tblStyle w:val="TabeladeLista6Colorida-nfase512"/>
        <w:tblW w:w="9639" w:type="dxa"/>
        <w:jc w:val="center"/>
        <w:tblInd w:w="0" w:type="dxa"/>
        <w:tblLayout w:type="fixed"/>
        <w:tblLook w:val="04A0" w:firstRow="1" w:lastRow="0" w:firstColumn="1" w:lastColumn="0" w:noHBand="0" w:noVBand="1"/>
      </w:tblPr>
      <w:tblGrid>
        <w:gridCol w:w="2364"/>
        <w:gridCol w:w="1818"/>
        <w:gridCol w:w="1819"/>
        <w:gridCol w:w="1819"/>
        <w:gridCol w:w="1819"/>
      </w:tblGrid>
      <w:tr w:rsidR="008B7E19" w:rsidRPr="00A244B9" w14:paraId="01CB4A8C" w14:textId="77777777" w:rsidTr="008B7E19">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single" w:sz="2" w:space="0" w:color="1F4E79" w:themeColor="accent1" w:themeShade="80"/>
              <w:left w:val="nil"/>
              <w:bottom w:val="single" w:sz="2" w:space="0" w:color="1F4E79" w:themeColor="accent1" w:themeShade="80"/>
              <w:right w:val="nil"/>
            </w:tcBorders>
            <w:shd w:val="clear" w:color="auto" w:fill="auto"/>
            <w:vAlign w:val="center"/>
          </w:tcPr>
          <w:p w14:paraId="3A0A232A" w14:textId="77777777" w:rsidR="008B7E19" w:rsidRPr="00A244B9" w:rsidRDefault="008B7E19" w:rsidP="008B7E19">
            <w:pPr>
              <w:jc w:val="center"/>
              <w:rPr>
                <w:rFonts w:cs="Arial"/>
                <w:sz w:val="14"/>
                <w:szCs w:val="14"/>
              </w:rPr>
            </w:pPr>
          </w:p>
        </w:tc>
        <w:tc>
          <w:tcPr>
            <w:tcW w:w="1818" w:type="dxa"/>
            <w:tcBorders>
              <w:top w:val="single" w:sz="2" w:space="0" w:color="1F4E79" w:themeColor="accent1" w:themeShade="80"/>
              <w:left w:val="nil"/>
              <w:bottom w:val="single" w:sz="2" w:space="0" w:color="1F4E79" w:themeColor="accent1" w:themeShade="80"/>
              <w:right w:val="nil"/>
            </w:tcBorders>
            <w:shd w:val="clear" w:color="auto" w:fill="auto"/>
            <w:vAlign w:val="center"/>
          </w:tcPr>
          <w:p w14:paraId="31F3C984" w14:textId="77777777" w:rsidR="008B7E19" w:rsidRPr="00A244B9" w:rsidRDefault="008B7E19" w:rsidP="008B7E19">
            <w:pPr>
              <w:jc w:val="right"/>
              <w:cnfStyle w:val="100000000000" w:firstRow="1" w:lastRow="0" w:firstColumn="0" w:lastColumn="0" w:oddVBand="0" w:evenVBand="0" w:oddHBand="0" w:evenHBand="0" w:firstRowFirstColumn="0" w:firstRowLastColumn="0" w:lastRowFirstColumn="0" w:lastRowLastColumn="0"/>
              <w:rPr>
                <w:rFonts w:cs="Arial"/>
                <w:sz w:val="14"/>
                <w:szCs w:val="14"/>
              </w:rPr>
            </w:pPr>
            <w:r w:rsidRPr="002062A7">
              <w:rPr>
                <w:rFonts w:cs="Arial"/>
                <w:sz w:val="14"/>
                <w:szCs w:val="14"/>
              </w:rPr>
              <w:t>2</w:t>
            </w:r>
            <w:r w:rsidRPr="002062A7">
              <w:rPr>
                <w:rFonts w:cs="Arial"/>
                <w:sz w:val="14"/>
                <w:szCs w:val="14"/>
                <w:vertAlign w:val="superscript"/>
              </w:rPr>
              <w:t>nd</w:t>
            </w:r>
            <w:r w:rsidRPr="002062A7">
              <w:rPr>
                <w:rFonts w:cs="Arial"/>
                <w:sz w:val="14"/>
                <w:szCs w:val="14"/>
              </w:rPr>
              <w:t xml:space="preserve"> Quarter 2023</w:t>
            </w:r>
          </w:p>
        </w:tc>
        <w:tc>
          <w:tcPr>
            <w:tcW w:w="1819" w:type="dxa"/>
            <w:tcBorders>
              <w:top w:val="single" w:sz="2" w:space="0" w:color="1F4E79" w:themeColor="accent1" w:themeShade="80"/>
              <w:left w:val="nil"/>
              <w:bottom w:val="single" w:sz="2" w:space="0" w:color="1F4E79" w:themeColor="accent1" w:themeShade="80"/>
              <w:right w:val="nil"/>
            </w:tcBorders>
            <w:shd w:val="clear" w:color="auto" w:fill="auto"/>
            <w:vAlign w:val="center"/>
          </w:tcPr>
          <w:p w14:paraId="70869CD3" w14:textId="77777777" w:rsidR="008B7E19" w:rsidRPr="00A244B9" w:rsidRDefault="008B7E19" w:rsidP="008B7E19">
            <w:pPr>
              <w:jc w:val="right"/>
              <w:cnfStyle w:val="100000000000" w:firstRow="1" w:lastRow="0" w:firstColumn="0" w:lastColumn="0" w:oddVBand="0" w:evenVBand="0" w:oddHBand="0" w:evenHBand="0" w:firstRowFirstColumn="0" w:firstRowLastColumn="0" w:lastRowFirstColumn="0" w:lastRowLastColumn="0"/>
              <w:rPr>
                <w:rFonts w:cs="Arial"/>
                <w:sz w:val="14"/>
                <w:szCs w:val="14"/>
              </w:rPr>
            </w:pPr>
            <w:r w:rsidRPr="002062A7">
              <w:rPr>
                <w:rFonts w:cs="Arial"/>
                <w:sz w:val="14"/>
                <w:szCs w:val="14"/>
              </w:rPr>
              <w:t>1</w:t>
            </w:r>
            <w:r w:rsidRPr="002062A7">
              <w:rPr>
                <w:rFonts w:cs="Arial"/>
                <w:sz w:val="14"/>
                <w:szCs w:val="14"/>
                <w:vertAlign w:val="superscript"/>
              </w:rPr>
              <w:t>st</w:t>
            </w:r>
            <w:r w:rsidRPr="002062A7">
              <w:rPr>
                <w:rFonts w:cs="Arial"/>
                <w:sz w:val="14"/>
                <w:szCs w:val="14"/>
              </w:rPr>
              <w:t xml:space="preserve"> Half 2023</w:t>
            </w:r>
          </w:p>
        </w:tc>
        <w:tc>
          <w:tcPr>
            <w:tcW w:w="1819" w:type="dxa"/>
            <w:tcBorders>
              <w:top w:val="single" w:sz="2" w:space="0" w:color="1F4E79" w:themeColor="accent1" w:themeShade="80"/>
              <w:left w:val="nil"/>
              <w:bottom w:val="single" w:sz="2" w:space="0" w:color="1F4E79" w:themeColor="accent1" w:themeShade="80"/>
              <w:right w:val="nil"/>
            </w:tcBorders>
            <w:shd w:val="clear" w:color="auto" w:fill="auto"/>
            <w:vAlign w:val="center"/>
          </w:tcPr>
          <w:p w14:paraId="773B3C9E" w14:textId="77777777" w:rsidR="008B7E19" w:rsidRPr="00A244B9" w:rsidRDefault="008B7E19" w:rsidP="008B7E19">
            <w:pPr>
              <w:jc w:val="right"/>
              <w:cnfStyle w:val="100000000000" w:firstRow="1" w:lastRow="0" w:firstColumn="0" w:lastColumn="0" w:oddVBand="0" w:evenVBand="0" w:oddHBand="0" w:evenHBand="0" w:firstRowFirstColumn="0" w:firstRowLastColumn="0" w:lastRowFirstColumn="0" w:lastRowLastColumn="0"/>
              <w:rPr>
                <w:rFonts w:cs="Arial"/>
                <w:sz w:val="14"/>
                <w:szCs w:val="14"/>
              </w:rPr>
            </w:pPr>
            <w:r w:rsidRPr="002062A7">
              <w:rPr>
                <w:rFonts w:cs="Arial"/>
                <w:sz w:val="14"/>
                <w:szCs w:val="14"/>
              </w:rPr>
              <w:t>2</w:t>
            </w:r>
            <w:r w:rsidRPr="002062A7">
              <w:rPr>
                <w:rFonts w:cs="Arial"/>
                <w:sz w:val="14"/>
                <w:szCs w:val="14"/>
                <w:vertAlign w:val="superscript"/>
              </w:rPr>
              <w:t>nd</w:t>
            </w:r>
            <w:r w:rsidRPr="002062A7">
              <w:rPr>
                <w:rFonts w:cs="Arial"/>
                <w:sz w:val="14"/>
                <w:szCs w:val="14"/>
              </w:rPr>
              <w:t xml:space="preserve"> Quarter 2022</w:t>
            </w:r>
            <w:r w:rsidRPr="002062A7">
              <w:rPr>
                <w:rFonts w:cs="Arial"/>
                <w:sz w:val="14"/>
                <w:szCs w:val="14"/>
              </w:rPr>
              <w:br/>
              <w:t>(Restated balances)</w:t>
            </w:r>
          </w:p>
        </w:tc>
        <w:tc>
          <w:tcPr>
            <w:tcW w:w="1819" w:type="dxa"/>
            <w:tcBorders>
              <w:top w:val="single" w:sz="2" w:space="0" w:color="1F4E79" w:themeColor="accent1" w:themeShade="80"/>
              <w:left w:val="nil"/>
              <w:bottom w:val="single" w:sz="2" w:space="0" w:color="1F4E79" w:themeColor="accent1" w:themeShade="80"/>
              <w:right w:val="nil"/>
            </w:tcBorders>
            <w:shd w:val="clear" w:color="auto" w:fill="auto"/>
            <w:vAlign w:val="center"/>
          </w:tcPr>
          <w:p w14:paraId="36915DE1" w14:textId="77777777" w:rsidR="008B7E19" w:rsidRPr="00A244B9" w:rsidRDefault="008B7E19" w:rsidP="008B7E19">
            <w:pPr>
              <w:jc w:val="right"/>
              <w:cnfStyle w:val="100000000000" w:firstRow="1" w:lastRow="0" w:firstColumn="0" w:lastColumn="0" w:oddVBand="0" w:evenVBand="0" w:oddHBand="0" w:evenHBand="0" w:firstRowFirstColumn="0" w:firstRowLastColumn="0" w:lastRowFirstColumn="0" w:lastRowLastColumn="0"/>
              <w:rPr>
                <w:rFonts w:cs="Arial"/>
                <w:sz w:val="14"/>
                <w:szCs w:val="14"/>
              </w:rPr>
            </w:pPr>
            <w:r w:rsidRPr="002062A7">
              <w:rPr>
                <w:rFonts w:cs="Arial"/>
                <w:sz w:val="14"/>
                <w:szCs w:val="14"/>
              </w:rPr>
              <w:t>1</w:t>
            </w:r>
            <w:r w:rsidRPr="002062A7">
              <w:rPr>
                <w:rFonts w:cs="Arial"/>
                <w:sz w:val="14"/>
                <w:szCs w:val="14"/>
                <w:vertAlign w:val="superscript"/>
              </w:rPr>
              <w:t>st</w:t>
            </w:r>
            <w:r w:rsidRPr="002062A7">
              <w:rPr>
                <w:rFonts w:cs="Arial"/>
                <w:sz w:val="14"/>
                <w:szCs w:val="14"/>
              </w:rPr>
              <w:t xml:space="preserve"> Half 2022</w:t>
            </w:r>
            <w:r w:rsidRPr="002062A7">
              <w:rPr>
                <w:rFonts w:cs="Arial"/>
                <w:sz w:val="14"/>
                <w:szCs w:val="14"/>
              </w:rPr>
              <w:br/>
              <w:t>(Restated balances)</w:t>
            </w:r>
          </w:p>
        </w:tc>
      </w:tr>
      <w:tr w:rsidR="008B7E19" w:rsidRPr="00AE145F" w14:paraId="2256ADE5"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single" w:sz="2" w:space="0" w:color="1F4E79" w:themeColor="accent1" w:themeShade="80"/>
              <w:left w:val="nil"/>
              <w:bottom w:val="nil"/>
              <w:right w:val="nil"/>
            </w:tcBorders>
            <w:shd w:val="clear" w:color="auto" w:fill="auto"/>
            <w:vAlign w:val="center"/>
          </w:tcPr>
          <w:p w14:paraId="6EF78D1C" w14:textId="77777777" w:rsidR="008B7E19" w:rsidRPr="00AE145F" w:rsidRDefault="008B7E19" w:rsidP="008B7E19">
            <w:pPr>
              <w:keepNext/>
              <w:keepLines/>
              <w:rPr>
                <w:rFonts w:eastAsia="Times New Roman" w:cs="Arial"/>
                <w:spacing w:val="-2"/>
                <w:sz w:val="14"/>
                <w:szCs w:val="14"/>
              </w:rPr>
            </w:pPr>
            <w:r>
              <w:rPr>
                <w:rFonts w:cs="Arial"/>
                <w:color w:val="000000"/>
                <w:sz w:val="14"/>
                <w:szCs w:val="14"/>
              </w:rPr>
              <w:t>Result of insurance contracts</w:t>
            </w:r>
          </w:p>
        </w:tc>
        <w:tc>
          <w:tcPr>
            <w:tcW w:w="1818" w:type="dxa"/>
            <w:tcBorders>
              <w:top w:val="single" w:sz="2" w:space="0" w:color="1F4E79" w:themeColor="accent1" w:themeShade="80"/>
              <w:left w:val="nil"/>
              <w:bottom w:val="nil"/>
              <w:right w:val="nil"/>
            </w:tcBorders>
            <w:shd w:val="clear" w:color="auto" w:fill="auto"/>
            <w:vAlign w:val="center"/>
          </w:tcPr>
          <w:p w14:paraId="29ED6A7B" w14:textId="77777777" w:rsidR="008B7E19" w:rsidRPr="00AE145F"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b/>
                <w:bCs/>
                <w:sz w:val="14"/>
                <w:szCs w:val="14"/>
              </w:rPr>
            </w:pPr>
            <w:r w:rsidRPr="00AE145F">
              <w:rPr>
                <w:rFonts w:cs="Arial"/>
                <w:b/>
                <w:bCs/>
                <w:sz w:val="14"/>
                <w:szCs w:val="14"/>
              </w:rPr>
              <w:t>280</w:t>
            </w:r>
            <w:r>
              <w:rPr>
                <w:rFonts w:cs="Arial"/>
                <w:b/>
                <w:bCs/>
                <w:sz w:val="14"/>
                <w:szCs w:val="14"/>
              </w:rPr>
              <w:t>,</w:t>
            </w:r>
            <w:r w:rsidRPr="00AE145F">
              <w:rPr>
                <w:rFonts w:cs="Arial"/>
                <w:b/>
                <w:bCs/>
                <w:sz w:val="14"/>
                <w:szCs w:val="14"/>
              </w:rPr>
              <w:t>261</w:t>
            </w:r>
          </w:p>
        </w:tc>
        <w:tc>
          <w:tcPr>
            <w:tcW w:w="1819" w:type="dxa"/>
            <w:tcBorders>
              <w:top w:val="single" w:sz="2" w:space="0" w:color="1F4E79" w:themeColor="accent1" w:themeShade="80"/>
              <w:left w:val="nil"/>
              <w:bottom w:val="nil"/>
              <w:right w:val="nil"/>
            </w:tcBorders>
            <w:shd w:val="clear" w:color="auto" w:fill="auto"/>
            <w:vAlign w:val="center"/>
          </w:tcPr>
          <w:p w14:paraId="141AAC1B" w14:textId="77777777" w:rsidR="008B7E19" w:rsidRPr="00AE145F"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b/>
                <w:bCs/>
                <w:sz w:val="14"/>
                <w:szCs w:val="14"/>
              </w:rPr>
            </w:pPr>
            <w:r w:rsidRPr="00AE145F">
              <w:rPr>
                <w:rFonts w:cs="Arial"/>
                <w:b/>
                <w:bCs/>
                <w:sz w:val="14"/>
                <w:szCs w:val="14"/>
              </w:rPr>
              <w:t>565</w:t>
            </w:r>
            <w:r>
              <w:rPr>
                <w:rFonts w:cs="Arial"/>
                <w:b/>
                <w:bCs/>
                <w:sz w:val="14"/>
                <w:szCs w:val="14"/>
              </w:rPr>
              <w:t>,</w:t>
            </w:r>
            <w:r w:rsidRPr="00AE145F">
              <w:rPr>
                <w:rFonts w:cs="Arial"/>
                <w:b/>
                <w:bCs/>
                <w:sz w:val="14"/>
                <w:szCs w:val="14"/>
              </w:rPr>
              <w:t>643</w:t>
            </w:r>
          </w:p>
        </w:tc>
        <w:tc>
          <w:tcPr>
            <w:tcW w:w="1819" w:type="dxa"/>
            <w:tcBorders>
              <w:top w:val="single" w:sz="2" w:space="0" w:color="1F4E79" w:themeColor="accent1" w:themeShade="80"/>
              <w:left w:val="nil"/>
              <w:bottom w:val="nil"/>
              <w:right w:val="nil"/>
            </w:tcBorders>
            <w:shd w:val="clear" w:color="auto" w:fill="auto"/>
            <w:vAlign w:val="center"/>
          </w:tcPr>
          <w:p w14:paraId="5E493CDB" w14:textId="77777777" w:rsidR="008B7E19" w:rsidRPr="00AE145F"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b/>
                <w:bCs/>
                <w:sz w:val="14"/>
                <w:szCs w:val="14"/>
              </w:rPr>
            </w:pPr>
            <w:r w:rsidRPr="00AE145F">
              <w:rPr>
                <w:rFonts w:cs="Arial"/>
                <w:b/>
                <w:bCs/>
                <w:sz w:val="14"/>
                <w:szCs w:val="14"/>
              </w:rPr>
              <w:t>227</w:t>
            </w:r>
            <w:r>
              <w:rPr>
                <w:rFonts w:cs="Arial"/>
                <w:b/>
                <w:bCs/>
                <w:sz w:val="14"/>
                <w:szCs w:val="14"/>
              </w:rPr>
              <w:t>,</w:t>
            </w:r>
            <w:r w:rsidRPr="00AE145F">
              <w:rPr>
                <w:rFonts w:cs="Arial"/>
                <w:b/>
                <w:bCs/>
                <w:sz w:val="14"/>
                <w:szCs w:val="14"/>
              </w:rPr>
              <w:t>496</w:t>
            </w:r>
          </w:p>
        </w:tc>
        <w:tc>
          <w:tcPr>
            <w:tcW w:w="1819" w:type="dxa"/>
            <w:tcBorders>
              <w:top w:val="single" w:sz="2" w:space="0" w:color="1F4E79" w:themeColor="accent1" w:themeShade="80"/>
              <w:left w:val="nil"/>
              <w:bottom w:val="nil"/>
              <w:right w:val="nil"/>
            </w:tcBorders>
            <w:shd w:val="clear" w:color="auto" w:fill="auto"/>
            <w:vAlign w:val="center"/>
          </w:tcPr>
          <w:p w14:paraId="3AB08E7A" w14:textId="77777777" w:rsidR="008B7E19" w:rsidRPr="00AE145F"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b/>
                <w:bCs/>
                <w:sz w:val="14"/>
                <w:szCs w:val="14"/>
              </w:rPr>
            </w:pPr>
            <w:r w:rsidRPr="00AE145F">
              <w:rPr>
                <w:rFonts w:cs="Arial"/>
                <w:b/>
                <w:bCs/>
                <w:sz w:val="14"/>
                <w:szCs w:val="14"/>
              </w:rPr>
              <w:t>437</w:t>
            </w:r>
            <w:r>
              <w:rPr>
                <w:rFonts w:cs="Arial"/>
                <w:b/>
                <w:bCs/>
                <w:sz w:val="14"/>
                <w:szCs w:val="14"/>
              </w:rPr>
              <w:t>,</w:t>
            </w:r>
            <w:r w:rsidRPr="00AE145F">
              <w:rPr>
                <w:rFonts w:cs="Arial"/>
                <w:b/>
                <w:bCs/>
                <w:sz w:val="14"/>
                <w:szCs w:val="14"/>
              </w:rPr>
              <w:t>102</w:t>
            </w:r>
          </w:p>
        </w:tc>
      </w:tr>
      <w:tr w:rsidR="008B7E19" w:rsidRPr="00A244B9" w14:paraId="7A90F762" w14:textId="77777777" w:rsidTr="008B7E1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725A0048" w14:textId="77777777" w:rsidR="008B7E19" w:rsidRPr="00A244B9" w:rsidRDefault="008B7E19" w:rsidP="008B7E19">
            <w:pPr>
              <w:keepNext/>
              <w:keepLines/>
              <w:spacing w:before="40" w:after="40"/>
              <w:ind w:left="113"/>
              <w:rPr>
                <w:rFonts w:cs="Arial"/>
                <w:b w:val="0"/>
                <w:bCs w:val="0"/>
                <w:sz w:val="14"/>
                <w:szCs w:val="14"/>
              </w:rPr>
            </w:pPr>
            <w:r>
              <w:rPr>
                <w:rFonts w:cs="Arial"/>
                <w:b w:val="0"/>
                <w:bCs w:val="0"/>
                <w:color w:val="000000"/>
                <w:sz w:val="14"/>
                <w:szCs w:val="14"/>
              </w:rPr>
              <w:t>Result of contracts</w:t>
            </w:r>
            <w:r w:rsidRPr="00E4394A">
              <w:rPr>
                <w:rFonts w:cs="Arial"/>
                <w:b w:val="0"/>
                <w:bCs w:val="0"/>
                <w:color w:val="000000"/>
                <w:sz w:val="14"/>
                <w:szCs w:val="14"/>
              </w:rPr>
              <w:t xml:space="preserve"> PAA</w:t>
            </w:r>
            <w:r>
              <w:rPr>
                <w:rFonts w:cs="Arial"/>
                <w:b w:val="0"/>
                <w:bCs w:val="0"/>
                <w:color w:val="000000"/>
                <w:sz w:val="14"/>
                <w:szCs w:val="14"/>
              </w:rPr>
              <w:t xml:space="preserve"> </w:t>
            </w:r>
            <w:r w:rsidRPr="00015FF3">
              <w:rPr>
                <w:rFonts w:cs="Arial"/>
                <w:b w:val="0"/>
                <w:bCs w:val="0"/>
                <w:color w:val="000000"/>
                <w:sz w:val="14"/>
                <w:szCs w:val="14"/>
                <w:vertAlign w:val="superscript"/>
              </w:rPr>
              <w:t>(1)</w:t>
            </w:r>
          </w:p>
        </w:tc>
        <w:tc>
          <w:tcPr>
            <w:tcW w:w="1818" w:type="dxa"/>
            <w:tcBorders>
              <w:top w:val="nil"/>
              <w:left w:val="nil"/>
              <w:bottom w:val="nil"/>
              <w:right w:val="nil"/>
            </w:tcBorders>
            <w:shd w:val="clear" w:color="auto" w:fill="auto"/>
            <w:vAlign w:val="center"/>
          </w:tcPr>
          <w:p w14:paraId="01C9BF0C" w14:textId="77777777" w:rsidR="008B7E19" w:rsidRPr="00AE145F"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sz w:val="14"/>
                <w:szCs w:val="14"/>
              </w:rPr>
            </w:pPr>
            <w:r w:rsidRPr="00AE145F">
              <w:rPr>
                <w:rFonts w:cs="Arial"/>
                <w:sz w:val="14"/>
                <w:szCs w:val="14"/>
              </w:rPr>
              <w:t>280</w:t>
            </w:r>
            <w:r>
              <w:rPr>
                <w:rFonts w:cs="Arial"/>
                <w:sz w:val="14"/>
                <w:szCs w:val="14"/>
              </w:rPr>
              <w:t>,</w:t>
            </w:r>
            <w:r w:rsidRPr="00AE145F">
              <w:rPr>
                <w:rFonts w:cs="Arial"/>
                <w:sz w:val="14"/>
                <w:szCs w:val="14"/>
              </w:rPr>
              <w:t>261</w:t>
            </w:r>
          </w:p>
        </w:tc>
        <w:tc>
          <w:tcPr>
            <w:tcW w:w="1819" w:type="dxa"/>
            <w:tcBorders>
              <w:top w:val="nil"/>
              <w:left w:val="nil"/>
              <w:bottom w:val="nil"/>
              <w:right w:val="nil"/>
            </w:tcBorders>
            <w:shd w:val="clear" w:color="auto" w:fill="auto"/>
            <w:vAlign w:val="center"/>
          </w:tcPr>
          <w:p w14:paraId="33B2F09F" w14:textId="77777777" w:rsidR="008B7E19" w:rsidRPr="00AE145F"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sz w:val="14"/>
                <w:szCs w:val="14"/>
              </w:rPr>
            </w:pPr>
            <w:r w:rsidRPr="00AE145F">
              <w:rPr>
                <w:rFonts w:cs="Arial"/>
                <w:sz w:val="14"/>
                <w:szCs w:val="14"/>
              </w:rPr>
              <w:t>565</w:t>
            </w:r>
            <w:r>
              <w:rPr>
                <w:rFonts w:cs="Arial"/>
                <w:sz w:val="14"/>
                <w:szCs w:val="14"/>
              </w:rPr>
              <w:t>,</w:t>
            </w:r>
            <w:r w:rsidRPr="00AE145F">
              <w:rPr>
                <w:rFonts w:cs="Arial"/>
                <w:sz w:val="14"/>
                <w:szCs w:val="14"/>
              </w:rPr>
              <w:t>643</w:t>
            </w:r>
          </w:p>
        </w:tc>
        <w:tc>
          <w:tcPr>
            <w:tcW w:w="1819" w:type="dxa"/>
            <w:tcBorders>
              <w:top w:val="nil"/>
              <w:left w:val="nil"/>
              <w:bottom w:val="nil"/>
              <w:right w:val="nil"/>
            </w:tcBorders>
            <w:shd w:val="clear" w:color="auto" w:fill="auto"/>
            <w:vAlign w:val="center"/>
          </w:tcPr>
          <w:p w14:paraId="72C5E59E" w14:textId="77777777" w:rsidR="008B7E19" w:rsidRPr="00AE145F"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sz w:val="14"/>
                <w:szCs w:val="14"/>
              </w:rPr>
            </w:pPr>
            <w:r w:rsidRPr="00AE145F">
              <w:rPr>
                <w:rFonts w:cs="Arial"/>
                <w:sz w:val="14"/>
                <w:szCs w:val="14"/>
              </w:rPr>
              <w:t>227</w:t>
            </w:r>
            <w:r>
              <w:rPr>
                <w:rFonts w:cs="Arial"/>
                <w:sz w:val="14"/>
                <w:szCs w:val="14"/>
              </w:rPr>
              <w:t>,</w:t>
            </w:r>
            <w:r w:rsidRPr="00AE145F">
              <w:rPr>
                <w:rFonts w:cs="Arial"/>
                <w:sz w:val="14"/>
                <w:szCs w:val="14"/>
              </w:rPr>
              <w:t>496</w:t>
            </w:r>
          </w:p>
        </w:tc>
        <w:tc>
          <w:tcPr>
            <w:tcW w:w="1819" w:type="dxa"/>
            <w:tcBorders>
              <w:top w:val="nil"/>
              <w:left w:val="nil"/>
              <w:bottom w:val="nil"/>
              <w:right w:val="nil"/>
            </w:tcBorders>
            <w:shd w:val="clear" w:color="auto" w:fill="auto"/>
            <w:vAlign w:val="center"/>
          </w:tcPr>
          <w:p w14:paraId="2D06D7C9" w14:textId="77777777" w:rsidR="008B7E19" w:rsidRPr="00AE145F"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sz w:val="14"/>
                <w:szCs w:val="14"/>
              </w:rPr>
            </w:pPr>
            <w:r w:rsidRPr="00AE145F">
              <w:rPr>
                <w:rFonts w:cs="Arial"/>
                <w:sz w:val="14"/>
                <w:szCs w:val="14"/>
              </w:rPr>
              <w:t>437</w:t>
            </w:r>
            <w:r>
              <w:rPr>
                <w:rFonts w:cs="Arial"/>
                <w:sz w:val="14"/>
                <w:szCs w:val="14"/>
              </w:rPr>
              <w:t>,</w:t>
            </w:r>
            <w:r w:rsidRPr="00AE145F">
              <w:rPr>
                <w:rFonts w:cs="Arial"/>
                <w:sz w:val="14"/>
                <w:szCs w:val="14"/>
              </w:rPr>
              <w:t>102</w:t>
            </w:r>
          </w:p>
        </w:tc>
      </w:tr>
      <w:tr w:rsidR="008B7E19" w:rsidRPr="00A244B9" w14:paraId="7FE12CC5"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266F61BD" w14:textId="77777777" w:rsidR="008B7E19" w:rsidRPr="00A244B9" w:rsidRDefault="008B7E19" w:rsidP="008B7E19">
            <w:pPr>
              <w:keepNext/>
              <w:keepLines/>
              <w:rPr>
                <w:rFonts w:cs="Arial"/>
                <w:b w:val="0"/>
                <w:bCs w:val="0"/>
                <w:sz w:val="14"/>
                <w:szCs w:val="14"/>
              </w:rPr>
            </w:pPr>
            <w:r>
              <w:rPr>
                <w:rFonts w:cs="Arial"/>
                <w:b w:val="0"/>
                <w:bCs w:val="0"/>
                <w:color w:val="000000"/>
                <w:sz w:val="14"/>
                <w:szCs w:val="14"/>
              </w:rPr>
              <w:t>Insurance expenses</w:t>
            </w:r>
          </w:p>
        </w:tc>
        <w:tc>
          <w:tcPr>
            <w:tcW w:w="1818" w:type="dxa"/>
            <w:tcBorders>
              <w:top w:val="nil"/>
              <w:left w:val="nil"/>
              <w:bottom w:val="nil"/>
              <w:right w:val="nil"/>
            </w:tcBorders>
            <w:shd w:val="clear" w:color="auto" w:fill="auto"/>
            <w:vAlign w:val="center"/>
          </w:tcPr>
          <w:p w14:paraId="1A05624F" w14:textId="77777777" w:rsidR="008B7E19" w:rsidRPr="00AE145F" w:rsidRDefault="008B7E19" w:rsidP="008B7E19">
            <w:pPr>
              <w:keepNext/>
              <w:keepLines/>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E145F">
              <w:rPr>
                <w:rFonts w:cs="Arial"/>
                <w:sz w:val="14"/>
                <w:szCs w:val="14"/>
              </w:rPr>
              <w:t>(253</w:t>
            </w:r>
            <w:r>
              <w:rPr>
                <w:rFonts w:cs="Arial"/>
                <w:sz w:val="14"/>
                <w:szCs w:val="14"/>
              </w:rPr>
              <w:t>,</w:t>
            </w:r>
            <w:r w:rsidRPr="00AE145F">
              <w:rPr>
                <w:rFonts w:cs="Arial"/>
                <w:sz w:val="14"/>
                <w:szCs w:val="14"/>
              </w:rPr>
              <w:t>506)</w:t>
            </w:r>
          </w:p>
        </w:tc>
        <w:tc>
          <w:tcPr>
            <w:tcW w:w="1819" w:type="dxa"/>
            <w:tcBorders>
              <w:top w:val="nil"/>
              <w:left w:val="nil"/>
              <w:bottom w:val="nil"/>
              <w:right w:val="nil"/>
            </w:tcBorders>
            <w:shd w:val="clear" w:color="auto" w:fill="auto"/>
            <w:vAlign w:val="center"/>
          </w:tcPr>
          <w:p w14:paraId="5B993196" w14:textId="77777777" w:rsidR="008B7E19" w:rsidRPr="00AE145F" w:rsidRDefault="008B7E19" w:rsidP="008B7E19">
            <w:pPr>
              <w:keepNext/>
              <w:keepLines/>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E145F">
              <w:rPr>
                <w:rFonts w:cs="Arial"/>
                <w:sz w:val="14"/>
                <w:szCs w:val="14"/>
              </w:rPr>
              <w:t>(530</w:t>
            </w:r>
            <w:r>
              <w:rPr>
                <w:rFonts w:cs="Arial"/>
                <w:sz w:val="14"/>
                <w:szCs w:val="14"/>
              </w:rPr>
              <w:t>,</w:t>
            </w:r>
            <w:r w:rsidRPr="00AE145F">
              <w:rPr>
                <w:rFonts w:cs="Arial"/>
                <w:sz w:val="14"/>
                <w:szCs w:val="14"/>
              </w:rPr>
              <w:t>10</w:t>
            </w:r>
            <w:r>
              <w:rPr>
                <w:rFonts w:cs="Arial"/>
                <w:sz w:val="14"/>
                <w:szCs w:val="14"/>
              </w:rPr>
              <w:t>4</w:t>
            </w:r>
            <w:r w:rsidRPr="00AE145F">
              <w:rPr>
                <w:rFonts w:cs="Arial"/>
                <w:sz w:val="14"/>
                <w:szCs w:val="14"/>
              </w:rPr>
              <w:t>)</w:t>
            </w:r>
          </w:p>
        </w:tc>
        <w:tc>
          <w:tcPr>
            <w:tcW w:w="1819" w:type="dxa"/>
            <w:tcBorders>
              <w:top w:val="nil"/>
              <w:left w:val="nil"/>
              <w:bottom w:val="nil"/>
              <w:right w:val="nil"/>
            </w:tcBorders>
            <w:shd w:val="clear" w:color="auto" w:fill="auto"/>
            <w:vAlign w:val="center"/>
          </w:tcPr>
          <w:p w14:paraId="1F102CDF" w14:textId="77777777" w:rsidR="008B7E19" w:rsidRPr="00AE145F" w:rsidRDefault="008B7E19" w:rsidP="008B7E19">
            <w:pPr>
              <w:keepNext/>
              <w:keepLines/>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E145F">
              <w:rPr>
                <w:rFonts w:cs="Arial"/>
                <w:sz w:val="14"/>
                <w:szCs w:val="14"/>
              </w:rPr>
              <w:t>(178</w:t>
            </w:r>
            <w:r>
              <w:rPr>
                <w:rFonts w:cs="Arial"/>
                <w:sz w:val="14"/>
                <w:szCs w:val="14"/>
              </w:rPr>
              <w:t>,</w:t>
            </w:r>
            <w:r w:rsidRPr="00AE145F">
              <w:rPr>
                <w:rFonts w:cs="Arial"/>
                <w:sz w:val="14"/>
                <w:szCs w:val="14"/>
              </w:rPr>
              <w:t>06</w:t>
            </w:r>
            <w:r>
              <w:rPr>
                <w:rFonts w:cs="Arial"/>
                <w:sz w:val="14"/>
                <w:szCs w:val="14"/>
              </w:rPr>
              <w:t>6</w:t>
            </w:r>
            <w:r w:rsidRPr="00AE145F">
              <w:rPr>
                <w:rFonts w:cs="Arial"/>
                <w:sz w:val="14"/>
                <w:szCs w:val="14"/>
              </w:rPr>
              <w:t>)</w:t>
            </w:r>
          </w:p>
        </w:tc>
        <w:tc>
          <w:tcPr>
            <w:tcW w:w="1819" w:type="dxa"/>
            <w:tcBorders>
              <w:top w:val="nil"/>
              <w:left w:val="nil"/>
              <w:bottom w:val="nil"/>
              <w:right w:val="nil"/>
            </w:tcBorders>
            <w:shd w:val="clear" w:color="auto" w:fill="auto"/>
            <w:vAlign w:val="center"/>
          </w:tcPr>
          <w:p w14:paraId="4A9637A2" w14:textId="77777777" w:rsidR="008B7E19" w:rsidRPr="00AE145F" w:rsidRDefault="008B7E19" w:rsidP="008B7E19">
            <w:pPr>
              <w:keepNext/>
              <w:keepLines/>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E145F">
              <w:rPr>
                <w:rFonts w:cs="Arial"/>
                <w:sz w:val="14"/>
                <w:szCs w:val="14"/>
              </w:rPr>
              <w:t>(364</w:t>
            </w:r>
            <w:r>
              <w:rPr>
                <w:rFonts w:cs="Arial"/>
                <w:sz w:val="14"/>
                <w:szCs w:val="14"/>
              </w:rPr>
              <w:t>,</w:t>
            </w:r>
            <w:r w:rsidRPr="00AE145F">
              <w:rPr>
                <w:rFonts w:cs="Arial"/>
                <w:sz w:val="14"/>
                <w:szCs w:val="14"/>
              </w:rPr>
              <w:t>520)</w:t>
            </w:r>
          </w:p>
        </w:tc>
      </w:tr>
      <w:tr w:rsidR="008B7E19" w:rsidRPr="00AE145F" w14:paraId="2D4CAEB0" w14:textId="77777777" w:rsidTr="008B7E1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7C7F897C" w14:textId="77777777" w:rsidR="008B7E19" w:rsidRPr="00AE145F" w:rsidRDefault="008B7E19" w:rsidP="008B7E19">
            <w:pPr>
              <w:keepNext/>
              <w:keepLines/>
              <w:rPr>
                <w:rFonts w:cs="Arial"/>
                <w:color w:val="000000"/>
                <w:sz w:val="14"/>
                <w:szCs w:val="14"/>
              </w:rPr>
            </w:pPr>
            <w:r>
              <w:rPr>
                <w:rFonts w:cs="Arial"/>
                <w:color w:val="000000"/>
                <w:sz w:val="14"/>
                <w:szCs w:val="14"/>
              </w:rPr>
              <w:t>Insurance margin</w:t>
            </w:r>
          </w:p>
        </w:tc>
        <w:tc>
          <w:tcPr>
            <w:tcW w:w="1818" w:type="dxa"/>
            <w:tcBorders>
              <w:top w:val="nil"/>
              <w:left w:val="nil"/>
              <w:bottom w:val="nil"/>
              <w:right w:val="nil"/>
            </w:tcBorders>
            <w:shd w:val="clear" w:color="auto" w:fill="auto"/>
            <w:vAlign w:val="center"/>
          </w:tcPr>
          <w:p w14:paraId="43CA4711" w14:textId="77777777" w:rsidR="008B7E19" w:rsidRPr="00AE145F" w:rsidRDefault="008B7E19" w:rsidP="008B7E19">
            <w:pPr>
              <w:keepNext/>
              <w:keepLines/>
              <w:jc w:val="right"/>
              <w:cnfStyle w:val="000000010000" w:firstRow="0" w:lastRow="0" w:firstColumn="0" w:lastColumn="0" w:oddVBand="0" w:evenVBand="0" w:oddHBand="0" w:evenHBand="1" w:firstRowFirstColumn="0" w:firstRowLastColumn="0" w:lastRowFirstColumn="0" w:lastRowLastColumn="0"/>
              <w:rPr>
                <w:rFonts w:cs="Arial"/>
                <w:b/>
                <w:bCs/>
                <w:color w:val="000000"/>
                <w:sz w:val="14"/>
                <w:szCs w:val="14"/>
              </w:rPr>
            </w:pPr>
            <w:r w:rsidRPr="00AE145F">
              <w:rPr>
                <w:rFonts w:cs="Arial"/>
                <w:b/>
                <w:bCs/>
                <w:sz w:val="14"/>
                <w:szCs w:val="14"/>
              </w:rPr>
              <w:t>26</w:t>
            </w:r>
            <w:r>
              <w:rPr>
                <w:rFonts w:cs="Arial"/>
                <w:b/>
                <w:bCs/>
                <w:sz w:val="14"/>
                <w:szCs w:val="14"/>
              </w:rPr>
              <w:t>,</w:t>
            </w:r>
            <w:r w:rsidRPr="00AE145F">
              <w:rPr>
                <w:rFonts w:cs="Arial"/>
                <w:b/>
                <w:bCs/>
                <w:sz w:val="14"/>
                <w:szCs w:val="14"/>
              </w:rPr>
              <w:t>755</w:t>
            </w:r>
          </w:p>
        </w:tc>
        <w:tc>
          <w:tcPr>
            <w:tcW w:w="1819" w:type="dxa"/>
            <w:tcBorders>
              <w:top w:val="nil"/>
              <w:left w:val="nil"/>
              <w:bottom w:val="nil"/>
              <w:right w:val="nil"/>
            </w:tcBorders>
            <w:shd w:val="clear" w:color="auto" w:fill="auto"/>
            <w:vAlign w:val="center"/>
          </w:tcPr>
          <w:p w14:paraId="42153C1B" w14:textId="77777777" w:rsidR="008B7E19" w:rsidRPr="00AE145F" w:rsidRDefault="008B7E19" w:rsidP="008B7E19">
            <w:pPr>
              <w:keepNext/>
              <w:keepLines/>
              <w:jc w:val="right"/>
              <w:cnfStyle w:val="000000010000" w:firstRow="0" w:lastRow="0" w:firstColumn="0" w:lastColumn="0" w:oddVBand="0" w:evenVBand="0" w:oddHBand="0" w:evenHBand="1" w:firstRowFirstColumn="0" w:firstRowLastColumn="0" w:lastRowFirstColumn="0" w:lastRowLastColumn="0"/>
              <w:rPr>
                <w:rFonts w:cs="Arial"/>
                <w:b/>
                <w:bCs/>
                <w:color w:val="000000"/>
                <w:sz w:val="14"/>
                <w:szCs w:val="14"/>
              </w:rPr>
            </w:pPr>
            <w:r w:rsidRPr="00AE145F">
              <w:rPr>
                <w:rFonts w:cs="Arial"/>
                <w:b/>
                <w:bCs/>
                <w:sz w:val="14"/>
                <w:szCs w:val="14"/>
              </w:rPr>
              <w:t>35</w:t>
            </w:r>
            <w:r>
              <w:rPr>
                <w:rFonts w:cs="Arial"/>
                <w:b/>
                <w:bCs/>
                <w:sz w:val="14"/>
                <w:szCs w:val="14"/>
              </w:rPr>
              <w:t>,</w:t>
            </w:r>
            <w:r w:rsidRPr="00AE145F">
              <w:rPr>
                <w:rFonts w:cs="Arial"/>
                <w:b/>
                <w:bCs/>
                <w:sz w:val="14"/>
                <w:szCs w:val="14"/>
              </w:rPr>
              <w:t>539</w:t>
            </w:r>
          </w:p>
        </w:tc>
        <w:tc>
          <w:tcPr>
            <w:tcW w:w="1819" w:type="dxa"/>
            <w:tcBorders>
              <w:top w:val="nil"/>
              <w:left w:val="nil"/>
              <w:bottom w:val="nil"/>
              <w:right w:val="nil"/>
            </w:tcBorders>
            <w:shd w:val="clear" w:color="auto" w:fill="auto"/>
            <w:vAlign w:val="center"/>
          </w:tcPr>
          <w:p w14:paraId="43AFA4FC" w14:textId="77777777" w:rsidR="008B7E19" w:rsidRPr="00AE145F" w:rsidRDefault="008B7E19" w:rsidP="008B7E19">
            <w:pPr>
              <w:keepNext/>
              <w:keepLines/>
              <w:jc w:val="right"/>
              <w:cnfStyle w:val="000000010000" w:firstRow="0" w:lastRow="0" w:firstColumn="0" w:lastColumn="0" w:oddVBand="0" w:evenVBand="0" w:oddHBand="0" w:evenHBand="1" w:firstRowFirstColumn="0" w:firstRowLastColumn="0" w:lastRowFirstColumn="0" w:lastRowLastColumn="0"/>
              <w:rPr>
                <w:rFonts w:cs="Arial"/>
                <w:b/>
                <w:bCs/>
                <w:color w:val="000000"/>
                <w:sz w:val="14"/>
                <w:szCs w:val="14"/>
              </w:rPr>
            </w:pPr>
            <w:r w:rsidRPr="00AE145F">
              <w:rPr>
                <w:rFonts w:cs="Arial"/>
                <w:b/>
                <w:bCs/>
                <w:sz w:val="14"/>
                <w:szCs w:val="14"/>
              </w:rPr>
              <w:t>49</w:t>
            </w:r>
            <w:r>
              <w:rPr>
                <w:rFonts w:cs="Arial"/>
                <w:b/>
                <w:bCs/>
                <w:sz w:val="14"/>
                <w:szCs w:val="14"/>
              </w:rPr>
              <w:t>,</w:t>
            </w:r>
            <w:r w:rsidRPr="00AE145F">
              <w:rPr>
                <w:rFonts w:cs="Arial"/>
                <w:b/>
                <w:bCs/>
                <w:sz w:val="14"/>
                <w:szCs w:val="14"/>
              </w:rPr>
              <w:t>430</w:t>
            </w:r>
          </w:p>
        </w:tc>
        <w:tc>
          <w:tcPr>
            <w:tcW w:w="1819" w:type="dxa"/>
            <w:tcBorders>
              <w:top w:val="nil"/>
              <w:left w:val="nil"/>
              <w:bottom w:val="nil"/>
              <w:right w:val="nil"/>
            </w:tcBorders>
            <w:shd w:val="clear" w:color="auto" w:fill="auto"/>
            <w:vAlign w:val="center"/>
          </w:tcPr>
          <w:p w14:paraId="445934D5" w14:textId="77777777" w:rsidR="008B7E19" w:rsidRPr="00AE145F" w:rsidRDefault="008B7E19" w:rsidP="008B7E19">
            <w:pPr>
              <w:keepNext/>
              <w:keepLines/>
              <w:jc w:val="right"/>
              <w:cnfStyle w:val="000000010000" w:firstRow="0" w:lastRow="0" w:firstColumn="0" w:lastColumn="0" w:oddVBand="0" w:evenVBand="0" w:oddHBand="0" w:evenHBand="1" w:firstRowFirstColumn="0" w:firstRowLastColumn="0" w:lastRowFirstColumn="0" w:lastRowLastColumn="0"/>
              <w:rPr>
                <w:rFonts w:cs="Arial"/>
                <w:b/>
                <w:bCs/>
                <w:color w:val="000000"/>
                <w:sz w:val="14"/>
                <w:szCs w:val="14"/>
              </w:rPr>
            </w:pPr>
            <w:r w:rsidRPr="00AE145F">
              <w:rPr>
                <w:rFonts w:cs="Arial"/>
                <w:b/>
                <w:bCs/>
                <w:sz w:val="14"/>
                <w:szCs w:val="14"/>
              </w:rPr>
              <w:t>72</w:t>
            </w:r>
            <w:r>
              <w:rPr>
                <w:rFonts w:cs="Arial"/>
                <w:b/>
                <w:bCs/>
                <w:sz w:val="14"/>
                <w:szCs w:val="14"/>
              </w:rPr>
              <w:t>,</w:t>
            </w:r>
            <w:r w:rsidRPr="00AE145F">
              <w:rPr>
                <w:rFonts w:cs="Arial"/>
                <w:b/>
                <w:bCs/>
                <w:sz w:val="14"/>
                <w:szCs w:val="14"/>
              </w:rPr>
              <w:t>582</w:t>
            </w:r>
          </w:p>
        </w:tc>
      </w:tr>
      <w:tr w:rsidR="008B7E19" w:rsidRPr="00AE145F" w14:paraId="0B687A66"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71D67192" w14:textId="77777777" w:rsidR="008B7E19" w:rsidRPr="00AE145F" w:rsidRDefault="008B7E19" w:rsidP="008B7E19">
            <w:pPr>
              <w:keepNext/>
              <w:keepLines/>
              <w:spacing w:before="40" w:after="40"/>
              <w:rPr>
                <w:rFonts w:cs="Arial"/>
                <w:sz w:val="14"/>
                <w:szCs w:val="14"/>
              </w:rPr>
            </w:pPr>
            <w:r>
              <w:rPr>
                <w:rFonts w:cs="Arial"/>
                <w:color w:val="000000"/>
                <w:sz w:val="14"/>
                <w:szCs w:val="14"/>
              </w:rPr>
              <w:t>Financial result</w:t>
            </w:r>
          </w:p>
        </w:tc>
        <w:tc>
          <w:tcPr>
            <w:tcW w:w="1818" w:type="dxa"/>
            <w:tcBorders>
              <w:top w:val="nil"/>
              <w:left w:val="nil"/>
              <w:bottom w:val="nil"/>
              <w:right w:val="nil"/>
            </w:tcBorders>
            <w:shd w:val="clear" w:color="auto" w:fill="auto"/>
            <w:vAlign w:val="center"/>
          </w:tcPr>
          <w:p w14:paraId="4ACFF3DC" w14:textId="77777777" w:rsidR="008B7E19" w:rsidRPr="00AE145F"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b/>
                <w:bCs/>
                <w:sz w:val="14"/>
                <w:szCs w:val="14"/>
              </w:rPr>
            </w:pPr>
            <w:r w:rsidRPr="00AE145F">
              <w:rPr>
                <w:rFonts w:cs="Arial"/>
                <w:b/>
                <w:bCs/>
                <w:sz w:val="14"/>
                <w:szCs w:val="14"/>
              </w:rPr>
              <w:t>12</w:t>
            </w:r>
            <w:r>
              <w:rPr>
                <w:rFonts w:cs="Arial"/>
                <w:b/>
                <w:bCs/>
                <w:sz w:val="14"/>
                <w:szCs w:val="14"/>
              </w:rPr>
              <w:t>,</w:t>
            </w:r>
            <w:r w:rsidRPr="00AE145F">
              <w:rPr>
                <w:rFonts w:cs="Arial"/>
                <w:b/>
                <w:bCs/>
                <w:sz w:val="14"/>
                <w:szCs w:val="14"/>
              </w:rPr>
              <w:t>95</w:t>
            </w:r>
            <w:r>
              <w:rPr>
                <w:rFonts w:cs="Arial"/>
                <w:b/>
                <w:bCs/>
                <w:sz w:val="14"/>
                <w:szCs w:val="14"/>
              </w:rPr>
              <w:t>4</w:t>
            </w:r>
          </w:p>
        </w:tc>
        <w:tc>
          <w:tcPr>
            <w:tcW w:w="1819" w:type="dxa"/>
            <w:tcBorders>
              <w:top w:val="nil"/>
              <w:left w:val="nil"/>
              <w:bottom w:val="nil"/>
              <w:right w:val="nil"/>
            </w:tcBorders>
            <w:shd w:val="clear" w:color="auto" w:fill="auto"/>
            <w:vAlign w:val="center"/>
          </w:tcPr>
          <w:p w14:paraId="26CB28A6" w14:textId="77777777" w:rsidR="008B7E19" w:rsidRPr="00AE145F"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b/>
                <w:bCs/>
                <w:sz w:val="14"/>
                <w:szCs w:val="14"/>
              </w:rPr>
            </w:pPr>
            <w:r w:rsidRPr="00AE145F">
              <w:rPr>
                <w:rFonts w:cs="Arial"/>
                <w:b/>
                <w:bCs/>
                <w:sz w:val="14"/>
                <w:szCs w:val="14"/>
              </w:rPr>
              <w:t>28</w:t>
            </w:r>
            <w:r>
              <w:rPr>
                <w:rFonts w:cs="Arial"/>
                <w:b/>
                <w:bCs/>
                <w:sz w:val="14"/>
                <w:szCs w:val="14"/>
              </w:rPr>
              <w:t>,</w:t>
            </w:r>
            <w:r w:rsidRPr="00AE145F">
              <w:rPr>
                <w:rFonts w:cs="Arial"/>
                <w:b/>
                <w:bCs/>
                <w:sz w:val="14"/>
                <w:szCs w:val="14"/>
              </w:rPr>
              <w:t>368</w:t>
            </w:r>
          </w:p>
        </w:tc>
        <w:tc>
          <w:tcPr>
            <w:tcW w:w="1819" w:type="dxa"/>
            <w:tcBorders>
              <w:top w:val="nil"/>
              <w:left w:val="nil"/>
              <w:bottom w:val="nil"/>
              <w:right w:val="nil"/>
            </w:tcBorders>
            <w:shd w:val="clear" w:color="auto" w:fill="auto"/>
            <w:vAlign w:val="center"/>
          </w:tcPr>
          <w:p w14:paraId="5AE32718" w14:textId="77777777" w:rsidR="008B7E19" w:rsidRPr="00AE145F"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b/>
                <w:bCs/>
                <w:sz w:val="14"/>
                <w:szCs w:val="14"/>
              </w:rPr>
            </w:pPr>
            <w:r w:rsidRPr="00AE145F">
              <w:rPr>
                <w:rFonts w:cs="Arial"/>
                <w:b/>
                <w:bCs/>
                <w:sz w:val="14"/>
                <w:szCs w:val="14"/>
              </w:rPr>
              <w:t>10</w:t>
            </w:r>
            <w:r>
              <w:rPr>
                <w:rFonts w:cs="Arial"/>
                <w:b/>
                <w:bCs/>
                <w:sz w:val="14"/>
                <w:szCs w:val="14"/>
              </w:rPr>
              <w:t>,</w:t>
            </w:r>
            <w:r w:rsidRPr="00AE145F">
              <w:rPr>
                <w:rFonts w:cs="Arial"/>
                <w:b/>
                <w:bCs/>
                <w:sz w:val="14"/>
                <w:szCs w:val="14"/>
              </w:rPr>
              <w:t>210</w:t>
            </w:r>
          </w:p>
        </w:tc>
        <w:tc>
          <w:tcPr>
            <w:tcW w:w="1819" w:type="dxa"/>
            <w:tcBorders>
              <w:top w:val="nil"/>
              <w:left w:val="nil"/>
              <w:bottom w:val="nil"/>
              <w:right w:val="nil"/>
            </w:tcBorders>
            <w:shd w:val="clear" w:color="auto" w:fill="auto"/>
            <w:vAlign w:val="center"/>
          </w:tcPr>
          <w:p w14:paraId="575FA5CC" w14:textId="77777777" w:rsidR="008B7E19" w:rsidRPr="00AE145F"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b/>
                <w:bCs/>
                <w:sz w:val="14"/>
                <w:szCs w:val="14"/>
              </w:rPr>
            </w:pPr>
            <w:r w:rsidRPr="00AE145F">
              <w:rPr>
                <w:rFonts w:cs="Arial"/>
                <w:b/>
                <w:bCs/>
                <w:sz w:val="14"/>
                <w:szCs w:val="14"/>
              </w:rPr>
              <w:t>20</w:t>
            </w:r>
            <w:r>
              <w:rPr>
                <w:rFonts w:cs="Arial"/>
                <w:b/>
                <w:bCs/>
                <w:sz w:val="14"/>
                <w:szCs w:val="14"/>
              </w:rPr>
              <w:t>,</w:t>
            </w:r>
            <w:r w:rsidRPr="00AE145F">
              <w:rPr>
                <w:rFonts w:cs="Arial"/>
                <w:b/>
                <w:bCs/>
                <w:sz w:val="14"/>
                <w:szCs w:val="14"/>
              </w:rPr>
              <w:t>642</w:t>
            </w:r>
          </w:p>
        </w:tc>
      </w:tr>
      <w:tr w:rsidR="008B7E19" w:rsidRPr="00A244B9" w14:paraId="75A388C0" w14:textId="77777777" w:rsidTr="008B7E1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422C5520" w14:textId="77777777" w:rsidR="008B7E19" w:rsidRPr="00A244B9" w:rsidRDefault="008B7E19" w:rsidP="008B7E19">
            <w:pPr>
              <w:keepNext/>
              <w:keepLines/>
              <w:spacing w:before="40" w:after="40"/>
              <w:ind w:left="113"/>
              <w:rPr>
                <w:rFonts w:cs="Arial"/>
                <w:b w:val="0"/>
                <w:bCs w:val="0"/>
                <w:color w:val="000000"/>
                <w:sz w:val="14"/>
                <w:szCs w:val="14"/>
              </w:rPr>
            </w:pPr>
            <w:r>
              <w:rPr>
                <w:rFonts w:cs="Arial"/>
                <w:b w:val="0"/>
                <w:bCs w:val="0"/>
                <w:color w:val="000000"/>
                <w:sz w:val="14"/>
                <w:szCs w:val="14"/>
              </w:rPr>
              <w:t>Financial income</w:t>
            </w:r>
          </w:p>
        </w:tc>
        <w:tc>
          <w:tcPr>
            <w:tcW w:w="1818" w:type="dxa"/>
            <w:tcBorders>
              <w:top w:val="nil"/>
              <w:left w:val="nil"/>
              <w:bottom w:val="nil"/>
              <w:right w:val="nil"/>
            </w:tcBorders>
            <w:shd w:val="clear" w:color="auto" w:fill="auto"/>
            <w:vAlign w:val="center"/>
          </w:tcPr>
          <w:p w14:paraId="39CA7DB3" w14:textId="77777777" w:rsidR="008B7E19" w:rsidRPr="00AE145F"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color w:val="000000"/>
                <w:sz w:val="14"/>
                <w:szCs w:val="14"/>
              </w:rPr>
            </w:pPr>
            <w:r w:rsidRPr="00AE145F">
              <w:rPr>
                <w:rFonts w:cs="Arial"/>
                <w:sz w:val="14"/>
                <w:szCs w:val="14"/>
              </w:rPr>
              <w:t>17</w:t>
            </w:r>
            <w:r>
              <w:rPr>
                <w:rFonts w:cs="Arial"/>
                <w:sz w:val="14"/>
                <w:szCs w:val="14"/>
              </w:rPr>
              <w:t>,</w:t>
            </w:r>
            <w:r w:rsidRPr="00AE145F">
              <w:rPr>
                <w:rFonts w:cs="Arial"/>
                <w:sz w:val="14"/>
                <w:szCs w:val="14"/>
              </w:rPr>
              <w:t>218</w:t>
            </w:r>
          </w:p>
        </w:tc>
        <w:tc>
          <w:tcPr>
            <w:tcW w:w="1819" w:type="dxa"/>
            <w:tcBorders>
              <w:top w:val="nil"/>
              <w:left w:val="nil"/>
              <w:bottom w:val="nil"/>
              <w:right w:val="nil"/>
            </w:tcBorders>
            <w:shd w:val="clear" w:color="auto" w:fill="auto"/>
            <w:vAlign w:val="center"/>
          </w:tcPr>
          <w:p w14:paraId="28450409" w14:textId="77777777" w:rsidR="008B7E19" w:rsidRPr="00AE145F"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color w:val="000000"/>
                <w:sz w:val="14"/>
                <w:szCs w:val="14"/>
              </w:rPr>
            </w:pPr>
            <w:r w:rsidRPr="00AE145F">
              <w:rPr>
                <w:rFonts w:cs="Arial"/>
                <w:sz w:val="14"/>
                <w:szCs w:val="14"/>
              </w:rPr>
              <w:t>32</w:t>
            </w:r>
            <w:r>
              <w:rPr>
                <w:rFonts w:cs="Arial"/>
                <w:sz w:val="14"/>
                <w:szCs w:val="14"/>
              </w:rPr>
              <w:t>,</w:t>
            </w:r>
            <w:r w:rsidRPr="00AE145F">
              <w:rPr>
                <w:rFonts w:cs="Arial"/>
                <w:sz w:val="14"/>
                <w:szCs w:val="14"/>
              </w:rPr>
              <w:t>451</w:t>
            </w:r>
          </w:p>
        </w:tc>
        <w:tc>
          <w:tcPr>
            <w:tcW w:w="1819" w:type="dxa"/>
            <w:tcBorders>
              <w:top w:val="nil"/>
              <w:left w:val="nil"/>
              <w:bottom w:val="nil"/>
              <w:right w:val="nil"/>
            </w:tcBorders>
            <w:shd w:val="clear" w:color="auto" w:fill="auto"/>
            <w:vAlign w:val="center"/>
          </w:tcPr>
          <w:p w14:paraId="7AB89619" w14:textId="77777777" w:rsidR="008B7E19" w:rsidRPr="00AE145F"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color w:val="000000"/>
                <w:sz w:val="14"/>
                <w:szCs w:val="14"/>
              </w:rPr>
            </w:pPr>
            <w:r w:rsidRPr="00AE145F">
              <w:rPr>
                <w:rFonts w:cs="Arial"/>
                <w:sz w:val="14"/>
                <w:szCs w:val="14"/>
              </w:rPr>
              <w:t>14</w:t>
            </w:r>
            <w:r>
              <w:rPr>
                <w:rFonts w:cs="Arial"/>
                <w:sz w:val="14"/>
                <w:szCs w:val="14"/>
              </w:rPr>
              <w:t>,</w:t>
            </w:r>
            <w:r w:rsidRPr="00AE145F">
              <w:rPr>
                <w:rFonts w:cs="Arial"/>
                <w:sz w:val="14"/>
                <w:szCs w:val="14"/>
              </w:rPr>
              <w:t>869</w:t>
            </w:r>
          </w:p>
        </w:tc>
        <w:tc>
          <w:tcPr>
            <w:tcW w:w="1819" w:type="dxa"/>
            <w:tcBorders>
              <w:top w:val="nil"/>
              <w:left w:val="nil"/>
              <w:bottom w:val="nil"/>
              <w:right w:val="nil"/>
            </w:tcBorders>
            <w:shd w:val="clear" w:color="auto" w:fill="auto"/>
            <w:vAlign w:val="center"/>
          </w:tcPr>
          <w:p w14:paraId="16632C34" w14:textId="77777777" w:rsidR="008B7E19" w:rsidRPr="00AE145F"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color w:val="000000"/>
                <w:sz w:val="14"/>
                <w:szCs w:val="14"/>
              </w:rPr>
            </w:pPr>
            <w:r w:rsidRPr="00AE145F">
              <w:rPr>
                <w:rFonts w:cs="Arial"/>
                <w:sz w:val="14"/>
                <w:szCs w:val="14"/>
              </w:rPr>
              <w:t>27</w:t>
            </w:r>
            <w:r>
              <w:rPr>
                <w:rFonts w:cs="Arial"/>
                <w:sz w:val="14"/>
                <w:szCs w:val="14"/>
              </w:rPr>
              <w:t>,</w:t>
            </w:r>
            <w:r w:rsidRPr="00AE145F">
              <w:rPr>
                <w:rFonts w:cs="Arial"/>
                <w:sz w:val="14"/>
                <w:szCs w:val="14"/>
              </w:rPr>
              <w:t>720</w:t>
            </w:r>
          </w:p>
        </w:tc>
      </w:tr>
      <w:tr w:rsidR="008B7E19" w:rsidRPr="00A244B9" w14:paraId="53DE27D1"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1DC220FE" w14:textId="77777777" w:rsidR="008B7E19" w:rsidRPr="00A244B9" w:rsidRDefault="008B7E19" w:rsidP="008B7E19">
            <w:pPr>
              <w:keepNext/>
              <w:keepLines/>
              <w:spacing w:before="40" w:after="40"/>
              <w:ind w:left="113"/>
              <w:rPr>
                <w:rFonts w:cs="Arial"/>
                <w:b w:val="0"/>
                <w:bCs w:val="0"/>
                <w:color w:val="000000"/>
                <w:sz w:val="14"/>
                <w:szCs w:val="14"/>
              </w:rPr>
            </w:pPr>
            <w:r>
              <w:rPr>
                <w:rFonts w:cs="Arial"/>
                <w:b w:val="0"/>
                <w:bCs w:val="0"/>
                <w:color w:val="000000"/>
                <w:sz w:val="14"/>
                <w:szCs w:val="14"/>
              </w:rPr>
              <w:t>Financial expenses</w:t>
            </w:r>
          </w:p>
        </w:tc>
        <w:tc>
          <w:tcPr>
            <w:tcW w:w="1818" w:type="dxa"/>
            <w:tcBorders>
              <w:top w:val="nil"/>
              <w:left w:val="nil"/>
              <w:bottom w:val="nil"/>
              <w:right w:val="nil"/>
            </w:tcBorders>
            <w:shd w:val="clear" w:color="auto" w:fill="auto"/>
            <w:vAlign w:val="center"/>
          </w:tcPr>
          <w:p w14:paraId="3B7871D6" w14:textId="77777777" w:rsidR="008B7E19" w:rsidRPr="00AE145F"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E145F">
              <w:rPr>
                <w:rFonts w:cs="Arial"/>
                <w:sz w:val="14"/>
                <w:szCs w:val="14"/>
              </w:rPr>
              <w:t>(4</w:t>
            </w:r>
            <w:r>
              <w:rPr>
                <w:rFonts w:cs="Arial"/>
                <w:sz w:val="14"/>
                <w:szCs w:val="14"/>
              </w:rPr>
              <w:t>,</w:t>
            </w:r>
            <w:r w:rsidRPr="00AE145F">
              <w:rPr>
                <w:rFonts w:cs="Arial"/>
                <w:sz w:val="14"/>
                <w:szCs w:val="14"/>
              </w:rPr>
              <w:t>264)</w:t>
            </w:r>
          </w:p>
        </w:tc>
        <w:tc>
          <w:tcPr>
            <w:tcW w:w="1819" w:type="dxa"/>
            <w:tcBorders>
              <w:top w:val="nil"/>
              <w:left w:val="nil"/>
              <w:bottom w:val="nil"/>
              <w:right w:val="nil"/>
            </w:tcBorders>
            <w:shd w:val="clear" w:color="auto" w:fill="auto"/>
            <w:vAlign w:val="center"/>
          </w:tcPr>
          <w:p w14:paraId="16B3F61D" w14:textId="77777777" w:rsidR="008B7E19" w:rsidRPr="00AE145F"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E145F">
              <w:rPr>
                <w:rFonts w:cs="Arial"/>
                <w:sz w:val="14"/>
                <w:szCs w:val="14"/>
              </w:rPr>
              <w:t>(4</w:t>
            </w:r>
            <w:r>
              <w:rPr>
                <w:rFonts w:cs="Arial"/>
                <w:sz w:val="14"/>
                <w:szCs w:val="14"/>
              </w:rPr>
              <w:t>,</w:t>
            </w:r>
            <w:r w:rsidRPr="00AE145F">
              <w:rPr>
                <w:rFonts w:cs="Arial"/>
                <w:sz w:val="14"/>
                <w:szCs w:val="14"/>
              </w:rPr>
              <w:t>083)</w:t>
            </w:r>
          </w:p>
        </w:tc>
        <w:tc>
          <w:tcPr>
            <w:tcW w:w="1819" w:type="dxa"/>
            <w:tcBorders>
              <w:top w:val="nil"/>
              <w:left w:val="nil"/>
              <w:bottom w:val="nil"/>
              <w:right w:val="nil"/>
            </w:tcBorders>
            <w:shd w:val="clear" w:color="auto" w:fill="auto"/>
            <w:vAlign w:val="center"/>
          </w:tcPr>
          <w:p w14:paraId="10F56212" w14:textId="77777777" w:rsidR="008B7E19" w:rsidRPr="00AE145F"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E145F">
              <w:rPr>
                <w:rFonts w:cs="Arial"/>
                <w:sz w:val="14"/>
                <w:szCs w:val="14"/>
              </w:rPr>
              <w:t>(4</w:t>
            </w:r>
            <w:r>
              <w:rPr>
                <w:rFonts w:cs="Arial"/>
                <w:sz w:val="14"/>
                <w:szCs w:val="14"/>
              </w:rPr>
              <w:t>,</w:t>
            </w:r>
            <w:r w:rsidRPr="00AE145F">
              <w:rPr>
                <w:rFonts w:cs="Arial"/>
                <w:sz w:val="14"/>
                <w:szCs w:val="14"/>
              </w:rPr>
              <w:t>659)</w:t>
            </w:r>
          </w:p>
        </w:tc>
        <w:tc>
          <w:tcPr>
            <w:tcW w:w="1819" w:type="dxa"/>
            <w:tcBorders>
              <w:top w:val="nil"/>
              <w:left w:val="nil"/>
              <w:bottom w:val="nil"/>
              <w:right w:val="nil"/>
            </w:tcBorders>
            <w:shd w:val="clear" w:color="auto" w:fill="auto"/>
            <w:vAlign w:val="center"/>
          </w:tcPr>
          <w:p w14:paraId="30C01479" w14:textId="77777777" w:rsidR="008B7E19" w:rsidRPr="00AE145F"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E145F">
              <w:rPr>
                <w:rFonts w:cs="Arial"/>
                <w:sz w:val="14"/>
                <w:szCs w:val="14"/>
              </w:rPr>
              <w:t>(7</w:t>
            </w:r>
            <w:r>
              <w:rPr>
                <w:rFonts w:cs="Arial"/>
                <w:sz w:val="14"/>
                <w:szCs w:val="14"/>
              </w:rPr>
              <w:t>,</w:t>
            </w:r>
            <w:r w:rsidRPr="00AE145F">
              <w:rPr>
                <w:rFonts w:cs="Arial"/>
                <w:sz w:val="14"/>
                <w:szCs w:val="14"/>
              </w:rPr>
              <w:t>078)</w:t>
            </w:r>
          </w:p>
        </w:tc>
      </w:tr>
      <w:tr w:rsidR="008B7E19" w:rsidRPr="00A244B9" w14:paraId="4D220DDA" w14:textId="77777777" w:rsidTr="008B7E1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0CAA702B" w14:textId="77777777" w:rsidR="008B7E19" w:rsidRPr="00A244B9" w:rsidRDefault="008B7E19" w:rsidP="008B7E19">
            <w:pPr>
              <w:keepNext/>
              <w:keepLines/>
              <w:spacing w:before="40" w:after="40"/>
              <w:rPr>
                <w:rFonts w:cs="Arial"/>
                <w:b w:val="0"/>
                <w:bCs w:val="0"/>
                <w:sz w:val="14"/>
                <w:szCs w:val="14"/>
              </w:rPr>
            </w:pPr>
            <w:r>
              <w:rPr>
                <w:rFonts w:cs="Arial"/>
                <w:b w:val="0"/>
                <w:bCs w:val="0"/>
                <w:color w:val="000000"/>
                <w:sz w:val="14"/>
                <w:szCs w:val="14"/>
              </w:rPr>
              <w:t>Non-attributable expenses</w:t>
            </w:r>
          </w:p>
        </w:tc>
        <w:tc>
          <w:tcPr>
            <w:tcW w:w="1818" w:type="dxa"/>
            <w:tcBorders>
              <w:top w:val="nil"/>
              <w:left w:val="nil"/>
              <w:bottom w:val="nil"/>
              <w:right w:val="nil"/>
            </w:tcBorders>
            <w:shd w:val="clear" w:color="auto" w:fill="auto"/>
            <w:vAlign w:val="center"/>
          </w:tcPr>
          <w:p w14:paraId="019DE30A" w14:textId="77777777" w:rsidR="008B7E19" w:rsidRPr="00AE145F"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color w:val="000000"/>
                <w:sz w:val="14"/>
                <w:szCs w:val="14"/>
              </w:rPr>
            </w:pPr>
            <w:r w:rsidRPr="00AE145F">
              <w:rPr>
                <w:rFonts w:cs="Arial"/>
                <w:sz w:val="14"/>
                <w:szCs w:val="14"/>
              </w:rPr>
              <w:t>(24</w:t>
            </w:r>
            <w:r>
              <w:rPr>
                <w:rFonts w:cs="Arial"/>
                <w:sz w:val="14"/>
                <w:szCs w:val="14"/>
              </w:rPr>
              <w:t>,</w:t>
            </w:r>
            <w:r w:rsidRPr="00AE145F">
              <w:rPr>
                <w:rFonts w:cs="Arial"/>
                <w:sz w:val="14"/>
                <w:szCs w:val="14"/>
              </w:rPr>
              <w:t>965)</w:t>
            </w:r>
          </w:p>
        </w:tc>
        <w:tc>
          <w:tcPr>
            <w:tcW w:w="1819" w:type="dxa"/>
            <w:tcBorders>
              <w:top w:val="nil"/>
              <w:left w:val="nil"/>
              <w:bottom w:val="nil"/>
              <w:right w:val="nil"/>
            </w:tcBorders>
            <w:shd w:val="clear" w:color="auto" w:fill="auto"/>
            <w:vAlign w:val="center"/>
          </w:tcPr>
          <w:p w14:paraId="211B99B4" w14:textId="77777777" w:rsidR="008B7E19" w:rsidRPr="00AE145F"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color w:val="000000"/>
                <w:sz w:val="14"/>
                <w:szCs w:val="14"/>
              </w:rPr>
            </w:pPr>
            <w:r w:rsidRPr="00AE145F">
              <w:rPr>
                <w:rFonts w:cs="Arial"/>
                <w:sz w:val="14"/>
                <w:szCs w:val="14"/>
              </w:rPr>
              <w:t>(47</w:t>
            </w:r>
            <w:r>
              <w:rPr>
                <w:rFonts w:cs="Arial"/>
                <w:sz w:val="14"/>
                <w:szCs w:val="14"/>
              </w:rPr>
              <w:t>,</w:t>
            </w:r>
            <w:r w:rsidRPr="00AE145F">
              <w:rPr>
                <w:rFonts w:cs="Arial"/>
                <w:sz w:val="14"/>
                <w:szCs w:val="14"/>
              </w:rPr>
              <w:t>386)</w:t>
            </w:r>
          </w:p>
        </w:tc>
        <w:tc>
          <w:tcPr>
            <w:tcW w:w="1819" w:type="dxa"/>
            <w:tcBorders>
              <w:top w:val="nil"/>
              <w:left w:val="nil"/>
              <w:bottom w:val="nil"/>
              <w:right w:val="nil"/>
            </w:tcBorders>
            <w:shd w:val="clear" w:color="auto" w:fill="auto"/>
            <w:vAlign w:val="center"/>
          </w:tcPr>
          <w:p w14:paraId="3AE4422B" w14:textId="77777777" w:rsidR="008B7E19" w:rsidRPr="00AE145F"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color w:val="000000"/>
                <w:sz w:val="14"/>
                <w:szCs w:val="14"/>
              </w:rPr>
            </w:pPr>
            <w:r w:rsidRPr="00AE145F">
              <w:rPr>
                <w:rFonts w:cs="Arial"/>
                <w:sz w:val="14"/>
                <w:szCs w:val="14"/>
              </w:rPr>
              <w:t>(21</w:t>
            </w:r>
            <w:r>
              <w:rPr>
                <w:rFonts w:cs="Arial"/>
                <w:sz w:val="14"/>
                <w:szCs w:val="14"/>
              </w:rPr>
              <w:t>,</w:t>
            </w:r>
            <w:r w:rsidRPr="00AE145F">
              <w:rPr>
                <w:rFonts w:cs="Arial"/>
                <w:sz w:val="14"/>
                <w:szCs w:val="14"/>
              </w:rPr>
              <w:t>132)</w:t>
            </w:r>
          </w:p>
        </w:tc>
        <w:tc>
          <w:tcPr>
            <w:tcW w:w="1819" w:type="dxa"/>
            <w:tcBorders>
              <w:top w:val="nil"/>
              <w:left w:val="nil"/>
              <w:bottom w:val="nil"/>
              <w:right w:val="nil"/>
            </w:tcBorders>
            <w:shd w:val="clear" w:color="auto" w:fill="auto"/>
            <w:vAlign w:val="center"/>
          </w:tcPr>
          <w:p w14:paraId="61CB3E4D" w14:textId="77777777" w:rsidR="008B7E19" w:rsidRPr="00AE145F"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color w:val="000000"/>
                <w:sz w:val="14"/>
                <w:szCs w:val="14"/>
              </w:rPr>
            </w:pPr>
            <w:r w:rsidRPr="00AE145F">
              <w:rPr>
                <w:rFonts w:cs="Arial"/>
                <w:sz w:val="14"/>
                <w:szCs w:val="14"/>
              </w:rPr>
              <w:t>(40</w:t>
            </w:r>
            <w:r>
              <w:rPr>
                <w:rFonts w:cs="Arial"/>
                <w:sz w:val="14"/>
                <w:szCs w:val="14"/>
              </w:rPr>
              <w:t>,</w:t>
            </w:r>
            <w:r w:rsidRPr="00AE145F">
              <w:rPr>
                <w:rFonts w:cs="Arial"/>
                <w:sz w:val="14"/>
                <w:szCs w:val="14"/>
              </w:rPr>
              <w:t>823)</w:t>
            </w:r>
          </w:p>
        </w:tc>
      </w:tr>
      <w:tr w:rsidR="008B7E19" w:rsidRPr="00AE145F" w14:paraId="3D28E7DA"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2E7A4408" w14:textId="77777777" w:rsidR="008B7E19" w:rsidRPr="00AE145F" w:rsidRDefault="008B7E19" w:rsidP="008B7E19">
            <w:pPr>
              <w:keepNext/>
              <w:keepLines/>
              <w:spacing w:before="40" w:after="40"/>
              <w:rPr>
                <w:rFonts w:cs="Arial"/>
                <w:color w:val="000000"/>
                <w:sz w:val="14"/>
                <w:szCs w:val="14"/>
              </w:rPr>
            </w:pPr>
            <w:r>
              <w:rPr>
                <w:rFonts w:cs="Arial"/>
                <w:b w:val="0"/>
                <w:bCs w:val="0"/>
                <w:color w:val="000000"/>
                <w:sz w:val="14"/>
                <w:szCs w:val="14"/>
              </w:rPr>
              <w:t>Other income and expenses</w:t>
            </w:r>
          </w:p>
        </w:tc>
        <w:tc>
          <w:tcPr>
            <w:tcW w:w="1818" w:type="dxa"/>
            <w:tcBorders>
              <w:top w:val="nil"/>
              <w:left w:val="nil"/>
              <w:bottom w:val="nil"/>
              <w:right w:val="nil"/>
            </w:tcBorders>
            <w:shd w:val="clear" w:color="auto" w:fill="auto"/>
            <w:vAlign w:val="center"/>
          </w:tcPr>
          <w:p w14:paraId="2390A699" w14:textId="77777777" w:rsidR="008B7E19" w:rsidRPr="00AE145F"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b/>
                <w:bCs/>
                <w:color w:val="000000"/>
                <w:sz w:val="14"/>
                <w:szCs w:val="14"/>
              </w:rPr>
            </w:pPr>
            <w:r w:rsidRPr="00AE145F">
              <w:rPr>
                <w:rFonts w:cs="Arial"/>
                <w:b/>
                <w:bCs/>
                <w:sz w:val="14"/>
                <w:szCs w:val="14"/>
              </w:rPr>
              <w:t>--</w:t>
            </w:r>
          </w:p>
        </w:tc>
        <w:tc>
          <w:tcPr>
            <w:tcW w:w="1819" w:type="dxa"/>
            <w:tcBorders>
              <w:top w:val="nil"/>
              <w:left w:val="nil"/>
              <w:bottom w:val="nil"/>
              <w:right w:val="nil"/>
            </w:tcBorders>
            <w:shd w:val="clear" w:color="auto" w:fill="auto"/>
            <w:vAlign w:val="center"/>
          </w:tcPr>
          <w:p w14:paraId="7F53FE31" w14:textId="77777777" w:rsidR="008B7E19" w:rsidRPr="00AE145F"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b/>
                <w:bCs/>
                <w:color w:val="000000"/>
                <w:sz w:val="14"/>
                <w:szCs w:val="14"/>
              </w:rPr>
            </w:pPr>
            <w:r w:rsidRPr="00AE145F">
              <w:rPr>
                <w:rFonts w:cs="Arial"/>
                <w:b/>
                <w:bCs/>
                <w:sz w:val="14"/>
                <w:szCs w:val="14"/>
              </w:rPr>
              <w:t>--</w:t>
            </w:r>
          </w:p>
        </w:tc>
        <w:tc>
          <w:tcPr>
            <w:tcW w:w="1819" w:type="dxa"/>
            <w:tcBorders>
              <w:top w:val="nil"/>
              <w:left w:val="nil"/>
              <w:bottom w:val="nil"/>
              <w:right w:val="nil"/>
            </w:tcBorders>
            <w:shd w:val="clear" w:color="auto" w:fill="auto"/>
            <w:vAlign w:val="center"/>
          </w:tcPr>
          <w:p w14:paraId="544B89FF" w14:textId="77777777" w:rsidR="008B7E19" w:rsidRPr="00AE145F"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b/>
                <w:bCs/>
                <w:color w:val="000000"/>
                <w:sz w:val="14"/>
                <w:szCs w:val="14"/>
              </w:rPr>
            </w:pPr>
            <w:r w:rsidRPr="00AE145F">
              <w:rPr>
                <w:rFonts w:cs="Arial"/>
                <w:b/>
                <w:bCs/>
                <w:sz w:val="14"/>
                <w:szCs w:val="14"/>
              </w:rPr>
              <w:t>37</w:t>
            </w:r>
          </w:p>
        </w:tc>
        <w:tc>
          <w:tcPr>
            <w:tcW w:w="1819" w:type="dxa"/>
            <w:tcBorders>
              <w:top w:val="nil"/>
              <w:left w:val="nil"/>
              <w:bottom w:val="nil"/>
              <w:right w:val="nil"/>
            </w:tcBorders>
            <w:shd w:val="clear" w:color="auto" w:fill="auto"/>
            <w:vAlign w:val="center"/>
          </w:tcPr>
          <w:p w14:paraId="70F9E090" w14:textId="77777777" w:rsidR="008B7E19" w:rsidRPr="00AE145F"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b/>
                <w:bCs/>
                <w:color w:val="000000"/>
                <w:sz w:val="14"/>
                <w:szCs w:val="14"/>
              </w:rPr>
            </w:pPr>
            <w:r w:rsidRPr="00AE145F">
              <w:rPr>
                <w:rFonts w:cs="Arial"/>
                <w:b/>
                <w:bCs/>
                <w:sz w:val="14"/>
                <w:szCs w:val="14"/>
              </w:rPr>
              <w:t>37</w:t>
            </w:r>
          </w:p>
        </w:tc>
      </w:tr>
      <w:tr w:rsidR="008B7E19" w:rsidRPr="00AE145F" w14:paraId="742BD4D8" w14:textId="77777777" w:rsidTr="008B7E1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655373A1" w14:textId="77777777" w:rsidR="008B7E19" w:rsidRPr="00AE145F" w:rsidRDefault="008B7E19" w:rsidP="008B7E19">
            <w:pPr>
              <w:keepNext/>
              <w:keepLines/>
              <w:spacing w:before="40" w:after="40"/>
              <w:rPr>
                <w:rFonts w:cs="Arial"/>
                <w:sz w:val="14"/>
                <w:szCs w:val="14"/>
              </w:rPr>
            </w:pPr>
            <w:r>
              <w:rPr>
                <w:rFonts w:cs="Arial"/>
                <w:color w:val="000000"/>
                <w:sz w:val="14"/>
                <w:szCs w:val="14"/>
              </w:rPr>
              <w:t>Income before taxes</w:t>
            </w:r>
          </w:p>
        </w:tc>
        <w:tc>
          <w:tcPr>
            <w:tcW w:w="1818" w:type="dxa"/>
            <w:tcBorders>
              <w:top w:val="nil"/>
              <w:left w:val="nil"/>
              <w:bottom w:val="nil"/>
              <w:right w:val="nil"/>
            </w:tcBorders>
            <w:shd w:val="clear" w:color="auto" w:fill="auto"/>
            <w:vAlign w:val="center"/>
          </w:tcPr>
          <w:p w14:paraId="4D87D4BC" w14:textId="77777777" w:rsidR="008B7E19" w:rsidRPr="00AE145F"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b/>
                <w:bCs/>
                <w:color w:val="000000"/>
                <w:sz w:val="14"/>
                <w:szCs w:val="14"/>
              </w:rPr>
            </w:pPr>
            <w:r w:rsidRPr="00AE145F">
              <w:rPr>
                <w:rFonts w:cs="Arial"/>
                <w:b/>
                <w:bCs/>
                <w:sz w:val="14"/>
                <w:szCs w:val="14"/>
              </w:rPr>
              <w:t>14</w:t>
            </w:r>
            <w:r>
              <w:rPr>
                <w:rFonts w:cs="Arial"/>
                <w:b/>
                <w:bCs/>
                <w:sz w:val="14"/>
                <w:szCs w:val="14"/>
              </w:rPr>
              <w:t>,</w:t>
            </w:r>
            <w:r w:rsidRPr="00AE145F">
              <w:rPr>
                <w:rFonts w:cs="Arial"/>
                <w:b/>
                <w:bCs/>
                <w:sz w:val="14"/>
                <w:szCs w:val="14"/>
              </w:rPr>
              <w:t>744</w:t>
            </w:r>
          </w:p>
        </w:tc>
        <w:tc>
          <w:tcPr>
            <w:tcW w:w="1819" w:type="dxa"/>
            <w:tcBorders>
              <w:top w:val="nil"/>
              <w:left w:val="nil"/>
              <w:bottom w:val="nil"/>
              <w:right w:val="nil"/>
            </w:tcBorders>
            <w:shd w:val="clear" w:color="auto" w:fill="auto"/>
            <w:vAlign w:val="center"/>
          </w:tcPr>
          <w:p w14:paraId="6EF903B1" w14:textId="77777777" w:rsidR="008B7E19" w:rsidRPr="00AE145F"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b/>
                <w:bCs/>
                <w:color w:val="000000"/>
                <w:sz w:val="14"/>
                <w:szCs w:val="14"/>
              </w:rPr>
            </w:pPr>
            <w:r w:rsidRPr="00AE145F">
              <w:rPr>
                <w:rFonts w:cs="Arial"/>
                <w:b/>
                <w:bCs/>
                <w:sz w:val="14"/>
                <w:szCs w:val="14"/>
              </w:rPr>
              <w:t>16</w:t>
            </w:r>
            <w:r>
              <w:rPr>
                <w:rFonts w:cs="Arial"/>
                <w:b/>
                <w:bCs/>
                <w:sz w:val="14"/>
                <w:szCs w:val="14"/>
              </w:rPr>
              <w:t>,</w:t>
            </w:r>
            <w:r w:rsidRPr="00AE145F">
              <w:rPr>
                <w:rFonts w:cs="Arial"/>
                <w:b/>
                <w:bCs/>
                <w:sz w:val="14"/>
                <w:szCs w:val="14"/>
              </w:rPr>
              <w:t>520</w:t>
            </w:r>
          </w:p>
        </w:tc>
        <w:tc>
          <w:tcPr>
            <w:tcW w:w="1819" w:type="dxa"/>
            <w:tcBorders>
              <w:top w:val="nil"/>
              <w:left w:val="nil"/>
              <w:bottom w:val="nil"/>
              <w:right w:val="nil"/>
            </w:tcBorders>
            <w:shd w:val="clear" w:color="auto" w:fill="auto"/>
            <w:vAlign w:val="center"/>
          </w:tcPr>
          <w:p w14:paraId="620F7D82" w14:textId="77777777" w:rsidR="008B7E19" w:rsidRPr="00AE145F"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b/>
                <w:bCs/>
                <w:color w:val="000000"/>
                <w:sz w:val="14"/>
                <w:szCs w:val="14"/>
              </w:rPr>
            </w:pPr>
            <w:r w:rsidRPr="00AE145F">
              <w:rPr>
                <w:rFonts w:cs="Arial"/>
                <w:b/>
                <w:bCs/>
                <w:sz w:val="14"/>
                <w:szCs w:val="14"/>
              </w:rPr>
              <w:t>38</w:t>
            </w:r>
            <w:r>
              <w:rPr>
                <w:rFonts w:cs="Arial"/>
                <w:b/>
                <w:bCs/>
                <w:sz w:val="14"/>
                <w:szCs w:val="14"/>
              </w:rPr>
              <w:t>,</w:t>
            </w:r>
            <w:r w:rsidRPr="00AE145F">
              <w:rPr>
                <w:rFonts w:cs="Arial"/>
                <w:b/>
                <w:bCs/>
                <w:sz w:val="14"/>
                <w:szCs w:val="14"/>
              </w:rPr>
              <w:t>544</w:t>
            </w:r>
          </w:p>
        </w:tc>
        <w:tc>
          <w:tcPr>
            <w:tcW w:w="1819" w:type="dxa"/>
            <w:tcBorders>
              <w:top w:val="nil"/>
              <w:left w:val="nil"/>
              <w:bottom w:val="nil"/>
              <w:right w:val="nil"/>
            </w:tcBorders>
            <w:shd w:val="clear" w:color="auto" w:fill="auto"/>
            <w:vAlign w:val="center"/>
          </w:tcPr>
          <w:p w14:paraId="074EC6C3" w14:textId="77777777" w:rsidR="008B7E19" w:rsidRPr="00AE145F"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b/>
                <w:bCs/>
                <w:color w:val="000000"/>
                <w:sz w:val="14"/>
                <w:szCs w:val="14"/>
              </w:rPr>
            </w:pPr>
            <w:r w:rsidRPr="00AE145F">
              <w:rPr>
                <w:rFonts w:cs="Arial"/>
                <w:b/>
                <w:bCs/>
                <w:sz w:val="14"/>
                <w:szCs w:val="14"/>
              </w:rPr>
              <w:t>52</w:t>
            </w:r>
            <w:r>
              <w:rPr>
                <w:rFonts w:cs="Arial"/>
                <w:b/>
                <w:bCs/>
                <w:sz w:val="14"/>
                <w:szCs w:val="14"/>
              </w:rPr>
              <w:t>,</w:t>
            </w:r>
            <w:r w:rsidRPr="00AE145F">
              <w:rPr>
                <w:rFonts w:cs="Arial"/>
                <w:b/>
                <w:bCs/>
                <w:sz w:val="14"/>
                <w:szCs w:val="14"/>
              </w:rPr>
              <w:t>438</w:t>
            </w:r>
          </w:p>
        </w:tc>
      </w:tr>
      <w:tr w:rsidR="008B7E19" w:rsidRPr="00A244B9" w14:paraId="0B483641"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5091508A" w14:textId="77777777" w:rsidR="008B7E19" w:rsidRPr="00A244B9" w:rsidRDefault="008B7E19" w:rsidP="008B7E19">
            <w:pPr>
              <w:keepNext/>
              <w:keepLines/>
              <w:spacing w:before="40" w:after="40"/>
              <w:ind w:left="113"/>
              <w:rPr>
                <w:rFonts w:cs="Arial"/>
                <w:b w:val="0"/>
                <w:bCs w:val="0"/>
                <w:sz w:val="14"/>
                <w:szCs w:val="14"/>
              </w:rPr>
            </w:pPr>
            <w:r>
              <w:rPr>
                <w:rFonts w:cs="Arial"/>
                <w:b w:val="0"/>
                <w:bCs w:val="0"/>
                <w:color w:val="000000"/>
                <w:sz w:val="14"/>
                <w:szCs w:val="14"/>
              </w:rPr>
              <w:t>Taxes</w:t>
            </w:r>
          </w:p>
        </w:tc>
        <w:tc>
          <w:tcPr>
            <w:tcW w:w="1818" w:type="dxa"/>
            <w:tcBorders>
              <w:top w:val="nil"/>
              <w:left w:val="nil"/>
              <w:bottom w:val="nil"/>
              <w:right w:val="nil"/>
            </w:tcBorders>
            <w:shd w:val="clear" w:color="auto" w:fill="auto"/>
            <w:vAlign w:val="center"/>
          </w:tcPr>
          <w:p w14:paraId="71CB9186" w14:textId="77777777" w:rsidR="008B7E19" w:rsidRPr="00AE145F"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E145F">
              <w:rPr>
                <w:rFonts w:cs="Arial"/>
                <w:sz w:val="14"/>
                <w:szCs w:val="14"/>
              </w:rPr>
              <w:t>(5</w:t>
            </w:r>
            <w:r>
              <w:rPr>
                <w:rFonts w:cs="Arial"/>
                <w:sz w:val="14"/>
                <w:szCs w:val="14"/>
              </w:rPr>
              <w:t>,</w:t>
            </w:r>
            <w:r w:rsidRPr="00AE145F">
              <w:rPr>
                <w:rFonts w:cs="Arial"/>
                <w:sz w:val="14"/>
                <w:szCs w:val="14"/>
              </w:rPr>
              <w:t>148)</w:t>
            </w:r>
          </w:p>
        </w:tc>
        <w:tc>
          <w:tcPr>
            <w:tcW w:w="1819" w:type="dxa"/>
            <w:tcBorders>
              <w:top w:val="nil"/>
              <w:left w:val="nil"/>
              <w:bottom w:val="nil"/>
              <w:right w:val="nil"/>
            </w:tcBorders>
            <w:shd w:val="clear" w:color="auto" w:fill="auto"/>
            <w:vAlign w:val="center"/>
          </w:tcPr>
          <w:p w14:paraId="299AC841" w14:textId="77777777" w:rsidR="008B7E19" w:rsidRPr="00AE145F"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E145F">
              <w:rPr>
                <w:rFonts w:cs="Arial"/>
                <w:sz w:val="14"/>
                <w:szCs w:val="14"/>
              </w:rPr>
              <w:t>(6</w:t>
            </w:r>
            <w:r>
              <w:rPr>
                <w:rFonts w:cs="Arial"/>
                <w:sz w:val="14"/>
                <w:szCs w:val="14"/>
              </w:rPr>
              <w:t>,</w:t>
            </w:r>
            <w:r w:rsidRPr="00AE145F">
              <w:rPr>
                <w:rFonts w:cs="Arial"/>
                <w:sz w:val="14"/>
                <w:szCs w:val="14"/>
              </w:rPr>
              <w:t>436)</w:t>
            </w:r>
          </w:p>
        </w:tc>
        <w:tc>
          <w:tcPr>
            <w:tcW w:w="1819" w:type="dxa"/>
            <w:tcBorders>
              <w:top w:val="nil"/>
              <w:left w:val="nil"/>
              <w:bottom w:val="nil"/>
              <w:right w:val="nil"/>
            </w:tcBorders>
            <w:shd w:val="clear" w:color="auto" w:fill="auto"/>
            <w:vAlign w:val="center"/>
          </w:tcPr>
          <w:p w14:paraId="320121C8" w14:textId="77777777" w:rsidR="008B7E19" w:rsidRPr="00AE145F"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E145F">
              <w:rPr>
                <w:rFonts w:cs="Arial"/>
                <w:sz w:val="14"/>
                <w:szCs w:val="14"/>
              </w:rPr>
              <w:t>(15</w:t>
            </w:r>
            <w:r>
              <w:rPr>
                <w:rFonts w:cs="Arial"/>
                <w:sz w:val="14"/>
                <w:szCs w:val="14"/>
              </w:rPr>
              <w:t>,</w:t>
            </w:r>
            <w:r w:rsidRPr="00AE145F">
              <w:rPr>
                <w:rFonts w:cs="Arial"/>
                <w:sz w:val="14"/>
                <w:szCs w:val="14"/>
              </w:rPr>
              <w:t>938)</w:t>
            </w:r>
          </w:p>
        </w:tc>
        <w:tc>
          <w:tcPr>
            <w:tcW w:w="1819" w:type="dxa"/>
            <w:tcBorders>
              <w:top w:val="nil"/>
              <w:left w:val="nil"/>
              <w:bottom w:val="nil"/>
              <w:right w:val="nil"/>
            </w:tcBorders>
            <w:shd w:val="clear" w:color="auto" w:fill="auto"/>
            <w:vAlign w:val="center"/>
          </w:tcPr>
          <w:p w14:paraId="7079CA06" w14:textId="77777777" w:rsidR="008B7E19" w:rsidRPr="00AE145F"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E145F">
              <w:rPr>
                <w:rFonts w:cs="Arial"/>
                <w:sz w:val="14"/>
                <w:szCs w:val="14"/>
              </w:rPr>
              <w:t>(21</w:t>
            </w:r>
            <w:r>
              <w:rPr>
                <w:rFonts w:cs="Arial"/>
                <w:sz w:val="14"/>
                <w:szCs w:val="14"/>
              </w:rPr>
              <w:t>,</w:t>
            </w:r>
            <w:r w:rsidRPr="00AE145F">
              <w:rPr>
                <w:rFonts w:cs="Arial"/>
                <w:sz w:val="14"/>
                <w:szCs w:val="14"/>
              </w:rPr>
              <w:t>024)</w:t>
            </w:r>
          </w:p>
        </w:tc>
      </w:tr>
      <w:tr w:rsidR="008B7E19" w:rsidRPr="00A244B9" w14:paraId="22645759" w14:textId="77777777" w:rsidTr="008B7E1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6C5608A5" w14:textId="77777777" w:rsidR="008B7E19" w:rsidRPr="00A244B9" w:rsidRDefault="008B7E19" w:rsidP="008B7E19">
            <w:pPr>
              <w:keepNext/>
              <w:keepLines/>
              <w:spacing w:before="40" w:after="40"/>
              <w:ind w:left="113"/>
              <w:rPr>
                <w:rFonts w:cs="Arial"/>
                <w:b w:val="0"/>
                <w:bCs w:val="0"/>
                <w:sz w:val="14"/>
                <w:szCs w:val="14"/>
              </w:rPr>
            </w:pPr>
            <w:r>
              <w:rPr>
                <w:rFonts w:cs="Arial"/>
                <w:b w:val="0"/>
                <w:bCs w:val="0"/>
                <w:color w:val="000000"/>
                <w:sz w:val="14"/>
                <w:szCs w:val="14"/>
              </w:rPr>
              <w:t>Shares on the result</w:t>
            </w:r>
          </w:p>
        </w:tc>
        <w:tc>
          <w:tcPr>
            <w:tcW w:w="1818" w:type="dxa"/>
            <w:tcBorders>
              <w:top w:val="nil"/>
              <w:left w:val="nil"/>
              <w:bottom w:val="nil"/>
              <w:right w:val="nil"/>
            </w:tcBorders>
            <w:shd w:val="clear" w:color="auto" w:fill="auto"/>
            <w:vAlign w:val="center"/>
          </w:tcPr>
          <w:p w14:paraId="3B968226" w14:textId="77777777" w:rsidR="008B7E19" w:rsidRPr="00AE145F"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color w:val="000000"/>
                <w:sz w:val="14"/>
                <w:szCs w:val="14"/>
              </w:rPr>
            </w:pPr>
            <w:r w:rsidRPr="00AE145F">
              <w:rPr>
                <w:rFonts w:cs="Arial"/>
                <w:sz w:val="14"/>
                <w:szCs w:val="14"/>
              </w:rPr>
              <w:t>(165)</w:t>
            </w:r>
          </w:p>
        </w:tc>
        <w:tc>
          <w:tcPr>
            <w:tcW w:w="1819" w:type="dxa"/>
            <w:tcBorders>
              <w:top w:val="nil"/>
              <w:left w:val="nil"/>
              <w:bottom w:val="nil"/>
              <w:right w:val="nil"/>
            </w:tcBorders>
            <w:shd w:val="clear" w:color="auto" w:fill="auto"/>
            <w:vAlign w:val="center"/>
          </w:tcPr>
          <w:p w14:paraId="180BCE57" w14:textId="77777777" w:rsidR="008B7E19" w:rsidRPr="00AE145F"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color w:val="000000"/>
                <w:sz w:val="14"/>
                <w:szCs w:val="14"/>
              </w:rPr>
            </w:pPr>
            <w:r w:rsidRPr="00AE145F">
              <w:rPr>
                <w:rFonts w:cs="Arial"/>
                <w:sz w:val="14"/>
                <w:szCs w:val="14"/>
              </w:rPr>
              <w:t>5</w:t>
            </w:r>
            <w:r>
              <w:rPr>
                <w:rFonts w:cs="Arial"/>
                <w:sz w:val="14"/>
                <w:szCs w:val="14"/>
              </w:rPr>
              <w:t>9</w:t>
            </w:r>
          </w:p>
        </w:tc>
        <w:tc>
          <w:tcPr>
            <w:tcW w:w="1819" w:type="dxa"/>
            <w:tcBorders>
              <w:top w:val="nil"/>
              <w:left w:val="nil"/>
              <w:bottom w:val="nil"/>
              <w:right w:val="nil"/>
            </w:tcBorders>
            <w:shd w:val="clear" w:color="auto" w:fill="auto"/>
            <w:vAlign w:val="center"/>
          </w:tcPr>
          <w:p w14:paraId="17F78D9D" w14:textId="77777777" w:rsidR="008B7E19" w:rsidRPr="00AE145F"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color w:val="000000"/>
                <w:sz w:val="14"/>
                <w:szCs w:val="14"/>
              </w:rPr>
            </w:pPr>
            <w:r w:rsidRPr="00AE145F">
              <w:rPr>
                <w:rFonts w:cs="Arial"/>
                <w:sz w:val="14"/>
                <w:szCs w:val="14"/>
              </w:rPr>
              <w:t>(390)</w:t>
            </w:r>
          </w:p>
        </w:tc>
        <w:tc>
          <w:tcPr>
            <w:tcW w:w="1819" w:type="dxa"/>
            <w:tcBorders>
              <w:top w:val="nil"/>
              <w:left w:val="nil"/>
              <w:bottom w:val="nil"/>
              <w:right w:val="nil"/>
            </w:tcBorders>
            <w:shd w:val="clear" w:color="auto" w:fill="auto"/>
            <w:vAlign w:val="center"/>
          </w:tcPr>
          <w:p w14:paraId="0F0087BF" w14:textId="77777777" w:rsidR="008B7E19" w:rsidRPr="00AE145F"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color w:val="000000"/>
                <w:sz w:val="14"/>
                <w:szCs w:val="14"/>
              </w:rPr>
            </w:pPr>
            <w:r w:rsidRPr="00AE145F">
              <w:rPr>
                <w:rFonts w:cs="Arial"/>
                <w:sz w:val="14"/>
                <w:szCs w:val="14"/>
              </w:rPr>
              <w:t>(633)</w:t>
            </w:r>
          </w:p>
        </w:tc>
      </w:tr>
      <w:tr w:rsidR="008B7E19" w:rsidRPr="00AE145F" w14:paraId="264015CC"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7E77A434" w14:textId="77777777" w:rsidR="008B7E19" w:rsidRPr="00AE145F" w:rsidRDefault="008B7E19" w:rsidP="008B7E19">
            <w:pPr>
              <w:keepNext/>
              <w:keepLines/>
              <w:spacing w:before="40" w:after="40"/>
              <w:rPr>
                <w:rFonts w:cs="Arial"/>
                <w:sz w:val="14"/>
                <w:szCs w:val="14"/>
              </w:rPr>
            </w:pPr>
            <w:r>
              <w:rPr>
                <w:rFonts w:cs="Arial"/>
                <w:color w:val="000000"/>
                <w:sz w:val="14"/>
                <w:szCs w:val="14"/>
              </w:rPr>
              <w:t>Net income</w:t>
            </w:r>
          </w:p>
        </w:tc>
        <w:tc>
          <w:tcPr>
            <w:tcW w:w="1818" w:type="dxa"/>
            <w:tcBorders>
              <w:top w:val="nil"/>
              <w:left w:val="nil"/>
              <w:bottom w:val="nil"/>
              <w:right w:val="nil"/>
            </w:tcBorders>
            <w:shd w:val="clear" w:color="auto" w:fill="auto"/>
            <w:vAlign w:val="center"/>
          </w:tcPr>
          <w:p w14:paraId="4EE36BE8" w14:textId="77777777" w:rsidR="008B7E19" w:rsidRPr="00AE145F"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b/>
                <w:bCs/>
                <w:color w:val="000000"/>
                <w:sz w:val="14"/>
                <w:szCs w:val="14"/>
              </w:rPr>
            </w:pPr>
            <w:r w:rsidRPr="00AE145F">
              <w:rPr>
                <w:rFonts w:cs="Arial"/>
                <w:b/>
                <w:bCs/>
                <w:sz w:val="14"/>
                <w:szCs w:val="14"/>
              </w:rPr>
              <w:t>9</w:t>
            </w:r>
            <w:r>
              <w:rPr>
                <w:rFonts w:cs="Arial"/>
                <w:b/>
                <w:bCs/>
                <w:sz w:val="14"/>
                <w:szCs w:val="14"/>
              </w:rPr>
              <w:t>,</w:t>
            </w:r>
            <w:r w:rsidRPr="00AE145F">
              <w:rPr>
                <w:rFonts w:cs="Arial"/>
                <w:b/>
                <w:bCs/>
                <w:sz w:val="14"/>
                <w:szCs w:val="14"/>
              </w:rPr>
              <w:t>431</w:t>
            </w:r>
          </w:p>
        </w:tc>
        <w:tc>
          <w:tcPr>
            <w:tcW w:w="1819" w:type="dxa"/>
            <w:tcBorders>
              <w:top w:val="nil"/>
              <w:left w:val="nil"/>
              <w:bottom w:val="nil"/>
              <w:right w:val="nil"/>
            </w:tcBorders>
            <w:shd w:val="clear" w:color="auto" w:fill="auto"/>
            <w:vAlign w:val="center"/>
          </w:tcPr>
          <w:p w14:paraId="05AF776E" w14:textId="77777777" w:rsidR="008B7E19" w:rsidRPr="00AE145F"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b/>
                <w:bCs/>
                <w:color w:val="000000"/>
                <w:sz w:val="14"/>
                <w:szCs w:val="14"/>
              </w:rPr>
            </w:pPr>
            <w:r w:rsidRPr="00AE145F">
              <w:rPr>
                <w:rFonts w:cs="Arial"/>
                <w:b/>
                <w:bCs/>
                <w:sz w:val="14"/>
                <w:szCs w:val="14"/>
              </w:rPr>
              <w:t>10</w:t>
            </w:r>
            <w:r>
              <w:rPr>
                <w:rFonts w:cs="Arial"/>
                <w:b/>
                <w:bCs/>
                <w:sz w:val="14"/>
                <w:szCs w:val="14"/>
              </w:rPr>
              <w:t>,</w:t>
            </w:r>
            <w:r w:rsidRPr="00AE145F">
              <w:rPr>
                <w:rFonts w:cs="Arial"/>
                <w:b/>
                <w:bCs/>
                <w:sz w:val="14"/>
                <w:szCs w:val="14"/>
              </w:rPr>
              <w:t>143</w:t>
            </w:r>
          </w:p>
        </w:tc>
        <w:tc>
          <w:tcPr>
            <w:tcW w:w="1819" w:type="dxa"/>
            <w:tcBorders>
              <w:top w:val="nil"/>
              <w:left w:val="nil"/>
              <w:bottom w:val="nil"/>
              <w:right w:val="nil"/>
            </w:tcBorders>
            <w:shd w:val="clear" w:color="auto" w:fill="auto"/>
            <w:vAlign w:val="center"/>
          </w:tcPr>
          <w:p w14:paraId="378569C3" w14:textId="77777777" w:rsidR="008B7E19" w:rsidRPr="00AE145F"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b/>
                <w:bCs/>
                <w:color w:val="000000"/>
                <w:sz w:val="14"/>
                <w:szCs w:val="14"/>
              </w:rPr>
            </w:pPr>
            <w:r w:rsidRPr="00AE145F">
              <w:rPr>
                <w:rFonts w:cs="Arial"/>
                <w:b/>
                <w:bCs/>
                <w:sz w:val="14"/>
                <w:szCs w:val="14"/>
              </w:rPr>
              <w:t>22</w:t>
            </w:r>
            <w:r>
              <w:rPr>
                <w:rFonts w:cs="Arial"/>
                <w:b/>
                <w:bCs/>
                <w:sz w:val="14"/>
                <w:szCs w:val="14"/>
              </w:rPr>
              <w:t>,</w:t>
            </w:r>
            <w:r w:rsidRPr="00AE145F">
              <w:rPr>
                <w:rFonts w:cs="Arial"/>
                <w:b/>
                <w:bCs/>
                <w:sz w:val="14"/>
                <w:szCs w:val="14"/>
              </w:rPr>
              <w:t>216</w:t>
            </w:r>
          </w:p>
        </w:tc>
        <w:tc>
          <w:tcPr>
            <w:tcW w:w="1819" w:type="dxa"/>
            <w:tcBorders>
              <w:top w:val="nil"/>
              <w:left w:val="nil"/>
              <w:bottom w:val="nil"/>
              <w:right w:val="nil"/>
            </w:tcBorders>
            <w:shd w:val="clear" w:color="auto" w:fill="auto"/>
            <w:vAlign w:val="center"/>
          </w:tcPr>
          <w:p w14:paraId="14373D87" w14:textId="77777777" w:rsidR="008B7E19" w:rsidRPr="00AE145F"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b/>
                <w:bCs/>
                <w:color w:val="000000"/>
                <w:sz w:val="14"/>
                <w:szCs w:val="14"/>
              </w:rPr>
            </w:pPr>
            <w:r w:rsidRPr="00AE145F">
              <w:rPr>
                <w:rFonts w:cs="Arial"/>
                <w:b/>
                <w:bCs/>
                <w:sz w:val="14"/>
                <w:szCs w:val="14"/>
              </w:rPr>
              <w:t>30</w:t>
            </w:r>
            <w:r>
              <w:rPr>
                <w:rFonts w:cs="Arial"/>
                <w:b/>
                <w:bCs/>
                <w:sz w:val="14"/>
                <w:szCs w:val="14"/>
              </w:rPr>
              <w:t>,</w:t>
            </w:r>
            <w:r w:rsidRPr="00AE145F">
              <w:rPr>
                <w:rFonts w:cs="Arial"/>
                <w:b/>
                <w:bCs/>
                <w:sz w:val="14"/>
                <w:szCs w:val="14"/>
              </w:rPr>
              <w:t>781</w:t>
            </w:r>
          </w:p>
        </w:tc>
      </w:tr>
      <w:tr w:rsidR="008B7E19" w:rsidRPr="00A244B9" w14:paraId="0EB66A72" w14:textId="77777777" w:rsidTr="008B7E1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0390FDF7" w14:textId="77777777" w:rsidR="008B7E19" w:rsidRPr="00A244B9" w:rsidRDefault="008B7E19" w:rsidP="008B7E19">
            <w:pPr>
              <w:keepNext/>
              <w:keepLines/>
              <w:spacing w:before="40" w:after="40"/>
              <w:ind w:left="113"/>
              <w:rPr>
                <w:rFonts w:cs="Arial"/>
                <w:b w:val="0"/>
                <w:bCs w:val="0"/>
                <w:sz w:val="14"/>
                <w:szCs w:val="14"/>
              </w:rPr>
            </w:pPr>
            <w:r>
              <w:rPr>
                <w:rFonts w:cs="Arial"/>
                <w:b w:val="0"/>
                <w:bCs w:val="0"/>
                <w:color w:val="000000"/>
                <w:sz w:val="14"/>
                <w:szCs w:val="14"/>
              </w:rPr>
              <w:t>Other comprehensive results</w:t>
            </w:r>
          </w:p>
        </w:tc>
        <w:tc>
          <w:tcPr>
            <w:tcW w:w="1818" w:type="dxa"/>
            <w:tcBorders>
              <w:top w:val="nil"/>
              <w:left w:val="nil"/>
              <w:bottom w:val="nil"/>
              <w:right w:val="nil"/>
            </w:tcBorders>
            <w:shd w:val="clear" w:color="auto" w:fill="auto"/>
            <w:vAlign w:val="center"/>
          </w:tcPr>
          <w:p w14:paraId="6C6BB1D0" w14:textId="77777777" w:rsidR="008B7E19" w:rsidRPr="00AE145F"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color w:val="000000"/>
                <w:sz w:val="14"/>
                <w:szCs w:val="14"/>
              </w:rPr>
            </w:pPr>
            <w:r w:rsidRPr="00AE145F">
              <w:rPr>
                <w:rFonts w:cs="Arial"/>
                <w:sz w:val="14"/>
                <w:szCs w:val="14"/>
              </w:rPr>
              <w:t>(30</w:t>
            </w:r>
            <w:r>
              <w:rPr>
                <w:rFonts w:cs="Arial"/>
                <w:sz w:val="14"/>
                <w:szCs w:val="14"/>
              </w:rPr>
              <w:t>6</w:t>
            </w:r>
            <w:r w:rsidRPr="00AE145F">
              <w:rPr>
                <w:rFonts w:cs="Arial"/>
                <w:sz w:val="14"/>
                <w:szCs w:val="14"/>
              </w:rPr>
              <w:t>)</w:t>
            </w:r>
          </w:p>
        </w:tc>
        <w:tc>
          <w:tcPr>
            <w:tcW w:w="1819" w:type="dxa"/>
            <w:tcBorders>
              <w:top w:val="nil"/>
              <w:left w:val="nil"/>
              <w:bottom w:val="nil"/>
              <w:right w:val="nil"/>
            </w:tcBorders>
            <w:shd w:val="clear" w:color="auto" w:fill="auto"/>
            <w:vAlign w:val="center"/>
          </w:tcPr>
          <w:p w14:paraId="7A916488" w14:textId="77777777" w:rsidR="008B7E19" w:rsidRPr="00AE145F"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color w:val="000000"/>
                <w:sz w:val="14"/>
                <w:szCs w:val="14"/>
              </w:rPr>
            </w:pPr>
            <w:r w:rsidRPr="00AE145F">
              <w:rPr>
                <w:rFonts w:cs="Arial"/>
                <w:sz w:val="14"/>
                <w:szCs w:val="14"/>
              </w:rPr>
              <w:t>(25</w:t>
            </w:r>
            <w:r>
              <w:rPr>
                <w:rFonts w:cs="Arial"/>
                <w:sz w:val="14"/>
                <w:szCs w:val="14"/>
              </w:rPr>
              <w:t>5</w:t>
            </w:r>
            <w:r w:rsidRPr="00AE145F">
              <w:rPr>
                <w:rFonts w:cs="Arial"/>
                <w:sz w:val="14"/>
                <w:szCs w:val="14"/>
              </w:rPr>
              <w:t>)</w:t>
            </w:r>
          </w:p>
        </w:tc>
        <w:tc>
          <w:tcPr>
            <w:tcW w:w="1819" w:type="dxa"/>
            <w:tcBorders>
              <w:top w:val="nil"/>
              <w:left w:val="nil"/>
              <w:bottom w:val="nil"/>
              <w:right w:val="nil"/>
            </w:tcBorders>
            <w:shd w:val="clear" w:color="auto" w:fill="auto"/>
            <w:vAlign w:val="center"/>
          </w:tcPr>
          <w:p w14:paraId="36CAABDE" w14:textId="77777777" w:rsidR="008B7E19" w:rsidRPr="00AE145F"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color w:val="000000"/>
                <w:sz w:val="14"/>
                <w:szCs w:val="14"/>
              </w:rPr>
            </w:pPr>
            <w:r w:rsidRPr="00AE145F">
              <w:rPr>
                <w:rFonts w:cs="Arial"/>
                <w:sz w:val="14"/>
                <w:szCs w:val="14"/>
              </w:rPr>
              <w:t>(28)</w:t>
            </w:r>
          </w:p>
        </w:tc>
        <w:tc>
          <w:tcPr>
            <w:tcW w:w="1819" w:type="dxa"/>
            <w:tcBorders>
              <w:top w:val="nil"/>
              <w:left w:val="nil"/>
              <w:bottom w:val="nil"/>
              <w:right w:val="nil"/>
            </w:tcBorders>
            <w:shd w:val="clear" w:color="auto" w:fill="auto"/>
            <w:vAlign w:val="center"/>
          </w:tcPr>
          <w:p w14:paraId="1830443C" w14:textId="77777777" w:rsidR="008B7E19" w:rsidRPr="00AE145F"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color w:val="000000"/>
                <w:sz w:val="14"/>
                <w:szCs w:val="14"/>
              </w:rPr>
            </w:pPr>
            <w:r w:rsidRPr="00AE145F">
              <w:rPr>
                <w:rFonts w:cs="Arial"/>
                <w:sz w:val="14"/>
                <w:szCs w:val="14"/>
              </w:rPr>
              <w:t>14</w:t>
            </w:r>
          </w:p>
        </w:tc>
      </w:tr>
      <w:tr w:rsidR="008B7E19" w:rsidRPr="00AE145F" w14:paraId="5FE196BD"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single" w:sz="2" w:space="0" w:color="1F4E79" w:themeColor="accent1" w:themeShade="80"/>
              <w:right w:val="nil"/>
            </w:tcBorders>
            <w:shd w:val="clear" w:color="auto" w:fill="auto"/>
            <w:vAlign w:val="center"/>
          </w:tcPr>
          <w:p w14:paraId="071E572F" w14:textId="77777777" w:rsidR="008B7E19" w:rsidRPr="00AE145F" w:rsidRDefault="008B7E19" w:rsidP="008B7E19">
            <w:pPr>
              <w:keepNext/>
              <w:keepLines/>
              <w:spacing w:before="40" w:after="40"/>
              <w:rPr>
                <w:rFonts w:cs="Arial"/>
                <w:sz w:val="14"/>
                <w:szCs w:val="14"/>
              </w:rPr>
            </w:pPr>
            <w:r>
              <w:rPr>
                <w:rFonts w:cs="Arial"/>
                <w:color w:val="000000"/>
                <w:sz w:val="14"/>
                <w:szCs w:val="14"/>
              </w:rPr>
              <w:t>Comprehensive income</w:t>
            </w:r>
          </w:p>
        </w:tc>
        <w:tc>
          <w:tcPr>
            <w:tcW w:w="1818" w:type="dxa"/>
            <w:tcBorders>
              <w:top w:val="nil"/>
              <w:left w:val="nil"/>
              <w:bottom w:val="single" w:sz="2" w:space="0" w:color="1F4E79" w:themeColor="accent1" w:themeShade="80"/>
              <w:right w:val="nil"/>
            </w:tcBorders>
            <w:shd w:val="clear" w:color="auto" w:fill="auto"/>
            <w:vAlign w:val="center"/>
          </w:tcPr>
          <w:p w14:paraId="3203494B" w14:textId="77777777" w:rsidR="008B7E19" w:rsidRPr="00AE145F"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b/>
                <w:bCs/>
                <w:color w:val="000000"/>
                <w:sz w:val="14"/>
                <w:szCs w:val="14"/>
              </w:rPr>
            </w:pPr>
            <w:r w:rsidRPr="00AE145F">
              <w:rPr>
                <w:rFonts w:cs="Arial"/>
                <w:b/>
                <w:bCs/>
                <w:sz w:val="14"/>
                <w:szCs w:val="14"/>
              </w:rPr>
              <w:t>9</w:t>
            </w:r>
            <w:r>
              <w:rPr>
                <w:rFonts w:cs="Arial"/>
                <w:b/>
                <w:bCs/>
                <w:sz w:val="14"/>
                <w:szCs w:val="14"/>
              </w:rPr>
              <w:t>,</w:t>
            </w:r>
            <w:r w:rsidRPr="00AE145F">
              <w:rPr>
                <w:rFonts w:cs="Arial"/>
                <w:b/>
                <w:bCs/>
                <w:sz w:val="14"/>
                <w:szCs w:val="14"/>
              </w:rPr>
              <w:t>125</w:t>
            </w:r>
          </w:p>
        </w:tc>
        <w:tc>
          <w:tcPr>
            <w:tcW w:w="1819" w:type="dxa"/>
            <w:tcBorders>
              <w:top w:val="nil"/>
              <w:left w:val="nil"/>
              <w:bottom w:val="single" w:sz="2" w:space="0" w:color="1F4E79" w:themeColor="accent1" w:themeShade="80"/>
              <w:right w:val="nil"/>
            </w:tcBorders>
            <w:shd w:val="clear" w:color="auto" w:fill="auto"/>
            <w:vAlign w:val="center"/>
          </w:tcPr>
          <w:p w14:paraId="431F83F5" w14:textId="77777777" w:rsidR="008B7E19" w:rsidRPr="00AE145F"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b/>
                <w:bCs/>
                <w:color w:val="000000"/>
                <w:sz w:val="14"/>
                <w:szCs w:val="14"/>
              </w:rPr>
            </w:pPr>
            <w:r w:rsidRPr="00AE145F">
              <w:rPr>
                <w:rFonts w:cs="Arial"/>
                <w:b/>
                <w:bCs/>
                <w:sz w:val="14"/>
                <w:szCs w:val="14"/>
              </w:rPr>
              <w:t>9</w:t>
            </w:r>
            <w:r>
              <w:rPr>
                <w:rFonts w:cs="Arial"/>
                <w:b/>
                <w:bCs/>
                <w:sz w:val="14"/>
                <w:szCs w:val="14"/>
              </w:rPr>
              <w:t>,</w:t>
            </w:r>
            <w:r w:rsidRPr="00AE145F">
              <w:rPr>
                <w:rFonts w:cs="Arial"/>
                <w:b/>
                <w:bCs/>
                <w:sz w:val="14"/>
                <w:szCs w:val="14"/>
              </w:rPr>
              <w:t>888</w:t>
            </w:r>
          </w:p>
        </w:tc>
        <w:tc>
          <w:tcPr>
            <w:tcW w:w="1819" w:type="dxa"/>
            <w:tcBorders>
              <w:top w:val="nil"/>
              <w:left w:val="nil"/>
              <w:bottom w:val="single" w:sz="2" w:space="0" w:color="1F4E79" w:themeColor="accent1" w:themeShade="80"/>
              <w:right w:val="nil"/>
            </w:tcBorders>
            <w:shd w:val="clear" w:color="auto" w:fill="auto"/>
            <w:vAlign w:val="center"/>
          </w:tcPr>
          <w:p w14:paraId="2B16334F" w14:textId="77777777" w:rsidR="008B7E19" w:rsidRPr="00AE145F"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b/>
                <w:bCs/>
                <w:color w:val="000000"/>
                <w:sz w:val="14"/>
                <w:szCs w:val="14"/>
              </w:rPr>
            </w:pPr>
            <w:r w:rsidRPr="00AE145F">
              <w:rPr>
                <w:rFonts w:cs="Arial"/>
                <w:b/>
                <w:bCs/>
                <w:sz w:val="14"/>
                <w:szCs w:val="14"/>
              </w:rPr>
              <w:t>22</w:t>
            </w:r>
            <w:r>
              <w:rPr>
                <w:rFonts w:cs="Arial"/>
                <w:b/>
                <w:bCs/>
                <w:sz w:val="14"/>
                <w:szCs w:val="14"/>
              </w:rPr>
              <w:t>,</w:t>
            </w:r>
            <w:r w:rsidRPr="00AE145F">
              <w:rPr>
                <w:rFonts w:cs="Arial"/>
                <w:b/>
                <w:bCs/>
                <w:sz w:val="14"/>
                <w:szCs w:val="14"/>
              </w:rPr>
              <w:t>188</w:t>
            </w:r>
          </w:p>
        </w:tc>
        <w:tc>
          <w:tcPr>
            <w:tcW w:w="1819" w:type="dxa"/>
            <w:tcBorders>
              <w:top w:val="nil"/>
              <w:left w:val="nil"/>
              <w:bottom w:val="single" w:sz="2" w:space="0" w:color="1F4E79" w:themeColor="accent1" w:themeShade="80"/>
              <w:right w:val="nil"/>
            </w:tcBorders>
            <w:shd w:val="clear" w:color="auto" w:fill="auto"/>
            <w:vAlign w:val="center"/>
          </w:tcPr>
          <w:p w14:paraId="0DBB275B" w14:textId="77777777" w:rsidR="008B7E19" w:rsidRPr="00AE145F"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b/>
                <w:bCs/>
                <w:color w:val="000000"/>
                <w:sz w:val="14"/>
                <w:szCs w:val="14"/>
              </w:rPr>
            </w:pPr>
            <w:r w:rsidRPr="00AE145F">
              <w:rPr>
                <w:rFonts w:cs="Arial"/>
                <w:b/>
                <w:bCs/>
                <w:sz w:val="14"/>
                <w:szCs w:val="14"/>
              </w:rPr>
              <w:t>30</w:t>
            </w:r>
            <w:r>
              <w:rPr>
                <w:rFonts w:cs="Arial"/>
                <w:b/>
                <w:bCs/>
                <w:sz w:val="14"/>
                <w:szCs w:val="14"/>
              </w:rPr>
              <w:t>,</w:t>
            </w:r>
            <w:r w:rsidRPr="00AE145F">
              <w:rPr>
                <w:rFonts w:cs="Arial"/>
                <w:b/>
                <w:bCs/>
                <w:sz w:val="14"/>
                <w:szCs w:val="14"/>
              </w:rPr>
              <w:t>795</w:t>
            </w:r>
          </w:p>
        </w:tc>
      </w:tr>
    </w:tbl>
    <w:p w14:paraId="6C60B1D7" w14:textId="77777777" w:rsidR="008B7E19" w:rsidRPr="00466C18" w:rsidRDefault="008B7E19" w:rsidP="00882B41">
      <w:pPr>
        <w:pStyle w:val="PargrafodaLista"/>
        <w:numPr>
          <w:ilvl w:val="0"/>
          <w:numId w:val="31"/>
        </w:numPr>
        <w:spacing w:after="0" w:line="240" w:lineRule="auto"/>
        <w:rPr>
          <w:rFonts w:ascii="Arial" w:eastAsia="Times New Roman" w:hAnsi="Arial" w:cs="Times New Roman"/>
          <w:bCs/>
          <w:spacing w:val="-2"/>
          <w:sz w:val="14"/>
          <w:szCs w:val="16"/>
          <w:lang w:eastAsia="pt-BR"/>
        </w:rPr>
      </w:pPr>
      <w:r w:rsidRPr="00466C18">
        <w:rPr>
          <w:rFonts w:ascii="Arial" w:eastAsia="Times New Roman" w:hAnsi="Arial" w:cs="Arial"/>
          <w:kern w:val="20"/>
          <w:sz w:val="14"/>
          <w:szCs w:val="16"/>
          <w:lang w:eastAsia="pt-BR"/>
        </w:rPr>
        <w:t>PAA - Premium Allocation Approach.</w:t>
      </w:r>
    </w:p>
    <w:p w14:paraId="5493757F" w14:textId="77777777" w:rsidR="008B7E19" w:rsidRDefault="008B7E19" w:rsidP="008B7E19">
      <w:pPr>
        <w:spacing w:after="0" w:line="240" w:lineRule="auto"/>
        <w:rPr>
          <w:rFonts w:eastAsia="Times New Roman" w:cs="Times New Roman"/>
          <w:b/>
          <w:color w:val="1F4E79" w:themeColor="accent1" w:themeShade="80"/>
          <w:spacing w:val="-2"/>
          <w:szCs w:val="20"/>
          <w:lang w:eastAsia="pt-BR"/>
        </w:rPr>
      </w:pPr>
    </w:p>
    <w:p w14:paraId="380F74A9" w14:textId="77777777" w:rsidR="008B7E19" w:rsidRDefault="008B7E19" w:rsidP="008B7E19">
      <w:pPr>
        <w:pageBreakBefore/>
        <w:spacing w:after="0" w:line="240" w:lineRule="auto"/>
        <w:rPr>
          <w:rFonts w:eastAsia="Times New Roman" w:cs="Times New Roman"/>
          <w:b/>
          <w:color w:val="1F4E79" w:themeColor="accent1" w:themeShade="80"/>
          <w:spacing w:val="-2"/>
          <w:szCs w:val="20"/>
          <w:lang w:eastAsia="pt-BR"/>
        </w:rPr>
      </w:pPr>
      <w:r>
        <w:rPr>
          <w:rFonts w:eastAsia="Times New Roman" w:cs="Times New Roman"/>
          <w:b/>
          <w:color w:val="1F4E79" w:themeColor="accent1" w:themeShade="80"/>
          <w:spacing w:val="-2"/>
          <w:szCs w:val="20"/>
          <w:lang w:eastAsia="pt-BR"/>
        </w:rPr>
        <w:t>Balance Sheet Information</w:t>
      </w:r>
    </w:p>
    <w:p w14:paraId="43FB43F9" w14:textId="77777777" w:rsidR="008B7E19" w:rsidRDefault="008B7E19" w:rsidP="008B7E19">
      <w:pPr>
        <w:spacing w:after="0" w:line="240" w:lineRule="auto"/>
        <w:rPr>
          <w:rFonts w:eastAsia="Times New Roman" w:cs="Times New Roman"/>
          <w:b/>
          <w:color w:val="1F4E79" w:themeColor="accent1" w:themeShade="80"/>
          <w:spacing w:val="-2"/>
          <w:szCs w:val="20"/>
          <w:lang w:eastAsia="pt-BR"/>
        </w:rPr>
      </w:pPr>
    </w:p>
    <w:p w14:paraId="196B735D" w14:textId="77777777" w:rsidR="008B7E19" w:rsidRPr="00537AE7" w:rsidRDefault="008B7E19" w:rsidP="008B7E19">
      <w:pPr>
        <w:spacing w:after="0" w:line="240" w:lineRule="auto"/>
        <w:jc w:val="right"/>
        <w:rPr>
          <w:rFonts w:cs="Arial"/>
          <w:b/>
          <w:sz w:val="14"/>
          <w:lang w:eastAsia="pt-BR"/>
        </w:rPr>
      </w:pPr>
      <w:r w:rsidRPr="00537AE7">
        <w:rPr>
          <w:rFonts w:cs="Arial"/>
          <w:b/>
          <w:sz w:val="14"/>
          <w:lang w:eastAsia="pt-BR"/>
        </w:rPr>
        <w:t xml:space="preserve">R$ </w:t>
      </w:r>
      <w:r>
        <w:rPr>
          <w:rFonts w:cs="Arial"/>
          <w:b/>
          <w:sz w:val="14"/>
          <w:lang w:eastAsia="pt-BR"/>
        </w:rPr>
        <w:t>thousand</w:t>
      </w:r>
    </w:p>
    <w:tbl>
      <w:tblPr>
        <w:tblStyle w:val="TabeladeLista6Colorida-nfase512"/>
        <w:tblW w:w="9640" w:type="dxa"/>
        <w:jc w:val="center"/>
        <w:tblInd w:w="0" w:type="dxa"/>
        <w:tblLayout w:type="fixed"/>
        <w:tblLook w:val="04A0" w:firstRow="1" w:lastRow="0" w:firstColumn="1" w:lastColumn="0" w:noHBand="0" w:noVBand="1"/>
      </w:tblPr>
      <w:tblGrid>
        <w:gridCol w:w="3120"/>
        <w:gridCol w:w="3260"/>
        <w:gridCol w:w="3260"/>
      </w:tblGrid>
      <w:tr w:rsidR="008B7E19" w:rsidRPr="00627470" w14:paraId="40C1F743" w14:textId="77777777" w:rsidTr="008B7E19">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single" w:sz="2" w:space="0" w:color="1F4E79" w:themeColor="accent1" w:themeShade="80"/>
              <w:left w:val="nil"/>
              <w:bottom w:val="single" w:sz="2" w:space="0" w:color="1F4E79" w:themeColor="accent1" w:themeShade="80"/>
              <w:right w:val="nil"/>
            </w:tcBorders>
            <w:shd w:val="clear" w:color="auto" w:fill="auto"/>
            <w:vAlign w:val="center"/>
          </w:tcPr>
          <w:p w14:paraId="4A356A56" w14:textId="77777777" w:rsidR="008B7E19" w:rsidRPr="00627470" w:rsidRDefault="008B7E19" w:rsidP="008B7E19">
            <w:pPr>
              <w:rPr>
                <w:rFonts w:cs="Arial"/>
                <w:sz w:val="14"/>
                <w:szCs w:val="14"/>
              </w:rPr>
            </w:pPr>
          </w:p>
        </w:tc>
        <w:tc>
          <w:tcPr>
            <w:tcW w:w="3260" w:type="dxa"/>
            <w:tcBorders>
              <w:top w:val="single" w:sz="2" w:space="0" w:color="1F4E79" w:themeColor="accent1" w:themeShade="80"/>
              <w:left w:val="nil"/>
              <w:bottom w:val="single" w:sz="2" w:space="0" w:color="1F4E79" w:themeColor="accent1" w:themeShade="80"/>
              <w:right w:val="nil"/>
            </w:tcBorders>
            <w:shd w:val="clear" w:color="auto" w:fill="auto"/>
            <w:vAlign w:val="center"/>
          </w:tcPr>
          <w:p w14:paraId="7E3D3DE1" w14:textId="77777777" w:rsidR="008B7E19" w:rsidRPr="00627470" w:rsidRDefault="008B7E19" w:rsidP="008B7E19">
            <w:pPr>
              <w:jc w:val="right"/>
              <w:cnfStyle w:val="100000000000" w:firstRow="1" w:lastRow="0" w:firstColumn="0" w:lastColumn="0" w:oddVBand="0" w:evenVBand="0" w:oddHBand="0" w:evenHBand="0" w:firstRowFirstColumn="0" w:firstRowLastColumn="0" w:lastRowFirstColumn="0" w:lastRowLastColumn="0"/>
              <w:rPr>
                <w:rFonts w:cs="Arial"/>
                <w:sz w:val="14"/>
                <w:szCs w:val="14"/>
              </w:rPr>
            </w:pPr>
            <w:r>
              <w:rPr>
                <w:rFonts w:cs="Arial"/>
                <w:sz w:val="14"/>
                <w:szCs w:val="14"/>
              </w:rPr>
              <w:t>June 30, 2023</w:t>
            </w:r>
          </w:p>
        </w:tc>
        <w:tc>
          <w:tcPr>
            <w:tcW w:w="3260" w:type="dxa"/>
            <w:tcBorders>
              <w:top w:val="single" w:sz="2" w:space="0" w:color="1F4E79" w:themeColor="accent1" w:themeShade="80"/>
              <w:left w:val="nil"/>
              <w:bottom w:val="single" w:sz="2" w:space="0" w:color="1F4E79" w:themeColor="accent1" w:themeShade="80"/>
              <w:right w:val="nil"/>
            </w:tcBorders>
            <w:shd w:val="clear" w:color="auto" w:fill="auto"/>
            <w:vAlign w:val="center"/>
          </w:tcPr>
          <w:p w14:paraId="0E7BDC60" w14:textId="77777777" w:rsidR="008B7E19" w:rsidRPr="00627470" w:rsidRDefault="008B7E19" w:rsidP="008B7E19">
            <w:pPr>
              <w:jc w:val="right"/>
              <w:cnfStyle w:val="100000000000" w:firstRow="1" w:lastRow="0" w:firstColumn="0" w:lastColumn="0" w:oddVBand="0" w:evenVBand="0" w:oddHBand="0" w:evenHBand="0" w:firstRowFirstColumn="0" w:firstRowLastColumn="0" w:lastRowFirstColumn="0" w:lastRowLastColumn="0"/>
              <w:rPr>
                <w:rFonts w:cs="Arial"/>
                <w:sz w:val="14"/>
                <w:szCs w:val="14"/>
              </w:rPr>
            </w:pPr>
            <w:r>
              <w:rPr>
                <w:rFonts w:cs="Arial"/>
                <w:sz w:val="14"/>
                <w:szCs w:val="14"/>
              </w:rPr>
              <w:t>Dec 31, 2022 (Restated balances)</w:t>
            </w:r>
          </w:p>
        </w:tc>
      </w:tr>
      <w:tr w:rsidR="008B7E19" w:rsidRPr="003361C0" w14:paraId="20F0CD70"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single" w:sz="2" w:space="0" w:color="1F4E79" w:themeColor="accent1" w:themeShade="80"/>
              <w:left w:val="nil"/>
              <w:bottom w:val="nil"/>
              <w:right w:val="nil"/>
            </w:tcBorders>
            <w:shd w:val="clear" w:color="auto" w:fill="auto"/>
            <w:vAlign w:val="center"/>
            <w:hideMark/>
          </w:tcPr>
          <w:p w14:paraId="6C379B81" w14:textId="77777777" w:rsidR="008B7E19" w:rsidRPr="003361C0" w:rsidRDefault="008B7E19" w:rsidP="008B7E19">
            <w:pPr>
              <w:keepNext/>
              <w:keepLines/>
              <w:rPr>
                <w:rFonts w:eastAsia="Times New Roman" w:cs="Arial"/>
                <w:spacing w:val="-2"/>
                <w:sz w:val="14"/>
                <w:szCs w:val="14"/>
              </w:rPr>
            </w:pPr>
            <w:r>
              <w:rPr>
                <w:rFonts w:cs="Arial"/>
                <w:color w:val="000000"/>
                <w:sz w:val="14"/>
                <w:szCs w:val="14"/>
              </w:rPr>
              <w:t>Current Assets</w:t>
            </w:r>
          </w:p>
        </w:tc>
        <w:tc>
          <w:tcPr>
            <w:tcW w:w="3260" w:type="dxa"/>
            <w:tcBorders>
              <w:top w:val="single" w:sz="2" w:space="0" w:color="1F4E79" w:themeColor="accent1" w:themeShade="80"/>
              <w:left w:val="nil"/>
              <w:bottom w:val="nil"/>
              <w:right w:val="nil"/>
            </w:tcBorders>
            <w:shd w:val="clear" w:color="auto" w:fill="auto"/>
            <w:vAlign w:val="center"/>
          </w:tcPr>
          <w:p w14:paraId="2C559FB9" w14:textId="77777777" w:rsidR="008B7E19" w:rsidRPr="003361C0"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b/>
                <w:bCs/>
                <w:sz w:val="14"/>
                <w:szCs w:val="14"/>
              </w:rPr>
            </w:pPr>
            <w:r w:rsidRPr="00393FAE">
              <w:rPr>
                <w:rFonts w:cs="Arial"/>
                <w:b/>
                <w:bCs/>
                <w:color w:val="000000"/>
                <w:sz w:val="14"/>
                <w:szCs w:val="14"/>
              </w:rPr>
              <w:t>734</w:t>
            </w:r>
            <w:r>
              <w:rPr>
                <w:rFonts w:cs="Arial"/>
                <w:b/>
                <w:bCs/>
                <w:color w:val="000000"/>
                <w:sz w:val="14"/>
                <w:szCs w:val="14"/>
              </w:rPr>
              <w:t>,</w:t>
            </w:r>
            <w:r w:rsidRPr="00393FAE">
              <w:rPr>
                <w:rFonts w:cs="Arial"/>
                <w:b/>
                <w:bCs/>
                <w:color w:val="000000"/>
                <w:sz w:val="14"/>
                <w:szCs w:val="14"/>
              </w:rPr>
              <w:t>302</w:t>
            </w:r>
          </w:p>
        </w:tc>
        <w:tc>
          <w:tcPr>
            <w:tcW w:w="3260" w:type="dxa"/>
            <w:tcBorders>
              <w:top w:val="single" w:sz="2" w:space="0" w:color="1F4E79" w:themeColor="accent1" w:themeShade="80"/>
              <w:left w:val="nil"/>
              <w:bottom w:val="nil"/>
              <w:right w:val="nil"/>
            </w:tcBorders>
            <w:shd w:val="clear" w:color="auto" w:fill="auto"/>
            <w:vAlign w:val="center"/>
          </w:tcPr>
          <w:p w14:paraId="6BDD396C" w14:textId="77777777" w:rsidR="008B7E19" w:rsidRPr="003361C0"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b/>
                <w:bCs/>
                <w:sz w:val="14"/>
                <w:szCs w:val="14"/>
              </w:rPr>
            </w:pPr>
            <w:r w:rsidRPr="00393FAE">
              <w:rPr>
                <w:rFonts w:cs="Arial"/>
                <w:b/>
                <w:bCs/>
                <w:sz w:val="14"/>
                <w:szCs w:val="14"/>
              </w:rPr>
              <w:t>627</w:t>
            </w:r>
            <w:r>
              <w:rPr>
                <w:rFonts w:cs="Arial"/>
                <w:b/>
                <w:bCs/>
                <w:sz w:val="14"/>
                <w:szCs w:val="14"/>
              </w:rPr>
              <w:t>,</w:t>
            </w:r>
            <w:r w:rsidRPr="00393FAE">
              <w:rPr>
                <w:rFonts w:cs="Arial"/>
                <w:b/>
                <w:bCs/>
                <w:sz w:val="14"/>
                <w:szCs w:val="14"/>
              </w:rPr>
              <w:t>142</w:t>
            </w:r>
          </w:p>
        </w:tc>
      </w:tr>
      <w:tr w:rsidR="008B7E19" w:rsidRPr="00627470" w14:paraId="440597EE" w14:textId="77777777" w:rsidTr="008B7E1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hideMark/>
          </w:tcPr>
          <w:p w14:paraId="5105F610" w14:textId="77777777" w:rsidR="008B7E19" w:rsidRPr="00627470" w:rsidRDefault="008B7E19" w:rsidP="008B7E19">
            <w:pPr>
              <w:keepNext/>
              <w:keepLines/>
              <w:ind w:left="113"/>
              <w:rPr>
                <w:rFonts w:eastAsia="Times New Roman" w:cs="Arial"/>
                <w:b w:val="0"/>
                <w:bCs w:val="0"/>
                <w:spacing w:val="-2"/>
                <w:sz w:val="14"/>
                <w:szCs w:val="14"/>
              </w:rPr>
            </w:pPr>
            <w:r>
              <w:rPr>
                <w:rFonts w:cs="Arial"/>
                <w:b w:val="0"/>
                <w:bCs w:val="0"/>
                <w:color w:val="000000"/>
                <w:sz w:val="14"/>
                <w:szCs w:val="14"/>
              </w:rPr>
              <w:t>Cash and cash equivalentes</w:t>
            </w:r>
          </w:p>
        </w:tc>
        <w:tc>
          <w:tcPr>
            <w:tcW w:w="3260" w:type="dxa"/>
            <w:tcBorders>
              <w:top w:val="nil"/>
              <w:left w:val="nil"/>
              <w:bottom w:val="nil"/>
              <w:right w:val="nil"/>
            </w:tcBorders>
            <w:shd w:val="clear" w:color="auto" w:fill="auto"/>
            <w:vAlign w:val="center"/>
          </w:tcPr>
          <w:p w14:paraId="6CBD9C60" w14:textId="77777777" w:rsidR="008B7E19" w:rsidRPr="00627470"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sz w:val="14"/>
                <w:szCs w:val="14"/>
              </w:rPr>
            </w:pPr>
            <w:r w:rsidRPr="00494755">
              <w:rPr>
                <w:rFonts w:cs="Arial"/>
                <w:color w:val="000000"/>
                <w:sz w:val="14"/>
                <w:szCs w:val="14"/>
              </w:rPr>
              <w:t>628</w:t>
            </w:r>
          </w:p>
        </w:tc>
        <w:tc>
          <w:tcPr>
            <w:tcW w:w="3260" w:type="dxa"/>
            <w:tcBorders>
              <w:top w:val="nil"/>
              <w:left w:val="nil"/>
              <w:bottom w:val="nil"/>
              <w:right w:val="nil"/>
            </w:tcBorders>
            <w:shd w:val="clear" w:color="auto" w:fill="auto"/>
            <w:vAlign w:val="center"/>
          </w:tcPr>
          <w:p w14:paraId="4125038A" w14:textId="77777777" w:rsidR="008B7E19" w:rsidRPr="00627470"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sz w:val="14"/>
                <w:szCs w:val="14"/>
              </w:rPr>
            </w:pPr>
            <w:r w:rsidRPr="00494755">
              <w:rPr>
                <w:rFonts w:cs="Arial"/>
                <w:sz w:val="14"/>
                <w:szCs w:val="14"/>
              </w:rPr>
              <w:t>5</w:t>
            </w:r>
            <w:r>
              <w:rPr>
                <w:rFonts w:cs="Arial"/>
                <w:sz w:val="14"/>
                <w:szCs w:val="14"/>
              </w:rPr>
              <w:t>,</w:t>
            </w:r>
            <w:r w:rsidRPr="00494755">
              <w:rPr>
                <w:rFonts w:cs="Arial"/>
                <w:sz w:val="14"/>
                <w:szCs w:val="14"/>
              </w:rPr>
              <w:t>997</w:t>
            </w:r>
          </w:p>
        </w:tc>
      </w:tr>
      <w:tr w:rsidR="008B7E19" w:rsidRPr="00627470" w14:paraId="3072324C"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25A2544A" w14:textId="77777777" w:rsidR="008B7E19" w:rsidRPr="00627470" w:rsidRDefault="008B7E19" w:rsidP="008B7E19">
            <w:pPr>
              <w:keepNext/>
              <w:keepLines/>
              <w:ind w:left="113"/>
              <w:rPr>
                <w:rFonts w:eastAsia="Times New Roman" w:cs="Arial"/>
                <w:b w:val="0"/>
                <w:bCs w:val="0"/>
                <w:spacing w:val="-2"/>
                <w:sz w:val="14"/>
                <w:szCs w:val="14"/>
              </w:rPr>
            </w:pPr>
            <w:r>
              <w:rPr>
                <w:rFonts w:cs="Arial"/>
                <w:b w:val="0"/>
                <w:bCs w:val="0"/>
                <w:color w:val="000000"/>
                <w:sz w:val="14"/>
                <w:szCs w:val="14"/>
              </w:rPr>
              <w:t>Receivables</w:t>
            </w:r>
          </w:p>
        </w:tc>
        <w:tc>
          <w:tcPr>
            <w:tcW w:w="3260" w:type="dxa"/>
            <w:tcBorders>
              <w:top w:val="nil"/>
              <w:left w:val="nil"/>
              <w:bottom w:val="nil"/>
              <w:right w:val="nil"/>
            </w:tcBorders>
            <w:shd w:val="clear" w:color="auto" w:fill="auto"/>
            <w:vAlign w:val="center"/>
          </w:tcPr>
          <w:p w14:paraId="5F8851A7" w14:textId="77777777" w:rsidR="008B7E19" w:rsidRPr="00627470"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rPr>
            </w:pPr>
            <w:r w:rsidRPr="00494755">
              <w:rPr>
                <w:rFonts w:cs="Arial"/>
                <w:color w:val="000000"/>
                <w:sz w:val="14"/>
                <w:szCs w:val="14"/>
              </w:rPr>
              <w:t>15</w:t>
            </w:r>
            <w:r>
              <w:rPr>
                <w:rFonts w:cs="Arial"/>
                <w:color w:val="000000"/>
                <w:sz w:val="14"/>
                <w:szCs w:val="14"/>
              </w:rPr>
              <w:t>,</w:t>
            </w:r>
            <w:r w:rsidRPr="00494755">
              <w:rPr>
                <w:rFonts w:cs="Arial"/>
                <w:color w:val="000000"/>
                <w:sz w:val="14"/>
                <w:szCs w:val="14"/>
              </w:rPr>
              <w:t>341</w:t>
            </w:r>
          </w:p>
        </w:tc>
        <w:tc>
          <w:tcPr>
            <w:tcW w:w="3260" w:type="dxa"/>
            <w:tcBorders>
              <w:top w:val="nil"/>
              <w:left w:val="nil"/>
              <w:bottom w:val="nil"/>
              <w:right w:val="nil"/>
            </w:tcBorders>
            <w:shd w:val="clear" w:color="auto" w:fill="auto"/>
            <w:vAlign w:val="center"/>
          </w:tcPr>
          <w:p w14:paraId="0BB16B68" w14:textId="77777777" w:rsidR="008B7E19" w:rsidRPr="00627470"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rPr>
            </w:pPr>
            <w:r w:rsidRPr="00494755">
              <w:rPr>
                <w:rFonts w:cs="Arial"/>
                <w:sz w:val="14"/>
                <w:szCs w:val="14"/>
              </w:rPr>
              <w:t>11</w:t>
            </w:r>
            <w:r>
              <w:rPr>
                <w:rFonts w:cs="Arial"/>
                <w:sz w:val="14"/>
                <w:szCs w:val="14"/>
              </w:rPr>
              <w:t>,</w:t>
            </w:r>
            <w:r w:rsidRPr="00494755">
              <w:rPr>
                <w:rFonts w:cs="Arial"/>
                <w:sz w:val="14"/>
                <w:szCs w:val="14"/>
              </w:rPr>
              <w:t>249</w:t>
            </w:r>
          </w:p>
        </w:tc>
      </w:tr>
      <w:tr w:rsidR="008B7E19" w:rsidRPr="00627470" w14:paraId="6D2A7606" w14:textId="77777777" w:rsidTr="008B7E1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28006C52" w14:textId="77777777" w:rsidR="008B7E19" w:rsidRPr="00627470" w:rsidRDefault="008B7E19" w:rsidP="008B7E19">
            <w:pPr>
              <w:keepNext/>
              <w:keepLines/>
              <w:ind w:left="113"/>
              <w:rPr>
                <w:rFonts w:eastAsia="Times New Roman" w:cs="Arial"/>
                <w:b w:val="0"/>
                <w:bCs w:val="0"/>
                <w:spacing w:val="-2"/>
                <w:sz w:val="14"/>
                <w:szCs w:val="14"/>
              </w:rPr>
            </w:pPr>
            <w:r>
              <w:rPr>
                <w:rFonts w:cs="Arial"/>
                <w:b w:val="0"/>
                <w:bCs w:val="0"/>
                <w:color w:val="000000"/>
                <w:sz w:val="14"/>
                <w:szCs w:val="14"/>
              </w:rPr>
              <w:t>Financial Instruments</w:t>
            </w:r>
          </w:p>
        </w:tc>
        <w:tc>
          <w:tcPr>
            <w:tcW w:w="3260" w:type="dxa"/>
            <w:tcBorders>
              <w:top w:val="nil"/>
              <w:left w:val="nil"/>
              <w:bottom w:val="nil"/>
              <w:right w:val="nil"/>
            </w:tcBorders>
            <w:shd w:val="clear" w:color="auto" w:fill="auto"/>
            <w:vAlign w:val="center"/>
          </w:tcPr>
          <w:p w14:paraId="3348500B" w14:textId="77777777" w:rsidR="008B7E19" w:rsidRPr="00627470"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sz w:val="14"/>
                <w:szCs w:val="14"/>
              </w:rPr>
            </w:pPr>
            <w:r w:rsidRPr="00494755">
              <w:rPr>
                <w:rFonts w:cs="Arial"/>
                <w:color w:val="000000"/>
                <w:sz w:val="14"/>
                <w:szCs w:val="14"/>
              </w:rPr>
              <w:t>487</w:t>
            </w:r>
            <w:r>
              <w:rPr>
                <w:rFonts w:cs="Arial"/>
                <w:color w:val="000000"/>
                <w:sz w:val="14"/>
                <w:szCs w:val="14"/>
              </w:rPr>
              <w:t>,</w:t>
            </w:r>
            <w:r w:rsidRPr="00494755">
              <w:rPr>
                <w:rFonts w:cs="Arial"/>
                <w:color w:val="000000"/>
                <w:sz w:val="14"/>
                <w:szCs w:val="14"/>
              </w:rPr>
              <w:t>994</w:t>
            </w:r>
          </w:p>
        </w:tc>
        <w:tc>
          <w:tcPr>
            <w:tcW w:w="3260" w:type="dxa"/>
            <w:tcBorders>
              <w:top w:val="nil"/>
              <w:left w:val="nil"/>
              <w:bottom w:val="nil"/>
              <w:right w:val="nil"/>
            </w:tcBorders>
            <w:shd w:val="clear" w:color="auto" w:fill="auto"/>
            <w:vAlign w:val="center"/>
          </w:tcPr>
          <w:p w14:paraId="7833900F" w14:textId="77777777" w:rsidR="008B7E19" w:rsidRPr="00627470"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sz w:val="14"/>
                <w:szCs w:val="14"/>
              </w:rPr>
            </w:pPr>
            <w:r w:rsidRPr="00494755">
              <w:rPr>
                <w:rFonts w:cs="Arial"/>
                <w:sz w:val="14"/>
                <w:szCs w:val="14"/>
              </w:rPr>
              <w:t>448</w:t>
            </w:r>
            <w:r>
              <w:rPr>
                <w:rFonts w:cs="Arial"/>
                <w:sz w:val="14"/>
                <w:szCs w:val="14"/>
              </w:rPr>
              <w:t>,</w:t>
            </w:r>
            <w:r w:rsidRPr="00494755">
              <w:rPr>
                <w:rFonts w:cs="Arial"/>
                <w:sz w:val="14"/>
                <w:szCs w:val="14"/>
              </w:rPr>
              <w:t>529</w:t>
            </w:r>
          </w:p>
        </w:tc>
      </w:tr>
      <w:tr w:rsidR="008B7E19" w:rsidRPr="00627470" w14:paraId="66F2C8EF"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10FEB7A6" w14:textId="77777777" w:rsidR="008B7E19" w:rsidRPr="00627470" w:rsidRDefault="008B7E19" w:rsidP="008B7E19">
            <w:pPr>
              <w:keepNext/>
              <w:keepLines/>
              <w:ind w:left="113"/>
              <w:rPr>
                <w:rFonts w:cs="Arial"/>
                <w:b w:val="0"/>
                <w:bCs w:val="0"/>
                <w:color w:val="000000"/>
                <w:sz w:val="14"/>
                <w:szCs w:val="14"/>
              </w:rPr>
            </w:pPr>
            <w:r>
              <w:rPr>
                <w:rFonts w:cs="Arial"/>
                <w:b w:val="0"/>
                <w:bCs w:val="0"/>
                <w:color w:val="000000"/>
                <w:sz w:val="14"/>
                <w:szCs w:val="14"/>
              </w:rPr>
              <w:t>I</w:t>
            </w:r>
            <w:r w:rsidRPr="00A94E39">
              <w:rPr>
                <w:rFonts w:cs="Arial"/>
                <w:b w:val="0"/>
                <w:bCs w:val="0"/>
                <w:color w:val="000000"/>
                <w:sz w:val="14"/>
                <w:szCs w:val="14"/>
              </w:rPr>
              <w:t>nsurance contracts</w:t>
            </w:r>
          </w:p>
        </w:tc>
        <w:tc>
          <w:tcPr>
            <w:tcW w:w="3260" w:type="dxa"/>
            <w:tcBorders>
              <w:top w:val="nil"/>
              <w:left w:val="nil"/>
              <w:bottom w:val="nil"/>
              <w:right w:val="nil"/>
            </w:tcBorders>
            <w:shd w:val="clear" w:color="auto" w:fill="auto"/>
            <w:vAlign w:val="center"/>
          </w:tcPr>
          <w:p w14:paraId="16D80B56" w14:textId="77777777" w:rsidR="008B7E19" w:rsidRPr="00627470"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rPr>
            </w:pPr>
            <w:r w:rsidRPr="00494755">
              <w:rPr>
                <w:rFonts w:cs="Arial"/>
                <w:color w:val="000000"/>
                <w:sz w:val="14"/>
                <w:szCs w:val="14"/>
              </w:rPr>
              <w:t>218</w:t>
            </w:r>
            <w:r>
              <w:rPr>
                <w:rFonts w:cs="Arial"/>
                <w:color w:val="000000"/>
                <w:sz w:val="14"/>
                <w:szCs w:val="14"/>
              </w:rPr>
              <w:t>,</w:t>
            </w:r>
            <w:r w:rsidRPr="00494755">
              <w:rPr>
                <w:rFonts w:cs="Arial"/>
                <w:color w:val="000000"/>
                <w:sz w:val="14"/>
                <w:szCs w:val="14"/>
              </w:rPr>
              <w:t>897</w:t>
            </w:r>
          </w:p>
        </w:tc>
        <w:tc>
          <w:tcPr>
            <w:tcW w:w="3260" w:type="dxa"/>
            <w:tcBorders>
              <w:top w:val="nil"/>
              <w:left w:val="nil"/>
              <w:bottom w:val="nil"/>
              <w:right w:val="nil"/>
            </w:tcBorders>
            <w:shd w:val="clear" w:color="auto" w:fill="auto"/>
            <w:vAlign w:val="center"/>
          </w:tcPr>
          <w:p w14:paraId="7937A646" w14:textId="77777777" w:rsidR="008B7E19" w:rsidRPr="00627470"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rPr>
            </w:pPr>
            <w:r w:rsidRPr="00494755">
              <w:rPr>
                <w:rFonts w:cs="Arial"/>
                <w:sz w:val="14"/>
                <w:szCs w:val="14"/>
              </w:rPr>
              <w:t>153</w:t>
            </w:r>
            <w:r>
              <w:rPr>
                <w:rFonts w:cs="Arial"/>
                <w:sz w:val="14"/>
                <w:szCs w:val="14"/>
              </w:rPr>
              <w:t>,</w:t>
            </w:r>
            <w:r w:rsidRPr="00494755">
              <w:rPr>
                <w:rFonts w:cs="Arial"/>
                <w:sz w:val="14"/>
                <w:szCs w:val="14"/>
              </w:rPr>
              <w:t>066</w:t>
            </w:r>
          </w:p>
        </w:tc>
      </w:tr>
      <w:tr w:rsidR="008B7E19" w:rsidRPr="00627470" w14:paraId="6668C2E0" w14:textId="77777777" w:rsidTr="008B7E1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0B135C42" w14:textId="77777777" w:rsidR="008B7E19" w:rsidRPr="00627470" w:rsidRDefault="008B7E19" w:rsidP="008B7E19">
            <w:pPr>
              <w:keepNext/>
              <w:keepLines/>
              <w:ind w:left="113"/>
              <w:rPr>
                <w:rFonts w:cs="Arial"/>
                <w:b w:val="0"/>
                <w:bCs w:val="0"/>
                <w:color w:val="000000"/>
                <w:sz w:val="14"/>
                <w:szCs w:val="14"/>
              </w:rPr>
            </w:pPr>
            <w:r w:rsidRPr="00A94E39">
              <w:rPr>
                <w:rFonts w:cs="Arial"/>
                <w:b w:val="0"/>
                <w:bCs w:val="0"/>
                <w:color w:val="000000"/>
                <w:sz w:val="14"/>
                <w:szCs w:val="14"/>
              </w:rPr>
              <w:t>Current tax asset</w:t>
            </w:r>
          </w:p>
        </w:tc>
        <w:tc>
          <w:tcPr>
            <w:tcW w:w="3260" w:type="dxa"/>
            <w:tcBorders>
              <w:top w:val="nil"/>
              <w:left w:val="nil"/>
              <w:bottom w:val="nil"/>
              <w:right w:val="nil"/>
            </w:tcBorders>
            <w:shd w:val="clear" w:color="auto" w:fill="auto"/>
            <w:vAlign w:val="center"/>
          </w:tcPr>
          <w:p w14:paraId="00C704E1" w14:textId="77777777" w:rsidR="008B7E19" w:rsidRPr="00627470" w:rsidRDefault="008B7E19" w:rsidP="008B7E19">
            <w:pPr>
              <w:keepNext/>
              <w:keepLines/>
              <w:jc w:val="right"/>
              <w:cnfStyle w:val="000000010000" w:firstRow="0" w:lastRow="0" w:firstColumn="0" w:lastColumn="0" w:oddVBand="0" w:evenVBand="0" w:oddHBand="0" w:evenHBand="1" w:firstRowFirstColumn="0" w:firstRowLastColumn="0" w:lastRowFirstColumn="0" w:lastRowLastColumn="0"/>
              <w:rPr>
                <w:rFonts w:cs="Arial"/>
                <w:color w:val="000000"/>
                <w:sz w:val="14"/>
                <w:szCs w:val="14"/>
              </w:rPr>
            </w:pPr>
            <w:r w:rsidRPr="00494755">
              <w:rPr>
                <w:rFonts w:cs="Arial"/>
                <w:color w:val="000000"/>
                <w:sz w:val="14"/>
                <w:szCs w:val="14"/>
              </w:rPr>
              <w:t>11</w:t>
            </w:r>
            <w:r>
              <w:rPr>
                <w:rFonts w:cs="Arial"/>
                <w:color w:val="000000"/>
                <w:sz w:val="14"/>
                <w:szCs w:val="14"/>
              </w:rPr>
              <w:t>,</w:t>
            </w:r>
            <w:r w:rsidRPr="00494755">
              <w:rPr>
                <w:rFonts w:cs="Arial"/>
                <w:color w:val="000000"/>
                <w:sz w:val="14"/>
                <w:szCs w:val="14"/>
              </w:rPr>
              <w:t>032</w:t>
            </w:r>
          </w:p>
        </w:tc>
        <w:tc>
          <w:tcPr>
            <w:tcW w:w="3260" w:type="dxa"/>
            <w:tcBorders>
              <w:top w:val="nil"/>
              <w:left w:val="nil"/>
              <w:bottom w:val="nil"/>
              <w:right w:val="nil"/>
            </w:tcBorders>
            <w:shd w:val="clear" w:color="auto" w:fill="auto"/>
            <w:vAlign w:val="center"/>
          </w:tcPr>
          <w:p w14:paraId="6E12E85A" w14:textId="77777777" w:rsidR="008B7E19" w:rsidRPr="00627470" w:rsidRDefault="008B7E19" w:rsidP="008B7E19">
            <w:pPr>
              <w:keepNext/>
              <w:keepLines/>
              <w:jc w:val="right"/>
              <w:cnfStyle w:val="000000010000" w:firstRow="0" w:lastRow="0" w:firstColumn="0" w:lastColumn="0" w:oddVBand="0" w:evenVBand="0" w:oddHBand="0" w:evenHBand="1" w:firstRowFirstColumn="0" w:firstRowLastColumn="0" w:lastRowFirstColumn="0" w:lastRowLastColumn="0"/>
              <w:rPr>
                <w:rFonts w:cs="Arial"/>
                <w:color w:val="000000"/>
                <w:sz w:val="14"/>
                <w:szCs w:val="14"/>
              </w:rPr>
            </w:pPr>
            <w:r w:rsidRPr="00494755">
              <w:rPr>
                <w:rFonts w:cs="Arial"/>
                <w:sz w:val="14"/>
                <w:szCs w:val="14"/>
              </w:rPr>
              <w:t>8</w:t>
            </w:r>
            <w:r>
              <w:rPr>
                <w:rFonts w:cs="Arial"/>
                <w:sz w:val="14"/>
                <w:szCs w:val="14"/>
              </w:rPr>
              <w:t>,</w:t>
            </w:r>
            <w:r w:rsidRPr="00494755">
              <w:rPr>
                <w:rFonts w:cs="Arial"/>
                <w:sz w:val="14"/>
                <w:szCs w:val="14"/>
              </w:rPr>
              <w:t>080</w:t>
            </w:r>
          </w:p>
        </w:tc>
      </w:tr>
      <w:tr w:rsidR="008B7E19" w:rsidRPr="00627470" w14:paraId="4BC720BC"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5C08EC42" w14:textId="77777777" w:rsidR="008B7E19" w:rsidRPr="00627470" w:rsidRDefault="008B7E19" w:rsidP="008B7E19">
            <w:pPr>
              <w:keepNext/>
              <w:keepLines/>
              <w:spacing w:before="40" w:after="40"/>
              <w:ind w:left="113"/>
              <w:rPr>
                <w:rFonts w:cs="Arial"/>
                <w:b w:val="0"/>
                <w:bCs w:val="0"/>
                <w:sz w:val="14"/>
                <w:szCs w:val="14"/>
              </w:rPr>
            </w:pPr>
            <w:r>
              <w:rPr>
                <w:rFonts w:cs="Arial"/>
                <w:b w:val="0"/>
                <w:bCs w:val="0"/>
                <w:color w:val="000000"/>
                <w:sz w:val="14"/>
                <w:szCs w:val="14"/>
              </w:rPr>
              <w:t>Other assets</w:t>
            </w:r>
          </w:p>
        </w:tc>
        <w:tc>
          <w:tcPr>
            <w:tcW w:w="3260" w:type="dxa"/>
            <w:tcBorders>
              <w:top w:val="nil"/>
              <w:left w:val="nil"/>
              <w:bottom w:val="nil"/>
              <w:right w:val="nil"/>
            </w:tcBorders>
            <w:shd w:val="clear" w:color="auto" w:fill="auto"/>
            <w:vAlign w:val="center"/>
          </w:tcPr>
          <w:p w14:paraId="5D5C747F" w14:textId="77777777" w:rsidR="008B7E19" w:rsidRPr="00627470"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rPr>
            </w:pPr>
            <w:r w:rsidRPr="00494755">
              <w:rPr>
                <w:rFonts w:cs="Arial"/>
                <w:color w:val="000000"/>
                <w:sz w:val="14"/>
                <w:szCs w:val="14"/>
              </w:rPr>
              <w:t>410</w:t>
            </w:r>
          </w:p>
        </w:tc>
        <w:tc>
          <w:tcPr>
            <w:tcW w:w="3260" w:type="dxa"/>
            <w:tcBorders>
              <w:top w:val="nil"/>
              <w:left w:val="nil"/>
              <w:bottom w:val="nil"/>
              <w:right w:val="nil"/>
            </w:tcBorders>
            <w:shd w:val="clear" w:color="auto" w:fill="auto"/>
            <w:vAlign w:val="center"/>
          </w:tcPr>
          <w:p w14:paraId="3EEE01C8" w14:textId="77777777" w:rsidR="008B7E19" w:rsidRPr="00627470"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rPr>
            </w:pPr>
            <w:r w:rsidRPr="00494755">
              <w:rPr>
                <w:rFonts w:cs="Arial"/>
                <w:sz w:val="14"/>
                <w:szCs w:val="14"/>
              </w:rPr>
              <w:t>221</w:t>
            </w:r>
          </w:p>
        </w:tc>
      </w:tr>
      <w:tr w:rsidR="008B7E19" w:rsidRPr="003361C0" w14:paraId="1FA872C4" w14:textId="77777777" w:rsidTr="008B7E1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313FA649" w14:textId="77777777" w:rsidR="008B7E19" w:rsidRPr="003361C0" w:rsidRDefault="008B7E19" w:rsidP="008B7E19">
            <w:pPr>
              <w:keepNext/>
              <w:keepLines/>
              <w:spacing w:before="40" w:after="40"/>
              <w:rPr>
                <w:rFonts w:cs="Arial"/>
                <w:sz w:val="14"/>
                <w:szCs w:val="14"/>
              </w:rPr>
            </w:pPr>
            <w:r>
              <w:rPr>
                <w:rFonts w:cs="Arial"/>
                <w:color w:val="000000"/>
                <w:sz w:val="14"/>
                <w:szCs w:val="14"/>
              </w:rPr>
              <w:t>Non-current assets</w:t>
            </w:r>
          </w:p>
        </w:tc>
        <w:tc>
          <w:tcPr>
            <w:tcW w:w="3260" w:type="dxa"/>
            <w:tcBorders>
              <w:top w:val="nil"/>
              <w:left w:val="nil"/>
              <w:bottom w:val="nil"/>
              <w:right w:val="nil"/>
            </w:tcBorders>
            <w:shd w:val="clear" w:color="auto" w:fill="auto"/>
            <w:vAlign w:val="center"/>
          </w:tcPr>
          <w:p w14:paraId="71DB1E20" w14:textId="77777777" w:rsidR="008B7E19" w:rsidRPr="003361C0"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b/>
                <w:bCs/>
                <w:sz w:val="14"/>
                <w:szCs w:val="14"/>
              </w:rPr>
            </w:pPr>
            <w:r w:rsidRPr="00393FAE">
              <w:rPr>
                <w:rFonts w:cs="Arial"/>
                <w:b/>
                <w:bCs/>
                <w:color w:val="000000"/>
                <w:sz w:val="14"/>
                <w:szCs w:val="14"/>
              </w:rPr>
              <w:t>130</w:t>
            </w:r>
            <w:r>
              <w:rPr>
                <w:rFonts w:cs="Arial"/>
                <w:b/>
                <w:bCs/>
                <w:color w:val="000000"/>
                <w:sz w:val="14"/>
                <w:szCs w:val="14"/>
              </w:rPr>
              <w:t>,</w:t>
            </w:r>
            <w:r w:rsidRPr="00393FAE">
              <w:rPr>
                <w:rFonts w:cs="Arial"/>
                <w:b/>
                <w:bCs/>
                <w:color w:val="000000"/>
                <w:sz w:val="14"/>
                <w:szCs w:val="14"/>
              </w:rPr>
              <w:t>412</w:t>
            </w:r>
          </w:p>
        </w:tc>
        <w:tc>
          <w:tcPr>
            <w:tcW w:w="3260" w:type="dxa"/>
            <w:tcBorders>
              <w:top w:val="nil"/>
              <w:left w:val="nil"/>
              <w:bottom w:val="nil"/>
              <w:right w:val="nil"/>
            </w:tcBorders>
            <w:shd w:val="clear" w:color="auto" w:fill="auto"/>
            <w:vAlign w:val="center"/>
          </w:tcPr>
          <w:p w14:paraId="7E1FA922" w14:textId="77777777" w:rsidR="008B7E19" w:rsidRPr="003361C0"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b/>
                <w:bCs/>
                <w:sz w:val="14"/>
                <w:szCs w:val="14"/>
              </w:rPr>
            </w:pPr>
            <w:r w:rsidRPr="00393FAE">
              <w:rPr>
                <w:rFonts w:cs="Arial"/>
                <w:b/>
                <w:bCs/>
                <w:sz w:val="14"/>
                <w:szCs w:val="14"/>
              </w:rPr>
              <w:t>127</w:t>
            </w:r>
            <w:r>
              <w:rPr>
                <w:rFonts w:cs="Arial"/>
                <w:b/>
                <w:bCs/>
                <w:sz w:val="14"/>
                <w:szCs w:val="14"/>
              </w:rPr>
              <w:t>,</w:t>
            </w:r>
            <w:r w:rsidRPr="00393FAE">
              <w:rPr>
                <w:rFonts w:cs="Arial"/>
                <w:b/>
                <w:bCs/>
                <w:sz w:val="14"/>
                <w:szCs w:val="14"/>
              </w:rPr>
              <w:t>114</w:t>
            </w:r>
          </w:p>
        </w:tc>
      </w:tr>
      <w:tr w:rsidR="008B7E19" w:rsidRPr="00627470" w14:paraId="54FA1CB2"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1C4794F5" w14:textId="77777777" w:rsidR="008B7E19" w:rsidRPr="00627470" w:rsidRDefault="008B7E19" w:rsidP="008B7E19">
            <w:pPr>
              <w:keepNext/>
              <w:keepLines/>
              <w:spacing w:before="40" w:after="40"/>
              <w:ind w:left="113"/>
              <w:rPr>
                <w:rFonts w:cs="Arial"/>
                <w:b w:val="0"/>
                <w:bCs w:val="0"/>
                <w:sz w:val="14"/>
                <w:szCs w:val="14"/>
              </w:rPr>
            </w:pPr>
            <w:r>
              <w:rPr>
                <w:rFonts w:cs="Arial"/>
                <w:b w:val="0"/>
                <w:bCs w:val="0"/>
                <w:color w:val="000000"/>
                <w:sz w:val="14"/>
                <w:szCs w:val="14"/>
              </w:rPr>
              <w:t>Financial Instruments</w:t>
            </w:r>
          </w:p>
        </w:tc>
        <w:tc>
          <w:tcPr>
            <w:tcW w:w="3260" w:type="dxa"/>
            <w:tcBorders>
              <w:top w:val="nil"/>
              <w:left w:val="nil"/>
              <w:bottom w:val="nil"/>
              <w:right w:val="nil"/>
            </w:tcBorders>
            <w:shd w:val="clear" w:color="auto" w:fill="auto"/>
            <w:vAlign w:val="center"/>
          </w:tcPr>
          <w:p w14:paraId="012A46FC" w14:textId="77777777" w:rsidR="008B7E19" w:rsidRPr="00627470"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rPr>
            </w:pPr>
            <w:r w:rsidRPr="00494755">
              <w:rPr>
                <w:rFonts w:cs="Arial"/>
                <w:color w:val="000000"/>
                <w:sz w:val="14"/>
                <w:szCs w:val="14"/>
              </w:rPr>
              <w:t>41</w:t>
            </w:r>
            <w:r>
              <w:rPr>
                <w:rFonts w:cs="Arial"/>
                <w:color w:val="000000"/>
                <w:sz w:val="14"/>
                <w:szCs w:val="14"/>
              </w:rPr>
              <w:t>,</w:t>
            </w:r>
            <w:r w:rsidRPr="00494755">
              <w:rPr>
                <w:rFonts w:cs="Arial"/>
                <w:color w:val="000000"/>
                <w:sz w:val="14"/>
                <w:szCs w:val="14"/>
              </w:rPr>
              <w:t>558</w:t>
            </w:r>
          </w:p>
        </w:tc>
        <w:tc>
          <w:tcPr>
            <w:tcW w:w="3260" w:type="dxa"/>
            <w:tcBorders>
              <w:top w:val="nil"/>
              <w:left w:val="nil"/>
              <w:bottom w:val="nil"/>
              <w:right w:val="nil"/>
            </w:tcBorders>
            <w:shd w:val="clear" w:color="auto" w:fill="auto"/>
            <w:vAlign w:val="center"/>
          </w:tcPr>
          <w:p w14:paraId="4DF1EC11" w14:textId="77777777" w:rsidR="008B7E19" w:rsidRPr="00627470"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rPr>
            </w:pPr>
            <w:r w:rsidRPr="00494755">
              <w:rPr>
                <w:rFonts w:cs="Arial"/>
                <w:sz w:val="14"/>
                <w:szCs w:val="14"/>
              </w:rPr>
              <w:t>40</w:t>
            </w:r>
            <w:r>
              <w:rPr>
                <w:rFonts w:cs="Arial"/>
                <w:sz w:val="14"/>
                <w:szCs w:val="14"/>
              </w:rPr>
              <w:t>,</w:t>
            </w:r>
            <w:r w:rsidRPr="00494755">
              <w:rPr>
                <w:rFonts w:cs="Arial"/>
                <w:sz w:val="14"/>
                <w:szCs w:val="14"/>
              </w:rPr>
              <w:t>487</w:t>
            </w:r>
          </w:p>
        </w:tc>
      </w:tr>
      <w:tr w:rsidR="008B7E19" w:rsidRPr="00627470" w14:paraId="68B9E3C9" w14:textId="77777777" w:rsidTr="008B7E1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1A2BB9C6" w14:textId="77777777" w:rsidR="008B7E19" w:rsidRPr="00627470" w:rsidRDefault="008B7E19" w:rsidP="008B7E19">
            <w:pPr>
              <w:keepNext/>
              <w:keepLines/>
              <w:ind w:left="113"/>
              <w:rPr>
                <w:rFonts w:cs="Arial"/>
                <w:b w:val="0"/>
                <w:bCs w:val="0"/>
                <w:color w:val="000000"/>
                <w:sz w:val="14"/>
                <w:szCs w:val="14"/>
              </w:rPr>
            </w:pPr>
            <w:r>
              <w:rPr>
                <w:rFonts w:cs="Arial"/>
                <w:b w:val="0"/>
                <w:bCs w:val="0"/>
                <w:color w:val="000000"/>
                <w:sz w:val="14"/>
                <w:szCs w:val="14"/>
              </w:rPr>
              <w:t>D</w:t>
            </w:r>
            <w:r w:rsidRPr="00A94E39">
              <w:rPr>
                <w:rFonts w:cs="Arial"/>
                <w:b w:val="0"/>
                <w:bCs w:val="0"/>
                <w:color w:val="000000"/>
                <w:sz w:val="14"/>
                <w:szCs w:val="14"/>
              </w:rPr>
              <w:t>eferred tax asset</w:t>
            </w:r>
          </w:p>
        </w:tc>
        <w:tc>
          <w:tcPr>
            <w:tcW w:w="3260" w:type="dxa"/>
            <w:tcBorders>
              <w:top w:val="nil"/>
              <w:left w:val="nil"/>
              <w:bottom w:val="nil"/>
              <w:right w:val="nil"/>
            </w:tcBorders>
            <w:shd w:val="clear" w:color="auto" w:fill="auto"/>
            <w:vAlign w:val="center"/>
          </w:tcPr>
          <w:p w14:paraId="1A82A3FE" w14:textId="77777777" w:rsidR="008B7E19" w:rsidRPr="00627470" w:rsidRDefault="008B7E19" w:rsidP="008B7E19">
            <w:pPr>
              <w:keepNext/>
              <w:keepLines/>
              <w:jc w:val="right"/>
              <w:cnfStyle w:val="000000010000" w:firstRow="0" w:lastRow="0" w:firstColumn="0" w:lastColumn="0" w:oddVBand="0" w:evenVBand="0" w:oddHBand="0" w:evenHBand="1" w:firstRowFirstColumn="0" w:firstRowLastColumn="0" w:lastRowFirstColumn="0" w:lastRowLastColumn="0"/>
              <w:rPr>
                <w:rFonts w:cs="Arial"/>
                <w:color w:val="000000"/>
                <w:sz w:val="14"/>
                <w:szCs w:val="14"/>
              </w:rPr>
            </w:pPr>
            <w:r w:rsidRPr="00494755">
              <w:rPr>
                <w:rFonts w:cs="Arial"/>
                <w:color w:val="000000"/>
                <w:sz w:val="14"/>
                <w:szCs w:val="14"/>
              </w:rPr>
              <w:t>17</w:t>
            </w:r>
            <w:r>
              <w:rPr>
                <w:rFonts w:cs="Arial"/>
                <w:color w:val="000000"/>
                <w:sz w:val="14"/>
                <w:szCs w:val="14"/>
              </w:rPr>
              <w:t>,</w:t>
            </w:r>
            <w:r w:rsidRPr="00494755">
              <w:rPr>
                <w:rFonts w:cs="Arial"/>
                <w:color w:val="000000"/>
                <w:sz w:val="14"/>
                <w:szCs w:val="14"/>
              </w:rPr>
              <w:t>809</w:t>
            </w:r>
          </w:p>
        </w:tc>
        <w:tc>
          <w:tcPr>
            <w:tcW w:w="3260" w:type="dxa"/>
            <w:tcBorders>
              <w:top w:val="nil"/>
              <w:left w:val="nil"/>
              <w:bottom w:val="nil"/>
              <w:right w:val="nil"/>
            </w:tcBorders>
            <w:shd w:val="clear" w:color="auto" w:fill="auto"/>
            <w:vAlign w:val="center"/>
          </w:tcPr>
          <w:p w14:paraId="20DA108E" w14:textId="77777777" w:rsidR="008B7E19" w:rsidRPr="00627470" w:rsidRDefault="008B7E19" w:rsidP="008B7E19">
            <w:pPr>
              <w:keepNext/>
              <w:keepLines/>
              <w:jc w:val="right"/>
              <w:cnfStyle w:val="000000010000" w:firstRow="0" w:lastRow="0" w:firstColumn="0" w:lastColumn="0" w:oddVBand="0" w:evenVBand="0" w:oddHBand="0" w:evenHBand="1" w:firstRowFirstColumn="0" w:firstRowLastColumn="0" w:lastRowFirstColumn="0" w:lastRowLastColumn="0"/>
              <w:rPr>
                <w:rFonts w:cs="Arial"/>
                <w:color w:val="000000"/>
                <w:sz w:val="14"/>
                <w:szCs w:val="14"/>
              </w:rPr>
            </w:pPr>
            <w:r w:rsidRPr="00494755">
              <w:rPr>
                <w:rFonts w:cs="Arial"/>
                <w:sz w:val="14"/>
                <w:szCs w:val="14"/>
              </w:rPr>
              <w:t>16</w:t>
            </w:r>
            <w:r>
              <w:rPr>
                <w:rFonts w:cs="Arial"/>
                <w:sz w:val="14"/>
                <w:szCs w:val="14"/>
              </w:rPr>
              <w:t>,</w:t>
            </w:r>
            <w:r w:rsidRPr="00494755">
              <w:rPr>
                <w:rFonts w:cs="Arial"/>
                <w:sz w:val="14"/>
                <w:szCs w:val="14"/>
              </w:rPr>
              <w:t>699</w:t>
            </w:r>
          </w:p>
        </w:tc>
      </w:tr>
      <w:tr w:rsidR="008B7E19" w:rsidRPr="00627470" w14:paraId="560C2687"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3E648BCF" w14:textId="77777777" w:rsidR="008B7E19" w:rsidRPr="00627470" w:rsidRDefault="008B7E19" w:rsidP="008B7E19">
            <w:pPr>
              <w:keepNext/>
              <w:keepLines/>
              <w:spacing w:before="40" w:after="40"/>
              <w:ind w:left="113"/>
              <w:rPr>
                <w:rFonts w:eastAsia="Times New Roman" w:cs="Arial"/>
                <w:b w:val="0"/>
                <w:bCs w:val="0"/>
                <w:spacing w:val="-2"/>
                <w:sz w:val="14"/>
                <w:szCs w:val="14"/>
              </w:rPr>
            </w:pPr>
            <w:r>
              <w:rPr>
                <w:rFonts w:cs="Arial"/>
                <w:b w:val="0"/>
                <w:bCs w:val="0"/>
                <w:color w:val="000000"/>
                <w:sz w:val="14"/>
                <w:szCs w:val="14"/>
              </w:rPr>
              <w:t>Fixed and intangible</w:t>
            </w:r>
          </w:p>
        </w:tc>
        <w:tc>
          <w:tcPr>
            <w:tcW w:w="3260" w:type="dxa"/>
            <w:tcBorders>
              <w:top w:val="nil"/>
              <w:left w:val="nil"/>
              <w:bottom w:val="nil"/>
              <w:right w:val="nil"/>
            </w:tcBorders>
            <w:shd w:val="clear" w:color="auto" w:fill="auto"/>
            <w:vAlign w:val="center"/>
          </w:tcPr>
          <w:p w14:paraId="32544C5B" w14:textId="77777777" w:rsidR="008B7E19" w:rsidRPr="00627470"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rPr>
            </w:pPr>
            <w:r w:rsidRPr="00494755">
              <w:rPr>
                <w:rFonts w:cs="Arial"/>
                <w:color w:val="000000"/>
                <w:sz w:val="14"/>
                <w:szCs w:val="14"/>
              </w:rPr>
              <w:t>9</w:t>
            </w:r>
            <w:r>
              <w:rPr>
                <w:rFonts w:cs="Arial"/>
                <w:color w:val="000000"/>
                <w:sz w:val="14"/>
                <w:szCs w:val="14"/>
              </w:rPr>
              <w:t>,</w:t>
            </w:r>
            <w:r w:rsidRPr="00494755">
              <w:rPr>
                <w:rFonts w:cs="Arial"/>
                <w:color w:val="000000"/>
                <w:sz w:val="14"/>
                <w:szCs w:val="14"/>
              </w:rPr>
              <w:t>555</w:t>
            </w:r>
          </w:p>
        </w:tc>
        <w:tc>
          <w:tcPr>
            <w:tcW w:w="3260" w:type="dxa"/>
            <w:tcBorders>
              <w:top w:val="nil"/>
              <w:left w:val="nil"/>
              <w:bottom w:val="nil"/>
              <w:right w:val="nil"/>
            </w:tcBorders>
            <w:shd w:val="clear" w:color="auto" w:fill="auto"/>
            <w:vAlign w:val="center"/>
          </w:tcPr>
          <w:p w14:paraId="670215D3" w14:textId="77777777" w:rsidR="008B7E19" w:rsidRPr="00627470"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rPr>
            </w:pPr>
            <w:r w:rsidRPr="00494755">
              <w:rPr>
                <w:rFonts w:cs="Arial"/>
                <w:sz w:val="14"/>
                <w:szCs w:val="14"/>
              </w:rPr>
              <w:t>9</w:t>
            </w:r>
            <w:r>
              <w:rPr>
                <w:rFonts w:cs="Arial"/>
                <w:sz w:val="14"/>
                <w:szCs w:val="14"/>
              </w:rPr>
              <w:t>,</w:t>
            </w:r>
            <w:r w:rsidRPr="00494755">
              <w:rPr>
                <w:rFonts w:cs="Arial"/>
                <w:sz w:val="14"/>
                <w:szCs w:val="14"/>
              </w:rPr>
              <w:t>161</w:t>
            </w:r>
          </w:p>
        </w:tc>
      </w:tr>
      <w:tr w:rsidR="008B7E19" w:rsidRPr="00627470" w14:paraId="7E8932C4" w14:textId="77777777" w:rsidTr="008B7E1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2B2EF1F2" w14:textId="77777777" w:rsidR="008B7E19" w:rsidRPr="00627470" w:rsidRDefault="008B7E19" w:rsidP="008B7E19">
            <w:pPr>
              <w:keepNext/>
              <w:keepLines/>
              <w:ind w:left="113"/>
              <w:rPr>
                <w:rFonts w:cs="Arial"/>
                <w:b w:val="0"/>
                <w:bCs w:val="0"/>
                <w:color w:val="000000"/>
                <w:sz w:val="14"/>
                <w:szCs w:val="14"/>
              </w:rPr>
            </w:pPr>
            <w:r>
              <w:rPr>
                <w:rFonts w:cs="Arial"/>
                <w:b w:val="0"/>
                <w:bCs w:val="0"/>
                <w:color w:val="000000"/>
                <w:sz w:val="14"/>
                <w:szCs w:val="14"/>
              </w:rPr>
              <w:t>Investments in associates</w:t>
            </w:r>
          </w:p>
        </w:tc>
        <w:tc>
          <w:tcPr>
            <w:tcW w:w="3260" w:type="dxa"/>
            <w:tcBorders>
              <w:top w:val="nil"/>
              <w:left w:val="nil"/>
              <w:bottom w:val="nil"/>
              <w:right w:val="nil"/>
            </w:tcBorders>
            <w:shd w:val="clear" w:color="auto" w:fill="auto"/>
            <w:vAlign w:val="center"/>
          </w:tcPr>
          <w:p w14:paraId="43048FC7" w14:textId="77777777" w:rsidR="008B7E19" w:rsidRPr="00627470" w:rsidRDefault="008B7E19" w:rsidP="008B7E19">
            <w:pPr>
              <w:keepNext/>
              <w:keepLines/>
              <w:jc w:val="right"/>
              <w:cnfStyle w:val="000000010000" w:firstRow="0" w:lastRow="0" w:firstColumn="0" w:lastColumn="0" w:oddVBand="0" w:evenVBand="0" w:oddHBand="0" w:evenHBand="1" w:firstRowFirstColumn="0" w:firstRowLastColumn="0" w:lastRowFirstColumn="0" w:lastRowLastColumn="0"/>
              <w:rPr>
                <w:rFonts w:cs="Arial"/>
                <w:color w:val="000000"/>
                <w:sz w:val="14"/>
                <w:szCs w:val="14"/>
              </w:rPr>
            </w:pPr>
            <w:r w:rsidRPr="00494755">
              <w:rPr>
                <w:rFonts w:cs="Arial"/>
                <w:color w:val="000000"/>
                <w:sz w:val="14"/>
                <w:szCs w:val="14"/>
              </w:rPr>
              <w:t>343</w:t>
            </w:r>
          </w:p>
        </w:tc>
        <w:tc>
          <w:tcPr>
            <w:tcW w:w="3260" w:type="dxa"/>
            <w:tcBorders>
              <w:top w:val="nil"/>
              <w:left w:val="nil"/>
              <w:bottom w:val="nil"/>
              <w:right w:val="nil"/>
            </w:tcBorders>
            <w:shd w:val="clear" w:color="auto" w:fill="auto"/>
            <w:vAlign w:val="center"/>
          </w:tcPr>
          <w:p w14:paraId="210CAE58" w14:textId="77777777" w:rsidR="008B7E19" w:rsidRPr="00627470" w:rsidRDefault="008B7E19" w:rsidP="008B7E19">
            <w:pPr>
              <w:keepNext/>
              <w:keepLines/>
              <w:jc w:val="right"/>
              <w:cnfStyle w:val="000000010000" w:firstRow="0" w:lastRow="0" w:firstColumn="0" w:lastColumn="0" w:oddVBand="0" w:evenVBand="0" w:oddHBand="0" w:evenHBand="1" w:firstRowFirstColumn="0" w:firstRowLastColumn="0" w:lastRowFirstColumn="0" w:lastRowLastColumn="0"/>
              <w:rPr>
                <w:rFonts w:cs="Arial"/>
                <w:color w:val="000000"/>
                <w:sz w:val="14"/>
                <w:szCs w:val="14"/>
              </w:rPr>
            </w:pPr>
            <w:r w:rsidRPr="00494755">
              <w:rPr>
                <w:rFonts w:cs="Arial"/>
                <w:sz w:val="14"/>
                <w:szCs w:val="14"/>
              </w:rPr>
              <w:t>343</w:t>
            </w:r>
          </w:p>
        </w:tc>
      </w:tr>
      <w:tr w:rsidR="008B7E19" w:rsidRPr="00627470" w14:paraId="6F1E2D5B"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706D905F" w14:textId="77777777" w:rsidR="008B7E19" w:rsidRPr="00627470" w:rsidRDefault="008B7E19" w:rsidP="008B7E19">
            <w:pPr>
              <w:keepNext/>
              <w:keepLines/>
              <w:spacing w:before="40" w:after="40"/>
              <w:ind w:left="113"/>
              <w:rPr>
                <w:rFonts w:eastAsia="Times New Roman" w:cs="Arial"/>
                <w:b w:val="0"/>
                <w:bCs w:val="0"/>
                <w:spacing w:val="-2"/>
                <w:sz w:val="14"/>
                <w:szCs w:val="14"/>
              </w:rPr>
            </w:pPr>
            <w:r>
              <w:rPr>
                <w:rFonts w:cs="Arial"/>
                <w:b w:val="0"/>
                <w:bCs w:val="0"/>
                <w:color w:val="000000"/>
                <w:sz w:val="14"/>
                <w:szCs w:val="14"/>
              </w:rPr>
              <w:t>Other assets</w:t>
            </w:r>
          </w:p>
        </w:tc>
        <w:tc>
          <w:tcPr>
            <w:tcW w:w="3260" w:type="dxa"/>
            <w:tcBorders>
              <w:top w:val="nil"/>
              <w:left w:val="nil"/>
              <w:bottom w:val="nil"/>
              <w:right w:val="nil"/>
            </w:tcBorders>
            <w:shd w:val="clear" w:color="auto" w:fill="auto"/>
            <w:vAlign w:val="center"/>
          </w:tcPr>
          <w:p w14:paraId="3648806D" w14:textId="77777777" w:rsidR="008B7E19" w:rsidRPr="00627470"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rPr>
            </w:pPr>
            <w:r w:rsidRPr="00494755">
              <w:rPr>
                <w:rFonts w:cs="Arial"/>
                <w:color w:val="000000"/>
                <w:sz w:val="14"/>
                <w:szCs w:val="14"/>
              </w:rPr>
              <w:t>61</w:t>
            </w:r>
            <w:r>
              <w:rPr>
                <w:rFonts w:cs="Arial"/>
                <w:color w:val="000000"/>
                <w:sz w:val="14"/>
                <w:szCs w:val="14"/>
              </w:rPr>
              <w:t>,</w:t>
            </w:r>
            <w:r w:rsidRPr="00494755">
              <w:rPr>
                <w:rFonts w:cs="Arial"/>
                <w:color w:val="000000"/>
                <w:sz w:val="14"/>
                <w:szCs w:val="14"/>
              </w:rPr>
              <w:t>147</w:t>
            </w:r>
          </w:p>
        </w:tc>
        <w:tc>
          <w:tcPr>
            <w:tcW w:w="3260" w:type="dxa"/>
            <w:tcBorders>
              <w:top w:val="nil"/>
              <w:left w:val="nil"/>
              <w:bottom w:val="nil"/>
              <w:right w:val="nil"/>
            </w:tcBorders>
            <w:shd w:val="clear" w:color="auto" w:fill="auto"/>
            <w:vAlign w:val="center"/>
          </w:tcPr>
          <w:p w14:paraId="1673AF71" w14:textId="77777777" w:rsidR="008B7E19" w:rsidRPr="00627470"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rPr>
            </w:pPr>
            <w:r w:rsidRPr="00494755">
              <w:rPr>
                <w:rFonts w:cs="Arial"/>
                <w:sz w:val="14"/>
                <w:szCs w:val="14"/>
              </w:rPr>
              <w:t>60</w:t>
            </w:r>
            <w:r>
              <w:rPr>
                <w:rFonts w:cs="Arial"/>
                <w:sz w:val="14"/>
                <w:szCs w:val="14"/>
              </w:rPr>
              <w:t>,</w:t>
            </w:r>
            <w:r w:rsidRPr="00494755">
              <w:rPr>
                <w:rFonts w:cs="Arial"/>
                <w:sz w:val="14"/>
                <w:szCs w:val="14"/>
              </w:rPr>
              <w:t>424</w:t>
            </w:r>
          </w:p>
        </w:tc>
      </w:tr>
      <w:tr w:rsidR="008B7E19" w:rsidRPr="003361C0" w14:paraId="37B4E975" w14:textId="77777777" w:rsidTr="008B7E1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73BEFBCF" w14:textId="77777777" w:rsidR="008B7E19" w:rsidRPr="003361C0" w:rsidRDefault="008B7E19" w:rsidP="008B7E19">
            <w:pPr>
              <w:keepNext/>
              <w:keepLines/>
              <w:spacing w:before="40" w:after="40"/>
              <w:rPr>
                <w:rFonts w:eastAsia="Times New Roman" w:cs="Arial"/>
                <w:spacing w:val="-2"/>
                <w:sz w:val="14"/>
                <w:szCs w:val="14"/>
              </w:rPr>
            </w:pPr>
            <w:r>
              <w:rPr>
                <w:rFonts w:cs="Arial"/>
                <w:color w:val="000000"/>
                <w:sz w:val="14"/>
                <w:szCs w:val="14"/>
              </w:rPr>
              <w:t>Total Assets</w:t>
            </w:r>
          </w:p>
        </w:tc>
        <w:tc>
          <w:tcPr>
            <w:tcW w:w="3260" w:type="dxa"/>
            <w:tcBorders>
              <w:top w:val="nil"/>
              <w:left w:val="nil"/>
              <w:bottom w:val="nil"/>
              <w:right w:val="nil"/>
            </w:tcBorders>
            <w:shd w:val="clear" w:color="auto" w:fill="auto"/>
            <w:vAlign w:val="center"/>
          </w:tcPr>
          <w:p w14:paraId="00CF28DE" w14:textId="77777777" w:rsidR="008B7E19" w:rsidRPr="003361C0"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b/>
                <w:bCs/>
                <w:sz w:val="14"/>
                <w:szCs w:val="14"/>
              </w:rPr>
            </w:pPr>
            <w:r w:rsidRPr="00393FAE">
              <w:rPr>
                <w:rFonts w:cs="Arial"/>
                <w:b/>
                <w:bCs/>
                <w:color w:val="000000"/>
                <w:sz w:val="14"/>
                <w:szCs w:val="14"/>
              </w:rPr>
              <w:t>864</w:t>
            </w:r>
            <w:r>
              <w:rPr>
                <w:rFonts w:cs="Arial"/>
                <w:b/>
                <w:bCs/>
                <w:color w:val="000000"/>
                <w:sz w:val="14"/>
                <w:szCs w:val="14"/>
              </w:rPr>
              <w:t>,</w:t>
            </w:r>
            <w:r w:rsidRPr="00393FAE">
              <w:rPr>
                <w:rFonts w:cs="Arial"/>
                <w:b/>
                <w:bCs/>
                <w:color w:val="000000"/>
                <w:sz w:val="14"/>
                <w:szCs w:val="14"/>
              </w:rPr>
              <w:t>714</w:t>
            </w:r>
          </w:p>
        </w:tc>
        <w:tc>
          <w:tcPr>
            <w:tcW w:w="3260" w:type="dxa"/>
            <w:tcBorders>
              <w:top w:val="nil"/>
              <w:left w:val="nil"/>
              <w:bottom w:val="nil"/>
              <w:right w:val="nil"/>
            </w:tcBorders>
            <w:shd w:val="clear" w:color="auto" w:fill="auto"/>
            <w:vAlign w:val="center"/>
          </w:tcPr>
          <w:p w14:paraId="265F7915" w14:textId="77777777" w:rsidR="008B7E19" w:rsidRPr="003361C0"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b/>
                <w:bCs/>
                <w:sz w:val="14"/>
                <w:szCs w:val="14"/>
              </w:rPr>
            </w:pPr>
            <w:r w:rsidRPr="00393FAE">
              <w:rPr>
                <w:rFonts w:cs="Arial"/>
                <w:b/>
                <w:bCs/>
                <w:sz w:val="14"/>
                <w:szCs w:val="14"/>
              </w:rPr>
              <w:t>754</w:t>
            </w:r>
            <w:r>
              <w:rPr>
                <w:rFonts w:cs="Arial"/>
                <w:b/>
                <w:bCs/>
                <w:sz w:val="14"/>
                <w:szCs w:val="14"/>
              </w:rPr>
              <w:t>,</w:t>
            </w:r>
            <w:r w:rsidRPr="00393FAE">
              <w:rPr>
                <w:rFonts w:cs="Arial"/>
                <w:b/>
                <w:bCs/>
                <w:sz w:val="14"/>
                <w:szCs w:val="14"/>
              </w:rPr>
              <w:t>256</w:t>
            </w:r>
          </w:p>
        </w:tc>
      </w:tr>
      <w:tr w:rsidR="008B7E19" w:rsidRPr="00627470" w14:paraId="1775CD7F"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326CEFC7" w14:textId="77777777" w:rsidR="008B7E19" w:rsidRPr="00627470" w:rsidRDefault="008B7E19" w:rsidP="008B7E19">
            <w:pPr>
              <w:keepNext/>
              <w:keepLines/>
              <w:spacing w:before="40" w:after="40"/>
              <w:rPr>
                <w:rFonts w:eastAsia="Times New Roman" w:cs="Arial"/>
                <w:b w:val="0"/>
                <w:bCs w:val="0"/>
                <w:spacing w:val="-2"/>
                <w:sz w:val="14"/>
                <w:szCs w:val="14"/>
              </w:rPr>
            </w:pPr>
            <w:r w:rsidRPr="00627470">
              <w:rPr>
                <w:rFonts w:cs="Arial"/>
                <w:b w:val="0"/>
                <w:bCs w:val="0"/>
                <w:color w:val="000000"/>
                <w:sz w:val="14"/>
                <w:szCs w:val="14"/>
              </w:rPr>
              <w:t> </w:t>
            </w:r>
          </w:p>
        </w:tc>
        <w:tc>
          <w:tcPr>
            <w:tcW w:w="3260" w:type="dxa"/>
            <w:tcBorders>
              <w:top w:val="nil"/>
              <w:left w:val="nil"/>
              <w:bottom w:val="nil"/>
              <w:right w:val="nil"/>
            </w:tcBorders>
            <w:shd w:val="clear" w:color="auto" w:fill="auto"/>
            <w:vAlign w:val="center"/>
          </w:tcPr>
          <w:p w14:paraId="1837855B" w14:textId="77777777" w:rsidR="008B7E19" w:rsidRPr="00627470"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rPr>
            </w:pPr>
          </w:p>
        </w:tc>
        <w:tc>
          <w:tcPr>
            <w:tcW w:w="3260" w:type="dxa"/>
            <w:tcBorders>
              <w:top w:val="nil"/>
              <w:left w:val="nil"/>
              <w:bottom w:val="nil"/>
              <w:right w:val="nil"/>
            </w:tcBorders>
            <w:shd w:val="clear" w:color="auto" w:fill="auto"/>
            <w:vAlign w:val="center"/>
          </w:tcPr>
          <w:p w14:paraId="2503A24B" w14:textId="77777777" w:rsidR="008B7E19" w:rsidRPr="00627470"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rPr>
            </w:pPr>
          </w:p>
        </w:tc>
      </w:tr>
      <w:tr w:rsidR="008B7E19" w:rsidRPr="003361C0" w14:paraId="2CEE5F63" w14:textId="77777777" w:rsidTr="008B7E1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1D594819" w14:textId="77777777" w:rsidR="008B7E19" w:rsidRPr="003361C0" w:rsidRDefault="008B7E19" w:rsidP="008B7E19">
            <w:pPr>
              <w:keepNext/>
              <w:keepLines/>
              <w:spacing w:before="40" w:after="40"/>
              <w:rPr>
                <w:rFonts w:cs="Arial"/>
                <w:sz w:val="14"/>
                <w:szCs w:val="14"/>
              </w:rPr>
            </w:pPr>
            <w:r>
              <w:rPr>
                <w:rFonts w:cs="Arial"/>
                <w:color w:val="000000"/>
                <w:sz w:val="14"/>
                <w:szCs w:val="14"/>
              </w:rPr>
              <w:t>Current Liabilities</w:t>
            </w:r>
          </w:p>
        </w:tc>
        <w:tc>
          <w:tcPr>
            <w:tcW w:w="3260" w:type="dxa"/>
            <w:tcBorders>
              <w:top w:val="nil"/>
              <w:left w:val="nil"/>
              <w:bottom w:val="nil"/>
              <w:right w:val="nil"/>
            </w:tcBorders>
            <w:shd w:val="clear" w:color="auto" w:fill="auto"/>
            <w:vAlign w:val="center"/>
          </w:tcPr>
          <w:p w14:paraId="052F9B16" w14:textId="77777777" w:rsidR="008B7E19" w:rsidRPr="003361C0"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b/>
                <w:bCs/>
                <w:sz w:val="14"/>
                <w:szCs w:val="14"/>
              </w:rPr>
            </w:pPr>
            <w:r w:rsidRPr="00393FAE">
              <w:rPr>
                <w:rFonts w:cs="Arial"/>
                <w:b/>
                <w:bCs/>
                <w:color w:val="000000"/>
                <w:sz w:val="14"/>
                <w:szCs w:val="14"/>
              </w:rPr>
              <w:t>570</w:t>
            </w:r>
            <w:r>
              <w:rPr>
                <w:rFonts w:cs="Arial"/>
                <w:b/>
                <w:bCs/>
                <w:color w:val="000000"/>
                <w:sz w:val="14"/>
                <w:szCs w:val="14"/>
              </w:rPr>
              <w:t>,</w:t>
            </w:r>
            <w:r w:rsidRPr="00393FAE">
              <w:rPr>
                <w:rFonts w:cs="Arial"/>
                <w:b/>
                <w:bCs/>
                <w:color w:val="000000"/>
                <w:sz w:val="14"/>
                <w:szCs w:val="14"/>
              </w:rPr>
              <w:t>600</w:t>
            </w:r>
          </w:p>
        </w:tc>
        <w:tc>
          <w:tcPr>
            <w:tcW w:w="3260" w:type="dxa"/>
            <w:tcBorders>
              <w:top w:val="nil"/>
              <w:left w:val="nil"/>
              <w:bottom w:val="nil"/>
              <w:right w:val="nil"/>
            </w:tcBorders>
            <w:shd w:val="clear" w:color="auto" w:fill="auto"/>
            <w:vAlign w:val="center"/>
          </w:tcPr>
          <w:p w14:paraId="0E5D50B8" w14:textId="77777777" w:rsidR="008B7E19" w:rsidRPr="003361C0"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b/>
                <w:bCs/>
                <w:sz w:val="14"/>
                <w:szCs w:val="14"/>
              </w:rPr>
            </w:pPr>
            <w:r w:rsidRPr="00393FAE">
              <w:rPr>
                <w:rFonts w:cs="Arial"/>
                <w:b/>
                <w:bCs/>
                <w:sz w:val="14"/>
                <w:szCs w:val="14"/>
              </w:rPr>
              <w:t>472</w:t>
            </w:r>
            <w:r>
              <w:rPr>
                <w:rFonts w:cs="Arial"/>
                <w:b/>
                <w:bCs/>
                <w:sz w:val="14"/>
                <w:szCs w:val="14"/>
              </w:rPr>
              <w:t>,</w:t>
            </w:r>
            <w:r w:rsidRPr="00393FAE">
              <w:rPr>
                <w:rFonts w:cs="Arial"/>
                <w:b/>
                <w:bCs/>
                <w:sz w:val="14"/>
                <w:szCs w:val="14"/>
              </w:rPr>
              <w:t>695</w:t>
            </w:r>
          </w:p>
        </w:tc>
      </w:tr>
      <w:tr w:rsidR="008B7E19" w:rsidRPr="00627470" w14:paraId="78E9914A"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4FCE29D0" w14:textId="77777777" w:rsidR="008B7E19" w:rsidRPr="00627470" w:rsidRDefault="008B7E19" w:rsidP="008B7E19">
            <w:pPr>
              <w:keepNext/>
              <w:keepLines/>
              <w:spacing w:before="40" w:after="40"/>
              <w:ind w:left="113"/>
              <w:rPr>
                <w:rFonts w:cs="Arial"/>
                <w:b w:val="0"/>
                <w:bCs w:val="0"/>
                <w:sz w:val="14"/>
                <w:szCs w:val="14"/>
              </w:rPr>
            </w:pPr>
            <w:r w:rsidRPr="00A94E39">
              <w:rPr>
                <w:rFonts w:cs="Arial"/>
                <w:b w:val="0"/>
                <w:bCs w:val="0"/>
                <w:color w:val="000000"/>
                <w:sz w:val="14"/>
                <w:szCs w:val="14"/>
              </w:rPr>
              <w:t>Amounts payable</w:t>
            </w:r>
          </w:p>
        </w:tc>
        <w:tc>
          <w:tcPr>
            <w:tcW w:w="3260" w:type="dxa"/>
            <w:tcBorders>
              <w:top w:val="nil"/>
              <w:left w:val="nil"/>
              <w:bottom w:val="nil"/>
              <w:right w:val="nil"/>
            </w:tcBorders>
            <w:shd w:val="clear" w:color="auto" w:fill="auto"/>
            <w:vAlign w:val="center"/>
          </w:tcPr>
          <w:p w14:paraId="3326EA07" w14:textId="77777777" w:rsidR="008B7E19" w:rsidRPr="00627470"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rPr>
            </w:pPr>
            <w:r w:rsidRPr="00494755">
              <w:rPr>
                <w:rFonts w:cs="Arial"/>
                <w:color w:val="000000"/>
                <w:sz w:val="14"/>
                <w:szCs w:val="14"/>
              </w:rPr>
              <w:t>25</w:t>
            </w:r>
            <w:r>
              <w:rPr>
                <w:rFonts w:cs="Arial"/>
                <w:color w:val="000000"/>
                <w:sz w:val="14"/>
                <w:szCs w:val="14"/>
              </w:rPr>
              <w:t>,</w:t>
            </w:r>
            <w:r w:rsidRPr="00494755">
              <w:rPr>
                <w:rFonts w:cs="Arial"/>
                <w:color w:val="000000"/>
                <w:sz w:val="14"/>
                <w:szCs w:val="14"/>
              </w:rPr>
              <w:t>287</w:t>
            </w:r>
          </w:p>
        </w:tc>
        <w:tc>
          <w:tcPr>
            <w:tcW w:w="3260" w:type="dxa"/>
            <w:tcBorders>
              <w:top w:val="nil"/>
              <w:left w:val="nil"/>
              <w:bottom w:val="nil"/>
              <w:right w:val="nil"/>
            </w:tcBorders>
            <w:shd w:val="clear" w:color="auto" w:fill="auto"/>
            <w:vAlign w:val="center"/>
          </w:tcPr>
          <w:p w14:paraId="76ECE3BC" w14:textId="77777777" w:rsidR="008B7E19" w:rsidRPr="00627470"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rPr>
            </w:pPr>
            <w:r w:rsidRPr="00494755">
              <w:rPr>
                <w:rFonts w:cs="Arial"/>
                <w:sz w:val="14"/>
                <w:szCs w:val="14"/>
              </w:rPr>
              <w:t>17</w:t>
            </w:r>
            <w:r>
              <w:rPr>
                <w:rFonts w:cs="Arial"/>
                <w:sz w:val="14"/>
                <w:szCs w:val="14"/>
              </w:rPr>
              <w:t>,</w:t>
            </w:r>
            <w:r w:rsidRPr="00494755">
              <w:rPr>
                <w:rFonts w:cs="Arial"/>
                <w:sz w:val="14"/>
                <w:szCs w:val="14"/>
              </w:rPr>
              <w:t>781</w:t>
            </w:r>
          </w:p>
        </w:tc>
      </w:tr>
      <w:tr w:rsidR="008B7E19" w:rsidRPr="00627470" w14:paraId="2B75456D" w14:textId="77777777" w:rsidTr="008B7E1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3377B699" w14:textId="77777777" w:rsidR="008B7E19" w:rsidRPr="00627470" w:rsidRDefault="008B7E19" w:rsidP="008B7E19">
            <w:pPr>
              <w:keepNext/>
              <w:keepLines/>
              <w:spacing w:before="40" w:after="40"/>
              <w:ind w:left="113"/>
              <w:rPr>
                <w:rFonts w:cs="Arial"/>
                <w:b w:val="0"/>
                <w:bCs w:val="0"/>
                <w:sz w:val="14"/>
                <w:szCs w:val="14"/>
              </w:rPr>
            </w:pPr>
            <w:r>
              <w:rPr>
                <w:rFonts w:cs="Arial"/>
                <w:b w:val="0"/>
                <w:bCs w:val="0"/>
                <w:color w:val="000000"/>
                <w:sz w:val="14"/>
                <w:szCs w:val="14"/>
                <w:lang w:val="en"/>
              </w:rPr>
              <w:t>C</w:t>
            </w:r>
            <w:r w:rsidRPr="00A94E39">
              <w:rPr>
                <w:rFonts w:cs="Arial"/>
                <w:b w:val="0"/>
                <w:bCs w:val="0"/>
                <w:color w:val="000000"/>
                <w:sz w:val="14"/>
                <w:szCs w:val="14"/>
                <w:lang w:val="en"/>
              </w:rPr>
              <w:t>urrent tax liability</w:t>
            </w:r>
          </w:p>
        </w:tc>
        <w:tc>
          <w:tcPr>
            <w:tcW w:w="3260" w:type="dxa"/>
            <w:tcBorders>
              <w:top w:val="nil"/>
              <w:left w:val="nil"/>
              <w:bottom w:val="nil"/>
              <w:right w:val="nil"/>
            </w:tcBorders>
            <w:shd w:val="clear" w:color="auto" w:fill="auto"/>
            <w:vAlign w:val="center"/>
          </w:tcPr>
          <w:p w14:paraId="12A4E905" w14:textId="77777777" w:rsidR="008B7E19" w:rsidRPr="00627470"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sz w:val="14"/>
                <w:szCs w:val="14"/>
              </w:rPr>
            </w:pPr>
            <w:r w:rsidRPr="00494755">
              <w:rPr>
                <w:rFonts w:cs="Arial"/>
                <w:color w:val="000000"/>
                <w:sz w:val="14"/>
                <w:szCs w:val="14"/>
              </w:rPr>
              <w:t>6</w:t>
            </w:r>
            <w:r>
              <w:rPr>
                <w:rFonts w:cs="Arial"/>
                <w:color w:val="000000"/>
                <w:sz w:val="14"/>
                <w:szCs w:val="14"/>
              </w:rPr>
              <w:t>,</w:t>
            </w:r>
            <w:r w:rsidRPr="00494755">
              <w:rPr>
                <w:rFonts w:cs="Arial"/>
                <w:color w:val="000000"/>
                <w:sz w:val="14"/>
                <w:szCs w:val="14"/>
              </w:rPr>
              <w:t>886</w:t>
            </w:r>
          </w:p>
        </w:tc>
        <w:tc>
          <w:tcPr>
            <w:tcW w:w="3260" w:type="dxa"/>
            <w:tcBorders>
              <w:top w:val="nil"/>
              <w:left w:val="nil"/>
              <w:bottom w:val="nil"/>
              <w:right w:val="nil"/>
            </w:tcBorders>
            <w:shd w:val="clear" w:color="auto" w:fill="auto"/>
            <w:vAlign w:val="center"/>
          </w:tcPr>
          <w:p w14:paraId="5B8C2BB2" w14:textId="77777777" w:rsidR="008B7E19" w:rsidRPr="00627470"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sz w:val="14"/>
                <w:szCs w:val="14"/>
              </w:rPr>
            </w:pPr>
            <w:r w:rsidRPr="00494755">
              <w:rPr>
                <w:rFonts w:cs="Arial"/>
                <w:sz w:val="14"/>
                <w:szCs w:val="14"/>
              </w:rPr>
              <w:t>3</w:t>
            </w:r>
            <w:r>
              <w:rPr>
                <w:rFonts w:cs="Arial"/>
                <w:sz w:val="14"/>
                <w:szCs w:val="14"/>
              </w:rPr>
              <w:t>,</w:t>
            </w:r>
            <w:r w:rsidRPr="00494755">
              <w:rPr>
                <w:rFonts w:cs="Arial"/>
                <w:sz w:val="14"/>
                <w:szCs w:val="14"/>
              </w:rPr>
              <w:t>718</w:t>
            </w:r>
          </w:p>
        </w:tc>
      </w:tr>
      <w:tr w:rsidR="008B7E19" w:rsidRPr="00627470" w14:paraId="4D55375B"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4CF52071" w14:textId="77777777" w:rsidR="008B7E19" w:rsidRPr="00627470" w:rsidRDefault="008B7E19" w:rsidP="008B7E19">
            <w:pPr>
              <w:keepNext/>
              <w:keepLines/>
              <w:spacing w:before="40" w:after="40"/>
              <w:ind w:left="113"/>
              <w:rPr>
                <w:rFonts w:cs="Arial"/>
                <w:b w:val="0"/>
                <w:bCs w:val="0"/>
                <w:sz w:val="14"/>
                <w:szCs w:val="14"/>
              </w:rPr>
            </w:pPr>
            <w:r w:rsidRPr="00A94E39">
              <w:rPr>
                <w:rFonts w:cs="Arial"/>
                <w:b w:val="0"/>
                <w:bCs w:val="0"/>
                <w:color w:val="000000"/>
                <w:sz w:val="14"/>
                <w:szCs w:val="14"/>
              </w:rPr>
              <w:t>Debt from insurance operations</w:t>
            </w:r>
          </w:p>
        </w:tc>
        <w:tc>
          <w:tcPr>
            <w:tcW w:w="3260" w:type="dxa"/>
            <w:tcBorders>
              <w:top w:val="nil"/>
              <w:left w:val="nil"/>
              <w:bottom w:val="nil"/>
              <w:right w:val="nil"/>
            </w:tcBorders>
            <w:shd w:val="clear" w:color="auto" w:fill="auto"/>
            <w:vAlign w:val="center"/>
          </w:tcPr>
          <w:p w14:paraId="72EA7194" w14:textId="77777777" w:rsidR="008B7E19" w:rsidRPr="00627470"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rPr>
            </w:pPr>
            <w:r>
              <w:rPr>
                <w:rFonts w:cs="Arial"/>
                <w:color w:val="000000"/>
                <w:sz w:val="14"/>
                <w:szCs w:val="14"/>
              </w:rPr>
              <w:t>--</w:t>
            </w:r>
          </w:p>
        </w:tc>
        <w:tc>
          <w:tcPr>
            <w:tcW w:w="3260" w:type="dxa"/>
            <w:tcBorders>
              <w:top w:val="nil"/>
              <w:left w:val="nil"/>
              <w:bottom w:val="nil"/>
              <w:right w:val="nil"/>
            </w:tcBorders>
            <w:shd w:val="clear" w:color="auto" w:fill="auto"/>
            <w:vAlign w:val="center"/>
          </w:tcPr>
          <w:p w14:paraId="27143580" w14:textId="77777777" w:rsidR="008B7E19" w:rsidRPr="00627470"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rPr>
            </w:pPr>
            <w:r w:rsidRPr="00494755">
              <w:rPr>
                <w:rFonts w:cs="Arial"/>
                <w:sz w:val="14"/>
                <w:szCs w:val="14"/>
              </w:rPr>
              <w:t>1</w:t>
            </w:r>
            <w:r>
              <w:rPr>
                <w:rFonts w:cs="Arial"/>
                <w:sz w:val="14"/>
                <w:szCs w:val="14"/>
              </w:rPr>
              <w:t>,</w:t>
            </w:r>
            <w:r w:rsidRPr="00494755">
              <w:rPr>
                <w:rFonts w:cs="Arial"/>
                <w:sz w:val="14"/>
                <w:szCs w:val="14"/>
              </w:rPr>
              <w:t>978</w:t>
            </w:r>
          </w:p>
        </w:tc>
      </w:tr>
      <w:tr w:rsidR="008B7E19" w:rsidRPr="00627470" w14:paraId="5B0D472A" w14:textId="77777777" w:rsidTr="008B7E1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59397F50" w14:textId="77777777" w:rsidR="008B7E19" w:rsidRPr="00627470" w:rsidRDefault="008B7E19" w:rsidP="008B7E19">
            <w:pPr>
              <w:keepNext/>
              <w:keepLines/>
              <w:spacing w:before="40" w:after="40"/>
              <w:ind w:left="113"/>
              <w:rPr>
                <w:rFonts w:cs="Arial"/>
                <w:b w:val="0"/>
                <w:bCs w:val="0"/>
                <w:sz w:val="14"/>
                <w:szCs w:val="14"/>
              </w:rPr>
            </w:pPr>
            <w:r w:rsidRPr="00A94E39">
              <w:rPr>
                <w:rFonts w:cs="Arial"/>
                <w:b w:val="0"/>
                <w:bCs w:val="0"/>
                <w:color w:val="000000"/>
                <w:sz w:val="14"/>
                <w:szCs w:val="14"/>
              </w:rPr>
              <w:t xml:space="preserve">Insurance </w:t>
            </w:r>
            <w:r>
              <w:rPr>
                <w:rFonts w:cs="Arial"/>
                <w:b w:val="0"/>
                <w:bCs w:val="0"/>
                <w:color w:val="000000"/>
                <w:sz w:val="14"/>
                <w:szCs w:val="14"/>
              </w:rPr>
              <w:t>c</w:t>
            </w:r>
            <w:r w:rsidRPr="00A94E39">
              <w:rPr>
                <w:rFonts w:cs="Arial"/>
                <w:b w:val="0"/>
                <w:bCs w:val="0"/>
                <w:color w:val="000000"/>
                <w:sz w:val="14"/>
                <w:szCs w:val="14"/>
              </w:rPr>
              <w:t>ontract</w:t>
            </w:r>
          </w:p>
        </w:tc>
        <w:tc>
          <w:tcPr>
            <w:tcW w:w="3260" w:type="dxa"/>
            <w:tcBorders>
              <w:top w:val="nil"/>
              <w:left w:val="nil"/>
              <w:bottom w:val="nil"/>
              <w:right w:val="nil"/>
            </w:tcBorders>
            <w:shd w:val="clear" w:color="auto" w:fill="auto"/>
            <w:vAlign w:val="center"/>
          </w:tcPr>
          <w:p w14:paraId="0DD6176D" w14:textId="77777777" w:rsidR="008B7E19" w:rsidRPr="00627470"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sz w:val="14"/>
                <w:szCs w:val="14"/>
              </w:rPr>
            </w:pPr>
            <w:r w:rsidRPr="00494755">
              <w:rPr>
                <w:rFonts w:cs="Arial"/>
                <w:color w:val="000000"/>
                <w:sz w:val="14"/>
                <w:szCs w:val="14"/>
              </w:rPr>
              <w:t>535</w:t>
            </w:r>
            <w:r>
              <w:rPr>
                <w:rFonts w:cs="Arial"/>
                <w:color w:val="000000"/>
                <w:sz w:val="14"/>
                <w:szCs w:val="14"/>
              </w:rPr>
              <w:t>,</w:t>
            </w:r>
            <w:r w:rsidRPr="00494755">
              <w:rPr>
                <w:rFonts w:cs="Arial"/>
                <w:color w:val="000000"/>
                <w:sz w:val="14"/>
                <w:szCs w:val="14"/>
              </w:rPr>
              <w:t>284</w:t>
            </w:r>
          </w:p>
        </w:tc>
        <w:tc>
          <w:tcPr>
            <w:tcW w:w="3260" w:type="dxa"/>
            <w:tcBorders>
              <w:top w:val="nil"/>
              <w:left w:val="nil"/>
              <w:bottom w:val="nil"/>
              <w:right w:val="nil"/>
            </w:tcBorders>
            <w:shd w:val="clear" w:color="auto" w:fill="auto"/>
            <w:vAlign w:val="center"/>
          </w:tcPr>
          <w:p w14:paraId="694D71A2" w14:textId="77777777" w:rsidR="008B7E19" w:rsidRPr="00627470"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sz w:val="14"/>
                <w:szCs w:val="14"/>
              </w:rPr>
            </w:pPr>
            <w:r w:rsidRPr="00494755">
              <w:rPr>
                <w:rFonts w:cs="Arial"/>
                <w:sz w:val="14"/>
                <w:szCs w:val="14"/>
              </w:rPr>
              <w:t>433</w:t>
            </w:r>
            <w:r>
              <w:rPr>
                <w:rFonts w:cs="Arial"/>
                <w:sz w:val="14"/>
                <w:szCs w:val="14"/>
              </w:rPr>
              <w:t>,</w:t>
            </w:r>
            <w:r w:rsidRPr="00494755">
              <w:rPr>
                <w:rFonts w:cs="Arial"/>
                <w:sz w:val="14"/>
                <w:szCs w:val="14"/>
              </w:rPr>
              <w:t>658</w:t>
            </w:r>
          </w:p>
        </w:tc>
      </w:tr>
      <w:tr w:rsidR="008B7E19" w:rsidRPr="00627470" w14:paraId="37B6DCA9"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27700501" w14:textId="77777777" w:rsidR="008B7E19" w:rsidRPr="00627470" w:rsidRDefault="008B7E19" w:rsidP="008B7E19">
            <w:pPr>
              <w:keepNext/>
              <w:keepLines/>
              <w:spacing w:before="40" w:after="40"/>
              <w:ind w:left="113"/>
              <w:rPr>
                <w:rFonts w:cs="Arial"/>
                <w:b w:val="0"/>
                <w:bCs w:val="0"/>
                <w:sz w:val="14"/>
                <w:szCs w:val="14"/>
              </w:rPr>
            </w:pPr>
            <w:r>
              <w:rPr>
                <w:rFonts w:cs="Arial"/>
                <w:b w:val="0"/>
                <w:bCs w:val="0"/>
                <w:color w:val="000000"/>
                <w:sz w:val="14"/>
                <w:szCs w:val="14"/>
              </w:rPr>
              <w:t>Other liabilities</w:t>
            </w:r>
          </w:p>
        </w:tc>
        <w:tc>
          <w:tcPr>
            <w:tcW w:w="3260" w:type="dxa"/>
            <w:tcBorders>
              <w:top w:val="nil"/>
              <w:left w:val="nil"/>
              <w:bottom w:val="nil"/>
              <w:right w:val="nil"/>
            </w:tcBorders>
            <w:shd w:val="clear" w:color="auto" w:fill="auto"/>
            <w:vAlign w:val="center"/>
          </w:tcPr>
          <w:p w14:paraId="0F7CBCAD" w14:textId="77777777" w:rsidR="008B7E19" w:rsidRPr="00627470"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rPr>
            </w:pPr>
            <w:r w:rsidRPr="00494755">
              <w:rPr>
                <w:rFonts w:cs="Arial"/>
                <w:color w:val="000000"/>
                <w:sz w:val="14"/>
                <w:szCs w:val="14"/>
              </w:rPr>
              <w:t>3</w:t>
            </w:r>
            <w:r>
              <w:rPr>
                <w:rFonts w:cs="Arial"/>
                <w:color w:val="000000"/>
                <w:sz w:val="14"/>
                <w:szCs w:val="14"/>
              </w:rPr>
              <w:t>,</w:t>
            </w:r>
            <w:r w:rsidRPr="00494755">
              <w:rPr>
                <w:rFonts w:cs="Arial"/>
                <w:color w:val="000000"/>
                <w:sz w:val="14"/>
                <w:szCs w:val="14"/>
              </w:rPr>
              <w:t>14</w:t>
            </w:r>
            <w:r>
              <w:rPr>
                <w:rFonts w:cs="Arial"/>
                <w:color w:val="000000"/>
                <w:sz w:val="14"/>
                <w:szCs w:val="14"/>
              </w:rPr>
              <w:t>3</w:t>
            </w:r>
          </w:p>
        </w:tc>
        <w:tc>
          <w:tcPr>
            <w:tcW w:w="3260" w:type="dxa"/>
            <w:tcBorders>
              <w:top w:val="nil"/>
              <w:left w:val="nil"/>
              <w:bottom w:val="nil"/>
              <w:right w:val="nil"/>
            </w:tcBorders>
            <w:shd w:val="clear" w:color="auto" w:fill="auto"/>
            <w:vAlign w:val="center"/>
          </w:tcPr>
          <w:p w14:paraId="3F5EED00" w14:textId="77777777" w:rsidR="008B7E19" w:rsidRPr="00627470"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rPr>
            </w:pPr>
            <w:r w:rsidRPr="00494755">
              <w:rPr>
                <w:rFonts w:cs="Arial"/>
                <w:sz w:val="14"/>
                <w:szCs w:val="14"/>
              </w:rPr>
              <w:t>15</w:t>
            </w:r>
            <w:r>
              <w:rPr>
                <w:rFonts w:cs="Arial"/>
                <w:sz w:val="14"/>
                <w:szCs w:val="14"/>
              </w:rPr>
              <w:t>,</w:t>
            </w:r>
            <w:r w:rsidRPr="00494755">
              <w:rPr>
                <w:rFonts w:cs="Arial"/>
                <w:sz w:val="14"/>
                <w:szCs w:val="14"/>
              </w:rPr>
              <w:t>56</w:t>
            </w:r>
            <w:r>
              <w:rPr>
                <w:rFonts w:cs="Arial"/>
                <w:sz w:val="14"/>
                <w:szCs w:val="14"/>
              </w:rPr>
              <w:t>0</w:t>
            </w:r>
          </w:p>
        </w:tc>
      </w:tr>
      <w:tr w:rsidR="008B7E19" w:rsidRPr="003361C0" w14:paraId="7CCEEBDF" w14:textId="77777777" w:rsidTr="008B7E1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7D3C1A0E" w14:textId="77777777" w:rsidR="008B7E19" w:rsidRPr="003361C0" w:rsidRDefault="008B7E19" w:rsidP="008B7E19">
            <w:pPr>
              <w:keepNext/>
              <w:keepLines/>
              <w:spacing w:before="40" w:after="40"/>
              <w:rPr>
                <w:rFonts w:cs="Arial"/>
                <w:sz w:val="14"/>
                <w:szCs w:val="14"/>
              </w:rPr>
            </w:pPr>
            <w:r>
              <w:rPr>
                <w:rFonts w:cs="Arial"/>
                <w:color w:val="000000"/>
                <w:sz w:val="14"/>
                <w:szCs w:val="14"/>
              </w:rPr>
              <w:t>Non-Current Liabilities</w:t>
            </w:r>
          </w:p>
        </w:tc>
        <w:tc>
          <w:tcPr>
            <w:tcW w:w="3260" w:type="dxa"/>
            <w:tcBorders>
              <w:top w:val="nil"/>
              <w:left w:val="nil"/>
              <w:bottom w:val="nil"/>
              <w:right w:val="nil"/>
            </w:tcBorders>
            <w:shd w:val="clear" w:color="auto" w:fill="auto"/>
            <w:vAlign w:val="center"/>
          </w:tcPr>
          <w:p w14:paraId="05C0830D" w14:textId="77777777" w:rsidR="008B7E19" w:rsidRPr="003361C0"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b/>
                <w:bCs/>
                <w:sz w:val="14"/>
                <w:szCs w:val="14"/>
              </w:rPr>
            </w:pPr>
            <w:r w:rsidRPr="00393FAE">
              <w:rPr>
                <w:rFonts w:cs="Arial"/>
                <w:b/>
                <w:bCs/>
                <w:color w:val="000000"/>
                <w:sz w:val="14"/>
                <w:szCs w:val="14"/>
              </w:rPr>
              <w:t>47</w:t>
            </w:r>
            <w:r>
              <w:rPr>
                <w:rFonts w:cs="Arial"/>
                <w:b/>
                <w:bCs/>
                <w:color w:val="000000"/>
                <w:sz w:val="14"/>
                <w:szCs w:val="14"/>
              </w:rPr>
              <w:t>,</w:t>
            </w:r>
            <w:r w:rsidRPr="00393FAE">
              <w:rPr>
                <w:rFonts w:cs="Arial"/>
                <w:b/>
                <w:bCs/>
                <w:color w:val="000000"/>
                <w:sz w:val="14"/>
                <w:szCs w:val="14"/>
              </w:rPr>
              <w:t>106</w:t>
            </w:r>
          </w:p>
        </w:tc>
        <w:tc>
          <w:tcPr>
            <w:tcW w:w="3260" w:type="dxa"/>
            <w:tcBorders>
              <w:top w:val="nil"/>
              <w:left w:val="nil"/>
              <w:bottom w:val="nil"/>
              <w:right w:val="nil"/>
            </w:tcBorders>
            <w:shd w:val="clear" w:color="auto" w:fill="auto"/>
            <w:vAlign w:val="center"/>
          </w:tcPr>
          <w:p w14:paraId="457035DB" w14:textId="77777777" w:rsidR="008B7E19" w:rsidRPr="003361C0"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b/>
                <w:bCs/>
                <w:sz w:val="14"/>
                <w:szCs w:val="14"/>
              </w:rPr>
            </w:pPr>
            <w:r w:rsidRPr="00393FAE">
              <w:rPr>
                <w:rFonts w:cs="Arial"/>
                <w:b/>
                <w:bCs/>
                <w:sz w:val="14"/>
                <w:szCs w:val="14"/>
              </w:rPr>
              <w:t>44</w:t>
            </w:r>
            <w:r>
              <w:rPr>
                <w:rFonts w:cs="Arial"/>
                <w:b/>
                <w:bCs/>
                <w:sz w:val="14"/>
                <w:szCs w:val="14"/>
              </w:rPr>
              <w:t>,</w:t>
            </w:r>
            <w:r w:rsidRPr="00393FAE">
              <w:rPr>
                <w:rFonts w:cs="Arial"/>
                <w:b/>
                <w:bCs/>
                <w:sz w:val="14"/>
                <w:szCs w:val="14"/>
              </w:rPr>
              <w:t>441</w:t>
            </w:r>
          </w:p>
        </w:tc>
      </w:tr>
      <w:tr w:rsidR="008B7E19" w:rsidRPr="00627470" w14:paraId="5600DE6E"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293BB7A2" w14:textId="77777777" w:rsidR="008B7E19" w:rsidRPr="00627470" w:rsidRDefault="008B7E19" w:rsidP="008B7E19">
            <w:pPr>
              <w:keepNext/>
              <w:keepLines/>
              <w:spacing w:before="40" w:after="40"/>
              <w:ind w:left="113"/>
              <w:rPr>
                <w:rFonts w:cs="Arial"/>
                <w:b w:val="0"/>
                <w:bCs w:val="0"/>
                <w:sz w:val="14"/>
                <w:szCs w:val="14"/>
              </w:rPr>
            </w:pPr>
            <w:r>
              <w:rPr>
                <w:rFonts w:cs="Arial"/>
                <w:b w:val="0"/>
                <w:bCs w:val="0"/>
                <w:color w:val="000000"/>
                <w:sz w:val="14"/>
                <w:szCs w:val="14"/>
              </w:rPr>
              <w:t>Other liabilities</w:t>
            </w:r>
          </w:p>
        </w:tc>
        <w:tc>
          <w:tcPr>
            <w:tcW w:w="3260" w:type="dxa"/>
            <w:tcBorders>
              <w:top w:val="nil"/>
              <w:left w:val="nil"/>
              <w:bottom w:val="nil"/>
              <w:right w:val="nil"/>
            </w:tcBorders>
            <w:shd w:val="clear" w:color="auto" w:fill="auto"/>
            <w:vAlign w:val="center"/>
          </w:tcPr>
          <w:p w14:paraId="730091CC" w14:textId="77777777" w:rsidR="008B7E19" w:rsidRPr="00627470"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rPr>
            </w:pPr>
            <w:r w:rsidRPr="00494755">
              <w:rPr>
                <w:rFonts w:cs="Arial"/>
                <w:color w:val="000000"/>
                <w:sz w:val="14"/>
                <w:szCs w:val="14"/>
              </w:rPr>
              <w:t>47</w:t>
            </w:r>
            <w:r>
              <w:rPr>
                <w:rFonts w:cs="Arial"/>
                <w:color w:val="000000"/>
                <w:sz w:val="14"/>
                <w:szCs w:val="14"/>
              </w:rPr>
              <w:t>,</w:t>
            </w:r>
            <w:r w:rsidRPr="00494755">
              <w:rPr>
                <w:rFonts w:cs="Arial"/>
                <w:color w:val="000000"/>
                <w:sz w:val="14"/>
                <w:szCs w:val="14"/>
              </w:rPr>
              <w:t>106</w:t>
            </w:r>
          </w:p>
        </w:tc>
        <w:tc>
          <w:tcPr>
            <w:tcW w:w="3260" w:type="dxa"/>
            <w:tcBorders>
              <w:top w:val="nil"/>
              <w:left w:val="nil"/>
              <w:bottom w:val="nil"/>
              <w:right w:val="nil"/>
            </w:tcBorders>
            <w:shd w:val="clear" w:color="auto" w:fill="auto"/>
            <w:vAlign w:val="center"/>
          </w:tcPr>
          <w:p w14:paraId="77E6380A" w14:textId="77777777" w:rsidR="008B7E19" w:rsidRPr="00627470"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rPr>
            </w:pPr>
            <w:r w:rsidRPr="00494755">
              <w:rPr>
                <w:rFonts w:cs="Arial"/>
                <w:sz w:val="14"/>
                <w:szCs w:val="14"/>
              </w:rPr>
              <w:t>44</w:t>
            </w:r>
            <w:r>
              <w:rPr>
                <w:rFonts w:cs="Arial"/>
                <w:sz w:val="14"/>
                <w:szCs w:val="14"/>
              </w:rPr>
              <w:t>,</w:t>
            </w:r>
            <w:r w:rsidRPr="00494755">
              <w:rPr>
                <w:rFonts w:cs="Arial"/>
                <w:sz w:val="14"/>
                <w:szCs w:val="14"/>
              </w:rPr>
              <w:t>441</w:t>
            </w:r>
          </w:p>
        </w:tc>
      </w:tr>
      <w:tr w:rsidR="008B7E19" w:rsidRPr="003361C0" w14:paraId="6E37B6D2" w14:textId="77777777" w:rsidTr="008B7E1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7A61F31B" w14:textId="77777777" w:rsidR="008B7E19" w:rsidRPr="003361C0" w:rsidRDefault="008B7E19" w:rsidP="008B7E19">
            <w:pPr>
              <w:keepNext/>
              <w:keepLines/>
              <w:spacing w:before="40" w:after="40"/>
              <w:rPr>
                <w:rFonts w:cs="Arial"/>
                <w:sz w:val="14"/>
                <w:szCs w:val="14"/>
              </w:rPr>
            </w:pPr>
            <w:r>
              <w:rPr>
                <w:rFonts w:cs="Arial"/>
                <w:color w:val="000000"/>
                <w:sz w:val="14"/>
                <w:szCs w:val="14"/>
              </w:rPr>
              <w:t>Equity</w:t>
            </w:r>
          </w:p>
        </w:tc>
        <w:tc>
          <w:tcPr>
            <w:tcW w:w="3260" w:type="dxa"/>
            <w:tcBorders>
              <w:top w:val="nil"/>
              <w:left w:val="nil"/>
              <w:bottom w:val="nil"/>
              <w:right w:val="nil"/>
            </w:tcBorders>
            <w:shd w:val="clear" w:color="auto" w:fill="auto"/>
            <w:vAlign w:val="center"/>
          </w:tcPr>
          <w:p w14:paraId="1AB84826" w14:textId="77777777" w:rsidR="008B7E19" w:rsidRPr="003361C0"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b/>
                <w:bCs/>
                <w:sz w:val="14"/>
                <w:szCs w:val="14"/>
              </w:rPr>
            </w:pPr>
            <w:r w:rsidRPr="00393FAE">
              <w:rPr>
                <w:rFonts w:cs="Arial"/>
                <w:b/>
                <w:bCs/>
                <w:color w:val="000000"/>
                <w:sz w:val="14"/>
                <w:szCs w:val="14"/>
              </w:rPr>
              <w:t>247</w:t>
            </w:r>
            <w:r>
              <w:rPr>
                <w:rFonts w:cs="Arial"/>
                <w:b/>
                <w:bCs/>
                <w:color w:val="000000"/>
                <w:sz w:val="14"/>
                <w:szCs w:val="14"/>
              </w:rPr>
              <w:t>,</w:t>
            </w:r>
            <w:r w:rsidRPr="00393FAE">
              <w:rPr>
                <w:rFonts w:cs="Arial"/>
                <w:b/>
                <w:bCs/>
                <w:color w:val="000000"/>
                <w:sz w:val="14"/>
                <w:szCs w:val="14"/>
              </w:rPr>
              <w:t>008</w:t>
            </w:r>
          </w:p>
        </w:tc>
        <w:tc>
          <w:tcPr>
            <w:tcW w:w="3260" w:type="dxa"/>
            <w:tcBorders>
              <w:top w:val="nil"/>
              <w:left w:val="nil"/>
              <w:bottom w:val="nil"/>
              <w:right w:val="nil"/>
            </w:tcBorders>
            <w:shd w:val="clear" w:color="auto" w:fill="auto"/>
            <w:vAlign w:val="center"/>
          </w:tcPr>
          <w:p w14:paraId="2AB49EAA" w14:textId="77777777" w:rsidR="008B7E19" w:rsidRPr="003361C0"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b/>
                <w:bCs/>
                <w:sz w:val="14"/>
                <w:szCs w:val="14"/>
              </w:rPr>
            </w:pPr>
            <w:r w:rsidRPr="00393FAE">
              <w:rPr>
                <w:rFonts w:cs="Arial"/>
                <w:b/>
                <w:bCs/>
                <w:sz w:val="14"/>
                <w:szCs w:val="14"/>
              </w:rPr>
              <w:t>237</w:t>
            </w:r>
            <w:r>
              <w:rPr>
                <w:rFonts w:cs="Arial"/>
                <w:b/>
                <w:bCs/>
                <w:sz w:val="14"/>
                <w:szCs w:val="14"/>
              </w:rPr>
              <w:t>,</w:t>
            </w:r>
            <w:r w:rsidRPr="00393FAE">
              <w:rPr>
                <w:rFonts w:cs="Arial"/>
                <w:b/>
                <w:bCs/>
                <w:sz w:val="14"/>
                <w:szCs w:val="14"/>
              </w:rPr>
              <w:t>120</w:t>
            </w:r>
          </w:p>
        </w:tc>
      </w:tr>
      <w:tr w:rsidR="008B7E19" w:rsidRPr="00627470" w14:paraId="5826ACD8"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6A6D9909" w14:textId="77777777" w:rsidR="008B7E19" w:rsidRPr="00627470" w:rsidRDefault="008B7E19" w:rsidP="008B7E19">
            <w:pPr>
              <w:keepNext/>
              <w:keepLines/>
              <w:spacing w:before="40" w:after="40"/>
              <w:ind w:left="113"/>
              <w:rPr>
                <w:rFonts w:cs="Arial"/>
                <w:b w:val="0"/>
                <w:bCs w:val="0"/>
                <w:sz w:val="14"/>
                <w:szCs w:val="14"/>
              </w:rPr>
            </w:pPr>
            <w:r>
              <w:rPr>
                <w:rFonts w:cs="Arial"/>
                <w:b w:val="0"/>
                <w:bCs w:val="0"/>
                <w:color w:val="000000"/>
                <w:sz w:val="14"/>
                <w:szCs w:val="14"/>
              </w:rPr>
              <w:t>Capital and reserves</w:t>
            </w:r>
          </w:p>
        </w:tc>
        <w:tc>
          <w:tcPr>
            <w:tcW w:w="3260" w:type="dxa"/>
            <w:tcBorders>
              <w:top w:val="nil"/>
              <w:left w:val="nil"/>
              <w:bottom w:val="nil"/>
              <w:right w:val="nil"/>
            </w:tcBorders>
            <w:shd w:val="clear" w:color="auto" w:fill="auto"/>
            <w:vAlign w:val="center"/>
          </w:tcPr>
          <w:p w14:paraId="0994ED20" w14:textId="77777777" w:rsidR="008B7E19" w:rsidRPr="00627470"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rPr>
            </w:pPr>
            <w:r w:rsidRPr="00494755">
              <w:rPr>
                <w:rFonts w:cs="Arial"/>
                <w:color w:val="000000"/>
                <w:sz w:val="14"/>
                <w:szCs w:val="14"/>
              </w:rPr>
              <w:t>242</w:t>
            </w:r>
            <w:r>
              <w:rPr>
                <w:rFonts w:cs="Arial"/>
                <w:color w:val="000000"/>
                <w:sz w:val="14"/>
                <w:szCs w:val="14"/>
              </w:rPr>
              <w:t>,</w:t>
            </w:r>
            <w:r w:rsidRPr="00494755">
              <w:rPr>
                <w:rFonts w:cs="Arial"/>
                <w:color w:val="000000"/>
                <w:sz w:val="14"/>
                <w:szCs w:val="14"/>
              </w:rPr>
              <w:t>389</w:t>
            </w:r>
          </w:p>
        </w:tc>
        <w:tc>
          <w:tcPr>
            <w:tcW w:w="3260" w:type="dxa"/>
            <w:tcBorders>
              <w:top w:val="nil"/>
              <w:left w:val="nil"/>
              <w:bottom w:val="nil"/>
              <w:right w:val="nil"/>
            </w:tcBorders>
            <w:shd w:val="clear" w:color="auto" w:fill="auto"/>
            <w:vAlign w:val="center"/>
          </w:tcPr>
          <w:p w14:paraId="3159ABF5" w14:textId="77777777" w:rsidR="008B7E19" w:rsidRPr="00627470"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rPr>
            </w:pPr>
            <w:r w:rsidRPr="00494755">
              <w:rPr>
                <w:rFonts w:cs="Arial"/>
                <w:sz w:val="14"/>
                <w:szCs w:val="14"/>
              </w:rPr>
              <w:t>242</w:t>
            </w:r>
            <w:r>
              <w:rPr>
                <w:rFonts w:cs="Arial"/>
                <w:sz w:val="14"/>
                <w:szCs w:val="14"/>
              </w:rPr>
              <w:t>,</w:t>
            </w:r>
            <w:r w:rsidRPr="00494755">
              <w:rPr>
                <w:rFonts w:cs="Arial"/>
                <w:sz w:val="14"/>
                <w:szCs w:val="14"/>
              </w:rPr>
              <w:t>389</w:t>
            </w:r>
          </w:p>
        </w:tc>
      </w:tr>
      <w:tr w:rsidR="008B7E19" w:rsidRPr="00627470" w14:paraId="46881F48" w14:textId="77777777" w:rsidTr="008B7E1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5EC1C850" w14:textId="77777777" w:rsidR="008B7E19" w:rsidRPr="00080F19" w:rsidRDefault="008B7E19" w:rsidP="008B7E19">
            <w:pPr>
              <w:keepNext/>
              <w:keepLines/>
              <w:spacing w:before="40" w:after="40"/>
              <w:ind w:left="113"/>
              <w:rPr>
                <w:rFonts w:cs="Arial"/>
                <w:b w:val="0"/>
                <w:bCs w:val="0"/>
                <w:sz w:val="14"/>
                <w:szCs w:val="14"/>
              </w:rPr>
            </w:pPr>
            <w:r w:rsidRPr="00A94E39">
              <w:rPr>
                <w:rFonts w:cs="Arial"/>
                <w:b w:val="0"/>
                <w:bCs w:val="0"/>
                <w:color w:val="000000"/>
                <w:sz w:val="14"/>
                <w:szCs w:val="14"/>
              </w:rPr>
              <w:t>Accumulated losses</w:t>
            </w:r>
          </w:p>
        </w:tc>
        <w:tc>
          <w:tcPr>
            <w:tcW w:w="3260" w:type="dxa"/>
            <w:tcBorders>
              <w:top w:val="nil"/>
              <w:left w:val="nil"/>
              <w:bottom w:val="nil"/>
              <w:right w:val="nil"/>
            </w:tcBorders>
            <w:shd w:val="clear" w:color="auto" w:fill="auto"/>
            <w:vAlign w:val="center"/>
          </w:tcPr>
          <w:p w14:paraId="4B2E89D7" w14:textId="77777777" w:rsidR="008B7E19" w:rsidRPr="00627470"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sz w:val="14"/>
                <w:szCs w:val="14"/>
              </w:rPr>
            </w:pPr>
            <w:r w:rsidRPr="00494755">
              <w:rPr>
                <w:rFonts w:cs="Arial"/>
                <w:color w:val="000000"/>
                <w:sz w:val="14"/>
                <w:szCs w:val="14"/>
              </w:rPr>
              <w:t>4</w:t>
            </w:r>
            <w:r>
              <w:rPr>
                <w:rFonts w:cs="Arial"/>
                <w:color w:val="000000"/>
                <w:sz w:val="14"/>
                <w:szCs w:val="14"/>
              </w:rPr>
              <w:t>,</w:t>
            </w:r>
            <w:r w:rsidRPr="00494755">
              <w:rPr>
                <w:rFonts w:cs="Arial"/>
                <w:color w:val="000000"/>
                <w:sz w:val="14"/>
                <w:szCs w:val="14"/>
              </w:rPr>
              <w:t>736</w:t>
            </w:r>
          </w:p>
        </w:tc>
        <w:tc>
          <w:tcPr>
            <w:tcW w:w="3260" w:type="dxa"/>
            <w:tcBorders>
              <w:top w:val="nil"/>
              <w:left w:val="nil"/>
              <w:bottom w:val="nil"/>
              <w:right w:val="nil"/>
            </w:tcBorders>
            <w:shd w:val="clear" w:color="auto" w:fill="auto"/>
            <w:vAlign w:val="center"/>
          </w:tcPr>
          <w:p w14:paraId="536AE2B5" w14:textId="77777777" w:rsidR="008B7E19" w:rsidRPr="00627470"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sz w:val="14"/>
                <w:szCs w:val="14"/>
              </w:rPr>
            </w:pPr>
            <w:r w:rsidRPr="00494755">
              <w:rPr>
                <w:rFonts w:cs="Arial"/>
                <w:sz w:val="14"/>
                <w:szCs w:val="14"/>
              </w:rPr>
              <w:t>(5</w:t>
            </w:r>
            <w:r>
              <w:rPr>
                <w:rFonts w:cs="Arial"/>
                <w:sz w:val="14"/>
                <w:szCs w:val="14"/>
              </w:rPr>
              <w:t>,</w:t>
            </w:r>
            <w:r w:rsidRPr="00494755">
              <w:rPr>
                <w:rFonts w:cs="Arial"/>
                <w:sz w:val="14"/>
                <w:szCs w:val="14"/>
              </w:rPr>
              <w:t>407)</w:t>
            </w:r>
          </w:p>
        </w:tc>
      </w:tr>
      <w:tr w:rsidR="008B7E19" w:rsidRPr="00627470" w14:paraId="7E54934C"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6F24EBB7" w14:textId="77777777" w:rsidR="008B7E19" w:rsidRPr="00627470" w:rsidRDefault="008B7E19" w:rsidP="008B7E19">
            <w:pPr>
              <w:keepNext/>
              <w:keepLines/>
              <w:spacing w:before="40" w:after="40"/>
              <w:ind w:left="113"/>
              <w:rPr>
                <w:rFonts w:cs="Arial"/>
                <w:b w:val="0"/>
                <w:bCs w:val="0"/>
                <w:sz w:val="14"/>
                <w:szCs w:val="14"/>
              </w:rPr>
            </w:pPr>
            <w:r>
              <w:rPr>
                <w:rFonts w:cs="Arial"/>
                <w:b w:val="0"/>
                <w:bCs w:val="0"/>
                <w:color w:val="000000"/>
                <w:sz w:val="14"/>
                <w:szCs w:val="14"/>
              </w:rPr>
              <w:t>Other comprehensive results</w:t>
            </w:r>
          </w:p>
        </w:tc>
        <w:tc>
          <w:tcPr>
            <w:tcW w:w="3260" w:type="dxa"/>
            <w:tcBorders>
              <w:top w:val="nil"/>
              <w:left w:val="nil"/>
              <w:bottom w:val="nil"/>
              <w:right w:val="nil"/>
            </w:tcBorders>
            <w:shd w:val="clear" w:color="auto" w:fill="auto"/>
            <w:vAlign w:val="center"/>
          </w:tcPr>
          <w:p w14:paraId="7673AE28" w14:textId="77777777" w:rsidR="008B7E19" w:rsidRPr="00627470"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rPr>
            </w:pPr>
            <w:r w:rsidRPr="00494755">
              <w:rPr>
                <w:rFonts w:cs="Arial"/>
                <w:color w:val="000000"/>
                <w:sz w:val="14"/>
                <w:szCs w:val="14"/>
              </w:rPr>
              <w:t>(117)</w:t>
            </w:r>
          </w:p>
        </w:tc>
        <w:tc>
          <w:tcPr>
            <w:tcW w:w="3260" w:type="dxa"/>
            <w:tcBorders>
              <w:top w:val="nil"/>
              <w:left w:val="nil"/>
              <w:bottom w:val="nil"/>
              <w:right w:val="nil"/>
            </w:tcBorders>
            <w:shd w:val="clear" w:color="auto" w:fill="auto"/>
            <w:vAlign w:val="center"/>
          </w:tcPr>
          <w:p w14:paraId="4EED3D46" w14:textId="77777777" w:rsidR="008B7E19" w:rsidRPr="00627470"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rPr>
            </w:pPr>
            <w:r w:rsidRPr="00494755">
              <w:rPr>
                <w:rFonts w:cs="Arial"/>
                <w:sz w:val="14"/>
                <w:szCs w:val="14"/>
              </w:rPr>
              <w:t>138</w:t>
            </w:r>
          </w:p>
        </w:tc>
      </w:tr>
      <w:tr w:rsidR="008B7E19" w:rsidRPr="003361C0" w14:paraId="79A279C0" w14:textId="77777777" w:rsidTr="008B7E1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single" w:sz="2" w:space="0" w:color="1F4E79" w:themeColor="accent1" w:themeShade="80"/>
              <w:right w:val="nil"/>
            </w:tcBorders>
            <w:shd w:val="clear" w:color="auto" w:fill="auto"/>
            <w:vAlign w:val="center"/>
          </w:tcPr>
          <w:p w14:paraId="0DA3C7E5" w14:textId="77777777" w:rsidR="008B7E19" w:rsidRPr="003361C0" w:rsidRDefault="008B7E19" w:rsidP="008B7E19">
            <w:pPr>
              <w:keepNext/>
              <w:keepLines/>
              <w:spacing w:before="40" w:after="40"/>
              <w:rPr>
                <w:rFonts w:cs="Arial"/>
                <w:sz w:val="14"/>
                <w:szCs w:val="14"/>
              </w:rPr>
            </w:pPr>
            <w:r>
              <w:rPr>
                <w:rFonts w:cs="Arial"/>
                <w:color w:val="000000"/>
                <w:sz w:val="14"/>
                <w:szCs w:val="14"/>
              </w:rPr>
              <w:t>Liabilities and Equity</w:t>
            </w:r>
          </w:p>
        </w:tc>
        <w:tc>
          <w:tcPr>
            <w:tcW w:w="3260" w:type="dxa"/>
            <w:tcBorders>
              <w:top w:val="nil"/>
              <w:left w:val="nil"/>
              <w:bottom w:val="single" w:sz="2" w:space="0" w:color="1F4E79" w:themeColor="accent1" w:themeShade="80"/>
              <w:right w:val="nil"/>
            </w:tcBorders>
            <w:shd w:val="clear" w:color="auto" w:fill="auto"/>
            <w:vAlign w:val="center"/>
          </w:tcPr>
          <w:p w14:paraId="5F384447" w14:textId="77777777" w:rsidR="008B7E19" w:rsidRPr="003361C0"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b/>
                <w:bCs/>
                <w:sz w:val="14"/>
                <w:szCs w:val="14"/>
              </w:rPr>
            </w:pPr>
            <w:r w:rsidRPr="00393FAE">
              <w:rPr>
                <w:rFonts w:cs="Arial"/>
                <w:b/>
                <w:bCs/>
                <w:color w:val="000000"/>
                <w:sz w:val="14"/>
                <w:szCs w:val="14"/>
              </w:rPr>
              <w:t>864</w:t>
            </w:r>
            <w:r>
              <w:rPr>
                <w:rFonts w:cs="Arial"/>
                <w:b/>
                <w:bCs/>
                <w:color w:val="000000"/>
                <w:sz w:val="14"/>
                <w:szCs w:val="14"/>
              </w:rPr>
              <w:t>,</w:t>
            </w:r>
            <w:r w:rsidRPr="00393FAE">
              <w:rPr>
                <w:rFonts w:cs="Arial"/>
                <w:b/>
                <w:bCs/>
                <w:color w:val="000000"/>
                <w:sz w:val="14"/>
                <w:szCs w:val="14"/>
              </w:rPr>
              <w:t>714</w:t>
            </w:r>
          </w:p>
        </w:tc>
        <w:tc>
          <w:tcPr>
            <w:tcW w:w="3260" w:type="dxa"/>
            <w:tcBorders>
              <w:top w:val="nil"/>
              <w:left w:val="nil"/>
              <w:bottom w:val="single" w:sz="2" w:space="0" w:color="1F4E79" w:themeColor="accent1" w:themeShade="80"/>
              <w:right w:val="nil"/>
            </w:tcBorders>
            <w:shd w:val="clear" w:color="auto" w:fill="auto"/>
            <w:vAlign w:val="center"/>
          </w:tcPr>
          <w:p w14:paraId="0CA03874" w14:textId="77777777" w:rsidR="008B7E19" w:rsidRPr="003361C0"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b/>
                <w:bCs/>
                <w:sz w:val="14"/>
                <w:szCs w:val="14"/>
              </w:rPr>
            </w:pPr>
            <w:r w:rsidRPr="00393FAE">
              <w:rPr>
                <w:rFonts w:cs="Arial"/>
                <w:b/>
                <w:bCs/>
                <w:sz w:val="14"/>
                <w:szCs w:val="14"/>
              </w:rPr>
              <w:t>754</w:t>
            </w:r>
            <w:r>
              <w:rPr>
                <w:rFonts w:cs="Arial"/>
                <w:b/>
                <w:bCs/>
                <w:sz w:val="14"/>
                <w:szCs w:val="14"/>
              </w:rPr>
              <w:t>,</w:t>
            </w:r>
            <w:r w:rsidRPr="00393FAE">
              <w:rPr>
                <w:rFonts w:cs="Arial"/>
                <w:b/>
                <w:bCs/>
                <w:sz w:val="14"/>
                <w:szCs w:val="14"/>
              </w:rPr>
              <w:t>256</w:t>
            </w:r>
          </w:p>
        </w:tc>
      </w:tr>
    </w:tbl>
    <w:p w14:paraId="6925C31E" w14:textId="77777777" w:rsidR="008B7E19" w:rsidRDefault="008B7E19" w:rsidP="008B7E19">
      <w:pPr>
        <w:spacing w:line="257" w:lineRule="auto"/>
        <w:contextualSpacing/>
        <w:jc w:val="both"/>
        <w:rPr>
          <w:rFonts w:eastAsia="Times New Roman" w:cs="Times New Roman"/>
          <w:spacing w:val="-2"/>
          <w:sz w:val="14"/>
          <w:szCs w:val="18"/>
          <w:lang w:eastAsia="pt-BR"/>
        </w:rPr>
      </w:pPr>
    </w:p>
    <w:p w14:paraId="68BB4637" w14:textId="77777777" w:rsidR="008B7E19" w:rsidRPr="00FC09E4" w:rsidRDefault="008B7E19" w:rsidP="008B7E19">
      <w:pPr>
        <w:spacing w:after="0" w:line="240" w:lineRule="auto"/>
        <w:rPr>
          <w:rFonts w:eastAsia="Times New Roman" w:cs="Times New Roman"/>
          <w:b/>
          <w:color w:val="1F4E79" w:themeColor="accent1" w:themeShade="80"/>
          <w:spacing w:val="-2"/>
          <w:szCs w:val="20"/>
          <w:lang w:val="en-US" w:eastAsia="pt-BR"/>
        </w:rPr>
      </w:pPr>
      <w:r w:rsidRPr="00FC09E4">
        <w:rPr>
          <w:rFonts w:eastAsia="Times New Roman" w:cs="Times New Roman"/>
          <w:b/>
          <w:color w:val="1F4E79" w:themeColor="accent1" w:themeShade="80"/>
          <w:spacing w:val="-2"/>
          <w:szCs w:val="20"/>
          <w:lang w:val="en-US" w:eastAsia="pt-BR"/>
        </w:rPr>
        <w:t>Information for comparison purposes</w:t>
      </w:r>
    </w:p>
    <w:p w14:paraId="73819088" w14:textId="77777777" w:rsidR="008B7E19" w:rsidRPr="00FC09E4" w:rsidRDefault="008B7E19" w:rsidP="008B7E19">
      <w:pPr>
        <w:spacing w:after="0" w:line="240" w:lineRule="auto"/>
        <w:jc w:val="right"/>
        <w:rPr>
          <w:rFonts w:cs="Arial"/>
          <w:b/>
          <w:sz w:val="14"/>
          <w:lang w:val="en-US" w:eastAsia="pt-BR"/>
        </w:rPr>
      </w:pPr>
      <w:r w:rsidRPr="00FC09E4">
        <w:rPr>
          <w:rFonts w:cs="Arial"/>
          <w:b/>
          <w:sz w:val="14"/>
          <w:lang w:val="en-US" w:eastAsia="pt-BR"/>
        </w:rPr>
        <w:t>R$ thousand</w:t>
      </w:r>
    </w:p>
    <w:tbl>
      <w:tblPr>
        <w:tblStyle w:val="TabeladeLista6Colorida-nfase512"/>
        <w:tblW w:w="9639" w:type="dxa"/>
        <w:jc w:val="center"/>
        <w:tblInd w:w="0" w:type="dxa"/>
        <w:tblLayout w:type="fixed"/>
        <w:tblLook w:val="04A0" w:firstRow="1" w:lastRow="0" w:firstColumn="1" w:lastColumn="0" w:noHBand="0" w:noVBand="1"/>
      </w:tblPr>
      <w:tblGrid>
        <w:gridCol w:w="2803"/>
        <w:gridCol w:w="1709"/>
        <w:gridCol w:w="1709"/>
        <w:gridCol w:w="1709"/>
        <w:gridCol w:w="1709"/>
      </w:tblGrid>
      <w:tr w:rsidR="008B7E19" w:rsidRPr="00537AE7" w14:paraId="5585E75C" w14:textId="77777777" w:rsidTr="008B7E19">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single" w:sz="2" w:space="0" w:color="1F4E79" w:themeColor="accent1" w:themeShade="80"/>
              <w:left w:val="nil"/>
              <w:bottom w:val="single" w:sz="2" w:space="0" w:color="1F4E79" w:themeColor="accent1" w:themeShade="80"/>
              <w:right w:val="nil"/>
            </w:tcBorders>
            <w:shd w:val="clear" w:color="auto" w:fill="auto"/>
            <w:vAlign w:val="center"/>
          </w:tcPr>
          <w:p w14:paraId="4C92A878" w14:textId="77777777" w:rsidR="008B7E19" w:rsidRPr="00FC09E4" w:rsidRDefault="008B7E19" w:rsidP="008B7E19">
            <w:pPr>
              <w:jc w:val="center"/>
              <w:rPr>
                <w:rFonts w:cs="Arial"/>
                <w:sz w:val="14"/>
                <w:szCs w:val="14"/>
                <w:lang w:val="en-US"/>
              </w:rPr>
            </w:pPr>
          </w:p>
        </w:tc>
        <w:tc>
          <w:tcPr>
            <w:tcW w:w="1709" w:type="dxa"/>
            <w:tcBorders>
              <w:top w:val="single" w:sz="2" w:space="0" w:color="1F4E79" w:themeColor="accent1" w:themeShade="80"/>
              <w:left w:val="nil"/>
              <w:bottom w:val="single" w:sz="2" w:space="0" w:color="1F4E79" w:themeColor="accent1" w:themeShade="80"/>
              <w:right w:val="nil"/>
            </w:tcBorders>
            <w:shd w:val="clear" w:color="auto" w:fill="auto"/>
            <w:vAlign w:val="center"/>
          </w:tcPr>
          <w:p w14:paraId="3155CF33" w14:textId="77777777" w:rsidR="008B7E19" w:rsidRDefault="008B7E19" w:rsidP="008B7E19">
            <w:pPr>
              <w:jc w:val="right"/>
              <w:cnfStyle w:val="100000000000" w:firstRow="1" w:lastRow="0" w:firstColumn="0" w:lastColumn="0" w:oddVBand="0" w:evenVBand="0" w:oddHBand="0" w:evenHBand="0" w:firstRowFirstColumn="0" w:firstRowLastColumn="0" w:lastRowFirstColumn="0" w:lastRowLastColumn="0"/>
              <w:rPr>
                <w:rFonts w:cs="Arial"/>
                <w:sz w:val="14"/>
                <w:szCs w:val="14"/>
              </w:rPr>
            </w:pPr>
            <w:r w:rsidRPr="00925790">
              <w:rPr>
                <w:rFonts w:cs="Arial"/>
                <w:sz w:val="14"/>
                <w:szCs w:val="14"/>
              </w:rPr>
              <w:t>2</w:t>
            </w:r>
            <w:r w:rsidRPr="00925790">
              <w:rPr>
                <w:rFonts w:cs="Arial"/>
                <w:sz w:val="14"/>
                <w:szCs w:val="14"/>
                <w:vertAlign w:val="superscript"/>
              </w:rPr>
              <w:t>nd</w:t>
            </w:r>
            <w:r w:rsidRPr="00925790">
              <w:rPr>
                <w:rFonts w:cs="Arial"/>
                <w:sz w:val="14"/>
                <w:szCs w:val="14"/>
              </w:rPr>
              <w:t xml:space="preserve"> Quarter 2023</w:t>
            </w:r>
          </w:p>
        </w:tc>
        <w:tc>
          <w:tcPr>
            <w:tcW w:w="1709" w:type="dxa"/>
            <w:tcBorders>
              <w:top w:val="single" w:sz="2" w:space="0" w:color="1F4E79" w:themeColor="accent1" w:themeShade="80"/>
              <w:left w:val="nil"/>
              <w:bottom w:val="single" w:sz="2" w:space="0" w:color="1F4E79" w:themeColor="accent1" w:themeShade="80"/>
              <w:right w:val="nil"/>
            </w:tcBorders>
            <w:shd w:val="clear" w:color="auto" w:fill="auto"/>
            <w:vAlign w:val="center"/>
          </w:tcPr>
          <w:p w14:paraId="43FA9591" w14:textId="77777777" w:rsidR="008B7E19" w:rsidRDefault="008B7E19" w:rsidP="008B7E19">
            <w:pPr>
              <w:jc w:val="right"/>
              <w:cnfStyle w:val="100000000000" w:firstRow="1" w:lastRow="0" w:firstColumn="0" w:lastColumn="0" w:oddVBand="0" w:evenVBand="0" w:oddHBand="0" w:evenHBand="0" w:firstRowFirstColumn="0" w:firstRowLastColumn="0" w:lastRowFirstColumn="0" w:lastRowLastColumn="0"/>
              <w:rPr>
                <w:rFonts w:cs="Arial"/>
                <w:sz w:val="14"/>
                <w:szCs w:val="14"/>
              </w:rPr>
            </w:pPr>
            <w:r w:rsidRPr="00925790">
              <w:rPr>
                <w:rFonts w:cs="Arial"/>
                <w:sz w:val="14"/>
                <w:szCs w:val="14"/>
              </w:rPr>
              <w:t>1</w:t>
            </w:r>
            <w:r w:rsidRPr="00925790">
              <w:rPr>
                <w:rFonts w:cs="Arial"/>
                <w:sz w:val="14"/>
                <w:szCs w:val="14"/>
                <w:vertAlign w:val="superscript"/>
              </w:rPr>
              <w:t>st</w:t>
            </w:r>
            <w:r w:rsidRPr="00925790">
              <w:rPr>
                <w:rFonts w:cs="Arial"/>
                <w:sz w:val="14"/>
                <w:szCs w:val="14"/>
              </w:rPr>
              <w:t xml:space="preserve"> Half 2023</w:t>
            </w:r>
          </w:p>
        </w:tc>
        <w:tc>
          <w:tcPr>
            <w:tcW w:w="1709" w:type="dxa"/>
            <w:tcBorders>
              <w:top w:val="single" w:sz="2" w:space="0" w:color="1F4E79" w:themeColor="accent1" w:themeShade="80"/>
              <w:left w:val="nil"/>
              <w:bottom w:val="single" w:sz="2" w:space="0" w:color="1F4E79" w:themeColor="accent1" w:themeShade="80"/>
              <w:right w:val="nil"/>
            </w:tcBorders>
            <w:shd w:val="clear" w:color="auto" w:fill="auto"/>
            <w:vAlign w:val="center"/>
          </w:tcPr>
          <w:p w14:paraId="7F48C4CC" w14:textId="77777777" w:rsidR="008B7E19" w:rsidRPr="00537AE7" w:rsidRDefault="008B7E19" w:rsidP="008B7E19">
            <w:pPr>
              <w:jc w:val="right"/>
              <w:cnfStyle w:val="100000000000" w:firstRow="1" w:lastRow="0" w:firstColumn="0" w:lastColumn="0" w:oddVBand="0" w:evenVBand="0" w:oddHBand="0" w:evenHBand="0" w:firstRowFirstColumn="0" w:firstRowLastColumn="0" w:lastRowFirstColumn="0" w:lastRowLastColumn="0"/>
              <w:rPr>
                <w:rFonts w:cs="Arial"/>
                <w:b w:val="0"/>
                <w:sz w:val="14"/>
                <w:szCs w:val="14"/>
              </w:rPr>
            </w:pPr>
            <w:r w:rsidRPr="00925790">
              <w:rPr>
                <w:rFonts w:cs="Arial"/>
                <w:sz w:val="14"/>
                <w:szCs w:val="14"/>
              </w:rPr>
              <w:t>2</w:t>
            </w:r>
            <w:r w:rsidRPr="00925790">
              <w:rPr>
                <w:rFonts w:cs="Arial"/>
                <w:sz w:val="14"/>
                <w:szCs w:val="14"/>
                <w:vertAlign w:val="superscript"/>
              </w:rPr>
              <w:t>nd</w:t>
            </w:r>
            <w:r w:rsidRPr="00925790">
              <w:rPr>
                <w:rFonts w:cs="Arial"/>
                <w:sz w:val="14"/>
                <w:szCs w:val="14"/>
              </w:rPr>
              <w:t xml:space="preserve"> Quarter 2022</w:t>
            </w:r>
          </w:p>
        </w:tc>
        <w:tc>
          <w:tcPr>
            <w:tcW w:w="1709" w:type="dxa"/>
            <w:tcBorders>
              <w:top w:val="single" w:sz="2" w:space="0" w:color="1F4E79" w:themeColor="accent1" w:themeShade="80"/>
              <w:left w:val="nil"/>
              <w:bottom w:val="single" w:sz="2" w:space="0" w:color="1F4E79" w:themeColor="accent1" w:themeShade="80"/>
              <w:right w:val="nil"/>
            </w:tcBorders>
            <w:shd w:val="clear" w:color="auto" w:fill="auto"/>
            <w:vAlign w:val="center"/>
          </w:tcPr>
          <w:p w14:paraId="25B2C03F" w14:textId="77777777" w:rsidR="008B7E19" w:rsidRPr="00537AE7" w:rsidRDefault="008B7E19" w:rsidP="008B7E19">
            <w:pPr>
              <w:jc w:val="right"/>
              <w:cnfStyle w:val="100000000000" w:firstRow="1" w:lastRow="0" w:firstColumn="0" w:lastColumn="0" w:oddVBand="0" w:evenVBand="0" w:oddHBand="0" w:evenHBand="0" w:firstRowFirstColumn="0" w:firstRowLastColumn="0" w:lastRowFirstColumn="0" w:lastRowLastColumn="0"/>
              <w:rPr>
                <w:rFonts w:cs="Arial"/>
                <w:sz w:val="14"/>
                <w:szCs w:val="14"/>
              </w:rPr>
            </w:pPr>
            <w:r w:rsidRPr="00925790">
              <w:rPr>
                <w:rFonts w:cs="Arial"/>
                <w:sz w:val="14"/>
                <w:szCs w:val="14"/>
              </w:rPr>
              <w:t>1</w:t>
            </w:r>
            <w:r w:rsidRPr="00925790">
              <w:rPr>
                <w:rFonts w:cs="Arial"/>
                <w:sz w:val="14"/>
                <w:szCs w:val="14"/>
                <w:vertAlign w:val="superscript"/>
              </w:rPr>
              <w:t>st</w:t>
            </w:r>
            <w:r w:rsidRPr="00925790">
              <w:rPr>
                <w:rFonts w:cs="Arial"/>
                <w:sz w:val="14"/>
                <w:szCs w:val="14"/>
              </w:rPr>
              <w:t xml:space="preserve"> Half 2022</w:t>
            </w:r>
          </w:p>
        </w:tc>
      </w:tr>
      <w:tr w:rsidR="008B7E19" w:rsidRPr="00026122" w14:paraId="4B00EB81"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single" w:sz="2" w:space="0" w:color="1F4E79" w:themeColor="accent1" w:themeShade="80"/>
              <w:left w:val="nil"/>
              <w:bottom w:val="nil"/>
              <w:right w:val="nil"/>
            </w:tcBorders>
            <w:shd w:val="clear" w:color="auto" w:fill="auto"/>
            <w:vAlign w:val="center"/>
          </w:tcPr>
          <w:p w14:paraId="0D09904A" w14:textId="77777777" w:rsidR="008B7E19" w:rsidRPr="00026122" w:rsidRDefault="008B7E19" w:rsidP="008B7E19">
            <w:pPr>
              <w:keepNext/>
              <w:keepLines/>
              <w:rPr>
                <w:rFonts w:eastAsia="Times New Roman" w:cs="Arial"/>
                <w:b w:val="0"/>
                <w:bCs w:val="0"/>
                <w:spacing w:val="-2"/>
                <w:sz w:val="14"/>
                <w:szCs w:val="14"/>
              </w:rPr>
            </w:pPr>
            <w:r w:rsidRPr="00FC09E4">
              <w:rPr>
                <w:rFonts w:cs="Arial"/>
                <w:b w:val="0"/>
                <w:bCs w:val="0"/>
                <w:sz w:val="14"/>
                <w:szCs w:val="14"/>
              </w:rPr>
              <w:t>Net income</w:t>
            </w:r>
            <w:r w:rsidRPr="00026122">
              <w:rPr>
                <w:rFonts w:cs="Arial"/>
                <w:b w:val="0"/>
                <w:bCs w:val="0"/>
                <w:sz w:val="14"/>
                <w:szCs w:val="14"/>
              </w:rPr>
              <w:t xml:space="preserve"> (SUSEP)</w:t>
            </w:r>
          </w:p>
        </w:tc>
        <w:tc>
          <w:tcPr>
            <w:tcW w:w="1709" w:type="dxa"/>
            <w:tcBorders>
              <w:top w:val="single" w:sz="2" w:space="0" w:color="1F4E79" w:themeColor="accent1" w:themeShade="80"/>
              <w:left w:val="nil"/>
              <w:bottom w:val="nil"/>
              <w:right w:val="nil"/>
            </w:tcBorders>
            <w:shd w:val="clear" w:color="auto" w:fill="auto"/>
            <w:vAlign w:val="center"/>
          </w:tcPr>
          <w:p w14:paraId="42F10E85" w14:textId="77777777" w:rsidR="008B7E19" w:rsidRPr="00026122"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rPr>
            </w:pPr>
            <w:r w:rsidRPr="007951AC">
              <w:rPr>
                <w:rFonts w:cs="Arial"/>
                <w:sz w:val="14"/>
                <w:szCs w:val="14"/>
              </w:rPr>
              <w:t xml:space="preserve"> 8</w:t>
            </w:r>
            <w:r>
              <w:rPr>
                <w:rFonts w:cs="Arial"/>
                <w:sz w:val="14"/>
                <w:szCs w:val="14"/>
              </w:rPr>
              <w:t>,</w:t>
            </w:r>
            <w:r w:rsidRPr="007951AC">
              <w:rPr>
                <w:rFonts w:cs="Arial"/>
                <w:sz w:val="14"/>
                <w:szCs w:val="14"/>
              </w:rPr>
              <w:t xml:space="preserve">706 </w:t>
            </w:r>
          </w:p>
        </w:tc>
        <w:tc>
          <w:tcPr>
            <w:tcW w:w="1709" w:type="dxa"/>
            <w:tcBorders>
              <w:top w:val="single" w:sz="2" w:space="0" w:color="1F4E79" w:themeColor="accent1" w:themeShade="80"/>
              <w:left w:val="nil"/>
              <w:bottom w:val="nil"/>
              <w:right w:val="nil"/>
            </w:tcBorders>
            <w:shd w:val="clear" w:color="auto" w:fill="auto"/>
            <w:vAlign w:val="center"/>
          </w:tcPr>
          <w:p w14:paraId="34C6E187" w14:textId="77777777" w:rsidR="008B7E19" w:rsidRPr="00026122"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rPr>
            </w:pPr>
            <w:r w:rsidRPr="007951AC">
              <w:rPr>
                <w:rFonts w:cs="Arial"/>
                <w:sz w:val="14"/>
                <w:szCs w:val="14"/>
              </w:rPr>
              <w:t xml:space="preserve"> 10</w:t>
            </w:r>
            <w:r>
              <w:rPr>
                <w:rFonts w:cs="Arial"/>
                <w:sz w:val="14"/>
                <w:szCs w:val="14"/>
              </w:rPr>
              <w:t>,</w:t>
            </w:r>
            <w:r w:rsidRPr="007951AC">
              <w:rPr>
                <w:rFonts w:cs="Arial"/>
                <w:sz w:val="14"/>
                <w:szCs w:val="14"/>
              </w:rPr>
              <w:t xml:space="preserve">796 </w:t>
            </w:r>
          </w:p>
        </w:tc>
        <w:tc>
          <w:tcPr>
            <w:tcW w:w="1709" w:type="dxa"/>
            <w:tcBorders>
              <w:top w:val="single" w:sz="2" w:space="0" w:color="1F4E79" w:themeColor="accent1" w:themeShade="80"/>
              <w:left w:val="nil"/>
              <w:bottom w:val="nil"/>
              <w:right w:val="nil"/>
            </w:tcBorders>
            <w:shd w:val="clear" w:color="auto" w:fill="auto"/>
            <w:vAlign w:val="center"/>
          </w:tcPr>
          <w:p w14:paraId="4CC6D062" w14:textId="77777777" w:rsidR="008B7E19" w:rsidRPr="00026122"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rPr>
            </w:pPr>
            <w:r w:rsidRPr="007951AC">
              <w:rPr>
                <w:rFonts w:cs="Arial"/>
                <w:sz w:val="14"/>
                <w:szCs w:val="14"/>
              </w:rPr>
              <w:t xml:space="preserve"> 24</w:t>
            </w:r>
            <w:r>
              <w:rPr>
                <w:rFonts w:cs="Arial"/>
                <w:sz w:val="14"/>
                <w:szCs w:val="14"/>
              </w:rPr>
              <w:t>,</w:t>
            </w:r>
            <w:r w:rsidRPr="007951AC">
              <w:rPr>
                <w:rFonts w:cs="Arial"/>
                <w:sz w:val="14"/>
                <w:szCs w:val="14"/>
              </w:rPr>
              <w:t xml:space="preserve">561 </w:t>
            </w:r>
          </w:p>
        </w:tc>
        <w:tc>
          <w:tcPr>
            <w:tcW w:w="1709" w:type="dxa"/>
            <w:tcBorders>
              <w:top w:val="single" w:sz="2" w:space="0" w:color="1F4E79" w:themeColor="accent1" w:themeShade="80"/>
              <w:left w:val="nil"/>
              <w:bottom w:val="nil"/>
              <w:right w:val="nil"/>
            </w:tcBorders>
            <w:shd w:val="clear" w:color="auto" w:fill="auto"/>
            <w:vAlign w:val="center"/>
          </w:tcPr>
          <w:p w14:paraId="02351F5D" w14:textId="77777777" w:rsidR="008B7E19" w:rsidRPr="00026122"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7951AC">
              <w:rPr>
                <w:rFonts w:cs="Arial"/>
                <w:sz w:val="14"/>
                <w:szCs w:val="14"/>
              </w:rPr>
              <w:t xml:space="preserve"> 31</w:t>
            </w:r>
            <w:r>
              <w:rPr>
                <w:rFonts w:cs="Arial"/>
                <w:sz w:val="14"/>
                <w:szCs w:val="14"/>
              </w:rPr>
              <w:t>,</w:t>
            </w:r>
            <w:r w:rsidRPr="007951AC">
              <w:rPr>
                <w:rFonts w:cs="Arial"/>
                <w:sz w:val="14"/>
                <w:szCs w:val="14"/>
              </w:rPr>
              <w:t xml:space="preserve">759 </w:t>
            </w:r>
          </w:p>
        </w:tc>
      </w:tr>
      <w:tr w:rsidR="008B7E19" w:rsidRPr="00026122" w14:paraId="5FF6665C" w14:textId="77777777" w:rsidTr="008B7E1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shd w:val="clear" w:color="auto" w:fill="auto"/>
            <w:vAlign w:val="center"/>
          </w:tcPr>
          <w:p w14:paraId="7D57A0F5" w14:textId="77777777" w:rsidR="008B7E19" w:rsidRPr="00026122" w:rsidRDefault="008B7E19" w:rsidP="008B7E19">
            <w:pPr>
              <w:keepNext/>
              <w:keepLines/>
              <w:rPr>
                <w:rFonts w:cs="Arial"/>
                <w:b w:val="0"/>
                <w:bCs w:val="0"/>
                <w:sz w:val="14"/>
                <w:szCs w:val="14"/>
              </w:rPr>
            </w:pPr>
            <w:r w:rsidRPr="00FC09E4">
              <w:rPr>
                <w:rFonts w:cs="Arial"/>
                <w:b w:val="0"/>
                <w:bCs w:val="0"/>
                <w:sz w:val="14"/>
                <w:szCs w:val="14"/>
              </w:rPr>
              <w:t xml:space="preserve">Comprehensive income </w:t>
            </w:r>
            <w:r w:rsidRPr="00026122">
              <w:rPr>
                <w:rFonts w:cs="Arial"/>
                <w:b w:val="0"/>
                <w:bCs w:val="0"/>
                <w:sz w:val="14"/>
                <w:szCs w:val="14"/>
              </w:rPr>
              <w:t>(SUSEP)</w:t>
            </w:r>
          </w:p>
        </w:tc>
        <w:tc>
          <w:tcPr>
            <w:tcW w:w="1709" w:type="dxa"/>
            <w:tcBorders>
              <w:top w:val="nil"/>
              <w:left w:val="nil"/>
              <w:bottom w:val="nil"/>
              <w:right w:val="nil"/>
            </w:tcBorders>
            <w:shd w:val="clear" w:color="auto" w:fill="auto"/>
            <w:vAlign w:val="center"/>
          </w:tcPr>
          <w:p w14:paraId="25C6D9D5" w14:textId="77777777" w:rsidR="008B7E19" w:rsidRPr="00026122"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sz w:val="14"/>
                <w:szCs w:val="14"/>
              </w:rPr>
            </w:pPr>
            <w:r w:rsidRPr="007951AC">
              <w:rPr>
                <w:rFonts w:cs="Arial"/>
                <w:sz w:val="14"/>
                <w:szCs w:val="14"/>
              </w:rPr>
              <w:t xml:space="preserve"> 8</w:t>
            </w:r>
            <w:r>
              <w:rPr>
                <w:rFonts w:cs="Arial"/>
                <w:sz w:val="14"/>
                <w:szCs w:val="14"/>
              </w:rPr>
              <w:t>,</w:t>
            </w:r>
            <w:r w:rsidRPr="007951AC">
              <w:rPr>
                <w:rFonts w:cs="Arial"/>
                <w:sz w:val="14"/>
                <w:szCs w:val="14"/>
              </w:rPr>
              <w:t xml:space="preserve">401 </w:t>
            </w:r>
          </w:p>
        </w:tc>
        <w:tc>
          <w:tcPr>
            <w:tcW w:w="1709" w:type="dxa"/>
            <w:tcBorders>
              <w:top w:val="nil"/>
              <w:left w:val="nil"/>
              <w:bottom w:val="nil"/>
              <w:right w:val="nil"/>
            </w:tcBorders>
            <w:shd w:val="clear" w:color="auto" w:fill="auto"/>
            <w:vAlign w:val="center"/>
          </w:tcPr>
          <w:p w14:paraId="589F798C" w14:textId="77777777" w:rsidR="008B7E19" w:rsidRPr="00026122"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sz w:val="14"/>
                <w:szCs w:val="14"/>
              </w:rPr>
            </w:pPr>
            <w:r w:rsidRPr="007951AC">
              <w:rPr>
                <w:rFonts w:cs="Arial"/>
                <w:sz w:val="14"/>
                <w:szCs w:val="14"/>
              </w:rPr>
              <w:t xml:space="preserve"> 10</w:t>
            </w:r>
            <w:r>
              <w:rPr>
                <w:rFonts w:cs="Arial"/>
                <w:sz w:val="14"/>
                <w:szCs w:val="14"/>
              </w:rPr>
              <w:t>,</w:t>
            </w:r>
            <w:r w:rsidRPr="007951AC">
              <w:rPr>
                <w:rFonts w:cs="Arial"/>
                <w:sz w:val="14"/>
                <w:szCs w:val="14"/>
              </w:rPr>
              <w:t xml:space="preserve">541 </w:t>
            </w:r>
          </w:p>
        </w:tc>
        <w:tc>
          <w:tcPr>
            <w:tcW w:w="1709" w:type="dxa"/>
            <w:tcBorders>
              <w:top w:val="nil"/>
              <w:left w:val="nil"/>
              <w:bottom w:val="nil"/>
              <w:right w:val="nil"/>
            </w:tcBorders>
            <w:shd w:val="clear" w:color="auto" w:fill="auto"/>
            <w:vAlign w:val="center"/>
          </w:tcPr>
          <w:p w14:paraId="7906E066" w14:textId="77777777" w:rsidR="008B7E19" w:rsidRPr="00026122"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sz w:val="14"/>
                <w:szCs w:val="14"/>
              </w:rPr>
            </w:pPr>
            <w:r w:rsidRPr="007951AC">
              <w:rPr>
                <w:rFonts w:cs="Arial"/>
                <w:sz w:val="14"/>
                <w:szCs w:val="14"/>
              </w:rPr>
              <w:t xml:space="preserve"> 24</w:t>
            </w:r>
            <w:r>
              <w:rPr>
                <w:rFonts w:cs="Arial"/>
                <w:sz w:val="14"/>
                <w:szCs w:val="14"/>
              </w:rPr>
              <w:t>,</w:t>
            </w:r>
            <w:r w:rsidRPr="007951AC">
              <w:rPr>
                <w:rFonts w:cs="Arial"/>
                <w:sz w:val="14"/>
                <w:szCs w:val="14"/>
              </w:rPr>
              <w:t xml:space="preserve">533 </w:t>
            </w:r>
          </w:p>
        </w:tc>
        <w:tc>
          <w:tcPr>
            <w:tcW w:w="1709" w:type="dxa"/>
            <w:tcBorders>
              <w:top w:val="nil"/>
              <w:left w:val="nil"/>
              <w:bottom w:val="nil"/>
              <w:right w:val="nil"/>
            </w:tcBorders>
            <w:shd w:val="clear" w:color="auto" w:fill="auto"/>
            <w:vAlign w:val="center"/>
          </w:tcPr>
          <w:p w14:paraId="17DBA284" w14:textId="77777777" w:rsidR="008B7E19" w:rsidRPr="00026122"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color w:val="000000"/>
                <w:sz w:val="14"/>
                <w:szCs w:val="14"/>
              </w:rPr>
            </w:pPr>
            <w:r w:rsidRPr="007951AC">
              <w:rPr>
                <w:rFonts w:cs="Arial"/>
                <w:sz w:val="14"/>
                <w:szCs w:val="14"/>
              </w:rPr>
              <w:t xml:space="preserve"> 31</w:t>
            </w:r>
            <w:r>
              <w:rPr>
                <w:rFonts w:cs="Arial"/>
                <w:sz w:val="14"/>
                <w:szCs w:val="14"/>
              </w:rPr>
              <w:t>,</w:t>
            </w:r>
            <w:r w:rsidRPr="007951AC">
              <w:rPr>
                <w:rFonts w:cs="Arial"/>
                <w:sz w:val="14"/>
                <w:szCs w:val="14"/>
              </w:rPr>
              <w:t xml:space="preserve">773 </w:t>
            </w:r>
          </w:p>
        </w:tc>
      </w:tr>
      <w:tr w:rsidR="008B7E19" w:rsidRPr="00026122" w14:paraId="62C262E5"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shd w:val="clear" w:color="auto" w:fill="auto"/>
            <w:vAlign w:val="center"/>
          </w:tcPr>
          <w:p w14:paraId="0AC1D169" w14:textId="77777777" w:rsidR="008B7E19" w:rsidRPr="00026122" w:rsidRDefault="008B7E19" w:rsidP="008B7E19">
            <w:pPr>
              <w:keepNext/>
              <w:keepLines/>
              <w:rPr>
                <w:rFonts w:cs="Arial"/>
                <w:b w:val="0"/>
                <w:bCs w:val="0"/>
                <w:sz w:val="14"/>
                <w:szCs w:val="14"/>
              </w:rPr>
            </w:pPr>
          </w:p>
        </w:tc>
        <w:tc>
          <w:tcPr>
            <w:tcW w:w="1709" w:type="dxa"/>
            <w:tcBorders>
              <w:top w:val="nil"/>
              <w:left w:val="nil"/>
              <w:bottom w:val="nil"/>
              <w:right w:val="nil"/>
            </w:tcBorders>
            <w:shd w:val="clear" w:color="auto" w:fill="auto"/>
            <w:vAlign w:val="center"/>
          </w:tcPr>
          <w:p w14:paraId="488B5188" w14:textId="77777777" w:rsidR="008B7E19" w:rsidRPr="00026122"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rPr>
            </w:pPr>
          </w:p>
        </w:tc>
        <w:tc>
          <w:tcPr>
            <w:tcW w:w="1709" w:type="dxa"/>
            <w:tcBorders>
              <w:top w:val="nil"/>
              <w:left w:val="nil"/>
              <w:bottom w:val="nil"/>
              <w:right w:val="nil"/>
            </w:tcBorders>
            <w:shd w:val="clear" w:color="auto" w:fill="auto"/>
            <w:vAlign w:val="center"/>
          </w:tcPr>
          <w:p w14:paraId="23C3A493" w14:textId="77777777" w:rsidR="008B7E19" w:rsidRPr="00026122"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rPr>
            </w:pPr>
          </w:p>
        </w:tc>
        <w:tc>
          <w:tcPr>
            <w:tcW w:w="1709" w:type="dxa"/>
            <w:tcBorders>
              <w:top w:val="nil"/>
              <w:left w:val="nil"/>
              <w:bottom w:val="nil"/>
              <w:right w:val="nil"/>
            </w:tcBorders>
            <w:shd w:val="clear" w:color="auto" w:fill="auto"/>
            <w:vAlign w:val="center"/>
          </w:tcPr>
          <w:p w14:paraId="238D70E6" w14:textId="77777777" w:rsidR="008B7E19" w:rsidRPr="00026122"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rPr>
            </w:pPr>
          </w:p>
        </w:tc>
        <w:tc>
          <w:tcPr>
            <w:tcW w:w="1709" w:type="dxa"/>
            <w:tcBorders>
              <w:top w:val="nil"/>
              <w:left w:val="nil"/>
              <w:bottom w:val="nil"/>
              <w:right w:val="nil"/>
            </w:tcBorders>
            <w:shd w:val="clear" w:color="auto" w:fill="auto"/>
            <w:vAlign w:val="center"/>
          </w:tcPr>
          <w:p w14:paraId="0430E4B3" w14:textId="77777777" w:rsidR="008B7E19" w:rsidRPr="00026122"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p>
        </w:tc>
      </w:tr>
      <w:tr w:rsidR="008B7E19" w:rsidRPr="00026122" w14:paraId="646FC025" w14:textId="77777777" w:rsidTr="008B7E1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shd w:val="clear" w:color="auto" w:fill="auto"/>
            <w:vAlign w:val="center"/>
          </w:tcPr>
          <w:p w14:paraId="5658CA0D" w14:textId="77777777" w:rsidR="008B7E19" w:rsidRPr="00026122" w:rsidRDefault="008B7E19" w:rsidP="008B7E19">
            <w:pPr>
              <w:keepNext/>
              <w:keepLines/>
              <w:spacing w:before="40" w:after="40"/>
              <w:rPr>
                <w:rFonts w:cs="Arial"/>
                <w:b w:val="0"/>
                <w:bCs w:val="0"/>
                <w:sz w:val="14"/>
                <w:szCs w:val="14"/>
              </w:rPr>
            </w:pPr>
            <w:r w:rsidRPr="00FC09E4">
              <w:rPr>
                <w:rFonts w:cs="Arial"/>
                <w:b w:val="0"/>
                <w:bCs w:val="0"/>
                <w:sz w:val="14"/>
                <w:szCs w:val="14"/>
              </w:rPr>
              <w:t>Net income</w:t>
            </w:r>
            <w:r w:rsidRPr="00026122">
              <w:rPr>
                <w:rFonts w:cs="Arial"/>
                <w:b w:val="0"/>
                <w:bCs w:val="0"/>
                <w:sz w:val="14"/>
                <w:szCs w:val="14"/>
              </w:rPr>
              <w:t xml:space="preserve"> (IFRS)</w:t>
            </w:r>
          </w:p>
        </w:tc>
        <w:tc>
          <w:tcPr>
            <w:tcW w:w="1709" w:type="dxa"/>
            <w:tcBorders>
              <w:top w:val="nil"/>
              <w:left w:val="nil"/>
              <w:bottom w:val="nil"/>
              <w:right w:val="nil"/>
            </w:tcBorders>
            <w:shd w:val="clear" w:color="auto" w:fill="auto"/>
            <w:vAlign w:val="center"/>
          </w:tcPr>
          <w:p w14:paraId="274C2CEA" w14:textId="77777777" w:rsidR="008B7E19" w:rsidRPr="00026122"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sz w:val="14"/>
                <w:szCs w:val="14"/>
              </w:rPr>
            </w:pPr>
            <w:r w:rsidRPr="007951AC">
              <w:rPr>
                <w:rFonts w:cs="Arial"/>
                <w:sz w:val="14"/>
                <w:szCs w:val="14"/>
              </w:rPr>
              <w:t xml:space="preserve"> 9</w:t>
            </w:r>
            <w:r>
              <w:rPr>
                <w:rFonts w:cs="Arial"/>
                <w:sz w:val="14"/>
                <w:szCs w:val="14"/>
              </w:rPr>
              <w:t>,</w:t>
            </w:r>
            <w:r w:rsidRPr="007951AC">
              <w:rPr>
                <w:rFonts w:cs="Arial"/>
                <w:sz w:val="14"/>
                <w:szCs w:val="14"/>
              </w:rPr>
              <w:t xml:space="preserve">431 </w:t>
            </w:r>
          </w:p>
        </w:tc>
        <w:tc>
          <w:tcPr>
            <w:tcW w:w="1709" w:type="dxa"/>
            <w:tcBorders>
              <w:top w:val="nil"/>
              <w:left w:val="nil"/>
              <w:bottom w:val="nil"/>
              <w:right w:val="nil"/>
            </w:tcBorders>
            <w:shd w:val="clear" w:color="auto" w:fill="auto"/>
            <w:vAlign w:val="center"/>
          </w:tcPr>
          <w:p w14:paraId="3063DED5" w14:textId="77777777" w:rsidR="008B7E19" w:rsidRPr="00026122"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sz w:val="14"/>
                <w:szCs w:val="14"/>
              </w:rPr>
            </w:pPr>
            <w:r w:rsidRPr="007951AC">
              <w:rPr>
                <w:rFonts w:cs="Arial"/>
                <w:sz w:val="14"/>
                <w:szCs w:val="14"/>
              </w:rPr>
              <w:t xml:space="preserve"> 10</w:t>
            </w:r>
            <w:r>
              <w:rPr>
                <w:rFonts w:cs="Arial"/>
                <w:sz w:val="14"/>
                <w:szCs w:val="14"/>
              </w:rPr>
              <w:t>,</w:t>
            </w:r>
            <w:r w:rsidRPr="007951AC">
              <w:rPr>
                <w:rFonts w:cs="Arial"/>
                <w:sz w:val="14"/>
                <w:szCs w:val="14"/>
              </w:rPr>
              <w:t xml:space="preserve">143 </w:t>
            </w:r>
          </w:p>
        </w:tc>
        <w:tc>
          <w:tcPr>
            <w:tcW w:w="1709" w:type="dxa"/>
            <w:tcBorders>
              <w:top w:val="nil"/>
              <w:left w:val="nil"/>
              <w:bottom w:val="nil"/>
              <w:right w:val="nil"/>
            </w:tcBorders>
            <w:shd w:val="clear" w:color="auto" w:fill="auto"/>
            <w:vAlign w:val="center"/>
          </w:tcPr>
          <w:p w14:paraId="02685259" w14:textId="77777777" w:rsidR="008B7E19" w:rsidRPr="00026122"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sz w:val="14"/>
                <w:szCs w:val="14"/>
              </w:rPr>
            </w:pPr>
            <w:r w:rsidRPr="007951AC">
              <w:rPr>
                <w:rFonts w:cs="Arial"/>
                <w:sz w:val="14"/>
                <w:szCs w:val="14"/>
              </w:rPr>
              <w:t xml:space="preserve"> 22</w:t>
            </w:r>
            <w:r>
              <w:rPr>
                <w:rFonts w:cs="Arial"/>
                <w:sz w:val="14"/>
                <w:szCs w:val="14"/>
              </w:rPr>
              <w:t>,</w:t>
            </w:r>
            <w:r w:rsidRPr="007951AC">
              <w:rPr>
                <w:rFonts w:cs="Arial"/>
                <w:sz w:val="14"/>
                <w:szCs w:val="14"/>
              </w:rPr>
              <w:t xml:space="preserve">216 </w:t>
            </w:r>
          </w:p>
        </w:tc>
        <w:tc>
          <w:tcPr>
            <w:tcW w:w="1709" w:type="dxa"/>
            <w:tcBorders>
              <w:top w:val="nil"/>
              <w:left w:val="nil"/>
              <w:bottom w:val="nil"/>
              <w:right w:val="nil"/>
            </w:tcBorders>
            <w:shd w:val="clear" w:color="auto" w:fill="auto"/>
            <w:vAlign w:val="center"/>
          </w:tcPr>
          <w:p w14:paraId="772BBFF3" w14:textId="77777777" w:rsidR="008B7E19" w:rsidRPr="00026122"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color w:val="000000"/>
                <w:sz w:val="14"/>
                <w:szCs w:val="14"/>
              </w:rPr>
            </w:pPr>
            <w:r w:rsidRPr="007951AC">
              <w:rPr>
                <w:rFonts w:cs="Arial"/>
                <w:sz w:val="14"/>
                <w:szCs w:val="14"/>
              </w:rPr>
              <w:t xml:space="preserve"> 30</w:t>
            </w:r>
            <w:r>
              <w:rPr>
                <w:rFonts w:cs="Arial"/>
                <w:sz w:val="14"/>
                <w:szCs w:val="14"/>
              </w:rPr>
              <w:t>,</w:t>
            </w:r>
            <w:r w:rsidRPr="007951AC">
              <w:rPr>
                <w:rFonts w:cs="Arial"/>
                <w:sz w:val="14"/>
                <w:szCs w:val="14"/>
              </w:rPr>
              <w:t xml:space="preserve">781 </w:t>
            </w:r>
          </w:p>
        </w:tc>
      </w:tr>
      <w:tr w:rsidR="008B7E19" w:rsidRPr="00026122" w14:paraId="54CDAA0A"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single" w:sz="2" w:space="0" w:color="1F4E79" w:themeColor="accent1" w:themeShade="80"/>
              <w:right w:val="nil"/>
            </w:tcBorders>
            <w:shd w:val="clear" w:color="auto" w:fill="auto"/>
            <w:vAlign w:val="center"/>
          </w:tcPr>
          <w:p w14:paraId="2E2B2761" w14:textId="77777777" w:rsidR="008B7E19" w:rsidRPr="00026122" w:rsidRDefault="008B7E19" w:rsidP="008B7E19">
            <w:pPr>
              <w:keepNext/>
              <w:keepLines/>
              <w:spacing w:before="40" w:after="40"/>
              <w:rPr>
                <w:rFonts w:cs="Arial"/>
                <w:b w:val="0"/>
                <w:bCs w:val="0"/>
                <w:sz w:val="14"/>
                <w:szCs w:val="14"/>
              </w:rPr>
            </w:pPr>
            <w:r w:rsidRPr="00FC09E4">
              <w:rPr>
                <w:rFonts w:cs="Arial"/>
                <w:b w:val="0"/>
                <w:bCs w:val="0"/>
                <w:sz w:val="14"/>
                <w:szCs w:val="14"/>
              </w:rPr>
              <w:t>Comprehensive income</w:t>
            </w:r>
            <w:r>
              <w:rPr>
                <w:rFonts w:cs="Arial"/>
                <w:b w:val="0"/>
                <w:bCs w:val="0"/>
                <w:sz w:val="14"/>
                <w:szCs w:val="14"/>
              </w:rPr>
              <w:t xml:space="preserve"> </w:t>
            </w:r>
            <w:r w:rsidRPr="00026122">
              <w:rPr>
                <w:rFonts w:cs="Arial"/>
                <w:b w:val="0"/>
                <w:bCs w:val="0"/>
                <w:sz w:val="14"/>
                <w:szCs w:val="14"/>
              </w:rPr>
              <w:t>(IFRS)</w:t>
            </w:r>
          </w:p>
        </w:tc>
        <w:tc>
          <w:tcPr>
            <w:tcW w:w="1709" w:type="dxa"/>
            <w:tcBorders>
              <w:top w:val="nil"/>
              <w:left w:val="nil"/>
              <w:bottom w:val="single" w:sz="2" w:space="0" w:color="1F4E79" w:themeColor="accent1" w:themeShade="80"/>
              <w:right w:val="nil"/>
            </w:tcBorders>
            <w:shd w:val="clear" w:color="auto" w:fill="auto"/>
            <w:vAlign w:val="center"/>
          </w:tcPr>
          <w:p w14:paraId="48928935" w14:textId="77777777" w:rsidR="008B7E19" w:rsidRPr="00A225CF"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rPr>
            </w:pPr>
            <w:r w:rsidRPr="007951AC">
              <w:rPr>
                <w:rFonts w:cs="Arial"/>
                <w:sz w:val="14"/>
                <w:szCs w:val="14"/>
              </w:rPr>
              <w:t xml:space="preserve"> 9</w:t>
            </w:r>
            <w:r>
              <w:rPr>
                <w:rFonts w:cs="Arial"/>
                <w:sz w:val="14"/>
                <w:szCs w:val="14"/>
              </w:rPr>
              <w:t>,</w:t>
            </w:r>
            <w:r w:rsidRPr="007951AC">
              <w:rPr>
                <w:rFonts w:cs="Arial"/>
                <w:sz w:val="14"/>
                <w:szCs w:val="14"/>
              </w:rPr>
              <w:t xml:space="preserve">125 </w:t>
            </w:r>
          </w:p>
        </w:tc>
        <w:tc>
          <w:tcPr>
            <w:tcW w:w="1709" w:type="dxa"/>
            <w:tcBorders>
              <w:top w:val="nil"/>
              <w:left w:val="nil"/>
              <w:bottom w:val="single" w:sz="2" w:space="0" w:color="1F4E79" w:themeColor="accent1" w:themeShade="80"/>
              <w:right w:val="nil"/>
            </w:tcBorders>
            <w:shd w:val="clear" w:color="auto" w:fill="auto"/>
            <w:vAlign w:val="center"/>
          </w:tcPr>
          <w:p w14:paraId="38A68F58" w14:textId="77777777" w:rsidR="008B7E19" w:rsidRPr="00A225CF"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rPr>
            </w:pPr>
            <w:r w:rsidRPr="007951AC">
              <w:rPr>
                <w:rFonts w:cs="Arial"/>
                <w:sz w:val="14"/>
                <w:szCs w:val="14"/>
              </w:rPr>
              <w:t xml:space="preserve"> 9</w:t>
            </w:r>
            <w:r>
              <w:rPr>
                <w:rFonts w:cs="Arial"/>
                <w:sz w:val="14"/>
                <w:szCs w:val="14"/>
              </w:rPr>
              <w:t>,</w:t>
            </w:r>
            <w:r w:rsidRPr="007951AC">
              <w:rPr>
                <w:rFonts w:cs="Arial"/>
                <w:sz w:val="14"/>
                <w:szCs w:val="14"/>
              </w:rPr>
              <w:t xml:space="preserve">888 </w:t>
            </w:r>
          </w:p>
        </w:tc>
        <w:tc>
          <w:tcPr>
            <w:tcW w:w="1709" w:type="dxa"/>
            <w:tcBorders>
              <w:top w:val="nil"/>
              <w:left w:val="nil"/>
              <w:bottom w:val="single" w:sz="2" w:space="0" w:color="1F4E79" w:themeColor="accent1" w:themeShade="80"/>
              <w:right w:val="nil"/>
            </w:tcBorders>
            <w:shd w:val="clear" w:color="auto" w:fill="auto"/>
            <w:vAlign w:val="center"/>
          </w:tcPr>
          <w:p w14:paraId="68D5FBAF" w14:textId="77777777" w:rsidR="008B7E19" w:rsidRPr="00026122"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rPr>
            </w:pPr>
            <w:r w:rsidRPr="007951AC">
              <w:rPr>
                <w:rFonts w:cs="Arial"/>
                <w:sz w:val="14"/>
                <w:szCs w:val="14"/>
              </w:rPr>
              <w:t xml:space="preserve"> 22</w:t>
            </w:r>
            <w:r>
              <w:rPr>
                <w:rFonts w:cs="Arial"/>
                <w:sz w:val="14"/>
                <w:szCs w:val="14"/>
              </w:rPr>
              <w:t>,</w:t>
            </w:r>
            <w:r w:rsidRPr="007951AC">
              <w:rPr>
                <w:rFonts w:cs="Arial"/>
                <w:sz w:val="14"/>
                <w:szCs w:val="14"/>
              </w:rPr>
              <w:t xml:space="preserve">188 </w:t>
            </w:r>
          </w:p>
        </w:tc>
        <w:tc>
          <w:tcPr>
            <w:tcW w:w="1709" w:type="dxa"/>
            <w:tcBorders>
              <w:top w:val="nil"/>
              <w:left w:val="nil"/>
              <w:bottom w:val="single" w:sz="2" w:space="0" w:color="1F4E79" w:themeColor="accent1" w:themeShade="80"/>
              <w:right w:val="nil"/>
            </w:tcBorders>
            <w:shd w:val="clear" w:color="auto" w:fill="auto"/>
            <w:vAlign w:val="center"/>
          </w:tcPr>
          <w:p w14:paraId="742544CF" w14:textId="77777777" w:rsidR="008B7E19" w:rsidRPr="00026122"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7951AC">
              <w:rPr>
                <w:rFonts w:cs="Arial"/>
                <w:sz w:val="14"/>
                <w:szCs w:val="14"/>
              </w:rPr>
              <w:t xml:space="preserve"> 30</w:t>
            </w:r>
            <w:r>
              <w:rPr>
                <w:rFonts w:cs="Arial"/>
                <w:sz w:val="14"/>
                <w:szCs w:val="14"/>
              </w:rPr>
              <w:t>,</w:t>
            </w:r>
            <w:r w:rsidRPr="007951AC">
              <w:rPr>
                <w:rFonts w:cs="Arial"/>
                <w:sz w:val="14"/>
                <w:szCs w:val="14"/>
              </w:rPr>
              <w:t xml:space="preserve">795 </w:t>
            </w:r>
          </w:p>
        </w:tc>
      </w:tr>
    </w:tbl>
    <w:p w14:paraId="710130C0" w14:textId="77777777" w:rsidR="008B7E19" w:rsidRDefault="008B7E19" w:rsidP="008B7E19">
      <w:pPr>
        <w:spacing w:after="0" w:line="240" w:lineRule="auto"/>
        <w:rPr>
          <w:rFonts w:eastAsia="Times New Roman" w:cs="Arial"/>
          <w:spacing w:val="-2"/>
          <w:szCs w:val="20"/>
          <w:lang w:eastAsia="zh-CN"/>
        </w:rPr>
      </w:pPr>
    </w:p>
    <w:p w14:paraId="55B81DE6" w14:textId="77777777" w:rsidR="008B7E19" w:rsidRPr="00FC09E4" w:rsidRDefault="008B7E19" w:rsidP="008B7E19">
      <w:pPr>
        <w:spacing w:after="0" w:line="240" w:lineRule="auto"/>
        <w:jc w:val="right"/>
        <w:rPr>
          <w:rFonts w:cs="Arial"/>
          <w:b/>
          <w:sz w:val="14"/>
          <w:lang w:val="en-US" w:eastAsia="pt-BR"/>
        </w:rPr>
      </w:pPr>
      <w:r w:rsidRPr="00FC09E4">
        <w:rPr>
          <w:rFonts w:cs="Arial"/>
          <w:b/>
          <w:sz w:val="14"/>
          <w:lang w:val="en-US" w:eastAsia="pt-BR"/>
        </w:rPr>
        <w:t>R$ thousand</w:t>
      </w:r>
    </w:p>
    <w:tbl>
      <w:tblPr>
        <w:tblStyle w:val="TabeladeLista6Colorida-nfase512"/>
        <w:tblW w:w="9639" w:type="dxa"/>
        <w:jc w:val="center"/>
        <w:tblInd w:w="0" w:type="dxa"/>
        <w:tblLayout w:type="fixed"/>
        <w:tblLook w:val="04A0" w:firstRow="1" w:lastRow="0" w:firstColumn="1" w:lastColumn="0" w:noHBand="0" w:noVBand="1"/>
      </w:tblPr>
      <w:tblGrid>
        <w:gridCol w:w="5387"/>
        <w:gridCol w:w="2126"/>
        <w:gridCol w:w="2126"/>
      </w:tblGrid>
      <w:tr w:rsidR="008B7E19" w:rsidRPr="00537AE7" w14:paraId="08D819DD" w14:textId="77777777" w:rsidTr="008B7E19">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387" w:type="dxa"/>
            <w:tcBorders>
              <w:top w:val="single" w:sz="2" w:space="0" w:color="1F4E79" w:themeColor="accent1" w:themeShade="80"/>
              <w:left w:val="nil"/>
              <w:bottom w:val="single" w:sz="2" w:space="0" w:color="1F4E79" w:themeColor="accent1" w:themeShade="80"/>
              <w:right w:val="nil"/>
            </w:tcBorders>
            <w:shd w:val="clear" w:color="auto" w:fill="auto"/>
            <w:vAlign w:val="center"/>
          </w:tcPr>
          <w:p w14:paraId="135FECFB" w14:textId="77777777" w:rsidR="008B7E19" w:rsidRPr="00537AE7" w:rsidRDefault="008B7E19" w:rsidP="008B7E19">
            <w:pPr>
              <w:jc w:val="center"/>
              <w:rPr>
                <w:rFonts w:cs="Arial"/>
                <w:sz w:val="14"/>
                <w:szCs w:val="14"/>
              </w:rPr>
            </w:pPr>
          </w:p>
        </w:tc>
        <w:tc>
          <w:tcPr>
            <w:tcW w:w="2126" w:type="dxa"/>
            <w:tcBorders>
              <w:top w:val="single" w:sz="2" w:space="0" w:color="1F4E79" w:themeColor="accent1" w:themeShade="80"/>
              <w:left w:val="nil"/>
              <w:bottom w:val="single" w:sz="2" w:space="0" w:color="1F4E79" w:themeColor="accent1" w:themeShade="80"/>
              <w:right w:val="nil"/>
            </w:tcBorders>
            <w:shd w:val="clear" w:color="auto" w:fill="auto"/>
            <w:vAlign w:val="center"/>
          </w:tcPr>
          <w:p w14:paraId="6213064A" w14:textId="77777777" w:rsidR="008B7E19" w:rsidRDefault="008B7E19" w:rsidP="008B7E19">
            <w:pPr>
              <w:jc w:val="right"/>
              <w:cnfStyle w:val="100000000000" w:firstRow="1" w:lastRow="0" w:firstColumn="0" w:lastColumn="0" w:oddVBand="0" w:evenVBand="0" w:oddHBand="0" w:evenHBand="0" w:firstRowFirstColumn="0" w:firstRowLastColumn="0" w:lastRowFirstColumn="0" w:lastRowLastColumn="0"/>
              <w:rPr>
                <w:rFonts w:cs="Arial"/>
                <w:sz w:val="14"/>
                <w:szCs w:val="14"/>
              </w:rPr>
            </w:pPr>
            <w:r>
              <w:rPr>
                <w:rFonts w:cs="Arial"/>
                <w:sz w:val="14"/>
                <w:szCs w:val="14"/>
              </w:rPr>
              <w:t>June 30, 2023</w:t>
            </w:r>
          </w:p>
        </w:tc>
        <w:tc>
          <w:tcPr>
            <w:tcW w:w="2126" w:type="dxa"/>
            <w:tcBorders>
              <w:top w:val="single" w:sz="2" w:space="0" w:color="1F4E79" w:themeColor="accent1" w:themeShade="80"/>
              <w:left w:val="nil"/>
              <w:bottom w:val="single" w:sz="2" w:space="0" w:color="1F4E79" w:themeColor="accent1" w:themeShade="80"/>
              <w:right w:val="nil"/>
            </w:tcBorders>
            <w:shd w:val="clear" w:color="auto" w:fill="auto"/>
            <w:vAlign w:val="center"/>
          </w:tcPr>
          <w:p w14:paraId="0EE52C10" w14:textId="77777777" w:rsidR="008B7E19" w:rsidRDefault="008B7E19" w:rsidP="008B7E19">
            <w:pPr>
              <w:jc w:val="right"/>
              <w:cnfStyle w:val="100000000000" w:firstRow="1" w:lastRow="0" w:firstColumn="0" w:lastColumn="0" w:oddVBand="0" w:evenVBand="0" w:oddHBand="0" w:evenHBand="0" w:firstRowFirstColumn="0" w:firstRowLastColumn="0" w:lastRowFirstColumn="0" w:lastRowLastColumn="0"/>
              <w:rPr>
                <w:rFonts w:cs="Arial"/>
                <w:sz w:val="14"/>
                <w:szCs w:val="14"/>
              </w:rPr>
            </w:pPr>
            <w:r>
              <w:rPr>
                <w:rFonts w:cs="Arial"/>
                <w:sz w:val="14"/>
                <w:szCs w:val="14"/>
              </w:rPr>
              <w:t>Dec 31, 2022</w:t>
            </w:r>
          </w:p>
        </w:tc>
      </w:tr>
      <w:tr w:rsidR="008B7E19" w:rsidRPr="00026122" w14:paraId="1BE1C7A0"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387" w:type="dxa"/>
            <w:tcBorders>
              <w:top w:val="single" w:sz="2" w:space="0" w:color="1F4E79" w:themeColor="accent1" w:themeShade="80"/>
              <w:left w:val="nil"/>
              <w:bottom w:val="nil"/>
              <w:right w:val="nil"/>
            </w:tcBorders>
            <w:shd w:val="clear" w:color="auto" w:fill="auto"/>
            <w:vAlign w:val="center"/>
          </w:tcPr>
          <w:p w14:paraId="6564E1AA" w14:textId="77777777" w:rsidR="008B7E19" w:rsidRPr="00026122" w:rsidRDefault="008B7E19" w:rsidP="008B7E19">
            <w:pPr>
              <w:keepNext/>
              <w:keepLines/>
              <w:rPr>
                <w:rFonts w:eastAsia="Times New Roman" w:cs="Arial"/>
                <w:b w:val="0"/>
                <w:bCs w:val="0"/>
                <w:spacing w:val="-2"/>
                <w:sz w:val="14"/>
                <w:szCs w:val="14"/>
              </w:rPr>
            </w:pPr>
            <w:r w:rsidRPr="00FC09E4">
              <w:rPr>
                <w:rFonts w:cs="Arial"/>
                <w:b w:val="0"/>
                <w:bCs w:val="0"/>
                <w:sz w:val="14"/>
                <w:szCs w:val="14"/>
              </w:rPr>
              <w:t>Equity</w:t>
            </w:r>
            <w:r w:rsidRPr="00026122">
              <w:rPr>
                <w:rFonts w:cs="Arial"/>
                <w:b w:val="0"/>
                <w:bCs w:val="0"/>
                <w:sz w:val="14"/>
                <w:szCs w:val="14"/>
              </w:rPr>
              <w:t xml:space="preserve"> (SUSEP)</w:t>
            </w:r>
          </w:p>
        </w:tc>
        <w:tc>
          <w:tcPr>
            <w:tcW w:w="2126" w:type="dxa"/>
            <w:tcBorders>
              <w:top w:val="single" w:sz="2" w:space="0" w:color="1F4E79" w:themeColor="accent1" w:themeShade="80"/>
              <w:left w:val="nil"/>
              <w:bottom w:val="nil"/>
              <w:right w:val="nil"/>
            </w:tcBorders>
            <w:shd w:val="clear" w:color="auto" w:fill="auto"/>
            <w:vAlign w:val="center"/>
          </w:tcPr>
          <w:p w14:paraId="6A32214E" w14:textId="77777777" w:rsidR="008B7E19" w:rsidRPr="00026122"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rPr>
            </w:pPr>
            <w:r w:rsidRPr="009A1C26">
              <w:rPr>
                <w:rFonts w:cs="Arial"/>
                <w:sz w:val="14"/>
                <w:szCs w:val="14"/>
              </w:rPr>
              <w:t>253</w:t>
            </w:r>
            <w:r>
              <w:rPr>
                <w:rFonts w:cs="Arial"/>
                <w:sz w:val="14"/>
                <w:szCs w:val="14"/>
              </w:rPr>
              <w:t>,</w:t>
            </w:r>
            <w:r w:rsidRPr="009A1C26">
              <w:rPr>
                <w:rFonts w:cs="Arial"/>
                <w:sz w:val="14"/>
                <w:szCs w:val="14"/>
              </w:rPr>
              <w:t>068</w:t>
            </w:r>
          </w:p>
        </w:tc>
        <w:tc>
          <w:tcPr>
            <w:tcW w:w="2126" w:type="dxa"/>
            <w:tcBorders>
              <w:top w:val="single" w:sz="2" w:space="0" w:color="1F4E79" w:themeColor="accent1" w:themeShade="80"/>
              <w:left w:val="nil"/>
              <w:bottom w:val="nil"/>
              <w:right w:val="nil"/>
            </w:tcBorders>
            <w:shd w:val="clear" w:color="auto" w:fill="auto"/>
            <w:vAlign w:val="center"/>
          </w:tcPr>
          <w:p w14:paraId="2034926B" w14:textId="77777777" w:rsidR="008B7E19" w:rsidRPr="00026122"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rPr>
            </w:pPr>
            <w:r w:rsidRPr="009A1C26">
              <w:rPr>
                <w:rFonts w:cs="Arial"/>
                <w:sz w:val="14"/>
                <w:szCs w:val="14"/>
              </w:rPr>
              <w:t>242</w:t>
            </w:r>
            <w:r>
              <w:rPr>
                <w:rFonts w:cs="Arial"/>
                <w:sz w:val="14"/>
                <w:szCs w:val="14"/>
              </w:rPr>
              <w:t>,</w:t>
            </w:r>
            <w:r w:rsidRPr="009A1C26">
              <w:rPr>
                <w:rFonts w:cs="Arial"/>
                <w:sz w:val="14"/>
                <w:szCs w:val="14"/>
              </w:rPr>
              <w:t>526</w:t>
            </w:r>
          </w:p>
        </w:tc>
      </w:tr>
      <w:tr w:rsidR="008B7E19" w:rsidRPr="00026122" w14:paraId="7AC359B4" w14:textId="77777777" w:rsidTr="008B7E1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387" w:type="dxa"/>
            <w:tcBorders>
              <w:top w:val="nil"/>
              <w:left w:val="nil"/>
              <w:bottom w:val="single" w:sz="2" w:space="0" w:color="1F4E79" w:themeColor="accent1" w:themeShade="80"/>
              <w:right w:val="nil"/>
            </w:tcBorders>
            <w:shd w:val="clear" w:color="auto" w:fill="auto"/>
            <w:vAlign w:val="center"/>
          </w:tcPr>
          <w:p w14:paraId="3FB3F3CE" w14:textId="77777777" w:rsidR="008B7E19" w:rsidRPr="00026122" w:rsidRDefault="008B7E19" w:rsidP="008B7E19">
            <w:pPr>
              <w:keepNext/>
              <w:keepLines/>
              <w:spacing w:before="40" w:after="40"/>
              <w:rPr>
                <w:rFonts w:cs="Arial"/>
                <w:b w:val="0"/>
                <w:bCs w:val="0"/>
                <w:sz w:val="14"/>
                <w:szCs w:val="14"/>
              </w:rPr>
            </w:pPr>
            <w:r w:rsidRPr="00FC09E4">
              <w:rPr>
                <w:rFonts w:cs="Arial"/>
                <w:b w:val="0"/>
                <w:bCs w:val="0"/>
                <w:sz w:val="14"/>
                <w:szCs w:val="14"/>
              </w:rPr>
              <w:t>Equity</w:t>
            </w:r>
            <w:r w:rsidRPr="00026122">
              <w:rPr>
                <w:rFonts w:cs="Arial"/>
                <w:b w:val="0"/>
                <w:bCs w:val="0"/>
                <w:sz w:val="14"/>
                <w:szCs w:val="14"/>
              </w:rPr>
              <w:t xml:space="preserve"> (IFRS)</w:t>
            </w:r>
          </w:p>
        </w:tc>
        <w:tc>
          <w:tcPr>
            <w:tcW w:w="2126" w:type="dxa"/>
            <w:tcBorders>
              <w:top w:val="nil"/>
              <w:left w:val="nil"/>
              <w:bottom w:val="single" w:sz="2" w:space="0" w:color="1F4E79" w:themeColor="accent1" w:themeShade="80"/>
              <w:right w:val="nil"/>
            </w:tcBorders>
            <w:shd w:val="clear" w:color="auto" w:fill="auto"/>
            <w:vAlign w:val="center"/>
          </w:tcPr>
          <w:p w14:paraId="759D05E4" w14:textId="77777777" w:rsidR="008B7E19" w:rsidRPr="00026122"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sz w:val="14"/>
                <w:szCs w:val="14"/>
              </w:rPr>
            </w:pPr>
            <w:r w:rsidRPr="009A1C26">
              <w:rPr>
                <w:rFonts w:cs="Arial"/>
                <w:sz w:val="14"/>
                <w:szCs w:val="14"/>
              </w:rPr>
              <w:t>247</w:t>
            </w:r>
            <w:r>
              <w:rPr>
                <w:rFonts w:cs="Arial"/>
                <w:sz w:val="14"/>
                <w:szCs w:val="14"/>
              </w:rPr>
              <w:t>,</w:t>
            </w:r>
            <w:r w:rsidRPr="009A1C26">
              <w:rPr>
                <w:rFonts w:cs="Arial"/>
                <w:sz w:val="14"/>
                <w:szCs w:val="14"/>
              </w:rPr>
              <w:t>008</w:t>
            </w:r>
          </w:p>
        </w:tc>
        <w:tc>
          <w:tcPr>
            <w:tcW w:w="2126" w:type="dxa"/>
            <w:tcBorders>
              <w:top w:val="nil"/>
              <w:left w:val="nil"/>
              <w:bottom w:val="single" w:sz="2" w:space="0" w:color="1F4E79" w:themeColor="accent1" w:themeShade="80"/>
              <w:right w:val="nil"/>
            </w:tcBorders>
            <w:shd w:val="clear" w:color="auto" w:fill="auto"/>
            <w:vAlign w:val="center"/>
          </w:tcPr>
          <w:p w14:paraId="23F7F6CA" w14:textId="77777777" w:rsidR="008B7E19" w:rsidRPr="00026122"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sz w:val="14"/>
                <w:szCs w:val="14"/>
              </w:rPr>
            </w:pPr>
            <w:r w:rsidRPr="009A1C26">
              <w:rPr>
                <w:rFonts w:cs="Arial"/>
                <w:sz w:val="14"/>
                <w:szCs w:val="14"/>
              </w:rPr>
              <w:t>237</w:t>
            </w:r>
            <w:r>
              <w:rPr>
                <w:rFonts w:cs="Arial"/>
                <w:sz w:val="14"/>
                <w:szCs w:val="14"/>
              </w:rPr>
              <w:t>,</w:t>
            </w:r>
            <w:r w:rsidRPr="009A1C26">
              <w:rPr>
                <w:rFonts w:cs="Arial"/>
                <w:sz w:val="14"/>
                <w:szCs w:val="14"/>
              </w:rPr>
              <w:t>120</w:t>
            </w:r>
          </w:p>
        </w:tc>
      </w:tr>
    </w:tbl>
    <w:p w14:paraId="335542AE" w14:textId="77777777" w:rsidR="008B7E19" w:rsidRDefault="008B7E19" w:rsidP="008B7E19">
      <w:pPr>
        <w:spacing w:after="0" w:line="240" w:lineRule="auto"/>
        <w:rPr>
          <w:rFonts w:eastAsia="Times New Roman" w:cs="Times New Roman"/>
          <w:b/>
          <w:color w:val="1F4E79" w:themeColor="accent1" w:themeShade="80"/>
          <w:spacing w:val="-2"/>
          <w:szCs w:val="20"/>
          <w:lang w:eastAsia="pt-BR"/>
        </w:rPr>
      </w:pPr>
    </w:p>
    <w:p w14:paraId="68EBE374" w14:textId="77777777" w:rsidR="008B7E19" w:rsidRPr="00C83A83" w:rsidRDefault="008B7E19" w:rsidP="008B7E19">
      <w:pPr>
        <w:pageBreakBefore/>
        <w:spacing w:after="0" w:line="240" w:lineRule="auto"/>
        <w:rPr>
          <w:rFonts w:eastAsia="Times New Roman" w:cs="Times New Roman"/>
          <w:b/>
          <w:color w:val="1F4E79" w:themeColor="accent1" w:themeShade="80"/>
          <w:spacing w:val="-2"/>
          <w:szCs w:val="20"/>
          <w:lang w:eastAsia="pt-BR"/>
        </w:rPr>
      </w:pPr>
      <w:r>
        <w:rPr>
          <w:rFonts w:eastAsia="Times New Roman" w:cs="Times New Roman"/>
          <w:b/>
          <w:color w:val="1F4E79" w:themeColor="accent1" w:themeShade="80"/>
          <w:spacing w:val="-2"/>
          <w:szCs w:val="20"/>
          <w:lang w:eastAsia="pt-BR"/>
        </w:rPr>
        <w:t>c</w:t>
      </w:r>
      <w:r w:rsidRPr="006F152E">
        <w:rPr>
          <w:rFonts w:eastAsia="Times New Roman" w:cs="Times New Roman"/>
          <w:b/>
          <w:color w:val="1F4E79" w:themeColor="accent1" w:themeShade="80"/>
          <w:spacing w:val="-2"/>
          <w:szCs w:val="20"/>
          <w:lang w:eastAsia="pt-BR"/>
        </w:rPr>
        <w:t>.</w:t>
      </w:r>
      <w:r>
        <w:rPr>
          <w:rFonts w:eastAsia="Times New Roman" w:cs="Times New Roman"/>
          <w:b/>
          <w:color w:val="1F4E79" w:themeColor="accent1" w:themeShade="80"/>
          <w:spacing w:val="-2"/>
          <w:szCs w:val="20"/>
          <w:lang w:eastAsia="pt-BR"/>
        </w:rPr>
        <w:t>2</w:t>
      </w:r>
      <w:r w:rsidRPr="006F152E">
        <w:rPr>
          <w:rFonts w:eastAsia="Times New Roman" w:cs="Times New Roman"/>
          <w:b/>
          <w:color w:val="1F4E79" w:themeColor="accent1" w:themeShade="80"/>
          <w:spacing w:val="-2"/>
          <w:szCs w:val="20"/>
          <w:lang w:eastAsia="pt-BR"/>
        </w:rPr>
        <w:t xml:space="preserve">) </w:t>
      </w:r>
      <w:r w:rsidRPr="004C34C1">
        <w:rPr>
          <w:rFonts w:eastAsia="Times New Roman" w:cs="Times New Roman"/>
          <w:b/>
          <w:color w:val="1F4E79" w:themeColor="accent1" w:themeShade="80"/>
          <w:spacing w:val="-2"/>
          <w:szCs w:val="20"/>
          <w:lang w:eastAsia="pt-BR"/>
        </w:rPr>
        <w:t xml:space="preserve">Brasilprev Seguros </w:t>
      </w:r>
      <w:r>
        <w:rPr>
          <w:rFonts w:eastAsia="Times New Roman" w:cs="Times New Roman"/>
          <w:b/>
          <w:color w:val="1F4E79" w:themeColor="accent1" w:themeShade="80"/>
          <w:spacing w:val="-2"/>
          <w:szCs w:val="20"/>
          <w:lang w:eastAsia="pt-BR"/>
        </w:rPr>
        <w:t>and</w:t>
      </w:r>
      <w:r w:rsidRPr="004C34C1">
        <w:rPr>
          <w:rFonts w:eastAsia="Times New Roman" w:cs="Times New Roman"/>
          <w:b/>
          <w:color w:val="1F4E79" w:themeColor="accent1" w:themeShade="80"/>
          <w:spacing w:val="-2"/>
          <w:szCs w:val="20"/>
          <w:lang w:eastAsia="pt-BR"/>
        </w:rPr>
        <w:t xml:space="preserve"> Previdência S.A. (Brasilprev)</w:t>
      </w:r>
    </w:p>
    <w:p w14:paraId="3C81B59A" w14:textId="77777777" w:rsidR="008B7E19" w:rsidRDefault="008B7E19" w:rsidP="008B7E19">
      <w:pPr>
        <w:spacing w:after="0" w:line="240" w:lineRule="auto"/>
        <w:rPr>
          <w:rFonts w:eastAsia="Times New Roman" w:cs="Times New Roman"/>
          <w:b/>
          <w:color w:val="1F4E79" w:themeColor="accent1" w:themeShade="80"/>
          <w:spacing w:val="-2"/>
          <w:szCs w:val="20"/>
          <w:lang w:eastAsia="pt-BR"/>
        </w:rPr>
      </w:pPr>
    </w:p>
    <w:p w14:paraId="5720B454" w14:textId="77777777" w:rsidR="008B7E19" w:rsidRDefault="008B7E19" w:rsidP="008B7E19">
      <w:pPr>
        <w:spacing w:after="0" w:line="240" w:lineRule="auto"/>
        <w:rPr>
          <w:rFonts w:eastAsia="Times New Roman" w:cs="Arial"/>
          <w:spacing w:val="-2"/>
          <w:szCs w:val="20"/>
          <w:lang w:eastAsia="zh-CN"/>
        </w:rPr>
      </w:pPr>
      <w:r>
        <w:rPr>
          <w:rFonts w:eastAsia="Times New Roman" w:cs="Times New Roman"/>
          <w:b/>
          <w:color w:val="1F4E79" w:themeColor="accent1" w:themeShade="80"/>
          <w:spacing w:val="-2"/>
          <w:szCs w:val="20"/>
          <w:lang w:eastAsia="pt-BR"/>
        </w:rPr>
        <w:t>Income Statement Information</w:t>
      </w:r>
    </w:p>
    <w:p w14:paraId="1CB2DD20" w14:textId="77777777" w:rsidR="008B7E19" w:rsidRDefault="008B7E19" w:rsidP="008B7E19">
      <w:pPr>
        <w:keepNext/>
        <w:keepLines/>
        <w:spacing w:after="0" w:line="240" w:lineRule="auto"/>
        <w:rPr>
          <w:rFonts w:eastAsia="Times New Roman" w:cs="Arial"/>
          <w:spacing w:val="-2"/>
          <w:szCs w:val="20"/>
          <w:lang w:eastAsia="zh-CN"/>
        </w:rPr>
      </w:pPr>
    </w:p>
    <w:p w14:paraId="14D9C99A" w14:textId="77777777" w:rsidR="008B7E19" w:rsidRPr="00537AE7" w:rsidRDefault="008B7E19" w:rsidP="008B7E19">
      <w:pPr>
        <w:spacing w:after="0" w:line="240" w:lineRule="auto"/>
        <w:jc w:val="right"/>
        <w:rPr>
          <w:rFonts w:cs="Arial"/>
          <w:b/>
          <w:sz w:val="14"/>
          <w:lang w:eastAsia="pt-BR"/>
        </w:rPr>
      </w:pPr>
      <w:r w:rsidRPr="00537AE7">
        <w:rPr>
          <w:rFonts w:cs="Arial"/>
          <w:b/>
          <w:sz w:val="14"/>
          <w:lang w:eastAsia="pt-BR"/>
        </w:rPr>
        <w:t xml:space="preserve">R$ </w:t>
      </w:r>
      <w:r>
        <w:rPr>
          <w:rFonts w:cs="Arial"/>
          <w:b/>
          <w:sz w:val="14"/>
          <w:lang w:eastAsia="pt-BR"/>
        </w:rPr>
        <w:t>thousand</w:t>
      </w:r>
    </w:p>
    <w:tbl>
      <w:tblPr>
        <w:tblStyle w:val="TabeladeLista6Colorida-nfase512"/>
        <w:tblW w:w="9639" w:type="dxa"/>
        <w:jc w:val="center"/>
        <w:tblInd w:w="0" w:type="dxa"/>
        <w:tblLayout w:type="fixed"/>
        <w:tblLook w:val="04A0" w:firstRow="1" w:lastRow="0" w:firstColumn="1" w:lastColumn="0" w:noHBand="0" w:noVBand="1"/>
      </w:tblPr>
      <w:tblGrid>
        <w:gridCol w:w="2364"/>
        <w:gridCol w:w="1818"/>
        <w:gridCol w:w="1819"/>
        <w:gridCol w:w="1819"/>
        <w:gridCol w:w="1819"/>
      </w:tblGrid>
      <w:tr w:rsidR="008B7E19" w:rsidRPr="005824C3" w14:paraId="313EB24F" w14:textId="77777777" w:rsidTr="008B7E19">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single" w:sz="2" w:space="0" w:color="1F4E79" w:themeColor="accent1" w:themeShade="80"/>
              <w:left w:val="nil"/>
              <w:bottom w:val="single" w:sz="2" w:space="0" w:color="1F4E79" w:themeColor="accent1" w:themeShade="80"/>
              <w:right w:val="nil"/>
            </w:tcBorders>
            <w:shd w:val="clear" w:color="auto" w:fill="auto"/>
            <w:vAlign w:val="center"/>
          </w:tcPr>
          <w:p w14:paraId="0217DC89" w14:textId="77777777" w:rsidR="008B7E19" w:rsidRPr="005824C3" w:rsidRDefault="008B7E19" w:rsidP="008875E7">
            <w:pPr>
              <w:jc w:val="center"/>
              <w:rPr>
                <w:rFonts w:cs="Arial"/>
                <w:sz w:val="14"/>
                <w:szCs w:val="14"/>
              </w:rPr>
            </w:pPr>
          </w:p>
        </w:tc>
        <w:tc>
          <w:tcPr>
            <w:tcW w:w="1818" w:type="dxa"/>
            <w:tcBorders>
              <w:top w:val="single" w:sz="2" w:space="0" w:color="1F4E79" w:themeColor="accent1" w:themeShade="80"/>
              <w:left w:val="nil"/>
              <w:bottom w:val="single" w:sz="2" w:space="0" w:color="1F4E79" w:themeColor="accent1" w:themeShade="80"/>
              <w:right w:val="nil"/>
            </w:tcBorders>
            <w:shd w:val="clear" w:color="auto" w:fill="auto"/>
            <w:vAlign w:val="center"/>
          </w:tcPr>
          <w:p w14:paraId="68742119" w14:textId="77777777" w:rsidR="008B7E19" w:rsidRPr="005824C3" w:rsidRDefault="008B7E19" w:rsidP="008875E7">
            <w:pPr>
              <w:jc w:val="center"/>
              <w:cnfStyle w:val="100000000000" w:firstRow="1" w:lastRow="0" w:firstColumn="0" w:lastColumn="0" w:oddVBand="0" w:evenVBand="0" w:oddHBand="0" w:evenHBand="0" w:firstRowFirstColumn="0" w:firstRowLastColumn="0" w:lastRowFirstColumn="0" w:lastRowLastColumn="0"/>
              <w:rPr>
                <w:rFonts w:cs="Arial"/>
                <w:sz w:val="14"/>
                <w:szCs w:val="14"/>
              </w:rPr>
            </w:pPr>
            <w:r w:rsidRPr="002062A7">
              <w:rPr>
                <w:rFonts w:cs="Arial"/>
                <w:sz w:val="14"/>
                <w:szCs w:val="14"/>
              </w:rPr>
              <w:t>2</w:t>
            </w:r>
            <w:r w:rsidRPr="002062A7">
              <w:rPr>
                <w:rFonts w:cs="Arial"/>
                <w:sz w:val="14"/>
                <w:szCs w:val="14"/>
                <w:vertAlign w:val="superscript"/>
              </w:rPr>
              <w:t>nd</w:t>
            </w:r>
            <w:r w:rsidRPr="002062A7">
              <w:rPr>
                <w:rFonts w:cs="Arial"/>
                <w:sz w:val="14"/>
                <w:szCs w:val="14"/>
              </w:rPr>
              <w:t xml:space="preserve"> Quarter 2023</w:t>
            </w:r>
          </w:p>
        </w:tc>
        <w:tc>
          <w:tcPr>
            <w:tcW w:w="1819" w:type="dxa"/>
            <w:tcBorders>
              <w:top w:val="single" w:sz="2" w:space="0" w:color="1F4E79" w:themeColor="accent1" w:themeShade="80"/>
              <w:left w:val="nil"/>
              <w:bottom w:val="single" w:sz="2" w:space="0" w:color="1F4E79" w:themeColor="accent1" w:themeShade="80"/>
              <w:right w:val="nil"/>
            </w:tcBorders>
            <w:shd w:val="clear" w:color="auto" w:fill="auto"/>
            <w:vAlign w:val="center"/>
          </w:tcPr>
          <w:p w14:paraId="4A26B82A" w14:textId="77777777" w:rsidR="008B7E19" w:rsidRPr="005824C3" w:rsidRDefault="008B7E19" w:rsidP="008875E7">
            <w:pPr>
              <w:jc w:val="center"/>
              <w:cnfStyle w:val="100000000000" w:firstRow="1" w:lastRow="0" w:firstColumn="0" w:lastColumn="0" w:oddVBand="0" w:evenVBand="0" w:oddHBand="0" w:evenHBand="0" w:firstRowFirstColumn="0" w:firstRowLastColumn="0" w:lastRowFirstColumn="0" w:lastRowLastColumn="0"/>
              <w:rPr>
                <w:rFonts w:cs="Arial"/>
                <w:sz w:val="14"/>
                <w:szCs w:val="14"/>
              </w:rPr>
            </w:pPr>
            <w:r w:rsidRPr="002062A7">
              <w:rPr>
                <w:rFonts w:cs="Arial"/>
                <w:sz w:val="14"/>
                <w:szCs w:val="14"/>
              </w:rPr>
              <w:t>1</w:t>
            </w:r>
            <w:r w:rsidRPr="002062A7">
              <w:rPr>
                <w:rFonts w:cs="Arial"/>
                <w:sz w:val="14"/>
                <w:szCs w:val="14"/>
                <w:vertAlign w:val="superscript"/>
              </w:rPr>
              <w:t>st</w:t>
            </w:r>
            <w:r w:rsidRPr="002062A7">
              <w:rPr>
                <w:rFonts w:cs="Arial"/>
                <w:sz w:val="14"/>
                <w:szCs w:val="14"/>
              </w:rPr>
              <w:t xml:space="preserve"> Half 2023</w:t>
            </w:r>
          </w:p>
        </w:tc>
        <w:tc>
          <w:tcPr>
            <w:tcW w:w="1819" w:type="dxa"/>
            <w:tcBorders>
              <w:top w:val="single" w:sz="2" w:space="0" w:color="1F4E79" w:themeColor="accent1" w:themeShade="80"/>
              <w:left w:val="nil"/>
              <w:bottom w:val="single" w:sz="2" w:space="0" w:color="1F4E79" w:themeColor="accent1" w:themeShade="80"/>
              <w:right w:val="nil"/>
            </w:tcBorders>
            <w:shd w:val="clear" w:color="auto" w:fill="auto"/>
            <w:vAlign w:val="center"/>
          </w:tcPr>
          <w:p w14:paraId="4A740C4F" w14:textId="77777777" w:rsidR="008B7E19" w:rsidRPr="005824C3" w:rsidRDefault="008B7E19" w:rsidP="008875E7">
            <w:pPr>
              <w:jc w:val="center"/>
              <w:cnfStyle w:val="100000000000" w:firstRow="1" w:lastRow="0" w:firstColumn="0" w:lastColumn="0" w:oddVBand="0" w:evenVBand="0" w:oddHBand="0" w:evenHBand="0" w:firstRowFirstColumn="0" w:firstRowLastColumn="0" w:lastRowFirstColumn="0" w:lastRowLastColumn="0"/>
              <w:rPr>
                <w:rFonts w:cs="Arial"/>
                <w:sz w:val="14"/>
                <w:szCs w:val="14"/>
              </w:rPr>
            </w:pPr>
            <w:r w:rsidRPr="002062A7">
              <w:rPr>
                <w:rFonts w:cs="Arial"/>
                <w:sz w:val="14"/>
                <w:szCs w:val="14"/>
              </w:rPr>
              <w:t>2</w:t>
            </w:r>
            <w:r w:rsidRPr="002062A7">
              <w:rPr>
                <w:rFonts w:cs="Arial"/>
                <w:sz w:val="14"/>
                <w:szCs w:val="14"/>
                <w:vertAlign w:val="superscript"/>
              </w:rPr>
              <w:t>nd</w:t>
            </w:r>
            <w:r w:rsidRPr="002062A7">
              <w:rPr>
                <w:rFonts w:cs="Arial"/>
                <w:sz w:val="14"/>
                <w:szCs w:val="14"/>
              </w:rPr>
              <w:t xml:space="preserve"> Quarter 2022</w:t>
            </w:r>
            <w:r w:rsidRPr="002062A7">
              <w:rPr>
                <w:rFonts w:cs="Arial"/>
                <w:sz w:val="14"/>
                <w:szCs w:val="14"/>
              </w:rPr>
              <w:br/>
              <w:t>(Restated balances)</w:t>
            </w:r>
          </w:p>
        </w:tc>
        <w:tc>
          <w:tcPr>
            <w:tcW w:w="1819" w:type="dxa"/>
            <w:tcBorders>
              <w:top w:val="single" w:sz="2" w:space="0" w:color="1F4E79" w:themeColor="accent1" w:themeShade="80"/>
              <w:left w:val="nil"/>
              <w:bottom w:val="single" w:sz="2" w:space="0" w:color="1F4E79" w:themeColor="accent1" w:themeShade="80"/>
              <w:right w:val="nil"/>
            </w:tcBorders>
            <w:shd w:val="clear" w:color="auto" w:fill="auto"/>
            <w:vAlign w:val="center"/>
          </w:tcPr>
          <w:p w14:paraId="6108FF80" w14:textId="77777777" w:rsidR="008B7E19" w:rsidRPr="005824C3" w:rsidRDefault="008B7E19" w:rsidP="008875E7">
            <w:pPr>
              <w:jc w:val="center"/>
              <w:cnfStyle w:val="100000000000" w:firstRow="1" w:lastRow="0" w:firstColumn="0" w:lastColumn="0" w:oddVBand="0" w:evenVBand="0" w:oddHBand="0" w:evenHBand="0" w:firstRowFirstColumn="0" w:firstRowLastColumn="0" w:lastRowFirstColumn="0" w:lastRowLastColumn="0"/>
              <w:rPr>
                <w:rFonts w:cs="Arial"/>
                <w:sz w:val="14"/>
                <w:szCs w:val="14"/>
              </w:rPr>
            </w:pPr>
            <w:r w:rsidRPr="002062A7">
              <w:rPr>
                <w:rFonts w:cs="Arial"/>
                <w:sz w:val="14"/>
                <w:szCs w:val="14"/>
              </w:rPr>
              <w:t>1</w:t>
            </w:r>
            <w:r w:rsidRPr="002062A7">
              <w:rPr>
                <w:rFonts w:cs="Arial"/>
                <w:sz w:val="14"/>
                <w:szCs w:val="14"/>
                <w:vertAlign w:val="superscript"/>
              </w:rPr>
              <w:t>st</w:t>
            </w:r>
            <w:r w:rsidRPr="002062A7">
              <w:rPr>
                <w:rFonts w:cs="Arial"/>
                <w:sz w:val="14"/>
                <w:szCs w:val="14"/>
              </w:rPr>
              <w:t xml:space="preserve"> Half 2022</w:t>
            </w:r>
            <w:r w:rsidRPr="002062A7">
              <w:rPr>
                <w:rFonts w:cs="Arial"/>
                <w:sz w:val="14"/>
                <w:szCs w:val="14"/>
              </w:rPr>
              <w:br/>
              <w:t>(Restated balances)</w:t>
            </w:r>
          </w:p>
        </w:tc>
      </w:tr>
      <w:tr w:rsidR="008B7E19" w:rsidRPr="008D7BD5" w14:paraId="74E5421A"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single" w:sz="2" w:space="0" w:color="1F4E79" w:themeColor="accent1" w:themeShade="80"/>
              <w:left w:val="nil"/>
              <w:bottom w:val="nil"/>
              <w:right w:val="nil"/>
            </w:tcBorders>
            <w:shd w:val="clear" w:color="auto" w:fill="auto"/>
            <w:vAlign w:val="center"/>
          </w:tcPr>
          <w:p w14:paraId="4D4B4E40" w14:textId="77777777" w:rsidR="008B7E19" w:rsidRPr="008D7BD5" w:rsidRDefault="008B7E19" w:rsidP="008B7E19">
            <w:pPr>
              <w:keepNext/>
              <w:keepLines/>
              <w:rPr>
                <w:rFonts w:eastAsia="Times New Roman" w:cs="Arial"/>
                <w:spacing w:val="-2"/>
                <w:sz w:val="14"/>
                <w:szCs w:val="14"/>
              </w:rPr>
            </w:pPr>
            <w:r>
              <w:rPr>
                <w:rFonts w:cs="Arial"/>
                <w:sz w:val="14"/>
                <w:szCs w:val="14"/>
              </w:rPr>
              <w:t>Result of insurance contracts</w:t>
            </w:r>
          </w:p>
        </w:tc>
        <w:tc>
          <w:tcPr>
            <w:tcW w:w="1818" w:type="dxa"/>
            <w:tcBorders>
              <w:top w:val="single" w:sz="2" w:space="0" w:color="1F4E79" w:themeColor="accent1" w:themeShade="80"/>
              <w:left w:val="nil"/>
              <w:bottom w:val="nil"/>
              <w:right w:val="nil"/>
            </w:tcBorders>
            <w:shd w:val="clear" w:color="auto" w:fill="auto"/>
            <w:vAlign w:val="center"/>
          </w:tcPr>
          <w:p w14:paraId="5D05C703" w14:textId="77777777" w:rsidR="008B7E19" w:rsidRPr="008D7BD5"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b/>
                <w:bCs/>
                <w:sz w:val="14"/>
                <w:szCs w:val="14"/>
              </w:rPr>
            </w:pPr>
            <w:r w:rsidRPr="008D7BD5">
              <w:rPr>
                <w:rFonts w:cs="Arial"/>
                <w:b/>
                <w:bCs/>
                <w:color w:val="000000"/>
                <w:sz w:val="14"/>
                <w:szCs w:val="14"/>
              </w:rPr>
              <w:t>931</w:t>
            </w:r>
            <w:r>
              <w:rPr>
                <w:rFonts w:cs="Arial"/>
                <w:b/>
                <w:bCs/>
                <w:color w:val="000000"/>
                <w:sz w:val="14"/>
                <w:szCs w:val="14"/>
              </w:rPr>
              <w:t>,</w:t>
            </w:r>
            <w:r w:rsidRPr="008D7BD5">
              <w:rPr>
                <w:rFonts w:cs="Arial"/>
                <w:b/>
                <w:bCs/>
                <w:color w:val="000000"/>
                <w:sz w:val="14"/>
                <w:szCs w:val="14"/>
              </w:rPr>
              <w:t>051</w:t>
            </w:r>
          </w:p>
        </w:tc>
        <w:tc>
          <w:tcPr>
            <w:tcW w:w="1819" w:type="dxa"/>
            <w:tcBorders>
              <w:top w:val="single" w:sz="2" w:space="0" w:color="1F4E79" w:themeColor="accent1" w:themeShade="80"/>
              <w:left w:val="nil"/>
              <w:bottom w:val="nil"/>
              <w:right w:val="nil"/>
            </w:tcBorders>
            <w:shd w:val="clear" w:color="auto" w:fill="auto"/>
            <w:vAlign w:val="center"/>
          </w:tcPr>
          <w:p w14:paraId="41B0AF28" w14:textId="77777777" w:rsidR="008B7E19" w:rsidRPr="008D7BD5"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b/>
                <w:bCs/>
                <w:sz w:val="14"/>
                <w:szCs w:val="14"/>
              </w:rPr>
            </w:pPr>
            <w:r w:rsidRPr="008D7BD5">
              <w:rPr>
                <w:rFonts w:cs="Arial"/>
                <w:b/>
                <w:bCs/>
                <w:color w:val="000000"/>
                <w:sz w:val="14"/>
                <w:szCs w:val="14"/>
              </w:rPr>
              <w:t>1</w:t>
            </w:r>
            <w:r>
              <w:rPr>
                <w:rFonts w:cs="Arial"/>
                <w:b/>
                <w:bCs/>
                <w:color w:val="000000"/>
                <w:sz w:val="14"/>
                <w:szCs w:val="14"/>
              </w:rPr>
              <w:t>,</w:t>
            </w:r>
            <w:r w:rsidRPr="008D7BD5">
              <w:rPr>
                <w:rFonts w:cs="Arial"/>
                <w:b/>
                <w:bCs/>
                <w:color w:val="000000"/>
                <w:sz w:val="14"/>
                <w:szCs w:val="14"/>
              </w:rPr>
              <w:t>849</w:t>
            </w:r>
            <w:r>
              <w:rPr>
                <w:rFonts w:cs="Arial"/>
                <w:b/>
                <w:bCs/>
                <w:color w:val="000000"/>
                <w:sz w:val="14"/>
                <w:szCs w:val="14"/>
              </w:rPr>
              <w:t>,</w:t>
            </w:r>
            <w:r w:rsidRPr="008D7BD5">
              <w:rPr>
                <w:rFonts w:cs="Arial"/>
                <w:b/>
                <w:bCs/>
                <w:color w:val="000000"/>
                <w:sz w:val="14"/>
                <w:szCs w:val="14"/>
              </w:rPr>
              <w:t>595</w:t>
            </w:r>
          </w:p>
        </w:tc>
        <w:tc>
          <w:tcPr>
            <w:tcW w:w="1819" w:type="dxa"/>
            <w:tcBorders>
              <w:top w:val="single" w:sz="2" w:space="0" w:color="1F4E79" w:themeColor="accent1" w:themeShade="80"/>
              <w:left w:val="nil"/>
              <w:bottom w:val="nil"/>
              <w:right w:val="nil"/>
            </w:tcBorders>
            <w:shd w:val="clear" w:color="auto" w:fill="auto"/>
            <w:vAlign w:val="center"/>
          </w:tcPr>
          <w:p w14:paraId="323C6F0B" w14:textId="77777777" w:rsidR="008B7E19" w:rsidRPr="008D7BD5"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b/>
                <w:bCs/>
                <w:sz w:val="14"/>
                <w:szCs w:val="14"/>
              </w:rPr>
            </w:pPr>
            <w:r w:rsidRPr="008D7BD5">
              <w:rPr>
                <w:rFonts w:cs="Arial"/>
                <w:b/>
                <w:bCs/>
                <w:color w:val="000000"/>
                <w:sz w:val="14"/>
                <w:szCs w:val="14"/>
              </w:rPr>
              <w:t>861</w:t>
            </w:r>
            <w:r>
              <w:rPr>
                <w:rFonts w:cs="Arial"/>
                <w:b/>
                <w:bCs/>
                <w:color w:val="000000"/>
                <w:sz w:val="14"/>
                <w:szCs w:val="14"/>
              </w:rPr>
              <w:t>,</w:t>
            </w:r>
            <w:r w:rsidRPr="008D7BD5">
              <w:rPr>
                <w:rFonts w:cs="Arial"/>
                <w:b/>
                <w:bCs/>
                <w:color w:val="000000"/>
                <w:sz w:val="14"/>
                <w:szCs w:val="14"/>
              </w:rPr>
              <w:t>714</w:t>
            </w:r>
          </w:p>
        </w:tc>
        <w:tc>
          <w:tcPr>
            <w:tcW w:w="1819" w:type="dxa"/>
            <w:tcBorders>
              <w:top w:val="single" w:sz="2" w:space="0" w:color="1F4E79" w:themeColor="accent1" w:themeShade="80"/>
              <w:left w:val="nil"/>
              <w:bottom w:val="nil"/>
              <w:right w:val="nil"/>
            </w:tcBorders>
            <w:shd w:val="clear" w:color="auto" w:fill="auto"/>
            <w:vAlign w:val="center"/>
          </w:tcPr>
          <w:p w14:paraId="537CC6D9" w14:textId="77777777" w:rsidR="008B7E19" w:rsidRPr="008D7BD5"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b/>
                <w:bCs/>
                <w:sz w:val="14"/>
                <w:szCs w:val="14"/>
              </w:rPr>
            </w:pPr>
            <w:r w:rsidRPr="008D7BD5">
              <w:rPr>
                <w:rFonts w:cs="Arial"/>
                <w:b/>
                <w:bCs/>
                <w:color w:val="000000"/>
                <w:sz w:val="14"/>
                <w:szCs w:val="14"/>
              </w:rPr>
              <w:t>1</w:t>
            </w:r>
            <w:r>
              <w:rPr>
                <w:rFonts w:cs="Arial"/>
                <w:b/>
                <w:bCs/>
                <w:color w:val="000000"/>
                <w:sz w:val="14"/>
                <w:szCs w:val="14"/>
              </w:rPr>
              <w:t>,</w:t>
            </w:r>
            <w:r w:rsidRPr="008D7BD5">
              <w:rPr>
                <w:rFonts w:cs="Arial"/>
                <w:b/>
                <w:bCs/>
                <w:color w:val="000000"/>
                <w:sz w:val="14"/>
                <w:szCs w:val="14"/>
              </w:rPr>
              <w:t>740</w:t>
            </w:r>
            <w:r>
              <w:rPr>
                <w:rFonts w:cs="Arial"/>
                <w:b/>
                <w:bCs/>
                <w:color w:val="000000"/>
                <w:sz w:val="14"/>
                <w:szCs w:val="14"/>
              </w:rPr>
              <w:t>,</w:t>
            </w:r>
            <w:r w:rsidRPr="008D7BD5">
              <w:rPr>
                <w:rFonts w:cs="Arial"/>
                <w:b/>
                <w:bCs/>
                <w:color w:val="000000"/>
                <w:sz w:val="14"/>
                <w:szCs w:val="14"/>
              </w:rPr>
              <w:t>83</w:t>
            </w:r>
            <w:r>
              <w:rPr>
                <w:rFonts w:cs="Arial"/>
                <w:b/>
                <w:bCs/>
                <w:color w:val="000000"/>
                <w:sz w:val="14"/>
                <w:szCs w:val="14"/>
              </w:rPr>
              <w:t>8</w:t>
            </w:r>
          </w:p>
        </w:tc>
      </w:tr>
      <w:tr w:rsidR="008B7E19" w:rsidRPr="005824C3" w14:paraId="061246A3" w14:textId="77777777" w:rsidTr="008B7E1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1A25E665" w14:textId="77777777" w:rsidR="008B7E19" w:rsidRPr="005824C3" w:rsidRDefault="008B7E19" w:rsidP="008B7E19">
            <w:pPr>
              <w:keepNext/>
              <w:keepLines/>
              <w:ind w:left="113"/>
              <w:rPr>
                <w:rFonts w:cs="Arial"/>
                <w:b w:val="0"/>
                <w:bCs w:val="0"/>
                <w:sz w:val="14"/>
                <w:szCs w:val="14"/>
              </w:rPr>
            </w:pPr>
            <w:r>
              <w:rPr>
                <w:rFonts w:cs="Arial"/>
                <w:b w:val="0"/>
                <w:bCs w:val="0"/>
                <w:sz w:val="14"/>
                <w:szCs w:val="14"/>
              </w:rPr>
              <w:t>Result of contracts</w:t>
            </w:r>
            <w:r w:rsidRPr="00EB59D3">
              <w:rPr>
                <w:rFonts w:cs="Arial"/>
                <w:b w:val="0"/>
                <w:bCs w:val="0"/>
                <w:sz w:val="14"/>
                <w:szCs w:val="14"/>
              </w:rPr>
              <w:t xml:space="preserve"> BBA</w:t>
            </w:r>
            <w:r>
              <w:rPr>
                <w:rFonts w:cs="Arial"/>
                <w:b w:val="0"/>
                <w:bCs w:val="0"/>
                <w:sz w:val="14"/>
                <w:szCs w:val="14"/>
              </w:rPr>
              <w:t xml:space="preserve"> </w:t>
            </w:r>
            <w:r w:rsidRPr="00F44763">
              <w:rPr>
                <w:rFonts w:cs="Arial"/>
                <w:b w:val="0"/>
                <w:bCs w:val="0"/>
                <w:sz w:val="14"/>
                <w:szCs w:val="14"/>
                <w:vertAlign w:val="superscript"/>
              </w:rPr>
              <w:t>(1)</w:t>
            </w:r>
          </w:p>
        </w:tc>
        <w:tc>
          <w:tcPr>
            <w:tcW w:w="1818" w:type="dxa"/>
            <w:tcBorders>
              <w:top w:val="nil"/>
              <w:left w:val="nil"/>
              <w:bottom w:val="nil"/>
              <w:right w:val="nil"/>
            </w:tcBorders>
            <w:shd w:val="clear" w:color="auto" w:fill="auto"/>
            <w:vAlign w:val="center"/>
          </w:tcPr>
          <w:p w14:paraId="3B04696A" w14:textId="77777777" w:rsidR="008B7E19" w:rsidRPr="005824C3" w:rsidRDefault="008B7E19" w:rsidP="008B7E19">
            <w:pPr>
              <w:keepNext/>
              <w:keepLines/>
              <w:jc w:val="right"/>
              <w:cnfStyle w:val="000000010000" w:firstRow="0" w:lastRow="0" w:firstColumn="0" w:lastColumn="0" w:oddVBand="0" w:evenVBand="0" w:oddHBand="0" w:evenHBand="1" w:firstRowFirstColumn="0" w:firstRowLastColumn="0" w:lastRowFirstColumn="0" w:lastRowLastColumn="0"/>
              <w:rPr>
                <w:rFonts w:cs="Arial"/>
                <w:color w:val="000000"/>
                <w:sz w:val="14"/>
                <w:szCs w:val="14"/>
              </w:rPr>
            </w:pPr>
            <w:r w:rsidRPr="005824C3">
              <w:rPr>
                <w:rFonts w:cs="Arial"/>
                <w:color w:val="000000"/>
                <w:sz w:val="14"/>
                <w:szCs w:val="14"/>
              </w:rPr>
              <w:t>147</w:t>
            </w:r>
            <w:r>
              <w:rPr>
                <w:rFonts w:cs="Arial"/>
                <w:color w:val="000000"/>
                <w:sz w:val="14"/>
                <w:szCs w:val="14"/>
              </w:rPr>
              <w:t>,</w:t>
            </w:r>
            <w:r w:rsidRPr="005824C3">
              <w:rPr>
                <w:rFonts w:cs="Arial"/>
                <w:color w:val="000000"/>
                <w:sz w:val="14"/>
                <w:szCs w:val="14"/>
              </w:rPr>
              <w:t>688</w:t>
            </w:r>
          </w:p>
        </w:tc>
        <w:tc>
          <w:tcPr>
            <w:tcW w:w="1819" w:type="dxa"/>
            <w:tcBorders>
              <w:top w:val="nil"/>
              <w:left w:val="nil"/>
              <w:bottom w:val="nil"/>
              <w:right w:val="nil"/>
            </w:tcBorders>
            <w:shd w:val="clear" w:color="auto" w:fill="auto"/>
            <w:vAlign w:val="center"/>
          </w:tcPr>
          <w:p w14:paraId="334CCE3E" w14:textId="77777777" w:rsidR="008B7E19" w:rsidRPr="005824C3" w:rsidRDefault="008B7E19" w:rsidP="008B7E19">
            <w:pPr>
              <w:keepNext/>
              <w:keepLines/>
              <w:jc w:val="right"/>
              <w:cnfStyle w:val="000000010000" w:firstRow="0" w:lastRow="0" w:firstColumn="0" w:lastColumn="0" w:oddVBand="0" w:evenVBand="0" w:oddHBand="0" w:evenHBand="1" w:firstRowFirstColumn="0" w:firstRowLastColumn="0" w:lastRowFirstColumn="0" w:lastRowLastColumn="0"/>
              <w:rPr>
                <w:rFonts w:cs="Arial"/>
                <w:color w:val="000000"/>
                <w:sz w:val="14"/>
                <w:szCs w:val="14"/>
              </w:rPr>
            </w:pPr>
            <w:r w:rsidRPr="005824C3">
              <w:rPr>
                <w:rFonts w:cs="Arial"/>
                <w:color w:val="000000"/>
                <w:sz w:val="14"/>
                <w:szCs w:val="14"/>
              </w:rPr>
              <w:t>296</w:t>
            </w:r>
            <w:r>
              <w:rPr>
                <w:rFonts w:cs="Arial"/>
                <w:color w:val="000000"/>
                <w:sz w:val="14"/>
                <w:szCs w:val="14"/>
              </w:rPr>
              <w:t>,</w:t>
            </w:r>
            <w:r w:rsidRPr="005824C3">
              <w:rPr>
                <w:rFonts w:cs="Arial"/>
                <w:color w:val="000000"/>
                <w:sz w:val="14"/>
                <w:szCs w:val="14"/>
              </w:rPr>
              <w:t>112</w:t>
            </w:r>
          </w:p>
        </w:tc>
        <w:tc>
          <w:tcPr>
            <w:tcW w:w="1819" w:type="dxa"/>
            <w:tcBorders>
              <w:top w:val="nil"/>
              <w:left w:val="nil"/>
              <w:bottom w:val="nil"/>
              <w:right w:val="nil"/>
            </w:tcBorders>
            <w:shd w:val="clear" w:color="auto" w:fill="auto"/>
            <w:vAlign w:val="center"/>
          </w:tcPr>
          <w:p w14:paraId="2490E5FC" w14:textId="77777777" w:rsidR="008B7E19" w:rsidRPr="005824C3" w:rsidRDefault="008B7E19" w:rsidP="008B7E19">
            <w:pPr>
              <w:keepNext/>
              <w:keepLines/>
              <w:jc w:val="right"/>
              <w:cnfStyle w:val="000000010000" w:firstRow="0" w:lastRow="0" w:firstColumn="0" w:lastColumn="0" w:oddVBand="0" w:evenVBand="0" w:oddHBand="0" w:evenHBand="1" w:firstRowFirstColumn="0" w:firstRowLastColumn="0" w:lastRowFirstColumn="0" w:lastRowLastColumn="0"/>
              <w:rPr>
                <w:rFonts w:cs="Arial"/>
                <w:color w:val="000000"/>
                <w:sz w:val="14"/>
                <w:szCs w:val="14"/>
              </w:rPr>
            </w:pPr>
            <w:r w:rsidRPr="005824C3">
              <w:rPr>
                <w:rFonts w:cs="Arial"/>
                <w:color w:val="000000"/>
                <w:sz w:val="14"/>
                <w:szCs w:val="14"/>
              </w:rPr>
              <w:t>116</w:t>
            </w:r>
            <w:r>
              <w:rPr>
                <w:rFonts w:cs="Arial"/>
                <w:color w:val="000000"/>
                <w:sz w:val="14"/>
                <w:szCs w:val="14"/>
              </w:rPr>
              <w:t>,</w:t>
            </w:r>
            <w:r w:rsidRPr="005824C3">
              <w:rPr>
                <w:rFonts w:cs="Arial"/>
                <w:color w:val="000000"/>
                <w:sz w:val="14"/>
                <w:szCs w:val="14"/>
              </w:rPr>
              <w:t>214</w:t>
            </w:r>
          </w:p>
        </w:tc>
        <w:tc>
          <w:tcPr>
            <w:tcW w:w="1819" w:type="dxa"/>
            <w:tcBorders>
              <w:top w:val="nil"/>
              <w:left w:val="nil"/>
              <w:bottom w:val="nil"/>
              <w:right w:val="nil"/>
            </w:tcBorders>
            <w:shd w:val="clear" w:color="auto" w:fill="auto"/>
            <w:vAlign w:val="center"/>
          </w:tcPr>
          <w:p w14:paraId="65D3B6A2" w14:textId="77777777" w:rsidR="008B7E19" w:rsidRPr="005824C3" w:rsidRDefault="008B7E19" w:rsidP="008B7E19">
            <w:pPr>
              <w:keepNext/>
              <w:keepLines/>
              <w:jc w:val="right"/>
              <w:cnfStyle w:val="000000010000" w:firstRow="0" w:lastRow="0" w:firstColumn="0" w:lastColumn="0" w:oddVBand="0" w:evenVBand="0" w:oddHBand="0" w:evenHBand="1" w:firstRowFirstColumn="0" w:firstRowLastColumn="0" w:lastRowFirstColumn="0" w:lastRowLastColumn="0"/>
              <w:rPr>
                <w:rFonts w:cs="Arial"/>
                <w:color w:val="000000"/>
                <w:sz w:val="14"/>
                <w:szCs w:val="14"/>
              </w:rPr>
            </w:pPr>
            <w:r w:rsidRPr="005824C3">
              <w:rPr>
                <w:rFonts w:cs="Arial"/>
                <w:color w:val="000000"/>
                <w:sz w:val="14"/>
                <w:szCs w:val="14"/>
              </w:rPr>
              <w:t>253</w:t>
            </w:r>
            <w:r>
              <w:rPr>
                <w:rFonts w:cs="Arial"/>
                <w:color w:val="000000"/>
                <w:sz w:val="14"/>
                <w:szCs w:val="14"/>
              </w:rPr>
              <w:t>,</w:t>
            </w:r>
            <w:r w:rsidRPr="005824C3">
              <w:rPr>
                <w:rFonts w:cs="Arial"/>
                <w:color w:val="000000"/>
                <w:sz w:val="14"/>
                <w:szCs w:val="14"/>
              </w:rPr>
              <w:t>638</w:t>
            </w:r>
          </w:p>
        </w:tc>
      </w:tr>
      <w:tr w:rsidR="008B7E19" w:rsidRPr="005824C3" w14:paraId="07A45BD7"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062C9045" w14:textId="77777777" w:rsidR="008B7E19" w:rsidRPr="005824C3" w:rsidRDefault="008B7E19" w:rsidP="008B7E19">
            <w:pPr>
              <w:keepNext/>
              <w:keepLines/>
              <w:spacing w:before="40" w:after="40"/>
              <w:ind w:left="113"/>
              <w:rPr>
                <w:rFonts w:cs="Arial"/>
                <w:b w:val="0"/>
                <w:bCs w:val="0"/>
                <w:sz w:val="14"/>
                <w:szCs w:val="14"/>
              </w:rPr>
            </w:pPr>
            <w:r>
              <w:rPr>
                <w:rFonts w:cs="Arial"/>
                <w:b w:val="0"/>
                <w:bCs w:val="0"/>
                <w:sz w:val="14"/>
                <w:szCs w:val="14"/>
              </w:rPr>
              <w:t>Result of contracts</w:t>
            </w:r>
            <w:r w:rsidRPr="00EB59D3">
              <w:rPr>
                <w:rFonts w:cs="Arial"/>
                <w:b w:val="0"/>
                <w:bCs w:val="0"/>
                <w:sz w:val="14"/>
                <w:szCs w:val="14"/>
              </w:rPr>
              <w:t xml:space="preserve"> VFA</w:t>
            </w:r>
            <w:r>
              <w:rPr>
                <w:rFonts w:cs="Arial"/>
                <w:b w:val="0"/>
                <w:bCs w:val="0"/>
                <w:sz w:val="14"/>
                <w:szCs w:val="14"/>
              </w:rPr>
              <w:t xml:space="preserve"> </w:t>
            </w:r>
            <w:r w:rsidRPr="00F44763">
              <w:rPr>
                <w:rFonts w:cs="Arial"/>
                <w:b w:val="0"/>
                <w:bCs w:val="0"/>
                <w:sz w:val="14"/>
                <w:szCs w:val="14"/>
                <w:vertAlign w:val="superscript"/>
              </w:rPr>
              <w:t>(1)</w:t>
            </w:r>
          </w:p>
        </w:tc>
        <w:tc>
          <w:tcPr>
            <w:tcW w:w="1818" w:type="dxa"/>
            <w:tcBorders>
              <w:top w:val="nil"/>
              <w:left w:val="nil"/>
              <w:bottom w:val="nil"/>
              <w:right w:val="nil"/>
            </w:tcBorders>
            <w:shd w:val="clear" w:color="auto" w:fill="auto"/>
            <w:vAlign w:val="center"/>
          </w:tcPr>
          <w:p w14:paraId="76A74B41" w14:textId="77777777" w:rsidR="008B7E19" w:rsidRPr="005824C3"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rPr>
            </w:pPr>
            <w:r w:rsidRPr="005824C3">
              <w:rPr>
                <w:rFonts w:cs="Arial"/>
                <w:color w:val="000000"/>
                <w:sz w:val="14"/>
                <w:szCs w:val="14"/>
              </w:rPr>
              <w:t>783</w:t>
            </w:r>
            <w:r>
              <w:rPr>
                <w:rFonts w:cs="Arial"/>
                <w:color w:val="000000"/>
                <w:sz w:val="14"/>
                <w:szCs w:val="14"/>
              </w:rPr>
              <w:t>,</w:t>
            </w:r>
            <w:r w:rsidRPr="005824C3">
              <w:rPr>
                <w:rFonts w:cs="Arial"/>
                <w:color w:val="000000"/>
                <w:sz w:val="14"/>
                <w:szCs w:val="14"/>
              </w:rPr>
              <w:t>363</w:t>
            </w:r>
          </w:p>
        </w:tc>
        <w:tc>
          <w:tcPr>
            <w:tcW w:w="1819" w:type="dxa"/>
            <w:tcBorders>
              <w:top w:val="nil"/>
              <w:left w:val="nil"/>
              <w:bottom w:val="nil"/>
              <w:right w:val="nil"/>
            </w:tcBorders>
            <w:shd w:val="clear" w:color="auto" w:fill="auto"/>
            <w:vAlign w:val="center"/>
          </w:tcPr>
          <w:p w14:paraId="0AFEF28E" w14:textId="77777777" w:rsidR="008B7E19" w:rsidRPr="005824C3"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rPr>
            </w:pPr>
            <w:r w:rsidRPr="005824C3">
              <w:rPr>
                <w:rFonts w:cs="Arial"/>
                <w:color w:val="000000"/>
                <w:sz w:val="14"/>
                <w:szCs w:val="14"/>
              </w:rPr>
              <w:t>1</w:t>
            </w:r>
            <w:r>
              <w:rPr>
                <w:rFonts w:cs="Arial"/>
                <w:color w:val="000000"/>
                <w:sz w:val="14"/>
                <w:szCs w:val="14"/>
              </w:rPr>
              <w:t>,</w:t>
            </w:r>
            <w:r w:rsidRPr="005824C3">
              <w:rPr>
                <w:rFonts w:cs="Arial"/>
                <w:color w:val="000000"/>
                <w:sz w:val="14"/>
                <w:szCs w:val="14"/>
              </w:rPr>
              <w:t>553</w:t>
            </w:r>
            <w:r>
              <w:rPr>
                <w:rFonts w:cs="Arial"/>
                <w:color w:val="000000"/>
                <w:sz w:val="14"/>
                <w:szCs w:val="14"/>
              </w:rPr>
              <w:t>,</w:t>
            </w:r>
            <w:r w:rsidRPr="005824C3">
              <w:rPr>
                <w:rFonts w:cs="Arial"/>
                <w:color w:val="000000"/>
                <w:sz w:val="14"/>
                <w:szCs w:val="14"/>
              </w:rPr>
              <w:t>483</w:t>
            </w:r>
          </w:p>
        </w:tc>
        <w:tc>
          <w:tcPr>
            <w:tcW w:w="1819" w:type="dxa"/>
            <w:tcBorders>
              <w:top w:val="nil"/>
              <w:left w:val="nil"/>
              <w:bottom w:val="nil"/>
              <w:right w:val="nil"/>
            </w:tcBorders>
            <w:shd w:val="clear" w:color="auto" w:fill="auto"/>
            <w:vAlign w:val="center"/>
          </w:tcPr>
          <w:p w14:paraId="71ABE176" w14:textId="77777777" w:rsidR="008B7E19" w:rsidRPr="005824C3"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rPr>
            </w:pPr>
            <w:r w:rsidRPr="005824C3">
              <w:rPr>
                <w:rFonts w:cs="Arial"/>
                <w:color w:val="000000"/>
                <w:sz w:val="14"/>
                <w:szCs w:val="14"/>
              </w:rPr>
              <w:t>745</w:t>
            </w:r>
            <w:r>
              <w:rPr>
                <w:rFonts w:cs="Arial"/>
                <w:color w:val="000000"/>
                <w:sz w:val="14"/>
                <w:szCs w:val="14"/>
              </w:rPr>
              <w:t>,</w:t>
            </w:r>
            <w:r w:rsidRPr="005824C3">
              <w:rPr>
                <w:rFonts w:cs="Arial"/>
                <w:color w:val="000000"/>
                <w:sz w:val="14"/>
                <w:szCs w:val="14"/>
              </w:rPr>
              <w:t>500</w:t>
            </w:r>
          </w:p>
        </w:tc>
        <w:tc>
          <w:tcPr>
            <w:tcW w:w="1819" w:type="dxa"/>
            <w:tcBorders>
              <w:top w:val="nil"/>
              <w:left w:val="nil"/>
              <w:bottom w:val="nil"/>
              <w:right w:val="nil"/>
            </w:tcBorders>
            <w:shd w:val="clear" w:color="auto" w:fill="auto"/>
            <w:vAlign w:val="center"/>
          </w:tcPr>
          <w:p w14:paraId="69F56EB1" w14:textId="77777777" w:rsidR="008B7E19" w:rsidRPr="005824C3"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rPr>
            </w:pPr>
            <w:r w:rsidRPr="005824C3">
              <w:rPr>
                <w:rFonts w:cs="Arial"/>
                <w:color w:val="000000"/>
                <w:sz w:val="14"/>
                <w:szCs w:val="14"/>
              </w:rPr>
              <w:t>1</w:t>
            </w:r>
            <w:r>
              <w:rPr>
                <w:rFonts w:cs="Arial"/>
                <w:color w:val="000000"/>
                <w:sz w:val="14"/>
                <w:szCs w:val="14"/>
              </w:rPr>
              <w:t>,</w:t>
            </w:r>
            <w:r w:rsidRPr="005824C3">
              <w:rPr>
                <w:rFonts w:cs="Arial"/>
                <w:color w:val="000000"/>
                <w:sz w:val="14"/>
                <w:szCs w:val="14"/>
              </w:rPr>
              <w:t>487</w:t>
            </w:r>
            <w:r>
              <w:rPr>
                <w:rFonts w:cs="Arial"/>
                <w:color w:val="000000"/>
                <w:sz w:val="14"/>
                <w:szCs w:val="14"/>
              </w:rPr>
              <w:t>,</w:t>
            </w:r>
            <w:r w:rsidRPr="005824C3">
              <w:rPr>
                <w:rFonts w:cs="Arial"/>
                <w:color w:val="000000"/>
                <w:sz w:val="14"/>
                <w:szCs w:val="14"/>
              </w:rPr>
              <w:t>200</w:t>
            </w:r>
          </w:p>
        </w:tc>
      </w:tr>
      <w:tr w:rsidR="008B7E19" w:rsidRPr="005824C3" w14:paraId="6BB9BD7F" w14:textId="77777777" w:rsidTr="008B7E1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4763EAEC" w14:textId="77777777" w:rsidR="008B7E19" w:rsidRPr="005824C3" w:rsidRDefault="008B7E19" w:rsidP="008B7E19">
            <w:pPr>
              <w:keepNext/>
              <w:keepLines/>
              <w:rPr>
                <w:rFonts w:cs="Arial"/>
                <w:b w:val="0"/>
                <w:bCs w:val="0"/>
                <w:sz w:val="14"/>
                <w:szCs w:val="14"/>
              </w:rPr>
            </w:pPr>
            <w:r>
              <w:rPr>
                <w:rFonts w:cs="Arial"/>
                <w:b w:val="0"/>
                <w:bCs w:val="0"/>
                <w:sz w:val="14"/>
                <w:szCs w:val="14"/>
              </w:rPr>
              <w:t>Insurance expenses</w:t>
            </w:r>
          </w:p>
        </w:tc>
        <w:tc>
          <w:tcPr>
            <w:tcW w:w="1818" w:type="dxa"/>
            <w:tcBorders>
              <w:top w:val="nil"/>
              <w:left w:val="nil"/>
              <w:bottom w:val="nil"/>
              <w:right w:val="nil"/>
            </w:tcBorders>
            <w:shd w:val="clear" w:color="auto" w:fill="auto"/>
            <w:vAlign w:val="center"/>
          </w:tcPr>
          <w:p w14:paraId="5F3832D4" w14:textId="77777777" w:rsidR="008B7E19" w:rsidRPr="005824C3" w:rsidRDefault="008B7E19" w:rsidP="008B7E19">
            <w:pPr>
              <w:keepNext/>
              <w:keepLines/>
              <w:jc w:val="right"/>
              <w:cnfStyle w:val="000000010000" w:firstRow="0" w:lastRow="0" w:firstColumn="0" w:lastColumn="0" w:oddVBand="0" w:evenVBand="0" w:oddHBand="0" w:evenHBand="1" w:firstRowFirstColumn="0" w:firstRowLastColumn="0" w:lastRowFirstColumn="0" w:lastRowLastColumn="0"/>
              <w:rPr>
                <w:rFonts w:cs="Arial"/>
                <w:color w:val="000000"/>
                <w:sz w:val="14"/>
                <w:szCs w:val="14"/>
              </w:rPr>
            </w:pPr>
            <w:r w:rsidRPr="005824C3">
              <w:rPr>
                <w:rFonts w:cs="Arial"/>
                <w:color w:val="000000"/>
                <w:sz w:val="14"/>
                <w:szCs w:val="14"/>
              </w:rPr>
              <w:t>(134</w:t>
            </w:r>
            <w:r>
              <w:rPr>
                <w:rFonts w:cs="Arial"/>
                <w:color w:val="000000"/>
                <w:sz w:val="14"/>
                <w:szCs w:val="14"/>
              </w:rPr>
              <w:t>,</w:t>
            </w:r>
            <w:r w:rsidRPr="005824C3">
              <w:rPr>
                <w:rFonts w:cs="Arial"/>
                <w:color w:val="000000"/>
                <w:sz w:val="14"/>
                <w:szCs w:val="14"/>
              </w:rPr>
              <w:t>329)</w:t>
            </w:r>
          </w:p>
        </w:tc>
        <w:tc>
          <w:tcPr>
            <w:tcW w:w="1819" w:type="dxa"/>
            <w:tcBorders>
              <w:top w:val="nil"/>
              <w:left w:val="nil"/>
              <w:bottom w:val="nil"/>
              <w:right w:val="nil"/>
            </w:tcBorders>
            <w:shd w:val="clear" w:color="auto" w:fill="auto"/>
            <w:vAlign w:val="center"/>
          </w:tcPr>
          <w:p w14:paraId="0A02D9B8" w14:textId="77777777" w:rsidR="008B7E19" w:rsidRPr="005824C3" w:rsidRDefault="008B7E19" w:rsidP="008B7E19">
            <w:pPr>
              <w:keepNext/>
              <w:keepLines/>
              <w:jc w:val="right"/>
              <w:cnfStyle w:val="000000010000" w:firstRow="0" w:lastRow="0" w:firstColumn="0" w:lastColumn="0" w:oddVBand="0" w:evenVBand="0" w:oddHBand="0" w:evenHBand="1" w:firstRowFirstColumn="0" w:firstRowLastColumn="0" w:lastRowFirstColumn="0" w:lastRowLastColumn="0"/>
              <w:rPr>
                <w:rFonts w:cs="Arial"/>
                <w:color w:val="000000"/>
                <w:sz w:val="14"/>
                <w:szCs w:val="14"/>
              </w:rPr>
            </w:pPr>
            <w:r w:rsidRPr="005824C3">
              <w:rPr>
                <w:rFonts w:cs="Arial"/>
                <w:color w:val="000000"/>
                <w:sz w:val="14"/>
                <w:szCs w:val="14"/>
              </w:rPr>
              <w:t>(258</w:t>
            </w:r>
            <w:r>
              <w:rPr>
                <w:rFonts w:cs="Arial"/>
                <w:color w:val="000000"/>
                <w:sz w:val="14"/>
                <w:szCs w:val="14"/>
              </w:rPr>
              <w:t>,</w:t>
            </w:r>
            <w:r w:rsidRPr="005824C3">
              <w:rPr>
                <w:rFonts w:cs="Arial"/>
                <w:color w:val="000000"/>
                <w:sz w:val="14"/>
                <w:szCs w:val="14"/>
              </w:rPr>
              <w:t>444)</w:t>
            </w:r>
          </w:p>
        </w:tc>
        <w:tc>
          <w:tcPr>
            <w:tcW w:w="1819" w:type="dxa"/>
            <w:tcBorders>
              <w:top w:val="nil"/>
              <w:left w:val="nil"/>
              <w:bottom w:val="nil"/>
              <w:right w:val="nil"/>
            </w:tcBorders>
            <w:shd w:val="clear" w:color="auto" w:fill="auto"/>
            <w:vAlign w:val="center"/>
          </w:tcPr>
          <w:p w14:paraId="2A670E22" w14:textId="77777777" w:rsidR="008B7E19" w:rsidRPr="005824C3" w:rsidRDefault="008B7E19" w:rsidP="008B7E19">
            <w:pPr>
              <w:keepNext/>
              <w:keepLines/>
              <w:jc w:val="right"/>
              <w:cnfStyle w:val="000000010000" w:firstRow="0" w:lastRow="0" w:firstColumn="0" w:lastColumn="0" w:oddVBand="0" w:evenVBand="0" w:oddHBand="0" w:evenHBand="1" w:firstRowFirstColumn="0" w:firstRowLastColumn="0" w:lastRowFirstColumn="0" w:lastRowLastColumn="0"/>
              <w:rPr>
                <w:rFonts w:cs="Arial"/>
                <w:color w:val="000000"/>
                <w:sz w:val="14"/>
                <w:szCs w:val="14"/>
              </w:rPr>
            </w:pPr>
            <w:r w:rsidRPr="005824C3">
              <w:rPr>
                <w:rFonts w:cs="Arial"/>
                <w:color w:val="000000"/>
                <w:sz w:val="14"/>
                <w:szCs w:val="14"/>
              </w:rPr>
              <w:t>(548</w:t>
            </w:r>
            <w:r>
              <w:rPr>
                <w:rFonts w:cs="Arial"/>
                <w:color w:val="000000"/>
                <w:sz w:val="14"/>
                <w:szCs w:val="14"/>
              </w:rPr>
              <w:t>,</w:t>
            </w:r>
            <w:r w:rsidRPr="005824C3">
              <w:rPr>
                <w:rFonts w:cs="Arial"/>
                <w:color w:val="000000"/>
                <w:sz w:val="14"/>
                <w:szCs w:val="14"/>
              </w:rPr>
              <w:t>923)</w:t>
            </w:r>
          </w:p>
        </w:tc>
        <w:tc>
          <w:tcPr>
            <w:tcW w:w="1819" w:type="dxa"/>
            <w:tcBorders>
              <w:top w:val="nil"/>
              <w:left w:val="nil"/>
              <w:bottom w:val="nil"/>
              <w:right w:val="nil"/>
            </w:tcBorders>
            <w:shd w:val="clear" w:color="auto" w:fill="auto"/>
            <w:vAlign w:val="center"/>
          </w:tcPr>
          <w:p w14:paraId="4E960139" w14:textId="77777777" w:rsidR="008B7E19" w:rsidRPr="005824C3" w:rsidRDefault="008B7E19" w:rsidP="008B7E19">
            <w:pPr>
              <w:keepNext/>
              <w:keepLines/>
              <w:jc w:val="right"/>
              <w:cnfStyle w:val="000000010000" w:firstRow="0" w:lastRow="0" w:firstColumn="0" w:lastColumn="0" w:oddVBand="0" w:evenVBand="0" w:oddHBand="0" w:evenHBand="1" w:firstRowFirstColumn="0" w:firstRowLastColumn="0" w:lastRowFirstColumn="0" w:lastRowLastColumn="0"/>
              <w:rPr>
                <w:rFonts w:cs="Arial"/>
                <w:color w:val="000000"/>
                <w:sz w:val="14"/>
                <w:szCs w:val="14"/>
              </w:rPr>
            </w:pPr>
            <w:r w:rsidRPr="005824C3">
              <w:rPr>
                <w:rFonts w:cs="Arial"/>
                <w:color w:val="000000"/>
                <w:sz w:val="14"/>
                <w:szCs w:val="14"/>
              </w:rPr>
              <w:t>(1</w:t>
            </w:r>
            <w:r>
              <w:rPr>
                <w:rFonts w:cs="Arial"/>
                <w:color w:val="000000"/>
                <w:sz w:val="14"/>
                <w:szCs w:val="14"/>
              </w:rPr>
              <w:t>,</w:t>
            </w:r>
            <w:r w:rsidRPr="005824C3">
              <w:rPr>
                <w:rFonts w:cs="Arial"/>
                <w:color w:val="000000"/>
                <w:sz w:val="14"/>
                <w:szCs w:val="14"/>
              </w:rPr>
              <w:t>414</w:t>
            </w:r>
            <w:r>
              <w:rPr>
                <w:rFonts w:cs="Arial"/>
                <w:color w:val="000000"/>
                <w:sz w:val="14"/>
                <w:szCs w:val="14"/>
              </w:rPr>
              <w:t>,</w:t>
            </w:r>
            <w:r w:rsidRPr="005824C3">
              <w:rPr>
                <w:rFonts w:cs="Arial"/>
                <w:color w:val="000000"/>
                <w:sz w:val="14"/>
                <w:szCs w:val="14"/>
              </w:rPr>
              <w:t>891)</w:t>
            </w:r>
          </w:p>
        </w:tc>
      </w:tr>
      <w:tr w:rsidR="008B7E19" w:rsidRPr="00A6127A" w14:paraId="2223DA3B"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4FA7B084" w14:textId="77777777" w:rsidR="008B7E19" w:rsidRPr="00A6127A" w:rsidRDefault="008B7E19" w:rsidP="008B7E19">
            <w:pPr>
              <w:keepNext/>
              <w:keepLines/>
              <w:rPr>
                <w:rFonts w:cs="Arial"/>
                <w:b w:val="0"/>
                <w:bCs w:val="0"/>
                <w:sz w:val="14"/>
                <w:szCs w:val="14"/>
              </w:rPr>
            </w:pPr>
            <w:r w:rsidRPr="00A6127A">
              <w:rPr>
                <w:rFonts w:cs="Arial"/>
                <w:b w:val="0"/>
                <w:bCs w:val="0"/>
                <w:sz w:val="14"/>
                <w:szCs w:val="14"/>
              </w:rPr>
              <w:t>Result of reinsurance</w:t>
            </w:r>
          </w:p>
        </w:tc>
        <w:tc>
          <w:tcPr>
            <w:tcW w:w="1818" w:type="dxa"/>
            <w:tcBorders>
              <w:top w:val="nil"/>
              <w:left w:val="nil"/>
              <w:bottom w:val="nil"/>
              <w:right w:val="nil"/>
            </w:tcBorders>
            <w:shd w:val="clear" w:color="auto" w:fill="auto"/>
            <w:vAlign w:val="center"/>
          </w:tcPr>
          <w:p w14:paraId="6F2B89B3" w14:textId="77777777" w:rsidR="008B7E19" w:rsidRPr="00A6127A" w:rsidRDefault="008B7E19" w:rsidP="008B7E19">
            <w:pPr>
              <w:keepNext/>
              <w:keepLines/>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127A">
              <w:rPr>
                <w:rFonts w:cs="Arial"/>
                <w:color w:val="000000"/>
                <w:sz w:val="14"/>
                <w:szCs w:val="14"/>
              </w:rPr>
              <w:t>346</w:t>
            </w:r>
          </w:p>
        </w:tc>
        <w:tc>
          <w:tcPr>
            <w:tcW w:w="1819" w:type="dxa"/>
            <w:tcBorders>
              <w:top w:val="nil"/>
              <w:left w:val="nil"/>
              <w:bottom w:val="nil"/>
              <w:right w:val="nil"/>
            </w:tcBorders>
            <w:shd w:val="clear" w:color="auto" w:fill="auto"/>
            <w:vAlign w:val="center"/>
          </w:tcPr>
          <w:p w14:paraId="744E7862" w14:textId="77777777" w:rsidR="008B7E19" w:rsidRPr="00A6127A" w:rsidRDefault="008B7E19" w:rsidP="008B7E19">
            <w:pPr>
              <w:keepNext/>
              <w:keepLines/>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127A">
              <w:rPr>
                <w:rFonts w:cs="Arial"/>
                <w:color w:val="000000"/>
                <w:sz w:val="14"/>
                <w:szCs w:val="14"/>
              </w:rPr>
              <w:t>532</w:t>
            </w:r>
          </w:p>
        </w:tc>
        <w:tc>
          <w:tcPr>
            <w:tcW w:w="1819" w:type="dxa"/>
            <w:tcBorders>
              <w:top w:val="nil"/>
              <w:left w:val="nil"/>
              <w:bottom w:val="nil"/>
              <w:right w:val="nil"/>
            </w:tcBorders>
            <w:shd w:val="clear" w:color="auto" w:fill="auto"/>
            <w:vAlign w:val="center"/>
          </w:tcPr>
          <w:p w14:paraId="016D3839" w14:textId="77777777" w:rsidR="008B7E19" w:rsidRPr="00A6127A" w:rsidRDefault="008B7E19" w:rsidP="008B7E19">
            <w:pPr>
              <w:keepNext/>
              <w:keepLines/>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127A">
              <w:rPr>
                <w:rFonts w:cs="Arial"/>
                <w:color w:val="000000"/>
                <w:sz w:val="14"/>
                <w:szCs w:val="14"/>
              </w:rPr>
              <w:t>1</w:t>
            </w:r>
            <w:r>
              <w:rPr>
                <w:rFonts w:cs="Arial"/>
                <w:color w:val="000000"/>
                <w:sz w:val="14"/>
                <w:szCs w:val="14"/>
              </w:rPr>
              <w:t>,</w:t>
            </w:r>
            <w:r w:rsidRPr="00A6127A">
              <w:rPr>
                <w:rFonts w:cs="Arial"/>
                <w:color w:val="000000"/>
                <w:sz w:val="14"/>
                <w:szCs w:val="14"/>
              </w:rPr>
              <w:t>530</w:t>
            </w:r>
          </w:p>
        </w:tc>
        <w:tc>
          <w:tcPr>
            <w:tcW w:w="1819" w:type="dxa"/>
            <w:tcBorders>
              <w:top w:val="nil"/>
              <w:left w:val="nil"/>
              <w:bottom w:val="nil"/>
              <w:right w:val="nil"/>
            </w:tcBorders>
            <w:shd w:val="clear" w:color="auto" w:fill="auto"/>
            <w:vAlign w:val="center"/>
          </w:tcPr>
          <w:p w14:paraId="5612967B" w14:textId="77777777" w:rsidR="008B7E19" w:rsidRPr="00A6127A" w:rsidRDefault="008B7E19" w:rsidP="008B7E19">
            <w:pPr>
              <w:keepNext/>
              <w:keepLines/>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127A">
              <w:rPr>
                <w:rFonts w:cs="Arial"/>
                <w:color w:val="000000"/>
                <w:sz w:val="14"/>
                <w:szCs w:val="14"/>
              </w:rPr>
              <w:t>1</w:t>
            </w:r>
            <w:r>
              <w:rPr>
                <w:rFonts w:cs="Arial"/>
                <w:color w:val="000000"/>
                <w:sz w:val="14"/>
                <w:szCs w:val="14"/>
              </w:rPr>
              <w:t>,</w:t>
            </w:r>
            <w:r w:rsidRPr="00A6127A">
              <w:rPr>
                <w:rFonts w:cs="Arial"/>
                <w:color w:val="000000"/>
                <w:sz w:val="14"/>
                <w:szCs w:val="14"/>
              </w:rPr>
              <w:t>571</w:t>
            </w:r>
          </w:p>
        </w:tc>
      </w:tr>
      <w:tr w:rsidR="008B7E19" w:rsidRPr="008D7BD5" w14:paraId="35ABB0A4" w14:textId="77777777" w:rsidTr="008B7E1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5477DDCD" w14:textId="77777777" w:rsidR="008B7E19" w:rsidRPr="008D7BD5" w:rsidRDefault="008B7E19" w:rsidP="008B7E19">
            <w:pPr>
              <w:keepNext/>
              <w:keepLines/>
              <w:rPr>
                <w:rFonts w:cs="Arial"/>
                <w:sz w:val="14"/>
                <w:szCs w:val="14"/>
              </w:rPr>
            </w:pPr>
            <w:r>
              <w:rPr>
                <w:rFonts w:cs="Arial"/>
                <w:sz w:val="14"/>
                <w:szCs w:val="14"/>
              </w:rPr>
              <w:t>Insurance margin</w:t>
            </w:r>
          </w:p>
        </w:tc>
        <w:tc>
          <w:tcPr>
            <w:tcW w:w="1818" w:type="dxa"/>
            <w:tcBorders>
              <w:top w:val="nil"/>
              <w:left w:val="nil"/>
              <w:bottom w:val="nil"/>
              <w:right w:val="nil"/>
            </w:tcBorders>
            <w:shd w:val="clear" w:color="auto" w:fill="auto"/>
            <w:vAlign w:val="center"/>
          </w:tcPr>
          <w:p w14:paraId="1584EF8C" w14:textId="77777777" w:rsidR="008B7E19" w:rsidRPr="008D7BD5" w:rsidRDefault="008B7E19" w:rsidP="008B7E19">
            <w:pPr>
              <w:keepNext/>
              <w:keepLines/>
              <w:jc w:val="right"/>
              <w:cnfStyle w:val="000000010000" w:firstRow="0" w:lastRow="0" w:firstColumn="0" w:lastColumn="0" w:oddVBand="0" w:evenVBand="0" w:oddHBand="0" w:evenHBand="1" w:firstRowFirstColumn="0" w:firstRowLastColumn="0" w:lastRowFirstColumn="0" w:lastRowLastColumn="0"/>
              <w:rPr>
                <w:rFonts w:cs="Arial"/>
                <w:b/>
                <w:bCs/>
                <w:color w:val="000000"/>
                <w:sz w:val="14"/>
                <w:szCs w:val="14"/>
              </w:rPr>
            </w:pPr>
            <w:r w:rsidRPr="008D7BD5">
              <w:rPr>
                <w:rFonts w:cs="Arial"/>
                <w:b/>
                <w:bCs/>
                <w:color w:val="000000"/>
                <w:sz w:val="14"/>
                <w:szCs w:val="14"/>
              </w:rPr>
              <w:t>797</w:t>
            </w:r>
            <w:r>
              <w:rPr>
                <w:rFonts w:cs="Arial"/>
                <w:b/>
                <w:bCs/>
                <w:color w:val="000000"/>
                <w:sz w:val="14"/>
                <w:szCs w:val="14"/>
              </w:rPr>
              <w:t>,</w:t>
            </w:r>
            <w:r w:rsidRPr="008D7BD5">
              <w:rPr>
                <w:rFonts w:cs="Arial"/>
                <w:b/>
                <w:bCs/>
                <w:color w:val="000000"/>
                <w:sz w:val="14"/>
                <w:szCs w:val="14"/>
              </w:rPr>
              <w:t>068</w:t>
            </w:r>
          </w:p>
        </w:tc>
        <w:tc>
          <w:tcPr>
            <w:tcW w:w="1819" w:type="dxa"/>
            <w:tcBorders>
              <w:top w:val="nil"/>
              <w:left w:val="nil"/>
              <w:bottom w:val="nil"/>
              <w:right w:val="nil"/>
            </w:tcBorders>
            <w:shd w:val="clear" w:color="auto" w:fill="auto"/>
            <w:vAlign w:val="center"/>
          </w:tcPr>
          <w:p w14:paraId="27E67AD1" w14:textId="77777777" w:rsidR="008B7E19" w:rsidRPr="008D7BD5" w:rsidRDefault="008B7E19" w:rsidP="008B7E19">
            <w:pPr>
              <w:keepNext/>
              <w:keepLines/>
              <w:jc w:val="right"/>
              <w:cnfStyle w:val="000000010000" w:firstRow="0" w:lastRow="0" w:firstColumn="0" w:lastColumn="0" w:oddVBand="0" w:evenVBand="0" w:oddHBand="0" w:evenHBand="1" w:firstRowFirstColumn="0" w:firstRowLastColumn="0" w:lastRowFirstColumn="0" w:lastRowLastColumn="0"/>
              <w:rPr>
                <w:rFonts w:cs="Arial"/>
                <w:b/>
                <w:bCs/>
                <w:color w:val="000000"/>
                <w:sz w:val="14"/>
                <w:szCs w:val="14"/>
              </w:rPr>
            </w:pPr>
            <w:r w:rsidRPr="008D7BD5">
              <w:rPr>
                <w:rFonts w:cs="Arial"/>
                <w:b/>
                <w:bCs/>
                <w:color w:val="000000"/>
                <w:sz w:val="14"/>
                <w:szCs w:val="14"/>
              </w:rPr>
              <w:t>1</w:t>
            </w:r>
            <w:r>
              <w:rPr>
                <w:rFonts w:cs="Arial"/>
                <w:b/>
                <w:bCs/>
                <w:color w:val="000000"/>
                <w:sz w:val="14"/>
                <w:szCs w:val="14"/>
              </w:rPr>
              <w:t>,</w:t>
            </w:r>
            <w:r w:rsidRPr="008D7BD5">
              <w:rPr>
                <w:rFonts w:cs="Arial"/>
                <w:b/>
                <w:bCs/>
                <w:color w:val="000000"/>
                <w:sz w:val="14"/>
                <w:szCs w:val="14"/>
              </w:rPr>
              <w:t>591</w:t>
            </w:r>
            <w:r>
              <w:rPr>
                <w:rFonts w:cs="Arial"/>
                <w:b/>
                <w:bCs/>
                <w:color w:val="000000"/>
                <w:sz w:val="14"/>
                <w:szCs w:val="14"/>
              </w:rPr>
              <w:t>,</w:t>
            </w:r>
            <w:r w:rsidRPr="008D7BD5">
              <w:rPr>
                <w:rFonts w:cs="Arial"/>
                <w:b/>
                <w:bCs/>
                <w:color w:val="000000"/>
                <w:sz w:val="14"/>
                <w:szCs w:val="14"/>
              </w:rPr>
              <w:t>683</w:t>
            </w:r>
          </w:p>
        </w:tc>
        <w:tc>
          <w:tcPr>
            <w:tcW w:w="1819" w:type="dxa"/>
            <w:tcBorders>
              <w:top w:val="nil"/>
              <w:left w:val="nil"/>
              <w:bottom w:val="nil"/>
              <w:right w:val="nil"/>
            </w:tcBorders>
            <w:shd w:val="clear" w:color="auto" w:fill="auto"/>
            <w:vAlign w:val="center"/>
          </w:tcPr>
          <w:p w14:paraId="50027D2A" w14:textId="77777777" w:rsidR="008B7E19" w:rsidRPr="008D7BD5" w:rsidRDefault="008B7E19" w:rsidP="008B7E19">
            <w:pPr>
              <w:keepNext/>
              <w:keepLines/>
              <w:jc w:val="right"/>
              <w:cnfStyle w:val="000000010000" w:firstRow="0" w:lastRow="0" w:firstColumn="0" w:lastColumn="0" w:oddVBand="0" w:evenVBand="0" w:oddHBand="0" w:evenHBand="1" w:firstRowFirstColumn="0" w:firstRowLastColumn="0" w:lastRowFirstColumn="0" w:lastRowLastColumn="0"/>
              <w:rPr>
                <w:rFonts w:cs="Arial"/>
                <w:b/>
                <w:bCs/>
                <w:color w:val="000000"/>
                <w:sz w:val="14"/>
                <w:szCs w:val="14"/>
              </w:rPr>
            </w:pPr>
            <w:r w:rsidRPr="008D7BD5">
              <w:rPr>
                <w:rFonts w:cs="Arial"/>
                <w:b/>
                <w:bCs/>
                <w:color w:val="000000"/>
                <w:sz w:val="14"/>
                <w:szCs w:val="14"/>
              </w:rPr>
              <w:t>311</w:t>
            </w:r>
            <w:r>
              <w:rPr>
                <w:rFonts w:cs="Arial"/>
                <w:b/>
                <w:bCs/>
                <w:color w:val="000000"/>
                <w:sz w:val="14"/>
                <w:szCs w:val="14"/>
              </w:rPr>
              <w:t>,</w:t>
            </w:r>
            <w:r w:rsidRPr="008D7BD5">
              <w:rPr>
                <w:rFonts w:cs="Arial"/>
                <w:b/>
                <w:bCs/>
                <w:color w:val="000000"/>
                <w:sz w:val="14"/>
                <w:szCs w:val="14"/>
              </w:rPr>
              <w:t>261</w:t>
            </w:r>
          </w:p>
        </w:tc>
        <w:tc>
          <w:tcPr>
            <w:tcW w:w="1819" w:type="dxa"/>
            <w:tcBorders>
              <w:top w:val="nil"/>
              <w:left w:val="nil"/>
              <w:bottom w:val="nil"/>
              <w:right w:val="nil"/>
            </w:tcBorders>
            <w:shd w:val="clear" w:color="auto" w:fill="auto"/>
            <w:vAlign w:val="center"/>
          </w:tcPr>
          <w:p w14:paraId="0A889AEA" w14:textId="77777777" w:rsidR="008B7E19" w:rsidRPr="008D7BD5" w:rsidRDefault="008B7E19" w:rsidP="008B7E19">
            <w:pPr>
              <w:keepNext/>
              <w:keepLines/>
              <w:jc w:val="right"/>
              <w:cnfStyle w:val="000000010000" w:firstRow="0" w:lastRow="0" w:firstColumn="0" w:lastColumn="0" w:oddVBand="0" w:evenVBand="0" w:oddHBand="0" w:evenHBand="1" w:firstRowFirstColumn="0" w:firstRowLastColumn="0" w:lastRowFirstColumn="0" w:lastRowLastColumn="0"/>
              <w:rPr>
                <w:rFonts w:cs="Arial"/>
                <w:b/>
                <w:bCs/>
                <w:color w:val="000000"/>
                <w:sz w:val="14"/>
                <w:szCs w:val="14"/>
              </w:rPr>
            </w:pPr>
            <w:r w:rsidRPr="008D7BD5">
              <w:rPr>
                <w:rFonts w:cs="Arial"/>
                <w:b/>
                <w:bCs/>
                <w:color w:val="000000"/>
                <w:sz w:val="14"/>
                <w:szCs w:val="14"/>
              </w:rPr>
              <w:t>324</w:t>
            </w:r>
            <w:r>
              <w:rPr>
                <w:rFonts w:cs="Arial"/>
                <w:b/>
                <w:bCs/>
                <w:color w:val="000000"/>
                <w:sz w:val="14"/>
                <w:szCs w:val="14"/>
              </w:rPr>
              <w:t>,</w:t>
            </w:r>
            <w:r w:rsidRPr="008D7BD5">
              <w:rPr>
                <w:rFonts w:cs="Arial"/>
                <w:b/>
                <w:bCs/>
                <w:color w:val="000000"/>
                <w:sz w:val="14"/>
                <w:szCs w:val="14"/>
              </w:rPr>
              <w:t>376</w:t>
            </w:r>
          </w:p>
        </w:tc>
      </w:tr>
      <w:tr w:rsidR="008B7E19" w:rsidRPr="008D7BD5" w14:paraId="0BF60E50"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16A44ECF" w14:textId="77777777" w:rsidR="008B7E19" w:rsidRPr="008D7BD5" w:rsidRDefault="008B7E19" w:rsidP="008B7E19">
            <w:pPr>
              <w:keepNext/>
              <w:keepLines/>
              <w:rPr>
                <w:rFonts w:cs="Arial"/>
                <w:sz w:val="14"/>
                <w:szCs w:val="14"/>
              </w:rPr>
            </w:pPr>
            <w:r>
              <w:rPr>
                <w:rFonts w:cs="Arial"/>
                <w:sz w:val="14"/>
                <w:szCs w:val="14"/>
              </w:rPr>
              <w:t>Financial result</w:t>
            </w:r>
          </w:p>
        </w:tc>
        <w:tc>
          <w:tcPr>
            <w:tcW w:w="1818" w:type="dxa"/>
            <w:tcBorders>
              <w:top w:val="nil"/>
              <w:left w:val="nil"/>
              <w:bottom w:val="nil"/>
              <w:right w:val="nil"/>
            </w:tcBorders>
            <w:shd w:val="clear" w:color="auto" w:fill="auto"/>
            <w:vAlign w:val="center"/>
          </w:tcPr>
          <w:p w14:paraId="38701CC3" w14:textId="77777777" w:rsidR="008B7E19" w:rsidRPr="008D7BD5" w:rsidRDefault="008B7E19" w:rsidP="008B7E19">
            <w:pPr>
              <w:keepNext/>
              <w:keepLines/>
              <w:jc w:val="right"/>
              <w:cnfStyle w:val="000000100000" w:firstRow="0" w:lastRow="0" w:firstColumn="0" w:lastColumn="0" w:oddVBand="0" w:evenVBand="0" w:oddHBand="1" w:evenHBand="0" w:firstRowFirstColumn="0" w:firstRowLastColumn="0" w:lastRowFirstColumn="0" w:lastRowLastColumn="0"/>
              <w:rPr>
                <w:rFonts w:cs="Arial"/>
                <w:b/>
                <w:bCs/>
                <w:color w:val="000000"/>
                <w:sz w:val="14"/>
                <w:szCs w:val="14"/>
              </w:rPr>
            </w:pPr>
            <w:r w:rsidRPr="008D7BD5">
              <w:rPr>
                <w:rFonts w:cs="Arial"/>
                <w:b/>
                <w:bCs/>
                <w:color w:val="000000"/>
                <w:sz w:val="14"/>
                <w:szCs w:val="14"/>
              </w:rPr>
              <w:t>79</w:t>
            </w:r>
            <w:r>
              <w:rPr>
                <w:rFonts w:cs="Arial"/>
                <w:b/>
                <w:bCs/>
                <w:color w:val="000000"/>
                <w:sz w:val="14"/>
                <w:szCs w:val="14"/>
              </w:rPr>
              <w:t>,</w:t>
            </w:r>
            <w:r w:rsidRPr="008D7BD5">
              <w:rPr>
                <w:rFonts w:cs="Arial"/>
                <w:b/>
                <w:bCs/>
                <w:color w:val="000000"/>
                <w:sz w:val="14"/>
                <w:szCs w:val="14"/>
              </w:rPr>
              <w:t>416</w:t>
            </w:r>
          </w:p>
        </w:tc>
        <w:tc>
          <w:tcPr>
            <w:tcW w:w="1819" w:type="dxa"/>
            <w:tcBorders>
              <w:top w:val="nil"/>
              <w:left w:val="nil"/>
              <w:bottom w:val="nil"/>
              <w:right w:val="nil"/>
            </w:tcBorders>
            <w:shd w:val="clear" w:color="auto" w:fill="auto"/>
            <w:vAlign w:val="center"/>
          </w:tcPr>
          <w:p w14:paraId="400C3C35" w14:textId="77777777" w:rsidR="008B7E19" w:rsidRPr="008D7BD5" w:rsidRDefault="008B7E19" w:rsidP="008B7E19">
            <w:pPr>
              <w:keepNext/>
              <w:keepLines/>
              <w:jc w:val="right"/>
              <w:cnfStyle w:val="000000100000" w:firstRow="0" w:lastRow="0" w:firstColumn="0" w:lastColumn="0" w:oddVBand="0" w:evenVBand="0" w:oddHBand="1" w:evenHBand="0" w:firstRowFirstColumn="0" w:firstRowLastColumn="0" w:lastRowFirstColumn="0" w:lastRowLastColumn="0"/>
              <w:rPr>
                <w:rFonts w:cs="Arial"/>
                <w:b/>
                <w:bCs/>
                <w:color w:val="000000"/>
                <w:sz w:val="14"/>
                <w:szCs w:val="14"/>
              </w:rPr>
            </w:pPr>
            <w:r w:rsidRPr="008D7BD5">
              <w:rPr>
                <w:rFonts w:cs="Arial"/>
                <w:b/>
                <w:bCs/>
                <w:color w:val="000000"/>
                <w:sz w:val="14"/>
                <w:szCs w:val="14"/>
              </w:rPr>
              <w:t>349</w:t>
            </w:r>
            <w:r>
              <w:rPr>
                <w:rFonts w:cs="Arial"/>
                <w:b/>
                <w:bCs/>
                <w:color w:val="000000"/>
                <w:sz w:val="14"/>
                <w:szCs w:val="14"/>
              </w:rPr>
              <w:t>,</w:t>
            </w:r>
            <w:r w:rsidRPr="008D7BD5">
              <w:rPr>
                <w:rFonts w:cs="Arial"/>
                <w:b/>
                <w:bCs/>
                <w:color w:val="000000"/>
                <w:sz w:val="14"/>
                <w:szCs w:val="14"/>
              </w:rPr>
              <w:t>590</w:t>
            </w:r>
          </w:p>
        </w:tc>
        <w:tc>
          <w:tcPr>
            <w:tcW w:w="1819" w:type="dxa"/>
            <w:tcBorders>
              <w:top w:val="nil"/>
              <w:left w:val="nil"/>
              <w:bottom w:val="nil"/>
              <w:right w:val="nil"/>
            </w:tcBorders>
            <w:shd w:val="clear" w:color="auto" w:fill="auto"/>
            <w:vAlign w:val="center"/>
          </w:tcPr>
          <w:p w14:paraId="306E8F27" w14:textId="77777777" w:rsidR="008B7E19" w:rsidRPr="008D7BD5" w:rsidRDefault="008B7E19" w:rsidP="008B7E19">
            <w:pPr>
              <w:keepNext/>
              <w:keepLines/>
              <w:jc w:val="right"/>
              <w:cnfStyle w:val="000000100000" w:firstRow="0" w:lastRow="0" w:firstColumn="0" w:lastColumn="0" w:oddVBand="0" w:evenVBand="0" w:oddHBand="1" w:evenHBand="0" w:firstRowFirstColumn="0" w:firstRowLastColumn="0" w:lastRowFirstColumn="0" w:lastRowLastColumn="0"/>
              <w:rPr>
                <w:rFonts w:cs="Arial"/>
                <w:b/>
                <w:bCs/>
                <w:color w:val="000000"/>
                <w:sz w:val="14"/>
                <w:szCs w:val="14"/>
              </w:rPr>
            </w:pPr>
            <w:r w:rsidRPr="008D7BD5">
              <w:rPr>
                <w:rFonts w:cs="Arial"/>
                <w:b/>
                <w:bCs/>
                <w:color w:val="000000"/>
                <w:sz w:val="14"/>
                <w:szCs w:val="14"/>
              </w:rPr>
              <w:t>405</w:t>
            </w:r>
            <w:r>
              <w:rPr>
                <w:rFonts w:cs="Arial"/>
                <w:b/>
                <w:bCs/>
                <w:color w:val="000000"/>
                <w:sz w:val="14"/>
                <w:szCs w:val="14"/>
              </w:rPr>
              <w:t>,</w:t>
            </w:r>
            <w:r w:rsidRPr="008D7BD5">
              <w:rPr>
                <w:rFonts w:cs="Arial"/>
                <w:b/>
                <w:bCs/>
                <w:color w:val="000000"/>
                <w:sz w:val="14"/>
                <w:szCs w:val="14"/>
              </w:rPr>
              <w:t>396</w:t>
            </w:r>
          </w:p>
        </w:tc>
        <w:tc>
          <w:tcPr>
            <w:tcW w:w="1819" w:type="dxa"/>
            <w:tcBorders>
              <w:top w:val="nil"/>
              <w:left w:val="nil"/>
              <w:bottom w:val="nil"/>
              <w:right w:val="nil"/>
            </w:tcBorders>
            <w:shd w:val="clear" w:color="auto" w:fill="auto"/>
            <w:vAlign w:val="center"/>
          </w:tcPr>
          <w:p w14:paraId="1C76931A" w14:textId="77777777" w:rsidR="008B7E19" w:rsidRPr="008D7BD5" w:rsidRDefault="008B7E19" w:rsidP="008B7E19">
            <w:pPr>
              <w:keepNext/>
              <w:keepLines/>
              <w:jc w:val="right"/>
              <w:cnfStyle w:val="000000100000" w:firstRow="0" w:lastRow="0" w:firstColumn="0" w:lastColumn="0" w:oddVBand="0" w:evenVBand="0" w:oddHBand="1" w:evenHBand="0" w:firstRowFirstColumn="0" w:firstRowLastColumn="0" w:lastRowFirstColumn="0" w:lastRowLastColumn="0"/>
              <w:rPr>
                <w:rFonts w:cs="Arial"/>
                <w:b/>
                <w:bCs/>
                <w:color w:val="000000"/>
                <w:sz w:val="14"/>
                <w:szCs w:val="14"/>
              </w:rPr>
            </w:pPr>
            <w:r w:rsidRPr="008D7BD5">
              <w:rPr>
                <w:rFonts w:cs="Arial"/>
                <w:b/>
                <w:bCs/>
                <w:color w:val="000000"/>
                <w:sz w:val="14"/>
                <w:szCs w:val="14"/>
              </w:rPr>
              <w:t>1</w:t>
            </w:r>
            <w:r>
              <w:rPr>
                <w:rFonts w:cs="Arial"/>
                <w:b/>
                <w:bCs/>
                <w:color w:val="000000"/>
                <w:sz w:val="14"/>
                <w:szCs w:val="14"/>
              </w:rPr>
              <w:t>,</w:t>
            </w:r>
            <w:r w:rsidRPr="008D7BD5">
              <w:rPr>
                <w:rFonts w:cs="Arial"/>
                <w:b/>
                <w:bCs/>
                <w:color w:val="000000"/>
                <w:sz w:val="14"/>
                <w:szCs w:val="14"/>
              </w:rPr>
              <w:t>214</w:t>
            </w:r>
            <w:r>
              <w:rPr>
                <w:rFonts w:cs="Arial"/>
                <w:b/>
                <w:bCs/>
                <w:color w:val="000000"/>
                <w:sz w:val="14"/>
                <w:szCs w:val="14"/>
              </w:rPr>
              <w:t>,</w:t>
            </w:r>
            <w:r w:rsidRPr="008D7BD5">
              <w:rPr>
                <w:rFonts w:cs="Arial"/>
                <w:b/>
                <w:bCs/>
                <w:color w:val="000000"/>
                <w:sz w:val="14"/>
                <w:szCs w:val="14"/>
              </w:rPr>
              <w:t>642</w:t>
            </w:r>
          </w:p>
        </w:tc>
      </w:tr>
      <w:tr w:rsidR="008B7E19" w:rsidRPr="005824C3" w14:paraId="0F413427" w14:textId="77777777" w:rsidTr="008B7E1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798FB993" w14:textId="77777777" w:rsidR="008B7E19" w:rsidRPr="005824C3" w:rsidRDefault="008B7E19" w:rsidP="008B7E19">
            <w:pPr>
              <w:keepNext/>
              <w:keepLines/>
              <w:ind w:left="113"/>
              <w:rPr>
                <w:rFonts w:cs="Arial"/>
                <w:b w:val="0"/>
                <w:bCs w:val="0"/>
                <w:sz w:val="14"/>
                <w:szCs w:val="14"/>
              </w:rPr>
            </w:pPr>
            <w:r>
              <w:rPr>
                <w:rFonts w:cs="Arial"/>
                <w:b w:val="0"/>
                <w:bCs w:val="0"/>
                <w:sz w:val="14"/>
                <w:szCs w:val="14"/>
              </w:rPr>
              <w:t>Financial income</w:t>
            </w:r>
          </w:p>
        </w:tc>
        <w:tc>
          <w:tcPr>
            <w:tcW w:w="1818" w:type="dxa"/>
            <w:tcBorders>
              <w:top w:val="nil"/>
              <w:left w:val="nil"/>
              <w:bottom w:val="nil"/>
              <w:right w:val="nil"/>
            </w:tcBorders>
            <w:shd w:val="clear" w:color="auto" w:fill="auto"/>
            <w:vAlign w:val="center"/>
          </w:tcPr>
          <w:p w14:paraId="19CF242E" w14:textId="77777777" w:rsidR="008B7E19" w:rsidRPr="005824C3" w:rsidRDefault="008B7E19" w:rsidP="008B7E19">
            <w:pPr>
              <w:keepNext/>
              <w:keepLines/>
              <w:jc w:val="right"/>
              <w:cnfStyle w:val="000000010000" w:firstRow="0" w:lastRow="0" w:firstColumn="0" w:lastColumn="0" w:oddVBand="0" w:evenVBand="0" w:oddHBand="0" w:evenHBand="1" w:firstRowFirstColumn="0" w:firstRowLastColumn="0" w:lastRowFirstColumn="0" w:lastRowLastColumn="0"/>
              <w:rPr>
                <w:rFonts w:cs="Arial"/>
                <w:color w:val="000000"/>
                <w:sz w:val="14"/>
                <w:szCs w:val="14"/>
              </w:rPr>
            </w:pPr>
            <w:r w:rsidRPr="005824C3">
              <w:rPr>
                <w:rFonts w:cs="Arial"/>
                <w:color w:val="000000"/>
                <w:sz w:val="14"/>
                <w:szCs w:val="14"/>
              </w:rPr>
              <w:t>12</w:t>
            </w:r>
            <w:r>
              <w:rPr>
                <w:rFonts w:cs="Arial"/>
                <w:color w:val="000000"/>
                <w:sz w:val="14"/>
                <w:szCs w:val="14"/>
              </w:rPr>
              <w:t>,</w:t>
            </w:r>
            <w:r w:rsidRPr="005824C3">
              <w:rPr>
                <w:rFonts w:cs="Arial"/>
                <w:color w:val="000000"/>
                <w:sz w:val="14"/>
                <w:szCs w:val="14"/>
              </w:rPr>
              <w:t>570</w:t>
            </w:r>
            <w:r>
              <w:rPr>
                <w:rFonts w:cs="Arial"/>
                <w:color w:val="000000"/>
                <w:sz w:val="14"/>
                <w:szCs w:val="14"/>
              </w:rPr>
              <w:t>,</w:t>
            </w:r>
            <w:r w:rsidRPr="005824C3">
              <w:rPr>
                <w:rFonts w:cs="Arial"/>
                <w:color w:val="000000"/>
                <w:sz w:val="14"/>
                <w:szCs w:val="14"/>
              </w:rPr>
              <w:t>501</w:t>
            </w:r>
          </w:p>
        </w:tc>
        <w:tc>
          <w:tcPr>
            <w:tcW w:w="1819" w:type="dxa"/>
            <w:tcBorders>
              <w:top w:val="nil"/>
              <w:left w:val="nil"/>
              <w:bottom w:val="nil"/>
              <w:right w:val="nil"/>
            </w:tcBorders>
            <w:shd w:val="clear" w:color="auto" w:fill="auto"/>
            <w:vAlign w:val="center"/>
          </w:tcPr>
          <w:p w14:paraId="3AABC237" w14:textId="77777777" w:rsidR="008B7E19" w:rsidRPr="005824C3" w:rsidRDefault="008B7E19" w:rsidP="008B7E19">
            <w:pPr>
              <w:keepNext/>
              <w:keepLines/>
              <w:jc w:val="right"/>
              <w:cnfStyle w:val="000000010000" w:firstRow="0" w:lastRow="0" w:firstColumn="0" w:lastColumn="0" w:oddVBand="0" w:evenVBand="0" w:oddHBand="0" w:evenHBand="1" w:firstRowFirstColumn="0" w:firstRowLastColumn="0" w:lastRowFirstColumn="0" w:lastRowLastColumn="0"/>
              <w:rPr>
                <w:rFonts w:cs="Arial"/>
                <w:color w:val="000000"/>
                <w:sz w:val="14"/>
                <w:szCs w:val="14"/>
              </w:rPr>
            </w:pPr>
            <w:r w:rsidRPr="005824C3">
              <w:rPr>
                <w:rFonts w:cs="Arial"/>
                <w:color w:val="000000"/>
                <w:sz w:val="14"/>
                <w:szCs w:val="14"/>
              </w:rPr>
              <w:t>22</w:t>
            </w:r>
            <w:r>
              <w:rPr>
                <w:rFonts w:cs="Arial"/>
                <w:color w:val="000000"/>
                <w:sz w:val="14"/>
                <w:szCs w:val="14"/>
              </w:rPr>
              <w:t>,</w:t>
            </w:r>
            <w:r w:rsidRPr="005824C3">
              <w:rPr>
                <w:rFonts w:cs="Arial"/>
                <w:color w:val="000000"/>
                <w:sz w:val="14"/>
                <w:szCs w:val="14"/>
              </w:rPr>
              <w:t>805</w:t>
            </w:r>
            <w:r>
              <w:rPr>
                <w:rFonts w:cs="Arial"/>
                <w:color w:val="000000"/>
                <w:sz w:val="14"/>
                <w:szCs w:val="14"/>
              </w:rPr>
              <w:t>,</w:t>
            </w:r>
            <w:r w:rsidRPr="005824C3">
              <w:rPr>
                <w:rFonts w:cs="Arial"/>
                <w:color w:val="000000"/>
                <w:sz w:val="14"/>
                <w:szCs w:val="14"/>
              </w:rPr>
              <w:t>521</w:t>
            </w:r>
          </w:p>
        </w:tc>
        <w:tc>
          <w:tcPr>
            <w:tcW w:w="1819" w:type="dxa"/>
            <w:tcBorders>
              <w:top w:val="nil"/>
              <w:left w:val="nil"/>
              <w:bottom w:val="nil"/>
              <w:right w:val="nil"/>
            </w:tcBorders>
            <w:shd w:val="clear" w:color="auto" w:fill="auto"/>
            <w:vAlign w:val="center"/>
          </w:tcPr>
          <w:p w14:paraId="6A469916" w14:textId="77777777" w:rsidR="008B7E19" w:rsidRPr="005824C3" w:rsidRDefault="008B7E19" w:rsidP="008B7E19">
            <w:pPr>
              <w:keepNext/>
              <w:keepLines/>
              <w:jc w:val="right"/>
              <w:cnfStyle w:val="000000010000" w:firstRow="0" w:lastRow="0" w:firstColumn="0" w:lastColumn="0" w:oddVBand="0" w:evenVBand="0" w:oddHBand="0" w:evenHBand="1" w:firstRowFirstColumn="0" w:firstRowLastColumn="0" w:lastRowFirstColumn="0" w:lastRowLastColumn="0"/>
              <w:rPr>
                <w:rFonts w:cs="Arial"/>
                <w:color w:val="000000"/>
                <w:sz w:val="14"/>
                <w:szCs w:val="14"/>
              </w:rPr>
            </w:pPr>
            <w:r w:rsidRPr="005824C3">
              <w:rPr>
                <w:rFonts w:cs="Arial"/>
                <w:color w:val="000000"/>
                <w:sz w:val="14"/>
                <w:szCs w:val="14"/>
              </w:rPr>
              <w:t>5</w:t>
            </w:r>
            <w:r>
              <w:rPr>
                <w:rFonts w:cs="Arial"/>
                <w:color w:val="000000"/>
                <w:sz w:val="14"/>
                <w:szCs w:val="14"/>
              </w:rPr>
              <w:t>,</w:t>
            </w:r>
            <w:r w:rsidRPr="005824C3">
              <w:rPr>
                <w:rFonts w:cs="Arial"/>
                <w:color w:val="000000"/>
                <w:sz w:val="14"/>
                <w:szCs w:val="14"/>
              </w:rPr>
              <w:t>404</w:t>
            </w:r>
            <w:r>
              <w:rPr>
                <w:rFonts w:cs="Arial"/>
                <w:color w:val="000000"/>
                <w:sz w:val="14"/>
                <w:szCs w:val="14"/>
              </w:rPr>
              <w:t>,</w:t>
            </w:r>
            <w:r w:rsidRPr="005824C3">
              <w:rPr>
                <w:rFonts w:cs="Arial"/>
                <w:color w:val="000000"/>
                <w:sz w:val="14"/>
                <w:szCs w:val="14"/>
              </w:rPr>
              <w:t>252</w:t>
            </w:r>
          </w:p>
        </w:tc>
        <w:tc>
          <w:tcPr>
            <w:tcW w:w="1819" w:type="dxa"/>
            <w:tcBorders>
              <w:top w:val="nil"/>
              <w:left w:val="nil"/>
              <w:bottom w:val="nil"/>
              <w:right w:val="nil"/>
            </w:tcBorders>
            <w:shd w:val="clear" w:color="auto" w:fill="auto"/>
            <w:vAlign w:val="center"/>
          </w:tcPr>
          <w:p w14:paraId="316BCA6B" w14:textId="77777777" w:rsidR="008B7E19" w:rsidRPr="005824C3" w:rsidRDefault="008B7E19" w:rsidP="008B7E19">
            <w:pPr>
              <w:keepNext/>
              <w:keepLines/>
              <w:jc w:val="right"/>
              <w:cnfStyle w:val="000000010000" w:firstRow="0" w:lastRow="0" w:firstColumn="0" w:lastColumn="0" w:oddVBand="0" w:evenVBand="0" w:oddHBand="0" w:evenHBand="1" w:firstRowFirstColumn="0" w:firstRowLastColumn="0" w:lastRowFirstColumn="0" w:lastRowLastColumn="0"/>
              <w:rPr>
                <w:rFonts w:cs="Arial"/>
                <w:color w:val="000000"/>
                <w:sz w:val="14"/>
                <w:szCs w:val="14"/>
              </w:rPr>
            </w:pPr>
            <w:r w:rsidRPr="005824C3">
              <w:rPr>
                <w:rFonts w:cs="Arial"/>
                <w:color w:val="000000"/>
                <w:sz w:val="14"/>
                <w:szCs w:val="14"/>
              </w:rPr>
              <w:t>15</w:t>
            </w:r>
            <w:r>
              <w:rPr>
                <w:rFonts w:cs="Arial"/>
                <w:color w:val="000000"/>
                <w:sz w:val="14"/>
                <w:szCs w:val="14"/>
              </w:rPr>
              <w:t>,</w:t>
            </w:r>
            <w:r w:rsidRPr="005824C3">
              <w:rPr>
                <w:rFonts w:cs="Arial"/>
                <w:color w:val="000000"/>
                <w:sz w:val="14"/>
                <w:szCs w:val="14"/>
              </w:rPr>
              <w:t>230</w:t>
            </w:r>
            <w:r>
              <w:rPr>
                <w:rFonts w:cs="Arial"/>
                <w:color w:val="000000"/>
                <w:sz w:val="14"/>
                <w:szCs w:val="14"/>
              </w:rPr>
              <w:t>,</w:t>
            </w:r>
            <w:r w:rsidRPr="005824C3">
              <w:rPr>
                <w:rFonts w:cs="Arial"/>
                <w:color w:val="000000"/>
                <w:sz w:val="14"/>
                <w:szCs w:val="14"/>
              </w:rPr>
              <w:t>053</w:t>
            </w:r>
          </w:p>
        </w:tc>
      </w:tr>
      <w:tr w:rsidR="008B7E19" w:rsidRPr="005824C3" w14:paraId="2AB07BA1"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537A885F" w14:textId="77777777" w:rsidR="008B7E19" w:rsidRPr="005824C3" w:rsidRDefault="008B7E19" w:rsidP="008B7E19">
            <w:pPr>
              <w:keepNext/>
              <w:keepLines/>
              <w:ind w:left="113"/>
              <w:rPr>
                <w:rFonts w:cs="Arial"/>
                <w:b w:val="0"/>
                <w:bCs w:val="0"/>
                <w:sz w:val="14"/>
                <w:szCs w:val="14"/>
              </w:rPr>
            </w:pPr>
            <w:r>
              <w:rPr>
                <w:rFonts w:cs="Arial"/>
                <w:b w:val="0"/>
                <w:bCs w:val="0"/>
                <w:sz w:val="14"/>
                <w:szCs w:val="14"/>
              </w:rPr>
              <w:t>Financial expenses</w:t>
            </w:r>
          </w:p>
        </w:tc>
        <w:tc>
          <w:tcPr>
            <w:tcW w:w="1818" w:type="dxa"/>
            <w:tcBorders>
              <w:top w:val="nil"/>
              <w:left w:val="nil"/>
              <w:bottom w:val="nil"/>
              <w:right w:val="nil"/>
            </w:tcBorders>
            <w:shd w:val="clear" w:color="auto" w:fill="auto"/>
            <w:vAlign w:val="center"/>
          </w:tcPr>
          <w:p w14:paraId="1ECE73F0" w14:textId="77777777" w:rsidR="008B7E19" w:rsidRPr="005824C3" w:rsidRDefault="008B7E19" w:rsidP="008B7E19">
            <w:pPr>
              <w:keepNext/>
              <w:keepLines/>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5824C3">
              <w:rPr>
                <w:rFonts w:cs="Arial"/>
                <w:color w:val="000000"/>
                <w:sz w:val="14"/>
                <w:szCs w:val="14"/>
              </w:rPr>
              <w:t>(12</w:t>
            </w:r>
            <w:r>
              <w:rPr>
                <w:rFonts w:cs="Arial"/>
                <w:color w:val="000000"/>
                <w:sz w:val="14"/>
                <w:szCs w:val="14"/>
              </w:rPr>
              <w:t>,</w:t>
            </w:r>
            <w:r w:rsidRPr="005824C3">
              <w:rPr>
                <w:rFonts w:cs="Arial"/>
                <w:color w:val="000000"/>
                <w:sz w:val="14"/>
                <w:szCs w:val="14"/>
              </w:rPr>
              <w:t>491</w:t>
            </w:r>
            <w:r>
              <w:rPr>
                <w:rFonts w:cs="Arial"/>
                <w:color w:val="000000"/>
                <w:sz w:val="14"/>
                <w:szCs w:val="14"/>
              </w:rPr>
              <w:t>,</w:t>
            </w:r>
            <w:r w:rsidRPr="005824C3">
              <w:rPr>
                <w:rFonts w:cs="Arial"/>
                <w:color w:val="000000"/>
                <w:sz w:val="14"/>
                <w:szCs w:val="14"/>
              </w:rPr>
              <w:t>085)</w:t>
            </w:r>
          </w:p>
        </w:tc>
        <w:tc>
          <w:tcPr>
            <w:tcW w:w="1819" w:type="dxa"/>
            <w:tcBorders>
              <w:top w:val="nil"/>
              <w:left w:val="nil"/>
              <w:bottom w:val="nil"/>
              <w:right w:val="nil"/>
            </w:tcBorders>
            <w:shd w:val="clear" w:color="auto" w:fill="auto"/>
            <w:vAlign w:val="center"/>
          </w:tcPr>
          <w:p w14:paraId="71428657" w14:textId="77777777" w:rsidR="008B7E19" w:rsidRPr="005824C3" w:rsidRDefault="008B7E19" w:rsidP="008B7E19">
            <w:pPr>
              <w:keepNext/>
              <w:keepLines/>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5824C3">
              <w:rPr>
                <w:rFonts w:cs="Arial"/>
                <w:color w:val="000000"/>
                <w:sz w:val="14"/>
                <w:szCs w:val="14"/>
              </w:rPr>
              <w:t>(22</w:t>
            </w:r>
            <w:r>
              <w:rPr>
                <w:rFonts w:cs="Arial"/>
                <w:color w:val="000000"/>
                <w:sz w:val="14"/>
                <w:szCs w:val="14"/>
              </w:rPr>
              <w:t>,</w:t>
            </w:r>
            <w:r w:rsidRPr="005824C3">
              <w:rPr>
                <w:rFonts w:cs="Arial"/>
                <w:color w:val="000000"/>
                <w:sz w:val="14"/>
                <w:szCs w:val="14"/>
              </w:rPr>
              <w:t>455</w:t>
            </w:r>
            <w:r>
              <w:rPr>
                <w:rFonts w:cs="Arial"/>
                <w:color w:val="000000"/>
                <w:sz w:val="14"/>
                <w:szCs w:val="14"/>
              </w:rPr>
              <w:t>,</w:t>
            </w:r>
            <w:r w:rsidRPr="005824C3">
              <w:rPr>
                <w:rFonts w:cs="Arial"/>
                <w:color w:val="000000"/>
                <w:sz w:val="14"/>
                <w:szCs w:val="14"/>
              </w:rPr>
              <w:t>931)</w:t>
            </w:r>
          </w:p>
        </w:tc>
        <w:tc>
          <w:tcPr>
            <w:tcW w:w="1819" w:type="dxa"/>
            <w:tcBorders>
              <w:top w:val="nil"/>
              <w:left w:val="nil"/>
              <w:bottom w:val="nil"/>
              <w:right w:val="nil"/>
            </w:tcBorders>
            <w:shd w:val="clear" w:color="auto" w:fill="auto"/>
            <w:vAlign w:val="center"/>
          </w:tcPr>
          <w:p w14:paraId="2028B4BD" w14:textId="77777777" w:rsidR="008B7E19" w:rsidRPr="005824C3" w:rsidRDefault="008B7E19" w:rsidP="008B7E19">
            <w:pPr>
              <w:keepNext/>
              <w:keepLines/>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5824C3">
              <w:rPr>
                <w:rFonts w:cs="Arial"/>
                <w:color w:val="000000"/>
                <w:sz w:val="14"/>
                <w:szCs w:val="14"/>
              </w:rPr>
              <w:t>(4</w:t>
            </w:r>
            <w:r>
              <w:rPr>
                <w:rFonts w:cs="Arial"/>
                <w:color w:val="000000"/>
                <w:sz w:val="14"/>
                <w:szCs w:val="14"/>
              </w:rPr>
              <w:t>,</w:t>
            </w:r>
            <w:r w:rsidRPr="005824C3">
              <w:rPr>
                <w:rFonts w:cs="Arial"/>
                <w:color w:val="000000"/>
                <w:sz w:val="14"/>
                <w:szCs w:val="14"/>
              </w:rPr>
              <w:t>998</w:t>
            </w:r>
            <w:r>
              <w:rPr>
                <w:rFonts w:cs="Arial"/>
                <w:color w:val="000000"/>
                <w:sz w:val="14"/>
                <w:szCs w:val="14"/>
              </w:rPr>
              <w:t>,</w:t>
            </w:r>
            <w:r w:rsidRPr="005824C3">
              <w:rPr>
                <w:rFonts w:cs="Arial"/>
                <w:color w:val="000000"/>
                <w:sz w:val="14"/>
                <w:szCs w:val="14"/>
              </w:rPr>
              <w:t>856)</w:t>
            </w:r>
          </w:p>
        </w:tc>
        <w:tc>
          <w:tcPr>
            <w:tcW w:w="1819" w:type="dxa"/>
            <w:tcBorders>
              <w:top w:val="nil"/>
              <w:left w:val="nil"/>
              <w:bottom w:val="nil"/>
              <w:right w:val="nil"/>
            </w:tcBorders>
            <w:shd w:val="clear" w:color="auto" w:fill="auto"/>
            <w:vAlign w:val="center"/>
          </w:tcPr>
          <w:p w14:paraId="54AA7753" w14:textId="77777777" w:rsidR="008B7E19" w:rsidRPr="005824C3" w:rsidRDefault="008B7E19" w:rsidP="008B7E19">
            <w:pPr>
              <w:keepNext/>
              <w:keepLines/>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5824C3">
              <w:rPr>
                <w:rFonts w:cs="Arial"/>
                <w:color w:val="000000"/>
                <w:sz w:val="14"/>
                <w:szCs w:val="14"/>
              </w:rPr>
              <w:t>(14</w:t>
            </w:r>
            <w:r>
              <w:rPr>
                <w:rFonts w:cs="Arial"/>
                <w:color w:val="000000"/>
                <w:sz w:val="14"/>
                <w:szCs w:val="14"/>
              </w:rPr>
              <w:t>,</w:t>
            </w:r>
            <w:r w:rsidRPr="005824C3">
              <w:rPr>
                <w:rFonts w:cs="Arial"/>
                <w:color w:val="000000"/>
                <w:sz w:val="14"/>
                <w:szCs w:val="14"/>
              </w:rPr>
              <w:t>015</w:t>
            </w:r>
            <w:r>
              <w:rPr>
                <w:rFonts w:cs="Arial"/>
                <w:color w:val="000000"/>
                <w:sz w:val="14"/>
                <w:szCs w:val="14"/>
              </w:rPr>
              <w:t>,</w:t>
            </w:r>
            <w:r w:rsidRPr="005824C3">
              <w:rPr>
                <w:rFonts w:cs="Arial"/>
                <w:color w:val="000000"/>
                <w:sz w:val="14"/>
                <w:szCs w:val="14"/>
              </w:rPr>
              <w:t>411)</w:t>
            </w:r>
          </w:p>
        </w:tc>
      </w:tr>
      <w:tr w:rsidR="008B7E19" w:rsidRPr="005824C3" w14:paraId="29F8517C" w14:textId="77777777" w:rsidTr="008B7E1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4F83861C" w14:textId="77777777" w:rsidR="008B7E19" w:rsidRPr="005824C3" w:rsidRDefault="008B7E19" w:rsidP="008B7E19">
            <w:pPr>
              <w:keepNext/>
              <w:keepLines/>
              <w:rPr>
                <w:rFonts w:cs="Arial"/>
                <w:b w:val="0"/>
                <w:bCs w:val="0"/>
                <w:sz w:val="14"/>
                <w:szCs w:val="14"/>
              </w:rPr>
            </w:pPr>
            <w:r>
              <w:rPr>
                <w:rFonts w:cs="Arial"/>
                <w:b w:val="0"/>
                <w:bCs w:val="0"/>
                <w:sz w:val="14"/>
                <w:szCs w:val="14"/>
              </w:rPr>
              <w:t>Non-attributable expenses</w:t>
            </w:r>
          </w:p>
        </w:tc>
        <w:tc>
          <w:tcPr>
            <w:tcW w:w="1818" w:type="dxa"/>
            <w:tcBorders>
              <w:top w:val="nil"/>
              <w:left w:val="nil"/>
              <w:bottom w:val="nil"/>
              <w:right w:val="nil"/>
            </w:tcBorders>
            <w:shd w:val="clear" w:color="auto" w:fill="auto"/>
            <w:vAlign w:val="center"/>
          </w:tcPr>
          <w:p w14:paraId="03BCC9FA" w14:textId="77777777" w:rsidR="008B7E19" w:rsidRPr="005824C3" w:rsidRDefault="008B7E19" w:rsidP="008B7E19">
            <w:pPr>
              <w:keepNext/>
              <w:keepLines/>
              <w:jc w:val="right"/>
              <w:cnfStyle w:val="000000010000" w:firstRow="0" w:lastRow="0" w:firstColumn="0" w:lastColumn="0" w:oddVBand="0" w:evenVBand="0" w:oddHBand="0" w:evenHBand="1" w:firstRowFirstColumn="0" w:firstRowLastColumn="0" w:lastRowFirstColumn="0" w:lastRowLastColumn="0"/>
              <w:rPr>
                <w:rFonts w:cs="Arial"/>
                <w:color w:val="000000"/>
                <w:sz w:val="14"/>
                <w:szCs w:val="14"/>
              </w:rPr>
            </w:pPr>
            <w:r w:rsidRPr="005824C3">
              <w:rPr>
                <w:rFonts w:cs="Arial"/>
                <w:color w:val="000000"/>
                <w:sz w:val="14"/>
                <w:szCs w:val="14"/>
              </w:rPr>
              <w:t>(18</w:t>
            </w:r>
            <w:r>
              <w:rPr>
                <w:rFonts w:cs="Arial"/>
                <w:color w:val="000000"/>
                <w:sz w:val="14"/>
                <w:szCs w:val="14"/>
              </w:rPr>
              <w:t>,</w:t>
            </w:r>
            <w:r w:rsidRPr="005824C3">
              <w:rPr>
                <w:rFonts w:cs="Arial"/>
                <w:color w:val="000000"/>
                <w:sz w:val="14"/>
                <w:szCs w:val="14"/>
              </w:rPr>
              <w:t>216)</w:t>
            </w:r>
          </w:p>
        </w:tc>
        <w:tc>
          <w:tcPr>
            <w:tcW w:w="1819" w:type="dxa"/>
            <w:tcBorders>
              <w:top w:val="nil"/>
              <w:left w:val="nil"/>
              <w:bottom w:val="nil"/>
              <w:right w:val="nil"/>
            </w:tcBorders>
            <w:shd w:val="clear" w:color="auto" w:fill="auto"/>
            <w:vAlign w:val="center"/>
          </w:tcPr>
          <w:p w14:paraId="7C9D1B36" w14:textId="77777777" w:rsidR="008B7E19" w:rsidRPr="005824C3" w:rsidRDefault="008B7E19" w:rsidP="008B7E19">
            <w:pPr>
              <w:keepNext/>
              <w:keepLines/>
              <w:jc w:val="right"/>
              <w:cnfStyle w:val="000000010000" w:firstRow="0" w:lastRow="0" w:firstColumn="0" w:lastColumn="0" w:oddVBand="0" w:evenVBand="0" w:oddHBand="0" w:evenHBand="1" w:firstRowFirstColumn="0" w:firstRowLastColumn="0" w:lastRowFirstColumn="0" w:lastRowLastColumn="0"/>
              <w:rPr>
                <w:rFonts w:cs="Arial"/>
                <w:color w:val="000000"/>
                <w:sz w:val="14"/>
                <w:szCs w:val="14"/>
              </w:rPr>
            </w:pPr>
            <w:r w:rsidRPr="005824C3">
              <w:rPr>
                <w:rFonts w:cs="Arial"/>
                <w:color w:val="000000"/>
                <w:sz w:val="14"/>
                <w:szCs w:val="14"/>
              </w:rPr>
              <w:t>(35</w:t>
            </w:r>
            <w:r>
              <w:rPr>
                <w:rFonts w:cs="Arial"/>
                <w:color w:val="000000"/>
                <w:sz w:val="14"/>
                <w:szCs w:val="14"/>
              </w:rPr>
              <w:t>,</w:t>
            </w:r>
            <w:r w:rsidRPr="005824C3">
              <w:rPr>
                <w:rFonts w:cs="Arial"/>
                <w:color w:val="000000"/>
                <w:sz w:val="14"/>
                <w:szCs w:val="14"/>
              </w:rPr>
              <w:t>267)</w:t>
            </w:r>
          </w:p>
        </w:tc>
        <w:tc>
          <w:tcPr>
            <w:tcW w:w="1819" w:type="dxa"/>
            <w:tcBorders>
              <w:top w:val="nil"/>
              <w:left w:val="nil"/>
              <w:bottom w:val="nil"/>
              <w:right w:val="nil"/>
            </w:tcBorders>
            <w:shd w:val="clear" w:color="auto" w:fill="auto"/>
            <w:vAlign w:val="center"/>
          </w:tcPr>
          <w:p w14:paraId="3229EAF1" w14:textId="77777777" w:rsidR="008B7E19" w:rsidRPr="005824C3" w:rsidRDefault="008B7E19" w:rsidP="008B7E19">
            <w:pPr>
              <w:keepNext/>
              <w:keepLines/>
              <w:jc w:val="right"/>
              <w:cnfStyle w:val="000000010000" w:firstRow="0" w:lastRow="0" w:firstColumn="0" w:lastColumn="0" w:oddVBand="0" w:evenVBand="0" w:oddHBand="0" w:evenHBand="1" w:firstRowFirstColumn="0" w:firstRowLastColumn="0" w:lastRowFirstColumn="0" w:lastRowLastColumn="0"/>
              <w:rPr>
                <w:rFonts w:cs="Arial"/>
                <w:color w:val="000000"/>
                <w:sz w:val="14"/>
                <w:szCs w:val="14"/>
              </w:rPr>
            </w:pPr>
            <w:r w:rsidRPr="005824C3">
              <w:rPr>
                <w:rFonts w:cs="Arial"/>
                <w:color w:val="000000"/>
                <w:sz w:val="14"/>
                <w:szCs w:val="14"/>
              </w:rPr>
              <w:t>(16</w:t>
            </w:r>
            <w:r>
              <w:rPr>
                <w:rFonts w:cs="Arial"/>
                <w:color w:val="000000"/>
                <w:sz w:val="14"/>
                <w:szCs w:val="14"/>
              </w:rPr>
              <w:t>,</w:t>
            </w:r>
            <w:r w:rsidRPr="005824C3">
              <w:rPr>
                <w:rFonts w:cs="Arial"/>
                <w:color w:val="000000"/>
                <w:sz w:val="14"/>
                <w:szCs w:val="14"/>
              </w:rPr>
              <w:t>903)</w:t>
            </w:r>
          </w:p>
        </w:tc>
        <w:tc>
          <w:tcPr>
            <w:tcW w:w="1819" w:type="dxa"/>
            <w:tcBorders>
              <w:top w:val="nil"/>
              <w:left w:val="nil"/>
              <w:bottom w:val="nil"/>
              <w:right w:val="nil"/>
            </w:tcBorders>
            <w:shd w:val="clear" w:color="auto" w:fill="auto"/>
            <w:vAlign w:val="center"/>
          </w:tcPr>
          <w:p w14:paraId="0D26F100" w14:textId="77777777" w:rsidR="008B7E19" w:rsidRPr="005824C3" w:rsidRDefault="008B7E19" w:rsidP="008B7E19">
            <w:pPr>
              <w:keepNext/>
              <w:keepLines/>
              <w:jc w:val="right"/>
              <w:cnfStyle w:val="000000010000" w:firstRow="0" w:lastRow="0" w:firstColumn="0" w:lastColumn="0" w:oddVBand="0" w:evenVBand="0" w:oddHBand="0" w:evenHBand="1" w:firstRowFirstColumn="0" w:firstRowLastColumn="0" w:lastRowFirstColumn="0" w:lastRowLastColumn="0"/>
              <w:rPr>
                <w:rFonts w:cs="Arial"/>
                <w:color w:val="000000"/>
                <w:sz w:val="14"/>
                <w:szCs w:val="14"/>
              </w:rPr>
            </w:pPr>
            <w:r w:rsidRPr="005824C3">
              <w:rPr>
                <w:rFonts w:cs="Arial"/>
                <w:color w:val="000000"/>
                <w:sz w:val="14"/>
                <w:szCs w:val="14"/>
              </w:rPr>
              <w:t>(32</w:t>
            </w:r>
            <w:r>
              <w:rPr>
                <w:rFonts w:cs="Arial"/>
                <w:color w:val="000000"/>
                <w:sz w:val="14"/>
                <w:szCs w:val="14"/>
              </w:rPr>
              <w:t>,</w:t>
            </w:r>
            <w:r w:rsidRPr="005824C3">
              <w:rPr>
                <w:rFonts w:cs="Arial"/>
                <w:color w:val="000000"/>
                <w:sz w:val="14"/>
                <w:szCs w:val="14"/>
              </w:rPr>
              <w:t>950)</w:t>
            </w:r>
          </w:p>
        </w:tc>
      </w:tr>
      <w:tr w:rsidR="008B7E19" w:rsidRPr="005824C3" w14:paraId="543CD738"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365ADCA3" w14:textId="77777777" w:rsidR="008B7E19" w:rsidRPr="005824C3" w:rsidRDefault="008B7E19" w:rsidP="008B7E19">
            <w:pPr>
              <w:keepNext/>
              <w:keepLines/>
              <w:rPr>
                <w:rFonts w:cs="Arial"/>
                <w:b w:val="0"/>
                <w:bCs w:val="0"/>
                <w:sz w:val="14"/>
                <w:szCs w:val="14"/>
              </w:rPr>
            </w:pPr>
            <w:r>
              <w:rPr>
                <w:rFonts w:cs="Arial"/>
                <w:b w:val="0"/>
                <w:bCs w:val="0"/>
                <w:sz w:val="14"/>
                <w:szCs w:val="14"/>
              </w:rPr>
              <w:t>Other income and expenses</w:t>
            </w:r>
          </w:p>
        </w:tc>
        <w:tc>
          <w:tcPr>
            <w:tcW w:w="1818" w:type="dxa"/>
            <w:tcBorders>
              <w:top w:val="nil"/>
              <w:left w:val="nil"/>
              <w:bottom w:val="nil"/>
              <w:right w:val="nil"/>
            </w:tcBorders>
            <w:shd w:val="clear" w:color="auto" w:fill="auto"/>
            <w:vAlign w:val="center"/>
          </w:tcPr>
          <w:p w14:paraId="56CF23D8" w14:textId="77777777" w:rsidR="008B7E19" w:rsidRPr="005824C3" w:rsidRDefault="008B7E19" w:rsidP="008B7E19">
            <w:pPr>
              <w:keepNext/>
              <w:keepLines/>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5824C3">
              <w:rPr>
                <w:rFonts w:cs="Arial"/>
                <w:color w:val="000000"/>
                <w:sz w:val="14"/>
                <w:szCs w:val="14"/>
              </w:rPr>
              <w:t>(2)</w:t>
            </w:r>
          </w:p>
        </w:tc>
        <w:tc>
          <w:tcPr>
            <w:tcW w:w="1819" w:type="dxa"/>
            <w:tcBorders>
              <w:top w:val="nil"/>
              <w:left w:val="nil"/>
              <w:bottom w:val="nil"/>
              <w:right w:val="nil"/>
            </w:tcBorders>
            <w:shd w:val="clear" w:color="auto" w:fill="auto"/>
            <w:vAlign w:val="center"/>
          </w:tcPr>
          <w:p w14:paraId="639EEC02" w14:textId="77777777" w:rsidR="008B7E19" w:rsidRPr="005824C3" w:rsidRDefault="008B7E19" w:rsidP="008B7E19">
            <w:pPr>
              <w:keepNext/>
              <w:keepLines/>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5824C3">
              <w:rPr>
                <w:rFonts w:cs="Arial"/>
                <w:color w:val="000000"/>
                <w:sz w:val="14"/>
                <w:szCs w:val="14"/>
              </w:rPr>
              <w:t>15</w:t>
            </w:r>
          </w:p>
        </w:tc>
        <w:tc>
          <w:tcPr>
            <w:tcW w:w="1819" w:type="dxa"/>
            <w:tcBorders>
              <w:top w:val="nil"/>
              <w:left w:val="nil"/>
              <w:bottom w:val="nil"/>
              <w:right w:val="nil"/>
            </w:tcBorders>
            <w:shd w:val="clear" w:color="auto" w:fill="auto"/>
            <w:vAlign w:val="center"/>
          </w:tcPr>
          <w:p w14:paraId="62D1010F" w14:textId="77777777" w:rsidR="008B7E19" w:rsidRPr="005824C3" w:rsidRDefault="008B7E19" w:rsidP="008B7E19">
            <w:pPr>
              <w:keepNext/>
              <w:keepLines/>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5824C3">
              <w:rPr>
                <w:rFonts w:cs="Arial"/>
                <w:color w:val="000000"/>
                <w:sz w:val="14"/>
                <w:szCs w:val="14"/>
              </w:rPr>
              <w:t>--</w:t>
            </w:r>
          </w:p>
        </w:tc>
        <w:tc>
          <w:tcPr>
            <w:tcW w:w="1819" w:type="dxa"/>
            <w:tcBorders>
              <w:top w:val="nil"/>
              <w:left w:val="nil"/>
              <w:bottom w:val="nil"/>
              <w:right w:val="nil"/>
            </w:tcBorders>
            <w:shd w:val="clear" w:color="auto" w:fill="auto"/>
            <w:vAlign w:val="center"/>
          </w:tcPr>
          <w:p w14:paraId="072291B7" w14:textId="77777777" w:rsidR="008B7E19" w:rsidRPr="005824C3" w:rsidRDefault="008B7E19" w:rsidP="008B7E19">
            <w:pPr>
              <w:keepNext/>
              <w:keepLines/>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5824C3">
              <w:rPr>
                <w:rFonts w:cs="Arial"/>
                <w:color w:val="000000"/>
                <w:sz w:val="14"/>
                <w:szCs w:val="14"/>
              </w:rPr>
              <w:t>--</w:t>
            </w:r>
          </w:p>
        </w:tc>
      </w:tr>
      <w:tr w:rsidR="008B7E19" w:rsidRPr="008D7BD5" w14:paraId="61ADF168" w14:textId="77777777" w:rsidTr="008B7E1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3D1972F5" w14:textId="77777777" w:rsidR="008B7E19" w:rsidRPr="008D7BD5" w:rsidRDefault="008B7E19" w:rsidP="008B7E19">
            <w:pPr>
              <w:keepNext/>
              <w:keepLines/>
              <w:rPr>
                <w:rFonts w:cs="Arial"/>
                <w:sz w:val="14"/>
                <w:szCs w:val="14"/>
              </w:rPr>
            </w:pPr>
            <w:r>
              <w:rPr>
                <w:rFonts w:cs="Arial"/>
                <w:sz w:val="14"/>
                <w:szCs w:val="14"/>
              </w:rPr>
              <w:t>Income before taxes</w:t>
            </w:r>
          </w:p>
        </w:tc>
        <w:tc>
          <w:tcPr>
            <w:tcW w:w="1818" w:type="dxa"/>
            <w:tcBorders>
              <w:top w:val="nil"/>
              <w:left w:val="nil"/>
              <w:bottom w:val="nil"/>
              <w:right w:val="nil"/>
            </w:tcBorders>
            <w:shd w:val="clear" w:color="auto" w:fill="auto"/>
            <w:vAlign w:val="center"/>
          </w:tcPr>
          <w:p w14:paraId="145C0543" w14:textId="77777777" w:rsidR="008B7E19" w:rsidRPr="008D7BD5" w:rsidRDefault="008B7E19" w:rsidP="008B7E19">
            <w:pPr>
              <w:keepNext/>
              <w:keepLines/>
              <w:jc w:val="right"/>
              <w:cnfStyle w:val="000000010000" w:firstRow="0" w:lastRow="0" w:firstColumn="0" w:lastColumn="0" w:oddVBand="0" w:evenVBand="0" w:oddHBand="0" w:evenHBand="1" w:firstRowFirstColumn="0" w:firstRowLastColumn="0" w:lastRowFirstColumn="0" w:lastRowLastColumn="0"/>
              <w:rPr>
                <w:rFonts w:cs="Arial"/>
                <w:b/>
                <w:bCs/>
                <w:color w:val="000000"/>
                <w:sz w:val="14"/>
                <w:szCs w:val="14"/>
              </w:rPr>
            </w:pPr>
            <w:r w:rsidRPr="008D7BD5">
              <w:rPr>
                <w:rFonts w:cs="Arial"/>
                <w:b/>
                <w:bCs/>
                <w:color w:val="000000"/>
                <w:sz w:val="14"/>
                <w:szCs w:val="14"/>
              </w:rPr>
              <w:t>858</w:t>
            </w:r>
            <w:r>
              <w:rPr>
                <w:rFonts w:cs="Arial"/>
                <w:b/>
                <w:bCs/>
                <w:color w:val="000000"/>
                <w:sz w:val="14"/>
                <w:szCs w:val="14"/>
              </w:rPr>
              <w:t>,</w:t>
            </w:r>
            <w:r w:rsidRPr="008D7BD5">
              <w:rPr>
                <w:rFonts w:cs="Arial"/>
                <w:b/>
                <w:bCs/>
                <w:color w:val="000000"/>
                <w:sz w:val="14"/>
                <w:szCs w:val="14"/>
              </w:rPr>
              <w:t>266</w:t>
            </w:r>
          </w:p>
        </w:tc>
        <w:tc>
          <w:tcPr>
            <w:tcW w:w="1819" w:type="dxa"/>
            <w:tcBorders>
              <w:top w:val="nil"/>
              <w:left w:val="nil"/>
              <w:bottom w:val="nil"/>
              <w:right w:val="nil"/>
            </w:tcBorders>
            <w:shd w:val="clear" w:color="auto" w:fill="auto"/>
            <w:vAlign w:val="center"/>
          </w:tcPr>
          <w:p w14:paraId="2942902A" w14:textId="77777777" w:rsidR="008B7E19" w:rsidRPr="008D7BD5" w:rsidRDefault="008B7E19" w:rsidP="008B7E19">
            <w:pPr>
              <w:keepNext/>
              <w:keepLines/>
              <w:jc w:val="right"/>
              <w:cnfStyle w:val="000000010000" w:firstRow="0" w:lastRow="0" w:firstColumn="0" w:lastColumn="0" w:oddVBand="0" w:evenVBand="0" w:oddHBand="0" w:evenHBand="1" w:firstRowFirstColumn="0" w:firstRowLastColumn="0" w:lastRowFirstColumn="0" w:lastRowLastColumn="0"/>
              <w:rPr>
                <w:rFonts w:cs="Arial"/>
                <w:b/>
                <w:bCs/>
                <w:color w:val="000000"/>
                <w:sz w:val="14"/>
                <w:szCs w:val="14"/>
              </w:rPr>
            </w:pPr>
            <w:r w:rsidRPr="008D7BD5">
              <w:rPr>
                <w:rFonts w:cs="Arial"/>
                <w:b/>
                <w:bCs/>
                <w:color w:val="000000"/>
                <w:sz w:val="14"/>
                <w:szCs w:val="14"/>
              </w:rPr>
              <w:t>1</w:t>
            </w:r>
            <w:r>
              <w:rPr>
                <w:rFonts w:cs="Arial"/>
                <w:b/>
                <w:bCs/>
                <w:color w:val="000000"/>
                <w:sz w:val="14"/>
                <w:szCs w:val="14"/>
              </w:rPr>
              <w:t>,</w:t>
            </w:r>
            <w:r w:rsidRPr="008D7BD5">
              <w:rPr>
                <w:rFonts w:cs="Arial"/>
                <w:b/>
                <w:bCs/>
                <w:color w:val="000000"/>
                <w:sz w:val="14"/>
                <w:szCs w:val="14"/>
              </w:rPr>
              <w:t>906</w:t>
            </w:r>
            <w:r>
              <w:rPr>
                <w:rFonts w:cs="Arial"/>
                <w:b/>
                <w:bCs/>
                <w:color w:val="000000"/>
                <w:sz w:val="14"/>
                <w:szCs w:val="14"/>
              </w:rPr>
              <w:t>,</w:t>
            </w:r>
            <w:r w:rsidRPr="008D7BD5">
              <w:rPr>
                <w:rFonts w:cs="Arial"/>
                <w:b/>
                <w:bCs/>
                <w:color w:val="000000"/>
                <w:sz w:val="14"/>
                <w:szCs w:val="14"/>
              </w:rPr>
              <w:t>022</w:t>
            </w:r>
          </w:p>
        </w:tc>
        <w:tc>
          <w:tcPr>
            <w:tcW w:w="1819" w:type="dxa"/>
            <w:tcBorders>
              <w:top w:val="nil"/>
              <w:left w:val="nil"/>
              <w:bottom w:val="nil"/>
              <w:right w:val="nil"/>
            </w:tcBorders>
            <w:shd w:val="clear" w:color="auto" w:fill="auto"/>
            <w:vAlign w:val="center"/>
          </w:tcPr>
          <w:p w14:paraId="79A17744" w14:textId="77777777" w:rsidR="008B7E19" w:rsidRPr="008D7BD5" w:rsidRDefault="008B7E19" w:rsidP="008B7E19">
            <w:pPr>
              <w:keepNext/>
              <w:keepLines/>
              <w:jc w:val="right"/>
              <w:cnfStyle w:val="000000010000" w:firstRow="0" w:lastRow="0" w:firstColumn="0" w:lastColumn="0" w:oddVBand="0" w:evenVBand="0" w:oddHBand="0" w:evenHBand="1" w:firstRowFirstColumn="0" w:firstRowLastColumn="0" w:lastRowFirstColumn="0" w:lastRowLastColumn="0"/>
              <w:rPr>
                <w:rFonts w:cs="Arial"/>
                <w:b/>
                <w:bCs/>
                <w:color w:val="000000"/>
                <w:sz w:val="14"/>
                <w:szCs w:val="14"/>
              </w:rPr>
            </w:pPr>
            <w:r w:rsidRPr="008D7BD5">
              <w:rPr>
                <w:rFonts w:cs="Arial"/>
                <w:b/>
                <w:bCs/>
                <w:color w:val="000000"/>
                <w:sz w:val="14"/>
                <w:szCs w:val="14"/>
              </w:rPr>
              <w:t>699</w:t>
            </w:r>
            <w:r>
              <w:rPr>
                <w:rFonts w:cs="Arial"/>
                <w:b/>
                <w:bCs/>
                <w:color w:val="000000"/>
                <w:sz w:val="14"/>
                <w:szCs w:val="14"/>
              </w:rPr>
              <w:t>,</w:t>
            </w:r>
            <w:r w:rsidRPr="008D7BD5">
              <w:rPr>
                <w:rFonts w:cs="Arial"/>
                <w:b/>
                <w:bCs/>
                <w:color w:val="000000"/>
                <w:sz w:val="14"/>
                <w:szCs w:val="14"/>
              </w:rPr>
              <w:t>754</w:t>
            </w:r>
          </w:p>
        </w:tc>
        <w:tc>
          <w:tcPr>
            <w:tcW w:w="1819" w:type="dxa"/>
            <w:tcBorders>
              <w:top w:val="nil"/>
              <w:left w:val="nil"/>
              <w:bottom w:val="nil"/>
              <w:right w:val="nil"/>
            </w:tcBorders>
            <w:shd w:val="clear" w:color="auto" w:fill="auto"/>
            <w:vAlign w:val="center"/>
          </w:tcPr>
          <w:p w14:paraId="42696E01" w14:textId="77777777" w:rsidR="008B7E19" w:rsidRPr="008D7BD5" w:rsidRDefault="008B7E19" w:rsidP="008B7E19">
            <w:pPr>
              <w:keepNext/>
              <w:keepLines/>
              <w:jc w:val="right"/>
              <w:cnfStyle w:val="000000010000" w:firstRow="0" w:lastRow="0" w:firstColumn="0" w:lastColumn="0" w:oddVBand="0" w:evenVBand="0" w:oddHBand="0" w:evenHBand="1" w:firstRowFirstColumn="0" w:firstRowLastColumn="0" w:lastRowFirstColumn="0" w:lastRowLastColumn="0"/>
              <w:rPr>
                <w:rFonts w:cs="Arial"/>
                <w:b/>
                <w:bCs/>
                <w:color w:val="000000"/>
                <w:sz w:val="14"/>
                <w:szCs w:val="14"/>
              </w:rPr>
            </w:pPr>
            <w:r w:rsidRPr="008D7BD5">
              <w:rPr>
                <w:rFonts w:cs="Arial"/>
                <w:b/>
                <w:bCs/>
                <w:color w:val="000000"/>
                <w:sz w:val="14"/>
                <w:szCs w:val="14"/>
              </w:rPr>
              <w:t>1</w:t>
            </w:r>
            <w:r>
              <w:rPr>
                <w:rFonts w:cs="Arial"/>
                <w:b/>
                <w:bCs/>
                <w:color w:val="000000"/>
                <w:sz w:val="14"/>
                <w:szCs w:val="14"/>
              </w:rPr>
              <w:t>,</w:t>
            </w:r>
            <w:r w:rsidRPr="008D7BD5">
              <w:rPr>
                <w:rFonts w:cs="Arial"/>
                <w:b/>
                <w:bCs/>
                <w:color w:val="000000"/>
                <w:sz w:val="14"/>
                <w:szCs w:val="14"/>
              </w:rPr>
              <w:t>506</w:t>
            </w:r>
            <w:r>
              <w:rPr>
                <w:rFonts w:cs="Arial"/>
                <w:b/>
                <w:bCs/>
                <w:color w:val="000000"/>
                <w:sz w:val="14"/>
                <w:szCs w:val="14"/>
              </w:rPr>
              <w:t>,</w:t>
            </w:r>
            <w:r w:rsidRPr="008D7BD5">
              <w:rPr>
                <w:rFonts w:cs="Arial"/>
                <w:b/>
                <w:bCs/>
                <w:color w:val="000000"/>
                <w:sz w:val="14"/>
                <w:szCs w:val="14"/>
              </w:rPr>
              <w:t>068</w:t>
            </w:r>
          </w:p>
        </w:tc>
      </w:tr>
      <w:tr w:rsidR="008B7E19" w:rsidRPr="005824C3" w14:paraId="21AE4997"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691302D6" w14:textId="77777777" w:rsidR="008B7E19" w:rsidRPr="005824C3" w:rsidRDefault="008B7E19" w:rsidP="008B7E19">
            <w:pPr>
              <w:keepNext/>
              <w:keepLines/>
              <w:ind w:left="113"/>
              <w:rPr>
                <w:rFonts w:cs="Arial"/>
                <w:b w:val="0"/>
                <w:bCs w:val="0"/>
                <w:color w:val="000000"/>
                <w:sz w:val="14"/>
                <w:szCs w:val="14"/>
              </w:rPr>
            </w:pPr>
            <w:r>
              <w:rPr>
                <w:rFonts w:cs="Arial"/>
                <w:b w:val="0"/>
                <w:bCs w:val="0"/>
                <w:sz w:val="14"/>
                <w:szCs w:val="14"/>
              </w:rPr>
              <w:t>Taxes</w:t>
            </w:r>
          </w:p>
        </w:tc>
        <w:tc>
          <w:tcPr>
            <w:tcW w:w="1818" w:type="dxa"/>
            <w:tcBorders>
              <w:top w:val="nil"/>
              <w:left w:val="nil"/>
              <w:bottom w:val="nil"/>
              <w:right w:val="nil"/>
            </w:tcBorders>
            <w:shd w:val="clear" w:color="auto" w:fill="auto"/>
            <w:vAlign w:val="center"/>
          </w:tcPr>
          <w:p w14:paraId="1960C6B4" w14:textId="77777777" w:rsidR="008B7E19" w:rsidRPr="005824C3" w:rsidRDefault="008B7E19" w:rsidP="008B7E19">
            <w:pPr>
              <w:keepNext/>
              <w:keepLines/>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5824C3">
              <w:rPr>
                <w:rFonts w:cs="Arial"/>
                <w:color w:val="000000"/>
                <w:sz w:val="14"/>
                <w:szCs w:val="14"/>
              </w:rPr>
              <w:t>(335</w:t>
            </w:r>
            <w:r>
              <w:rPr>
                <w:rFonts w:cs="Arial"/>
                <w:color w:val="000000"/>
                <w:sz w:val="14"/>
                <w:szCs w:val="14"/>
              </w:rPr>
              <w:t>,</w:t>
            </w:r>
            <w:r w:rsidRPr="005824C3">
              <w:rPr>
                <w:rFonts w:cs="Arial"/>
                <w:color w:val="000000"/>
                <w:sz w:val="14"/>
                <w:szCs w:val="14"/>
              </w:rPr>
              <w:t>444)</w:t>
            </w:r>
          </w:p>
        </w:tc>
        <w:tc>
          <w:tcPr>
            <w:tcW w:w="1819" w:type="dxa"/>
            <w:tcBorders>
              <w:top w:val="nil"/>
              <w:left w:val="nil"/>
              <w:bottom w:val="nil"/>
              <w:right w:val="nil"/>
            </w:tcBorders>
            <w:shd w:val="clear" w:color="auto" w:fill="auto"/>
            <w:vAlign w:val="center"/>
          </w:tcPr>
          <w:p w14:paraId="30B39DA4" w14:textId="77777777" w:rsidR="008B7E19" w:rsidRPr="005824C3" w:rsidRDefault="008B7E19" w:rsidP="008B7E19">
            <w:pPr>
              <w:keepNext/>
              <w:keepLines/>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5824C3">
              <w:rPr>
                <w:rFonts w:cs="Arial"/>
                <w:color w:val="000000"/>
                <w:sz w:val="14"/>
                <w:szCs w:val="14"/>
              </w:rPr>
              <w:t>(761</w:t>
            </w:r>
            <w:r>
              <w:rPr>
                <w:rFonts w:cs="Arial"/>
                <w:color w:val="000000"/>
                <w:sz w:val="14"/>
                <w:szCs w:val="14"/>
              </w:rPr>
              <w:t>,</w:t>
            </w:r>
            <w:r w:rsidRPr="005824C3">
              <w:rPr>
                <w:rFonts w:cs="Arial"/>
                <w:color w:val="000000"/>
                <w:sz w:val="14"/>
                <w:szCs w:val="14"/>
              </w:rPr>
              <w:t>236)</w:t>
            </w:r>
          </w:p>
        </w:tc>
        <w:tc>
          <w:tcPr>
            <w:tcW w:w="1819" w:type="dxa"/>
            <w:tcBorders>
              <w:top w:val="nil"/>
              <w:left w:val="nil"/>
              <w:bottom w:val="nil"/>
              <w:right w:val="nil"/>
            </w:tcBorders>
            <w:shd w:val="clear" w:color="auto" w:fill="auto"/>
            <w:vAlign w:val="center"/>
          </w:tcPr>
          <w:p w14:paraId="75B36388" w14:textId="77777777" w:rsidR="008B7E19" w:rsidRPr="005824C3" w:rsidRDefault="008B7E19" w:rsidP="008B7E19">
            <w:pPr>
              <w:keepNext/>
              <w:keepLines/>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5824C3">
              <w:rPr>
                <w:rFonts w:cs="Arial"/>
                <w:color w:val="000000"/>
                <w:sz w:val="14"/>
                <w:szCs w:val="14"/>
              </w:rPr>
              <w:t>(278</w:t>
            </w:r>
            <w:r>
              <w:rPr>
                <w:rFonts w:cs="Arial"/>
                <w:color w:val="000000"/>
                <w:sz w:val="14"/>
                <w:szCs w:val="14"/>
              </w:rPr>
              <w:t>,</w:t>
            </w:r>
            <w:r w:rsidRPr="005824C3">
              <w:rPr>
                <w:rFonts w:cs="Arial"/>
                <w:color w:val="000000"/>
                <w:sz w:val="14"/>
                <w:szCs w:val="14"/>
              </w:rPr>
              <w:t>055)</w:t>
            </w:r>
          </w:p>
        </w:tc>
        <w:tc>
          <w:tcPr>
            <w:tcW w:w="1819" w:type="dxa"/>
            <w:tcBorders>
              <w:top w:val="nil"/>
              <w:left w:val="nil"/>
              <w:bottom w:val="nil"/>
              <w:right w:val="nil"/>
            </w:tcBorders>
            <w:shd w:val="clear" w:color="auto" w:fill="auto"/>
            <w:vAlign w:val="center"/>
          </w:tcPr>
          <w:p w14:paraId="7DFE5921" w14:textId="77777777" w:rsidR="008B7E19" w:rsidRPr="005824C3" w:rsidRDefault="008B7E19" w:rsidP="008B7E19">
            <w:pPr>
              <w:keepNext/>
              <w:keepLines/>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5824C3">
              <w:rPr>
                <w:rFonts w:cs="Arial"/>
                <w:color w:val="000000"/>
                <w:sz w:val="14"/>
                <w:szCs w:val="14"/>
              </w:rPr>
              <w:t>(609</w:t>
            </w:r>
            <w:r>
              <w:rPr>
                <w:rFonts w:cs="Arial"/>
                <w:color w:val="000000"/>
                <w:sz w:val="14"/>
                <w:szCs w:val="14"/>
              </w:rPr>
              <w:t>,</w:t>
            </w:r>
            <w:r w:rsidRPr="005824C3">
              <w:rPr>
                <w:rFonts w:cs="Arial"/>
                <w:color w:val="000000"/>
                <w:sz w:val="14"/>
                <w:szCs w:val="14"/>
              </w:rPr>
              <w:t>057)</w:t>
            </w:r>
          </w:p>
        </w:tc>
      </w:tr>
      <w:tr w:rsidR="008B7E19" w:rsidRPr="005824C3" w14:paraId="432313E1" w14:textId="77777777" w:rsidTr="008B7E1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3649F069" w14:textId="77777777" w:rsidR="008B7E19" w:rsidRPr="005824C3" w:rsidRDefault="008B7E19" w:rsidP="008B7E19">
            <w:pPr>
              <w:keepNext/>
              <w:keepLines/>
              <w:spacing w:before="40" w:after="40"/>
              <w:ind w:left="113"/>
              <w:rPr>
                <w:rFonts w:cs="Arial"/>
                <w:b w:val="0"/>
                <w:bCs w:val="0"/>
                <w:sz w:val="14"/>
                <w:szCs w:val="14"/>
              </w:rPr>
            </w:pPr>
            <w:r>
              <w:rPr>
                <w:rFonts w:cs="Arial"/>
                <w:b w:val="0"/>
                <w:bCs w:val="0"/>
                <w:sz w:val="14"/>
                <w:szCs w:val="14"/>
              </w:rPr>
              <w:t>Shares on the result</w:t>
            </w:r>
          </w:p>
        </w:tc>
        <w:tc>
          <w:tcPr>
            <w:tcW w:w="1818" w:type="dxa"/>
            <w:tcBorders>
              <w:top w:val="nil"/>
              <w:left w:val="nil"/>
              <w:bottom w:val="nil"/>
              <w:right w:val="nil"/>
            </w:tcBorders>
            <w:shd w:val="clear" w:color="auto" w:fill="auto"/>
            <w:vAlign w:val="center"/>
          </w:tcPr>
          <w:p w14:paraId="4D98BBB8" w14:textId="77777777" w:rsidR="008B7E19" w:rsidRPr="005824C3"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sz w:val="14"/>
                <w:szCs w:val="14"/>
              </w:rPr>
            </w:pPr>
            <w:r w:rsidRPr="005824C3">
              <w:rPr>
                <w:rFonts w:cs="Arial"/>
                <w:color w:val="000000"/>
                <w:sz w:val="14"/>
                <w:szCs w:val="14"/>
              </w:rPr>
              <w:t>(4</w:t>
            </w:r>
            <w:r>
              <w:rPr>
                <w:rFonts w:cs="Arial"/>
                <w:color w:val="000000"/>
                <w:sz w:val="14"/>
                <w:szCs w:val="14"/>
              </w:rPr>
              <w:t>,</w:t>
            </w:r>
            <w:r w:rsidRPr="005824C3">
              <w:rPr>
                <w:rFonts w:cs="Arial"/>
                <w:color w:val="000000"/>
                <w:sz w:val="14"/>
                <w:szCs w:val="14"/>
              </w:rPr>
              <w:t>521)</w:t>
            </w:r>
          </w:p>
        </w:tc>
        <w:tc>
          <w:tcPr>
            <w:tcW w:w="1819" w:type="dxa"/>
            <w:tcBorders>
              <w:top w:val="nil"/>
              <w:left w:val="nil"/>
              <w:bottom w:val="nil"/>
              <w:right w:val="nil"/>
            </w:tcBorders>
            <w:shd w:val="clear" w:color="auto" w:fill="auto"/>
            <w:vAlign w:val="center"/>
          </w:tcPr>
          <w:p w14:paraId="776657EF" w14:textId="77777777" w:rsidR="008B7E19" w:rsidRPr="005824C3"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sz w:val="14"/>
                <w:szCs w:val="14"/>
              </w:rPr>
            </w:pPr>
            <w:r w:rsidRPr="005824C3">
              <w:rPr>
                <w:rFonts w:cs="Arial"/>
                <w:color w:val="000000"/>
                <w:sz w:val="14"/>
                <w:szCs w:val="14"/>
              </w:rPr>
              <w:t>(5</w:t>
            </w:r>
            <w:r>
              <w:rPr>
                <w:rFonts w:cs="Arial"/>
                <w:color w:val="000000"/>
                <w:sz w:val="14"/>
                <w:szCs w:val="14"/>
              </w:rPr>
              <w:t>,</w:t>
            </w:r>
            <w:r w:rsidRPr="005824C3">
              <w:rPr>
                <w:rFonts w:cs="Arial"/>
                <w:color w:val="000000"/>
                <w:sz w:val="14"/>
                <w:szCs w:val="14"/>
              </w:rPr>
              <w:t>530)</w:t>
            </w:r>
          </w:p>
        </w:tc>
        <w:tc>
          <w:tcPr>
            <w:tcW w:w="1819" w:type="dxa"/>
            <w:tcBorders>
              <w:top w:val="nil"/>
              <w:left w:val="nil"/>
              <w:bottom w:val="nil"/>
              <w:right w:val="nil"/>
            </w:tcBorders>
            <w:shd w:val="clear" w:color="auto" w:fill="auto"/>
            <w:vAlign w:val="center"/>
          </w:tcPr>
          <w:p w14:paraId="2C4860B7" w14:textId="77777777" w:rsidR="008B7E19" w:rsidRPr="005824C3"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sz w:val="14"/>
                <w:szCs w:val="14"/>
              </w:rPr>
            </w:pPr>
            <w:r w:rsidRPr="005824C3">
              <w:rPr>
                <w:rFonts w:cs="Arial"/>
                <w:color w:val="000000"/>
                <w:sz w:val="14"/>
                <w:szCs w:val="14"/>
              </w:rPr>
              <w:t>(4</w:t>
            </w:r>
            <w:r>
              <w:rPr>
                <w:rFonts w:cs="Arial"/>
                <w:color w:val="000000"/>
                <w:sz w:val="14"/>
                <w:szCs w:val="14"/>
              </w:rPr>
              <w:t>,</w:t>
            </w:r>
            <w:r w:rsidRPr="005824C3">
              <w:rPr>
                <w:rFonts w:cs="Arial"/>
                <w:color w:val="000000"/>
                <w:sz w:val="14"/>
                <w:szCs w:val="14"/>
              </w:rPr>
              <w:t>100)</w:t>
            </w:r>
          </w:p>
        </w:tc>
        <w:tc>
          <w:tcPr>
            <w:tcW w:w="1819" w:type="dxa"/>
            <w:tcBorders>
              <w:top w:val="nil"/>
              <w:left w:val="nil"/>
              <w:bottom w:val="nil"/>
              <w:right w:val="nil"/>
            </w:tcBorders>
            <w:shd w:val="clear" w:color="auto" w:fill="auto"/>
            <w:vAlign w:val="center"/>
          </w:tcPr>
          <w:p w14:paraId="6FB30DBE" w14:textId="77777777" w:rsidR="008B7E19" w:rsidRPr="005824C3"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sz w:val="14"/>
                <w:szCs w:val="14"/>
              </w:rPr>
            </w:pPr>
            <w:r w:rsidRPr="005824C3">
              <w:rPr>
                <w:rFonts w:cs="Arial"/>
                <w:color w:val="000000"/>
                <w:sz w:val="14"/>
                <w:szCs w:val="14"/>
              </w:rPr>
              <w:t>(7</w:t>
            </w:r>
            <w:r>
              <w:rPr>
                <w:rFonts w:cs="Arial"/>
                <w:color w:val="000000"/>
                <w:sz w:val="14"/>
                <w:szCs w:val="14"/>
              </w:rPr>
              <w:t>,</w:t>
            </w:r>
            <w:r w:rsidRPr="005824C3">
              <w:rPr>
                <w:rFonts w:cs="Arial"/>
                <w:color w:val="000000"/>
                <w:sz w:val="14"/>
                <w:szCs w:val="14"/>
              </w:rPr>
              <w:t>469)</w:t>
            </w:r>
          </w:p>
        </w:tc>
      </w:tr>
      <w:tr w:rsidR="008B7E19" w:rsidRPr="008D7BD5" w14:paraId="7C2C973D"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33BE8145" w14:textId="77777777" w:rsidR="008B7E19" w:rsidRPr="008D7BD5" w:rsidRDefault="008B7E19" w:rsidP="008B7E19">
            <w:pPr>
              <w:keepNext/>
              <w:keepLines/>
              <w:spacing w:before="40" w:after="40"/>
              <w:rPr>
                <w:rFonts w:cs="Arial"/>
                <w:color w:val="000000"/>
                <w:sz w:val="14"/>
                <w:szCs w:val="14"/>
              </w:rPr>
            </w:pPr>
            <w:r>
              <w:rPr>
                <w:rFonts w:cs="Arial"/>
                <w:sz w:val="14"/>
                <w:szCs w:val="14"/>
              </w:rPr>
              <w:t>Net income</w:t>
            </w:r>
          </w:p>
        </w:tc>
        <w:tc>
          <w:tcPr>
            <w:tcW w:w="1818" w:type="dxa"/>
            <w:tcBorders>
              <w:top w:val="nil"/>
              <w:left w:val="nil"/>
              <w:bottom w:val="nil"/>
              <w:right w:val="nil"/>
            </w:tcBorders>
            <w:shd w:val="clear" w:color="auto" w:fill="auto"/>
            <w:vAlign w:val="center"/>
          </w:tcPr>
          <w:p w14:paraId="2E720870" w14:textId="77777777" w:rsidR="008B7E19" w:rsidRPr="008D7BD5" w:rsidRDefault="008B7E19" w:rsidP="008B7E19">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cs="Arial"/>
                <w:b/>
                <w:bCs/>
                <w:color w:val="000000"/>
                <w:sz w:val="14"/>
                <w:szCs w:val="14"/>
              </w:rPr>
            </w:pPr>
            <w:r w:rsidRPr="008D7BD5">
              <w:rPr>
                <w:rFonts w:cs="Arial"/>
                <w:b/>
                <w:bCs/>
                <w:color w:val="000000"/>
                <w:sz w:val="14"/>
                <w:szCs w:val="14"/>
              </w:rPr>
              <w:t>518</w:t>
            </w:r>
            <w:r>
              <w:rPr>
                <w:rFonts w:cs="Arial"/>
                <w:b/>
                <w:bCs/>
                <w:color w:val="000000"/>
                <w:sz w:val="14"/>
                <w:szCs w:val="14"/>
              </w:rPr>
              <w:t>,</w:t>
            </w:r>
            <w:r w:rsidRPr="008D7BD5">
              <w:rPr>
                <w:rFonts w:cs="Arial"/>
                <w:b/>
                <w:bCs/>
                <w:color w:val="000000"/>
                <w:sz w:val="14"/>
                <w:szCs w:val="14"/>
              </w:rPr>
              <w:t>301</w:t>
            </w:r>
          </w:p>
        </w:tc>
        <w:tc>
          <w:tcPr>
            <w:tcW w:w="1819" w:type="dxa"/>
            <w:tcBorders>
              <w:top w:val="nil"/>
              <w:left w:val="nil"/>
              <w:bottom w:val="nil"/>
              <w:right w:val="nil"/>
            </w:tcBorders>
            <w:shd w:val="clear" w:color="auto" w:fill="auto"/>
            <w:vAlign w:val="center"/>
          </w:tcPr>
          <w:p w14:paraId="67BA7864" w14:textId="77777777" w:rsidR="008B7E19" w:rsidRPr="008D7BD5" w:rsidRDefault="008B7E19" w:rsidP="008B7E19">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cs="Arial"/>
                <w:b/>
                <w:bCs/>
                <w:color w:val="000000"/>
                <w:sz w:val="14"/>
                <w:szCs w:val="14"/>
              </w:rPr>
            </w:pPr>
            <w:r w:rsidRPr="008D7BD5">
              <w:rPr>
                <w:rFonts w:cs="Arial"/>
                <w:b/>
                <w:bCs/>
                <w:color w:val="000000"/>
                <w:sz w:val="14"/>
                <w:szCs w:val="14"/>
              </w:rPr>
              <w:t>1</w:t>
            </w:r>
            <w:r>
              <w:rPr>
                <w:rFonts w:cs="Arial"/>
                <w:b/>
                <w:bCs/>
                <w:color w:val="000000"/>
                <w:sz w:val="14"/>
                <w:szCs w:val="14"/>
              </w:rPr>
              <w:t>,</w:t>
            </w:r>
            <w:r w:rsidRPr="008D7BD5">
              <w:rPr>
                <w:rFonts w:cs="Arial"/>
                <w:b/>
                <w:bCs/>
                <w:color w:val="000000"/>
                <w:sz w:val="14"/>
                <w:szCs w:val="14"/>
              </w:rPr>
              <w:t>139</w:t>
            </w:r>
            <w:r>
              <w:rPr>
                <w:rFonts w:cs="Arial"/>
                <w:b/>
                <w:bCs/>
                <w:color w:val="000000"/>
                <w:sz w:val="14"/>
                <w:szCs w:val="14"/>
              </w:rPr>
              <w:t>,</w:t>
            </w:r>
            <w:r w:rsidRPr="008D7BD5">
              <w:rPr>
                <w:rFonts w:cs="Arial"/>
                <w:b/>
                <w:bCs/>
                <w:color w:val="000000"/>
                <w:sz w:val="14"/>
                <w:szCs w:val="14"/>
              </w:rPr>
              <w:t>255</w:t>
            </w:r>
          </w:p>
        </w:tc>
        <w:tc>
          <w:tcPr>
            <w:tcW w:w="1819" w:type="dxa"/>
            <w:tcBorders>
              <w:top w:val="nil"/>
              <w:left w:val="nil"/>
              <w:bottom w:val="nil"/>
              <w:right w:val="nil"/>
            </w:tcBorders>
            <w:shd w:val="clear" w:color="auto" w:fill="auto"/>
            <w:vAlign w:val="center"/>
          </w:tcPr>
          <w:p w14:paraId="77A98E02" w14:textId="77777777" w:rsidR="008B7E19" w:rsidRPr="008D7BD5" w:rsidRDefault="008B7E19" w:rsidP="008B7E19">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cs="Arial"/>
                <w:b/>
                <w:bCs/>
                <w:color w:val="000000"/>
                <w:sz w:val="14"/>
                <w:szCs w:val="14"/>
              </w:rPr>
            </w:pPr>
            <w:r w:rsidRPr="008D7BD5">
              <w:rPr>
                <w:rFonts w:cs="Arial"/>
                <w:b/>
                <w:bCs/>
                <w:color w:val="000000"/>
                <w:sz w:val="14"/>
                <w:szCs w:val="14"/>
              </w:rPr>
              <w:t>417</w:t>
            </w:r>
            <w:r>
              <w:rPr>
                <w:rFonts w:cs="Arial"/>
                <w:b/>
                <w:bCs/>
                <w:color w:val="000000"/>
                <w:sz w:val="14"/>
                <w:szCs w:val="14"/>
              </w:rPr>
              <w:t>,</w:t>
            </w:r>
            <w:r w:rsidRPr="008D7BD5">
              <w:rPr>
                <w:rFonts w:cs="Arial"/>
                <w:b/>
                <w:bCs/>
                <w:color w:val="000000"/>
                <w:sz w:val="14"/>
                <w:szCs w:val="14"/>
              </w:rPr>
              <w:t>599</w:t>
            </w:r>
          </w:p>
        </w:tc>
        <w:tc>
          <w:tcPr>
            <w:tcW w:w="1819" w:type="dxa"/>
            <w:tcBorders>
              <w:top w:val="nil"/>
              <w:left w:val="nil"/>
              <w:bottom w:val="nil"/>
              <w:right w:val="nil"/>
            </w:tcBorders>
            <w:shd w:val="clear" w:color="auto" w:fill="auto"/>
            <w:vAlign w:val="center"/>
          </w:tcPr>
          <w:p w14:paraId="3EB9E254" w14:textId="77777777" w:rsidR="008B7E19" w:rsidRPr="008D7BD5" w:rsidRDefault="008B7E19" w:rsidP="008B7E19">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cs="Arial"/>
                <w:b/>
                <w:bCs/>
                <w:color w:val="000000"/>
                <w:sz w:val="14"/>
                <w:szCs w:val="14"/>
              </w:rPr>
            </w:pPr>
            <w:r w:rsidRPr="008D7BD5">
              <w:rPr>
                <w:rFonts w:cs="Arial"/>
                <w:b/>
                <w:bCs/>
                <w:color w:val="000000"/>
                <w:sz w:val="14"/>
                <w:szCs w:val="14"/>
              </w:rPr>
              <w:t>889</w:t>
            </w:r>
            <w:r>
              <w:rPr>
                <w:rFonts w:cs="Arial"/>
                <w:b/>
                <w:bCs/>
                <w:color w:val="000000"/>
                <w:sz w:val="14"/>
                <w:szCs w:val="14"/>
              </w:rPr>
              <w:t>,</w:t>
            </w:r>
            <w:r w:rsidRPr="008D7BD5">
              <w:rPr>
                <w:rFonts w:cs="Arial"/>
                <w:b/>
                <w:bCs/>
                <w:color w:val="000000"/>
                <w:sz w:val="14"/>
                <w:szCs w:val="14"/>
              </w:rPr>
              <w:t>542</w:t>
            </w:r>
          </w:p>
        </w:tc>
      </w:tr>
      <w:tr w:rsidR="008B7E19" w:rsidRPr="005824C3" w14:paraId="21104470" w14:textId="77777777" w:rsidTr="008B7E1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55B3007C" w14:textId="77777777" w:rsidR="008B7E19" w:rsidRPr="005824C3" w:rsidRDefault="008B7E19" w:rsidP="008B7E19">
            <w:pPr>
              <w:keepNext/>
              <w:keepLines/>
              <w:ind w:left="113"/>
              <w:rPr>
                <w:rFonts w:cs="Arial"/>
                <w:b w:val="0"/>
                <w:bCs w:val="0"/>
                <w:color w:val="000000"/>
                <w:sz w:val="14"/>
                <w:szCs w:val="14"/>
              </w:rPr>
            </w:pPr>
            <w:r>
              <w:rPr>
                <w:rFonts w:cs="Arial"/>
                <w:b w:val="0"/>
                <w:bCs w:val="0"/>
                <w:sz w:val="14"/>
                <w:szCs w:val="14"/>
              </w:rPr>
              <w:t>Other comprehensive results</w:t>
            </w:r>
          </w:p>
        </w:tc>
        <w:tc>
          <w:tcPr>
            <w:tcW w:w="1818" w:type="dxa"/>
            <w:tcBorders>
              <w:top w:val="nil"/>
              <w:left w:val="nil"/>
              <w:bottom w:val="nil"/>
              <w:right w:val="nil"/>
            </w:tcBorders>
            <w:shd w:val="clear" w:color="auto" w:fill="auto"/>
            <w:vAlign w:val="center"/>
          </w:tcPr>
          <w:p w14:paraId="4F2682AB" w14:textId="77777777" w:rsidR="008B7E19" w:rsidRPr="005824C3" w:rsidRDefault="008B7E19" w:rsidP="008B7E19">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cs="Arial"/>
                <w:color w:val="000000"/>
                <w:sz w:val="14"/>
                <w:szCs w:val="14"/>
              </w:rPr>
            </w:pPr>
            <w:r w:rsidRPr="005824C3">
              <w:rPr>
                <w:rFonts w:cs="Arial"/>
                <w:color w:val="000000"/>
                <w:sz w:val="14"/>
                <w:szCs w:val="14"/>
              </w:rPr>
              <w:t>185</w:t>
            </w:r>
            <w:r>
              <w:rPr>
                <w:rFonts w:cs="Arial"/>
                <w:color w:val="000000"/>
                <w:sz w:val="14"/>
                <w:szCs w:val="14"/>
              </w:rPr>
              <w:t>,</w:t>
            </w:r>
            <w:r w:rsidRPr="005824C3">
              <w:rPr>
                <w:rFonts w:cs="Arial"/>
                <w:color w:val="000000"/>
                <w:sz w:val="14"/>
                <w:szCs w:val="14"/>
              </w:rPr>
              <w:t>271</w:t>
            </w:r>
          </w:p>
        </w:tc>
        <w:tc>
          <w:tcPr>
            <w:tcW w:w="1819" w:type="dxa"/>
            <w:tcBorders>
              <w:top w:val="nil"/>
              <w:left w:val="nil"/>
              <w:bottom w:val="nil"/>
              <w:right w:val="nil"/>
            </w:tcBorders>
            <w:shd w:val="clear" w:color="auto" w:fill="auto"/>
            <w:vAlign w:val="center"/>
          </w:tcPr>
          <w:p w14:paraId="136FA9FF" w14:textId="77777777" w:rsidR="008B7E19" w:rsidRPr="005824C3" w:rsidRDefault="008B7E19" w:rsidP="008B7E19">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cs="Arial"/>
                <w:color w:val="000000"/>
                <w:sz w:val="14"/>
                <w:szCs w:val="14"/>
              </w:rPr>
            </w:pPr>
            <w:r w:rsidRPr="005824C3">
              <w:rPr>
                <w:rFonts w:cs="Arial"/>
                <w:color w:val="000000"/>
                <w:sz w:val="14"/>
                <w:szCs w:val="14"/>
              </w:rPr>
              <w:t>402</w:t>
            </w:r>
            <w:r>
              <w:rPr>
                <w:rFonts w:cs="Arial"/>
                <w:color w:val="000000"/>
                <w:sz w:val="14"/>
                <w:szCs w:val="14"/>
              </w:rPr>
              <w:t>,</w:t>
            </w:r>
            <w:r w:rsidRPr="005824C3">
              <w:rPr>
                <w:rFonts w:cs="Arial"/>
                <w:color w:val="000000"/>
                <w:sz w:val="14"/>
                <w:szCs w:val="14"/>
              </w:rPr>
              <w:t>942</w:t>
            </w:r>
          </w:p>
        </w:tc>
        <w:tc>
          <w:tcPr>
            <w:tcW w:w="1819" w:type="dxa"/>
            <w:tcBorders>
              <w:top w:val="nil"/>
              <w:left w:val="nil"/>
              <w:bottom w:val="nil"/>
              <w:right w:val="nil"/>
            </w:tcBorders>
            <w:shd w:val="clear" w:color="auto" w:fill="auto"/>
            <w:vAlign w:val="center"/>
          </w:tcPr>
          <w:p w14:paraId="3DD9673D" w14:textId="77777777" w:rsidR="008B7E19" w:rsidRPr="005824C3" w:rsidRDefault="008B7E19" w:rsidP="008B7E19">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cs="Arial"/>
                <w:color w:val="000000"/>
                <w:sz w:val="14"/>
                <w:szCs w:val="14"/>
              </w:rPr>
            </w:pPr>
            <w:r w:rsidRPr="005824C3">
              <w:rPr>
                <w:rFonts w:cs="Arial"/>
                <w:color w:val="000000"/>
                <w:sz w:val="14"/>
                <w:szCs w:val="14"/>
              </w:rPr>
              <w:t>172</w:t>
            </w:r>
            <w:r>
              <w:rPr>
                <w:rFonts w:cs="Arial"/>
                <w:color w:val="000000"/>
                <w:sz w:val="14"/>
                <w:szCs w:val="14"/>
              </w:rPr>
              <w:t>,</w:t>
            </w:r>
            <w:r w:rsidRPr="005824C3">
              <w:rPr>
                <w:rFonts w:cs="Arial"/>
                <w:color w:val="000000"/>
                <w:sz w:val="14"/>
                <w:szCs w:val="14"/>
              </w:rPr>
              <w:t>258</w:t>
            </w:r>
          </w:p>
        </w:tc>
        <w:tc>
          <w:tcPr>
            <w:tcW w:w="1819" w:type="dxa"/>
            <w:tcBorders>
              <w:top w:val="nil"/>
              <w:left w:val="nil"/>
              <w:bottom w:val="nil"/>
              <w:right w:val="nil"/>
            </w:tcBorders>
            <w:shd w:val="clear" w:color="auto" w:fill="auto"/>
            <w:vAlign w:val="center"/>
          </w:tcPr>
          <w:p w14:paraId="585A7390" w14:textId="77777777" w:rsidR="008B7E19" w:rsidRPr="005824C3" w:rsidRDefault="008B7E19" w:rsidP="008B7E19">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cs="Arial"/>
                <w:color w:val="000000"/>
                <w:sz w:val="14"/>
                <w:szCs w:val="14"/>
              </w:rPr>
            </w:pPr>
            <w:r w:rsidRPr="005824C3">
              <w:rPr>
                <w:rFonts w:cs="Arial"/>
                <w:color w:val="000000"/>
                <w:sz w:val="14"/>
                <w:szCs w:val="14"/>
              </w:rPr>
              <w:t>170</w:t>
            </w:r>
            <w:r>
              <w:rPr>
                <w:rFonts w:cs="Arial"/>
                <w:color w:val="000000"/>
                <w:sz w:val="14"/>
                <w:szCs w:val="14"/>
              </w:rPr>
              <w:t>,</w:t>
            </w:r>
            <w:r w:rsidRPr="005824C3">
              <w:rPr>
                <w:rFonts w:cs="Arial"/>
                <w:color w:val="000000"/>
                <w:sz w:val="14"/>
                <w:szCs w:val="14"/>
              </w:rPr>
              <w:t>241</w:t>
            </w:r>
          </w:p>
        </w:tc>
      </w:tr>
      <w:tr w:rsidR="008B7E19" w:rsidRPr="008D7BD5" w14:paraId="57640890"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081E5076" w14:textId="77777777" w:rsidR="008B7E19" w:rsidRPr="008D7BD5" w:rsidRDefault="008B7E19" w:rsidP="008B7E19">
            <w:pPr>
              <w:keepNext/>
              <w:keepLines/>
              <w:rPr>
                <w:rFonts w:cs="Arial"/>
                <w:color w:val="000000"/>
                <w:sz w:val="14"/>
                <w:szCs w:val="14"/>
              </w:rPr>
            </w:pPr>
            <w:r>
              <w:rPr>
                <w:rFonts w:cs="Arial"/>
                <w:sz w:val="14"/>
                <w:szCs w:val="14"/>
              </w:rPr>
              <w:t>Comprehensive income</w:t>
            </w:r>
          </w:p>
        </w:tc>
        <w:tc>
          <w:tcPr>
            <w:tcW w:w="1818" w:type="dxa"/>
            <w:tcBorders>
              <w:top w:val="nil"/>
              <w:left w:val="nil"/>
              <w:bottom w:val="nil"/>
              <w:right w:val="nil"/>
            </w:tcBorders>
            <w:shd w:val="clear" w:color="auto" w:fill="auto"/>
            <w:vAlign w:val="center"/>
          </w:tcPr>
          <w:p w14:paraId="0E017532" w14:textId="77777777" w:rsidR="008B7E19" w:rsidRPr="008D7BD5" w:rsidRDefault="008B7E19" w:rsidP="008B7E19">
            <w:pPr>
              <w:keepNext/>
              <w:keepLines/>
              <w:jc w:val="right"/>
              <w:cnfStyle w:val="000000100000" w:firstRow="0" w:lastRow="0" w:firstColumn="0" w:lastColumn="0" w:oddVBand="0" w:evenVBand="0" w:oddHBand="1" w:evenHBand="0" w:firstRowFirstColumn="0" w:firstRowLastColumn="0" w:lastRowFirstColumn="0" w:lastRowLastColumn="0"/>
              <w:rPr>
                <w:rFonts w:cs="Arial"/>
                <w:b/>
                <w:bCs/>
                <w:color w:val="000000"/>
                <w:sz w:val="14"/>
                <w:szCs w:val="14"/>
              </w:rPr>
            </w:pPr>
            <w:r w:rsidRPr="008D7BD5">
              <w:rPr>
                <w:rFonts w:cs="Arial"/>
                <w:b/>
                <w:bCs/>
                <w:color w:val="000000"/>
                <w:sz w:val="14"/>
                <w:szCs w:val="14"/>
              </w:rPr>
              <w:t>703</w:t>
            </w:r>
            <w:r>
              <w:rPr>
                <w:rFonts w:cs="Arial"/>
                <w:b/>
                <w:bCs/>
                <w:color w:val="000000"/>
                <w:sz w:val="14"/>
                <w:szCs w:val="14"/>
              </w:rPr>
              <w:t>,</w:t>
            </w:r>
            <w:r w:rsidRPr="008D7BD5">
              <w:rPr>
                <w:rFonts w:cs="Arial"/>
                <w:b/>
                <w:bCs/>
                <w:color w:val="000000"/>
                <w:sz w:val="14"/>
                <w:szCs w:val="14"/>
              </w:rPr>
              <w:t>573</w:t>
            </w:r>
          </w:p>
        </w:tc>
        <w:tc>
          <w:tcPr>
            <w:tcW w:w="1819" w:type="dxa"/>
            <w:tcBorders>
              <w:top w:val="nil"/>
              <w:left w:val="nil"/>
              <w:bottom w:val="nil"/>
              <w:right w:val="nil"/>
            </w:tcBorders>
            <w:shd w:val="clear" w:color="auto" w:fill="auto"/>
            <w:vAlign w:val="center"/>
          </w:tcPr>
          <w:p w14:paraId="68F9A6B9" w14:textId="77777777" w:rsidR="008B7E19" w:rsidRPr="008D7BD5" w:rsidRDefault="008B7E19" w:rsidP="008B7E19">
            <w:pPr>
              <w:keepNext/>
              <w:keepLines/>
              <w:jc w:val="right"/>
              <w:cnfStyle w:val="000000100000" w:firstRow="0" w:lastRow="0" w:firstColumn="0" w:lastColumn="0" w:oddVBand="0" w:evenVBand="0" w:oddHBand="1" w:evenHBand="0" w:firstRowFirstColumn="0" w:firstRowLastColumn="0" w:lastRowFirstColumn="0" w:lastRowLastColumn="0"/>
              <w:rPr>
                <w:rFonts w:cs="Arial"/>
                <w:b/>
                <w:bCs/>
                <w:color w:val="000000"/>
                <w:sz w:val="14"/>
                <w:szCs w:val="14"/>
              </w:rPr>
            </w:pPr>
            <w:r w:rsidRPr="008D7BD5">
              <w:rPr>
                <w:rFonts w:cs="Arial"/>
                <w:b/>
                <w:bCs/>
                <w:color w:val="000000"/>
                <w:sz w:val="14"/>
                <w:szCs w:val="14"/>
              </w:rPr>
              <w:t>1</w:t>
            </w:r>
            <w:r>
              <w:rPr>
                <w:rFonts w:cs="Arial"/>
                <w:b/>
                <w:bCs/>
                <w:color w:val="000000"/>
                <w:sz w:val="14"/>
                <w:szCs w:val="14"/>
              </w:rPr>
              <w:t>,</w:t>
            </w:r>
            <w:r w:rsidRPr="008D7BD5">
              <w:rPr>
                <w:rFonts w:cs="Arial"/>
                <w:b/>
                <w:bCs/>
                <w:color w:val="000000"/>
                <w:sz w:val="14"/>
                <w:szCs w:val="14"/>
              </w:rPr>
              <w:t>542</w:t>
            </w:r>
            <w:r>
              <w:rPr>
                <w:rFonts w:cs="Arial"/>
                <w:b/>
                <w:bCs/>
                <w:color w:val="000000"/>
                <w:sz w:val="14"/>
                <w:szCs w:val="14"/>
              </w:rPr>
              <w:t>,</w:t>
            </w:r>
            <w:r w:rsidRPr="008D7BD5">
              <w:rPr>
                <w:rFonts w:cs="Arial"/>
                <w:b/>
                <w:bCs/>
                <w:color w:val="000000"/>
                <w:sz w:val="14"/>
                <w:szCs w:val="14"/>
              </w:rPr>
              <w:t>197</w:t>
            </w:r>
          </w:p>
        </w:tc>
        <w:tc>
          <w:tcPr>
            <w:tcW w:w="1819" w:type="dxa"/>
            <w:tcBorders>
              <w:top w:val="nil"/>
              <w:left w:val="nil"/>
              <w:bottom w:val="nil"/>
              <w:right w:val="nil"/>
            </w:tcBorders>
            <w:shd w:val="clear" w:color="auto" w:fill="auto"/>
            <w:vAlign w:val="center"/>
          </w:tcPr>
          <w:p w14:paraId="4C7E03D0" w14:textId="77777777" w:rsidR="008B7E19" w:rsidRPr="008D7BD5" w:rsidRDefault="008B7E19" w:rsidP="008B7E19">
            <w:pPr>
              <w:keepNext/>
              <w:keepLines/>
              <w:jc w:val="right"/>
              <w:cnfStyle w:val="000000100000" w:firstRow="0" w:lastRow="0" w:firstColumn="0" w:lastColumn="0" w:oddVBand="0" w:evenVBand="0" w:oddHBand="1" w:evenHBand="0" w:firstRowFirstColumn="0" w:firstRowLastColumn="0" w:lastRowFirstColumn="0" w:lastRowLastColumn="0"/>
              <w:rPr>
                <w:rFonts w:cs="Arial"/>
                <w:b/>
                <w:bCs/>
                <w:color w:val="000000"/>
                <w:sz w:val="14"/>
                <w:szCs w:val="14"/>
              </w:rPr>
            </w:pPr>
            <w:r w:rsidRPr="008D7BD5">
              <w:rPr>
                <w:rFonts w:cs="Arial"/>
                <w:b/>
                <w:bCs/>
                <w:color w:val="000000"/>
                <w:sz w:val="14"/>
                <w:szCs w:val="14"/>
              </w:rPr>
              <w:t>589</w:t>
            </w:r>
            <w:r>
              <w:rPr>
                <w:rFonts w:cs="Arial"/>
                <w:b/>
                <w:bCs/>
                <w:color w:val="000000"/>
                <w:sz w:val="14"/>
                <w:szCs w:val="14"/>
              </w:rPr>
              <w:t>,</w:t>
            </w:r>
            <w:r w:rsidRPr="008D7BD5">
              <w:rPr>
                <w:rFonts w:cs="Arial"/>
                <w:b/>
                <w:bCs/>
                <w:color w:val="000000"/>
                <w:sz w:val="14"/>
                <w:szCs w:val="14"/>
              </w:rPr>
              <w:t>856</w:t>
            </w:r>
          </w:p>
        </w:tc>
        <w:tc>
          <w:tcPr>
            <w:tcW w:w="1819" w:type="dxa"/>
            <w:tcBorders>
              <w:top w:val="nil"/>
              <w:left w:val="nil"/>
              <w:bottom w:val="nil"/>
              <w:right w:val="nil"/>
            </w:tcBorders>
            <w:shd w:val="clear" w:color="auto" w:fill="auto"/>
            <w:vAlign w:val="center"/>
          </w:tcPr>
          <w:p w14:paraId="19651F07" w14:textId="77777777" w:rsidR="008B7E19" w:rsidRPr="008D7BD5" w:rsidRDefault="008B7E19" w:rsidP="008B7E19">
            <w:pPr>
              <w:keepNext/>
              <w:keepLines/>
              <w:jc w:val="right"/>
              <w:cnfStyle w:val="000000100000" w:firstRow="0" w:lastRow="0" w:firstColumn="0" w:lastColumn="0" w:oddVBand="0" w:evenVBand="0" w:oddHBand="1" w:evenHBand="0" w:firstRowFirstColumn="0" w:firstRowLastColumn="0" w:lastRowFirstColumn="0" w:lastRowLastColumn="0"/>
              <w:rPr>
                <w:rFonts w:cs="Arial"/>
                <w:b/>
                <w:bCs/>
                <w:color w:val="000000"/>
                <w:sz w:val="14"/>
                <w:szCs w:val="14"/>
              </w:rPr>
            </w:pPr>
            <w:r w:rsidRPr="008D7BD5">
              <w:rPr>
                <w:rFonts w:cs="Arial"/>
                <w:b/>
                <w:bCs/>
                <w:color w:val="000000"/>
                <w:sz w:val="14"/>
                <w:szCs w:val="14"/>
              </w:rPr>
              <w:t>1</w:t>
            </w:r>
            <w:r>
              <w:rPr>
                <w:rFonts w:cs="Arial"/>
                <w:b/>
                <w:bCs/>
                <w:color w:val="000000"/>
                <w:sz w:val="14"/>
                <w:szCs w:val="14"/>
              </w:rPr>
              <w:t>,</w:t>
            </w:r>
            <w:r w:rsidRPr="008D7BD5">
              <w:rPr>
                <w:rFonts w:cs="Arial"/>
                <w:b/>
                <w:bCs/>
                <w:color w:val="000000"/>
                <w:sz w:val="14"/>
                <w:szCs w:val="14"/>
              </w:rPr>
              <w:t>059</w:t>
            </w:r>
            <w:r>
              <w:rPr>
                <w:rFonts w:cs="Arial"/>
                <w:b/>
                <w:bCs/>
                <w:color w:val="000000"/>
                <w:sz w:val="14"/>
                <w:szCs w:val="14"/>
              </w:rPr>
              <w:t>,</w:t>
            </w:r>
            <w:r w:rsidRPr="008D7BD5">
              <w:rPr>
                <w:rFonts w:cs="Arial"/>
                <w:b/>
                <w:bCs/>
                <w:color w:val="000000"/>
                <w:sz w:val="14"/>
                <w:szCs w:val="14"/>
              </w:rPr>
              <w:t>783</w:t>
            </w:r>
          </w:p>
        </w:tc>
      </w:tr>
      <w:tr w:rsidR="008B7E19" w:rsidRPr="008D7BD5" w14:paraId="18A3EF2B" w14:textId="77777777" w:rsidTr="008B7E1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33A95EEB" w14:textId="77777777" w:rsidR="008B7E19" w:rsidRPr="008D7BD5" w:rsidRDefault="008B7E19" w:rsidP="008B7E19">
            <w:pPr>
              <w:keepNext/>
              <w:keepLines/>
              <w:rPr>
                <w:rFonts w:cs="Arial"/>
                <w:color w:val="000000"/>
                <w:sz w:val="14"/>
                <w:szCs w:val="14"/>
              </w:rPr>
            </w:pPr>
            <w:r>
              <w:rPr>
                <w:rFonts w:eastAsia="Times New Roman" w:cs="Arial"/>
                <w:color w:val="000000"/>
                <w:spacing w:val="-2"/>
                <w:sz w:val="14"/>
                <w:szCs w:val="14"/>
                <w:lang w:eastAsia="pt-BR"/>
              </w:rPr>
              <w:t>Attributable to BB Seguridade</w:t>
            </w:r>
          </w:p>
        </w:tc>
        <w:tc>
          <w:tcPr>
            <w:tcW w:w="1818" w:type="dxa"/>
            <w:tcBorders>
              <w:top w:val="nil"/>
              <w:left w:val="nil"/>
              <w:bottom w:val="nil"/>
              <w:right w:val="nil"/>
            </w:tcBorders>
            <w:shd w:val="clear" w:color="auto" w:fill="auto"/>
            <w:vAlign w:val="center"/>
          </w:tcPr>
          <w:p w14:paraId="03AB38B6" w14:textId="77777777" w:rsidR="008B7E19" w:rsidRPr="008D7BD5" w:rsidRDefault="008B7E19" w:rsidP="008B7E19">
            <w:pPr>
              <w:keepNext/>
              <w:keepLines/>
              <w:jc w:val="right"/>
              <w:cnfStyle w:val="000000010000" w:firstRow="0" w:lastRow="0" w:firstColumn="0" w:lastColumn="0" w:oddVBand="0" w:evenVBand="0" w:oddHBand="0" w:evenHBand="1" w:firstRowFirstColumn="0" w:firstRowLastColumn="0" w:lastRowFirstColumn="0" w:lastRowLastColumn="0"/>
              <w:rPr>
                <w:rFonts w:cs="Arial"/>
                <w:b/>
                <w:bCs/>
                <w:color w:val="000000"/>
                <w:sz w:val="14"/>
                <w:szCs w:val="14"/>
              </w:rPr>
            </w:pPr>
            <w:r w:rsidRPr="008D7BD5">
              <w:rPr>
                <w:rFonts w:cs="Arial"/>
                <w:b/>
                <w:bCs/>
                <w:color w:val="000000"/>
                <w:sz w:val="14"/>
                <w:szCs w:val="14"/>
              </w:rPr>
              <w:t>388</w:t>
            </w:r>
            <w:r>
              <w:rPr>
                <w:rFonts w:cs="Arial"/>
                <w:b/>
                <w:bCs/>
                <w:color w:val="000000"/>
                <w:sz w:val="14"/>
                <w:szCs w:val="14"/>
              </w:rPr>
              <w:t>,</w:t>
            </w:r>
            <w:r w:rsidRPr="008D7BD5">
              <w:rPr>
                <w:rFonts w:cs="Arial"/>
                <w:b/>
                <w:bCs/>
                <w:color w:val="000000"/>
                <w:sz w:val="14"/>
                <w:szCs w:val="14"/>
              </w:rPr>
              <w:t>701</w:t>
            </w:r>
          </w:p>
        </w:tc>
        <w:tc>
          <w:tcPr>
            <w:tcW w:w="1819" w:type="dxa"/>
            <w:tcBorders>
              <w:top w:val="nil"/>
              <w:left w:val="nil"/>
              <w:bottom w:val="nil"/>
              <w:right w:val="nil"/>
            </w:tcBorders>
            <w:shd w:val="clear" w:color="auto" w:fill="auto"/>
            <w:vAlign w:val="center"/>
          </w:tcPr>
          <w:p w14:paraId="5AAB61B4" w14:textId="77777777" w:rsidR="008B7E19" w:rsidRPr="008D7BD5" w:rsidRDefault="008B7E19" w:rsidP="008B7E19">
            <w:pPr>
              <w:keepNext/>
              <w:keepLines/>
              <w:jc w:val="right"/>
              <w:cnfStyle w:val="000000010000" w:firstRow="0" w:lastRow="0" w:firstColumn="0" w:lastColumn="0" w:oddVBand="0" w:evenVBand="0" w:oddHBand="0" w:evenHBand="1" w:firstRowFirstColumn="0" w:firstRowLastColumn="0" w:lastRowFirstColumn="0" w:lastRowLastColumn="0"/>
              <w:rPr>
                <w:rFonts w:cs="Arial"/>
                <w:b/>
                <w:bCs/>
                <w:color w:val="000000"/>
                <w:sz w:val="14"/>
                <w:szCs w:val="14"/>
              </w:rPr>
            </w:pPr>
            <w:r w:rsidRPr="008D7BD5">
              <w:rPr>
                <w:rFonts w:cs="Arial"/>
                <w:b/>
                <w:bCs/>
                <w:color w:val="000000"/>
                <w:sz w:val="14"/>
                <w:szCs w:val="14"/>
              </w:rPr>
              <w:t>854</w:t>
            </w:r>
            <w:r>
              <w:rPr>
                <w:rFonts w:cs="Arial"/>
                <w:b/>
                <w:bCs/>
                <w:color w:val="000000"/>
                <w:sz w:val="14"/>
                <w:szCs w:val="14"/>
              </w:rPr>
              <w:t>,</w:t>
            </w:r>
            <w:r w:rsidRPr="008D7BD5">
              <w:rPr>
                <w:rFonts w:cs="Arial"/>
                <w:b/>
                <w:bCs/>
                <w:color w:val="000000"/>
                <w:sz w:val="14"/>
                <w:szCs w:val="14"/>
              </w:rPr>
              <w:t>385</w:t>
            </w:r>
          </w:p>
        </w:tc>
        <w:tc>
          <w:tcPr>
            <w:tcW w:w="1819" w:type="dxa"/>
            <w:tcBorders>
              <w:top w:val="nil"/>
              <w:left w:val="nil"/>
              <w:bottom w:val="nil"/>
              <w:right w:val="nil"/>
            </w:tcBorders>
            <w:shd w:val="clear" w:color="auto" w:fill="auto"/>
            <w:vAlign w:val="center"/>
          </w:tcPr>
          <w:p w14:paraId="7BD00A15" w14:textId="77777777" w:rsidR="008B7E19" w:rsidRPr="008D7BD5" w:rsidRDefault="008B7E19" w:rsidP="008B7E19">
            <w:pPr>
              <w:keepNext/>
              <w:keepLines/>
              <w:jc w:val="right"/>
              <w:cnfStyle w:val="000000010000" w:firstRow="0" w:lastRow="0" w:firstColumn="0" w:lastColumn="0" w:oddVBand="0" w:evenVBand="0" w:oddHBand="0" w:evenHBand="1" w:firstRowFirstColumn="0" w:firstRowLastColumn="0" w:lastRowFirstColumn="0" w:lastRowLastColumn="0"/>
              <w:rPr>
                <w:rFonts w:cs="Arial"/>
                <w:b/>
                <w:bCs/>
                <w:color w:val="000000"/>
                <w:sz w:val="14"/>
                <w:szCs w:val="14"/>
              </w:rPr>
            </w:pPr>
            <w:r w:rsidRPr="008D7BD5">
              <w:rPr>
                <w:rFonts w:cs="Arial"/>
                <w:b/>
                <w:bCs/>
                <w:color w:val="000000"/>
                <w:sz w:val="14"/>
                <w:szCs w:val="14"/>
              </w:rPr>
              <w:t>313</w:t>
            </w:r>
            <w:r>
              <w:rPr>
                <w:rFonts w:cs="Arial"/>
                <w:b/>
                <w:bCs/>
                <w:color w:val="000000"/>
                <w:sz w:val="14"/>
                <w:szCs w:val="14"/>
              </w:rPr>
              <w:t>,</w:t>
            </w:r>
            <w:r w:rsidRPr="008D7BD5">
              <w:rPr>
                <w:rFonts w:cs="Arial"/>
                <w:b/>
                <w:bCs/>
                <w:color w:val="000000"/>
                <w:sz w:val="14"/>
                <w:szCs w:val="14"/>
              </w:rPr>
              <w:t>178</w:t>
            </w:r>
          </w:p>
        </w:tc>
        <w:tc>
          <w:tcPr>
            <w:tcW w:w="1819" w:type="dxa"/>
            <w:tcBorders>
              <w:top w:val="nil"/>
              <w:left w:val="nil"/>
              <w:bottom w:val="nil"/>
              <w:right w:val="nil"/>
            </w:tcBorders>
            <w:shd w:val="clear" w:color="auto" w:fill="auto"/>
            <w:vAlign w:val="center"/>
          </w:tcPr>
          <w:p w14:paraId="771FC3B5" w14:textId="77777777" w:rsidR="008B7E19" w:rsidRPr="008D7BD5" w:rsidRDefault="008B7E19" w:rsidP="008B7E19">
            <w:pPr>
              <w:keepNext/>
              <w:keepLines/>
              <w:jc w:val="right"/>
              <w:cnfStyle w:val="000000010000" w:firstRow="0" w:lastRow="0" w:firstColumn="0" w:lastColumn="0" w:oddVBand="0" w:evenVBand="0" w:oddHBand="0" w:evenHBand="1" w:firstRowFirstColumn="0" w:firstRowLastColumn="0" w:lastRowFirstColumn="0" w:lastRowLastColumn="0"/>
              <w:rPr>
                <w:rFonts w:cs="Arial"/>
                <w:b/>
                <w:bCs/>
                <w:color w:val="000000"/>
                <w:sz w:val="14"/>
                <w:szCs w:val="14"/>
              </w:rPr>
            </w:pPr>
            <w:r w:rsidRPr="008D7BD5">
              <w:rPr>
                <w:rFonts w:cs="Arial"/>
                <w:b/>
                <w:bCs/>
                <w:color w:val="000000"/>
                <w:sz w:val="14"/>
                <w:szCs w:val="14"/>
              </w:rPr>
              <w:t>667</w:t>
            </w:r>
            <w:r>
              <w:rPr>
                <w:rFonts w:cs="Arial"/>
                <w:b/>
                <w:bCs/>
                <w:color w:val="000000"/>
                <w:sz w:val="14"/>
                <w:szCs w:val="14"/>
              </w:rPr>
              <w:t>,</w:t>
            </w:r>
            <w:r w:rsidRPr="008D7BD5">
              <w:rPr>
                <w:rFonts w:cs="Arial"/>
                <w:b/>
                <w:bCs/>
                <w:color w:val="000000"/>
                <w:sz w:val="14"/>
                <w:szCs w:val="14"/>
              </w:rPr>
              <w:t>112</w:t>
            </w:r>
          </w:p>
        </w:tc>
      </w:tr>
      <w:tr w:rsidR="008B7E19" w:rsidRPr="00A6127A" w14:paraId="0C04D2E9"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641AF433" w14:textId="77777777" w:rsidR="008B7E19" w:rsidRPr="00A6127A" w:rsidRDefault="008B7E19" w:rsidP="008B7E19">
            <w:pPr>
              <w:keepNext/>
              <w:keepLines/>
              <w:rPr>
                <w:rFonts w:eastAsia="Times New Roman" w:cs="Arial"/>
                <w:b w:val="0"/>
                <w:bCs w:val="0"/>
                <w:color w:val="000000"/>
                <w:spacing w:val="-2"/>
                <w:sz w:val="14"/>
                <w:szCs w:val="14"/>
                <w:lang w:eastAsia="pt-BR"/>
              </w:rPr>
            </w:pPr>
            <w:r w:rsidRPr="00A6127A">
              <w:rPr>
                <w:rFonts w:eastAsia="Times New Roman" w:cs="Arial"/>
                <w:b w:val="0"/>
                <w:bCs w:val="0"/>
                <w:color w:val="000000"/>
                <w:spacing w:val="-2"/>
                <w:sz w:val="14"/>
                <w:szCs w:val="14"/>
                <w:lang w:eastAsia="pt-BR"/>
              </w:rPr>
              <w:t>Adjustment</w:t>
            </w:r>
            <w:r>
              <w:rPr>
                <w:rFonts w:eastAsia="Times New Roman" w:cs="Arial"/>
                <w:b w:val="0"/>
                <w:bCs w:val="0"/>
                <w:color w:val="000000"/>
                <w:spacing w:val="-2"/>
                <w:sz w:val="14"/>
                <w:szCs w:val="14"/>
                <w:lang w:eastAsia="pt-BR"/>
              </w:rPr>
              <w:t xml:space="preserve"> </w:t>
            </w:r>
            <w:r w:rsidRPr="00A6127A">
              <w:rPr>
                <w:rFonts w:eastAsia="Times New Roman" w:cs="Arial"/>
                <w:b w:val="0"/>
                <w:bCs w:val="0"/>
                <w:color w:val="000000"/>
                <w:spacing w:val="-2"/>
                <w:sz w:val="14"/>
                <w:szCs w:val="14"/>
                <w:vertAlign w:val="superscript"/>
                <w:lang w:eastAsia="pt-BR"/>
              </w:rPr>
              <w:t>(2)</w:t>
            </w:r>
          </w:p>
        </w:tc>
        <w:tc>
          <w:tcPr>
            <w:tcW w:w="1818" w:type="dxa"/>
            <w:tcBorders>
              <w:top w:val="nil"/>
              <w:left w:val="nil"/>
              <w:bottom w:val="nil"/>
              <w:right w:val="nil"/>
            </w:tcBorders>
            <w:shd w:val="clear" w:color="auto" w:fill="auto"/>
            <w:vAlign w:val="center"/>
          </w:tcPr>
          <w:p w14:paraId="79172F7A" w14:textId="77777777" w:rsidR="008B7E19" w:rsidRPr="00A6127A" w:rsidRDefault="008B7E19" w:rsidP="008B7E19">
            <w:pPr>
              <w:keepNext/>
              <w:keepLines/>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127A">
              <w:rPr>
                <w:rFonts w:cs="Arial"/>
                <w:color w:val="000000"/>
                <w:sz w:val="14"/>
                <w:szCs w:val="14"/>
              </w:rPr>
              <w:t>8</w:t>
            </w:r>
            <w:r>
              <w:rPr>
                <w:rFonts w:cs="Arial"/>
                <w:color w:val="000000"/>
                <w:sz w:val="14"/>
                <w:szCs w:val="14"/>
              </w:rPr>
              <w:t>,</w:t>
            </w:r>
            <w:r w:rsidRPr="00A6127A">
              <w:rPr>
                <w:rFonts w:cs="Arial"/>
                <w:color w:val="000000"/>
                <w:sz w:val="14"/>
                <w:szCs w:val="14"/>
              </w:rPr>
              <w:t>476</w:t>
            </w:r>
          </w:p>
        </w:tc>
        <w:tc>
          <w:tcPr>
            <w:tcW w:w="1819" w:type="dxa"/>
            <w:tcBorders>
              <w:top w:val="nil"/>
              <w:left w:val="nil"/>
              <w:bottom w:val="nil"/>
              <w:right w:val="nil"/>
            </w:tcBorders>
            <w:shd w:val="clear" w:color="auto" w:fill="auto"/>
            <w:vAlign w:val="center"/>
          </w:tcPr>
          <w:p w14:paraId="09854B31" w14:textId="77777777" w:rsidR="008B7E19" w:rsidRPr="00A6127A" w:rsidRDefault="008B7E19" w:rsidP="008B7E19">
            <w:pPr>
              <w:keepNext/>
              <w:keepLines/>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127A">
              <w:rPr>
                <w:rFonts w:cs="Arial"/>
                <w:color w:val="000000"/>
                <w:sz w:val="14"/>
                <w:szCs w:val="14"/>
              </w:rPr>
              <w:t>8</w:t>
            </w:r>
            <w:r>
              <w:rPr>
                <w:rFonts w:cs="Arial"/>
                <w:color w:val="000000"/>
                <w:sz w:val="14"/>
                <w:szCs w:val="14"/>
              </w:rPr>
              <w:t>,</w:t>
            </w:r>
            <w:r w:rsidRPr="00A6127A">
              <w:rPr>
                <w:rFonts w:cs="Arial"/>
                <w:color w:val="000000"/>
                <w:sz w:val="14"/>
                <w:szCs w:val="14"/>
              </w:rPr>
              <w:t>476</w:t>
            </w:r>
          </w:p>
        </w:tc>
        <w:tc>
          <w:tcPr>
            <w:tcW w:w="1819" w:type="dxa"/>
            <w:tcBorders>
              <w:top w:val="nil"/>
              <w:left w:val="nil"/>
              <w:bottom w:val="nil"/>
              <w:right w:val="nil"/>
            </w:tcBorders>
            <w:shd w:val="clear" w:color="auto" w:fill="auto"/>
            <w:vAlign w:val="center"/>
          </w:tcPr>
          <w:p w14:paraId="59A2519E" w14:textId="77777777" w:rsidR="008B7E19" w:rsidRPr="00A6127A" w:rsidRDefault="008B7E19" w:rsidP="008B7E19">
            <w:pPr>
              <w:keepNext/>
              <w:keepLines/>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127A">
              <w:rPr>
                <w:rFonts w:cs="Arial"/>
                <w:color w:val="000000"/>
                <w:sz w:val="14"/>
                <w:szCs w:val="14"/>
              </w:rPr>
              <w:t>--</w:t>
            </w:r>
          </w:p>
        </w:tc>
        <w:tc>
          <w:tcPr>
            <w:tcW w:w="1819" w:type="dxa"/>
            <w:tcBorders>
              <w:top w:val="nil"/>
              <w:left w:val="nil"/>
              <w:bottom w:val="nil"/>
              <w:right w:val="nil"/>
            </w:tcBorders>
            <w:shd w:val="clear" w:color="auto" w:fill="auto"/>
            <w:vAlign w:val="center"/>
          </w:tcPr>
          <w:p w14:paraId="43220ACA" w14:textId="77777777" w:rsidR="008B7E19" w:rsidRPr="00A6127A" w:rsidRDefault="008B7E19" w:rsidP="008B7E19">
            <w:pPr>
              <w:keepNext/>
              <w:keepLines/>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127A">
              <w:rPr>
                <w:rFonts w:cs="Arial"/>
                <w:color w:val="000000"/>
                <w:sz w:val="14"/>
                <w:szCs w:val="14"/>
              </w:rPr>
              <w:t>--</w:t>
            </w:r>
          </w:p>
        </w:tc>
      </w:tr>
      <w:tr w:rsidR="008B7E19" w:rsidRPr="008D7BD5" w14:paraId="7B065B43" w14:textId="77777777" w:rsidTr="008B7E1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single" w:sz="2" w:space="0" w:color="1F4E79" w:themeColor="accent1" w:themeShade="80"/>
              <w:right w:val="nil"/>
            </w:tcBorders>
            <w:shd w:val="clear" w:color="auto" w:fill="auto"/>
            <w:vAlign w:val="center"/>
          </w:tcPr>
          <w:p w14:paraId="301BDADC" w14:textId="77777777" w:rsidR="008B7E19" w:rsidRPr="008D7BD5" w:rsidRDefault="008B7E19" w:rsidP="008B7E19">
            <w:pPr>
              <w:keepNext/>
              <w:keepLines/>
              <w:rPr>
                <w:rFonts w:cs="Arial"/>
                <w:sz w:val="14"/>
                <w:szCs w:val="14"/>
              </w:rPr>
            </w:pPr>
            <w:r>
              <w:rPr>
                <w:rFonts w:eastAsia="Times New Roman" w:cs="Arial"/>
                <w:color w:val="000000"/>
                <w:spacing w:val="-2"/>
                <w:sz w:val="14"/>
                <w:szCs w:val="14"/>
                <w:lang w:eastAsia="pt-BR"/>
              </w:rPr>
              <w:t>Equity income</w:t>
            </w:r>
          </w:p>
        </w:tc>
        <w:tc>
          <w:tcPr>
            <w:tcW w:w="1818" w:type="dxa"/>
            <w:tcBorders>
              <w:top w:val="nil"/>
              <w:left w:val="nil"/>
              <w:bottom w:val="single" w:sz="2" w:space="0" w:color="1F4E79" w:themeColor="accent1" w:themeShade="80"/>
              <w:right w:val="nil"/>
            </w:tcBorders>
            <w:shd w:val="clear" w:color="auto" w:fill="auto"/>
            <w:vAlign w:val="center"/>
          </w:tcPr>
          <w:p w14:paraId="37A7F5D3" w14:textId="77777777" w:rsidR="008B7E19" w:rsidRPr="008D7BD5" w:rsidRDefault="008B7E19" w:rsidP="008B7E19">
            <w:pPr>
              <w:keepNext/>
              <w:keepLines/>
              <w:jc w:val="right"/>
              <w:cnfStyle w:val="000000010000" w:firstRow="0" w:lastRow="0" w:firstColumn="0" w:lastColumn="0" w:oddVBand="0" w:evenVBand="0" w:oddHBand="0" w:evenHBand="1" w:firstRowFirstColumn="0" w:firstRowLastColumn="0" w:lastRowFirstColumn="0" w:lastRowLastColumn="0"/>
              <w:rPr>
                <w:rFonts w:cs="Arial"/>
                <w:b/>
                <w:bCs/>
                <w:color w:val="000000"/>
                <w:sz w:val="14"/>
                <w:szCs w:val="14"/>
              </w:rPr>
            </w:pPr>
            <w:r w:rsidRPr="008D7BD5">
              <w:rPr>
                <w:rFonts w:cs="Arial"/>
                <w:b/>
                <w:bCs/>
                <w:color w:val="000000"/>
                <w:sz w:val="14"/>
                <w:szCs w:val="14"/>
              </w:rPr>
              <w:t>397</w:t>
            </w:r>
            <w:r>
              <w:rPr>
                <w:rFonts w:cs="Arial"/>
                <w:b/>
                <w:bCs/>
                <w:color w:val="000000"/>
                <w:sz w:val="14"/>
                <w:szCs w:val="14"/>
              </w:rPr>
              <w:t>,</w:t>
            </w:r>
            <w:r w:rsidRPr="008D7BD5">
              <w:rPr>
                <w:rFonts w:cs="Arial"/>
                <w:b/>
                <w:bCs/>
                <w:color w:val="000000"/>
                <w:sz w:val="14"/>
                <w:szCs w:val="14"/>
              </w:rPr>
              <w:t>177</w:t>
            </w:r>
          </w:p>
        </w:tc>
        <w:tc>
          <w:tcPr>
            <w:tcW w:w="1819" w:type="dxa"/>
            <w:tcBorders>
              <w:top w:val="nil"/>
              <w:left w:val="nil"/>
              <w:bottom w:val="single" w:sz="2" w:space="0" w:color="1F4E79" w:themeColor="accent1" w:themeShade="80"/>
              <w:right w:val="nil"/>
            </w:tcBorders>
            <w:shd w:val="clear" w:color="auto" w:fill="auto"/>
            <w:vAlign w:val="center"/>
          </w:tcPr>
          <w:p w14:paraId="418E7991" w14:textId="77777777" w:rsidR="008B7E19" w:rsidRPr="008D7BD5" w:rsidRDefault="008B7E19" w:rsidP="008B7E19">
            <w:pPr>
              <w:keepNext/>
              <w:keepLines/>
              <w:jc w:val="right"/>
              <w:cnfStyle w:val="000000010000" w:firstRow="0" w:lastRow="0" w:firstColumn="0" w:lastColumn="0" w:oddVBand="0" w:evenVBand="0" w:oddHBand="0" w:evenHBand="1" w:firstRowFirstColumn="0" w:firstRowLastColumn="0" w:lastRowFirstColumn="0" w:lastRowLastColumn="0"/>
              <w:rPr>
                <w:rFonts w:cs="Arial"/>
                <w:b/>
                <w:bCs/>
                <w:color w:val="000000"/>
                <w:sz w:val="14"/>
                <w:szCs w:val="14"/>
              </w:rPr>
            </w:pPr>
            <w:r w:rsidRPr="008D7BD5">
              <w:rPr>
                <w:rFonts w:cs="Arial"/>
                <w:b/>
                <w:bCs/>
                <w:color w:val="000000"/>
                <w:sz w:val="14"/>
                <w:szCs w:val="14"/>
              </w:rPr>
              <w:t>862</w:t>
            </w:r>
            <w:r>
              <w:rPr>
                <w:rFonts w:cs="Arial"/>
                <w:b/>
                <w:bCs/>
                <w:color w:val="000000"/>
                <w:sz w:val="14"/>
                <w:szCs w:val="14"/>
              </w:rPr>
              <w:t>,</w:t>
            </w:r>
            <w:r w:rsidRPr="008D7BD5">
              <w:rPr>
                <w:rFonts w:cs="Arial"/>
                <w:b/>
                <w:bCs/>
                <w:color w:val="000000"/>
                <w:sz w:val="14"/>
                <w:szCs w:val="14"/>
              </w:rPr>
              <w:t>861</w:t>
            </w:r>
          </w:p>
        </w:tc>
        <w:tc>
          <w:tcPr>
            <w:tcW w:w="1819" w:type="dxa"/>
            <w:tcBorders>
              <w:top w:val="nil"/>
              <w:left w:val="nil"/>
              <w:bottom w:val="single" w:sz="2" w:space="0" w:color="1F4E79" w:themeColor="accent1" w:themeShade="80"/>
              <w:right w:val="nil"/>
            </w:tcBorders>
            <w:shd w:val="clear" w:color="auto" w:fill="auto"/>
            <w:vAlign w:val="center"/>
          </w:tcPr>
          <w:p w14:paraId="11DA8852" w14:textId="77777777" w:rsidR="008B7E19" w:rsidRPr="008D7BD5" w:rsidRDefault="008B7E19" w:rsidP="008B7E19">
            <w:pPr>
              <w:keepNext/>
              <w:keepLines/>
              <w:jc w:val="right"/>
              <w:cnfStyle w:val="000000010000" w:firstRow="0" w:lastRow="0" w:firstColumn="0" w:lastColumn="0" w:oddVBand="0" w:evenVBand="0" w:oddHBand="0" w:evenHBand="1" w:firstRowFirstColumn="0" w:firstRowLastColumn="0" w:lastRowFirstColumn="0" w:lastRowLastColumn="0"/>
              <w:rPr>
                <w:rFonts w:cs="Arial"/>
                <w:b/>
                <w:bCs/>
                <w:color w:val="000000"/>
                <w:sz w:val="14"/>
                <w:szCs w:val="14"/>
              </w:rPr>
            </w:pPr>
            <w:r w:rsidRPr="008D7BD5">
              <w:rPr>
                <w:rFonts w:cs="Arial"/>
                <w:b/>
                <w:bCs/>
                <w:color w:val="000000"/>
                <w:sz w:val="14"/>
                <w:szCs w:val="14"/>
              </w:rPr>
              <w:t>313</w:t>
            </w:r>
            <w:r>
              <w:rPr>
                <w:rFonts w:cs="Arial"/>
                <w:b/>
                <w:bCs/>
                <w:color w:val="000000"/>
                <w:sz w:val="14"/>
                <w:szCs w:val="14"/>
              </w:rPr>
              <w:t>,</w:t>
            </w:r>
            <w:r w:rsidRPr="008D7BD5">
              <w:rPr>
                <w:rFonts w:cs="Arial"/>
                <w:b/>
                <w:bCs/>
                <w:color w:val="000000"/>
                <w:sz w:val="14"/>
                <w:szCs w:val="14"/>
              </w:rPr>
              <w:t>178</w:t>
            </w:r>
          </w:p>
        </w:tc>
        <w:tc>
          <w:tcPr>
            <w:tcW w:w="1819" w:type="dxa"/>
            <w:tcBorders>
              <w:top w:val="nil"/>
              <w:left w:val="nil"/>
              <w:bottom w:val="single" w:sz="2" w:space="0" w:color="1F4E79" w:themeColor="accent1" w:themeShade="80"/>
              <w:right w:val="nil"/>
            </w:tcBorders>
            <w:shd w:val="clear" w:color="auto" w:fill="auto"/>
            <w:vAlign w:val="center"/>
          </w:tcPr>
          <w:p w14:paraId="07AC60B3" w14:textId="77777777" w:rsidR="008B7E19" w:rsidRPr="008D7BD5" w:rsidRDefault="008B7E19" w:rsidP="008B7E19">
            <w:pPr>
              <w:keepNext/>
              <w:keepLines/>
              <w:jc w:val="right"/>
              <w:cnfStyle w:val="000000010000" w:firstRow="0" w:lastRow="0" w:firstColumn="0" w:lastColumn="0" w:oddVBand="0" w:evenVBand="0" w:oddHBand="0" w:evenHBand="1" w:firstRowFirstColumn="0" w:firstRowLastColumn="0" w:lastRowFirstColumn="0" w:lastRowLastColumn="0"/>
              <w:rPr>
                <w:rFonts w:cs="Arial"/>
                <w:b/>
                <w:bCs/>
                <w:color w:val="000000"/>
                <w:sz w:val="14"/>
                <w:szCs w:val="14"/>
              </w:rPr>
            </w:pPr>
            <w:r w:rsidRPr="008D7BD5">
              <w:rPr>
                <w:rFonts w:cs="Arial"/>
                <w:b/>
                <w:bCs/>
                <w:color w:val="000000"/>
                <w:sz w:val="14"/>
                <w:szCs w:val="14"/>
              </w:rPr>
              <w:t>667</w:t>
            </w:r>
            <w:r>
              <w:rPr>
                <w:rFonts w:cs="Arial"/>
                <w:b/>
                <w:bCs/>
                <w:color w:val="000000"/>
                <w:sz w:val="14"/>
                <w:szCs w:val="14"/>
              </w:rPr>
              <w:t>,</w:t>
            </w:r>
            <w:r w:rsidRPr="008D7BD5">
              <w:rPr>
                <w:rFonts w:cs="Arial"/>
                <w:b/>
                <w:bCs/>
                <w:color w:val="000000"/>
                <w:sz w:val="14"/>
                <w:szCs w:val="14"/>
              </w:rPr>
              <w:t>112</w:t>
            </w:r>
          </w:p>
        </w:tc>
      </w:tr>
    </w:tbl>
    <w:p w14:paraId="3DE807EF" w14:textId="77777777" w:rsidR="008B7E19" w:rsidRPr="0080671E" w:rsidRDefault="008B7E19" w:rsidP="00882B41">
      <w:pPr>
        <w:pStyle w:val="PargrafodaLista"/>
        <w:numPr>
          <w:ilvl w:val="0"/>
          <w:numId w:val="29"/>
        </w:numPr>
        <w:spacing w:after="0" w:line="240" w:lineRule="auto"/>
        <w:rPr>
          <w:rFonts w:ascii="Arial" w:eastAsia="Times New Roman" w:hAnsi="Arial" w:cs="Times New Roman"/>
          <w:bCs/>
          <w:spacing w:val="-2"/>
          <w:sz w:val="14"/>
          <w:szCs w:val="16"/>
          <w:lang w:val="en-US" w:eastAsia="pt-BR"/>
        </w:rPr>
      </w:pPr>
      <w:r w:rsidRPr="0080671E">
        <w:rPr>
          <w:rFonts w:ascii="Arial" w:eastAsia="Times New Roman" w:hAnsi="Arial" w:cs="Times New Roman"/>
          <w:bCs/>
          <w:spacing w:val="-2"/>
          <w:sz w:val="14"/>
          <w:szCs w:val="16"/>
          <w:lang w:val="en-US" w:eastAsia="pt-BR"/>
        </w:rPr>
        <w:t xml:space="preserve">BBA - </w:t>
      </w:r>
      <w:r w:rsidRPr="0080671E">
        <w:rPr>
          <w:rFonts w:ascii="Arial" w:eastAsia="Times New Roman" w:hAnsi="Arial" w:cs="Times New Roman"/>
          <w:bCs/>
          <w:i/>
          <w:iCs/>
          <w:spacing w:val="-2"/>
          <w:sz w:val="14"/>
          <w:szCs w:val="16"/>
          <w:lang w:val="en-US" w:eastAsia="pt-BR"/>
        </w:rPr>
        <w:t>Building Block Approach</w:t>
      </w:r>
      <w:r w:rsidRPr="0080671E">
        <w:rPr>
          <w:rFonts w:ascii="Arial" w:eastAsia="Times New Roman" w:hAnsi="Arial" w:cs="Times New Roman"/>
          <w:bCs/>
          <w:spacing w:val="-2"/>
          <w:sz w:val="14"/>
          <w:szCs w:val="16"/>
          <w:lang w:val="en-US" w:eastAsia="pt-BR"/>
        </w:rPr>
        <w:t xml:space="preserve"> a</w:t>
      </w:r>
      <w:r>
        <w:rPr>
          <w:rFonts w:ascii="Arial" w:eastAsia="Times New Roman" w:hAnsi="Arial" w:cs="Times New Roman"/>
          <w:bCs/>
          <w:spacing w:val="-2"/>
          <w:sz w:val="14"/>
          <w:szCs w:val="16"/>
          <w:lang w:val="en-US" w:eastAsia="pt-BR"/>
        </w:rPr>
        <w:t xml:space="preserve">nd </w:t>
      </w:r>
      <w:r w:rsidRPr="0080671E">
        <w:rPr>
          <w:rFonts w:ascii="Arial" w:eastAsia="Times New Roman" w:hAnsi="Arial" w:cs="Times New Roman"/>
          <w:bCs/>
          <w:spacing w:val="-2"/>
          <w:sz w:val="14"/>
          <w:szCs w:val="16"/>
          <w:lang w:val="en-US" w:eastAsia="pt-BR"/>
        </w:rPr>
        <w:t xml:space="preserve">VFA - </w:t>
      </w:r>
      <w:r w:rsidRPr="0080671E">
        <w:rPr>
          <w:rFonts w:ascii="Arial" w:eastAsia="Times New Roman" w:hAnsi="Arial" w:cs="Times New Roman"/>
          <w:bCs/>
          <w:i/>
          <w:iCs/>
          <w:spacing w:val="-2"/>
          <w:sz w:val="14"/>
          <w:szCs w:val="16"/>
          <w:lang w:val="en-US" w:eastAsia="pt-BR"/>
        </w:rPr>
        <w:t>Variable Fee Approach</w:t>
      </w:r>
      <w:r w:rsidRPr="0080671E">
        <w:rPr>
          <w:rFonts w:ascii="Arial" w:eastAsia="Times New Roman" w:hAnsi="Arial" w:cs="Times New Roman"/>
          <w:bCs/>
          <w:spacing w:val="-2"/>
          <w:sz w:val="14"/>
          <w:szCs w:val="16"/>
          <w:lang w:val="en-US" w:eastAsia="pt-BR"/>
        </w:rPr>
        <w:t>.</w:t>
      </w:r>
    </w:p>
    <w:p w14:paraId="09853990" w14:textId="77777777" w:rsidR="008B7E19" w:rsidRPr="005824C3" w:rsidRDefault="008B7E19" w:rsidP="00882B41">
      <w:pPr>
        <w:pStyle w:val="PargrafodaLista"/>
        <w:numPr>
          <w:ilvl w:val="0"/>
          <w:numId w:val="29"/>
        </w:numPr>
        <w:spacing w:after="0" w:line="240" w:lineRule="auto"/>
        <w:rPr>
          <w:rFonts w:ascii="Arial" w:eastAsia="Times New Roman" w:hAnsi="Arial" w:cs="Times New Roman"/>
          <w:bCs/>
          <w:spacing w:val="-2"/>
          <w:sz w:val="14"/>
          <w:szCs w:val="16"/>
          <w:lang w:eastAsia="pt-BR"/>
        </w:rPr>
      </w:pPr>
      <w:r w:rsidRPr="00A6127A">
        <w:rPr>
          <w:rFonts w:ascii="Arial" w:eastAsia="Times New Roman" w:hAnsi="Arial" w:cs="Times New Roman"/>
          <w:bCs/>
          <w:spacing w:val="-2"/>
          <w:sz w:val="14"/>
          <w:szCs w:val="16"/>
          <w:lang w:eastAsia="pt-BR"/>
        </w:rPr>
        <w:t>Recognition of unrealized results of Mapfre Nossa Caixa Vida e Previdência (MNCVP).</w:t>
      </w:r>
    </w:p>
    <w:p w14:paraId="56FE05B4" w14:textId="77777777" w:rsidR="008B7E19" w:rsidRDefault="008B7E19" w:rsidP="008B7E19">
      <w:pPr>
        <w:keepNext/>
        <w:keepLines/>
        <w:spacing w:after="0" w:line="240" w:lineRule="auto"/>
        <w:rPr>
          <w:rFonts w:eastAsia="Times New Roman" w:cs="Arial"/>
          <w:spacing w:val="-2"/>
          <w:szCs w:val="20"/>
          <w:lang w:eastAsia="zh-CN"/>
        </w:rPr>
      </w:pPr>
    </w:p>
    <w:p w14:paraId="6A2DB3AA" w14:textId="77777777" w:rsidR="008B7E19" w:rsidRDefault="008B7E19" w:rsidP="008B7E19">
      <w:pPr>
        <w:keepNext/>
        <w:keepLines/>
        <w:spacing w:after="0" w:line="240" w:lineRule="auto"/>
        <w:rPr>
          <w:rFonts w:eastAsia="Times New Roman" w:cs="Arial"/>
          <w:spacing w:val="-2"/>
          <w:szCs w:val="20"/>
          <w:lang w:eastAsia="zh-CN"/>
        </w:rPr>
      </w:pPr>
    </w:p>
    <w:p w14:paraId="76526276" w14:textId="77777777" w:rsidR="008B7E19" w:rsidRDefault="008B7E19" w:rsidP="008B7E19">
      <w:pPr>
        <w:spacing w:after="0" w:line="240" w:lineRule="auto"/>
        <w:rPr>
          <w:rFonts w:eastAsia="Times New Roman" w:cs="Times New Roman"/>
          <w:b/>
          <w:color w:val="1F4E79" w:themeColor="accent1" w:themeShade="80"/>
          <w:spacing w:val="-2"/>
          <w:szCs w:val="20"/>
          <w:lang w:eastAsia="pt-BR"/>
        </w:rPr>
      </w:pPr>
      <w:r>
        <w:rPr>
          <w:rFonts w:eastAsia="Times New Roman" w:cs="Times New Roman"/>
          <w:b/>
          <w:color w:val="1F4E79" w:themeColor="accent1" w:themeShade="80"/>
          <w:spacing w:val="-2"/>
          <w:szCs w:val="20"/>
          <w:lang w:eastAsia="pt-BR"/>
        </w:rPr>
        <w:t>Balance Sheet Information</w:t>
      </w:r>
    </w:p>
    <w:p w14:paraId="519843AD" w14:textId="77777777" w:rsidR="008B7E19" w:rsidRDefault="008B7E19" w:rsidP="008B7E19">
      <w:pPr>
        <w:spacing w:after="0" w:line="240" w:lineRule="auto"/>
        <w:rPr>
          <w:rFonts w:eastAsia="Times New Roman" w:cs="Times New Roman"/>
          <w:b/>
          <w:color w:val="1F4E79" w:themeColor="accent1" w:themeShade="80"/>
          <w:spacing w:val="-2"/>
          <w:szCs w:val="20"/>
          <w:lang w:eastAsia="pt-BR"/>
        </w:rPr>
      </w:pPr>
    </w:p>
    <w:p w14:paraId="59691299" w14:textId="77777777" w:rsidR="008B7E19" w:rsidRPr="00537AE7" w:rsidRDefault="008B7E19" w:rsidP="008B7E19">
      <w:pPr>
        <w:spacing w:after="0" w:line="240" w:lineRule="auto"/>
        <w:jc w:val="right"/>
        <w:rPr>
          <w:rFonts w:cs="Arial"/>
          <w:b/>
          <w:sz w:val="14"/>
          <w:lang w:eastAsia="pt-BR"/>
        </w:rPr>
      </w:pPr>
      <w:r w:rsidRPr="00537AE7">
        <w:rPr>
          <w:rFonts w:cs="Arial"/>
          <w:b/>
          <w:sz w:val="14"/>
          <w:lang w:eastAsia="pt-BR"/>
        </w:rPr>
        <w:t xml:space="preserve">R$ </w:t>
      </w:r>
      <w:r>
        <w:rPr>
          <w:rFonts w:cs="Arial"/>
          <w:b/>
          <w:sz w:val="14"/>
          <w:lang w:eastAsia="pt-BR"/>
        </w:rPr>
        <w:t>thousand</w:t>
      </w:r>
    </w:p>
    <w:tbl>
      <w:tblPr>
        <w:tblStyle w:val="TabeladeLista6Colorida-nfase512"/>
        <w:tblW w:w="9640" w:type="dxa"/>
        <w:jc w:val="center"/>
        <w:tblInd w:w="0" w:type="dxa"/>
        <w:tblLayout w:type="fixed"/>
        <w:tblLook w:val="04A0" w:firstRow="1" w:lastRow="0" w:firstColumn="1" w:lastColumn="0" w:noHBand="0" w:noVBand="1"/>
      </w:tblPr>
      <w:tblGrid>
        <w:gridCol w:w="3120"/>
        <w:gridCol w:w="3260"/>
        <w:gridCol w:w="3260"/>
      </w:tblGrid>
      <w:tr w:rsidR="008B7E19" w:rsidRPr="00D36690" w14:paraId="231AD8C7" w14:textId="77777777" w:rsidTr="008B7E19">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single" w:sz="2" w:space="0" w:color="1F4E79" w:themeColor="accent1" w:themeShade="80"/>
              <w:left w:val="nil"/>
              <w:bottom w:val="single" w:sz="2" w:space="0" w:color="1F4E79" w:themeColor="accent1" w:themeShade="80"/>
              <w:right w:val="nil"/>
            </w:tcBorders>
            <w:shd w:val="clear" w:color="auto" w:fill="auto"/>
            <w:vAlign w:val="center"/>
          </w:tcPr>
          <w:p w14:paraId="2EFB4DC0" w14:textId="77777777" w:rsidR="008B7E19" w:rsidRPr="00D36690" w:rsidRDefault="008B7E19" w:rsidP="008B7E19">
            <w:pPr>
              <w:jc w:val="center"/>
              <w:rPr>
                <w:rFonts w:cs="Arial"/>
                <w:sz w:val="14"/>
                <w:szCs w:val="14"/>
              </w:rPr>
            </w:pPr>
          </w:p>
        </w:tc>
        <w:tc>
          <w:tcPr>
            <w:tcW w:w="3260" w:type="dxa"/>
            <w:tcBorders>
              <w:top w:val="single" w:sz="2" w:space="0" w:color="1F4E79" w:themeColor="accent1" w:themeShade="80"/>
              <w:left w:val="nil"/>
              <w:bottom w:val="single" w:sz="2" w:space="0" w:color="1F4E79" w:themeColor="accent1" w:themeShade="80"/>
              <w:right w:val="nil"/>
            </w:tcBorders>
            <w:shd w:val="clear" w:color="auto" w:fill="auto"/>
            <w:vAlign w:val="center"/>
          </w:tcPr>
          <w:p w14:paraId="79E2943D" w14:textId="77777777" w:rsidR="008B7E19" w:rsidRPr="003D02C5" w:rsidRDefault="008B7E19" w:rsidP="008B7E19">
            <w:pPr>
              <w:jc w:val="center"/>
              <w:cnfStyle w:val="100000000000" w:firstRow="1" w:lastRow="0" w:firstColumn="0" w:lastColumn="0" w:oddVBand="0" w:evenVBand="0" w:oddHBand="0" w:evenHBand="0" w:firstRowFirstColumn="0" w:firstRowLastColumn="0" w:lastRowFirstColumn="0" w:lastRowLastColumn="0"/>
              <w:rPr>
                <w:rFonts w:cs="Arial"/>
                <w:sz w:val="14"/>
                <w:szCs w:val="14"/>
              </w:rPr>
            </w:pPr>
            <w:r>
              <w:rPr>
                <w:rFonts w:cs="Arial"/>
                <w:sz w:val="14"/>
                <w:szCs w:val="14"/>
              </w:rPr>
              <w:t>June 30, 2023</w:t>
            </w:r>
          </w:p>
        </w:tc>
        <w:tc>
          <w:tcPr>
            <w:tcW w:w="3260" w:type="dxa"/>
            <w:tcBorders>
              <w:top w:val="single" w:sz="2" w:space="0" w:color="1F4E79" w:themeColor="accent1" w:themeShade="80"/>
              <w:left w:val="nil"/>
              <w:bottom w:val="single" w:sz="2" w:space="0" w:color="1F4E79" w:themeColor="accent1" w:themeShade="80"/>
              <w:right w:val="nil"/>
            </w:tcBorders>
            <w:shd w:val="clear" w:color="auto" w:fill="auto"/>
            <w:vAlign w:val="center"/>
          </w:tcPr>
          <w:p w14:paraId="045DF208" w14:textId="77777777" w:rsidR="008B7E19" w:rsidRPr="003D02C5" w:rsidRDefault="008B7E19" w:rsidP="008B7E19">
            <w:pPr>
              <w:jc w:val="center"/>
              <w:cnfStyle w:val="100000000000" w:firstRow="1" w:lastRow="0" w:firstColumn="0" w:lastColumn="0" w:oddVBand="0" w:evenVBand="0" w:oddHBand="0" w:evenHBand="0" w:firstRowFirstColumn="0" w:firstRowLastColumn="0" w:lastRowFirstColumn="0" w:lastRowLastColumn="0"/>
              <w:rPr>
                <w:rFonts w:cs="Arial"/>
                <w:sz w:val="14"/>
                <w:szCs w:val="14"/>
              </w:rPr>
            </w:pPr>
            <w:r>
              <w:rPr>
                <w:rFonts w:cs="Arial"/>
                <w:sz w:val="14"/>
                <w:szCs w:val="14"/>
              </w:rPr>
              <w:t>Dec 31, 2022 (Restated balances)</w:t>
            </w:r>
          </w:p>
        </w:tc>
      </w:tr>
      <w:tr w:rsidR="00D2372E" w:rsidRPr="002A34F5" w14:paraId="66AE1608"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single" w:sz="2" w:space="0" w:color="1F4E79" w:themeColor="accent1" w:themeShade="80"/>
              <w:left w:val="nil"/>
              <w:bottom w:val="nil"/>
              <w:right w:val="nil"/>
            </w:tcBorders>
            <w:shd w:val="clear" w:color="auto" w:fill="auto"/>
            <w:vAlign w:val="center"/>
            <w:hideMark/>
          </w:tcPr>
          <w:p w14:paraId="57FB02CA" w14:textId="77777777" w:rsidR="00D2372E" w:rsidRPr="002A34F5" w:rsidRDefault="00D2372E" w:rsidP="00D2372E">
            <w:pPr>
              <w:keepNext/>
              <w:keepLines/>
              <w:rPr>
                <w:rFonts w:eastAsia="Times New Roman" w:cs="Arial"/>
                <w:spacing w:val="-2"/>
                <w:sz w:val="14"/>
                <w:szCs w:val="14"/>
                <w:highlight w:val="yellow"/>
              </w:rPr>
            </w:pPr>
            <w:r>
              <w:rPr>
                <w:rFonts w:cs="Arial"/>
                <w:sz w:val="14"/>
                <w:szCs w:val="14"/>
              </w:rPr>
              <w:t>Current Assets</w:t>
            </w:r>
          </w:p>
        </w:tc>
        <w:tc>
          <w:tcPr>
            <w:tcW w:w="3260" w:type="dxa"/>
            <w:tcBorders>
              <w:top w:val="single" w:sz="2" w:space="0" w:color="1F4E79" w:themeColor="accent1" w:themeShade="80"/>
              <w:left w:val="nil"/>
              <w:bottom w:val="nil"/>
              <w:right w:val="nil"/>
            </w:tcBorders>
            <w:shd w:val="clear" w:color="auto" w:fill="auto"/>
            <w:vAlign w:val="center"/>
          </w:tcPr>
          <w:p w14:paraId="53A6D793" w14:textId="70AA40ED" w:rsidR="00D2372E" w:rsidRPr="002A34F5" w:rsidRDefault="00D2372E" w:rsidP="00D2372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b/>
                <w:bCs/>
                <w:sz w:val="14"/>
                <w:szCs w:val="14"/>
                <w:highlight w:val="yellow"/>
              </w:rPr>
            </w:pPr>
            <w:r w:rsidRPr="004C19D2">
              <w:rPr>
                <w:rFonts w:cs="Arial"/>
                <w:b/>
                <w:bCs/>
                <w:color w:val="000000"/>
                <w:sz w:val="14"/>
                <w:szCs w:val="14"/>
              </w:rPr>
              <w:t>353</w:t>
            </w:r>
            <w:r>
              <w:rPr>
                <w:rFonts w:cs="Arial"/>
                <w:b/>
                <w:bCs/>
                <w:color w:val="000000"/>
                <w:sz w:val="14"/>
                <w:szCs w:val="14"/>
              </w:rPr>
              <w:t>,</w:t>
            </w:r>
            <w:r w:rsidRPr="004C19D2">
              <w:rPr>
                <w:rFonts w:cs="Arial"/>
                <w:b/>
                <w:bCs/>
                <w:color w:val="000000"/>
                <w:sz w:val="14"/>
                <w:szCs w:val="14"/>
              </w:rPr>
              <w:t>055</w:t>
            </w:r>
            <w:r>
              <w:rPr>
                <w:rFonts w:cs="Arial"/>
                <w:b/>
                <w:bCs/>
                <w:color w:val="000000"/>
                <w:sz w:val="14"/>
                <w:szCs w:val="14"/>
              </w:rPr>
              <w:t>,</w:t>
            </w:r>
            <w:r w:rsidRPr="004C19D2">
              <w:rPr>
                <w:rFonts w:cs="Arial"/>
                <w:b/>
                <w:bCs/>
                <w:color w:val="000000"/>
                <w:sz w:val="14"/>
                <w:szCs w:val="14"/>
              </w:rPr>
              <w:t>985</w:t>
            </w:r>
          </w:p>
        </w:tc>
        <w:tc>
          <w:tcPr>
            <w:tcW w:w="3260" w:type="dxa"/>
            <w:tcBorders>
              <w:top w:val="single" w:sz="2" w:space="0" w:color="1F4E79" w:themeColor="accent1" w:themeShade="80"/>
              <w:left w:val="nil"/>
              <w:bottom w:val="nil"/>
              <w:right w:val="nil"/>
            </w:tcBorders>
            <w:shd w:val="clear" w:color="auto" w:fill="auto"/>
            <w:vAlign w:val="center"/>
          </w:tcPr>
          <w:p w14:paraId="42A8F439" w14:textId="77777777" w:rsidR="00D2372E" w:rsidRPr="002A34F5" w:rsidRDefault="00D2372E" w:rsidP="00D2372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b/>
                <w:bCs/>
                <w:sz w:val="14"/>
                <w:szCs w:val="14"/>
                <w:highlight w:val="yellow"/>
              </w:rPr>
            </w:pPr>
            <w:r w:rsidRPr="00B529D7">
              <w:rPr>
                <w:rFonts w:cs="Arial"/>
                <w:b/>
                <w:bCs/>
                <w:color w:val="000000"/>
                <w:sz w:val="14"/>
                <w:szCs w:val="14"/>
              </w:rPr>
              <w:t>331</w:t>
            </w:r>
            <w:r>
              <w:rPr>
                <w:rFonts w:cs="Arial"/>
                <w:b/>
                <w:bCs/>
                <w:color w:val="000000"/>
                <w:sz w:val="14"/>
                <w:szCs w:val="14"/>
              </w:rPr>
              <w:t>,</w:t>
            </w:r>
            <w:r w:rsidRPr="00B529D7">
              <w:rPr>
                <w:rFonts w:cs="Arial"/>
                <w:b/>
                <w:bCs/>
                <w:color w:val="000000"/>
                <w:sz w:val="14"/>
                <w:szCs w:val="14"/>
              </w:rPr>
              <w:t>038</w:t>
            </w:r>
            <w:r>
              <w:rPr>
                <w:rFonts w:cs="Arial"/>
                <w:b/>
                <w:bCs/>
                <w:color w:val="000000"/>
                <w:sz w:val="14"/>
                <w:szCs w:val="14"/>
              </w:rPr>
              <w:t>,</w:t>
            </w:r>
            <w:r w:rsidRPr="00B529D7">
              <w:rPr>
                <w:rFonts w:cs="Arial"/>
                <w:b/>
                <w:bCs/>
                <w:color w:val="000000"/>
                <w:sz w:val="14"/>
                <w:szCs w:val="14"/>
              </w:rPr>
              <w:t>326</w:t>
            </w:r>
          </w:p>
        </w:tc>
      </w:tr>
      <w:tr w:rsidR="00D2372E" w:rsidRPr="00D36690" w14:paraId="1A710B6B" w14:textId="77777777" w:rsidTr="008B7E1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hideMark/>
          </w:tcPr>
          <w:p w14:paraId="3F901D41" w14:textId="77777777" w:rsidR="00D2372E" w:rsidRPr="00D36690" w:rsidRDefault="00D2372E" w:rsidP="00D2372E">
            <w:pPr>
              <w:keepNext/>
              <w:keepLines/>
              <w:ind w:left="113"/>
              <w:rPr>
                <w:rFonts w:eastAsia="Times New Roman" w:cs="Arial"/>
                <w:b w:val="0"/>
                <w:bCs w:val="0"/>
                <w:spacing w:val="-2"/>
                <w:sz w:val="14"/>
                <w:szCs w:val="14"/>
                <w:highlight w:val="yellow"/>
              </w:rPr>
            </w:pPr>
            <w:r>
              <w:rPr>
                <w:rFonts w:cs="Arial"/>
                <w:b w:val="0"/>
                <w:bCs w:val="0"/>
                <w:sz w:val="14"/>
                <w:szCs w:val="14"/>
              </w:rPr>
              <w:t>Cash and cash equivalents</w:t>
            </w:r>
          </w:p>
        </w:tc>
        <w:tc>
          <w:tcPr>
            <w:tcW w:w="3260" w:type="dxa"/>
            <w:tcBorders>
              <w:top w:val="nil"/>
              <w:left w:val="nil"/>
              <w:bottom w:val="nil"/>
              <w:right w:val="nil"/>
            </w:tcBorders>
            <w:shd w:val="clear" w:color="auto" w:fill="auto"/>
            <w:vAlign w:val="center"/>
          </w:tcPr>
          <w:p w14:paraId="16BF131E" w14:textId="12AD58CB" w:rsidR="00D2372E" w:rsidRPr="000A161C" w:rsidRDefault="00D2372E" w:rsidP="00D2372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sz w:val="14"/>
                <w:szCs w:val="14"/>
                <w:highlight w:val="yellow"/>
              </w:rPr>
            </w:pPr>
            <w:r w:rsidRPr="004C19D2">
              <w:rPr>
                <w:rFonts w:cs="Arial"/>
                <w:color w:val="000000"/>
                <w:sz w:val="14"/>
                <w:szCs w:val="14"/>
              </w:rPr>
              <w:t>50</w:t>
            </w:r>
            <w:r>
              <w:rPr>
                <w:rFonts w:cs="Arial"/>
                <w:color w:val="000000"/>
                <w:sz w:val="14"/>
                <w:szCs w:val="14"/>
              </w:rPr>
              <w:t>,</w:t>
            </w:r>
            <w:r w:rsidRPr="004C19D2">
              <w:rPr>
                <w:rFonts w:cs="Arial"/>
                <w:color w:val="000000"/>
                <w:sz w:val="14"/>
                <w:szCs w:val="14"/>
              </w:rPr>
              <w:t>170</w:t>
            </w:r>
          </w:p>
        </w:tc>
        <w:tc>
          <w:tcPr>
            <w:tcW w:w="3260" w:type="dxa"/>
            <w:tcBorders>
              <w:top w:val="nil"/>
              <w:left w:val="nil"/>
              <w:bottom w:val="nil"/>
              <w:right w:val="nil"/>
            </w:tcBorders>
            <w:shd w:val="clear" w:color="auto" w:fill="auto"/>
            <w:vAlign w:val="center"/>
          </w:tcPr>
          <w:p w14:paraId="3B4D2AD5" w14:textId="77777777" w:rsidR="00D2372E" w:rsidRPr="002A34F5" w:rsidRDefault="00D2372E" w:rsidP="00D2372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sz w:val="14"/>
                <w:szCs w:val="14"/>
                <w:highlight w:val="yellow"/>
              </w:rPr>
            </w:pPr>
            <w:r w:rsidRPr="00B529D7">
              <w:rPr>
                <w:rFonts w:cs="Arial"/>
                <w:color w:val="000000"/>
                <w:sz w:val="14"/>
                <w:szCs w:val="14"/>
              </w:rPr>
              <w:t>35</w:t>
            </w:r>
            <w:r>
              <w:rPr>
                <w:rFonts w:cs="Arial"/>
                <w:color w:val="000000"/>
                <w:sz w:val="14"/>
                <w:szCs w:val="14"/>
              </w:rPr>
              <w:t>,</w:t>
            </w:r>
            <w:r w:rsidRPr="00B529D7">
              <w:rPr>
                <w:rFonts w:cs="Arial"/>
                <w:color w:val="000000"/>
                <w:sz w:val="14"/>
                <w:szCs w:val="14"/>
              </w:rPr>
              <w:t>010</w:t>
            </w:r>
          </w:p>
        </w:tc>
      </w:tr>
      <w:tr w:rsidR="00D2372E" w:rsidRPr="00D36690" w14:paraId="66B4B7F3"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7DCFB9C5" w14:textId="77777777" w:rsidR="00D2372E" w:rsidRPr="00D36690" w:rsidRDefault="00D2372E" w:rsidP="00D2372E">
            <w:pPr>
              <w:keepNext/>
              <w:keepLines/>
              <w:ind w:left="113"/>
              <w:rPr>
                <w:rFonts w:cs="Arial"/>
                <w:b w:val="0"/>
                <w:bCs w:val="0"/>
                <w:sz w:val="14"/>
                <w:szCs w:val="14"/>
              </w:rPr>
            </w:pPr>
            <w:r>
              <w:rPr>
                <w:rFonts w:cs="Arial"/>
                <w:b w:val="0"/>
                <w:bCs w:val="0"/>
                <w:sz w:val="14"/>
                <w:szCs w:val="14"/>
              </w:rPr>
              <w:t>Financial Instruments</w:t>
            </w:r>
          </w:p>
        </w:tc>
        <w:tc>
          <w:tcPr>
            <w:tcW w:w="3260" w:type="dxa"/>
            <w:tcBorders>
              <w:top w:val="nil"/>
              <w:left w:val="nil"/>
              <w:bottom w:val="nil"/>
              <w:right w:val="nil"/>
            </w:tcBorders>
            <w:shd w:val="clear" w:color="auto" w:fill="auto"/>
            <w:vAlign w:val="center"/>
          </w:tcPr>
          <w:p w14:paraId="2516B9B9" w14:textId="1F0611B0" w:rsidR="00D2372E" w:rsidRPr="000A161C" w:rsidRDefault="00D2372E" w:rsidP="00D2372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highlight w:val="yellow"/>
              </w:rPr>
            </w:pPr>
            <w:r w:rsidRPr="004C19D2">
              <w:rPr>
                <w:rFonts w:cs="Arial"/>
                <w:color w:val="000000"/>
                <w:sz w:val="14"/>
                <w:szCs w:val="14"/>
              </w:rPr>
              <w:t>352</w:t>
            </w:r>
            <w:r>
              <w:rPr>
                <w:rFonts w:cs="Arial"/>
                <w:color w:val="000000"/>
                <w:sz w:val="14"/>
                <w:szCs w:val="14"/>
              </w:rPr>
              <w:t>,</w:t>
            </w:r>
            <w:r w:rsidRPr="004C19D2">
              <w:rPr>
                <w:rFonts w:cs="Arial"/>
                <w:color w:val="000000"/>
                <w:sz w:val="14"/>
                <w:szCs w:val="14"/>
              </w:rPr>
              <w:t>834</w:t>
            </w:r>
            <w:r>
              <w:rPr>
                <w:rFonts w:cs="Arial"/>
                <w:color w:val="000000"/>
                <w:sz w:val="14"/>
                <w:szCs w:val="14"/>
              </w:rPr>
              <w:t>,</w:t>
            </w:r>
            <w:r w:rsidRPr="004C19D2">
              <w:rPr>
                <w:rFonts w:cs="Arial"/>
                <w:color w:val="000000"/>
                <w:sz w:val="14"/>
                <w:szCs w:val="14"/>
              </w:rPr>
              <w:t>632</w:t>
            </w:r>
          </w:p>
        </w:tc>
        <w:tc>
          <w:tcPr>
            <w:tcW w:w="3260" w:type="dxa"/>
            <w:tcBorders>
              <w:top w:val="nil"/>
              <w:left w:val="nil"/>
              <w:bottom w:val="nil"/>
              <w:right w:val="nil"/>
            </w:tcBorders>
            <w:shd w:val="clear" w:color="auto" w:fill="auto"/>
            <w:vAlign w:val="center"/>
          </w:tcPr>
          <w:p w14:paraId="73DFAB1F" w14:textId="77777777" w:rsidR="00D2372E" w:rsidRPr="002A34F5" w:rsidRDefault="00D2372E" w:rsidP="00D2372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highlight w:val="yellow"/>
              </w:rPr>
            </w:pPr>
            <w:r w:rsidRPr="00B529D7">
              <w:rPr>
                <w:rFonts w:cs="Arial"/>
                <w:color w:val="000000"/>
                <w:sz w:val="14"/>
                <w:szCs w:val="14"/>
              </w:rPr>
              <w:t>330</w:t>
            </w:r>
            <w:r>
              <w:rPr>
                <w:rFonts w:cs="Arial"/>
                <w:color w:val="000000"/>
                <w:sz w:val="14"/>
                <w:szCs w:val="14"/>
              </w:rPr>
              <w:t>,</w:t>
            </w:r>
            <w:r w:rsidRPr="00B529D7">
              <w:rPr>
                <w:rFonts w:cs="Arial"/>
                <w:color w:val="000000"/>
                <w:sz w:val="14"/>
                <w:szCs w:val="14"/>
              </w:rPr>
              <w:t>849</w:t>
            </w:r>
            <w:r>
              <w:rPr>
                <w:rFonts w:cs="Arial"/>
                <w:color w:val="000000"/>
                <w:sz w:val="14"/>
                <w:szCs w:val="14"/>
              </w:rPr>
              <w:t>,</w:t>
            </w:r>
            <w:r w:rsidRPr="00B529D7">
              <w:rPr>
                <w:rFonts w:cs="Arial"/>
                <w:color w:val="000000"/>
                <w:sz w:val="14"/>
                <w:szCs w:val="14"/>
              </w:rPr>
              <w:t>804</w:t>
            </w:r>
          </w:p>
        </w:tc>
      </w:tr>
      <w:tr w:rsidR="00D2372E" w:rsidRPr="00D36690" w14:paraId="5468163A" w14:textId="77777777" w:rsidTr="008B7E1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3E01D080" w14:textId="77777777" w:rsidR="00D2372E" w:rsidRPr="00D36690" w:rsidRDefault="00D2372E" w:rsidP="00D2372E">
            <w:pPr>
              <w:keepNext/>
              <w:keepLines/>
              <w:ind w:left="113"/>
              <w:rPr>
                <w:rFonts w:cs="Arial"/>
                <w:b w:val="0"/>
                <w:bCs w:val="0"/>
                <w:sz w:val="14"/>
                <w:szCs w:val="14"/>
              </w:rPr>
            </w:pPr>
            <w:r>
              <w:rPr>
                <w:rFonts w:cs="Arial"/>
                <w:b w:val="0"/>
                <w:bCs w:val="0"/>
                <w:sz w:val="14"/>
                <w:szCs w:val="14"/>
              </w:rPr>
              <w:t>C</w:t>
            </w:r>
            <w:r w:rsidRPr="00FC4DCD">
              <w:rPr>
                <w:rFonts w:cs="Arial"/>
                <w:b w:val="0"/>
                <w:bCs w:val="0"/>
                <w:sz w:val="14"/>
                <w:szCs w:val="14"/>
              </w:rPr>
              <w:t>redit from operations</w:t>
            </w:r>
          </w:p>
        </w:tc>
        <w:tc>
          <w:tcPr>
            <w:tcW w:w="3260" w:type="dxa"/>
            <w:tcBorders>
              <w:top w:val="nil"/>
              <w:left w:val="nil"/>
              <w:bottom w:val="nil"/>
              <w:right w:val="nil"/>
            </w:tcBorders>
            <w:shd w:val="clear" w:color="auto" w:fill="auto"/>
            <w:vAlign w:val="center"/>
          </w:tcPr>
          <w:p w14:paraId="66A89591" w14:textId="4E116A68" w:rsidR="00D2372E" w:rsidRPr="000A161C" w:rsidRDefault="00D2372E" w:rsidP="00D2372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sz w:val="14"/>
                <w:szCs w:val="14"/>
                <w:highlight w:val="yellow"/>
              </w:rPr>
            </w:pPr>
            <w:r w:rsidRPr="004C19D2">
              <w:rPr>
                <w:rFonts w:cs="Arial"/>
                <w:color w:val="000000"/>
                <w:sz w:val="14"/>
                <w:szCs w:val="14"/>
              </w:rPr>
              <w:t>13</w:t>
            </w:r>
            <w:r>
              <w:rPr>
                <w:rFonts w:cs="Arial"/>
                <w:color w:val="000000"/>
                <w:sz w:val="14"/>
                <w:szCs w:val="14"/>
              </w:rPr>
              <w:t>,</w:t>
            </w:r>
            <w:r w:rsidRPr="004C19D2">
              <w:rPr>
                <w:rFonts w:cs="Arial"/>
                <w:color w:val="000000"/>
                <w:sz w:val="14"/>
                <w:szCs w:val="14"/>
              </w:rPr>
              <w:t>552</w:t>
            </w:r>
          </w:p>
        </w:tc>
        <w:tc>
          <w:tcPr>
            <w:tcW w:w="3260" w:type="dxa"/>
            <w:tcBorders>
              <w:top w:val="nil"/>
              <w:left w:val="nil"/>
              <w:bottom w:val="nil"/>
              <w:right w:val="nil"/>
            </w:tcBorders>
            <w:shd w:val="clear" w:color="auto" w:fill="auto"/>
            <w:vAlign w:val="center"/>
          </w:tcPr>
          <w:p w14:paraId="6C7EB80F" w14:textId="77777777" w:rsidR="00D2372E" w:rsidRPr="002A34F5" w:rsidRDefault="00D2372E" w:rsidP="00D2372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sz w:val="14"/>
                <w:szCs w:val="14"/>
                <w:highlight w:val="yellow"/>
              </w:rPr>
            </w:pPr>
            <w:r w:rsidRPr="00B529D7">
              <w:rPr>
                <w:rFonts w:cs="Arial"/>
                <w:color w:val="000000"/>
                <w:sz w:val="14"/>
                <w:szCs w:val="14"/>
              </w:rPr>
              <w:t>2</w:t>
            </w:r>
            <w:r>
              <w:rPr>
                <w:rFonts w:cs="Arial"/>
                <w:color w:val="000000"/>
                <w:sz w:val="14"/>
                <w:szCs w:val="14"/>
              </w:rPr>
              <w:t>,</w:t>
            </w:r>
            <w:r w:rsidRPr="00B529D7">
              <w:rPr>
                <w:rFonts w:cs="Arial"/>
                <w:color w:val="000000"/>
                <w:sz w:val="14"/>
                <w:szCs w:val="14"/>
              </w:rPr>
              <w:t>156</w:t>
            </w:r>
          </w:p>
        </w:tc>
      </w:tr>
      <w:tr w:rsidR="00D2372E" w:rsidRPr="00D36690" w14:paraId="5D43D306"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382995CC" w14:textId="77777777" w:rsidR="00D2372E" w:rsidRPr="00D36690" w:rsidRDefault="00D2372E" w:rsidP="00D2372E">
            <w:pPr>
              <w:keepNext/>
              <w:keepLines/>
              <w:ind w:left="113"/>
              <w:rPr>
                <w:rFonts w:cs="Arial"/>
                <w:b w:val="0"/>
                <w:bCs w:val="0"/>
                <w:sz w:val="14"/>
                <w:szCs w:val="14"/>
              </w:rPr>
            </w:pPr>
            <w:r>
              <w:rPr>
                <w:rFonts w:cs="Arial"/>
                <w:b w:val="0"/>
                <w:bCs w:val="0"/>
                <w:sz w:val="14"/>
                <w:szCs w:val="14"/>
              </w:rPr>
              <w:t>Other assets</w:t>
            </w:r>
          </w:p>
        </w:tc>
        <w:tc>
          <w:tcPr>
            <w:tcW w:w="3260" w:type="dxa"/>
            <w:tcBorders>
              <w:top w:val="nil"/>
              <w:left w:val="nil"/>
              <w:bottom w:val="nil"/>
              <w:right w:val="nil"/>
            </w:tcBorders>
            <w:shd w:val="clear" w:color="auto" w:fill="auto"/>
            <w:vAlign w:val="center"/>
          </w:tcPr>
          <w:p w14:paraId="2E648E13" w14:textId="6B8D7F29" w:rsidR="00D2372E" w:rsidRPr="000A161C" w:rsidRDefault="00D2372E" w:rsidP="00D2372E">
            <w:pPr>
              <w:keepNext/>
              <w:keepLines/>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highlight w:val="yellow"/>
              </w:rPr>
            </w:pPr>
            <w:r w:rsidRPr="004C19D2">
              <w:rPr>
                <w:rFonts w:cs="Arial"/>
                <w:color w:val="000000"/>
                <w:sz w:val="14"/>
                <w:szCs w:val="14"/>
              </w:rPr>
              <w:t>157</w:t>
            </w:r>
            <w:r>
              <w:rPr>
                <w:rFonts w:cs="Arial"/>
                <w:color w:val="000000"/>
                <w:sz w:val="14"/>
                <w:szCs w:val="14"/>
              </w:rPr>
              <w:t>,</w:t>
            </w:r>
            <w:r w:rsidRPr="004C19D2">
              <w:rPr>
                <w:rFonts w:cs="Arial"/>
                <w:color w:val="000000"/>
                <w:sz w:val="14"/>
                <w:szCs w:val="14"/>
              </w:rPr>
              <w:t>631</w:t>
            </w:r>
          </w:p>
        </w:tc>
        <w:tc>
          <w:tcPr>
            <w:tcW w:w="3260" w:type="dxa"/>
            <w:tcBorders>
              <w:top w:val="nil"/>
              <w:left w:val="nil"/>
              <w:bottom w:val="nil"/>
              <w:right w:val="nil"/>
            </w:tcBorders>
            <w:shd w:val="clear" w:color="auto" w:fill="auto"/>
            <w:vAlign w:val="center"/>
          </w:tcPr>
          <w:p w14:paraId="62AB3602" w14:textId="77777777" w:rsidR="00D2372E" w:rsidRPr="002A34F5" w:rsidRDefault="00D2372E" w:rsidP="00D2372E">
            <w:pPr>
              <w:keepNext/>
              <w:keepLines/>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highlight w:val="yellow"/>
              </w:rPr>
            </w:pPr>
            <w:r w:rsidRPr="00B529D7">
              <w:rPr>
                <w:rFonts w:cs="Arial"/>
                <w:color w:val="000000"/>
                <w:sz w:val="14"/>
                <w:szCs w:val="14"/>
              </w:rPr>
              <w:t>151</w:t>
            </w:r>
            <w:r>
              <w:rPr>
                <w:rFonts w:cs="Arial"/>
                <w:color w:val="000000"/>
                <w:sz w:val="14"/>
                <w:szCs w:val="14"/>
              </w:rPr>
              <w:t>,</w:t>
            </w:r>
            <w:r w:rsidRPr="00B529D7">
              <w:rPr>
                <w:rFonts w:cs="Arial"/>
                <w:color w:val="000000"/>
                <w:sz w:val="14"/>
                <w:szCs w:val="14"/>
              </w:rPr>
              <w:t>356</w:t>
            </w:r>
          </w:p>
        </w:tc>
      </w:tr>
      <w:tr w:rsidR="00D2372E" w:rsidRPr="002A34F5" w14:paraId="7AA07E4A" w14:textId="77777777" w:rsidTr="008B7E1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0E038764" w14:textId="77777777" w:rsidR="00D2372E" w:rsidRPr="002A34F5" w:rsidRDefault="00D2372E" w:rsidP="00D2372E">
            <w:pPr>
              <w:keepNext/>
              <w:keepLines/>
              <w:rPr>
                <w:rFonts w:cs="Arial"/>
                <w:color w:val="000000"/>
                <w:sz w:val="14"/>
                <w:szCs w:val="14"/>
                <w:highlight w:val="yellow"/>
              </w:rPr>
            </w:pPr>
            <w:r>
              <w:rPr>
                <w:rFonts w:cs="Arial"/>
                <w:sz w:val="14"/>
                <w:szCs w:val="14"/>
              </w:rPr>
              <w:t>Non-current assets</w:t>
            </w:r>
          </w:p>
        </w:tc>
        <w:tc>
          <w:tcPr>
            <w:tcW w:w="3260" w:type="dxa"/>
            <w:tcBorders>
              <w:top w:val="nil"/>
              <w:left w:val="nil"/>
              <w:bottom w:val="nil"/>
              <w:right w:val="nil"/>
            </w:tcBorders>
            <w:shd w:val="clear" w:color="auto" w:fill="auto"/>
            <w:vAlign w:val="center"/>
          </w:tcPr>
          <w:p w14:paraId="386DC49F" w14:textId="6D9F2E31" w:rsidR="00D2372E" w:rsidRPr="002A34F5" w:rsidRDefault="00D2372E" w:rsidP="00D2372E">
            <w:pPr>
              <w:keepNext/>
              <w:keepLines/>
              <w:jc w:val="right"/>
              <w:cnfStyle w:val="000000010000" w:firstRow="0" w:lastRow="0" w:firstColumn="0" w:lastColumn="0" w:oddVBand="0" w:evenVBand="0" w:oddHBand="0" w:evenHBand="1" w:firstRowFirstColumn="0" w:firstRowLastColumn="0" w:lastRowFirstColumn="0" w:lastRowLastColumn="0"/>
              <w:rPr>
                <w:rFonts w:cs="Arial"/>
                <w:b/>
                <w:bCs/>
                <w:color w:val="000000"/>
                <w:sz w:val="14"/>
                <w:szCs w:val="14"/>
                <w:highlight w:val="yellow"/>
              </w:rPr>
            </w:pPr>
            <w:r w:rsidRPr="004C19D2">
              <w:rPr>
                <w:rFonts w:cs="Arial"/>
                <w:b/>
                <w:bCs/>
                <w:color w:val="000000"/>
                <w:sz w:val="14"/>
                <w:szCs w:val="14"/>
              </w:rPr>
              <w:t>19</w:t>
            </w:r>
            <w:r>
              <w:rPr>
                <w:rFonts w:cs="Arial"/>
                <w:b/>
                <w:bCs/>
                <w:color w:val="000000"/>
                <w:sz w:val="14"/>
                <w:szCs w:val="14"/>
              </w:rPr>
              <w:t>,</w:t>
            </w:r>
            <w:r w:rsidRPr="004C19D2">
              <w:rPr>
                <w:rFonts w:cs="Arial"/>
                <w:b/>
                <w:bCs/>
                <w:color w:val="000000"/>
                <w:sz w:val="14"/>
                <w:szCs w:val="14"/>
              </w:rPr>
              <w:t>254</w:t>
            </w:r>
            <w:r>
              <w:rPr>
                <w:rFonts w:cs="Arial"/>
                <w:b/>
                <w:bCs/>
                <w:color w:val="000000"/>
                <w:sz w:val="14"/>
                <w:szCs w:val="14"/>
              </w:rPr>
              <w:t>,</w:t>
            </w:r>
            <w:r w:rsidRPr="004C19D2">
              <w:rPr>
                <w:rFonts w:cs="Arial"/>
                <w:b/>
                <w:bCs/>
                <w:color w:val="000000"/>
                <w:sz w:val="14"/>
                <w:szCs w:val="14"/>
              </w:rPr>
              <w:t>788</w:t>
            </w:r>
          </w:p>
        </w:tc>
        <w:tc>
          <w:tcPr>
            <w:tcW w:w="3260" w:type="dxa"/>
            <w:tcBorders>
              <w:top w:val="nil"/>
              <w:left w:val="nil"/>
              <w:bottom w:val="nil"/>
              <w:right w:val="nil"/>
            </w:tcBorders>
            <w:shd w:val="clear" w:color="auto" w:fill="auto"/>
            <w:vAlign w:val="center"/>
          </w:tcPr>
          <w:p w14:paraId="661CD190" w14:textId="77777777" w:rsidR="00D2372E" w:rsidRPr="002A34F5" w:rsidRDefault="00D2372E" w:rsidP="00D2372E">
            <w:pPr>
              <w:keepNext/>
              <w:keepLines/>
              <w:jc w:val="right"/>
              <w:cnfStyle w:val="000000010000" w:firstRow="0" w:lastRow="0" w:firstColumn="0" w:lastColumn="0" w:oddVBand="0" w:evenVBand="0" w:oddHBand="0" w:evenHBand="1" w:firstRowFirstColumn="0" w:firstRowLastColumn="0" w:lastRowFirstColumn="0" w:lastRowLastColumn="0"/>
              <w:rPr>
                <w:rFonts w:cs="Arial"/>
                <w:b/>
                <w:bCs/>
                <w:color w:val="000000"/>
                <w:sz w:val="14"/>
                <w:szCs w:val="14"/>
                <w:highlight w:val="yellow"/>
              </w:rPr>
            </w:pPr>
            <w:r w:rsidRPr="00B529D7">
              <w:rPr>
                <w:rFonts w:cs="Arial"/>
                <w:b/>
                <w:bCs/>
                <w:color w:val="000000"/>
                <w:sz w:val="14"/>
                <w:szCs w:val="14"/>
              </w:rPr>
              <w:t>18</w:t>
            </w:r>
            <w:r>
              <w:rPr>
                <w:rFonts w:cs="Arial"/>
                <w:b/>
                <w:bCs/>
                <w:color w:val="000000"/>
                <w:sz w:val="14"/>
                <w:szCs w:val="14"/>
              </w:rPr>
              <w:t>,</w:t>
            </w:r>
            <w:r w:rsidRPr="00B529D7">
              <w:rPr>
                <w:rFonts w:cs="Arial"/>
                <w:b/>
                <w:bCs/>
                <w:color w:val="000000"/>
                <w:sz w:val="14"/>
                <w:szCs w:val="14"/>
              </w:rPr>
              <w:t>745</w:t>
            </w:r>
            <w:r>
              <w:rPr>
                <w:rFonts w:cs="Arial"/>
                <w:b/>
                <w:bCs/>
                <w:color w:val="000000"/>
                <w:sz w:val="14"/>
                <w:szCs w:val="14"/>
              </w:rPr>
              <w:t>,</w:t>
            </w:r>
            <w:r w:rsidRPr="00B529D7">
              <w:rPr>
                <w:rFonts w:cs="Arial"/>
                <w:b/>
                <w:bCs/>
                <w:color w:val="000000"/>
                <w:sz w:val="14"/>
                <w:szCs w:val="14"/>
              </w:rPr>
              <w:t>632</w:t>
            </w:r>
          </w:p>
        </w:tc>
      </w:tr>
      <w:tr w:rsidR="00D2372E" w:rsidRPr="00D36690" w14:paraId="753F445B"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7A19DC2F" w14:textId="77777777" w:rsidR="00D2372E" w:rsidRPr="00D36690" w:rsidRDefault="00D2372E" w:rsidP="00D2372E">
            <w:pPr>
              <w:keepNext/>
              <w:keepLines/>
              <w:ind w:left="113"/>
              <w:rPr>
                <w:rFonts w:cs="Arial"/>
                <w:b w:val="0"/>
                <w:bCs w:val="0"/>
                <w:sz w:val="14"/>
                <w:szCs w:val="14"/>
              </w:rPr>
            </w:pPr>
            <w:r>
              <w:rPr>
                <w:rFonts w:cs="Arial"/>
                <w:b w:val="0"/>
                <w:bCs w:val="0"/>
                <w:sz w:val="14"/>
                <w:szCs w:val="14"/>
              </w:rPr>
              <w:t>Financial Instruments</w:t>
            </w:r>
          </w:p>
        </w:tc>
        <w:tc>
          <w:tcPr>
            <w:tcW w:w="3260" w:type="dxa"/>
            <w:tcBorders>
              <w:top w:val="nil"/>
              <w:left w:val="nil"/>
              <w:bottom w:val="nil"/>
              <w:right w:val="nil"/>
            </w:tcBorders>
            <w:shd w:val="clear" w:color="auto" w:fill="auto"/>
            <w:vAlign w:val="center"/>
          </w:tcPr>
          <w:p w14:paraId="4D20E84A" w14:textId="7304BCF9" w:rsidR="00D2372E" w:rsidRPr="000A161C" w:rsidRDefault="00D2372E" w:rsidP="00D2372E">
            <w:pPr>
              <w:keepNext/>
              <w:keepLines/>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highlight w:val="yellow"/>
              </w:rPr>
            </w:pPr>
            <w:r w:rsidRPr="004C19D2">
              <w:rPr>
                <w:rFonts w:cs="Arial"/>
                <w:color w:val="000000"/>
                <w:sz w:val="14"/>
                <w:szCs w:val="14"/>
              </w:rPr>
              <w:t>18</w:t>
            </w:r>
            <w:r>
              <w:rPr>
                <w:rFonts w:cs="Arial"/>
                <w:color w:val="000000"/>
                <w:sz w:val="14"/>
                <w:szCs w:val="14"/>
              </w:rPr>
              <w:t>,</w:t>
            </w:r>
            <w:r w:rsidRPr="004C19D2">
              <w:rPr>
                <w:rFonts w:cs="Arial"/>
                <w:color w:val="000000"/>
                <w:sz w:val="14"/>
                <w:szCs w:val="14"/>
              </w:rPr>
              <w:t>955</w:t>
            </w:r>
            <w:r>
              <w:rPr>
                <w:rFonts w:cs="Arial"/>
                <w:color w:val="000000"/>
                <w:sz w:val="14"/>
                <w:szCs w:val="14"/>
              </w:rPr>
              <w:t>,</w:t>
            </w:r>
            <w:r w:rsidRPr="004C19D2">
              <w:rPr>
                <w:rFonts w:cs="Arial"/>
                <w:color w:val="000000"/>
                <w:sz w:val="14"/>
                <w:szCs w:val="14"/>
              </w:rPr>
              <w:t>468</w:t>
            </w:r>
          </w:p>
        </w:tc>
        <w:tc>
          <w:tcPr>
            <w:tcW w:w="3260" w:type="dxa"/>
            <w:tcBorders>
              <w:top w:val="nil"/>
              <w:left w:val="nil"/>
              <w:bottom w:val="nil"/>
              <w:right w:val="nil"/>
            </w:tcBorders>
            <w:shd w:val="clear" w:color="auto" w:fill="auto"/>
            <w:vAlign w:val="center"/>
          </w:tcPr>
          <w:p w14:paraId="027C4A69" w14:textId="77777777" w:rsidR="00D2372E" w:rsidRPr="002A34F5" w:rsidRDefault="00D2372E" w:rsidP="00D2372E">
            <w:pPr>
              <w:keepNext/>
              <w:keepLines/>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highlight w:val="yellow"/>
              </w:rPr>
            </w:pPr>
            <w:r w:rsidRPr="00B529D7">
              <w:rPr>
                <w:rFonts w:cs="Arial"/>
                <w:color w:val="000000"/>
                <w:sz w:val="14"/>
                <w:szCs w:val="14"/>
              </w:rPr>
              <w:t>18</w:t>
            </w:r>
            <w:r>
              <w:rPr>
                <w:rFonts w:cs="Arial"/>
                <w:color w:val="000000"/>
                <w:sz w:val="14"/>
                <w:szCs w:val="14"/>
              </w:rPr>
              <w:t>,</w:t>
            </w:r>
            <w:r w:rsidRPr="00B529D7">
              <w:rPr>
                <w:rFonts w:cs="Arial"/>
                <w:color w:val="000000"/>
                <w:sz w:val="14"/>
                <w:szCs w:val="14"/>
              </w:rPr>
              <w:t>404</w:t>
            </w:r>
            <w:r>
              <w:rPr>
                <w:rFonts w:cs="Arial"/>
                <w:color w:val="000000"/>
                <w:sz w:val="14"/>
                <w:szCs w:val="14"/>
              </w:rPr>
              <w:t>,</w:t>
            </w:r>
            <w:r w:rsidRPr="00B529D7">
              <w:rPr>
                <w:rFonts w:cs="Arial"/>
                <w:color w:val="000000"/>
                <w:sz w:val="14"/>
                <w:szCs w:val="14"/>
              </w:rPr>
              <w:t>469</w:t>
            </w:r>
          </w:p>
        </w:tc>
      </w:tr>
      <w:tr w:rsidR="00D2372E" w:rsidRPr="00D36690" w14:paraId="6778FEA0" w14:textId="77777777" w:rsidTr="008B7E1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172E4954" w14:textId="77777777" w:rsidR="00D2372E" w:rsidRPr="00D36690" w:rsidRDefault="00D2372E" w:rsidP="00D2372E">
            <w:pPr>
              <w:keepNext/>
              <w:keepLines/>
              <w:ind w:left="113"/>
              <w:rPr>
                <w:rFonts w:cs="Arial"/>
                <w:b w:val="0"/>
                <w:bCs w:val="0"/>
                <w:sz w:val="14"/>
                <w:szCs w:val="14"/>
              </w:rPr>
            </w:pPr>
            <w:r>
              <w:rPr>
                <w:rFonts w:cs="Arial"/>
                <w:b w:val="0"/>
                <w:bCs w:val="0"/>
                <w:sz w:val="14"/>
                <w:szCs w:val="14"/>
              </w:rPr>
              <w:t>C</w:t>
            </w:r>
            <w:r w:rsidRPr="00FC4DCD">
              <w:rPr>
                <w:rFonts w:cs="Arial"/>
                <w:b w:val="0"/>
                <w:bCs w:val="0"/>
                <w:sz w:val="14"/>
                <w:szCs w:val="14"/>
              </w:rPr>
              <w:t>redit from operations</w:t>
            </w:r>
          </w:p>
        </w:tc>
        <w:tc>
          <w:tcPr>
            <w:tcW w:w="3260" w:type="dxa"/>
            <w:tcBorders>
              <w:top w:val="nil"/>
              <w:left w:val="nil"/>
              <w:bottom w:val="nil"/>
              <w:right w:val="nil"/>
            </w:tcBorders>
            <w:shd w:val="clear" w:color="auto" w:fill="auto"/>
            <w:vAlign w:val="center"/>
          </w:tcPr>
          <w:p w14:paraId="65BFE611" w14:textId="06522B40" w:rsidR="00D2372E" w:rsidRPr="000A161C" w:rsidRDefault="00D2372E" w:rsidP="00D2372E">
            <w:pPr>
              <w:keepNext/>
              <w:keepLines/>
              <w:jc w:val="right"/>
              <w:cnfStyle w:val="000000010000" w:firstRow="0" w:lastRow="0" w:firstColumn="0" w:lastColumn="0" w:oddVBand="0" w:evenVBand="0" w:oddHBand="0" w:evenHBand="1" w:firstRowFirstColumn="0" w:firstRowLastColumn="0" w:lastRowFirstColumn="0" w:lastRowLastColumn="0"/>
              <w:rPr>
                <w:rFonts w:cs="Arial"/>
                <w:color w:val="000000"/>
                <w:sz w:val="14"/>
                <w:szCs w:val="14"/>
                <w:highlight w:val="yellow"/>
              </w:rPr>
            </w:pPr>
            <w:r w:rsidRPr="004C19D2">
              <w:rPr>
                <w:rFonts w:cs="Arial"/>
                <w:color w:val="000000"/>
                <w:sz w:val="14"/>
                <w:szCs w:val="14"/>
              </w:rPr>
              <w:t>23</w:t>
            </w:r>
            <w:r>
              <w:rPr>
                <w:rFonts w:cs="Arial"/>
                <w:color w:val="000000"/>
                <w:sz w:val="14"/>
                <w:szCs w:val="14"/>
              </w:rPr>
              <w:t>,</w:t>
            </w:r>
            <w:r w:rsidRPr="004C19D2">
              <w:rPr>
                <w:rFonts w:cs="Arial"/>
                <w:color w:val="000000"/>
                <w:sz w:val="14"/>
                <w:szCs w:val="14"/>
              </w:rPr>
              <w:t>375</w:t>
            </w:r>
          </w:p>
        </w:tc>
        <w:tc>
          <w:tcPr>
            <w:tcW w:w="3260" w:type="dxa"/>
            <w:tcBorders>
              <w:top w:val="nil"/>
              <w:left w:val="nil"/>
              <w:bottom w:val="nil"/>
              <w:right w:val="nil"/>
            </w:tcBorders>
            <w:shd w:val="clear" w:color="auto" w:fill="auto"/>
            <w:vAlign w:val="center"/>
          </w:tcPr>
          <w:p w14:paraId="0DEA101E" w14:textId="77777777" w:rsidR="00D2372E" w:rsidRPr="002A34F5" w:rsidRDefault="00D2372E" w:rsidP="00D2372E">
            <w:pPr>
              <w:keepNext/>
              <w:keepLines/>
              <w:jc w:val="right"/>
              <w:cnfStyle w:val="000000010000" w:firstRow="0" w:lastRow="0" w:firstColumn="0" w:lastColumn="0" w:oddVBand="0" w:evenVBand="0" w:oddHBand="0" w:evenHBand="1" w:firstRowFirstColumn="0" w:firstRowLastColumn="0" w:lastRowFirstColumn="0" w:lastRowLastColumn="0"/>
              <w:rPr>
                <w:rFonts w:cs="Arial"/>
                <w:color w:val="000000"/>
                <w:sz w:val="14"/>
                <w:szCs w:val="14"/>
                <w:highlight w:val="yellow"/>
              </w:rPr>
            </w:pPr>
            <w:r w:rsidRPr="00B529D7">
              <w:rPr>
                <w:rFonts w:cs="Arial"/>
                <w:color w:val="000000"/>
                <w:sz w:val="14"/>
                <w:szCs w:val="14"/>
              </w:rPr>
              <w:t>58</w:t>
            </w:r>
            <w:r>
              <w:rPr>
                <w:rFonts w:cs="Arial"/>
                <w:color w:val="000000"/>
                <w:sz w:val="14"/>
                <w:szCs w:val="14"/>
              </w:rPr>
              <w:t>,</w:t>
            </w:r>
            <w:r w:rsidRPr="00B529D7">
              <w:rPr>
                <w:rFonts w:cs="Arial"/>
                <w:color w:val="000000"/>
                <w:sz w:val="14"/>
                <w:szCs w:val="14"/>
              </w:rPr>
              <w:t>859</w:t>
            </w:r>
          </w:p>
        </w:tc>
      </w:tr>
      <w:tr w:rsidR="00D2372E" w:rsidRPr="00D36690" w14:paraId="7AA9CE9F"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27CD3504" w14:textId="77777777" w:rsidR="00D2372E" w:rsidRPr="00D36690" w:rsidRDefault="00D2372E" w:rsidP="00D2372E">
            <w:pPr>
              <w:keepNext/>
              <w:keepLines/>
              <w:ind w:left="113"/>
              <w:rPr>
                <w:rFonts w:cs="Arial"/>
                <w:b w:val="0"/>
                <w:bCs w:val="0"/>
                <w:sz w:val="14"/>
                <w:szCs w:val="14"/>
              </w:rPr>
            </w:pPr>
            <w:r>
              <w:rPr>
                <w:rFonts w:cs="Arial"/>
                <w:b w:val="0"/>
                <w:bCs w:val="0"/>
                <w:sz w:val="14"/>
                <w:szCs w:val="14"/>
              </w:rPr>
              <w:t>Other assets</w:t>
            </w:r>
          </w:p>
        </w:tc>
        <w:tc>
          <w:tcPr>
            <w:tcW w:w="3260" w:type="dxa"/>
            <w:tcBorders>
              <w:top w:val="nil"/>
              <w:left w:val="nil"/>
              <w:bottom w:val="nil"/>
              <w:right w:val="nil"/>
            </w:tcBorders>
            <w:shd w:val="clear" w:color="auto" w:fill="auto"/>
            <w:vAlign w:val="center"/>
          </w:tcPr>
          <w:p w14:paraId="06779BB8" w14:textId="77636C06" w:rsidR="00D2372E" w:rsidRPr="000A161C" w:rsidRDefault="00D2372E" w:rsidP="00D2372E">
            <w:pPr>
              <w:keepNext/>
              <w:keepLines/>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highlight w:val="yellow"/>
              </w:rPr>
            </w:pPr>
            <w:r w:rsidRPr="004C19D2">
              <w:rPr>
                <w:rFonts w:cs="Arial"/>
                <w:color w:val="000000"/>
                <w:sz w:val="14"/>
                <w:szCs w:val="14"/>
              </w:rPr>
              <w:t>275</w:t>
            </w:r>
            <w:r>
              <w:rPr>
                <w:rFonts w:cs="Arial"/>
                <w:color w:val="000000"/>
                <w:sz w:val="14"/>
                <w:szCs w:val="14"/>
              </w:rPr>
              <w:t>,</w:t>
            </w:r>
            <w:r w:rsidRPr="004C19D2">
              <w:rPr>
                <w:rFonts w:cs="Arial"/>
                <w:color w:val="000000"/>
                <w:sz w:val="14"/>
                <w:szCs w:val="14"/>
              </w:rPr>
              <w:t>945</w:t>
            </w:r>
          </w:p>
        </w:tc>
        <w:tc>
          <w:tcPr>
            <w:tcW w:w="3260" w:type="dxa"/>
            <w:tcBorders>
              <w:top w:val="nil"/>
              <w:left w:val="nil"/>
              <w:bottom w:val="nil"/>
              <w:right w:val="nil"/>
            </w:tcBorders>
            <w:shd w:val="clear" w:color="auto" w:fill="auto"/>
            <w:vAlign w:val="center"/>
          </w:tcPr>
          <w:p w14:paraId="359D9D56" w14:textId="77777777" w:rsidR="00D2372E" w:rsidRPr="002A34F5" w:rsidRDefault="00D2372E" w:rsidP="00D2372E">
            <w:pPr>
              <w:keepNext/>
              <w:keepLines/>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highlight w:val="yellow"/>
              </w:rPr>
            </w:pPr>
            <w:r w:rsidRPr="00B529D7">
              <w:rPr>
                <w:rFonts w:cs="Arial"/>
                <w:color w:val="000000"/>
                <w:sz w:val="14"/>
                <w:szCs w:val="14"/>
              </w:rPr>
              <w:t>282</w:t>
            </w:r>
            <w:r>
              <w:rPr>
                <w:rFonts w:cs="Arial"/>
                <w:color w:val="000000"/>
                <w:sz w:val="14"/>
                <w:szCs w:val="14"/>
              </w:rPr>
              <w:t>,</w:t>
            </w:r>
            <w:r w:rsidRPr="00B529D7">
              <w:rPr>
                <w:rFonts w:cs="Arial"/>
                <w:color w:val="000000"/>
                <w:sz w:val="14"/>
                <w:szCs w:val="14"/>
              </w:rPr>
              <w:t>30</w:t>
            </w:r>
            <w:r>
              <w:rPr>
                <w:rFonts w:cs="Arial"/>
                <w:color w:val="000000"/>
                <w:sz w:val="14"/>
                <w:szCs w:val="14"/>
              </w:rPr>
              <w:t>4</w:t>
            </w:r>
          </w:p>
        </w:tc>
      </w:tr>
      <w:tr w:rsidR="00D2372E" w:rsidRPr="002A34F5" w14:paraId="4C6160E8" w14:textId="77777777" w:rsidTr="008B7E1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5F68968E" w14:textId="77777777" w:rsidR="00D2372E" w:rsidRPr="002A34F5" w:rsidRDefault="00D2372E" w:rsidP="00D2372E">
            <w:pPr>
              <w:keepNext/>
              <w:keepLines/>
              <w:rPr>
                <w:rFonts w:cs="Arial"/>
                <w:color w:val="000000"/>
                <w:sz w:val="14"/>
                <w:szCs w:val="14"/>
                <w:highlight w:val="yellow"/>
              </w:rPr>
            </w:pPr>
            <w:r>
              <w:rPr>
                <w:rFonts w:cs="Arial"/>
                <w:sz w:val="14"/>
                <w:szCs w:val="14"/>
              </w:rPr>
              <w:t>Total Assets</w:t>
            </w:r>
          </w:p>
        </w:tc>
        <w:tc>
          <w:tcPr>
            <w:tcW w:w="3260" w:type="dxa"/>
            <w:tcBorders>
              <w:top w:val="nil"/>
              <w:left w:val="nil"/>
              <w:bottom w:val="nil"/>
              <w:right w:val="nil"/>
            </w:tcBorders>
            <w:shd w:val="clear" w:color="auto" w:fill="auto"/>
            <w:vAlign w:val="center"/>
          </w:tcPr>
          <w:p w14:paraId="4A64BBE6" w14:textId="63D093CF" w:rsidR="00D2372E" w:rsidRPr="002A34F5" w:rsidRDefault="00D2372E" w:rsidP="00D2372E">
            <w:pPr>
              <w:keepNext/>
              <w:keepLines/>
              <w:jc w:val="right"/>
              <w:cnfStyle w:val="000000010000" w:firstRow="0" w:lastRow="0" w:firstColumn="0" w:lastColumn="0" w:oddVBand="0" w:evenVBand="0" w:oddHBand="0" w:evenHBand="1" w:firstRowFirstColumn="0" w:firstRowLastColumn="0" w:lastRowFirstColumn="0" w:lastRowLastColumn="0"/>
              <w:rPr>
                <w:rFonts w:cs="Arial"/>
                <w:b/>
                <w:bCs/>
                <w:color w:val="000000"/>
                <w:sz w:val="14"/>
                <w:szCs w:val="14"/>
                <w:highlight w:val="yellow"/>
              </w:rPr>
            </w:pPr>
            <w:r w:rsidRPr="004C19D2">
              <w:rPr>
                <w:rFonts w:cs="Arial"/>
                <w:b/>
                <w:bCs/>
                <w:color w:val="000000"/>
                <w:sz w:val="14"/>
                <w:szCs w:val="14"/>
              </w:rPr>
              <w:t>372</w:t>
            </w:r>
            <w:r>
              <w:rPr>
                <w:rFonts w:cs="Arial"/>
                <w:b/>
                <w:bCs/>
                <w:color w:val="000000"/>
                <w:sz w:val="14"/>
                <w:szCs w:val="14"/>
              </w:rPr>
              <w:t>,</w:t>
            </w:r>
            <w:r w:rsidRPr="004C19D2">
              <w:rPr>
                <w:rFonts w:cs="Arial"/>
                <w:b/>
                <w:bCs/>
                <w:color w:val="000000"/>
                <w:sz w:val="14"/>
                <w:szCs w:val="14"/>
              </w:rPr>
              <w:t>310</w:t>
            </w:r>
            <w:r>
              <w:rPr>
                <w:rFonts w:cs="Arial"/>
                <w:b/>
                <w:bCs/>
                <w:color w:val="000000"/>
                <w:sz w:val="14"/>
                <w:szCs w:val="14"/>
              </w:rPr>
              <w:t>,</w:t>
            </w:r>
            <w:r w:rsidRPr="004C19D2">
              <w:rPr>
                <w:rFonts w:cs="Arial"/>
                <w:b/>
                <w:bCs/>
                <w:color w:val="000000"/>
                <w:sz w:val="14"/>
                <w:szCs w:val="14"/>
              </w:rPr>
              <w:t>773</w:t>
            </w:r>
          </w:p>
        </w:tc>
        <w:tc>
          <w:tcPr>
            <w:tcW w:w="3260" w:type="dxa"/>
            <w:tcBorders>
              <w:top w:val="nil"/>
              <w:left w:val="nil"/>
              <w:bottom w:val="nil"/>
              <w:right w:val="nil"/>
            </w:tcBorders>
            <w:shd w:val="clear" w:color="auto" w:fill="auto"/>
            <w:vAlign w:val="center"/>
          </w:tcPr>
          <w:p w14:paraId="15893921" w14:textId="77777777" w:rsidR="00D2372E" w:rsidRPr="002A34F5" w:rsidRDefault="00D2372E" w:rsidP="00D2372E">
            <w:pPr>
              <w:keepNext/>
              <w:keepLines/>
              <w:jc w:val="right"/>
              <w:cnfStyle w:val="000000010000" w:firstRow="0" w:lastRow="0" w:firstColumn="0" w:lastColumn="0" w:oddVBand="0" w:evenVBand="0" w:oddHBand="0" w:evenHBand="1" w:firstRowFirstColumn="0" w:firstRowLastColumn="0" w:lastRowFirstColumn="0" w:lastRowLastColumn="0"/>
              <w:rPr>
                <w:rFonts w:cs="Arial"/>
                <w:b/>
                <w:bCs/>
                <w:color w:val="000000"/>
                <w:sz w:val="14"/>
                <w:szCs w:val="14"/>
                <w:highlight w:val="yellow"/>
              </w:rPr>
            </w:pPr>
            <w:r w:rsidRPr="00B529D7">
              <w:rPr>
                <w:rFonts w:cs="Arial"/>
                <w:b/>
                <w:bCs/>
                <w:color w:val="000000"/>
                <w:sz w:val="14"/>
                <w:szCs w:val="14"/>
              </w:rPr>
              <w:t>349</w:t>
            </w:r>
            <w:r>
              <w:rPr>
                <w:rFonts w:cs="Arial"/>
                <w:b/>
                <w:bCs/>
                <w:color w:val="000000"/>
                <w:sz w:val="14"/>
                <w:szCs w:val="14"/>
              </w:rPr>
              <w:t>,</w:t>
            </w:r>
            <w:r w:rsidRPr="00B529D7">
              <w:rPr>
                <w:rFonts w:cs="Arial"/>
                <w:b/>
                <w:bCs/>
                <w:color w:val="000000"/>
                <w:sz w:val="14"/>
                <w:szCs w:val="14"/>
              </w:rPr>
              <w:t>783</w:t>
            </w:r>
            <w:r>
              <w:rPr>
                <w:rFonts w:cs="Arial"/>
                <w:b/>
                <w:bCs/>
                <w:color w:val="000000"/>
                <w:sz w:val="14"/>
                <w:szCs w:val="14"/>
              </w:rPr>
              <w:t>,</w:t>
            </w:r>
            <w:r w:rsidRPr="00B529D7">
              <w:rPr>
                <w:rFonts w:cs="Arial"/>
                <w:b/>
                <w:bCs/>
                <w:color w:val="000000"/>
                <w:sz w:val="14"/>
                <w:szCs w:val="14"/>
              </w:rPr>
              <w:t>958</w:t>
            </w:r>
          </w:p>
        </w:tc>
      </w:tr>
      <w:tr w:rsidR="00D2372E" w:rsidRPr="002A34F5" w14:paraId="139D6496"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4ECF8DC8" w14:textId="77777777" w:rsidR="00D2372E" w:rsidRPr="002A34F5" w:rsidRDefault="00D2372E" w:rsidP="00D2372E">
            <w:pPr>
              <w:keepNext/>
              <w:keepLines/>
              <w:rPr>
                <w:rFonts w:cs="Arial"/>
                <w:color w:val="000000"/>
                <w:sz w:val="14"/>
                <w:szCs w:val="14"/>
                <w:highlight w:val="yellow"/>
              </w:rPr>
            </w:pPr>
          </w:p>
        </w:tc>
        <w:tc>
          <w:tcPr>
            <w:tcW w:w="3260" w:type="dxa"/>
            <w:tcBorders>
              <w:top w:val="nil"/>
              <w:left w:val="nil"/>
              <w:bottom w:val="nil"/>
              <w:right w:val="nil"/>
            </w:tcBorders>
            <w:shd w:val="clear" w:color="auto" w:fill="auto"/>
            <w:vAlign w:val="center"/>
          </w:tcPr>
          <w:p w14:paraId="0B7F01E8" w14:textId="77777777" w:rsidR="00D2372E" w:rsidRPr="002A34F5" w:rsidRDefault="00D2372E" w:rsidP="00D2372E">
            <w:pPr>
              <w:keepNext/>
              <w:keepLines/>
              <w:jc w:val="right"/>
              <w:cnfStyle w:val="000000100000" w:firstRow="0" w:lastRow="0" w:firstColumn="0" w:lastColumn="0" w:oddVBand="0" w:evenVBand="0" w:oddHBand="1" w:evenHBand="0" w:firstRowFirstColumn="0" w:firstRowLastColumn="0" w:lastRowFirstColumn="0" w:lastRowLastColumn="0"/>
              <w:rPr>
                <w:rFonts w:cs="Arial"/>
                <w:b/>
                <w:bCs/>
                <w:color w:val="000000"/>
                <w:sz w:val="14"/>
                <w:szCs w:val="14"/>
                <w:highlight w:val="yellow"/>
              </w:rPr>
            </w:pPr>
          </w:p>
        </w:tc>
        <w:tc>
          <w:tcPr>
            <w:tcW w:w="3260" w:type="dxa"/>
            <w:tcBorders>
              <w:top w:val="nil"/>
              <w:left w:val="nil"/>
              <w:bottom w:val="nil"/>
              <w:right w:val="nil"/>
            </w:tcBorders>
            <w:shd w:val="clear" w:color="auto" w:fill="auto"/>
            <w:vAlign w:val="center"/>
          </w:tcPr>
          <w:p w14:paraId="2278E95D" w14:textId="77777777" w:rsidR="00D2372E" w:rsidRPr="002A34F5" w:rsidRDefault="00D2372E" w:rsidP="00D2372E">
            <w:pPr>
              <w:keepNext/>
              <w:keepLines/>
              <w:jc w:val="right"/>
              <w:cnfStyle w:val="000000100000" w:firstRow="0" w:lastRow="0" w:firstColumn="0" w:lastColumn="0" w:oddVBand="0" w:evenVBand="0" w:oddHBand="1" w:evenHBand="0" w:firstRowFirstColumn="0" w:firstRowLastColumn="0" w:lastRowFirstColumn="0" w:lastRowLastColumn="0"/>
              <w:rPr>
                <w:rFonts w:cs="Arial"/>
                <w:b/>
                <w:bCs/>
                <w:color w:val="000000"/>
                <w:sz w:val="14"/>
                <w:szCs w:val="14"/>
                <w:highlight w:val="yellow"/>
              </w:rPr>
            </w:pPr>
          </w:p>
        </w:tc>
      </w:tr>
      <w:tr w:rsidR="00D2372E" w:rsidRPr="002A34F5" w14:paraId="272D43E1" w14:textId="77777777" w:rsidTr="008B7E1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18289321" w14:textId="77777777" w:rsidR="00D2372E" w:rsidRPr="002A34F5" w:rsidRDefault="00D2372E" w:rsidP="00D2372E">
            <w:pPr>
              <w:keepNext/>
              <w:keepLines/>
              <w:rPr>
                <w:rFonts w:cs="Arial"/>
                <w:color w:val="000000"/>
                <w:sz w:val="14"/>
                <w:szCs w:val="14"/>
                <w:highlight w:val="yellow"/>
              </w:rPr>
            </w:pPr>
            <w:r>
              <w:rPr>
                <w:rFonts w:cs="Arial"/>
                <w:sz w:val="14"/>
                <w:szCs w:val="14"/>
              </w:rPr>
              <w:t>Current Liabilities</w:t>
            </w:r>
          </w:p>
        </w:tc>
        <w:tc>
          <w:tcPr>
            <w:tcW w:w="3260" w:type="dxa"/>
            <w:tcBorders>
              <w:top w:val="nil"/>
              <w:left w:val="nil"/>
              <w:bottom w:val="nil"/>
              <w:right w:val="nil"/>
            </w:tcBorders>
            <w:shd w:val="clear" w:color="auto" w:fill="auto"/>
            <w:vAlign w:val="center"/>
          </w:tcPr>
          <w:p w14:paraId="67A11B26" w14:textId="7F35FE0D" w:rsidR="00D2372E" w:rsidRPr="002A34F5" w:rsidRDefault="00D2372E" w:rsidP="00D2372E">
            <w:pPr>
              <w:keepNext/>
              <w:keepLines/>
              <w:jc w:val="right"/>
              <w:cnfStyle w:val="000000010000" w:firstRow="0" w:lastRow="0" w:firstColumn="0" w:lastColumn="0" w:oddVBand="0" w:evenVBand="0" w:oddHBand="0" w:evenHBand="1" w:firstRowFirstColumn="0" w:firstRowLastColumn="0" w:lastRowFirstColumn="0" w:lastRowLastColumn="0"/>
              <w:rPr>
                <w:rFonts w:cs="Arial"/>
                <w:b/>
                <w:bCs/>
                <w:color w:val="000000"/>
                <w:sz w:val="14"/>
                <w:szCs w:val="14"/>
                <w:highlight w:val="yellow"/>
              </w:rPr>
            </w:pPr>
            <w:r w:rsidRPr="004C19D2">
              <w:rPr>
                <w:rFonts w:cs="Arial"/>
                <w:b/>
                <w:bCs/>
                <w:color w:val="000000"/>
                <w:sz w:val="14"/>
                <w:szCs w:val="14"/>
              </w:rPr>
              <w:t>41</w:t>
            </w:r>
            <w:r>
              <w:rPr>
                <w:rFonts w:cs="Arial"/>
                <w:b/>
                <w:bCs/>
                <w:color w:val="000000"/>
                <w:sz w:val="14"/>
                <w:szCs w:val="14"/>
              </w:rPr>
              <w:t>,</w:t>
            </w:r>
            <w:r w:rsidRPr="004C19D2">
              <w:rPr>
                <w:rFonts w:cs="Arial"/>
                <w:b/>
                <w:bCs/>
                <w:color w:val="000000"/>
                <w:sz w:val="14"/>
                <w:szCs w:val="14"/>
              </w:rPr>
              <w:t>997</w:t>
            </w:r>
            <w:r>
              <w:rPr>
                <w:rFonts w:cs="Arial"/>
                <w:b/>
                <w:bCs/>
                <w:color w:val="000000"/>
                <w:sz w:val="14"/>
                <w:szCs w:val="14"/>
              </w:rPr>
              <w:t>,</w:t>
            </w:r>
            <w:r w:rsidRPr="004C19D2">
              <w:rPr>
                <w:rFonts w:cs="Arial"/>
                <w:b/>
                <w:bCs/>
                <w:color w:val="000000"/>
                <w:sz w:val="14"/>
                <w:szCs w:val="14"/>
              </w:rPr>
              <w:t>014</w:t>
            </w:r>
          </w:p>
        </w:tc>
        <w:tc>
          <w:tcPr>
            <w:tcW w:w="3260" w:type="dxa"/>
            <w:tcBorders>
              <w:top w:val="nil"/>
              <w:left w:val="nil"/>
              <w:bottom w:val="nil"/>
              <w:right w:val="nil"/>
            </w:tcBorders>
            <w:shd w:val="clear" w:color="auto" w:fill="auto"/>
            <w:vAlign w:val="center"/>
          </w:tcPr>
          <w:p w14:paraId="2A9B698E" w14:textId="77777777" w:rsidR="00D2372E" w:rsidRPr="002A34F5" w:rsidRDefault="00D2372E" w:rsidP="00D2372E">
            <w:pPr>
              <w:keepNext/>
              <w:keepLines/>
              <w:jc w:val="right"/>
              <w:cnfStyle w:val="000000010000" w:firstRow="0" w:lastRow="0" w:firstColumn="0" w:lastColumn="0" w:oddVBand="0" w:evenVBand="0" w:oddHBand="0" w:evenHBand="1" w:firstRowFirstColumn="0" w:firstRowLastColumn="0" w:lastRowFirstColumn="0" w:lastRowLastColumn="0"/>
              <w:rPr>
                <w:rFonts w:cs="Arial"/>
                <w:b/>
                <w:bCs/>
                <w:color w:val="000000"/>
                <w:sz w:val="14"/>
                <w:szCs w:val="14"/>
                <w:highlight w:val="yellow"/>
              </w:rPr>
            </w:pPr>
            <w:r w:rsidRPr="00B529D7">
              <w:rPr>
                <w:rFonts w:cs="Arial"/>
                <w:b/>
                <w:bCs/>
                <w:color w:val="000000"/>
                <w:sz w:val="14"/>
                <w:szCs w:val="14"/>
              </w:rPr>
              <w:t>39</w:t>
            </w:r>
            <w:r>
              <w:rPr>
                <w:rFonts w:cs="Arial"/>
                <w:b/>
                <w:bCs/>
                <w:color w:val="000000"/>
                <w:sz w:val="14"/>
                <w:szCs w:val="14"/>
              </w:rPr>
              <w:t>,</w:t>
            </w:r>
            <w:r w:rsidRPr="00B529D7">
              <w:rPr>
                <w:rFonts w:cs="Arial"/>
                <w:b/>
                <w:bCs/>
                <w:color w:val="000000"/>
                <w:sz w:val="14"/>
                <w:szCs w:val="14"/>
              </w:rPr>
              <w:t>551</w:t>
            </w:r>
            <w:r>
              <w:rPr>
                <w:rFonts w:cs="Arial"/>
                <w:b/>
                <w:bCs/>
                <w:color w:val="000000"/>
                <w:sz w:val="14"/>
                <w:szCs w:val="14"/>
              </w:rPr>
              <w:t>,</w:t>
            </w:r>
            <w:r w:rsidRPr="00B529D7">
              <w:rPr>
                <w:rFonts w:cs="Arial"/>
                <w:b/>
                <w:bCs/>
                <w:color w:val="000000"/>
                <w:sz w:val="14"/>
                <w:szCs w:val="14"/>
              </w:rPr>
              <w:t>936</w:t>
            </w:r>
          </w:p>
        </w:tc>
      </w:tr>
      <w:tr w:rsidR="00D2372E" w:rsidRPr="00D36690" w14:paraId="2E640E24"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0E91D9AB" w14:textId="77777777" w:rsidR="00D2372E" w:rsidRPr="00D36690" w:rsidRDefault="00D2372E" w:rsidP="00D2372E">
            <w:pPr>
              <w:keepNext/>
              <w:keepLines/>
              <w:ind w:left="113"/>
              <w:rPr>
                <w:rFonts w:cs="Arial"/>
                <w:b w:val="0"/>
                <w:bCs w:val="0"/>
                <w:sz w:val="14"/>
                <w:szCs w:val="14"/>
              </w:rPr>
            </w:pPr>
            <w:r w:rsidRPr="00FC4DCD">
              <w:rPr>
                <w:rFonts w:cs="Arial"/>
                <w:b w:val="0"/>
                <w:bCs w:val="0"/>
                <w:sz w:val="14"/>
                <w:szCs w:val="14"/>
              </w:rPr>
              <w:t>Amounts payable</w:t>
            </w:r>
          </w:p>
        </w:tc>
        <w:tc>
          <w:tcPr>
            <w:tcW w:w="3260" w:type="dxa"/>
            <w:tcBorders>
              <w:top w:val="nil"/>
              <w:left w:val="nil"/>
              <w:bottom w:val="nil"/>
              <w:right w:val="nil"/>
            </w:tcBorders>
            <w:shd w:val="clear" w:color="auto" w:fill="auto"/>
            <w:vAlign w:val="center"/>
          </w:tcPr>
          <w:p w14:paraId="0C58412D" w14:textId="42DB319D" w:rsidR="00D2372E" w:rsidRPr="000A161C" w:rsidRDefault="00D2372E" w:rsidP="00D2372E">
            <w:pPr>
              <w:keepNext/>
              <w:keepLines/>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highlight w:val="yellow"/>
              </w:rPr>
            </w:pPr>
            <w:r w:rsidRPr="004C19D2">
              <w:rPr>
                <w:rFonts w:cs="Arial"/>
                <w:color w:val="000000"/>
                <w:sz w:val="14"/>
                <w:szCs w:val="14"/>
              </w:rPr>
              <w:t>1</w:t>
            </w:r>
            <w:r>
              <w:rPr>
                <w:rFonts w:cs="Arial"/>
                <w:color w:val="000000"/>
                <w:sz w:val="14"/>
                <w:szCs w:val="14"/>
              </w:rPr>
              <w:t>,</w:t>
            </w:r>
            <w:r w:rsidRPr="004C19D2">
              <w:rPr>
                <w:rFonts w:cs="Arial"/>
                <w:color w:val="000000"/>
                <w:sz w:val="14"/>
                <w:szCs w:val="14"/>
              </w:rPr>
              <w:t>106</w:t>
            </w:r>
            <w:r>
              <w:rPr>
                <w:rFonts w:cs="Arial"/>
                <w:color w:val="000000"/>
                <w:sz w:val="14"/>
                <w:szCs w:val="14"/>
              </w:rPr>
              <w:t>,</w:t>
            </w:r>
            <w:r w:rsidRPr="004C19D2">
              <w:rPr>
                <w:rFonts w:cs="Arial"/>
                <w:color w:val="000000"/>
                <w:sz w:val="14"/>
                <w:szCs w:val="14"/>
              </w:rPr>
              <w:t>373</w:t>
            </w:r>
          </w:p>
        </w:tc>
        <w:tc>
          <w:tcPr>
            <w:tcW w:w="3260" w:type="dxa"/>
            <w:tcBorders>
              <w:top w:val="nil"/>
              <w:left w:val="nil"/>
              <w:bottom w:val="nil"/>
              <w:right w:val="nil"/>
            </w:tcBorders>
            <w:shd w:val="clear" w:color="auto" w:fill="auto"/>
            <w:vAlign w:val="center"/>
          </w:tcPr>
          <w:p w14:paraId="30C91CD6" w14:textId="77777777" w:rsidR="00D2372E" w:rsidRPr="002A34F5" w:rsidRDefault="00D2372E" w:rsidP="00D2372E">
            <w:pPr>
              <w:keepNext/>
              <w:keepLines/>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highlight w:val="yellow"/>
              </w:rPr>
            </w:pPr>
            <w:r w:rsidRPr="00B529D7">
              <w:rPr>
                <w:rFonts w:cs="Arial"/>
                <w:color w:val="000000"/>
                <w:sz w:val="14"/>
                <w:szCs w:val="14"/>
              </w:rPr>
              <w:t>1</w:t>
            </w:r>
            <w:r>
              <w:rPr>
                <w:rFonts w:cs="Arial"/>
                <w:color w:val="000000"/>
                <w:sz w:val="14"/>
                <w:szCs w:val="14"/>
              </w:rPr>
              <w:t>,</w:t>
            </w:r>
            <w:r w:rsidRPr="00B529D7">
              <w:rPr>
                <w:rFonts w:cs="Arial"/>
                <w:color w:val="000000"/>
                <w:sz w:val="14"/>
                <w:szCs w:val="14"/>
              </w:rPr>
              <w:t>149</w:t>
            </w:r>
            <w:r>
              <w:rPr>
                <w:rFonts w:cs="Arial"/>
                <w:color w:val="000000"/>
                <w:sz w:val="14"/>
                <w:szCs w:val="14"/>
              </w:rPr>
              <w:t>,</w:t>
            </w:r>
            <w:r w:rsidRPr="00B529D7">
              <w:rPr>
                <w:rFonts w:cs="Arial"/>
                <w:color w:val="000000"/>
                <w:sz w:val="14"/>
                <w:szCs w:val="14"/>
              </w:rPr>
              <w:t>231</w:t>
            </w:r>
          </w:p>
        </w:tc>
      </w:tr>
      <w:tr w:rsidR="00D2372E" w:rsidRPr="00D36690" w14:paraId="377E81DA" w14:textId="77777777" w:rsidTr="008B7E1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4F7F5118" w14:textId="77777777" w:rsidR="00D2372E" w:rsidRPr="00D36690" w:rsidRDefault="00D2372E" w:rsidP="00D2372E">
            <w:pPr>
              <w:keepNext/>
              <w:keepLines/>
              <w:ind w:left="113"/>
              <w:rPr>
                <w:rFonts w:cs="Arial"/>
                <w:b w:val="0"/>
                <w:bCs w:val="0"/>
                <w:sz w:val="14"/>
                <w:szCs w:val="14"/>
              </w:rPr>
            </w:pPr>
            <w:r w:rsidRPr="00FC4DCD">
              <w:rPr>
                <w:rFonts w:cs="Arial"/>
                <w:b w:val="0"/>
                <w:bCs w:val="0"/>
                <w:sz w:val="14"/>
                <w:szCs w:val="14"/>
              </w:rPr>
              <w:t>Debt from insurance operations</w:t>
            </w:r>
          </w:p>
        </w:tc>
        <w:tc>
          <w:tcPr>
            <w:tcW w:w="3260" w:type="dxa"/>
            <w:tcBorders>
              <w:top w:val="nil"/>
              <w:left w:val="nil"/>
              <w:bottom w:val="nil"/>
              <w:right w:val="nil"/>
            </w:tcBorders>
            <w:shd w:val="clear" w:color="auto" w:fill="auto"/>
            <w:vAlign w:val="center"/>
          </w:tcPr>
          <w:p w14:paraId="6256F3A3" w14:textId="3B061D6A" w:rsidR="00D2372E" w:rsidRPr="000A161C" w:rsidRDefault="00D2372E" w:rsidP="00D2372E">
            <w:pPr>
              <w:keepNext/>
              <w:keepLines/>
              <w:jc w:val="right"/>
              <w:cnfStyle w:val="000000010000" w:firstRow="0" w:lastRow="0" w:firstColumn="0" w:lastColumn="0" w:oddVBand="0" w:evenVBand="0" w:oddHBand="0" w:evenHBand="1" w:firstRowFirstColumn="0" w:firstRowLastColumn="0" w:lastRowFirstColumn="0" w:lastRowLastColumn="0"/>
              <w:rPr>
                <w:rFonts w:cs="Arial"/>
                <w:color w:val="000000"/>
                <w:sz w:val="14"/>
                <w:szCs w:val="14"/>
                <w:highlight w:val="yellow"/>
              </w:rPr>
            </w:pPr>
            <w:r w:rsidRPr="004C19D2">
              <w:rPr>
                <w:rFonts w:cs="Arial"/>
                <w:color w:val="000000"/>
                <w:sz w:val="14"/>
                <w:szCs w:val="14"/>
              </w:rPr>
              <w:t>11</w:t>
            </w:r>
            <w:r>
              <w:rPr>
                <w:rFonts w:cs="Arial"/>
                <w:color w:val="000000"/>
                <w:sz w:val="14"/>
                <w:szCs w:val="14"/>
              </w:rPr>
              <w:t>,</w:t>
            </w:r>
            <w:r w:rsidRPr="004C19D2">
              <w:rPr>
                <w:rFonts w:cs="Arial"/>
                <w:color w:val="000000"/>
                <w:sz w:val="14"/>
                <w:szCs w:val="14"/>
              </w:rPr>
              <w:t>703</w:t>
            </w:r>
          </w:p>
        </w:tc>
        <w:tc>
          <w:tcPr>
            <w:tcW w:w="3260" w:type="dxa"/>
            <w:tcBorders>
              <w:top w:val="nil"/>
              <w:left w:val="nil"/>
              <w:bottom w:val="nil"/>
              <w:right w:val="nil"/>
            </w:tcBorders>
            <w:shd w:val="clear" w:color="auto" w:fill="auto"/>
            <w:vAlign w:val="center"/>
          </w:tcPr>
          <w:p w14:paraId="3CCD9FF6" w14:textId="77777777" w:rsidR="00D2372E" w:rsidRPr="002A34F5" w:rsidRDefault="00D2372E" w:rsidP="00D2372E">
            <w:pPr>
              <w:keepNext/>
              <w:keepLines/>
              <w:jc w:val="right"/>
              <w:cnfStyle w:val="000000010000" w:firstRow="0" w:lastRow="0" w:firstColumn="0" w:lastColumn="0" w:oddVBand="0" w:evenVBand="0" w:oddHBand="0" w:evenHBand="1" w:firstRowFirstColumn="0" w:firstRowLastColumn="0" w:lastRowFirstColumn="0" w:lastRowLastColumn="0"/>
              <w:rPr>
                <w:rFonts w:cs="Arial"/>
                <w:color w:val="000000"/>
                <w:sz w:val="14"/>
                <w:szCs w:val="14"/>
                <w:highlight w:val="yellow"/>
              </w:rPr>
            </w:pPr>
            <w:r w:rsidRPr="00B529D7">
              <w:rPr>
                <w:rFonts w:cs="Arial"/>
                <w:color w:val="000000"/>
                <w:sz w:val="14"/>
                <w:szCs w:val="14"/>
              </w:rPr>
              <w:t>19</w:t>
            </w:r>
            <w:r>
              <w:rPr>
                <w:rFonts w:cs="Arial"/>
                <w:color w:val="000000"/>
                <w:sz w:val="14"/>
                <w:szCs w:val="14"/>
              </w:rPr>
              <w:t>,</w:t>
            </w:r>
            <w:r w:rsidRPr="00B529D7">
              <w:rPr>
                <w:rFonts w:cs="Arial"/>
                <w:color w:val="000000"/>
                <w:sz w:val="14"/>
                <w:szCs w:val="14"/>
              </w:rPr>
              <w:t>499</w:t>
            </w:r>
          </w:p>
        </w:tc>
      </w:tr>
      <w:tr w:rsidR="00D2372E" w:rsidRPr="00D36690" w14:paraId="4EF736C1"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0B4847BD" w14:textId="77777777" w:rsidR="00D2372E" w:rsidRPr="00D36690" w:rsidRDefault="00D2372E" w:rsidP="00D2372E">
            <w:pPr>
              <w:keepNext/>
              <w:keepLines/>
              <w:ind w:left="113"/>
              <w:rPr>
                <w:rFonts w:cs="Arial"/>
                <w:b w:val="0"/>
                <w:bCs w:val="0"/>
                <w:sz w:val="14"/>
                <w:szCs w:val="14"/>
              </w:rPr>
            </w:pPr>
            <w:r>
              <w:rPr>
                <w:rFonts w:cs="Arial"/>
                <w:b w:val="0"/>
                <w:bCs w:val="0"/>
                <w:sz w:val="14"/>
                <w:szCs w:val="14"/>
              </w:rPr>
              <w:t>I</w:t>
            </w:r>
            <w:r w:rsidRPr="00FC4DCD">
              <w:rPr>
                <w:rFonts w:cs="Arial"/>
                <w:b w:val="0"/>
                <w:bCs w:val="0"/>
                <w:sz w:val="14"/>
                <w:szCs w:val="14"/>
              </w:rPr>
              <w:t>nsurance contract</w:t>
            </w:r>
          </w:p>
        </w:tc>
        <w:tc>
          <w:tcPr>
            <w:tcW w:w="3260" w:type="dxa"/>
            <w:tcBorders>
              <w:top w:val="nil"/>
              <w:left w:val="nil"/>
              <w:bottom w:val="nil"/>
              <w:right w:val="nil"/>
            </w:tcBorders>
            <w:shd w:val="clear" w:color="auto" w:fill="auto"/>
            <w:vAlign w:val="center"/>
          </w:tcPr>
          <w:p w14:paraId="6EF4D255" w14:textId="0A9C3F43" w:rsidR="00D2372E" w:rsidRPr="000A161C" w:rsidRDefault="00D2372E" w:rsidP="00D2372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highlight w:val="yellow"/>
              </w:rPr>
            </w:pPr>
            <w:r w:rsidRPr="004C19D2">
              <w:rPr>
                <w:rFonts w:cs="Arial"/>
                <w:color w:val="000000"/>
                <w:sz w:val="14"/>
                <w:szCs w:val="14"/>
              </w:rPr>
              <w:t>40</w:t>
            </w:r>
            <w:r>
              <w:rPr>
                <w:rFonts w:cs="Arial"/>
                <w:color w:val="000000"/>
                <w:sz w:val="14"/>
                <w:szCs w:val="14"/>
              </w:rPr>
              <w:t>,</w:t>
            </w:r>
            <w:r w:rsidRPr="004C19D2">
              <w:rPr>
                <w:rFonts w:cs="Arial"/>
                <w:color w:val="000000"/>
                <w:sz w:val="14"/>
                <w:szCs w:val="14"/>
              </w:rPr>
              <w:t>716</w:t>
            </w:r>
            <w:r>
              <w:rPr>
                <w:rFonts w:cs="Arial"/>
                <w:color w:val="000000"/>
                <w:sz w:val="14"/>
                <w:szCs w:val="14"/>
              </w:rPr>
              <w:t>,</w:t>
            </w:r>
            <w:r w:rsidRPr="004C19D2">
              <w:rPr>
                <w:rFonts w:cs="Arial"/>
                <w:color w:val="000000"/>
                <w:sz w:val="14"/>
                <w:szCs w:val="14"/>
              </w:rPr>
              <w:t>289</w:t>
            </w:r>
          </w:p>
        </w:tc>
        <w:tc>
          <w:tcPr>
            <w:tcW w:w="3260" w:type="dxa"/>
            <w:tcBorders>
              <w:top w:val="nil"/>
              <w:left w:val="nil"/>
              <w:bottom w:val="nil"/>
              <w:right w:val="nil"/>
            </w:tcBorders>
            <w:shd w:val="clear" w:color="auto" w:fill="auto"/>
            <w:vAlign w:val="center"/>
          </w:tcPr>
          <w:p w14:paraId="4135FB51" w14:textId="77777777" w:rsidR="00D2372E" w:rsidRPr="002A34F5" w:rsidRDefault="00D2372E" w:rsidP="00D2372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highlight w:val="yellow"/>
              </w:rPr>
            </w:pPr>
            <w:r w:rsidRPr="00B529D7">
              <w:rPr>
                <w:rFonts w:cs="Arial"/>
                <w:color w:val="000000"/>
                <w:sz w:val="14"/>
                <w:szCs w:val="14"/>
              </w:rPr>
              <w:t>38</w:t>
            </w:r>
            <w:r>
              <w:rPr>
                <w:rFonts w:cs="Arial"/>
                <w:color w:val="000000"/>
                <w:sz w:val="14"/>
                <w:szCs w:val="14"/>
              </w:rPr>
              <w:t>,</w:t>
            </w:r>
            <w:r w:rsidRPr="00B529D7">
              <w:rPr>
                <w:rFonts w:cs="Arial"/>
                <w:color w:val="000000"/>
                <w:sz w:val="14"/>
                <w:szCs w:val="14"/>
              </w:rPr>
              <w:t>334</w:t>
            </w:r>
            <w:r>
              <w:rPr>
                <w:rFonts w:cs="Arial"/>
                <w:color w:val="000000"/>
                <w:sz w:val="14"/>
                <w:szCs w:val="14"/>
              </w:rPr>
              <w:t>,</w:t>
            </w:r>
            <w:r w:rsidRPr="00B529D7">
              <w:rPr>
                <w:rFonts w:cs="Arial"/>
                <w:color w:val="000000"/>
                <w:sz w:val="14"/>
                <w:szCs w:val="14"/>
              </w:rPr>
              <w:t>006</w:t>
            </w:r>
          </w:p>
        </w:tc>
      </w:tr>
      <w:tr w:rsidR="00D2372E" w:rsidRPr="00D36690" w14:paraId="356775D2" w14:textId="77777777" w:rsidTr="008B7E1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7CFC6C44" w14:textId="77777777" w:rsidR="00D2372E" w:rsidRPr="00D36690" w:rsidRDefault="00D2372E" w:rsidP="00D2372E">
            <w:pPr>
              <w:keepNext/>
              <w:keepLines/>
              <w:ind w:left="113"/>
              <w:rPr>
                <w:rFonts w:cs="Arial"/>
                <w:b w:val="0"/>
                <w:bCs w:val="0"/>
                <w:sz w:val="14"/>
                <w:szCs w:val="14"/>
              </w:rPr>
            </w:pPr>
            <w:r>
              <w:rPr>
                <w:rFonts w:cs="Arial"/>
                <w:b w:val="0"/>
                <w:bCs w:val="0"/>
                <w:sz w:val="14"/>
                <w:szCs w:val="14"/>
              </w:rPr>
              <w:t>Other liabilities</w:t>
            </w:r>
          </w:p>
        </w:tc>
        <w:tc>
          <w:tcPr>
            <w:tcW w:w="3260" w:type="dxa"/>
            <w:tcBorders>
              <w:top w:val="nil"/>
              <w:left w:val="nil"/>
              <w:bottom w:val="nil"/>
              <w:right w:val="nil"/>
            </w:tcBorders>
            <w:shd w:val="clear" w:color="auto" w:fill="auto"/>
            <w:vAlign w:val="center"/>
          </w:tcPr>
          <w:p w14:paraId="7AD26AF4" w14:textId="04D52AC5" w:rsidR="00D2372E" w:rsidRPr="000A161C" w:rsidRDefault="00D2372E" w:rsidP="00D2372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sz w:val="14"/>
                <w:szCs w:val="14"/>
                <w:highlight w:val="yellow"/>
              </w:rPr>
            </w:pPr>
            <w:r w:rsidRPr="004C19D2">
              <w:rPr>
                <w:rFonts w:cs="Arial"/>
                <w:color w:val="000000"/>
                <w:sz w:val="14"/>
                <w:szCs w:val="14"/>
              </w:rPr>
              <w:t>162</w:t>
            </w:r>
            <w:r>
              <w:rPr>
                <w:rFonts w:cs="Arial"/>
                <w:color w:val="000000"/>
                <w:sz w:val="14"/>
                <w:szCs w:val="14"/>
              </w:rPr>
              <w:t>,</w:t>
            </w:r>
            <w:r w:rsidRPr="004C19D2">
              <w:rPr>
                <w:rFonts w:cs="Arial"/>
                <w:color w:val="000000"/>
                <w:sz w:val="14"/>
                <w:szCs w:val="14"/>
              </w:rPr>
              <w:t>649</w:t>
            </w:r>
          </w:p>
        </w:tc>
        <w:tc>
          <w:tcPr>
            <w:tcW w:w="3260" w:type="dxa"/>
            <w:tcBorders>
              <w:top w:val="nil"/>
              <w:left w:val="nil"/>
              <w:bottom w:val="nil"/>
              <w:right w:val="nil"/>
            </w:tcBorders>
            <w:shd w:val="clear" w:color="auto" w:fill="auto"/>
            <w:vAlign w:val="center"/>
          </w:tcPr>
          <w:p w14:paraId="755E1563" w14:textId="77777777" w:rsidR="00D2372E" w:rsidRPr="002A34F5" w:rsidRDefault="00D2372E" w:rsidP="00D2372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sz w:val="14"/>
                <w:szCs w:val="14"/>
                <w:highlight w:val="yellow"/>
              </w:rPr>
            </w:pPr>
            <w:r w:rsidRPr="00B529D7">
              <w:rPr>
                <w:rFonts w:cs="Arial"/>
                <w:color w:val="000000"/>
                <w:sz w:val="14"/>
                <w:szCs w:val="14"/>
              </w:rPr>
              <w:t>49</w:t>
            </w:r>
            <w:r>
              <w:rPr>
                <w:rFonts w:cs="Arial"/>
                <w:color w:val="000000"/>
                <w:sz w:val="14"/>
                <w:szCs w:val="14"/>
              </w:rPr>
              <w:t>,</w:t>
            </w:r>
            <w:r w:rsidRPr="00B529D7">
              <w:rPr>
                <w:rFonts w:cs="Arial"/>
                <w:color w:val="000000"/>
                <w:sz w:val="14"/>
                <w:szCs w:val="14"/>
              </w:rPr>
              <w:t>200</w:t>
            </w:r>
          </w:p>
        </w:tc>
      </w:tr>
      <w:tr w:rsidR="00D2372E" w:rsidRPr="002A34F5" w14:paraId="699C115D"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5D1FC0B2" w14:textId="77777777" w:rsidR="00D2372E" w:rsidRPr="002A34F5" w:rsidRDefault="00D2372E" w:rsidP="00D2372E">
            <w:pPr>
              <w:keepNext/>
              <w:keepLines/>
              <w:spacing w:before="40" w:after="40"/>
              <w:rPr>
                <w:rFonts w:cs="Arial"/>
                <w:sz w:val="14"/>
                <w:szCs w:val="14"/>
                <w:highlight w:val="yellow"/>
              </w:rPr>
            </w:pPr>
            <w:r>
              <w:rPr>
                <w:rFonts w:cs="Arial"/>
                <w:sz w:val="14"/>
                <w:szCs w:val="14"/>
              </w:rPr>
              <w:t>Non-Current Liabilities</w:t>
            </w:r>
          </w:p>
        </w:tc>
        <w:tc>
          <w:tcPr>
            <w:tcW w:w="3260" w:type="dxa"/>
            <w:tcBorders>
              <w:top w:val="nil"/>
              <w:left w:val="nil"/>
              <w:bottom w:val="nil"/>
              <w:right w:val="nil"/>
            </w:tcBorders>
            <w:shd w:val="clear" w:color="auto" w:fill="auto"/>
            <w:vAlign w:val="center"/>
          </w:tcPr>
          <w:p w14:paraId="26304A7A" w14:textId="3E018BFE" w:rsidR="00D2372E" w:rsidRPr="002A34F5" w:rsidRDefault="00D2372E" w:rsidP="00D2372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b/>
                <w:bCs/>
                <w:sz w:val="14"/>
                <w:szCs w:val="14"/>
                <w:highlight w:val="yellow"/>
              </w:rPr>
            </w:pPr>
            <w:r w:rsidRPr="004C19D2">
              <w:rPr>
                <w:rFonts w:cs="Arial"/>
                <w:b/>
                <w:bCs/>
                <w:color w:val="000000"/>
                <w:sz w:val="14"/>
                <w:szCs w:val="14"/>
              </w:rPr>
              <w:t>322</w:t>
            </w:r>
            <w:r>
              <w:rPr>
                <w:rFonts w:cs="Arial"/>
                <w:b/>
                <w:bCs/>
                <w:color w:val="000000"/>
                <w:sz w:val="14"/>
                <w:szCs w:val="14"/>
              </w:rPr>
              <w:t>,</w:t>
            </w:r>
            <w:r w:rsidRPr="004C19D2">
              <w:rPr>
                <w:rFonts w:cs="Arial"/>
                <w:b/>
                <w:bCs/>
                <w:color w:val="000000"/>
                <w:sz w:val="14"/>
                <w:szCs w:val="14"/>
              </w:rPr>
              <w:t>767</w:t>
            </w:r>
            <w:r>
              <w:rPr>
                <w:rFonts w:cs="Arial"/>
                <w:b/>
                <w:bCs/>
                <w:color w:val="000000"/>
                <w:sz w:val="14"/>
                <w:szCs w:val="14"/>
              </w:rPr>
              <w:t>,</w:t>
            </w:r>
            <w:r w:rsidRPr="004C19D2">
              <w:rPr>
                <w:rFonts w:cs="Arial"/>
                <w:b/>
                <w:bCs/>
                <w:color w:val="000000"/>
                <w:sz w:val="14"/>
                <w:szCs w:val="14"/>
              </w:rPr>
              <w:t>976</w:t>
            </w:r>
          </w:p>
        </w:tc>
        <w:tc>
          <w:tcPr>
            <w:tcW w:w="3260" w:type="dxa"/>
            <w:tcBorders>
              <w:top w:val="nil"/>
              <w:left w:val="nil"/>
              <w:bottom w:val="nil"/>
              <w:right w:val="nil"/>
            </w:tcBorders>
            <w:shd w:val="clear" w:color="auto" w:fill="auto"/>
            <w:vAlign w:val="center"/>
          </w:tcPr>
          <w:p w14:paraId="25A5EDAF" w14:textId="77777777" w:rsidR="00D2372E" w:rsidRPr="002A34F5" w:rsidRDefault="00D2372E" w:rsidP="00D2372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b/>
                <w:bCs/>
                <w:sz w:val="14"/>
                <w:szCs w:val="14"/>
                <w:highlight w:val="yellow"/>
              </w:rPr>
            </w:pPr>
            <w:r w:rsidRPr="00B529D7">
              <w:rPr>
                <w:rFonts w:cs="Arial"/>
                <w:b/>
                <w:bCs/>
                <w:color w:val="000000"/>
                <w:sz w:val="14"/>
                <w:szCs w:val="14"/>
              </w:rPr>
              <w:t>303</w:t>
            </w:r>
            <w:r>
              <w:rPr>
                <w:rFonts w:cs="Arial"/>
                <w:b/>
                <w:bCs/>
                <w:color w:val="000000"/>
                <w:sz w:val="14"/>
                <w:szCs w:val="14"/>
              </w:rPr>
              <w:t>,</w:t>
            </w:r>
            <w:r w:rsidRPr="00B529D7">
              <w:rPr>
                <w:rFonts w:cs="Arial"/>
                <w:b/>
                <w:bCs/>
                <w:color w:val="000000"/>
                <w:sz w:val="14"/>
                <w:szCs w:val="14"/>
              </w:rPr>
              <w:t>744</w:t>
            </w:r>
            <w:r>
              <w:rPr>
                <w:rFonts w:cs="Arial"/>
                <w:b/>
                <w:bCs/>
                <w:color w:val="000000"/>
                <w:sz w:val="14"/>
                <w:szCs w:val="14"/>
              </w:rPr>
              <w:t>,</w:t>
            </w:r>
            <w:r w:rsidRPr="00B529D7">
              <w:rPr>
                <w:rFonts w:cs="Arial"/>
                <w:b/>
                <w:bCs/>
                <w:color w:val="000000"/>
                <w:sz w:val="14"/>
                <w:szCs w:val="14"/>
              </w:rPr>
              <w:t>707</w:t>
            </w:r>
          </w:p>
        </w:tc>
      </w:tr>
      <w:tr w:rsidR="00D2372E" w:rsidRPr="00D36690" w14:paraId="08238308" w14:textId="77777777" w:rsidTr="008B7E1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2352FEDE" w14:textId="77777777" w:rsidR="00D2372E" w:rsidRPr="00D36690" w:rsidRDefault="00D2372E" w:rsidP="00D2372E">
            <w:pPr>
              <w:keepNext/>
              <w:keepLines/>
              <w:ind w:left="113"/>
              <w:rPr>
                <w:rFonts w:cs="Arial"/>
                <w:b w:val="0"/>
                <w:bCs w:val="0"/>
                <w:sz w:val="14"/>
                <w:szCs w:val="14"/>
              </w:rPr>
            </w:pPr>
            <w:r>
              <w:rPr>
                <w:rFonts w:cs="Arial"/>
                <w:b w:val="0"/>
                <w:bCs w:val="0"/>
                <w:sz w:val="14"/>
                <w:szCs w:val="14"/>
              </w:rPr>
              <w:t>I</w:t>
            </w:r>
            <w:r w:rsidRPr="00FC4DCD">
              <w:rPr>
                <w:rFonts w:cs="Arial"/>
                <w:b w:val="0"/>
                <w:bCs w:val="0"/>
                <w:sz w:val="14"/>
                <w:szCs w:val="14"/>
              </w:rPr>
              <w:t>nsurance contract</w:t>
            </w:r>
          </w:p>
        </w:tc>
        <w:tc>
          <w:tcPr>
            <w:tcW w:w="3260" w:type="dxa"/>
            <w:tcBorders>
              <w:top w:val="nil"/>
              <w:left w:val="nil"/>
              <w:bottom w:val="nil"/>
              <w:right w:val="nil"/>
            </w:tcBorders>
            <w:shd w:val="clear" w:color="auto" w:fill="auto"/>
            <w:vAlign w:val="center"/>
          </w:tcPr>
          <w:p w14:paraId="42085B92" w14:textId="66D155AA" w:rsidR="00D2372E" w:rsidRPr="000A161C" w:rsidRDefault="00D2372E" w:rsidP="00D2372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sz w:val="14"/>
                <w:szCs w:val="14"/>
                <w:highlight w:val="yellow"/>
              </w:rPr>
            </w:pPr>
            <w:r w:rsidRPr="004C19D2">
              <w:rPr>
                <w:rFonts w:cs="Arial"/>
                <w:color w:val="000000"/>
                <w:sz w:val="14"/>
                <w:szCs w:val="14"/>
              </w:rPr>
              <w:t>321</w:t>
            </w:r>
            <w:r>
              <w:rPr>
                <w:rFonts w:cs="Arial"/>
                <w:color w:val="000000"/>
                <w:sz w:val="14"/>
                <w:szCs w:val="14"/>
              </w:rPr>
              <w:t>,</w:t>
            </w:r>
            <w:r w:rsidRPr="004C19D2">
              <w:rPr>
                <w:rFonts w:cs="Arial"/>
                <w:color w:val="000000"/>
                <w:sz w:val="14"/>
                <w:szCs w:val="14"/>
              </w:rPr>
              <w:t>425</w:t>
            </w:r>
            <w:r>
              <w:rPr>
                <w:rFonts w:cs="Arial"/>
                <w:color w:val="000000"/>
                <w:sz w:val="14"/>
                <w:szCs w:val="14"/>
              </w:rPr>
              <w:t>,</w:t>
            </w:r>
            <w:r w:rsidRPr="004C19D2">
              <w:rPr>
                <w:rFonts w:cs="Arial"/>
                <w:color w:val="000000"/>
                <w:sz w:val="14"/>
                <w:szCs w:val="14"/>
              </w:rPr>
              <w:t>845</w:t>
            </w:r>
          </w:p>
        </w:tc>
        <w:tc>
          <w:tcPr>
            <w:tcW w:w="3260" w:type="dxa"/>
            <w:tcBorders>
              <w:top w:val="nil"/>
              <w:left w:val="nil"/>
              <w:bottom w:val="nil"/>
              <w:right w:val="nil"/>
            </w:tcBorders>
            <w:shd w:val="clear" w:color="auto" w:fill="auto"/>
            <w:vAlign w:val="center"/>
          </w:tcPr>
          <w:p w14:paraId="55ADD079" w14:textId="77777777" w:rsidR="00D2372E" w:rsidRPr="002A34F5" w:rsidRDefault="00D2372E" w:rsidP="00D2372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sz w:val="14"/>
                <w:szCs w:val="14"/>
                <w:highlight w:val="yellow"/>
              </w:rPr>
            </w:pPr>
            <w:r w:rsidRPr="00B529D7">
              <w:rPr>
                <w:rFonts w:cs="Arial"/>
                <w:color w:val="000000"/>
                <w:sz w:val="14"/>
                <w:szCs w:val="14"/>
              </w:rPr>
              <w:t>302</w:t>
            </w:r>
            <w:r>
              <w:rPr>
                <w:rFonts w:cs="Arial"/>
                <w:color w:val="000000"/>
                <w:sz w:val="14"/>
                <w:szCs w:val="14"/>
              </w:rPr>
              <w:t>,</w:t>
            </w:r>
            <w:r w:rsidRPr="00B529D7">
              <w:rPr>
                <w:rFonts w:cs="Arial"/>
                <w:color w:val="000000"/>
                <w:sz w:val="14"/>
                <w:szCs w:val="14"/>
              </w:rPr>
              <w:t>852</w:t>
            </w:r>
            <w:r>
              <w:rPr>
                <w:rFonts w:cs="Arial"/>
                <w:color w:val="000000"/>
                <w:sz w:val="14"/>
                <w:szCs w:val="14"/>
              </w:rPr>
              <w:t>,</w:t>
            </w:r>
            <w:r w:rsidRPr="00B529D7">
              <w:rPr>
                <w:rFonts w:cs="Arial"/>
                <w:color w:val="000000"/>
                <w:sz w:val="14"/>
                <w:szCs w:val="14"/>
              </w:rPr>
              <w:t>245</w:t>
            </w:r>
          </w:p>
        </w:tc>
      </w:tr>
      <w:tr w:rsidR="00D2372E" w:rsidRPr="00D36690" w14:paraId="0A961613"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556691E9" w14:textId="77777777" w:rsidR="00D2372E" w:rsidRPr="00D36690" w:rsidRDefault="00D2372E" w:rsidP="00D2372E">
            <w:pPr>
              <w:keepNext/>
              <w:keepLines/>
              <w:ind w:left="113"/>
              <w:rPr>
                <w:rFonts w:cs="Arial"/>
                <w:b w:val="0"/>
                <w:bCs w:val="0"/>
                <w:sz w:val="14"/>
                <w:szCs w:val="14"/>
              </w:rPr>
            </w:pPr>
            <w:r>
              <w:rPr>
                <w:rFonts w:cs="Arial"/>
                <w:b w:val="0"/>
                <w:bCs w:val="0"/>
                <w:sz w:val="14"/>
                <w:szCs w:val="14"/>
              </w:rPr>
              <w:t>Other liabilities</w:t>
            </w:r>
          </w:p>
        </w:tc>
        <w:tc>
          <w:tcPr>
            <w:tcW w:w="3260" w:type="dxa"/>
            <w:tcBorders>
              <w:top w:val="nil"/>
              <w:left w:val="nil"/>
              <w:bottom w:val="nil"/>
              <w:right w:val="nil"/>
            </w:tcBorders>
            <w:shd w:val="clear" w:color="auto" w:fill="auto"/>
            <w:vAlign w:val="center"/>
          </w:tcPr>
          <w:p w14:paraId="5AF886D6" w14:textId="652255F1" w:rsidR="00D2372E" w:rsidRPr="000A161C" w:rsidRDefault="00D2372E" w:rsidP="00D2372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highlight w:val="yellow"/>
              </w:rPr>
            </w:pPr>
            <w:r w:rsidRPr="004C19D2">
              <w:rPr>
                <w:rFonts w:cs="Arial"/>
                <w:color w:val="000000"/>
                <w:sz w:val="14"/>
                <w:szCs w:val="14"/>
              </w:rPr>
              <w:t>1</w:t>
            </w:r>
            <w:r>
              <w:rPr>
                <w:rFonts w:cs="Arial"/>
                <w:color w:val="000000"/>
                <w:sz w:val="14"/>
                <w:szCs w:val="14"/>
              </w:rPr>
              <w:t>,</w:t>
            </w:r>
            <w:r w:rsidRPr="004C19D2">
              <w:rPr>
                <w:rFonts w:cs="Arial"/>
                <w:color w:val="000000"/>
                <w:sz w:val="14"/>
                <w:szCs w:val="14"/>
              </w:rPr>
              <w:t>342</w:t>
            </w:r>
            <w:r>
              <w:rPr>
                <w:rFonts w:cs="Arial"/>
                <w:color w:val="000000"/>
                <w:sz w:val="14"/>
                <w:szCs w:val="14"/>
              </w:rPr>
              <w:t>,</w:t>
            </w:r>
            <w:r w:rsidRPr="004C19D2">
              <w:rPr>
                <w:rFonts w:cs="Arial"/>
                <w:color w:val="000000"/>
                <w:sz w:val="14"/>
                <w:szCs w:val="14"/>
              </w:rPr>
              <w:t>131</w:t>
            </w:r>
          </w:p>
        </w:tc>
        <w:tc>
          <w:tcPr>
            <w:tcW w:w="3260" w:type="dxa"/>
            <w:tcBorders>
              <w:top w:val="nil"/>
              <w:left w:val="nil"/>
              <w:bottom w:val="nil"/>
              <w:right w:val="nil"/>
            </w:tcBorders>
            <w:shd w:val="clear" w:color="auto" w:fill="auto"/>
            <w:vAlign w:val="center"/>
          </w:tcPr>
          <w:p w14:paraId="0B59AEDD" w14:textId="77777777" w:rsidR="00D2372E" w:rsidRPr="002A34F5" w:rsidRDefault="00D2372E" w:rsidP="00D2372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highlight w:val="yellow"/>
              </w:rPr>
            </w:pPr>
            <w:r w:rsidRPr="00B529D7">
              <w:rPr>
                <w:rFonts w:cs="Arial"/>
                <w:color w:val="000000"/>
                <w:sz w:val="14"/>
                <w:szCs w:val="14"/>
              </w:rPr>
              <w:t>892</w:t>
            </w:r>
            <w:r>
              <w:rPr>
                <w:rFonts w:cs="Arial"/>
                <w:color w:val="000000"/>
                <w:sz w:val="14"/>
                <w:szCs w:val="14"/>
              </w:rPr>
              <w:t>,</w:t>
            </w:r>
            <w:r w:rsidRPr="00B529D7">
              <w:rPr>
                <w:rFonts w:cs="Arial"/>
                <w:color w:val="000000"/>
                <w:sz w:val="14"/>
                <w:szCs w:val="14"/>
              </w:rPr>
              <w:t>461</w:t>
            </w:r>
          </w:p>
        </w:tc>
      </w:tr>
      <w:tr w:rsidR="00D2372E" w:rsidRPr="002A34F5" w14:paraId="35D0C960" w14:textId="77777777" w:rsidTr="008B7E1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3AD99CD0" w14:textId="77777777" w:rsidR="00D2372E" w:rsidRPr="002A34F5" w:rsidRDefault="00D2372E" w:rsidP="00D2372E">
            <w:pPr>
              <w:keepNext/>
              <w:keepLines/>
              <w:spacing w:before="40" w:after="40"/>
              <w:rPr>
                <w:rFonts w:eastAsia="Times New Roman" w:cs="Arial"/>
                <w:spacing w:val="-2"/>
                <w:sz w:val="14"/>
                <w:szCs w:val="14"/>
                <w:highlight w:val="yellow"/>
              </w:rPr>
            </w:pPr>
            <w:r>
              <w:rPr>
                <w:rFonts w:cs="Arial"/>
                <w:sz w:val="14"/>
                <w:szCs w:val="14"/>
              </w:rPr>
              <w:t>Equity</w:t>
            </w:r>
          </w:p>
        </w:tc>
        <w:tc>
          <w:tcPr>
            <w:tcW w:w="3260" w:type="dxa"/>
            <w:tcBorders>
              <w:top w:val="nil"/>
              <w:left w:val="nil"/>
              <w:bottom w:val="nil"/>
              <w:right w:val="nil"/>
            </w:tcBorders>
            <w:shd w:val="clear" w:color="auto" w:fill="auto"/>
            <w:vAlign w:val="center"/>
          </w:tcPr>
          <w:p w14:paraId="49619D19" w14:textId="77334877" w:rsidR="00D2372E" w:rsidRPr="002A34F5" w:rsidRDefault="00D2372E" w:rsidP="00D2372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b/>
                <w:bCs/>
                <w:sz w:val="14"/>
                <w:szCs w:val="14"/>
                <w:highlight w:val="yellow"/>
              </w:rPr>
            </w:pPr>
            <w:r w:rsidRPr="004C19D2">
              <w:rPr>
                <w:rFonts w:cs="Arial"/>
                <w:b/>
                <w:bCs/>
                <w:color w:val="000000"/>
                <w:sz w:val="14"/>
                <w:szCs w:val="14"/>
              </w:rPr>
              <w:t>7</w:t>
            </w:r>
            <w:r>
              <w:rPr>
                <w:rFonts w:cs="Arial"/>
                <w:b/>
                <w:bCs/>
                <w:color w:val="000000"/>
                <w:sz w:val="14"/>
                <w:szCs w:val="14"/>
              </w:rPr>
              <w:t>,</w:t>
            </w:r>
            <w:r w:rsidRPr="004C19D2">
              <w:rPr>
                <w:rFonts w:cs="Arial"/>
                <w:b/>
                <w:bCs/>
                <w:color w:val="000000"/>
                <w:sz w:val="14"/>
                <w:szCs w:val="14"/>
              </w:rPr>
              <w:t>545</w:t>
            </w:r>
            <w:r>
              <w:rPr>
                <w:rFonts w:cs="Arial"/>
                <w:b/>
                <w:bCs/>
                <w:color w:val="000000"/>
                <w:sz w:val="14"/>
                <w:szCs w:val="14"/>
              </w:rPr>
              <w:t>,</w:t>
            </w:r>
            <w:r w:rsidRPr="004C19D2">
              <w:rPr>
                <w:rFonts w:cs="Arial"/>
                <w:b/>
                <w:bCs/>
                <w:color w:val="000000"/>
                <w:sz w:val="14"/>
                <w:szCs w:val="14"/>
              </w:rPr>
              <w:t>783</w:t>
            </w:r>
          </w:p>
        </w:tc>
        <w:tc>
          <w:tcPr>
            <w:tcW w:w="3260" w:type="dxa"/>
            <w:tcBorders>
              <w:top w:val="nil"/>
              <w:left w:val="nil"/>
              <w:bottom w:val="nil"/>
              <w:right w:val="nil"/>
            </w:tcBorders>
            <w:shd w:val="clear" w:color="auto" w:fill="auto"/>
            <w:vAlign w:val="center"/>
          </w:tcPr>
          <w:p w14:paraId="40D49123" w14:textId="77777777" w:rsidR="00D2372E" w:rsidRPr="002A34F5" w:rsidRDefault="00D2372E" w:rsidP="00D2372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b/>
                <w:bCs/>
                <w:sz w:val="14"/>
                <w:szCs w:val="14"/>
                <w:highlight w:val="yellow"/>
              </w:rPr>
            </w:pPr>
            <w:r w:rsidRPr="00B529D7">
              <w:rPr>
                <w:rFonts w:cs="Arial"/>
                <w:b/>
                <w:bCs/>
                <w:color w:val="000000"/>
                <w:sz w:val="14"/>
                <w:szCs w:val="14"/>
              </w:rPr>
              <w:t>6</w:t>
            </w:r>
            <w:r>
              <w:rPr>
                <w:rFonts w:cs="Arial"/>
                <w:b/>
                <w:bCs/>
                <w:color w:val="000000"/>
                <w:sz w:val="14"/>
                <w:szCs w:val="14"/>
              </w:rPr>
              <w:t>,</w:t>
            </w:r>
            <w:r w:rsidRPr="00B529D7">
              <w:rPr>
                <w:rFonts w:cs="Arial"/>
                <w:b/>
                <w:bCs/>
                <w:color w:val="000000"/>
                <w:sz w:val="14"/>
                <w:szCs w:val="14"/>
              </w:rPr>
              <w:t>487</w:t>
            </w:r>
            <w:r>
              <w:rPr>
                <w:rFonts w:cs="Arial"/>
                <w:b/>
                <w:bCs/>
                <w:color w:val="000000"/>
                <w:sz w:val="14"/>
                <w:szCs w:val="14"/>
              </w:rPr>
              <w:t>,</w:t>
            </w:r>
            <w:r w:rsidRPr="00B529D7">
              <w:rPr>
                <w:rFonts w:cs="Arial"/>
                <w:b/>
                <w:bCs/>
                <w:color w:val="000000"/>
                <w:sz w:val="14"/>
                <w:szCs w:val="14"/>
              </w:rPr>
              <w:t>315</w:t>
            </w:r>
          </w:p>
        </w:tc>
      </w:tr>
      <w:tr w:rsidR="00D2372E" w:rsidRPr="00D36690" w14:paraId="2A0CA173"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25CA43AA" w14:textId="77777777" w:rsidR="00D2372E" w:rsidRPr="00D36690" w:rsidRDefault="00D2372E" w:rsidP="00D2372E">
            <w:pPr>
              <w:keepNext/>
              <w:keepLines/>
              <w:ind w:left="113"/>
              <w:rPr>
                <w:rFonts w:cs="Arial"/>
                <w:b w:val="0"/>
                <w:bCs w:val="0"/>
                <w:sz w:val="14"/>
                <w:szCs w:val="14"/>
              </w:rPr>
            </w:pPr>
            <w:r>
              <w:rPr>
                <w:rFonts w:cs="Arial"/>
                <w:b w:val="0"/>
                <w:bCs w:val="0"/>
                <w:sz w:val="14"/>
                <w:szCs w:val="14"/>
              </w:rPr>
              <w:t>Capital and reserves</w:t>
            </w:r>
          </w:p>
        </w:tc>
        <w:tc>
          <w:tcPr>
            <w:tcW w:w="3260" w:type="dxa"/>
            <w:tcBorders>
              <w:top w:val="nil"/>
              <w:left w:val="nil"/>
              <w:bottom w:val="nil"/>
              <w:right w:val="nil"/>
            </w:tcBorders>
            <w:shd w:val="clear" w:color="auto" w:fill="auto"/>
            <w:vAlign w:val="center"/>
          </w:tcPr>
          <w:p w14:paraId="5B9297CA" w14:textId="5E043331" w:rsidR="00D2372E" w:rsidRPr="000A161C" w:rsidRDefault="00D2372E" w:rsidP="00D2372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highlight w:val="yellow"/>
              </w:rPr>
            </w:pPr>
            <w:r w:rsidRPr="004C19D2">
              <w:rPr>
                <w:rFonts w:cs="Arial"/>
                <w:color w:val="000000"/>
                <w:sz w:val="14"/>
                <w:szCs w:val="14"/>
              </w:rPr>
              <w:t>6</w:t>
            </w:r>
            <w:r>
              <w:rPr>
                <w:rFonts w:cs="Arial"/>
                <w:color w:val="000000"/>
                <w:sz w:val="14"/>
                <w:szCs w:val="14"/>
              </w:rPr>
              <w:t>,</w:t>
            </w:r>
            <w:r w:rsidRPr="004C19D2">
              <w:rPr>
                <w:rFonts w:cs="Arial"/>
                <w:color w:val="000000"/>
                <w:sz w:val="14"/>
                <w:szCs w:val="14"/>
              </w:rPr>
              <w:t>222</w:t>
            </w:r>
            <w:r>
              <w:rPr>
                <w:rFonts w:cs="Arial"/>
                <w:color w:val="000000"/>
                <w:sz w:val="14"/>
                <w:szCs w:val="14"/>
              </w:rPr>
              <w:t>,</w:t>
            </w:r>
            <w:r w:rsidRPr="004C19D2">
              <w:rPr>
                <w:rFonts w:cs="Arial"/>
                <w:color w:val="000000"/>
                <w:sz w:val="14"/>
                <w:szCs w:val="14"/>
              </w:rPr>
              <w:t>591</w:t>
            </w:r>
          </w:p>
        </w:tc>
        <w:tc>
          <w:tcPr>
            <w:tcW w:w="3260" w:type="dxa"/>
            <w:tcBorders>
              <w:top w:val="nil"/>
              <w:left w:val="nil"/>
              <w:bottom w:val="nil"/>
              <w:right w:val="nil"/>
            </w:tcBorders>
            <w:shd w:val="clear" w:color="auto" w:fill="auto"/>
            <w:vAlign w:val="center"/>
          </w:tcPr>
          <w:p w14:paraId="21D601B8" w14:textId="77777777" w:rsidR="00D2372E" w:rsidRPr="002A34F5" w:rsidRDefault="00D2372E" w:rsidP="00D2372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highlight w:val="yellow"/>
              </w:rPr>
            </w:pPr>
            <w:r w:rsidRPr="00B529D7">
              <w:rPr>
                <w:rFonts w:cs="Arial"/>
                <w:color w:val="000000"/>
                <w:sz w:val="14"/>
                <w:szCs w:val="14"/>
              </w:rPr>
              <w:t>6</w:t>
            </w:r>
            <w:r>
              <w:rPr>
                <w:rFonts w:cs="Arial"/>
                <w:color w:val="000000"/>
                <w:sz w:val="14"/>
                <w:szCs w:val="14"/>
              </w:rPr>
              <w:t>,</w:t>
            </w:r>
            <w:r w:rsidRPr="00B529D7">
              <w:rPr>
                <w:rFonts w:cs="Arial"/>
                <w:color w:val="000000"/>
                <w:sz w:val="14"/>
                <w:szCs w:val="14"/>
              </w:rPr>
              <w:t>722</w:t>
            </w:r>
            <w:r>
              <w:rPr>
                <w:rFonts w:cs="Arial"/>
                <w:color w:val="000000"/>
                <w:sz w:val="14"/>
                <w:szCs w:val="14"/>
              </w:rPr>
              <w:t>,</w:t>
            </w:r>
            <w:r w:rsidRPr="00B529D7">
              <w:rPr>
                <w:rFonts w:cs="Arial"/>
                <w:color w:val="000000"/>
                <w:sz w:val="14"/>
                <w:szCs w:val="14"/>
              </w:rPr>
              <w:t>59</w:t>
            </w:r>
            <w:r>
              <w:rPr>
                <w:rFonts w:cs="Arial"/>
                <w:color w:val="000000"/>
                <w:sz w:val="14"/>
                <w:szCs w:val="14"/>
              </w:rPr>
              <w:t>2</w:t>
            </w:r>
          </w:p>
        </w:tc>
      </w:tr>
      <w:tr w:rsidR="00D2372E" w:rsidRPr="00D36690" w14:paraId="27E69A6C" w14:textId="77777777" w:rsidTr="008B7E1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419A75B2" w14:textId="77777777" w:rsidR="00D2372E" w:rsidRPr="00D36690" w:rsidRDefault="00D2372E" w:rsidP="00D2372E">
            <w:pPr>
              <w:keepNext/>
              <w:keepLines/>
              <w:ind w:left="113"/>
              <w:rPr>
                <w:rFonts w:cs="Arial"/>
                <w:b w:val="0"/>
                <w:bCs w:val="0"/>
                <w:sz w:val="14"/>
                <w:szCs w:val="14"/>
              </w:rPr>
            </w:pPr>
            <w:r>
              <w:rPr>
                <w:rFonts w:cs="Arial"/>
                <w:b w:val="0"/>
                <w:bCs w:val="0"/>
                <w:sz w:val="14"/>
                <w:szCs w:val="14"/>
              </w:rPr>
              <w:t>Retained earnings</w:t>
            </w:r>
          </w:p>
        </w:tc>
        <w:tc>
          <w:tcPr>
            <w:tcW w:w="3260" w:type="dxa"/>
            <w:tcBorders>
              <w:top w:val="nil"/>
              <w:left w:val="nil"/>
              <w:bottom w:val="nil"/>
              <w:right w:val="nil"/>
            </w:tcBorders>
            <w:shd w:val="clear" w:color="auto" w:fill="auto"/>
            <w:vAlign w:val="center"/>
          </w:tcPr>
          <w:p w14:paraId="5DA1FAFD" w14:textId="4793A117" w:rsidR="00D2372E" w:rsidRPr="000A161C" w:rsidRDefault="00D2372E" w:rsidP="00D2372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sz w:val="14"/>
                <w:szCs w:val="14"/>
                <w:highlight w:val="yellow"/>
              </w:rPr>
            </w:pPr>
            <w:r w:rsidRPr="004C19D2">
              <w:rPr>
                <w:rFonts w:cs="Arial"/>
                <w:color w:val="000000"/>
                <w:sz w:val="14"/>
                <w:szCs w:val="14"/>
              </w:rPr>
              <w:t>1</w:t>
            </w:r>
            <w:r>
              <w:rPr>
                <w:rFonts w:cs="Arial"/>
                <w:color w:val="000000"/>
                <w:sz w:val="14"/>
                <w:szCs w:val="14"/>
              </w:rPr>
              <w:t>,</w:t>
            </w:r>
            <w:r w:rsidRPr="004C19D2">
              <w:rPr>
                <w:rFonts w:cs="Arial"/>
                <w:color w:val="000000"/>
                <w:sz w:val="14"/>
                <w:szCs w:val="14"/>
              </w:rPr>
              <w:t>139</w:t>
            </w:r>
            <w:r>
              <w:rPr>
                <w:rFonts w:cs="Arial"/>
                <w:color w:val="000000"/>
                <w:sz w:val="14"/>
                <w:szCs w:val="14"/>
              </w:rPr>
              <w:t>,</w:t>
            </w:r>
            <w:r w:rsidRPr="004C19D2">
              <w:rPr>
                <w:rFonts w:cs="Arial"/>
                <w:color w:val="000000"/>
                <w:sz w:val="14"/>
                <w:szCs w:val="14"/>
              </w:rPr>
              <w:t>255</w:t>
            </w:r>
          </w:p>
        </w:tc>
        <w:tc>
          <w:tcPr>
            <w:tcW w:w="3260" w:type="dxa"/>
            <w:tcBorders>
              <w:top w:val="nil"/>
              <w:left w:val="nil"/>
              <w:bottom w:val="nil"/>
              <w:right w:val="nil"/>
            </w:tcBorders>
            <w:shd w:val="clear" w:color="auto" w:fill="auto"/>
            <w:vAlign w:val="center"/>
          </w:tcPr>
          <w:p w14:paraId="2A26A722" w14:textId="77777777" w:rsidR="00D2372E" w:rsidRPr="002A34F5" w:rsidRDefault="00D2372E" w:rsidP="00D2372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sz w:val="14"/>
                <w:szCs w:val="14"/>
                <w:highlight w:val="yellow"/>
              </w:rPr>
            </w:pPr>
            <w:r>
              <w:rPr>
                <w:rFonts w:cs="Arial"/>
                <w:color w:val="000000"/>
                <w:sz w:val="14"/>
                <w:szCs w:val="14"/>
              </w:rPr>
              <w:t>--</w:t>
            </w:r>
          </w:p>
        </w:tc>
      </w:tr>
      <w:tr w:rsidR="00D2372E" w:rsidRPr="00D36690" w14:paraId="5E3A3A0C"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54BED742" w14:textId="77777777" w:rsidR="00D2372E" w:rsidRDefault="00D2372E" w:rsidP="00D2372E">
            <w:pPr>
              <w:keepNext/>
              <w:keepLines/>
              <w:ind w:left="113"/>
              <w:rPr>
                <w:rFonts w:cs="Arial"/>
                <w:sz w:val="14"/>
                <w:szCs w:val="14"/>
              </w:rPr>
            </w:pPr>
            <w:r w:rsidRPr="002F01AF">
              <w:rPr>
                <w:rFonts w:cs="Arial"/>
                <w:sz w:val="14"/>
                <w:szCs w:val="14"/>
              </w:rPr>
              <w:t>Asset valuation adjustment</w:t>
            </w:r>
          </w:p>
        </w:tc>
        <w:tc>
          <w:tcPr>
            <w:tcW w:w="3260" w:type="dxa"/>
            <w:tcBorders>
              <w:top w:val="nil"/>
              <w:left w:val="nil"/>
              <w:bottom w:val="nil"/>
              <w:right w:val="nil"/>
            </w:tcBorders>
            <w:shd w:val="clear" w:color="auto" w:fill="auto"/>
            <w:vAlign w:val="center"/>
          </w:tcPr>
          <w:p w14:paraId="3854D765" w14:textId="2C4D667B" w:rsidR="00D2372E" w:rsidRPr="000A161C" w:rsidRDefault="00D2372E" w:rsidP="00D2372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rPr>
            </w:pPr>
            <w:r w:rsidRPr="004C19D2">
              <w:rPr>
                <w:rFonts w:cs="Arial"/>
                <w:color w:val="000000"/>
                <w:sz w:val="14"/>
                <w:szCs w:val="14"/>
              </w:rPr>
              <w:t>16</w:t>
            </w:r>
            <w:r>
              <w:rPr>
                <w:rFonts w:cs="Arial"/>
                <w:color w:val="000000"/>
                <w:sz w:val="14"/>
                <w:szCs w:val="14"/>
              </w:rPr>
              <w:t>,</w:t>
            </w:r>
            <w:r w:rsidRPr="004C19D2">
              <w:rPr>
                <w:rFonts w:cs="Arial"/>
                <w:color w:val="000000"/>
                <w:sz w:val="14"/>
                <w:szCs w:val="14"/>
              </w:rPr>
              <w:t>854</w:t>
            </w:r>
          </w:p>
        </w:tc>
        <w:tc>
          <w:tcPr>
            <w:tcW w:w="3260" w:type="dxa"/>
            <w:tcBorders>
              <w:top w:val="nil"/>
              <w:left w:val="nil"/>
              <w:bottom w:val="nil"/>
              <w:right w:val="nil"/>
            </w:tcBorders>
            <w:shd w:val="clear" w:color="auto" w:fill="auto"/>
            <w:vAlign w:val="center"/>
          </w:tcPr>
          <w:p w14:paraId="29D7FE0E" w14:textId="77777777" w:rsidR="00D2372E" w:rsidRPr="002A34F5" w:rsidRDefault="00D2372E" w:rsidP="00D2372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rPr>
            </w:pPr>
            <w:r w:rsidRPr="00B529D7">
              <w:rPr>
                <w:rFonts w:cs="Arial"/>
                <w:color w:val="000000"/>
                <w:sz w:val="14"/>
                <w:szCs w:val="14"/>
              </w:rPr>
              <w:t>584</w:t>
            </w:r>
          </w:p>
        </w:tc>
      </w:tr>
      <w:tr w:rsidR="00D2372E" w:rsidRPr="00D36690" w14:paraId="2A50C1B9" w14:textId="77777777" w:rsidTr="008B7E1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7AD1CBD4" w14:textId="77777777" w:rsidR="00D2372E" w:rsidRPr="00080F19" w:rsidRDefault="00D2372E" w:rsidP="00D2372E">
            <w:pPr>
              <w:keepNext/>
              <w:keepLines/>
              <w:ind w:left="113"/>
              <w:rPr>
                <w:rFonts w:cs="Arial"/>
                <w:b w:val="0"/>
                <w:bCs w:val="0"/>
                <w:sz w:val="14"/>
                <w:szCs w:val="14"/>
              </w:rPr>
            </w:pPr>
            <w:r>
              <w:rPr>
                <w:rFonts w:cs="Arial"/>
                <w:b w:val="0"/>
                <w:bCs w:val="0"/>
                <w:sz w:val="14"/>
                <w:szCs w:val="14"/>
              </w:rPr>
              <w:t>Other comprehensive results</w:t>
            </w:r>
          </w:p>
        </w:tc>
        <w:tc>
          <w:tcPr>
            <w:tcW w:w="3260" w:type="dxa"/>
            <w:tcBorders>
              <w:top w:val="nil"/>
              <w:left w:val="nil"/>
              <w:bottom w:val="nil"/>
              <w:right w:val="nil"/>
            </w:tcBorders>
            <w:shd w:val="clear" w:color="auto" w:fill="auto"/>
            <w:vAlign w:val="center"/>
          </w:tcPr>
          <w:p w14:paraId="5D856C50" w14:textId="21A00016" w:rsidR="00D2372E" w:rsidRPr="000A161C" w:rsidRDefault="00D2372E" w:rsidP="00D2372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sz w:val="14"/>
                <w:szCs w:val="14"/>
              </w:rPr>
            </w:pPr>
            <w:r w:rsidRPr="004C19D2">
              <w:rPr>
                <w:rFonts w:cs="Arial"/>
                <w:color w:val="000000"/>
                <w:sz w:val="14"/>
                <w:szCs w:val="14"/>
              </w:rPr>
              <w:t>167</w:t>
            </w:r>
            <w:r>
              <w:rPr>
                <w:rFonts w:cs="Arial"/>
                <w:color w:val="000000"/>
                <w:sz w:val="14"/>
                <w:szCs w:val="14"/>
              </w:rPr>
              <w:t>,</w:t>
            </w:r>
            <w:r w:rsidRPr="004C19D2">
              <w:rPr>
                <w:rFonts w:cs="Arial"/>
                <w:color w:val="000000"/>
                <w:sz w:val="14"/>
                <w:szCs w:val="14"/>
              </w:rPr>
              <w:t>083</w:t>
            </w:r>
          </w:p>
        </w:tc>
        <w:tc>
          <w:tcPr>
            <w:tcW w:w="3260" w:type="dxa"/>
            <w:tcBorders>
              <w:top w:val="nil"/>
              <w:left w:val="nil"/>
              <w:bottom w:val="nil"/>
              <w:right w:val="nil"/>
            </w:tcBorders>
            <w:shd w:val="clear" w:color="auto" w:fill="auto"/>
            <w:vAlign w:val="center"/>
          </w:tcPr>
          <w:p w14:paraId="62993345" w14:textId="77777777" w:rsidR="00D2372E" w:rsidRPr="002A34F5" w:rsidRDefault="00D2372E" w:rsidP="00D2372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sz w:val="14"/>
                <w:szCs w:val="14"/>
              </w:rPr>
            </w:pPr>
            <w:r w:rsidRPr="00B529D7">
              <w:rPr>
                <w:rFonts w:cs="Arial"/>
                <w:color w:val="000000"/>
                <w:sz w:val="14"/>
                <w:szCs w:val="14"/>
              </w:rPr>
              <w:t>(235</w:t>
            </w:r>
            <w:r>
              <w:rPr>
                <w:rFonts w:cs="Arial"/>
                <w:color w:val="000000"/>
                <w:sz w:val="14"/>
                <w:szCs w:val="14"/>
              </w:rPr>
              <w:t>,</w:t>
            </w:r>
            <w:r w:rsidRPr="00B529D7">
              <w:rPr>
                <w:rFonts w:cs="Arial"/>
                <w:color w:val="000000"/>
                <w:sz w:val="14"/>
                <w:szCs w:val="14"/>
              </w:rPr>
              <w:t>860)</w:t>
            </w:r>
          </w:p>
        </w:tc>
      </w:tr>
      <w:tr w:rsidR="00D2372E" w:rsidRPr="002A34F5" w14:paraId="3B870071"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7724A002" w14:textId="77777777" w:rsidR="00D2372E" w:rsidRPr="002A34F5" w:rsidRDefault="00D2372E" w:rsidP="00D2372E">
            <w:pPr>
              <w:keepNext/>
              <w:keepLines/>
              <w:spacing w:before="40" w:after="40"/>
              <w:rPr>
                <w:rFonts w:cs="Arial"/>
                <w:sz w:val="14"/>
                <w:szCs w:val="14"/>
                <w:highlight w:val="yellow"/>
              </w:rPr>
            </w:pPr>
            <w:r>
              <w:rPr>
                <w:rFonts w:cs="Arial"/>
                <w:sz w:val="14"/>
                <w:szCs w:val="14"/>
              </w:rPr>
              <w:t>Liabilities and Equity</w:t>
            </w:r>
          </w:p>
        </w:tc>
        <w:tc>
          <w:tcPr>
            <w:tcW w:w="3260" w:type="dxa"/>
            <w:tcBorders>
              <w:top w:val="nil"/>
              <w:left w:val="nil"/>
              <w:bottom w:val="nil"/>
              <w:right w:val="nil"/>
            </w:tcBorders>
            <w:shd w:val="clear" w:color="auto" w:fill="auto"/>
            <w:vAlign w:val="center"/>
          </w:tcPr>
          <w:p w14:paraId="531B69B5" w14:textId="4D4616F9" w:rsidR="00D2372E" w:rsidRPr="002A34F5" w:rsidRDefault="00D2372E" w:rsidP="00D2372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b/>
                <w:bCs/>
                <w:sz w:val="14"/>
                <w:szCs w:val="14"/>
                <w:highlight w:val="yellow"/>
              </w:rPr>
            </w:pPr>
            <w:r w:rsidRPr="004C19D2">
              <w:rPr>
                <w:rFonts w:cs="Arial"/>
                <w:b/>
                <w:bCs/>
                <w:color w:val="000000"/>
                <w:sz w:val="14"/>
                <w:szCs w:val="14"/>
              </w:rPr>
              <w:t>372</w:t>
            </w:r>
            <w:r>
              <w:rPr>
                <w:rFonts w:cs="Arial"/>
                <w:b/>
                <w:bCs/>
                <w:color w:val="000000"/>
                <w:sz w:val="14"/>
                <w:szCs w:val="14"/>
              </w:rPr>
              <w:t>,</w:t>
            </w:r>
            <w:r w:rsidRPr="004C19D2">
              <w:rPr>
                <w:rFonts w:cs="Arial"/>
                <w:b/>
                <w:bCs/>
                <w:color w:val="000000"/>
                <w:sz w:val="14"/>
                <w:szCs w:val="14"/>
              </w:rPr>
              <w:t>310</w:t>
            </w:r>
            <w:r>
              <w:rPr>
                <w:rFonts w:cs="Arial"/>
                <w:b/>
                <w:bCs/>
                <w:color w:val="000000"/>
                <w:sz w:val="14"/>
                <w:szCs w:val="14"/>
              </w:rPr>
              <w:t>,</w:t>
            </w:r>
            <w:r w:rsidRPr="004C19D2">
              <w:rPr>
                <w:rFonts w:cs="Arial"/>
                <w:b/>
                <w:bCs/>
                <w:color w:val="000000"/>
                <w:sz w:val="14"/>
                <w:szCs w:val="14"/>
              </w:rPr>
              <w:t>773</w:t>
            </w:r>
          </w:p>
        </w:tc>
        <w:tc>
          <w:tcPr>
            <w:tcW w:w="3260" w:type="dxa"/>
            <w:tcBorders>
              <w:top w:val="nil"/>
              <w:left w:val="nil"/>
              <w:bottom w:val="nil"/>
              <w:right w:val="nil"/>
            </w:tcBorders>
            <w:shd w:val="clear" w:color="auto" w:fill="auto"/>
            <w:vAlign w:val="center"/>
          </w:tcPr>
          <w:p w14:paraId="5DB31DB1" w14:textId="77777777" w:rsidR="00D2372E" w:rsidRPr="002A34F5" w:rsidRDefault="00D2372E" w:rsidP="00D2372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b/>
                <w:bCs/>
                <w:sz w:val="14"/>
                <w:szCs w:val="14"/>
                <w:highlight w:val="yellow"/>
              </w:rPr>
            </w:pPr>
            <w:r w:rsidRPr="00B529D7">
              <w:rPr>
                <w:rFonts w:cs="Arial"/>
                <w:b/>
                <w:bCs/>
                <w:color w:val="000000"/>
                <w:sz w:val="14"/>
                <w:szCs w:val="14"/>
              </w:rPr>
              <w:t>349</w:t>
            </w:r>
            <w:r>
              <w:rPr>
                <w:rFonts w:cs="Arial"/>
                <w:b/>
                <w:bCs/>
                <w:color w:val="000000"/>
                <w:sz w:val="14"/>
                <w:szCs w:val="14"/>
              </w:rPr>
              <w:t>,</w:t>
            </w:r>
            <w:r w:rsidRPr="00B529D7">
              <w:rPr>
                <w:rFonts w:cs="Arial"/>
                <w:b/>
                <w:bCs/>
                <w:color w:val="000000"/>
                <w:sz w:val="14"/>
                <w:szCs w:val="14"/>
              </w:rPr>
              <w:t>783</w:t>
            </w:r>
            <w:r>
              <w:rPr>
                <w:rFonts w:cs="Arial"/>
                <w:b/>
                <w:bCs/>
                <w:color w:val="000000"/>
                <w:sz w:val="14"/>
                <w:szCs w:val="14"/>
              </w:rPr>
              <w:t>,</w:t>
            </w:r>
            <w:r w:rsidRPr="00B529D7">
              <w:rPr>
                <w:rFonts w:cs="Arial"/>
                <w:b/>
                <w:bCs/>
                <w:color w:val="000000"/>
                <w:sz w:val="14"/>
                <w:szCs w:val="14"/>
              </w:rPr>
              <w:t>958</w:t>
            </w:r>
          </w:p>
        </w:tc>
      </w:tr>
      <w:tr w:rsidR="00D2372E" w:rsidRPr="002A34F5" w14:paraId="252BC4D9" w14:textId="77777777" w:rsidTr="008A2A0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4528D388" w14:textId="77777777" w:rsidR="00D2372E" w:rsidRPr="002A34F5" w:rsidRDefault="00D2372E" w:rsidP="00D2372E">
            <w:pPr>
              <w:keepNext/>
              <w:keepLines/>
              <w:spacing w:before="40" w:after="40"/>
              <w:rPr>
                <w:rFonts w:cs="Arial"/>
                <w:sz w:val="14"/>
                <w:szCs w:val="14"/>
              </w:rPr>
            </w:pPr>
            <w:r>
              <w:rPr>
                <w:rFonts w:cs="Arial"/>
                <w:sz w:val="14"/>
                <w:szCs w:val="14"/>
              </w:rPr>
              <w:t>Attributable to BB Seguridade</w:t>
            </w:r>
          </w:p>
        </w:tc>
        <w:tc>
          <w:tcPr>
            <w:tcW w:w="3260" w:type="dxa"/>
            <w:tcBorders>
              <w:top w:val="nil"/>
              <w:left w:val="nil"/>
              <w:bottom w:val="nil"/>
              <w:right w:val="nil"/>
            </w:tcBorders>
            <w:shd w:val="clear" w:color="auto" w:fill="auto"/>
          </w:tcPr>
          <w:p w14:paraId="4A47D223" w14:textId="2A9C7FCC" w:rsidR="00D2372E" w:rsidRPr="002A34F5" w:rsidRDefault="00D2372E" w:rsidP="00D2372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b/>
                <w:bCs/>
                <w:sz w:val="14"/>
                <w:szCs w:val="14"/>
              </w:rPr>
            </w:pPr>
            <w:r w:rsidRPr="004C19D2">
              <w:rPr>
                <w:rFonts w:cs="Arial"/>
                <w:b/>
                <w:bCs/>
                <w:sz w:val="14"/>
                <w:szCs w:val="14"/>
              </w:rPr>
              <w:t xml:space="preserve"> 5</w:t>
            </w:r>
            <w:r>
              <w:rPr>
                <w:rFonts w:cs="Arial"/>
                <w:b/>
                <w:bCs/>
                <w:sz w:val="14"/>
                <w:szCs w:val="14"/>
              </w:rPr>
              <w:t>,</w:t>
            </w:r>
            <w:r w:rsidRPr="004C19D2">
              <w:rPr>
                <w:rFonts w:cs="Arial"/>
                <w:b/>
                <w:bCs/>
                <w:sz w:val="14"/>
                <w:szCs w:val="14"/>
              </w:rPr>
              <w:t>658</w:t>
            </w:r>
            <w:r>
              <w:rPr>
                <w:rFonts w:cs="Arial"/>
                <w:b/>
                <w:bCs/>
                <w:sz w:val="14"/>
                <w:szCs w:val="14"/>
              </w:rPr>
              <w:t>,</w:t>
            </w:r>
            <w:r w:rsidRPr="004C19D2">
              <w:rPr>
                <w:rFonts w:cs="Arial"/>
                <w:b/>
                <w:bCs/>
                <w:sz w:val="14"/>
                <w:szCs w:val="14"/>
              </w:rPr>
              <w:t xml:space="preserve">959 </w:t>
            </w:r>
          </w:p>
        </w:tc>
        <w:tc>
          <w:tcPr>
            <w:tcW w:w="3260" w:type="dxa"/>
            <w:tcBorders>
              <w:top w:val="nil"/>
              <w:left w:val="nil"/>
              <w:bottom w:val="nil"/>
              <w:right w:val="nil"/>
            </w:tcBorders>
            <w:shd w:val="clear" w:color="auto" w:fill="auto"/>
            <w:vAlign w:val="center"/>
          </w:tcPr>
          <w:p w14:paraId="4055585D" w14:textId="77777777" w:rsidR="00D2372E" w:rsidRPr="002A34F5" w:rsidRDefault="00D2372E" w:rsidP="00D2372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b/>
                <w:bCs/>
                <w:sz w:val="14"/>
                <w:szCs w:val="14"/>
              </w:rPr>
            </w:pPr>
            <w:r w:rsidRPr="003D4460">
              <w:rPr>
                <w:rFonts w:cs="Arial"/>
                <w:b/>
                <w:bCs/>
                <w:sz w:val="14"/>
                <w:szCs w:val="14"/>
              </w:rPr>
              <w:t xml:space="preserve"> 4</w:t>
            </w:r>
            <w:r>
              <w:rPr>
                <w:rFonts w:cs="Arial"/>
                <w:b/>
                <w:bCs/>
                <w:sz w:val="14"/>
                <w:szCs w:val="14"/>
              </w:rPr>
              <w:t>,</w:t>
            </w:r>
            <w:r w:rsidRPr="003D4460">
              <w:rPr>
                <w:rFonts w:cs="Arial"/>
                <w:b/>
                <w:bCs/>
                <w:sz w:val="14"/>
                <w:szCs w:val="14"/>
              </w:rPr>
              <w:t>865</w:t>
            </w:r>
            <w:r>
              <w:rPr>
                <w:rFonts w:cs="Arial"/>
                <w:b/>
                <w:bCs/>
                <w:sz w:val="14"/>
                <w:szCs w:val="14"/>
              </w:rPr>
              <w:t>,</w:t>
            </w:r>
            <w:r w:rsidRPr="003D4460">
              <w:rPr>
                <w:rFonts w:cs="Arial"/>
                <w:b/>
                <w:bCs/>
                <w:sz w:val="14"/>
                <w:szCs w:val="14"/>
              </w:rPr>
              <w:t xml:space="preserve">162 </w:t>
            </w:r>
          </w:p>
        </w:tc>
      </w:tr>
      <w:tr w:rsidR="00D2372E" w:rsidRPr="00D36690" w14:paraId="34F8EF44" w14:textId="77777777" w:rsidTr="008A2A0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1B2B833D" w14:textId="77777777" w:rsidR="00D2372E" w:rsidRPr="00D36690" w:rsidRDefault="00D2372E" w:rsidP="00D2372E">
            <w:pPr>
              <w:keepNext/>
              <w:keepLines/>
              <w:ind w:left="113"/>
              <w:rPr>
                <w:rFonts w:cs="Arial"/>
                <w:b w:val="0"/>
                <w:bCs w:val="0"/>
                <w:sz w:val="14"/>
                <w:szCs w:val="14"/>
              </w:rPr>
            </w:pPr>
            <w:r>
              <w:rPr>
                <w:rFonts w:cs="Arial"/>
                <w:b w:val="0"/>
                <w:bCs w:val="0"/>
                <w:sz w:val="14"/>
                <w:szCs w:val="14"/>
              </w:rPr>
              <w:t>U</w:t>
            </w:r>
            <w:r w:rsidRPr="00FC4DCD">
              <w:rPr>
                <w:rFonts w:cs="Arial"/>
                <w:b w:val="0"/>
                <w:bCs w:val="0"/>
                <w:sz w:val="14"/>
                <w:szCs w:val="14"/>
              </w:rPr>
              <w:t xml:space="preserve">nrealized result </w:t>
            </w:r>
            <w:r w:rsidRPr="00D36690">
              <w:rPr>
                <w:rFonts w:cs="Arial"/>
                <w:b w:val="0"/>
                <w:bCs w:val="0"/>
                <w:sz w:val="14"/>
                <w:szCs w:val="14"/>
                <w:vertAlign w:val="superscript"/>
              </w:rPr>
              <w:t>(1)</w:t>
            </w:r>
          </w:p>
        </w:tc>
        <w:tc>
          <w:tcPr>
            <w:tcW w:w="3260" w:type="dxa"/>
            <w:tcBorders>
              <w:top w:val="nil"/>
              <w:left w:val="nil"/>
              <w:bottom w:val="nil"/>
              <w:right w:val="nil"/>
            </w:tcBorders>
            <w:shd w:val="clear" w:color="auto" w:fill="auto"/>
          </w:tcPr>
          <w:p w14:paraId="6F567CCB" w14:textId="274E820F" w:rsidR="00D2372E" w:rsidRPr="000A161C" w:rsidRDefault="00D2372E" w:rsidP="00D2372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rPr>
            </w:pPr>
            <w:r w:rsidRPr="004C19D2">
              <w:rPr>
                <w:rFonts w:cs="Arial"/>
                <w:sz w:val="14"/>
                <w:szCs w:val="14"/>
              </w:rPr>
              <w:t>(14</w:t>
            </w:r>
            <w:r>
              <w:rPr>
                <w:rFonts w:cs="Arial"/>
                <w:sz w:val="14"/>
                <w:szCs w:val="14"/>
              </w:rPr>
              <w:t>,</w:t>
            </w:r>
            <w:r w:rsidRPr="004C19D2">
              <w:rPr>
                <w:rFonts w:cs="Arial"/>
                <w:sz w:val="14"/>
                <w:szCs w:val="14"/>
              </w:rPr>
              <w:t xml:space="preserve">354) </w:t>
            </w:r>
          </w:p>
        </w:tc>
        <w:tc>
          <w:tcPr>
            <w:tcW w:w="3260" w:type="dxa"/>
            <w:tcBorders>
              <w:top w:val="nil"/>
              <w:left w:val="nil"/>
              <w:bottom w:val="nil"/>
              <w:right w:val="nil"/>
            </w:tcBorders>
            <w:shd w:val="clear" w:color="auto" w:fill="auto"/>
            <w:vAlign w:val="center"/>
          </w:tcPr>
          <w:p w14:paraId="63FE7C71" w14:textId="77777777" w:rsidR="00D2372E" w:rsidRPr="002A34F5" w:rsidRDefault="00D2372E" w:rsidP="00D2372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rPr>
            </w:pPr>
            <w:r w:rsidRPr="003D4460">
              <w:rPr>
                <w:rFonts w:cs="Arial"/>
                <w:sz w:val="14"/>
                <w:szCs w:val="14"/>
              </w:rPr>
              <w:t>(22</w:t>
            </w:r>
            <w:r>
              <w:rPr>
                <w:rFonts w:cs="Arial"/>
                <w:sz w:val="14"/>
                <w:szCs w:val="14"/>
              </w:rPr>
              <w:t>,</w:t>
            </w:r>
            <w:r w:rsidRPr="003D4460">
              <w:rPr>
                <w:rFonts w:cs="Arial"/>
                <w:sz w:val="14"/>
                <w:szCs w:val="14"/>
              </w:rPr>
              <w:t xml:space="preserve">830) </w:t>
            </w:r>
          </w:p>
        </w:tc>
      </w:tr>
      <w:tr w:rsidR="00D2372E" w:rsidRPr="002A34F5" w14:paraId="08C9FABB" w14:textId="77777777" w:rsidTr="008B7E1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single" w:sz="2" w:space="0" w:color="1F4E79" w:themeColor="accent1" w:themeShade="80"/>
              <w:right w:val="nil"/>
            </w:tcBorders>
            <w:shd w:val="clear" w:color="auto" w:fill="auto"/>
            <w:vAlign w:val="center"/>
          </w:tcPr>
          <w:p w14:paraId="4CFFD2FA" w14:textId="77777777" w:rsidR="00D2372E" w:rsidRPr="002A34F5" w:rsidRDefault="00D2372E" w:rsidP="00D2372E">
            <w:pPr>
              <w:keepNext/>
              <w:keepLines/>
              <w:rPr>
                <w:rFonts w:cs="Arial"/>
                <w:color w:val="000000"/>
                <w:sz w:val="14"/>
                <w:szCs w:val="14"/>
                <w:highlight w:val="yellow"/>
              </w:rPr>
            </w:pPr>
            <w:r>
              <w:rPr>
                <w:rFonts w:cs="Arial"/>
                <w:sz w:val="14"/>
                <w:szCs w:val="14"/>
              </w:rPr>
              <w:t>Investment balance</w:t>
            </w:r>
          </w:p>
        </w:tc>
        <w:tc>
          <w:tcPr>
            <w:tcW w:w="3260" w:type="dxa"/>
            <w:tcBorders>
              <w:top w:val="nil"/>
              <w:left w:val="nil"/>
              <w:bottom w:val="single" w:sz="2" w:space="0" w:color="1F4E79" w:themeColor="accent1" w:themeShade="80"/>
              <w:right w:val="nil"/>
            </w:tcBorders>
            <w:shd w:val="clear" w:color="auto" w:fill="auto"/>
            <w:vAlign w:val="center"/>
          </w:tcPr>
          <w:p w14:paraId="0D4DA168" w14:textId="10DE86DA" w:rsidR="00D2372E" w:rsidRPr="002A34F5" w:rsidRDefault="00D2372E" w:rsidP="00D2372E">
            <w:pPr>
              <w:keepNext/>
              <w:keepLines/>
              <w:jc w:val="right"/>
              <w:cnfStyle w:val="000000010000" w:firstRow="0" w:lastRow="0" w:firstColumn="0" w:lastColumn="0" w:oddVBand="0" w:evenVBand="0" w:oddHBand="0" w:evenHBand="1" w:firstRowFirstColumn="0" w:firstRowLastColumn="0" w:lastRowFirstColumn="0" w:lastRowLastColumn="0"/>
              <w:rPr>
                <w:rFonts w:cs="Arial"/>
                <w:b/>
                <w:bCs/>
                <w:color w:val="000000"/>
                <w:sz w:val="14"/>
                <w:szCs w:val="14"/>
                <w:highlight w:val="yellow"/>
              </w:rPr>
            </w:pPr>
            <w:r w:rsidRPr="004C19D2">
              <w:rPr>
                <w:rFonts w:cs="Arial"/>
                <w:b/>
                <w:bCs/>
                <w:color w:val="000000"/>
                <w:sz w:val="14"/>
                <w:szCs w:val="14"/>
              </w:rPr>
              <w:t>5</w:t>
            </w:r>
            <w:r>
              <w:rPr>
                <w:rFonts w:cs="Arial"/>
                <w:b/>
                <w:bCs/>
                <w:color w:val="000000"/>
                <w:sz w:val="14"/>
                <w:szCs w:val="14"/>
              </w:rPr>
              <w:t>,</w:t>
            </w:r>
            <w:r w:rsidRPr="004C19D2">
              <w:rPr>
                <w:rFonts w:cs="Arial"/>
                <w:b/>
                <w:bCs/>
                <w:color w:val="000000"/>
                <w:sz w:val="14"/>
                <w:szCs w:val="14"/>
              </w:rPr>
              <w:t>644</w:t>
            </w:r>
            <w:r>
              <w:rPr>
                <w:rFonts w:cs="Arial"/>
                <w:b/>
                <w:bCs/>
                <w:color w:val="000000"/>
                <w:sz w:val="14"/>
                <w:szCs w:val="14"/>
              </w:rPr>
              <w:t>,</w:t>
            </w:r>
            <w:r w:rsidRPr="004C19D2">
              <w:rPr>
                <w:rFonts w:cs="Arial"/>
                <w:b/>
                <w:bCs/>
                <w:color w:val="000000"/>
                <w:sz w:val="14"/>
                <w:szCs w:val="14"/>
              </w:rPr>
              <w:t>605</w:t>
            </w:r>
          </w:p>
        </w:tc>
        <w:tc>
          <w:tcPr>
            <w:tcW w:w="3260" w:type="dxa"/>
            <w:tcBorders>
              <w:top w:val="nil"/>
              <w:left w:val="nil"/>
              <w:bottom w:val="single" w:sz="2" w:space="0" w:color="1F4E79" w:themeColor="accent1" w:themeShade="80"/>
              <w:right w:val="nil"/>
            </w:tcBorders>
            <w:shd w:val="clear" w:color="auto" w:fill="auto"/>
            <w:vAlign w:val="center"/>
          </w:tcPr>
          <w:p w14:paraId="7635CB6D" w14:textId="77777777" w:rsidR="00D2372E" w:rsidRPr="002A34F5" w:rsidRDefault="00D2372E" w:rsidP="00D2372E">
            <w:pPr>
              <w:keepNext/>
              <w:keepLines/>
              <w:jc w:val="right"/>
              <w:cnfStyle w:val="000000010000" w:firstRow="0" w:lastRow="0" w:firstColumn="0" w:lastColumn="0" w:oddVBand="0" w:evenVBand="0" w:oddHBand="0" w:evenHBand="1" w:firstRowFirstColumn="0" w:firstRowLastColumn="0" w:lastRowFirstColumn="0" w:lastRowLastColumn="0"/>
              <w:rPr>
                <w:rFonts w:cs="Arial"/>
                <w:b/>
                <w:bCs/>
                <w:color w:val="000000"/>
                <w:sz w:val="14"/>
                <w:szCs w:val="14"/>
                <w:highlight w:val="yellow"/>
              </w:rPr>
            </w:pPr>
            <w:r w:rsidRPr="003D4460">
              <w:rPr>
                <w:rFonts w:cs="Arial"/>
                <w:b/>
                <w:bCs/>
                <w:color w:val="000000"/>
                <w:sz w:val="14"/>
                <w:szCs w:val="14"/>
              </w:rPr>
              <w:t>4</w:t>
            </w:r>
            <w:r>
              <w:rPr>
                <w:rFonts w:cs="Arial"/>
                <w:b/>
                <w:bCs/>
                <w:color w:val="000000"/>
                <w:sz w:val="14"/>
                <w:szCs w:val="14"/>
              </w:rPr>
              <w:t>,</w:t>
            </w:r>
            <w:r w:rsidRPr="003D4460">
              <w:rPr>
                <w:rFonts w:cs="Arial"/>
                <w:b/>
                <w:bCs/>
                <w:color w:val="000000"/>
                <w:sz w:val="14"/>
                <w:szCs w:val="14"/>
              </w:rPr>
              <w:t>842</w:t>
            </w:r>
            <w:r>
              <w:rPr>
                <w:rFonts w:cs="Arial"/>
                <w:b/>
                <w:bCs/>
                <w:color w:val="000000"/>
                <w:sz w:val="14"/>
                <w:szCs w:val="14"/>
              </w:rPr>
              <w:t>,</w:t>
            </w:r>
            <w:r w:rsidRPr="003D4460">
              <w:rPr>
                <w:rFonts w:cs="Arial"/>
                <w:b/>
                <w:bCs/>
                <w:color w:val="000000"/>
                <w:sz w:val="14"/>
                <w:szCs w:val="14"/>
              </w:rPr>
              <w:t>332</w:t>
            </w:r>
          </w:p>
        </w:tc>
      </w:tr>
    </w:tbl>
    <w:p w14:paraId="47A47B3A" w14:textId="77777777" w:rsidR="008B7E19" w:rsidRPr="00A263A7" w:rsidRDefault="008B7E19" w:rsidP="00882B41">
      <w:pPr>
        <w:pStyle w:val="PargrafodaLista"/>
        <w:keepNext/>
        <w:keepLines/>
        <w:numPr>
          <w:ilvl w:val="0"/>
          <w:numId w:val="28"/>
        </w:numPr>
        <w:spacing w:after="0" w:line="240" w:lineRule="auto"/>
        <w:rPr>
          <w:rFonts w:ascii="Arial" w:eastAsia="Times New Roman" w:hAnsi="Arial" w:cs="Times New Roman"/>
          <w:bCs/>
          <w:color w:val="1F4E79" w:themeColor="accent1" w:themeShade="80"/>
          <w:spacing w:val="-2"/>
          <w:sz w:val="14"/>
          <w:szCs w:val="16"/>
          <w:lang w:val="en-US" w:eastAsia="pt-BR"/>
        </w:rPr>
      </w:pPr>
      <w:r w:rsidRPr="00A263A7">
        <w:rPr>
          <w:rFonts w:ascii="Arial" w:eastAsia="Times New Roman" w:hAnsi="Arial" w:cs="Times New Roman"/>
          <w:bCs/>
          <w:color w:val="000000" w:themeColor="text1"/>
          <w:spacing w:val="-2"/>
          <w:sz w:val="14"/>
          <w:szCs w:val="16"/>
          <w:lang w:val="en-US" w:eastAsia="pt-BR"/>
        </w:rPr>
        <w:t>Amount refers to the unrealized result of the sale of the shareholding in MAPFRE Nossa Caixa Vida e Previdência (MNCVP) in July 2012.</w:t>
      </w:r>
    </w:p>
    <w:p w14:paraId="0C1828C1" w14:textId="77777777" w:rsidR="008B7E19" w:rsidRPr="00A263A7" w:rsidRDefault="008B7E19" w:rsidP="008B7E19">
      <w:pPr>
        <w:spacing w:after="0" w:line="240" w:lineRule="auto"/>
        <w:rPr>
          <w:rFonts w:eastAsia="Times New Roman" w:cs="Times New Roman"/>
          <w:b/>
          <w:color w:val="1F4E79" w:themeColor="accent1" w:themeShade="80"/>
          <w:spacing w:val="-2"/>
          <w:szCs w:val="20"/>
          <w:lang w:val="en-US" w:eastAsia="pt-BR"/>
        </w:rPr>
      </w:pPr>
    </w:p>
    <w:p w14:paraId="15E02EEF" w14:textId="77777777" w:rsidR="008B7E19" w:rsidRPr="00FC09E4" w:rsidRDefault="008B7E19" w:rsidP="008B7E19">
      <w:pPr>
        <w:spacing w:after="0" w:line="240" w:lineRule="auto"/>
        <w:rPr>
          <w:rFonts w:eastAsia="Times New Roman" w:cs="Times New Roman"/>
          <w:b/>
          <w:color w:val="1F4E79" w:themeColor="accent1" w:themeShade="80"/>
          <w:spacing w:val="-2"/>
          <w:szCs w:val="20"/>
          <w:lang w:val="en-US" w:eastAsia="pt-BR"/>
        </w:rPr>
      </w:pPr>
      <w:r w:rsidRPr="00FC09E4">
        <w:rPr>
          <w:rFonts w:eastAsia="Times New Roman" w:cs="Times New Roman"/>
          <w:b/>
          <w:color w:val="1F4E79" w:themeColor="accent1" w:themeShade="80"/>
          <w:spacing w:val="-2"/>
          <w:szCs w:val="20"/>
          <w:lang w:val="en-US" w:eastAsia="pt-BR"/>
        </w:rPr>
        <w:t>Information for comparison purposes</w:t>
      </w:r>
    </w:p>
    <w:p w14:paraId="547550DA" w14:textId="77777777" w:rsidR="008B7E19" w:rsidRPr="00FC09E4" w:rsidRDefault="008B7E19" w:rsidP="008B7E19">
      <w:pPr>
        <w:spacing w:after="0" w:line="240" w:lineRule="auto"/>
        <w:jc w:val="right"/>
        <w:rPr>
          <w:rFonts w:cs="Arial"/>
          <w:b/>
          <w:sz w:val="14"/>
          <w:lang w:val="en-US" w:eastAsia="pt-BR"/>
        </w:rPr>
      </w:pPr>
      <w:r w:rsidRPr="00FC09E4">
        <w:rPr>
          <w:rFonts w:cs="Arial"/>
          <w:b/>
          <w:sz w:val="14"/>
          <w:lang w:val="en-US" w:eastAsia="pt-BR"/>
        </w:rPr>
        <w:t>R$ thousand</w:t>
      </w:r>
    </w:p>
    <w:tbl>
      <w:tblPr>
        <w:tblStyle w:val="TabeladeLista6Colorida-nfase512"/>
        <w:tblW w:w="9639" w:type="dxa"/>
        <w:jc w:val="center"/>
        <w:tblInd w:w="0" w:type="dxa"/>
        <w:tblLayout w:type="fixed"/>
        <w:tblLook w:val="04A0" w:firstRow="1" w:lastRow="0" w:firstColumn="1" w:lastColumn="0" w:noHBand="0" w:noVBand="1"/>
      </w:tblPr>
      <w:tblGrid>
        <w:gridCol w:w="2803"/>
        <w:gridCol w:w="1709"/>
        <w:gridCol w:w="1709"/>
        <w:gridCol w:w="1709"/>
        <w:gridCol w:w="1709"/>
      </w:tblGrid>
      <w:tr w:rsidR="008B7E19" w:rsidRPr="00537AE7" w14:paraId="080B3843" w14:textId="77777777" w:rsidTr="008B7E19">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single" w:sz="2" w:space="0" w:color="1F4E79" w:themeColor="accent1" w:themeShade="80"/>
              <w:left w:val="nil"/>
              <w:bottom w:val="single" w:sz="2" w:space="0" w:color="1F4E79" w:themeColor="accent1" w:themeShade="80"/>
              <w:right w:val="nil"/>
            </w:tcBorders>
            <w:shd w:val="clear" w:color="auto" w:fill="auto"/>
            <w:vAlign w:val="center"/>
          </w:tcPr>
          <w:p w14:paraId="33ABA6B8" w14:textId="77777777" w:rsidR="008B7E19" w:rsidRPr="00FC09E4" w:rsidRDefault="008B7E19" w:rsidP="008B7E19">
            <w:pPr>
              <w:jc w:val="center"/>
              <w:rPr>
                <w:rFonts w:cs="Arial"/>
                <w:sz w:val="14"/>
                <w:szCs w:val="14"/>
                <w:lang w:val="en-US"/>
              </w:rPr>
            </w:pPr>
          </w:p>
        </w:tc>
        <w:tc>
          <w:tcPr>
            <w:tcW w:w="1709" w:type="dxa"/>
            <w:tcBorders>
              <w:top w:val="single" w:sz="2" w:space="0" w:color="1F4E79" w:themeColor="accent1" w:themeShade="80"/>
              <w:left w:val="nil"/>
              <w:bottom w:val="single" w:sz="2" w:space="0" w:color="1F4E79" w:themeColor="accent1" w:themeShade="80"/>
              <w:right w:val="nil"/>
            </w:tcBorders>
            <w:shd w:val="clear" w:color="auto" w:fill="auto"/>
            <w:vAlign w:val="center"/>
          </w:tcPr>
          <w:p w14:paraId="5B27AD6B" w14:textId="77777777" w:rsidR="008B7E19" w:rsidRDefault="008B7E19" w:rsidP="008B7E19">
            <w:pPr>
              <w:jc w:val="right"/>
              <w:cnfStyle w:val="100000000000" w:firstRow="1" w:lastRow="0" w:firstColumn="0" w:lastColumn="0" w:oddVBand="0" w:evenVBand="0" w:oddHBand="0" w:evenHBand="0" w:firstRowFirstColumn="0" w:firstRowLastColumn="0" w:lastRowFirstColumn="0" w:lastRowLastColumn="0"/>
              <w:rPr>
                <w:rFonts w:cs="Arial"/>
                <w:sz w:val="14"/>
                <w:szCs w:val="14"/>
              </w:rPr>
            </w:pPr>
            <w:r w:rsidRPr="00925790">
              <w:rPr>
                <w:rFonts w:cs="Arial"/>
                <w:sz w:val="14"/>
                <w:szCs w:val="14"/>
              </w:rPr>
              <w:t>2</w:t>
            </w:r>
            <w:r w:rsidRPr="00925790">
              <w:rPr>
                <w:rFonts w:cs="Arial"/>
                <w:sz w:val="14"/>
                <w:szCs w:val="14"/>
                <w:vertAlign w:val="superscript"/>
              </w:rPr>
              <w:t>nd</w:t>
            </w:r>
            <w:r w:rsidRPr="00925790">
              <w:rPr>
                <w:rFonts w:cs="Arial"/>
                <w:sz w:val="14"/>
                <w:szCs w:val="14"/>
              </w:rPr>
              <w:t xml:space="preserve"> Quarter 2023</w:t>
            </w:r>
          </w:p>
        </w:tc>
        <w:tc>
          <w:tcPr>
            <w:tcW w:w="1709" w:type="dxa"/>
            <w:tcBorders>
              <w:top w:val="single" w:sz="2" w:space="0" w:color="1F4E79" w:themeColor="accent1" w:themeShade="80"/>
              <w:left w:val="nil"/>
              <w:bottom w:val="single" w:sz="2" w:space="0" w:color="1F4E79" w:themeColor="accent1" w:themeShade="80"/>
              <w:right w:val="nil"/>
            </w:tcBorders>
            <w:shd w:val="clear" w:color="auto" w:fill="auto"/>
            <w:vAlign w:val="center"/>
          </w:tcPr>
          <w:p w14:paraId="1C34D424" w14:textId="77777777" w:rsidR="008B7E19" w:rsidRDefault="008B7E19" w:rsidP="008B7E19">
            <w:pPr>
              <w:jc w:val="right"/>
              <w:cnfStyle w:val="100000000000" w:firstRow="1" w:lastRow="0" w:firstColumn="0" w:lastColumn="0" w:oddVBand="0" w:evenVBand="0" w:oddHBand="0" w:evenHBand="0" w:firstRowFirstColumn="0" w:firstRowLastColumn="0" w:lastRowFirstColumn="0" w:lastRowLastColumn="0"/>
              <w:rPr>
                <w:rFonts w:cs="Arial"/>
                <w:sz w:val="14"/>
                <w:szCs w:val="14"/>
              </w:rPr>
            </w:pPr>
            <w:r w:rsidRPr="00925790">
              <w:rPr>
                <w:rFonts w:cs="Arial"/>
                <w:sz w:val="14"/>
                <w:szCs w:val="14"/>
              </w:rPr>
              <w:t>1</w:t>
            </w:r>
            <w:r w:rsidRPr="00925790">
              <w:rPr>
                <w:rFonts w:cs="Arial"/>
                <w:sz w:val="14"/>
                <w:szCs w:val="14"/>
                <w:vertAlign w:val="superscript"/>
              </w:rPr>
              <w:t>st</w:t>
            </w:r>
            <w:r w:rsidRPr="00925790">
              <w:rPr>
                <w:rFonts w:cs="Arial"/>
                <w:sz w:val="14"/>
                <w:szCs w:val="14"/>
              </w:rPr>
              <w:t xml:space="preserve"> Half 2023</w:t>
            </w:r>
          </w:p>
        </w:tc>
        <w:tc>
          <w:tcPr>
            <w:tcW w:w="1709" w:type="dxa"/>
            <w:tcBorders>
              <w:top w:val="single" w:sz="2" w:space="0" w:color="1F4E79" w:themeColor="accent1" w:themeShade="80"/>
              <w:left w:val="nil"/>
              <w:bottom w:val="single" w:sz="2" w:space="0" w:color="1F4E79" w:themeColor="accent1" w:themeShade="80"/>
              <w:right w:val="nil"/>
            </w:tcBorders>
            <w:shd w:val="clear" w:color="auto" w:fill="auto"/>
            <w:vAlign w:val="center"/>
          </w:tcPr>
          <w:p w14:paraId="31BB1CA1" w14:textId="77777777" w:rsidR="008B7E19" w:rsidRPr="00537AE7" w:rsidRDefault="008B7E19" w:rsidP="008B7E19">
            <w:pPr>
              <w:jc w:val="right"/>
              <w:cnfStyle w:val="100000000000" w:firstRow="1" w:lastRow="0" w:firstColumn="0" w:lastColumn="0" w:oddVBand="0" w:evenVBand="0" w:oddHBand="0" w:evenHBand="0" w:firstRowFirstColumn="0" w:firstRowLastColumn="0" w:lastRowFirstColumn="0" w:lastRowLastColumn="0"/>
              <w:rPr>
                <w:rFonts w:cs="Arial"/>
                <w:b w:val="0"/>
                <w:sz w:val="14"/>
                <w:szCs w:val="14"/>
              </w:rPr>
            </w:pPr>
            <w:r w:rsidRPr="00925790">
              <w:rPr>
                <w:rFonts w:cs="Arial"/>
                <w:sz w:val="14"/>
                <w:szCs w:val="14"/>
              </w:rPr>
              <w:t>2</w:t>
            </w:r>
            <w:r w:rsidRPr="00925790">
              <w:rPr>
                <w:rFonts w:cs="Arial"/>
                <w:sz w:val="14"/>
                <w:szCs w:val="14"/>
                <w:vertAlign w:val="superscript"/>
              </w:rPr>
              <w:t>nd</w:t>
            </w:r>
            <w:r w:rsidRPr="00925790">
              <w:rPr>
                <w:rFonts w:cs="Arial"/>
                <w:sz w:val="14"/>
                <w:szCs w:val="14"/>
              </w:rPr>
              <w:t xml:space="preserve"> Quarter 2022</w:t>
            </w:r>
          </w:p>
        </w:tc>
        <w:tc>
          <w:tcPr>
            <w:tcW w:w="1709" w:type="dxa"/>
            <w:tcBorders>
              <w:top w:val="single" w:sz="2" w:space="0" w:color="1F4E79" w:themeColor="accent1" w:themeShade="80"/>
              <w:left w:val="nil"/>
              <w:bottom w:val="single" w:sz="2" w:space="0" w:color="1F4E79" w:themeColor="accent1" w:themeShade="80"/>
              <w:right w:val="nil"/>
            </w:tcBorders>
            <w:shd w:val="clear" w:color="auto" w:fill="auto"/>
            <w:vAlign w:val="center"/>
          </w:tcPr>
          <w:p w14:paraId="72462520" w14:textId="77777777" w:rsidR="008B7E19" w:rsidRPr="00537AE7" w:rsidRDefault="008B7E19" w:rsidP="008B7E19">
            <w:pPr>
              <w:jc w:val="right"/>
              <w:cnfStyle w:val="100000000000" w:firstRow="1" w:lastRow="0" w:firstColumn="0" w:lastColumn="0" w:oddVBand="0" w:evenVBand="0" w:oddHBand="0" w:evenHBand="0" w:firstRowFirstColumn="0" w:firstRowLastColumn="0" w:lastRowFirstColumn="0" w:lastRowLastColumn="0"/>
              <w:rPr>
                <w:rFonts w:cs="Arial"/>
                <w:sz w:val="14"/>
                <w:szCs w:val="14"/>
              </w:rPr>
            </w:pPr>
            <w:r w:rsidRPr="00925790">
              <w:rPr>
                <w:rFonts w:cs="Arial"/>
                <w:sz w:val="14"/>
                <w:szCs w:val="14"/>
              </w:rPr>
              <w:t>1</w:t>
            </w:r>
            <w:r w:rsidRPr="00925790">
              <w:rPr>
                <w:rFonts w:cs="Arial"/>
                <w:sz w:val="14"/>
                <w:szCs w:val="14"/>
                <w:vertAlign w:val="superscript"/>
              </w:rPr>
              <w:t>st</w:t>
            </w:r>
            <w:r w:rsidRPr="00925790">
              <w:rPr>
                <w:rFonts w:cs="Arial"/>
                <w:sz w:val="14"/>
                <w:szCs w:val="14"/>
              </w:rPr>
              <w:t xml:space="preserve"> Half 2022</w:t>
            </w:r>
          </w:p>
        </w:tc>
      </w:tr>
      <w:tr w:rsidR="008B7E19" w:rsidRPr="00026122" w14:paraId="5D56F557"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single" w:sz="2" w:space="0" w:color="1F4E79" w:themeColor="accent1" w:themeShade="80"/>
              <w:left w:val="nil"/>
              <w:bottom w:val="nil"/>
              <w:right w:val="nil"/>
            </w:tcBorders>
            <w:shd w:val="clear" w:color="auto" w:fill="auto"/>
            <w:vAlign w:val="center"/>
          </w:tcPr>
          <w:p w14:paraId="317A0ABA" w14:textId="77777777" w:rsidR="008B7E19" w:rsidRPr="00026122" w:rsidRDefault="008B7E19" w:rsidP="008B7E19">
            <w:pPr>
              <w:keepNext/>
              <w:keepLines/>
              <w:rPr>
                <w:rFonts w:eastAsia="Times New Roman" w:cs="Arial"/>
                <w:b w:val="0"/>
                <w:bCs w:val="0"/>
                <w:spacing w:val="-2"/>
                <w:sz w:val="14"/>
                <w:szCs w:val="14"/>
              </w:rPr>
            </w:pPr>
            <w:r w:rsidRPr="00FC09E4">
              <w:rPr>
                <w:rFonts w:cs="Arial"/>
                <w:b w:val="0"/>
                <w:bCs w:val="0"/>
                <w:sz w:val="14"/>
                <w:szCs w:val="14"/>
              </w:rPr>
              <w:t>Net income</w:t>
            </w:r>
            <w:r w:rsidRPr="00026122">
              <w:rPr>
                <w:rFonts w:cs="Arial"/>
                <w:b w:val="0"/>
                <w:bCs w:val="0"/>
                <w:sz w:val="14"/>
                <w:szCs w:val="14"/>
              </w:rPr>
              <w:t xml:space="preserve"> (SUSEP)</w:t>
            </w:r>
          </w:p>
        </w:tc>
        <w:tc>
          <w:tcPr>
            <w:tcW w:w="1709" w:type="dxa"/>
            <w:tcBorders>
              <w:top w:val="single" w:sz="2" w:space="0" w:color="1F4E79" w:themeColor="accent1" w:themeShade="80"/>
              <w:left w:val="nil"/>
              <w:bottom w:val="nil"/>
              <w:right w:val="nil"/>
            </w:tcBorders>
            <w:shd w:val="clear" w:color="auto" w:fill="auto"/>
            <w:vAlign w:val="center"/>
          </w:tcPr>
          <w:p w14:paraId="31FA57BD" w14:textId="77777777" w:rsidR="008B7E19" w:rsidRPr="00026122"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rPr>
            </w:pPr>
            <w:r w:rsidRPr="00516860">
              <w:rPr>
                <w:rFonts w:cs="Arial"/>
                <w:sz w:val="14"/>
                <w:szCs w:val="14"/>
              </w:rPr>
              <w:t>438</w:t>
            </w:r>
            <w:r>
              <w:rPr>
                <w:rFonts w:cs="Arial"/>
                <w:sz w:val="14"/>
                <w:szCs w:val="14"/>
              </w:rPr>
              <w:t>,</w:t>
            </w:r>
            <w:r w:rsidRPr="00516860">
              <w:rPr>
                <w:rFonts w:cs="Arial"/>
                <w:sz w:val="14"/>
                <w:szCs w:val="14"/>
              </w:rPr>
              <w:t>323</w:t>
            </w:r>
          </w:p>
        </w:tc>
        <w:tc>
          <w:tcPr>
            <w:tcW w:w="1709" w:type="dxa"/>
            <w:tcBorders>
              <w:top w:val="single" w:sz="2" w:space="0" w:color="1F4E79" w:themeColor="accent1" w:themeShade="80"/>
              <w:left w:val="nil"/>
              <w:bottom w:val="nil"/>
              <w:right w:val="nil"/>
            </w:tcBorders>
            <w:shd w:val="clear" w:color="auto" w:fill="auto"/>
            <w:vAlign w:val="center"/>
          </w:tcPr>
          <w:p w14:paraId="6C04C327" w14:textId="77777777" w:rsidR="008B7E19" w:rsidRPr="00026122"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rPr>
            </w:pPr>
            <w:r w:rsidRPr="00516860">
              <w:rPr>
                <w:rFonts w:cs="Arial"/>
                <w:sz w:val="14"/>
                <w:szCs w:val="14"/>
              </w:rPr>
              <w:t>876</w:t>
            </w:r>
            <w:r>
              <w:rPr>
                <w:rFonts w:cs="Arial"/>
                <w:sz w:val="14"/>
                <w:szCs w:val="14"/>
              </w:rPr>
              <w:t>,</w:t>
            </w:r>
            <w:r w:rsidRPr="00516860">
              <w:rPr>
                <w:rFonts w:cs="Arial"/>
                <w:sz w:val="14"/>
                <w:szCs w:val="14"/>
              </w:rPr>
              <w:t>669</w:t>
            </w:r>
          </w:p>
        </w:tc>
        <w:tc>
          <w:tcPr>
            <w:tcW w:w="1709" w:type="dxa"/>
            <w:tcBorders>
              <w:top w:val="single" w:sz="2" w:space="0" w:color="1F4E79" w:themeColor="accent1" w:themeShade="80"/>
              <w:left w:val="nil"/>
              <w:bottom w:val="nil"/>
              <w:right w:val="nil"/>
            </w:tcBorders>
            <w:shd w:val="clear" w:color="auto" w:fill="auto"/>
            <w:vAlign w:val="center"/>
          </w:tcPr>
          <w:p w14:paraId="0DBF92AD" w14:textId="77777777" w:rsidR="008B7E19" w:rsidRPr="00026122"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rPr>
            </w:pPr>
            <w:r w:rsidRPr="00516860">
              <w:rPr>
                <w:rFonts w:cs="Arial"/>
                <w:sz w:val="14"/>
                <w:szCs w:val="14"/>
              </w:rPr>
              <w:t>229</w:t>
            </w:r>
            <w:r>
              <w:rPr>
                <w:rFonts w:cs="Arial"/>
                <w:sz w:val="14"/>
                <w:szCs w:val="14"/>
              </w:rPr>
              <w:t>,</w:t>
            </w:r>
            <w:r w:rsidRPr="00516860">
              <w:rPr>
                <w:rFonts w:cs="Arial"/>
                <w:sz w:val="14"/>
                <w:szCs w:val="14"/>
              </w:rPr>
              <w:t>745</w:t>
            </w:r>
          </w:p>
        </w:tc>
        <w:tc>
          <w:tcPr>
            <w:tcW w:w="1709" w:type="dxa"/>
            <w:tcBorders>
              <w:top w:val="single" w:sz="2" w:space="0" w:color="1F4E79" w:themeColor="accent1" w:themeShade="80"/>
              <w:left w:val="nil"/>
              <w:bottom w:val="nil"/>
              <w:right w:val="nil"/>
            </w:tcBorders>
            <w:shd w:val="clear" w:color="auto" w:fill="auto"/>
            <w:vAlign w:val="center"/>
          </w:tcPr>
          <w:p w14:paraId="096AB2B8" w14:textId="77777777" w:rsidR="008B7E19" w:rsidRPr="00026122"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516860">
              <w:rPr>
                <w:rFonts w:cs="Arial"/>
                <w:color w:val="000000"/>
                <w:sz w:val="14"/>
                <w:szCs w:val="14"/>
              </w:rPr>
              <w:t>632</w:t>
            </w:r>
            <w:r>
              <w:rPr>
                <w:rFonts w:cs="Arial"/>
                <w:color w:val="000000"/>
                <w:sz w:val="14"/>
                <w:szCs w:val="14"/>
              </w:rPr>
              <w:t>,</w:t>
            </w:r>
            <w:r w:rsidRPr="00516860">
              <w:rPr>
                <w:rFonts w:cs="Arial"/>
                <w:color w:val="000000"/>
                <w:sz w:val="14"/>
                <w:szCs w:val="14"/>
              </w:rPr>
              <w:t>318</w:t>
            </w:r>
          </w:p>
        </w:tc>
      </w:tr>
      <w:tr w:rsidR="008B7E19" w:rsidRPr="00026122" w14:paraId="559B6AAD" w14:textId="77777777" w:rsidTr="008B7E1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shd w:val="clear" w:color="auto" w:fill="auto"/>
            <w:vAlign w:val="center"/>
          </w:tcPr>
          <w:p w14:paraId="6C0EE2CB" w14:textId="77777777" w:rsidR="008B7E19" w:rsidRPr="00026122" w:rsidRDefault="008B7E19" w:rsidP="008B7E19">
            <w:pPr>
              <w:keepNext/>
              <w:keepLines/>
              <w:rPr>
                <w:rFonts w:cs="Arial"/>
                <w:b w:val="0"/>
                <w:bCs w:val="0"/>
                <w:sz w:val="14"/>
                <w:szCs w:val="14"/>
              </w:rPr>
            </w:pPr>
            <w:r w:rsidRPr="00FC09E4">
              <w:rPr>
                <w:rFonts w:cs="Arial"/>
                <w:b w:val="0"/>
                <w:bCs w:val="0"/>
                <w:sz w:val="14"/>
                <w:szCs w:val="14"/>
              </w:rPr>
              <w:t xml:space="preserve">Comprehensive income </w:t>
            </w:r>
            <w:r w:rsidRPr="00026122">
              <w:rPr>
                <w:rFonts w:cs="Arial"/>
                <w:b w:val="0"/>
                <w:bCs w:val="0"/>
                <w:sz w:val="14"/>
                <w:szCs w:val="14"/>
              </w:rPr>
              <w:t>(SUSEP)</w:t>
            </w:r>
          </w:p>
        </w:tc>
        <w:tc>
          <w:tcPr>
            <w:tcW w:w="1709" w:type="dxa"/>
            <w:tcBorders>
              <w:top w:val="nil"/>
              <w:left w:val="nil"/>
              <w:bottom w:val="nil"/>
              <w:right w:val="nil"/>
            </w:tcBorders>
            <w:shd w:val="clear" w:color="auto" w:fill="auto"/>
            <w:vAlign w:val="center"/>
          </w:tcPr>
          <w:p w14:paraId="121F7DEF" w14:textId="77777777" w:rsidR="008B7E19" w:rsidRPr="00026122"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sz w:val="14"/>
                <w:szCs w:val="14"/>
              </w:rPr>
            </w:pPr>
            <w:r w:rsidRPr="00516860">
              <w:rPr>
                <w:rFonts w:cs="Arial"/>
                <w:sz w:val="14"/>
                <w:szCs w:val="14"/>
              </w:rPr>
              <w:t>438</w:t>
            </w:r>
            <w:r>
              <w:rPr>
                <w:rFonts w:cs="Arial"/>
                <w:sz w:val="14"/>
                <w:szCs w:val="14"/>
              </w:rPr>
              <w:t>,</w:t>
            </w:r>
            <w:r w:rsidRPr="00516860">
              <w:rPr>
                <w:rFonts w:cs="Arial"/>
                <w:sz w:val="14"/>
                <w:szCs w:val="14"/>
              </w:rPr>
              <w:t>323</w:t>
            </w:r>
          </w:p>
        </w:tc>
        <w:tc>
          <w:tcPr>
            <w:tcW w:w="1709" w:type="dxa"/>
            <w:tcBorders>
              <w:top w:val="nil"/>
              <w:left w:val="nil"/>
              <w:bottom w:val="nil"/>
              <w:right w:val="nil"/>
            </w:tcBorders>
            <w:shd w:val="clear" w:color="auto" w:fill="auto"/>
            <w:vAlign w:val="center"/>
          </w:tcPr>
          <w:p w14:paraId="5D2EFAC9" w14:textId="77777777" w:rsidR="008B7E19" w:rsidRPr="00026122"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sz w:val="14"/>
                <w:szCs w:val="14"/>
              </w:rPr>
            </w:pPr>
            <w:r w:rsidRPr="00516860">
              <w:rPr>
                <w:rFonts w:cs="Arial"/>
                <w:sz w:val="14"/>
                <w:szCs w:val="14"/>
              </w:rPr>
              <w:t>876</w:t>
            </w:r>
            <w:r>
              <w:rPr>
                <w:rFonts w:cs="Arial"/>
                <w:sz w:val="14"/>
                <w:szCs w:val="14"/>
              </w:rPr>
              <w:t>,</w:t>
            </w:r>
            <w:r w:rsidRPr="00516860">
              <w:rPr>
                <w:rFonts w:cs="Arial"/>
                <w:sz w:val="14"/>
                <w:szCs w:val="14"/>
              </w:rPr>
              <w:t>669</w:t>
            </w:r>
          </w:p>
        </w:tc>
        <w:tc>
          <w:tcPr>
            <w:tcW w:w="1709" w:type="dxa"/>
            <w:tcBorders>
              <w:top w:val="nil"/>
              <w:left w:val="nil"/>
              <w:bottom w:val="nil"/>
              <w:right w:val="nil"/>
            </w:tcBorders>
            <w:shd w:val="clear" w:color="auto" w:fill="auto"/>
            <w:vAlign w:val="center"/>
          </w:tcPr>
          <w:p w14:paraId="6E57DD5D" w14:textId="77777777" w:rsidR="008B7E19" w:rsidRPr="00026122"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sz w:val="14"/>
                <w:szCs w:val="14"/>
              </w:rPr>
            </w:pPr>
            <w:r w:rsidRPr="00516860">
              <w:rPr>
                <w:rFonts w:cs="Arial"/>
                <w:sz w:val="14"/>
                <w:szCs w:val="14"/>
              </w:rPr>
              <w:t>229</w:t>
            </w:r>
            <w:r>
              <w:rPr>
                <w:rFonts w:cs="Arial"/>
                <w:sz w:val="14"/>
                <w:szCs w:val="14"/>
              </w:rPr>
              <w:t>,</w:t>
            </w:r>
            <w:r w:rsidRPr="00516860">
              <w:rPr>
                <w:rFonts w:cs="Arial"/>
                <w:sz w:val="14"/>
                <w:szCs w:val="14"/>
              </w:rPr>
              <w:t>745</w:t>
            </w:r>
          </w:p>
        </w:tc>
        <w:tc>
          <w:tcPr>
            <w:tcW w:w="1709" w:type="dxa"/>
            <w:tcBorders>
              <w:top w:val="nil"/>
              <w:left w:val="nil"/>
              <w:bottom w:val="nil"/>
              <w:right w:val="nil"/>
            </w:tcBorders>
            <w:shd w:val="clear" w:color="auto" w:fill="auto"/>
            <w:vAlign w:val="center"/>
          </w:tcPr>
          <w:p w14:paraId="3BD42BA7" w14:textId="77777777" w:rsidR="008B7E19" w:rsidRPr="00026122"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color w:val="000000"/>
                <w:sz w:val="14"/>
                <w:szCs w:val="14"/>
              </w:rPr>
            </w:pPr>
            <w:r w:rsidRPr="00516860">
              <w:rPr>
                <w:rFonts w:cs="Arial"/>
                <w:color w:val="000000"/>
                <w:sz w:val="14"/>
                <w:szCs w:val="14"/>
              </w:rPr>
              <w:t>632</w:t>
            </w:r>
            <w:r>
              <w:rPr>
                <w:rFonts w:cs="Arial"/>
                <w:color w:val="000000"/>
                <w:sz w:val="14"/>
                <w:szCs w:val="14"/>
              </w:rPr>
              <w:t>,</w:t>
            </w:r>
            <w:r w:rsidRPr="00516860">
              <w:rPr>
                <w:rFonts w:cs="Arial"/>
                <w:color w:val="000000"/>
                <w:sz w:val="14"/>
                <w:szCs w:val="14"/>
              </w:rPr>
              <w:t>318</w:t>
            </w:r>
          </w:p>
        </w:tc>
      </w:tr>
      <w:tr w:rsidR="008B7E19" w:rsidRPr="00026122" w14:paraId="0D9D7101"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shd w:val="clear" w:color="auto" w:fill="auto"/>
            <w:vAlign w:val="center"/>
          </w:tcPr>
          <w:p w14:paraId="465853DA" w14:textId="77777777" w:rsidR="008B7E19" w:rsidRPr="00026122" w:rsidRDefault="008B7E19" w:rsidP="008B7E19">
            <w:pPr>
              <w:keepNext/>
              <w:keepLines/>
              <w:rPr>
                <w:rFonts w:cs="Arial"/>
                <w:b w:val="0"/>
                <w:bCs w:val="0"/>
                <w:sz w:val="14"/>
                <w:szCs w:val="14"/>
              </w:rPr>
            </w:pPr>
          </w:p>
        </w:tc>
        <w:tc>
          <w:tcPr>
            <w:tcW w:w="1709" w:type="dxa"/>
            <w:tcBorders>
              <w:top w:val="nil"/>
              <w:left w:val="nil"/>
              <w:bottom w:val="nil"/>
              <w:right w:val="nil"/>
            </w:tcBorders>
            <w:shd w:val="clear" w:color="auto" w:fill="auto"/>
            <w:vAlign w:val="center"/>
          </w:tcPr>
          <w:p w14:paraId="4595A657" w14:textId="77777777" w:rsidR="008B7E19" w:rsidRPr="00026122"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rPr>
            </w:pPr>
          </w:p>
        </w:tc>
        <w:tc>
          <w:tcPr>
            <w:tcW w:w="1709" w:type="dxa"/>
            <w:tcBorders>
              <w:top w:val="nil"/>
              <w:left w:val="nil"/>
              <w:bottom w:val="nil"/>
              <w:right w:val="nil"/>
            </w:tcBorders>
            <w:shd w:val="clear" w:color="auto" w:fill="auto"/>
            <w:vAlign w:val="center"/>
          </w:tcPr>
          <w:p w14:paraId="191B30C6" w14:textId="77777777" w:rsidR="008B7E19" w:rsidRPr="00026122"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rPr>
            </w:pPr>
          </w:p>
        </w:tc>
        <w:tc>
          <w:tcPr>
            <w:tcW w:w="1709" w:type="dxa"/>
            <w:tcBorders>
              <w:top w:val="nil"/>
              <w:left w:val="nil"/>
              <w:bottom w:val="nil"/>
              <w:right w:val="nil"/>
            </w:tcBorders>
            <w:shd w:val="clear" w:color="auto" w:fill="auto"/>
            <w:vAlign w:val="center"/>
          </w:tcPr>
          <w:p w14:paraId="432AD540" w14:textId="77777777" w:rsidR="008B7E19" w:rsidRPr="00026122"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rPr>
            </w:pPr>
          </w:p>
        </w:tc>
        <w:tc>
          <w:tcPr>
            <w:tcW w:w="1709" w:type="dxa"/>
            <w:tcBorders>
              <w:top w:val="nil"/>
              <w:left w:val="nil"/>
              <w:bottom w:val="nil"/>
              <w:right w:val="nil"/>
            </w:tcBorders>
            <w:shd w:val="clear" w:color="auto" w:fill="auto"/>
            <w:vAlign w:val="center"/>
          </w:tcPr>
          <w:p w14:paraId="5D43D05D" w14:textId="77777777" w:rsidR="008B7E19" w:rsidRPr="00026122"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p>
        </w:tc>
      </w:tr>
      <w:tr w:rsidR="008B7E19" w:rsidRPr="00026122" w14:paraId="6DB94943" w14:textId="77777777" w:rsidTr="008B7E1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shd w:val="clear" w:color="auto" w:fill="auto"/>
            <w:vAlign w:val="center"/>
          </w:tcPr>
          <w:p w14:paraId="6C04F872" w14:textId="77777777" w:rsidR="008B7E19" w:rsidRPr="00026122" w:rsidRDefault="008B7E19" w:rsidP="008B7E19">
            <w:pPr>
              <w:keepNext/>
              <w:keepLines/>
              <w:spacing w:before="40" w:after="40"/>
              <w:rPr>
                <w:rFonts w:cs="Arial"/>
                <w:b w:val="0"/>
                <w:bCs w:val="0"/>
                <w:sz w:val="14"/>
                <w:szCs w:val="14"/>
              </w:rPr>
            </w:pPr>
            <w:r w:rsidRPr="00FC09E4">
              <w:rPr>
                <w:rFonts w:cs="Arial"/>
                <w:b w:val="0"/>
                <w:bCs w:val="0"/>
                <w:sz w:val="14"/>
                <w:szCs w:val="14"/>
              </w:rPr>
              <w:t>Net income</w:t>
            </w:r>
            <w:r w:rsidRPr="00026122">
              <w:rPr>
                <w:rFonts w:cs="Arial"/>
                <w:b w:val="0"/>
                <w:bCs w:val="0"/>
                <w:sz w:val="14"/>
                <w:szCs w:val="14"/>
              </w:rPr>
              <w:t xml:space="preserve"> (IFRS)</w:t>
            </w:r>
          </w:p>
        </w:tc>
        <w:tc>
          <w:tcPr>
            <w:tcW w:w="1709" w:type="dxa"/>
            <w:tcBorders>
              <w:top w:val="nil"/>
              <w:left w:val="nil"/>
              <w:bottom w:val="nil"/>
              <w:right w:val="nil"/>
            </w:tcBorders>
            <w:shd w:val="clear" w:color="auto" w:fill="auto"/>
            <w:vAlign w:val="center"/>
          </w:tcPr>
          <w:p w14:paraId="15BC1963" w14:textId="77777777" w:rsidR="008B7E19" w:rsidRPr="00026122"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sz w:val="14"/>
                <w:szCs w:val="14"/>
              </w:rPr>
            </w:pPr>
            <w:r w:rsidRPr="00516860">
              <w:rPr>
                <w:rFonts w:cs="Arial"/>
                <w:sz w:val="14"/>
                <w:szCs w:val="14"/>
              </w:rPr>
              <w:t>518</w:t>
            </w:r>
            <w:r>
              <w:rPr>
                <w:rFonts w:cs="Arial"/>
                <w:sz w:val="14"/>
                <w:szCs w:val="14"/>
              </w:rPr>
              <w:t>,</w:t>
            </w:r>
            <w:r w:rsidRPr="00516860">
              <w:rPr>
                <w:rFonts w:cs="Arial"/>
                <w:sz w:val="14"/>
                <w:szCs w:val="14"/>
              </w:rPr>
              <w:t>301</w:t>
            </w:r>
          </w:p>
        </w:tc>
        <w:tc>
          <w:tcPr>
            <w:tcW w:w="1709" w:type="dxa"/>
            <w:tcBorders>
              <w:top w:val="nil"/>
              <w:left w:val="nil"/>
              <w:bottom w:val="nil"/>
              <w:right w:val="nil"/>
            </w:tcBorders>
            <w:shd w:val="clear" w:color="auto" w:fill="auto"/>
            <w:vAlign w:val="center"/>
          </w:tcPr>
          <w:p w14:paraId="6C26BB10" w14:textId="77777777" w:rsidR="008B7E19" w:rsidRPr="00026122"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sz w:val="14"/>
                <w:szCs w:val="14"/>
              </w:rPr>
            </w:pPr>
            <w:r w:rsidRPr="00516860">
              <w:rPr>
                <w:rFonts w:cs="Arial"/>
                <w:sz w:val="14"/>
                <w:szCs w:val="14"/>
              </w:rPr>
              <w:t>1</w:t>
            </w:r>
            <w:r>
              <w:rPr>
                <w:rFonts w:cs="Arial"/>
                <w:sz w:val="14"/>
                <w:szCs w:val="14"/>
              </w:rPr>
              <w:t>,</w:t>
            </w:r>
            <w:r w:rsidRPr="00516860">
              <w:rPr>
                <w:rFonts w:cs="Arial"/>
                <w:sz w:val="14"/>
                <w:szCs w:val="14"/>
              </w:rPr>
              <w:t>139</w:t>
            </w:r>
            <w:r>
              <w:rPr>
                <w:rFonts w:cs="Arial"/>
                <w:sz w:val="14"/>
                <w:szCs w:val="14"/>
              </w:rPr>
              <w:t>,</w:t>
            </w:r>
            <w:r w:rsidRPr="00516860">
              <w:rPr>
                <w:rFonts w:cs="Arial"/>
                <w:sz w:val="14"/>
                <w:szCs w:val="14"/>
              </w:rPr>
              <w:t>255</w:t>
            </w:r>
          </w:p>
        </w:tc>
        <w:tc>
          <w:tcPr>
            <w:tcW w:w="1709" w:type="dxa"/>
            <w:tcBorders>
              <w:top w:val="nil"/>
              <w:left w:val="nil"/>
              <w:bottom w:val="nil"/>
              <w:right w:val="nil"/>
            </w:tcBorders>
            <w:shd w:val="clear" w:color="auto" w:fill="auto"/>
            <w:vAlign w:val="center"/>
          </w:tcPr>
          <w:p w14:paraId="24E33552" w14:textId="77777777" w:rsidR="008B7E19" w:rsidRPr="00026122"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sz w:val="14"/>
                <w:szCs w:val="14"/>
              </w:rPr>
            </w:pPr>
            <w:r w:rsidRPr="00516860">
              <w:rPr>
                <w:rFonts w:cs="Arial"/>
                <w:sz w:val="14"/>
                <w:szCs w:val="14"/>
              </w:rPr>
              <w:t>417</w:t>
            </w:r>
            <w:r>
              <w:rPr>
                <w:rFonts w:cs="Arial"/>
                <w:sz w:val="14"/>
                <w:szCs w:val="14"/>
              </w:rPr>
              <w:t>,</w:t>
            </w:r>
            <w:r w:rsidRPr="00516860">
              <w:rPr>
                <w:rFonts w:cs="Arial"/>
                <w:sz w:val="14"/>
                <w:szCs w:val="14"/>
              </w:rPr>
              <w:t>599</w:t>
            </w:r>
          </w:p>
        </w:tc>
        <w:tc>
          <w:tcPr>
            <w:tcW w:w="1709" w:type="dxa"/>
            <w:tcBorders>
              <w:top w:val="nil"/>
              <w:left w:val="nil"/>
              <w:bottom w:val="nil"/>
              <w:right w:val="nil"/>
            </w:tcBorders>
            <w:shd w:val="clear" w:color="auto" w:fill="auto"/>
            <w:vAlign w:val="center"/>
          </w:tcPr>
          <w:p w14:paraId="3B8162D5" w14:textId="77777777" w:rsidR="008B7E19" w:rsidRPr="00026122"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color w:val="000000"/>
                <w:sz w:val="14"/>
                <w:szCs w:val="14"/>
              </w:rPr>
            </w:pPr>
            <w:r w:rsidRPr="00516860">
              <w:rPr>
                <w:rFonts w:cs="Arial"/>
                <w:color w:val="000000"/>
                <w:sz w:val="14"/>
                <w:szCs w:val="14"/>
              </w:rPr>
              <w:t>889</w:t>
            </w:r>
            <w:r>
              <w:rPr>
                <w:rFonts w:cs="Arial"/>
                <w:color w:val="000000"/>
                <w:sz w:val="14"/>
                <w:szCs w:val="14"/>
              </w:rPr>
              <w:t>,</w:t>
            </w:r>
            <w:r w:rsidRPr="00516860">
              <w:rPr>
                <w:rFonts w:cs="Arial"/>
                <w:color w:val="000000"/>
                <w:sz w:val="14"/>
                <w:szCs w:val="14"/>
              </w:rPr>
              <w:t>542</w:t>
            </w:r>
          </w:p>
        </w:tc>
      </w:tr>
      <w:tr w:rsidR="008B7E19" w:rsidRPr="00026122" w14:paraId="43900F08"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single" w:sz="2" w:space="0" w:color="1F4E79" w:themeColor="accent1" w:themeShade="80"/>
              <w:right w:val="nil"/>
            </w:tcBorders>
            <w:shd w:val="clear" w:color="auto" w:fill="auto"/>
            <w:vAlign w:val="center"/>
          </w:tcPr>
          <w:p w14:paraId="783C7EE8" w14:textId="77777777" w:rsidR="008B7E19" w:rsidRPr="00026122" w:rsidRDefault="008B7E19" w:rsidP="008B7E19">
            <w:pPr>
              <w:keepNext/>
              <w:keepLines/>
              <w:spacing w:before="40" w:after="40"/>
              <w:rPr>
                <w:rFonts w:cs="Arial"/>
                <w:b w:val="0"/>
                <w:bCs w:val="0"/>
                <w:sz w:val="14"/>
                <w:szCs w:val="14"/>
              </w:rPr>
            </w:pPr>
            <w:r w:rsidRPr="00FC09E4">
              <w:rPr>
                <w:rFonts w:cs="Arial"/>
                <w:b w:val="0"/>
                <w:bCs w:val="0"/>
                <w:sz w:val="14"/>
                <w:szCs w:val="14"/>
              </w:rPr>
              <w:t>Comprehensive income</w:t>
            </w:r>
            <w:r>
              <w:rPr>
                <w:rFonts w:cs="Arial"/>
                <w:b w:val="0"/>
                <w:bCs w:val="0"/>
                <w:sz w:val="14"/>
                <w:szCs w:val="14"/>
              </w:rPr>
              <w:t xml:space="preserve"> </w:t>
            </w:r>
            <w:r w:rsidRPr="00026122">
              <w:rPr>
                <w:rFonts w:cs="Arial"/>
                <w:b w:val="0"/>
                <w:bCs w:val="0"/>
                <w:sz w:val="14"/>
                <w:szCs w:val="14"/>
              </w:rPr>
              <w:t>(IFRS)</w:t>
            </w:r>
          </w:p>
        </w:tc>
        <w:tc>
          <w:tcPr>
            <w:tcW w:w="1709" w:type="dxa"/>
            <w:tcBorders>
              <w:top w:val="nil"/>
              <w:left w:val="nil"/>
              <w:bottom w:val="single" w:sz="2" w:space="0" w:color="1F4E79" w:themeColor="accent1" w:themeShade="80"/>
              <w:right w:val="nil"/>
            </w:tcBorders>
            <w:shd w:val="clear" w:color="auto" w:fill="auto"/>
            <w:vAlign w:val="center"/>
          </w:tcPr>
          <w:p w14:paraId="43DD75F4" w14:textId="77777777" w:rsidR="008B7E19" w:rsidRPr="00A225CF"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rPr>
            </w:pPr>
            <w:r w:rsidRPr="00516860">
              <w:rPr>
                <w:rFonts w:cs="Arial"/>
                <w:sz w:val="14"/>
                <w:szCs w:val="14"/>
              </w:rPr>
              <w:t>703</w:t>
            </w:r>
            <w:r>
              <w:rPr>
                <w:rFonts w:cs="Arial"/>
                <w:sz w:val="14"/>
                <w:szCs w:val="14"/>
              </w:rPr>
              <w:t>,</w:t>
            </w:r>
            <w:r w:rsidRPr="00516860">
              <w:rPr>
                <w:rFonts w:cs="Arial"/>
                <w:sz w:val="14"/>
                <w:szCs w:val="14"/>
              </w:rPr>
              <w:t>573</w:t>
            </w:r>
          </w:p>
        </w:tc>
        <w:tc>
          <w:tcPr>
            <w:tcW w:w="1709" w:type="dxa"/>
            <w:tcBorders>
              <w:top w:val="nil"/>
              <w:left w:val="nil"/>
              <w:bottom w:val="single" w:sz="2" w:space="0" w:color="1F4E79" w:themeColor="accent1" w:themeShade="80"/>
              <w:right w:val="nil"/>
            </w:tcBorders>
            <w:shd w:val="clear" w:color="auto" w:fill="auto"/>
            <w:vAlign w:val="center"/>
          </w:tcPr>
          <w:p w14:paraId="2202EC3B" w14:textId="77777777" w:rsidR="008B7E19" w:rsidRPr="00A225CF"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rPr>
            </w:pPr>
            <w:r w:rsidRPr="00516860">
              <w:rPr>
                <w:rFonts w:cs="Arial"/>
                <w:sz w:val="14"/>
                <w:szCs w:val="14"/>
              </w:rPr>
              <w:t>1</w:t>
            </w:r>
            <w:r>
              <w:rPr>
                <w:rFonts w:cs="Arial"/>
                <w:sz w:val="14"/>
                <w:szCs w:val="14"/>
              </w:rPr>
              <w:t>,</w:t>
            </w:r>
            <w:r w:rsidRPr="00516860">
              <w:rPr>
                <w:rFonts w:cs="Arial"/>
                <w:sz w:val="14"/>
                <w:szCs w:val="14"/>
              </w:rPr>
              <w:t>542</w:t>
            </w:r>
            <w:r>
              <w:rPr>
                <w:rFonts w:cs="Arial"/>
                <w:sz w:val="14"/>
                <w:szCs w:val="14"/>
              </w:rPr>
              <w:t>,</w:t>
            </w:r>
            <w:r w:rsidRPr="00516860">
              <w:rPr>
                <w:rFonts w:cs="Arial"/>
                <w:sz w:val="14"/>
                <w:szCs w:val="14"/>
              </w:rPr>
              <w:t>197</w:t>
            </w:r>
          </w:p>
        </w:tc>
        <w:tc>
          <w:tcPr>
            <w:tcW w:w="1709" w:type="dxa"/>
            <w:tcBorders>
              <w:top w:val="nil"/>
              <w:left w:val="nil"/>
              <w:bottom w:val="single" w:sz="2" w:space="0" w:color="1F4E79" w:themeColor="accent1" w:themeShade="80"/>
              <w:right w:val="nil"/>
            </w:tcBorders>
            <w:shd w:val="clear" w:color="auto" w:fill="auto"/>
            <w:vAlign w:val="center"/>
          </w:tcPr>
          <w:p w14:paraId="652D5E0F" w14:textId="77777777" w:rsidR="008B7E19" w:rsidRPr="00026122"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rPr>
            </w:pPr>
            <w:r w:rsidRPr="00516860">
              <w:rPr>
                <w:rFonts w:cs="Arial"/>
                <w:sz w:val="14"/>
                <w:szCs w:val="14"/>
              </w:rPr>
              <w:t>469</w:t>
            </w:r>
            <w:r>
              <w:rPr>
                <w:rFonts w:cs="Arial"/>
                <w:sz w:val="14"/>
                <w:szCs w:val="14"/>
              </w:rPr>
              <w:t>,</w:t>
            </w:r>
            <w:r w:rsidRPr="00516860">
              <w:rPr>
                <w:rFonts w:cs="Arial"/>
                <w:sz w:val="14"/>
                <w:szCs w:val="14"/>
              </w:rPr>
              <w:t>927</w:t>
            </w:r>
          </w:p>
        </w:tc>
        <w:tc>
          <w:tcPr>
            <w:tcW w:w="1709" w:type="dxa"/>
            <w:tcBorders>
              <w:top w:val="nil"/>
              <w:left w:val="nil"/>
              <w:bottom w:val="single" w:sz="2" w:space="0" w:color="1F4E79" w:themeColor="accent1" w:themeShade="80"/>
              <w:right w:val="nil"/>
            </w:tcBorders>
            <w:shd w:val="clear" w:color="auto" w:fill="auto"/>
            <w:vAlign w:val="center"/>
          </w:tcPr>
          <w:p w14:paraId="187E625B" w14:textId="77777777" w:rsidR="008B7E19" w:rsidRPr="00026122"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516860">
              <w:rPr>
                <w:rFonts w:cs="Arial"/>
                <w:color w:val="000000"/>
                <w:sz w:val="14"/>
                <w:szCs w:val="14"/>
              </w:rPr>
              <w:t>1</w:t>
            </w:r>
            <w:r>
              <w:rPr>
                <w:rFonts w:cs="Arial"/>
                <w:color w:val="000000"/>
                <w:sz w:val="14"/>
                <w:szCs w:val="14"/>
              </w:rPr>
              <w:t>,</w:t>
            </w:r>
            <w:r w:rsidRPr="00516860">
              <w:rPr>
                <w:rFonts w:cs="Arial"/>
                <w:color w:val="000000"/>
                <w:sz w:val="14"/>
                <w:szCs w:val="14"/>
              </w:rPr>
              <w:t>059</w:t>
            </w:r>
            <w:r>
              <w:rPr>
                <w:rFonts w:cs="Arial"/>
                <w:color w:val="000000"/>
                <w:sz w:val="14"/>
                <w:szCs w:val="14"/>
              </w:rPr>
              <w:t>,</w:t>
            </w:r>
            <w:r w:rsidRPr="00516860">
              <w:rPr>
                <w:rFonts w:cs="Arial"/>
                <w:color w:val="000000"/>
                <w:sz w:val="14"/>
                <w:szCs w:val="14"/>
              </w:rPr>
              <w:t>783</w:t>
            </w:r>
          </w:p>
        </w:tc>
      </w:tr>
    </w:tbl>
    <w:p w14:paraId="089D74CF" w14:textId="77777777" w:rsidR="008B7E19" w:rsidRDefault="008B7E19" w:rsidP="008B7E19">
      <w:pPr>
        <w:spacing w:after="0" w:line="240" w:lineRule="auto"/>
        <w:rPr>
          <w:rFonts w:eastAsia="Times New Roman" w:cs="Arial"/>
          <w:spacing w:val="-2"/>
          <w:szCs w:val="20"/>
          <w:lang w:eastAsia="zh-CN"/>
        </w:rPr>
      </w:pPr>
    </w:p>
    <w:p w14:paraId="1B96E6F1" w14:textId="77777777" w:rsidR="008B7E19" w:rsidRPr="00FC09E4" w:rsidRDefault="008B7E19" w:rsidP="008B7E19">
      <w:pPr>
        <w:spacing w:after="0" w:line="240" w:lineRule="auto"/>
        <w:jc w:val="right"/>
        <w:rPr>
          <w:rFonts w:cs="Arial"/>
          <w:b/>
          <w:sz w:val="14"/>
          <w:lang w:val="en-US" w:eastAsia="pt-BR"/>
        </w:rPr>
      </w:pPr>
      <w:r w:rsidRPr="00FC09E4">
        <w:rPr>
          <w:rFonts w:cs="Arial"/>
          <w:b/>
          <w:sz w:val="14"/>
          <w:lang w:val="en-US" w:eastAsia="pt-BR"/>
        </w:rPr>
        <w:t>R$ thousand</w:t>
      </w:r>
    </w:p>
    <w:tbl>
      <w:tblPr>
        <w:tblStyle w:val="TabeladeLista6Colorida-nfase512"/>
        <w:tblW w:w="9639" w:type="dxa"/>
        <w:jc w:val="center"/>
        <w:tblInd w:w="0" w:type="dxa"/>
        <w:tblLayout w:type="fixed"/>
        <w:tblLook w:val="04A0" w:firstRow="1" w:lastRow="0" w:firstColumn="1" w:lastColumn="0" w:noHBand="0" w:noVBand="1"/>
      </w:tblPr>
      <w:tblGrid>
        <w:gridCol w:w="5387"/>
        <w:gridCol w:w="2126"/>
        <w:gridCol w:w="2126"/>
      </w:tblGrid>
      <w:tr w:rsidR="008B7E19" w:rsidRPr="00537AE7" w14:paraId="097B547E" w14:textId="77777777" w:rsidTr="008B7E19">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387" w:type="dxa"/>
            <w:tcBorders>
              <w:top w:val="single" w:sz="2" w:space="0" w:color="1F4E79" w:themeColor="accent1" w:themeShade="80"/>
              <w:left w:val="nil"/>
              <w:bottom w:val="single" w:sz="2" w:space="0" w:color="1F4E79" w:themeColor="accent1" w:themeShade="80"/>
              <w:right w:val="nil"/>
            </w:tcBorders>
            <w:shd w:val="clear" w:color="auto" w:fill="auto"/>
            <w:vAlign w:val="center"/>
          </w:tcPr>
          <w:p w14:paraId="072678CE" w14:textId="77777777" w:rsidR="008B7E19" w:rsidRPr="00537AE7" w:rsidRDefault="008B7E19" w:rsidP="008B7E19">
            <w:pPr>
              <w:jc w:val="center"/>
              <w:rPr>
                <w:rFonts w:cs="Arial"/>
                <w:sz w:val="14"/>
                <w:szCs w:val="14"/>
              </w:rPr>
            </w:pPr>
          </w:p>
        </w:tc>
        <w:tc>
          <w:tcPr>
            <w:tcW w:w="2126" w:type="dxa"/>
            <w:tcBorders>
              <w:top w:val="single" w:sz="2" w:space="0" w:color="1F4E79" w:themeColor="accent1" w:themeShade="80"/>
              <w:left w:val="nil"/>
              <w:bottom w:val="single" w:sz="2" w:space="0" w:color="1F4E79" w:themeColor="accent1" w:themeShade="80"/>
              <w:right w:val="nil"/>
            </w:tcBorders>
            <w:shd w:val="clear" w:color="auto" w:fill="auto"/>
            <w:vAlign w:val="center"/>
          </w:tcPr>
          <w:p w14:paraId="69F534B9" w14:textId="77777777" w:rsidR="008B7E19" w:rsidRDefault="008B7E19" w:rsidP="008B7E19">
            <w:pPr>
              <w:jc w:val="right"/>
              <w:cnfStyle w:val="100000000000" w:firstRow="1" w:lastRow="0" w:firstColumn="0" w:lastColumn="0" w:oddVBand="0" w:evenVBand="0" w:oddHBand="0" w:evenHBand="0" w:firstRowFirstColumn="0" w:firstRowLastColumn="0" w:lastRowFirstColumn="0" w:lastRowLastColumn="0"/>
              <w:rPr>
                <w:rFonts w:cs="Arial"/>
                <w:sz w:val="14"/>
                <w:szCs w:val="14"/>
              </w:rPr>
            </w:pPr>
            <w:r>
              <w:rPr>
                <w:rFonts w:cs="Arial"/>
                <w:sz w:val="14"/>
                <w:szCs w:val="14"/>
              </w:rPr>
              <w:t>June 30, 2023</w:t>
            </w:r>
          </w:p>
        </w:tc>
        <w:tc>
          <w:tcPr>
            <w:tcW w:w="2126" w:type="dxa"/>
            <w:tcBorders>
              <w:top w:val="single" w:sz="2" w:space="0" w:color="1F4E79" w:themeColor="accent1" w:themeShade="80"/>
              <w:left w:val="nil"/>
              <w:bottom w:val="single" w:sz="2" w:space="0" w:color="1F4E79" w:themeColor="accent1" w:themeShade="80"/>
              <w:right w:val="nil"/>
            </w:tcBorders>
            <w:shd w:val="clear" w:color="auto" w:fill="auto"/>
            <w:vAlign w:val="center"/>
          </w:tcPr>
          <w:p w14:paraId="7EF49EC1" w14:textId="77777777" w:rsidR="008B7E19" w:rsidRDefault="008B7E19" w:rsidP="008B7E19">
            <w:pPr>
              <w:jc w:val="right"/>
              <w:cnfStyle w:val="100000000000" w:firstRow="1" w:lastRow="0" w:firstColumn="0" w:lastColumn="0" w:oddVBand="0" w:evenVBand="0" w:oddHBand="0" w:evenHBand="0" w:firstRowFirstColumn="0" w:firstRowLastColumn="0" w:lastRowFirstColumn="0" w:lastRowLastColumn="0"/>
              <w:rPr>
                <w:rFonts w:cs="Arial"/>
                <w:sz w:val="14"/>
                <w:szCs w:val="14"/>
              </w:rPr>
            </w:pPr>
            <w:r>
              <w:rPr>
                <w:rFonts w:cs="Arial"/>
                <w:sz w:val="14"/>
                <w:szCs w:val="14"/>
              </w:rPr>
              <w:t>Dec 31, 2022</w:t>
            </w:r>
          </w:p>
        </w:tc>
      </w:tr>
      <w:tr w:rsidR="008B7E19" w:rsidRPr="00026122" w14:paraId="46F97F87"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387" w:type="dxa"/>
            <w:tcBorders>
              <w:top w:val="single" w:sz="2" w:space="0" w:color="1F4E79" w:themeColor="accent1" w:themeShade="80"/>
              <w:left w:val="nil"/>
              <w:bottom w:val="nil"/>
              <w:right w:val="nil"/>
            </w:tcBorders>
            <w:shd w:val="clear" w:color="auto" w:fill="auto"/>
            <w:vAlign w:val="center"/>
          </w:tcPr>
          <w:p w14:paraId="5B651B59" w14:textId="77777777" w:rsidR="008B7E19" w:rsidRPr="00026122" w:rsidRDefault="008B7E19" w:rsidP="008B7E19">
            <w:pPr>
              <w:keepNext/>
              <w:keepLines/>
              <w:rPr>
                <w:rFonts w:eastAsia="Times New Roman" w:cs="Arial"/>
                <w:b w:val="0"/>
                <w:bCs w:val="0"/>
                <w:spacing w:val="-2"/>
                <w:sz w:val="14"/>
                <w:szCs w:val="14"/>
              </w:rPr>
            </w:pPr>
            <w:r w:rsidRPr="00FC09E4">
              <w:rPr>
                <w:rFonts w:cs="Arial"/>
                <w:b w:val="0"/>
                <w:bCs w:val="0"/>
                <w:sz w:val="14"/>
                <w:szCs w:val="14"/>
              </w:rPr>
              <w:t>Equity</w:t>
            </w:r>
            <w:r w:rsidRPr="00026122">
              <w:rPr>
                <w:rFonts w:cs="Arial"/>
                <w:b w:val="0"/>
                <w:bCs w:val="0"/>
                <w:sz w:val="14"/>
                <w:szCs w:val="14"/>
              </w:rPr>
              <w:t xml:space="preserve"> (SUSEP)</w:t>
            </w:r>
          </w:p>
        </w:tc>
        <w:tc>
          <w:tcPr>
            <w:tcW w:w="2126" w:type="dxa"/>
            <w:tcBorders>
              <w:top w:val="single" w:sz="2" w:space="0" w:color="1F4E79" w:themeColor="accent1" w:themeShade="80"/>
              <w:left w:val="nil"/>
              <w:bottom w:val="nil"/>
              <w:right w:val="nil"/>
            </w:tcBorders>
            <w:shd w:val="clear" w:color="auto" w:fill="auto"/>
            <w:vAlign w:val="center"/>
          </w:tcPr>
          <w:p w14:paraId="50D6FA4D" w14:textId="77777777" w:rsidR="008B7E19" w:rsidRPr="00026122"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rPr>
            </w:pPr>
            <w:r w:rsidRPr="00516860">
              <w:rPr>
                <w:rFonts w:cs="Arial"/>
                <w:sz w:val="14"/>
                <w:szCs w:val="14"/>
              </w:rPr>
              <w:t>6</w:t>
            </w:r>
            <w:r>
              <w:rPr>
                <w:rFonts w:cs="Arial"/>
                <w:sz w:val="14"/>
                <w:szCs w:val="14"/>
              </w:rPr>
              <w:t>,</w:t>
            </w:r>
            <w:r w:rsidRPr="00516860">
              <w:rPr>
                <w:rFonts w:cs="Arial"/>
                <w:sz w:val="14"/>
                <w:szCs w:val="14"/>
              </w:rPr>
              <w:t>440</w:t>
            </w:r>
            <w:r>
              <w:rPr>
                <w:rFonts w:cs="Arial"/>
                <w:sz w:val="14"/>
                <w:szCs w:val="14"/>
              </w:rPr>
              <w:t>,</w:t>
            </w:r>
            <w:r w:rsidRPr="00516860">
              <w:rPr>
                <w:rFonts w:cs="Arial"/>
                <w:sz w:val="14"/>
                <w:szCs w:val="14"/>
              </w:rPr>
              <w:t>965</w:t>
            </w:r>
          </w:p>
        </w:tc>
        <w:tc>
          <w:tcPr>
            <w:tcW w:w="2126" w:type="dxa"/>
            <w:tcBorders>
              <w:top w:val="single" w:sz="2" w:space="0" w:color="1F4E79" w:themeColor="accent1" w:themeShade="80"/>
              <w:left w:val="nil"/>
              <w:bottom w:val="nil"/>
              <w:right w:val="nil"/>
            </w:tcBorders>
            <w:shd w:val="clear" w:color="auto" w:fill="auto"/>
            <w:vAlign w:val="center"/>
          </w:tcPr>
          <w:p w14:paraId="624D3510" w14:textId="77777777" w:rsidR="008B7E19" w:rsidRPr="00026122"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rPr>
            </w:pPr>
            <w:r w:rsidRPr="00516860">
              <w:rPr>
                <w:rFonts w:cs="Arial"/>
                <w:sz w:val="14"/>
                <w:szCs w:val="14"/>
              </w:rPr>
              <w:t>6</w:t>
            </w:r>
            <w:r>
              <w:rPr>
                <w:rFonts w:cs="Arial"/>
                <w:sz w:val="14"/>
                <w:szCs w:val="14"/>
              </w:rPr>
              <w:t>,</w:t>
            </w:r>
            <w:r w:rsidRPr="00516860">
              <w:rPr>
                <w:rFonts w:cs="Arial"/>
                <w:sz w:val="14"/>
                <w:szCs w:val="14"/>
              </w:rPr>
              <w:t>048</w:t>
            </w:r>
            <w:r>
              <w:rPr>
                <w:rFonts w:cs="Arial"/>
                <w:sz w:val="14"/>
                <w:szCs w:val="14"/>
              </w:rPr>
              <w:t>,</w:t>
            </w:r>
            <w:r w:rsidRPr="00516860">
              <w:rPr>
                <w:rFonts w:cs="Arial"/>
                <w:sz w:val="14"/>
                <w:szCs w:val="14"/>
              </w:rPr>
              <w:t>025</w:t>
            </w:r>
          </w:p>
        </w:tc>
      </w:tr>
      <w:tr w:rsidR="008B7E19" w:rsidRPr="00026122" w14:paraId="21C2A93F" w14:textId="77777777" w:rsidTr="008B7E1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387" w:type="dxa"/>
            <w:tcBorders>
              <w:top w:val="nil"/>
              <w:left w:val="nil"/>
              <w:bottom w:val="single" w:sz="2" w:space="0" w:color="1F4E79" w:themeColor="accent1" w:themeShade="80"/>
              <w:right w:val="nil"/>
            </w:tcBorders>
            <w:shd w:val="clear" w:color="auto" w:fill="auto"/>
            <w:vAlign w:val="center"/>
          </w:tcPr>
          <w:p w14:paraId="6C9E3A47" w14:textId="77777777" w:rsidR="008B7E19" w:rsidRPr="00026122" w:rsidRDefault="008B7E19" w:rsidP="008B7E19">
            <w:pPr>
              <w:keepNext/>
              <w:keepLines/>
              <w:spacing w:before="40" w:after="40"/>
              <w:rPr>
                <w:rFonts w:cs="Arial"/>
                <w:b w:val="0"/>
                <w:bCs w:val="0"/>
                <w:sz w:val="14"/>
                <w:szCs w:val="14"/>
              </w:rPr>
            </w:pPr>
            <w:r w:rsidRPr="00FC09E4">
              <w:rPr>
                <w:rFonts w:cs="Arial"/>
                <w:b w:val="0"/>
                <w:bCs w:val="0"/>
                <w:sz w:val="14"/>
                <w:szCs w:val="14"/>
              </w:rPr>
              <w:t>Equity</w:t>
            </w:r>
            <w:r w:rsidRPr="00026122">
              <w:rPr>
                <w:rFonts w:cs="Arial"/>
                <w:b w:val="0"/>
                <w:bCs w:val="0"/>
                <w:sz w:val="14"/>
                <w:szCs w:val="14"/>
              </w:rPr>
              <w:t xml:space="preserve"> (IFRS)</w:t>
            </w:r>
          </w:p>
        </w:tc>
        <w:tc>
          <w:tcPr>
            <w:tcW w:w="2126" w:type="dxa"/>
            <w:tcBorders>
              <w:top w:val="nil"/>
              <w:left w:val="nil"/>
              <w:bottom w:val="single" w:sz="2" w:space="0" w:color="1F4E79" w:themeColor="accent1" w:themeShade="80"/>
              <w:right w:val="nil"/>
            </w:tcBorders>
            <w:shd w:val="clear" w:color="auto" w:fill="auto"/>
            <w:vAlign w:val="center"/>
          </w:tcPr>
          <w:p w14:paraId="0D2EA6A3" w14:textId="77777777" w:rsidR="008B7E19" w:rsidRPr="00026122"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sz w:val="14"/>
                <w:szCs w:val="14"/>
              </w:rPr>
            </w:pPr>
            <w:r w:rsidRPr="00516860">
              <w:rPr>
                <w:rFonts w:cs="Arial"/>
                <w:sz w:val="14"/>
                <w:szCs w:val="14"/>
              </w:rPr>
              <w:t>7</w:t>
            </w:r>
            <w:r>
              <w:rPr>
                <w:rFonts w:cs="Arial"/>
                <w:sz w:val="14"/>
                <w:szCs w:val="14"/>
              </w:rPr>
              <w:t>,</w:t>
            </w:r>
            <w:r w:rsidRPr="00516860">
              <w:rPr>
                <w:rFonts w:cs="Arial"/>
                <w:sz w:val="14"/>
                <w:szCs w:val="14"/>
              </w:rPr>
              <w:t>545</w:t>
            </w:r>
            <w:r>
              <w:rPr>
                <w:rFonts w:cs="Arial"/>
                <w:sz w:val="14"/>
                <w:szCs w:val="14"/>
              </w:rPr>
              <w:t>,</w:t>
            </w:r>
            <w:r w:rsidRPr="00516860">
              <w:rPr>
                <w:rFonts w:cs="Arial"/>
                <w:sz w:val="14"/>
                <w:szCs w:val="14"/>
              </w:rPr>
              <w:t>783</w:t>
            </w:r>
          </w:p>
        </w:tc>
        <w:tc>
          <w:tcPr>
            <w:tcW w:w="2126" w:type="dxa"/>
            <w:tcBorders>
              <w:top w:val="nil"/>
              <w:left w:val="nil"/>
              <w:bottom w:val="single" w:sz="2" w:space="0" w:color="1F4E79" w:themeColor="accent1" w:themeShade="80"/>
              <w:right w:val="nil"/>
            </w:tcBorders>
            <w:shd w:val="clear" w:color="auto" w:fill="auto"/>
            <w:vAlign w:val="center"/>
          </w:tcPr>
          <w:p w14:paraId="51BB83F8" w14:textId="77777777" w:rsidR="008B7E19" w:rsidRPr="00026122"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sz w:val="14"/>
                <w:szCs w:val="14"/>
              </w:rPr>
            </w:pPr>
            <w:r w:rsidRPr="00516860">
              <w:rPr>
                <w:rFonts w:cs="Arial"/>
                <w:sz w:val="14"/>
                <w:szCs w:val="14"/>
              </w:rPr>
              <w:t>6</w:t>
            </w:r>
            <w:r>
              <w:rPr>
                <w:rFonts w:cs="Arial"/>
                <w:sz w:val="14"/>
                <w:szCs w:val="14"/>
              </w:rPr>
              <w:t>,</w:t>
            </w:r>
            <w:r w:rsidRPr="00516860">
              <w:rPr>
                <w:rFonts w:cs="Arial"/>
                <w:sz w:val="14"/>
                <w:szCs w:val="14"/>
              </w:rPr>
              <w:t>487</w:t>
            </w:r>
            <w:r>
              <w:rPr>
                <w:rFonts w:cs="Arial"/>
                <w:sz w:val="14"/>
                <w:szCs w:val="14"/>
              </w:rPr>
              <w:t>,</w:t>
            </w:r>
            <w:r w:rsidRPr="00516860">
              <w:rPr>
                <w:rFonts w:cs="Arial"/>
                <w:sz w:val="14"/>
                <w:szCs w:val="14"/>
              </w:rPr>
              <w:t>315</w:t>
            </w:r>
          </w:p>
        </w:tc>
      </w:tr>
    </w:tbl>
    <w:p w14:paraId="43E39BCB" w14:textId="77777777" w:rsidR="008B7E19" w:rsidRDefault="008B7E19" w:rsidP="008B7E19">
      <w:pPr>
        <w:keepNext/>
        <w:keepLines/>
        <w:spacing w:after="0" w:line="240" w:lineRule="auto"/>
        <w:rPr>
          <w:rFonts w:eastAsia="Times New Roman" w:cs="Times New Roman"/>
          <w:b/>
          <w:color w:val="1F4E79" w:themeColor="accent1" w:themeShade="80"/>
          <w:spacing w:val="-2"/>
          <w:szCs w:val="20"/>
          <w:lang w:eastAsia="pt-BR"/>
        </w:rPr>
      </w:pPr>
    </w:p>
    <w:p w14:paraId="0DDCA6A5" w14:textId="77777777" w:rsidR="008B7E19" w:rsidRPr="00C83A83" w:rsidRDefault="008B7E19" w:rsidP="008B7E19">
      <w:pPr>
        <w:keepNext/>
        <w:keepLines/>
        <w:spacing w:after="0" w:line="240" w:lineRule="auto"/>
        <w:rPr>
          <w:rFonts w:eastAsia="Times New Roman" w:cs="Times New Roman"/>
          <w:b/>
          <w:color w:val="1F4E79" w:themeColor="accent1" w:themeShade="80"/>
          <w:spacing w:val="-2"/>
          <w:szCs w:val="20"/>
          <w:lang w:eastAsia="pt-BR"/>
        </w:rPr>
      </w:pPr>
      <w:r>
        <w:rPr>
          <w:rFonts w:eastAsia="Times New Roman" w:cs="Times New Roman"/>
          <w:b/>
          <w:color w:val="1F4E79" w:themeColor="accent1" w:themeShade="80"/>
          <w:spacing w:val="-2"/>
          <w:szCs w:val="20"/>
          <w:lang w:eastAsia="pt-BR"/>
        </w:rPr>
        <w:t>c</w:t>
      </w:r>
      <w:r w:rsidRPr="006F152E">
        <w:rPr>
          <w:rFonts w:eastAsia="Times New Roman" w:cs="Times New Roman"/>
          <w:b/>
          <w:color w:val="1F4E79" w:themeColor="accent1" w:themeShade="80"/>
          <w:spacing w:val="-2"/>
          <w:szCs w:val="20"/>
          <w:lang w:eastAsia="pt-BR"/>
        </w:rPr>
        <w:t>.</w:t>
      </w:r>
      <w:r>
        <w:rPr>
          <w:rFonts w:eastAsia="Times New Roman" w:cs="Times New Roman"/>
          <w:b/>
          <w:color w:val="1F4E79" w:themeColor="accent1" w:themeShade="80"/>
          <w:spacing w:val="-2"/>
          <w:szCs w:val="20"/>
          <w:lang w:eastAsia="pt-BR"/>
        </w:rPr>
        <w:t>3</w:t>
      </w:r>
      <w:r w:rsidRPr="006F152E">
        <w:rPr>
          <w:rFonts w:eastAsia="Times New Roman" w:cs="Times New Roman"/>
          <w:b/>
          <w:color w:val="1F4E79" w:themeColor="accent1" w:themeShade="80"/>
          <w:spacing w:val="-2"/>
          <w:szCs w:val="20"/>
          <w:lang w:eastAsia="pt-BR"/>
        </w:rPr>
        <w:t xml:space="preserve">) </w:t>
      </w:r>
      <w:r w:rsidRPr="00067495">
        <w:rPr>
          <w:rFonts w:eastAsia="Times New Roman" w:cs="Times New Roman"/>
          <w:b/>
          <w:color w:val="1F4E79" w:themeColor="accent1" w:themeShade="80"/>
          <w:spacing w:val="-2"/>
          <w:szCs w:val="20"/>
          <w:lang w:eastAsia="pt-BR"/>
        </w:rPr>
        <w:t>Brasildental Operadora de Planos Odontológicos S.A. (Brasildental)</w:t>
      </w:r>
    </w:p>
    <w:p w14:paraId="64F1D0FF" w14:textId="77777777" w:rsidR="008B7E19" w:rsidRDefault="008B7E19" w:rsidP="008B7E19">
      <w:pPr>
        <w:spacing w:after="0" w:line="240" w:lineRule="auto"/>
        <w:rPr>
          <w:rFonts w:eastAsia="Times New Roman" w:cs="Times New Roman"/>
          <w:b/>
          <w:color w:val="1F4E79" w:themeColor="accent1" w:themeShade="80"/>
          <w:spacing w:val="-2"/>
          <w:szCs w:val="20"/>
          <w:lang w:eastAsia="pt-BR"/>
        </w:rPr>
      </w:pPr>
    </w:p>
    <w:p w14:paraId="2BEBA44C" w14:textId="77777777" w:rsidR="008B7E19" w:rsidRDefault="008B7E19" w:rsidP="008B7E19">
      <w:pPr>
        <w:spacing w:after="0" w:line="240" w:lineRule="auto"/>
        <w:rPr>
          <w:rFonts w:eastAsia="Times New Roman" w:cs="Arial"/>
          <w:spacing w:val="-2"/>
          <w:szCs w:val="20"/>
          <w:lang w:eastAsia="zh-CN"/>
        </w:rPr>
      </w:pPr>
      <w:r>
        <w:rPr>
          <w:rFonts w:eastAsia="Times New Roman" w:cs="Times New Roman"/>
          <w:b/>
          <w:color w:val="1F4E79" w:themeColor="accent1" w:themeShade="80"/>
          <w:spacing w:val="-2"/>
          <w:szCs w:val="20"/>
          <w:lang w:eastAsia="pt-BR"/>
        </w:rPr>
        <w:t>Income Statement Information</w:t>
      </w:r>
    </w:p>
    <w:p w14:paraId="0A0AD366" w14:textId="77777777" w:rsidR="008B7E19" w:rsidRDefault="008B7E19" w:rsidP="008B7E19">
      <w:pPr>
        <w:keepNext/>
        <w:keepLines/>
        <w:spacing w:after="0" w:line="240" w:lineRule="auto"/>
        <w:rPr>
          <w:rFonts w:eastAsia="Times New Roman" w:cs="Arial"/>
          <w:spacing w:val="-2"/>
          <w:szCs w:val="20"/>
          <w:lang w:eastAsia="zh-CN"/>
        </w:rPr>
      </w:pPr>
    </w:p>
    <w:p w14:paraId="5C5CB716" w14:textId="77777777" w:rsidR="008B7E19" w:rsidRPr="00FC09E4" w:rsidRDefault="008B7E19" w:rsidP="008B7E19">
      <w:pPr>
        <w:spacing w:after="0" w:line="240" w:lineRule="auto"/>
        <w:jc w:val="right"/>
        <w:rPr>
          <w:rFonts w:cs="Arial"/>
          <w:b/>
          <w:sz w:val="14"/>
          <w:lang w:val="en-US" w:eastAsia="pt-BR"/>
        </w:rPr>
      </w:pPr>
      <w:r w:rsidRPr="00FC09E4">
        <w:rPr>
          <w:rFonts w:cs="Arial"/>
          <w:b/>
          <w:sz w:val="14"/>
          <w:lang w:val="en-US" w:eastAsia="pt-BR"/>
        </w:rPr>
        <w:t>R$ thousand</w:t>
      </w:r>
    </w:p>
    <w:tbl>
      <w:tblPr>
        <w:tblStyle w:val="TabeladeLista6Colorida-nfase512"/>
        <w:tblW w:w="9639" w:type="dxa"/>
        <w:jc w:val="center"/>
        <w:tblInd w:w="0" w:type="dxa"/>
        <w:tblLayout w:type="fixed"/>
        <w:tblLook w:val="04A0" w:firstRow="1" w:lastRow="0" w:firstColumn="1" w:lastColumn="0" w:noHBand="0" w:noVBand="1"/>
      </w:tblPr>
      <w:tblGrid>
        <w:gridCol w:w="2364"/>
        <w:gridCol w:w="1818"/>
        <w:gridCol w:w="1819"/>
        <w:gridCol w:w="1819"/>
        <w:gridCol w:w="1819"/>
      </w:tblGrid>
      <w:tr w:rsidR="008B7E19" w:rsidRPr="0023126A" w14:paraId="4E26093F" w14:textId="77777777" w:rsidTr="008B7E19">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single" w:sz="2" w:space="0" w:color="1F4E79" w:themeColor="accent1" w:themeShade="80"/>
              <w:left w:val="nil"/>
              <w:bottom w:val="single" w:sz="2" w:space="0" w:color="1F4E79" w:themeColor="accent1" w:themeShade="80"/>
              <w:right w:val="nil"/>
            </w:tcBorders>
            <w:shd w:val="clear" w:color="auto" w:fill="auto"/>
            <w:vAlign w:val="center"/>
          </w:tcPr>
          <w:p w14:paraId="6BE8A852" w14:textId="77777777" w:rsidR="008B7E19" w:rsidRPr="0023126A" w:rsidRDefault="008B7E19" w:rsidP="008B7E19">
            <w:pPr>
              <w:jc w:val="center"/>
              <w:rPr>
                <w:rFonts w:cs="Arial"/>
                <w:sz w:val="14"/>
                <w:szCs w:val="14"/>
              </w:rPr>
            </w:pPr>
          </w:p>
        </w:tc>
        <w:tc>
          <w:tcPr>
            <w:tcW w:w="1818" w:type="dxa"/>
            <w:tcBorders>
              <w:top w:val="single" w:sz="2" w:space="0" w:color="1F4E79" w:themeColor="accent1" w:themeShade="80"/>
              <w:left w:val="nil"/>
              <w:bottom w:val="single" w:sz="2" w:space="0" w:color="1F4E79" w:themeColor="accent1" w:themeShade="80"/>
              <w:right w:val="nil"/>
            </w:tcBorders>
            <w:shd w:val="clear" w:color="auto" w:fill="auto"/>
            <w:vAlign w:val="center"/>
          </w:tcPr>
          <w:p w14:paraId="578E501E" w14:textId="77777777" w:rsidR="008B7E19" w:rsidRPr="0023126A" w:rsidRDefault="008B7E19" w:rsidP="008B7E19">
            <w:pPr>
              <w:jc w:val="right"/>
              <w:cnfStyle w:val="100000000000" w:firstRow="1" w:lastRow="0" w:firstColumn="0" w:lastColumn="0" w:oddVBand="0" w:evenVBand="0" w:oddHBand="0" w:evenHBand="0" w:firstRowFirstColumn="0" w:firstRowLastColumn="0" w:lastRowFirstColumn="0" w:lastRowLastColumn="0"/>
              <w:rPr>
                <w:rFonts w:cs="Arial"/>
                <w:sz w:val="14"/>
                <w:szCs w:val="14"/>
              </w:rPr>
            </w:pPr>
            <w:r w:rsidRPr="002062A7">
              <w:rPr>
                <w:rFonts w:cs="Arial"/>
                <w:sz w:val="14"/>
                <w:szCs w:val="14"/>
              </w:rPr>
              <w:t>2</w:t>
            </w:r>
            <w:r w:rsidRPr="002062A7">
              <w:rPr>
                <w:rFonts w:cs="Arial"/>
                <w:sz w:val="14"/>
                <w:szCs w:val="14"/>
                <w:vertAlign w:val="superscript"/>
              </w:rPr>
              <w:t>nd</w:t>
            </w:r>
            <w:r w:rsidRPr="002062A7">
              <w:rPr>
                <w:rFonts w:cs="Arial"/>
                <w:sz w:val="14"/>
                <w:szCs w:val="14"/>
              </w:rPr>
              <w:t xml:space="preserve"> Quarter 2023</w:t>
            </w:r>
            <w:r>
              <w:rPr>
                <w:rFonts w:cs="Arial"/>
                <w:sz w:val="14"/>
                <w:szCs w:val="14"/>
              </w:rPr>
              <w:t xml:space="preserve"> </w:t>
            </w:r>
            <w:r w:rsidRPr="002F01AF">
              <w:rPr>
                <w:rFonts w:cs="Arial"/>
                <w:sz w:val="14"/>
                <w:szCs w:val="14"/>
                <w:vertAlign w:val="superscript"/>
              </w:rPr>
              <w:t>(3)</w:t>
            </w:r>
          </w:p>
        </w:tc>
        <w:tc>
          <w:tcPr>
            <w:tcW w:w="1819" w:type="dxa"/>
            <w:tcBorders>
              <w:top w:val="single" w:sz="2" w:space="0" w:color="1F4E79" w:themeColor="accent1" w:themeShade="80"/>
              <w:left w:val="nil"/>
              <w:bottom w:val="single" w:sz="2" w:space="0" w:color="1F4E79" w:themeColor="accent1" w:themeShade="80"/>
              <w:right w:val="nil"/>
            </w:tcBorders>
            <w:shd w:val="clear" w:color="auto" w:fill="auto"/>
            <w:vAlign w:val="center"/>
          </w:tcPr>
          <w:p w14:paraId="09A47255" w14:textId="77777777" w:rsidR="008B7E19" w:rsidRPr="0023126A" w:rsidRDefault="008B7E19" w:rsidP="008B7E19">
            <w:pPr>
              <w:jc w:val="right"/>
              <w:cnfStyle w:val="100000000000" w:firstRow="1" w:lastRow="0" w:firstColumn="0" w:lastColumn="0" w:oddVBand="0" w:evenVBand="0" w:oddHBand="0" w:evenHBand="0" w:firstRowFirstColumn="0" w:firstRowLastColumn="0" w:lastRowFirstColumn="0" w:lastRowLastColumn="0"/>
              <w:rPr>
                <w:rFonts w:cs="Arial"/>
                <w:sz w:val="14"/>
                <w:szCs w:val="14"/>
              </w:rPr>
            </w:pPr>
            <w:r w:rsidRPr="002062A7">
              <w:rPr>
                <w:rFonts w:cs="Arial"/>
                <w:sz w:val="14"/>
                <w:szCs w:val="14"/>
              </w:rPr>
              <w:t>1</w:t>
            </w:r>
            <w:r w:rsidRPr="002062A7">
              <w:rPr>
                <w:rFonts w:cs="Arial"/>
                <w:sz w:val="14"/>
                <w:szCs w:val="14"/>
                <w:vertAlign w:val="superscript"/>
              </w:rPr>
              <w:t>st</w:t>
            </w:r>
            <w:r w:rsidRPr="002062A7">
              <w:rPr>
                <w:rFonts w:cs="Arial"/>
                <w:sz w:val="14"/>
                <w:szCs w:val="14"/>
              </w:rPr>
              <w:t xml:space="preserve"> Half 2023</w:t>
            </w:r>
          </w:p>
        </w:tc>
        <w:tc>
          <w:tcPr>
            <w:tcW w:w="1819" w:type="dxa"/>
            <w:tcBorders>
              <w:top w:val="single" w:sz="2" w:space="0" w:color="1F4E79" w:themeColor="accent1" w:themeShade="80"/>
              <w:left w:val="nil"/>
              <w:bottom w:val="single" w:sz="2" w:space="0" w:color="1F4E79" w:themeColor="accent1" w:themeShade="80"/>
              <w:right w:val="nil"/>
            </w:tcBorders>
            <w:shd w:val="clear" w:color="auto" w:fill="auto"/>
            <w:vAlign w:val="center"/>
          </w:tcPr>
          <w:p w14:paraId="04C2DBC8" w14:textId="77777777" w:rsidR="008B7E19" w:rsidRPr="0023126A" w:rsidRDefault="008B7E19" w:rsidP="008B7E19">
            <w:pPr>
              <w:jc w:val="right"/>
              <w:cnfStyle w:val="100000000000" w:firstRow="1" w:lastRow="0" w:firstColumn="0" w:lastColumn="0" w:oddVBand="0" w:evenVBand="0" w:oddHBand="0" w:evenHBand="0" w:firstRowFirstColumn="0" w:firstRowLastColumn="0" w:lastRowFirstColumn="0" w:lastRowLastColumn="0"/>
              <w:rPr>
                <w:rFonts w:cs="Arial"/>
                <w:b w:val="0"/>
                <w:sz w:val="14"/>
                <w:szCs w:val="14"/>
              </w:rPr>
            </w:pPr>
            <w:r w:rsidRPr="002062A7">
              <w:rPr>
                <w:rFonts w:cs="Arial"/>
                <w:sz w:val="14"/>
                <w:szCs w:val="14"/>
              </w:rPr>
              <w:t>2</w:t>
            </w:r>
            <w:r w:rsidRPr="002062A7">
              <w:rPr>
                <w:rFonts w:cs="Arial"/>
                <w:sz w:val="14"/>
                <w:szCs w:val="14"/>
                <w:vertAlign w:val="superscript"/>
              </w:rPr>
              <w:t>nd</w:t>
            </w:r>
            <w:r w:rsidRPr="002062A7">
              <w:rPr>
                <w:rFonts w:cs="Arial"/>
                <w:sz w:val="14"/>
                <w:szCs w:val="14"/>
              </w:rPr>
              <w:t xml:space="preserve"> Quarter 2022</w:t>
            </w:r>
            <w:r w:rsidRPr="002062A7">
              <w:rPr>
                <w:rFonts w:cs="Arial"/>
                <w:sz w:val="14"/>
                <w:szCs w:val="14"/>
              </w:rPr>
              <w:br/>
              <w:t>(Restated balances)</w:t>
            </w:r>
          </w:p>
        </w:tc>
        <w:tc>
          <w:tcPr>
            <w:tcW w:w="1819" w:type="dxa"/>
            <w:tcBorders>
              <w:top w:val="single" w:sz="2" w:space="0" w:color="1F4E79" w:themeColor="accent1" w:themeShade="80"/>
              <w:left w:val="nil"/>
              <w:bottom w:val="single" w:sz="2" w:space="0" w:color="1F4E79" w:themeColor="accent1" w:themeShade="80"/>
              <w:right w:val="nil"/>
            </w:tcBorders>
            <w:shd w:val="clear" w:color="auto" w:fill="auto"/>
            <w:vAlign w:val="center"/>
          </w:tcPr>
          <w:p w14:paraId="42764446" w14:textId="77777777" w:rsidR="008B7E19" w:rsidRPr="0023126A" w:rsidRDefault="008B7E19" w:rsidP="008B7E19">
            <w:pPr>
              <w:jc w:val="right"/>
              <w:cnfStyle w:val="100000000000" w:firstRow="1" w:lastRow="0" w:firstColumn="0" w:lastColumn="0" w:oddVBand="0" w:evenVBand="0" w:oddHBand="0" w:evenHBand="0" w:firstRowFirstColumn="0" w:firstRowLastColumn="0" w:lastRowFirstColumn="0" w:lastRowLastColumn="0"/>
              <w:rPr>
                <w:rFonts w:cs="Arial"/>
                <w:sz w:val="14"/>
                <w:szCs w:val="14"/>
              </w:rPr>
            </w:pPr>
            <w:r w:rsidRPr="002062A7">
              <w:rPr>
                <w:rFonts w:cs="Arial"/>
                <w:sz w:val="14"/>
                <w:szCs w:val="14"/>
              </w:rPr>
              <w:t>1</w:t>
            </w:r>
            <w:r w:rsidRPr="002062A7">
              <w:rPr>
                <w:rFonts w:cs="Arial"/>
                <w:sz w:val="14"/>
                <w:szCs w:val="14"/>
                <w:vertAlign w:val="superscript"/>
              </w:rPr>
              <w:t>st</w:t>
            </w:r>
            <w:r w:rsidRPr="002062A7">
              <w:rPr>
                <w:rFonts w:cs="Arial"/>
                <w:sz w:val="14"/>
                <w:szCs w:val="14"/>
              </w:rPr>
              <w:t xml:space="preserve"> Half 2022</w:t>
            </w:r>
            <w:r w:rsidRPr="002062A7">
              <w:rPr>
                <w:rFonts w:cs="Arial"/>
                <w:sz w:val="14"/>
                <w:szCs w:val="14"/>
              </w:rPr>
              <w:br/>
              <w:t>(Restated balances)</w:t>
            </w:r>
          </w:p>
        </w:tc>
      </w:tr>
      <w:tr w:rsidR="008B7E19" w:rsidRPr="0023126A" w14:paraId="125AEDD1"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single" w:sz="2" w:space="0" w:color="1F4E79" w:themeColor="accent1" w:themeShade="80"/>
              <w:left w:val="nil"/>
              <w:bottom w:val="nil"/>
              <w:right w:val="nil"/>
            </w:tcBorders>
            <w:shd w:val="clear" w:color="auto" w:fill="auto"/>
            <w:vAlign w:val="center"/>
          </w:tcPr>
          <w:p w14:paraId="243D8B3B" w14:textId="77777777" w:rsidR="008B7E19" w:rsidRPr="0023126A" w:rsidRDefault="008B7E19" w:rsidP="008B7E19">
            <w:pPr>
              <w:keepNext/>
              <w:keepLines/>
              <w:rPr>
                <w:rFonts w:eastAsia="Times New Roman" w:cs="Arial"/>
                <w:spacing w:val="-2"/>
                <w:sz w:val="14"/>
                <w:szCs w:val="14"/>
              </w:rPr>
            </w:pPr>
            <w:r>
              <w:rPr>
                <w:rFonts w:cs="Arial"/>
                <w:color w:val="000000"/>
                <w:sz w:val="14"/>
                <w:szCs w:val="14"/>
              </w:rPr>
              <w:t>Result of insurance contracts</w:t>
            </w:r>
          </w:p>
        </w:tc>
        <w:tc>
          <w:tcPr>
            <w:tcW w:w="1818" w:type="dxa"/>
            <w:tcBorders>
              <w:top w:val="single" w:sz="2" w:space="0" w:color="1F4E79" w:themeColor="accent1" w:themeShade="80"/>
              <w:left w:val="nil"/>
              <w:bottom w:val="nil"/>
              <w:right w:val="nil"/>
            </w:tcBorders>
            <w:shd w:val="clear" w:color="auto" w:fill="auto"/>
            <w:vAlign w:val="center"/>
          </w:tcPr>
          <w:p w14:paraId="68132C00" w14:textId="77777777" w:rsidR="008B7E19" w:rsidRPr="008D0F3B"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b/>
                <w:bCs/>
                <w:sz w:val="14"/>
                <w:szCs w:val="14"/>
              </w:rPr>
            </w:pPr>
            <w:r w:rsidRPr="008D0F3B">
              <w:rPr>
                <w:rFonts w:cs="Arial"/>
                <w:b/>
                <w:bCs/>
                <w:color w:val="000000"/>
                <w:sz w:val="14"/>
                <w:szCs w:val="14"/>
              </w:rPr>
              <w:t>28</w:t>
            </w:r>
            <w:r>
              <w:rPr>
                <w:rFonts w:cs="Arial"/>
                <w:b/>
                <w:bCs/>
                <w:color w:val="000000"/>
                <w:sz w:val="14"/>
                <w:szCs w:val="14"/>
              </w:rPr>
              <w:t>,</w:t>
            </w:r>
            <w:r w:rsidRPr="008D0F3B">
              <w:rPr>
                <w:rFonts w:cs="Arial"/>
                <w:b/>
                <w:bCs/>
                <w:color w:val="000000"/>
                <w:sz w:val="14"/>
                <w:szCs w:val="14"/>
              </w:rPr>
              <w:t>964</w:t>
            </w:r>
          </w:p>
        </w:tc>
        <w:tc>
          <w:tcPr>
            <w:tcW w:w="1819" w:type="dxa"/>
            <w:tcBorders>
              <w:top w:val="single" w:sz="2" w:space="0" w:color="1F4E79" w:themeColor="accent1" w:themeShade="80"/>
              <w:left w:val="nil"/>
              <w:bottom w:val="nil"/>
              <w:right w:val="nil"/>
            </w:tcBorders>
            <w:shd w:val="clear" w:color="auto" w:fill="auto"/>
            <w:vAlign w:val="center"/>
          </w:tcPr>
          <w:p w14:paraId="428BE679" w14:textId="77777777" w:rsidR="008B7E19" w:rsidRPr="008D0F3B"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b/>
                <w:bCs/>
                <w:sz w:val="14"/>
                <w:szCs w:val="14"/>
              </w:rPr>
            </w:pPr>
            <w:r w:rsidRPr="008D0F3B">
              <w:rPr>
                <w:rFonts w:cs="Arial"/>
                <w:b/>
                <w:bCs/>
                <w:color w:val="000000"/>
                <w:sz w:val="14"/>
                <w:szCs w:val="14"/>
              </w:rPr>
              <w:t>47</w:t>
            </w:r>
            <w:r>
              <w:rPr>
                <w:rFonts w:cs="Arial"/>
                <w:b/>
                <w:bCs/>
                <w:color w:val="000000"/>
                <w:sz w:val="14"/>
                <w:szCs w:val="14"/>
              </w:rPr>
              <w:t>,</w:t>
            </w:r>
            <w:r w:rsidRPr="008D0F3B">
              <w:rPr>
                <w:rFonts w:cs="Arial"/>
                <w:b/>
                <w:bCs/>
                <w:color w:val="000000"/>
                <w:sz w:val="14"/>
                <w:szCs w:val="14"/>
              </w:rPr>
              <w:t>988</w:t>
            </w:r>
          </w:p>
        </w:tc>
        <w:tc>
          <w:tcPr>
            <w:tcW w:w="1819" w:type="dxa"/>
            <w:tcBorders>
              <w:top w:val="single" w:sz="2" w:space="0" w:color="1F4E79" w:themeColor="accent1" w:themeShade="80"/>
              <w:left w:val="nil"/>
              <w:bottom w:val="nil"/>
              <w:right w:val="nil"/>
            </w:tcBorders>
            <w:shd w:val="clear" w:color="auto" w:fill="auto"/>
            <w:vAlign w:val="center"/>
          </w:tcPr>
          <w:p w14:paraId="0C158E12" w14:textId="77777777" w:rsidR="008B7E19" w:rsidRPr="008D0F3B"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b/>
                <w:bCs/>
                <w:sz w:val="14"/>
                <w:szCs w:val="14"/>
              </w:rPr>
            </w:pPr>
            <w:r w:rsidRPr="008D0F3B">
              <w:rPr>
                <w:rFonts w:cs="Arial"/>
                <w:b/>
                <w:bCs/>
                <w:color w:val="000000"/>
                <w:sz w:val="14"/>
                <w:szCs w:val="14"/>
              </w:rPr>
              <w:t>27</w:t>
            </w:r>
            <w:r>
              <w:rPr>
                <w:rFonts w:cs="Arial"/>
                <w:b/>
                <w:bCs/>
                <w:color w:val="000000"/>
                <w:sz w:val="14"/>
                <w:szCs w:val="14"/>
              </w:rPr>
              <w:t>,</w:t>
            </w:r>
            <w:r w:rsidRPr="008D0F3B">
              <w:rPr>
                <w:rFonts w:cs="Arial"/>
                <w:b/>
                <w:bCs/>
                <w:color w:val="000000"/>
                <w:sz w:val="14"/>
                <w:szCs w:val="14"/>
              </w:rPr>
              <w:t>975</w:t>
            </w:r>
          </w:p>
        </w:tc>
        <w:tc>
          <w:tcPr>
            <w:tcW w:w="1819" w:type="dxa"/>
            <w:tcBorders>
              <w:top w:val="single" w:sz="2" w:space="0" w:color="1F4E79" w:themeColor="accent1" w:themeShade="80"/>
              <w:left w:val="nil"/>
              <w:bottom w:val="nil"/>
              <w:right w:val="nil"/>
            </w:tcBorders>
            <w:shd w:val="clear" w:color="auto" w:fill="auto"/>
            <w:vAlign w:val="center"/>
          </w:tcPr>
          <w:p w14:paraId="31F80169" w14:textId="77777777" w:rsidR="008B7E19" w:rsidRPr="008D0F3B"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b/>
                <w:bCs/>
                <w:sz w:val="14"/>
                <w:szCs w:val="14"/>
              </w:rPr>
            </w:pPr>
            <w:r w:rsidRPr="008D0F3B">
              <w:rPr>
                <w:rFonts w:cs="Arial"/>
                <w:b/>
                <w:bCs/>
                <w:color w:val="000000"/>
                <w:sz w:val="14"/>
                <w:szCs w:val="14"/>
              </w:rPr>
              <w:t>56</w:t>
            </w:r>
            <w:r>
              <w:rPr>
                <w:rFonts w:cs="Arial"/>
                <w:b/>
                <w:bCs/>
                <w:color w:val="000000"/>
                <w:sz w:val="14"/>
                <w:szCs w:val="14"/>
              </w:rPr>
              <w:t>,</w:t>
            </w:r>
            <w:r w:rsidRPr="008D0F3B">
              <w:rPr>
                <w:rFonts w:cs="Arial"/>
                <w:b/>
                <w:bCs/>
                <w:color w:val="000000"/>
                <w:sz w:val="14"/>
                <w:szCs w:val="14"/>
              </w:rPr>
              <w:t>081</w:t>
            </w:r>
          </w:p>
        </w:tc>
      </w:tr>
      <w:tr w:rsidR="008B7E19" w:rsidRPr="0023126A" w14:paraId="3C7B77F0" w14:textId="77777777" w:rsidTr="008B7E1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45622824" w14:textId="77777777" w:rsidR="008B7E19" w:rsidRPr="0023126A" w:rsidRDefault="008B7E19" w:rsidP="008B7E19">
            <w:pPr>
              <w:keepNext/>
              <w:keepLines/>
              <w:ind w:left="113"/>
              <w:rPr>
                <w:rFonts w:cs="Arial"/>
                <w:b w:val="0"/>
                <w:bCs w:val="0"/>
                <w:sz w:val="14"/>
                <w:szCs w:val="14"/>
              </w:rPr>
            </w:pPr>
            <w:r>
              <w:rPr>
                <w:rFonts w:cs="Arial"/>
                <w:b w:val="0"/>
                <w:bCs w:val="0"/>
                <w:color w:val="000000"/>
                <w:sz w:val="14"/>
                <w:szCs w:val="14"/>
              </w:rPr>
              <w:t>Result of contracts</w:t>
            </w:r>
            <w:r w:rsidRPr="008F005D">
              <w:rPr>
                <w:rFonts w:cs="Arial"/>
                <w:b w:val="0"/>
                <w:bCs w:val="0"/>
                <w:color w:val="000000"/>
                <w:sz w:val="14"/>
                <w:szCs w:val="14"/>
              </w:rPr>
              <w:t xml:space="preserve"> BBA</w:t>
            </w:r>
            <w:r>
              <w:rPr>
                <w:rFonts w:cs="Arial"/>
                <w:b w:val="0"/>
                <w:bCs w:val="0"/>
                <w:color w:val="000000"/>
                <w:sz w:val="14"/>
                <w:szCs w:val="14"/>
              </w:rPr>
              <w:t xml:space="preserve"> </w:t>
            </w:r>
            <w:r w:rsidRPr="005B7540">
              <w:rPr>
                <w:rFonts w:cs="Arial"/>
                <w:b w:val="0"/>
                <w:bCs w:val="0"/>
                <w:color w:val="000000"/>
                <w:sz w:val="14"/>
                <w:szCs w:val="14"/>
                <w:vertAlign w:val="superscript"/>
              </w:rPr>
              <w:t>(1)</w:t>
            </w:r>
          </w:p>
        </w:tc>
        <w:tc>
          <w:tcPr>
            <w:tcW w:w="1818" w:type="dxa"/>
            <w:tcBorders>
              <w:top w:val="nil"/>
              <w:left w:val="nil"/>
              <w:bottom w:val="nil"/>
              <w:right w:val="nil"/>
            </w:tcBorders>
            <w:shd w:val="clear" w:color="auto" w:fill="auto"/>
            <w:vAlign w:val="center"/>
          </w:tcPr>
          <w:p w14:paraId="61AAD647" w14:textId="77777777" w:rsidR="008B7E19" w:rsidRPr="008D0F3B" w:rsidRDefault="008B7E19" w:rsidP="008B7E19">
            <w:pPr>
              <w:keepNext/>
              <w:keepLines/>
              <w:jc w:val="right"/>
              <w:cnfStyle w:val="000000010000" w:firstRow="0" w:lastRow="0" w:firstColumn="0" w:lastColumn="0" w:oddVBand="0" w:evenVBand="0" w:oddHBand="0" w:evenHBand="1" w:firstRowFirstColumn="0" w:firstRowLastColumn="0" w:lastRowFirstColumn="0" w:lastRowLastColumn="0"/>
              <w:rPr>
                <w:rFonts w:cs="Arial"/>
                <w:color w:val="000000"/>
                <w:sz w:val="14"/>
                <w:szCs w:val="14"/>
              </w:rPr>
            </w:pPr>
            <w:r w:rsidRPr="008D0F3B">
              <w:rPr>
                <w:rFonts w:cs="Arial"/>
                <w:color w:val="000000"/>
                <w:sz w:val="14"/>
                <w:szCs w:val="14"/>
              </w:rPr>
              <w:t>7</w:t>
            </w:r>
            <w:r>
              <w:rPr>
                <w:rFonts w:cs="Arial"/>
                <w:color w:val="000000"/>
                <w:sz w:val="14"/>
                <w:szCs w:val="14"/>
              </w:rPr>
              <w:t>,</w:t>
            </w:r>
            <w:r w:rsidRPr="008D0F3B">
              <w:rPr>
                <w:rFonts w:cs="Arial"/>
                <w:color w:val="000000"/>
                <w:sz w:val="14"/>
                <w:szCs w:val="14"/>
              </w:rPr>
              <w:t>909</w:t>
            </w:r>
          </w:p>
        </w:tc>
        <w:tc>
          <w:tcPr>
            <w:tcW w:w="1819" w:type="dxa"/>
            <w:tcBorders>
              <w:top w:val="nil"/>
              <w:left w:val="nil"/>
              <w:bottom w:val="nil"/>
              <w:right w:val="nil"/>
            </w:tcBorders>
            <w:shd w:val="clear" w:color="auto" w:fill="auto"/>
            <w:vAlign w:val="center"/>
          </w:tcPr>
          <w:p w14:paraId="71EB3C87" w14:textId="77777777" w:rsidR="008B7E19" w:rsidRPr="008D0F3B" w:rsidRDefault="008B7E19" w:rsidP="008B7E19">
            <w:pPr>
              <w:keepNext/>
              <w:keepLines/>
              <w:jc w:val="right"/>
              <w:cnfStyle w:val="000000010000" w:firstRow="0" w:lastRow="0" w:firstColumn="0" w:lastColumn="0" w:oddVBand="0" w:evenVBand="0" w:oddHBand="0" w:evenHBand="1" w:firstRowFirstColumn="0" w:firstRowLastColumn="0" w:lastRowFirstColumn="0" w:lastRowLastColumn="0"/>
              <w:rPr>
                <w:rFonts w:cs="Arial"/>
                <w:color w:val="000000"/>
                <w:sz w:val="14"/>
                <w:szCs w:val="14"/>
              </w:rPr>
            </w:pPr>
            <w:r w:rsidRPr="008D0F3B">
              <w:rPr>
                <w:rFonts w:cs="Arial"/>
                <w:color w:val="000000"/>
                <w:sz w:val="14"/>
                <w:szCs w:val="14"/>
              </w:rPr>
              <w:t>12</w:t>
            </w:r>
            <w:r>
              <w:rPr>
                <w:rFonts w:cs="Arial"/>
                <w:color w:val="000000"/>
                <w:sz w:val="14"/>
                <w:szCs w:val="14"/>
              </w:rPr>
              <w:t>,</w:t>
            </w:r>
            <w:r w:rsidRPr="008D0F3B">
              <w:rPr>
                <w:rFonts w:cs="Arial"/>
                <w:color w:val="000000"/>
                <w:sz w:val="14"/>
                <w:szCs w:val="14"/>
              </w:rPr>
              <w:t>905</w:t>
            </w:r>
          </w:p>
        </w:tc>
        <w:tc>
          <w:tcPr>
            <w:tcW w:w="1819" w:type="dxa"/>
            <w:tcBorders>
              <w:top w:val="nil"/>
              <w:left w:val="nil"/>
              <w:bottom w:val="nil"/>
              <w:right w:val="nil"/>
            </w:tcBorders>
            <w:shd w:val="clear" w:color="auto" w:fill="auto"/>
            <w:vAlign w:val="center"/>
          </w:tcPr>
          <w:p w14:paraId="687E05F8" w14:textId="77777777" w:rsidR="008B7E19" w:rsidRPr="008D0F3B" w:rsidRDefault="008B7E19" w:rsidP="008B7E19">
            <w:pPr>
              <w:keepNext/>
              <w:keepLines/>
              <w:jc w:val="right"/>
              <w:cnfStyle w:val="000000010000" w:firstRow="0" w:lastRow="0" w:firstColumn="0" w:lastColumn="0" w:oddVBand="0" w:evenVBand="0" w:oddHBand="0" w:evenHBand="1" w:firstRowFirstColumn="0" w:firstRowLastColumn="0" w:lastRowFirstColumn="0" w:lastRowLastColumn="0"/>
              <w:rPr>
                <w:rFonts w:cs="Arial"/>
                <w:color w:val="000000"/>
                <w:sz w:val="14"/>
                <w:szCs w:val="14"/>
              </w:rPr>
            </w:pPr>
            <w:r w:rsidRPr="008D0F3B">
              <w:rPr>
                <w:rFonts w:cs="Arial"/>
                <w:color w:val="000000"/>
                <w:sz w:val="14"/>
                <w:szCs w:val="14"/>
              </w:rPr>
              <w:t>7</w:t>
            </w:r>
            <w:r>
              <w:rPr>
                <w:rFonts w:cs="Arial"/>
                <w:color w:val="000000"/>
                <w:sz w:val="14"/>
                <w:szCs w:val="14"/>
              </w:rPr>
              <w:t>,</w:t>
            </w:r>
            <w:r w:rsidRPr="008D0F3B">
              <w:rPr>
                <w:rFonts w:cs="Arial"/>
                <w:color w:val="000000"/>
                <w:sz w:val="14"/>
                <w:szCs w:val="14"/>
              </w:rPr>
              <w:t>011</w:t>
            </w:r>
          </w:p>
        </w:tc>
        <w:tc>
          <w:tcPr>
            <w:tcW w:w="1819" w:type="dxa"/>
            <w:tcBorders>
              <w:top w:val="nil"/>
              <w:left w:val="nil"/>
              <w:bottom w:val="nil"/>
              <w:right w:val="nil"/>
            </w:tcBorders>
            <w:shd w:val="clear" w:color="auto" w:fill="auto"/>
            <w:vAlign w:val="center"/>
          </w:tcPr>
          <w:p w14:paraId="45B7EFE8" w14:textId="77777777" w:rsidR="008B7E19" w:rsidRPr="008D0F3B" w:rsidRDefault="008B7E19" w:rsidP="008B7E19">
            <w:pPr>
              <w:keepNext/>
              <w:keepLines/>
              <w:jc w:val="right"/>
              <w:cnfStyle w:val="000000010000" w:firstRow="0" w:lastRow="0" w:firstColumn="0" w:lastColumn="0" w:oddVBand="0" w:evenVBand="0" w:oddHBand="0" w:evenHBand="1" w:firstRowFirstColumn="0" w:firstRowLastColumn="0" w:lastRowFirstColumn="0" w:lastRowLastColumn="0"/>
              <w:rPr>
                <w:rFonts w:cs="Arial"/>
                <w:color w:val="000000"/>
                <w:sz w:val="14"/>
                <w:szCs w:val="14"/>
              </w:rPr>
            </w:pPr>
            <w:r w:rsidRPr="008D0F3B">
              <w:rPr>
                <w:rFonts w:cs="Arial"/>
                <w:color w:val="000000"/>
                <w:sz w:val="14"/>
                <w:szCs w:val="14"/>
              </w:rPr>
              <w:t>14</w:t>
            </w:r>
            <w:r>
              <w:rPr>
                <w:rFonts w:cs="Arial"/>
                <w:color w:val="000000"/>
                <w:sz w:val="14"/>
                <w:szCs w:val="14"/>
              </w:rPr>
              <w:t>,</w:t>
            </w:r>
            <w:r w:rsidRPr="008D0F3B">
              <w:rPr>
                <w:rFonts w:cs="Arial"/>
                <w:color w:val="000000"/>
                <w:sz w:val="14"/>
                <w:szCs w:val="14"/>
              </w:rPr>
              <w:t>069</w:t>
            </w:r>
          </w:p>
        </w:tc>
      </w:tr>
      <w:tr w:rsidR="008B7E19" w:rsidRPr="0023126A" w14:paraId="19459255"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67B5182A" w14:textId="77777777" w:rsidR="008B7E19" w:rsidRPr="0023126A" w:rsidRDefault="008B7E19" w:rsidP="008B7E19">
            <w:pPr>
              <w:keepNext/>
              <w:keepLines/>
              <w:ind w:left="113"/>
              <w:rPr>
                <w:rFonts w:cs="Arial"/>
                <w:b w:val="0"/>
                <w:bCs w:val="0"/>
                <w:sz w:val="14"/>
                <w:szCs w:val="14"/>
              </w:rPr>
            </w:pPr>
            <w:r>
              <w:rPr>
                <w:rFonts w:cs="Arial"/>
                <w:b w:val="0"/>
                <w:bCs w:val="0"/>
                <w:color w:val="000000"/>
                <w:sz w:val="14"/>
                <w:szCs w:val="14"/>
              </w:rPr>
              <w:t>Result of contracts</w:t>
            </w:r>
            <w:r w:rsidRPr="008F005D">
              <w:rPr>
                <w:rFonts w:cs="Arial"/>
                <w:b w:val="0"/>
                <w:bCs w:val="0"/>
                <w:color w:val="000000"/>
                <w:sz w:val="14"/>
                <w:szCs w:val="14"/>
              </w:rPr>
              <w:t xml:space="preserve"> PAA</w:t>
            </w:r>
            <w:r>
              <w:rPr>
                <w:rFonts w:cs="Arial"/>
                <w:b w:val="0"/>
                <w:bCs w:val="0"/>
                <w:color w:val="000000"/>
                <w:sz w:val="14"/>
                <w:szCs w:val="14"/>
              </w:rPr>
              <w:t xml:space="preserve"> </w:t>
            </w:r>
            <w:r w:rsidRPr="005B7540">
              <w:rPr>
                <w:rFonts w:cs="Arial"/>
                <w:b w:val="0"/>
                <w:bCs w:val="0"/>
                <w:color w:val="000000"/>
                <w:sz w:val="14"/>
                <w:szCs w:val="14"/>
                <w:vertAlign w:val="superscript"/>
              </w:rPr>
              <w:t>(1)</w:t>
            </w:r>
          </w:p>
        </w:tc>
        <w:tc>
          <w:tcPr>
            <w:tcW w:w="1818" w:type="dxa"/>
            <w:tcBorders>
              <w:top w:val="nil"/>
              <w:left w:val="nil"/>
              <w:bottom w:val="nil"/>
              <w:right w:val="nil"/>
            </w:tcBorders>
            <w:shd w:val="clear" w:color="auto" w:fill="auto"/>
            <w:vAlign w:val="center"/>
          </w:tcPr>
          <w:p w14:paraId="296CE544" w14:textId="77777777" w:rsidR="008B7E19" w:rsidRPr="008D0F3B" w:rsidRDefault="008B7E19" w:rsidP="008B7E19">
            <w:pPr>
              <w:keepNext/>
              <w:keepLines/>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8D0F3B">
              <w:rPr>
                <w:rFonts w:cs="Arial"/>
                <w:color w:val="000000"/>
                <w:sz w:val="14"/>
                <w:szCs w:val="14"/>
              </w:rPr>
              <w:t>21</w:t>
            </w:r>
            <w:r>
              <w:rPr>
                <w:rFonts w:cs="Arial"/>
                <w:color w:val="000000"/>
                <w:sz w:val="14"/>
                <w:szCs w:val="14"/>
              </w:rPr>
              <w:t>,</w:t>
            </w:r>
            <w:r w:rsidRPr="008D0F3B">
              <w:rPr>
                <w:rFonts w:cs="Arial"/>
                <w:color w:val="000000"/>
                <w:sz w:val="14"/>
                <w:szCs w:val="14"/>
              </w:rPr>
              <w:t>055</w:t>
            </w:r>
          </w:p>
        </w:tc>
        <w:tc>
          <w:tcPr>
            <w:tcW w:w="1819" w:type="dxa"/>
            <w:tcBorders>
              <w:top w:val="nil"/>
              <w:left w:val="nil"/>
              <w:bottom w:val="nil"/>
              <w:right w:val="nil"/>
            </w:tcBorders>
            <w:shd w:val="clear" w:color="auto" w:fill="auto"/>
            <w:vAlign w:val="center"/>
          </w:tcPr>
          <w:p w14:paraId="51A42BA8" w14:textId="77777777" w:rsidR="008B7E19" w:rsidRPr="008D0F3B" w:rsidRDefault="008B7E19" w:rsidP="008B7E19">
            <w:pPr>
              <w:keepNext/>
              <w:keepLines/>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8D0F3B">
              <w:rPr>
                <w:rFonts w:cs="Arial"/>
                <w:color w:val="000000"/>
                <w:sz w:val="14"/>
                <w:szCs w:val="14"/>
              </w:rPr>
              <w:t>35</w:t>
            </w:r>
            <w:r>
              <w:rPr>
                <w:rFonts w:cs="Arial"/>
                <w:color w:val="000000"/>
                <w:sz w:val="14"/>
                <w:szCs w:val="14"/>
              </w:rPr>
              <w:t>,</w:t>
            </w:r>
            <w:r w:rsidRPr="008D0F3B">
              <w:rPr>
                <w:rFonts w:cs="Arial"/>
                <w:color w:val="000000"/>
                <w:sz w:val="14"/>
                <w:szCs w:val="14"/>
              </w:rPr>
              <w:t>083</w:t>
            </w:r>
          </w:p>
        </w:tc>
        <w:tc>
          <w:tcPr>
            <w:tcW w:w="1819" w:type="dxa"/>
            <w:tcBorders>
              <w:top w:val="nil"/>
              <w:left w:val="nil"/>
              <w:bottom w:val="nil"/>
              <w:right w:val="nil"/>
            </w:tcBorders>
            <w:shd w:val="clear" w:color="auto" w:fill="auto"/>
            <w:vAlign w:val="center"/>
          </w:tcPr>
          <w:p w14:paraId="222BB096" w14:textId="77777777" w:rsidR="008B7E19" w:rsidRPr="008D0F3B" w:rsidRDefault="008B7E19" w:rsidP="008B7E19">
            <w:pPr>
              <w:keepNext/>
              <w:keepLines/>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8D0F3B">
              <w:rPr>
                <w:rFonts w:cs="Arial"/>
                <w:color w:val="000000"/>
                <w:sz w:val="14"/>
                <w:szCs w:val="14"/>
              </w:rPr>
              <w:t>20</w:t>
            </w:r>
            <w:r>
              <w:rPr>
                <w:rFonts w:cs="Arial"/>
                <w:color w:val="000000"/>
                <w:sz w:val="14"/>
                <w:szCs w:val="14"/>
              </w:rPr>
              <w:t>,</w:t>
            </w:r>
            <w:r w:rsidRPr="008D0F3B">
              <w:rPr>
                <w:rFonts w:cs="Arial"/>
                <w:color w:val="000000"/>
                <w:sz w:val="14"/>
                <w:szCs w:val="14"/>
              </w:rPr>
              <w:t>964</w:t>
            </w:r>
          </w:p>
        </w:tc>
        <w:tc>
          <w:tcPr>
            <w:tcW w:w="1819" w:type="dxa"/>
            <w:tcBorders>
              <w:top w:val="nil"/>
              <w:left w:val="nil"/>
              <w:bottom w:val="nil"/>
              <w:right w:val="nil"/>
            </w:tcBorders>
            <w:shd w:val="clear" w:color="auto" w:fill="auto"/>
            <w:vAlign w:val="center"/>
          </w:tcPr>
          <w:p w14:paraId="01223B32" w14:textId="77777777" w:rsidR="008B7E19" w:rsidRPr="008D0F3B" w:rsidRDefault="008B7E19" w:rsidP="008B7E19">
            <w:pPr>
              <w:keepNext/>
              <w:keepLines/>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8D0F3B">
              <w:rPr>
                <w:rFonts w:cs="Arial"/>
                <w:color w:val="000000"/>
                <w:sz w:val="14"/>
                <w:szCs w:val="14"/>
              </w:rPr>
              <w:t>42</w:t>
            </w:r>
            <w:r>
              <w:rPr>
                <w:rFonts w:cs="Arial"/>
                <w:color w:val="000000"/>
                <w:sz w:val="14"/>
                <w:szCs w:val="14"/>
              </w:rPr>
              <w:t>,</w:t>
            </w:r>
            <w:r w:rsidRPr="008D0F3B">
              <w:rPr>
                <w:rFonts w:cs="Arial"/>
                <w:color w:val="000000"/>
                <w:sz w:val="14"/>
                <w:szCs w:val="14"/>
              </w:rPr>
              <w:t>012</w:t>
            </w:r>
          </w:p>
        </w:tc>
      </w:tr>
      <w:tr w:rsidR="008B7E19" w:rsidRPr="0023126A" w14:paraId="3771F2D9" w14:textId="77777777" w:rsidTr="008B7E1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1D0B7DF4" w14:textId="77777777" w:rsidR="008B7E19" w:rsidRPr="0023126A" w:rsidRDefault="008B7E19" w:rsidP="008B7E19">
            <w:pPr>
              <w:keepNext/>
              <w:keepLines/>
              <w:rPr>
                <w:rFonts w:cs="Arial"/>
                <w:b w:val="0"/>
                <w:bCs w:val="0"/>
                <w:color w:val="000000"/>
                <w:sz w:val="14"/>
                <w:szCs w:val="14"/>
              </w:rPr>
            </w:pPr>
            <w:r>
              <w:rPr>
                <w:rFonts w:cs="Arial"/>
                <w:b w:val="0"/>
                <w:bCs w:val="0"/>
                <w:color w:val="000000"/>
                <w:sz w:val="14"/>
                <w:szCs w:val="14"/>
              </w:rPr>
              <w:t>Insurance expenses</w:t>
            </w:r>
          </w:p>
        </w:tc>
        <w:tc>
          <w:tcPr>
            <w:tcW w:w="1818" w:type="dxa"/>
            <w:tcBorders>
              <w:top w:val="nil"/>
              <w:left w:val="nil"/>
              <w:bottom w:val="nil"/>
              <w:right w:val="nil"/>
            </w:tcBorders>
            <w:shd w:val="clear" w:color="auto" w:fill="auto"/>
            <w:vAlign w:val="center"/>
          </w:tcPr>
          <w:p w14:paraId="5CEBCC06" w14:textId="77777777" w:rsidR="008B7E19" w:rsidRPr="008D0F3B" w:rsidRDefault="008B7E19" w:rsidP="008B7E19">
            <w:pPr>
              <w:keepNext/>
              <w:keepLines/>
              <w:jc w:val="right"/>
              <w:cnfStyle w:val="000000010000" w:firstRow="0" w:lastRow="0" w:firstColumn="0" w:lastColumn="0" w:oddVBand="0" w:evenVBand="0" w:oddHBand="0" w:evenHBand="1" w:firstRowFirstColumn="0" w:firstRowLastColumn="0" w:lastRowFirstColumn="0" w:lastRowLastColumn="0"/>
              <w:rPr>
                <w:rFonts w:cs="Arial"/>
                <w:color w:val="000000"/>
                <w:sz w:val="14"/>
                <w:szCs w:val="14"/>
              </w:rPr>
            </w:pPr>
            <w:r w:rsidRPr="008D0F3B">
              <w:rPr>
                <w:rFonts w:cs="Arial"/>
                <w:color w:val="000000"/>
                <w:sz w:val="14"/>
                <w:szCs w:val="14"/>
              </w:rPr>
              <w:t>(19</w:t>
            </w:r>
            <w:r>
              <w:rPr>
                <w:rFonts w:cs="Arial"/>
                <w:color w:val="000000"/>
                <w:sz w:val="14"/>
                <w:szCs w:val="14"/>
              </w:rPr>
              <w:t>,</w:t>
            </w:r>
            <w:r w:rsidRPr="008D0F3B">
              <w:rPr>
                <w:rFonts w:cs="Arial"/>
                <w:color w:val="000000"/>
                <w:sz w:val="14"/>
                <w:szCs w:val="14"/>
              </w:rPr>
              <w:t>123)</w:t>
            </w:r>
          </w:p>
        </w:tc>
        <w:tc>
          <w:tcPr>
            <w:tcW w:w="1819" w:type="dxa"/>
            <w:tcBorders>
              <w:top w:val="nil"/>
              <w:left w:val="nil"/>
              <w:bottom w:val="nil"/>
              <w:right w:val="nil"/>
            </w:tcBorders>
            <w:shd w:val="clear" w:color="auto" w:fill="auto"/>
            <w:vAlign w:val="center"/>
          </w:tcPr>
          <w:p w14:paraId="5CFEE439" w14:textId="77777777" w:rsidR="008B7E19" w:rsidRPr="008D0F3B" w:rsidRDefault="008B7E19" w:rsidP="008B7E19">
            <w:pPr>
              <w:keepNext/>
              <w:keepLines/>
              <w:jc w:val="right"/>
              <w:cnfStyle w:val="000000010000" w:firstRow="0" w:lastRow="0" w:firstColumn="0" w:lastColumn="0" w:oddVBand="0" w:evenVBand="0" w:oddHBand="0" w:evenHBand="1" w:firstRowFirstColumn="0" w:firstRowLastColumn="0" w:lastRowFirstColumn="0" w:lastRowLastColumn="0"/>
              <w:rPr>
                <w:rFonts w:cs="Arial"/>
                <w:color w:val="000000"/>
                <w:sz w:val="14"/>
                <w:szCs w:val="14"/>
              </w:rPr>
            </w:pPr>
            <w:r w:rsidRPr="008D0F3B">
              <w:rPr>
                <w:rFonts w:cs="Arial"/>
                <w:color w:val="000000"/>
                <w:sz w:val="14"/>
                <w:szCs w:val="14"/>
              </w:rPr>
              <w:t>(32</w:t>
            </w:r>
            <w:r>
              <w:rPr>
                <w:rFonts w:cs="Arial"/>
                <w:color w:val="000000"/>
                <w:sz w:val="14"/>
                <w:szCs w:val="14"/>
              </w:rPr>
              <w:t>,</w:t>
            </w:r>
            <w:r w:rsidRPr="008D0F3B">
              <w:rPr>
                <w:rFonts w:cs="Arial"/>
                <w:color w:val="000000"/>
                <w:sz w:val="14"/>
                <w:szCs w:val="14"/>
              </w:rPr>
              <w:t>444)</w:t>
            </w:r>
          </w:p>
        </w:tc>
        <w:tc>
          <w:tcPr>
            <w:tcW w:w="1819" w:type="dxa"/>
            <w:tcBorders>
              <w:top w:val="nil"/>
              <w:left w:val="nil"/>
              <w:bottom w:val="nil"/>
              <w:right w:val="nil"/>
            </w:tcBorders>
            <w:shd w:val="clear" w:color="auto" w:fill="auto"/>
            <w:vAlign w:val="center"/>
          </w:tcPr>
          <w:p w14:paraId="39863F5E" w14:textId="77777777" w:rsidR="008B7E19" w:rsidRPr="008D0F3B" w:rsidRDefault="008B7E19" w:rsidP="008B7E19">
            <w:pPr>
              <w:keepNext/>
              <w:keepLines/>
              <w:jc w:val="right"/>
              <w:cnfStyle w:val="000000010000" w:firstRow="0" w:lastRow="0" w:firstColumn="0" w:lastColumn="0" w:oddVBand="0" w:evenVBand="0" w:oddHBand="0" w:evenHBand="1" w:firstRowFirstColumn="0" w:firstRowLastColumn="0" w:lastRowFirstColumn="0" w:lastRowLastColumn="0"/>
              <w:rPr>
                <w:rFonts w:cs="Arial"/>
                <w:color w:val="000000"/>
                <w:sz w:val="14"/>
                <w:szCs w:val="14"/>
              </w:rPr>
            </w:pPr>
            <w:r w:rsidRPr="008D0F3B">
              <w:rPr>
                <w:rFonts w:cs="Arial"/>
                <w:color w:val="000000"/>
                <w:sz w:val="14"/>
                <w:szCs w:val="14"/>
              </w:rPr>
              <w:t>(19</w:t>
            </w:r>
            <w:r>
              <w:rPr>
                <w:rFonts w:cs="Arial"/>
                <w:color w:val="000000"/>
                <w:sz w:val="14"/>
                <w:szCs w:val="14"/>
              </w:rPr>
              <w:t>,</w:t>
            </w:r>
            <w:r w:rsidRPr="008D0F3B">
              <w:rPr>
                <w:rFonts w:cs="Arial"/>
                <w:color w:val="000000"/>
                <w:sz w:val="14"/>
                <w:szCs w:val="14"/>
              </w:rPr>
              <w:t>755)</w:t>
            </w:r>
          </w:p>
        </w:tc>
        <w:tc>
          <w:tcPr>
            <w:tcW w:w="1819" w:type="dxa"/>
            <w:tcBorders>
              <w:top w:val="nil"/>
              <w:left w:val="nil"/>
              <w:bottom w:val="nil"/>
              <w:right w:val="nil"/>
            </w:tcBorders>
            <w:shd w:val="clear" w:color="auto" w:fill="auto"/>
            <w:vAlign w:val="center"/>
          </w:tcPr>
          <w:p w14:paraId="6E39B8C3" w14:textId="77777777" w:rsidR="008B7E19" w:rsidRPr="008D0F3B" w:rsidRDefault="008B7E19" w:rsidP="008B7E19">
            <w:pPr>
              <w:keepNext/>
              <w:keepLines/>
              <w:jc w:val="right"/>
              <w:cnfStyle w:val="000000010000" w:firstRow="0" w:lastRow="0" w:firstColumn="0" w:lastColumn="0" w:oddVBand="0" w:evenVBand="0" w:oddHBand="0" w:evenHBand="1" w:firstRowFirstColumn="0" w:firstRowLastColumn="0" w:lastRowFirstColumn="0" w:lastRowLastColumn="0"/>
              <w:rPr>
                <w:rFonts w:cs="Arial"/>
                <w:color w:val="000000"/>
                <w:sz w:val="14"/>
                <w:szCs w:val="14"/>
              </w:rPr>
            </w:pPr>
            <w:r w:rsidRPr="008D0F3B">
              <w:rPr>
                <w:rFonts w:cs="Arial"/>
                <w:color w:val="000000"/>
                <w:sz w:val="14"/>
                <w:szCs w:val="14"/>
              </w:rPr>
              <w:t>(37</w:t>
            </w:r>
            <w:r>
              <w:rPr>
                <w:rFonts w:cs="Arial"/>
                <w:color w:val="000000"/>
                <w:sz w:val="14"/>
                <w:szCs w:val="14"/>
              </w:rPr>
              <w:t>,</w:t>
            </w:r>
            <w:r w:rsidRPr="008D0F3B">
              <w:rPr>
                <w:rFonts w:cs="Arial"/>
                <w:color w:val="000000"/>
                <w:sz w:val="14"/>
                <w:szCs w:val="14"/>
              </w:rPr>
              <w:t>033)</w:t>
            </w:r>
          </w:p>
        </w:tc>
      </w:tr>
      <w:tr w:rsidR="008B7E19" w:rsidRPr="0023126A" w14:paraId="20DC2413"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297E38CA" w14:textId="77777777" w:rsidR="008B7E19" w:rsidRPr="0023126A" w:rsidRDefault="008B7E19" w:rsidP="008B7E19">
            <w:pPr>
              <w:keepNext/>
              <w:keepLines/>
              <w:spacing w:before="40" w:after="40"/>
              <w:rPr>
                <w:rFonts w:cs="Arial"/>
                <w:sz w:val="14"/>
                <w:szCs w:val="14"/>
              </w:rPr>
            </w:pPr>
            <w:r>
              <w:rPr>
                <w:rFonts w:cs="Arial"/>
                <w:color w:val="000000"/>
                <w:sz w:val="14"/>
                <w:szCs w:val="14"/>
              </w:rPr>
              <w:t>Insurance margin</w:t>
            </w:r>
          </w:p>
        </w:tc>
        <w:tc>
          <w:tcPr>
            <w:tcW w:w="1818" w:type="dxa"/>
            <w:tcBorders>
              <w:top w:val="nil"/>
              <w:left w:val="nil"/>
              <w:bottom w:val="nil"/>
              <w:right w:val="nil"/>
            </w:tcBorders>
            <w:shd w:val="clear" w:color="auto" w:fill="auto"/>
            <w:vAlign w:val="center"/>
          </w:tcPr>
          <w:p w14:paraId="6A555B92" w14:textId="77777777" w:rsidR="008B7E19" w:rsidRPr="008D0F3B"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b/>
                <w:bCs/>
                <w:sz w:val="14"/>
                <w:szCs w:val="14"/>
              </w:rPr>
            </w:pPr>
            <w:r w:rsidRPr="008D0F3B">
              <w:rPr>
                <w:rFonts w:cs="Arial"/>
                <w:b/>
                <w:bCs/>
                <w:color w:val="000000"/>
                <w:sz w:val="14"/>
                <w:szCs w:val="14"/>
              </w:rPr>
              <w:t>9</w:t>
            </w:r>
            <w:r>
              <w:rPr>
                <w:rFonts w:cs="Arial"/>
                <w:b/>
                <w:bCs/>
                <w:color w:val="000000"/>
                <w:sz w:val="14"/>
                <w:szCs w:val="14"/>
              </w:rPr>
              <w:t>,</w:t>
            </w:r>
            <w:r w:rsidRPr="008D0F3B">
              <w:rPr>
                <w:rFonts w:cs="Arial"/>
                <w:b/>
                <w:bCs/>
                <w:color w:val="000000"/>
                <w:sz w:val="14"/>
                <w:szCs w:val="14"/>
              </w:rPr>
              <w:t>841</w:t>
            </w:r>
          </w:p>
        </w:tc>
        <w:tc>
          <w:tcPr>
            <w:tcW w:w="1819" w:type="dxa"/>
            <w:tcBorders>
              <w:top w:val="nil"/>
              <w:left w:val="nil"/>
              <w:bottom w:val="nil"/>
              <w:right w:val="nil"/>
            </w:tcBorders>
            <w:shd w:val="clear" w:color="auto" w:fill="auto"/>
            <w:vAlign w:val="center"/>
          </w:tcPr>
          <w:p w14:paraId="67A6E719" w14:textId="77777777" w:rsidR="008B7E19" w:rsidRPr="008D0F3B"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b/>
                <w:bCs/>
                <w:sz w:val="14"/>
                <w:szCs w:val="14"/>
              </w:rPr>
            </w:pPr>
            <w:r w:rsidRPr="008D0F3B">
              <w:rPr>
                <w:rFonts w:cs="Arial"/>
                <w:b/>
                <w:bCs/>
                <w:color w:val="000000"/>
                <w:sz w:val="14"/>
                <w:szCs w:val="14"/>
              </w:rPr>
              <w:t>15</w:t>
            </w:r>
            <w:r>
              <w:rPr>
                <w:rFonts w:cs="Arial"/>
                <w:b/>
                <w:bCs/>
                <w:color w:val="000000"/>
                <w:sz w:val="14"/>
                <w:szCs w:val="14"/>
              </w:rPr>
              <w:t>,</w:t>
            </w:r>
            <w:r w:rsidRPr="008D0F3B">
              <w:rPr>
                <w:rFonts w:cs="Arial"/>
                <w:b/>
                <w:bCs/>
                <w:color w:val="000000"/>
                <w:sz w:val="14"/>
                <w:szCs w:val="14"/>
              </w:rPr>
              <w:t>544</w:t>
            </w:r>
          </w:p>
        </w:tc>
        <w:tc>
          <w:tcPr>
            <w:tcW w:w="1819" w:type="dxa"/>
            <w:tcBorders>
              <w:top w:val="nil"/>
              <w:left w:val="nil"/>
              <w:bottom w:val="nil"/>
              <w:right w:val="nil"/>
            </w:tcBorders>
            <w:shd w:val="clear" w:color="auto" w:fill="auto"/>
            <w:vAlign w:val="center"/>
          </w:tcPr>
          <w:p w14:paraId="08FC9BFA" w14:textId="77777777" w:rsidR="008B7E19" w:rsidRPr="008D0F3B"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b/>
                <w:bCs/>
                <w:sz w:val="14"/>
                <w:szCs w:val="14"/>
              </w:rPr>
            </w:pPr>
            <w:r w:rsidRPr="008D0F3B">
              <w:rPr>
                <w:rFonts w:cs="Arial"/>
                <w:b/>
                <w:bCs/>
                <w:color w:val="000000"/>
                <w:sz w:val="14"/>
                <w:szCs w:val="14"/>
              </w:rPr>
              <w:t>8</w:t>
            </w:r>
            <w:r>
              <w:rPr>
                <w:rFonts w:cs="Arial"/>
                <w:b/>
                <w:bCs/>
                <w:color w:val="000000"/>
                <w:sz w:val="14"/>
                <w:szCs w:val="14"/>
              </w:rPr>
              <w:t>,</w:t>
            </w:r>
            <w:r w:rsidRPr="008D0F3B">
              <w:rPr>
                <w:rFonts w:cs="Arial"/>
                <w:b/>
                <w:bCs/>
                <w:color w:val="000000"/>
                <w:sz w:val="14"/>
                <w:szCs w:val="14"/>
              </w:rPr>
              <w:t>220</w:t>
            </w:r>
          </w:p>
        </w:tc>
        <w:tc>
          <w:tcPr>
            <w:tcW w:w="1819" w:type="dxa"/>
            <w:tcBorders>
              <w:top w:val="nil"/>
              <w:left w:val="nil"/>
              <w:bottom w:val="nil"/>
              <w:right w:val="nil"/>
            </w:tcBorders>
            <w:shd w:val="clear" w:color="auto" w:fill="auto"/>
            <w:vAlign w:val="center"/>
          </w:tcPr>
          <w:p w14:paraId="5DF87CE4" w14:textId="77777777" w:rsidR="008B7E19" w:rsidRPr="008D0F3B"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b/>
                <w:bCs/>
                <w:sz w:val="14"/>
                <w:szCs w:val="14"/>
              </w:rPr>
            </w:pPr>
            <w:r w:rsidRPr="008D0F3B">
              <w:rPr>
                <w:rFonts w:cs="Arial"/>
                <w:b/>
                <w:bCs/>
                <w:color w:val="000000"/>
                <w:sz w:val="14"/>
                <w:szCs w:val="14"/>
              </w:rPr>
              <w:t>19</w:t>
            </w:r>
            <w:r>
              <w:rPr>
                <w:rFonts w:cs="Arial"/>
                <w:b/>
                <w:bCs/>
                <w:color w:val="000000"/>
                <w:sz w:val="14"/>
                <w:szCs w:val="14"/>
              </w:rPr>
              <w:t>,</w:t>
            </w:r>
            <w:r w:rsidRPr="008D0F3B">
              <w:rPr>
                <w:rFonts w:cs="Arial"/>
                <w:b/>
                <w:bCs/>
                <w:color w:val="000000"/>
                <w:sz w:val="14"/>
                <w:szCs w:val="14"/>
              </w:rPr>
              <w:t>048</w:t>
            </w:r>
          </w:p>
        </w:tc>
      </w:tr>
      <w:tr w:rsidR="008B7E19" w:rsidRPr="0023126A" w14:paraId="0FFA4AB7" w14:textId="77777777" w:rsidTr="008B7E1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3860C04C" w14:textId="77777777" w:rsidR="008B7E19" w:rsidRPr="0023126A" w:rsidRDefault="008B7E19" w:rsidP="008B7E19">
            <w:pPr>
              <w:keepNext/>
              <w:keepLines/>
              <w:spacing w:before="40" w:after="40"/>
              <w:rPr>
                <w:rFonts w:cs="Arial"/>
                <w:sz w:val="14"/>
                <w:szCs w:val="14"/>
              </w:rPr>
            </w:pPr>
            <w:r>
              <w:rPr>
                <w:rFonts w:cs="Arial"/>
                <w:color w:val="000000"/>
                <w:sz w:val="14"/>
                <w:szCs w:val="14"/>
              </w:rPr>
              <w:t>Financial result</w:t>
            </w:r>
          </w:p>
        </w:tc>
        <w:tc>
          <w:tcPr>
            <w:tcW w:w="1818" w:type="dxa"/>
            <w:tcBorders>
              <w:top w:val="nil"/>
              <w:left w:val="nil"/>
              <w:bottom w:val="nil"/>
              <w:right w:val="nil"/>
            </w:tcBorders>
            <w:shd w:val="clear" w:color="auto" w:fill="auto"/>
            <w:vAlign w:val="center"/>
          </w:tcPr>
          <w:p w14:paraId="72BE03D1" w14:textId="77777777" w:rsidR="008B7E19" w:rsidRPr="008D0F3B"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b/>
                <w:bCs/>
                <w:sz w:val="14"/>
                <w:szCs w:val="14"/>
              </w:rPr>
            </w:pPr>
            <w:r w:rsidRPr="008D0F3B">
              <w:rPr>
                <w:rFonts w:cs="Arial"/>
                <w:b/>
                <w:bCs/>
                <w:color w:val="000000"/>
                <w:sz w:val="14"/>
                <w:szCs w:val="14"/>
              </w:rPr>
              <w:t>1</w:t>
            </w:r>
            <w:r>
              <w:rPr>
                <w:rFonts w:cs="Arial"/>
                <w:b/>
                <w:bCs/>
                <w:color w:val="000000"/>
                <w:sz w:val="14"/>
                <w:szCs w:val="14"/>
              </w:rPr>
              <w:t>,</w:t>
            </w:r>
            <w:r w:rsidRPr="008D0F3B">
              <w:rPr>
                <w:rFonts w:cs="Arial"/>
                <w:b/>
                <w:bCs/>
                <w:color w:val="000000"/>
                <w:sz w:val="14"/>
                <w:szCs w:val="14"/>
              </w:rPr>
              <w:t>303</w:t>
            </w:r>
          </w:p>
        </w:tc>
        <w:tc>
          <w:tcPr>
            <w:tcW w:w="1819" w:type="dxa"/>
            <w:tcBorders>
              <w:top w:val="nil"/>
              <w:left w:val="nil"/>
              <w:bottom w:val="nil"/>
              <w:right w:val="nil"/>
            </w:tcBorders>
            <w:shd w:val="clear" w:color="auto" w:fill="auto"/>
            <w:vAlign w:val="center"/>
          </w:tcPr>
          <w:p w14:paraId="7EA54B74" w14:textId="77777777" w:rsidR="008B7E19" w:rsidRPr="008D0F3B"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b/>
                <w:bCs/>
                <w:sz w:val="14"/>
                <w:szCs w:val="14"/>
              </w:rPr>
            </w:pPr>
            <w:r w:rsidRPr="008D0F3B">
              <w:rPr>
                <w:rFonts w:cs="Arial"/>
                <w:b/>
                <w:bCs/>
                <w:color w:val="000000"/>
                <w:sz w:val="14"/>
                <w:szCs w:val="14"/>
              </w:rPr>
              <w:t>2</w:t>
            </w:r>
            <w:r>
              <w:rPr>
                <w:rFonts w:cs="Arial"/>
                <w:b/>
                <w:bCs/>
                <w:color w:val="000000"/>
                <w:sz w:val="14"/>
                <w:szCs w:val="14"/>
              </w:rPr>
              <w:t>,</w:t>
            </w:r>
            <w:r w:rsidRPr="008D0F3B">
              <w:rPr>
                <w:rFonts w:cs="Arial"/>
                <w:b/>
                <w:bCs/>
                <w:color w:val="000000"/>
                <w:sz w:val="14"/>
                <w:szCs w:val="14"/>
              </w:rPr>
              <w:t>184</w:t>
            </w:r>
          </w:p>
        </w:tc>
        <w:tc>
          <w:tcPr>
            <w:tcW w:w="1819" w:type="dxa"/>
            <w:tcBorders>
              <w:top w:val="nil"/>
              <w:left w:val="nil"/>
              <w:bottom w:val="nil"/>
              <w:right w:val="nil"/>
            </w:tcBorders>
            <w:shd w:val="clear" w:color="auto" w:fill="auto"/>
            <w:vAlign w:val="center"/>
          </w:tcPr>
          <w:p w14:paraId="264C9BF3" w14:textId="77777777" w:rsidR="008B7E19" w:rsidRPr="008D0F3B"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b/>
                <w:bCs/>
                <w:sz w:val="14"/>
                <w:szCs w:val="14"/>
              </w:rPr>
            </w:pPr>
            <w:r w:rsidRPr="008D0F3B">
              <w:rPr>
                <w:rFonts w:cs="Arial"/>
                <w:b/>
                <w:bCs/>
                <w:color w:val="000000"/>
                <w:sz w:val="14"/>
                <w:szCs w:val="14"/>
              </w:rPr>
              <w:t>289</w:t>
            </w:r>
          </w:p>
        </w:tc>
        <w:tc>
          <w:tcPr>
            <w:tcW w:w="1819" w:type="dxa"/>
            <w:tcBorders>
              <w:top w:val="nil"/>
              <w:left w:val="nil"/>
              <w:bottom w:val="nil"/>
              <w:right w:val="nil"/>
            </w:tcBorders>
            <w:shd w:val="clear" w:color="auto" w:fill="auto"/>
            <w:vAlign w:val="center"/>
          </w:tcPr>
          <w:p w14:paraId="64078806" w14:textId="77777777" w:rsidR="008B7E19" w:rsidRPr="008D0F3B"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b/>
                <w:bCs/>
                <w:sz w:val="14"/>
                <w:szCs w:val="14"/>
              </w:rPr>
            </w:pPr>
            <w:r w:rsidRPr="008D0F3B">
              <w:rPr>
                <w:rFonts w:cs="Arial"/>
                <w:b/>
                <w:bCs/>
                <w:color w:val="000000"/>
                <w:sz w:val="14"/>
                <w:szCs w:val="14"/>
              </w:rPr>
              <w:t>1</w:t>
            </w:r>
            <w:r>
              <w:rPr>
                <w:rFonts w:cs="Arial"/>
                <w:b/>
                <w:bCs/>
                <w:color w:val="000000"/>
                <w:sz w:val="14"/>
                <w:szCs w:val="14"/>
              </w:rPr>
              <w:t>,</w:t>
            </w:r>
            <w:r w:rsidRPr="008D0F3B">
              <w:rPr>
                <w:rFonts w:cs="Arial"/>
                <w:b/>
                <w:bCs/>
                <w:color w:val="000000"/>
                <w:sz w:val="14"/>
                <w:szCs w:val="14"/>
              </w:rPr>
              <w:t>095</w:t>
            </w:r>
          </w:p>
        </w:tc>
      </w:tr>
      <w:tr w:rsidR="008B7E19" w:rsidRPr="0023126A" w14:paraId="4B2BF223"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1010FD9D" w14:textId="77777777" w:rsidR="008B7E19" w:rsidRPr="0023126A" w:rsidRDefault="008B7E19" w:rsidP="008B7E19">
            <w:pPr>
              <w:keepNext/>
              <w:keepLines/>
              <w:ind w:left="113"/>
              <w:rPr>
                <w:rFonts w:cs="Arial"/>
                <w:b w:val="0"/>
                <w:bCs w:val="0"/>
                <w:sz w:val="14"/>
                <w:szCs w:val="14"/>
              </w:rPr>
            </w:pPr>
            <w:r>
              <w:rPr>
                <w:rFonts w:cs="Arial"/>
                <w:b w:val="0"/>
                <w:bCs w:val="0"/>
                <w:color w:val="000000"/>
                <w:sz w:val="14"/>
                <w:szCs w:val="14"/>
              </w:rPr>
              <w:t>Financial income</w:t>
            </w:r>
          </w:p>
        </w:tc>
        <w:tc>
          <w:tcPr>
            <w:tcW w:w="1818" w:type="dxa"/>
            <w:tcBorders>
              <w:top w:val="nil"/>
              <w:left w:val="nil"/>
              <w:bottom w:val="nil"/>
              <w:right w:val="nil"/>
            </w:tcBorders>
            <w:shd w:val="clear" w:color="auto" w:fill="auto"/>
            <w:vAlign w:val="center"/>
          </w:tcPr>
          <w:p w14:paraId="76DE2D2C" w14:textId="77777777" w:rsidR="008B7E19" w:rsidRPr="008D0F3B" w:rsidRDefault="008B7E19" w:rsidP="008B7E19">
            <w:pPr>
              <w:keepNext/>
              <w:keepLines/>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8D0F3B">
              <w:rPr>
                <w:rFonts w:cs="Arial"/>
                <w:color w:val="000000"/>
                <w:sz w:val="14"/>
                <w:szCs w:val="14"/>
              </w:rPr>
              <w:t>1</w:t>
            </w:r>
            <w:r>
              <w:rPr>
                <w:rFonts w:cs="Arial"/>
                <w:color w:val="000000"/>
                <w:sz w:val="14"/>
                <w:szCs w:val="14"/>
              </w:rPr>
              <w:t>,</w:t>
            </w:r>
            <w:r w:rsidRPr="008D0F3B">
              <w:rPr>
                <w:rFonts w:cs="Arial"/>
                <w:color w:val="000000"/>
                <w:sz w:val="14"/>
                <w:szCs w:val="14"/>
              </w:rPr>
              <w:t>362</w:t>
            </w:r>
          </w:p>
        </w:tc>
        <w:tc>
          <w:tcPr>
            <w:tcW w:w="1819" w:type="dxa"/>
            <w:tcBorders>
              <w:top w:val="nil"/>
              <w:left w:val="nil"/>
              <w:bottom w:val="nil"/>
              <w:right w:val="nil"/>
            </w:tcBorders>
            <w:shd w:val="clear" w:color="auto" w:fill="auto"/>
            <w:vAlign w:val="center"/>
          </w:tcPr>
          <w:p w14:paraId="4477F994" w14:textId="77777777" w:rsidR="008B7E19" w:rsidRPr="008D0F3B" w:rsidRDefault="008B7E19" w:rsidP="008B7E19">
            <w:pPr>
              <w:keepNext/>
              <w:keepLines/>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8D0F3B">
              <w:rPr>
                <w:rFonts w:cs="Arial"/>
                <w:color w:val="000000"/>
                <w:sz w:val="14"/>
                <w:szCs w:val="14"/>
              </w:rPr>
              <w:t>2</w:t>
            </w:r>
            <w:r>
              <w:rPr>
                <w:rFonts w:cs="Arial"/>
                <w:color w:val="000000"/>
                <w:sz w:val="14"/>
                <w:szCs w:val="14"/>
              </w:rPr>
              <w:t>,</w:t>
            </w:r>
            <w:r w:rsidRPr="008D0F3B">
              <w:rPr>
                <w:rFonts w:cs="Arial"/>
                <w:color w:val="000000"/>
                <w:sz w:val="14"/>
                <w:szCs w:val="14"/>
              </w:rPr>
              <w:t>287</w:t>
            </w:r>
          </w:p>
        </w:tc>
        <w:tc>
          <w:tcPr>
            <w:tcW w:w="1819" w:type="dxa"/>
            <w:tcBorders>
              <w:top w:val="nil"/>
              <w:left w:val="nil"/>
              <w:bottom w:val="nil"/>
              <w:right w:val="nil"/>
            </w:tcBorders>
            <w:shd w:val="clear" w:color="auto" w:fill="auto"/>
            <w:vAlign w:val="center"/>
          </w:tcPr>
          <w:p w14:paraId="49AE81B3" w14:textId="77777777" w:rsidR="008B7E19" w:rsidRPr="008D0F3B" w:rsidRDefault="008B7E19" w:rsidP="008B7E19">
            <w:pPr>
              <w:keepNext/>
              <w:keepLines/>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8D0F3B">
              <w:rPr>
                <w:rFonts w:cs="Arial"/>
                <w:color w:val="000000"/>
                <w:sz w:val="14"/>
                <w:szCs w:val="14"/>
              </w:rPr>
              <w:t>987</w:t>
            </w:r>
          </w:p>
        </w:tc>
        <w:tc>
          <w:tcPr>
            <w:tcW w:w="1819" w:type="dxa"/>
            <w:tcBorders>
              <w:top w:val="nil"/>
              <w:left w:val="nil"/>
              <w:bottom w:val="nil"/>
              <w:right w:val="nil"/>
            </w:tcBorders>
            <w:shd w:val="clear" w:color="auto" w:fill="auto"/>
            <w:vAlign w:val="center"/>
          </w:tcPr>
          <w:p w14:paraId="46B28F30" w14:textId="77777777" w:rsidR="008B7E19" w:rsidRPr="008D0F3B" w:rsidRDefault="008B7E19" w:rsidP="008B7E19">
            <w:pPr>
              <w:keepNext/>
              <w:keepLines/>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8D0F3B">
              <w:rPr>
                <w:rFonts w:cs="Arial"/>
                <w:color w:val="000000"/>
                <w:sz w:val="14"/>
                <w:szCs w:val="14"/>
              </w:rPr>
              <w:t>1</w:t>
            </w:r>
            <w:r>
              <w:rPr>
                <w:rFonts w:cs="Arial"/>
                <w:color w:val="000000"/>
                <w:sz w:val="14"/>
                <w:szCs w:val="14"/>
              </w:rPr>
              <w:t>,</w:t>
            </w:r>
            <w:r w:rsidRPr="008D0F3B">
              <w:rPr>
                <w:rFonts w:cs="Arial"/>
                <w:color w:val="000000"/>
                <w:sz w:val="14"/>
                <w:szCs w:val="14"/>
              </w:rPr>
              <w:t>942</w:t>
            </w:r>
          </w:p>
        </w:tc>
      </w:tr>
      <w:tr w:rsidR="008B7E19" w:rsidRPr="0023126A" w14:paraId="10CC041B" w14:textId="77777777" w:rsidTr="008B7E1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6FF5106A" w14:textId="77777777" w:rsidR="008B7E19" w:rsidRPr="0023126A" w:rsidRDefault="008B7E19" w:rsidP="008B7E19">
            <w:pPr>
              <w:keepNext/>
              <w:keepLines/>
              <w:ind w:left="113"/>
              <w:rPr>
                <w:rFonts w:cs="Arial"/>
                <w:b w:val="0"/>
                <w:bCs w:val="0"/>
                <w:sz w:val="14"/>
                <w:szCs w:val="14"/>
              </w:rPr>
            </w:pPr>
            <w:r>
              <w:rPr>
                <w:rFonts w:cs="Arial"/>
                <w:b w:val="0"/>
                <w:bCs w:val="0"/>
                <w:color w:val="000000"/>
                <w:sz w:val="14"/>
                <w:szCs w:val="14"/>
              </w:rPr>
              <w:t>Financial expenses</w:t>
            </w:r>
          </w:p>
        </w:tc>
        <w:tc>
          <w:tcPr>
            <w:tcW w:w="1818" w:type="dxa"/>
            <w:tcBorders>
              <w:top w:val="nil"/>
              <w:left w:val="nil"/>
              <w:bottom w:val="nil"/>
              <w:right w:val="nil"/>
            </w:tcBorders>
            <w:shd w:val="clear" w:color="auto" w:fill="auto"/>
            <w:vAlign w:val="center"/>
          </w:tcPr>
          <w:p w14:paraId="27839B56" w14:textId="77777777" w:rsidR="008B7E19" w:rsidRPr="008D0F3B" w:rsidRDefault="008B7E19" w:rsidP="008B7E19">
            <w:pPr>
              <w:keepNext/>
              <w:keepLines/>
              <w:jc w:val="right"/>
              <w:cnfStyle w:val="000000010000" w:firstRow="0" w:lastRow="0" w:firstColumn="0" w:lastColumn="0" w:oddVBand="0" w:evenVBand="0" w:oddHBand="0" w:evenHBand="1" w:firstRowFirstColumn="0" w:firstRowLastColumn="0" w:lastRowFirstColumn="0" w:lastRowLastColumn="0"/>
              <w:rPr>
                <w:rFonts w:cs="Arial"/>
                <w:color w:val="000000"/>
                <w:sz w:val="14"/>
                <w:szCs w:val="14"/>
              </w:rPr>
            </w:pPr>
            <w:r w:rsidRPr="008D0F3B">
              <w:rPr>
                <w:rFonts w:cs="Arial"/>
                <w:color w:val="000000"/>
                <w:sz w:val="14"/>
                <w:szCs w:val="14"/>
              </w:rPr>
              <w:t>(59)</w:t>
            </w:r>
          </w:p>
        </w:tc>
        <w:tc>
          <w:tcPr>
            <w:tcW w:w="1819" w:type="dxa"/>
            <w:tcBorders>
              <w:top w:val="nil"/>
              <w:left w:val="nil"/>
              <w:bottom w:val="nil"/>
              <w:right w:val="nil"/>
            </w:tcBorders>
            <w:shd w:val="clear" w:color="auto" w:fill="auto"/>
            <w:vAlign w:val="center"/>
          </w:tcPr>
          <w:p w14:paraId="7EEAEA36" w14:textId="77777777" w:rsidR="008B7E19" w:rsidRPr="008D0F3B" w:rsidRDefault="008B7E19" w:rsidP="008B7E19">
            <w:pPr>
              <w:keepNext/>
              <w:keepLines/>
              <w:jc w:val="right"/>
              <w:cnfStyle w:val="000000010000" w:firstRow="0" w:lastRow="0" w:firstColumn="0" w:lastColumn="0" w:oddVBand="0" w:evenVBand="0" w:oddHBand="0" w:evenHBand="1" w:firstRowFirstColumn="0" w:firstRowLastColumn="0" w:lastRowFirstColumn="0" w:lastRowLastColumn="0"/>
              <w:rPr>
                <w:rFonts w:cs="Arial"/>
                <w:color w:val="000000"/>
                <w:sz w:val="14"/>
                <w:szCs w:val="14"/>
              </w:rPr>
            </w:pPr>
            <w:r w:rsidRPr="008D0F3B">
              <w:rPr>
                <w:rFonts w:cs="Arial"/>
                <w:color w:val="000000"/>
                <w:sz w:val="14"/>
                <w:szCs w:val="14"/>
              </w:rPr>
              <w:t>(103)</w:t>
            </w:r>
          </w:p>
        </w:tc>
        <w:tc>
          <w:tcPr>
            <w:tcW w:w="1819" w:type="dxa"/>
            <w:tcBorders>
              <w:top w:val="nil"/>
              <w:left w:val="nil"/>
              <w:bottom w:val="nil"/>
              <w:right w:val="nil"/>
            </w:tcBorders>
            <w:shd w:val="clear" w:color="auto" w:fill="auto"/>
            <w:vAlign w:val="center"/>
          </w:tcPr>
          <w:p w14:paraId="15280DC2" w14:textId="77777777" w:rsidR="008B7E19" w:rsidRPr="008D0F3B" w:rsidRDefault="008B7E19" w:rsidP="008B7E19">
            <w:pPr>
              <w:keepNext/>
              <w:keepLines/>
              <w:jc w:val="right"/>
              <w:cnfStyle w:val="000000010000" w:firstRow="0" w:lastRow="0" w:firstColumn="0" w:lastColumn="0" w:oddVBand="0" w:evenVBand="0" w:oddHBand="0" w:evenHBand="1" w:firstRowFirstColumn="0" w:firstRowLastColumn="0" w:lastRowFirstColumn="0" w:lastRowLastColumn="0"/>
              <w:rPr>
                <w:rFonts w:cs="Arial"/>
                <w:color w:val="000000"/>
                <w:sz w:val="14"/>
                <w:szCs w:val="14"/>
              </w:rPr>
            </w:pPr>
            <w:r w:rsidRPr="008D0F3B">
              <w:rPr>
                <w:rFonts w:cs="Arial"/>
                <w:color w:val="000000"/>
                <w:sz w:val="14"/>
                <w:szCs w:val="14"/>
              </w:rPr>
              <w:t>(698)</w:t>
            </w:r>
          </w:p>
        </w:tc>
        <w:tc>
          <w:tcPr>
            <w:tcW w:w="1819" w:type="dxa"/>
            <w:tcBorders>
              <w:top w:val="nil"/>
              <w:left w:val="nil"/>
              <w:bottom w:val="nil"/>
              <w:right w:val="nil"/>
            </w:tcBorders>
            <w:shd w:val="clear" w:color="auto" w:fill="auto"/>
            <w:vAlign w:val="center"/>
          </w:tcPr>
          <w:p w14:paraId="3CA493EF" w14:textId="77777777" w:rsidR="008B7E19" w:rsidRPr="008D0F3B" w:rsidRDefault="008B7E19" w:rsidP="008B7E19">
            <w:pPr>
              <w:keepNext/>
              <w:keepLines/>
              <w:jc w:val="right"/>
              <w:cnfStyle w:val="000000010000" w:firstRow="0" w:lastRow="0" w:firstColumn="0" w:lastColumn="0" w:oddVBand="0" w:evenVBand="0" w:oddHBand="0" w:evenHBand="1" w:firstRowFirstColumn="0" w:firstRowLastColumn="0" w:lastRowFirstColumn="0" w:lastRowLastColumn="0"/>
              <w:rPr>
                <w:rFonts w:cs="Arial"/>
                <w:color w:val="000000"/>
                <w:sz w:val="14"/>
                <w:szCs w:val="14"/>
              </w:rPr>
            </w:pPr>
            <w:r w:rsidRPr="008D0F3B">
              <w:rPr>
                <w:rFonts w:cs="Arial"/>
                <w:color w:val="000000"/>
                <w:sz w:val="14"/>
                <w:szCs w:val="14"/>
              </w:rPr>
              <w:t>(847)</w:t>
            </w:r>
          </w:p>
        </w:tc>
      </w:tr>
      <w:tr w:rsidR="008B7E19" w:rsidRPr="0023126A" w14:paraId="3DC105E4"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7DC62FD6" w14:textId="77777777" w:rsidR="008B7E19" w:rsidRPr="0023126A" w:rsidRDefault="008B7E19" w:rsidP="008B7E19">
            <w:pPr>
              <w:keepNext/>
              <w:keepLines/>
              <w:rPr>
                <w:rFonts w:cs="Arial"/>
                <w:b w:val="0"/>
                <w:bCs w:val="0"/>
                <w:color w:val="000000"/>
                <w:sz w:val="14"/>
                <w:szCs w:val="14"/>
              </w:rPr>
            </w:pPr>
            <w:r>
              <w:rPr>
                <w:rFonts w:cs="Arial"/>
                <w:b w:val="0"/>
                <w:bCs w:val="0"/>
                <w:color w:val="000000"/>
                <w:sz w:val="14"/>
                <w:szCs w:val="14"/>
              </w:rPr>
              <w:t>Other income and expenses</w:t>
            </w:r>
          </w:p>
        </w:tc>
        <w:tc>
          <w:tcPr>
            <w:tcW w:w="1818" w:type="dxa"/>
            <w:tcBorders>
              <w:top w:val="nil"/>
              <w:left w:val="nil"/>
              <w:bottom w:val="nil"/>
              <w:right w:val="nil"/>
            </w:tcBorders>
            <w:shd w:val="clear" w:color="auto" w:fill="auto"/>
            <w:vAlign w:val="center"/>
          </w:tcPr>
          <w:p w14:paraId="37260F24" w14:textId="77777777" w:rsidR="008B7E19" w:rsidRPr="008D0F3B" w:rsidRDefault="008B7E19" w:rsidP="008B7E19">
            <w:pPr>
              <w:keepNext/>
              <w:keepLines/>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8D0F3B">
              <w:rPr>
                <w:rFonts w:cs="Arial"/>
                <w:color w:val="000000"/>
                <w:sz w:val="14"/>
                <w:szCs w:val="14"/>
              </w:rPr>
              <w:t>(870)</w:t>
            </w:r>
          </w:p>
        </w:tc>
        <w:tc>
          <w:tcPr>
            <w:tcW w:w="1819" w:type="dxa"/>
            <w:tcBorders>
              <w:top w:val="nil"/>
              <w:left w:val="nil"/>
              <w:bottom w:val="nil"/>
              <w:right w:val="nil"/>
            </w:tcBorders>
            <w:shd w:val="clear" w:color="auto" w:fill="auto"/>
            <w:vAlign w:val="center"/>
          </w:tcPr>
          <w:p w14:paraId="4A1FAF38" w14:textId="77777777" w:rsidR="008B7E19" w:rsidRPr="008D0F3B" w:rsidRDefault="008B7E19" w:rsidP="008B7E19">
            <w:pPr>
              <w:keepNext/>
              <w:keepLines/>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8D0F3B">
              <w:rPr>
                <w:rFonts w:cs="Arial"/>
                <w:color w:val="000000"/>
                <w:sz w:val="14"/>
                <w:szCs w:val="14"/>
              </w:rPr>
              <w:t>(1</w:t>
            </w:r>
            <w:r>
              <w:rPr>
                <w:rFonts w:cs="Arial"/>
                <w:color w:val="000000"/>
                <w:sz w:val="14"/>
                <w:szCs w:val="14"/>
              </w:rPr>
              <w:t>,</w:t>
            </w:r>
            <w:r w:rsidRPr="008D0F3B">
              <w:rPr>
                <w:rFonts w:cs="Arial"/>
                <w:color w:val="000000"/>
                <w:sz w:val="14"/>
                <w:szCs w:val="14"/>
              </w:rPr>
              <w:t>655)</w:t>
            </w:r>
          </w:p>
        </w:tc>
        <w:tc>
          <w:tcPr>
            <w:tcW w:w="1819" w:type="dxa"/>
            <w:tcBorders>
              <w:top w:val="nil"/>
              <w:left w:val="nil"/>
              <w:bottom w:val="nil"/>
              <w:right w:val="nil"/>
            </w:tcBorders>
            <w:shd w:val="clear" w:color="auto" w:fill="auto"/>
            <w:vAlign w:val="center"/>
          </w:tcPr>
          <w:p w14:paraId="3C91DAB3" w14:textId="77777777" w:rsidR="008B7E19" w:rsidRPr="008D0F3B" w:rsidRDefault="008B7E19" w:rsidP="008B7E19">
            <w:pPr>
              <w:keepNext/>
              <w:keepLines/>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8D0F3B">
              <w:rPr>
                <w:rFonts w:cs="Arial"/>
                <w:color w:val="000000"/>
                <w:sz w:val="14"/>
                <w:szCs w:val="14"/>
              </w:rPr>
              <w:t>(1</w:t>
            </w:r>
            <w:r>
              <w:rPr>
                <w:rFonts w:cs="Arial"/>
                <w:color w:val="000000"/>
                <w:sz w:val="14"/>
                <w:szCs w:val="14"/>
              </w:rPr>
              <w:t>,</w:t>
            </w:r>
            <w:r w:rsidRPr="008D0F3B">
              <w:rPr>
                <w:rFonts w:cs="Arial"/>
                <w:color w:val="000000"/>
                <w:sz w:val="14"/>
                <w:szCs w:val="14"/>
              </w:rPr>
              <w:t>588)</w:t>
            </w:r>
          </w:p>
        </w:tc>
        <w:tc>
          <w:tcPr>
            <w:tcW w:w="1819" w:type="dxa"/>
            <w:tcBorders>
              <w:top w:val="nil"/>
              <w:left w:val="nil"/>
              <w:bottom w:val="nil"/>
              <w:right w:val="nil"/>
            </w:tcBorders>
            <w:shd w:val="clear" w:color="auto" w:fill="auto"/>
            <w:vAlign w:val="center"/>
          </w:tcPr>
          <w:p w14:paraId="427FD952" w14:textId="77777777" w:rsidR="008B7E19" w:rsidRPr="008D0F3B" w:rsidRDefault="008B7E19" w:rsidP="008B7E19">
            <w:pPr>
              <w:keepNext/>
              <w:keepLines/>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8D0F3B">
              <w:rPr>
                <w:rFonts w:cs="Arial"/>
                <w:color w:val="000000"/>
                <w:sz w:val="14"/>
                <w:szCs w:val="14"/>
              </w:rPr>
              <w:t>(2</w:t>
            </w:r>
            <w:r>
              <w:rPr>
                <w:rFonts w:cs="Arial"/>
                <w:color w:val="000000"/>
                <w:sz w:val="14"/>
                <w:szCs w:val="14"/>
              </w:rPr>
              <w:t>,</w:t>
            </w:r>
            <w:r w:rsidRPr="008D0F3B">
              <w:rPr>
                <w:rFonts w:cs="Arial"/>
                <w:color w:val="000000"/>
                <w:sz w:val="14"/>
                <w:szCs w:val="14"/>
              </w:rPr>
              <w:t>755)</w:t>
            </w:r>
          </w:p>
        </w:tc>
      </w:tr>
      <w:tr w:rsidR="008B7E19" w:rsidRPr="0023126A" w14:paraId="0EABFB4F" w14:textId="77777777" w:rsidTr="008B7E1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310BD345" w14:textId="77777777" w:rsidR="008B7E19" w:rsidRPr="0023126A" w:rsidRDefault="008B7E19" w:rsidP="008B7E19">
            <w:pPr>
              <w:keepNext/>
              <w:keepLines/>
              <w:spacing w:before="40" w:after="40"/>
              <w:rPr>
                <w:rFonts w:cs="Arial"/>
                <w:sz w:val="14"/>
                <w:szCs w:val="14"/>
              </w:rPr>
            </w:pPr>
            <w:r>
              <w:rPr>
                <w:rFonts w:cs="Arial"/>
                <w:color w:val="000000"/>
                <w:sz w:val="14"/>
                <w:szCs w:val="14"/>
              </w:rPr>
              <w:t>Income before taxes</w:t>
            </w:r>
          </w:p>
        </w:tc>
        <w:tc>
          <w:tcPr>
            <w:tcW w:w="1818" w:type="dxa"/>
            <w:tcBorders>
              <w:top w:val="nil"/>
              <w:left w:val="nil"/>
              <w:bottom w:val="nil"/>
              <w:right w:val="nil"/>
            </w:tcBorders>
            <w:shd w:val="clear" w:color="auto" w:fill="auto"/>
            <w:vAlign w:val="center"/>
          </w:tcPr>
          <w:p w14:paraId="2DB4D6EF" w14:textId="77777777" w:rsidR="008B7E19" w:rsidRPr="008D0F3B"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b/>
                <w:bCs/>
                <w:sz w:val="14"/>
                <w:szCs w:val="14"/>
              </w:rPr>
            </w:pPr>
            <w:r w:rsidRPr="008D0F3B">
              <w:rPr>
                <w:rFonts w:cs="Arial"/>
                <w:b/>
                <w:bCs/>
                <w:color w:val="000000"/>
                <w:sz w:val="14"/>
                <w:szCs w:val="14"/>
              </w:rPr>
              <w:t>10</w:t>
            </w:r>
            <w:r>
              <w:rPr>
                <w:rFonts w:cs="Arial"/>
                <w:b/>
                <w:bCs/>
                <w:color w:val="000000"/>
                <w:sz w:val="14"/>
                <w:szCs w:val="14"/>
              </w:rPr>
              <w:t>,</w:t>
            </w:r>
            <w:r w:rsidRPr="008D0F3B">
              <w:rPr>
                <w:rFonts w:cs="Arial"/>
                <w:b/>
                <w:bCs/>
                <w:color w:val="000000"/>
                <w:sz w:val="14"/>
                <w:szCs w:val="14"/>
              </w:rPr>
              <w:t>274</w:t>
            </w:r>
          </w:p>
        </w:tc>
        <w:tc>
          <w:tcPr>
            <w:tcW w:w="1819" w:type="dxa"/>
            <w:tcBorders>
              <w:top w:val="nil"/>
              <w:left w:val="nil"/>
              <w:bottom w:val="nil"/>
              <w:right w:val="nil"/>
            </w:tcBorders>
            <w:shd w:val="clear" w:color="auto" w:fill="auto"/>
            <w:vAlign w:val="center"/>
          </w:tcPr>
          <w:p w14:paraId="0DA652A3" w14:textId="77777777" w:rsidR="008B7E19" w:rsidRPr="008D0F3B"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b/>
                <w:bCs/>
                <w:sz w:val="14"/>
                <w:szCs w:val="14"/>
              </w:rPr>
            </w:pPr>
            <w:r w:rsidRPr="008D0F3B">
              <w:rPr>
                <w:rFonts w:cs="Arial"/>
                <w:b/>
                <w:bCs/>
                <w:color w:val="000000"/>
                <w:sz w:val="14"/>
                <w:szCs w:val="14"/>
              </w:rPr>
              <w:t>16</w:t>
            </w:r>
            <w:r>
              <w:rPr>
                <w:rFonts w:cs="Arial"/>
                <w:b/>
                <w:bCs/>
                <w:color w:val="000000"/>
                <w:sz w:val="14"/>
                <w:szCs w:val="14"/>
              </w:rPr>
              <w:t>,</w:t>
            </w:r>
            <w:r w:rsidRPr="008D0F3B">
              <w:rPr>
                <w:rFonts w:cs="Arial"/>
                <w:b/>
                <w:bCs/>
                <w:color w:val="000000"/>
                <w:sz w:val="14"/>
                <w:szCs w:val="14"/>
              </w:rPr>
              <w:t>073</w:t>
            </w:r>
          </w:p>
        </w:tc>
        <w:tc>
          <w:tcPr>
            <w:tcW w:w="1819" w:type="dxa"/>
            <w:tcBorders>
              <w:top w:val="nil"/>
              <w:left w:val="nil"/>
              <w:bottom w:val="nil"/>
              <w:right w:val="nil"/>
            </w:tcBorders>
            <w:shd w:val="clear" w:color="auto" w:fill="auto"/>
            <w:vAlign w:val="center"/>
          </w:tcPr>
          <w:p w14:paraId="40BCF974" w14:textId="77777777" w:rsidR="008B7E19" w:rsidRPr="008D0F3B"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b/>
                <w:bCs/>
                <w:sz w:val="14"/>
                <w:szCs w:val="14"/>
              </w:rPr>
            </w:pPr>
            <w:r w:rsidRPr="008D0F3B">
              <w:rPr>
                <w:rFonts w:cs="Arial"/>
                <w:b/>
                <w:bCs/>
                <w:color w:val="000000"/>
                <w:sz w:val="14"/>
                <w:szCs w:val="14"/>
              </w:rPr>
              <w:t>6</w:t>
            </w:r>
            <w:r>
              <w:rPr>
                <w:rFonts w:cs="Arial"/>
                <w:b/>
                <w:bCs/>
                <w:color w:val="000000"/>
                <w:sz w:val="14"/>
                <w:szCs w:val="14"/>
              </w:rPr>
              <w:t>,</w:t>
            </w:r>
            <w:r w:rsidRPr="008D0F3B">
              <w:rPr>
                <w:rFonts w:cs="Arial"/>
                <w:b/>
                <w:bCs/>
                <w:color w:val="000000"/>
                <w:sz w:val="14"/>
                <w:szCs w:val="14"/>
              </w:rPr>
              <w:t>921</w:t>
            </w:r>
          </w:p>
        </w:tc>
        <w:tc>
          <w:tcPr>
            <w:tcW w:w="1819" w:type="dxa"/>
            <w:tcBorders>
              <w:top w:val="nil"/>
              <w:left w:val="nil"/>
              <w:bottom w:val="nil"/>
              <w:right w:val="nil"/>
            </w:tcBorders>
            <w:shd w:val="clear" w:color="auto" w:fill="auto"/>
            <w:vAlign w:val="center"/>
          </w:tcPr>
          <w:p w14:paraId="2CBAA07F" w14:textId="77777777" w:rsidR="008B7E19" w:rsidRPr="008D0F3B"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b/>
                <w:bCs/>
                <w:sz w:val="14"/>
                <w:szCs w:val="14"/>
              </w:rPr>
            </w:pPr>
            <w:r w:rsidRPr="008D0F3B">
              <w:rPr>
                <w:rFonts w:cs="Arial"/>
                <w:b/>
                <w:bCs/>
                <w:color w:val="000000"/>
                <w:sz w:val="14"/>
                <w:szCs w:val="14"/>
              </w:rPr>
              <w:t>17</w:t>
            </w:r>
            <w:r>
              <w:rPr>
                <w:rFonts w:cs="Arial"/>
                <w:b/>
                <w:bCs/>
                <w:color w:val="000000"/>
                <w:sz w:val="14"/>
                <w:szCs w:val="14"/>
              </w:rPr>
              <w:t>,</w:t>
            </w:r>
            <w:r w:rsidRPr="008D0F3B">
              <w:rPr>
                <w:rFonts w:cs="Arial"/>
                <w:b/>
                <w:bCs/>
                <w:color w:val="000000"/>
                <w:sz w:val="14"/>
                <w:szCs w:val="14"/>
              </w:rPr>
              <w:t>388</w:t>
            </w:r>
          </w:p>
        </w:tc>
      </w:tr>
      <w:tr w:rsidR="008B7E19" w:rsidRPr="0023126A" w14:paraId="50E58BEA"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76D4D100" w14:textId="77777777" w:rsidR="008B7E19" w:rsidRPr="0023126A" w:rsidRDefault="008B7E19" w:rsidP="008B7E19">
            <w:pPr>
              <w:keepNext/>
              <w:keepLines/>
              <w:spacing w:before="40" w:after="40"/>
              <w:ind w:left="113"/>
              <w:rPr>
                <w:rFonts w:cs="Arial"/>
                <w:b w:val="0"/>
                <w:bCs w:val="0"/>
                <w:color w:val="000000"/>
                <w:sz w:val="14"/>
                <w:szCs w:val="14"/>
              </w:rPr>
            </w:pPr>
            <w:r w:rsidRPr="003F2F2A">
              <w:rPr>
                <w:rFonts w:cs="Arial"/>
                <w:b w:val="0"/>
                <w:bCs w:val="0"/>
                <w:color w:val="000000"/>
                <w:sz w:val="14"/>
                <w:szCs w:val="14"/>
              </w:rPr>
              <w:t xml:space="preserve">Taxes </w:t>
            </w:r>
          </w:p>
        </w:tc>
        <w:tc>
          <w:tcPr>
            <w:tcW w:w="1818" w:type="dxa"/>
            <w:tcBorders>
              <w:top w:val="nil"/>
              <w:left w:val="nil"/>
              <w:bottom w:val="nil"/>
              <w:right w:val="nil"/>
            </w:tcBorders>
            <w:shd w:val="clear" w:color="auto" w:fill="auto"/>
            <w:vAlign w:val="center"/>
          </w:tcPr>
          <w:p w14:paraId="5D62DBE4" w14:textId="77777777" w:rsidR="008B7E19" w:rsidRPr="008D0F3B" w:rsidRDefault="008B7E19" w:rsidP="008B7E19">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8D0F3B">
              <w:rPr>
                <w:rFonts w:cs="Arial"/>
                <w:color w:val="000000"/>
                <w:sz w:val="14"/>
                <w:szCs w:val="14"/>
              </w:rPr>
              <w:t>(3</w:t>
            </w:r>
            <w:r>
              <w:rPr>
                <w:rFonts w:cs="Arial"/>
                <w:color w:val="000000"/>
                <w:sz w:val="14"/>
                <w:szCs w:val="14"/>
              </w:rPr>
              <w:t>,</w:t>
            </w:r>
            <w:r w:rsidRPr="008D0F3B">
              <w:rPr>
                <w:rFonts w:cs="Arial"/>
                <w:color w:val="000000"/>
                <w:sz w:val="14"/>
                <w:szCs w:val="14"/>
              </w:rPr>
              <w:t>589)</w:t>
            </w:r>
          </w:p>
        </w:tc>
        <w:tc>
          <w:tcPr>
            <w:tcW w:w="1819" w:type="dxa"/>
            <w:tcBorders>
              <w:top w:val="nil"/>
              <w:left w:val="nil"/>
              <w:bottom w:val="nil"/>
              <w:right w:val="nil"/>
            </w:tcBorders>
            <w:shd w:val="clear" w:color="auto" w:fill="auto"/>
            <w:vAlign w:val="center"/>
          </w:tcPr>
          <w:p w14:paraId="349AB370" w14:textId="77777777" w:rsidR="008B7E19" w:rsidRPr="008D0F3B" w:rsidRDefault="008B7E19" w:rsidP="008B7E19">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8D0F3B">
              <w:rPr>
                <w:rFonts w:cs="Arial"/>
                <w:color w:val="000000"/>
                <w:sz w:val="14"/>
                <w:szCs w:val="14"/>
              </w:rPr>
              <w:t>(4</w:t>
            </w:r>
            <w:r>
              <w:rPr>
                <w:rFonts w:cs="Arial"/>
                <w:color w:val="000000"/>
                <w:sz w:val="14"/>
                <w:szCs w:val="14"/>
              </w:rPr>
              <w:t>,</w:t>
            </w:r>
            <w:r w:rsidRPr="008D0F3B">
              <w:rPr>
                <w:rFonts w:cs="Arial"/>
                <w:color w:val="000000"/>
                <w:sz w:val="14"/>
                <w:szCs w:val="14"/>
              </w:rPr>
              <w:t>970)</w:t>
            </w:r>
          </w:p>
        </w:tc>
        <w:tc>
          <w:tcPr>
            <w:tcW w:w="1819" w:type="dxa"/>
            <w:tcBorders>
              <w:top w:val="nil"/>
              <w:left w:val="nil"/>
              <w:bottom w:val="nil"/>
              <w:right w:val="nil"/>
            </w:tcBorders>
            <w:shd w:val="clear" w:color="auto" w:fill="auto"/>
            <w:vAlign w:val="center"/>
          </w:tcPr>
          <w:p w14:paraId="2DE2A1F6" w14:textId="77777777" w:rsidR="008B7E19" w:rsidRPr="008D0F3B" w:rsidRDefault="008B7E19" w:rsidP="008B7E19">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8D0F3B">
              <w:rPr>
                <w:rFonts w:cs="Arial"/>
                <w:color w:val="000000"/>
                <w:sz w:val="14"/>
                <w:szCs w:val="14"/>
              </w:rPr>
              <w:t>(2</w:t>
            </w:r>
            <w:r>
              <w:rPr>
                <w:rFonts w:cs="Arial"/>
                <w:color w:val="000000"/>
                <w:sz w:val="14"/>
                <w:szCs w:val="14"/>
              </w:rPr>
              <w:t>,</w:t>
            </w:r>
            <w:r w:rsidRPr="008D0F3B">
              <w:rPr>
                <w:rFonts w:cs="Arial"/>
                <w:color w:val="000000"/>
                <w:sz w:val="14"/>
                <w:szCs w:val="14"/>
              </w:rPr>
              <w:t>481)</w:t>
            </w:r>
          </w:p>
        </w:tc>
        <w:tc>
          <w:tcPr>
            <w:tcW w:w="1819" w:type="dxa"/>
            <w:tcBorders>
              <w:top w:val="nil"/>
              <w:left w:val="nil"/>
              <w:bottom w:val="nil"/>
              <w:right w:val="nil"/>
            </w:tcBorders>
            <w:shd w:val="clear" w:color="auto" w:fill="auto"/>
            <w:vAlign w:val="center"/>
          </w:tcPr>
          <w:p w14:paraId="6A6C1EC6" w14:textId="77777777" w:rsidR="008B7E19" w:rsidRPr="008D0F3B" w:rsidRDefault="008B7E19" w:rsidP="008B7E19">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8D0F3B">
              <w:rPr>
                <w:rFonts w:cs="Arial"/>
                <w:color w:val="000000"/>
                <w:sz w:val="14"/>
                <w:szCs w:val="14"/>
              </w:rPr>
              <w:t>(5</w:t>
            </w:r>
            <w:r>
              <w:rPr>
                <w:rFonts w:cs="Arial"/>
                <w:color w:val="000000"/>
                <w:sz w:val="14"/>
                <w:szCs w:val="14"/>
              </w:rPr>
              <w:t>,</w:t>
            </w:r>
            <w:r w:rsidRPr="008D0F3B">
              <w:rPr>
                <w:rFonts w:cs="Arial"/>
                <w:color w:val="000000"/>
                <w:sz w:val="14"/>
                <w:szCs w:val="14"/>
              </w:rPr>
              <w:t>992)</w:t>
            </w:r>
          </w:p>
        </w:tc>
      </w:tr>
      <w:tr w:rsidR="008B7E19" w:rsidRPr="0023126A" w14:paraId="34E9A0BF" w14:textId="77777777" w:rsidTr="008B7E1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11355EC3" w14:textId="77777777" w:rsidR="008B7E19" w:rsidRPr="0023126A" w:rsidRDefault="008B7E19" w:rsidP="008B7E19">
            <w:pPr>
              <w:keepNext/>
              <w:keepLines/>
              <w:spacing w:before="40" w:after="40"/>
              <w:ind w:left="113"/>
              <w:rPr>
                <w:rFonts w:cs="Arial"/>
                <w:color w:val="000000"/>
                <w:sz w:val="14"/>
                <w:szCs w:val="14"/>
              </w:rPr>
            </w:pPr>
            <w:r>
              <w:rPr>
                <w:rFonts w:cs="Arial"/>
                <w:b w:val="0"/>
                <w:bCs w:val="0"/>
                <w:color w:val="000000"/>
                <w:sz w:val="14"/>
                <w:szCs w:val="14"/>
              </w:rPr>
              <w:t>P</w:t>
            </w:r>
            <w:r w:rsidRPr="003F2F2A">
              <w:rPr>
                <w:rFonts w:cs="Arial"/>
                <w:b w:val="0"/>
                <w:bCs w:val="0"/>
                <w:color w:val="000000"/>
                <w:sz w:val="14"/>
                <w:szCs w:val="14"/>
              </w:rPr>
              <w:t>rofit sharing</w:t>
            </w:r>
          </w:p>
        </w:tc>
        <w:tc>
          <w:tcPr>
            <w:tcW w:w="1818" w:type="dxa"/>
            <w:tcBorders>
              <w:top w:val="nil"/>
              <w:left w:val="nil"/>
              <w:bottom w:val="nil"/>
              <w:right w:val="nil"/>
            </w:tcBorders>
            <w:shd w:val="clear" w:color="auto" w:fill="auto"/>
            <w:vAlign w:val="center"/>
          </w:tcPr>
          <w:p w14:paraId="47810EA5" w14:textId="77777777" w:rsidR="008B7E19" w:rsidRPr="008D0F3B" w:rsidRDefault="008B7E19" w:rsidP="008B7E19">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cs="Arial"/>
                <w:color w:val="000000"/>
                <w:sz w:val="14"/>
                <w:szCs w:val="14"/>
              </w:rPr>
            </w:pPr>
            <w:r w:rsidRPr="008D0F3B">
              <w:rPr>
                <w:rFonts w:cs="Arial"/>
                <w:sz w:val="14"/>
                <w:szCs w:val="14"/>
              </w:rPr>
              <w:t>34</w:t>
            </w:r>
          </w:p>
        </w:tc>
        <w:tc>
          <w:tcPr>
            <w:tcW w:w="1819" w:type="dxa"/>
            <w:tcBorders>
              <w:top w:val="nil"/>
              <w:left w:val="nil"/>
              <w:bottom w:val="nil"/>
              <w:right w:val="nil"/>
            </w:tcBorders>
            <w:shd w:val="clear" w:color="auto" w:fill="auto"/>
            <w:vAlign w:val="center"/>
          </w:tcPr>
          <w:p w14:paraId="3D1BA56F" w14:textId="77777777" w:rsidR="008B7E19" w:rsidRPr="008D0F3B" w:rsidRDefault="008B7E19" w:rsidP="008B7E19">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cs="Arial"/>
                <w:color w:val="000000"/>
                <w:sz w:val="14"/>
                <w:szCs w:val="14"/>
              </w:rPr>
            </w:pPr>
            <w:r w:rsidRPr="008D0F3B">
              <w:rPr>
                <w:rFonts w:cs="Arial"/>
                <w:sz w:val="14"/>
                <w:szCs w:val="14"/>
              </w:rPr>
              <w:t>(73)</w:t>
            </w:r>
          </w:p>
        </w:tc>
        <w:tc>
          <w:tcPr>
            <w:tcW w:w="1819" w:type="dxa"/>
            <w:tcBorders>
              <w:top w:val="nil"/>
              <w:left w:val="nil"/>
              <w:bottom w:val="nil"/>
              <w:right w:val="nil"/>
            </w:tcBorders>
            <w:shd w:val="clear" w:color="auto" w:fill="auto"/>
            <w:vAlign w:val="center"/>
          </w:tcPr>
          <w:p w14:paraId="68A676D4" w14:textId="77777777" w:rsidR="008B7E19" w:rsidRPr="008D0F3B" w:rsidRDefault="008B7E19" w:rsidP="008B7E19">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cs="Arial"/>
                <w:color w:val="000000"/>
                <w:sz w:val="14"/>
                <w:szCs w:val="14"/>
              </w:rPr>
            </w:pPr>
            <w:r w:rsidRPr="008D0F3B">
              <w:rPr>
                <w:rFonts w:cs="Arial"/>
                <w:sz w:val="14"/>
                <w:szCs w:val="14"/>
              </w:rPr>
              <w:t>227</w:t>
            </w:r>
          </w:p>
        </w:tc>
        <w:tc>
          <w:tcPr>
            <w:tcW w:w="1819" w:type="dxa"/>
            <w:tcBorders>
              <w:top w:val="nil"/>
              <w:left w:val="nil"/>
              <w:bottom w:val="nil"/>
              <w:right w:val="nil"/>
            </w:tcBorders>
            <w:shd w:val="clear" w:color="auto" w:fill="auto"/>
            <w:vAlign w:val="center"/>
          </w:tcPr>
          <w:p w14:paraId="5529853F" w14:textId="77777777" w:rsidR="008B7E19" w:rsidRPr="008D0F3B" w:rsidRDefault="008B7E19" w:rsidP="008B7E19">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cs="Arial"/>
                <w:color w:val="000000"/>
                <w:sz w:val="14"/>
                <w:szCs w:val="14"/>
              </w:rPr>
            </w:pPr>
            <w:r w:rsidRPr="008D0F3B">
              <w:rPr>
                <w:rFonts w:cs="Arial"/>
                <w:sz w:val="14"/>
                <w:szCs w:val="14"/>
              </w:rPr>
              <w:t>98</w:t>
            </w:r>
          </w:p>
        </w:tc>
      </w:tr>
      <w:tr w:rsidR="008B7E19" w:rsidRPr="008D0F3B" w14:paraId="2BE1C301"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01C89795" w14:textId="77777777" w:rsidR="008B7E19" w:rsidRPr="008D0F3B" w:rsidRDefault="008B7E19" w:rsidP="008B7E19">
            <w:pPr>
              <w:keepNext/>
              <w:keepLines/>
              <w:spacing w:before="40" w:after="40"/>
              <w:rPr>
                <w:rFonts w:cs="Arial"/>
                <w:color w:val="000000"/>
                <w:sz w:val="14"/>
                <w:szCs w:val="14"/>
              </w:rPr>
            </w:pPr>
            <w:r>
              <w:rPr>
                <w:rFonts w:cs="Arial"/>
                <w:color w:val="000000"/>
                <w:sz w:val="14"/>
                <w:szCs w:val="14"/>
              </w:rPr>
              <w:t>Net income</w:t>
            </w:r>
          </w:p>
        </w:tc>
        <w:tc>
          <w:tcPr>
            <w:tcW w:w="1818" w:type="dxa"/>
            <w:tcBorders>
              <w:top w:val="nil"/>
              <w:left w:val="nil"/>
              <w:bottom w:val="nil"/>
              <w:right w:val="nil"/>
            </w:tcBorders>
            <w:shd w:val="clear" w:color="auto" w:fill="auto"/>
            <w:vAlign w:val="center"/>
          </w:tcPr>
          <w:p w14:paraId="076BDA97" w14:textId="77777777" w:rsidR="008B7E19" w:rsidRPr="008D0F3B" w:rsidRDefault="008B7E19" w:rsidP="008B7E19">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cs="Arial"/>
                <w:b/>
                <w:bCs/>
                <w:color w:val="000000"/>
                <w:sz w:val="14"/>
                <w:szCs w:val="14"/>
              </w:rPr>
            </w:pPr>
            <w:r w:rsidRPr="008D0F3B">
              <w:rPr>
                <w:rFonts w:cs="Arial"/>
                <w:b/>
                <w:bCs/>
                <w:sz w:val="14"/>
                <w:szCs w:val="14"/>
              </w:rPr>
              <w:t>6</w:t>
            </w:r>
            <w:r>
              <w:rPr>
                <w:rFonts w:cs="Arial"/>
                <w:b/>
                <w:bCs/>
                <w:sz w:val="14"/>
                <w:szCs w:val="14"/>
              </w:rPr>
              <w:t>,</w:t>
            </w:r>
            <w:r w:rsidRPr="008D0F3B">
              <w:rPr>
                <w:rFonts w:cs="Arial"/>
                <w:b/>
                <w:bCs/>
                <w:sz w:val="14"/>
                <w:szCs w:val="14"/>
              </w:rPr>
              <w:t>719</w:t>
            </w:r>
          </w:p>
        </w:tc>
        <w:tc>
          <w:tcPr>
            <w:tcW w:w="1819" w:type="dxa"/>
            <w:tcBorders>
              <w:top w:val="nil"/>
              <w:left w:val="nil"/>
              <w:bottom w:val="nil"/>
              <w:right w:val="nil"/>
            </w:tcBorders>
            <w:shd w:val="clear" w:color="auto" w:fill="auto"/>
            <w:vAlign w:val="center"/>
          </w:tcPr>
          <w:p w14:paraId="4FAD93D2" w14:textId="77777777" w:rsidR="008B7E19" w:rsidRPr="008D0F3B" w:rsidRDefault="008B7E19" w:rsidP="008B7E19">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cs="Arial"/>
                <w:b/>
                <w:bCs/>
                <w:color w:val="000000"/>
                <w:sz w:val="14"/>
                <w:szCs w:val="14"/>
              </w:rPr>
            </w:pPr>
            <w:r w:rsidRPr="008D0F3B">
              <w:rPr>
                <w:rFonts w:cs="Arial"/>
                <w:b/>
                <w:bCs/>
                <w:sz w:val="14"/>
                <w:szCs w:val="14"/>
              </w:rPr>
              <w:t>11</w:t>
            </w:r>
            <w:r>
              <w:rPr>
                <w:rFonts w:cs="Arial"/>
                <w:b/>
                <w:bCs/>
                <w:sz w:val="14"/>
                <w:szCs w:val="14"/>
              </w:rPr>
              <w:t>,</w:t>
            </w:r>
            <w:r w:rsidRPr="008D0F3B">
              <w:rPr>
                <w:rFonts w:cs="Arial"/>
                <w:b/>
                <w:bCs/>
                <w:sz w:val="14"/>
                <w:szCs w:val="14"/>
              </w:rPr>
              <w:t>030</w:t>
            </w:r>
          </w:p>
        </w:tc>
        <w:tc>
          <w:tcPr>
            <w:tcW w:w="1819" w:type="dxa"/>
            <w:tcBorders>
              <w:top w:val="nil"/>
              <w:left w:val="nil"/>
              <w:bottom w:val="nil"/>
              <w:right w:val="nil"/>
            </w:tcBorders>
            <w:shd w:val="clear" w:color="auto" w:fill="auto"/>
            <w:vAlign w:val="center"/>
          </w:tcPr>
          <w:p w14:paraId="510CBC44" w14:textId="77777777" w:rsidR="008B7E19" w:rsidRPr="008D0F3B" w:rsidRDefault="008B7E19" w:rsidP="008B7E19">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cs="Arial"/>
                <w:b/>
                <w:bCs/>
                <w:color w:val="000000"/>
                <w:sz w:val="14"/>
                <w:szCs w:val="14"/>
              </w:rPr>
            </w:pPr>
            <w:r w:rsidRPr="008D0F3B">
              <w:rPr>
                <w:rFonts w:cs="Arial"/>
                <w:b/>
                <w:bCs/>
                <w:sz w:val="14"/>
                <w:szCs w:val="14"/>
              </w:rPr>
              <w:t>4</w:t>
            </w:r>
            <w:r>
              <w:rPr>
                <w:rFonts w:cs="Arial"/>
                <w:b/>
                <w:bCs/>
                <w:sz w:val="14"/>
                <w:szCs w:val="14"/>
              </w:rPr>
              <w:t>,</w:t>
            </w:r>
            <w:r w:rsidRPr="008D0F3B">
              <w:rPr>
                <w:rFonts w:cs="Arial"/>
                <w:b/>
                <w:bCs/>
                <w:sz w:val="14"/>
                <w:szCs w:val="14"/>
              </w:rPr>
              <w:t>667</w:t>
            </w:r>
          </w:p>
        </w:tc>
        <w:tc>
          <w:tcPr>
            <w:tcW w:w="1819" w:type="dxa"/>
            <w:tcBorders>
              <w:top w:val="nil"/>
              <w:left w:val="nil"/>
              <w:bottom w:val="nil"/>
              <w:right w:val="nil"/>
            </w:tcBorders>
            <w:shd w:val="clear" w:color="auto" w:fill="auto"/>
            <w:vAlign w:val="center"/>
          </w:tcPr>
          <w:p w14:paraId="709F5737" w14:textId="77777777" w:rsidR="008B7E19" w:rsidRPr="008D0F3B" w:rsidRDefault="008B7E19" w:rsidP="008B7E19">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cs="Arial"/>
                <w:b/>
                <w:bCs/>
                <w:color w:val="000000"/>
                <w:sz w:val="14"/>
                <w:szCs w:val="14"/>
              </w:rPr>
            </w:pPr>
            <w:r w:rsidRPr="008D0F3B">
              <w:rPr>
                <w:rFonts w:cs="Arial"/>
                <w:b/>
                <w:bCs/>
                <w:sz w:val="14"/>
                <w:szCs w:val="14"/>
              </w:rPr>
              <w:t>11</w:t>
            </w:r>
            <w:r>
              <w:rPr>
                <w:rFonts w:cs="Arial"/>
                <w:b/>
                <w:bCs/>
                <w:sz w:val="14"/>
                <w:szCs w:val="14"/>
              </w:rPr>
              <w:t>,</w:t>
            </w:r>
            <w:r w:rsidRPr="008D0F3B">
              <w:rPr>
                <w:rFonts w:cs="Arial"/>
                <w:b/>
                <w:bCs/>
                <w:sz w:val="14"/>
                <w:szCs w:val="14"/>
              </w:rPr>
              <w:t>494</w:t>
            </w:r>
          </w:p>
        </w:tc>
      </w:tr>
      <w:tr w:rsidR="008B7E19" w:rsidRPr="0023126A" w14:paraId="2573CCC9" w14:textId="77777777" w:rsidTr="008B7E1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0F02D81B" w14:textId="77777777" w:rsidR="008B7E19" w:rsidRPr="0023126A" w:rsidRDefault="008B7E19" w:rsidP="008B7E19">
            <w:pPr>
              <w:keepNext/>
              <w:keepLines/>
              <w:rPr>
                <w:rFonts w:cs="Arial"/>
                <w:color w:val="000000"/>
                <w:sz w:val="14"/>
                <w:szCs w:val="14"/>
              </w:rPr>
            </w:pPr>
            <w:r>
              <w:rPr>
                <w:rFonts w:cs="Arial"/>
                <w:color w:val="000000"/>
                <w:sz w:val="14"/>
                <w:szCs w:val="14"/>
              </w:rPr>
              <w:t>Comprehensive income</w:t>
            </w:r>
          </w:p>
        </w:tc>
        <w:tc>
          <w:tcPr>
            <w:tcW w:w="1818" w:type="dxa"/>
            <w:tcBorders>
              <w:top w:val="nil"/>
              <w:left w:val="nil"/>
              <w:bottom w:val="nil"/>
              <w:right w:val="nil"/>
            </w:tcBorders>
            <w:shd w:val="clear" w:color="auto" w:fill="auto"/>
            <w:vAlign w:val="center"/>
          </w:tcPr>
          <w:p w14:paraId="7B293602" w14:textId="77777777" w:rsidR="008B7E19" w:rsidRPr="008D0F3B" w:rsidRDefault="008B7E19" w:rsidP="008B7E19">
            <w:pPr>
              <w:keepNext/>
              <w:keepLines/>
              <w:jc w:val="right"/>
              <w:cnfStyle w:val="000000010000" w:firstRow="0" w:lastRow="0" w:firstColumn="0" w:lastColumn="0" w:oddVBand="0" w:evenVBand="0" w:oddHBand="0" w:evenHBand="1" w:firstRowFirstColumn="0" w:firstRowLastColumn="0" w:lastRowFirstColumn="0" w:lastRowLastColumn="0"/>
              <w:rPr>
                <w:rFonts w:cs="Arial"/>
                <w:b/>
                <w:bCs/>
                <w:color w:val="000000"/>
                <w:sz w:val="14"/>
                <w:szCs w:val="14"/>
              </w:rPr>
            </w:pPr>
            <w:r w:rsidRPr="008D0F3B">
              <w:rPr>
                <w:rFonts w:cs="Arial"/>
                <w:b/>
                <w:bCs/>
                <w:color w:val="000000"/>
                <w:sz w:val="14"/>
                <w:szCs w:val="14"/>
              </w:rPr>
              <w:t>6</w:t>
            </w:r>
            <w:r>
              <w:rPr>
                <w:rFonts w:cs="Arial"/>
                <w:b/>
                <w:bCs/>
                <w:color w:val="000000"/>
                <w:sz w:val="14"/>
                <w:szCs w:val="14"/>
              </w:rPr>
              <w:t>,</w:t>
            </w:r>
            <w:r w:rsidRPr="008D0F3B">
              <w:rPr>
                <w:rFonts w:cs="Arial"/>
                <w:b/>
                <w:bCs/>
                <w:color w:val="000000"/>
                <w:sz w:val="14"/>
                <w:szCs w:val="14"/>
              </w:rPr>
              <w:t>719</w:t>
            </w:r>
          </w:p>
        </w:tc>
        <w:tc>
          <w:tcPr>
            <w:tcW w:w="1819" w:type="dxa"/>
            <w:tcBorders>
              <w:top w:val="nil"/>
              <w:left w:val="nil"/>
              <w:bottom w:val="nil"/>
              <w:right w:val="nil"/>
            </w:tcBorders>
            <w:shd w:val="clear" w:color="auto" w:fill="auto"/>
            <w:vAlign w:val="center"/>
          </w:tcPr>
          <w:p w14:paraId="7709DF63" w14:textId="77777777" w:rsidR="008B7E19" w:rsidRPr="008D0F3B" w:rsidRDefault="008B7E19" w:rsidP="008B7E19">
            <w:pPr>
              <w:keepNext/>
              <w:keepLines/>
              <w:jc w:val="right"/>
              <w:cnfStyle w:val="000000010000" w:firstRow="0" w:lastRow="0" w:firstColumn="0" w:lastColumn="0" w:oddVBand="0" w:evenVBand="0" w:oddHBand="0" w:evenHBand="1" w:firstRowFirstColumn="0" w:firstRowLastColumn="0" w:lastRowFirstColumn="0" w:lastRowLastColumn="0"/>
              <w:rPr>
                <w:rFonts w:cs="Arial"/>
                <w:b/>
                <w:bCs/>
                <w:color w:val="000000"/>
                <w:sz w:val="14"/>
                <w:szCs w:val="14"/>
              </w:rPr>
            </w:pPr>
            <w:r w:rsidRPr="008D0F3B">
              <w:rPr>
                <w:rFonts w:cs="Arial"/>
                <w:b/>
                <w:bCs/>
                <w:color w:val="000000"/>
                <w:sz w:val="14"/>
                <w:szCs w:val="14"/>
              </w:rPr>
              <w:t>11</w:t>
            </w:r>
            <w:r>
              <w:rPr>
                <w:rFonts w:cs="Arial"/>
                <w:b/>
                <w:bCs/>
                <w:color w:val="000000"/>
                <w:sz w:val="14"/>
                <w:szCs w:val="14"/>
              </w:rPr>
              <w:t>,</w:t>
            </w:r>
            <w:r w:rsidRPr="008D0F3B">
              <w:rPr>
                <w:rFonts w:cs="Arial"/>
                <w:b/>
                <w:bCs/>
                <w:color w:val="000000"/>
                <w:sz w:val="14"/>
                <w:szCs w:val="14"/>
              </w:rPr>
              <w:t>030</w:t>
            </w:r>
          </w:p>
        </w:tc>
        <w:tc>
          <w:tcPr>
            <w:tcW w:w="1819" w:type="dxa"/>
            <w:tcBorders>
              <w:top w:val="nil"/>
              <w:left w:val="nil"/>
              <w:bottom w:val="nil"/>
              <w:right w:val="nil"/>
            </w:tcBorders>
            <w:shd w:val="clear" w:color="auto" w:fill="auto"/>
            <w:vAlign w:val="center"/>
          </w:tcPr>
          <w:p w14:paraId="50CBD220" w14:textId="77777777" w:rsidR="008B7E19" w:rsidRPr="008D0F3B" w:rsidRDefault="008B7E19" w:rsidP="008B7E19">
            <w:pPr>
              <w:keepNext/>
              <w:keepLines/>
              <w:jc w:val="right"/>
              <w:cnfStyle w:val="000000010000" w:firstRow="0" w:lastRow="0" w:firstColumn="0" w:lastColumn="0" w:oddVBand="0" w:evenVBand="0" w:oddHBand="0" w:evenHBand="1" w:firstRowFirstColumn="0" w:firstRowLastColumn="0" w:lastRowFirstColumn="0" w:lastRowLastColumn="0"/>
              <w:rPr>
                <w:rFonts w:cs="Arial"/>
                <w:b/>
                <w:bCs/>
                <w:color w:val="000000"/>
                <w:sz w:val="14"/>
                <w:szCs w:val="14"/>
              </w:rPr>
            </w:pPr>
            <w:r w:rsidRPr="008D0F3B">
              <w:rPr>
                <w:rFonts w:cs="Arial"/>
                <w:b/>
                <w:bCs/>
                <w:color w:val="000000"/>
                <w:sz w:val="14"/>
                <w:szCs w:val="14"/>
              </w:rPr>
              <w:t>4</w:t>
            </w:r>
            <w:r>
              <w:rPr>
                <w:rFonts w:cs="Arial"/>
                <w:b/>
                <w:bCs/>
                <w:color w:val="000000"/>
                <w:sz w:val="14"/>
                <w:szCs w:val="14"/>
              </w:rPr>
              <w:t>,</w:t>
            </w:r>
            <w:r w:rsidRPr="008D0F3B">
              <w:rPr>
                <w:rFonts w:cs="Arial"/>
                <w:b/>
                <w:bCs/>
                <w:color w:val="000000"/>
                <w:sz w:val="14"/>
                <w:szCs w:val="14"/>
              </w:rPr>
              <w:t>667</w:t>
            </w:r>
          </w:p>
        </w:tc>
        <w:tc>
          <w:tcPr>
            <w:tcW w:w="1819" w:type="dxa"/>
            <w:tcBorders>
              <w:top w:val="nil"/>
              <w:left w:val="nil"/>
              <w:bottom w:val="nil"/>
              <w:right w:val="nil"/>
            </w:tcBorders>
            <w:shd w:val="clear" w:color="auto" w:fill="auto"/>
            <w:vAlign w:val="center"/>
          </w:tcPr>
          <w:p w14:paraId="3648E487" w14:textId="77777777" w:rsidR="008B7E19" w:rsidRPr="008D0F3B" w:rsidRDefault="008B7E19" w:rsidP="008B7E19">
            <w:pPr>
              <w:keepNext/>
              <w:keepLines/>
              <w:jc w:val="right"/>
              <w:cnfStyle w:val="000000010000" w:firstRow="0" w:lastRow="0" w:firstColumn="0" w:lastColumn="0" w:oddVBand="0" w:evenVBand="0" w:oddHBand="0" w:evenHBand="1" w:firstRowFirstColumn="0" w:firstRowLastColumn="0" w:lastRowFirstColumn="0" w:lastRowLastColumn="0"/>
              <w:rPr>
                <w:rFonts w:cs="Arial"/>
                <w:b/>
                <w:bCs/>
                <w:color w:val="000000"/>
                <w:sz w:val="14"/>
                <w:szCs w:val="14"/>
              </w:rPr>
            </w:pPr>
            <w:r w:rsidRPr="008D0F3B">
              <w:rPr>
                <w:rFonts w:cs="Arial"/>
                <w:b/>
                <w:bCs/>
                <w:color w:val="000000"/>
                <w:sz w:val="14"/>
                <w:szCs w:val="14"/>
              </w:rPr>
              <w:t>11</w:t>
            </w:r>
            <w:r>
              <w:rPr>
                <w:rFonts w:cs="Arial"/>
                <w:b/>
                <w:bCs/>
                <w:color w:val="000000"/>
                <w:sz w:val="14"/>
                <w:szCs w:val="14"/>
              </w:rPr>
              <w:t>,</w:t>
            </w:r>
            <w:r w:rsidRPr="008D0F3B">
              <w:rPr>
                <w:rFonts w:cs="Arial"/>
                <w:b/>
                <w:bCs/>
                <w:color w:val="000000"/>
                <w:sz w:val="14"/>
                <w:szCs w:val="14"/>
              </w:rPr>
              <w:t>494</w:t>
            </w:r>
          </w:p>
        </w:tc>
      </w:tr>
      <w:tr w:rsidR="008B7E19" w:rsidRPr="0023126A" w14:paraId="39A75649"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66840845" w14:textId="77777777" w:rsidR="008B7E19" w:rsidRPr="0023126A" w:rsidRDefault="008B7E19" w:rsidP="008B7E19">
            <w:pPr>
              <w:keepNext/>
              <w:keepLines/>
              <w:rPr>
                <w:rFonts w:cs="Arial"/>
                <w:sz w:val="14"/>
                <w:szCs w:val="14"/>
              </w:rPr>
            </w:pPr>
            <w:r>
              <w:rPr>
                <w:rFonts w:eastAsia="Times New Roman" w:cs="Arial"/>
                <w:color w:val="000000"/>
                <w:spacing w:val="-2"/>
                <w:sz w:val="14"/>
                <w:szCs w:val="14"/>
                <w:lang w:eastAsia="pt-BR"/>
              </w:rPr>
              <w:t>Attributable to BB Seguridade</w:t>
            </w:r>
          </w:p>
        </w:tc>
        <w:tc>
          <w:tcPr>
            <w:tcW w:w="1818" w:type="dxa"/>
            <w:tcBorders>
              <w:top w:val="nil"/>
              <w:left w:val="nil"/>
              <w:bottom w:val="nil"/>
              <w:right w:val="nil"/>
            </w:tcBorders>
            <w:shd w:val="clear" w:color="auto" w:fill="auto"/>
            <w:vAlign w:val="center"/>
          </w:tcPr>
          <w:p w14:paraId="723E2351" w14:textId="77777777" w:rsidR="008B7E19" w:rsidRPr="008D0F3B" w:rsidRDefault="008B7E19" w:rsidP="008B7E19">
            <w:pPr>
              <w:keepNext/>
              <w:keepLines/>
              <w:jc w:val="right"/>
              <w:cnfStyle w:val="000000100000" w:firstRow="0" w:lastRow="0" w:firstColumn="0" w:lastColumn="0" w:oddVBand="0" w:evenVBand="0" w:oddHBand="1" w:evenHBand="0" w:firstRowFirstColumn="0" w:firstRowLastColumn="0" w:lastRowFirstColumn="0" w:lastRowLastColumn="0"/>
              <w:rPr>
                <w:rFonts w:cs="Arial"/>
                <w:b/>
                <w:bCs/>
                <w:color w:val="000000"/>
                <w:sz w:val="14"/>
                <w:szCs w:val="14"/>
              </w:rPr>
            </w:pPr>
            <w:r w:rsidRPr="008D0F3B">
              <w:rPr>
                <w:rFonts w:cs="Arial"/>
                <w:b/>
                <w:bCs/>
                <w:color w:val="000000"/>
                <w:sz w:val="14"/>
                <w:szCs w:val="14"/>
              </w:rPr>
              <w:t>5</w:t>
            </w:r>
            <w:r>
              <w:rPr>
                <w:rFonts w:cs="Arial"/>
                <w:b/>
                <w:bCs/>
                <w:color w:val="000000"/>
                <w:sz w:val="14"/>
                <w:szCs w:val="14"/>
              </w:rPr>
              <w:t>,</w:t>
            </w:r>
            <w:r w:rsidRPr="008D0F3B">
              <w:rPr>
                <w:rFonts w:cs="Arial"/>
                <w:b/>
                <w:bCs/>
                <w:color w:val="000000"/>
                <w:sz w:val="14"/>
                <w:szCs w:val="14"/>
              </w:rPr>
              <w:t>038</w:t>
            </w:r>
          </w:p>
        </w:tc>
        <w:tc>
          <w:tcPr>
            <w:tcW w:w="1819" w:type="dxa"/>
            <w:tcBorders>
              <w:top w:val="nil"/>
              <w:left w:val="nil"/>
              <w:bottom w:val="nil"/>
              <w:right w:val="nil"/>
            </w:tcBorders>
            <w:shd w:val="clear" w:color="auto" w:fill="auto"/>
            <w:vAlign w:val="center"/>
          </w:tcPr>
          <w:p w14:paraId="54DDDBFA" w14:textId="77777777" w:rsidR="008B7E19" w:rsidRPr="008D0F3B" w:rsidRDefault="008B7E19" w:rsidP="008B7E19">
            <w:pPr>
              <w:keepNext/>
              <w:keepLines/>
              <w:jc w:val="right"/>
              <w:cnfStyle w:val="000000100000" w:firstRow="0" w:lastRow="0" w:firstColumn="0" w:lastColumn="0" w:oddVBand="0" w:evenVBand="0" w:oddHBand="1" w:evenHBand="0" w:firstRowFirstColumn="0" w:firstRowLastColumn="0" w:lastRowFirstColumn="0" w:lastRowLastColumn="0"/>
              <w:rPr>
                <w:rFonts w:cs="Arial"/>
                <w:b/>
                <w:bCs/>
                <w:color w:val="000000"/>
                <w:sz w:val="14"/>
                <w:szCs w:val="14"/>
              </w:rPr>
            </w:pPr>
            <w:r w:rsidRPr="008D0F3B">
              <w:rPr>
                <w:rFonts w:cs="Arial"/>
                <w:b/>
                <w:bCs/>
                <w:color w:val="000000"/>
                <w:sz w:val="14"/>
                <w:szCs w:val="14"/>
              </w:rPr>
              <w:t>8</w:t>
            </w:r>
            <w:r>
              <w:rPr>
                <w:rFonts w:cs="Arial"/>
                <w:b/>
                <w:bCs/>
                <w:color w:val="000000"/>
                <w:sz w:val="14"/>
                <w:szCs w:val="14"/>
              </w:rPr>
              <w:t>,</w:t>
            </w:r>
            <w:r w:rsidRPr="008D0F3B">
              <w:rPr>
                <w:rFonts w:cs="Arial"/>
                <w:b/>
                <w:bCs/>
                <w:color w:val="000000"/>
                <w:sz w:val="14"/>
                <w:szCs w:val="14"/>
              </w:rPr>
              <w:t>272</w:t>
            </w:r>
          </w:p>
        </w:tc>
        <w:tc>
          <w:tcPr>
            <w:tcW w:w="1819" w:type="dxa"/>
            <w:tcBorders>
              <w:top w:val="nil"/>
              <w:left w:val="nil"/>
              <w:bottom w:val="nil"/>
              <w:right w:val="nil"/>
            </w:tcBorders>
            <w:shd w:val="clear" w:color="auto" w:fill="auto"/>
            <w:vAlign w:val="center"/>
          </w:tcPr>
          <w:p w14:paraId="5E4CE1E8" w14:textId="77777777" w:rsidR="008B7E19" w:rsidRPr="008D0F3B" w:rsidRDefault="008B7E19" w:rsidP="008B7E19">
            <w:pPr>
              <w:keepNext/>
              <w:keepLines/>
              <w:jc w:val="right"/>
              <w:cnfStyle w:val="000000100000" w:firstRow="0" w:lastRow="0" w:firstColumn="0" w:lastColumn="0" w:oddVBand="0" w:evenVBand="0" w:oddHBand="1" w:evenHBand="0" w:firstRowFirstColumn="0" w:firstRowLastColumn="0" w:lastRowFirstColumn="0" w:lastRowLastColumn="0"/>
              <w:rPr>
                <w:rFonts w:cs="Arial"/>
                <w:b/>
                <w:bCs/>
                <w:color w:val="000000"/>
                <w:sz w:val="14"/>
                <w:szCs w:val="14"/>
              </w:rPr>
            </w:pPr>
            <w:r w:rsidRPr="008D0F3B">
              <w:rPr>
                <w:rFonts w:cs="Arial"/>
                <w:b/>
                <w:bCs/>
                <w:color w:val="000000"/>
                <w:sz w:val="14"/>
                <w:szCs w:val="14"/>
              </w:rPr>
              <w:t>3</w:t>
            </w:r>
            <w:r>
              <w:rPr>
                <w:rFonts w:cs="Arial"/>
                <w:b/>
                <w:bCs/>
                <w:color w:val="000000"/>
                <w:sz w:val="14"/>
                <w:szCs w:val="14"/>
              </w:rPr>
              <w:t>,</w:t>
            </w:r>
            <w:r w:rsidRPr="008D0F3B">
              <w:rPr>
                <w:rFonts w:cs="Arial"/>
                <w:b/>
                <w:bCs/>
                <w:color w:val="000000"/>
                <w:sz w:val="14"/>
                <w:szCs w:val="14"/>
              </w:rPr>
              <w:t>500</w:t>
            </w:r>
          </w:p>
        </w:tc>
        <w:tc>
          <w:tcPr>
            <w:tcW w:w="1819" w:type="dxa"/>
            <w:tcBorders>
              <w:top w:val="nil"/>
              <w:left w:val="nil"/>
              <w:bottom w:val="nil"/>
              <w:right w:val="nil"/>
            </w:tcBorders>
            <w:shd w:val="clear" w:color="auto" w:fill="auto"/>
            <w:vAlign w:val="center"/>
          </w:tcPr>
          <w:p w14:paraId="46836430" w14:textId="77777777" w:rsidR="008B7E19" w:rsidRPr="008D0F3B" w:rsidRDefault="008B7E19" w:rsidP="008B7E19">
            <w:pPr>
              <w:keepNext/>
              <w:keepLines/>
              <w:jc w:val="right"/>
              <w:cnfStyle w:val="000000100000" w:firstRow="0" w:lastRow="0" w:firstColumn="0" w:lastColumn="0" w:oddVBand="0" w:evenVBand="0" w:oddHBand="1" w:evenHBand="0" w:firstRowFirstColumn="0" w:firstRowLastColumn="0" w:lastRowFirstColumn="0" w:lastRowLastColumn="0"/>
              <w:rPr>
                <w:rFonts w:cs="Arial"/>
                <w:b/>
                <w:bCs/>
                <w:color w:val="000000"/>
                <w:sz w:val="14"/>
                <w:szCs w:val="14"/>
              </w:rPr>
            </w:pPr>
            <w:r w:rsidRPr="008D0F3B">
              <w:rPr>
                <w:rFonts w:cs="Arial"/>
                <w:b/>
                <w:bCs/>
                <w:color w:val="000000"/>
                <w:sz w:val="14"/>
                <w:szCs w:val="14"/>
              </w:rPr>
              <w:t>8</w:t>
            </w:r>
            <w:r>
              <w:rPr>
                <w:rFonts w:cs="Arial"/>
                <w:b/>
                <w:bCs/>
                <w:color w:val="000000"/>
                <w:sz w:val="14"/>
                <w:szCs w:val="14"/>
              </w:rPr>
              <w:t>,</w:t>
            </w:r>
            <w:r w:rsidRPr="008D0F3B">
              <w:rPr>
                <w:rFonts w:cs="Arial"/>
                <w:b/>
                <w:bCs/>
                <w:color w:val="000000"/>
                <w:sz w:val="14"/>
                <w:szCs w:val="14"/>
              </w:rPr>
              <w:t>620</w:t>
            </w:r>
          </w:p>
        </w:tc>
      </w:tr>
      <w:tr w:rsidR="008B7E19" w:rsidRPr="0023126A" w14:paraId="2CBDF3A5" w14:textId="77777777" w:rsidTr="008B7E1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63A607FB" w14:textId="77777777" w:rsidR="008B7E19" w:rsidRPr="002F01AF" w:rsidRDefault="008B7E19" w:rsidP="008B7E19">
            <w:pPr>
              <w:keepNext/>
              <w:keepLines/>
              <w:rPr>
                <w:rFonts w:eastAsia="Times New Roman" w:cs="Arial"/>
                <w:b w:val="0"/>
                <w:bCs w:val="0"/>
                <w:color w:val="000000"/>
                <w:spacing w:val="-2"/>
                <w:sz w:val="14"/>
                <w:szCs w:val="14"/>
                <w:lang w:eastAsia="pt-BR"/>
              </w:rPr>
            </w:pPr>
            <w:r w:rsidRPr="002F01AF">
              <w:rPr>
                <w:rFonts w:eastAsia="Times New Roman" w:cs="Arial"/>
                <w:b w:val="0"/>
                <w:bCs w:val="0"/>
                <w:color w:val="000000"/>
                <w:spacing w:val="-2"/>
                <w:sz w:val="14"/>
                <w:szCs w:val="14"/>
                <w:lang w:eastAsia="pt-BR"/>
              </w:rPr>
              <w:t>Adjustment</w:t>
            </w:r>
            <w:r>
              <w:rPr>
                <w:rFonts w:eastAsia="Times New Roman" w:cs="Arial"/>
                <w:b w:val="0"/>
                <w:bCs w:val="0"/>
                <w:color w:val="000000"/>
                <w:spacing w:val="-2"/>
                <w:sz w:val="14"/>
                <w:szCs w:val="14"/>
                <w:lang w:eastAsia="pt-BR"/>
              </w:rPr>
              <w:t xml:space="preserve"> </w:t>
            </w:r>
            <w:r w:rsidRPr="002F01AF">
              <w:rPr>
                <w:rFonts w:eastAsia="Times New Roman" w:cs="Arial"/>
                <w:b w:val="0"/>
                <w:bCs w:val="0"/>
                <w:color w:val="000000"/>
                <w:spacing w:val="-2"/>
                <w:sz w:val="14"/>
                <w:szCs w:val="14"/>
                <w:vertAlign w:val="superscript"/>
                <w:lang w:eastAsia="pt-BR"/>
              </w:rPr>
              <w:t>(2)</w:t>
            </w:r>
          </w:p>
        </w:tc>
        <w:tc>
          <w:tcPr>
            <w:tcW w:w="1818" w:type="dxa"/>
            <w:tcBorders>
              <w:top w:val="nil"/>
              <w:left w:val="nil"/>
              <w:bottom w:val="nil"/>
              <w:right w:val="nil"/>
            </w:tcBorders>
            <w:shd w:val="clear" w:color="auto" w:fill="auto"/>
            <w:vAlign w:val="center"/>
          </w:tcPr>
          <w:p w14:paraId="738D23BD" w14:textId="77777777" w:rsidR="008B7E19" w:rsidRPr="008D0F3B" w:rsidRDefault="008B7E19" w:rsidP="008B7E19">
            <w:pPr>
              <w:keepNext/>
              <w:keepLines/>
              <w:jc w:val="right"/>
              <w:cnfStyle w:val="000000010000" w:firstRow="0" w:lastRow="0" w:firstColumn="0" w:lastColumn="0" w:oddVBand="0" w:evenVBand="0" w:oddHBand="0" w:evenHBand="1" w:firstRowFirstColumn="0" w:firstRowLastColumn="0" w:lastRowFirstColumn="0" w:lastRowLastColumn="0"/>
              <w:rPr>
                <w:rFonts w:cs="Arial"/>
                <w:b/>
                <w:bCs/>
                <w:color w:val="000000"/>
                <w:sz w:val="14"/>
                <w:szCs w:val="14"/>
              </w:rPr>
            </w:pPr>
            <w:r w:rsidRPr="008D0F3B">
              <w:rPr>
                <w:rFonts w:cs="Arial"/>
                <w:b/>
                <w:bCs/>
                <w:color w:val="000000"/>
                <w:sz w:val="14"/>
                <w:szCs w:val="14"/>
              </w:rPr>
              <w:t>--</w:t>
            </w:r>
          </w:p>
        </w:tc>
        <w:tc>
          <w:tcPr>
            <w:tcW w:w="1819" w:type="dxa"/>
            <w:tcBorders>
              <w:top w:val="nil"/>
              <w:left w:val="nil"/>
              <w:bottom w:val="nil"/>
              <w:right w:val="nil"/>
            </w:tcBorders>
            <w:shd w:val="clear" w:color="auto" w:fill="auto"/>
            <w:vAlign w:val="center"/>
          </w:tcPr>
          <w:p w14:paraId="08A0F7A9" w14:textId="77777777" w:rsidR="008B7E19" w:rsidRPr="008D0F3B" w:rsidRDefault="008B7E19" w:rsidP="008B7E19">
            <w:pPr>
              <w:keepNext/>
              <w:keepLines/>
              <w:jc w:val="right"/>
              <w:cnfStyle w:val="000000010000" w:firstRow="0" w:lastRow="0" w:firstColumn="0" w:lastColumn="0" w:oddVBand="0" w:evenVBand="0" w:oddHBand="0" w:evenHBand="1" w:firstRowFirstColumn="0" w:firstRowLastColumn="0" w:lastRowFirstColumn="0" w:lastRowLastColumn="0"/>
              <w:rPr>
                <w:rFonts w:cs="Arial"/>
                <w:b/>
                <w:bCs/>
                <w:color w:val="000000"/>
                <w:sz w:val="14"/>
                <w:szCs w:val="14"/>
              </w:rPr>
            </w:pPr>
            <w:r w:rsidRPr="008D0F3B">
              <w:rPr>
                <w:rFonts w:cs="Arial"/>
                <w:b/>
                <w:bCs/>
                <w:color w:val="000000"/>
                <w:sz w:val="14"/>
                <w:szCs w:val="14"/>
              </w:rPr>
              <w:t>--</w:t>
            </w:r>
          </w:p>
        </w:tc>
        <w:tc>
          <w:tcPr>
            <w:tcW w:w="1819" w:type="dxa"/>
            <w:tcBorders>
              <w:top w:val="nil"/>
              <w:left w:val="nil"/>
              <w:bottom w:val="nil"/>
              <w:right w:val="nil"/>
            </w:tcBorders>
            <w:shd w:val="clear" w:color="auto" w:fill="auto"/>
            <w:vAlign w:val="center"/>
          </w:tcPr>
          <w:p w14:paraId="2249B463" w14:textId="77777777" w:rsidR="008B7E19" w:rsidRPr="008D0F3B" w:rsidRDefault="008B7E19" w:rsidP="008B7E19">
            <w:pPr>
              <w:keepNext/>
              <w:keepLines/>
              <w:jc w:val="right"/>
              <w:cnfStyle w:val="000000010000" w:firstRow="0" w:lastRow="0" w:firstColumn="0" w:lastColumn="0" w:oddVBand="0" w:evenVBand="0" w:oddHBand="0" w:evenHBand="1" w:firstRowFirstColumn="0" w:firstRowLastColumn="0" w:lastRowFirstColumn="0" w:lastRowLastColumn="0"/>
              <w:rPr>
                <w:rFonts w:cs="Arial"/>
                <w:b/>
                <w:bCs/>
                <w:color w:val="000000"/>
                <w:sz w:val="14"/>
                <w:szCs w:val="14"/>
              </w:rPr>
            </w:pPr>
            <w:r w:rsidRPr="008D0F3B">
              <w:rPr>
                <w:rFonts w:cs="Arial"/>
                <w:b/>
                <w:bCs/>
                <w:color w:val="000000"/>
                <w:sz w:val="14"/>
                <w:szCs w:val="14"/>
              </w:rPr>
              <w:t>19</w:t>
            </w:r>
          </w:p>
        </w:tc>
        <w:tc>
          <w:tcPr>
            <w:tcW w:w="1819" w:type="dxa"/>
            <w:tcBorders>
              <w:top w:val="nil"/>
              <w:left w:val="nil"/>
              <w:bottom w:val="nil"/>
              <w:right w:val="nil"/>
            </w:tcBorders>
            <w:shd w:val="clear" w:color="auto" w:fill="auto"/>
            <w:vAlign w:val="center"/>
          </w:tcPr>
          <w:p w14:paraId="0099F0F7" w14:textId="77777777" w:rsidR="008B7E19" w:rsidRPr="008D0F3B" w:rsidRDefault="008B7E19" w:rsidP="008B7E19">
            <w:pPr>
              <w:keepNext/>
              <w:keepLines/>
              <w:jc w:val="right"/>
              <w:cnfStyle w:val="000000010000" w:firstRow="0" w:lastRow="0" w:firstColumn="0" w:lastColumn="0" w:oddVBand="0" w:evenVBand="0" w:oddHBand="0" w:evenHBand="1" w:firstRowFirstColumn="0" w:firstRowLastColumn="0" w:lastRowFirstColumn="0" w:lastRowLastColumn="0"/>
              <w:rPr>
                <w:rFonts w:cs="Arial"/>
                <w:b/>
                <w:bCs/>
                <w:color w:val="000000"/>
                <w:sz w:val="14"/>
                <w:szCs w:val="14"/>
              </w:rPr>
            </w:pPr>
            <w:r w:rsidRPr="008D0F3B">
              <w:rPr>
                <w:rFonts w:cs="Arial"/>
                <w:b/>
                <w:bCs/>
                <w:color w:val="000000"/>
                <w:sz w:val="14"/>
                <w:szCs w:val="14"/>
              </w:rPr>
              <w:t>19</w:t>
            </w:r>
          </w:p>
        </w:tc>
      </w:tr>
      <w:tr w:rsidR="008B7E19" w:rsidRPr="0023126A" w14:paraId="42853455"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single" w:sz="2" w:space="0" w:color="1F4E79" w:themeColor="accent1" w:themeShade="80"/>
              <w:right w:val="nil"/>
            </w:tcBorders>
            <w:shd w:val="clear" w:color="auto" w:fill="auto"/>
            <w:vAlign w:val="center"/>
          </w:tcPr>
          <w:p w14:paraId="0E38D876" w14:textId="77777777" w:rsidR="008B7E19" w:rsidRPr="0023126A" w:rsidRDefault="008B7E19" w:rsidP="008B7E19">
            <w:pPr>
              <w:keepNext/>
              <w:keepLines/>
              <w:rPr>
                <w:rFonts w:cs="Arial"/>
                <w:color w:val="000000"/>
                <w:sz w:val="14"/>
                <w:szCs w:val="14"/>
              </w:rPr>
            </w:pPr>
            <w:r>
              <w:rPr>
                <w:rFonts w:eastAsia="Times New Roman" w:cs="Arial"/>
                <w:color w:val="000000"/>
                <w:spacing w:val="-2"/>
                <w:sz w:val="14"/>
                <w:szCs w:val="14"/>
                <w:lang w:eastAsia="pt-BR"/>
              </w:rPr>
              <w:t>Equity income</w:t>
            </w:r>
          </w:p>
        </w:tc>
        <w:tc>
          <w:tcPr>
            <w:tcW w:w="1818" w:type="dxa"/>
            <w:tcBorders>
              <w:top w:val="nil"/>
              <w:left w:val="nil"/>
              <w:bottom w:val="single" w:sz="2" w:space="0" w:color="1F4E79" w:themeColor="accent1" w:themeShade="80"/>
              <w:right w:val="nil"/>
            </w:tcBorders>
            <w:shd w:val="clear" w:color="auto" w:fill="auto"/>
            <w:vAlign w:val="center"/>
          </w:tcPr>
          <w:p w14:paraId="35D4EBD7" w14:textId="77777777" w:rsidR="008B7E19" w:rsidRPr="008D0F3B" w:rsidRDefault="008B7E19" w:rsidP="008B7E19">
            <w:pPr>
              <w:keepNext/>
              <w:keepLines/>
              <w:jc w:val="right"/>
              <w:cnfStyle w:val="000000100000" w:firstRow="0" w:lastRow="0" w:firstColumn="0" w:lastColumn="0" w:oddVBand="0" w:evenVBand="0" w:oddHBand="1" w:evenHBand="0" w:firstRowFirstColumn="0" w:firstRowLastColumn="0" w:lastRowFirstColumn="0" w:lastRowLastColumn="0"/>
              <w:rPr>
                <w:rFonts w:cs="Arial"/>
                <w:b/>
                <w:bCs/>
                <w:color w:val="000000"/>
                <w:sz w:val="14"/>
                <w:szCs w:val="14"/>
              </w:rPr>
            </w:pPr>
            <w:r w:rsidRPr="008D0F3B">
              <w:rPr>
                <w:rFonts w:cs="Arial"/>
                <w:b/>
                <w:bCs/>
                <w:color w:val="000000"/>
                <w:sz w:val="14"/>
                <w:szCs w:val="14"/>
              </w:rPr>
              <w:t>5</w:t>
            </w:r>
            <w:r>
              <w:rPr>
                <w:rFonts w:cs="Arial"/>
                <w:b/>
                <w:bCs/>
                <w:color w:val="000000"/>
                <w:sz w:val="14"/>
                <w:szCs w:val="14"/>
              </w:rPr>
              <w:t>,</w:t>
            </w:r>
            <w:r w:rsidRPr="008D0F3B">
              <w:rPr>
                <w:rFonts w:cs="Arial"/>
                <w:b/>
                <w:bCs/>
                <w:color w:val="000000"/>
                <w:sz w:val="14"/>
                <w:szCs w:val="14"/>
              </w:rPr>
              <w:t>038</w:t>
            </w:r>
          </w:p>
        </w:tc>
        <w:tc>
          <w:tcPr>
            <w:tcW w:w="1819" w:type="dxa"/>
            <w:tcBorders>
              <w:top w:val="nil"/>
              <w:left w:val="nil"/>
              <w:bottom w:val="single" w:sz="2" w:space="0" w:color="1F4E79" w:themeColor="accent1" w:themeShade="80"/>
              <w:right w:val="nil"/>
            </w:tcBorders>
            <w:shd w:val="clear" w:color="auto" w:fill="auto"/>
            <w:vAlign w:val="center"/>
          </w:tcPr>
          <w:p w14:paraId="44686571" w14:textId="77777777" w:rsidR="008B7E19" w:rsidRPr="008D0F3B" w:rsidRDefault="008B7E19" w:rsidP="008B7E19">
            <w:pPr>
              <w:keepNext/>
              <w:keepLines/>
              <w:jc w:val="right"/>
              <w:cnfStyle w:val="000000100000" w:firstRow="0" w:lastRow="0" w:firstColumn="0" w:lastColumn="0" w:oddVBand="0" w:evenVBand="0" w:oddHBand="1" w:evenHBand="0" w:firstRowFirstColumn="0" w:firstRowLastColumn="0" w:lastRowFirstColumn="0" w:lastRowLastColumn="0"/>
              <w:rPr>
                <w:rFonts w:cs="Arial"/>
                <w:b/>
                <w:bCs/>
                <w:color w:val="000000"/>
                <w:sz w:val="14"/>
                <w:szCs w:val="14"/>
              </w:rPr>
            </w:pPr>
            <w:r w:rsidRPr="008D0F3B">
              <w:rPr>
                <w:rFonts w:cs="Arial"/>
                <w:b/>
                <w:bCs/>
                <w:color w:val="000000"/>
                <w:sz w:val="14"/>
                <w:szCs w:val="14"/>
              </w:rPr>
              <w:t>8</w:t>
            </w:r>
            <w:r>
              <w:rPr>
                <w:rFonts w:cs="Arial"/>
                <w:b/>
                <w:bCs/>
                <w:color w:val="000000"/>
                <w:sz w:val="14"/>
                <w:szCs w:val="14"/>
              </w:rPr>
              <w:t>,</w:t>
            </w:r>
            <w:r w:rsidRPr="008D0F3B">
              <w:rPr>
                <w:rFonts w:cs="Arial"/>
                <w:b/>
                <w:bCs/>
                <w:color w:val="000000"/>
                <w:sz w:val="14"/>
                <w:szCs w:val="14"/>
              </w:rPr>
              <w:t>272</w:t>
            </w:r>
          </w:p>
        </w:tc>
        <w:tc>
          <w:tcPr>
            <w:tcW w:w="1819" w:type="dxa"/>
            <w:tcBorders>
              <w:top w:val="nil"/>
              <w:left w:val="nil"/>
              <w:bottom w:val="single" w:sz="2" w:space="0" w:color="1F4E79" w:themeColor="accent1" w:themeShade="80"/>
              <w:right w:val="nil"/>
            </w:tcBorders>
            <w:shd w:val="clear" w:color="auto" w:fill="auto"/>
            <w:vAlign w:val="center"/>
          </w:tcPr>
          <w:p w14:paraId="74088966" w14:textId="77777777" w:rsidR="008B7E19" w:rsidRPr="008D0F3B" w:rsidRDefault="008B7E19" w:rsidP="008B7E19">
            <w:pPr>
              <w:keepNext/>
              <w:keepLines/>
              <w:jc w:val="right"/>
              <w:cnfStyle w:val="000000100000" w:firstRow="0" w:lastRow="0" w:firstColumn="0" w:lastColumn="0" w:oddVBand="0" w:evenVBand="0" w:oddHBand="1" w:evenHBand="0" w:firstRowFirstColumn="0" w:firstRowLastColumn="0" w:lastRowFirstColumn="0" w:lastRowLastColumn="0"/>
              <w:rPr>
                <w:rFonts w:cs="Arial"/>
                <w:b/>
                <w:bCs/>
                <w:color w:val="000000"/>
                <w:sz w:val="14"/>
                <w:szCs w:val="14"/>
              </w:rPr>
            </w:pPr>
            <w:r w:rsidRPr="008D0F3B">
              <w:rPr>
                <w:rFonts w:cs="Arial"/>
                <w:b/>
                <w:bCs/>
                <w:color w:val="000000"/>
                <w:sz w:val="14"/>
                <w:szCs w:val="14"/>
              </w:rPr>
              <w:t>3</w:t>
            </w:r>
            <w:r>
              <w:rPr>
                <w:rFonts w:cs="Arial"/>
                <w:b/>
                <w:bCs/>
                <w:color w:val="000000"/>
                <w:sz w:val="14"/>
                <w:szCs w:val="14"/>
              </w:rPr>
              <w:t>,</w:t>
            </w:r>
            <w:r w:rsidRPr="008D0F3B">
              <w:rPr>
                <w:rFonts w:cs="Arial"/>
                <w:b/>
                <w:bCs/>
                <w:color w:val="000000"/>
                <w:sz w:val="14"/>
                <w:szCs w:val="14"/>
              </w:rPr>
              <w:t>519</w:t>
            </w:r>
          </w:p>
        </w:tc>
        <w:tc>
          <w:tcPr>
            <w:tcW w:w="1819" w:type="dxa"/>
            <w:tcBorders>
              <w:top w:val="nil"/>
              <w:left w:val="nil"/>
              <w:bottom w:val="single" w:sz="2" w:space="0" w:color="1F4E79" w:themeColor="accent1" w:themeShade="80"/>
              <w:right w:val="nil"/>
            </w:tcBorders>
            <w:shd w:val="clear" w:color="auto" w:fill="auto"/>
            <w:vAlign w:val="center"/>
          </w:tcPr>
          <w:p w14:paraId="068BF6BC" w14:textId="77777777" w:rsidR="008B7E19" w:rsidRPr="008D0F3B" w:rsidRDefault="008B7E19" w:rsidP="008B7E19">
            <w:pPr>
              <w:keepNext/>
              <w:keepLines/>
              <w:jc w:val="right"/>
              <w:cnfStyle w:val="000000100000" w:firstRow="0" w:lastRow="0" w:firstColumn="0" w:lastColumn="0" w:oddVBand="0" w:evenVBand="0" w:oddHBand="1" w:evenHBand="0" w:firstRowFirstColumn="0" w:firstRowLastColumn="0" w:lastRowFirstColumn="0" w:lastRowLastColumn="0"/>
              <w:rPr>
                <w:rFonts w:cs="Arial"/>
                <w:b/>
                <w:bCs/>
                <w:color w:val="000000"/>
                <w:sz w:val="14"/>
                <w:szCs w:val="14"/>
              </w:rPr>
            </w:pPr>
            <w:r w:rsidRPr="008D0F3B">
              <w:rPr>
                <w:rFonts w:cs="Arial"/>
                <w:b/>
                <w:bCs/>
                <w:color w:val="000000"/>
                <w:sz w:val="14"/>
                <w:szCs w:val="14"/>
              </w:rPr>
              <w:t>8</w:t>
            </w:r>
            <w:r>
              <w:rPr>
                <w:rFonts w:cs="Arial"/>
                <w:b/>
                <w:bCs/>
                <w:color w:val="000000"/>
                <w:sz w:val="14"/>
                <w:szCs w:val="14"/>
              </w:rPr>
              <w:t>,</w:t>
            </w:r>
            <w:r w:rsidRPr="008D0F3B">
              <w:rPr>
                <w:rFonts w:cs="Arial"/>
                <w:b/>
                <w:bCs/>
                <w:color w:val="000000"/>
                <w:sz w:val="14"/>
                <w:szCs w:val="14"/>
              </w:rPr>
              <w:t>639</w:t>
            </w:r>
          </w:p>
        </w:tc>
      </w:tr>
    </w:tbl>
    <w:p w14:paraId="0B3576E6" w14:textId="77777777" w:rsidR="008B7E19" w:rsidRPr="002F01AF" w:rsidRDefault="008B7E19" w:rsidP="00882B41">
      <w:pPr>
        <w:pStyle w:val="PargrafodaLista"/>
        <w:numPr>
          <w:ilvl w:val="0"/>
          <w:numId w:val="30"/>
        </w:numPr>
        <w:spacing w:after="0" w:line="240" w:lineRule="auto"/>
        <w:rPr>
          <w:rFonts w:ascii="Arial" w:eastAsia="Times New Roman" w:hAnsi="Arial" w:cs="Times New Roman"/>
          <w:bCs/>
          <w:spacing w:val="-2"/>
          <w:sz w:val="14"/>
          <w:szCs w:val="16"/>
          <w:lang w:val="en-US" w:eastAsia="pt-BR"/>
        </w:rPr>
      </w:pPr>
      <w:r w:rsidRPr="002F01AF">
        <w:rPr>
          <w:rFonts w:ascii="Arial" w:eastAsia="Times New Roman" w:hAnsi="Arial" w:cs="Times New Roman"/>
          <w:bCs/>
          <w:spacing w:val="-2"/>
          <w:sz w:val="14"/>
          <w:szCs w:val="16"/>
          <w:lang w:val="en-US" w:eastAsia="pt-BR"/>
        </w:rPr>
        <w:t xml:space="preserve">BBA - </w:t>
      </w:r>
      <w:r w:rsidRPr="002F01AF">
        <w:rPr>
          <w:rFonts w:ascii="Arial" w:eastAsia="Times New Roman" w:hAnsi="Arial" w:cs="Times New Roman"/>
          <w:bCs/>
          <w:i/>
          <w:iCs/>
          <w:spacing w:val="-2"/>
          <w:sz w:val="14"/>
          <w:szCs w:val="16"/>
          <w:lang w:val="en-US" w:eastAsia="pt-BR"/>
        </w:rPr>
        <w:t>Building Block Approach</w:t>
      </w:r>
      <w:r w:rsidRPr="002F01AF">
        <w:rPr>
          <w:rFonts w:ascii="Arial" w:eastAsia="Times New Roman" w:hAnsi="Arial" w:cs="Times New Roman"/>
          <w:bCs/>
          <w:spacing w:val="-2"/>
          <w:sz w:val="14"/>
          <w:szCs w:val="16"/>
          <w:lang w:val="en-US" w:eastAsia="pt-BR"/>
        </w:rPr>
        <w:t xml:space="preserve"> and </w:t>
      </w:r>
      <w:r w:rsidRPr="002F01AF">
        <w:rPr>
          <w:rFonts w:ascii="Arial" w:eastAsia="Times New Roman" w:hAnsi="Arial" w:cs="Arial"/>
          <w:kern w:val="20"/>
          <w:sz w:val="14"/>
          <w:szCs w:val="16"/>
          <w:lang w:val="en-US" w:eastAsia="pt-BR"/>
        </w:rPr>
        <w:t xml:space="preserve">PAA - </w:t>
      </w:r>
      <w:r w:rsidRPr="002F01AF">
        <w:rPr>
          <w:rFonts w:ascii="Arial" w:eastAsia="Times New Roman" w:hAnsi="Arial" w:cs="Arial"/>
          <w:i/>
          <w:iCs/>
          <w:kern w:val="20"/>
          <w:sz w:val="14"/>
          <w:szCs w:val="16"/>
          <w:lang w:val="en-US" w:eastAsia="pt-BR"/>
        </w:rPr>
        <w:t>Premium Allocation Approach</w:t>
      </w:r>
      <w:r w:rsidRPr="002F01AF">
        <w:rPr>
          <w:rFonts w:ascii="Arial" w:eastAsia="Times New Roman" w:hAnsi="Arial" w:cs="Arial"/>
          <w:kern w:val="20"/>
          <w:sz w:val="14"/>
          <w:szCs w:val="16"/>
          <w:lang w:val="en-US" w:eastAsia="pt-BR"/>
        </w:rPr>
        <w:t>.</w:t>
      </w:r>
    </w:p>
    <w:p w14:paraId="1D1F1D1D" w14:textId="77777777" w:rsidR="008B7E19" w:rsidRPr="002F01AF" w:rsidRDefault="008B7E19" w:rsidP="00882B41">
      <w:pPr>
        <w:pStyle w:val="PargrafodaLista"/>
        <w:numPr>
          <w:ilvl w:val="0"/>
          <w:numId w:val="30"/>
        </w:numPr>
        <w:spacing w:after="0" w:line="240" w:lineRule="auto"/>
        <w:rPr>
          <w:rFonts w:ascii="Arial" w:eastAsia="Times New Roman" w:hAnsi="Arial" w:cs="Times New Roman"/>
          <w:bCs/>
          <w:spacing w:val="-2"/>
          <w:sz w:val="14"/>
          <w:szCs w:val="16"/>
          <w:lang w:val="en-US" w:eastAsia="pt-BR"/>
        </w:rPr>
      </w:pPr>
      <w:r w:rsidRPr="002F01AF">
        <w:rPr>
          <w:rFonts w:ascii="Arial" w:eastAsia="Times New Roman" w:hAnsi="Arial" w:cs="Times New Roman"/>
          <w:bCs/>
          <w:spacing w:val="-2"/>
          <w:sz w:val="14"/>
          <w:szCs w:val="16"/>
          <w:lang w:val="en-US" w:eastAsia="pt-BR"/>
        </w:rPr>
        <w:t>Refers to change of result.</w:t>
      </w:r>
    </w:p>
    <w:p w14:paraId="4DACA6EB" w14:textId="77777777" w:rsidR="008B7E19" w:rsidRPr="00AA29DC" w:rsidRDefault="008B7E19" w:rsidP="00882B41">
      <w:pPr>
        <w:pStyle w:val="PargrafodaLista"/>
        <w:numPr>
          <w:ilvl w:val="0"/>
          <w:numId w:val="30"/>
        </w:numPr>
        <w:rPr>
          <w:rFonts w:ascii="Arial" w:eastAsia="Times New Roman" w:hAnsi="Arial" w:cs="Times New Roman"/>
          <w:bCs/>
          <w:spacing w:val="-2"/>
          <w:sz w:val="14"/>
          <w:szCs w:val="16"/>
          <w:lang w:val="en-US" w:eastAsia="pt-BR"/>
        </w:rPr>
      </w:pPr>
      <w:r w:rsidRPr="002F01AF">
        <w:rPr>
          <w:rFonts w:ascii="Arial" w:eastAsia="Times New Roman" w:hAnsi="Arial" w:cs="Times New Roman"/>
          <w:bCs/>
          <w:spacing w:val="-2"/>
          <w:sz w:val="14"/>
          <w:szCs w:val="16"/>
          <w:lang w:val="en-US" w:eastAsia="pt-BR"/>
        </w:rPr>
        <w:t>Balance with a one-month lag.</w:t>
      </w:r>
    </w:p>
    <w:p w14:paraId="738C66DA" w14:textId="77777777" w:rsidR="008B7E19" w:rsidRDefault="008B7E19" w:rsidP="008B7E19">
      <w:pPr>
        <w:pageBreakBefore/>
        <w:spacing w:after="0" w:line="240" w:lineRule="auto"/>
        <w:rPr>
          <w:rFonts w:eastAsia="Times New Roman" w:cs="Times New Roman"/>
          <w:b/>
          <w:color w:val="1F4E79" w:themeColor="accent1" w:themeShade="80"/>
          <w:spacing w:val="-2"/>
          <w:szCs w:val="20"/>
          <w:lang w:eastAsia="pt-BR"/>
        </w:rPr>
      </w:pPr>
      <w:r>
        <w:rPr>
          <w:rFonts w:eastAsia="Times New Roman" w:cs="Times New Roman"/>
          <w:b/>
          <w:color w:val="1F4E79" w:themeColor="accent1" w:themeShade="80"/>
          <w:spacing w:val="-2"/>
          <w:szCs w:val="20"/>
          <w:lang w:eastAsia="pt-BR"/>
        </w:rPr>
        <w:t>Balance Sheet Information</w:t>
      </w:r>
    </w:p>
    <w:p w14:paraId="6C529F18" w14:textId="77777777" w:rsidR="008B7E19" w:rsidRDefault="008B7E19" w:rsidP="008B7E19">
      <w:pPr>
        <w:spacing w:after="0" w:line="240" w:lineRule="auto"/>
        <w:rPr>
          <w:rFonts w:eastAsia="Times New Roman" w:cs="Times New Roman"/>
          <w:b/>
          <w:color w:val="1F4E79" w:themeColor="accent1" w:themeShade="80"/>
          <w:spacing w:val="-2"/>
          <w:szCs w:val="20"/>
          <w:lang w:eastAsia="pt-BR"/>
        </w:rPr>
      </w:pPr>
    </w:p>
    <w:p w14:paraId="38AE5D1F" w14:textId="77777777" w:rsidR="008B7E19" w:rsidRPr="00537AE7" w:rsidRDefault="008B7E19" w:rsidP="008B7E19">
      <w:pPr>
        <w:spacing w:after="0" w:line="240" w:lineRule="auto"/>
        <w:jc w:val="right"/>
        <w:rPr>
          <w:rFonts w:cs="Arial"/>
          <w:b/>
          <w:sz w:val="14"/>
          <w:lang w:eastAsia="pt-BR"/>
        </w:rPr>
      </w:pPr>
      <w:r w:rsidRPr="00537AE7">
        <w:rPr>
          <w:rFonts w:cs="Arial"/>
          <w:b/>
          <w:sz w:val="14"/>
          <w:lang w:eastAsia="pt-BR"/>
        </w:rPr>
        <w:t xml:space="preserve">R$ </w:t>
      </w:r>
      <w:r>
        <w:rPr>
          <w:rFonts w:cs="Arial"/>
          <w:b/>
          <w:sz w:val="14"/>
          <w:lang w:eastAsia="pt-BR"/>
        </w:rPr>
        <w:t>thousand</w:t>
      </w:r>
    </w:p>
    <w:tbl>
      <w:tblPr>
        <w:tblStyle w:val="TabeladeLista6Colorida-nfase512"/>
        <w:tblW w:w="9640" w:type="dxa"/>
        <w:jc w:val="center"/>
        <w:tblInd w:w="0" w:type="dxa"/>
        <w:tblLayout w:type="fixed"/>
        <w:tblLook w:val="04A0" w:firstRow="1" w:lastRow="0" w:firstColumn="1" w:lastColumn="0" w:noHBand="0" w:noVBand="1"/>
      </w:tblPr>
      <w:tblGrid>
        <w:gridCol w:w="3120"/>
        <w:gridCol w:w="3260"/>
        <w:gridCol w:w="3260"/>
      </w:tblGrid>
      <w:tr w:rsidR="008B7E19" w:rsidRPr="004B635B" w14:paraId="0E83147B" w14:textId="77777777" w:rsidTr="008B7E19">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single" w:sz="2" w:space="0" w:color="1F4E79" w:themeColor="accent1" w:themeShade="80"/>
              <w:left w:val="nil"/>
              <w:bottom w:val="single" w:sz="2" w:space="0" w:color="1F4E79" w:themeColor="accent1" w:themeShade="80"/>
              <w:right w:val="nil"/>
            </w:tcBorders>
            <w:shd w:val="clear" w:color="auto" w:fill="auto"/>
            <w:vAlign w:val="center"/>
          </w:tcPr>
          <w:p w14:paraId="14373C6A" w14:textId="77777777" w:rsidR="008B7E19" w:rsidRPr="004B635B" w:rsidRDefault="008B7E19" w:rsidP="008B7E19">
            <w:pPr>
              <w:jc w:val="center"/>
              <w:rPr>
                <w:rFonts w:cs="Arial"/>
                <w:sz w:val="14"/>
                <w:szCs w:val="14"/>
              </w:rPr>
            </w:pPr>
          </w:p>
        </w:tc>
        <w:tc>
          <w:tcPr>
            <w:tcW w:w="3260" w:type="dxa"/>
            <w:tcBorders>
              <w:top w:val="single" w:sz="2" w:space="0" w:color="1F4E79" w:themeColor="accent1" w:themeShade="80"/>
              <w:left w:val="nil"/>
              <w:bottom w:val="single" w:sz="2" w:space="0" w:color="1F4E79" w:themeColor="accent1" w:themeShade="80"/>
              <w:right w:val="nil"/>
            </w:tcBorders>
            <w:shd w:val="clear" w:color="auto" w:fill="auto"/>
            <w:vAlign w:val="center"/>
          </w:tcPr>
          <w:p w14:paraId="2615734B" w14:textId="77777777" w:rsidR="008B7E19" w:rsidRPr="004B635B" w:rsidRDefault="008B7E19" w:rsidP="008B7E19">
            <w:pPr>
              <w:jc w:val="center"/>
              <w:cnfStyle w:val="100000000000" w:firstRow="1" w:lastRow="0" w:firstColumn="0" w:lastColumn="0" w:oddVBand="0" w:evenVBand="0" w:oddHBand="0" w:evenHBand="0" w:firstRowFirstColumn="0" w:firstRowLastColumn="0" w:lastRowFirstColumn="0" w:lastRowLastColumn="0"/>
              <w:rPr>
                <w:rFonts w:cs="Arial"/>
                <w:sz w:val="14"/>
                <w:szCs w:val="14"/>
              </w:rPr>
            </w:pPr>
            <w:r>
              <w:rPr>
                <w:rFonts w:cs="Arial"/>
                <w:sz w:val="14"/>
                <w:szCs w:val="14"/>
              </w:rPr>
              <w:t xml:space="preserve">May 31, 2023 </w:t>
            </w:r>
            <w:r w:rsidRPr="00143235">
              <w:rPr>
                <w:rFonts w:cs="Arial"/>
                <w:sz w:val="14"/>
                <w:szCs w:val="14"/>
                <w:vertAlign w:val="superscript"/>
              </w:rPr>
              <w:t>(2)</w:t>
            </w:r>
          </w:p>
        </w:tc>
        <w:tc>
          <w:tcPr>
            <w:tcW w:w="3260" w:type="dxa"/>
            <w:tcBorders>
              <w:top w:val="single" w:sz="2" w:space="0" w:color="1F4E79" w:themeColor="accent1" w:themeShade="80"/>
              <w:left w:val="nil"/>
              <w:bottom w:val="single" w:sz="2" w:space="0" w:color="1F4E79" w:themeColor="accent1" w:themeShade="80"/>
              <w:right w:val="nil"/>
            </w:tcBorders>
            <w:shd w:val="clear" w:color="auto" w:fill="auto"/>
            <w:vAlign w:val="center"/>
          </w:tcPr>
          <w:p w14:paraId="1FF4D459" w14:textId="77777777" w:rsidR="008B7E19" w:rsidRPr="004B635B" w:rsidRDefault="008B7E19" w:rsidP="008B7E19">
            <w:pPr>
              <w:jc w:val="center"/>
              <w:cnfStyle w:val="100000000000" w:firstRow="1" w:lastRow="0" w:firstColumn="0" w:lastColumn="0" w:oddVBand="0" w:evenVBand="0" w:oddHBand="0" w:evenHBand="0" w:firstRowFirstColumn="0" w:firstRowLastColumn="0" w:lastRowFirstColumn="0" w:lastRowLastColumn="0"/>
              <w:rPr>
                <w:rFonts w:cs="Arial"/>
                <w:sz w:val="14"/>
                <w:szCs w:val="14"/>
              </w:rPr>
            </w:pPr>
            <w:r>
              <w:rPr>
                <w:rFonts w:cs="Arial"/>
                <w:sz w:val="14"/>
                <w:szCs w:val="14"/>
              </w:rPr>
              <w:t>Dec 31, 2022 (Restated balances)</w:t>
            </w:r>
          </w:p>
        </w:tc>
      </w:tr>
      <w:tr w:rsidR="008B7E19" w:rsidRPr="00824585" w14:paraId="0B2BBD8A"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single" w:sz="2" w:space="0" w:color="1F4E79" w:themeColor="accent1" w:themeShade="80"/>
              <w:left w:val="nil"/>
              <w:bottom w:val="nil"/>
              <w:right w:val="nil"/>
            </w:tcBorders>
            <w:shd w:val="clear" w:color="auto" w:fill="auto"/>
            <w:vAlign w:val="center"/>
            <w:hideMark/>
          </w:tcPr>
          <w:p w14:paraId="55B5645C" w14:textId="77777777" w:rsidR="008B7E19" w:rsidRPr="00824585" w:rsidRDefault="008B7E19" w:rsidP="008B7E19">
            <w:pPr>
              <w:keepNext/>
              <w:keepLines/>
              <w:rPr>
                <w:rFonts w:eastAsia="Times New Roman" w:cs="Arial"/>
                <w:spacing w:val="-2"/>
                <w:sz w:val="14"/>
                <w:szCs w:val="14"/>
                <w:highlight w:val="yellow"/>
              </w:rPr>
            </w:pPr>
            <w:r>
              <w:rPr>
                <w:rFonts w:cs="Arial"/>
                <w:color w:val="000000"/>
                <w:sz w:val="14"/>
                <w:szCs w:val="14"/>
              </w:rPr>
              <w:t>Current Assets</w:t>
            </w:r>
          </w:p>
        </w:tc>
        <w:tc>
          <w:tcPr>
            <w:tcW w:w="3260" w:type="dxa"/>
            <w:tcBorders>
              <w:top w:val="single" w:sz="2" w:space="0" w:color="1F4E79" w:themeColor="accent1" w:themeShade="80"/>
              <w:left w:val="nil"/>
              <w:bottom w:val="nil"/>
              <w:right w:val="nil"/>
            </w:tcBorders>
            <w:shd w:val="clear" w:color="auto" w:fill="auto"/>
            <w:vAlign w:val="center"/>
          </w:tcPr>
          <w:p w14:paraId="2AD807AC" w14:textId="77777777" w:rsidR="008B7E19" w:rsidRPr="00824585"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b/>
                <w:bCs/>
                <w:sz w:val="14"/>
                <w:szCs w:val="14"/>
                <w:highlight w:val="yellow"/>
              </w:rPr>
            </w:pPr>
            <w:r w:rsidRPr="001D70B7">
              <w:rPr>
                <w:rFonts w:cs="Arial"/>
                <w:b/>
                <w:bCs/>
                <w:color w:val="000000"/>
                <w:sz w:val="14"/>
                <w:szCs w:val="14"/>
              </w:rPr>
              <w:t>37</w:t>
            </w:r>
            <w:r>
              <w:rPr>
                <w:rFonts w:cs="Arial"/>
                <w:b/>
                <w:bCs/>
                <w:color w:val="000000"/>
                <w:sz w:val="14"/>
                <w:szCs w:val="14"/>
              </w:rPr>
              <w:t>,</w:t>
            </w:r>
            <w:r w:rsidRPr="001D70B7">
              <w:rPr>
                <w:rFonts w:cs="Arial"/>
                <w:b/>
                <w:bCs/>
                <w:color w:val="000000"/>
                <w:sz w:val="14"/>
                <w:szCs w:val="14"/>
              </w:rPr>
              <w:t>468</w:t>
            </w:r>
          </w:p>
        </w:tc>
        <w:tc>
          <w:tcPr>
            <w:tcW w:w="3260" w:type="dxa"/>
            <w:tcBorders>
              <w:top w:val="single" w:sz="2" w:space="0" w:color="1F4E79" w:themeColor="accent1" w:themeShade="80"/>
              <w:left w:val="nil"/>
              <w:bottom w:val="nil"/>
              <w:right w:val="nil"/>
            </w:tcBorders>
            <w:shd w:val="clear" w:color="auto" w:fill="auto"/>
            <w:vAlign w:val="center"/>
          </w:tcPr>
          <w:p w14:paraId="3CAB1AB1" w14:textId="77777777" w:rsidR="008B7E19" w:rsidRPr="00824585"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b/>
                <w:bCs/>
                <w:sz w:val="14"/>
                <w:szCs w:val="14"/>
                <w:highlight w:val="yellow"/>
              </w:rPr>
            </w:pPr>
            <w:r w:rsidRPr="001D70B7">
              <w:rPr>
                <w:rFonts w:cs="Arial"/>
                <w:b/>
                <w:bCs/>
                <w:color w:val="000000"/>
                <w:sz w:val="14"/>
                <w:szCs w:val="14"/>
              </w:rPr>
              <w:t>44</w:t>
            </w:r>
            <w:r>
              <w:rPr>
                <w:rFonts w:cs="Arial"/>
                <w:b/>
                <w:bCs/>
                <w:color w:val="000000"/>
                <w:sz w:val="14"/>
                <w:szCs w:val="14"/>
              </w:rPr>
              <w:t>,</w:t>
            </w:r>
            <w:r w:rsidRPr="001D70B7">
              <w:rPr>
                <w:rFonts w:cs="Arial"/>
                <w:b/>
                <w:bCs/>
                <w:color w:val="000000"/>
                <w:sz w:val="14"/>
                <w:szCs w:val="14"/>
              </w:rPr>
              <w:t>174</w:t>
            </w:r>
          </w:p>
        </w:tc>
      </w:tr>
      <w:tr w:rsidR="008B7E19" w:rsidRPr="003361C0" w14:paraId="785FFFB0" w14:textId="77777777" w:rsidTr="008B7E1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hideMark/>
          </w:tcPr>
          <w:p w14:paraId="28130451" w14:textId="77777777" w:rsidR="008B7E19" w:rsidRPr="003361C0" w:rsidRDefault="008B7E19" w:rsidP="008B7E19">
            <w:pPr>
              <w:keepNext/>
              <w:keepLines/>
              <w:ind w:left="113"/>
              <w:rPr>
                <w:rFonts w:eastAsia="Times New Roman" w:cs="Arial"/>
                <w:b w:val="0"/>
                <w:bCs w:val="0"/>
                <w:spacing w:val="-2"/>
                <w:sz w:val="14"/>
                <w:szCs w:val="14"/>
                <w:highlight w:val="yellow"/>
              </w:rPr>
            </w:pPr>
            <w:r>
              <w:rPr>
                <w:rFonts w:cs="Arial"/>
                <w:b w:val="0"/>
                <w:bCs w:val="0"/>
                <w:color w:val="000000"/>
                <w:sz w:val="14"/>
                <w:szCs w:val="14"/>
              </w:rPr>
              <w:t>Cash and cash equivalents</w:t>
            </w:r>
          </w:p>
        </w:tc>
        <w:tc>
          <w:tcPr>
            <w:tcW w:w="3260" w:type="dxa"/>
            <w:tcBorders>
              <w:top w:val="nil"/>
              <w:left w:val="nil"/>
              <w:bottom w:val="nil"/>
              <w:right w:val="nil"/>
            </w:tcBorders>
            <w:shd w:val="clear" w:color="auto" w:fill="auto"/>
            <w:vAlign w:val="center"/>
          </w:tcPr>
          <w:p w14:paraId="7C995F34" w14:textId="77777777" w:rsidR="008B7E19" w:rsidRPr="003361C0"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sz w:val="14"/>
                <w:szCs w:val="14"/>
                <w:highlight w:val="yellow"/>
              </w:rPr>
            </w:pPr>
            <w:r w:rsidRPr="003D4460">
              <w:rPr>
                <w:rFonts w:cs="Arial"/>
                <w:color w:val="000000"/>
                <w:sz w:val="14"/>
                <w:szCs w:val="14"/>
              </w:rPr>
              <w:t>2</w:t>
            </w:r>
            <w:r>
              <w:rPr>
                <w:rFonts w:cs="Arial"/>
                <w:color w:val="000000"/>
                <w:sz w:val="14"/>
                <w:szCs w:val="14"/>
              </w:rPr>
              <w:t>,</w:t>
            </w:r>
            <w:r w:rsidRPr="003D4460">
              <w:rPr>
                <w:rFonts w:cs="Arial"/>
                <w:color w:val="000000"/>
                <w:sz w:val="14"/>
                <w:szCs w:val="14"/>
              </w:rPr>
              <w:t>021</w:t>
            </w:r>
          </w:p>
        </w:tc>
        <w:tc>
          <w:tcPr>
            <w:tcW w:w="3260" w:type="dxa"/>
            <w:tcBorders>
              <w:top w:val="nil"/>
              <w:left w:val="nil"/>
              <w:bottom w:val="nil"/>
              <w:right w:val="nil"/>
            </w:tcBorders>
            <w:shd w:val="clear" w:color="auto" w:fill="auto"/>
            <w:vAlign w:val="center"/>
          </w:tcPr>
          <w:p w14:paraId="22E64E8B" w14:textId="77777777" w:rsidR="008B7E19" w:rsidRPr="003361C0"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sz w:val="14"/>
                <w:szCs w:val="14"/>
                <w:highlight w:val="yellow"/>
              </w:rPr>
            </w:pPr>
            <w:r w:rsidRPr="003D4460">
              <w:rPr>
                <w:rFonts w:cs="Arial"/>
                <w:color w:val="000000"/>
                <w:sz w:val="14"/>
                <w:szCs w:val="14"/>
              </w:rPr>
              <w:t>2</w:t>
            </w:r>
            <w:r>
              <w:rPr>
                <w:rFonts w:cs="Arial"/>
                <w:color w:val="000000"/>
                <w:sz w:val="14"/>
                <w:szCs w:val="14"/>
              </w:rPr>
              <w:t>,</w:t>
            </w:r>
            <w:r w:rsidRPr="003D4460">
              <w:rPr>
                <w:rFonts w:cs="Arial"/>
                <w:color w:val="000000"/>
                <w:sz w:val="14"/>
                <w:szCs w:val="14"/>
              </w:rPr>
              <w:t>639</w:t>
            </w:r>
          </w:p>
        </w:tc>
      </w:tr>
      <w:tr w:rsidR="008B7E19" w:rsidRPr="003361C0" w14:paraId="33424A2F"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15E0F0EF" w14:textId="77777777" w:rsidR="008B7E19" w:rsidRPr="003361C0" w:rsidRDefault="008B7E19" w:rsidP="008B7E19">
            <w:pPr>
              <w:keepNext/>
              <w:keepLines/>
              <w:ind w:left="113"/>
              <w:rPr>
                <w:rFonts w:eastAsia="Times New Roman" w:cs="Arial"/>
                <w:b w:val="0"/>
                <w:bCs w:val="0"/>
                <w:spacing w:val="-2"/>
                <w:sz w:val="14"/>
                <w:szCs w:val="14"/>
                <w:highlight w:val="yellow"/>
              </w:rPr>
            </w:pPr>
            <w:r>
              <w:rPr>
                <w:rFonts w:cs="Arial"/>
                <w:b w:val="0"/>
                <w:bCs w:val="0"/>
                <w:color w:val="000000"/>
                <w:sz w:val="14"/>
                <w:szCs w:val="14"/>
              </w:rPr>
              <w:t>Financial Instruments</w:t>
            </w:r>
          </w:p>
        </w:tc>
        <w:tc>
          <w:tcPr>
            <w:tcW w:w="3260" w:type="dxa"/>
            <w:tcBorders>
              <w:top w:val="nil"/>
              <w:left w:val="nil"/>
              <w:bottom w:val="nil"/>
              <w:right w:val="nil"/>
            </w:tcBorders>
            <w:shd w:val="clear" w:color="auto" w:fill="auto"/>
            <w:vAlign w:val="center"/>
          </w:tcPr>
          <w:p w14:paraId="7187CD2C" w14:textId="77777777" w:rsidR="008B7E19" w:rsidRPr="003361C0"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highlight w:val="yellow"/>
              </w:rPr>
            </w:pPr>
            <w:r w:rsidRPr="003D4460">
              <w:rPr>
                <w:rFonts w:cs="Arial"/>
                <w:color w:val="000000"/>
                <w:sz w:val="14"/>
                <w:szCs w:val="14"/>
              </w:rPr>
              <w:t>34</w:t>
            </w:r>
            <w:r>
              <w:rPr>
                <w:rFonts w:cs="Arial"/>
                <w:color w:val="000000"/>
                <w:sz w:val="14"/>
                <w:szCs w:val="14"/>
              </w:rPr>
              <w:t>,</w:t>
            </w:r>
            <w:r w:rsidRPr="003D4460">
              <w:rPr>
                <w:rFonts w:cs="Arial"/>
                <w:color w:val="000000"/>
                <w:sz w:val="14"/>
                <w:szCs w:val="14"/>
              </w:rPr>
              <w:t>894</w:t>
            </w:r>
          </w:p>
        </w:tc>
        <w:tc>
          <w:tcPr>
            <w:tcW w:w="3260" w:type="dxa"/>
            <w:tcBorders>
              <w:top w:val="nil"/>
              <w:left w:val="nil"/>
              <w:bottom w:val="nil"/>
              <w:right w:val="nil"/>
            </w:tcBorders>
            <w:shd w:val="clear" w:color="auto" w:fill="auto"/>
            <w:vAlign w:val="center"/>
          </w:tcPr>
          <w:p w14:paraId="01D714B6" w14:textId="77777777" w:rsidR="008B7E19" w:rsidRPr="003361C0"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highlight w:val="yellow"/>
              </w:rPr>
            </w:pPr>
            <w:r w:rsidRPr="003D4460">
              <w:rPr>
                <w:rFonts w:cs="Arial"/>
                <w:color w:val="000000"/>
                <w:sz w:val="14"/>
                <w:szCs w:val="14"/>
              </w:rPr>
              <w:t>41</w:t>
            </w:r>
            <w:r>
              <w:rPr>
                <w:rFonts w:cs="Arial"/>
                <w:color w:val="000000"/>
                <w:sz w:val="14"/>
                <w:szCs w:val="14"/>
              </w:rPr>
              <w:t>,</w:t>
            </w:r>
            <w:r w:rsidRPr="003D4460">
              <w:rPr>
                <w:rFonts w:cs="Arial"/>
                <w:color w:val="000000"/>
                <w:sz w:val="14"/>
                <w:szCs w:val="14"/>
              </w:rPr>
              <w:t>111</w:t>
            </w:r>
          </w:p>
        </w:tc>
      </w:tr>
      <w:tr w:rsidR="008B7E19" w:rsidRPr="003361C0" w14:paraId="772F1237" w14:textId="77777777" w:rsidTr="008B7E1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1124AC2B" w14:textId="77777777" w:rsidR="008B7E19" w:rsidRPr="003361C0" w:rsidRDefault="008B7E19" w:rsidP="008B7E19">
            <w:pPr>
              <w:keepNext/>
              <w:keepLines/>
              <w:ind w:left="113"/>
              <w:rPr>
                <w:rFonts w:cs="Arial"/>
                <w:b w:val="0"/>
                <w:bCs w:val="0"/>
                <w:color w:val="000000"/>
                <w:sz w:val="14"/>
                <w:szCs w:val="14"/>
                <w:highlight w:val="yellow"/>
              </w:rPr>
            </w:pPr>
            <w:r w:rsidRPr="000C6F76">
              <w:rPr>
                <w:rFonts w:cs="Arial"/>
                <w:b w:val="0"/>
                <w:bCs w:val="0"/>
                <w:color w:val="000000"/>
                <w:sz w:val="14"/>
                <w:szCs w:val="14"/>
              </w:rPr>
              <w:t>Current tax assets</w:t>
            </w:r>
          </w:p>
        </w:tc>
        <w:tc>
          <w:tcPr>
            <w:tcW w:w="3260" w:type="dxa"/>
            <w:tcBorders>
              <w:top w:val="nil"/>
              <w:left w:val="nil"/>
              <w:bottom w:val="nil"/>
              <w:right w:val="nil"/>
            </w:tcBorders>
            <w:shd w:val="clear" w:color="auto" w:fill="auto"/>
            <w:vAlign w:val="center"/>
          </w:tcPr>
          <w:p w14:paraId="46EDB5DA" w14:textId="77777777" w:rsidR="008B7E19" w:rsidRPr="003361C0" w:rsidRDefault="008B7E19" w:rsidP="008B7E19">
            <w:pPr>
              <w:keepNext/>
              <w:keepLines/>
              <w:jc w:val="right"/>
              <w:cnfStyle w:val="000000010000" w:firstRow="0" w:lastRow="0" w:firstColumn="0" w:lastColumn="0" w:oddVBand="0" w:evenVBand="0" w:oddHBand="0" w:evenHBand="1" w:firstRowFirstColumn="0" w:firstRowLastColumn="0" w:lastRowFirstColumn="0" w:lastRowLastColumn="0"/>
              <w:rPr>
                <w:rFonts w:cs="Arial"/>
                <w:color w:val="000000"/>
                <w:sz w:val="14"/>
                <w:szCs w:val="14"/>
                <w:highlight w:val="yellow"/>
              </w:rPr>
            </w:pPr>
            <w:r w:rsidRPr="003D4460">
              <w:rPr>
                <w:rFonts w:cs="Arial"/>
                <w:color w:val="000000"/>
                <w:sz w:val="14"/>
                <w:szCs w:val="14"/>
              </w:rPr>
              <w:t>304</w:t>
            </w:r>
          </w:p>
        </w:tc>
        <w:tc>
          <w:tcPr>
            <w:tcW w:w="3260" w:type="dxa"/>
            <w:tcBorders>
              <w:top w:val="nil"/>
              <w:left w:val="nil"/>
              <w:bottom w:val="nil"/>
              <w:right w:val="nil"/>
            </w:tcBorders>
            <w:shd w:val="clear" w:color="auto" w:fill="auto"/>
            <w:vAlign w:val="center"/>
          </w:tcPr>
          <w:p w14:paraId="286649EF" w14:textId="77777777" w:rsidR="008B7E19" w:rsidRPr="003361C0" w:rsidRDefault="008B7E19" w:rsidP="008B7E19">
            <w:pPr>
              <w:keepNext/>
              <w:keepLines/>
              <w:jc w:val="right"/>
              <w:cnfStyle w:val="000000010000" w:firstRow="0" w:lastRow="0" w:firstColumn="0" w:lastColumn="0" w:oddVBand="0" w:evenVBand="0" w:oddHBand="0" w:evenHBand="1" w:firstRowFirstColumn="0" w:firstRowLastColumn="0" w:lastRowFirstColumn="0" w:lastRowLastColumn="0"/>
              <w:rPr>
                <w:rFonts w:cs="Arial"/>
                <w:color w:val="000000"/>
                <w:sz w:val="14"/>
                <w:szCs w:val="14"/>
                <w:highlight w:val="yellow"/>
              </w:rPr>
            </w:pPr>
            <w:r w:rsidRPr="003D4460">
              <w:rPr>
                <w:rFonts w:cs="Arial"/>
                <w:color w:val="000000"/>
                <w:sz w:val="14"/>
                <w:szCs w:val="14"/>
              </w:rPr>
              <w:t>265</w:t>
            </w:r>
          </w:p>
        </w:tc>
      </w:tr>
      <w:tr w:rsidR="008B7E19" w:rsidRPr="003361C0" w14:paraId="65A3685C"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63DAB141" w14:textId="77777777" w:rsidR="008B7E19" w:rsidRPr="003361C0" w:rsidRDefault="008B7E19" w:rsidP="008B7E19">
            <w:pPr>
              <w:keepNext/>
              <w:keepLines/>
              <w:spacing w:before="40" w:after="40"/>
              <w:ind w:left="113"/>
              <w:rPr>
                <w:rFonts w:cs="Arial"/>
                <w:b w:val="0"/>
                <w:bCs w:val="0"/>
                <w:sz w:val="14"/>
                <w:szCs w:val="14"/>
                <w:highlight w:val="yellow"/>
              </w:rPr>
            </w:pPr>
            <w:r>
              <w:rPr>
                <w:rFonts w:cs="Arial"/>
                <w:b w:val="0"/>
                <w:bCs w:val="0"/>
                <w:color w:val="000000"/>
                <w:sz w:val="14"/>
                <w:szCs w:val="14"/>
              </w:rPr>
              <w:t>Other assets</w:t>
            </w:r>
          </w:p>
        </w:tc>
        <w:tc>
          <w:tcPr>
            <w:tcW w:w="3260" w:type="dxa"/>
            <w:tcBorders>
              <w:top w:val="nil"/>
              <w:left w:val="nil"/>
              <w:bottom w:val="nil"/>
              <w:right w:val="nil"/>
            </w:tcBorders>
            <w:shd w:val="clear" w:color="auto" w:fill="auto"/>
            <w:vAlign w:val="center"/>
          </w:tcPr>
          <w:p w14:paraId="57CEEC65" w14:textId="77777777" w:rsidR="008B7E19" w:rsidRPr="003361C0"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highlight w:val="yellow"/>
              </w:rPr>
            </w:pPr>
            <w:r w:rsidRPr="003D4460">
              <w:rPr>
                <w:rFonts w:cs="Arial"/>
                <w:color w:val="000000"/>
                <w:sz w:val="14"/>
                <w:szCs w:val="14"/>
              </w:rPr>
              <w:t>249</w:t>
            </w:r>
          </w:p>
        </w:tc>
        <w:tc>
          <w:tcPr>
            <w:tcW w:w="3260" w:type="dxa"/>
            <w:tcBorders>
              <w:top w:val="nil"/>
              <w:left w:val="nil"/>
              <w:bottom w:val="nil"/>
              <w:right w:val="nil"/>
            </w:tcBorders>
            <w:shd w:val="clear" w:color="auto" w:fill="auto"/>
            <w:vAlign w:val="center"/>
          </w:tcPr>
          <w:p w14:paraId="384FBA1B" w14:textId="77777777" w:rsidR="008B7E19" w:rsidRPr="003361C0"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highlight w:val="yellow"/>
              </w:rPr>
            </w:pPr>
            <w:r w:rsidRPr="003D4460">
              <w:rPr>
                <w:rFonts w:cs="Arial"/>
                <w:color w:val="000000"/>
                <w:sz w:val="14"/>
                <w:szCs w:val="14"/>
              </w:rPr>
              <w:t>159</w:t>
            </w:r>
          </w:p>
        </w:tc>
      </w:tr>
      <w:tr w:rsidR="008B7E19" w:rsidRPr="00824585" w14:paraId="6F8127F2" w14:textId="77777777" w:rsidTr="008B7E1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48E7875C" w14:textId="77777777" w:rsidR="008B7E19" w:rsidRPr="00824585" w:rsidRDefault="008B7E19" w:rsidP="008B7E19">
            <w:pPr>
              <w:keepNext/>
              <w:keepLines/>
              <w:spacing w:before="40" w:after="40"/>
              <w:rPr>
                <w:rFonts w:cs="Arial"/>
                <w:sz w:val="14"/>
                <w:szCs w:val="14"/>
                <w:highlight w:val="yellow"/>
              </w:rPr>
            </w:pPr>
            <w:r w:rsidRPr="000C6F76">
              <w:rPr>
                <w:rFonts w:cs="Arial"/>
                <w:color w:val="000000"/>
                <w:sz w:val="14"/>
                <w:szCs w:val="14"/>
              </w:rPr>
              <w:t>Non-Current Assets</w:t>
            </w:r>
          </w:p>
        </w:tc>
        <w:tc>
          <w:tcPr>
            <w:tcW w:w="3260" w:type="dxa"/>
            <w:tcBorders>
              <w:top w:val="nil"/>
              <w:left w:val="nil"/>
              <w:bottom w:val="nil"/>
              <w:right w:val="nil"/>
            </w:tcBorders>
            <w:shd w:val="clear" w:color="auto" w:fill="auto"/>
            <w:vAlign w:val="center"/>
          </w:tcPr>
          <w:p w14:paraId="7540AA83" w14:textId="77777777" w:rsidR="008B7E19" w:rsidRPr="00824585"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b/>
                <w:bCs/>
                <w:sz w:val="14"/>
                <w:szCs w:val="14"/>
                <w:highlight w:val="yellow"/>
              </w:rPr>
            </w:pPr>
            <w:r w:rsidRPr="001D70B7">
              <w:rPr>
                <w:rFonts w:cs="Arial"/>
                <w:b/>
                <w:bCs/>
                <w:color w:val="000000"/>
                <w:sz w:val="14"/>
                <w:szCs w:val="14"/>
              </w:rPr>
              <w:t>3</w:t>
            </w:r>
            <w:r>
              <w:rPr>
                <w:rFonts w:cs="Arial"/>
                <w:b/>
                <w:bCs/>
                <w:color w:val="000000"/>
                <w:sz w:val="14"/>
                <w:szCs w:val="14"/>
              </w:rPr>
              <w:t>,</w:t>
            </w:r>
            <w:r w:rsidRPr="001D70B7">
              <w:rPr>
                <w:rFonts w:cs="Arial"/>
                <w:b/>
                <w:bCs/>
                <w:color w:val="000000"/>
                <w:sz w:val="14"/>
                <w:szCs w:val="14"/>
              </w:rPr>
              <w:t>523</w:t>
            </w:r>
          </w:p>
        </w:tc>
        <w:tc>
          <w:tcPr>
            <w:tcW w:w="3260" w:type="dxa"/>
            <w:tcBorders>
              <w:top w:val="nil"/>
              <w:left w:val="nil"/>
              <w:bottom w:val="nil"/>
              <w:right w:val="nil"/>
            </w:tcBorders>
            <w:shd w:val="clear" w:color="auto" w:fill="auto"/>
            <w:vAlign w:val="center"/>
          </w:tcPr>
          <w:p w14:paraId="4CDA587A" w14:textId="77777777" w:rsidR="008B7E19" w:rsidRPr="00824585"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b/>
                <w:bCs/>
                <w:sz w:val="14"/>
                <w:szCs w:val="14"/>
                <w:highlight w:val="yellow"/>
              </w:rPr>
            </w:pPr>
            <w:r w:rsidRPr="001D70B7">
              <w:rPr>
                <w:rFonts w:cs="Arial"/>
                <w:b/>
                <w:bCs/>
                <w:color w:val="000000"/>
                <w:sz w:val="14"/>
                <w:szCs w:val="14"/>
              </w:rPr>
              <w:t>4</w:t>
            </w:r>
            <w:r>
              <w:rPr>
                <w:rFonts w:cs="Arial"/>
                <w:b/>
                <w:bCs/>
                <w:color w:val="000000"/>
                <w:sz w:val="14"/>
                <w:szCs w:val="14"/>
              </w:rPr>
              <w:t>,</w:t>
            </w:r>
            <w:r w:rsidRPr="001D70B7">
              <w:rPr>
                <w:rFonts w:cs="Arial"/>
                <w:b/>
                <w:bCs/>
                <w:color w:val="000000"/>
                <w:sz w:val="14"/>
                <w:szCs w:val="14"/>
              </w:rPr>
              <w:t>697</w:t>
            </w:r>
          </w:p>
        </w:tc>
      </w:tr>
      <w:tr w:rsidR="008B7E19" w:rsidRPr="003361C0" w14:paraId="6C08C8D8"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48E650C5" w14:textId="77777777" w:rsidR="008B7E19" w:rsidRPr="00824585" w:rsidRDefault="008B7E19" w:rsidP="008B7E19">
            <w:pPr>
              <w:keepNext/>
              <w:keepLines/>
              <w:ind w:left="113"/>
              <w:rPr>
                <w:rFonts w:cs="Arial"/>
                <w:b w:val="0"/>
                <w:bCs w:val="0"/>
                <w:color w:val="000000"/>
                <w:sz w:val="14"/>
                <w:szCs w:val="14"/>
              </w:rPr>
            </w:pPr>
            <w:r w:rsidRPr="000C6F76">
              <w:rPr>
                <w:rFonts w:cs="Arial"/>
                <w:b w:val="0"/>
                <w:bCs w:val="0"/>
                <w:color w:val="000000"/>
                <w:sz w:val="14"/>
                <w:szCs w:val="14"/>
              </w:rPr>
              <w:t>Deferred tax assets</w:t>
            </w:r>
          </w:p>
        </w:tc>
        <w:tc>
          <w:tcPr>
            <w:tcW w:w="3260" w:type="dxa"/>
            <w:tcBorders>
              <w:top w:val="nil"/>
              <w:left w:val="nil"/>
              <w:bottom w:val="nil"/>
              <w:right w:val="nil"/>
            </w:tcBorders>
            <w:shd w:val="clear" w:color="auto" w:fill="auto"/>
            <w:vAlign w:val="center"/>
          </w:tcPr>
          <w:p w14:paraId="46B57819" w14:textId="77777777" w:rsidR="008B7E19" w:rsidRPr="003361C0"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highlight w:val="yellow"/>
              </w:rPr>
            </w:pPr>
            <w:r w:rsidRPr="003D4460">
              <w:rPr>
                <w:rFonts w:cs="Arial"/>
                <w:color w:val="000000"/>
                <w:sz w:val="14"/>
                <w:szCs w:val="14"/>
              </w:rPr>
              <w:t>3</w:t>
            </w:r>
            <w:r>
              <w:rPr>
                <w:rFonts w:cs="Arial"/>
                <w:color w:val="000000"/>
                <w:sz w:val="14"/>
                <w:szCs w:val="14"/>
              </w:rPr>
              <w:t>,</w:t>
            </w:r>
            <w:r w:rsidRPr="003D4460">
              <w:rPr>
                <w:rFonts w:cs="Arial"/>
                <w:color w:val="000000"/>
                <w:sz w:val="14"/>
                <w:szCs w:val="14"/>
              </w:rPr>
              <w:t>110</w:t>
            </w:r>
          </w:p>
        </w:tc>
        <w:tc>
          <w:tcPr>
            <w:tcW w:w="3260" w:type="dxa"/>
            <w:tcBorders>
              <w:top w:val="nil"/>
              <w:left w:val="nil"/>
              <w:bottom w:val="nil"/>
              <w:right w:val="nil"/>
            </w:tcBorders>
            <w:shd w:val="clear" w:color="auto" w:fill="auto"/>
            <w:vAlign w:val="center"/>
          </w:tcPr>
          <w:p w14:paraId="3ACD2B74" w14:textId="77777777" w:rsidR="008B7E19" w:rsidRPr="003361C0"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highlight w:val="yellow"/>
              </w:rPr>
            </w:pPr>
            <w:r w:rsidRPr="003D4460">
              <w:rPr>
                <w:rFonts w:cs="Arial"/>
                <w:color w:val="000000"/>
                <w:sz w:val="14"/>
                <w:szCs w:val="14"/>
              </w:rPr>
              <w:t>4</w:t>
            </w:r>
            <w:r>
              <w:rPr>
                <w:rFonts w:cs="Arial"/>
                <w:color w:val="000000"/>
                <w:sz w:val="14"/>
                <w:szCs w:val="14"/>
              </w:rPr>
              <w:t>,</w:t>
            </w:r>
            <w:r w:rsidRPr="003D4460">
              <w:rPr>
                <w:rFonts w:cs="Arial"/>
                <w:color w:val="000000"/>
                <w:sz w:val="14"/>
                <w:szCs w:val="14"/>
              </w:rPr>
              <w:t>264</w:t>
            </w:r>
          </w:p>
        </w:tc>
      </w:tr>
      <w:tr w:rsidR="008B7E19" w:rsidRPr="003361C0" w14:paraId="047E7B53" w14:textId="77777777" w:rsidTr="008B7E1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280E0027" w14:textId="77777777" w:rsidR="008B7E19" w:rsidRPr="00824585" w:rsidRDefault="008B7E19" w:rsidP="008B7E19">
            <w:pPr>
              <w:keepNext/>
              <w:keepLines/>
              <w:ind w:left="113"/>
              <w:rPr>
                <w:rFonts w:cs="Arial"/>
                <w:b w:val="0"/>
                <w:bCs w:val="0"/>
                <w:color w:val="000000"/>
                <w:sz w:val="14"/>
                <w:szCs w:val="14"/>
              </w:rPr>
            </w:pPr>
            <w:r>
              <w:rPr>
                <w:rFonts w:cs="Arial"/>
                <w:b w:val="0"/>
                <w:bCs w:val="0"/>
                <w:color w:val="000000"/>
                <w:sz w:val="14"/>
                <w:szCs w:val="14"/>
              </w:rPr>
              <w:t>Fixed and intangible</w:t>
            </w:r>
          </w:p>
        </w:tc>
        <w:tc>
          <w:tcPr>
            <w:tcW w:w="3260" w:type="dxa"/>
            <w:tcBorders>
              <w:top w:val="nil"/>
              <w:left w:val="nil"/>
              <w:bottom w:val="nil"/>
              <w:right w:val="nil"/>
            </w:tcBorders>
            <w:shd w:val="clear" w:color="auto" w:fill="auto"/>
            <w:vAlign w:val="center"/>
          </w:tcPr>
          <w:p w14:paraId="3C28B168" w14:textId="77777777" w:rsidR="008B7E19" w:rsidRPr="003361C0"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sz w:val="14"/>
                <w:szCs w:val="14"/>
                <w:highlight w:val="yellow"/>
              </w:rPr>
            </w:pPr>
            <w:r w:rsidRPr="003D4460">
              <w:rPr>
                <w:rFonts w:cs="Arial"/>
                <w:color w:val="000000"/>
                <w:sz w:val="14"/>
                <w:szCs w:val="14"/>
              </w:rPr>
              <w:t>152</w:t>
            </w:r>
          </w:p>
        </w:tc>
        <w:tc>
          <w:tcPr>
            <w:tcW w:w="3260" w:type="dxa"/>
            <w:tcBorders>
              <w:top w:val="nil"/>
              <w:left w:val="nil"/>
              <w:bottom w:val="nil"/>
              <w:right w:val="nil"/>
            </w:tcBorders>
            <w:shd w:val="clear" w:color="auto" w:fill="auto"/>
            <w:vAlign w:val="center"/>
          </w:tcPr>
          <w:p w14:paraId="002AC970" w14:textId="77777777" w:rsidR="008B7E19" w:rsidRPr="003361C0"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sz w:val="14"/>
                <w:szCs w:val="14"/>
                <w:highlight w:val="yellow"/>
              </w:rPr>
            </w:pPr>
            <w:r w:rsidRPr="003D4460">
              <w:rPr>
                <w:rFonts w:cs="Arial"/>
                <w:color w:val="000000"/>
                <w:sz w:val="14"/>
                <w:szCs w:val="14"/>
              </w:rPr>
              <w:t>179</w:t>
            </w:r>
          </w:p>
        </w:tc>
      </w:tr>
      <w:tr w:rsidR="008B7E19" w:rsidRPr="003361C0" w14:paraId="76F45756"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034DC406" w14:textId="77777777" w:rsidR="008B7E19" w:rsidRPr="00824585" w:rsidRDefault="008B7E19" w:rsidP="008B7E19">
            <w:pPr>
              <w:keepNext/>
              <w:keepLines/>
              <w:ind w:left="113"/>
              <w:rPr>
                <w:rFonts w:cs="Arial"/>
                <w:b w:val="0"/>
                <w:bCs w:val="0"/>
                <w:color w:val="000000"/>
                <w:sz w:val="14"/>
                <w:szCs w:val="14"/>
              </w:rPr>
            </w:pPr>
            <w:r>
              <w:rPr>
                <w:rFonts w:cs="Arial"/>
                <w:b w:val="0"/>
                <w:bCs w:val="0"/>
                <w:color w:val="000000"/>
                <w:sz w:val="14"/>
                <w:szCs w:val="14"/>
              </w:rPr>
              <w:t>Other assets</w:t>
            </w:r>
          </w:p>
        </w:tc>
        <w:tc>
          <w:tcPr>
            <w:tcW w:w="3260" w:type="dxa"/>
            <w:tcBorders>
              <w:top w:val="nil"/>
              <w:left w:val="nil"/>
              <w:bottom w:val="nil"/>
              <w:right w:val="nil"/>
            </w:tcBorders>
            <w:shd w:val="clear" w:color="auto" w:fill="auto"/>
            <w:vAlign w:val="center"/>
          </w:tcPr>
          <w:p w14:paraId="5965C3C0" w14:textId="77777777" w:rsidR="008B7E19" w:rsidRPr="003361C0"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highlight w:val="yellow"/>
              </w:rPr>
            </w:pPr>
            <w:r w:rsidRPr="003D4460">
              <w:rPr>
                <w:rFonts w:cs="Arial"/>
                <w:color w:val="000000"/>
                <w:sz w:val="14"/>
                <w:szCs w:val="14"/>
              </w:rPr>
              <w:t>261</w:t>
            </w:r>
          </w:p>
        </w:tc>
        <w:tc>
          <w:tcPr>
            <w:tcW w:w="3260" w:type="dxa"/>
            <w:tcBorders>
              <w:top w:val="nil"/>
              <w:left w:val="nil"/>
              <w:bottom w:val="nil"/>
              <w:right w:val="nil"/>
            </w:tcBorders>
            <w:shd w:val="clear" w:color="auto" w:fill="auto"/>
            <w:vAlign w:val="center"/>
          </w:tcPr>
          <w:p w14:paraId="30137ECD" w14:textId="77777777" w:rsidR="008B7E19" w:rsidRPr="003361C0"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highlight w:val="yellow"/>
              </w:rPr>
            </w:pPr>
            <w:r w:rsidRPr="003D4460">
              <w:rPr>
                <w:rFonts w:cs="Arial"/>
                <w:color w:val="000000"/>
                <w:sz w:val="14"/>
                <w:szCs w:val="14"/>
              </w:rPr>
              <w:t>254</w:t>
            </w:r>
          </w:p>
        </w:tc>
      </w:tr>
      <w:tr w:rsidR="008B7E19" w:rsidRPr="00824585" w14:paraId="5774121A" w14:textId="77777777" w:rsidTr="008B7E1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16C7686B" w14:textId="77777777" w:rsidR="008B7E19" w:rsidRPr="00824585" w:rsidRDefault="008B7E19" w:rsidP="008B7E19">
            <w:pPr>
              <w:keepNext/>
              <w:keepLines/>
              <w:spacing w:before="40" w:after="40"/>
              <w:rPr>
                <w:rFonts w:cs="Arial"/>
                <w:sz w:val="14"/>
                <w:szCs w:val="14"/>
                <w:highlight w:val="yellow"/>
              </w:rPr>
            </w:pPr>
            <w:r>
              <w:rPr>
                <w:rFonts w:cs="Arial"/>
                <w:color w:val="000000"/>
                <w:sz w:val="14"/>
                <w:szCs w:val="14"/>
              </w:rPr>
              <w:t>Total Assets</w:t>
            </w:r>
          </w:p>
        </w:tc>
        <w:tc>
          <w:tcPr>
            <w:tcW w:w="3260" w:type="dxa"/>
            <w:tcBorders>
              <w:top w:val="nil"/>
              <w:left w:val="nil"/>
              <w:bottom w:val="nil"/>
              <w:right w:val="nil"/>
            </w:tcBorders>
            <w:shd w:val="clear" w:color="auto" w:fill="auto"/>
            <w:vAlign w:val="center"/>
          </w:tcPr>
          <w:p w14:paraId="7AFD932E" w14:textId="77777777" w:rsidR="008B7E19" w:rsidRPr="00824585"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b/>
                <w:bCs/>
                <w:sz w:val="14"/>
                <w:szCs w:val="14"/>
                <w:highlight w:val="yellow"/>
              </w:rPr>
            </w:pPr>
            <w:r w:rsidRPr="001D70B7">
              <w:rPr>
                <w:rFonts w:cs="Arial"/>
                <w:b/>
                <w:bCs/>
                <w:color w:val="000000"/>
                <w:sz w:val="14"/>
                <w:szCs w:val="14"/>
              </w:rPr>
              <w:t>40</w:t>
            </w:r>
            <w:r>
              <w:rPr>
                <w:rFonts w:cs="Arial"/>
                <w:b/>
                <w:bCs/>
                <w:color w:val="000000"/>
                <w:sz w:val="14"/>
                <w:szCs w:val="14"/>
              </w:rPr>
              <w:t>,</w:t>
            </w:r>
            <w:r w:rsidRPr="001D70B7">
              <w:rPr>
                <w:rFonts w:cs="Arial"/>
                <w:b/>
                <w:bCs/>
                <w:color w:val="000000"/>
                <w:sz w:val="14"/>
                <w:szCs w:val="14"/>
              </w:rPr>
              <w:t>991</w:t>
            </w:r>
          </w:p>
        </w:tc>
        <w:tc>
          <w:tcPr>
            <w:tcW w:w="3260" w:type="dxa"/>
            <w:tcBorders>
              <w:top w:val="nil"/>
              <w:left w:val="nil"/>
              <w:bottom w:val="nil"/>
              <w:right w:val="nil"/>
            </w:tcBorders>
            <w:shd w:val="clear" w:color="auto" w:fill="auto"/>
            <w:vAlign w:val="center"/>
          </w:tcPr>
          <w:p w14:paraId="6D044265" w14:textId="77777777" w:rsidR="008B7E19" w:rsidRPr="00824585"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b/>
                <w:bCs/>
                <w:sz w:val="14"/>
                <w:szCs w:val="14"/>
                <w:highlight w:val="yellow"/>
              </w:rPr>
            </w:pPr>
            <w:r w:rsidRPr="001D70B7">
              <w:rPr>
                <w:rFonts w:cs="Arial"/>
                <w:b/>
                <w:bCs/>
                <w:color w:val="000000"/>
                <w:sz w:val="14"/>
                <w:szCs w:val="14"/>
              </w:rPr>
              <w:t>48</w:t>
            </w:r>
            <w:r>
              <w:rPr>
                <w:rFonts w:cs="Arial"/>
                <w:b/>
                <w:bCs/>
                <w:color w:val="000000"/>
                <w:sz w:val="14"/>
                <w:szCs w:val="14"/>
              </w:rPr>
              <w:t>,</w:t>
            </w:r>
            <w:r w:rsidRPr="001D70B7">
              <w:rPr>
                <w:rFonts w:cs="Arial"/>
                <w:b/>
                <w:bCs/>
                <w:color w:val="000000"/>
                <w:sz w:val="14"/>
                <w:szCs w:val="14"/>
              </w:rPr>
              <w:t>871</w:t>
            </w:r>
          </w:p>
        </w:tc>
      </w:tr>
      <w:tr w:rsidR="008B7E19" w:rsidRPr="003361C0" w14:paraId="0DB333BA"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1AE76190" w14:textId="77777777" w:rsidR="008B7E19" w:rsidRPr="003361C0" w:rsidRDefault="008B7E19" w:rsidP="008B7E19">
            <w:pPr>
              <w:keepNext/>
              <w:keepLines/>
              <w:spacing w:before="40" w:after="40"/>
              <w:rPr>
                <w:rFonts w:cs="Arial"/>
                <w:b w:val="0"/>
                <w:bCs w:val="0"/>
                <w:sz w:val="14"/>
                <w:szCs w:val="14"/>
                <w:highlight w:val="yellow"/>
              </w:rPr>
            </w:pPr>
          </w:p>
        </w:tc>
        <w:tc>
          <w:tcPr>
            <w:tcW w:w="3260" w:type="dxa"/>
            <w:tcBorders>
              <w:top w:val="nil"/>
              <w:left w:val="nil"/>
              <w:bottom w:val="nil"/>
              <w:right w:val="nil"/>
            </w:tcBorders>
            <w:shd w:val="clear" w:color="auto" w:fill="auto"/>
            <w:vAlign w:val="center"/>
          </w:tcPr>
          <w:p w14:paraId="39969D4A" w14:textId="77777777" w:rsidR="008B7E19" w:rsidRPr="003361C0"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highlight w:val="yellow"/>
              </w:rPr>
            </w:pPr>
          </w:p>
        </w:tc>
        <w:tc>
          <w:tcPr>
            <w:tcW w:w="3260" w:type="dxa"/>
            <w:tcBorders>
              <w:top w:val="nil"/>
              <w:left w:val="nil"/>
              <w:bottom w:val="nil"/>
              <w:right w:val="nil"/>
            </w:tcBorders>
            <w:shd w:val="clear" w:color="auto" w:fill="auto"/>
            <w:vAlign w:val="center"/>
          </w:tcPr>
          <w:p w14:paraId="621D00C3" w14:textId="77777777" w:rsidR="008B7E19" w:rsidRPr="003361C0"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highlight w:val="yellow"/>
              </w:rPr>
            </w:pPr>
          </w:p>
        </w:tc>
      </w:tr>
      <w:tr w:rsidR="008B7E19" w:rsidRPr="00824585" w14:paraId="43DD927B" w14:textId="77777777" w:rsidTr="008B7E1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2ED415DA" w14:textId="77777777" w:rsidR="008B7E19" w:rsidRPr="00824585" w:rsidRDefault="008B7E19" w:rsidP="008B7E19">
            <w:pPr>
              <w:keepNext/>
              <w:keepLines/>
              <w:spacing w:before="40" w:after="40"/>
              <w:rPr>
                <w:rFonts w:cs="Arial"/>
                <w:sz w:val="14"/>
                <w:szCs w:val="14"/>
                <w:highlight w:val="yellow"/>
              </w:rPr>
            </w:pPr>
            <w:r>
              <w:rPr>
                <w:rFonts w:cs="Arial"/>
                <w:color w:val="000000"/>
                <w:sz w:val="14"/>
                <w:szCs w:val="14"/>
              </w:rPr>
              <w:t>Current Liabilities</w:t>
            </w:r>
          </w:p>
        </w:tc>
        <w:tc>
          <w:tcPr>
            <w:tcW w:w="3260" w:type="dxa"/>
            <w:tcBorders>
              <w:top w:val="nil"/>
              <w:left w:val="nil"/>
              <w:bottom w:val="nil"/>
              <w:right w:val="nil"/>
            </w:tcBorders>
            <w:shd w:val="clear" w:color="auto" w:fill="auto"/>
            <w:vAlign w:val="center"/>
          </w:tcPr>
          <w:p w14:paraId="19571747" w14:textId="77777777" w:rsidR="008B7E19" w:rsidRPr="00824585"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b/>
                <w:bCs/>
                <w:sz w:val="14"/>
                <w:szCs w:val="14"/>
                <w:highlight w:val="yellow"/>
              </w:rPr>
            </w:pPr>
            <w:r w:rsidRPr="001D70B7">
              <w:rPr>
                <w:rFonts w:cs="Arial"/>
                <w:b/>
                <w:bCs/>
                <w:color w:val="000000"/>
                <w:sz w:val="14"/>
                <w:szCs w:val="14"/>
              </w:rPr>
              <w:t>20</w:t>
            </w:r>
            <w:r>
              <w:rPr>
                <w:rFonts w:cs="Arial"/>
                <w:b/>
                <w:bCs/>
                <w:color w:val="000000"/>
                <w:sz w:val="14"/>
                <w:szCs w:val="14"/>
              </w:rPr>
              <w:t>,</w:t>
            </w:r>
            <w:r w:rsidRPr="001D70B7">
              <w:rPr>
                <w:rFonts w:cs="Arial"/>
                <w:b/>
                <w:bCs/>
                <w:color w:val="000000"/>
                <w:sz w:val="14"/>
                <w:szCs w:val="14"/>
              </w:rPr>
              <w:t>782</w:t>
            </w:r>
          </w:p>
        </w:tc>
        <w:tc>
          <w:tcPr>
            <w:tcW w:w="3260" w:type="dxa"/>
            <w:tcBorders>
              <w:top w:val="nil"/>
              <w:left w:val="nil"/>
              <w:bottom w:val="nil"/>
              <w:right w:val="nil"/>
            </w:tcBorders>
            <w:shd w:val="clear" w:color="auto" w:fill="auto"/>
            <w:vAlign w:val="center"/>
          </w:tcPr>
          <w:p w14:paraId="3D24B26B" w14:textId="77777777" w:rsidR="008B7E19" w:rsidRPr="00824585"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b/>
                <w:bCs/>
                <w:sz w:val="14"/>
                <w:szCs w:val="14"/>
                <w:highlight w:val="yellow"/>
              </w:rPr>
            </w:pPr>
            <w:r w:rsidRPr="001D70B7">
              <w:rPr>
                <w:rFonts w:cs="Arial"/>
                <w:b/>
                <w:bCs/>
                <w:color w:val="000000"/>
                <w:sz w:val="14"/>
                <w:szCs w:val="14"/>
              </w:rPr>
              <w:t>26</w:t>
            </w:r>
            <w:r>
              <w:rPr>
                <w:rFonts w:cs="Arial"/>
                <w:b/>
                <w:bCs/>
                <w:color w:val="000000"/>
                <w:sz w:val="14"/>
                <w:szCs w:val="14"/>
              </w:rPr>
              <w:t>,</w:t>
            </w:r>
            <w:r w:rsidRPr="001D70B7">
              <w:rPr>
                <w:rFonts w:cs="Arial"/>
                <w:b/>
                <w:bCs/>
                <w:color w:val="000000"/>
                <w:sz w:val="14"/>
                <w:szCs w:val="14"/>
              </w:rPr>
              <w:t>628</w:t>
            </w:r>
          </w:p>
        </w:tc>
      </w:tr>
      <w:tr w:rsidR="008B7E19" w:rsidRPr="003361C0" w14:paraId="2BF230B3"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264949D5" w14:textId="77777777" w:rsidR="008B7E19" w:rsidRPr="00824585" w:rsidRDefault="008B7E19" w:rsidP="008B7E19">
            <w:pPr>
              <w:keepNext/>
              <w:keepLines/>
              <w:ind w:left="113"/>
              <w:rPr>
                <w:rFonts w:cs="Arial"/>
                <w:b w:val="0"/>
                <w:bCs w:val="0"/>
                <w:color w:val="000000"/>
                <w:sz w:val="14"/>
                <w:szCs w:val="14"/>
              </w:rPr>
            </w:pPr>
            <w:r w:rsidRPr="00D078AA">
              <w:rPr>
                <w:rFonts w:cs="Arial"/>
                <w:b w:val="0"/>
                <w:bCs w:val="0"/>
                <w:color w:val="000000"/>
                <w:sz w:val="14"/>
                <w:szCs w:val="14"/>
              </w:rPr>
              <w:t>Amounts payable</w:t>
            </w:r>
          </w:p>
        </w:tc>
        <w:tc>
          <w:tcPr>
            <w:tcW w:w="3260" w:type="dxa"/>
            <w:tcBorders>
              <w:top w:val="nil"/>
              <w:left w:val="nil"/>
              <w:bottom w:val="nil"/>
              <w:right w:val="nil"/>
            </w:tcBorders>
            <w:shd w:val="clear" w:color="auto" w:fill="auto"/>
            <w:vAlign w:val="center"/>
          </w:tcPr>
          <w:p w14:paraId="64A23F5A" w14:textId="77777777" w:rsidR="008B7E19" w:rsidRPr="003361C0"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highlight w:val="yellow"/>
              </w:rPr>
            </w:pPr>
            <w:r w:rsidRPr="003D4460">
              <w:rPr>
                <w:rFonts w:cs="Arial"/>
                <w:color w:val="000000"/>
                <w:sz w:val="14"/>
                <w:szCs w:val="14"/>
              </w:rPr>
              <w:t>3</w:t>
            </w:r>
            <w:r>
              <w:rPr>
                <w:rFonts w:cs="Arial"/>
                <w:color w:val="000000"/>
                <w:sz w:val="14"/>
                <w:szCs w:val="14"/>
              </w:rPr>
              <w:t>,</w:t>
            </w:r>
            <w:r w:rsidRPr="003D4460">
              <w:rPr>
                <w:rFonts w:cs="Arial"/>
                <w:color w:val="000000"/>
                <w:sz w:val="14"/>
                <w:szCs w:val="14"/>
              </w:rPr>
              <w:t>252</w:t>
            </w:r>
          </w:p>
        </w:tc>
        <w:tc>
          <w:tcPr>
            <w:tcW w:w="3260" w:type="dxa"/>
            <w:tcBorders>
              <w:top w:val="nil"/>
              <w:left w:val="nil"/>
              <w:bottom w:val="nil"/>
              <w:right w:val="nil"/>
            </w:tcBorders>
            <w:shd w:val="clear" w:color="auto" w:fill="auto"/>
            <w:vAlign w:val="center"/>
          </w:tcPr>
          <w:p w14:paraId="3F654AC5" w14:textId="77777777" w:rsidR="008B7E19" w:rsidRPr="003361C0"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highlight w:val="yellow"/>
              </w:rPr>
            </w:pPr>
            <w:r w:rsidRPr="003D4460">
              <w:rPr>
                <w:rFonts w:cs="Arial"/>
                <w:color w:val="000000"/>
                <w:sz w:val="14"/>
                <w:szCs w:val="14"/>
              </w:rPr>
              <w:t>3</w:t>
            </w:r>
            <w:r>
              <w:rPr>
                <w:rFonts w:cs="Arial"/>
                <w:color w:val="000000"/>
                <w:sz w:val="14"/>
                <w:szCs w:val="14"/>
              </w:rPr>
              <w:t>,</w:t>
            </w:r>
            <w:r w:rsidRPr="003D4460">
              <w:rPr>
                <w:rFonts w:cs="Arial"/>
                <w:color w:val="000000"/>
                <w:sz w:val="14"/>
                <w:szCs w:val="14"/>
              </w:rPr>
              <w:t>411</w:t>
            </w:r>
          </w:p>
        </w:tc>
      </w:tr>
      <w:tr w:rsidR="008B7E19" w:rsidRPr="003361C0" w14:paraId="5450F164" w14:textId="77777777" w:rsidTr="008B7E1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0543014C" w14:textId="77777777" w:rsidR="008B7E19" w:rsidRPr="00824585" w:rsidRDefault="008B7E19" w:rsidP="008B7E19">
            <w:pPr>
              <w:keepNext/>
              <w:keepLines/>
              <w:ind w:left="113"/>
              <w:rPr>
                <w:rFonts w:cs="Arial"/>
                <w:b w:val="0"/>
                <w:bCs w:val="0"/>
                <w:color w:val="000000"/>
                <w:sz w:val="14"/>
                <w:szCs w:val="14"/>
              </w:rPr>
            </w:pPr>
            <w:r>
              <w:rPr>
                <w:rFonts w:cs="Arial"/>
                <w:b w:val="0"/>
                <w:bCs w:val="0"/>
                <w:color w:val="000000"/>
                <w:sz w:val="14"/>
                <w:szCs w:val="14"/>
              </w:rPr>
              <w:t>C</w:t>
            </w:r>
            <w:r w:rsidRPr="00D078AA">
              <w:rPr>
                <w:rFonts w:cs="Arial"/>
                <w:b w:val="0"/>
                <w:bCs w:val="0"/>
                <w:color w:val="000000"/>
                <w:sz w:val="14"/>
                <w:szCs w:val="14"/>
              </w:rPr>
              <w:t>urrent tax liability</w:t>
            </w:r>
          </w:p>
        </w:tc>
        <w:tc>
          <w:tcPr>
            <w:tcW w:w="3260" w:type="dxa"/>
            <w:tcBorders>
              <w:top w:val="nil"/>
              <w:left w:val="nil"/>
              <w:bottom w:val="nil"/>
              <w:right w:val="nil"/>
            </w:tcBorders>
            <w:shd w:val="clear" w:color="auto" w:fill="auto"/>
            <w:vAlign w:val="center"/>
          </w:tcPr>
          <w:p w14:paraId="769571E9" w14:textId="77777777" w:rsidR="008B7E19" w:rsidRPr="003361C0"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sz w:val="14"/>
                <w:szCs w:val="14"/>
                <w:highlight w:val="yellow"/>
              </w:rPr>
            </w:pPr>
            <w:r w:rsidRPr="003D4460">
              <w:rPr>
                <w:rFonts w:cs="Arial"/>
                <w:color w:val="000000"/>
                <w:sz w:val="14"/>
                <w:szCs w:val="14"/>
              </w:rPr>
              <w:t>1</w:t>
            </w:r>
            <w:r>
              <w:rPr>
                <w:rFonts w:cs="Arial"/>
                <w:color w:val="000000"/>
                <w:sz w:val="14"/>
                <w:szCs w:val="14"/>
              </w:rPr>
              <w:t>,</w:t>
            </w:r>
            <w:r w:rsidRPr="003D4460">
              <w:rPr>
                <w:rFonts w:cs="Arial"/>
                <w:color w:val="000000"/>
                <w:sz w:val="14"/>
                <w:szCs w:val="14"/>
              </w:rPr>
              <w:t>422</w:t>
            </w:r>
          </w:p>
        </w:tc>
        <w:tc>
          <w:tcPr>
            <w:tcW w:w="3260" w:type="dxa"/>
            <w:tcBorders>
              <w:top w:val="nil"/>
              <w:left w:val="nil"/>
              <w:bottom w:val="nil"/>
              <w:right w:val="nil"/>
            </w:tcBorders>
            <w:shd w:val="clear" w:color="auto" w:fill="auto"/>
            <w:vAlign w:val="center"/>
          </w:tcPr>
          <w:p w14:paraId="5E3FE56A" w14:textId="77777777" w:rsidR="008B7E19" w:rsidRPr="003361C0"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sz w:val="14"/>
                <w:szCs w:val="14"/>
                <w:highlight w:val="yellow"/>
              </w:rPr>
            </w:pPr>
            <w:r w:rsidRPr="003D4460">
              <w:rPr>
                <w:rFonts w:cs="Arial"/>
                <w:color w:val="000000"/>
                <w:sz w:val="14"/>
                <w:szCs w:val="14"/>
              </w:rPr>
              <w:t>2</w:t>
            </w:r>
            <w:r>
              <w:rPr>
                <w:rFonts w:cs="Arial"/>
                <w:color w:val="000000"/>
                <w:sz w:val="14"/>
                <w:szCs w:val="14"/>
              </w:rPr>
              <w:t>,</w:t>
            </w:r>
            <w:r w:rsidRPr="003D4460">
              <w:rPr>
                <w:rFonts w:cs="Arial"/>
                <w:color w:val="000000"/>
                <w:sz w:val="14"/>
                <w:szCs w:val="14"/>
              </w:rPr>
              <w:t>219</w:t>
            </w:r>
          </w:p>
        </w:tc>
      </w:tr>
      <w:tr w:rsidR="008B7E19" w:rsidRPr="003361C0" w14:paraId="1B725149"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40497A05" w14:textId="77777777" w:rsidR="008B7E19" w:rsidRPr="00824585" w:rsidRDefault="008B7E19" w:rsidP="008B7E19">
            <w:pPr>
              <w:keepNext/>
              <w:keepLines/>
              <w:ind w:left="113"/>
              <w:rPr>
                <w:rFonts w:cs="Arial"/>
                <w:b w:val="0"/>
                <w:bCs w:val="0"/>
                <w:color w:val="000000"/>
                <w:sz w:val="14"/>
                <w:szCs w:val="14"/>
              </w:rPr>
            </w:pPr>
            <w:r w:rsidRPr="00D078AA">
              <w:rPr>
                <w:rFonts w:cs="Arial"/>
                <w:b w:val="0"/>
                <w:bCs w:val="0"/>
                <w:color w:val="000000"/>
                <w:sz w:val="14"/>
                <w:szCs w:val="14"/>
              </w:rPr>
              <w:t>Debt from insurance operations</w:t>
            </w:r>
          </w:p>
        </w:tc>
        <w:tc>
          <w:tcPr>
            <w:tcW w:w="3260" w:type="dxa"/>
            <w:tcBorders>
              <w:top w:val="nil"/>
              <w:left w:val="nil"/>
              <w:bottom w:val="nil"/>
              <w:right w:val="nil"/>
            </w:tcBorders>
            <w:shd w:val="clear" w:color="auto" w:fill="auto"/>
            <w:vAlign w:val="center"/>
          </w:tcPr>
          <w:p w14:paraId="5DDAF2D9" w14:textId="77777777" w:rsidR="008B7E19" w:rsidRPr="003361C0"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highlight w:val="yellow"/>
              </w:rPr>
            </w:pPr>
            <w:r w:rsidRPr="003D4460">
              <w:rPr>
                <w:rFonts w:cs="Arial"/>
                <w:color w:val="000000"/>
                <w:sz w:val="14"/>
                <w:szCs w:val="14"/>
              </w:rPr>
              <w:t>91</w:t>
            </w:r>
          </w:p>
        </w:tc>
        <w:tc>
          <w:tcPr>
            <w:tcW w:w="3260" w:type="dxa"/>
            <w:tcBorders>
              <w:top w:val="nil"/>
              <w:left w:val="nil"/>
              <w:bottom w:val="nil"/>
              <w:right w:val="nil"/>
            </w:tcBorders>
            <w:shd w:val="clear" w:color="auto" w:fill="auto"/>
            <w:vAlign w:val="center"/>
          </w:tcPr>
          <w:p w14:paraId="33A3514A" w14:textId="77777777" w:rsidR="008B7E19" w:rsidRPr="003361C0"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highlight w:val="yellow"/>
              </w:rPr>
            </w:pPr>
            <w:r w:rsidRPr="003D4460">
              <w:rPr>
                <w:rFonts w:cs="Arial"/>
                <w:color w:val="000000"/>
                <w:sz w:val="14"/>
                <w:szCs w:val="14"/>
              </w:rPr>
              <w:t>57</w:t>
            </w:r>
          </w:p>
        </w:tc>
      </w:tr>
      <w:tr w:rsidR="008B7E19" w:rsidRPr="003361C0" w14:paraId="2BBC9A7B" w14:textId="77777777" w:rsidTr="008B7E1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0BA5295A" w14:textId="77777777" w:rsidR="008B7E19" w:rsidRPr="00824585" w:rsidRDefault="008B7E19" w:rsidP="008B7E19">
            <w:pPr>
              <w:keepNext/>
              <w:keepLines/>
              <w:ind w:left="113"/>
              <w:rPr>
                <w:rFonts w:cs="Arial"/>
                <w:b w:val="0"/>
                <w:bCs w:val="0"/>
                <w:color w:val="000000"/>
                <w:sz w:val="14"/>
                <w:szCs w:val="14"/>
              </w:rPr>
            </w:pPr>
            <w:r w:rsidRPr="00D078AA">
              <w:rPr>
                <w:rFonts w:cs="Arial"/>
                <w:b w:val="0"/>
                <w:bCs w:val="0"/>
                <w:color w:val="000000"/>
                <w:sz w:val="14"/>
                <w:szCs w:val="14"/>
              </w:rPr>
              <w:t>Insurance Contract</w:t>
            </w:r>
          </w:p>
        </w:tc>
        <w:tc>
          <w:tcPr>
            <w:tcW w:w="3260" w:type="dxa"/>
            <w:tcBorders>
              <w:top w:val="nil"/>
              <w:left w:val="nil"/>
              <w:bottom w:val="nil"/>
              <w:right w:val="nil"/>
            </w:tcBorders>
            <w:shd w:val="clear" w:color="auto" w:fill="auto"/>
            <w:vAlign w:val="center"/>
          </w:tcPr>
          <w:p w14:paraId="5A300E47" w14:textId="77777777" w:rsidR="008B7E19" w:rsidRPr="003361C0"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sz w:val="14"/>
                <w:szCs w:val="14"/>
                <w:highlight w:val="yellow"/>
              </w:rPr>
            </w:pPr>
            <w:r w:rsidRPr="003D4460">
              <w:rPr>
                <w:rFonts w:cs="Arial"/>
                <w:color w:val="000000"/>
                <w:sz w:val="14"/>
                <w:szCs w:val="14"/>
              </w:rPr>
              <w:t>15</w:t>
            </w:r>
            <w:r>
              <w:rPr>
                <w:rFonts w:cs="Arial"/>
                <w:color w:val="000000"/>
                <w:sz w:val="14"/>
                <w:szCs w:val="14"/>
              </w:rPr>
              <w:t>,</w:t>
            </w:r>
            <w:r w:rsidRPr="003D4460">
              <w:rPr>
                <w:rFonts w:cs="Arial"/>
                <w:color w:val="000000"/>
                <w:sz w:val="14"/>
                <w:szCs w:val="14"/>
              </w:rPr>
              <w:t>845</w:t>
            </w:r>
          </w:p>
        </w:tc>
        <w:tc>
          <w:tcPr>
            <w:tcW w:w="3260" w:type="dxa"/>
            <w:tcBorders>
              <w:top w:val="nil"/>
              <w:left w:val="nil"/>
              <w:bottom w:val="nil"/>
              <w:right w:val="nil"/>
            </w:tcBorders>
            <w:shd w:val="clear" w:color="auto" w:fill="auto"/>
            <w:vAlign w:val="center"/>
          </w:tcPr>
          <w:p w14:paraId="00A0968F" w14:textId="77777777" w:rsidR="008B7E19" w:rsidRPr="003361C0"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sz w:val="14"/>
                <w:szCs w:val="14"/>
                <w:highlight w:val="yellow"/>
              </w:rPr>
            </w:pPr>
            <w:r w:rsidRPr="003D4460">
              <w:rPr>
                <w:rFonts w:cs="Arial"/>
                <w:color w:val="000000"/>
                <w:sz w:val="14"/>
                <w:szCs w:val="14"/>
              </w:rPr>
              <w:t>20</w:t>
            </w:r>
            <w:r>
              <w:rPr>
                <w:rFonts w:cs="Arial"/>
                <w:color w:val="000000"/>
                <w:sz w:val="14"/>
                <w:szCs w:val="14"/>
              </w:rPr>
              <w:t>,</w:t>
            </w:r>
            <w:r w:rsidRPr="003D4460">
              <w:rPr>
                <w:rFonts w:cs="Arial"/>
                <w:color w:val="000000"/>
                <w:sz w:val="14"/>
                <w:szCs w:val="14"/>
              </w:rPr>
              <w:t>773</w:t>
            </w:r>
          </w:p>
        </w:tc>
      </w:tr>
      <w:tr w:rsidR="008B7E19" w:rsidRPr="003361C0" w14:paraId="7F5C995A"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7D7F32CE" w14:textId="77777777" w:rsidR="008B7E19" w:rsidRPr="00824585" w:rsidRDefault="008B7E19" w:rsidP="008B7E19">
            <w:pPr>
              <w:keepNext/>
              <w:keepLines/>
              <w:ind w:left="113"/>
              <w:rPr>
                <w:rFonts w:cs="Arial"/>
                <w:b w:val="0"/>
                <w:bCs w:val="0"/>
                <w:color w:val="000000"/>
                <w:sz w:val="14"/>
                <w:szCs w:val="14"/>
              </w:rPr>
            </w:pPr>
            <w:r>
              <w:rPr>
                <w:rFonts w:cs="Arial"/>
                <w:b w:val="0"/>
                <w:bCs w:val="0"/>
                <w:color w:val="000000"/>
                <w:sz w:val="14"/>
                <w:szCs w:val="14"/>
              </w:rPr>
              <w:t>Other liabilities</w:t>
            </w:r>
          </w:p>
        </w:tc>
        <w:tc>
          <w:tcPr>
            <w:tcW w:w="3260" w:type="dxa"/>
            <w:tcBorders>
              <w:top w:val="nil"/>
              <w:left w:val="nil"/>
              <w:bottom w:val="nil"/>
              <w:right w:val="nil"/>
            </w:tcBorders>
            <w:shd w:val="clear" w:color="auto" w:fill="auto"/>
            <w:vAlign w:val="center"/>
          </w:tcPr>
          <w:p w14:paraId="13CCF12D" w14:textId="77777777" w:rsidR="008B7E19" w:rsidRPr="003361C0"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highlight w:val="yellow"/>
              </w:rPr>
            </w:pPr>
            <w:r w:rsidRPr="003D4460">
              <w:rPr>
                <w:rFonts w:cs="Arial"/>
                <w:color w:val="000000"/>
                <w:sz w:val="14"/>
                <w:szCs w:val="14"/>
              </w:rPr>
              <w:t>172</w:t>
            </w:r>
          </w:p>
        </w:tc>
        <w:tc>
          <w:tcPr>
            <w:tcW w:w="3260" w:type="dxa"/>
            <w:tcBorders>
              <w:top w:val="nil"/>
              <w:left w:val="nil"/>
              <w:bottom w:val="nil"/>
              <w:right w:val="nil"/>
            </w:tcBorders>
            <w:shd w:val="clear" w:color="auto" w:fill="auto"/>
            <w:vAlign w:val="center"/>
          </w:tcPr>
          <w:p w14:paraId="384D0F9C" w14:textId="77777777" w:rsidR="008B7E19" w:rsidRPr="003361C0"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highlight w:val="yellow"/>
              </w:rPr>
            </w:pPr>
            <w:r w:rsidRPr="003D4460">
              <w:rPr>
                <w:rFonts w:cs="Arial"/>
                <w:color w:val="000000"/>
                <w:sz w:val="14"/>
                <w:szCs w:val="14"/>
              </w:rPr>
              <w:t>168</w:t>
            </w:r>
          </w:p>
        </w:tc>
      </w:tr>
      <w:tr w:rsidR="008B7E19" w:rsidRPr="00824585" w14:paraId="15F1C748" w14:textId="77777777" w:rsidTr="008B7E1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1E740F0D" w14:textId="77777777" w:rsidR="008B7E19" w:rsidRPr="00824585" w:rsidRDefault="008B7E19" w:rsidP="008B7E19">
            <w:pPr>
              <w:keepNext/>
              <w:keepLines/>
              <w:spacing w:before="40" w:after="40"/>
              <w:rPr>
                <w:rFonts w:cs="Arial"/>
                <w:sz w:val="14"/>
                <w:szCs w:val="14"/>
                <w:highlight w:val="yellow"/>
              </w:rPr>
            </w:pPr>
            <w:r>
              <w:rPr>
                <w:rFonts w:cs="Arial"/>
                <w:color w:val="000000"/>
                <w:sz w:val="14"/>
                <w:szCs w:val="14"/>
              </w:rPr>
              <w:t>Non-Current Liabilities</w:t>
            </w:r>
          </w:p>
        </w:tc>
        <w:tc>
          <w:tcPr>
            <w:tcW w:w="3260" w:type="dxa"/>
            <w:tcBorders>
              <w:top w:val="nil"/>
              <w:left w:val="nil"/>
              <w:bottom w:val="nil"/>
              <w:right w:val="nil"/>
            </w:tcBorders>
            <w:shd w:val="clear" w:color="auto" w:fill="auto"/>
            <w:vAlign w:val="center"/>
          </w:tcPr>
          <w:p w14:paraId="65723B37" w14:textId="77777777" w:rsidR="008B7E19" w:rsidRPr="00824585"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b/>
                <w:bCs/>
                <w:sz w:val="14"/>
                <w:szCs w:val="14"/>
                <w:highlight w:val="yellow"/>
              </w:rPr>
            </w:pPr>
            <w:r w:rsidRPr="001D70B7">
              <w:rPr>
                <w:rFonts w:cs="Arial"/>
                <w:b/>
                <w:bCs/>
                <w:color w:val="000000"/>
                <w:sz w:val="14"/>
                <w:szCs w:val="14"/>
              </w:rPr>
              <w:t>157</w:t>
            </w:r>
          </w:p>
        </w:tc>
        <w:tc>
          <w:tcPr>
            <w:tcW w:w="3260" w:type="dxa"/>
            <w:tcBorders>
              <w:top w:val="nil"/>
              <w:left w:val="nil"/>
              <w:bottom w:val="nil"/>
              <w:right w:val="nil"/>
            </w:tcBorders>
            <w:shd w:val="clear" w:color="auto" w:fill="auto"/>
            <w:vAlign w:val="center"/>
          </w:tcPr>
          <w:p w14:paraId="6A56907C" w14:textId="77777777" w:rsidR="008B7E19" w:rsidRPr="00824585"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b/>
                <w:bCs/>
                <w:sz w:val="14"/>
                <w:szCs w:val="14"/>
                <w:highlight w:val="yellow"/>
              </w:rPr>
            </w:pPr>
            <w:r w:rsidRPr="001D70B7">
              <w:rPr>
                <w:rFonts w:cs="Arial"/>
                <w:b/>
                <w:bCs/>
                <w:color w:val="000000"/>
                <w:sz w:val="14"/>
                <w:szCs w:val="14"/>
              </w:rPr>
              <w:t>251</w:t>
            </w:r>
          </w:p>
        </w:tc>
      </w:tr>
      <w:tr w:rsidR="008B7E19" w:rsidRPr="00824585" w14:paraId="4ABF9438"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7776CDA6" w14:textId="77777777" w:rsidR="008B7E19" w:rsidRPr="00824585" w:rsidRDefault="008B7E19" w:rsidP="008B7E19">
            <w:pPr>
              <w:keepNext/>
              <w:keepLines/>
              <w:ind w:left="113"/>
              <w:rPr>
                <w:rFonts w:cs="Arial"/>
                <w:b w:val="0"/>
                <w:bCs w:val="0"/>
                <w:sz w:val="14"/>
                <w:szCs w:val="14"/>
                <w:highlight w:val="yellow"/>
              </w:rPr>
            </w:pPr>
            <w:r>
              <w:rPr>
                <w:rFonts w:cs="Arial"/>
                <w:b w:val="0"/>
                <w:bCs w:val="0"/>
                <w:color w:val="000000"/>
                <w:sz w:val="14"/>
                <w:szCs w:val="14"/>
              </w:rPr>
              <w:t>Other liabilities</w:t>
            </w:r>
          </w:p>
        </w:tc>
        <w:tc>
          <w:tcPr>
            <w:tcW w:w="3260" w:type="dxa"/>
            <w:tcBorders>
              <w:top w:val="nil"/>
              <w:left w:val="nil"/>
              <w:bottom w:val="nil"/>
              <w:right w:val="nil"/>
            </w:tcBorders>
            <w:shd w:val="clear" w:color="auto" w:fill="auto"/>
            <w:vAlign w:val="center"/>
          </w:tcPr>
          <w:p w14:paraId="23BC57DC" w14:textId="77777777" w:rsidR="008B7E19" w:rsidRPr="00824585"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highlight w:val="yellow"/>
              </w:rPr>
            </w:pPr>
            <w:r w:rsidRPr="003D4460">
              <w:rPr>
                <w:rFonts w:cs="Arial"/>
                <w:color w:val="000000"/>
                <w:sz w:val="14"/>
                <w:szCs w:val="14"/>
              </w:rPr>
              <w:t>157</w:t>
            </w:r>
          </w:p>
        </w:tc>
        <w:tc>
          <w:tcPr>
            <w:tcW w:w="3260" w:type="dxa"/>
            <w:tcBorders>
              <w:top w:val="nil"/>
              <w:left w:val="nil"/>
              <w:bottom w:val="nil"/>
              <w:right w:val="nil"/>
            </w:tcBorders>
            <w:shd w:val="clear" w:color="auto" w:fill="auto"/>
            <w:vAlign w:val="center"/>
          </w:tcPr>
          <w:p w14:paraId="0B8364D2" w14:textId="77777777" w:rsidR="008B7E19" w:rsidRPr="00824585"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highlight w:val="yellow"/>
              </w:rPr>
            </w:pPr>
            <w:r w:rsidRPr="003D4460">
              <w:rPr>
                <w:rFonts w:cs="Arial"/>
                <w:color w:val="000000"/>
                <w:sz w:val="14"/>
                <w:szCs w:val="14"/>
              </w:rPr>
              <w:t>251</w:t>
            </w:r>
          </w:p>
        </w:tc>
      </w:tr>
      <w:tr w:rsidR="008B7E19" w:rsidRPr="00824585" w14:paraId="7F192572" w14:textId="77777777" w:rsidTr="008B7E1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32A61092" w14:textId="77777777" w:rsidR="008B7E19" w:rsidRPr="00824585" w:rsidRDefault="008B7E19" w:rsidP="008B7E19">
            <w:pPr>
              <w:keepNext/>
              <w:keepLines/>
              <w:spacing w:before="40" w:after="40"/>
              <w:rPr>
                <w:rFonts w:cs="Arial"/>
                <w:sz w:val="14"/>
                <w:szCs w:val="14"/>
                <w:highlight w:val="yellow"/>
              </w:rPr>
            </w:pPr>
            <w:r>
              <w:rPr>
                <w:rFonts w:cs="Arial"/>
                <w:color w:val="000000"/>
                <w:sz w:val="14"/>
                <w:szCs w:val="14"/>
              </w:rPr>
              <w:t>Equity</w:t>
            </w:r>
          </w:p>
        </w:tc>
        <w:tc>
          <w:tcPr>
            <w:tcW w:w="3260" w:type="dxa"/>
            <w:tcBorders>
              <w:top w:val="nil"/>
              <w:left w:val="nil"/>
              <w:bottom w:val="nil"/>
              <w:right w:val="nil"/>
            </w:tcBorders>
            <w:shd w:val="clear" w:color="auto" w:fill="auto"/>
            <w:vAlign w:val="center"/>
          </w:tcPr>
          <w:p w14:paraId="27D67DEB" w14:textId="77777777" w:rsidR="008B7E19" w:rsidRPr="00824585"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b/>
                <w:bCs/>
                <w:sz w:val="14"/>
                <w:szCs w:val="14"/>
                <w:highlight w:val="yellow"/>
              </w:rPr>
            </w:pPr>
            <w:r w:rsidRPr="001D70B7">
              <w:rPr>
                <w:rFonts w:cs="Arial"/>
                <w:b/>
                <w:bCs/>
                <w:color w:val="000000"/>
                <w:sz w:val="14"/>
                <w:szCs w:val="14"/>
              </w:rPr>
              <w:t>20</w:t>
            </w:r>
            <w:r>
              <w:rPr>
                <w:rFonts w:cs="Arial"/>
                <w:b/>
                <w:bCs/>
                <w:color w:val="000000"/>
                <w:sz w:val="14"/>
                <w:szCs w:val="14"/>
              </w:rPr>
              <w:t>,</w:t>
            </w:r>
            <w:r w:rsidRPr="001D70B7">
              <w:rPr>
                <w:rFonts w:cs="Arial"/>
                <w:b/>
                <w:bCs/>
                <w:color w:val="000000"/>
                <w:sz w:val="14"/>
                <w:szCs w:val="14"/>
              </w:rPr>
              <w:t>052</w:t>
            </w:r>
          </w:p>
        </w:tc>
        <w:tc>
          <w:tcPr>
            <w:tcW w:w="3260" w:type="dxa"/>
            <w:tcBorders>
              <w:top w:val="nil"/>
              <w:left w:val="nil"/>
              <w:bottom w:val="nil"/>
              <w:right w:val="nil"/>
            </w:tcBorders>
            <w:shd w:val="clear" w:color="auto" w:fill="auto"/>
            <w:vAlign w:val="center"/>
          </w:tcPr>
          <w:p w14:paraId="6AA961C8" w14:textId="77777777" w:rsidR="008B7E19" w:rsidRPr="00824585"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b/>
                <w:bCs/>
                <w:sz w:val="14"/>
                <w:szCs w:val="14"/>
                <w:highlight w:val="yellow"/>
              </w:rPr>
            </w:pPr>
            <w:r w:rsidRPr="001D70B7">
              <w:rPr>
                <w:rFonts w:cs="Arial"/>
                <w:b/>
                <w:bCs/>
                <w:color w:val="000000"/>
                <w:sz w:val="14"/>
                <w:szCs w:val="14"/>
              </w:rPr>
              <w:t>21</w:t>
            </w:r>
            <w:r>
              <w:rPr>
                <w:rFonts w:cs="Arial"/>
                <w:b/>
                <w:bCs/>
                <w:color w:val="000000"/>
                <w:sz w:val="14"/>
                <w:szCs w:val="14"/>
              </w:rPr>
              <w:t>,</w:t>
            </w:r>
            <w:r w:rsidRPr="001D70B7">
              <w:rPr>
                <w:rFonts w:cs="Arial"/>
                <w:b/>
                <w:bCs/>
                <w:color w:val="000000"/>
                <w:sz w:val="14"/>
                <w:szCs w:val="14"/>
              </w:rPr>
              <w:t>992</w:t>
            </w:r>
          </w:p>
        </w:tc>
      </w:tr>
      <w:tr w:rsidR="008B7E19" w:rsidRPr="003361C0" w14:paraId="14C30E65"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02BE86EC" w14:textId="77777777" w:rsidR="008B7E19" w:rsidRPr="00080F19" w:rsidRDefault="008B7E19" w:rsidP="008B7E19">
            <w:pPr>
              <w:keepNext/>
              <w:keepLines/>
              <w:ind w:left="113"/>
              <w:rPr>
                <w:rFonts w:cs="Arial"/>
                <w:b w:val="0"/>
                <w:bCs w:val="0"/>
                <w:color w:val="000000"/>
                <w:sz w:val="14"/>
                <w:szCs w:val="14"/>
              </w:rPr>
            </w:pPr>
            <w:r>
              <w:rPr>
                <w:rFonts w:cs="Arial"/>
                <w:b w:val="0"/>
                <w:bCs w:val="0"/>
                <w:color w:val="000000"/>
                <w:sz w:val="14"/>
                <w:szCs w:val="14"/>
              </w:rPr>
              <w:t>Capital and reserves</w:t>
            </w:r>
          </w:p>
        </w:tc>
        <w:tc>
          <w:tcPr>
            <w:tcW w:w="3260" w:type="dxa"/>
            <w:tcBorders>
              <w:top w:val="nil"/>
              <w:left w:val="nil"/>
              <w:bottom w:val="nil"/>
              <w:right w:val="nil"/>
            </w:tcBorders>
            <w:shd w:val="clear" w:color="auto" w:fill="auto"/>
            <w:vAlign w:val="center"/>
          </w:tcPr>
          <w:p w14:paraId="624AACA0" w14:textId="77777777" w:rsidR="008B7E19" w:rsidRPr="00080F19"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rPr>
            </w:pPr>
            <w:r w:rsidRPr="003D4460">
              <w:rPr>
                <w:rFonts w:cs="Arial"/>
                <w:color w:val="000000"/>
                <w:sz w:val="14"/>
                <w:szCs w:val="14"/>
              </w:rPr>
              <w:t>24</w:t>
            </w:r>
            <w:r>
              <w:rPr>
                <w:rFonts w:cs="Arial"/>
                <w:color w:val="000000"/>
                <w:sz w:val="14"/>
                <w:szCs w:val="14"/>
              </w:rPr>
              <w:t>,</w:t>
            </w:r>
            <w:r w:rsidRPr="003D4460">
              <w:rPr>
                <w:rFonts w:cs="Arial"/>
                <w:color w:val="000000"/>
                <w:sz w:val="14"/>
                <w:szCs w:val="14"/>
              </w:rPr>
              <w:t>413</w:t>
            </w:r>
          </w:p>
        </w:tc>
        <w:tc>
          <w:tcPr>
            <w:tcW w:w="3260" w:type="dxa"/>
            <w:tcBorders>
              <w:top w:val="nil"/>
              <w:left w:val="nil"/>
              <w:bottom w:val="nil"/>
              <w:right w:val="nil"/>
            </w:tcBorders>
            <w:shd w:val="clear" w:color="auto" w:fill="auto"/>
            <w:vAlign w:val="center"/>
          </w:tcPr>
          <w:p w14:paraId="65CD6C5D" w14:textId="77777777" w:rsidR="008B7E19" w:rsidRPr="00080F19"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rPr>
            </w:pPr>
            <w:r w:rsidRPr="003D4460">
              <w:rPr>
                <w:rFonts w:cs="Arial"/>
                <w:color w:val="000000"/>
                <w:sz w:val="14"/>
                <w:szCs w:val="14"/>
              </w:rPr>
              <w:t>28</w:t>
            </w:r>
            <w:r>
              <w:rPr>
                <w:rFonts w:cs="Arial"/>
                <w:color w:val="000000"/>
                <w:sz w:val="14"/>
                <w:szCs w:val="14"/>
              </w:rPr>
              <w:t>,</w:t>
            </w:r>
            <w:r w:rsidRPr="003D4460">
              <w:rPr>
                <w:rFonts w:cs="Arial"/>
                <w:color w:val="000000"/>
                <w:sz w:val="14"/>
                <w:szCs w:val="14"/>
              </w:rPr>
              <w:t>644</w:t>
            </w:r>
          </w:p>
        </w:tc>
      </w:tr>
      <w:tr w:rsidR="008B7E19" w:rsidRPr="003361C0" w14:paraId="1651B480" w14:textId="77777777" w:rsidTr="008B7E1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1A0BEDAB" w14:textId="77777777" w:rsidR="008B7E19" w:rsidRPr="00080F19" w:rsidRDefault="008B7E19" w:rsidP="008B7E19">
            <w:pPr>
              <w:keepNext/>
              <w:keepLines/>
              <w:ind w:left="113"/>
              <w:rPr>
                <w:rFonts w:cs="Arial"/>
                <w:b w:val="0"/>
                <w:bCs w:val="0"/>
                <w:color w:val="000000"/>
                <w:sz w:val="14"/>
                <w:szCs w:val="14"/>
              </w:rPr>
            </w:pPr>
            <w:r w:rsidRPr="00D078AA">
              <w:rPr>
                <w:rFonts w:cs="Arial"/>
                <w:b w:val="0"/>
                <w:bCs w:val="0"/>
                <w:color w:val="000000"/>
                <w:sz w:val="14"/>
                <w:szCs w:val="14"/>
              </w:rPr>
              <w:t>Accumulated losses</w:t>
            </w:r>
          </w:p>
        </w:tc>
        <w:tc>
          <w:tcPr>
            <w:tcW w:w="3260" w:type="dxa"/>
            <w:tcBorders>
              <w:top w:val="nil"/>
              <w:left w:val="nil"/>
              <w:bottom w:val="nil"/>
              <w:right w:val="nil"/>
            </w:tcBorders>
            <w:shd w:val="clear" w:color="auto" w:fill="auto"/>
            <w:vAlign w:val="center"/>
          </w:tcPr>
          <w:p w14:paraId="56A97CB5" w14:textId="77777777" w:rsidR="008B7E19" w:rsidRPr="00080F19"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sz w:val="14"/>
                <w:szCs w:val="14"/>
              </w:rPr>
            </w:pPr>
            <w:r w:rsidRPr="003D4460">
              <w:rPr>
                <w:rFonts w:cs="Arial"/>
                <w:color w:val="000000"/>
                <w:sz w:val="14"/>
                <w:szCs w:val="14"/>
              </w:rPr>
              <w:t>(6</w:t>
            </w:r>
            <w:r>
              <w:rPr>
                <w:rFonts w:cs="Arial"/>
                <w:color w:val="000000"/>
                <w:sz w:val="14"/>
                <w:szCs w:val="14"/>
              </w:rPr>
              <w:t>,</w:t>
            </w:r>
            <w:r w:rsidRPr="003D4460">
              <w:rPr>
                <w:rFonts w:cs="Arial"/>
                <w:color w:val="000000"/>
                <w:sz w:val="14"/>
                <w:szCs w:val="14"/>
              </w:rPr>
              <w:t>455)</w:t>
            </w:r>
          </w:p>
        </w:tc>
        <w:tc>
          <w:tcPr>
            <w:tcW w:w="3260" w:type="dxa"/>
            <w:tcBorders>
              <w:top w:val="nil"/>
              <w:left w:val="nil"/>
              <w:bottom w:val="nil"/>
              <w:right w:val="nil"/>
            </w:tcBorders>
            <w:shd w:val="clear" w:color="auto" w:fill="auto"/>
            <w:vAlign w:val="center"/>
          </w:tcPr>
          <w:p w14:paraId="3F21FF73" w14:textId="77777777" w:rsidR="008B7E19" w:rsidRPr="00080F19"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sz w:val="14"/>
                <w:szCs w:val="14"/>
              </w:rPr>
            </w:pPr>
            <w:r w:rsidRPr="003D4460">
              <w:rPr>
                <w:rFonts w:cs="Arial"/>
                <w:color w:val="000000"/>
                <w:sz w:val="14"/>
                <w:szCs w:val="14"/>
              </w:rPr>
              <w:t>(6</w:t>
            </w:r>
            <w:r>
              <w:rPr>
                <w:rFonts w:cs="Arial"/>
                <w:color w:val="000000"/>
                <w:sz w:val="14"/>
                <w:szCs w:val="14"/>
              </w:rPr>
              <w:t>,</w:t>
            </w:r>
            <w:r w:rsidRPr="003D4460">
              <w:rPr>
                <w:rFonts w:cs="Arial"/>
                <w:color w:val="000000"/>
                <w:sz w:val="14"/>
                <w:szCs w:val="14"/>
              </w:rPr>
              <w:t>716)</w:t>
            </w:r>
          </w:p>
        </w:tc>
      </w:tr>
      <w:tr w:rsidR="008B7E19" w:rsidRPr="003361C0" w14:paraId="00855466"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57863E2F" w14:textId="77777777" w:rsidR="008B7E19" w:rsidRPr="00080F19" w:rsidRDefault="008B7E19" w:rsidP="008B7E19">
            <w:pPr>
              <w:keepNext/>
              <w:keepLines/>
              <w:ind w:left="113"/>
              <w:rPr>
                <w:rFonts w:cs="Arial"/>
                <w:b w:val="0"/>
                <w:bCs w:val="0"/>
                <w:color w:val="000000"/>
                <w:sz w:val="14"/>
                <w:szCs w:val="14"/>
              </w:rPr>
            </w:pPr>
            <w:r>
              <w:rPr>
                <w:rFonts w:cs="Arial"/>
                <w:b w:val="0"/>
                <w:bCs w:val="0"/>
                <w:color w:val="000000"/>
                <w:sz w:val="14"/>
                <w:szCs w:val="14"/>
              </w:rPr>
              <w:t>Other comprehensive results</w:t>
            </w:r>
          </w:p>
        </w:tc>
        <w:tc>
          <w:tcPr>
            <w:tcW w:w="3260" w:type="dxa"/>
            <w:tcBorders>
              <w:top w:val="nil"/>
              <w:left w:val="nil"/>
              <w:bottom w:val="nil"/>
              <w:right w:val="nil"/>
            </w:tcBorders>
            <w:shd w:val="clear" w:color="auto" w:fill="auto"/>
            <w:vAlign w:val="center"/>
          </w:tcPr>
          <w:p w14:paraId="540C66F1" w14:textId="77777777" w:rsidR="008B7E19" w:rsidRPr="00080F19" w:rsidRDefault="008B7E19" w:rsidP="008B7E19">
            <w:pPr>
              <w:keepNext/>
              <w:keepLines/>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3D4460">
              <w:rPr>
                <w:rFonts w:cs="Arial"/>
                <w:color w:val="000000"/>
                <w:sz w:val="14"/>
                <w:szCs w:val="14"/>
              </w:rPr>
              <w:t>2</w:t>
            </w:r>
            <w:r>
              <w:rPr>
                <w:rFonts w:cs="Arial"/>
                <w:color w:val="000000"/>
                <w:sz w:val="14"/>
                <w:szCs w:val="14"/>
              </w:rPr>
              <w:t>,</w:t>
            </w:r>
            <w:r w:rsidRPr="003D4460">
              <w:rPr>
                <w:rFonts w:cs="Arial"/>
                <w:color w:val="000000"/>
                <w:sz w:val="14"/>
                <w:szCs w:val="14"/>
              </w:rPr>
              <w:t>094</w:t>
            </w:r>
          </w:p>
        </w:tc>
        <w:tc>
          <w:tcPr>
            <w:tcW w:w="3260" w:type="dxa"/>
            <w:tcBorders>
              <w:top w:val="nil"/>
              <w:left w:val="nil"/>
              <w:bottom w:val="nil"/>
              <w:right w:val="nil"/>
            </w:tcBorders>
            <w:shd w:val="clear" w:color="auto" w:fill="auto"/>
            <w:vAlign w:val="center"/>
          </w:tcPr>
          <w:p w14:paraId="7AD60B88" w14:textId="77777777" w:rsidR="008B7E19" w:rsidRPr="00080F19" w:rsidRDefault="008B7E19" w:rsidP="008B7E19">
            <w:pPr>
              <w:keepNext/>
              <w:keepLines/>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3D4460">
              <w:rPr>
                <w:rFonts w:cs="Arial"/>
                <w:color w:val="000000"/>
                <w:sz w:val="14"/>
                <w:szCs w:val="14"/>
              </w:rPr>
              <w:t>64</w:t>
            </w:r>
          </w:p>
        </w:tc>
      </w:tr>
      <w:tr w:rsidR="008B7E19" w:rsidRPr="00824585" w14:paraId="01E70D10" w14:textId="77777777" w:rsidTr="008B7E1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1603876D" w14:textId="77777777" w:rsidR="008B7E19" w:rsidRPr="00824585" w:rsidRDefault="008B7E19" w:rsidP="008B7E19">
            <w:pPr>
              <w:keepNext/>
              <w:keepLines/>
              <w:spacing w:before="40" w:after="40"/>
              <w:rPr>
                <w:rFonts w:eastAsia="Times New Roman" w:cs="Arial"/>
                <w:spacing w:val="-2"/>
                <w:sz w:val="14"/>
                <w:szCs w:val="14"/>
                <w:highlight w:val="yellow"/>
              </w:rPr>
            </w:pPr>
            <w:r>
              <w:rPr>
                <w:rFonts w:cs="Arial"/>
                <w:color w:val="000000"/>
                <w:sz w:val="14"/>
                <w:szCs w:val="14"/>
              </w:rPr>
              <w:t>L</w:t>
            </w:r>
            <w:r w:rsidRPr="00C453A1">
              <w:rPr>
                <w:rFonts w:cs="Arial"/>
                <w:color w:val="000000"/>
                <w:sz w:val="14"/>
                <w:szCs w:val="14"/>
              </w:rPr>
              <w:t xml:space="preserve">iabilities </w:t>
            </w:r>
            <w:r>
              <w:rPr>
                <w:rFonts w:cs="Arial"/>
                <w:color w:val="000000"/>
                <w:sz w:val="14"/>
                <w:szCs w:val="14"/>
              </w:rPr>
              <w:t>and</w:t>
            </w:r>
            <w:r w:rsidRPr="00824585">
              <w:rPr>
                <w:rFonts w:cs="Arial"/>
                <w:color w:val="000000"/>
                <w:sz w:val="14"/>
                <w:szCs w:val="14"/>
              </w:rPr>
              <w:t xml:space="preserve"> </w:t>
            </w:r>
            <w:r>
              <w:rPr>
                <w:rFonts w:cs="Arial"/>
                <w:color w:val="000000"/>
                <w:sz w:val="14"/>
                <w:szCs w:val="14"/>
              </w:rPr>
              <w:t>Equity</w:t>
            </w:r>
          </w:p>
        </w:tc>
        <w:tc>
          <w:tcPr>
            <w:tcW w:w="3260" w:type="dxa"/>
            <w:tcBorders>
              <w:top w:val="nil"/>
              <w:left w:val="nil"/>
              <w:bottom w:val="nil"/>
              <w:right w:val="nil"/>
            </w:tcBorders>
            <w:shd w:val="clear" w:color="auto" w:fill="auto"/>
            <w:vAlign w:val="center"/>
          </w:tcPr>
          <w:p w14:paraId="206F272F" w14:textId="77777777" w:rsidR="008B7E19" w:rsidRPr="00824585"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b/>
                <w:bCs/>
                <w:sz w:val="14"/>
                <w:szCs w:val="14"/>
                <w:highlight w:val="yellow"/>
              </w:rPr>
            </w:pPr>
            <w:r w:rsidRPr="001D70B7">
              <w:rPr>
                <w:rFonts w:cs="Arial"/>
                <w:b/>
                <w:bCs/>
                <w:color w:val="000000"/>
                <w:sz w:val="14"/>
                <w:szCs w:val="14"/>
              </w:rPr>
              <w:t>40</w:t>
            </w:r>
            <w:r>
              <w:rPr>
                <w:rFonts w:cs="Arial"/>
                <w:b/>
                <w:bCs/>
                <w:color w:val="000000"/>
                <w:sz w:val="14"/>
                <w:szCs w:val="14"/>
              </w:rPr>
              <w:t>,</w:t>
            </w:r>
            <w:r w:rsidRPr="001D70B7">
              <w:rPr>
                <w:rFonts w:cs="Arial"/>
                <w:b/>
                <w:bCs/>
                <w:color w:val="000000"/>
                <w:sz w:val="14"/>
                <w:szCs w:val="14"/>
              </w:rPr>
              <w:t>991</w:t>
            </w:r>
          </w:p>
        </w:tc>
        <w:tc>
          <w:tcPr>
            <w:tcW w:w="3260" w:type="dxa"/>
            <w:tcBorders>
              <w:top w:val="nil"/>
              <w:left w:val="nil"/>
              <w:bottom w:val="nil"/>
              <w:right w:val="nil"/>
            </w:tcBorders>
            <w:shd w:val="clear" w:color="auto" w:fill="auto"/>
            <w:vAlign w:val="center"/>
          </w:tcPr>
          <w:p w14:paraId="633EF919" w14:textId="77777777" w:rsidR="008B7E19" w:rsidRPr="00824585"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b/>
                <w:bCs/>
                <w:sz w:val="14"/>
                <w:szCs w:val="14"/>
                <w:highlight w:val="yellow"/>
              </w:rPr>
            </w:pPr>
            <w:r w:rsidRPr="001D70B7">
              <w:rPr>
                <w:rFonts w:cs="Arial"/>
                <w:b/>
                <w:bCs/>
                <w:color w:val="000000"/>
                <w:sz w:val="14"/>
                <w:szCs w:val="14"/>
              </w:rPr>
              <w:t>48</w:t>
            </w:r>
            <w:r>
              <w:rPr>
                <w:rFonts w:cs="Arial"/>
                <w:b/>
                <w:bCs/>
                <w:color w:val="000000"/>
                <w:sz w:val="14"/>
                <w:szCs w:val="14"/>
              </w:rPr>
              <w:t>,</w:t>
            </w:r>
            <w:r w:rsidRPr="001D70B7">
              <w:rPr>
                <w:rFonts w:cs="Arial"/>
                <w:b/>
                <w:bCs/>
                <w:color w:val="000000"/>
                <w:sz w:val="14"/>
                <w:szCs w:val="14"/>
              </w:rPr>
              <w:t>871</w:t>
            </w:r>
          </w:p>
        </w:tc>
      </w:tr>
      <w:tr w:rsidR="008B7E19" w:rsidRPr="00824585" w14:paraId="6DA343E5"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17ECD9DC" w14:textId="77777777" w:rsidR="008B7E19" w:rsidRPr="00824585" w:rsidRDefault="008B7E19" w:rsidP="008B7E19">
            <w:pPr>
              <w:keepNext/>
              <w:keepLines/>
              <w:spacing w:before="40" w:after="40"/>
              <w:rPr>
                <w:rFonts w:cs="Arial"/>
                <w:color w:val="000000"/>
                <w:sz w:val="14"/>
                <w:szCs w:val="14"/>
              </w:rPr>
            </w:pPr>
            <w:r>
              <w:rPr>
                <w:rFonts w:cs="Arial"/>
                <w:sz w:val="14"/>
                <w:szCs w:val="14"/>
              </w:rPr>
              <w:t>Attributable to BB Seguridade</w:t>
            </w:r>
          </w:p>
        </w:tc>
        <w:tc>
          <w:tcPr>
            <w:tcW w:w="3260" w:type="dxa"/>
            <w:tcBorders>
              <w:top w:val="nil"/>
              <w:left w:val="nil"/>
              <w:bottom w:val="nil"/>
              <w:right w:val="nil"/>
            </w:tcBorders>
            <w:shd w:val="clear" w:color="auto" w:fill="auto"/>
            <w:vAlign w:val="center"/>
          </w:tcPr>
          <w:p w14:paraId="746E857E" w14:textId="77777777" w:rsidR="008B7E19" w:rsidRPr="00824585"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b/>
                <w:bCs/>
                <w:color w:val="000000"/>
                <w:sz w:val="14"/>
                <w:szCs w:val="14"/>
              </w:rPr>
            </w:pPr>
            <w:r w:rsidRPr="001D70B7">
              <w:rPr>
                <w:rFonts w:cs="Arial"/>
                <w:b/>
                <w:bCs/>
                <w:sz w:val="14"/>
                <w:szCs w:val="14"/>
              </w:rPr>
              <w:t xml:space="preserve"> 15</w:t>
            </w:r>
            <w:r>
              <w:rPr>
                <w:rFonts w:cs="Arial"/>
                <w:b/>
                <w:bCs/>
                <w:sz w:val="14"/>
                <w:szCs w:val="14"/>
              </w:rPr>
              <w:t>,</w:t>
            </w:r>
            <w:r w:rsidRPr="001D70B7">
              <w:rPr>
                <w:rFonts w:cs="Arial"/>
                <w:b/>
                <w:bCs/>
                <w:sz w:val="14"/>
                <w:szCs w:val="14"/>
              </w:rPr>
              <w:t xml:space="preserve">039 </w:t>
            </w:r>
          </w:p>
        </w:tc>
        <w:tc>
          <w:tcPr>
            <w:tcW w:w="3260" w:type="dxa"/>
            <w:tcBorders>
              <w:top w:val="nil"/>
              <w:left w:val="nil"/>
              <w:bottom w:val="nil"/>
              <w:right w:val="nil"/>
            </w:tcBorders>
            <w:shd w:val="clear" w:color="auto" w:fill="auto"/>
            <w:vAlign w:val="center"/>
          </w:tcPr>
          <w:p w14:paraId="4F0428EF" w14:textId="77777777" w:rsidR="008B7E19" w:rsidRPr="00824585"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b/>
                <w:bCs/>
                <w:color w:val="000000"/>
                <w:sz w:val="14"/>
                <w:szCs w:val="14"/>
              </w:rPr>
            </w:pPr>
            <w:r w:rsidRPr="001D70B7">
              <w:rPr>
                <w:rFonts w:cs="Arial"/>
                <w:b/>
                <w:bCs/>
                <w:color w:val="000000"/>
                <w:sz w:val="14"/>
                <w:szCs w:val="14"/>
              </w:rPr>
              <w:t>16</w:t>
            </w:r>
            <w:r>
              <w:rPr>
                <w:rFonts w:cs="Arial"/>
                <w:b/>
                <w:bCs/>
                <w:color w:val="000000"/>
                <w:sz w:val="14"/>
                <w:szCs w:val="14"/>
              </w:rPr>
              <w:t>,</w:t>
            </w:r>
            <w:r w:rsidRPr="001D70B7">
              <w:rPr>
                <w:rFonts w:cs="Arial"/>
                <w:b/>
                <w:bCs/>
                <w:color w:val="000000"/>
                <w:sz w:val="14"/>
                <w:szCs w:val="14"/>
              </w:rPr>
              <w:t>495</w:t>
            </w:r>
          </w:p>
        </w:tc>
      </w:tr>
      <w:tr w:rsidR="008B7E19" w:rsidRPr="003361C0" w14:paraId="5AB4905B" w14:textId="77777777" w:rsidTr="008B7E1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2B7097B0" w14:textId="77777777" w:rsidR="008B7E19" w:rsidRPr="003361C0" w:rsidRDefault="008B7E19" w:rsidP="008B7E19">
            <w:pPr>
              <w:keepNext/>
              <w:keepLines/>
              <w:ind w:left="113"/>
              <w:rPr>
                <w:rFonts w:cs="Arial"/>
                <w:color w:val="000000"/>
                <w:sz w:val="14"/>
                <w:szCs w:val="14"/>
              </w:rPr>
            </w:pPr>
            <w:r w:rsidRPr="00D078AA">
              <w:rPr>
                <w:rFonts w:cs="Arial"/>
                <w:b w:val="0"/>
                <w:bCs w:val="0"/>
                <w:color w:val="000000"/>
                <w:sz w:val="14"/>
                <w:szCs w:val="14"/>
              </w:rPr>
              <w:t>Adjustment</w:t>
            </w:r>
            <w:r w:rsidRPr="00A877DC">
              <w:rPr>
                <w:rFonts w:cs="Arial"/>
                <w:b w:val="0"/>
                <w:bCs w:val="0"/>
                <w:color w:val="000000"/>
                <w:sz w:val="14"/>
                <w:szCs w:val="14"/>
              </w:rPr>
              <w:t xml:space="preserve"> </w:t>
            </w:r>
            <w:r w:rsidRPr="00564192">
              <w:rPr>
                <w:rFonts w:cs="Arial"/>
                <w:b w:val="0"/>
                <w:bCs w:val="0"/>
                <w:color w:val="000000"/>
                <w:sz w:val="14"/>
                <w:szCs w:val="14"/>
                <w:vertAlign w:val="superscript"/>
              </w:rPr>
              <w:t>(1)</w:t>
            </w:r>
          </w:p>
        </w:tc>
        <w:tc>
          <w:tcPr>
            <w:tcW w:w="3260" w:type="dxa"/>
            <w:tcBorders>
              <w:top w:val="nil"/>
              <w:left w:val="nil"/>
              <w:bottom w:val="nil"/>
              <w:right w:val="nil"/>
            </w:tcBorders>
            <w:shd w:val="clear" w:color="auto" w:fill="auto"/>
            <w:vAlign w:val="center"/>
          </w:tcPr>
          <w:p w14:paraId="1977F935" w14:textId="77777777" w:rsidR="008B7E19" w:rsidRPr="004B635B"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color w:val="000000"/>
                <w:sz w:val="14"/>
                <w:szCs w:val="14"/>
              </w:rPr>
            </w:pPr>
            <w:r w:rsidRPr="003D4460">
              <w:rPr>
                <w:rFonts w:cs="Arial"/>
                <w:sz w:val="14"/>
                <w:szCs w:val="14"/>
              </w:rPr>
              <w:t>(1</w:t>
            </w:r>
            <w:r>
              <w:rPr>
                <w:rFonts w:cs="Arial"/>
                <w:sz w:val="14"/>
                <w:szCs w:val="14"/>
              </w:rPr>
              <w:t>,</w:t>
            </w:r>
            <w:r w:rsidRPr="003D4460">
              <w:rPr>
                <w:rFonts w:cs="Arial"/>
                <w:sz w:val="14"/>
                <w:szCs w:val="14"/>
              </w:rPr>
              <w:t xml:space="preserve">500) </w:t>
            </w:r>
          </w:p>
        </w:tc>
        <w:tc>
          <w:tcPr>
            <w:tcW w:w="3260" w:type="dxa"/>
            <w:tcBorders>
              <w:top w:val="nil"/>
              <w:left w:val="nil"/>
              <w:bottom w:val="nil"/>
              <w:right w:val="nil"/>
            </w:tcBorders>
            <w:shd w:val="clear" w:color="auto" w:fill="auto"/>
            <w:vAlign w:val="center"/>
          </w:tcPr>
          <w:p w14:paraId="2AA0178F" w14:textId="77777777" w:rsidR="008B7E19" w:rsidRPr="003361C0"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color w:val="000000"/>
                <w:sz w:val="14"/>
                <w:szCs w:val="14"/>
              </w:rPr>
            </w:pPr>
            <w:r w:rsidRPr="003D4460">
              <w:rPr>
                <w:rFonts w:cs="Arial"/>
                <w:b/>
                <w:bCs/>
                <w:color w:val="000000"/>
                <w:sz w:val="14"/>
                <w:szCs w:val="14"/>
              </w:rPr>
              <w:t>--</w:t>
            </w:r>
          </w:p>
        </w:tc>
      </w:tr>
      <w:tr w:rsidR="008B7E19" w:rsidRPr="00824585" w14:paraId="2AFD86D7"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single" w:sz="2" w:space="0" w:color="1F4E79" w:themeColor="accent1" w:themeShade="80"/>
              <w:right w:val="nil"/>
            </w:tcBorders>
            <w:shd w:val="clear" w:color="auto" w:fill="auto"/>
            <w:vAlign w:val="center"/>
          </w:tcPr>
          <w:p w14:paraId="5C12D0DE" w14:textId="77777777" w:rsidR="008B7E19" w:rsidRPr="00824585" w:rsidRDefault="008B7E19" w:rsidP="008B7E19">
            <w:pPr>
              <w:keepNext/>
              <w:keepLines/>
              <w:spacing w:before="40" w:after="40"/>
              <w:rPr>
                <w:rFonts w:cs="Arial"/>
                <w:color w:val="000000"/>
                <w:sz w:val="14"/>
                <w:szCs w:val="14"/>
              </w:rPr>
            </w:pPr>
            <w:r>
              <w:rPr>
                <w:rFonts w:cs="Arial"/>
                <w:sz w:val="14"/>
                <w:szCs w:val="14"/>
              </w:rPr>
              <w:t>Investment balance</w:t>
            </w:r>
          </w:p>
        </w:tc>
        <w:tc>
          <w:tcPr>
            <w:tcW w:w="3260" w:type="dxa"/>
            <w:tcBorders>
              <w:top w:val="nil"/>
              <w:left w:val="nil"/>
              <w:bottom w:val="single" w:sz="2" w:space="0" w:color="1F4E79" w:themeColor="accent1" w:themeShade="80"/>
              <w:right w:val="nil"/>
            </w:tcBorders>
            <w:shd w:val="clear" w:color="auto" w:fill="auto"/>
            <w:vAlign w:val="center"/>
          </w:tcPr>
          <w:p w14:paraId="58E3BE5F" w14:textId="77777777" w:rsidR="008B7E19" w:rsidRPr="00824585"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b/>
                <w:bCs/>
                <w:color w:val="000000"/>
                <w:sz w:val="14"/>
                <w:szCs w:val="14"/>
              </w:rPr>
            </w:pPr>
            <w:r w:rsidRPr="001D70B7">
              <w:rPr>
                <w:rFonts w:cs="Arial"/>
                <w:b/>
                <w:bCs/>
                <w:color w:val="000000"/>
                <w:sz w:val="14"/>
                <w:szCs w:val="14"/>
              </w:rPr>
              <w:t>13</w:t>
            </w:r>
            <w:r>
              <w:rPr>
                <w:rFonts w:cs="Arial"/>
                <w:b/>
                <w:bCs/>
                <w:color w:val="000000"/>
                <w:sz w:val="14"/>
                <w:szCs w:val="14"/>
              </w:rPr>
              <w:t>,</w:t>
            </w:r>
            <w:r w:rsidRPr="001D70B7">
              <w:rPr>
                <w:rFonts w:cs="Arial"/>
                <w:b/>
                <w:bCs/>
                <w:color w:val="000000"/>
                <w:sz w:val="14"/>
                <w:szCs w:val="14"/>
              </w:rPr>
              <w:t>539</w:t>
            </w:r>
          </w:p>
        </w:tc>
        <w:tc>
          <w:tcPr>
            <w:tcW w:w="3260" w:type="dxa"/>
            <w:tcBorders>
              <w:top w:val="nil"/>
              <w:left w:val="nil"/>
              <w:bottom w:val="single" w:sz="2" w:space="0" w:color="1F4E79" w:themeColor="accent1" w:themeShade="80"/>
              <w:right w:val="nil"/>
            </w:tcBorders>
            <w:shd w:val="clear" w:color="auto" w:fill="auto"/>
            <w:vAlign w:val="center"/>
          </w:tcPr>
          <w:p w14:paraId="340B27AA" w14:textId="77777777" w:rsidR="008B7E19" w:rsidRPr="00824585"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b/>
                <w:bCs/>
                <w:color w:val="000000"/>
                <w:sz w:val="14"/>
                <w:szCs w:val="14"/>
              </w:rPr>
            </w:pPr>
            <w:r w:rsidRPr="001D70B7">
              <w:rPr>
                <w:rFonts w:cs="Arial"/>
                <w:b/>
                <w:bCs/>
                <w:color w:val="000000"/>
                <w:sz w:val="14"/>
                <w:szCs w:val="14"/>
              </w:rPr>
              <w:t>16</w:t>
            </w:r>
            <w:r>
              <w:rPr>
                <w:rFonts w:cs="Arial"/>
                <w:b/>
                <w:bCs/>
                <w:color w:val="000000"/>
                <w:sz w:val="14"/>
                <w:szCs w:val="14"/>
              </w:rPr>
              <w:t>,</w:t>
            </w:r>
            <w:r w:rsidRPr="001D70B7">
              <w:rPr>
                <w:rFonts w:cs="Arial"/>
                <w:b/>
                <w:bCs/>
                <w:color w:val="000000"/>
                <w:sz w:val="14"/>
                <w:szCs w:val="14"/>
              </w:rPr>
              <w:t>495</w:t>
            </w:r>
          </w:p>
        </w:tc>
      </w:tr>
    </w:tbl>
    <w:p w14:paraId="5B2AB707" w14:textId="77777777" w:rsidR="008B7E19" w:rsidRPr="00143235" w:rsidRDefault="008B7E19" w:rsidP="00882B41">
      <w:pPr>
        <w:pStyle w:val="PargrafodaLista"/>
        <w:keepNext/>
        <w:keepLines/>
        <w:numPr>
          <w:ilvl w:val="0"/>
          <w:numId w:val="32"/>
        </w:numPr>
        <w:spacing w:after="0" w:line="240" w:lineRule="auto"/>
        <w:rPr>
          <w:rFonts w:ascii="Arial" w:eastAsia="Times New Roman" w:hAnsi="Arial" w:cs="Arial"/>
          <w:spacing w:val="-2"/>
          <w:sz w:val="14"/>
          <w:szCs w:val="16"/>
          <w:lang w:eastAsia="zh-CN"/>
        </w:rPr>
      </w:pPr>
      <w:r w:rsidRPr="00662248">
        <w:rPr>
          <w:rFonts w:ascii="Arial" w:eastAsia="Times New Roman" w:hAnsi="Arial" w:cs="Arial"/>
          <w:spacing w:val="-2"/>
          <w:sz w:val="14"/>
          <w:szCs w:val="16"/>
          <w:lang w:eastAsia="zh-CN"/>
        </w:rPr>
        <w:t>Recognition of dividends</w:t>
      </w:r>
      <w:r>
        <w:rPr>
          <w:rFonts w:ascii="Arial" w:eastAsia="Times New Roman" w:hAnsi="Arial" w:cs="Arial"/>
          <w:spacing w:val="-2"/>
          <w:sz w:val="14"/>
          <w:szCs w:val="16"/>
          <w:lang w:eastAsia="zh-CN"/>
        </w:rPr>
        <w:t>.</w:t>
      </w:r>
    </w:p>
    <w:p w14:paraId="10BC67FB" w14:textId="77777777" w:rsidR="008B7E19" w:rsidRPr="00662248" w:rsidRDefault="008B7E19" w:rsidP="00882B41">
      <w:pPr>
        <w:pStyle w:val="PargrafodaLista"/>
        <w:keepNext/>
        <w:keepLines/>
        <w:numPr>
          <w:ilvl w:val="0"/>
          <w:numId w:val="32"/>
        </w:numPr>
        <w:spacing w:after="0" w:line="240" w:lineRule="auto"/>
        <w:rPr>
          <w:rFonts w:ascii="Arial" w:eastAsia="Times New Roman" w:hAnsi="Arial" w:cs="Arial"/>
          <w:spacing w:val="-2"/>
          <w:sz w:val="14"/>
          <w:szCs w:val="16"/>
          <w:lang w:val="en-US" w:eastAsia="zh-CN"/>
        </w:rPr>
      </w:pPr>
      <w:r>
        <w:rPr>
          <w:rFonts w:ascii="Arial" w:eastAsia="Times New Roman" w:hAnsi="Arial" w:cs="Arial"/>
          <w:spacing w:val="-2"/>
          <w:sz w:val="14"/>
          <w:szCs w:val="16"/>
          <w:lang w:val="en-US" w:eastAsia="zh-CN"/>
        </w:rPr>
        <w:t>B</w:t>
      </w:r>
      <w:r w:rsidRPr="00662248">
        <w:rPr>
          <w:rFonts w:ascii="Arial" w:eastAsia="Times New Roman" w:hAnsi="Arial" w:cs="Arial"/>
          <w:spacing w:val="-2"/>
          <w:sz w:val="14"/>
          <w:szCs w:val="16"/>
          <w:lang w:val="en-US" w:eastAsia="zh-CN"/>
        </w:rPr>
        <w:t>alance with a one-month lag.</w:t>
      </w:r>
    </w:p>
    <w:p w14:paraId="26EDB2E5" w14:textId="77777777" w:rsidR="008B7E19" w:rsidRDefault="008B7E19" w:rsidP="008B7E19">
      <w:pPr>
        <w:spacing w:after="0" w:line="240" w:lineRule="auto"/>
        <w:rPr>
          <w:rFonts w:eastAsia="Times New Roman" w:cs="Times New Roman"/>
          <w:b/>
          <w:color w:val="1F4E79" w:themeColor="accent1" w:themeShade="80"/>
          <w:spacing w:val="-2"/>
          <w:szCs w:val="20"/>
          <w:lang w:val="en-US" w:eastAsia="pt-BR"/>
        </w:rPr>
      </w:pPr>
    </w:p>
    <w:p w14:paraId="07F4C334" w14:textId="77777777" w:rsidR="008B7E19" w:rsidRPr="00FC09E4" w:rsidRDefault="008B7E19" w:rsidP="008B7E19">
      <w:pPr>
        <w:spacing w:after="0" w:line="240" w:lineRule="auto"/>
        <w:rPr>
          <w:rFonts w:eastAsia="Times New Roman" w:cs="Times New Roman"/>
          <w:b/>
          <w:color w:val="1F4E79" w:themeColor="accent1" w:themeShade="80"/>
          <w:spacing w:val="-2"/>
          <w:szCs w:val="20"/>
          <w:lang w:val="en-US" w:eastAsia="pt-BR"/>
        </w:rPr>
      </w:pPr>
      <w:r w:rsidRPr="00FC09E4">
        <w:rPr>
          <w:rFonts w:eastAsia="Times New Roman" w:cs="Times New Roman"/>
          <w:b/>
          <w:color w:val="1F4E79" w:themeColor="accent1" w:themeShade="80"/>
          <w:spacing w:val="-2"/>
          <w:szCs w:val="20"/>
          <w:lang w:val="en-US" w:eastAsia="pt-BR"/>
        </w:rPr>
        <w:t>Information for comparison purposes</w:t>
      </w:r>
    </w:p>
    <w:p w14:paraId="53F1445B" w14:textId="77777777" w:rsidR="008B7E19" w:rsidRPr="00FC09E4" w:rsidRDefault="008B7E19" w:rsidP="008B7E19">
      <w:pPr>
        <w:spacing w:after="0" w:line="240" w:lineRule="auto"/>
        <w:jc w:val="right"/>
        <w:rPr>
          <w:rFonts w:cs="Arial"/>
          <w:b/>
          <w:sz w:val="14"/>
          <w:lang w:val="en-US" w:eastAsia="pt-BR"/>
        </w:rPr>
      </w:pPr>
      <w:r w:rsidRPr="00FC09E4">
        <w:rPr>
          <w:rFonts w:cs="Arial"/>
          <w:b/>
          <w:sz w:val="14"/>
          <w:lang w:val="en-US" w:eastAsia="pt-BR"/>
        </w:rPr>
        <w:t>R$ thousand</w:t>
      </w:r>
    </w:p>
    <w:tbl>
      <w:tblPr>
        <w:tblStyle w:val="TabeladeLista6Colorida-nfase512"/>
        <w:tblW w:w="9639" w:type="dxa"/>
        <w:jc w:val="center"/>
        <w:tblInd w:w="0" w:type="dxa"/>
        <w:tblLayout w:type="fixed"/>
        <w:tblLook w:val="04A0" w:firstRow="1" w:lastRow="0" w:firstColumn="1" w:lastColumn="0" w:noHBand="0" w:noVBand="1"/>
      </w:tblPr>
      <w:tblGrid>
        <w:gridCol w:w="2803"/>
        <w:gridCol w:w="1709"/>
        <w:gridCol w:w="1709"/>
        <w:gridCol w:w="1709"/>
        <w:gridCol w:w="1709"/>
      </w:tblGrid>
      <w:tr w:rsidR="008B7E19" w:rsidRPr="00537AE7" w14:paraId="12305B5E" w14:textId="77777777" w:rsidTr="008B7E19">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single" w:sz="2" w:space="0" w:color="1F4E79" w:themeColor="accent1" w:themeShade="80"/>
              <w:left w:val="nil"/>
              <w:bottom w:val="single" w:sz="2" w:space="0" w:color="1F4E79" w:themeColor="accent1" w:themeShade="80"/>
              <w:right w:val="nil"/>
            </w:tcBorders>
            <w:shd w:val="clear" w:color="auto" w:fill="auto"/>
            <w:vAlign w:val="center"/>
          </w:tcPr>
          <w:p w14:paraId="69D8462D" w14:textId="77777777" w:rsidR="008B7E19" w:rsidRPr="00FC09E4" w:rsidRDefault="008B7E19" w:rsidP="008B7E19">
            <w:pPr>
              <w:jc w:val="center"/>
              <w:rPr>
                <w:rFonts w:cs="Arial"/>
                <w:sz w:val="14"/>
                <w:szCs w:val="14"/>
                <w:lang w:val="en-US"/>
              </w:rPr>
            </w:pPr>
          </w:p>
        </w:tc>
        <w:tc>
          <w:tcPr>
            <w:tcW w:w="1709" w:type="dxa"/>
            <w:tcBorders>
              <w:top w:val="single" w:sz="2" w:space="0" w:color="1F4E79" w:themeColor="accent1" w:themeShade="80"/>
              <w:left w:val="nil"/>
              <w:bottom w:val="single" w:sz="2" w:space="0" w:color="1F4E79" w:themeColor="accent1" w:themeShade="80"/>
              <w:right w:val="nil"/>
            </w:tcBorders>
            <w:shd w:val="clear" w:color="auto" w:fill="auto"/>
            <w:vAlign w:val="center"/>
          </w:tcPr>
          <w:p w14:paraId="29091480" w14:textId="77777777" w:rsidR="008B7E19" w:rsidRDefault="008B7E19" w:rsidP="008B7E19">
            <w:pPr>
              <w:jc w:val="right"/>
              <w:cnfStyle w:val="100000000000" w:firstRow="1" w:lastRow="0" w:firstColumn="0" w:lastColumn="0" w:oddVBand="0" w:evenVBand="0" w:oddHBand="0" w:evenHBand="0" w:firstRowFirstColumn="0" w:firstRowLastColumn="0" w:lastRowFirstColumn="0" w:lastRowLastColumn="0"/>
              <w:rPr>
                <w:rFonts w:cs="Arial"/>
                <w:sz w:val="14"/>
                <w:szCs w:val="14"/>
              </w:rPr>
            </w:pPr>
            <w:r w:rsidRPr="00925790">
              <w:rPr>
                <w:rFonts w:cs="Arial"/>
                <w:sz w:val="14"/>
                <w:szCs w:val="14"/>
              </w:rPr>
              <w:t>2</w:t>
            </w:r>
            <w:r w:rsidRPr="00925790">
              <w:rPr>
                <w:rFonts w:cs="Arial"/>
                <w:sz w:val="14"/>
                <w:szCs w:val="14"/>
                <w:vertAlign w:val="superscript"/>
              </w:rPr>
              <w:t>nd</w:t>
            </w:r>
            <w:r w:rsidRPr="00925790">
              <w:rPr>
                <w:rFonts w:cs="Arial"/>
                <w:sz w:val="14"/>
                <w:szCs w:val="14"/>
              </w:rPr>
              <w:t xml:space="preserve"> Quarter 2023</w:t>
            </w:r>
          </w:p>
        </w:tc>
        <w:tc>
          <w:tcPr>
            <w:tcW w:w="1709" w:type="dxa"/>
            <w:tcBorders>
              <w:top w:val="single" w:sz="2" w:space="0" w:color="1F4E79" w:themeColor="accent1" w:themeShade="80"/>
              <w:left w:val="nil"/>
              <w:bottom w:val="single" w:sz="2" w:space="0" w:color="1F4E79" w:themeColor="accent1" w:themeShade="80"/>
              <w:right w:val="nil"/>
            </w:tcBorders>
            <w:shd w:val="clear" w:color="auto" w:fill="auto"/>
            <w:vAlign w:val="center"/>
          </w:tcPr>
          <w:p w14:paraId="5C643868" w14:textId="77777777" w:rsidR="008B7E19" w:rsidRDefault="008B7E19" w:rsidP="008B7E19">
            <w:pPr>
              <w:jc w:val="right"/>
              <w:cnfStyle w:val="100000000000" w:firstRow="1" w:lastRow="0" w:firstColumn="0" w:lastColumn="0" w:oddVBand="0" w:evenVBand="0" w:oddHBand="0" w:evenHBand="0" w:firstRowFirstColumn="0" w:firstRowLastColumn="0" w:lastRowFirstColumn="0" w:lastRowLastColumn="0"/>
              <w:rPr>
                <w:rFonts w:cs="Arial"/>
                <w:sz w:val="14"/>
                <w:szCs w:val="14"/>
              </w:rPr>
            </w:pPr>
            <w:r w:rsidRPr="00925790">
              <w:rPr>
                <w:rFonts w:cs="Arial"/>
                <w:sz w:val="14"/>
                <w:szCs w:val="14"/>
              </w:rPr>
              <w:t>1</w:t>
            </w:r>
            <w:r w:rsidRPr="00925790">
              <w:rPr>
                <w:rFonts w:cs="Arial"/>
                <w:sz w:val="14"/>
                <w:szCs w:val="14"/>
                <w:vertAlign w:val="superscript"/>
              </w:rPr>
              <w:t>st</w:t>
            </w:r>
            <w:r w:rsidRPr="00925790">
              <w:rPr>
                <w:rFonts w:cs="Arial"/>
                <w:sz w:val="14"/>
                <w:szCs w:val="14"/>
              </w:rPr>
              <w:t xml:space="preserve"> Half 2023</w:t>
            </w:r>
          </w:p>
        </w:tc>
        <w:tc>
          <w:tcPr>
            <w:tcW w:w="1709" w:type="dxa"/>
            <w:tcBorders>
              <w:top w:val="single" w:sz="2" w:space="0" w:color="1F4E79" w:themeColor="accent1" w:themeShade="80"/>
              <w:left w:val="nil"/>
              <w:bottom w:val="single" w:sz="2" w:space="0" w:color="1F4E79" w:themeColor="accent1" w:themeShade="80"/>
              <w:right w:val="nil"/>
            </w:tcBorders>
            <w:shd w:val="clear" w:color="auto" w:fill="auto"/>
            <w:vAlign w:val="center"/>
          </w:tcPr>
          <w:p w14:paraId="0BD4D9AE" w14:textId="77777777" w:rsidR="008B7E19" w:rsidRPr="00537AE7" w:rsidRDefault="008B7E19" w:rsidP="008B7E19">
            <w:pPr>
              <w:jc w:val="right"/>
              <w:cnfStyle w:val="100000000000" w:firstRow="1" w:lastRow="0" w:firstColumn="0" w:lastColumn="0" w:oddVBand="0" w:evenVBand="0" w:oddHBand="0" w:evenHBand="0" w:firstRowFirstColumn="0" w:firstRowLastColumn="0" w:lastRowFirstColumn="0" w:lastRowLastColumn="0"/>
              <w:rPr>
                <w:rFonts w:cs="Arial"/>
                <w:b w:val="0"/>
                <w:sz w:val="14"/>
                <w:szCs w:val="14"/>
              </w:rPr>
            </w:pPr>
            <w:r w:rsidRPr="00925790">
              <w:rPr>
                <w:rFonts w:cs="Arial"/>
                <w:sz w:val="14"/>
                <w:szCs w:val="14"/>
              </w:rPr>
              <w:t>2</w:t>
            </w:r>
            <w:r w:rsidRPr="00925790">
              <w:rPr>
                <w:rFonts w:cs="Arial"/>
                <w:sz w:val="14"/>
                <w:szCs w:val="14"/>
                <w:vertAlign w:val="superscript"/>
              </w:rPr>
              <w:t>nd</w:t>
            </w:r>
            <w:r w:rsidRPr="00925790">
              <w:rPr>
                <w:rFonts w:cs="Arial"/>
                <w:sz w:val="14"/>
                <w:szCs w:val="14"/>
              </w:rPr>
              <w:t xml:space="preserve"> Quarter 2022</w:t>
            </w:r>
          </w:p>
        </w:tc>
        <w:tc>
          <w:tcPr>
            <w:tcW w:w="1709" w:type="dxa"/>
            <w:tcBorders>
              <w:top w:val="single" w:sz="2" w:space="0" w:color="1F4E79" w:themeColor="accent1" w:themeShade="80"/>
              <w:left w:val="nil"/>
              <w:bottom w:val="single" w:sz="2" w:space="0" w:color="1F4E79" w:themeColor="accent1" w:themeShade="80"/>
              <w:right w:val="nil"/>
            </w:tcBorders>
            <w:shd w:val="clear" w:color="auto" w:fill="auto"/>
            <w:vAlign w:val="center"/>
          </w:tcPr>
          <w:p w14:paraId="7FAFB143" w14:textId="77777777" w:rsidR="008B7E19" w:rsidRPr="00537AE7" w:rsidRDefault="008B7E19" w:rsidP="008B7E19">
            <w:pPr>
              <w:jc w:val="right"/>
              <w:cnfStyle w:val="100000000000" w:firstRow="1" w:lastRow="0" w:firstColumn="0" w:lastColumn="0" w:oddVBand="0" w:evenVBand="0" w:oddHBand="0" w:evenHBand="0" w:firstRowFirstColumn="0" w:firstRowLastColumn="0" w:lastRowFirstColumn="0" w:lastRowLastColumn="0"/>
              <w:rPr>
                <w:rFonts w:cs="Arial"/>
                <w:sz w:val="14"/>
                <w:szCs w:val="14"/>
              </w:rPr>
            </w:pPr>
            <w:r w:rsidRPr="00925790">
              <w:rPr>
                <w:rFonts w:cs="Arial"/>
                <w:sz w:val="14"/>
                <w:szCs w:val="14"/>
              </w:rPr>
              <w:t>1</w:t>
            </w:r>
            <w:r w:rsidRPr="00925790">
              <w:rPr>
                <w:rFonts w:cs="Arial"/>
                <w:sz w:val="14"/>
                <w:szCs w:val="14"/>
                <w:vertAlign w:val="superscript"/>
              </w:rPr>
              <w:t>st</w:t>
            </w:r>
            <w:r w:rsidRPr="00925790">
              <w:rPr>
                <w:rFonts w:cs="Arial"/>
                <w:sz w:val="14"/>
                <w:szCs w:val="14"/>
              </w:rPr>
              <w:t xml:space="preserve"> Half 2022</w:t>
            </w:r>
          </w:p>
        </w:tc>
      </w:tr>
      <w:tr w:rsidR="008B7E19" w:rsidRPr="00026122" w14:paraId="0ED25283"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single" w:sz="2" w:space="0" w:color="1F4E79" w:themeColor="accent1" w:themeShade="80"/>
              <w:left w:val="nil"/>
              <w:bottom w:val="nil"/>
              <w:right w:val="nil"/>
            </w:tcBorders>
            <w:shd w:val="clear" w:color="auto" w:fill="auto"/>
            <w:vAlign w:val="center"/>
          </w:tcPr>
          <w:p w14:paraId="642DDAB8" w14:textId="77777777" w:rsidR="008B7E19" w:rsidRPr="00026122" w:rsidRDefault="008B7E19" w:rsidP="008B7E19">
            <w:pPr>
              <w:keepNext/>
              <w:keepLines/>
              <w:rPr>
                <w:rFonts w:eastAsia="Times New Roman" w:cs="Arial"/>
                <w:b w:val="0"/>
                <w:bCs w:val="0"/>
                <w:spacing w:val="-2"/>
                <w:sz w:val="14"/>
                <w:szCs w:val="14"/>
              </w:rPr>
            </w:pPr>
            <w:r w:rsidRPr="00FC09E4">
              <w:rPr>
                <w:rFonts w:cs="Arial"/>
                <w:b w:val="0"/>
                <w:bCs w:val="0"/>
                <w:sz w:val="14"/>
                <w:szCs w:val="14"/>
              </w:rPr>
              <w:t>Net income</w:t>
            </w:r>
            <w:r w:rsidRPr="00026122">
              <w:rPr>
                <w:rFonts w:cs="Arial"/>
                <w:b w:val="0"/>
                <w:bCs w:val="0"/>
                <w:sz w:val="14"/>
                <w:szCs w:val="14"/>
              </w:rPr>
              <w:t xml:space="preserve"> (SUSEP)</w:t>
            </w:r>
          </w:p>
        </w:tc>
        <w:tc>
          <w:tcPr>
            <w:tcW w:w="1709" w:type="dxa"/>
            <w:tcBorders>
              <w:top w:val="single" w:sz="2" w:space="0" w:color="1F4E79" w:themeColor="accent1" w:themeShade="80"/>
              <w:left w:val="nil"/>
              <w:bottom w:val="nil"/>
              <w:right w:val="nil"/>
            </w:tcBorders>
            <w:shd w:val="clear" w:color="auto" w:fill="auto"/>
            <w:vAlign w:val="center"/>
          </w:tcPr>
          <w:p w14:paraId="4E2CC02D" w14:textId="77777777" w:rsidR="008B7E19" w:rsidRPr="00026122"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rPr>
            </w:pPr>
            <w:r w:rsidRPr="00516860">
              <w:rPr>
                <w:rFonts w:cs="Arial"/>
                <w:sz w:val="14"/>
                <w:szCs w:val="14"/>
              </w:rPr>
              <w:t>6</w:t>
            </w:r>
            <w:r>
              <w:rPr>
                <w:rFonts w:cs="Arial"/>
                <w:sz w:val="14"/>
                <w:szCs w:val="14"/>
              </w:rPr>
              <w:t>,</w:t>
            </w:r>
            <w:r w:rsidRPr="00516860">
              <w:rPr>
                <w:rFonts w:cs="Arial"/>
                <w:sz w:val="14"/>
                <w:szCs w:val="14"/>
              </w:rPr>
              <w:t>286</w:t>
            </w:r>
          </w:p>
        </w:tc>
        <w:tc>
          <w:tcPr>
            <w:tcW w:w="1709" w:type="dxa"/>
            <w:tcBorders>
              <w:top w:val="single" w:sz="2" w:space="0" w:color="1F4E79" w:themeColor="accent1" w:themeShade="80"/>
              <w:left w:val="nil"/>
              <w:bottom w:val="nil"/>
              <w:right w:val="nil"/>
            </w:tcBorders>
            <w:shd w:val="clear" w:color="auto" w:fill="auto"/>
            <w:vAlign w:val="center"/>
          </w:tcPr>
          <w:p w14:paraId="25D55770" w14:textId="77777777" w:rsidR="008B7E19" w:rsidRPr="00026122"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rPr>
            </w:pPr>
            <w:r w:rsidRPr="00516860">
              <w:rPr>
                <w:rFonts w:cs="Arial"/>
                <w:sz w:val="14"/>
                <w:szCs w:val="14"/>
              </w:rPr>
              <w:t>10</w:t>
            </w:r>
            <w:r>
              <w:rPr>
                <w:rFonts w:cs="Arial"/>
                <w:sz w:val="14"/>
                <w:szCs w:val="14"/>
              </w:rPr>
              <w:t>,</w:t>
            </w:r>
            <w:r w:rsidRPr="00516860">
              <w:rPr>
                <w:rFonts w:cs="Arial"/>
                <w:sz w:val="14"/>
                <w:szCs w:val="14"/>
              </w:rPr>
              <w:t>769</w:t>
            </w:r>
          </w:p>
        </w:tc>
        <w:tc>
          <w:tcPr>
            <w:tcW w:w="1709" w:type="dxa"/>
            <w:tcBorders>
              <w:top w:val="single" w:sz="2" w:space="0" w:color="1F4E79" w:themeColor="accent1" w:themeShade="80"/>
              <w:left w:val="nil"/>
              <w:bottom w:val="nil"/>
              <w:right w:val="nil"/>
            </w:tcBorders>
            <w:shd w:val="clear" w:color="auto" w:fill="auto"/>
            <w:vAlign w:val="center"/>
          </w:tcPr>
          <w:p w14:paraId="04883C68" w14:textId="77777777" w:rsidR="008B7E19" w:rsidRPr="00026122"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rPr>
            </w:pPr>
            <w:r w:rsidRPr="00516860">
              <w:rPr>
                <w:rFonts w:cs="Arial"/>
                <w:sz w:val="14"/>
                <w:szCs w:val="14"/>
              </w:rPr>
              <w:t>6</w:t>
            </w:r>
            <w:r>
              <w:rPr>
                <w:rFonts w:cs="Arial"/>
                <w:sz w:val="14"/>
                <w:szCs w:val="14"/>
              </w:rPr>
              <w:t>,</w:t>
            </w:r>
            <w:r w:rsidRPr="00516860">
              <w:rPr>
                <w:rFonts w:cs="Arial"/>
                <w:sz w:val="14"/>
                <w:szCs w:val="14"/>
              </w:rPr>
              <w:t>404</w:t>
            </w:r>
          </w:p>
        </w:tc>
        <w:tc>
          <w:tcPr>
            <w:tcW w:w="1709" w:type="dxa"/>
            <w:tcBorders>
              <w:top w:val="single" w:sz="2" w:space="0" w:color="1F4E79" w:themeColor="accent1" w:themeShade="80"/>
              <w:left w:val="nil"/>
              <w:bottom w:val="nil"/>
              <w:right w:val="nil"/>
            </w:tcBorders>
            <w:shd w:val="clear" w:color="auto" w:fill="auto"/>
            <w:vAlign w:val="center"/>
          </w:tcPr>
          <w:p w14:paraId="798217A7" w14:textId="77777777" w:rsidR="008B7E19" w:rsidRPr="00026122"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516860">
              <w:rPr>
                <w:rFonts w:cs="Arial"/>
                <w:color w:val="000000"/>
                <w:sz w:val="14"/>
                <w:szCs w:val="14"/>
              </w:rPr>
              <w:t>14</w:t>
            </w:r>
            <w:r>
              <w:rPr>
                <w:rFonts w:cs="Arial"/>
                <w:color w:val="000000"/>
                <w:sz w:val="14"/>
                <w:szCs w:val="14"/>
              </w:rPr>
              <w:t>,</w:t>
            </w:r>
            <w:r w:rsidRPr="00516860">
              <w:rPr>
                <w:rFonts w:cs="Arial"/>
                <w:color w:val="000000"/>
                <w:sz w:val="14"/>
                <w:szCs w:val="14"/>
              </w:rPr>
              <w:t>678</w:t>
            </w:r>
          </w:p>
        </w:tc>
      </w:tr>
      <w:tr w:rsidR="008B7E19" w:rsidRPr="00026122" w14:paraId="1BED6D2D" w14:textId="77777777" w:rsidTr="008B7E1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shd w:val="clear" w:color="auto" w:fill="auto"/>
            <w:vAlign w:val="center"/>
          </w:tcPr>
          <w:p w14:paraId="35B43459" w14:textId="77777777" w:rsidR="008B7E19" w:rsidRPr="00026122" w:rsidRDefault="008B7E19" w:rsidP="008B7E19">
            <w:pPr>
              <w:keepNext/>
              <w:keepLines/>
              <w:rPr>
                <w:rFonts w:cs="Arial"/>
                <w:b w:val="0"/>
                <w:bCs w:val="0"/>
                <w:sz w:val="14"/>
                <w:szCs w:val="14"/>
              </w:rPr>
            </w:pPr>
            <w:r w:rsidRPr="00FC09E4">
              <w:rPr>
                <w:rFonts w:cs="Arial"/>
                <w:b w:val="0"/>
                <w:bCs w:val="0"/>
                <w:sz w:val="14"/>
                <w:szCs w:val="14"/>
              </w:rPr>
              <w:t xml:space="preserve">Comprehensive income </w:t>
            </w:r>
            <w:r w:rsidRPr="00026122">
              <w:rPr>
                <w:rFonts w:cs="Arial"/>
                <w:b w:val="0"/>
                <w:bCs w:val="0"/>
                <w:sz w:val="14"/>
                <w:szCs w:val="14"/>
              </w:rPr>
              <w:t>(SUSEP)</w:t>
            </w:r>
          </w:p>
        </w:tc>
        <w:tc>
          <w:tcPr>
            <w:tcW w:w="1709" w:type="dxa"/>
            <w:tcBorders>
              <w:top w:val="nil"/>
              <w:left w:val="nil"/>
              <w:bottom w:val="nil"/>
              <w:right w:val="nil"/>
            </w:tcBorders>
            <w:shd w:val="clear" w:color="auto" w:fill="auto"/>
            <w:vAlign w:val="center"/>
          </w:tcPr>
          <w:p w14:paraId="5D48FC1E" w14:textId="77777777" w:rsidR="008B7E19" w:rsidRPr="00026122"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sz w:val="14"/>
                <w:szCs w:val="14"/>
              </w:rPr>
            </w:pPr>
            <w:r w:rsidRPr="00516860">
              <w:rPr>
                <w:rFonts w:cs="Arial"/>
                <w:sz w:val="14"/>
                <w:szCs w:val="14"/>
              </w:rPr>
              <w:t>6</w:t>
            </w:r>
            <w:r>
              <w:rPr>
                <w:rFonts w:cs="Arial"/>
                <w:sz w:val="14"/>
                <w:szCs w:val="14"/>
              </w:rPr>
              <w:t>,</w:t>
            </w:r>
            <w:r w:rsidRPr="00516860">
              <w:rPr>
                <w:rFonts w:cs="Arial"/>
                <w:sz w:val="14"/>
                <w:szCs w:val="14"/>
              </w:rPr>
              <w:t>286</w:t>
            </w:r>
          </w:p>
        </w:tc>
        <w:tc>
          <w:tcPr>
            <w:tcW w:w="1709" w:type="dxa"/>
            <w:tcBorders>
              <w:top w:val="nil"/>
              <w:left w:val="nil"/>
              <w:bottom w:val="nil"/>
              <w:right w:val="nil"/>
            </w:tcBorders>
            <w:shd w:val="clear" w:color="auto" w:fill="auto"/>
            <w:vAlign w:val="center"/>
          </w:tcPr>
          <w:p w14:paraId="53FCF72B" w14:textId="77777777" w:rsidR="008B7E19" w:rsidRPr="00026122"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sz w:val="14"/>
                <w:szCs w:val="14"/>
              </w:rPr>
            </w:pPr>
            <w:r w:rsidRPr="00516860">
              <w:rPr>
                <w:rFonts w:cs="Arial"/>
                <w:sz w:val="14"/>
                <w:szCs w:val="14"/>
              </w:rPr>
              <w:t>10</w:t>
            </w:r>
            <w:r>
              <w:rPr>
                <w:rFonts w:cs="Arial"/>
                <w:sz w:val="14"/>
                <w:szCs w:val="14"/>
              </w:rPr>
              <w:t>,</w:t>
            </w:r>
            <w:r w:rsidRPr="00516860">
              <w:rPr>
                <w:rFonts w:cs="Arial"/>
                <w:sz w:val="14"/>
                <w:szCs w:val="14"/>
              </w:rPr>
              <w:t>769</w:t>
            </w:r>
          </w:p>
        </w:tc>
        <w:tc>
          <w:tcPr>
            <w:tcW w:w="1709" w:type="dxa"/>
            <w:tcBorders>
              <w:top w:val="nil"/>
              <w:left w:val="nil"/>
              <w:bottom w:val="nil"/>
              <w:right w:val="nil"/>
            </w:tcBorders>
            <w:shd w:val="clear" w:color="auto" w:fill="auto"/>
            <w:vAlign w:val="center"/>
          </w:tcPr>
          <w:p w14:paraId="2AA31885" w14:textId="77777777" w:rsidR="008B7E19" w:rsidRPr="00026122"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sz w:val="14"/>
                <w:szCs w:val="14"/>
              </w:rPr>
            </w:pPr>
            <w:r w:rsidRPr="00516860">
              <w:rPr>
                <w:rFonts w:cs="Arial"/>
                <w:sz w:val="14"/>
                <w:szCs w:val="14"/>
              </w:rPr>
              <w:t>6</w:t>
            </w:r>
            <w:r>
              <w:rPr>
                <w:rFonts w:cs="Arial"/>
                <w:sz w:val="14"/>
                <w:szCs w:val="14"/>
              </w:rPr>
              <w:t>,</w:t>
            </w:r>
            <w:r w:rsidRPr="00516860">
              <w:rPr>
                <w:rFonts w:cs="Arial"/>
                <w:sz w:val="14"/>
                <w:szCs w:val="14"/>
              </w:rPr>
              <w:t>404</w:t>
            </w:r>
          </w:p>
        </w:tc>
        <w:tc>
          <w:tcPr>
            <w:tcW w:w="1709" w:type="dxa"/>
            <w:tcBorders>
              <w:top w:val="nil"/>
              <w:left w:val="nil"/>
              <w:bottom w:val="nil"/>
              <w:right w:val="nil"/>
            </w:tcBorders>
            <w:shd w:val="clear" w:color="auto" w:fill="auto"/>
            <w:vAlign w:val="center"/>
          </w:tcPr>
          <w:p w14:paraId="4DF06F5F" w14:textId="77777777" w:rsidR="008B7E19" w:rsidRPr="00026122"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color w:val="000000"/>
                <w:sz w:val="14"/>
                <w:szCs w:val="14"/>
              </w:rPr>
            </w:pPr>
            <w:r w:rsidRPr="00516860">
              <w:rPr>
                <w:rFonts w:cs="Arial"/>
                <w:color w:val="000000"/>
                <w:sz w:val="14"/>
                <w:szCs w:val="14"/>
              </w:rPr>
              <w:t>14</w:t>
            </w:r>
            <w:r>
              <w:rPr>
                <w:rFonts w:cs="Arial"/>
                <w:color w:val="000000"/>
                <w:sz w:val="14"/>
                <w:szCs w:val="14"/>
              </w:rPr>
              <w:t>,</w:t>
            </w:r>
            <w:r w:rsidRPr="00516860">
              <w:rPr>
                <w:rFonts w:cs="Arial"/>
                <w:color w:val="000000"/>
                <w:sz w:val="14"/>
                <w:szCs w:val="14"/>
              </w:rPr>
              <w:t>678</w:t>
            </w:r>
          </w:p>
        </w:tc>
      </w:tr>
      <w:tr w:rsidR="008B7E19" w:rsidRPr="00026122" w14:paraId="447FB9E9"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shd w:val="clear" w:color="auto" w:fill="auto"/>
            <w:vAlign w:val="center"/>
          </w:tcPr>
          <w:p w14:paraId="7E820CC5" w14:textId="77777777" w:rsidR="008B7E19" w:rsidRPr="00026122" w:rsidRDefault="008B7E19" w:rsidP="008B7E19">
            <w:pPr>
              <w:keepNext/>
              <w:keepLines/>
              <w:rPr>
                <w:rFonts w:cs="Arial"/>
                <w:b w:val="0"/>
                <w:bCs w:val="0"/>
                <w:sz w:val="14"/>
                <w:szCs w:val="14"/>
              </w:rPr>
            </w:pPr>
          </w:p>
        </w:tc>
        <w:tc>
          <w:tcPr>
            <w:tcW w:w="1709" w:type="dxa"/>
            <w:tcBorders>
              <w:top w:val="nil"/>
              <w:left w:val="nil"/>
              <w:bottom w:val="nil"/>
              <w:right w:val="nil"/>
            </w:tcBorders>
            <w:shd w:val="clear" w:color="auto" w:fill="auto"/>
            <w:vAlign w:val="center"/>
          </w:tcPr>
          <w:p w14:paraId="5E30CEF6" w14:textId="77777777" w:rsidR="008B7E19" w:rsidRPr="00026122"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rPr>
            </w:pPr>
          </w:p>
        </w:tc>
        <w:tc>
          <w:tcPr>
            <w:tcW w:w="1709" w:type="dxa"/>
            <w:tcBorders>
              <w:top w:val="nil"/>
              <w:left w:val="nil"/>
              <w:bottom w:val="nil"/>
              <w:right w:val="nil"/>
            </w:tcBorders>
            <w:shd w:val="clear" w:color="auto" w:fill="auto"/>
            <w:vAlign w:val="center"/>
          </w:tcPr>
          <w:p w14:paraId="118094B4" w14:textId="77777777" w:rsidR="008B7E19" w:rsidRPr="00026122"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rPr>
            </w:pPr>
          </w:p>
        </w:tc>
        <w:tc>
          <w:tcPr>
            <w:tcW w:w="1709" w:type="dxa"/>
            <w:tcBorders>
              <w:top w:val="nil"/>
              <w:left w:val="nil"/>
              <w:bottom w:val="nil"/>
              <w:right w:val="nil"/>
            </w:tcBorders>
            <w:shd w:val="clear" w:color="auto" w:fill="auto"/>
            <w:vAlign w:val="center"/>
          </w:tcPr>
          <w:p w14:paraId="0CD56EFF" w14:textId="77777777" w:rsidR="008B7E19" w:rsidRPr="00026122"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rPr>
            </w:pPr>
          </w:p>
        </w:tc>
        <w:tc>
          <w:tcPr>
            <w:tcW w:w="1709" w:type="dxa"/>
            <w:tcBorders>
              <w:top w:val="nil"/>
              <w:left w:val="nil"/>
              <w:bottom w:val="nil"/>
              <w:right w:val="nil"/>
            </w:tcBorders>
            <w:shd w:val="clear" w:color="auto" w:fill="auto"/>
            <w:vAlign w:val="center"/>
          </w:tcPr>
          <w:p w14:paraId="730FE98D" w14:textId="77777777" w:rsidR="008B7E19" w:rsidRPr="00026122"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p>
        </w:tc>
      </w:tr>
      <w:tr w:rsidR="008B7E19" w:rsidRPr="00026122" w14:paraId="5C364AF7" w14:textId="77777777" w:rsidTr="008B7E1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shd w:val="clear" w:color="auto" w:fill="auto"/>
            <w:vAlign w:val="center"/>
          </w:tcPr>
          <w:p w14:paraId="730C0ADD" w14:textId="77777777" w:rsidR="008B7E19" w:rsidRPr="00026122" w:rsidRDefault="008B7E19" w:rsidP="008B7E19">
            <w:pPr>
              <w:keepNext/>
              <w:keepLines/>
              <w:spacing w:before="40" w:after="40"/>
              <w:rPr>
                <w:rFonts w:cs="Arial"/>
                <w:b w:val="0"/>
                <w:bCs w:val="0"/>
                <w:sz w:val="14"/>
                <w:szCs w:val="14"/>
              </w:rPr>
            </w:pPr>
            <w:r w:rsidRPr="00FC09E4">
              <w:rPr>
                <w:rFonts w:cs="Arial"/>
                <w:b w:val="0"/>
                <w:bCs w:val="0"/>
                <w:sz w:val="14"/>
                <w:szCs w:val="14"/>
              </w:rPr>
              <w:t>Net income</w:t>
            </w:r>
            <w:r w:rsidRPr="00026122">
              <w:rPr>
                <w:rFonts w:cs="Arial"/>
                <w:b w:val="0"/>
                <w:bCs w:val="0"/>
                <w:sz w:val="14"/>
                <w:szCs w:val="14"/>
              </w:rPr>
              <w:t xml:space="preserve"> (IFRS)</w:t>
            </w:r>
          </w:p>
        </w:tc>
        <w:tc>
          <w:tcPr>
            <w:tcW w:w="1709" w:type="dxa"/>
            <w:tcBorders>
              <w:top w:val="nil"/>
              <w:left w:val="nil"/>
              <w:bottom w:val="nil"/>
              <w:right w:val="nil"/>
            </w:tcBorders>
            <w:shd w:val="clear" w:color="auto" w:fill="auto"/>
            <w:vAlign w:val="center"/>
          </w:tcPr>
          <w:p w14:paraId="3009BDB7" w14:textId="77777777" w:rsidR="008B7E19" w:rsidRPr="00026122"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sz w:val="14"/>
                <w:szCs w:val="14"/>
              </w:rPr>
            </w:pPr>
            <w:r w:rsidRPr="00516860">
              <w:rPr>
                <w:rFonts w:cs="Arial"/>
                <w:sz w:val="14"/>
                <w:szCs w:val="14"/>
              </w:rPr>
              <w:t>6</w:t>
            </w:r>
            <w:r>
              <w:rPr>
                <w:rFonts w:cs="Arial"/>
                <w:sz w:val="14"/>
                <w:szCs w:val="14"/>
              </w:rPr>
              <w:t>,</w:t>
            </w:r>
            <w:r w:rsidRPr="00516860">
              <w:rPr>
                <w:rFonts w:cs="Arial"/>
                <w:sz w:val="14"/>
                <w:szCs w:val="14"/>
              </w:rPr>
              <w:t>719</w:t>
            </w:r>
          </w:p>
        </w:tc>
        <w:tc>
          <w:tcPr>
            <w:tcW w:w="1709" w:type="dxa"/>
            <w:tcBorders>
              <w:top w:val="nil"/>
              <w:left w:val="nil"/>
              <w:bottom w:val="nil"/>
              <w:right w:val="nil"/>
            </w:tcBorders>
            <w:shd w:val="clear" w:color="auto" w:fill="auto"/>
            <w:vAlign w:val="center"/>
          </w:tcPr>
          <w:p w14:paraId="00BFF205" w14:textId="77777777" w:rsidR="008B7E19" w:rsidRPr="00026122"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sz w:val="14"/>
                <w:szCs w:val="14"/>
              </w:rPr>
            </w:pPr>
            <w:r w:rsidRPr="00516860">
              <w:rPr>
                <w:rFonts w:cs="Arial"/>
                <w:sz w:val="14"/>
                <w:szCs w:val="14"/>
              </w:rPr>
              <w:t>11</w:t>
            </w:r>
            <w:r>
              <w:rPr>
                <w:rFonts w:cs="Arial"/>
                <w:sz w:val="14"/>
                <w:szCs w:val="14"/>
              </w:rPr>
              <w:t>,</w:t>
            </w:r>
            <w:r w:rsidRPr="00516860">
              <w:rPr>
                <w:rFonts w:cs="Arial"/>
                <w:sz w:val="14"/>
                <w:szCs w:val="14"/>
              </w:rPr>
              <w:t>030</w:t>
            </w:r>
          </w:p>
        </w:tc>
        <w:tc>
          <w:tcPr>
            <w:tcW w:w="1709" w:type="dxa"/>
            <w:tcBorders>
              <w:top w:val="nil"/>
              <w:left w:val="nil"/>
              <w:bottom w:val="nil"/>
              <w:right w:val="nil"/>
            </w:tcBorders>
            <w:shd w:val="clear" w:color="auto" w:fill="auto"/>
            <w:vAlign w:val="center"/>
          </w:tcPr>
          <w:p w14:paraId="5EB469CE" w14:textId="77777777" w:rsidR="008B7E19" w:rsidRPr="00026122"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sz w:val="14"/>
                <w:szCs w:val="14"/>
              </w:rPr>
            </w:pPr>
            <w:r w:rsidRPr="00516860">
              <w:rPr>
                <w:rFonts w:cs="Arial"/>
                <w:sz w:val="14"/>
                <w:szCs w:val="14"/>
              </w:rPr>
              <w:t>4</w:t>
            </w:r>
            <w:r>
              <w:rPr>
                <w:rFonts w:cs="Arial"/>
                <w:sz w:val="14"/>
                <w:szCs w:val="14"/>
              </w:rPr>
              <w:t>,</w:t>
            </w:r>
            <w:r w:rsidRPr="00516860">
              <w:rPr>
                <w:rFonts w:cs="Arial"/>
                <w:sz w:val="14"/>
                <w:szCs w:val="14"/>
              </w:rPr>
              <w:t>667</w:t>
            </w:r>
          </w:p>
        </w:tc>
        <w:tc>
          <w:tcPr>
            <w:tcW w:w="1709" w:type="dxa"/>
            <w:tcBorders>
              <w:top w:val="nil"/>
              <w:left w:val="nil"/>
              <w:bottom w:val="nil"/>
              <w:right w:val="nil"/>
            </w:tcBorders>
            <w:shd w:val="clear" w:color="auto" w:fill="auto"/>
            <w:vAlign w:val="center"/>
          </w:tcPr>
          <w:p w14:paraId="4A4BE252" w14:textId="77777777" w:rsidR="008B7E19" w:rsidRPr="00026122"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color w:val="000000"/>
                <w:sz w:val="14"/>
                <w:szCs w:val="14"/>
              </w:rPr>
            </w:pPr>
            <w:r w:rsidRPr="00516860">
              <w:rPr>
                <w:rFonts w:cs="Arial"/>
                <w:color w:val="000000"/>
                <w:sz w:val="14"/>
                <w:szCs w:val="14"/>
              </w:rPr>
              <w:t>11</w:t>
            </w:r>
            <w:r>
              <w:rPr>
                <w:rFonts w:cs="Arial"/>
                <w:color w:val="000000"/>
                <w:sz w:val="14"/>
                <w:szCs w:val="14"/>
              </w:rPr>
              <w:t>,</w:t>
            </w:r>
            <w:r w:rsidRPr="00516860">
              <w:rPr>
                <w:rFonts w:cs="Arial"/>
                <w:color w:val="000000"/>
                <w:sz w:val="14"/>
                <w:szCs w:val="14"/>
              </w:rPr>
              <w:t>494</w:t>
            </w:r>
          </w:p>
        </w:tc>
      </w:tr>
      <w:tr w:rsidR="008B7E19" w:rsidRPr="00026122" w14:paraId="24447877"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single" w:sz="2" w:space="0" w:color="1F4E79" w:themeColor="accent1" w:themeShade="80"/>
              <w:right w:val="nil"/>
            </w:tcBorders>
            <w:shd w:val="clear" w:color="auto" w:fill="auto"/>
            <w:vAlign w:val="center"/>
          </w:tcPr>
          <w:p w14:paraId="29E6C424" w14:textId="77777777" w:rsidR="008B7E19" w:rsidRPr="00026122" w:rsidRDefault="008B7E19" w:rsidP="008B7E19">
            <w:pPr>
              <w:keepNext/>
              <w:keepLines/>
              <w:spacing w:before="40" w:after="40"/>
              <w:rPr>
                <w:rFonts w:cs="Arial"/>
                <w:b w:val="0"/>
                <w:bCs w:val="0"/>
                <w:sz w:val="14"/>
                <w:szCs w:val="14"/>
              </w:rPr>
            </w:pPr>
            <w:r w:rsidRPr="00FC09E4">
              <w:rPr>
                <w:rFonts w:cs="Arial"/>
                <w:b w:val="0"/>
                <w:bCs w:val="0"/>
                <w:sz w:val="14"/>
                <w:szCs w:val="14"/>
              </w:rPr>
              <w:t>Comprehensive income</w:t>
            </w:r>
            <w:r>
              <w:rPr>
                <w:rFonts w:cs="Arial"/>
                <w:b w:val="0"/>
                <w:bCs w:val="0"/>
                <w:sz w:val="14"/>
                <w:szCs w:val="14"/>
              </w:rPr>
              <w:t xml:space="preserve"> </w:t>
            </w:r>
            <w:r w:rsidRPr="00026122">
              <w:rPr>
                <w:rFonts w:cs="Arial"/>
                <w:b w:val="0"/>
                <w:bCs w:val="0"/>
                <w:sz w:val="14"/>
                <w:szCs w:val="14"/>
              </w:rPr>
              <w:t>(IFRS)</w:t>
            </w:r>
          </w:p>
        </w:tc>
        <w:tc>
          <w:tcPr>
            <w:tcW w:w="1709" w:type="dxa"/>
            <w:tcBorders>
              <w:top w:val="nil"/>
              <w:left w:val="nil"/>
              <w:bottom w:val="single" w:sz="2" w:space="0" w:color="1F4E79" w:themeColor="accent1" w:themeShade="80"/>
              <w:right w:val="nil"/>
            </w:tcBorders>
            <w:shd w:val="clear" w:color="auto" w:fill="auto"/>
            <w:vAlign w:val="center"/>
          </w:tcPr>
          <w:p w14:paraId="14FF6DD3" w14:textId="77777777" w:rsidR="008B7E19" w:rsidRPr="00A225CF"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rPr>
            </w:pPr>
            <w:r w:rsidRPr="00516860">
              <w:rPr>
                <w:rFonts w:cs="Arial"/>
                <w:sz w:val="14"/>
                <w:szCs w:val="14"/>
              </w:rPr>
              <w:t>6</w:t>
            </w:r>
            <w:r>
              <w:rPr>
                <w:rFonts w:cs="Arial"/>
                <w:sz w:val="14"/>
                <w:szCs w:val="14"/>
              </w:rPr>
              <w:t>,</w:t>
            </w:r>
            <w:r w:rsidRPr="00516860">
              <w:rPr>
                <w:rFonts w:cs="Arial"/>
                <w:sz w:val="14"/>
                <w:szCs w:val="14"/>
              </w:rPr>
              <w:t>719</w:t>
            </w:r>
          </w:p>
        </w:tc>
        <w:tc>
          <w:tcPr>
            <w:tcW w:w="1709" w:type="dxa"/>
            <w:tcBorders>
              <w:top w:val="nil"/>
              <w:left w:val="nil"/>
              <w:bottom w:val="single" w:sz="2" w:space="0" w:color="1F4E79" w:themeColor="accent1" w:themeShade="80"/>
              <w:right w:val="nil"/>
            </w:tcBorders>
            <w:shd w:val="clear" w:color="auto" w:fill="auto"/>
            <w:vAlign w:val="center"/>
          </w:tcPr>
          <w:p w14:paraId="2624FBD7" w14:textId="77777777" w:rsidR="008B7E19" w:rsidRPr="00A225CF"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rPr>
            </w:pPr>
            <w:r w:rsidRPr="00516860">
              <w:rPr>
                <w:rFonts w:cs="Arial"/>
                <w:sz w:val="14"/>
                <w:szCs w:val="14"/>
              </w:rPr>
              <w:t>11</w:t>
            </w:r>
            <w:r>
              <w:rPr>
                <w:rFonts w:cs="Arial"/>
                <w:sz w:val="14"/>
                <w:szCs w:val="14"/>
              </w:rPr>
              <w:t>,</w:t>
            </w:r>
            <w:r w:rsidRPr="00516860">
              <w:rPr>
                <w:rFonts w:cs="Arial"/>
                <w:sz w:val="14"/>
                <w:szCs w:val="14"/>
              </w:rPr>
              <w:t>030</w:t>
            </w:r>
          </w:p>
        </w:tc>
        <w:tc>
          <w:tcPr>
            <w:tcW w:w="1709" w:type="dxa"/>
            <w:tcBorders>
              <w:top w:val="nil"/>
              <w:left w:val="nil"/>
              <w:bottom w:val="single" w:sz="2" w:space="0" w:color="1F4E79" w:themeColor="accent1" w:themeShade="80"/>
              <w:right w:val="nil"/>
            </w:tcBorders>
            <w:shd w:val="clear" w:color="auto" w:fill="auto"/>
            <w:vAlign w:val="center"/>
          </w:tcPr>
          <w:p w14:paraId="73DE25D1" w14:textId="77777777" w:rsidR="008B7E19" w:rsidRPr="00026122"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rPr>
            </w:pPr>
            <w:r w:rsidRPr="00516860">
              <w:rPr>
                <w:rFonts w:cs="Arial"/>
                <w:sz w:val="14"/>
                <w:szCs w:val="14"/>
              </w:rPr>
              <w:t>4</w:t>
            </w:r>
            <w:r>
              <w:rPr>
                <w:rFonts w:cs="Arial"/>
                <w:sz w:val="14"/>
                <w:szCs w:val="14"/>
              </w:rPr>
              <w:t>,</w:t>
            </w:r>
            <w:r w:rsidRPr="00516860">
              <w:rPr>
                <w:rFonts w:cs="Arial"/>
                <w:sz w:val="14"/>
                <w:szCs w:val="14"/>
              </w:rPr>
              <w:t>667</w:t>
            </w:r>
          </w:p>
        </w:tc>
        <w:tc>
          <w:tcPr>
            <w:tcW w:w="1709" w:type="dxa"/>
            <w:tcBorders>
              <w:top w:val="nil"/>
              <w:left w:val="nil"/>
              <w:bottom w:val="single" w:sz="2" w:space="0" w:color="1F4E79" w:themeColor="accent1" w:themeShade="80"/>
              <w:right w:val="nil"/>
            </w:tcBorders>
            <w:shd w:val="clear" w:color="auto" w:fill="auto"/>
            <w:vAlign w:val="center"/>
          </w:tcPr>
          <w:p w14:paraId="2C5DC467" w14:textId="77777777" w:rsidR="008B7E19" w:rsidRPr="00026122"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516860">
              <w:rPr>
                <w:rFonts w:cs="Arial"/>
                <w:color w:val="000000"/>
                <w:sz w:val="14"/>
                <w:szCs w:val="14"/>
              </w:rPr>
              <w:t>11</w:t>
            </w:r>
            <w:r>
              <w:rPr>
                <w:rFonts w:cs="Arial"/>
                <w:color w:val="000000"/>
                <w:sz w:val="14"/>
                <w:szCs w:val="14"/>
              </w:rPr>
              <w:t>,</w:t>
            </w:r>
            <w:r w:rsidRPr="00516860">
              <w:rPr>
                <w:rFonts w:cs="Arial"/>
                <w:color w:val="000000"/>
                <w:sz w:val="14"/>
                <w:szCs w:val="14"/>
              </w:rPr>
              <w:t>494</w:t>
            </w:r>
          </w:p>
        </w:tc>
      </w:tr>
    </w:tbl>
    <w:p w14:paraId="71CE26EC" w14:textId="77777777" w:rsidR="008B7E19" w:rsidRDefault="008B7E19" w:rsidP="008B7E19">
      <w:pPr>
        <w:spacing w:after="0" w:line="240" w:lineRule="auto"/>
        <w:rPr>
          <w:rFonts w:eastAsia="Times New Roman" w:cs="Arial"/>
          <w:spacing w:val="-2"/>
          <w:szCs w:val="20"/>
          <w:lang w:eastAsia="zh-CN"/>
        </w:rPr>
      </w:pPr>
    </w:p>
    <w:p w14:paraId="0CB826B2" w14:textId="77777777" w:rsidR="008B7E19" w:rsidRPr="00FC09E4" w:rsidRDefault="008B7E19" w:rsidP="008B7E19">
      <w:pPr>
        <w:spacing w:after="0" w:line="240" w:lineRule="auto"/>
        <w:jc w:val="right"/>
        <w:rPr>
          <w:rFonts w:cs="Arial"/>
          <w:b/>
          <w:sz w:val="14"/>
          <w:lang w:val="en-US" w:eastAsia="pt-BR"/>
        </w:rPr>
      </w:pPr>
      <w:r w:rsidRPr="00FC09E4">
        <w:rPr>
          <w:rFonts w:cs="Arial"/>
          <w:b/>
          <w:sz w:val="14"/>
          <w:lang w:val="en-US" w:eastAsia="pt-BR"/>
        </w:rPr>
        <w:t>R$ thousand</w:t>
      </w:r>
    </w:p>
    <w:tbl>
      <w:tblPr>
        <w:tblStyle w:val="TabeladeLista6Colorida-nfase512"/>
        <w:tblW w:w="9639" w:type="dxa"/>
        <w:jc w:val="center"/>
        <w:tblInd w:w="0" w:type="dxa"/>
        <w:tblLayout w:type="fixed"/>
        <w:tblLook w:val="04A0" w:firstRow="1" w:lastRow="0" w:firstColumn="1" w:lastColumn="0" w:noHBand="0" w:noVBand="1"/>
      </w:tblPr>
      <w:tblGrid>
        <w:gridCol w:w="5387"/>
        <w:gridCol w:w="2126"/>
        <w:gridCol w:w="2126"/>
      </w:tblGrid>
      <w:tr w:rsidR="008B7E19" w:rsidRPr="00537AE7" w14:paraId="45AF2A02" w14:textId="77777777" w:rsidTr="008B7E19">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387" w:type="dxa"/>
            <w:tcBorders>
              <w:top w:val="single" w:sz="2" w:space="0" w:color="1F4E79" w:themeColor="accent1" w:themeShade="80"/>
              <w:left w:val="nil"/>
              <w:bottom w:val="single" w:sz="2" w:space="0" w:color="1F4E79" w:themeColor="accent1" w:themeShade="80"/>
              <w:right w:val="nil"/>
            </w:tcBorders>
            <w:shd w:val="clear" w:color="auto" w:fill="auto"/>
            <w:vAlign w:val="center"/>
          </w:tcPr>
          <w:p w14:paraId="0FB130FE" w14:textId="77777777" w:rsidR="008B7E19" w:rsidRPr="00537AE7" w:rsidRDefault="008B7E19" w:rsidP="008B7E19">
            <w:pPr>
              <w:jc w:val="center"/>
              <w:rPr>
                <w:rFonts w:cs="Arial"/>
                <w:sz w:val="14"/>
                <w:szCs w:val="14"/>
              </w:rPr>
            </w:pPr>
          </w:p>
        </w:tc>
        <w:tc>
          <w:tcPr>
            <w:tcW w:w="2126" w:type="dxa"/>
            <w:tcBorders>
              <w:top w:val="single" w:sz="2" w:space="0" w:color="1F4E79" w:themeColor="accent1" w:themeShade="80"/>
              <w:left w:val="nil"/>
              <w:bottom w:val="single" w:sz="2" w:space="0" w:color="1F4E79" w:themeColor="accent1" w:themeShade="80"/>
              <w:right w:val="nil"/>
            </w:tcBorders>
            <w:shd w:val="clear" w:color="auto" w:fill="auto"/>
            <w:vAlign w:val="center"/>
          </w:tcPr>
          <w:p w14:paraId="1BB127D7" w14:textId="77777777" w:rsidR="008B7E19" w:rsidRDefault="008B7E19" w:rsidP="008B7E19">
            <w:pPr>
              <w:jc w:val="right"/>
              <w:cnfStyle w:val="100000000000" w:firstRow="1" w:lastRow="0" w:firstColumn="0" w:lastColumn="0" w:oddVBand="0" w:evenVBand="0" w:oddHBand="0" w:evenHBand="0" w:firstRowFirstColumn="0" w:firstRowLastColumn="0" w:lastRowFirstColumn="0" w:lastRowLastColumn="0"/>
              <w:rPr>
                <w:rFonts w:cs="Arial"/>
                <w:sz w:val="14"/>
                <w:szCs w:val="14"/>
              </w:rPr>
            </w:pPr>
            <w:r>
              <w:rPr>
                <w:rFonts w:cs="Arial"/>
                <w:sz w:val="14"/>
                <w:szCs w:val="14"/>
              </w:rPr>
              <w:t>June 30, 2023</w:t>
            </w:r>
          </w:p>
        </w:tc>
        <w:tc>
          <w:tcPr>
            <w:tcW w:w="2126" w:type="dxa"/>
            <w:tcBorders>
              <w:top w:val="single" w:sz="2" w:space="0" w:color="1F4E79" w:themeColor="accent1" w:themeShade="80"/>
              <w:left w:val="nil"/>
              <w:bottom w:val="single" w:sz="2" w:space="0" w:color="1F4E79" w:themeColor="accent1" w:themeShade="80"/>
              <w:right w:val="nil"/>
            </w:tcBorders>
            <w:shd w:val="clear" w:color="auto" w:fill="auto"/>
            <w:vAlign w:val="center"/>
          </w:tcPr>
          <w:p w14:paraId="765212FB" w14:textId="77777777" w:rsidR="008B7E19" w:rsidRDefault="008B7E19" w:rsidP="008B7E19">
            <w:pPr>
              <w:jc w:val="right"/>
              <w:cnfStyle w:val="100000000000" w:firstRow="1" w:lastRow="0" w:firstColumn="0" w:lastColumn="0" w:oddVBand="0" w:evenVBand="0" w:oddHBand="0" w:evenHBand="0" w:firstRowFirstColumn="0" w:firstRowLastColumn="0" w:lastRowFirstColumn="0" w:lastRowLastColumn="0"/>
              <w:rPr>
                <w:rFonts w:cs="Arial"/>
                <w:sz w:val="14"/>
                <w:szCs w:val="14"/>
              </w:rPr>
            </w:pPr>
            <w:r>
              <w:rPr>
                <w:rFonts w:cs="Arial"/>
                <w:sz w:val="14"/>
                <w:szCs w:val="14"/>
              </w:rPr>
              <w:t>Dec 31, 2022</w:t>
            </w:r>
          </w:p>
        </w:tc>
      </w:tr>
      <w:tr w:rsidR="008B7E19" w:rsidRPr="00026122" w14:paraId="51A81D95"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387" w:type="dxa"/>
            <w:tcBorders>
              <w:top w:val="single" w:sz="2" w:space="0" w:color="1F4E79" w:themeColor="accent1" w:themeShade="80"/>
              <w:left w:val="nil"/>
              <w:bottom w:val="nil"/>
              <w:right w:val="nil"/>
            </w:tcBorders>
            <w:shd w:val="clear" w:color="auto" w:fill="auto"/>
            <w:vAlign w:val="center"/>
          </w:tcPr>
          <w:p w14:paraId="6BEB6E42" w14:textId="77777777" w:rsidR="008B7E19" w:rsidRPr="00026122" w:rsidRDefault="008B7E19" w:rsidP="008B7E19">
            <w:pPr>
              <w:keepNext/>
              <w:keepLines/>
              <w:rPr>
                <w:rFonts w:eastAsia="Times New Roman" w:cs="Arial"/>
                <w:b w:val="0"/>
                <w:bCs w:val="0"/>
                <w:spacing w:val="-2"/>
                <w:sz w:val="14"/>
                <w:szCs w:val="14"/>
              </w:rPr>
            </w:pPr>
            <w:r w:rsidRPr="00FC09E4">
              <w:rPr>
                <w:rFonts w:cs="Arial"/>
                <w:b w:val="0"/>
                <w:bCs w:val="0"/>
                <w:sz w:val="14"/>
                <w:szCs w:val="14"/>
              </w:rPr>
              <w:t>Equity</w:t>
            </w:r>
            <w:r w:rsidRPr="00026122">
              <w:rPr>
                <w:rFonts w:cs="Arial"/>
                <w:b w:val="0"/>
                <w:bCs w:val="0"/>
                <w:sz w:val="14"/>
                <w:szCs w:val="14"/>
              </w:rPr>
              <w:t xml:space="preserve"> (SUSEP)</w:t>
            </w:r>
          </w:p>
        </w:tc>
        <w:tc>
          <w:tcPr>
            <w:tcW w:w="2126" w:type="dxa"/>
            <w:tcBorders>
              <w:top w:val="single" w:sz="2" w:space="0" w:color="1F4E79" w:themeColor="accent1" w:themeShade="80"/>
              <w:left w:val="nil"/>
              <w:bottom w:val="nil"/>
              <w:right w:val="nil"/>
            </w:tcBorders>
            <w:shd w:val="clear" w:color="auto" w:fill="auto"/>
            <w:vAlign w:val="center"/>
          </w:tcPr>
          <w:p w14:paraId="41F1CA85" w14:textId="77777777" w:rsidR="008B7E19" w:rsidRPr="00026122"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rPr>
            </w:pPr>
            <w:r w:rsidRPr="00516860">
              <w:rPr>
                <w:rFonts w:cs="Arial"/>
                <w:sz w:val="14"/>
                <w:szCs w:val="14"/>
              </w:rPr>
              <w:t>24</w:t>
            </w:r>
            <w:r>
              <w:rPr>
                <w:rFonts w:cs="Arial"/>
                <w:sz w:val="14"/>
                <w:szCs w:val="14"/>
              </w:rPr>
              <w:t>,</w:t>
            </w:r>
            <w:r w:rsidRPr="00516860">
              <w:rPr>
                <w:rFonts w:cs="Arial"/>
                <w:sz w:val="14"/>
                <w:szCs w:val="14"/>
              </w:rPr>
              <w:t>413</w:t>
            </w:r>
          </w:p>
        </w:tc>
        <w:tc>
          <w:tcPr>
            <w:tcW w:w="2126" w:type="dxa"/>
            <w:tcBorders>
              <w:top w:val="single" w:sz="2" w:space="0" w:color="1F4E79" w:themeColor="accent1" w:themeShade="80"/>
              <w:left w:val="nil"/>
              <w:bottom w:val="nil"/>
              <w:right w:val="nil"/>
            </w:tcBorders>
            <w:shd w:val="clear" w:color="auto" w:fill="auto"/>
            <w:vAlign w:val="center"/>
          </w:tcPr>
          <w:p w14:paraId="73F3238F" w14:textId="77777777" w:rsidR="008B7E19" w:rsidRPr="00026122"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rPr>
            </w:pPr>
            <w:r w:rsidRPr="00516860">
              <w:rPr>
                <w:rFonts w:cs="Arial"/>
                <w:sz w:val="14"/>
                <w:szCs w:val="14"/>
              </w:rPr>
              <w:t>28</w:t>
            </w:r>
            <w:r>
              <w:rPr>
                <w:rFonts w:cs="Arial"/>
                <w:sz w:val="14"/>
                <w:szCs w:val="14"/>
              </w:rPr>
              <w:t>,</w:t>
            </w:r>
            <w:r w:rsidRPr="00516860">
              <w:rPr>
                <w:rFonts w:cs="Arial"/>
                <w:sz w:val="14"/>
                <w:szCs w:val="14"/>
              </w:rPr>
              <w:t>644</w:t>
            </w:r>
          </w:p>
        </w:tc>
      </w:tr>
      <w:tr w:rsidR="008B7E19" w:rsidRPr="00026122" w14:paraId="3B10FCAD" w14:textId="77777777" w:rsidTr="008B7E1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387" w:type="dxa"/>
            <w:tcBorders>
              <w:top w:val="nil"/>
              <w:left w:val="nil"/>
              <w:bottom w:val="single" w:sz="2" w:space="0" w:color="1F4E79" w:themeColor="accent1" w:themeShade="80"/>
              <w:right w:val="nil"/>
            </w:tcBorders>
            <w:shd w:val="clear" w:color="auto" w:fill="auto"/>
            <w:vAlign w:val="center"/>
          </w:tcPr>
          <w:p w14:paraId="3983C80D" w14:textId="77777777" w:rsidR="008B7E19" w:rsidRPr="00026122" w:rsidRDefault="008B7E19" w:rsidP="008B7E19">
            <w:pPr>
              <w:keepNext/>
              <w:keepLines/>
              <w:spacing w:before="40" w:after="40"/>
              <w:rPr>
                <w:rFonts w:cs="Arial"/>
                <w:b w:val="0"/>
                <w:bCs w:val="0"/>
                <w:sz w:val="14"/>
                <w:szCs w:val="14"/>
              </w:rPr>
            </w:pPr>
            <w:r w:rsidRPr="00FC09E4">
              <w:rPr>
                <w:rFonts w:cs="Arial"/>
                <w:b w:val="0"/>
                <w:bCs w:val="0"/>
                <w:sz w:val="14"/>
                <w:szCs w:val="14"/>
              </w:rPr>
              <w:t>Equity</w:t>
            </w:r>
            <w:r w:rsidRPr="00026122">
              <w:rPr>
                <w:rFonts w:cs="Arial"/>
                <w:b w:val="0"/>
                <w:bCs w:val="0"/>
                <w:sz w:val="14"/>
                <w:szCs w:val="14"/>
              </w:rPr>
              <w:t xml:space="preserve"> (IFRS)</w:t>
            </w:r>
          </w:p>
        </w:tc>
        <w:tc>
          <w:tcPr>
            <w:tcW w:w="2126" w:type="dxa"/>
            <w:tcBorders>
              <w:top w:val="nil"/>
              <w:left w:val="nil"/>
              <w:bottom w:val="single" w:sz="2" w:space="0" w:color="1F4E79" w:themeColor="accent1" w:themeShade="80"/>
              <w:right w:val="nil"/>
            </w:tcBorders>
            <w:shd w:val="clear" w:color="auto" w:fill="auto"/>
            <w:vAlign w:val="center"/>
          </w:tcPr>
          <w:p w14:paraId="0F9E7C48" w14:textId="77777777" w:rsidR="008B7E19" w:rsidRPr="00026122"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sz w:val="14"/>
                <w:szCs w:val="14"/>
              </w:rPr>
            </w:pPr>
            <w:r w:rsidRPr="00516860">
              <w:rPr>
                <w:rFonts w:cs="Arial"/>
                <w:sz w:val="14"/>
                <w:szCs w:val="14"/>
              </w:rPr>
              <w:t>20</w:t>
            </w:r>
            <w:r>
              <w:rPr>
                <w:rFonts w:cs="Arial"/>
                <w:sz w:val="14"/>
                <w:szCs w:val="14"/>
              </w:rPr>
              <w:t>,</w:t>
            </w:r>
            <w:r w:rsidRPr="00516860">
              <w:rPr>
                <w:rFonts w:cs="Arial"/>
                <w:sz w:val="14"/>
                <w:szCs w:val="14"/>
              </w:rPr>
              <w:t>052</w:t>
            </w:r>
          </w:p>
        </w:tc>
        <w:tc>
          <w:tcPr>
            <w:tcW w:w="2126" w:type="dxa"/>
            <w:tcBorders>
              <w:top w:val="nil"/>
              <w:left w:val="nil"/>
              <w:bottom w:val="single" w:sz="2" w:space="0" w:color="1F4E79" w:themeColor="accent1" w:themeShade="80"/>
              <w:right w:val="nil"/>
            </w:tcBorders>
            <w:shd w:val="clear" w:color="auto" w:fill="auto"/>
            <w:vAlign w:val="center"/>
          </w:tcPr>
          <w:p w14:paraId="4E129CAA" w14:textId="77777777" w:rsidR="008B7E19" w:rsidRPr="00026122"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sz w:val="14"/>
                <w:szCs w:val="14"/>
              </w:rPr>
            </w:pPr>
            <w:r w:rsidRPr="00516860">
              <w:rPr>
                <w:rFonts w:cs="Arial"/>
                <w:sz w:val="14"/>
                <w:szCs w:val="14"/>
              </w:rPr>
              <w:t>21</w:t>
            </w:r>
            <w:r>
              <w:rPr>
                <w:rFonts w:cs="Arial"/>
                <w:sz w:val="14"/>
                <w:szCs w:val="14"/>
              </w:rPr>
              <w:t>,</w:t>
            </w:r>
            <w:r w:rsidRPr="00516860">
              <w:rPr>
                <w:rFonts w:cs="Arial"/>
                <w:sz w:val="14"/>
                <w:szCs w:val="14"/>
              </w:rPr>
              <w:t>992</w:t>
            </w:r>
          </w:p>
        </w:tc>
      </w:tr>
    </w:tbl>
    <w:p w14:paraId="264E0F45" w14:textId="77777777" w:rsidR="008B7E19" w:rsidRPr="00662248" w:rsidRDefault="008B7E19" w:rsidP="008B7E19">
      <w:pPr>
        <w:spacing w:after="0" w:line="240" w:lineRule="auto"/>
        <w:rPr>
          <w:rFonts w:eastAsia="Times New Roman" w:cs="Times New Roman"/>
          <w:b/>
          <w:color w:val="1F4E79" w:themeColor="accent1" w:themeShade="80"/>
          <w:spacing w:val="-2"/>
          <w:szCs w:val="20"/>
          <w:lang w:val="en-US" w:eastAsia="pt-BR"/>
        </w:rPr>
      </w:pPr>
    </w:p>
    <w:p w14:paraId="1BAC89AF" w14:textId="77777777" w:rsidR="008B7E19" w:rsidRPr="0020490A" w:rsidRDefault="008B7E19" w:rsidP="008B7E19">
      <w:pPr>
        <w:pageBreakBefore/>
        <w:spacing w:after="0" w:line="240" w:lineRule="auto"/>
        <w:rPr>
          <w:rFonts w:eastAsia="Times New Roman" w:cs="Times New Roman"/>
          <w:b/>
          <w:color w:val="1F4E79" w:themeColor="accent1" w:themeShade="80"/>
          <w:spacing w:val="-2"/>
          <w:szCs w:val="20"/>
          <w:lang w:val="en-US" w:eastAsia="pt-BR"/>
        </w:rPr>
      </w:pPr>
      <w:r w:rsidRPr="0020490A">
        <w:rPr>
          <w:rFonts w:eastAsia="Times New Roman" w:cs="Times New Roman"/>
          <w:b/>
          <w:color w:val="1F4E79" w:themeColor="accent1" w:themeShade="80"/>
          <w:spacing w:val="-2"/>
          <w:szCs w:val="20"/>
          <w:lang w:val="en-US" w:eastAsia="pt-BR"/>
        </w:rPr>
        <w:t>c.4) Brasilcap</w:t>
      </w:r>
    </w:p>
    <w:p w14:paraId="452ABA38" w14:textId="77777777" w:rsidR="008B7E19" w:rsidRPr="0020490A" w:rsidRDefault="008B7E19" w:rsidP="008B7E19">
      <w:pPr>
        <w:spacing w:after="0" w:line="240" w:lineRule="auto"/>
        <w:rPr>
          <w:rFonts w:eastAsia="Times New Roman" w:cs="Times New Roman"/>
          <w:b/>
          <w:color w:val="1F4E79" w:themeColor="accent1" w:themeShade="80"/>
          <w:spacing w:val="-2"/>
          <w:szCs w:val="20"/>
          <w:lang w:val="en-US" w:eastAsia="pt-BR"/>
        </w:rPr>
      </w:pPr>
    </w:p>
    <w:p w14:paraId="1336C04D" w14:textId="77777777" w:rsidR="008B7E19" w:rsidRPr="0020490A" w:rsidRDefault="008B7E19" w:rsidP="008B7E19">
      <w:pPr>
        <w:spacing w:after="0" w:line="240" w:lineRule="auto"/>
        <w:rPr>
          <w:rFonts w:eastAsia="Times New Roman" w:cs="Arial"/>
          <w:spacing w:val="-2"/>
          <w:szCs w:val="20"/>
          <w:lang w:val="en-US" w:eastAsia="zh-CN"/>
        </w:rPr>
      </w:pPr>
      <w:r w:rsidRPr="0020490A">
        <w:rPr>
          <w:rFonts w:eastAsia="Times New Roman" w:cs="Times New Roman"/>
          <w:b/>
          <w:color w:val="1F4E79" w:themeColor="accent1" w:themeShade="80"/>
          <w:spacing w:val="-2"/>
          <w:szCs w:val="20"/>
          <w:lang w:val="en-US" w:eastAsia="pt-BR"/>
        </w:rPr>
        <w:t>Income Statement Information</w:t>
      </w:r>
    </w:p>
    <w:p w14:paraId="367C082A" w14:textId="77777777" w:rsidR="008B7E19" w:rsidRDefault="008B7E19" w:rsidP="008B7E19">
      <w:pPr>
        <w:keepNext/>
        <w:keepLines/>
        <w:spacing w:after="0" w:line="240" w:lineRule="auto"/>
        <w:rPr>
          <w:rFonts w:eastAsia="Times New Roman" w:cs="Arial"/>
          <w:spacing w:val="-2"/>
          <w:szCs w:val="20"/>
          <w:lang w:val="en-US" w:eastAsia="zh-CN"/>
        </w:rPr>
      </w:pPr>
    </w:p>
    <w:p w14:paraId="4F5203F4" w14:textId="77777777" w:rsidR="008B7E19" w:rsidRPr="0020490A" w:rsidRDefault="008B7E19" w:rsidP="008B7E19">
      <w:pPr>
        <w:spacing w:after="0" w:line="240" w:lineRule="auto"/>
        <w:jc w:val="right"/>
        <w:rPr>
          <w:rFonts w:cs="Arial"/>
          <w:b/>
          <w:sz w:val="14"/>
          <w:lang w:val="en-US" w:eastAsia="pt-BR"/>
        </w:rPr>
      </w:pPr>
      <w:r w:rsidRPr="0020490A">
        <w:rPr>
          <w:rFonts w:cs="Arial"/>
          <w:b/>
          <w:sz w:val="14"/>
          <w:lang w:val="en-US" w:eastAsia="pt-BR"/>
        </w:rPr>
        <w:t>R$ thousand</w:t>
      </w:r>
    </w:p>
    <w:tbl>
      <w:tblPr>
        <w:tblStyle w:val="TabeladeLista6Colorida-nfase512"/>
        <w:tblW w:w="9639" w:type="dxa"/>
        <w:jc w:val="center"/>
        <w:tblInd w:w="0" w:type="dxa"/>
        <w:tblLayout w:type="fixed"/>
        <w:tblLook w:val="04A0" w:firstRow="1" w:lastRow="0" w:firstColumn="1" w:lastColumn="0" w:noHBand="0" w:noVBand="1"/>
      </w:tblPr>
      <w:tblGrid>
        <w:gridCol w:w="2364"/>
        <w:gridCol w:w="1818"/>
        <w:gridCol w:w="1819"/>
        <w:gridCol w:w="1819"/>
        <w:gridCol w:w="1819"/>
      </w:tblGrid>
      <w:tr w:rsidR="008B7E19" w:rsidRPr="006A788F" w14:paraId="27940CD8" w14:textId="77777777" w:rsidTr="008B7E19">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single" w:sz="2" w:space="0" w:color="1F4E79" w:themeColor="accent1" w:themeShade="80"/>
              <w:left w:val="nil"/>
              <w:bottom w:val="single" w:sz="2" w:space="0" w:color="1F4E79" w:themeColor="accent1" w:themeShade="80"/>
              <w:right w:val="nil"/>
            </w:tcBorders>
            <w:shd w:val="clear" w:color="auto" w:fill="auto"/>
            <w:vAlign w:val="center"/>
          </w:tcPr>
          <w:p w14:paraId="186E9989" w14:textId="77777777" w:rsidR="008B7E19" w:rsidRPr="006A788F" w:rsidRDefault="008B7E19" w:rsidP="008B7E19">
            <w:pPr>
              <w:rPr>
                <w:rFonts w:cs="Arial"/>
                <w:sz w:val="14"/>
                <w:szCs w:val="14"/>
              </w:rPr>
            </w:pPr>
          </w:p>
        </w:tc>
        <w:tc>
          <w:tcPr>
            <w:tcW w:w="1818" w:type="dxa"/>
            <w:tcBorders>
              <w:top w:val="single" w:sz="2" w:space="0" w:color="1F4E79" w:themeColor="accent1" w:themeShade="80"/>
              <w:left w:val="nil"/>
              <w:bottom w:val="single" w:sz="2" w:space="0" w:color="1F4E79" w:themeColor="accent1" w:themeShade="80"/>
              <w:right w:val="nil"/>
            </w:tcBorders>
            <w:shd w:val="clear" w:color="auto" w:fill="auto"/>
            <w:vAlign w:val="center"/>
          </w:tcPr>
          <w:p w14:paraId="6604D3D7" w14:textId="77777777" w:rsidR="008B7E19" w:rsidRPr="006A788F" w:rsidRDefault="008B7E19" w:rsidP="008B7E19">
            <w:pPr>
              <w:jc w:val="right"/>
              <w:cnfStyle w:val="100000000000" w:firstRow="1" w:lastRow="0" w:firstColumn="0" w:lastColumn="0" w:oddVBand="0" w:evenVBand="0" w:oddHBand="0" w:evenHBand="0" w:firstRowFirstColumn="0" w:firstRowLastColumn="0" w:lastRowFirstColumn="0" w:lastRowLastColumn="0"/>
              <w:rPr>
                <w:rFonts w:cs="Arial"/>
                <w:sz w:val="14"/>
                <w:szCs w:val="14"/>
              </w:rPr>
            </w:pPr>
            <w:r w:rsidRPr="00925790">
              <w:rPr>
                <w:rFonts w:cs="Arial"/>
                <w:sz w:val="14"/>
                <w:szCs w:val="14"/>
              </w:rPr>
              <w:t>2</w:t>
            </w:r>
            <w:r w:rsidRPr="00925790">
              <w:rPr>
                <w:rFonts w:cs="Arial"/>
                <w:sz w:val="14"/>
                <w:szCs w:val="14"/>
                <w:vertAlign w:val="superscript"/>
              </w:rPr>
              <w:t>nd</w:t>
            </w:r>
            <w:r w:rsidRPr="00925790">
              <w:rPr>
                <w:rFonts w:cs="Arial"/>
                <w:sz w:val="14"/>
                <w:szCs w:val="14"/>
              </w:rPr>
              <w:t xml:space="preserve"> Quarter 2023</w:t>
            </w:r>
          </w:p>
        </w:tc>
        <w:tc>
          <w:tcPr>
            <w:tcW w:w="1819" w:type="dxa"/>
            <w:tcBorders>
              <w:top w:val="single" w:sz="2" w:space="0" w:color="1F4E79" w:themeColor="accent1" w:themeShade="80"/>
              <w:left w:val="nil"/>
              <w:bottom w:val="single" w:sz="2" w:space="0" w:color="1F4E79" w:themeColor="accent1" w:themeShade="80"/>
              <w:right w:val="nil"/>
            </w:tcBorders>
            <w:shd w:val="clear" w:color="auto" w:fill="auto"/>
            <w:vAlign w:val="center"/>
          </w:tcPr>
          <w:p w14:paraId="623FCC59" w14:textId="77777777" w:rsidR="008B7E19" w:rsidRPr="006A788F" w:rsidRDefault="008B7E19" w:rsidP="008B7E19">
            <w:pPr>
              <w:jc w:val="right"/>
              <w:cnfStyle w:val="100000000000" w:firstRow="1" w:lastRow="0" w:firstColumn="0" w:lastColumn="0" w:oddVBand="0" w:evenVBand="0" w:oddHBand="0" w:evenHBand="0" w:firstRowFirstColumn="0" w:firstRowLastColumn="0" w:lastRowFirstColumn="0" w:lastRowLastColumn="0"/>
              <w:rPr>
                <w:rFonts w:cs="Arial"/>
                <w:sz w:val="14"/>
                <w:szCs w:val="14"/>
              </w:rPr>
            </w:pPr>
            <w:r w:rsidRPr="00925790">
              <w:rPr>
                <w:rFonts w:cs="Arial"/>
                <w:sz w:val="14"/>
                <w:szCs w:val="14"/>
              </w:rPr>
              <w:t>1</w:t>
            </w:r>
            <w:r w:rsidRPr="00925790">
              <w:rPr>
                <w:rFonts w:cs="Arial"/>
                <w:sz w:val="14"/>
                <w:szCs w:val="14"/>
                <w:vertAlign w:val="superscript"/>
              </w:rPr>
              <w:t>st</w:t>
            </w:r>
            <w:r w:rsidRPr="00925790">
              <w:rPr>
                <w:rFonts w:cs="Arial"/>
                <w:sz w:val="14"/>
                <w:szCs w:val="14"/>
              </w:rPr>
              <w:t xml:space="preserve"> Half 2023</w:t>
            </w:r>
          </w:p>
        </w:tc>
        <w:tc>
          <w:tcPr>
            <w:tcW w:w="1819" w:type="dxa"/>
            <w:tcBorders>
              <w:top w:val="single" w:sz="2" w:space="0" w:color="1F4E79" w:themeColor="accent1" w:themeShade="80"/>
              <w:left w:val="nil"/>
              <w:bottom w:val="single" w:sz="2" w:space="0" w:color="1F4E79" w:themeColor="accent1" w:themeShade="80"/>
              <w:right w:val="nil"/>
            </w:tcBorders>
            <w:shd w:val="clear" w:color="auto" w:fill="auto"/>
            <w:vAlign w:val="center"/>
          </w:tcPr>
          <w:p w14:paraId="448F6C17" w14:textId="77777777" w:rsidR="008B7E19" w:rsidRPr="006A788F" w:rsidRDefault="008B7E19" w:rsidP="008B7E19">
            <w:pPr>
              <w:jc w:val="right"/>
              <w:cnfStyle w:val="100000000000" w:firstRow="1" w:lastRow="0" w:firstColumn="0" w:lastColumn="0" w:oddVBand="0" w:evenVBand="0" w:oddHBand="0" w:evenHBand="0" w:firstRowFirstColumn="0" w:firstRowLastColumn="0" w:lastRowFirstColumn="0" w:lastRowLastColumn="0"/>
              <w:rPr>
                <w:rFonts w:cs="Arial"/>
                <w:b w:val="0"/>
                <w:sz w:val="14"/>
                <w:szCs w:val="14"/>
              </w:rPr>
            </w:pPr>
            <w:r w:rsidRPr="00925790">
              <w:rPr>
                <w:rFonts w:cs="Arial"/>
                <w:sz w:val="14"/>
                <w:szCs w:val="14"/>
              </w:rPr>
              <w:t>2</w:t>
            </w:r>
            <w:r w:rsidRPr="00925790">
              <w:rPr>
                <w:rFonts w:cs="Arial"/>
                <w:sz w:val="14"/>
                <w:szCs w:val="14"/>
                <w:vertAlign w:val="superscript"/>
              </w:rPr>
              <w:t>nd</w:t>
            </w:r>
            <w:r w:rsidRPr="00925790">
              <w:rPr>
                <w:rFonts w:cs="Arial"/>
                <w:sz w:val="14"/>
                <w:szCs w:val="14"/>
              </w:rPr>
              <w:t xml:space="preserve"> Quarter 2022</w:t>
            </w:r>
          </w:p>
        </w:tc>
        <w:tc>
          <w:tcPr>
            <w:tcW w:w="1819" w:type="dxa"/>
            <w:tcBorders>
              <w:top w:val="single" w:sz="2" w:space="0" w:color="1F4E79" w:themeColor="accent1" w:themeShade="80"/>
              <w:left w:val="nil"/>
              <w:bottom w:val="single" w:sz="2" w:space="0" w:color="1F4E79" w:themeColor="accent1" w:themeShade="80"/>
              <w:right w:val="nil"/>
            </w:tcBorders>
            <w:shd w:val="clear" w:color="auto" w:fill="auto"/>
            <w:vAlign w:val="center"/>
          </w:tcPr>
          <w:p w14:paraId="4D328E90" w14:textId="77777777" w:rsidR="008B7E19" w:rsidRPr="006A788F" w:rsidRDefault="008B7E19" w:rsidP="008B7E19">
            <w:pPr>
              <w:jc w:val="right"/>
              <w:cnfStyle w:val="100000000000" w:firstRow="1" w:lastRow="0" w:firstColumn="0" w:lastColumn="0" w:oddVBand="0" w:evenVBand="0" w:oddHBand="0" w:evenHBand="0" w:firstRowFirstColumn="0" w:firstRowLastColumn="0" w:lastRowFirstColumn="0" w:lastRowLastColumn="0"/>
              <w:rPr>
                <w:rFonts w:cs="Arial"/>
                <w:sz w:val="14"/>
                <w:szCs w:val="14"/>
              </w:rPr>
            </w:pPr>
            <w:r w:rsidRPr="00925790">
              <w:rPr>
                <w:rFonts w:cs="Arial"/>
                <w:sz w:val="14"/>
                <w:szCs w:val="14"/>
              </w:rPr>
              <w:t>1</w:t>
            </w:r>
            <w:r w:rsidRPr="00925790">
              <w:rPr>
                <w:rFonts w:cs="Arial"/>
                <w:sz w:val="14"/>
                <w:szCs w:val="14"/>
                <w:vertAlign w:val="superscript"/>
              </w:rPr>
              <w:t>st</w:t>
            </w:r>
            <w:r w:rsidRPr="00925790">
              <w:rPr>
                <w:rFonts w:cs="Arial"/>
                <w:sz w:val="14"/>
                <w:szCs w:val="14"/>
              </w:rPr>
              <w:t xml:space="preserve"> Half 2022</w:t>
            </w:r>
          </w:p>
        </w:tc>
      </w:tr>
      <w:tr w:rsidR="008B7E19" w:rsidRPr="006A788F" w14:paraId="519D822C"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single" w:sz="2" w:space="0" w:color="1F4E79" w:themeColor="accent1" w:themeShade="80"/>
              <w:left w:val="nil"/>
              <w:bottom w:val="nil"/>
              <w:right w:val="nil"/>
            </w:tcBorders>
            <w:shd w:val="clear" w:color="auto" w:fill="auto"/>
            <w:vAlign w:val="center"/>
          </w:tcPr>
          <w:p w14:paraId="75BD8ED6" w14:textId="77777777" w:rsidR="008B7E19" w:rsidRPr="00C9587F" w:rsidRDefault="008B7E19" w:rsidP="008B7E19">
            <w:pPr>
              <w:rPr>
                <w:rFonts w:cs="Arial"/>
                <w:sz w:val="14"/>
                <w:szCs w:val="14"/>
                <w:lang w:val="en-US"/>
              </w:rPr>
            </w:pPr>
            <w:r w:rsidRPr="003F2F2A">
              <w:rPr>
                <w:rFonts w:cs="Arial"/>
                <w:sz w:val="14"/>
                <w:szCs w:val="14"/>
                <w:lang w:val="en-US"/>
              </w:rPr>
              <w:t>Net income from capitalization operations</w:t>
            </w:r>
          </w:p>
        </w:tc>
        <w:tc>
          <w:tcPr>
            <w:tcW w:w="1818" w:type="dxa"/>
            <w:tcBorders>
              <w:top w:val="single" w:sz="2" w:space="0" w:color="1F4E79" w:themeColor="accent1" w:themeShade="80"/>
              <w:left w:val="nil"/>
              <w:bottom w:val="nil"/>
              <w:right w:val="nil"/>
            </w:tcBorders>
            <w:shd w:val="clear" w:color="auto" w:fill="auto"/>
            <w:vAlign w:val="center"/>
          </w:tcPr>
          <w:p w14:paraId="041D95D1" w14:textId="77777777" w:rsidR="008B7E19" w:rsidRPr="006A788F" w:rsidRDefault="008B7E19" w:rsidP="008B7E19">
            <w:pPr>
              <w:jc w:val="right"/>
              <w:cnfStyle w:val="000000100000" w:firstRow="0" w:lastRow="0" w:firstColumn="0" w:lastColumn="0" w:oddVBand="0" w:evenVBand="0" w:oddHBand="1" w:evenHBand="0" w:firstRowFirstColumn="0" w:firstRowLastColumn="0" w:lastRowFirstColumn="0" w:lastRowLastColumn="0"/>
              <w:rPr>
                <w:rFonts w:cs="Arial"/>
                <w:b/>
                <w:bCs/>
                <w:sz w:val="14"/>
                <w:szCs w:val="14"/>
              </w:rPr>
            </w:pPr>
            <w:r w:rsidRPr="00C9587F">
              <w:rPr>
                <w:rFonts w:cs="Arial"/>
                <w:b/>
                <w:bCs/>
                <w:sz w:val="14"/>
                <w:szCs w:val="14"/>
                <w:lang w:val="en-US"/>
              </w:rPr>
              <w:t xml:space="preserve">  </w:t>
            </w:r>
            <w:r w:rsidRPr="006A788F">
              <w:rPr>
                <w:rFonts w:cs="Arial"/>
                <w:b/>
                <w:bCs/>
                <w:sz w:val="14"/>
                <w:szCs w:val="14"/>
              </w:rPr>
              <w:t>(22</w:t>
            </w:r>
            <w:r>
              <w:rPr>
                <w:rFonts w:cs="Arial"/>
                <w:b/>
                <w:bCs/>
                <w:sz w:val="14"/>
                <w:szCs w:val="14"/>
              </w:rPr>
              <w:t>,</w:t>
            </w:r>
            <w:r w:rsidRPr="006A788F">
              <w:rPr>
                <w:rFonts w:cs="Arial"/>
                <w:b/>
                <w:bCs/>
                <w:sz w:val="14"/>
                <w:szCs w:val="14"/>
              </w:rPr>
              <w:t>301)</w:t>
            </w:r>
          </w:p>
        </w:tc>
        <w:tc>
          <w:tcPr>
            <w:tcW w:w="1819" w:type="dxa"/>
            <w:tcBorders>
              <w:top w:val="single" w:sz="2" w:space="0" w:color="1F4E79" w:themeColor="accent1" w:themeShade="80"/>
              <w:left w:val="nil"/>
              <w:bottom w:val="nil"/>
              <w:right w:val="nil"/>
            </w:tcBorders>
            <w:shd w:val="clear" w:color="auto" w:fill="auto"/>
            <w:vAlign w:val="center"/>
          </w:tcPr>
          <w:p w14:paraId="7E091FF4" w14:textId="77777777" w:rsidR="008B7E19" w:rsidRPr="006A788F" w:rsidRDefault="008B7E19" w:rsidP="008B7E19">
            <w:pPr>
              <w:jc w:val="right"/>
              <w:cnfStyle w:val="000000100000" w:firstRow="0" w:lastRow="0" w:firstColumn="0" w:lastColumn="0" w:oddVBand="0" w:evenVBand="0" w:oddHBand="1" w:evenHBand="0" w:firstRowFirstColumn="0" w:firstRowLastColumn="0" w:lastRowFirstColumn="0" w:lastRowLastColumn="0"/>
              <w:rPr>
                <w:rFonts w:cs="Arial"/>
                <w:b/>
                <w:bCs/>
                <w:sz w:val="14"/>
                <w:szCs w:val="14"/>
              </w:rPr>
            </w:pPr>
            <w:r w:rsidRPr="006A788F">
              <w:rPr>
                <w:rFonts w:cs="Arial"/>
                <w:b/>
                <w:bCs/>
                <w:sz w:val="14"/>
                <w:szCs w:val="14"/>
              </w:rPr>
              <w:t xml:space="preserve">  (25</w:t>
            </w:r>
            <w:r>
              <w:rPr>
                <w:rFonts w:cs="Arial"/>
                <w:b/>
                <w:bCs/>
                <w:sz w:val="14"/>
                <w:szCs w:val="14"/>
              </w:rPr>
              <w:t>,</w:t>
            </w:r>
            <w:r w:rsidRPr="006A788F">
              <w:rPr>
                <w:rFonts w:cs="Arial"/>
                <w:b/>
                <w:bCs/>
                <w:sz w:val="14"/>
                <w:szCs w:val="14"/>
              </w:rPr>
              <w:t>055)</w:t>
            </w:r>
          </w:p>
        </w:tc>
        <w:tc>
          <w:tcPr>
            <w:tcW w:w="1819" w:type="dxa"/>
            <w:tcBorders>
              <w:top w:val="single" w:sz="2" w:space="0" w:color="1F4E79" w:themeColor="accent1" w:themeShade="80"/>
              <w:left w:val="nil"/>
              <w:bottom w:val="nil"/>
              <w:right w:val="nil"/>
            </w:tcBorders>
            <w:shd w:val="clear" w:color="auto" w:fill="auto"/>
            <w:vAlign w:val="center"/>
          </w:tcPr>
          <w:p w14:paraId="3F1BDA36" w14:textId="77777777" w:rsidR="008B7E19" w:rsidRPr="006A788F" w:rsidRDefault="008B7E19" w:rsidP="008B7E19">
            <w:pPr>
              <w:jc w:val="right"/>
              <w:cnfStyle w:val="000000100000" w:firstRow="0" w:lastRow="0" w:firstColumn="0" w:lastColumn="0" w:oddVBand="0" w:evenVBand="0" w:oddHBand="1" w:evenHBand="0" w:firstRowFirstColumn="0" w:firstRowLastColumn="0" w:lastRowFirstColumn="0" w:lastRowLastColumn="0"/>
              <w:rPr>
                <w:rFonts w:cs="Arial"/>
                <w:b/>
                <w:bCs/>
                <w:sz w:val="14"/>
                <w:szCs w:val="14"/>
              </w:rPr>
            </w:pPr>
            <w:r w:rsidRPr="006A788F">
              <w:rPr>
                <w:rFonts w:cs="Arial"/>
                <w:b/>
                <w:bCs/>
                <w:sz w:val="14"/>
                <w:szCs w:val="14"/>
              </w:rPr>
              <w:t xml:space="preserve">  (6</w:t>
            </w:r>
            <w:r>
              <w:rPr>
                <w:rFonts w:cs="Arial"/>
                <w:b/>
                <w:bCs/>
                <w:sz w:val="14"/>
                <w:szCs w:val="14"/>
              </w:rPr>
              <w:t>,</w:t>
            </w:r>
            <w:r w:rsidRPr="006A788F">
              <w:rPr>
                <w:rFonts w:cs="Arial"/>
                <w:b/>
                <w:bCs/>
                <w:sz w:val="14"/>
                <w:szCs w:val="14"/>
              </w:rPr>
              <w:t>585)</w:t>
            </w:r>
          </w:p>
        </w:tc>
        <w:tc>
          <w:tcPr>
            <w:tcW w:w="1819" w:type="dxa"/>
            <w:tcBorders>
              <w:top w:val="single" w:sz="2" w:space="0" w:color="1F4E79" w:themeColor="accent1" w:themeShade="80"/>
              <w:left w:val="nil"/>
              <w:bottom w:val="nil"/>
              <w:right w:val="nil"/>
            </w:tcBorders>
            <w:shd w:val="clear" w:color="auto" w:fill="auto"/>
            <w:vAlign w:val="center"/>
          </w:tcPr>
          <w:p w14:paraId="2A8F2C26" w14:textId="77777777" w:rsidR="008B7E19" w:rsidRPr="006A788F" w:rsidRDefault="008B7E19" w:rsidP="008B7E19">
            <w:pPr>
              <w:jc w:val="right"/>
              <w:cnfStyle w:val="000000100000" w:firstRow="0" w:lastRow="0" w:firstColumn="0" w:lastColumn="0" w:oddVBand="0" w:evenVBand="0" w:oddHBand="1" w:evenHBand="0" w:firstRowFirstColumn="0" w:firstRowLastColumn="0" w:lastRowFirstColumn="0" w:lastRowLastColumn="0"/>
              <w:rPr>
                <w:rFonts w:cs="Arial"/>
                <w:b/>
                <w:bCs/>
                <w:sz w:val="14"/>
                <w:szCs w:val="14"/>
              </w:rPr>
            </w:pPr>
            <w:r w:rsidRPr="006A788F">
              <w:rPr>
                <w:rFonts w:cs="Arial"/>
                <w:b/>
                <w:bCs/>
                <w:sz w:val="14"/>
                <w:szCs w:val="14"/>
              </w:rPr>
              <w:t xml:space="preserve">  (6</w:t>
            </w:r>
            <w:r>
              <w:rPr>
                <w:rFonts w:cs="Arial"/>
                <w:b/>
                <w:bCs/>
                <w:sz w:val="14"/>
                <w:szCs w:val="14"/>
              </w:rPr>
              <w:t>,</w:t>
            </w:r>
            <w:r w:rsidRPr="006A788F">
              <w:rPr>
                <w:rFonts w:cs="Arial"/>
                <w:b/>
                <w:bCs/>
                <w:sz w:val="14"/>
                <w:szCs w:val="14"/>
              </w:rPr>
              <w:t>929)</w:t>
            </w:r>
          </w:p>
        </w:tc>
      </w:tr>
      <w:tr w:rsidR="008B7E19" w:rsidRPr="006A788F" w14:paraId="7E398C28" w14:textId="77777777" w:rsidTr="008B7E1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2297C00E" w14:textId="77777777" w:rsidR="008B7E19" w:rsidRPr="006A788F" w:rsidRDefault="008B7E19" w:rsidP="008B7E19">
            <w:pPr>
              <w:keepNext/>
              <w:keepLines/>
              <w:spacing w:before="40" w:after="40"/>
              <w:ind w:left="113"/>
              <w:rPr>
                <w:rFonts w:cs="Arial"/>
                <w:b w:val="0"/>
                <w:bCs w:val="0"/>
                <w:sz w:val="14"/>
                <w:szCs w:val="14"/>
              </w:rPr>
            </w:pPr>
            <w:r w:rsidRPr="003F2F2A">
              <w:rPr>
                <w:rFonts w:cs="Arial"/>
                <w:b w:val="0"/>
                <w:bCs w:val="0"/>
                <w:sz w:val="14"/>
                <w:szCs w:val="14"/>
              </w:rPr>
              <w:t>Income from operations</w:t>
            </w:r>
          </w:p>
        </w:tc>
        <w:tc>
          <w:tcPr>
            <w:tcW w:w="1818" w:type="dxa"/>
            <w:tcBorders>
              <w:top w:val="nil"/>
              <w:left w:val="nil"/>
              <w:bottom w:val="nil"/>
              <w:right w:val="nil"/>
            </w:tcBorders>
            <w:shd w:val="clear" w:color="auto" w:fill="auto"/>
            <w:vAlign w:val="center"/>
          </w:tcPr>
          <w:p w14:paraId="32AFAC68" w14:textId="77777777" w:rsidR="008B7E19" w:rsidRPr="006A788F"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sz w:val="14"/>
                <w:szCs w:val="14"/>
              </w:rPr>
            </w:pPr>
            <w:r w:rsidRPr="006A788F">
              <w:rPr>
                <w:rFonts w:cs="Arial"/>
                <w:sz w:val="14"/>
                <w:szCs w:val="14"/>
              </w:rPr>
              <w:t xml:space="preserve">  183</w:t>
            </w:r>
            <w:r>
              <w:rPr>
                <w:rFonts w:cs="Arial"/>
                <w:sz w:val="14"/>
                <w:szCs w:val="14"/>
              </w:rPr>
              <w:t>,</w:t>
            </w:r>
            <w:r w:rsidRPr="006A788F">
              <w:rPr>
                <w:rFonts w:cs="Arial"/>
                <w:sz w:val="14"/>
                <w:szCs w:val="14"/>
              </w:rPr>
              <w:t xml:space="preserve">924 </w:t>
            </w:r>
          </w:p>
        </w:tc>
        <w:tc>
          <w:tcPr>
            <w:tcW w:w="1819" w:type="dxa"/>
            <w:tcBorders>
              <w:top w:val="nil"/>
              <w:left w:val="nil"/>
              <w:bottom w:val="nil"/>
              <w:right w:val="nil"/>
            </w:tcBorders>
            <w:shd w:val="clear" w:color="auto" w:fill="auto"/>
            <w:vAlign w:val="center"/>
          </w:tcPr>
          <w:p w14:paraId="1875EB06" w14:textId="77777777" w:rsidR="008B7E19" w:rsidRPr="006A788F"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sz w:val="14"/>
                <w:szCs w:val="14"/>
              </w:rPr>
            </w:pPr>
            <w:r w:rsidRPr="006A788F">
              <w:rPr>
                <w:rFonts w:cs="Arial"/>
                <w:sz w:val="14"/>
                <w:szCs w:val="14"/>
              </w:rPr>
              <w:t xml:space="preserve">  361</w:t>
            </w:r>
            <w:r>
              <w:rPr>
                <w:rFonts w:cs="Arial"/>
                <w:sz w:val="14"/>
                <w:szCs w:val="14"/>
              </w:rPr>
              <w:t>,</w:t>
            </w:r>
            <w:r w:rsidRPr="006A788F">
              <w:rPr>
                <w:rFonts w:cs="Arial"/>
                <w:sz w:val="14"/>
                <w:szCs w:val="14"/>
              </w:rPr>
              <w:t xml:space="preserve">307 </w:t>
            </w:r>
          </w:p>
        </w:tc>
        <w:tc>
          <w:tcPr>
            <w:tcW w:w="1819" w:type="dxa"/>
            <w:tcBorders>
              <w:top w:val="nil"/>
              <w:left w:val="nil"/>
              <w:bottom w:val="nil"/>
              <w:right w:val="nil"/>
            </w:tcBorders>
            <w:shd w:val="clear" w:color="auto" w:fill="auto"/>
            <w:vAlign w:val="center"/>
          </w:tcPr>
          <w:p w14:paraId="7EC60577" w14:textId="77777777" w:rsidR="008B7E19" w:rsidRPr="006A788F"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sz w:val="14"/>
                <w:szCs w:val="14"/>
              </w:rPr>
            </w:pPr>
            <w:r w:rsidRPr="006A788F">
              <w:rPr>
                <w:rFonts w:cs="Arial"/>
                <w:sz w:val="14"/>
                <w:szCs w:val="14"/>
              </w:rPr>
              <w:t xml:space="preserve">  143</w:t>
            </w:r>
            <w:r>
              <w:rPr>
                <w:rFonts w:cs="Arial"/>
                <w:sz w:val="14"/>
                <w:szCs w:val="14"/>
              </w:rPr>
              <w:t>,</w:t>
            </w:r>
            <w:r w:rsidRPr="006A788F">
              <w:rPr>
                <w:rFonts w:cs="Arial"/>
                <w:sz w:val="14"/>
                <w:szCs w:val="14"/>
              </w:rPr>
              <w:t xml:space="preserve">059 </w:t>
            </w:r>
          </w:p>
        </w:tc>
        <w:tc>
          <w:tcPr>
            <w:tcW w:w="1819" w:type="dxa"/>
            <w:tcBorders>
              <w:top w:val="nil"/>
              <w:left w:val="nil"/>
              <w:bottom w:val="nil"/>
              <w:right w:val="nil"/>
            </w:tcBorders>
            <w:shd w:val="clear" w:color="auto" w:fill="auto"/>
            <w:vAlign w:val="center"/>
          </w:tcPr>
          <w:p w14:paraId="0DCCA097" w14:textId="77777777" w:rsidR="008B7E19" w:rsidRPr="006A788F"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sz w:val="14"/>
                <w:szCs w:val="14"/>
              </w:rPr>
            </w:pPr>
            <w:r w:rsidRPr="006A788F">
              <w:rPr>
                <w:rFonts w:cs="Arial"/>
                <w:sz w:val="14"/>
                <w:szCs w:val="14"/>
              </w:rPr>
              <w:t xml:space="preserve">  305</w:t>
            </w:r>
            <w:r>
              <w:rPr>
                <w:rFonts w:cs="Arial"/>
                <w:sz w:val="14"/>
                <w:szCs w:val="14"/>
              </w:rPr>
              <w:t>,</w:t>
            </w:r>
            <w:r w:rsidRPr="006A788F">
              <w:rPr>
                <w:rFonts w:cs="Arial"/>
                <w:sz w:val="14"/>
                <w:szCs w:val="14"/>
              </w:rPr>
              <w:t xml:space="preserve">458 </w:t>
            </w:r>
          </w:p>
        </w:tc>
      </w:tr>
      <w:tr w:rsidR="008B7E19" w:rsidRPr="006A788F" w14:paraId="25F96EF0"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00C2C96E" w14:textId="77777777" w:rsidR="008B7E19" w:rsidRPr="006A788F" w:rsidRDefault="008B7E19" w:rsidP="008B7E19">
            <w:pPr>
              <w:keepNext/>
              <w:keepLines/>
              <w:spacing w:before="40" w:after="40"/>
              <w:ind w:left="113"/>
              <w:rPr>
                <w:rFonts w:cs="Arial"/>
                <w:b w:val="0"/>
                <w:bCs w:val="0"/>
                <w:sz w:val="14"/>
                <w:szCs w:val="14"/>
              </w:rPr>
            </w:pPr>
            <w:r>
              <w:rPr>
                <w:rFonts w:cs="Arial"/>
                <w:b w:val="0"/>
                <w:bCs w:val="0"/>
                <w:sz w:val="14"/>
                <w:szCs w:val="14"/>
              </w:rPr>
              <w:t>C</w:t>
            </w:r>
            <w:r w:rsidRPr="003F2F2A">
              <w:rPr>
                <w:rFonts w:cs="Arial"/>
                <w:b w:val="0"/>
                <w:bCs w:val="0"/>
                <w:sz w:val="14"/>
                <w:szCs w:val="14"/>
              </w:rPr>
              <w:t>osts</w:t>
            </w:r>
          </w:p>
        </w:tc>
        <w:tc>
          <w:tcPr>
            <w:tcW w:w="1818" w:type="dxa"/>
            <w:tcBorders>
              <w:top w:val="nil"/>
              <w:left w:val="nil"/>
              <w:bottom w:val="nil"/>
              <w:right w:val="nil"/>
            </w:tcBorders>
            <w:shd w:val="clear" w:color="auto" w:fill="auto"/>
            <w:vAlign w:val="center"/>
          </w:tcPr>
          <w:p w14:paraId="4BB62DD8" w14:textId="77777777" w:rsidR="008B7E19" w:rsidRPr="006A788F" w:rsidRDefault="008B7E19" w:rsidP="008B7E19">
            <w:pPr>
              <w:keepNext/>
              <w:keepLines/>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6A788F">
              <w:rPr>
                <w:rFonts w:cs="Arial"/>
                <w:sz w:val="14"/>
                <w:szCs w:val="14"/>
              </w:rPr>
              <w:t xml:space="preserve">  (206</w:t>
            </w:r>
            <w:r>
              <w:rPr>
                <w:rFonts w:cs="Arial"/>
                <w:sz w:val="14"/>
                <w:szCs w:val="14"/>
              </w:rPr>
              <w:t>,</w:t>
            </w:r>
            <w:r w:rsidRPr="006A788F">
              <w:rPr>
                <w:rFonts w:cs="Arial"/>
                <w:sz w:val="14"/>
                <w:szCs w:val="14"/>
              </w:rPr>
              <w:t>225)</w:t>
            </w:r>
          </w:p>
        </w:tc>
        <w:tc>
          <w:tcPr>
            <w:tcW w:w="1819" w:type="dxa"/>
            <w:tcBorders>
              <w:top w:val="nil"/>
              <w:left w:val="nil"/>
              <w:bottom w:val="nil"/>
              <w:right w:val="nil"/>
            </w:tcBorders>
            <w:shd w:val="clear" w:color="auto" w:fill="auto"/>
            <w:vAlign w:val="center"/>
          </w:tcPr>
          <w:p w14:paraId="270989BE" w14:textId="77777777" w:rsidR="008B7E19" w:rsidRPr="006A788F" w:rsidRDefault="008B7E19" w:rsidP="008B7E19">
            <w:pPr>
              <w:keepNext/>
              <w:keepLines/>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6A788F">
              <w:rPr>
                <w:rFonts w:cs="Arial"/>
                <w:sz w:val="14"/>
                <w:szCs w:val="14"/>
              </w:rPr>
              <w:t xml:space="preserve">  (386</w:t>
            </w:r>
            <w:r>
              <w:rPr>
                <w:rFonts w:cs="Arial"/>
                <w:sz w:val="14"/>
                <w:szCs w:val="14"/>
              </w:rPr>
              <w:t>,</w:t>
            </w:r>
            <w:r w:rsidRPr="006A788F">
              <w:rPr>
                <w:rFonts w:cs="Arial"/>
                <w:sz w:val="14"/>
                <w:szCs w:val="14"/>
              </w:rPr>
              <w:t>362)</w:t>
            </w:r>
          </w:p>
        </w:tc>
        <w:tc>
          <w:tcPr>
            <w:tcW w:w="1819" w:type="dxa"/>
            <w:tcBorders>
              <w:top w:val="nil"/>
              <w:left w:val="nil"/>
              <w:bottom w:val="nil"/>
              <w:right w:val="nil"/>
            </w:tcBorders>
            <w:shd w:val="clear" w:color="auto" w:fill="auto"/>
            <w:vAlign w:val="center"/>
          </w:tcPr>
          <w:p w14:paraId="33F60DE6" w14:textId="77777777" w:rsidR="008B7E19" w:rsidRPr="006A788F" w:rsidRDefault="008B7E19" w:rsidP="008B7E19">
            <w:pPr>
              <w:keepNext/>
              <w:keepLines/>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6A788F">
              <w:rPr>
                <w:rFonts w:cs="Arial"/>
                <w:sz w:val="14"/>
                <w:szCs w:val="14"/>
              </w:rPr>
              <w:t xml:space="preserve">  (149</w:t>
            </w:r>
            <w:r>
              <w:rPr>
                <w:rFonts w:cs="Arial"/>
                <w:sz w:val="14"/>
                <w:szCs w:val="14"/>
              </w:rPr>
              <w:t>,</w:t>
            </w:r>
            <w:r w:rsidRPr="006A788F">
              <w:rPr>
                <w:rFonts w:cs="Arial"/>
                <w:sz w:val="14"/>
                <w:szCs w:val="14"/>
              </w:rPr>
              <w:t>644)</w:t>
            </w:r>
          </w:p>
        </w:tc>
        <w:tc>
          <w:tcPr>
            <w:tcW w:w="1819" w:type="dxa"/>
            <w:tcBorders>
              <w:top w:val="nil"/>
              <w:left w:val="nil"/>
              <w:bottom w:val="nil"/>
              <w:right w:val="nil"/>
            </w:tcBorders>
            <w:shd w:val="clear" w:color="auto" w:fill="auto"/>
            <w:vAlign w:val="center"/>
          </w:tcPr>
          <w:p w14:paraId="017FFC29" w14:textId="77777777" w:rsidR="008B7E19" w:rsidRPr="006A788F" w:rsidRDefault="008B7E19" w:rsidP="008B7E19">
            <w:pPr>
              <w:keepNext/>
              <w:keepLines/>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6A788F">
              <w:rPr>
                <w:rFonts w:cs="Arial"/>
                <w:sz w:val="14"/>
                <w:szCs w:val="14"/>
              </w:rPr>
              <w:t xml:space="preserve">  (312</w:t>
            </w:r>
            <w:r>
              <w:rPr>
                <w:rFonts w:cs="Arial"/>
                <w:sz w:val="14"/>
                <w:szCs w:val="14"/>
              </w:rPr>
              <w:t>,</w:t>
            </w:r>
            <w:r w:rsidRPr="006A788F">
              <w:rPr>
                <w:rFonts w:cs="Arial"/>
                <w:sz w:val="14"/>
                <w:szCs w:val="14"/>
              </w:rPr>
              <w:t>387)</w:t>
            </w:r>
          </w:p>
        </w:tc>
      </w:tr>
      <w:tr w:rsidR="008B7E19" w:rsidRPr="006A788F" w14:paraId="619B268B" w14:textId="77777777" w:rsidTr="008B7E1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6D21AFF3" w14:textId="77777777" w:rsidR="008B7E19" w:rsidRPr="006A788F" w:rsidRDefault="008B7E19" w:rsidP="008B7E19">
            <w:pPr>
              <w:keepNext/>
              <w:keepLines/>
              <w:spacing w:before="40" w:after="40"/>
              <w:rPr>
                <w:rFonts w:cs="Arial"/>
                <w:sz w:val="14"/>
                <w:szCs w:val="14"/>
              </w:rPr>
            </w:pPr>
            <w:r>
              <w:rPr>
                <w:rFonts w:cs="Arial"/>
                <w:color w:val="000000"/>
                <w:sz w:val="14"/>
                <w:szCs w:val="14"/>
              </w:rPr>
              <w:t>Financial result</w:t>
            </w:r>
          </w:p>
        </w:tc>
        <w:tc>
          <w:tcPr>
            <w:tcW w:w="1818" w:type="dxa"/>
            <w:tcBorders>
              <w:top w:val="nil"/>
              <w:left w:val="nil"/>
              <w:bottom w:val="nil"/>
              <w:right w:val="nil"/>
            </w:tcBorders>
            <w:shd w:val="clear" w:color="auto" w:fill="auto"/>
            <w:vAlign w:val="center"/>
          </w:tcPr>
          <w:p w14:paraId="4067DC8D" w14:textId="77777777" w:rsidR="008B7E19" w:rsidRPr="006A788F"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b/>
                <w:bCs/>
                <w:sz w:val="14"/>
                <w:szCs w:val="14"/>
              </w:rPr>
            </w:pPr>
            <w:r w:rsidRPr="006A788F">
              <w:rPr>
                <w:rFonts w:cs="Arial"/>
                <w:b/>
                <w:bCs/>
                <w:sz w:val="14"/>
                <w:szCs w:val="14"/>
              </w:rPr>
              <w:t xml:space="preserve">  110</w:t>
            </w:r>
            <w:r>
              <w:rPr>
                <w:rFonts w:cs="Arial"/>
                <w:b/>
                <w:bCs/>
                <w:sz w:val="14"/>
                <w:szCs w:val="14"/>
              </w:rPr>
              <w:t>,</w:t>
            </w:r>
            <w:r w:rsidRPr="006A788F">
              <w:rPr>
                <w:rFonts w:cs="Arial"/>
                <w:b/>
                <w:bCs/>
                <w:sz w:val="14"/>
                <w:szCs w:val="14"/>
              </w:rPr>
              <w:t xml:space="preserve">756 </w:t>
            </w:r>
          </w:p>
        </w:tc>
        <w:tc>
          <w:tcPr>
            <w:tcW w:w="1819" w:type="dxa"/>
            <w:tcBorders>
              <w:top w:val="nil"/>
              <w:left w:val="nil"/>
              <w:bottom w:val="nil"/>
              <w:right w:val="nil"/>
            </w:tcBorders>
            <w:shd w:val="clear" w:color="auto" w:fill="auto"/>
            <w:vAlign w:val="center"/>
          </w:tcPr>
          <w:p w14:paraId="6B84D23B" w14:textId="77777777" w:rsidR="008B7E19" w:rsidRPr="006A788F"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b/>
                <w:bCs/>
                <w:sz w:val="14"/>
                <w:szCs w:val="14"/>
              </w:rPr>
            </w:pPr>
            <w:r w:rsidRPr="006A788F">
              <w:rPr>
                <w:rFonts w:cs="Arial"/>
                <w:b/>
                <w:bCs/>
                <w:sz w:val="14"/>
                <w:szCs w:val="14"/>
              </w:rPr>
              <w:t xml:space="preserve">  205</w:t>
            </w:r>
            <w:r>
              <w:rPr>
                <w:rFonts w:cs="Arial"/>
                <w:b/>
                <w:bCs/>
                <w:sz w:val="14"/>
                <w:szCs w:val="14"/>
              </w:rPr>
              <w:t>,</w:t>
            </w:r>
            <w:r w:rsidRPr="006A788F">
              <w:rPr>
                <w:rFonts w:cs="Arial"/>
                <w:b/>
                <w:bCs/>
                <w:sz w:val="14"/>
                <w:szCs w:val="14"/>
              </w:rPr>
              <w:t xml:space="preserve">799 </w:t>
            </w:r>
          </w:p>
        </w:tc>
        <w:tc>
          <w:tcPr>
            <w:tcW w:w="1819" w:type="dxa"/>
            <w:tcBorders>
              <w:top w:val="nil"/>
              <w:left w:val="nil"/>
              <w:bottom w:val="nil"/>
              <w:right w:val="nil"/>
            </w:tcBorders>
            <w:shd w:val="clear" w:color="auto" w:fill="auto"/>
            <w:vAlign w:val="center"/>
          </w:tcPr>
          <w:p w14:paraId="6182066F" w14:textId="77777777" w:rsidR="008B7E19" w:rsidRPr="006A788F"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b/>
                <w:bCs/>
                <w:sz w:val="14"/>
                <w:szCs w:val="14"/>
              </w:rPr>
            </w:pPr>
            <w:r w:rsidRPr="006A788F">
              <w:rPr>
                <w:rFonts w:cs="Arial"/>
                <w:b/>
                <w:bCs/>
                <w:sz w:val="14"/>
                <w:szCs w:val="14"/>
              </w:rPr>
              <w:t xml:space="preserve">  100</w:t>
            </w:r>
            <w:r>
              <w:rPr>
                <w:rFonts w:cs="Arial"/>
                <w:b/>
                <w:bCs/>
                <w:sz w:val="14"/>
                <w:szCs w:val="14"/>
              </w:rPr>
              <w:t>,</w:t>
            </w:r>
            <w:r w:rsidRPr="006A788F">
              <w:rPr>
                <w:rFonts w:cs="Arial"/>
                <w:b/>
                <w:bCs/>
                <w:sz w:val="14"/>
                <w:szCs w:val="14"/>
              </w:rPr>
              <w:t xml:space="preserve">646 </w:t>
            </w:r>
          </w:p>
        </w:tc>
        <w:tc>
          <w:tcPr>
            <w:tcW w:w="1819" w:type="dxa"/>
            <w:tcBorders>
              <w:top w:val="nil"/>
              <w:left w:val="nil"/>
              <w:bottom w:val="nil"/>
              <w:right w:val="nil"/>
            </w:tcBorders>
            <w:shd w:val="clear" w:color="auto" w:fill="auto"/>
            <w:vAlign w:val="center"/>
          </w:tcPr>
          <w:p w14:paraId="543DCAD5" w14:textId="77777777" w:rsidR="008B7E19" w:rsidRPr="006A788F"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b/>
                <w:bCs/>
                <w:sz w:val="14"/>
                <w:szCs w:val="14"/>
              </w:rPr>
            </w:pPr>
            <w:r w:rsidRPr="006A788F">
              <w:rPr>
                <w:rFonts w:cs="Arial"/>
                <w:b/>
                <w:bCs/>
                <w:sz w:val="14"/>
                <w:szCs w:val="14"/>
              </w:rPr>
              <w:t xml:space="preserve">  177</w:t>
            </w:r>
            <w:r>
              <w:rPr>
                <w:rFonts w:cs="Arial"/>
                <w:b/>
                <w:bCs/>
                <w:sz w:val="14"/>
                <w:szCs w:val="14"/>
              </w:rPr>
              <w:t>,</w:t>
            </w:r>
            <w:r w:rsidRPr="006A788F">
              <w:rPr>
                <w:rFonts w:cs="Arial"/>
                <w:b/>
                <w:bCs/>
                <w:sz w:val="14"/>
                <w:szCs w:val="14"/>
              </w:rPr>
              <w:t xml:space="preserve">522 </w:t>
            </w:r>
          </w:p>
        </w:tc>
      </w:tr>
      <w:tr w:rsidR="008B7E19" w:rsidRPr="006A788F" w14:paraId="5E7B0537"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1822822F" w14:textId="77777777" w:rsidR="008B7E19" w:rsidRPr="006A788F" w:rsidRDefault="008B7E19" w:rsidP="008B7E19">
            <w:pPr>
              <w:keepNext/>
              <w:keepLines/>
              <w:spacing w:before="40" w:after="40"/>
              <w:ind w:left="113"/>
              <w:rPr>
                <w:rFonts w:cs="Arial"/>
                <w:b w:val="0"/>
                <w:bCs w:val="0"/>
                <w:color w:val="000000"/>
                <w:sz w:val="14"/>
                <w:szCs w:val="14"/>
              </w:rPr>
            </w:pPr>
            <w:r w:rsidRPr="00C9587F">
              <w:rPr>
                <w:rFonts w:cs="Arial"/>
                <w:b w:val="0"/>
                <w:bCs w:val="0"/>
                <w:sz w:val="14"/>
                <w:szCs w:val="14"/>
              </w:rPr>
              <w:t>Financial income</w:t>
            </w:r>
          </w:p>
        </w:tc>
        <w:tc>
          <w:tcPr>
            <w:tcW w:w="1818" w:type="dxa"/>
            <w:tcBorders>
              <w:top w:val="nil"/>
              <w:left w:val="nil"/>
              <w:bottom w:val="nil"/>
              <w:right w:val="nil"/>
            </w:tcBorders>
            <w:shd w:val="clear" w:color="auto" w:fill="auto"/>
            <w:vAlign w:val="center"/>
          </w:tcPr>
          <w:p w14:paraId="7EE8F6D3" w14:textId="77777777" w:rsidR="008B7E19" w:rsidRPr="006A788F" w:rsidRDefault="008B7E19" w:rsidP="008B7E19">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6A788F">
              <w:rPr>
                <w:rFonts w:cs="Arial"/>
                <w:sz w:val="14"/>
                <w:szCs w:val="14"/>
              </w:rPr>
              <w:t xml:space="preserve">  290</w:t>
            </w:r>
            <w:r>
              <w:rPr>
                <w:rFonts w:cs="Arial"/>
                <w:sz w:val="14"/>
                <w:szCs w:val="14"/>
              </w:rPr>
              <w:t>,</w:t>
            </w:r>
            <w:r w:rsidRPr="006A788F">
              <w:rPr>
                <w:rFonts w:cs="Arial"/>
                <w:sz w:val="14"/>
                <w:szCs w:val="14"/>
              </w:rPr>
              <w:t xml:space="preserve">319 </w:t>
            </w:r>
          </w:p>
        </w:tc>
        <w:tc>
          <w:tcPr>
            <w:tcW w:w="1819" w:type="dxa"/>
            <w:tcBorders>
              <w:top w:val="nil"/>
              <w:left w:val="nil"/>
              <w:bottom w:val="nil"/>
              <w:right w:val="nil"/>
            </w:tcBorders>
            <w:shd w:val="clear" w:color="auto" w:fill="auto"/>
            <w:vAlign w:val="center"/>
          </w:tcPr>
          <w:p w14:paraId="4A51EDDE" w14:textId="77777777" w:rsidR="008B7E19" w:rsidRPr="006A788F" w:rsidRDefault="008B7E19" w:rsidP="008B7E19">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6A788F">
              <w:rPr>
                <w:rFonts w:cs="Arial"/>
                <w:sz w:val="14"/>
                <w:szCs w:val="14"/>
              </w:rPr>
              <w:t xml:space="preserve">  572</w:t>
            </w:r>
            <w:r>
              <w:rPr>
                <w:rFonts w:cs="Arial"/>
                <w:sz w:val="14"/>
                <w:szCs w:val="14"/>
              </w:rPr>
              <w:t>,</w:t>
            </w:r>
            <w:r w:rsidRPr="006A788F">
              <w:rPr>
                <w:rFonts w:cs="Arial"/>
                <w:sz w:val="14"/>
                <w:szCs w:val="14"/>
              </w:rPr>
              <w:t xml:space="preserve">986 </w:t>
            </w:r>
          </w:p>
        </w:tc>
        <w:tc>
          <w:tcPr>
            <w:tcW w:w="1819" w:type="dxa"/>
            <w:tcBorders>
              <w:top w:val="nil"/>
              <w:left w:val="nil"/>
              <w:bottom w:val="nil"/>
              <w:right w:val="nil"/>
            </w:tcBorders>
            <w:shd w:val="clear" w:color="auto" w:fill="auto"/>
            <w:vAlign w:val="center"/>
          </w:tcPr>
          <w:p w14:paraId="441F492C" w14:textId="77777777" w:rsidR="008B7E19" w:rsidRPr="006A788F" w:rsidRDefault="008B7E19" w:rsidP="008B7E19">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6A788F">
              <w:rPr>
                <w:rFonts w:cs="Arial"/>
                <w:sz w:val="14"/>
                <w:szCs w:val="14"/>
              </w:rPr>
              <w:t xml:space="preserve">  205</w:t>
            </w:r>
            <w:r>
              <w:rPr>
                <w:rFonts w:cs="Arial"/>
                <w:sz w:val="14"/>
                <w:szCs w:val="14"/>
              </w:rPr>
              <w:t>,</w:t>
            </w:r>
            <w:r w:rsidRPr="006A788F">
              <w:rPr>
                <w:rFonts w:cs="Arial"/>
                <w:sz w:val="14"/>
                <w:szCs w:val="14"/>
              </w:rPr>
              <w:t xml:space="preserve">754 </w:t>
            </w:r>
          </w:p>
        </w:tc>
        <w:tc>
          <w:tcPr>
            <w:tcW w:w="1819" w:type="dxa"/>
            <w:tcBorders>
              <w:top w:val="nil"/>
              <w:left w:val="nil"/>
              <w:bottom w:val="nil"/>
              <w:right w:val="nil"/>
            </w:tcBorders>
            <w:shd w:val="clear" w:color="auto" w:fill="auto"/>
            <w:vAlign w:val="center"/>
          </w:tcPr>
          <w:p w14:paraId="7F46E98F" w14:textId="77777777" w:rsidR="008B7E19" w:rsidRPr="006A788F" w:rsidRDefault="008B7E19" w:rsidP="008B7E19">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6A788F">
              <w:rPr>
                <w:rFonts w:cs="Arial"/>
                <w:sz w:val="14"/>
                <w:szCs w:val="14"/>
              </w:rPr>
              <w:t xml:space="preserve">  388</w:t>
            </w:r>
            <w:r>
              <w:rPr>
                <w:rFonts w:cs="Arial"/>
                <w:sz w:val="14"/>
                <w:szCs w:val="14"/>
              </w:rPr>
              <w:t>,</w:t>
            </w:r>
            <w:r w:rsidRPr="006A788F">
              <w:rPr>
                <w:rFonts w:cs="Arial"/>
                <w:sz w:val="14"/>
                <w:szCs w:val="14"/>
              </w:rPr>
              <w:t xml:space="preserve">688 </w:t>
            </w:r>
          </w:p>
        </w:tc>
      </w:tr>
      <w:tr w:rsidR="008B7E19" w:rsidRPr="006A788F" w14:paraId="4802FCF9" w14:textId="77777777" w:rsidTr="008B7E1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3083E8F8" w14:textId="77777777" w:rsidR="008B7E19" w:rsidRPr="006A788F" w:rsidRDefault="008B7E19" w:rsidP="008B7E19">
            <w:pPr>
              <w:keepNext/>
              <w:keepLines/>
              <w:spacing w:before="40" w:after="40"/>
              <w:ind w:left="113"/>
              <w:rPr>
                <w:rFonts w:cs="Arial"/>
                <w:b w:val="0"/>
                <w:bCs w:val="0"/>
                <w:sz w:val="14"/>
                <w:szCs w:val="14"/>
              </w:rPr>
            </w:pPr>
            <w:r w:rsidRPr="00C9587F">
              <w:rPr>
                <w:rFonts w:cs="Arial"/>
                <w:b w:val="0"/>
                <w:bCs w:val="0"/>
                <w:sz w:val="14"/>
                <w:szCs w:val="14"/>
              </w:rPr>
              <w:t>Other financial income</w:t>
            </w:r>
          </w:p>
        </w:tc>
        <w:tc>
          <w:tcPr>
            <w:tcW w:w="1818" w:type="dxa"/>
            <w:tcBorders>
              <w:top w:val="nil"/>
              <w:left w:val="nil"/>
              <w:bottom w:val="nil"/>
              <w:right w:val="nil"/>
            </w:tcBorders>
            <w:shd w:val="clear" w:color="auto" w:fill="auto"/>
            <w:vAlign w:val="center"/>
          </w:tcPr>
          <w:p w14:paraId="4F8D51B4" w14:textId="77777777" w:rsidR="008B7E19" w:rsidRPr="006A788F" w:rsidRDefault="008B7E19" w:rsidP="008B7E19">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cs="Arial"/>
                <w:color w:val="000000"/>
                <w:sz w:val="14"/>
                <w:szCs w:val="14"/>
              </w:rPr>
            </w:pPr>
            <w:r w:rsidRPr="006A788F">
              <w:rPr>
                <w:rFonts w:cs="Arial"/>
                <w:sz w:val="14"/>
                <w:szCs w:val="14"/>
              </w:rPr>
              <w:t xml:space="preserve">  10</w:t>
            </w:r>
            <w:r>
              <w:rPr>
                <w:rFonts w:cs="Arial"/>
                <w:sz w:val="14"/>
                <w:szCs w:val="14"/>
              </w:rPr>
              <w:t>,</w:t>
            </w:r>
            <w:r w:rsidRPr="006A788F">
              <w:rPr>
                <w:rFonts w:cs="Arial"/>
                <w:sz w:val="14"/>
                <w:szCs w:val="14"/>
              </w:rPr>
              <w:t xml:space="preserve">369 </w:t>
            </w:r>
          </w:p>
        </w:tc>
        <w:tc>
          <w:tcPr>
            <w:tcW w:w="1819" w:type="dxa"/>
            <w:tcBorders>
              <w:top w:val="nil"/>
              <w:left w:val="nil"/>
              <w:bottom w:val="nil"/>
              <w:right w:val="nil"/>
            </w:tcBorders>
            <w:shd w:val="clear" w:color="auto" w:fill="auto"/>
            <w:vAlign w:val="center"/>
          </w:tcPr>
          <w:p w14:paraId="7B843789" w14:textId="77777777" w:rsidR="008B7E19" w:rsidRPr="006A788F" w:rsidRDefault="008B7E19" w:rsidP="008B7E19">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cs="Arial"/>
                <w:color w:val="000000"/>
                <w:sz w:val="14"/>
                <w:szCs w:val="14"/>
              </w:rPr>
            </w:pPr>
            <w:r w:rsidRPr="006A788F">
              <w:rPr>
                <w:rFonts w:cs="Arial"/>
                <w:sz w:val="14"/>
                <w:szCs w:val="14"/>
              </w:rPr>
              <w:t xml:space="preserve">  24</w:t>
            </w:r>
            <w:r>
              <w:rPr>
                <w:rFonts w:cs="Arial"/>
                <w:sz w:val="14"/>
                <w:szCs w:val="14"/>
              </w:rPr>
              <w:t>,</w:t>
            </w:r>
            <w:r w:rsidRPr="006A788F">
              <w:rPr>
                <w:rFonts w:cs="Arial"/>
                <w:sz w:val="14"/>
                <w:szCs w:val="14"/>
              </w:rPr>
              <w:t xml:space="preserve">776 </w:t>
            </w:r>
          </w:p>
        </w:tc>
        <w:tc>
          <w:tcPr>
            <w:tcW w:w="1819" w:type="dxa"/>
            <w:tcBorders>
              <w:top w:val="nil"/>
              <w:left w:val="nil"/>
              <w:bottom w:val="nil"/>
              <w:right w:val="nil"/>
            </w:tcBorders>
            <w:shd w:val="clear" w:color="auto" w:fill="auto"/>
            <w:vAlign w:val="center"/>
          </w:tcPr>
          <w:p w14:paraId="1A53781C" w14:textId="77777777" w:rsidR="008B7E19" w:rsidRPr="006A788F" w:rsidRDefault="008B7E19" w:rsidP="008B7E19">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cs="Arial"/>
                <w:color w:val="000000"/>
                <w:sz w:val="14"/>
                <w:szCs w:val="14"/>
              </w:rPr>
            </w:pPr>
            <w:r w:rsidRPr="006A788F">
              <w:rPr>
                <w:rFonts w:cs="Arial"/>
                <w:sz w:val="14"/>
                <w:szCs w:val="14"/>
              </w:rPr>
              <w:t xml:space="preserve">  120</w:t>
            </w:r>
            <w:r>
              <w:rPr>
                <w:rFonts w:cs="Arial"/>
                <w:sz w:val="14"/>
                <w:szCs w:val="14"/>
              </w:rPr>
              <w:t>,</w:t>
            </w:r>
            <w:r w:rsidRPr="006A788F">
              <w:rPr>
                <w:rFonts w:cs="Arial"/>
                <w:sz w:val="14"/>
                <w:szCs w:val="14"/>
              </w:rPr>
              <w:t xml:space="preserve">374 </w:t>
            </w:r>
          </w:p>
        </w:tc>
        <w:tc>
          <w:tcPr>
            <w:tcW w:w="1819" w:type="dxa"/>
            <w:tcBorders>
              <w:top w:val="nil"/>
              <w:left w:val="nil"/>
              <w:bottom w:val="nil"/>
              <w:right w:val="nil"/>
            </w:tcBorders>
            <w:shd w:val="clear" w:color="auto" w:fill="auto"/>
            <w:vAlign w:val="center"/>
          </w:tcPr>
          <w:p w14:paraId="0F338F09" w14:textId="77777777" w:rsidR="008B7E19" w:rsidRPr="006A788F" w:rsidRDefault="008B7E19" w:rsidP="008B7E19">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cs="Arial"/>
                <w:color w:val="000000"/>
                <w:sz w:val="14"/>
                <w:szCs w:val="14"/>
              </w:rPr>
            </w:pPr>
            <w:r w:rsidRPr="006A788F">
              <w:rPr>
                <w:rFonts w:cs="Arial"/>
                <w:sz w:val="14"/>
                <w:szCs w:val="14"/>
              </w:rPr>
              <w:t xml:space="preserve">  233</w:t>
            </w:r>
            <w:r>
              <w:rPr>
                <w:rFonts w:cs="Arial"/>
                <w:sz w:val="14"/>
                <w:szCs w:val="14"/>
              </w:rPr>
              <w:t>,</w:t>
            </w:r>
            <w:r w:rsidRPr="006A788F">
              <w:rPr>
                <w:rFonts w:cs="Arial"/>
                <w:sz w:val="14"/>
                <w:szCs w:val="14"/>
              </w:rPr>
              <w:t xml:space="preserve">372 </w:t>
            </w:r>
          </w:p>
        </w:tc>
      </w:tr>
      <w:tr w:rsidR="008B7E19" w:rsidRPr="006A788F" w14:paraId="6C246C2E"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35AFB8D8" w14:textId="77777777" w:rsidR="008B7E19" w:rsidRPr="006A788F" w:rsidRDefault="008B7E19" w:rsidP="008B7E19">
            <w:pPr>
              <w:keepNext/>
              <w:keepLines/>
              <w:spacing w:before="40" w:after="40"/>
              <w:ind w:left="113"/>
              <w:rPr>
                <w:rFonts w:cs="Arial"/>
                <w:b w:val="0"/>
                <w:bCs w:val="0"/>
                <w:sz w:val="14"/>
                <w:szCs w:val="14"/>
              </w:rPr>
            </w:pPr>
            <w:r w:rsidRPr="00C9587F">
              <w:rPr>
                <w:rFonts w:cs="Arial"/>
                <w:b w:val="0"/>
                <w:bCs w:val="0"/>
                <w:sz w:val="14"/>
                <w:szCs w:val="14"/>
              </w:rPr>
              <w:t>Financial expenses</w:t>
            </w:r>
          </w:p>
        </w:tc>
        <w:tc>
          <w:tcPr>
            <w:tcW w:w="1818" w:type="dxa"/>
            <w:tcBorders>
              <w:top w:val="nil"/>
              <w:left w:val="nil"/>
              <w:bottom w:val="nil"/>
              <w:right w:val="nil"/>
            </w:tcBorders>
            <w:shd w:val="clear" w:color="auto" w:fill="auto"/>
            <w:vAlign w:val="center"/>
          </w:tcPr>
          <w:p w14:paraId="31530EE3" w14:textId="77777777" w:rsidR="008B7E19" w:rsidRPr="006A788F" w:rsidRDefault="008B7E19" w:rsidP="008B7E19">
            <w:pPr>
              <w:keepNext/>
              <w:keepLines/>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6A788F">
              <w:rPr>
                <w:rFonts w:cs="Arial"/>
                <w:sz w:val="14"/>
                <w:szCs w:val="14"/>
              </w:rPr>
              <w:t xml:space="preserve">  (178</w:t>
            </w:r>
            <w:r>
              <w:rPr>
                <w:rFonts w:cs="Arial"/>
                <w:sz w:val="14"/>
                <w:szCs w:val="14"/>
              </w:rPr>
              <w:t>,</w:t>
            </w:r>
            <w:r w:rsidRPr="006A788F">
              <w:rPr>
                <w:rFonts w:cs="Arial"/>
                <w:sz w:val="14"/>
                <w:szCs w:val="14"/>
              </w:rPr>
              <w:t>932)</w:t>
            </w:r>
          </w:p>
        </w:tc>
        <w:tc>
          <w:tcPr>
            <w:tcW w:w="1819" w:type="dxa"/>
            <w:tcBorders>
              <w:top w:val="nil"/>
              <w:left w:val="nil"/>
              <w:bottom w:val="nil"/>
              <w:right w:val="nil"/>
            </w:tcBorders>
            <w:shd w:val="clear" w:color="auto" w:fill="auto"/>
            <w:vAlign w:val="center"/>
          </w:tcPr>
          <w:p w14:paraId="5A6EDAD4" w14:textId="77777777" w:rsidR="008B7E19" w:rsidRPr="006A788F" w:rsidRDefault="008B7E19" w:rsidP="008B7E19">
            <w:pPr>
              <w:keepNext/>
              <w:keepLines/>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6A788F">
              <w:rPr>
                <w:rFonts w:cs="Arial"/>
                <w:sz w:val="14"/>
                <w:szCs w:val="14"/>
              </w:rPr>
              <w:t xml:space="preserve">  (351</w:t>
            </w:r>
            <w:r>
              <w:rPr>
                <w:rFonts w:cs="Arial"/>
                <w:sz w:val="14"/>
                <w:szCs w:val="14"/>
              </w:rPr>
              <w:t>,</w:t>
            </w:r>
            <w:r w:rsidRPr="006A788F">
              <w:rPr>
                <w:rFonts w:cs="Arial"/>
                <w:sz w:val="14"/>
                <w:szCs w:val="14"/>
              </w:rPr>
              <w:t>587)</w:t>
            </w:r>
          </w:p>
        </w:tc>
        <w:tc>
          <w:tcPr>
            <w:tcW w:w="1819" w:type="dxa"/>
            <w:tcBorders>
              <w:top w:val="nil"/>
              <w:left w:val="nil"/>
              <w:bottom w:val="nil"/>
              <w:right w:val="nil"/>
            </w:tcBorders>
            <w:shd w:val="clear" w:color="auto" w:fill="auto"/>
            <w:vAlign w:val="center"/>
          </w:tcPr>
          <w:p w14:paraId="69CDD1FA" w14:textId="77777777" w:rsidR="008B7E19" w:rsidRPr="006A788F" w:rsidRDefault="008B7E19" w:rsidP="008B7E19">
            <w:pPr>
              <w:keepNext/>
              <w:keepLines/>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6A788F">
              <w:rPr>
                <w:rFonts w:cs="Arial"/>
                <w:sz w:val="14"/>
                <w:szCs w:val="14"/>
              </w:rPr>
              <w:t xml:space="preserve">  (130</w:t>
            </w:r>
            <w:r>
              <w:rPr>
                <w:rFonts w:cs="Arial"/>
                <w:sz w:val="14"/>
                <w:szCs w:val="14"/>
              </w:rPr>
              <w:t>,</w:t>
            </w:r>
            <w:r w:rsidRPr="006A788F">
              <w:rPr>
                <w:rFonts w:cs="Arial"/>
                <w:sz w:val="14"/>
                <w:szCs w:val="14"/>
              </w:rPr>
              <w:t>524)</w:t>
            </w:r>
          </w:p>
        </w:tc>
        <w:tc>
          <w:tcPr>
            <w:tcW w:w="1819" w:type="dxa"/>
            <w:tcBorders>
              <w:top w:val="nil"/>
              <w:left w:val="nil"/>
              <w:bottom w:val="nil"/>
              <w:right w:val="nil"/>
            </w:tcBorders>
            <w:shd w:val="clear" w:color="auto" w:fill="auto"/>
            <w:vAlign w:val="center"/>
          </w:tcPr>
          <w:p w14:paraId="17FD514B" w14:textId="77777777" w:rsidR="008B7E19" w:rsidRPr="006A788F" w:rsidRDefault="008B7E19" w:rsidP="008B7E19">
            <w:pPr>
              <w:keepNext/>
              <w:keepLines/>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6A788F">
              <w:rPr>
                <w:rFonts w:cs="Arial"/>
                <w:sz w:val="14"/>
                <w:szCs w:val="14"/>
              </w:rPr>
              <w:t xml:space="preserve">  (244</w:t>
            </w:r>
            <w:r>
              <w:rPr>
                <w:rFonts w:cs="Arial"/>
                <w:sz w:val="14"/>
                <w:szCs w:val="14"/>
              </w:rPr>
              <w:t>,</w:t>
            </w:r>
            <w:r w:rsidRPr="006A788F">
              <w:rPr>
                <w:rFonts w:cs="Arial"/>
                <w:sz w:val="14"/>
                <w:szCs w:val="14"/>
              </w:rPr>
              <w:t>610)</w:t>
            </w:r>
          </w:p>
        </w:tc>
      </w:tr>
      <w:tr w:rsidR="008B7E19" w:rsidRPr="006A788F" w14:paraId="35E9347E" w14:textId="77777777" w:rsidTr="008B7E1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4C571AEB" w14:textId="77777777" w:rsidR="008B7E19" w:rsidRPr="006A788F" w:rsidRDefault="008B7E19" w:rsidP="008B7E19">
            <w:pPr>
              <w:keepNext/>
              <w:keepLines/>
              <w:spacing w:before="40" w:after="40"/>
              <w:ind w:left="113"/>
              <w:rPr>
                <w:rFonts w:cs="Arial"/>
                <w:b w:val="0"/>
                <w:bCs w:val="0"/>
                <w:sz w:val="14"/>
                <w:szCs w:val="14"/>
              </w:rPr>
            </w:pPr>
            <w:r w:rsidRPr="00C9587F">
              <w:rPr>
                <w:rFonts w:cs="Arial"/>
                <w:b w:val="0"/>
                <w:bCs w:val="0"/>
                <w:sz w:val="14"/>
                <w:szCs w:val="14"/>
              </w:rPr>
              <w:t>Other financial expenses</w:t>
            </w:r>
          </w:p>
        </w:tc>
        <w:tc>
          <w:tcPr>
            <w:tcW w:w="1818" w:type="dxa"/>
            <w:tcBorders>
              <w:top w:val="nil"/>
              <w:left w:val="nil"/>
              <w:bottom w:val="nil"/>
              <w:right w:val="nil"/>
            </w:tcBorders>
            <w:shd w:val="clear" w:color="auto" w:fill="auto"/>
            <w:vAlign w:val="center"/>
          </w:tcPr>
          <w:p w14:paraId="44B08D1A" w14:textId="77777777" w:rsidR="008B7E19" w:rsidRPr="006A788F" w:rsidRDefault="008B7E19" w:rsidP="008B7E19">
            <w:pPr>
              <w:keepNext/>
              <w:keepLines/>
              <w:jc w:val="right"/>
              <w:cnfStyle w:val="000000010000" w:firstRow="0" w:lastRow="0" w:firstColumn="0" w:lastColumn="0" w:oddVBand="0" w:evenVBand="0" w:oddHBand="0" w:evenHBand="1" w:firstRowFirstColumn="0" w:firstRowLastColumn="0" w:lastRowFirstColumn="0" w:lastRowLastColumn="0"/>
              <w:rPr>
                <w:rFonts w:cs="Arial"/>
                <w:color w:val="000000"/>
                <w:sz w:val="14"/>
                <w:szCs w:val="14"/>
              </w:rPr>
            </w:pPr>
            <w:r w:rsidRPr="006A788F">
              <w:rPr>
                <w:rFonts w:cs="Arial"/>
                <w:sz w:val="14"/>
                <w:szCs w:val="14"/>
              </w:rPr>
              <w:t xml:space="preserve">  (11</w:t>
            </w:r>
            <w:r>
              <w:rPr>
                <w:rFonts w:cs="Arial"/>
                <w:sz w:val="14"/>
                <w:szCs w:val="14"/>
              </w:rPr>
              <w:t>,</w:t>
            </w:r>
            <w:r w:rsidRPr="006A788F">
              <w:rPr>
                <w:rFonts w:cs="Arial"/>
                <w:sz w:val="14"/>
                <w:szCs w:val="14"/>
              </w:rPr>
              <w:t>000)</w:t>
            </w:r>
          </w:p>
        </w:tc>
        <w:tc>
          <w:tcPr>
            <w:tcW w:w="1819" w:type="dxa"/>
            <w:tcBorders>
              <w:top w:val="nil"/>
              <w:left w:val="nil"/>
              <w:bottom w:val="nil"/>
              <w:right w:val="nil"/>
            </w:tcBorders>
            <w:shd w:val="clear" w:color="auto" w:fill="auto"/>
            <w:vAlign w:val="center"/>
          </w:tcPr>
          <w:p w14:paraId="4421EF38" w14:textId="77777777" w:rsidR="008B7E19" w:rsidRPr="006A788F" w:rsidRDefault="008B7E19" w:rsidP="008B7E19">
            <w:pPr>
              <w:keepNext/>
              <w:keepLines/>
              <w:jc w:val="right"/>
              <w:cnfStyle w:val="000000010000" w:firstRow="0" w:lastRow="0" w:firstColumn="0" w:lastColumn="0" w:oddVBand="0" w:evenVBand="0" w:oddHBand="0" w:evenHBand="1" w:firstRowFirstColumn="0" w:firstRowLastColumn="0" w:lastRowFirstColumn="0" w:lastRowLastColumn="0"/>
              <w:rPr>
                <w:rFonts w:cs="Arial"/>
                <w:color w:val="000000"/>
                <w:sz w:val="14"/>
                <w:szCs w:val="14"/>
              </w:rPr>
            </w:pPr>
            <w:r w:rsidRPr="006A788F">
              <w:rPr>
                <w:rFonts w:cs="Arial"/>
                <w:sz w:val="14"/>
                <w:szCs w:val="14"/>
              </w:rPr>
              <w:t xml:space="preserve">  (40</w:t>
            </w:r>
            <w:r>
              <w:rPr>
                <w:rFonts w:cs="Arial"/>
                <w:sz w:val="14"/>
                <w:szCs w:val="14"/>
              </w:rPr>
              <w:t>,</w:t>
            </w:r>
            <w:r w:rsidRPr="006A788F">
              <w:rPr>
                <w:rFonts w:cs="Arial"/>
                <w:sz w:val="14"/>
                <w:szCs w:val="14"/>
              </w:rPr>
              <w:t>37</w:t>
            </w:r>
            <w:r>
              <w:rPr>
                <w:rFonts w:cs="Arial"/>
                <w:sz w:val="14"/>
                <w:szCs w:val="14"/>
              </w:rPr>
              <w:t>6</w:t>
            </w:r>
            <w:r w:rsidRPr="006A788F">
              <w:rPr>
                <w:rFonts w:cs="Arial"/>
                <w:sz w:val="14"/>
                <w:szCs w:val="14"/>
              </w:rPr>
              <w:t>)</w:t>
            </w:r>
          </w:p>
        </w:tc>
        <w:tc>
          <w:tcPr>
            <w:tcW w:w="1819" w:type="dxa"/>
            <w:tcBorders>
              <w:top w:val="nil"/>
              <w:left w:val="nil"/>
              <w:bottom w:val="nil"/>
              <w:right w:val="nil"/>
            </w:tcBorders>
            <w:shd w:val="clear" w:color="auto" w:fill="auto"/>
            <w:vAlign w:val="center"/>
          </w:tcPr>
          <w:p w14:paraId="64E309D6" w14:textId="77777777" w:rsidR="008B7E19" w:rsidRPr="006A788F" w:rsidRDefault="008B7E19" w:rsidP="008B7E19">
            <w:pPr>
              <w:keepNext/>
              <w:keepLines/>
              <w:jc w:val="right"/>
              <w:cnfStyle w:val="000000010000" w:firstRow="0" w:lastRow="0" w:firstColumn="0" w:lastColumn="0" w:oddVBand="0" w:evenVBand="0" w:oddHBand="0" w:evenHBand="1" w:firstRowFirstColumn="0" w:firstRowLastColumn="0" w:lastRowFirstColumn="0" w:lastRowLastColumn="0"/>
              <w:rPr>
                <w:rFonts w:cs="Arial"/>
                <w:color w:val="000000"/>
                <w:sz w:val="14"/>
                <w:szCs w:val="14"/>
              </w:rPr>
            </w:pPr>
            <w:r w:rsidRPr="006A788F">
              <w:rPr>
                <w:rFonts w:cs="Arial"/>
                <w:sz w:val="14"/>
                <w:szCs w:val="14"/>
              </w:rPr>
              <w:t xml:space="preserve">  (94</w:t>
            </w:r>
            <w:r>
              <w:rPr>
                <w:rFonts w:cs="Arial"/>
                <w:sz w:val="14"/>
                <w:szCs w:val="14"/>
              </w:rPr>
              <w:t>,</w:t>
            </w:r>
            <w:r w:rsidRPr="006A788F">
              <w:rPr>
                <w:rFonts w:cs="Arial"/>
                <w:sz w:val="14"/>
                <w:szCs w:val="14"/>
              </w:rPr>
              <w:t>95</w:t>
            </w:r>
            <w:r>
              <w:rPr>
                <w:rFonts w:cs="Arial"/>
                <w:sz w:val="14"/>
                <w:szCs w:val="14"/>
              </w:rPr>
              <w:t>8</w:t>
            </w:r>
            <w:r w:rsidRPr="006A788F">
              <w:rPr>
                <w:rFonts w:cs="Arial"/>
                <w:sz w:val="14"/>
                <w:szCs w:val="14"/>
              </w:rPr>
              <w:t>)</w:t>
            </w:r>
          </w:p>
        </w:tc>
        <w:tc>
          <w:tcPr>
            <w:tcW w:w="1819" w:type="dxa"/>
            <w:tcBorders>
              <w:top w:val="nil"/>
              <w:left w:val="nil"/>
              <w:bottom w:val="nil"/>
              <w:right w:val="nil"/>
            </w:tcBorders>
            <w:shd w:val="clear" w:color="auto" w:fill="auto"/>
            <w:vAlign w:val="center"/>
          </w:tcPr>
          <w:p w14:paraId="74FD566B" w14:textId="77777777" w:rsidR="008B7E19" w:rsidRPr="006A788F" w:rsidRDefault="008B7E19" w:rsidP="008B7E19">
            <w:pPr>
              <w:keepNext/>
              <w:keepLines/>
              <w:jc w:val="right"/>
              <w:cnfStyle w:val="000000010000" w:firstRow="0" w:lastRow="0" w:firstColumn="0" w:lastColumn="0" w:oddVBand="0" w:evenVBand="0" w:oddHBand="0" w:evenHBand="1" w:firstRowFirstColumn="0" w:firstRowLastColumn="0" w:lastRowFirstColumn="0" w:lastRowLastColumn="0"/>
              <w:rPr>
                <w:rFonts w:cs="Arial"/>
                <w:color w:val="000000"/>
                <w:sz w:val="14"/>
                <w:szCs w:val="14"/>
              </w:rPr>
            </w:pPr>
            <w:r w:rsidRPr="006A788F">
              <w:rPr>
                <w:rFonts w:cs="Arial"/>
                <w:sz w:val="14"/>
                <w:szCs w:val="14"/>
              </w:rPr>
              <w:t xml:space="preserve">  (199</w:t>
            </w:r>
            <w:r>
              <w:rPr>
                <w:rFonts w:cs="Arial"/>
                <w:sz w:val="14"/>
                <w:szCs w:val="14"/>
              </w:rPr>
              <w:t>,</w:t>
            </w:r>
            <w:r w:rsidRPr="006A788F">
              <w:rPr>
                <w:rFonts w:cs="Arial"/>
                <w:sz w:val="14"/>
                <w:szCs w:val="14"/>
              </w:rPr>
              <w:t>928)</w:t>
            </w:r>
          </w:p>
        </w:tc>
      </w:tr>
      <w:tr w:rsidR="008B7E19" w:rsidRPr="006A788F" w14:paraId="04CBEF99"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4E8F95B9" w14:textId="77777777" w:rsidR="008B7E19" w:rsidRPr="006A788F" w:rsidRDefault="008B7E19" w:rsidP="008B7E19">
            <w:pPr>
              <w:keepNext/>
              <w:keepLines/>
              <w:rPr>
                <w:rFonts w:cs="Arial"/>
                <w:sz w:val="14"/>
                <w:szCs w:val="14"/>
              </w:rPr>
            </w:pPr>
            <w:r>
              <w:rPr>
                <w:rFonts w:cs="Arial"/>
                <w:color w:val="000000"/>
                <w:sz w:val="14"/>
                <w:szCs w:val="14"/>
              </w:rPr>
              <w:t>E</w:t>
            </w:r>
            <w:r w:rsidRPr="003F2F2A">
              <w:rPr>
                <w:rFonts w:cs="Arial"/>
                <w:color w:val="000000"/>
                <w:sz w:val="14"/>
                <w:szCs w:val="14"/>
              </w:rPr>
              <w:t>quity result</w:t>
            </w:r>
          </w:p>
        </w:tc>
        <w:tc>
          <w:tcPr>
            <w:tcW w:w="1818" w:type="dxa"/>
            <w:tcBorders>
              <w:top w:val="nil"/>
              <w:left w:val="nil"/>
              <w:bottom w:val="nil"/>
              <w:right w:val="nil"/>
            </w:tcBorders>
            <w:shd w:val="clear" w:color="auto" w:fill="auto"/>
            <w:vAlign w:val="center"/>
          </w:tcPr>
          <w:p w14:paraId="756FACC6" w14:textId="77777777" w:rsidR="008B7E19" w:rsidRPr="006A788F" w:rsidRDefault="008B7E19" w:rsidP="008B7E19">
            <w:pPr>
              <w:keepNext/>
              <w:keepLines/>
              <w:jc w:val="right"/>
              <w:cnfStyle w:val="000000100000" w:firstRow="0" w:lastRow="0" w:firstColumn="0" w:lastColumn="0" w:oddVBand="0" w:evenVBand="0" w:oddHBand="1" w:evenHBand="0" w:firstRowFirstColumn="0" w:firstRowLastColumn="0" w:lastRowFirstColumn="0" w:lastRowLastColumn="0"/>
              <w:rPr>
                <w:rFonts w:cs="Arial"/>
                <w:b/>
                <w:bCs/>
                <w:color w:val="000000"/>
                <w:sz w:val="14"/>
                <w:szCs w:val="14"/>
              </w:rPr>
            </w:pPr>
            <w:r w:rsidRPr="006A788F">
              <w:rPr>
                <w:rFonts w:cs="Arial"/>
                <w:b/>
                <w:bCs/>
                <w:sz w:val="14"/>
                <w:szCs w:val="14"/>
              </w:rPr>
              <w:t xml:space="preserve">  (254)</w:t>
            </w:r>
          </w:p>
        </w:tc>
        <w:tc>
          <w:tcPr>
            <w:tcW w:w="1819" w:type="dxa"/>
            <w:tcBorders>
              <w:top w:val="nil"/>
              <w:left w:val="nil"/>
              <w:bottom w:val="nil"/>
              <w:right w:val="nil"/>
            </w:tcBorders>
            <w:shd w:val="clear" w:color="auto" w:fill="auto"/>
            <w:vAlign w:val="center"/>
          </w:tcPr>
          <w:p w14:paraId="58442E93" w14:textId="77777777" w:rsidR="008B7E19" w:rsidRPr="006A788F" w:rsidRDefault="008B7E19" w:rsidP="008B7E19">
            <w:pPr>
              <w:keepNext/>
              <w:keepLines/>
              <w:jc w:val="right"/>
              <w:cnfStyle w:val="000000100000" w:firstRow="0" w:lastRow="0" w:firstColumn="0" w:lastColumn="0" w:oddVBand="0" w:evenVBand="0" w:oddHBand="1" w:evenHBand="0" w:firstRowFirstColumn="0" w:firstRowLastColumn="0" w:lastRowFirstColumn="0" w:lastRowLastColumn="0"/>
              <w:rPr>
                <w:rFonts w:cs="Arial"/>
                <w:b/>
                <w:bCs/>
                <w:color w:val="000000"/>
                <w:sz w:val="14"/>
                <w:szCs w:val="14"/>
              </w:rPr>
            </w:pPr>
            <w:r w:rsidRPr="006A788F">
              <w:rPr>
                <w:rFonts w:cs="Arial"/>
                <w:b/>
                <w:bCs/>
                <w:sz w:val="14"/>
                <w:szCs w:val="14"/>
              </w:rPr>
              <w:t xml:space="preserve">  (509)</w:t>
            </w:r>
          </w:p>
        </w:tc>
        <w:tc>
          <w:tcPr>
            <w:tcW w:w="1819" w:type="dxa"/>
            <w:tcBorders>
              <w:top w:val="nil"/>
              <w:left w:val="nil"/>
              <w:bottom w:val="nil"/>
              <w:right w:val="nil"/>
            </w:tcBorders>
            <w:shd w:val="clear" w:color="auto" w:fill="auto"/>
            <w:vAlign w:val="center"/>
          </w:tcPr>
          <w:p w14:paraId="4ABBA6FA" w14:textId="77777777" w:rsidR="008B7E19" w:rsidRPr="006A788F" w:rsidRDefault="008B7E19" w:rsidP="008B7E19">
            <w:pPr>
              <w:keepNext/>
              <w:keepLines/>
              <w:jc w:val="right"/>
              <w:cnfStyle w:val="000000100000" w:firstRow="0" w:lastRow="0" w:firstColumn="0" w:lastColumn="0" w:oddVBand="0" w:evenVBand="0" w:oddHBand="1" w:evenHBand="0" w:firstRowFirstColumn="0" w:firstRowLastColumn="0" w:lastRowFirstColumn="0" w:lastRowLastColumn="0"/>
              <w:rPr>
                <w:rFonts w:cs="Arial"/>
                <w:b/>
                <w:bCs/>
                <w:color w:val="000000"/>
                <w:sz w:val="14"/>
                <w:szCs w:val="14"/>
              </w:rPr>
            </w:pPr>
            <w:r w:rsidRPr="006A788F">
              <w:rPr>
                <w:rFonts w:cs="Arial"/>
                <w:b/>
                <w:bCs/>
                <w:sz w:val="14"/>
                <w:szCs w:val="14"/>
              </w:rPr>
              <w:t xml:space="preserve">  (236)</w:t>
            </w:r>
          </w:p>
        </w:tc>
        <w:tc>
          <w:tcPr>
            <w:tcW w:w="1819" w:type="dxa"/>
            <w:tcBorders>
              <w:top w:val="nil"/>
              <w:left w:val="nil"/>
              <w:bottom w:val="nil"/>
              <w:right w:val="nil"/>
            </w:tcBorders>
            <w:shd w:val="clear" w:color="auto" w:fill="auto"/>
            <w:vAlign w:val="center"/>
          </w:tcPr>
          <w:p w14:paraId="1C019C0A" w14:textId="77777777" w:rsidR="008B7E19" w:rsidRPr="006A788F" w:rsidRDefault="008B7E19" w:rsidP="008B7E19">
            <w:pPr>
              <w:keepNext/>
              <w:keepLines/>
              <w:jc w:val="right"/>
              <w:cnfStyle w:val="000000100000" w:firstRow="0" w:lastRow="0" w:firstColumn="0" w:lastColumn="0" w:oddVBand="0" w:evenVBand="0" w:oddHBand="1" w:evenHBand="0" w:firstRowFirstColumn="0" w:firstRowLastColumn="0" w:lastRowFirstColumn="0" w:lastRowLastColumn="0"/>
              <w:rPr>
                <w:rFonts w:cs="Arial"/>
                <w:b/>
                <w:bCs/>
                <w:color w:val="000000"/>
                <w:sz w:val="14"/>
                <w:szCs w:val="14"/>
              </w:rPr>
            </w:pPr>
            <w:r w:rsidRPr="006A788F">
              <w:rPr>
                <w:rFonts w:cs="Arial"/>
                <w:b/>
                <w:bCs/>
                <w:sz w:val="14"/>
                <w:szCs w:val="14"/>
              </w:rPr>
              <w:t xml:space="preserve">  (447)</w:t>
            </w:r>
          </w:p>
        </w:tc>
      </w:tr>
      <w:tr w:rsidR="008B7E19" w:rsidRPr="006A788F" w14:paraId="4863B3F6" w14:textId="77777777" w:rsidTr="008B7E1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1EB36A65" w14:textId="77777777" w:rsidR="008B7E19" w:rsidRPr="006A788F" w:rsidRDefault="008B7E19" w:rsidP="008B7E19">
            <w:pPr>
              <w:keepNext/>
              <w:keepLines/>
              <w:spacing w:before="40" w:after="40"/>
              <w:ind w:left="113"/>
              <w:rPr>
                <w:rFonts w:cs="Arial"/>
                <w:b w:val="0"/>
                <w:bCs w:val="0"/>
                <w:sz w:val="14"/>
                <w:szCs w:val="14"/>
              </w:rPr>
            </w:pPr>
            <w:r>
              <w:rPr>
                <w:rFonts w:cs="Arial"/>
                <w:b w:val="0"/>
                <w:bCs w:val="0"/>
                <w:sz w:val="14"/>
                <w:szCs w:val="14"/>
              </w:rPr>
              <w:t>Depreciation and amortization</w:t>
            </w:r>
          </w:p>
        </w:tc>
        <w:tc>
          <w:tcPr>
            <w:tcW w:w="1818" w:type="dxa"/>
            <w:tcBorders>
              <w:top w:val="nil"/>
              <w:left w:val="nil"/>
              <w:bottom w:val="nil"/>
              <w:right w:val="nil"/>
            </w:tcBorders>
            <w:shd w:val="clear" w:color="auto" w:fill="auto"/>
            <w:vAlign w:val="center"/>
          </w:tcPr>
          <w:p w14:paraId="640565CD" w14:textId="77777777" w:rsidR="008B7E19" w:rsidRPr="006A788F" w:rsidRDefault="008B7E19" w:rsidP="008B7E19">
            <w:pPr>
              <w:keepNext/>
              <w:keepLines/>
              <w:jc w:val="right"/>
              <w:cnfStyle w:val="000000010000" w:firstRow="0" w:lastRow="0" w:firstColumn="0" w:lastColumn="0" w:oddVBand="0" w:evenVBand="0" w:oddHBand="0" w:evenHBand="1" w:firstRowFirstColumn="0" w:firstRowLastColumn="0" w:lastRowFirstColumn="0" w:lastRowLastColumn="0"/>
              <w:rPr>
                <w:rFonts w:cs="Arial"/>
                <w:color w:val="000000"/>
                <w:sz w:val="14"/>
                <w:szCs w:val="14"/>
              </w:rPr>
            </w:pPr>
            <w:r w:rsidRPr="006A788F">
              <w:rPr>
                <w:rFonts w:cs="Arial"/>
                <w:sz w:val="14"/>
                <w:szCs w:val="14"/>
              </w:rPr>
              <w:t xml:space="preserve">  (254)</w:t>
            </w:r>
          </w:p>
        </w:tc>
        <w:tc>
          <w:tcPr>
            <w:tcW w:w="1819" w:type="dxa"/>
            <w:tcBorders>
              <w:top w:val="nil"/>
              <w:left w:val="nil"/>
              <w:bottom w:val="nil"/>
              <w:right w:val="nil"/>
            </w:tcBorders>
            <w:shd w:val="clear" w:color="auto" w:fill="auto"/>
            <w:vAlign w:val="center"/>
          </w:tcPr>
          <w:p w14:paraId="3E1F63C2" w14:textId="77777777" w:rsidR="008B7E19" w:rsidRPr="006A788F" w:rsidRDefault="008B7E19" w:rsidP="008B7E19">
            <w:pPr>
              <w:keepNext/>
              <w:keepLines/>
              <w:jc w:val="right"/>
              <w:cnfStyle w:val="000000010000" w:firstRow="0" w:lastRow="0" w:firstColumn="0" w:lastColumn="0" w:oddVBand="0" w:evenVBand="0" w:oddHBand="0" w:evenHBand="1" w:firstRowFirstColumn="0" w:firstRowLastColumn="0" w:lastRowFirstColumn="0" w:lastRowLastColumn="0"/>
              <w:rPr>
                <w:rFonts w:cs="Arial"/>
                <w:color w:val="000000"/>
                <w:sz w:val="14"/>
                <w:szCs w:val="14"/>
              </w:rPr>
            </w:pPr>
            <w:r w:rsidRPr="006A788F">
              <w:rPr>
                <w:rFonts w:cs="Arial"/>
                <w:sz w:val="14"/>
                <w:szCs w:val="14"/>
              </w:rPr>
              <w:t xml:space="preserve">  (509)</w:t>
            </w:r>
          </w:p>
        </w:tc>
        <w:tc>
          <w:tcPr>
            <w:tcW w:w="1819" w:type="dxa"/>
            <w:tcBorders>
              <w:top w:val="nil"/>
              <w:left w:val="nil"/>
              <w:bottom w:val="nil"/>
              <w:right w:val="nil"/>
            </w:tcBorders>
            <w:shd w:val="clear" w:color="auto" w:fill="auto"/>
            <w:vAlign w:val="center"/>
          </w:tcPr>
          <w:p w14:paraId="5542CDBC" w14:textId="77777777" w:rsidR="008B7E19" w:rsidRPr="006A788F" w:rsidRDefault="008B7E19" w:rsidP="008B7E19">
            <w:pPr>
              <w:keepNext/>
              <w:keepLines/>
              <w:jc w:val="right"/>
              <w:cnfStyle w:val="000000010000" w:firstRow="0" w:lastRow="0" w:firstColumn="0" w:lastColumn="0" w:oddVBand="0" w:evenVBand="0" w:oddHBand="0" w:evenHBand="1" w:firstRowFirstColumn="0" w:firstRowLastColumn="0" w:lastRowFirstColumn="0" w:lastRowLastColumn="0"/>
              <w:rPr>
                <w:rFonts w:cs="Arial"/>
                <w:color w:val="000000"/>
                <w:sz w:val="14"/>
                <w:szCs w:val="14"/>
              </w:rPr>
            </w:pPr>
            <w:r w:rsidRPr="006A788F">
              <w:rPr>
                <w:rFonts w:cs="Arial"/>
                <w:sz w:val="14"/>
                <w:szCs w:val="14"/>
              </w:rPr>
              <w:t xml:space="preserve">  (236)</w:t>
            </w:r>
          </w:p>
        </w:tc>
        <w:tc>
          <w:tcPr>
            <w:tcW w:w="1819" w:type="dxa"/>
            <w:tcBorders>
              <w:top w:val="nil"/>
              <w:left w:val="nil"/>
              <w:bottom w:val="nil"/>
              <w:right w:val="nil"/>
            </w:tcBorders>
            <w:shd w:val="clear" w:color="auto" w:fill="auto"/>
            <w:vAlign w:val="center"/>
          </w:tcPr>
          <w:p w14:paraId="7EDB9157" w14:textId="77777777" w:rsidR="008B7E19" w:rsidRPr="006A788F" w:rsidRDefault="008B7E19" w:rsidP="008B7E19">
            <w:pPr>
              <w:keepNext/>
              <w:keepLines/>
              <w:jc w:val="right"/>
              <w:cnfStyle w:val="000000010000" w:firstRow="0" w:lastRow="0" w:firstColumn="0" w:lastColumn="0" w:oddVBand="0" w:evenVBand="0" w:oddHBand="0" w:evenHBand="1" w:firstRowFirstColumn="0" w:firstRowLastColumn="0" w:lastRowFirstColumn="0" w:lastRowLastColumn="0"/>
              <w:rPr>
                <w:rFonts w:cs="Arial"/>
                <w:color w:val="000000"/>
                <w:sz w:val="14"/>
                <w:szCs w:val="14"/>
              </w:rPr>
            </w:pPr>
            <w:r w:rsidRPr="006A788F">
              <w:rPr>
                <w:rFonts w:cs="Arial"/>
                <w:sz w:val="14"/>
                <w:szCs w:val="14"/>
              </w:rPr>
              <w:t xml:space="preserve">  (447)</w:t>
            </w:r>
          </w:p>
        </w:tc>
      </w:tr>
      <w:tr w:rsidR="008B7E19" w:rsidRPr="006A788F" w14:paraId="32FA8F3D"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33FBB9DD" w14:textId="77777777" w:rsidR="008B7E19" w:rsidRPr="006A788F" w:rsidRDefault="008B7E19" w:rsidP="008B7E19">
            <w:pPr>
              <w:keepNext/>
              <w:keepLines/>
              <w:rPr>
                <w:rFonts w:cs="Arial"/>
                <w:sz w:val="14"/>
                <w:szCs w:val="14"/>
              </w:rPr>
            </w:pPr>
            <w:r>
              <w:rPr>
                <w:rFonts w:cs="Arial"/>
                <w:sz w:val="14"/>
                <w:szCs w:val="14"/>
              </w:rPr>
              <w:t>Other income and expenses</w:t>
            </w:r>
          </w:p>
        </w:tc>
        <w:tc>
          <w:tcPr>
            <w:tcW w:w="1818" w:type="dxa"/>
            <w:tcBorders>
              <w:top w:val="nil"/>
              <w:left w:val="nil"/>
              <w:bottom w:val="nil"/>
              <w:right w:val="nil"/>
            </w:tcBorders>
            <w:shd w:val="clear" w:color="auto" w:fill="auto"/>
            <w:vAlign w:val="center"/>
          </w:tcPr>
          <w:p w14:paraId="5B16106D" w14:textId="77777777" w:rsidR="008B7E19" w:rsidRPr="006A788F" w:rsidRDefault="008B7E19" w:rsidP="008B7E19">
            <w:pPr>
              <w:keepNext/>
              <w:keepLines/>
              <w:jc w:val="right"/>
              <w:cnfStyle w:val="000000100000" w:firstRow="0" w:lastRow="0" w:firstColumn="0" w:lastColumn="0" w:oddVBand="0" w:evenVBand="0" w:oddHBand="1" w:evenHBand="0" w:firstRowFirstColumn="0" w:firstRowLastColumn="0" w:lastRowFirstColumn="0" w:lastRowLastColumn="0"/>
              <w:rPr>
                <w:rFonts w:cs="Arial"/>
                <w:b/>
                <w:bCs/>
                <w:color w:val="000000"/>
                <w:sz w:val="14"/>
                <w:szCs w:val="14"/>
              </w:rPr>
            </w:pPr>
            <w:r w:rsidRPr="006A788F">
              <w:rPr>
                <w:rFonts w:cs="Arial"/>
                <w:b/>
                <w:bCs/>
                <w:sz w:val="14"/>
                <w:szCs w:val="14"/>
              </w:rPr>
              <w:t xml:space="preserve">  17</w:t>
            </w:r>
            <w:r>
              <w:rPr>
                <w:rFonts w:cs="Arial"/>
                <w:b/>
                <w:bCs/>
                <w:sz w:val="14"/>
                <w:szCs w:val="14"/>
              </w:rPr>
              <w:t>,</w:t>
            </w:r>
            <w:r w:rsidRPr="006A788F">
              <w:rPr>
                <w:rFonts w:cs="Arial"/>
                <w:b/>
                <w:bCs/>
                <w:sz w:val="14"/>
                <w:szCs w:val="14"/>
              </w:rPr>
              <w:t xml:space="preserve">607 </w:t>
            </w:r>
          </w:p>
        </w:tc>
        <w:tc>
          <w:tcPr>
            <w:tcW w:w="1819" w:type="dxa"/>
            <w:tcBorders>
              <w:top w:val="nil"/>
              <w:left w:val="nil"/>
              <w:bottom w:val="nil"/>
              <w:right w:val="nil"/>
            </w:tcBorders>
            <w:shd w:val="clear" w:color="auto" w:fill="auto"/>
            <w:vAlign w:val="center"/>
          </w:tcPr>
          <w:p w14:paraId="788107D3" w14:textId="77777777" w:rsidR="008B7E19" w:rsidRPr="006A788F" w:rsidRDefault="008B7E19" w:rsidP="008B7E19">
            <w:pPr>
              <w:keepNext/>
              <w:keepLines/>
              <w:jc w:val="right"/>
              <w:cnfStyle w:val="000000100000" w:firstRow="0" w:lastRow="0" w:firstColumn="0" w:lastColumn="0" w:oddVBand="0" w:evenVBand="0" w:oddHBand="1" w:evenHBand="0" w:firstRowFirstColumn="0" w:firstRowLastColumn="0" w:lastRowFirstColumn="0" w:lastRowLastColumn="0"/>
              <w:rPr>
                <w:rFonts w:cs="Arial"/>
                <w:b/>
                <w:bCs/>
                <w:color w:val="000000"/>
                <w:sz w:val="14"/>
                <w:szCs w:val="14"/>
              </w:rPr>
            </w:pPr>
            <w:r w:rsidRPr="006A788F">
              <w:rPr>
                <w:rFonts w:cs="Arial"/>
                <w:b/>
                <w:bCs/>
                <w:sz w:val="14"/>
                <w:szCs w:val="14"/>
              </w:rPr>
              <w:t xml:space="preserve">  30</w:t>
            </w:r>
            <w:r>
              <w:rPr>
                <w:rFonts w:cs="Arial"/>
                <w:b/>
                <w:bCs/>
                <w:sz w:val="14"/>
                <w:szCs w:val="14"/>
              </w:rPr>
              <w:t>,</w:t>
            </w:r>
            <w:r w:rsidRPr="006A788F">
              <w:rPr>
                <w:rFonts w:cs="Arial"/>
                <w:b/>
                <w:bCs/>
                <w:sz w:val="14"/>
                <w:szCs w:val="14"/>
              </w:rPr>
              <w:t xml:space="preserve">892 </w:t>
            </w:r>
          </w:p>
        </w:tc>
        <w:tc>
          <w:tcPr>
            <w:tcW w:w="1819" w:type="dxa"/>
            <w:tcBorders>
              <w:top w:val="nil"/>
              <w:left w:val="nil"/>
              <w:bottom w:val="nil"/>
              <w:right w:val="nil"/>
            </w:tcBorders>
            <w:shd w:val="clear" w:color="auto" w:fill="auto"/>
            <w:vAlign w:val="center"/>
          </w:tcPr>
          <w:p w14:paraId="09162EE1" w14:textId="77777777" w:rsidR="008B7E19" w:rsidRPr="006A788F" w:rsidRDefault="008B7E19" w:rsidP="008B7E19">
            <w:pPr>
              <w:keepNext/>
              <w:keepLines/>
              <w:jc w:val="right"/>
              <w:cnfStyle w:val="000000100000" w:firstRow="0" w:lastRow="0" w:firstColumn="0" w:lastColumn="0" w:oddVBand="0" w:evenVBand="0" w:oddHBand="1" w:evenHBand="0" w:firstRowFirstColumn="0" w:firstRowLastColumn="0" w:lastRowFirstColumn="0" w:lastRowLastColumn="0"/>
              <w:rPr>
                <w:rFonts w:cs="Arial"/>
                <w:b/>
                <w:bCs/>
                <w:color w:val="000000"/>
                <w:sz w:val="14"/>
                <w:szCs w:val="14"/>
              </w:rPr>
            </w:pPr>
            <w:r w:rsidRPr="006A788F">
              <w:rPr>
                <w:rFonts w:cs="Arial"/>
                <w:b/>
                <w:bCs/>
                <w:sz w:val="14"/>
                <w:szCs w:val="14"/>
              </w:rPr>
              <w:t xml:space="preserve">  15</w:t>
            </w:r>
            <w:r>
              <w:rPr>
                <w:rFonts w:cs="Arial"/>
                <w:b/>
                <w:bCs/>
                <w:sz w:val="14"/>
                <w:szCs w:val="14"/>
              </w:rPr>
              <w:t>,</w:t>
            </w:r>
            <w:r w:rsidRPr="006A788F">
              <w:rPr>
                <w:rFonts w:cs="Arial"/>
                <w:b/>
                <w:bCs/>
                <w:sz w:val="14"/>
                <w:szCs w:val="14"/>
              </w:rPr>
              <w:t xml:space="preserve">868 </w:t>
            </w:r>
          </w:p>
        </w:tc>
        <w:tc>
          <w:tcPr>
            <w:tcW w:w="1819" w:type="dxa"/>
            <w:tcBorders>
              <w:top w:val="nil"/>
              <w:left w:val="nil"/>
              <w:bottom w:val="nil"/>
              <w:right w:val="nil"/>
            </w:tcBorders>
            <w:shd w:val="clear" w:color="auto" w:fill="auto"/>
            <w:vAlign w:val="center"/>
          </w:tcPr>
          <w:p w14:paraId="33111FB7" w14:textId="77777777" w:rsidR="008B7E19" w:rsidRPr="006A788F" w:rsidRDefault="008B7E19" w:rsidP="008B7E19">
            <w:pPr>
              <w:keepNext/>
              <w:keepLines/>
              <w:jc w:val="right"/>
              <w:cnfStyle w:val="000000100000" w:firstRow="0" w:lastRow="0" w:firstColumn="0" w:lastColumn="0" w:oddVBand="0" w:evenVBand="0" w:oddHBand="1" w:evenHBand="0" w:firstRowFirstColumn="0" w:firstRowLastColumn="0" w:lastRowFirstColumn="0" w:lastRowLastColumn="0"/>
              <w:rPr>
                <w:rFonts w:cs="Arial"/>
                <w:b/>
                <w:bCs/>
                <w:color w:val="000000"/>
                <w:sz w:val="14"/>
                <w:szCs w:val="14"/>
              </w:rPr>
            </w:pPr>
            <w:r w:rsidRPr="006A788F">
              <w:rPr>
                <w:rFonts w:cs="Arial"/>
                <w:b/>
                <w:bCs/>
                <w:sz w:val="14"/>
                <w:szCs w:val="14"/>
              </w:rPr>
              <w:t xml:space="preserve">  27</w:t>
            </w:r>
            <w:r>
              <w:rPr>
                <w:rFonts w:cs="Arial"/>
                <w:b/>
                <w:bCs/>
                <w:sz w:val="14"/>
                <w:szCs w:val="14"/>
              </w:rPr>
              <w:t>,</w:t>
            </w:r>
            <w:r w:rsidRPr="006A788F">
              <w:rPr>
                <w:rFonts w:cs="Arial"/>
                <w:b/>
                <w:bCs/>
                <w:sz w:val="14"/>
                <w:szCs w:val="14"/>
              </w:rPr>
              <w:t xml:space="preserve">565 </w:t>
            </w:r>
          </w:p>
        </w:tc>
      </w:tr>
      <w:tr w:rsidR="008B7E19" w:rsidRPr="006A788F" w14:paraId="60DE5D74" w14:textId="77777777" w:rsidTr="008B7E1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5155F63E" w14:textId="77777777" w:rsidR="008B7E19" w:rsidRPr="006A788F" w:rsidRDefault="008B7E19" w:rsidP="008B7E19">
            <w:pPr>
              <w:keepNext/>
              <w:keepLines/>
              <w:spacing w:before="40" w:after="40"/>
              <w:ind w:left="113"/>
              <w:rPr>
                <w:rFonts w:cs="Arial"/>
                <w:b w:val="0"/>
                <w:bCs w:val="0"/>
                <w:sz w:val="14"/>
                <w:szCs w:val="14"/>
              </w:rPr>
            </w:pPr>
            <w:r>
              <w:rPr>
                <w:rFonts w:cs="Arial"/>
                <w:b w:val="0"/>
                <w:bCs w:val="0"/>
                <w:sz w:val="14"/>
                <w:szCs w:val="14"/>
              </w:rPr>
              <w:t>Other income</w:t>
            </w:r>
          </w:p>
        </w:tc>
        <w:tc>
          <w:tcPr>
            <w:tcW w:w="1818" w:type="dxa"/>
            <w:tcBorders>
              <w:top w:val="nil"/>
              <w:left w:val="nil"/>
              <w:bottom w:val="nil"/>
              <w:right w:val="nil"/>
            </w:tcBorders>
            <w:shd w:val="clear" w:color="auto" w:fill="auto"/>
            <w:vAlign w:val="center"/>
          </w:tcPr>
          <w:p w14:paraId="69D4959E" w14:textId="77777777" w:rsidR="008B7E19" w:rsidRPr="006A788F" w:rsidRDefault="008B7E19" w:rsidP="008B7E19">
            <w:pPr>
              <w:keepNext/>
              <w:keepLines/>
              <w:jc w:val="right"/>
              <w:cnfStyle w:val="000000010000" w:firstRow="0" w:lastRow="0" w:firstColumn="0" w:lastColumn="0" w:oddVBand="0" w:evenVBand="0" w:oddHBand="0" w:evenHBand="1" w:firstRowFirstColumn="0" w:firstRowLastColumn="0" w:lastRowFirstColumn="0" w:lastRowLastColumn="0"/>
              <w:rPr>
                <w:rFonts w:cs="Arial"/>
                <w:color w:val="000000"/>
                <w:sz w:val="14"/>
                <w:szCs w:val="14"/>
              </w:rPr>
            </w:pPr>
            <w:r w:rsidRPr="006A788F">
              <w:rPr>
                <w:rFonts w:cs="Arial"/>
                <w:sz w:val="14"/>
                <w:szCs w:val="14"/>
              </w:rPr>
              <w:t xml:space="preserve">  18</w:t>
            </w:r>
            <w:r>
              <w:rPr>
                <w:rFonts w:cs="Arial"/>
                <w:sz w:val="14"/>
                <w:szCs w:val="14"/>
              </w:rPr>
              <w:t>,</w:t>
            </w:r>
            <w:r w:rsidRPr="006A788F">
              <w:rPr>
                <w:rFonts w:cs="Arial"/>
                <w:sz w:val="14"/>
                <w:szCs w:val="14"/>
              </w:rPr>
              <w:t xml:space="preserve">310 </w:t>
            </w:r>
          </w:p>
        </w:tc>
        <w:tc>
          <w:tcPr>
            <w:tcW w:w="1819" w:type="dxa"/>
            <w:tcBorders>
              <w:top w:val="nil"/>
              <w:left w:val="nil"/>
              <w:bottom w:val="nil"/>
              <w:right w:val="nil"/>
            </w:tcBorders>
            <w:shd w:val="clear" w:color="auto" w:fill="auto"/>
            <w:vAlign w:val="center"/>
          </w:tcPr>
          <w:p w14:paraId="1B7CBA39" w14:textId="77777777" w:rsidR="008B7E19" w:rsidRPr="006A788F" w:rsidRDefault="008B7E19" w:rsidP="008B7E19">
            <w:pPr>
              <w:keepNext/>
              <w:keepLines/>
              <w:jc w:val="right"/>
              <w:cnfStyle w:val="000000010000" w:firstRow="0" w:lastRow="0" w:firstColumn="0" w:lastColumn="0" w:oddVBand="0" w:evenVBand="0" w:oddHBand="0" w:evenHBand="1" w:firstRowFirstColumn="0" w:firstRowLastColumn="0" w:lastRowFirstColumn="0" w:lastRowLastColumn="0"/>
              <w:rPr>
                <w:rFonts w:cs="Arial"/>
                <w:color w:val="000000"/>
                <w:sz w:val="14"/>
                <w:szCs w:val="14"/>
              </w:rPr>
            </w:pPr>
            <w:r w:rsidRPr="006A788F">
              <w:rPr>
                <w:rFonts w:cs="Arial"/>
                <w:sz w:val="14"/>
                <w:szCs w:val="14"/>
              </w:rPr>
              <w:t xml:space="preserve">  32</w:t>
            </w:r>
            <w:r>
              <w:rPr>
                <w:rFonts w:cs="Arial"/>
                <w:sz w:val="14"/>
                <w:szCs w:val="14"/>
              </w:rPr>
              <w:t>,</w:t>
            </w:r>
            <w:r w:rsidRPr="006A788F">
              <w:rPr>
                <w:rFonts w:cs="Arial"/>
                <w:sz w:val="14"/>
                <w:szCs w:val="14"/>
              </w:rPr>
              <w:t xml:space="preserve">426 </w:t>
            </w:r>
          </w:p>
        </w:tc>
        <w:tc>
          <w:tcPr>
            <w:tcW w:w="1819" w:type="dxa"/>
            <w:tcBorders>
              <w:top w:val="nil"/>
              <w:left w:val="nil"/>
              <w:bottom w:val="nil"/>
              <w:right w:val="nil"/>
            </w:tcBorders>
            <w:shd w:val="clear" w:color="auto" w:fill="auto"/>
            <w:vAlign w:val="center"/>
          </w:tcPr>
          <w:p w14:paraId="1B00DECC" w14:textId="77777777" w:rsidR="008B7E19" w:rsidRPr="006A788F" w:rsidRDefault="008B7E19" w:rsidP="008B7E19">
            <w:pPr>
              <w:keepNext/>
              <w:keepLines/>
              <w:jc w:val="right"/>
              <w:cnfStyle w:val="000000010000" w:firstRow="0" w:lastRow="0" w:firstColumn="0" w:lastColumn="0" w:oddVBand="0" w:evenVBand="0" w:oddHBand="0" w:evenHBand="1" w:firstRowFirstColumn="0" w:firstRowLastColumn="0" w:lastRowFirstColumn="0" w:lastRowLastColumn="0"/>
              <w:rPr>
                <w:rFonts w:cs="Arial"/>
                <w:color w:val="000000"/>
                <w:sz w:val="14"/>
                <w:szCs w:val="14"/>
              </w:rPr>
            </w:pPr>
            <w:r w:rsidRPr="006A788F">
              <w:rPr>
                <w:rFonts w:cs="Arial"/>
                <w:sz w:val="14"/>
                <w:szCs w:val="14"/>
              </w:rPr>
              <w:t xml:space="preserve">  16</w:t>
            </w:r>
            <w:r>
              <w:rPr>
                <w:rFonts w:cs="Arial"/>
                <w:sz w:val="14"/>
                <w:szCs w:val="14"/>
              </w:rPr>
              <w:t>,</w:t>
            </w:r>
            <w:r w:rsidRPr="006A788F">
              <w:rPr>
                <w:rFonts w:cs="Arial"/>
                <w:sz w:val="14"/>
                <w:szCs w:val="14"/>
              </w:rPr>
              <w:t xml:space="preserve">141 </w:t>
            </w:r>
          </w:p>
        </w:tc>
        <w:tc>
          <w:tcPr>
            <w:tcW w:w="1819" w:type="dxa"/>
            <w:tcBorders>
              <w:top w:val="nil"/>
              <w:left w:val="nil"/>
              <w:bottom w:val="nil"/>
              <w:right w:val="nil"/>
            </w:tcBorders>
            <w:shd w:val="clear" w:color="auto" w:fill="auto"/>
            <w:vAlign w:val="center"/>
          </w:tcPr>
          <w:p w14:paraId="0B6FF388" w14:textId="77777777" w:rsidR="008B7E19" w:rsidRPr="006A788F" w:rsidRDefault="008B7E19" w:rsidP="008B7E19">
            <w:pPr>
              <w:keepNext/>
              <w:keepLines/>
              <w:jc w:val="right"/>
              <w:cnfStyle w:val="000000010000" w:firstRow="0" w:lastRow="0" w:firstColumn="0" w:lastColumn="0" w:oddVBand="0" w:evenVBand="0" w:oddHBand="0" w:evenHBand="1" w:firstRowFirstColumn="0" w:firstRowLastColumn="0" w:lastRowFirstColumn="0" w:lastRowLastColumn="0"/>
              <w:rPr>
                <w:rFonts w:cs="Arial"/>
                <w:color w:val="000000"/>
                <w:sz w:val="14"/>
                <w:szCs w:val="14"/>
              </w:rPr>
            </w:pPr>
            <w:r w:rsidRPr="006A788F">
              <w:rPr>
                <w:rFonts w:cs="Arial"/>
                <w:sz w:val="14"/>
                <w:szCs w:val="14"/>
              </w:rPr>
              <w:t xml:space="preserve">  28</w:t>
            </w:r>
            <w:r>
              <w:rPr>
                <w:rFonts w:cs="Arial"/>
                <w:sz w:val="14"/>
                <w:szCs w:val="14"/>
              </w:rPr>
              <w:t>,</w:t>
            </w:r>
            <w:r w:rsidRPr="006A788F">
              <w:rPr>
                <w:rFonts w:cs="Arial"/>
                <w:sz w:val="14"/>
                <w:szCs w:val="14"/>
              </w:rPr>
              <w:t xml:space="preserve">120 </w:t>
            </w:r>
          </w:p>
        </w:tc>
      </w:tr>
      <w:tr w:rsidR="008B7E19" w:rsidRPr="006A788F" w14:paraId="394F648F"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4DB41C0F" w14:textId="77777777" w:rsidR="008B7E19" w:rsidRPr="006A788F" w:rsidRDefault="008B7E19" w:rsidP="008B7E19">
            <w:pPr>
              <w:keepNext/>
              <w:keepLines/>
              <w:spacing w:before="40" w:after="40"/>
              <w:ind w:left="113"/>
              <w:rPr>
                <w:rFonts w:cs="Arial"/>
                <w:b w:val="0"/>
                <w:bCs w:val="0"/>
                <w:sz w:val="14"/>
                <w:szCs w:val="14"/>
              </w:rPr>
            </w:pPr>
            <w:r>
              <w:rPr>
                <w:rFonts w:cs="Arial"/>
                <w:b w:val="0"/>
                <w:bCs w:val="0"/>
                <w:sz w:val="14"/>
                <w:szCs w:val="14"/>
              </w:rPr>
              <w:t>Other expenses</w:t>
            </w:r>
          </w:p>
        </w:tc>
        <w:tc>
          <w:tcPr>
            <w:tcW w:w="1818" w:type="dxa"/>
            <w:tcBorders>
              <w:top w:val="nil"/>
              <w:left w:val="nil"/>
              <w:bottom w:val="nil"/>
              <w:right w:val="nil"/>
            </w:tcBorders>
            <w:shd w:val="clear" w:color="auto" w:fill="auto"/>
            <w:vAlign w:val="center"/>
          </w:tcPr>
          <w:p w14:paraId="11A53B07" w14:textId="77777777" w:rsidR="008B7E19" w:rsidRPr="006A788F" w:rsidRDefault="008B7E19" w:rsidP="008B7E19">
            <w:pPr>
              <w:keepNext/>
              <w:keepLines/>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6A788F">
              <w:rPr>
                <w:rFonts w:cs="Arial"/>
                <w:sz w:val="14"/>
                <w:szCs w:val="14"/>
              </w:rPr>
              <w:t xml:space="preserve">  (703)</w:t>
            </w:r>
          </w:p>
        </w:tc>
        <w:tc>
          <w:tcPr>
            <w:tcW w:w="1819" w:type="dxa"/>
            <w:tcBorders>
              <w:top w:val="nil"/>
              <w:left w:val="nil"/>
              <w:bottom w:val="nil"/>
              <w:right w:val="nil"/>
            </w:tcBorders>
            <w:shd w:val="clear" w:color="auto" w:fill="auto"/>
            <w:vAlign w:val="center"/>
          </w:tcPr>
          <w:p w14:paraId="0AD62B47" w14:textId="77777777" w:rsidR="008B7E19" w:rsidRPr="006A788F" w:rsidRDefault="008B7E19" w:rsidP="008B7E19">
            <w:pPr>
              <w:keepNext/>
              <w:keepLines/>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6A788F">
              <w:rPr>
                <w:rFonts w:cs="Arial"/>
                <w:sz w:val="14"/>
                <w:szCs w:val="14"/>
              </w:rPr>
              <w:t xml:space="preserve">  (1</w:t>
            </w:r>
            <w:r>
              <w:rPr>
                <w:rFonts w:cs="Arial"/>
                <w:sz w:val="14"/>
                <w:szCs w:val="14"/>
              </w:rPr>
              <w:t>,</w:t>
            </w:r>
            <w:r w:rsidRPr="006A788F">
              <w:rPr>
                <w:rFonts w:cs="Arial"/>
                <w:sz w:val="14"/>
                <w:szCs w:val="14"/>
              </w:rPr>
              <w:t>534)</w:t>
            </w:r>
          </w:p>
        </w:tc>
        <w:tc>
          <w:tcPr>
            <w:tcW w:w="1819" w:type="dxa"/>
            <w:tcBorders>
              <w:top w:val="nil"/>
              <w:left w:val="nil"/>
              <w:bottom w:val="nil"/>
              <w:right w:val="nil"/>
            </w:tcBorders>
            <w:shd w:val="clear" w:color="auto" w:fill="auto"/>
            <w:vAlign w:val="center"/>
          </w:tcPr>
          <w:p w14:paraId="5546EAF4" w14:textId="77777777" w:rsidR="008B7E19" w:rsidRPr="006A788F" w:rsidRDefault="008B7E19" w:rsidP="008B7E19">
            <w:pPr>
              <w:keepNext/>
              <w:keepLines/>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6A788F">
              <w:rPr>
                <w:rFonts w:cs="Arial"/>
                <w:sz w:val="14"/>
                <w:szCs w:val="14"/>
              </w:rPr>
              <w:t xml:space="preserve">  (273)</w:t>
            </w:r>
          </w:p>
        </w:tc>
        <w:tc>
          <w:tcPr>
            <w:tcW w:w="1819" w:type="dxa"/>
            <w:tcBorders>
              <w:top w:val="nil"/>
              <w:left w:val="nil"/>
              <w:bottom w:val="nil"/>
              <w:right w:val="nil"/>
            </w:tcBorders>
            <w:shd w:val="clear" w:color="auto" w:fill="auto"/>
            <w:vAlign w:val="center"/>
          </w:tcPr>
          <w:p w14:paraId="1CB07A45" w14:textId="77777777" w:rsidR="008B7E19" w:rsidRPr="006A788F" w:rsidRDefault="008B7E19" w:rsidP="008B7E19">
            <w:pPr>
              <w:keepNext/>
              <w:keepLines/>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6A788F">
              <w:rPr>
                <w:rFonts w:cs="Arial"/>
                <w:sz w:val="14"/>
                <w:szCs w:val="14"/>
              </w:rPr>
              <w:t xml:space="preserve">  (555)</w:t>
            </w:r>
          </w:p>
        </w:tc>
      </w:tr>
      <w:tr w:rsidR="008B7E19" w:rsidRPr="006A788F" w14:paraId="09A7526D" w14:textId="77777777" w:rsidTr="008B7E1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35D1A455" w14:textId="77777777" w:rsidR="008B7E19" w:rsidRPr="006A788F" w:rsidRDefault="008B7E19" w:rsidP="008B7E19">
            <w:pPr>
              <w:keepNext/>
              <w:keepLines/>
              <w:rPr>
                <w:rFonts w:cs="Arial"/>
                <w:sz w:val="14"/>
                <w:szCs w:val="14"/>
              </w:rPr>
            </w:pPr>
            <w:r>
              <w:rPr>
                <w:rFonts w:cs="Arial"/>
                <w:sz w:val="14"/>
                <w:szCs w:val="14"/>
              </w:rPr>
              <w:t>Operational result</w:t>
            </w:r>
          </w:p>
        </w:tc>
        <w:tc>
          <w:tcPr>
            <w:tcW w:w="1818" w:type="dxa"/>
            <w:tcBorders>
              <w:top w:val="nil"/>
              <w:left w:val="nil"/>
              <w:bottom w:val="nil"/>
              <w:right w:val="nil"/>
            </w:tcBorders>
            <w:shd w:val="clear" w:color="auto" w:fill="auto"/>
            <w:vAlign w:val="center"/>
          </w:tcPr>
          <w:p w14:paraId="469A1750" w14:textId="77777777" w:rsidR="008B7E19" w:rsidRPr="006A788F" w:rsidRDefault="008B7E19" w:rsidP="008B7E19">
            <w:pPr>
              <w:keepNext/>
              <w:keepLines/>
              <w:jc w:val="right"/>
              <w:cnfStyle w:val="000000010000" w:firstRow="0" w:lastRow="0" w:firstColumn="0" w:lastColumn="0" w:oddVBand="0" w:evenVBand="0" w:oddHBand="0" w:evenHBand="1" w:firstRowFirstColumn="0" w:firstRowLastColumn="0" w:lastRowFirstColumn="0" w:lastRowLastColumn="0"/>
              <w:rPr>
                <w:rFonts w:cs="Arial"/>
                <w:b/>
                <w:bCs/>
                <w:color w:val="000000"/>
                <w:sz w:val="14"/>
                <w:szCs w:val="14"/>
              </w:rPr>
            </w:pPr>
            <w:r w:rsidRPr="006A788F">
              <w:rPr>
                <w:rFonts w:cs="Arial"/>
                <w:b/>
                <w:bCs/>
                <w:sz w:val="14"/>
                <w:szCs w:val="14"/>
              </w:rPr>
              <w:t xml:space="preserve">  105</w:t>
            </w:r>
            <w:r>
              <w:rPr>
                <w:rFonts w:cs="Arial"/>
                <w:b/>
                <w:bCs/>
                <w:sz w:val="14"/>
                <w:szCs w:val="14"/>
              </w:rPr>
              <w:t>,</w:t>
            </w:r>
            <w:r w:rsidRPr="006A788F">
              <w:rPr>
                <w:rFonts w:cs="Arial"/>
                <w:b/>
                <w:bCs/>
                <w:sz w:val="14"/>
                <w:szCs w:val="14"/>
              </w:rPr>
              <w:t xml:space="preserve">807 </w:t>
            </w:r>
          </w:p>
        </w:tc>
        <w:tc>
          <w:tcPr>
            <w:tcW w:w="1819" w:type="dxa"/>
            <w:tcBorders>
              <w:top w:val="nil"/>
              <w:left w:val="nil"/>
              <w:bottom w:val="nil"/>
              <w:right w:val="nil"/>
            </w:tcBorders>
            <w:shd w:val="clear" w:color="auto" w:fill="auto"/>
            <w:vAlign w:val="center"/>
          </w:tcPr>
          <w:p w14:paraId="207D2803" w14:textId="77777777" w:rsidR="008B7E19" w:rsidRPr="006A788F" w:rsidRDefault="008B7E19" w:rsidP="008B7E19">
            <w:pPr>
              <w:keepNext/>
              <w:keepLines/>
              <w:jc w:val="right"/>
              <w:cnfStyle w:val="000000010000" w:firstRow="0" w:lastRow="0" w:firstColumn="0" w:lastColumn="0" w:oddVBand="0" w:evenVBand="0" w:oddHBand="0" w:evenHBand="1" w:firstRowFirstColumn="0" w:firstRowLastColumn="0" w:lastRowFirstColumn="0" w:lastRowLastColumn="0"/>
              <w:rPr>
                <w:rFonts w:cs="Arial"/>
                <w:b/>
                <w:bCs/>
                <w:color w:val="000000"/>
                <w:sz w:val="14"/>
                <w:szCs w:val="14"/>
              </w:rPr>
            </w:pPr>
            <w:r w:rsidRPr="006A788F">
              <w:rPr>
                <w:rFonts w:cs="Arial"/>
                <w:b/>
                <w:bCs/>
                <w:sz w:val="14"/>
                <w:szCs w:val="14"/>
              </w:rPr>
              <w:t xml:space="preserve">  211</w:t>
            </w:r>
            <w:r>
              <w:rPr>
                <w:rFonts w:cs="Arial"/>
                <w:b/>
                <w:bCs/>
                <w:sz w:val="14"/>
                <w:szCs w:val="14"/>
              </w:rPr>
              <w:t>,</w:t>
            </w:r>
            <w:r w:rsidRPr="006A788F">
              <w:rPr>
                <w:rFonts w:cs="Arial"/>
                <w:b/>
                <w:bCs/>
                <w:sz w:val="14"/>
                <w:szCs w:val="14"/>
              </w:rPr>
              <w:t xml:space="preserve">127 </w:t>
            </w:r>
          </w:p>
        </w:tc>
        <w:tc>
          <w:tcPr>
            <w:tcW w:w="1819" w:type="dxa"/>
            <w:tcBorders>
              <w:top w:val="nil"/>
              <w:left w:val="nil"/>
              <w:bottom w:val="nil"/>
              <w:right w:val="nil"/>
            </w:tcBorders>
            <w:shd w:val="clear" w:color="auto" w:fill="auto"/>
            <w:vAlign w:val="center"/>
          </w:tcPr>
          <w:p w14:paraId="7C74CDA8" w14:textId="77777777" w:rsidR="008B7E19" w:rsidRPr="006A788F" w:rsidRDefault="008B7E19" w:rsidP="008B7E19">
            <w:pPr>
              <w:keepNext/>
              <w:keepLines/>
              <w:jc w:val="right"/>
              <w:cnfStyle w:val="000000010000" w:firstRow="0" w:lastRow="0" w:firstColumn="0" w:lastColumn="0" w:oddVBand="0" w:evenVBand="0" w:oddHBand="0" w:evenHBand="1" w:firstRowFirstColumn="0" w:firstRowLastColumn="0" w:lastRowFirstColumn="0" w:lastRowLastColumn="0"/>
              <w:rPr>
                <w:rFonts w:cs="Arial"/>
                <w:b/>
                <w:bCs/>
                <w:color w:val="000000"/>
                <w:sz w:val="14"/>
                <w:szCs w:val="14"/>
              </w:rPr>
            </w:pPr>
            <w:r w:rsidRPr="006A788F">
              <w:rPr>
                <w:rFonts w:cs="Arial"/>
                <w:b/>
                <w:bCs/>
                <w:sz w:val="14"/>
                <w:szCs w:val="14"/>
              </w:rPr>
              <w:t xml:space="preserve">  109</w:t>
            </w:r>
            <w:r>
              <w:rPr>
                <w:rFonts w:cs="Arial"/>
                <w:b/>
                <w:bCs/>
                <w:sz w:val="14"/>
                <w:szCs w:val="14"/>
              </w:rPr>
              <w:t>,</w:t>
            </w:r>
            <w:r w:rsidRPr="006A788F">
              <w:rPr>
                <w:rFonts w:cs="Arial"/>
                <w:b/>
                <w:bCs/>
                <w:sz w:val="14"/>
                <w:szCs w:val="14"/>
              </w:rPr>
              <w:t xml:space="preserve">693 </w:t>
            </w:r>
          </w:p>
        </w:tc>
        <w:tc>
          <w:tcPr>
            <w:tcW w:w="1819" w:type="dxa"/>
            <w:tcBorders>
              <w:top w:val="nil"/>
              <w:left w:val="nil"/>
              <w:bottom w:val="nil"/>
              <w:right w:val="nil"/>
            </w:tcBorders>
            <w:shd w:val="clear" w:color="auto" w:fill="auto"/>
            <w:vAlign w:val="center"/>
          </w:tcPr>
          <w:p w14:paraId="2802ACAE" w14:textId="77777777" w:rsidR="008B7E19" w:rsidRPr="006A788F" w:rsidRDefault="008B7E19" w:rsidP="008B7E19">
            <w:pPr>
              <w:keepNext/>
              <w:keepLines/>
              <w:jc w:val="right"/>
              <w:cnfStyle w:val="000000010000" w:firstRow="0" w:lastRow="0" w:firstColumn="0" w:lastColumn="0" w:oddVBand="0" w:evenVBand="0" w:oddHBand="0" w:evenHBand="1" w:firstRowFirstColumn="0" w:firstRowLastColumn="0" w:lastRowFirstColumn="0" w:lastRowLastColumn="0"/>
              <w:rPr>
                <w:rFonts w:cs="Arial"/>
                <w:b/>
                <w:bCs/>
                <w:color w:val="000000"/>
                <w:sz w:val="14"/>
                <w:szCs w:val="14"/>
              </w:rPr>
            </w:pPr>
            <w:r w:rsidRPr="006A788F">
              <w:rPr>
                <w:rFonts w:cs="Arial"/>
                <w:b/>
                <w:bCs/>
                <w:sz w:val="14"/>
                <w:szCs w:val="14"/>
              </w:rPr>
              <w:t xml:space="preserve">  197</w:t>
            </w:r>
            <w:r>
              <w:rPr>
                <w:rFonts w:cs="Arial"/>
                <w:b/>
                <w:bCs/>
                <w:sz w:val="14"/>
                <w:szCs w:val="14"/>
              </w:rPr>
              <w:t>,</w:t>
            </w:r>
            <w:r w:rsidRPr="006A788F">
              <w:rPr>
                <w:rFonts w:cs="Arial"/>
                <w:b/>
                <w:bCs/>
                <w:sz w:val="14"/>
                <w:szCs w:val="14"/>
              </w:rPr>
              <w:t xml:space="preserve">711 </w:t>
            </w:r>
          </w:p>
        </w:tc>
      </w:tr>
      <w:tr w:rsidR="008B7E19" w:rsidRPr="006A788F" w14:paraId="63197C25"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7311D073" w14:textId="77777777" w:rsidR="008B7E19" w:rsidRPr="00C9587F" w:rsidRDefault="008B7E19" w:rsidP="008B7E19">
            <w:pPr>
              <w:keepNext/>
              <w:keepLines/>
              <w:spacing w:before="40" w:after="40"/>
              <w:ind w:left="113"/>
              <w:rPr>
                <w:rFonts w:cs="Arial"/>
                <w:b w:val="0"/>
                <w:bCs w:val="0"/>
                <w:sz w:val="14"/>
                <w:szCs w:val="14"/>
                <w:lang w:val="en-US"/>
              </w:rPr>
            </w:pPr>
            <w:r w:rsidRPr="003F2F2A">
              <w:rPr>
                <w:rFonts w:cs="Arial"/>
                <w:b w:val="0"/>
                <w:bCs w:val="0"/>
                <w:sz w:val="14"/>
                <w:szCs w:val="14"/>
                <w:lang w:val="en-US"/>
              </w:rPr>
              <w:t>Gains/losses on non-current assets</w:t>
            </w:r>
          </w:p>
        </w:tc>
        <w:tc>
          <w:tcPr>
            <w:tcW w:w="1818" w:type="dxa"/>
            <w:tcBorders>
              <w:top w:val="nil"/>
              <w:left w:val="nil"/>
              <w:bottom w:val="nil"/>
              <w:right w:val="nil"/>
            </w:tcBorders>
            <w:shd w:val="clear" w:color="auto" w:fill="auto"/>
            <w:vAlign w:val="center"/>
          </w:tcPr>
          <w:p w14:paraId="0D76B61B" w14:textId="77777777" w:rsidR="008B7E19" w:rsidRPr="006A788F" w:rsidRDefault="008B7E19" w:rsidP="008B7E19">
            <w:pPr>
              <w:keepNext/>
              <w:keepLines/>
              <w:jc w:val="right"/>
              <w:cnfStyle w:val="000000100000" w:firstRow="0" w:lastRow="0" w:firstColumn="0" w:lastColumn="0" w:oddVBand="0" w:evenVBand="0" w:oddHBand="1" w:evenHBand="0" w:firstRowFirstColumn="0" w:firstRowLastColumn="0" w:lastRowFirstColumn="0" w:lastRowLastColumn="0"/>
              <w:rPr>
                <w:rFonts w:cs="Arial"/>
                <w:sz w:val="14"/>
                <w:szCs w:val="14"/>
              </w:rPr>
            </w:pPr>
            <w:r>
              <w:rPr>
                <w:rFonts w:cs="Arial"/>
                <w:sz w:val="14"/>
                <w:szCs w:val="14"/>
              </w:rPr>
              <w:t>4</w:t>
            </w:r>
            <w:r w:rsidRPr="006A788F">
              <w:rPr>
                <w:rFonts w:cs="Arial"/>
                <w:sz w:val="14"/>
                <w:szCs w:val="14"/>
              </w:rPr>
              <w:t xml:space="preserve"> </w:t>
            </w:r>
          </w:p>
        </w:tc>
        <w:tc>
          <w:tcPr>
            <w:tcW w:w="1819" w:type="dxa"/>
            <w:tcBorders>
              <w:top w:val="nil"/>
              <w:left w:val="nil"/>
              <w:bottom w:val="nil"/>
              <w:right w:val="nil"/>
            </w:tcBorders>
            <w:shd w:val="clear" w:color="auto" w:fill="auto"/>
            <w:vAlign w:val="center"/>
          </w:tcPr>
          <w:p w14:paraId="1E34D3B2" w14:textId="77777777" w:rsidR="008B7E19" w:rsidRPr="006A788F" w:rsidRDefault="008B7E19" w:rsidP="008B7E19">
            <w:pPr>
              <w:keepNext/>
              <w:keepLines/>
              <w:jc w:val="right"/>
              <w:cnfStyle w:val="000000100000" w:firstRow="0" w:lastRow="0" w:firstColumn="0" w:lastColumn="0" w:oddVBand="0" w:evenVBand="0" w:oddHBand="1" w:evenHBand="0" w:firstRowFirstColumn="0" w:firstRowLastColumn="0" w:lastRowFirstColumn="0" w:lastRowLastColumn="0"/>
              <w:rPr>
                <w:rFonts w:cs="Arial"/>
                <w:sz w:val="14"/>
                <w:szCs w:val="14"/>
              </w:rPr>
            </w:pPr>
            <w:r w:rsidRPr="006A788F">
              <w:rPr>
                <w:rFonts w:cs="Arial"/>
                <w:sz w:val="14"/>
                <w:szCs w:val="14"/>
              </w:rPr>
              <w:t xml:space="preserve">  (1)</w:t>
            </w:r>
          </w:p>
        </w:tc>
        <w:tc>
          <w:tcPr>
            <w:tcW w:w="1819" w:type="dxa"/>
            <w:tcBorders>
              <w:top w:val="nil"/>
              <w:left w:val="nil"/>
              <w:bottom w:val="nil"/>
              <w:right w:val="nil"/>
            </w:tcBorders>
            <w:shd w:val="clear" w:color="auto" w:fill="auto"/>
            <w:vAlign w:val="center"/>
          </w:tcPr>
          <w:p w14:paraId="6BAA1BBE" w14:textId="77777777" w:rsidR="008B7E19" w:rsidRPr="006A788F" w:rsidRDefault="008B7E19" w:rsidP="008B7E19">
            <w:pPr>
              <w:keepNext/>
              <w:keepLines/>
              <w:jc w:val="right"/>
              <w:cnfStyle w:val="000000100000" w:firstRow="0" w:lastRow="0" w:firstColumn="0" w:lastColumn="0" w:oddVBand="0" w:evenVBand="0" w:oddHBand="1" w:evenHBand="0" w:firstRowFirstColumn="0" w:firstRowLastColumn="0" w:lastRowFirstColumn="0" w:lastRowLastColumn="0"/>
              <w:rPr>
                <w:rFonts w:cs="Arial"/>
                <w:sz w:val="14"/>
                <w:szCs w:val="14"/>
              </w:rPr>
            </w:pPr>
            <w:r w:rsidRPr="006A788F">
              <w:rPr>
                <w:rFonts w:cs="Arial"/>
                <w:sz w:val="14"/>
                <w:szCs w:val="14"/>
              </w:rPr>
              <w:t xml:space="preserve">  (110)</w:t>
            </w:r>
          </w:p>
        </w:tc>
        <w:tc>
          <w:tcPr>
            <w:tcW w:w="1819" w:type="dxa"/>
            <w:tcBorders>
              <w:top w:val="nil"/>
              <w:left w:val="nil"/>
              <w:bottom w:val="nil"/>
              <w:right w:val="nil"/>
            </w:tcBorders>
            <w:shd w:val="clear" w:color="auto" w:fill="auto"/>
            <w:vAlign w:val="center"/>
          </w:tcPr>
          <w:p w14:paraId="77F73E2F" w14:textId="77777777" w:rsidR="008B7E19" w:rsidRPr="006A788F" w:rsidRDefault="008B7E19" w:rsidP="008B7E19">
            <w:pPr>
              <w:keepNext/>
              <w:keepLines/>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6A788F">
              <w:rPr>
                <w:rFonts w:cs="Arial"/>
                <w:sz w:val="14"/>
                <w:szCs w:val="14"/>
              </w:rPr>
              <w:t xml:space="preserve">  (262)</w:t>
            </w:r>
          </w:p>
        </w:tc>
      </w:tr>
      <w:tr w:rsidR="008B7E19" w:rsidRPr="006A788F" w14:paraId="60C97F9A" w14:textId="77777777" w:rsidTr="008B7E1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63BC8702" w14:textId="77777777" w:rsidR="008B7E19" w:rsidRPr="006A788F" w:rsidRDefault="008B7E19" w:rsidP="008B7E19">
            <w:pPr>
              <w:keepNext/>
              <w:keepLines/>
              <w:rPr>
                <w:rFonts w:cs="Arial"/>
                <w:sz w:val="14"/>
                <w:szCs w:val="14"/>
              </w:rPr>
            </w:pPr>
            <w:r>
              <w:rPr>
                <w:rFonts w:cs="Arial"/>
                <w:color w:val="000000"/>
                <w:sz w:val="14"/>
                <w:szCs w:val="14"/>
              </w:rPr>
              <w:t>Income before taxes</w:t>
            </w:r>
          </w:p>
        </w:tc>
        <w:tc>
          <w:tcPr>
            <w:tcW w:w="1818" w:type="dxa"/>
            <w:tcBorders>
              <w:top w:val="nil"/>
              <w:left w:val="nil"/>
              <w:bottom w:val="nil"/>
              <w:right w:val="nil"/>
            </w:tcBorders>
            <w:shd w:val="clear" w:color="auto" w:fill="auto"/>
            <w:vAlign w:val="center"/>
          </w:tcPr>
          <w:p w14:paraId="52944353" w14:textId="77777777" w:rsidR="008B7E19" w:rsidRPr="006A788F" w:rsidRDefault="008B7E19" w:rsidP="008B7E19">
            <w:pPr>
              <w:keepNext/>
              <w:keepLines/>
              <w:jc w:val="right"/>
              <w:cnfStyle w:val="000000010000" w:firstRow="0" w:lastRow="0" w:firstColumn="0" w:lastColumn="0" w:oddVBand="0" w:evenVBand="0" w:oddHBand="0" w:evenHBand="1" w:firstRowFirstColumn="0" w:firstRowLastColumn="0" w:lastRowFirstColumn="0" w:lastRowLastColumn="0"/>
              <w:rPr>
                <w:rFonts w:cs="Arial"/>
                <w:b/>
                <w:bCs/>
                <w:sz w:val="14"/>
                <w:szCs w:val="14"/>
              </w:rPr>
            </w:pPr>
            <w:r w:rsidRPr="006A788F">
              <w:rPr>
                <w:rFonts w:cs="Arial"/>
                <w:b/>
                <w:bCs/>
                <w:sz w:val="14"/>
                <w:szCs w:val="14"/>
              </w:rPr>
              <w:t xml:space="preserve">  105</w:t>
            </w:r>
            <w:r>
              <w:rPr>
                <w:rFonts w:cs="Arial"/>
                <w:b/>
                <w:bCs/>
                <w:sz w:val="14"/>
                <w:szCs w:val="14"/>
              </w:rPr>
              <w:t>,</w:t>
            </w:r>
            <w:r w:rsidRPr="006A788F">
              <w:rPr>
                <w:rFonts w:cs="Arial"/>
                <w:b/>
                <w:bCs/>
                <w:sz w:val="14"/>
                <w:szCs w:val="14"/>
              </w:rPr>
              <w:t xml:space="preserve">811 </w:t>
            </w:r>
          </w:p>
        </w:tc>
        <w:tc>
          <w:tcPr>
            <w:tcW w:w="1819" w:type="dxa"/>
            <w:tcBorders>
              <w:top w:val="nil"/>
              <w:left w:val="nil"/>
              <w:bottom w:val="nil"/>
              <w:right w:val="nil"/>
            </w:tcBorders>
            <w:shd w:val="clear" w:color="auto" w:fill="auto"/>
            <w:vAlign w:val="center"/>
          </w:tcPr>
          <w:p w14:paraId="1CE79AB3" w14:textId="77777777" w:rsidR="008B7E19" w:rsidRPr="006A788F" w:rsidRDefault="008B7E19" w:rsidP="008B7E19">
            <w:pPr>
              <w:keepNext/>
              <w:keepLines/>
              <w:jc w:val="right"/>
              <w:cnfStyle w:val="000000010000" w:firstRow="0" w:lastRow="0" w:firstColumn="0" w:lastColumn="0" w:oddVBand="0" w:evenVBand="0" w:oddHBand="0" w:evenHBand="1" w:firstRowFirstColumn="0" w:firstRowLastColumn="0" w:lastRowFirstColumn="0" w:lastRowLastColumn="0"/>
              <w:rPr>
                <w:rFonts w:cs="Arial"/>
                <w:b/>
                <w:bCs/>
                <w:sz w:val="14"/>
                <w:szCs w:val="14"/>
              </w:rPr>
            </w:pPr>
            <w:r w:rsidRPr="006A788F">
              <w:rPr>
                <w:rFonts w:cs="Arial"/>
                <w:b/>
                <w:bCs/>
                <w:sz w:val="14"/>
                <w:szCs w:val="14"/>
              </w:rPr>
              <w:t xml:space="preserve">  211</w:t>
            </w:r>
            <w:r>
              <w:rPr>
                <w:rFonts w:cs="Arial"/>
                <w:b/>
                <w:bCs/>
                <w:sz w:val="14"/>
                <w:szCs w:val="14"/>
              </w:rPr>
              <w:t>,</w:t>
            </w:r>
            <w:r w:rsidRPr="006A788F">
              <w:rPr>
                <w:rFonts w:cs="Arial"/>
                <w:b/>
                <w:bCs/>
                <w:sz w:val="14"/>
                <w:szCs w:val="14"/>
              </w:rPr>
              <w:t xml:space="preserve">126 </w:t>
            </w:r>
          </w:p>
        </w:tc>
        <w:tc>
          <w:tcPr>
            <w:tcW w:w="1819" w:type="dxa"/>
            <w:tcBorders>
              <w:top w:val="nil"/>
              <w:left w:val="nil"/>
              <w:bottom w:val="nil"/>
              <w:right w:val="nil"/>
            </w:tcBorders>
            <w:shd w:val="clear" w:color="auto" w:fill="auto"/>
            <w:vAlign w:val="center"/>
          </w:tcPr>
          <w:p w14:paraId="7C268CCE" w14:textId="77777777" w:rsidR="008B7E19" w:rsidRPr="006A788F" w:rsidRDefault="008B7E19" w:rsidP="008B7E19">
            <w:pPr>
              <w:keepNext/>
              <w:keepLines/>
              <w:jc w:val="right"/>
              <w:cnfStyle w:val="000000010000" w:firstRow="0" w:lastRow="0" w:firstColumn="0" w:lastColumn="0" w:oddVBand="0" w:evenVBand="0" w:oddHBand="0" w:evenHBand="1" w:firstRowFirstColumn="0" w:firstRowLastColumn="0" w:lastRowFirstColumn="0" w:lastRowLastColumn="0"/>
              <w:rPr>
                <w:rFonts w:cs="Arial"/>
                <w:b/>
                <w:bCs/>
                <w:sz w:val="14"/>
                <w:szCs w:val="14"/>
              </w:rPr>
            </w:pPr>
            <w:r w:rsidRPr="006A788F">
              <w:rPr>
                <w:rFonts w:cs="Arial"/>
                <w:b/>
                <w:bCs/>
                <w:sz w:val="14"/>
                <w:szCs w:val="14"/>
              </w:rPr>
              <w:t xml:space="preserve">  109</w:t>
            </w:r>
            <w:r>
              <w:rPr>
                <w:rFonts w:cs="Arial"/>
                <w:b/>
                <w:bCs/>
                <w:sz w:val="14"/>
                <w:szCs w:val="14"/>
              </w:rPr>
              <w:t>,</w:t>
            </w:r>
            <w:r w:rsidRPr="006A788F">
              <w:rPr>
                <w:rFonts w:cs="Arial"/>
                <w:b/>
                <w:bCs/>
                <w:sz w:val="14"/>
                <w:szCs w:val="14"/>
              </w:rPr>
              <w:t xml:space="preserve">583 </w:t>
            </w:r>
          </w:p>
        </w:tc>
        <w:tc>
          <w:tcPr>
            <w:tcW w:w="1819" w:type="dxa"/>
            <w:tcBorders>
              <w:top w:val="nil"/>
              <w:left w:val="nil"/>
              <w:bottom w:val="nil"/>
              <w:right w:val="nil"/>
            </w:tcBorders>
            <w:shd w:val="clear" w:color="auto" w:fill="auto"/>
            <w:vAlign w:val="center"/>
          </w:tcPr>
          <w:p w14:paraId="6DF4BB7C" w14:textId="77777777" w:rsidR="008B7E19" w:rsidRPr="006A788F" w:rsidRDefault="008B7E19" w:rsidP="008B7E19">
            <w:pPr>
              <w:keepNext/>
              <w:keepLines/>
              <w:jc w:val="right"/>
              <w:cnfStyle w:val="000000010000" w:firstRow="0" w:lastRow="0" w:firstColumn="0" w:lastColumn="0" w:oddVBand="0" w:evenVBand="0" w:oddHBand="0" w:evenHBand="1" w:firstRowFirstColumn="0" w:firstRowLastColumn="0" w:lastRowFirstColumn="0" w:lastRowLastColumn="0"/>
              <w:rPr>
                <w:rFonts w:cs="Arial"/>
                <w:b/>
                <w:bCs/>
                <w:color w:val="000000"/>
                <w:sz w:val="14"/>
                <w:szCs w:val="14"/>
              </w:rPr>
            </w:pPr>
            <w:r w:rsidRPr="006A788F">
              <w:rPr>
                <w:rFonts w:cs="Arial"/>
                <w:b/>
                <w:bCs/>
                <w:sz w:val="14"/>
                <w:szCs w:val="14"/>
              </w:rPr>
              <w:t xml:space="preserve">  197</w:t>
            </w:r>
            <w:r>
              <w:rPr>
                <w:rFonts w:cs="Arial"/>
                <w:b/>
                <w:bCs/>
                <w:sz w:val="14"/>
                <w:szCs w:val="14"/>
              </w:rPr>
              <w:t>,</w:t>
            </w:r>
            <w:r w:rsidRPr="006A788F">
              <w:rPr>
                <w:rFonts w:cs="Arial"/>
                <w:b/>
                <w:bCs/>
                <w:sz w:val="14"/>
                <w:szCs w:val="14"/>
              </w:rPr>
              <w:t xml:space="preserve">449 </w:t>
            </w:r>
          </w:p>
        </w:tc>
      </w:tr>
      <w:tr w:rsidR="008B7E19" w:rsidRPr="006A788F" w14:paraId="0994ABD4"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2D312504" w14:textId="77777777" w:rsidR="008B7E19" w:rsidRPr="006A788F" w:rsidRDefault="008B7E19" w:rsidP="008B7E19">
            <w:pPr>
              <w:keepNext/>
              <w:keepLines/>
              <w:spacing w:before="40" w:after="40"/>
              <w:ind w:left="113"/>
              <w:rPr>
                <w:rFonts w:cs="Arial"/>
                <w:b w:val="0"/>
                <w:bCs w:val="0"/>
                <w:sz w:val="14"/>
                <w:szCs w:val="14"/>
              </w:rPr>
            </w:pPr>
            <w:r>
              <w:rPr>
                <w:rFonts w:cs="Arial"/>
                <w:b w:val="0"/>
                <w:bCs w:val="0"/>
                <w:sz w:val="14"/>
                <w:szCs w:val="14"/>
              </w:rPr>
              <w:t>Taxes</w:t>
            </w:r>
          </w:p>
        </w:tc>
        <w:tc>
          <w:tcPr>
            <w:tcW w:w="1818" w:type="dxa"/>
            <w:tcBorders>
              <w:top w:val="nil"/>
              <w:left w:val="nil"/>
              <w:bottom w:val="nil"/>
              <w:right w:val="nil"/>
            </w:tcBorders>
            <w:shd w:val="clear" w:color="auto" w:fill="auto"/>
            <w:vAlign w:val="center"/>
          </w:tcPr>
          <w:p w14:paraId="5165DDC6" w14:textId="77777777" w:rsidR="008B7E19" w:rsidRPr="006A788F" w:rsidRDefault="008B7E19" w:rsidP="008B7E19">
            <w:pPr>
              <w:keepNext/>
              <w:keepLines/>
              <w:jc w:val="right"/>
              <w:cnfStyle w:val="000000100000" w:firstRow="0" w:lastRow="0" w:firstColumn="0" w:lastColumn="0" w:oddVBand="0" w:evenVBand="0" w:oddHBand="1" w:evenHBand="0" w:firstRowFirstColumn="0" w:firstRowLastColumn="0" w:lastRowFirstColumn="0" w:lastRowLastColumn="0"/>
              <w:rPr>
                <w:rFonts w:cs="Arial"/>
                <w:sz w:val="14"/>
                <w:szCs w:val="14"/>
              </w:rPr>
            </w:pPr>
            <w:r w:rsidRPr="006A788F">
              <w:rPr>
                <w:rFonts w:cs="Arial"/>
                <w:sz w:val="14"/>
                <w:szCs w:val="14"/>
              </w:rPr>
              <w:t xml:space="preserve">  (39</w:t>
            </w:r>
            <w:r>
              <w:rPr>
                <w:rFonts w:cs="Arial"/>
                <w:sz w:val="14"/>
                <w:szCs w:val="14"/>
              </w:rPr>
              <w:t>,</w:t>
            </w:r>
            <w:r w:rsidRPr="006A788F">
              <w:rPr>
                <w:rFonts w:cs="Arial"/>
                <w:sz w:val="14"/>
                <w:szCs w:val="14"/>
              </w:rPr>
              <w:t>647)</w:t>
            </w:r>
          </w:p>
        </w:tc>
        <w:tc>
          <w:tcPr>
            <w:tcW w:w="1819" w:type="dxa"/>
            <w:tcBorders>
              <w:top w:val="nil"/>
              <w:left w:val="nil"/>
              <w:bottom w:val="nil"/>
              <w:right w:val="nil"/>
            </w:tcBorders>
            <w:shd w:val="clear" w:color="auto" w:fill="auto"/>
            <w:vAlign w:val="center"/>
          </w:tcPr>
          <w:p w14:paraId="4BF9CE2B" w14:textId="77777777" w:rsidR="008B7E19" w:rsidRPr="006A788F" w:rsidRDefault="008B7E19" w:rsidP="008B7E19">
            <w:pPr>
              <w:keepNext/>
              <w:keepLines/>
              <w:jc w:val="right"/>
              <w:cnfStyle w:val="000000100000" w:firstRow="0" w:lastRow="0" w:firstColumn="0" w:lastColumn="0" w:oddVBand="0" w:evenVBand="0" w:oddHBand="1" w:evenHBand="0" w:firstRowFirstColumn="0" w:firstRowLastColumn="0" w:lastRowFirstColumn="0" w:lastRowLastColumn="0"/>
              <w:rPr>
                <w:rFonts w:cs="Arial"/>
                <w:sz w:val="14"/>
                <w:szCs w:val="14"/>
              </w:rPr>
            </w:pPr>
            <w:r w:rsidRPr="006A788F">
              <w:rPr>
                <w:rFonts w:cs="Arial"/>
                <w:sz w:val="14"/>
                <w:szCs w:val="14"/>
              </w:rPr>
              <w:t xml:space="preserve">  (81</w:t>
            </w:r>
            <w:r>
              <w:rPr>
                <w:rFonts w:cs="Arial"/>
                <w:sz w:val="14"/>
                <w:szCs w:val="14"/>
              </w:rPr>
              <w:t>,</w:t>
            </w:r>
            <w:r w:rsidRPr="006A788F">
              <w:rPr>
                <w:rFonts w:cs="Arial"/>
                <w:sz w:val="14"/>
                <w:szCs w:val="14"/>
              </w:rPr>
              <w:t>806)</w:t>
            </w:r>
          </w:p>
        </w:tc>
        <w:tc>
          <w:tcPr>
            <w:tcW w:w="1819" w:type="dxa"/>
            <w:tcBorders>
              <w:top w:val="nil"/>
              <w:left w:val="nil"/>
              <w:bottom w:val="nil"/>
              <w:right w:val="nil"/>
            </w:tcBorders>
            <w:shd w:val="clear" w:color="auto" w:fill="auto"/>
            <w:vAlign w:val="center"/>
          </w:tcPr>
          <w:p w14:paraId="49672E46" w14:textId="77777777" w:rsidR="008B7E19" w:rsidRPr="006A788F" w:rsidRDefault="008B7E19" w:rsidP="008B7E19">
            <w:pPr>
              <w:keepNext/>
              <w:keepLines/>
              <w:jc w:val="right"/>
              <w:cnfStyle w:val="000000100000" w:firstRow="0" w:lastRow="0" w:firstColumn="0" w:lastColumn="0" w:oddVBand="0" w:evenVBand="0" w:oddHBand="1" w:evenHBand="0" w:firstRowFirstColumn="0" w:firstRowLastColumn="0" w:lastRowFirstColumn="0" w:lastRowLastColumn="0"/>
              <w:rPr>
                <w:rFonts w:cs="Arial"/>
                <w:sz w:val="14"/>
                <w:szCs w:val="14"/>
              </w:rPr>
            </w:pPr>
            <w:r w:rsidRPr="006A788F">
              <w:rPr>
                <w:rFonts w:cs="Arial"/>
                <w:sz w:val="14"/>
                <w:szCs w:val="14"/>
              </w:rPr>
              <w:t xml:space="preserve">  (42</w:t>
            </w:r>
            <w:r>
              <w:rPr>
                <w:rFonts w:cs="Arial"/>
                <w:sz w:val="14"/>
                <w:szCs w:val="14"/>
              </w:rPr>
              <w:t>,</w:t>
            </w:r>
            <w:r w:rsidRPr="006A788F">
              <w:rPr>
                <w:rFonts w:cs="Arial"/>
                <w:sz w:val="14"/>
                <w:szCs w:val="14"/>
              </w:rPr>
              <w:t>884)</w:t>
            </w:r>
          </w:p>
        </w:tc>
        <w:tc>
          <w:tcPr>
            <w:tcW w:w="1819" w:type="dxa"/>
            <w:tcBorders>
              <w:top w:val="nil"/>
              <w:left w:val="nil"/>
              <w:bottom w:val="nil"/>
              <w:right w:val="nil"/>
            </w:tcBorders>
            <w:shd w:val="clear" w:color="auto" w:fill="auto"/>
            <w:vAlign w:val="center"/>
          </w:tcPr>
          <w:p w14:paraId="1667076D" w14:textId="77777777" w:rsidR="008B7E19" w:rsidRPr="006A788F" w:rsidRDefault="008B7E19" w:rsidP="008B7E19">
            <w:pPr>
              <w:keepNext/>
              <w:keepLines/>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6A788F">
              <w:rPr>
                <w:rFonts w:cs="Arial"/>
                <w:sz w:val="14"/>
                <w:szCs w:val="14"/>
              </w:rPr>
              <w:t xml:space="preserve">  (78</w:t>
            </w:r>
            <w:r>
              <w:rPr>
                <w:rFonts w:cs="Arial"/>
                <w:sz w:val="14"/>
                <w:szCs w:val="14"/>
              </w:rPr>
              <w:t>,</w:t>
            </w:r>
            <w:r w:rsidRPr="006A788F">
              <w:rPr>
                <w:rFonts w:cs="Arial"/>
                <w:sz w:val="14"/>
                <w:szCs w:val="14"/>
              </w:rPr>
              <w:t>968)</w:t>
            </w:r>
          </w:p>
        </w:tc>
      </w:tr>
      <w:tr w:rsidR="008B7E19" w:rsidRPr="006A788F" w14:paraId="3C7C48F5" w14:textId="77777777" w:rsidTr="008B7E1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2790A594" w14:textId="77777777" w:rsidR="008B7E19" w:rsidRPr="006A788F" w:rsidRDefault="008B7E19" w:rsidP="008B7E19">
            <w:pPr>
              <w:keepNext/>
              <w:keepLines/>
              <w:spacing w:before="40" w:after="40"/>
              <w:ind w:left="113"/>
              <w:rPr>
                <w:rFonts w:cs="Arial"/>
                <w:b w:val="0"/>
                <w:bCs w:val="0"/>
                <w:sz w:val="14"/>
                <w:szCs w:val="14"/>
              </w:rPr>
            </w:pPr>
            <w:r>
              <w:rPr>
                <w:rFonts w:cs="Arial"/>
                <w:b w:val="0"/>
                <w:bCs w:val="0"/>
                <w:sz w:val="14"/>
                <w:szCs w:val="14"/>
              </w:rPr>
              <w:t>Profit sharing</w:t>
            </w:r>
          </w:p>
        </w:tc>
        <w:tc>
          <w:tcPr>
            <w:tcW w:w="1818" w:type="dxa"/>
            <w:tcBorders>
              <w:top w:val="nil"/>
              <w:left w:val="nil"/>
              <w:bottom w:val="nil"/>
              <w:right w:val="nil"/>
            </w:tcBorders>
            <w:shd w:val="clear" w:color="auto" w:fill="auto"/>
            <w:vAlign w:val="center"/>
          </w:tcPr>
          <w:p w14:paraId="732CF621" w14:textId="77777777" w:rsidR="008B7E19" w:rsidRPr="006A788F" w:rsidRDefault="008B7E19" w:rsidP="008B7E19">
            <w:pPr>
              <w:keepNext/>
              <w:keepLines/>
              <w:jc w:val="right"/>
              <w:cnfStyle w:val="000000010000" w:firstRow="0" w:lastRow="0" w:firstColumn="0" w:lastColumn="0" w:oddVBand="0" w:evenVBand="0" w:oddHBand="0" w:evenHBand="1" w:firstRowFirstColumn="0" w:firstRowLastColumn="0" w:lastRowFirstColumn="0" w:lastRowLastColumn="0"/>
              <w:rPr>
                <w:rFonts w:cs="Arial"/>
                <w:sz w:val="14"/>
                <w:szCs w:val="14"/>
              </w:rPr>
            </w:pPr>
            <w:r w:rsidRPr="006A788F">
              <w:rPr>
                <w:rFonts w:cs="Arial"/>
                <w:sz w:val="14"/>
                <w:szCs w:val="14"/>
              </w:rPr>
              <w:t xml:space="preserve">  (2</w:t>
            </w:r>
            <w:r>
              <w:rPr>
                <w:rFonts w:cs="Arial"/>
                <w:sz w:val="14"/>
                <w:szCs w:val="14"/>
              </w:rPr>
              <w:t>,</w:t>
            </w:r>
            <w:r w:rsidRPr="006A788F">
              <w:rPr>
                <w:rFonts w:cs="Arial"/>
                <w:sz w:val="14"/>
                <w:szCs w:val="14"/>
              </w:rPr>
              <w:t>722)</w:t>
            </w:r>
          </w:p>
        </w:tc>
        <w:tc>
          <w:tcPr>
            <w:tcW w:w="1819" w:type="dxa"/>
            <w:tcBorders>
              <w:top w:val="nil"/>
              <w:left w:val="nil"/>
              <w:bottom w:val="nil"/>
              <w:right w:val="nil"/>
            </w:tcBorders>
            <w:shd w:val="clear" w:color="auto" w:fill="auto"/>
            <w:vAlign w:val="center"/>
          </w:tcPr>
          <w:p w14:paraId="1EEB4840" w14:textId="77777777" w:rsidR="008B7E19" w:rsidRPr="006A788F" w:rsidRDefault="008B7E19" w:rsidP="008B7E19">
            <w:pPr>
              <w:keepNext/>
              <w:keepLines/>
              <w:jc w:val="right"/>
              <w:cnfStyle w:val="000000010000" w:firstRow="0" w:lastRow="0" w:firstColumn="0" w:lastColumn="0" w:oddVBand="0" w:evenVBand="0" w:oddHBand="0" w:evenHBand="1" w:firstRowFirstColumn="0" w:firstRowLastColumn="0" w:lastRowFirstColumn="0" w:lastRowLastColumn="0"/>
              <w:rPr>
                <w:rFonts w:cs="Arial"/>
                <w:sz w:val="14"/>
                <w:szCs w:val="14"/>
              </w:rPr>
            </w:pPr>
            <w:r w:rsidRPr="006A788F">
              <w:rPr>
                <w:rFonts w:cs="Arial"/>
                <w:sz w:val="14"/>
                <w:szCs w:val="14"/>
              </w:rPr>
              <w:t xml:space="preserve">  (3</w:t>
            </w:r>
            <w:r>
              <w:rPr>
                <w:rFonts w:cs="Arial"/>
                <w:sz w:val="14"/>
                <w:szCs w:val="14"/>
              </w:rPr>
              <w:t>,</w:t>
            </w:r>
            <w:r w:rsidRPr="006A788F">
              <w:rPr>
                <w:rFonts w:cs="Arial"/>
                <w:sz w:val="14"/>
                <w:szCs w:val="14"/>
              </w:rPr>
              <w:t>191)</w:t>
            </w:r>
          </w:p>
        </w:tc>
        <w:tc>
          <w:tcPr>
            <w:tcW w:w="1819" w:type="dxa"/>
            <w:tcBorders>
              <w:top w:val="nil"/>
              <w:left w:val="nil"/>
              <w:bottom w:val="nil"/>
              <w:right w:val="nil"/>
            </w:tcBorders>
            <w:shd w:val="clear" w:color="auto" w:fill="auto"/>
            <w:vAlign w:val="center"/>
          </w:tcPr>
          <w:p w14:paraId="433F8742" w14:textId="77777777" w:rsidR="008B7E19" w:rsidRPr="006A788F" w:rsidRDefault="008B7E19" w:rsidP="008B7E19">
            <w:pPr>
              <w:keepNext/>
              <w:keepLines/>
              <w:jc w:val="right"/>
              <w:cnfStyle w:val="000000010000" w:firstRow="0" w:lastRow="0" w:firstColumn="0" w:lastColumn="0" w:oddVBand="0" w:evenVBand="0" w:oddHBand="0" w:evenHBand="1" w:firstRowFirstColumn="0" w:firstRowLastColumn="0" w:lastRowFirstColumn="0" w:lastRowLastColumn="0"/>
              <w:rPr>
                <w:rFonts w:cs="Arial"/>
                <w:sz w:val="14"/>
                <w:szCs w:val="14"/>
              </w:rPr>
            </w:pPr>
            <w:r w:rsidRPr="006A788F">
              <w:rPr>
                <w:rFonts w:cs="Arial"/>
                <w:sz w:val="14"/>
                <w:szCs w:val="14"/>
              </w:rPr>
              <w:t xml:space="preserve">  (2</w:t>
            </w:r>
            <w:r>
              <w:rPr>
                <w:rFonts w:cs="Arial"/>
                <w:sz w:val="14"/>
                <w:szCs w:val="14"/>
              </w:rPr>
              <w:t>,</w:t>
            </w:r>
            <w:r w:rsidRPr="006A788F">
              <w:rPr>
                <w:rFonts w:cs="Arial"/>
                <w:sz w:val="14"/>
                <w:szCs w:val="14"/>
              </w:rPr>
              <w:t>518)</w:t>
            </w:r>
          </w:p>
        </w:tc>
        <w:tc>
          <w:tcPr>
            <w:tcW w:w="1819" w:type="dxa"/>
            <w:tcBorders>
              <w:top w:val="nil"/>
              <w:left w:val="nil"/>
              <w:bottom w:val="nil"/>
              <w:right w:val="nil"/>
            </w:tcBorders>
            <w:shd w:val="clear" w:color="auto" w:fill="auto"/>
            <w:vAlign w:val="center"/>
          </w:tcPr>
          <w:p w14:paraId="7734B7CE" w14:textId="77777777" w:rsidR="008B7E19" w:rsidRPr="006A788F" w:rsidRDefault="008B7E19" w:rsidP="008B7E19">
            <w:pPr>
              <w:keepNext/>
              <w:keepLines/>
              <w:jc w:val="right"/>
              <w:cnfStyle w:val="000000010000" w:firstRow="0" w:lastRow="0" w:firstColumn="0" w:lastColumn="0" w:oddVBand="0" w:evenVBand="0" w:oddHBand="0" w:evenHBand="1" w:firstRowFirstColumn="0" w:firstRowLastColumn="0" w:lastRowFirstColumn="0" w:lastRowLastColumn="0"/>
              <w:rPr>
                <w:rFonts w:cs="Arial"/>
                <w:color w:val="000000"/>
                <w:sz w:val="14"/>
                <w:szCs w:val="14"/>
              </w:rPr>
            </w:pPr>
            <w:r w:rsidRPr="006A788F">
              <w:rPr>
                <w:rFonts w:cs="Arial"/>
                <w:sz w:val="14"/>
                <w:szCs w:val="14"/>
              </w:rPr>
              <w:t xml:space="preserve">  (1</w:t>
            </w:r>
            <w:r>
              <w:rPr>
                <w:rFonts w:cs="Arial"/>
                <w:sz w:val="14"/>
                <w:szCs w:val="14"/>
              </w:rPr>
              <w:t>,</w:t>
            </w:r>
            <w:r w:rsidRPr="006A788F">
              <w:rPr>
                <w:rFonts w:cs="Arial"/>
                <w:sz w:val="14"/>
                <w:szCs w:val="14"/>
              </w:rPr>
              <w:t>111)</w:t>
            </w:r>
          </w:p>
        </w:tc>
      </w:tr>
      <w:tr w:rsidR="008B7E19" w:rsidRPr="006A788F" w14:paraId="063D12EB"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0707A0DF" w14:textId="77777777" w:rsidR="008B7E19" w:rsidRPr="006A788F" w:rsidRDefault="008B7E19" w:rsidP="008B7E19">
            <w:pPr>
              <w:keepNext/>
              <w:keepLines/>
              <w:rPr>
                <w:rFonts w:cs="Arial"/>
                <w:sz w:val="14"/>
                <w:szCs w:val="14"/>
              </w:rPr>
            </w:pPr>
            <w:r>
              <w:rPr>
                <w:rFonts w:cs="Arial"/>
                <w:color w:val="000000"/>
                <w:sz w:val="14"/>
                <w:szCs w:val="14"/>
              </w:rPr>
              <w:t>Net income</w:t>
            </w:r>
          </w:p>
        </w:tc>
        <w:tc>
          <w:tcPr>
            <w:tcW w:w="1818" w:type="dxa"/>
            <w:tcBorders>
              <w:top w:val="nil"/>
              <w:left w:val="nil"/>
              <w:bottom w:val="nil"/>
              <w:right w:val="nil"/>
            </w:tcBorders>
            <w:shd w:val="clear" w:color="auto" w:fill="auto"/>
            <w:vAlign w:val="center"/>
          </w:tcPr>
          <w:p w14:paraId="4AB33186" w14:textId="77777777" w:rsidR="008B7E19" w:rsidRPr="006A788F" w:rsidRDefault="008B7E19" w:rsidP="008B7E19">
            <w:pPr>
              <w:keepNext/>
              <w:keepLines/>
              <w:jc w:val="right"/>
              <w:cnfStyle w:val="000000100000" w:firstRow="0" w:lastRow="0" w:firstColumn="0" w:lastColumn="0" w:oddVBand="0" w:evenVBand="0" w:oddHBand="1" w:evenHBand="0" w:firstRowFirstColumn="0" w:firstRowLastColumn="0" w:lastRowFirstColumn="0" w:lastRowLastColumn="0"/>
              <w:rPr>
                <w:rFonts w:cs="Arial"/>
                <w:b/>
                <w:bCs/>
                <w:sz w:val="14"/>
                <w:szCs w:val="14"/>
              </w:rPr>
            </w:pPr>
            <w:r w:rsidRPr="006A788F">
              <w:rPr>
                <w:rFonts w:cs="Arial"/>
                <w:b/>
                <w:bCs/>
                <w:sz w:val="14"/>
                <w:szCs w:val="14"/>
              </w:rPr>
              <w:t xml:space="preserve">  63</w:t>
            </w:r>
            <w:r>
              <w:rPr>
                <w:rFonts w:cs="Arial"/>
                <w:b/>
                <w:bCs/>
                <w:sz w:val="14"/>
                <w:szCs w:val="14"/>
              </w:rPr>
              <w:t>,</w:t>
            </w:r>
            <w:r w:rsidRPr="006A788F">
              <w:rPr>
                <w:rFonts w:cs="Arial"/>
                <w:b/>
                <w:bCs/>
                <w:sz w:val="14"/>
                <w:szCs w:val="14"/>
              </w:rPr>
              <w:t xml:space="preserve">442 </w:t>
            </w:r>
          </w:p>
        </w:tc>
        <w:tc>
          <w:tcPr>
            <w:tcW w:w="1819" w:type="dxa"/>
            <w:tcBorders>
              <w:top w:val="nil"/>
              <w:left w:val="nil"/>
              <w:bottom w:val="nil"/>
              <w:right w:val="nil"/>
            </w:tcBorders>
            <w:shd w:val="clear" w:color="auto" w:fill="auto"/>
            <w:vAlign w:val="center"/>
          </w:tcPr>
          <w:p w14:paraId="577FC974" w14:textId="77777777" w:rsidR="008B7E19" w:rsidRPr="006A788F" w:rsidRDefault="008B7E19" w:rsidP="008B7E19">
            <w:pPr>
              <w:keepNext/>
              <w:keepLines/>
              <w:jc w:val="right"/>
              <w:cnfStyle w:val="000000100000" w:firstRow="0" w:lastRow="0" w:firstColumn="0" w:lastColumn="0" w:oddVBand="0" w:evenVBand="0" w:oddHBand="1" w:evenHBand="0" w:firstRowFirstColumn="0" w:firstRowLastColumn="0" w:lastRowFirstColumn="0" w:lastRowLastColumn="0"/>
              <w:rPr>
                <w:rFonts w:cs="Arial"/>
                <w:b/>
                <w:bCs/>
                <w:sz w:val="14"/>
                <w:szCs w:val="14"/>
              </w:rPr>
            </w:pPr>
            <w:r w:rsidRPr="006A788F">
              <w:rPr>
                <w:rFonts w:cs="Arial"/>
                <w:b/>
                <w:bCs/>
                <w:sz w:val="14"/>
                <w:szCs w:val="14"/>
              </w:rPr>
              <w:t xml:space="preserve">  126</w:t>
            </w:r>
            <w:r>
              <w:rPr>
                <w:rFonts w:cs="Arial"/>
                <w:b/>
                <w:bCs/>
                <w:sz w:val="14"/>
                <w:szCs w:val="14"/>
              </w:rPr>
              <w:t>,</w:t>
            </w:r>
            <w:r w:rsidRPr="006A788F">
              <w:rPr>
                <w:rFonts w:cs="Arial"/>
                <w:b/>
                <w:bCs/>
                <w:sz w:val="14"/>
                <w:szCs w:val="14"/>
              </w:rPr>
              <w:t xml:space="preserve">129 </w:t>
            </w:r>
          </w:p>
        </w:tc>
        <w:tc>
          <w:tcPr>
            <w:tcW w:w="1819" w:type="dxa"/>
            <w:tcBorders>
              <w:top w:val="nil"/>
              <w:left w:val="nil"/>
              <w:bottom w:val="nil"/>
              <w:right w:val="nil"/>
            </w:tcBorders>
            <w:shd w:val="clear" w:color="auto" w:fill="auto"/>
            <w:vAlign w:val="center"/>
          </w:tcPr>
          <w:p w14:paraId="5C6056EF" w14:textId="77777777" w:rsidR="008B7E19" w:rsidRPr="006A788F" w:rsidRDefault="008B7E19" w:rsidP="008B7E19">
            <w:pPr>
              <w:keepNext/>
              <w:keepLines/>
              <w:jc w:val="right"/>
              <w:cnfStyle w:val="000000100000" w:firstRow="0" w:lastRow="0" w:firstColumn="0" w:lastColumn="0" w:oddVBand="0" w:evenVBand="0" w:oddHBand="1" w:evenHBand="0" w:firstRowFirstColumn="0" w:firstRowLastColumn="0" w:lastRowFirstColumn="0" w:lastRowLastColumn="0"/>
              <w:rPr>
                <w:rFonts w:cs="Arial"/>
                <w:b/>
                <w:bCs/>
                <w:sz w:val="14"/>
                <w:szCs w:val="14"/>
              </w:rPr>
            </w:pPr>
            <w:r w:rsidRPr="006A788F">
              <w:rPr>
                <w:rFonts w:cs="Arial"/>
                <w:b/>
                <w:bCs/>
                <w:sz w:val="14"/>
                <w:szCs w:val="14"/>
              </w:rPr>
              <w:t xml:space="preserve">  64</w:t>
            </w:r>
            <w:r>
              <w:rPr>
                <w:rFonts w:cs="Arial"/>
                <w:b/>
                <w:bCs/>
                <w:sz w:val="14"/>
                <w:szCs w:val="14"/>
              </w:rPr>
              <w:t>,</w:t>
            </w:r>
            <w:r w:rsidRPr="006A788F">
              <w:rPr>
                <w:rFonts w:cs="Arial"/>
                <w:b/>
                <w:bCs/>
                <w:sz w:val="14"/>
                <w:szCs w:val="14"/>
              </w:rPr>
              <w:t xml:space="preserve">181 </w:t>
            </w:r>
          </w:p>
        </w:tc>
        <w:tc>
          <w:tcPr>
            <w:tcW w:w="1819" w:type="dxa"/>
            <w:tcBorders>
              <w:top w:val="nil"/>
              <w:left w:val="nil"/>
              <w:bottom w:val="nil"/>
              <w:right w:val="nil"/>
            </w:tcBorders>
            <w:shd w:val="clear" w:color="auto" w:fill="auto"/>
            <w:vAlign w:val="center"/>
          </w:tcPr>
          <w:p w14:paraId="76F3E8F6" w14:textId="77777777" w:rsidR="008B7E19" w:rsidRPr="006A788F" w:rsidRDefault="008B7E19" w:rsidP="008B7E19">
            <w:pPr>
              <w:keepNext/>
              <w:keepLines/>
              <w:jc w:val="right"/>
              <w:cnfStyle w:val="000000100000" w:firstRow="0" w:lastRow="0" w:firstColumn="0" w:lastColumn="0" w:oddVBand="0" w:evenVBand="0" w:oddHBand="1" w:evenHBand="0" w:firstRowFirstColumn="0" w:firstRowLastColumn="0" w:lastRowFirstColumn="0" w:lastRowLastColumn="0"/>
              <w:rPr>
                <w:rFonts w:cs="Arial"/>
                <w:b/>
                <w:bCs/>
                <w:color w:val="000000"/>
                <w:sz w:val="14"/>
                <w:szCs w:val="14"/>
              </w:rPr>
            </w:pPr>
            <w:r w:rsidRPr="006A788F">
              <w:rPr>
                <w:rFonts w:cs="Arial"/>
                <w:b/>
                <w:bCs/>
                <w:sz w:val="14"/>
                <w:szCs w:val="14"/>
              </w:rPr>
              <w:t xml:space="preserve">  117</w:t>
            </w:r>
            <w:r>
              <w:rPr>
                <w:rFonts w:cs="Arial"/>
                <w:b/>
                <w:bCs/>
                <w:sz w:val="14"/>
                <w:szCs w:val="14"/>
              </w:rPr>
              <w:t>,</w:t>
            </w:r>
            <w:r w:rsidRPr="006A788F">
              <w:rPr>
                <w:rFonts w:cs="Arial"/>
                <w:b/>
                <w:bCs/>
                <w:sz w:val="14"/>
                <w:szCs w:val="14"/>
              </w:rPr>
              <w:t xml:space="preserve">370 </w:t>
            </w:r>
          </w:p>
        </w:tc>
      </w:tr>
      <w:tr w:rsidR="008B7E19" w:rsidRPr="006A788F" w14:paraId="356DBBBA" w14:textId="77777777" w:rsidTr="008B7E1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700B640F" w14:textId="77777777" w:rsidR="008B7E19" w:rsidRPr="006A788F" w:rsidRDefault="008B7E19" w:rsidP="008B7E19">
            <w:pPr>
              <w:keepNext/>
              <w:keepLines/>
              <w:spacing w:before="40" w:after="40"/>
              <w:ind w:left="113"/>
              <w:rPr>
                <w:rFonts w:cs="Arial"/>
                <w:b w:val="0"/>
                <w:bCs w:val="0"/>
                <w:sz w:val="14"/>
                <w:szCs w:val="14"/>
              </w:rPr>
            </w:pPr>
            <w:r>
              <w:rPr>
                <w:rFonts w:cs="Arial"/>
                <w:b w:val="0"/>
                <w:bCs w:val="0"/>
                <w:sz w:val="14"/>
                <w:szCs w:val="14"/>
              </w:rPr>
              <w:t>Other comprehensive results</w:t>
            </w:r>
          </w:p>
        </w:tc>
        <w:tc>
          <w:tcPr>
            <w:tcW w:w="1818" w:type="dxa"/>
            <w:tcBorders>
              <w:top w:val="nil"/>
              <w:left w:val="nil"/>
              <w:bottom w:val="nil"/>
              <w:right w:val="nil"/>
            </w:tcBorders>
            <w:shd w:val="clear" w:color="auto" w:fill="auto"/>
            <w:vAlign w:val="center"/>
          </w:tcPr>
          <w:p w14:paraId="000A977A" w14:textId="77777777" w:rsidR="008B7E19" w:rsidRPr="006A788F" w:rsidRDefault="008B7E19" w:rsidP="008B7E19">
            <w:pPr>
              <w:keepNext/>
              <w:keepLines/>
              <w:jc w:val="right"/>
              <w:cnfStyle w:val="000000010000" w:firstRow="0" w:lastRow="0" w:firstColumn="0" w:lastColumn="0" w:oddVBand="0" w:evenVBand="0" w:oddHBand="0" w:evenHBand="1" w:firstRowFirstColumn="0" w:firstRowLastColumn="0" w:lastRowFirstColumn="0" w:lastRowLastColumn="0"/>
              <w:rPr>
                <w:rFonts w:cs="Arial"/>
                <w:sz w:val="14"/>
                <w:szCs w:val="14"/>
              </w:rPr>
            </w:pPr>
            <w:r w:rsidRPr="006A788F">
              <w:rPr>
                <w:rFonts w:cs="Arial"/>
                <w:sz w:val="14"/>
                <w:szCs w:val="14"/>
              </w:rPr>
              <w:t xml:space="preserve">  (41</w:t>
            </w:r>
            <w:r>
              <w:rPr>
                <w:rFonts w:cs="Arial"/>
                <w:sz w:val="14"/>
                <w:szCs w:val="14"/>
              </w:rPr>
              <w:t>,</w:t>
            </w:r>
            <w:r w:rsidRPr="006A788F">
              <w:rPr>
                <w:rFonts w:cs="Arial"/>
                <w:sz w:val="14"/>
                <w:szCs w:val="14"/>
              </w:rPr>
              <w:t>728)</w:t>
            </w:r>
          </w:p>
        </w:tc>
        <w:tc>
          <w:tcPr>
            <w:tcW w:w="1819" w:type="dxa"/>
            <w:tcBorders>
              <w:top w:val="nil"/>
              <w:left w:val="nil"/>
              <w:bottom w:val="nil"/>
              <w:right w:val="nil"/>
            </w:tcBorders>
            <w:shd w:val="clear" w:color="auto" w:fill="auto"/>
            <w:vAlign w:val="center"/>
          </w:tcPr>
          <w:p w14:paraId="3161D8E5" w14:textId="77777777" w:rsidR="008B7E19" w:rsidRPr="006A788F" w:rsidRDefault="008B7E19" w:rsidP="008B7E19">
            <w:pPr>
              <w:keepNext/>
              <w:keepLines/>
              <w:jc w:val="right"/>
              <w:cnfStyle w:val="000000010000" w:firstRow="0" w:lastRow="0" w:firstColumn="0" w:lastColumn="0" w:oddVBand="0" w:evenVBand="0" w:oddHBand="0" w:evenHBand="1" w:firstRowFirstColumn="0" w:firstRowLastColumn="0" w:lastRowFirstColumn="0" w:lastRowLastColumn="0"/>
              <w:rPr>
                <w:rFonts w:cs="Arial"/>
                <w:sz w:val="14"/>
                <w:szCs w:val="14"/>
              </w:rPr>
            </w:pPr>
            <w:r w:rsidRPr="006A788F">
              <w:rPr>
                <w:rFonts w:cs="Arial"/>
                <w:sz w:val="14"/>
                <w:szCs w:val="14"/>
              </w:rPr>
              <w:t xml:space="preserve">  (41</w:t>
            </w:r>
            <w:r>
              <w:rPr>
                <w:rFonts w:cs="Arial"/>
                <w:sz w:val="14"/>
                <w:szCs w:val="14"/>
              </w:rPr>
              <w:t>,</w:t>
            </w:r>
            <w:r w:rsidRPr="006A788F">
              <w:rPr>
                <w:rFonts w:cs="Arial"/>
                <w:sz w:val="14"/>
                <w:szCs w:val="14"/>
              </w:rPr>
              <w:t>728)</w:t>
            </w:r>
          </w:p>
        </w:tc>
        <w:tc>
          <w:tcPr>
            <w:tcW w:w="1819" w:type="dxa"/>
            <w:tcBorders>
              <w:top w:val="nil"/>
              <w:left w:val="nil"/>
              <w:bottom w:val="nil"/>
              <w:right w:val="nil"/>
            </w:tcBorders>
            <w:shd w:val="clear" w:color="auto" w:fill="auto"/>
            <w:vAlign w:val="center"/>
          </w:tcPr>
          <w:p w14:paraId="11CA9E2A" w14:textId="77777777" w:rsidR="008B7E19" w:rsidRPr="006A788F" w:rsidRDefault="008B7E19" w:rsidP="008B7E19">
            <w:pPr>
              <w:keepNext/>
              <w:keepLines/>
              <w:jc w:val="right"/>
              <w:cnfStyle w:val="000000010000" w:firstRow="0" w:lastRow="0" w:firstColumn="0" w:lastColumn="0" w:oddVBand="0" w:evenVBand="0" w:oddHBand="0" w:evenHBand="1" w:firstRowFirstColumn="0" w:firstRowLastColumn="0" w:lastRowFirstColumn="0" w:lastRowLastColumn="0"/>
              <w:rPr>
                <w:rFonts w:cs="Arial"/>
                <w:sz w:val="14"/>
                <w:szCs w:val="14"/>
              </w:rPr>
            </w:pPr>
            <w:r w:rsidRPr="006A788F">
              <w:rPr>
                <w:rFonts w:cs="Arial"/>
                <w:sz w:val="14"/>
                <w:szCs w:val="14"/>
              </w:rPr>
              <w:t xml:space="preserve">  (107</w:t>
            </w:r>
            <w:r>
              <w:rPr>
                <w:rFonts w:cs="Arial"/>
                <w:sz w:val="14"/>
                <w:szCs w:val="14"/>
              </w:rPr>
              <w:t>,</w:t>
            </w:r>
            <w:r w:rsidRPr="006A788F">
              <w:rPr>
                <w:rFonts w:cs="Arial"/>
                <w:sz w:val="14"/>
                <w:szCs w:val="14"/>
              </w:rPr>
              <w:t>756)</w:t>
            </w:r>
          </w:p>
        </w:tc>
        <w:tc>
          <w:tcPr>
            <w:tcW w:w="1819" w:type="dxa"/>
            <w:tcBorders>
              <w:top w:val="nil"/>
              <w:left w:val="nil"/>
              <w:bottom w:val="nil"/>
              <w:right w:val="nil"/>
            </w:tcBorders>
            <w:shd w:val="clear" w:color="auto" w:fill="auto"/>
            <w:vAlign w:val="center"/>
          </w:tcPr>
          <w:p w14:paraId="252271A0" w14:textId="77777777" w:rsidR="008B7E19" w:rsidRPr="006A788F" w:rsidRDefault="008B7E19" w:rsidP="008B7E19">
            <w:pPr>
              <w:keepNext/>
              <w:keepLines/>
              <w:jc w:val="right"/>
              <w:cnfStyle w:val="000000010000" w:firstRow="0" w:lastRow="0" w:firstColumn="0" w:lastColumn="0" w:oddVBand="0" w:evenVBand="0" w:oddHBand="0" w:evenHBand="1" w:firstRowFirstColumn="0" w:firstRowLastColumn="0" w:lastRowFirstColumn="0" w:lastRowLastColumn="0"/>
              <w:rPr>
                <w:rFonts w:cs="Arial"/>
                <w:color w:val="000000"/>
                <w:sz w:val="14"/>
                <w:szCs w:val="14"/>
              </w:rPr>
            </w:pPr>
            <w:r w:rsidRPr="006A788F">
              <w:rPr>
                <w:rFonts w:cs="Arial"/>
                <w:sz w:val="14"/>
                <w:szCs w:val="14"/>
              </w:rPr>
              <w:t xml:space="preserve">  (107</w:t>
            </w:r>
            <w:r>
              <w:rPr>
                <w:rFonts w:cs="Arial"/>
                <w:sz w:val="14"/>
                <w:szCs w:val="14"/>
              </w:rPr>
              <w:t>,</w:t>
            </w:r>
            <w:r w:rsidRPr="006A788F">
              <w:rPr>
                <w:rFonts w:cs="Arial"/>
                <w:sz w:val="14"/>
                <w:szCs w:val="14"/>
              </w:rPr>
              <w:t>756)</w:t>
            </w:r>
          </w:p>
        </w:tc>
      </w:tr>
      <w:tr w:rsidR="008B7E19" w:rsidRPr="006A788F" w14:paraId="59A70D7E"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4DC795AD" w14:textId="77777777" w:rsidR="008B7E19" w:rsidRPr="006A788F" w:rsidRDefault="008B7E19" w:rsidP="008B7E19">
            <w:pPr>
              <w:keepNext/>
              <w:keepLines/>
              <w:rPr>
                <w:rFonts w:cs="Arial"/>
                <w:sz w:val="14"/>
                <w:szCs w:val="14"/>
              </w:rPr>
            </w:pPr>
            <w:r>
              <w:rPr>
                <w:rFonts w:cs="Arial"/>
                <w:sz w:val="14"/>
                <w:szCs w:val="14"/>
              </w:rPr>
              <w:t>Comprehensive income</w:t>
            </w:r>
          </w:p>
        </w:tc>
        <w:tc>
          <w:tcPr>
            <w:tcW w:w="1818" w:type="dxa"/>
            <w:tcBorders>
              <w:top w:val="nil"/>
              <w:left w:val="nil"/>
              <w:bottom w:val="nil"/>
              <w:right w:val="nil"/>
            </w:tcBorders>
            <w:shd w:val="clear" w:color="auto" w:fill="auto"/>
            <w:vAlign w:val="center"/>
          </w:tcPr>
          <w:p w14:paraId="7CC5F625" w14:textId="77777777" w:rsidR="008B7E19" w:rsidRPr="006A788F" w:rsidRDefault="008B7E19" w:rsidP="008B7E19">
            <w:pPr>
              <w:keepNext/>
              <w:keepLines/>
              <w:jc w:val="right"/>
              <w:cnfStyle w:val="000000100000" w:firstRow="0" w:lastRow="0" w:firstColumn="0" w:lastColumn="0" w:oddVBand="0" w:evenVBand="0" w:oddHBand="1" w:evenHBand="0" w:firstRowFirstColumn="0" w:firstRowLastColumn="0" w:lastRowFirstColumn="0" w:lastRowLastColumn="0"/>
              <w:rPr>
                <w:rFonts w:cs="Arial"/>
                <w:b/>
                <w:bCs/>
                <w:sz w:val="14"/>
                <w:szCs w:val="14"/>
              </w:rPr>
            </w:pPr>
            <w:r w:rsidRPr="006A788F">
              <w:rPr>
                <w:rFonts w:cs="Arial"/>
                <w:b/>
                <w:bCs/>
                <w:sz w:val="14"/>
                <w:szCs w:val="14"/>
              </w:rPr>
              <w:t xml:space="preserve">  21</w:t>
            </w:r>
            <w:r>
              <w:rPr>
                <w:rFonts w:cs="Arial"/>
                <w:b/>
                <w:bCs/>
                <w:sz w:val="14"/>
                <w:szCs w:val="14"/>
              </w:rPr>
              <w:t>,</w:t>
            </w:r>
            <w:r w:rsidRPr="006A788F">
              <w:rPr>
                <w:rFonts w:cs="Arial"/>
                <w:b/>
                <w:bCs/>
                <w:sz w:val="14"/>
                <w:szCs w:val="14"/>
              </w:rPr>
              <w:t xml:space="preserve">714 </w:t>
            </w:r>
          </w:p>
        </w:tc>
        <w:tc>
          <w:tcPr>
            <w:tcW w:w="1819" w:type="dxa"/>
            <w:tcBorders>
              <w:top w:val="nil"/>
              <w:left w:val="nil"/>
              <w:bottom w:val="nil"/>
              <w:right w:val="nil"/>
            </w:tcBorders>
            <w:shd w:val="clear" w:color="auto" w:fill="auto"/>
            <w:vAlign w:val="center"/>
          </w:tcPr>
          <w:p w14:paraId="5180E3A6" w14:textId="77777777" w:rsidR="008B7E19" w:rsidRPr="006A788F" w:rsidRDefault="008B7E19" w:rsidP="008B7E19">
            <w:pPr>
              <w:keepNext/>
              <w:keepLines/>
              <w:jc w:val="right"/>
              <w:cnfStyle w:val="000000100000" w:firstRow="0" w:lastRow="0" w:firstColumn="0" w:lastColumn="0" w:oddVBand="0" w:evenVBand="0" w:oddHBand="1" w:evenHBand="0" w:firstRowFirstColumn="0" w:firstRowLastColumn="0" w:lastRowFirstColumn="0" w:lastRowLastColumn="0"/>
              <w:rPr>
                <w:rFonts w:cs="Arial"/>
                <w:b/>
                <w:bCs/>
                <w:sz w:val="14"/>
                <w:szCs w:val="14"/>
              </w:rPr>
            </w:pPr>
            <w:r w:rsidRPr="006A788F">
              <w:rPr>
                <w:rFonts w:cs="Arial"/>
                <w:b/>
                <w:bCs/>
                <w:sz w:val="14"/>
                <w:szCs w:val="14"/>
              </w:rPr>
              <w:t xml:space="preserve">  84</w:t>
            </w:r>
            <w:r>
              <w:rPr>
                <w:rFonts w:cs="Arial"/>
                <w:b/>
                <w:bCs/>
                <w:sz w:val="14"/>
                <w:szCs w:val="14"/>
              </w:rPr>
              <w:t>,</w:t>
            </w:r>
            <w:r w:rsidRPr="006A788F">
              <w:rPr>
                <w:rFonts w:cs="Arial"/>
                <w:b/>
                <w:bCs/>
                <w:sz w:val="14"/>
                <w:szCs w:val="14"/>
              </w:rPr>
              <w:t xml:space="preserve">401 </w:t>
            </w:r>
          </w:p>
        </w:tc>
        <w:tc>
          <w:tcPr>
            <w:tcW w:w="1819" w:type="dxa"/>
            <w:tcBorders>
              <w:top w:val="nil"/>
              <w:left w:val="nil"/>
              <w:bottom w:val="nil"/>
              <w:right w:val="nil"/>
            </w:tcBorders>
            <w:shd w:val="clear" w:color="auto" w:fill="auto"/>
            <w:vAlign w:val="center"/>
          </w:tcPr>
          <w:p w14:paraId="58AA3B08" w14:textId="77777777" w:rsidR="008B7E19" w:rsidRPr="006A788F" w:rsidRDefault="008B7E19" w:rsidP="008B7E19">
            <w:pPr>
              <w:keepNext/>
              <w:keepLines/>
              <w:jc w:val="right"/>
              <w:cnfStyle w:val="000000100000" w:firstRow="0" w:lastRow="0" w:firstColumn="0" w:lastColumn="0" w:oddVBand="0" w:evenVBand="0" w:oddHBand="1" w:evenHBand="0" w:firstRowFirstColumn="0" w:firstRowLastColumn="0" w:lastRowFirstColumn="0" w:lastRowLastColumn="0"/>
              <w:rPr>
                <w:rFonts w:cs="Arial"/>
                <w:b/>
                <w:bCs/>
                <w:sz w:val="14"/>
                <w:szCs w:val="14"/>
              </w:rPr>
            </w:pPr>
            <w:r w:rsidRPr="006A788F">
              <w:rPr>
                <w:rFonts w:cs="Arial"/>
                <w:b/>
                <w:bCs/>
                <w:sz w:val="14"/>
                <w:szCs w:val="14"/>
              </w:rPr>
              <w:t xml:space="preserve">  (43</w:t>
            </w:r>
            <w:r>
              <w:rPr>
                <w:rFonts w:cs="Arial"/>
                <w:b/>
                <w:bCs/>
                <w:sz w:val="14"/>
                <w:szCs w:val="14"/>
              </w:rPr>
              <w:t>,</w:t>
            </w:r>
            <w:r w:rsidRPr="006A788F">
              <w:rPr>
                <w:rFonts w:cs="Arial"/>
                <w:b/>
                <w:bCs/>
                <w:sz w:val="14"/>
                <w:szCs w:val="14"/>
              </w:rPr>
              <w:t>575)</w:t>
            </w:r>
          </w:p>
        </w:tc>
        <w:tc>
          <w:tcPr>
            <w:tcW w:w="1819" w:type="dxa"/>
            <w:tcBorders>
              <w:top w:val="nil"/>
              <w:left w:val="nil"/>
              <w:bottom w:val="nil"/>
              <w:right w:val="nil"/>
            </w:tcBorders>
            <w:shd w:val="clear" w:color="auto" w:fill="auto"/>
            <w:vAlign w:val="center"/>
          </w:tcPr>
          <w:p w14:paraId="15A7990C" w14:textId="77777777" w:rsidR="008B7E19" w:rsidRPr="006A788F" w:rsidRDefault="008B7E19" w:rsidP="008B7E19">
            <w:pPr>
              <w:keepNext/>
              <w:keepLines/>
              <w:jc w:val="right"/>
              <w:cnfStyle w:val="000000100000" w:firstRow="0" w:lastRow="0" w:firstColumn="0" w:lastColumn="0" w:oddVBand="0" w:evenVBand="0" w:oddHBand="1" w:evenHBand="0" w:firstRowFirstColumn="0" w:firstRowLastColumn="0" w:lastRowFirstColumn="0" w:lastRowLastColumn="0"/>
              <w:rPr>
                <w:rFonts w:cs="Arial"/>
                <w:b/>
                <w:bCs/>
                <w:color w:val="000000"/>
                <w:sz w:val="14"/>
                <w:szCs w:val="14"/>
              </w:rPr>
            </w:pPr>
            <w:r w:rsidRPr="006A788F">
              <w:rPr>
                <w:rFonts w:cs="Arial"/>
                <w:b/>
                <w:bCs/>
                <w:sz w:val="14"/>
                <w:szCs w:val="14"/>
              </w:rPr>
              <w:t xml:space="preserve">  9</w:t>
            </w:r>
            <w:r>
              <w:rPr>
                <w:rFonts w:cs="Arial"/>
                <w:b/>
                <w:bCs/>
                <w:sz w:val="14"/>
                <w:szCs w:val="14"/>
              </w:rPr>
              <w:t>,</w:t>
            </w:r>
            <w:r w:rsidRPr="006A788F">
              <w:rPr>
                <w:rFonts w:cs="Arial"/>
                <w:b/>
                <w:bCs/>
                <w:sz w:val="14"/>
                <w:szCs w:val="14"/>
              </w:rPr>
              <w:t xml:space="preserve">614 </w:t>
            </w:r>
          </w:p>
        </w:tc>
      </w:tr>
      <w:tr w:rsidR="008B7E19" w:rsidRPr="006A788F" w14:paraId="6E9AB235" w14:textId="77777777" w:rsidTr="008B7E1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78BD7416" w14:textId="77777777" w:rsidR="008B7E19" w:rsidRPr="006A788F" w:rsidRDefault="008B7E19" w:rsidP="008B7E19">
            <w:pPr>
              <w:keepNext/>
              <w:keepLines/>
              <w:rPr>
                <w:rFonts w:cs="Arial"/>
                <w:sz w:val="14"/>
                <w:szCs w:val="14"/>
              </w:rPr>
            </w:pPr>
            <w:r>
              <w:rPr>
                <w:rFonts w:eastAsia="Times New Roman" w:cs="Arial"/>
                <w:color w:val="000000"/>
                <w:spacing w:val="-2"/>
                <w:sz w:val="14"/>
                <w:szCs w:val="14"/>
                <w:lang w:eastAsia="pt-BR"/>
              </w:rPr>
              <w:t>Attributable to BB Seguridade</w:t>
            </w:r>
          </w:p>
        </w:tc>
        <w:tc>
          <w:tcPr>
            <w:tcW w:w="1818" w:type="dxa"/>
            <w:tcBorders>
              <w:top w:val="nil"/>
              <w:left w:val="nil"/>
              <w:bottom w:val="nil"/>
              <w:right w:val="nil"/>
            </w:tcBorders>
            <w:shd w:val="clear" w:color="auto" w:fill="auto"/>
            <w:vAlign w:val="center"/>
          </w:tcPr>
          <w:p w14:paraId="171B5D9D" w14:textId="77777777" w:rsidR="008B7E19" w:rsidRPr="006A788F" w:rsidRDefault="008B7E19" w:rsidP="008B7E19">
            <w:pPr>
              <w:jc w:val="right"/>
              <w:cnfStyle w:val="000000010000" w:firstRow="0" w:lastRow="0" w:firstColumn="0" w:lastColumn="0" w:oddVBand="0" w:evenVBand="0" w:oddHBand="0" w:evenHBand="1" w:firstRowFirstColumn="0" w:firstRowLastColumn="0" w:lastRowFirstColumn="0" w:lastRowLastColumn="0"/>
              <w:rPr>
                <w:rFonts w:eastAsia="Times New Roman" w:cs="Arial"/>
                <w:b/>
                <w:bCs/>
                <w:sz w:val="14"/>
                <w:szCs w:val="14"/>
              </w:rPr>
            </w:pPr>
            <w:r w:rsidRPr="006A788F">
              <w:rPr>
                <w:rFonts w:cs="Arial"/>
                <w:b/>
                <w:bCs/>
                <w:sz w:val="14"/>
                <w:szCs w:val="14"/>
              </w:rPr>
              <w:t>42</w:t>
            </w:r>
            <w:r>
              <w:rPr>
                <w:rFonts w:cs="Arial"/>
                <w:b/>
                <w:bCs/>
                <w:sz w:val="14"/>
                <w:szCs w:val="14"/>
              </w:rPr>
              <w:t>,</w:t>
            </w:r>
            <w:r w:rsidRPr="006A788F">
              <w:rPr>
                <w:rFonts w:cs="Arial"/>
                <w:b/>
                <w:bCs/>
                <w:sz w:val="14"/>
                <w:szCs w:val="14"/>
              </w:rPr>
              <w:t>358</w:t>
            </w:r>
          </w:p>
        </w:tc>
        <w:tc>
          <w:tcPr>
            <w:tcW w:w="1819" w:type="dxa"/>
            <w:tcBorders>
              <w:top w:val="nil"/>
              <w:left w:val="nil"/>
              <w:bottom w:val="nil"/>
              <w:right w:val="nil"/>
            </w:tcBorders>
            <w:shd w:val="clear" w:color="auto" w:fill="auto"/>
            <w:vAlign w:val="center"/>
          </w:tcPr>
          <w:p w14:paraId="0FE31FFD" w14:textId="77777777" w:rsidR="008B7E19" w:rsidRPr="006A788F" w:rsidRDefault="008B7E19" w:rsidP="008B7E19">
            <w:pPr>
              <w:jc w:val="right"/>
              <w:cnfStyle w:val="000000010000" w:firstRow="0" w:lastRow="0" w:firstColumn="0" w:lastColumn="0" w:oddVBand="0" w:evenVBand="0" w:oddHBand="0" w:evenHBand="1" w:firstRowFirstColumn="0" w:firstRowLastColumn="0" w:lastRowFirstColumn="0" w:lastRowLastColumn="0"/>
              <w:rPr>
                <w:rFonts w:eastAsia="Times New Roman" w:cs="Arial"/>
                <w:b/>
                <w:bCs/>
                <w:color w:val="000000"/>
                <w:sz w:val="14"/>
                <w:szCs w:val="14"/>
              </w:rPr>
            </w:pPr>
            <w:r w:rsidRPr="006A788F">
              <w:rPr>
                <w:rFonts w:cs="Arial"/>
                <w:b/>
                <w:bCs/>
                <w:color w:val="000000"/>
                <w:sz w:val="14"/>
                <w:szCs w:val="14"/>
              </w:rPr>
              <w:t>84</w:t>
            </w:r>
            <w:r>
              <w:rPr>
                <w:rFonts w:cs="Arial"/>
                <w:b/>
                <w:bCs/>
                <w:color w:val="000000"/>
                <w:sz w:val="14"/>
                <w:szCs w:val="14"/>
              </w:rPr>
              <w:t>,</w:t>
            </w:r>
            <w:r w:rsidRPr="006A788F">
              <w:rPr>
                <w:rFonts w:cs="Arial"/>
                <w:b/>
                <w:bCs/>
                <w:color w:val="000000"/>
                <w:sz w:val="14"/>
                <w:szCs w:val="14"/>
              </w:rPr>
              <w:t>213</w:t>
            </w:r>
          </w:p>
        </w:tc>
        <w:tc>
          <w:tcPr>
            <w:tcW w:w="1819" w:type="dxa"/>
            <w:tcBorders>
              <w:top w:val="nil"/>
              <w:left w:val="nil"/>
              <w:bottom w:val="nil"/>
              <w:right w:val="nil"/>
            </w:tcBorders>
            <w:shd w:val="clear" w:color="auto" w:fill="auto"/>
            <w:vAlign w:val="center"/>
          </w:tcPr>
          <w:p w14:paraId="174ED91F" w14:textId="77777777" w:rsidR="008B7E19" w:rsidRPr="006A788F" w:rsidRDefault="008B7E19" w:rsidP="008B7E19">
            <w:pPr>
              <w:jc w:val="right"/>
              <w:cnfStyle w:val="000000010000" w:firstRow="0" w:lastRow="0" w:firstColumn="0" w:lastColumn="0" w:oddVBand="0" w:evenVBand="0" w:oddHBand="0" w:evenHBand="1" w:firstRowFirstColumn="0" w:firstRowLastColumn="0" w:lastRowFirstColumn="0" w:lastRowLastColumn="0"/>
              <w:rPr>
                <w:rFonts w:eastAsia="Times New Roman" w:cs="Arial"/>
                <w:b/>
                <w:bCs/>
                <w:color w:val="000000"/>
                <w:sz w:val="14"/>
                <w:szCs w:val="14"/>
              </w:rPr>
            </w:pPr>
            <w:r w:rsidRPr="006A788F">
              <w:rPr>
                <w:rFonts w:cs="Arial"/>
                <w:b/>
                <w:bCs/>
                <w:color w:val="000000"/>
                <w:sz w:val="14"/>
                <w:szCs w:val="14"/>
              </w:rPr>
              <w:t>42</w:t>
            </w:r>
            <w:r>
              <w:rPr>
                <w:rFonts w:cs="Arial"/>
                <w:b/>
                <w:bCs/>
                <w:color w:val="000000"/>
                <w:sz w:val="14"/>
                <w:szCs w:val="14"/>
              </w:rPr>
              <w:t>,</w:t>
            </w:r>
            <w:r w:rsidRPr="006A788F">
              <w:rPr>
                <w:rFonts w:cs="Arial"/>
                <w:b/>
                <w:bCs/>
                <w:color w:val="000000"/>
                <w:sz w:val="14"/>
                <w:szCs w:val="14"/>
              </w:rPr>
              <w:t>783</w:t>
            </w:r>
          </w:p>
        </w:tc>
        <w:tc>
          <w:tcPr>
            <w:tcW w:w="1819" w:type="dxa"/>
            <w:tcBorders>
              <w:top w:val="nil"/>
              <w:left w:val="nil"/>
              <w:bottom w:val="nil"/>
              <w:right w:val="nil"/>
            </w:tcBorders>
            <w:shd w:val="clear" w:color="auto" w:fill="auto"/>
            <w:vAlign w:val="center"/>
          </w:tcPr>
          <w:p w14:paraId="46EC342E" w14:textId="77777777" w:rsidR="008B7E19" w:rsidRPr="006A788F" w:rsidRDefault="008B7E19" w:rsidP="008B7E19">
            <w:pPr>
              <w:jc w:val="right"/>
              <w:cnfStyle w:val="000000010000" w:firstRow="0" w:lastRow="0" w:firstColumn="0" w:lastColumn="0" w:oddVBand="0" w:evenVBand="0" w:oddHBand="0" w:evenHBand="1" w:firstRowFirstColumn="0" w:firstRowLastColumn="0" w:lastRowFirstColumn="0" w:lastRowLastColumn="0"/>
              <w:rPr>
                <w:rFonts w:eastAsia="Times New Roman" w:cs="Arial"/>
                <w:b/>
                <w:bCs/>
                <w:color w:val="000000"/>
                <w:sz w:val="14"/>
                <w:szCs w:val="14"/>
              </w:rPr>
            </w:pPr>
            <w:r w:rsidRPr="006A788F">
              <w:rPr>
                <w:rFonts w:cs="Arial"/>
                <w:b/>
                <w:bCs/>
                <w:color w:val="000000"/>
                <w:sz w:val="14"/>
                <w:szCs w:val="14"/>
              </w:rPr>
              <w:t>78</w:t>
            </w:r>
            <w:r>
              <w:rPr>
                <w:rFonts w:cs="Arial"/>
                <w:b/>
                <w:bCs/>
                <w:color w:val="000000"/>
                <w:sz w:val="14"/>
                <w:szCs w:val="14"/>
              </w:rPr>
              <w:t>,</w:t>
            </w:r>
            <w:r w:rsidRPr="006A788F">
              <w:rPr>
                <w:rFonts w:cs="Arial"/>
                <w:b/>
                <w:bCs/>
                <w:color w:val="000000"/>
                <w:sz w:val="14"/>
                <w:szCs w:val="14"/>
              </w:rPr>
              <w:t>239</w:t>
            </w:r>
          </w:p>
        </w:tc>
      </w:tr>
      <w:tr w:rsidR="008B7E19" w:rsidRPr="006A788F" w14:paraId="6ED22FAA" w14:textId="77777777" w:rsidTr="008B7E19">
        <w:trPr>
          <w:cnfStyle w:val="000000100000" w:firstRow="0" w:lastRow="0" w:firstColumn="0" w:lastColumn="0" w:oddVBand="0" w:evenVBand="0" w:oddHBand="1" w:evenHBand="0" w:firstRowFirstColumn="0" w:firstRowLastColumn="0" w:lastRowFirstColumn="0" w:lastRowLastColumn="0"/>
          <w:trHeight w:val="202"/>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single" w:sz="2" w:space="0" w:color="1F4E79" w:themeColor="accent1" w:themeShade="80"/>
              <w:right w:val="nil"/>
            </w:tcBorders>
            <w:shd w:val="clear" w:color="auto" w:fill="auto"/>
            <w:vAlign w:val="center"/>
          </w:tcPr>
          <w:p w14:paraId="3FB391DE" w14:textId="77777777" w:rsidR="008B7E19" w:rsidRPr="006A788F" w:rsidRDefault="008B7E19" w:rsidP="008B7E19">
            <w:pPr>
              <w:keepNext/>
              <w:keepLines/>
              <w:rPr>
                <w:rFonts w:cs="Arial"/>
                <w:sz w:val="14"/>
                <w:szCs w:val="14"/>
              </w:rPr>
            </w:pPr>
            <w:r>
              <w:rPr>
                <w:rFonts w:eastAsia="Times New Roman" w:cs="Arial"/>
                <w:color w:val="000000"/>
                <w:spacing w:val="-2"/>
                <w:sz w:val="14"/>
                <w:szCs w:val="14"/>
                <w:lang w:eastAsia="pt-BR"/>
              </w:rPr>
              <w:t>Equity income</w:t>
            </w:r>
          </w:p>
        </w:tc>
        <w:tc>
          <w:tcPr>
            <w:tcW w:w="1818" w:type="dxa"/>
            <w:tcBorders>
              <w:top w:val="nil"/>
              <w:left w:val="nil"/>
              <w:bottom w:val="single" w:sz="2" w:space="0" w:color="1F4E79" w:themeColor="accent1" w:themeShade="80"/>
              <w:right w:val="nil"/>
            </w:tcBorders>
            <w:shd w:val="clear" w:color="auto" w:fill="auto"/>
            <w:vAlign w:val="center"/>
          </w:tcPr>
          <w:p w14:paraId="66EFB9CD" w14:textId="77777777" w:rsidR="008B7E19" w:rsidRPr="006A788F" w:rsidRDefault="008B7E19" w:rsidP="008B7E19">
            <w:pPr>
              <w:jc w:val="right"/>
              <w:cnfStyle w:val="000000100000" w:firstRow="0" w:lastRow="0" w:firstColumn="0" w:lastColumn="0" w:oddVBand="0" w:evenVBand="0" w:oddHBand="1" w:evenHBand="0" w:firstRowFirstColumn="0" w:firstRowLastColumn="0" w:lastRowFirstColumn="0" w:lastRowLastColumn="0"/>
              <w:rPr>
                <w:rFonts w:eastAsia="Times New Roman" w:cs="Arial"/>
                <w:b/>
                <w:bCs/>
                <w:sz w:val="14"/>
                <w:szCs w:val="14"/>
              </w:rPr>
            </w:pPr>
            <w:r w:rsidRPr="006A788F">
              <w:rPr>
                <w:rFonts w:cs="Arial"/>
                <w:b/>
                <w:bCs/>
                <w:sz w:val="14"/>
                <w:szCs w:val="14"/>
              </w:rPr>
              <w:t>42</w:t>
            </w:r>
            <w:r>
              <w:rPr>
                <w:rFonts w:cs="Arial"/>
                <w:b/>
                <w:bCs/>
                <w:sz w:val="14"/>
                <w:szCs w:val="14"/>
              </w:rPr>
              <w:t>,</w:t>
            </w:r>
            <w:r w:rsidRPr="006A788F">
              <w:rPr>
                <w:rFonts w:cs="Arial"/>
                <w:b/>
                <w:bCs/>
                <w:sz w:val="14"/>
                <w:szCs w:val="14"/>
              </w:rPr>
              <w:t>358</w:t>
            </w:r>
          </w:p>
        </w:tc>
        <w:tc>
          <w:tcPr>
            <w:tcW w:w="1819" w:type="dxa"/>
            <w:tcBorders>
              <w:top w:val="nil"/>
              <w:left w:val="nil"/>
              <w:bottom w:val="single" w:sz="2" w:space="0" w:color="1F4E79" w:themeColor="accent1" w:themeShade="80"/>
              <w:right w:val="nil"/>
            </w:tcBorders>
            <w:shd w:val="clear" w:color="auto" w:fill="auto"/>
            <w:vAlign w:val="center"/>
          </w:tcPr>
          <w:p w14:paraId="15B7EA9B" w14:textId="77777777" w:rsidR="008B7E19" w:rsidRPr="006A788F" w:rsidRDefault="008B7E19" w:rsidP="008B7E19">
            <w:pPr>
              <w:jc w:val="right"/>
              <w:cnfStyle w:val="000000100000" w:firstRow="0" w:lastRow="0" w:firstColumn="0" w:lastColumn="0" w:oddVBand="0" w:evenVBand="0" w:oddHBand="1" w:evenHBand="0" w:firstRowFirstColumn="0" w:firstRowLastColumn="0" w:lastRowFirstColumn="0" w:lastRowLastColumn="0"/>
              <w:rPr>
                <w:rFonts w:eastAsia="Times New Roman" w:cs="Arial"/>
                <w:b/>
                <w:bCs/>
                <w:color w:val="000000"/>
                <w:sz w:val="14"/>
                <w:szCs w:val="14"/>
              </w:rPr>
            </w:pPr>
            <w:r w:rsidRPr="006A788F">
              <w:rPr>
                <w:rFonts w:cs="Arial"/>
                <w:b/>
                <w:bCs/>
                <w:color w:val="000000"/>
                <w:sz w:val="14"/>
                <w:szCs w:val="14"/>
              </w:rPr>
              <w:t>84</w:t>
            </w:r>
            <w:r>
              <w:rPr>
                <w:rFonts w:cs="Arial"/>
                <w:b/>
                <w:bCs/>
                <w:color w:val="000000"/>
                <w:sz w:val="14"/>
                <w:szCs w:val="14"/>
              </w:rPr>
              <w:t>,</w:t>
            </w:r>
            <w:r w:rsidRPr="006A788F">
              <w:rPr>
                <w:rFonts w:cs="Arial"/>
                <w:b/>
                <w:bCs/>
                <w:color w:val="000000"/>
                <w:sz w:val="14"/>
                <w:szCs w:val="14"/>
              </w:rPr>
              <w:t>213</w:t>
            </w:r>
          </w:p>
        </w:tc>
        <w:tc>
          <w:tcPr>
            <w:tcW w:w="1819" w:type="dxa"/>
            <w:tcBorders>
              <w:top w:val="nil"/>
              <w:left w:val="nil"/>
              <w:bottom w:val="single" w:sz="2" w:space="0" w:color="1F4E79" w:themeColor="accent1" w:themeShade="80"/>
              <w:right w:val="nil"/>
            </w:tcBorders>
            <w:shd w:val="clear" w:color="auto" w:fill="auto"/>
            <w:vAlign w:val="center"/>
          </w:tcPr>
          <w:p w14:paraId="4BAFFCD2" w14:textId="77777777" w:rsidR="008B7E19" w:rsidRPr="006A788F" w:rsidRDefault="008B7E19" w:rsidP="008B7E19">
            <w:pPr>
              <w:jc w:val="right"/>
              <w:cnfStyle w:val="000000100000" w:firstRow="0" w:lastRow="0" w:firstColumn="0" w:lastColumn="0" w:oddVBand="0" w:evenVBand="0" w:oddHBand="1" w:evenHBand="0" w:firstRowFirstColumn="0" w:firstRowLastColumn="0" w:lastRowFirstColumn="0" w:lastRowLastColumn="0"/>
              <w:rPr>
                <w:rFonts w:eastAsia="Times New Roman" w:cs="Arial"/>
                <w:b/>
                <w:bCs/>
                <w:color w:val="000000"/>
                <w:sz w:val="14"/>
                <w:szCs w:val="14"/>
              </w:rPr>
            </w:pPr>
            <w:r w:rsidRPr="006A788F">
              <w:rPr>
                <w:rFonts w:cs="Arial"/>
                <w:b/>
                <w:bCs/>
                <w:color w:val="000000"/>
                <w:sz w:val="14"/>
                <w:szCs w:val="14"/>
              </w:rPr>
              <w:t>42</w:t>
            </w:r>
            <w:r>
              <w:rPr>
                <w:rFonts w:cs="Arial"/>
                <w:b/>
                <w:bCs/>
                <w:color w:val="000000"/>
                <w:sz w:val="14"/>
                <w:szCs w:val="14"/>
              </w:rPr>
              <w:t>,</w:t>
            </w:r>
            <w:r w:rsidRPr="006A788F">
              <w:rPr>
                <w:rFonts w:cs="Arial"/>
                <w:b/>
                <w:bCs/>
                <w:color w:val="000000"/>
                <w:sz w:val="14"/>
                <w:szCs w:val="14"/>
              </w:rPr>
              <w:t>783</w:t>
            </w:r>
          </w:p>
        </w:tc>
        <w:tc>
          <w:tcPr>
            <w:tcW w:w="1819" w:type="dxa"/>
            <w:tcBorders>
              <w:top w:val="nil"/>
              <w:left w:val="nil"/>
              <w:bottom w:val="single" w:sz="2" w:space="0" w:color="1F4E79" w:themeColor="accent1" w:themeShade="80"/>
              <w:right w:val="nil"/>
            </w:tcBorders>
            <w:shd w:val="clear" w:color="auto" w:fill="auto"/>
            <w:vAlign w:val="center"/>
          </w:tcPr>
          <w:p w14:paraId="3982ED30" w14:textId="77777777" w:rsidR="008B7E19" w:rsidRPr="006A788F" w:rsidRDefault="008B7E19" w:rsidP="008B7E19">
            <w:pPr>
              <w:jc w:val="right"/>
              <w:cnfStyle w:val="000000100000" w:firstRow="0" w:lastRow="0" w:firstColumn="0" w:lastColumn="0" w:oddVBand="0" w:evenVBand="0" w:oddHBand="1" w:evenHBand="0" w:firstRowFirstColumn="0" w:firstRowLastColumn="0" w:lastRowFirstColumn="0" w:lastRowLastColumn="0"/>
              <w:rPr>
                <w:rFonts w:eastAsia="Times New Roman" w:cs="Arial"/>
                <w:b/>
                <w:bCs/>
                <w:color w:val="000000"/>
                <w:sz w:val="14"/>
                <w:szCs w:val="14"/>
              </w:rPr>
            </w:pPr>
            <w:r w:rsidRPr="006A788F">
              <w:rPr>
                <w:rFonts w:cs="Arial"/>
                <w:b/>
                <w:bCs/>
                <w:color w:val="000000"/>
                <w:sz w:val="14"/>
                <w:szCs w:val="14"/>
              </w:rPr>
              <w:t>78</w:t>
            </w:r>
            <w:r>
              <w:rPr>
                <w:rFonts w:cs="Arial"/>
                <w:b/>
                <w:bCs/>
                <w:color w:val="000000"/>
                <w:sz w:val="14"/>
                <w:szCs w:val="14"/>
              </w:rPr>
              <w:t>,</w:t>
            </w:r>
            <w:r w:rsidRPr="006A788F">
              <w:rPr>
                <w:rFonts w:cs="Arial"/>
                <w:b/>
                <w:bCs/>
                <w:color w:val="000000"/>
                <w:sz w:val="14"/>
                <w:szCs w:val="14"/>
              </w:rPr>
              <w:t>239</w:t>
            </w:r>
          </w:p>
        </w:tc>
      </w:tr>
    </w:tbl>
    <w:p w14:paraId="107B75CF" w14:textId="77777777" w:rsidR="008B7E19" w:rsidRDefault="008B7E19" w:rsidP="008B7E19">
      <w:pPr>
        <w:spacing w:after="0" w:line="240" w:lineRule="auto"/>
        <w:rPr>
          <w:rFonts w:eastAsia="Times New Roman" w:cs="Times New Roman"/>
          <w:b/>
          <w:color w:val="1F4E79" w:themeColor="accent1" w:themeShade="80"/>
          <w:spacing w:val="-2"/>
          <w:szCs w:val="20"/>
          <w:lang w:eastAsia="pt-BR"/>
        </w:rPr>
      </w:pPr>
    </w:p>
    <w:p w14:paraId="6B635326" w14:textId="77777777" w:rsidR="008B7E19" w:rsidRDefault="008B7E19" w:rsidP="008B7E19">
      <w:pPr>
        <w:keepNext/>
        <w:keepLines/>
        <w:spacing w:after="0" w:line="240" w:lineRule="auto"/>
        <w:rPr>
          <w:rFonts w:eastAsia="Times New Roman" w:cs="Times New Roman"/>
          <w:b/>
          <w:color w:val="1F4E79" w:themeColor="accent1" w:themeShade="80"/>
          <w:spacing w:val="-2"/>
          <w:szCs w:val="20"/>
          <w:lang w:eastAsia="pt-BR"/>
        </w:rPr>
      </w:pPr>
      <w:r>
        <w:rPr>
          <w:rFonts w:eastAsia="Times New Roman" w:cs="Times New Roman"/>
          <w:b/>
          <w:color w:val="1F4E79" w:themeColor="accent1" w:themeShade="80"/>
          <w:spacing w:val="-2"/>
          <w:szCs w:val="20"/>
          <w:lang w:eastAsia="pt-BR"/>
        </w:rPr>
        <w:t>Balance Sheet Information</w:t>
      </w:r>
    </w:p>
    <w:p w14:paraId="5C79C78C" w14:textId="77777777" w:rsidR="008B7E19" w:rsidRDefault="008B7E19" w:rsidP="008B7E19">
      <w:pPr>
        <w:spacing w:after="0" w:line="240" w:lineRule="auto"/>
        <w:rPr>
          <w:rFonts w:eastAsia="Times New Roman" w:cs="Times New Roman"/>
          <w:b/>
          <w:color w:val="1F4E79" w:themeColor="accent1" w:themeShade="80"/>
          <w:spacing w:val="-2"/>
          <w:szCs w:val="20"/>
          <w:lang w:eastAsia="pt-BR"/>
        </w:rPr>
      </w:pPr>
    </w:p>
    <w:p w14:paraId="46E931AE" w14:textId="77777777" w:rsidR="008B7E19" w:rsidRPr="00537AE7" w:rsidRDefault="008B7E19" w:rsidP="008B7E19">
      <w:pPr>
        <w:spacing w:after="0" w:line="240" w:lineRule="auto"/>
        <w:jc w:val="right"/>
        <w:rPr>
          <w:rFonts w:cs="Arial"/>
          <w:b/>
          <w:sz w:val="14"/>
          <w:lang w:eastAsia="pt-BR"/>
        </w:rPr>
      </w:pPr>
      <w:r w:rsidRPr="00537AE7">
        <w:rPr>
          <w:rFonts w:cs="Arial"/>
          <w:b/>
          <w:sz w:val="14"/>
          <w:lang w:eastAsia="pt-BR"/>
        </w:rPr>
        <w:t xml:space="preserve">R$ </w:t>
      </w:r>
      <w:r>
        <w:rPr>
          <w:rFonts w:cs="Arial"/>
          <w:b/>
          <w:sz w:val="14"/>
          <w:lang w:eastAsia="pt-BR"/>
        </w:rPr>
        <w:t>thousand</w:t>
      </w:r>
    </w:p>
    <w:tbl>
      <w:tblPr>
        <w:tblStyle w:val="TabeladeLista6Colorida-nfase512"/>
        <w:tblW w:w="9640" w:type="dxa"/>
        <w:jc w:val="center"/>
        <w:tblInd w:w="0" w:type="dxa"/>
        <w:tblLayout w:type="fixed"/>
        <w:tblLook w:val="04A0" w:firstRow="1" w:lastRow="0" w:firstColumn="1" w:lastColumn="0" w:noHBand="0" w:noVBand="1"/>
      </w:tblPr>
      <w:tblGrid>
        <w:gridCol w:w="4820"/>
        <w:gridCol w:w="2410"/>
        <w:gridCol w:w="2410"/>
      </w:tblGrid>
      <w:tr w:rsidR="008B7E19" w:rsidRPr="00EC5FB3" w14:paraId="1F14FD44" w14:textId="77777777" w:rsidTr="008B7E19">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single" w:sz="2" w:space="0" w:color="1F4E79" w:themeColor="accent1" w:themeShade="80"/>
              <w:left w:val="nil"/>
              <w:bottom w:val="single" w:sz="2" w:space="0" w:color="1F4E79" w:themeColor="accent1" w:themeShade="80"/>
              <w:right w:val="nil"/>
            </w:tcBorders>
            <w:shd w:val="clear" w:color="auto" w:fill="auto"/>
            <w:vAlign w:val="center"/>
          </w:tcPr>
          <w:p w14:paraId="7B23C8A8" w14:textId="77777777" w:rsidR="008B7E19" w:rsidRPr="00EC5FB3" w:rsidRDefault="008B7E19" w:rsidP="008B7E19">
            <w:pPr>
              <w:jc w:val="center"/>
              <w:rPr>
                <w:rFonts w:cs="Arial"/>
                <w:sz w:val="14"/>
                <w:szCs w:val="14"/>
              </w:rPr>
            </w:pPr>
          </w:p>
        </w:tc>
        <w:tc>
          <w:tcPr>
            <w:tcW w:w="2410" w:type="dxa"/>
            <w:tcBorders>
              <w:top w:val="single" w:sz="2" w:space="0" w:color="1F4E79" w:themeColor="accent1" w:themeShade="80"/>
              <w:left w:val="nil"/>
              <w:bottom w:val="single" w:sz="2" w:space="0" w:color="1F4E79" w:themeColor="accent1" w:themeShade="80"/>
              <w:right w:val="nil"/>
            </w:tcBorders>
            <w:shd w:val="clear" w:color="auto" w:fill="auto"/>
            <w:vAlign w:val="center"/>
          </w:tcPr>
          <w:p w14:paraId="26D5DD2E" w14:textId="77777777" w:rsidR="008B7E19" w:rsidRPr="00EC5FB3" w:rsidRDefault="008B7E19" w:rsidP="008B7E19">
            <w:pPr>
              <w:jc w:val="center"/>
              <w:cnfStyle w:val="100000000000" w:firstRow="1" w:lastRow="0" w:firstColumn="0" w:lastColumn="0" w:oddVBand="0" w:evenVBand="0" w:oddHBand="0" w:evenHBand="0" w:firstRowFirstColumn="0" w:firstRowLastColumn="0" w:lastRowFirstColumn="0" w:lastRowLastColumn="0"/>
              <w:rPr>
                <w:rFonts w:cs="Arial"/>
                <w:b w:val="0"/>
                <w:sz w:val="14"/>
                <w:szCs w:val="14"/>
              </w:rPr>
            </w:pPr>
            <w:r>
              <w:rPr>
                <w:rFonts w:cs="Arial"/>
                <w:sz w:val="14"/>
                <w:szCs w:val="14"/>
              </w:rPr>
              <w:t>June 30, 2023</w:t>
            </w:r>
          </w:p>
        </w:tc>
        <w:tc>
          <w:tcPr>
            <w:tcW w:w="2410" w:type="dxa"/>
            <w:tcBorders>
              <w:top w:val="single" w:sz="2" w:space="0" w:color="1F4E79" w:themeColor="accent1" w:themeShade="80"/>
              <w:left w:val="nil"/>
              <w:bottom w:val="single" w:sz="2" w:space="0" w:color="1F4E79" w:themeColor="accent1" w:themeShade="80"/>
              <w:right w:val="nil"/>
            </w:tcBorders>
            <w:shd w:val="clear" w:color="auto" w:fill="auto"/>
            <w:vAlign w:val="center"/>
          </w:tcPr>
          <w:p w14:paraId="7592E2D5" w14:textId="77777777" w:rsidR="008B7E19" w:rsidRPr="00EC5FB3" w:rsidRDefault="008B7E19" w:rsidP="008B7E19">
            <w:pPr>
              <w:jc w:val="center"/>
              <w:cnfStyle w:val="100000000000" w:firstRow="1" w:lastRow="0" w:firstColumn="0" w:lastColumn="0" w:oddVBand="0" w:evenVBand="0" w:oddHBand="0" w:evenHBand="0" w:firstRowFirstColumn="0" w:firstRowLastColumn="0" w:lastRowFirstColumn="0" w:lastRowLastColumn="0"/>
              <w:rPr>
                <w:rFonts w:cs="Arial"/>
                <w:sz w:val="14"/>
                <w:szCs w:val="14"/>
              </w:rPr>
            </w:pPr>
            <w:r>
              <w:rPr>
                <w:rFonts w:cs="Arial"/>
                <w:sz w:val="14"/>
                <w:szCs w:val="14"/>
              </w:rPr>
              <w:t>Dec 31, 2022</w:t>
            </w:r>
          </w:p>
        </w:tc>
      </w:tr>
      <w:tr w:rsidR="008B7E19" w:rsidRPr="00EC5FB3" w14:paraId="0B1F8562"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single" w:sz="2" w:space="0" w:color="1F4E79" w:themeColor="accent1" w:themeShade="80"/>
              <w:left w:val="nil"/>
              <w:bottom w:val="nil"/>
              <w:right w:val="nil"/>
            </w:tcBorders>
            <w:shd w:val="clear" w:color="auto" w:fill="auto"/>
            <w:vAlign w:val="center"/>
            <w:hideMark/>
          </w:tcPr>
          <w:p w14:paraId="0344E529" w14:textId="77777777" w:rsidR="008B7E19" w:rsidRPr="00EC5FB3" w:rsidRDefault="008B7E19" w:rsidP="008B7E19">
            <w:pPr>
              <w:keepNext/>
              <w:keepLines/>
              <w:rPr>
                <w:rFonts w:eastAsia="Times New Roman" w:cs="Arial"/>
                <w:spacing w:val="-2"/>
                <w:sz w:val="14"/>
                <w:szCs w:val="14"/>
                <w:highlight w:val="yellow"/>
              </w:rPr>
            </w:pPr>
            <w:r>
              <w:rPr>
                <w:rFonts w:cs="Arial"/>
                <w:color w:val="000000"/>
                <w:sz w:val="14"/>
                <w:szCs w:val="14"/>
              </w:rPr>
              <w:t>Current Assets</w:t>
            </w:r>
            <w:r w:rsidRPr="00EC5FB3">
              <w:rPr>
                <w:rFonts w:cs="Arial"/>
                <w:color w:val="000000"/>
                <w:sz w:val="14"/>
                <w:szCs w:val="14"/>
              </w:rPr>
              <w:t xml:space="preserve"> </w:t>
            </w:r>
          </w:p>
        </w:tc>
        <w:tc>
          <w:tcPr>
            <w:tcW w:w="2410" w:type="dxa"/>
            <w:tcBorders>
              <w:top w:val="single" w:sz="2" w:space="0" w:color="1F4E79" w:themeColor="accent1" w:themeShade="80"/>
              <w:left w:val="nil"/>
              <w:bottom w:val="nil"/>
              <w:right w:val="nil"/>
            </w:tcBorders>
            <w:shd w:val="clear" w:color="auto" w:fill="auto"/>
            <w:vAlign w:val="bottom"/>
          </w:tcPr>
          <w:p w14:paraId="05180601" w14:textId="77777777" w:rsidR="008B7E19" w:rsidRPr="00EC5FB3"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b/>
                <w:bCs/>
                <w:sz w:val="14"/>
                <w:szCs w:val="14"/>
                <w:highlight w:val="yellow"/>
              </w:rPr>
            </w:pPr>
            <w:r w:rsidRPr="00DA77F2">
              <w:rPr>
                <w:rFonts w:cs="Arial"/>
                <w:b/>
                <w:bCs/>
                <w:sz w:val="14"/>
                <w:szCs w:val="14"/>
              </w:rPr>
              <w:t xml:space="preserve">  9</w:t>
            </w:r>
            <w:r>
              <w:rPr>
                <w:rFonts w:cs="Arial"/>
                <w:b/>
                <w:bCs/>
                <w:sz w:val="14"/>
                <w:szCs w:val="14"/>
              </w:rPr>
              <w:t>,</w:t>
            </w:r>
            <w:r w:rsidRPr="00DA77F2">
              <w:rPr>
                <w:rFonts w:cs="Arial"/>
                <w:b/>
                <w:bCs/>
                <w:sz w:val="14"/>
                <w:szCs w:val="14"/>
              </w:rPr>
              <w:t>372</w:t>
            </w:r>
            <w:r>
              <w:rPr>
                <w:rFonts w:cs="Arial"/>
                <w:b/>
                <w:bCs/>
                <w:sz w:val="14"/>
                <w:szCs w:val="14"/>
              </w:rPr>
              <w:t>,</w:t>
            </w:r>
            <w:r w:rsidRPr="00DA77F2">
              <w:rPr>
                <w:rFonts w:cs="Arial"/>
                <w:b/>
                <w:bCs/>
                <w:sz w:val="14"/>
                <w:szCs w:val="14"/>
              </w:rPr>
              <w:t xml:space="preserve">337 </w:t>
            </w:r>
          </w:p>
        </w:tc>
        <w:tc>
          <w:tcPr>
            <w:tcW w:w="2410" w:type="dxa"/>
            <w:tcBorders>
              <w:top w:val="single" w:sz="2" w:space="0" w:color="1F4E79" w:themeColor="accent1" w:themeShade="80"/>
              <w:left w:val="nil"/>
              <w:bottom w:val="nil"/>
              <w:right w:val="nil"/>
            </w:tcBorders>
            <w:shd w:val="clear" w:color="auto" w:fill="auto"/>
            <w:vAlign w:val="center"/>
          </w:tcPr>
          <w:p w14:paraId="05AAF902" w14:textId="77777777" w:rsidR="008B7E19" w:rsidRPr="00EC5FB3"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b/>
                <w:bCs/>
                <w:sz w:val="14"/>
                <w:szCs w:val="14"/>
                <w:highlight w:val="yellow"/>
              </w:rPr>
            </w:pPr>
            <w:r w:rsidRPr="00DA77F2">
              <w:rPr>
                <w:rFonts w:cs="Arial"/>
                <w:b/>
                <w:bCs/>
                <w:sz w:val="14"/>
                <w:szCs w:val="14"/>
              </w:rPr>
              <w:t xml:space="preserve">  7</w:t>
            </w:r>
            <w:r>
              <w:rPr>
                <w:rFonts w:cs="Arial"/>
                <w:b/>
                <w:bCs/>
                <w:sz w:val="14"/>
                <w:szCs w:val="14"/>
              </w:rPr>
              <w:t>,</w:t>
            </w:r>
            <w:r w:rsidRPr="00DA77F2">
              <w:rPr>
                <w:rFonts w:cs="Arial"/>
                <w:b/>
                <w:bCs/>
                <w:sz w:val="14"/>
                <w:szCs w:val="14"/>
              </w:rPr>
              <w:t>412</w:t>
            </w:r>
            <w:r>
              <w:rPr>
                <w:rFonts w:cs="Arial"/>
                <w:b/>
                <w:bCs/>
                <w:sz w:val="14"/>
                <w:szCs w:val="14"/>
              </w:rPr>
              <w:t>,</w:t>
            </w:r>
            <w:r w:rsidRPr="00DA77F2">
              <w:rPr>
                <w:rFonts w:cs="Arial"/>
                <w:b/>
                <w:bCs/>
                <w:sz w:val="14"/>
                <w:szCs w:val="14"/>
              </w:rPr>
              <w:t xml:space="preserve">208 </w:t>
            </w:r>
          </w:p>
        </w:tc>
      </w:tr>
      <w:tr w:rsidR="008B7E19" w:rsidRPr="00EC5FB3" w14:paraId="348B72FB" w14:textId="77777777" w:rsidTr="008B7E1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auto"/>
            <w:vAlign w:val="center"/>
            <w:hideMark/>
          </w:tcPr>
          <w:p w14:paraId="534CA5A5" w14:textId="77777777" w:rsidR="008B7E19" w:rsidRPr="00EC5FB3" w:rsidRDefault="008B7E19" w:rsidP="008B7E19">
            <w:pPr>
              <w:keepNext/>
              <w:keepLines/>
              <w:ind w:left="113"/>
              <w:rPr>
                <w:rFonts w:eastAsia="Times New Roman" w:cs="Arial"/>
                <w:b w:val="0"/>
                <w:bCs w:val="0"/>
                <w:spacing w:val="-2"/>
                <w:sz w:val="14"/>
                <w:szCs w:val="14"/>
                <w:highlight w:val="yellow"/>
              </w:rPr>
            </w:pPr>
            <w:r>
              <w:rPr>
                <w:rFonts w:cs="Arial"/>
                <w:b w:val="0"/>
                <w:bCs w:val="0"/>
                <w:sz w:val="14"/>
                <w:szCs w:val="14"/>
              </w:rPr>
              <w:t>Cash and cash equivalents</w:t>
            </w:r>
          </w:p>
        </w:tc>
        <w:tc>
          <w:tcPr>
            <w:tcW w:w="2410" w:type="dxa"/>
            <w:tcBorders>
              <w:top w:val="nil"/>
              <w:left w:val="nil"/>
              <w:bottom w:val="nil"/>
              <w:right w:val="nil"/>
            </w:tcBorders>
            <w:shd w:val="clear" w:color="auto" w:fill="auto"/>
            <w:vAlign w:val="bottom"/>
          </w:tcPr>
          <w:p w14:paraId="3E7B81D9" w14:textId="77777777" w:rsidR="008B7E19" w:rsidRPr="00EC5FB3"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sz w:val="14"/>
                <w:szCs w:val="14"/>
                <w:highlight w:val="yellow"/>
              </w:rPr>
            </w:pPr>
            <w:r w:rsidRPr="00DA77F2">
              <w:rPr>
                <w:rFonts w:cs="Arial"/>
                <w:sz w:val="14"/>
                <w:szCs w:val="14"/>
              </w:rPr>
              <w:t xml:space="preserve">  18 </w:t>
            </w:r>
          </w:p>
        </w:tc>
        <w:tc>
          <w:tcPr>
            <w:tcW w:w="2410" w:type="dxa"/>
            <w:tcBorders>
              <w:top w:val="nil"/>
              <w:left w:val="nil"/>
              <w:bottom w:val="nil"/>
              <w:right w:val="nil"/>
            </w:tcBorders>
            <w:shd w:val="clear" w:color="auto" w:fill="auto"/>
            <w:vAlign w:val="center"/>
          </w:tcPr>
          <w:p w14:paraId="2331475D" w14:textId="77777777" w:rsidR="008B7E19" w:rsidRPr="00EC5FB3"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sz w:val="14"/>
                <w:szCs w:val="14"/>
                <w:highlight w:val="yellow"/>
              </w:rPr>
            </w:pPr>
            <w:r w:rsidRPr="00DA77F2">
              <w:rPr>
                <w:rFonts w:cs="Arial"/>
                <w:sz w:val="14"/>
                <w:szCs w:val="14"/>
              </w:rPr>
              <w:t xml:space="preserve">  12 </w:t>
            </w:r>
          </w:p>
        </w:tc>
      </w:tr>
      <w:tr w:rsidR="008B7E19" w:rsidRPr="00EC5FB3" w14:paraId="72FB48A4"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auto"/>
            <w:vAlign w:val="center"/>
          </w:tcPr>
          <w:p w14:paraId="64C6E9DD" w14:textId="77777777" w:rsidR="008B7E19" w:rsidRPr="00EC5FB3" w:rsidRDefault="008B7E19" w:rsidP="008B7E19">
            <w:pPr>
              <w:keepNext/>
              <w:keepLines/>
              <w:ind w:left="113"/>
              <w:rPr>
                <w:rFonts w:eastAsia="Times New Roman" w:cs="Arial"/>
                <w:b w:val="0"/>
                <w:bCs w:val="0"/>
                <w:spacing w:val="-2"/>
                <w:sz w:val="14"/>
                <w:szCs w:val="14"/>
                <w:highlight w:val="yellow"/>
              </w:rPr>
            </w:pPr>
            <w:r>
              <w:rPr>
                <w:rFonts w:cs="Arial"/>
                <w:b w:val="0"/>
                <w:bCs w:val="0"/>
                <w:color w:val="000000"/>
                <w:sz w:val="14"/>
                <w:szCs w:val="14"/>
              </w:rPr>
              <w:t>Financial instruments</w:t>
            </w:r>
          </w:p>
        </w:tc>
        <w:tc>
          <w:tcPr>
            <w:tcW w:w="2410" w:type="dxa"/>
            <w:tcBorders>
              <w:top w:val="nil"/>
              <w:left w:val="nil"/>
              <w:bottom w:val="nil"/>
              <w:right w:val="nil"/>
            </w:tcBorders>
            <w:shd w:val="clear" w:color="auto" w:fill="auto"/>
            <w:vAlign w:val="bottom"/>
          </w:tcPr>
          <w:p w14:paraId="3E06A597" w14:textId="77777777" w:rsidR="008B7E19" w:rsidRPr="00EC5FB3"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highlight w:val="yellow"/>
              </w:rPr>
            </w:pPr>
            <w:r w:rsidRPr="00DA77F2">
              <w:rPr>
                <w:rFonts w:cs="Arial"/>
                <w:sz w:val="14"/>
                <w:szCs w:val="14"/>
              </w:rPr>
              <w:t xml:space="preserve">  9</w:t>
            </w:r>
            <w:r>
              <w:rPr>
                <w:rFonts w:cs="Arial"/>
                <w:sz w:val="14"/>
                <w:szCs w:val="14"/>
              </w:rPr>
              <w:t>,</w:t>
            </w:r>
            <w:r w:rsidRPr="00DA77F2">
              <w:rPr>
                <w:rFonts w:cs="Arial"/>
                <w:sz w:val="14"/>
                <w:szCs w:val="14"/>
              </w:rPr>
              <w:t>305</w:t>
            </w:r>
            <w:r>
              <w:rPr>
                <w:rFonts w:cs="Arial"/>
                <w:sz w:val="14"/>
                <w:szCs w:val="14"/>
              </w:rPr>
              <w:t>,</w:t>
            </w:r>
            <w:r w:rsidRPr="00DA77F2">
              <w:rPr>
                <w:rFonts w:cs="Arial"/>
                <w:sz w:val="14"/>
                <w:szCs w:val="14"/>
              </w:rPr>
              <w:t xml:space="preserve">521 </w:t>
            </w:r>
          </w:p>
        </w:tc>
        <w:tc>
          <w:tcPr>
            <w:tcW w:w="2410" w:type="dxa"/>
            <w:tcBorders>
              <w:top w:val="nil"/>
              <w:left w:val="nil"/>
              <w:bottom w:val="nil"/>
              <w:right w:val="nil"/>
            </w:tcBorders>
            <w:shd w:val="clear" w:color="auto" w:fill="auto"/>
            <w:vAlign w:val="center"/>
          </w:tcPr>
          <w:p w14:paraId="200B77AF" w14:textId="77777777" w:rsidR="008B7E19" w:rsidRPr="00EC5FB3"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highlight w:val="yellow"/>
              </w:rPr>
            </w:pPr>
            <w:r w:rsidRPr="00DA77F2">
              <w:rPr>
                <w:rFonts w:cs="Arial"/>
                <w:sz w:val="14"/>
                <w:szCs w:val="14"/>
              </w:rPr>
              <w:t xml:space="preserve">  7</w:t>
            </w:r>
            <w:r>
              <w:rPr>
                <w:rFonts w:cs="Arial"/>
                <w:sz w:val="14"/>
                <w:szCs w:val="14"/>
              </w:rPr>
              <w:t>,</w:t>
            </w:r>
            <w:r w:rsidRPr="00DA77F2">
              <w:rPr>
                <w:rFonts w:cs="Arial"/>
                <w:sz w:val="14"/>
                <w:szCs w:val="14"/>
              </w:rPr>
              <w:t>371</w:t>
            </w:r>
            <w:r>
              <w:rPr>
                <w:rFonts w:cs="Arial"/>
                <w:sz w:val="14"/>
                <w:szCs w:val="14"/>
              </w:rPr>
              <w:t>,</w:t>
            </w:r>
            <w:r w:rsidRPr="00DA77F2">
              <w:rPr>
                <w:rFonts w:cs="Arial"/>
                <w:sz w:val="14"/>
                <w:szCs w:val="14"/>
              </w:rPr>
              <w:t xml:space="preserve">353 </w:t>
            </w:r>
          </w:p>
        </w:tc>
      </w:tr>
      <w:tr w:rsidR="008B7E19" w:rsidRPr="00EC5FB3" w14:paraId="7E319BB6" w14:textId="77777777" w:rsidTr="008B7E1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auto"/>
            <w:vAlign w:val="center"/>
          </w:tcPr>
          <w:p w14:paraId="2D1EB424" w14:textId="77777777" w:rsidR="008B7E19" w:rsidRPr="00EC5FB3" w:rsidRDefault="008B7E19" w:rsidP="008B7E19">
            <w:pPr>
              <w:keepNext/>
              <w:keepLines/>
              <w:ind w:left="113"/>
              <w:rPr>
                <w:rFonts w:eastAsia="Times New Roman" w:cs="Arial"/>
                <w:b w:val="0"/>
                <w:bCs w:val="0"/>
                <w:spacing w:val="-2"/>
                <w:sz w:val="14"/>
                <w:szCs w:val="14"/>
                <w:highlight w:val="yellow"/>
              </w:rPr>
            </w:pPr>
            <w:r>
              <w:rPr>
                <w:rFonts w:cs="Arial"/>
                <w:b w:val="0"/>
                <w:bCs w:val="0"/>
                <w:color w:val="000000"/>
                <w:sz w:val="14"/>
                <w:szCs w:val="14"/>
              </w:rPr>
              <w:t>Other assets</w:t>
            </w:r>
            <w:r w:rsidRPr="00EC5FB3">
              <w:rPr>
                <w:rFonts w:cs="Arial"/>
                <w:b w:val="0"/>
                <w:bCs w:val="0"/>
                <w:color w:val="000000"/>
                <w:sz w:val="14"/>
                <w:szCs w:val="14"/>
              </w:rPr>
              <w:t xml:space="preserve"> </w:t>
            </w:r>
            <w:r>
              <w:rPr>
                <w:rFonts w:cs="Arial"/>
                <w:b w:val="0"/>
                <w:bCs w:val="0"/>
                <w:color w:val="000000"/>
                <w:sz w:val="14"/>
                <w:szCs w:val="14"/>
              </w:rPr>
              <w:t>current</w:t>
            </w:r>
          </w:p>
        </w:tc>
        <w:tc>
          <w:tcPr>
            <w:tcW w:w="2410" w:type="dxa"/>
            <w:tcBorders>
              <w:top w:val="nil"/>
              <w:left w:val="nil"/>
              <w:bottom w:val="nil"/>
              <w:right w:val="nil"/>
            </w:tcBorders>
            <w:shd w:val="clear" w:color="auto" w:fill="auto"/>
            <w:vAlign w:val="bottom"/>
          </w:tcPr>
          <w:p w14:paraId="0DF18699" w14:textId="77777777" w:rsidR="008B7E19" w:rsidRPr="00EC5FB3"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sz w:val="14"/>
                <w:szCs w:val="14"/>
                <w:highlight w:val="yellow"/>
              </w:rPr>
            </w:pPr>
            <w:r w:rsidRPr="00DA77F2">
              <w:rPr>
                <w:rFonts w:cs="Arial"/>
                <w:sz w:val="14"/>
                <w:szCs w:val="14"/>
              </w:rPr>
              <w:t xml:space="preserve">  66</w:t>
            </w:r>
            <w:r>
              <w:rPr>
                <w:rFonts w:cs="Arial"/>
                <w:sz w:val="14"/>
                <w:szCs w:val="14"/>
              </w:rPr>
              <w:t>,</w:t>
            </w:r>
            <w:r w:rsidRPr="00DA77F2">
              <w:rPr>
                <w:rFonts w:cs="Arial"/>
                <w:sz w:val="14"/>
                <w:szCs w:val="14"/>
              </w:rPr>
              <w:t>79</w:t>
            </w:r>
            <w:r>
              <w:rPr>
                <w:rFonts w:cs="Arial"/>
                <w:sz w:val="14"/>
                <w:szCs w:val="14"/>
              </w:rPr>
              <w:t>8</w:t>
            </w:r>
            <w:r w:rsidRPr="00DA77F2">
              <w:rPr>
                <w:rFonts w:cs="Arial"/>
                <w:sz w:val="14"/>
                <w:szCs w:val="14"/>
              </w:rPr>
              <w:t xml:space="preserve"> </w:t>
            </w:r>
          </w:p>
        </w:tc>
        <w:tc>
          <w:tcPr>
            <w:tcW w:w="2410" w:type="dxa"/>
            <w:tcBorders>
              <w:top w:val="nil"/>
              <w:left w:val="nil"/>
              <w:bottom w:val="nil"/>
              <w:right w:val="nil"/>
            </w:tcBorders>
            <w:shd w:val="clear" w:color="auto" w:fill="auto"/>
            <w:vAlign w:val="center"/>
          </w:tcPr>
          <w:p w14:paraId="05C553EF" w14:textId="77777777" w:rsidR="008B7E19" w:rsidRPr="00EC5FB3"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sz w:val="14"/>
                <w:szCs w:val="14"/>
                <w:highlight w:val="yellow"/>
              </w:rPr>
            </w:pPr>
            <w:r w:rsidRPr="00DA77F2">
              <w:rPr>
                <w:rFonts w:cs="Arial"/>
                <w:sz w:val="14"/>
                <w:szCs w:val="14"/>
              </w:rPr>
              <w:t xml:space="preserve">  40</w:t>
            </w:r>
            <w:r>
              <w:rPr>
                <w:rFonts w:cs="Arial"/>
                <w:sz w:val="14"/>
                <w:szCs w:val="14"/>
              </w:rPr>
              <w:t>,</w:t>
            </w:r>
            <w:r w:rsidRPr="00DA77F2">
              <w:rPr>
                <w:rFonts w:cs="Arial"/>
                <w:sz w:val="14"/>
                <w:szCs w:val="14"/>
              </w:rPr>
              <w:t>843</w:t>
            </w:r>
            <w:r w:rsidRPr="003B13AF">
              <w:rPr>
                <w:rFonts w:cs="Arial"/>
                <w:sz w:val="14"/>
                <w:szCs w:val="14"/>
              </w:rPr>
              <w:t xml:space="preserve"> </w:t>
            </w:r>
          </w:p>
        </w:tc>
      </w:tr>
      <w:tr w:rsidR="008B7E19" w:rsidRPr="00EC5FB3" w14:paraId="64CAFA97"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auto"/>
            <w:vAlign w:val="center"/>
          </w:tcPr>
          <w:p w14:paraId="502F958B" w14:textId="77777777" w:rsidR="008B7E19" w:rsidRPr="00EC5FB3" w:rsidRDefault="008B7E19" w:rsidP="008B7E19">
            <w:pPr>
              <w:keepNext/>
              <w:keepLines/>
              <w:rPr>
                <w:rFonts w:cs="Arial"/>
                <w:color w:val="000000"/>
                <w:sz w:val="14"/>
                <w:szCs w:val="14"/>
                <w:highlight w:val="yellow"/>
              </w:rPr>
            </w:pPr>
            <w:r>
              <w:rPr>
                <w:rFonts w:cs="Arial"/>
                <w:sz w:val="14"/>
                <w:szCs w:val="14"/>
              </w:rPr>
              <w:t>Non-Current Assets</w:t>
            </w:r>
            <w:r w:rsidRPr="00EC5FB3">
              <w:rPr>
                <w:rFonts w:cs="Arial"/>
                <w:sz w:val="14"/>
                <w:szCs w:val="14"/>
              </w:rPr>
              <w:t xml:space="preserve"> </w:t>
            </w:r>
          </w:p>
        </w:tc>
        <w:tc>
          <w:tcPr>
            <w:tcW w:w="2410" w:type="dxa"/>
            <w:tcBorders>
              <w:top w:val="nil"/>
              <w:left w:val="nil"/>
              <w:bottom w:val="nil"/>
              <w:right w:val="nil"/>
            </w:tcBorders>
            <w:shd w:val="clear" w:color="auto" w:fill="auto"/>
            <w:vAlign w:val="bottom"/>
          </w:tcPr>
          <w:p w14:paraId="4C88DC39" w14:textId="77777777" w:rsidR="008B7E19" w:rsidRPr="00EC5FB3"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b/>
                <w:bCs/>
                <w:sz w:val="14"/>
                <w:szCs w:val="14"/>
                <w:highlight w:val="yellow"/>
              </w:rPr>
            </w:pPr>
            <w:r w:rsidRPr="003B13AF">
              <w:rPr>
                <w:rFonts w:cs="Arial"/>
                <w:b/>
                <w:bCs/>
                <w:sz w:val="14"/>
                <w:szCs w:val="14"/>
              </w:rPr>
              <w:t xml:space="preserve">  3</w:t>
            </w:r>
            <w:r>
              <w:rPr>
                <w:rFonts w:cs="Arial"/>
                <w:b/>
                <w:bCs/>
                <w:sz w:val="14"/>
                <w:szCs w:val="14"/>
              </w:rPr>
              <w:t>,</w:t>
            </w:r>
            <w:r w:rsidRPr="003B13AF">
              <w:rPr>
                <w:rFonts w:cs="Arial"/>
                <w:b/>
                <w:bCs/>
                <w:sz w:val="14"/>
                <w:szCs w:val="14"/>
              </w:rPr>
              <w:t>244</w:t>
            </w:r>
            <w:r>
              <w:rPr>
                <w:rFonts w:cs="Arial"/>
                <w:b/>
                <w:bCs/>
                <w:sz w:val="14"/>
                <w:szCs w:val="14"/>
              </w:rPr>
              <w:t>,</w:t>
            </w:r>
            <w:r w:rsidRPr="003B13AF">
              <w:rPr>
                <w:rFonts w:cs="Arial"/>
                <w:b/>
                <w:bCs/>
                <w:sz w:val="14"/>
                <w:szCs w:val="14"/>
              </w:rPr>
              <w:t xml:space="preserve">552 </w:t>
            </w:r>
          </w:p>
        </w:tc>
        <w:tc>
          <w:tcPr>
            <w:tcW w:w="2410" w:type="dxa"/>
            <w:tcBorders>
              <w:top w:val="nil"/>
              <w:left w:val="nil"/>
              <w:bottom w:val="nil"/>
              <w:right w:val="nil"/>
            </w:tcBorders>
            <w:shd w:val="clear" w:color="auto" w:fill="auto"/>
            <w:vAlign w:val="center"/>
          </w:tcPr>
          <w:p w14:paraId="397551AC" w14:textId="77777777" w:rsidR="008B7E19" w:rsidRPr="00EC5FB3"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b/>
                <w:bCs/>
                <w:sz w:val="14"/>
                <w:szCs w:val="14"/>
                <w:highlight w:val="yellow"/>
              </w:rPr>
            </w:pPr>
            <w:r w:rsidRPr="003B13AF">
              <w:rPr>
                <w:rFonts w:cs="Arial"/>
                <w:b/>
                <w:bCs/>
                <w:sz w:val="14"/>
                <w:szCs w:val="14"/>
              </w:rPr>
              <w:t xml:space="preserve">  4</w:t>
            </w:r>
            <w:r>
              <w:rPr>
                <w:rFonts w:cs="Arial"/>
                <w:b/>
                <w:bCs/>
                <w:sz w:val="14"/>
                <w:szCs w:val="14"/>
              </w:rPr>
              <w:t>,</w:t>
            </w:r>
            <w:r w:rsidRPr="003B13AF">
              <w:rPr>
                <w:rFonts w:cs="Arial"/>
                <w:b/>
                <w:bCs/>
                <w:sz w:val="14"/>
                <w:szCs w:val="14"/>
              </w:rPr>
              <w:t>079</w:t>
            </w:r>
            <w:r>
              <w:rPr>
                <w:rFonts w:cs="Arial"/>
                <w:b/>
                <w:bCs/>
                <w:sz w:val="14"/>
                <w:szCs w:val="14"/>
              </w:rPr>
              <w:t>,</w:t>
            </w:r>
            <w:r w:rsidRPr="003B13AF">
              <w:rPr>
                <w:rFonts w:cs="Arial"/>
                <w:b/>
                <w:bCs/>
                <w:sz w:val="14"/>
                <w:szCs w:val="14"/>
              </w:rPr>
              <w:t xml:space="preserve">098 </w:t>
            </w:r>
          </w:p>
        </w:tc>
      </w:tr>
      <w:tr w:rsidR="008B7E19" w:rsidRPr="00EC5FB3" w14:paraId="3F444236" w14:textId="77777777" w:rsidTr="008B7E1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auto"/>
            <w:vAlign w:val="center"/>
          </w:tcPr>
          <w:p w14:paraId="59FC5B28" w14:textId="77777777" w:rsidR="008B7E19" w:rsidRPr="00EC5FB3" w:rsidRDefault="008B7E19" w:rsidP="008B7E19">
            <w:pPr>
              <w:keepNext/>
              <w:keepLines/>
              <w:ind w:left="113"/>
              <w:rPr>
                <w:rFonts w:cs="Arial"/>
                <w:b w:val="0"/>
                <w:bCs w:val="0"/>
                <w:color w:val="000000"/>
                <w:sz w:val="14"/>
                <w:szCs w:val="14"/>
                <w:highlight w:val="yellow"/>
              </w:rPr>
            </w:pPr>
            <w:r>
              <w:rPr>
                <w:rFonts w:cs="Arial"/>
                <w:b w:val="0"/>
                <w:bCs w:val="0"/>
                <w:color w:val="000000"/>
                <w:sz w:val="14"/>
                <w:szCs w:val="14"/>
              </w:rPr>
              <w:t>Financial instruments</w:t>
            </w:r>
          </w:p>
        </w:tc>
        <w:tc>
          <w:tcPr>
            <w:tcW w:w="2410" w:type="dxa"/>
            <w:tcBorders>
              <w:top w:val="nil"/>
              <w:left w:val="nil"/>
              <w:bottom w:val="nil"/>
              <w:right w:val="nil"/>
            </w:tcBorders>
            <w:shd w:val="clear" w:color="auto" w:fill="auto"/>
            <w:vAlign w:val="bottom"/>
          </w:tcPr>
          <w:p w14:paraId="4141E160" w14:textId="77777777" w:rsidR="008B7E19" w:rsidRPr="00EC5FB3"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sz w:val="14"/>
                <w:szCs w:val="14"/>
                <w:highlight w:val="yellow"/>
              </w:rPr>
            </w:pPr>
            <w:r w:rsidRPr="003B13AF">
              <w:rPr>
                <w:rFonts w:cs="Arial"/>
                <w:sz w:val="14"/>
                <w:szCs w:val="14"/>
              </w:rPr>
              <w:t xml:space="preserve">  1</w:t>
            </w:r>
            <w:r>
              <w:rPr>
                <w:rFonts w:cs="Arial"/>
                <w:sz w:val="14"/>
                <w:szCs w:val="14"/>
              </w:rPr>
              <w:t>,</w:t>
            </w:r>
            <w:r w:rsidRPr="003B13AF">
              <w:rPr>
                <w:rFonts w:cs="Arial"/>
                <w:sz w:val="14"/>
                <w:szCs w:val="14"/>
              </w:rPr>
              <w:t>838</w:t>
            </w:r>
            <w:r>
              <w:rPr>
                <w:rFonts w:cs="Arial"/>
                <w:sz w:val="14"/>
                <w:szCs w:val="14"/>
              </w:rPr>
              <w:t>,</w:t>
            </w:r>
            <w:r w:rsidRPr="003B13AF">
              <w:rPr>
                <w:rFonts w:cs="Arial"/>
                <w:sz w:val="14"/>
                <w:szCs w:val="14"/>
              </w:rPr>
              <w:t xml:space="preserve">388 </w:t>
            </w:r>
          </w:p>
        </w:tc>
        <w:tc>
          <w:tcPr>
            <w:tcW w:w="2410" w:type="dxa"/>
            <w:tcBorders>
              <w:top w:val="nil"/>
              <w:left w:val="nil"/>
              <w:bottom w:val="nil"/>
              <w:right w:val="nil"/>
            </w:tcBorders>
            <w:shd w:val="clear" w:color="auto" w:fill="auto"/>
            <w:vAlign w:val="center"/>
          </w:tcPr>
          <w:p w14:paraId="17700388" w14:textId="77777777" w:rsidR="008B7E19" w:rsidRPr="00EC5FB3"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sz w:val="14"/>
                <w:szCs w:val="14"/>
                <w:highlight w:val="yellow"/>
              </w:rPr>
            </w:pPr>
            <w:r w:rsidRPr="003B13AF">
              <w:rPr>
                <w:rFonts w:cs="Arial"/>
                <w:sz w:val="14"/>
                <w:szCs w:val="14"/>
              </w:rPr>
              <w:t xml:space="preserve">  2</w:t>
            </w:r>
            <w:r>
              <w:rPr>
                <w:rFonts w:cs="Arial"/>
                <w:sz w:val="14"/>
                <w:szCs w:val="14"/>
              </w:rPr>
              <w:t>,</w:t>
            </w:r>
            <w:r w:rsidRPr="003B13AF">
              <w:rPr>
                <w:rFonts w:cs="Arial"/>
                <w:sz w:val="14"/>
                <w:szCs w:val="14"/>
              </w:rPr>
              <w:t>694</w:t>
            </w:r>
            <w:r>
              <w:rPr>
                <w:rFonts w:cs="Arial"/>
                <w:sz w:val="14"/>
                <w:szCs w:val="14"/>
              </w:rPr>
              <w:t>,</w:t>
            </w:r>
            <w:r w:rsidRPr="003B13AF">
              <w:rPr>
                <w:rFonts w:cs="Arial"/>
                <w:sz w:val="14"/>
                <w:szCs w:val="14"/>
              </w:rPr>
              <w:t xml:space="preserve">594 </w:t>
            </w:r>
          </w:p>
        </w:tc>
      </w:tr>
      <w:tr w:rsidR="008B7E19" w:rsidRPr="00EC5FB3" w14:paraId="091EC42C"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auto"/>
            <w:vAlign w:val="center"/>
          </w:tcPr>
          <w:p w14:paraId="38ACE83C" w14:textId="77777777" w:rsidR="008B7E19" w:rsidRPr="00EC5FB3" w:rsidRDefault="008B7E19" w:rsidP="008B7E19">
            <w:pPr>
              <w:keepNext/>
              <w:keepLines/>
              <w:ind w:left="113"/>
              <w:rPr>
                <w:rFonts w:cs="Arial"/>
                <w:color w:val="000000"/>
                <w:sz w:val="14"/>
                <w:szCs w:val="14"/>
                <w:highlight w:val="yellow"/>
              </w:rPr>
            </w:pPr>
            <w:r w:rsidRPr="00875ACA">
              <w:rPr>
                <w:rFonts w:cs="Arial"/>
                <w:b w:val="0"/>
                <w:bCs w:val="0"/>
                <w:color w:val="000000"/>
                <w:sz w:val="14"/>
                <w:szCs w:val="14"/>
              </w:rPr>
              <w:t>Other non-current assets</w:t>
            </w:r>
          </w:p>
        </w:tc>
        <w:tc>
          <w:tcPr>
            <w:tcW w:w="2410" w:type="dxa"/>
            <w:tcBorders>
              <w:top w:val="nil"/>
              <w:left w:val="nil"/>
              <w:bottom w:val="nil"/>
              <w:right w:val="nil"/>
            </w:tcBorders>
            <w:shd w:val="clear" w:color="auto" w:fill="auto"/>
            <w:vAlign w:val="bottom"/>
          </w:tcPr>
          <w:p w14:paraId="5C561EBC" w14:textId="77777777" w:rsidR="008B7E19" w:rsidRPr="00D22E52" w:rsidRDefault="008B7E19" w:rsidP="008B7E19">
            <w:pPr>
              <w:keepNext/>
              <w:keepLines/>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highlight w:val="yellow"/>
              </w:rPr>
            </w:pPr>
            <w:r w:rsidRPr="003B13AF">
              <w:rPr>
                <w:rFonts w:cs="Arial"/>
                <w:sz w:val="14"/>
                <w:szCs w:val="14"/>
              </w:rPr>
              <w:t xml:space="preserve">  1</w:t>
            </w:r>
            <w:r>
              <w:rPr>
                <w:rFonts w:cs="Arial"/>
                <w:sz w:val="14"/>
                <w:szCs w:val="14"/>
              </w:rPr>
              <w:t>,</w:t>
            </w:r>
            <w:r w:rsidRPr="003B13AF">
              <w:rPr>
                <w:rFonts w:cs="Arial"/>
                <w:sz w:val="14"/>
                <w:szCs w:val="14"/>
              </w:rPr>
              <w:t>406</w:t>
            </w:r>
            <w:r>
              <w:rPr>
                <w:rFonts w:cs="Arial"/>
                <w:sz w:val="14"/>
                <w:szCs w:val="14"/>
              </w:rPr>
              <w:t>,</w:t>
            </w:r>
            <w:r w:rsidRPr="003B13AF">
              <w:rPr>
                <w:rFonts w:cs="Arial"/>
                <w:sz w:val="14"/>
                <w:szCs w:val="14"/>
              </w:rPr>
              <w:t>16</w:t>
            </w:r>
            <w:r>
              <w:rPr>
                <w:rFonts w:cs="Arial"/>
                <w:sz w:val="14"/>
                <w:szCs w:val="14"/>
              </w:rPr>
              <w:t>4</w:t>
            </w:r>
            <w:r w:rsidRPr="003B13AF">
              <w:rPr>
                <w:rFonts w:cs="Arial"/>
                <w:sz w:val="14"/>
                <w:szCs w:val="14"/>
              </w:rPr>
              <w:t xml:space="preserve"> </w:t>
            </w:r>
          </w:p>
        </w:tc>
        <w:tc>
          <w:tcPr>
            <w:tcW w:w="2410" w:type="dxa"/>
            <w:tcBorders>
              <w:top w:val="nil"/>
              <w:left w:val="nil"/>
              <w:bottom w:val="nil"/>
              <w:right w:val="nil"/>
            </w:tcBorders>
            <w:shd w:val="clear" w:color="auto" w:fill="auto"/>
            <w:vAlign w:val="center"/>
          </w:tcPr>
          <w:p w14:paraId="6EE60370" w14:textId="77777777" w:rsidR="008B7E19" w:rsidRPr="00D22E52" w:rsidRDefault="008B7E19" w:rsidP="008B7E19">
            <w:pPr>
              <w:keepNext/>
              <w:keepLines/>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highlight w:val="yellow"/>
              </w:rPr>
            </w:pPr>
            <w:r w:rsidRPr="003B13AF">
              <w:rPr>
                <w:rFonts w:cs="Arial"/>
                <w:sz w:val="14"/>
                <w:szCs w:val="14"/>
              </w:rPr>
              <w:t xml:space="preserve">  1</w:t>
            </w:r>
            <w:r>
              <w:rPr>
                <w:rFonts w:cs="Arial"/>
                <w:sz w:val="14"/>
                <w:szCs w:val="14"/>
              </w:rPr>
              <w:t>,</w:t>
            </w:r>
            <w:r w:rsidRPr="003B13AF">
              <w:rPr>
                <w:rFonts w:cs="Arial"/>
                <w:sz w:val="14"/>
                <w:szCs w:val="14"/>
              </w:rPr>
              <w:t>384</w:t>
            </w:r>
            <w:r>
              <w:rPr>
                <w:rFonts w:cs="Arial"/>
                <w:sz w:val="14"/>
                <w:szCs w:val="14"/>
              </w:rPr>
              <w:t>,</w:t>
            </w:r>
            <w:r w:rsidRPr="003B13AF">
              <w:rPr>
                <w:rFonts w:cs="Arial"/>
                <w:sz w:val="14"/>
                <w:szCs w:val="14"/>
              </w:rPr>
              <w:t xml:space="preserve">504 </w:t>
            </w:r>
          </w:p>
        </w:tc>
      </w:tr>
      <w:tr w:rsidR="008B7E19" w:rsidRPr="00EC5FB3" w14:paraId="3BF2DD83" w14:textId="77777777" w:rsidTr="008B7E1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auto"/>
            <w:vAlign w:val="center"/>
          </w:tcPr>
          <w:p w14:paraId="7C586F6C" w14:textId="77777777" w:rsidR="008B7E19" w:rsidRPr="00EC5FB3" w:rsidRDefault="008B7E19" w:rsidP="008B7E19">
            <w:pPr>
              <w:keepNext/>
              <w:keepLines/>
              <w:spacing w:before="40" w:after="40"/>
              <w:rPr>
                <w:rFonts w:cs="Arial"/>
                <w:sz w:val="14"/>
                <w:szCs w:val="14"/>
                <w:highlight w:val="yellow"/>
              </w:rPr>
            </w:pPr>
            <w:r>
              <w:rPr>
                <w:rFonts w:cs="Arial"/>
                <w:sz w:val="14"/>
                <w:szCs w:val="14"/>
              </w:rPr>
              <w:t>Current Liabilities</w:t>
            </w:r>
          </w:p>
        </w:tc>
        <w:tc>
          <w:tcPr>
            <w:tcW w:w="2410" w:type="dxa"/>
            <w:tcBorders>
              <w:top w:val="nil"/>
              <w:left w:val="nil"/>
              <w:bottom w:val="nil"/>
              <w:right w:val="nil"/>
            </w:tcBorders>
            <w:shd w:val="clear" w:color="auto" w:fill="auto"/>
            <w:vAlign w:val="bottom"/>
          </w:tcPr>
          <w:p w14:paraId="67B77F36" w14:textId="77777777" w:rsidR="008B7E19" w:rsidRPr="00EC5FB3"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b/>
                <w:bCs/>
                <w:sz w:val="14"/>
                <w:szCs w:val="14"/>
                <w:highlight w:val="yellow"/>
              </w:rPr>
            </w:pPr>
            <w:r w:rsidRPr="003B13AF">
              <w:rPr>
                <w:rFonts w:cs="Arial"/>
                <w:b/>
                <w:bCs/>
                <w:sz w:val="14"/>
                <w:szCs w:val="14"/>
              </w:rPr>
              <w:t xml:space="preserve">  10</w:t>
            </w:r>
            <w:r>
              <w:rPr>
                <w:rFonts w:cs="Arial"/>
                <w:b/>
                <w:bCs/>
                <w:sz w:val="14"/>
                <w:szCs w:val="14"/>
              </w:rPr>
              <w:t>,</w:t>
            </w:r>
            <w:r w:rsidRPr="003B13AF">
              <w:rPr>
                <w:rFonts w:cs="Arial"/>
                <w:b/>
                <w:bCs/>
                <w:sz w:val="14"/>
                <w:szCs w:val="14"/>
              </w:rPr>
              <w:t>762</w:t>
            </w:r>
            <w:r>
              <w:rPr>
                <w:rFonts w:cs="Arial"/>
                <w:b/>
                <w:bCs/>
                <w:sz w:val="14"/>
                <w:szCs w:val="14"/>
              </w:rPr>
              <w:t>,</w:t>
            </w:r>
            <w:r w:rsidRPr="003B13AF">
              <w:rPr>
                <w:rFonts w:cs="Arial"/>
                <w:b/>
                <w:bCs/>
                <w:sz w:val="14"/>
                <w:szCs w:val="14"/>
              </w:rPr>
              <w:t xml:space="preserve">895 </w:t>
            </w:r>
          </w:p>
        </w:tc>
        <w:tc>
          <w:tcPr>
            <w:tcW w:w="2410" w:type="dxa"/>
            <w:tcBorders>
              <w:top w:val="nil"/>
              <w:left w:val="nil"/>
              <w:bottom w:val="nil"/>
              <w:right w:val="nil"/>
            </w:tcBorders>
            <w:shd w:val="clear" w:color="auto" w:fill="auto"/>
            <w:vAlign w:val="center"/>
          </w:tcPr>
          <w:p w14:paraId="059839ED" w14:textId="77777777" w:rsidR="008B7E19" w:rsidRPr="00EC5FB3"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b/>
                <w:bCs/>
                <w:sz w:val="14"/>
                <w:szCs w:val="14"/>
                <w:highlight w:val="yellow"/>
              </w:rPr>
            </w:pPr>
            <w:r w:rsidRPr="003B13AF">
              <w:rPr>
                <w:rFonts w:cs="Arial"/>
                <w:b/>
                <w:bCs/>
                <w:sz w:val="14"/>
                <w:szCs w:val="14"/>
              </w:rPr>
              <w:t xml:space="preserve">  9</w:t>
            </w:r>
            <w:r>
              <w:rPr>
                <w:rFonts w:cs="Arial"/>
                <w:b/>
                <w:bCs/>
                <w:sz w:val="14"/>
                <w:szCs w:val="14"/>
              </w:rPr>
              <w:t>,</w:t>
            </w:r>
            <w:r w:rsidRPr="003B13AF">
              <w:rPr>
                <w:rFonts w:cs="Arial"/>
                <w:b/>
                <w:bCs/>
                <w:sz w:val="14"/>
                <w:szCs w:val="14"/>
              </w:rPr>
              <w:t>698</w:t>
            </w:r>
            <w:r>
              <w:rPr>
                <w:rFonts w:cs="Arial"/>
                <w:b/>
                <w:bCs/>
                <w:sz w:val="14"/>
                <w:szCs w:val="14"/>
              </w:rPr>
              <w:t>,</w:t>
            </w:r>
            <w:r w:rsidRPr="003B13AF">
              <w:rPr>
                <w:rFonts w:cs="Arial"/>
                <w:b/>
                <w:bCs/>
                <w:sz w:val="14"/>
                <w:szCs w:val="14"/>
              </w:rPr>
              <w:t xml:space="preserve">777 </w:t>
            </w:r>
          </w:p>
        </w:tc>
      </w:tr>
      <w:tr w:rsidR="008B7E19" w:rsidRPr="00EC5FB3" w14:paraId="3E6D7E8B"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auto"/>
            <w:vAlign w:val="center"/>
          </w:tcPr>
          <w:p w14:paraId="6F28CF11" w14:textId="77777777" w:rsidR="008B7E19" w:rsidRPr="00EC5FB3" w:rsidRDefault="008B7E19" w:rsidP="008B7E19">
            <w:pPr>
              <w:keepNext/>
              <w:keepLines/>
              <w:spacing w:before="40" w:after="40"/>
              <w:ind w:left="113"/>
              <w:rPr>
                <w:rFonts w:cs="Arial"/>
                <w:b w:val="0"/>
                <w:bCs w:val="0"/>
                <w:sz w:val="14"/>
                <w:szCs w:val="14"/>
                <w:highlight w:val="yellow"/>
              </w:rPr>
            </w:pPr>
            <w:r>
              <w:rPr>
                <w:rFonts w:cs="Arial"/>
                <w:b w:val="0"/>
                <w:bCs w:val="0"/>
                <w:color w:val="000000"/>
                <w:sz w:val="14"/>
                <w:szCs w:val="14"/>
              </w:rPr>
              <w:t>Technical provisions</w:t>
            </w:r>
          </w:p>
        </w:tc>
        <w:tc>
          <w:tcPr>
            <w:tcW w:w="2410" w:type="dxa"/>
            <w:tcBorders>
              <w:top w:val="nil"/>
              <w:left w:val="nil"/>
              <w:bottom w:val="nil"/>
              <w:right w:val="nil"/>
            </w:tcBorders>
            <w:shd w:val="clear" w:color="auto" w:fill="auto"/>
            <w:vAlign w:val="bottom"/>
          </w:tcPr>
          <w:p w14:paraId="0B9CAF46" w14:textId="77777777" w:rsidR="008B7E19" w:rsidRPr="00EC5FB3"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highlight w:val="yellow"/>
              </w:rPr>
            </w:pPr>
            <w:r w:rsidRPr="003B13AF">
              <w:rPr>
                <w:rFonts w:cs="Arial"/>
                <w:sz w:val="14"/>
                <w:szCs w:val="14"/>
              </w:rPr>
              <w:t xml:space="preserve">  10</w:t>
            </w:r>
            <w:r>
              <w:rPr>
                <w:rFonts w:cs="Arial"/>
                <w:sz w:val="14"/>
                <w:szCs w:val="14"/>
              </w:rPr>
              <w:t>,</w:t>
            </w:r>
            <w:r w:rsidRPr="003B13AF">
              <w:rPr>
                <w:rFonts w:cs="Arial"/>
                <w:sz w:val="14"/>
                <w:szCs w:val="14"/>
              </w:rPr>
              <w:t>667</w:t>
            </w:r>
            <w:r>
              <w:rPr>
                <w:rFonts w:cs="Arial"/>
                <w:sz w:val="14"/>
                <w:szCs w:val="14"/>
              </w:rPr>
              <w:t>,</w:t>
            </w:r>
            <w:r w:rsidRPr="003B13AF">
              <w:rPr>
                <w:rFonts w:cs="Arial"/>
                <w:sz w:val="14"/>
                <w:szCs w:val="14"/>
              </w:rPr>
              <w:t xml:space="preserve">461 </w:t>
            </w:r>
          </w:p>
        </w:tc>
        <w:tc>
          <w:tcPr>
            <w:tcW w:w="2410" w:type="dxa"/>
            <w:tcBorders>
              <w:top w:val="nil"/>
              <w:left w:val="nil"/>
              <w:bottom w:val="nil"/>
              <w:right w:val="nil"/>
            </w:tcBorders>
            <w:shd w:val="clear" w:color="auto" w:fill="auto"/>
            <w:vAlign w:val="center"/>
          </w:tcPr>
          <w:p w14:paraId="14FCB9B8" w14:textId="77777777" w:rsidR="008B7E19" w:rsidRPr="00EC5FB3"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highlight w:val="yellow"/>
              </w:rPr>
            </w:pPr>
            <w:r w:rsidRPr="003B13AF">
              <w:rPr>
                <w:rFonts w:cs="Arial"/>
                <w:sz w:val="14"/>
                <w:szCs w:val="14"/>
              </w:rPr>
              <w:t xml:space="preserve">  9</w:t>
            </w:r>
            <w:r>
              <w:rPr>
                <w:rFonts w:cs="Arial"/>
                <w:sz w:val="14"/>
                <w:szCs w:val="14"/>
              </w:rPr>
              <w:t>,</w:t>
            </w:r>
            <w:r w:rsidRPr="003B13AF">
              <w:rPr>
                <w:rFonts w:cs="Arial"/>
                <w:sz w:val="14"/>
                <w:szCs w:val="14"/>
              </w:rPr>
              <w:t>608</w:t>
            </w:r>
            <w:r>
              <w:rPr>
                <w:rFonts w:cs="Arial"/>
                <w:sz w:val="14"/>
                <w:szCs w:val="14"/>
              </w:rPr>
              <w:t>,</w:t>
            </w:r>
            <w:r w:rsidRPr="003B13AF">
              <w:rPr>
                <w:rFonts w:cs="Arial"/>
                <w:sz w:val="14"/>
                <w:szCs w:val="14"/>
              </w:rPr>
              <w:t xml:space="preserve">351 </w:t>
            </w:r>
          </w:p>
        </w:tc>
      </w:tr>
      <w:tr w:rsidR="008B7E19" w:rsidRPr="00EC5FB3" w14:paraId="04982784" w14:textId="77777777" w:rsidTr="008B7E1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auto"/>
            <w:vAlign w:val="center"/>
          </w:tcPr>
          <w:p w14:paraId="099C64E7" w14:textId="77777777" w:rsidR="008B7E19" w:rsidRPr="00EC5FB3" w:rsidRDefault="008B7E19" w:rsidP="008B7E19">
            <w:pPr>
              <w:keepNext/>
              <w:keepLines/>
              <w:spacing w:before="40" w:after="40"/>
              <w:ind w:left="113"/>
              <w:rPr>
                <w:rFonts w:cs="Arial"/>
                <w:b w:val="0"/>
                <w:bCs w:val="0"/>
                <w:sz w:val="14"/>
                <w:szCs w:val="14"/>
                <w:highlight w:val="yellow"/>
              </w:rPr>
            </w:pPr>
            <w:r>
              <w:rPr>
                <w:rFonts w:cs="Arial"/>
                <w:b w:val="0"/>
                <w:bCs w:val="0"/>
                <w:sz w:val="14"/>
                <w:szCs w:val="14"/>
              </w:rPr>
              <w:t>Dividends payable</w:t>
            </w:r>
          </w:p>
        </w:tc>
        <w:tc>
          <w:tcPr>
            <w:tcW w:w="2410" w:type="dxa"/>
            <w:tcBorders>
              <w:top w:val="nil"/>
              <w:left w:val="nil"/>
              <w:bottom w:val="nil"/>
              <w:right w:val="nil"/>
            </w:tcBorders>
            <w:shd w:val="clear" w:color="auto" w:fill="auto"/>
            <w:vAlign w:val="bottom"/>
          </w:tcPr>
          <w:p w14:paraId="4FD7B38E" w14:textId="77777777" w:rsidR="008B7E19" w:rsidRPr="00EC5FB3"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sz w:val="14"/>
                <w:szCs w:val="14"/>
                <w:highlight w:val="yellow"/>
              </w:rPr>
            </w:pPr>
            <w:r w:rsidRPr="003B13AF">
              <w:rPr>
                <w:rFonts w:cs="Arial"/>
                <w:sz w:val="14"/>
                <w:szCs w:val="14"/>
              </w:rPr>
              <w:t xml:space="preserve">  2</w:t>
            </w:r>
            <w:r>
              <w:rPr>
                <w:rFonts w:cs="Arial"/>
                <w:sz w:val="14"/>
                <w:szCs w:val="14"/>
              </w:rPr>
              <w:t>,</w:t>
            </w:r>
            <w:r w:rsidRPr="003B13AF">
              <w:rPr>
                <w:rFonts w:cs="Arial"/>
                <w:sz w:val="14"/>
                <w:szCs w:val="14"/>
              </w:rPr>
              <w:t xml:space="preserve">025 </w:t>
            </w:r>
          </w:p>
        </w:tc>
        <w:tc>
          <w:tcPr>
            <w:tcW w:w="2410" w:type="dxa"/>
            <w:tcBorders>
              <w:top w:val="nil"/>
              <w:left w:val="nil"/>
              <w:bottom w:val="nil"/>
              <w:right w:val="nil"/>
            </w:tcBorders>
            <w:shd w:val="clear" w:color="auto" w:fill="auto"/>
            <w:vAlign w:val="center"/>
          </w:tcPr>
          <w:p w14:paraId="21102CEC" w14:textId="77777777" w:rsidR="008B7E19" w:rsidRPr="00EC5FB3"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sz w:val="14"/>
                <w:szCs w:val="14"/>
                <w:highlight w:val="yellow"/>
              </w:rPr>
            </w:pPr>
            <w:r w:rsidRPr="003B13AF">
              <w:rPr>
                <w:rFonts w:cs="Arial"/>
                <w:sz w:val="14"/>
                <w:szCs w:val="14"/>
              </w:rPr>
              <w:t xml:space="preserve">  22</w:t>
            </w:r>
            <w:r>
              <w:rPr>
                <w:rFonts w:cs="Arial"/>
                <w:sz w:val="14"/>
                <w:szCs w:val="14"/>
              </w:rPr>
              <w:t>,</w:t>
            </w:r>
            <w:r w:rsidRPr="003B13AF">
              <w:rPr>
                <w:rFonts w:cs="Arial"/>
                <w:sz w:val="14"/>
                <w:szCs w:val="14"/>
              </w:rPr>
              <w:t xml:space="preserve">127 </w:t>
            </w:r>
          </w:p>
        </w:tc>
      </w:tr>
      <w:tr w:rsidR="008B7E19" w:rsidRPr="00EC5FB3" w14:paraId="760F1C4C"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auto"/>
            <w:vAlign w:val="center"/>
          </w:tcPr>
          <w:p w14:paraId="5C3094E5" w14:textId="77777777" w:rsidR="008B7E19" w:rsidRPr="00EC5FB3" w:rsidRDefault="008B7E19" w:rsidP="008B7E19">
            <w:pPr>
              <w:keepNext/>
              <w:keepLines/>
              <w:spacing w:before="40" w:after="40"/>
              <w:ind w:left="113"/>
              <w:rPr>
                <w:rFonts w:cs="Arial"/>
                <w:b w:val="0"/>
                <w:bCs w:val="0"/>
                <w:sz w:val="14"/>
                <w:szCs w:val="14"/>
                <w:highlight w:val="yellow"/>
              </w:rPr>
            </w:pPr>
            <w:r>
              <w:rPr>
                <w:rFonts w:cs="Arial"/>
                <w:b w:val="0"/>
                <w:bCs w:val="0"/>
                <w:sz w:val="14"/>
                <w:szCs w:val="14"/>
              </w:rPr>
              <w:t>Other liabilities</w:t>
            </w:r>
          </w:p>
        </w:tc>
        <w:tc>
          <w:tcPr>
            <w:tcW w:w="2410" w:type="dxa"/>
            <w:tcBorders>
              <w:top w:val="nil"/>
              <w:left w:val="nil"/>
              <w:bottom w:val="nil"/>
              <w:right w:val="nil"/>
            </w:tcBorders>
            <w:shd w:val="clear" w:color="auto" w:fill="auto"/>
            <w:vAlign w:val="bottom"/>
          </w:tcPr>
          <w:p w14:paraId="4ECCF9E5" w14:textId="77777777" w:rsidR="008B7E19" w:rsidRPr="00EC5FB3"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highlight w:val="yellow"/>
              </w:rPr>
            </w:pPr>
            <w:r w:rsidRPr="003B13AF">
              <w:rPr>
                <w:rFonts w:cs="Arial"/>
                <w:sz w:val="14"/>
                <w:szCs w:val="14"/>
              </w:rPr>
              <w:t xml:space="preserve">  93</w:t>
            </w:r>
            <w:r>
              <w:rPr>
                <w:rFonts w:cs="Arial"/>
                <w:sz w:val="14"/>
                <w:szCs w:val="14"/>
              </w:rPr>
              <w:t>,</w:t>
            </w:r>
            <w:r w:rsidRPr="003B13AF">
              <w:rPr>
                <w:rFonts w:cs="Arial"/>
                <w:sz w:val="14"/>
                <w:szCs w:val="14"/>
              </w:rPr>
              <w:t>40</w:t>
            </w:r>
            <w:r>
              <w:rPr>
                <w:rFonts w:cs="Arial"/>
                <w:sz w:val="14"/>
                <w:szCs w:val="14"/>
              </w:rPr>
              <w:t>9</w:t>
            </w:r>
            <w:r w:rsidRPr="003B13AF">
              <w:rPr>
                <w:rFonts w:cs="Arial"/>
                <w:sz w:val="14"/>
                <w:szCs w:val="14"/>
              </w:rPr>
              <w:t xml:space="preserve"> </w:t>
            </w:r>
          </w:p>
        </w:tc>
        <w:tc>
          <w:tcPr>
            <w:tcW w:w="2410" w:type="dxa"/>
            <w:tcBorders>
              <w:top w:val="nil"/>
              <w:left w:val="nil"/>
              <w:bottom w:val="nil"/>
              <w:right w:val="nil"/>
            </w:tcBorders>
            <w:shd w:val="clear" w:color="auto" w:fill="auto"/>
            <w:vAlign w:val="center"/>
          </w:tcPr>
          <w:p w14:paraId="289BA4D4" w14:textId="77777777" w:rsidR="008B7E19" w:rsidRPr="00EC5FB3"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highlight w:val="yellow"/>
              </w:rPr>
            </w:pPr>
            <w:r w:rsidRPr="003B13AF">
              <w:rPr>
                <w:rFonts w:cs="Arial"/>
                <w:sz w:val="14"/>
                <w:szCs w:val="14"/>
              </w:rPr>
              <w:t xml:space="preserve">  68</w:t>
            </w:r>
            <w:r>
              <w:rPr>
                <w:rFonts w:cs="Arial"/>
                <w:sz w:val="14"/>
                <w:szCs w:val="14"/>
              </w:rPr>
              <w:t>,</w:t>
            </w:r>
            <w:r w:rsidRPr="003B13AF">
              <w:rPr>
                <w:rFonts w:cs="Arial"/>
                <w:sz w:val="14"/>
                <w:szCs w:val="14"/>
              </w:rPr>
              <w:t xml:space="preserve">299 </w:t>
            </w:r>
          </w:p>
        </w:tc>
      </w:tr>
      <w:tr w:rsidR="008B7E19" w:rsidRPr="00EC5FB3" w14:paraId="143C2051" w14:textId="77777777" w:rsidTr="008B7E1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auto"/>
            <w:vAlign w:val="center"/>
          </w:tcPr>
          <w:p w14:paraId="3CBD9428" w14:textId="77777777" w:rsidR="008B7E19" w:rsidRPr="00EC5FB3" w:rsidRDefault="008B7E19" w:rsidP="008B7E19">
            <w:pPr>
              <w:keepNext/>
              <w:keepLines/>
              <w:rPr>
                <w:rFonts w:cs="Arial"/>
                <w:color w:val="000000"/>
                <w:sz w:val="14"/>
                <w:szCs w:val="14"/>
                <w:highlight w:val="yellow"/>
              </w:rPr>
            </w:pPr>
            <w:r>
              <w:rPr>
                <w:rFonts w:cs="Arial"/>
                <w:sz w:val="14"/>
                <w:szCs w:val="14"/>
              </w:rPr>
              <w:t>Non-Current Liabilities</w:t>
            </w:r>
          </w:p>
        </w:tc>
        <w:tc>
          <w:tcPr>
            <w:tcW w:w="2410" w:type="dxa"/>
            <w:tcBorders>
              <w:top w:val="nil"/>
              <w:left w:val="nil"/>
              <w:bottom w:val="nil"/>
              <w:right w:val="nil"/>
            </w:tcBorders>
            <w:shd w:val="clear" w:color="auto" w:fill="auto"/>
            <w:vAlign w:val="bottom"/>
          </w:tcPr>
          <w:p w14:paraId="4FE9A8CF" w14:textId="77777777" w:rsidR="008B7E19" w:rsidRPr="00EC5FB3" w:rsidRDefault="008B7E19" w:rsidP="008B7E19">
            <w:pPr>
              <w:keepNext/>
              <w:keepLines/>
              <w:jc w:val="right"/>
              <w:cnfStyle w:val="000000010000" w:firstRow="0" w:lastRow="0" w:firstColumn="0" w:lastColumn="0" w:oddVBand="0" w:evenVBand="0" w:oddHBand="0" w:evenHBand="1" w:firstRowFirstColumn="0" w:firstRowLastColumn="0" w:lastRowFirstColumn="0" w:lastRowLastColumn="0"/>
              <w:rPr>
                <w:rFonts w:cs="Arial"/>
                <w:b/>
                <w:bCs/>
                <w:color w:val="000000"/>
                <w:sz w:val="14"/>
                <w:szCs w:val="14"/>
                <w:highlight w:val="yellow"/>
              </w:rPr>
            </w:pPr>
            <w:r w:rsidRPr="003B13AF">
              <w:rPr>
                <w:rFonts w:cs="Arial"/>
                <w:b/>
                <w:bCs/>
                <w:sz w:val="14"/>
                <w:szCs w:val="14"/>
              </w:rPr>
              <w:t xml:space="preserve">  1</w:t>
            </w:r>
            <w:r>
              <w:rPr>
                <w:rFonts w:cs="Arial"/>
                <w:b/>
                <w:bCs/>
                <w:sz w:val="14"/>
                <w:szCs w:val="14"/>
              </w:rPr>
              <w:t>,</w:t>
            </w:r>
            <w:r w:rsidRPr="003B13AF">
              <w:rPr>
                <w:rFonts w:cs="Arial"/>
                <w:b/>
                <w:bCs/>
                <w:sz w:val="14"/>
                <w:szCs w:val="14"/>
              </w:rPr>
              <w:t>189</w:t>
            </w:r>
            <w:r>
              <w:rPr>
                <w:rFonts w:cs="Arial"/>
                <w:b/>
                <w:bCs/>
                <w:sz w:val="14"/>
                <w:szCs w:val="14"/>
              </w:rPr>
              <w:t>,</w:t>
            </w:r>
            <w:r w:rsidRPr="003B13AF">
              <w:rPr>
                <w:rFonts w:cs="Arial"/>
                <w:b/>
                <w:bCs/>
                <w:sz w:val="14"/>
                <w:szCs w:val="14"/>
              </w:rPr>
              <w:t xml:space="preserve">373 </w:t>
            </w:r>
          </w:p>
        </w:tc>
        <w:tc>
          <w:tcPr>
            <w:tcW w:w="2410" w:type="dxa"/>
            <w:tcBorders>
              <w:top w:val="nil"/>
              <w:left w:val="nil"/>
              <w:bottom w:val="nil"/>
              <w:right w:val="nil"/>
            </w:tcBorders>
            <w:shd w:val="clear" w:color="auto" w:fill="auto"/>
            <w:vAlign w:val="center"/>
          </w:tcPr>
          <w:p w14:paraId="51FDE4B7" w14:textId="77777777" w:rsidR="008B7E19" w:rsidRPr="00EC5FB3" w:rsidRDefault="008B7E19" w:rsidP="008B7E19">
            <w:pPr>
              <w:keepNext/>
              <w:keepLines/>
              <w:jc w:val="right"/>
              <w:cnfStyle w:val="000000010000" w:firstRow="0" w:lastRow="0" w:firstColumn="0" w:lastColumn="0" w:oddVBand="0" w:evenVBand="0" w:oddHBand="0" w:evenHBand="1" w:firstRowFirstColumn="0" w:firstRowLastColumn="0" w:lastRowFirstColumn="0" w:lastRowLastColumn="0"/>
              <w:rPr>
                <w:rFonts w:cs="Arial"/>
                <w:b/>
                <w:bCs/>
                <w:color w:val="000000"/>
                <w:sz w:val="14"/>
                <w:szCs w:val="14"/>
                <w:highlight w:val="yellow"/>
              </w:rPr>
            </w:pPr>
            <w:r w:rsidRPr="003B13AF">
              <w:rPr>
                <w:rFonts w:cs="Arial"/>
                <w:b/>
                <w:bCs/>
                <w:sz w:val="14"/>
                <w:szCs w:val="14"/>
              </w:rPr>
              <w:t xml:space="preserve">  1</w:t>
            </w:r>
            <w:r>
              <w:rPr>
                <w:rFonts w:cs="Arial"/>
                <w:b/>
                <w:bCs/>
                <w:sz w:val="14"/>
                <w:szCs w:val="14"/>
              </w:rPr>
              <w:t>,</w:t>
            </w:r>
            <w:r w:rsidRPr="003B13AF">
              <w:rPr>
                <w:rFonts w:cs="Arial"/>
                <w:b/>
                <w:bCs/>
                <w:sz w:val="14"/>
                <w:szCs w:val="14"/>
              </w:rPr>
              <w:t>142</w:t>
            </w:r>
            <w:r>
              <w:rPr>
                <w:rFonts w:cs="Arial"/>
                <w:b/>
                <w:bCs/>
                <w:sz w:val="14"/>
                <w:szCs w:val="14"/>
              </w:rPr>
              <w:t>,</w:t>
            </w:r>
            <w:r w:rsidRPr="003B13AF">
              <w:rPr>
                <w:rFonts w:cs="Arial"/>
                <w:b/>
                <w:bCs/>
                <w:sz w:val="14"/>
                <w:szCs w:val="14"/>
              </w:rPr>
              <w:t xml:space="preserve">749 </w:t>
            </w:r>
          </w:p>
        </w:tc>
      </w:tr>
      <w:tr w:rsidR="008B7E19" w:rsidRPr="00EC5FB3" w14:paraId="0980172B"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auto"/>
            <w:vAlign w:val="center"/>
          </w:tcPr>
          <w:p w14:paraId="61B0831D" w14:textId="77777777" w:rsidR="008B7E19" w:rsidRPr="00EC5FB3" w:rsidRDefault="008B7E19" w:rsidP="008B7E19">
            <w:pPr>
              <w:keepNext/>
              <w:keepLines/>
              <w:spacing w:before="40" w:after="40"/>
              <w:ind w:left="113"/>
              <w:rPr>
                <w:rFonts w:eastAsia="Times New Roman" w:cs="Arial"/>
                <w:b w:val="0"/>
                <w:bCs w:val="0"/>
                <w:spacing w:val="-2"/>
                <w:sz w:val="14"/>
                <w:szCs w:val="14"/>
                <w:highlight w:val="yellow"/>
              </w:rPr>
            </w:pPr>
            <w:r>
              <w:rPr>
                <w:rFonts w:cs="Arial"/>
                <w:b w:val="0"/>
                <w:bCs w:val="0"/>
                <w:sz w:val="14"/>
                <w:szCs w:val="14"/>
              </w:rPr>
              <w:t>Financial liabilities</w:t>
            </w:r>
          </w:p>
        </w:tc>
        <w:tc>
          <w:tcPr>
            <w:tcW w:w="2410" w:type="dxa"/>
            <w:tcBorders>
              <w:top w:val="nil"/>
              <w:left w:val="nil"/>
              <w:bottom w:val="nil"/>
              <w:right w:val="nil"/>
            </w:tcBorders>
            <w:shd w:val="clear" w:color="auto" w:fill="auto"/>
            <w:vAlign w:val="bottom"/>
          </w:tcPr>
          <w:p w14:paraId="4BA2D882" w14:textId="77777777" w:rsidR="008B7E19" w:rsidRPr="00EC5FB3"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highlight w:val="yellow"/>
              </w:rPr>
            </w:pPr>
            <w:r w:rsidRPr="003B13AF">
              <w:rPr>
                <w:rFonts w:cs="Arial"/>
                <w:sz w:val="14"/>
                <w:szCs w:val="14"/>
              </w:rPr>
              <w:t xml:space="preserve">  10</w:t>
            </w:r>
            <w:r>
              <w:rPr>
                <w:rFonts w:cs="Arial"/>
                <w:sz w:val="14"/>
                <w:szCs w:val="14"/>
              </w:rPr>
              <w:t>,</w:t>
            </w:r>
            <w:r w:rsidRPr="003B13AF">
              <w:rPr>
                <w:rFonts w:cs="Arial"/>
                <w:sz w:val="14"/>
                <w:szCs w:val="14"/>
              </w:rPr>
              <w:t xml:space="preserve">549 </w:t>
            </w:r>
          </w:p>
        </w:tc>
        <w:tc>
          <w:tcPr>
            <w:tcW w:w="2410" w:type="dxa"/>
            <w:tcBorders>
              <w:top w:val="nil"/>
              <w:left w:val="nil"/>
              <w:bottom w:val="nil"/>
              <w:right w:val="nil"/>
            </w:tcBorders>
            <w:shd w:val="clear" w:color="auto" w:fill="auto"/>
            <w:vAlign w:val="center"/>
          </w:tcPr>
          <w:p w14:paraId="4158DF6C" w14:textId="77777777" w:rsidR="008B7E19" w:rsidRPr="00EC5FB3"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highlight w:val="yellow"/>
              </w:rPr>
            </w:pPr>
            <w:r w:rsidRPr="003B13AF">
              <w:rPr>
                <w:rFonts w:cs="Arial"/>
                <w:sz w:val="14"/>
                <w:szCs w:val="14"/>
              </w:rPr>
              <w:t xml:space="preserve">  11</w:t>
            </w:r>
            <w:r>
              <w:rPr>
                <w:rFonts w:cs="Arial"/>
                <w:sz w:val="14"/>
                <w:szCs w:val="14"/>
              </w:rPr>
              <w:t>,</w:t>
            </w:r>
            <w:r w:rsidRPr="003B13AF">
              <w:rPr>
                <w:rFonts w:cs="Arial"/>
                <w:sz w:val="14"/>
                <w:szCs w:val="14"/>
              </w:rPr>
              <w:t xml:space="preserve">071 </w:t>
            </w:r>
          </w:p>
        </w:tc>
      </w:tr>
      <w:tr w:rsidR="008B7E19" w:rsidRPr="00EC5FB3" w14:paraId="0F9651D3" w14:textId="77777777" w:rsidTr="008B7E1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auto"/>
            <w:vAlign w:val="center"/>
          </w:tcPr>
          <w:p w14:paraId="12057370" w14:textId="77777777" w:rsidR="008B7E19" w:rsidRPr="00EC5FB3" w:rsidRDefault="008B7E19" w:rsidP="008B7E19">
            <w:pPr>
              <w:keepNext/>
              <w:keepLines/>
              <w:spacing w:before="40" w:after="40"/>
              <w:ind w:left="113"/>
              <w:rPr>
                <w:rFonts w:eastAsia="Times New Roman" w:cs="Arial"/>
                <w:b w:val="0"/>
                <w:bCs w:val="0"/>
                <w:spacing w:val="-2"/>
                <w:sz w:val="14"/>
                <w:szCs w:val="14"/>
                <w:highlight w:val="yellow"/>
              </w:rPr>
            </w:pPr>
            <w:r>
              <w:rPr>
                <w:rFonts w:cs="Arial"/>
                <w:b w:val="0"/>
                <w:bCs w:val="0"/>
                <w:sz w:val="14"/>
                <w:szCs w:val="14"/>
              </w:rPr>
              <w:t>Other liabilities</w:t>
            </w:r>
          </w:p>
        </w:tc>
        <w:tc>
          <w:tcPr>
            <w:tcW w:w="2410" w:type="dxa"/>
            <w:tcBorders>
              <w:top w:val="nil"/>
              <w:left w:val="nil"/>
              <w:bottom w:val="nil"/>
              <w:right w:val="nil"/>
            </w:tcBorders>
            <w:shd w:val="clear" w:color="auto" w:fill="auto"/>
            <w:vAlign w:val="bottom"/>
          </w:tcPr>
          <w:p w14:paraId="762A469B" w14:textId="77777777" w:rsidR="008B7E19" w:rsidRPr="00EC5FB3"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sz w:val="14"/>
                <w:szCs w:val="14"/>
                <w:highlight w:val="yellow"/>
              </w:rPr>
            </w:pPr>
            <w:r w:rsidRPr="003B13AF">
              <w:rPr>
                <w:rFonts w:cs="Arial"/>
                <w:sz w:val="14"/>
                <w:szCs w:val="14"/>
              </w:rPr>
              <w:t xml:space="preserve">  1</w:t>
            </w:r>
            <w:r>
              <w:rPr>
                <w:rFonts w:cs="Arial"/>
                <w:sz w:val="14"/>
                <w:szCs w:val="14"/>
              </w:rPr>
              <w:t>,</w:t>
            </w:r>
            <w:r w:rsidRPr="003B13AF">
              <w:rPr>
                <w:rFonts w:cs="Arial"/>
                <w:sz w:val="14"/>
                <w:szCs w:val="14"/>
              </w:rPr>
              <w:t>178</w:t>
            </w:r>
            <w:r>
              <w:rPr>
                <w:rFonts w:cs="Arial"/>
                <w:sz w:val="14"/>
                <w:szCs w:val="14"/>
              </w:rPr>
              <w:t>,</w:t>
            </w:r>
            <w:r w:rsidRPr="003B13AF">
              <w:rPr>
                <w:rFonts w:cs="Arial"/>
                <w:sz w:val="14"/>
                <w:szCs w:val="14"/>
              </w:rPr>
              <w:t>82</w:t>
            </w:r>
            <w:r>
              <w:rPr>
                <w:rFonts w:cs="Arial"/>
                <w:sz w:val="14"/>
                <w:szCs w:val="14"/>
              </w:rPr>
              <w:t>4</w:t>
            </w:r>
            <w:r w:rsidRPr="003B13AF">
              <w:rPr>
                <w:rFonts w:cs="Arial"/>
                <w:sz w:val="14"/>
                <w:szCs w:val="14"/>
              </w:rPr>
              <w:t xml:space="preserve"> </w:t>
            </w:r>
          </w:p>
        </w:tc>
        <w:tc>
          <w:tcPr>
            <w:tcW w:w="2410" w:type="dxa"/>
            <w:tcBorders>
              <w:top w:val="nil"/>
              <w:left w:val="nil"/>
              <w:bottom w:val="nil"/>
              <w:right w:val="nil"/>
            </w:tcBorders>
            <w:shd w:val="clear" w:color="auto" w:fill="auto"/>
            <w:vAlign w:val="center"/>
          </w:tcPr>
          <w:p w14:paraId="4EE3ADFB" w14:textId="77777777" w:rsidR="008B7E19" w:rsidRPr="00EC5FB3"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sz w:val="14"/>
                <w:szCs w:val="14"/>
                <w:highlight w:val="yellow"/>
              </w:rPr>
            </w:pPr>
            <w:r w:rsidRPr="003B13AF">
              <w:rPr>
                <w:rFonts w:cs="Arial"/>
                <w:sz w:val="14"/>
                <w:szCs w:val="14"/>
              </w:rPr>
              <w:t xml:space="preserve">  1</w:t>
            </w:r>
            <w:r>
              <w:rPr>
                <w:rFonts w:cs="Arial"/>
                <w:sz w:val="14"/>
                <w:szCs w:val="14"/>
              </w:rPr>
              <w:t>,</w:t>
            </w:r>
            <w:r w:rsidRPr="003B13AF">
              <w:rPr>
                <w:rFonts w:cs="Arial"/>
                <w:sz w:val="14"/>
                <w:szCs w:val="14"/>
              </w:rPr>
              <w:t>131</w:t>
            </w:r>
            <w:r>
              <w:rPr>
                <w:rFonts w:cs="Arial"/>
                <w:sz w:val="14"/>
                <w:szCs w:val="14"/>
              </w:rPr>
              <w:t>,</w:t>
            </w:r>
            <w:r w:rsidRPr="003B13AF">
              <w:rPr>
                <w:rFonts w:cs="Arial"/>
                <w:sz w:val="14"/>
                <w:szCs w:val="14"/>
              </w:rPr>
              <w:t xml:space="preserve">678 </w:t>
            </w:r>
          </w:p>
        </w:tc>
      </w:tr>
      <w:tr w:rsidR="008B7E19" w:rsidRPr="00EC5FB3" w14:paraId="07123E75"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auto"/>
            <w:vAlign w:val="center"/>
          </w:tcPr>
          <w:p w14:paraId="14CDC4C0" w14:textId="77777777" w:rsidR="008B7E19" w:rsidRPr="00EC5FB3" w:rsidRDefault="008B7E19" w:rsidP="008B7E19">
            <w:pPr>
              <w:keepNext/>
              <w:keepLines/>
              <w:spacing w:before="40" w:after="40"/>
              <w:rPr>
                <w:rFonts w:eastAsia="Times New Roman" w:cs="Arial"/>
                <w:spacing w:val="-2"/>
                <w:sz w:val="14"/>
                <w:szCs w:val="14"/>
                <w:highlight w:val="yellow"/>
              </w:rPr>
            </w:pPr>
            <w:r>
              <w:rPr>
                <w:rFonts w:cs="Arial"/>
                <w:sz w:val="14"/>
                <w:szCs w:val="14"/>
              </w:rPr>
              <w:t>Equity</w:t>
            </w:r>
          </w:p>
        </w:tc>
        <w:tc>
          <w:tcPr>
            <w:tcW w:w="2410" w:type="dxa"/>
            <w:tcBorders>
              <w:top w:val="nil"/>
              <w:left w:val="nil"/>
              <w:bottom w:val="nil"/>
              <w:right w:val="nil"/>
            </w:tcBorders>
            <w:shd w:val="clear" w:color="auto" w:fill="auto"/>
            <w:vAlign w:val="bottom"/>
          </w:tcPr>
          <w:p w14:paraId="3501BCF6" w14:textId="77777777" w:rsidR="008B7E19" w:rsidRPr="00EC5FB3"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b/>
                <w:bCs/>
                <w:sz w:val="14"/>
                <w:szCs w:val="14"/>
                <w:highlight w:val="yellow"/>
              </w:rPr>
            </w:pPr>
            <w:r w:rsidRPr="003B13AF">
              <w:rPr>
                <w:rFonts w:cs="Arial"/>
                <w:b/>
                <w:bCs/>
                <w:sz w:val="14"/>
                <w:szCs w:val="14"/>
              </w:rPr>
              <w:t xml:space="preserve">  664</w:t>
            </w:r>
            <w:r>
              <w:rPr>
                <w:rFonts w:cs="Arial"/>
                <w:b/>
                <w:bCs/>
                <w:sz w:val="14"/>
                <w:szCs w:val="14"/>
              </w:rPr>
              <w:t>,</w:t>
            </w:r>
            <w:r w:rsidRPr="003B13AF">
              <w:rPr>
                <w:rFonts w:cs="Arial"/>
                <w:b/>
                <w:bCs/>
                <w:sz w:val="14"/>
                <w:szCs w:val="14"/>
              </w:rPr>
              <w:t>62</w:t>
            </w:r>
            <w:r>
              <w:rPr>
                <w:rFonts w:cs="Arial"/>
                <w:b/>
                <w:bCs/>
                <w:sz w:val="14"/>
                <w:szCs w:val="14"/>
              </w:rPr>
              <w:t>1</w:t>
            </w:r>
            <w:r w:rsidRPr="003B13AF">
              <w:rPr>
                <w:rFonts w:cs="Arial"/>
                <w:b/>
                <w:bCs/>
                <w:sz w:val="14"/>
                <w:szCs w:val="14"/>
              </w:rPr>
              <w:t xml:space="preserve"> </w:t>
            </w:r>
          </w:p>
        </w:tc>
        <w:tc>
          <w:tcPr>
            <w:tcW w:w="2410" w:type="dxa"/>
            <w:tcBorders>
              <w:top w:val="nil"/>
              <w:left w:val="nil"/>
              <w:bottom w:val="nil"/>
              <w:right w:val="nil"/>
            </w:tcBorders>
            <w:shd w:val="clear" w:color="auto" w:fill="auto"/>
            <w:vAlign w:val="center"/>
          </w:tcPr>
          <w:p w14:paraId="1EBB0096" w14:textId="77777777" w:rsidR="008B7E19" w:rsidRPr="00EC5FB3"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b/>
                <w:bCs/>
                <w:sz w:val="14"/>
                <w:szCs w:val="14"/>
                <w:highlight w:val="yellow"/>
              </w:rPr>
            </w:pPr>
            <w:r w:rsidRPr="003B13AF">
              <w:rPr>
                <w:rFonts w:cs="Arial"/>
                <w:b/>
                <w:bCs/>
                <w:sz w:val="14"/>
                <w:szCs w:val="14"/>
              </w:rPr>
              <w:t xml:space="preserve">  649</w:t>
            </w:r>
            <w:r>
              <w:rPr>
                <w:rFonts w:cs="Arial"/>
                <w:b/>
                <w:bCs/>
                <w:sz w:val="14"/>
                <w:szCs w:val="14"/>
              </w:rPr>
              <w:t>,</w:t>
            </w:r>
            <w:r w:rsidRPr="003B13AF">
              <w:rPr>
                <w:rFonts w:cs="Arial"/>
                <w:b/>
                <w:bCs/>
                <w:sz w:val="14"/>
                <w:szCs w:val="14"/>
              </w:rPr>
              <w:t xml:space="preserve">780 </w:t>
            </w:r>
          </w:p>
        </w:tc>
      </w:tr>
      <w:tr w:rsidR="008B7E19" w:rsidRPr="00961DE4" w14:paraId="63E3B358" w14:textId="77777777" w:rsidTr="008B7E1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auto"/>
          </w:tcPr>
          <w:p w14:paraId="61F2B850" w14:textId="77777777" w:rsidR="008B7E19" w:rsidRPr="00961DE4" w:rsidRDefault="008B7E19" w:rsidP="008B7E19">
            <w:pPr>
              <w:keepNext/>
              <w:keepLines/>
              <w:spacing w:before="40" w:after="40"/>
              <w:rPr>
                <w:rFonts w:cs="Arial"/>
                <w:b w:val="0"/>
                <w:bCs w:val="0"/>
                <w:sz w:val="14"/>
                <w:szCs w:val="14"/>
              </w:rPr>
            </w:pPr>
            <w:r>
              <w:rPr>
                <w:rFonts w:cs="Arial"/>
                <w:sz w:val="14"/>
                <w:szCs w:val="14"/>
              </w:rPr>
              <w:t>Attributable to BB Seguridade</w:t>
            </w:r>
          </w:p>
        </w:tc>
        <w:tc>
          <w:tcPr>
            <w:tcW w:w="2410" w:type="dxa"/>
            <w:tcBorders>
              <w:top w:val="nil"/>
              <w:left w:val="nil"/>
              <w:bottom w:val="nil"/>
              <w:right w:val="nil"/>
            </w:tcBorders>
            <w:shd w:val="clear" w:color="auto" w:fill="auto"/>
            <w:vAlign w:val="center"/>
          </w:tcPr>
          <w:p w14:paraId="3795BC8A" w14:textId="77777777" w:rsidR="008B7E19" w:rsidRPr="00961DE4"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b/>
                <w:bCs/>
                <w:sz w:val="14"/>
                <w:szCs w:val="14"/>
              </w:rPr>
            </w:pPr>
            <w:r w:rsidRPr="003B13AF">
              <w:rPr>
                <w:rFonts w:cs="Arial"/>
                <w:b/>
                <w:bCs/>
                <w:color w:val="000000"/>
                <w:sz w:val="14"/>
                <w:szCs w:val="14"/>
              </w:rPr>
              <w:t xml:space="preserve">                443</w:t>
            </w:r>
            <w:r>
              <w:rPr>
                <w:rFonts w:cs="Arial"/>
                <w:b/>
                <w:bCs/>
                <w:color w:val="000000"/>
                <w:sz w:val="14"/>
                <w:szCs w:val="14"/>
              </w:rPr>
              <w:t>,</w:t>
            </w:r>
            <w:r w:rsidRPr="003B13AF">
              <w:rPr>
                <w:rFonts w:cs="Arial"/>
                <w:b/>
                <w:bCs/>
                <w:color w:val="000000"/>
                <w:sz w:val="14"/>
                <w:szCs w:val="14"/>
              </w:rPr>
              <w:t xml:space="preserve">749 </w:t>
            </w:r>
          </w:p>
        </w:tc>
        <w:tc>
          <w:tcPr>
            <w:tcW w:w="2410" w:type="dxa"/>
            <w:tcBorders>
              <w:top w:val="nil"/>
              <w:left w:val="nil"/>
              <w:bottom w:val="nil"/>
              <w:right w:val="nil"/>
            </w:tcBorders>
            <w:shd w:val="clear" w:color="auto" w:fill="auto"/>
            <w:vAlign w:val="center"/>
          </w:tcPr>
          <w:p w14:paraId="066ECE0E" w14:textId="77777777" w:rsidR="008B7E19" w:rsidRPr="00961DE4"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b/>
                <w:bCs/>
                <w:sz w:val="14"/>
                <w:szCs w:val="14"/>
              </w:rPr>
            </w:pPr>
            <w:r w:rsidRPr="003B13AF">
              <w:rPr>
                <w:rFonts w:cs="Arial"/>
                <w:b/>
                <w:bCs/>
                <w:sz w:val="14"/>
                <w:szCs w:val="14"/>
              </w:rPr>
              <w:t>433</w:t>
            </w:r>
            <w:r>
              <w:rPr>
                <w:rFonts w:cs="Arial"/>
                <w:b/>
                <w:bCs/>
                <w:sz w:val="14"/>
                <w:szCs w:val="14"/>
              </w:rPr>
              <w:t>,</w:t>
            </w:r>
            <w:r w:rsidRPr="003B13AF">
              <w:rPr>
                <w:rFonts w:cs="Arial"/>
                <w:b/>
                <w:bCs/>
                <w:sz w:val="14"/>
                <w:szCs w:val="14"/>
              </w:rPr>
              <w:t>841</w:t>
            </w:r>
          </w:p>
        </w:tc>
      </w:tr>
      <w:tr w:rsidR="008B7E19" w:rsidRPr="00B84F26" w14:paraId="2A5068EB"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auto"/>
          </w:tcPr>
          <w:p w14:paraId="31642304" w14:textId="77777777" w:rsidR="008B7E19" w:rsidRPr="00B84F26" w:rsidRDefault="008B7E19" w:rsidP="008B7E19">
            <w:pPr>
              <w:keepNext/>
              <w:keepLines/>
              <w:spacing w:before="40" w:after="40"/>
              <w:ind w:left="113"/>
              <w:rPr>
                <w:rFonts w:cs="Arial"/>
                <w:b w:val="0"/>
                <w:bCs w:val="0"/>
                <w:sz w:val="14"/>
                <w:szCs w:val="14"/>
              </w:rPr>
            </w:pPr>
            <w:r>
              <w:rPr>
                <w:rFonts w:cs="Arial"/>
                <w:b w:val="0"/>
                <w:bCs w:val="0"/>
                <w:sz w:val="14"/>
                <w:szCs w:val="14"/>
              </w:rPr>
              <w:t xml:space="preserve">Adjustment </w:t>
            </w:r>
            <w:r w:rsidRPr="00B84F26">
              <w:rPr>
                <w:rFonts w:cs="Arial"/>
                <w:b w:val="0"/>
                <w:bCs w:val="0"/>
                <w:sz w:val="14"/>
                <w:szCs w:val="14"/>
                <w:vertAlign w:val="superscript"/>
              </w:rPr>
              <w:t>(1)</w:t>
            </w:r>
          </w:p>
        </w:tc>
        <w:tc>
          <w:tcPr>
            <w:tcW w:w="2410" w:type="dxa"/>
            <w:tcBorders>
              <w:top w:val="nil"/>
              <w:left w:val="nil"/>
              <w:bottom w:val="nil"/>
              <w:right w:val="nil"/>
            </w:tcBorders>
            <w:shd w:val="clear" w:color="auto" w:fill="auto"/>
            <w:vAlign w:val="center"/>
          </w:tcPr>
          <w:p w14:paraId="69A02771" w14:textId="77777777" w:rsidR="008B7E19" w:rsidRPr="00B84F26"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rPr>
            </w:pPr>
            <w:r w:rsidRPr="003B13AF">
              <w:rPr>
                <w:rFonts w:cs="Arial"/>
                <w:sz w:val="14"/>
                <w:szCs w:val="14"/>
              </w:rPr>
              <w:t xml:space="preserve">                110</w:t>
            </w:r>
            <w:r>
              <w:rPr>
                <w:rFonts w:cs="Arial"/>
                <w:sz w:val="14"/>
                <w:szCs w:val="14"/>
              </w:rPr>
              <w:t>,</w:t>
            </w:r>
            <w:r w:rsidRPr="003B13AF">
              <w:rPr>
                <w:rFonts w:cs="Arial"/>
                <w:sz w:val="14"/>
                <w:szCs w:val="14"/>
              </w:rPr>
              <w:t xml:space="preserve">749 </w:t>
            </w:r>
          </w:p>
        </w:tc>
        <w:tc>
          <w:tcPr>
            <w:tcW w:w="2410" w:type="dxa"/>
            <w:tcBorders>
              <w:top w:val="nil"/>
              <w:left w:val="nil"/>
              <w:bottom w:val="nil"/>
              <w:right w:val="nil"/>
            </w:tcBorders>
            <w:shd w:val="clear" w:color="auto" w:fill="auto"/>
            <w:vAlign w:val="center"/>
          </w:tcPr>
          <w:p w14:paraId="401615D5" w14:textId="77777777" w:rsidR="008B7E19" w:rsidRPr="00B84F26"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rPr>
            </w:pPr>
            <w:r w:rsidRPr="003B13AF">
              <w:rPr>
                <w:rFonts w:cs="Arial"/>
                <w:sz w:val="14"/>
                <w:szCs w:val="14"/>
              </w:rPr>
              <w:t>110</w:t>
            </w:r>
            <w:r>
              <w:rPr>
                <w:rFonts w:cs="Arial"/>
                <w:sz w:val="14"/>
                <w:szCs w:val="14"/>
              </w:rPr>
              <w:t>,</w:t>
            </w:r>
            <w:r w:rsidRPr="003B13AF">
              <w:rPr>
                <w:rFonts w:cs="Arial"/>
                <w:sz w:val="14"/>
                <w:szCs w:val="14"/>
              </w:rPr>
              <w:t>749</w:t>
            </w:r>
          </w:p>
        </w:tc>
      </w:tr>
      <w:tr w:rsidR="008B7E19" w:rsidRPr="00961DE4" w14:paraId="16B693B4" w14:textId="77777777" w:rsidTr="008B7E1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single" w:sz="2" w:space="0" w:color="1F4E79" w:themeColor="accent1" w:themeShade="80"/>
              <w:right w:val="nil"/>
            </w:tcBorders>
            <w:shd w:val="clear" w:color="auto" w:fill="auto"/>
          </w:tcPr>
          <w:p w14:paraId="69D5BF5C" w14:textId="77777777" w:rsidR="008B7E19" w:rsidRPr="00961DE4" w:rsidRDefault="008B7E19" w:rsidP="008B7E19">
            <w:pPr>
              <w:keepNext/>
              <w:keepLines/>
              <w:spacing w:before="40" w:after="40"/>
              <w:rPr>
                <w:rFonts w:cs="Arial"/>
                <w:b w:val="0"/>
                <w:bCs w:val="0"/>
                <w:sz w:val="14"/>
                <w:szCs w:val="14"/>
              </w:rPr>
            </w:pPr>
            <w:r>
              <w:rPr>
                <w:rFonts w:cs="Arial"/>
                <w:sz w:val="14"/>
                <w:szCs w:val="14"/>
              </w:rPr>
              <w:t>Investment balance</w:t>
            </w:r>
          </w:p>
        </w:tc>
        <w:tc>
          <w:tcPr>
            <w:tcW w:w="2410" w:type="dxa"/>
            <w:tcBorders>
              <w:top w:val="nil"/>
              <w:left w:val="nil"/>
              <w:bottom w:val="single" w:sz="2" w:space="0" w:color="1F4E79" w:themeColor="accent1" w:themeShade="80"/>
              <w:right w:val="nil"/>
            </w:tcBorders>
            <w:shd w:val="clear" w:color="auto" w:fill="auto"/>
            <w:vAlign w:val="center"/>
          </w:tcPr>
          <w:p w14:paraId="481B0AE8" w14:textId="77777777" w:rsidR="008B7E19" w:rsidRPr="00961DE4"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b/>
                <w:bCs/>
                <w:sz w:val="14"/>
                <w:szCs w:val="14"/>
              </w:rPr>
            </w:pPr>
            <w:r w:rsidRPr="003B13AF">
              <w:rPr>
                <w:rFonts w:cs="Arial"/>
                <w:b/>
                <w:bCs/>
                <w:color w:val="000000"/>
                <w:sz w:val="14"/>
                <w:szCs w:val="14"/>
              </w:rPr>
              <w:t xml:space="preserve">                554</w:t>
            </w:r>
            <w:r>
              <w:rPr>
                <w:rFonts w:cs="Arial"/>
                <w:b/>
                <w:bCs/>
                <w:color w:val="000000"/>
                <w:sz w:val="14"/>
                <w:szCs w:val="14"/>
              </w:rPr>
              <w:t>,</w:t>
            </w:r>
            <w:r w:rsidRPr="003B13AF">
              <w:rPr>
                <w:rFonts w:cs="Arial"/>
                <w:b/>
                <w:bCs/>
                <w:color w:val="000000"/>
                <w:sz w:val="14"/>
                <w:szCs w:val="14"/>
              </w:rPr>
              <w:t xml:space="preserve">498 </w:t>
            </w:r>
          </w:p>
        </w:tc>
        <w:tc>
          <w:tcPr>
            <w:tcW w:w="2410" w:type="dxa"/>
            <w:tcBorders>
              <w:top w:val="nil"/>
              <w:left w:val="nil"/>
              <w:bottom w:val="single" w:sz="2" w:space="0" w:color="1F4E79" w:themeColor="accent1" w:themeShade="80"/>
              <w:right w:val="nil"/>
            </w:tcBorders>
            <w:shd w:val="clear" w:color="auto" w:fill="auto"/>
            <w:vAlign w:val="center"/>
          </w:tcPr>
          <w:p w14:paraId="507E41FE" w14:textId="77777777" w:rsidR="008B7E19" w:rsidRPr="00961DE4" w:rsidRDefault="008B7E19" w:rsidP="008B7E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b/>
                <w:bCs/>
                <w:sz w:val="14"/>
                <w:szCs w:val="14"/>
              </w:rPr>
            </w:pPr>
            <w:r w:rsidRPr="003B13AF">
              <w:rPr>
                <w:rFonts w:cs="Arial"/>
                <w:b/>
                <w:bCs/>
                <w:sz w:val="14"/>
                <w:szCs w:val="14"/>
              </w:rPr>
              <w:t>544</w:t>
            </w:r>
            <w:r>
              <w:rPr>
                <w:rFonts w:cs="Arial"/>
                <w:b/>
                <w:bCs/>
                <w:sz w:val="14"/>
                <w:szCs w:val="14"/>
              </w:rPr>
              <w:t>,</w:t>
            </w:r>
            <w:r w:rsidRPr="003B13AF">
              <w:rPr>
                <w:rFonts w:cs="Arial"/>
                <w:b/>
                <w:bCs/>
                <w:sz w:val="14"/>
                <w:szCs w:val="14"/>
              </w:rPr>
              <w:t>590</w:t>
            </w:r>
          </w:p>
        </w:tc>
      </w:tr>
    </w:tbl>
    <w:p w14:paraId="754D1F7A" w14:textId="77777777" w:rsidR="008B7E19" w:rsidRPr="00662248" w:rsidRDefault="008B7E19" w:rsidP="008B7E19">
      <w:pPr>
        <w:spacing w:after="0" w:line="240" w:lineRule="auto"/>
        <w:rPr>
          <w:rFonts w:eastAsia="Times New Roman" w:cs="Times New Roman"/>
          <w:bCs/>
          <w:color w:val="000000" w:themeColor="text1"/>
          <w:spacing w:val="-2"/>
          <w:sz w:val="14"/>
          <w:szCs w:val="16"/>
          <w:lang w:val="en-US" w:eastAsia="pt-BR"/>
        </w:rPr>
      </w:pPr>
      <w:r w:rsidRPr="00662248">
        <w:rPr>
          <w:rFonts w:eastAsia="Times New Roman" w:cs="Times New Roman"/>
          <w:bCs/>
          <w:color w:val="000000" w:themeColor="text1"/>
          <w:spacing w:val="-2"/>
          <w:sz w:val="14"/>
          <w:szCs w:val="16"/>
          <w:lang w:val="en-US" w:eastAsia="pt-BR"/>
        </w:rPr>
        <w:t>(1) Goodwill on the acquisition of equity interest in the company Sulacap by BB Seguros, which took place on 07.22.2011.</w:t>
      </w:r>
    </w:p>
    <w:p w14:paraId="2ABD8947" w14:textId="77777777" w:rsidR="008B7E19" w:rsidRPr="00662248" w:rsidRDefault="008B7E19" w:rsidP="008B7E19">
      <w:pPr>
        <w:spacing w:after="0" w:line="240" w:lineRule="auto"/>
        <w:rPr>
          <w:rFonts w:eastAsia="Times New Roman" w:cs="Times New Roman"/>
          <w:b/>
          <w:color w:val="1F4E79" w:themeColor="accent1" w:themeShade="80"/>
          <w:spacing w:val="-2"/>
          <w:szCs w:val="20"/>
          <w:lang w:val="en-US" w:eastAsia="pt-BR"/>
        </w:rPr>
      </w:pPr>
    </w:p>
    <w:p w14:paraId="4448294E" w14:textId="77777777" w:rsidR="008B7E19" w:rsidRPr="0020490A" w:rsidRDefault="008B7E19" w:rsidP="008B7E19">
      <w:pPr>
        <w:keepNext/>
        <w:keepLines/>
        <w:pageBreakBefore/>
        <w:spacing w:after="0" w:line="240" w:lineRule="auto"/>
        <w:rPr>
          <w:rFonts w:eastAsia="Times New Roman" w:cs="Times New Roman"/>
          <w:b/>
          <w:color w:val="1F4E79" w:themeColor="accent1" w:themeShade="80"/>
          <w:spacing w:val="-2"/>
          <w:szCs w:val="20"/>
          <w:lang w:val="en-US" w:eastAsia="pt-BR"/>
        </w:rPr>
      </w:pPr>
      <w:r w:rsidRPr="0020490A">
        <w:rPr>
          <w:rFonts w:eastAsia="Times New Roman" w:cs="Times New Roman"/>
          <w:b/>
          <w:color w:val="1F4E79" w:themeColor="accent1" w:themeShade="80"/>
          <w:spacing w:val="-2"/>
          <w:szCs w:val="20"/>
          <w:lang w:val="en-US" w:eastAsia="pt-BR"/>
        </w:rPr>
        <w:t>c.5) Ciclic</w:t>
      </w:r>
    </w:p>
    <w:p w14:paraId="1F657E3D" w14:textId="77777777" w:rsidR="008B7E19" w:rsidRPr="0020490A" w:rsidRDefault="008B7E19" w:rsidP="008B7E19">
      <w:pPr>
        <w:spacing w:after="0" w:line="240" w:lineRule="auto"/>
        <w:rPr>
          <w:rFonts w:eastAsia="Times New Roman" w:cs="Times New Roman"/>
          <w:b/>
          <w:color w:val="1F4E79" w:themeColor="accent1" w:themeShade="80"/>
          <w:spacing w:val="-2"/>
          <w:szCs w:val="20"/>
          <w:lang w:val="en-US" w:eastAsia="pt-BR"/>
        </w:rPr>
      </w:pPr>
    </w:p>
    <w:p w14:paraId="13A8A907" w14:textId="77777777" w:rsidR="008B7E19" w:rsidRDefault="008B7E19" w:rsidP="008B7E19">
      <w:pPr>
        <w:spacing w:after="0" w:line="240" w:lineRule="auto"/>
        <w:rPr>
          <w:rFonts w:eastAsia="Times New Roman" w:cs="Times New Roman"/>
          <w:b/>
          <w:color w:val="1F4E79" w:themeColor="accent1" w:themeShade="80"/>
          <w:spacing w:val="-2"/>
          <w:szCs w:val="20"/>
          <w:lang w:val="en-US" w:eastAsia="pt-BR"/>
        </w:rPr>
      </w:pPr>
      <w:r w:rsidRPr="0020490A">
        <w:rPr>
          <w:rFonts w:eastAsia="Times New Roman" w:cs="Times New Roman"/>
          <w:b/>
          <w:color w:val="1F4E79" w:themeColor="accent1" w:themeShade="80"/>
          <w:spacing w:val="-2"/>
          <w:szCs w:val="20"/>
          <w:lang w:val="en-US" w:eastAsia="pt-BR"/>
        </w:rPr>
        <w:t>Income Statement Information</w:t>
      </w:r>
    </w:p>
    <w:p w14:paraId="4869343B" w14:textId="77777777" w:rsidR="008B7E19" w:rsidRDefault="008B7E19" w:rsidP="008B7E19">
      <w:pPr>
        <w:spacing w:after="0" w:line="240" w:lineRule="auto"/>
        <w:rPr>
          <w:rFonts w:eastAsia="Times New Roman" w:cs="Times New Roman"/>
          <w:b/>
          <w:color w:val="1F4E79" w:themeColor="accent1" w:themeShade="80"/>
          <w:spacing w:val="-2"/>
          <w:szCs w:val="20"/>
          <w:lang w:val="en-US" w:eastAsia="pt-BR"/>
        </w:rPr>
      </w:pPr>
    </w:p>
    <w:p w14:paraId="0705883D" w14:textId="77777777" w:rsidR="008B7E19" w:rsidRPr="004C4523" w:rsidRDefault="008B7E19" w:rsidP="008B7E19">
      <w:pPr>
        <w:spacing w:after="0" w:line="240" w:lineRule="auto"/>
        <w:jc w:val="right"/>
        <w:rPr>
          <w:rFonts w:cs="Arial"/>
          <w:b/>
          <w:sz w:val="14"/>
          <w:lang w:val="en-US" w:eastAsia="pt-BR"/>
        </w:rPr>
      </w:pPr>
      <w:r w:rsidRPr="004C4523">
        <w:rPr>
          <w:rFonts w:cs="Arial"/>
          <w:b/>
          <w:sz w:val="14"/>
          <w:lang w:val="en-US" w:eastAsia="pt-BR"/>
        </w:rPr>
        <w:t>R$ thousand</w:t>
      </w:r>
    </w:p>
    <w:tbl>
      <w:tblPr>
        <w:tblStyle w:val="TabeladeLista6Colorida-nfase5"/>
        <w:tblW w:w="9639" w:type="dxa"/>
        <w:jc w:val="center"/>
        <w:tblBorders>
          <w:top w:val="single" w:sz="2" w:space="0" w:color="8EAADB" w:themeColor="accent5" w:themeTint="99"/>
          <w:bottom w:val="single" w:sz="2" w:space="0" w:color="8EAADB" w:themeColor="accent5" w:themeTint="99"/>
        </w:tblBorders>
        <w:tblLook w:val="04A0" w:firstRow="1" w:lastRow="0" w:firstColumn="1" w:lastColumn="0" w:noHBand="0" w:noVBand="1"/>
      </w:tblPr>
      <w:tblGrid>
        <w:gridCol w:w="3317"/>
        <w:gridCol w:w="1441"/>
        <w:gridCol w:w="1441"/>
        <w:gridCol w:w="1720"/>
        <w:gridCol w:w="1720"/>
      </w:tblGrid>
      <w:tr w:rsidR="008B7E19" w:rsidRPr="007E64F0" w14:paraId="1537317D" w14:textId="77777777" w:rsidTr="008B7E19">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tcBorders>
              <w:top w:val="single" w:sz="2" w:space="0" w:color="1F4E79" w:themeColor="accent1" w:themeShade="80"/>
              <w:bottom w:val="single" w:sz="2" w:space="0" w:color="1F4E79" w:themeColor="accent1" w:themeShade="80"/>
            </w:tcBorders>
            <w:shd w:val="clear" w:color="auto" w:fill="auto"/>
            <w:vAlign w:val="center"/>
          </w:tcPr>
          <w:p w14:paraId="7A48469A" w14:textId="77777777" w:rsidR="008B7E19" w:rsidRPr="004C4523" w:rsidRDefault="008B7E19" w:rsidP="008B7E19">
            <w:pPr>
              <w:pStyle w:val="08-Tabelageral"/>
              <w:jc w:val="left"/>
              <w:rPr>
                <w:rFonts w:cs="Arial"/>
                <w:lang w:val="en-US"/>
              </w:rPr>
            </w:pPr>
          </w:p>
        </w:tc>
        <w:tc>
          <w:tcPr>
            <w:tcW w:w="1441" w:type="dxa"/>
            <w:tcBorders>
              <w:top w:val="single" w:sz="2" w:space="0" w:color="1F4E79" w:themeColor="accent1" w:themeShade="80"/>
              <w:bottom w:val="single" w:sz="2" w:space="0" w:color="1F4E79" w:themeColor="accent1" w:themeShade="80"/>
            </w:tcBorders>
            <w:shd w:val="clear" w:color="auto" w:fill="auto"/>
            <w:vAlign w:val="center"/>
          </w:tcPr>
          <w:p w14:paraId="41C975DC" w14:textId="77777777" w:rsidR="008B7E19" w:rsidRPr="007E64F0" w:rsidRDefault="008B7E19" w:rsidP="008B7E19">
            <w:pPr>
              <w:pStyle w:val="08-Tabelageral"/>
              <w:cnfStyle w:val="100000000000" w:firstRow="1" w:lastRow="0" w:firstColumn="0" w:lastColumn="0" w:oddVBand="0" w:evenVBand="0" w:oddHBand="0" w:evenHBand="0" w:firstRowFirstColumn="0" w:firstRowLastColumn="0" w:lastRowFirstColumn="0" w:lastRowLastColumn="0"/>
              <w:rPr>
                <w:rFonts w:cs="Arial"/>
              </w:rPr>
            </w:pPr>
            <w:r w:rsidRPr="00925790">
              <w:rPr>
                <w:rFonts w:cs="Arial"/>
                <w:szCs w:val="14"/>
              </w:rPr>
              <w:t>2</w:t>
            </w:r>
            <w:r w:rsidRPr="00925790">
              <w:rPr>
                <w:rFonts w:cs="Arial"/>
                <w:szCs w:val="14"/>
                <w:vertAlign w:val="superscript"/>
              </w:rPr>
              <w:t>nd</w:t>
            </w:r>
            <w:r w:rsidRPr="00925790">
              <w:rPr>
                <w:rFonts w:cs="Arial"/>
                <w:szCs w:val="14"/>
              </w:rPr>
              <w:t xml:space="preserve"> Quarter 2023</w:t>
            </w:r>
          </w:p>
        </w:tc>
        <w:tc>
          <w:tcPr>
            <w:tcW w:w="1441" w:type="dxa"/>
            <w:tcBorders>
              <w:top w:val="single" w:sz="2" w:space="0" w:color="1F4E79" w:themeColor="accent1" w:themeShade="80"/>
              <w:bottom w:val="single" w:sz="2" w:space="0" w:color="1F4E79" w:themeColor="accent1" w:themeShade="80"/>
            </w:tcBorders>
            <w:shd w:val="clear" w:color="auto" w:fill="auto"/>
            <w:vAlign w:val="center"/>
          </w:tcPr>
          <w:p w14:paraId="68BB52C2" w14:textId="77777777" w:rsidR="008B7E19" w:rsidRPr="007E64F0" w:rsidRDefault="008B7E19" w:rsidP="008B7E19">
            <w:pPr>
              <w:pStyle w:val="08-Tabelageral"/>
              <w:cnfStyle w:val="100000000000" w:firstRow="1" w:lastRow="0" w:firstColumn="0" w:lastColumn="0" w:oddVBand="0" w:evenVBand="0" w:oddHBand="0" w:evenHBand="0" w:firstRowFirstColumn="0" w:firstRowLastColumn="0" w:lastRowFirstColumn="0" w:lastRowLastColumn="0"/>
              <w:rPr>
                <w:rFonts w:cs="Arial"/>
              </w:rPr>
            </w:pPr>
            <w:r w:rsidRPr="00925790">
              <w:rPr>
                <w:rFonts w:cs="Arial"/>
                <w:szCs w:val="14"/>
              </w:rPr>
              <w:t>1</w:t>
            </w:r>
            <w:r w:rsidRPr="00925790">
              <w:rPr>
                <w:rFonts w:cs="Arial"/>
                <w:szCs w:val="14"/>
                <w:vertAlign w:val="superscript"/>
              </w:rPr>
              <w:t>st</w:t>
            </w:r>
            <w:r w:rsidRPr="00925790">
              <w:rPr>
                <w:rFonts w:cs="Arial"/>
                <w:szCs w:val="14"/>
              </w:rPr>
              <w:t xml:space="preserve"> Half 2023</w:t>
            </w:r>
          </w:p>
        </w:tc>
        <w:tc>
          <w:tcPr>
            <w:tcW w:w="1720" w:type="dxa"/>
            <w:tcBorders>
              <w:top w:val="single" w:sz="2" w:space="0" w:color="1F4E79" w:themeColor="accent1" w:themeShade="80"/>
              <w:bottom w:val="single" w:sz="2" w:space="0" w:color="1F4E79" w:themeColor="accent1" w:themeShade="80"/>
            </w:tcBorders>
            <w:shd w:val="clear" w:color="auto" w:fill="auto"/>
            <w:vAlign w:val="center"/>
          </w:tcPr>
          <w:p w14:paraId="7562D482" w14:textId="77777777" w:rsidR="008B7E19" w:rsidRPr="007E64F0" w:rsidRDefault="008B7E19" w:rsidP="008B7E19">
            <w:pPr>
              <w:pStyle w:val="08-Tabelageral"/>
              <w:cnfStyle w:val="100000000000" w:firstRow="1" w:lastRow="0" w:firstColumn="0" w:lastColumn="0" w:oddVBand="0" w:evenVBand="0" w:oddHBand="0" w:evenHBand="0" w:firstRowFirstColumn="0" w:firstRowLastColumn="0" w:lastRowFirstColumn="0" w:lastRowLastColumn="0"/>
              <w:rPr>
                <w:rFonts w:cs="Arial"/>
              </w:rPr>
            </w:pPr>
            <w:r w:rsidRPr="00925790">
              <w:rPr>
                <w:rFonts w:cs="Arial"/>
                <w:szCs w:val="14"/>
              </w:rPr>
              <w:t>2</w:t>
            </w:r>
            <w:r w:rsidRPr="00925790">
              <w:rPr>
                <w:rFonts w:cs="Arial"/>
                <w:szCs w:val="14"/>
                <w:vertAlign w:val="superscript"/>
              </w:rPr>
              <w:t>nd</w:t>
            </w:r>
            <w:r w:rsidRPr="00925790">
              <w:rPr>
                <w:rFonts w:cs="Arial"/>
                <w:szCs w:val="14"/>
              </w:rPr>
              <w:t xml:space="preserve"> Quarter 2022</w:t>
            </w:r>
          </w:p>
        </w:tc>
        <w:tc>
          <w:tcPr>
            <w:tcW w:w="1720" w:type="dxa"/>
            <w:tcBorders>
              <w:top w:val="single" w:sz="2" w:space="0" w:color="1F4E79" w:themeColor="accent1" w:themeShade="80"/>
              <w:bottom w:val="single" w:sz="2" w:space="0" w:color="1F4E79" w:themeColor="accent1" w:themeShade="80"/>
            </w:tcBorders>
            <w:shd w:val="clear" w:color="auto" w:fill="auto"/>
            <w:vAlign w:val="center"/>
          </w:tcPr>
          <w:p w14:paraId="6B7F7EFA" w14:textId="77777777" w:rsidR="008B7E19" w:rsidRPr="007E64F0" w:rsidRDefault="008B7E19" w:rsidP="008B7E19">
            <w:pPr>
              <w:pStyle w:val="08-Tabelageral"/>
              <w:cnfStyle w:val="100000000000" w:firstRow="1" w:lastRow="0" w:firstColumn="0" w:lastColumn="0" w:oddVBand="0" w:evenVBand="0" w:oddHBand="0" w:evenHBand="0" w:firstRowFirstColumn="0" w:firstRowLastColumn="0" w:lastRowFirstColumn="0" w:lastRowLastColumn="0"/>
              <w:rPr>
                <w:rFonts w:cs="Arial"/>
              </w:rPr>
            </w:pPr>
            <w:r w:rsidRPr="00925790">
              <w:rPr>
                <w:rFonts w:cs="Arial"/>
                <w:szCs w:val="14"/>
              </w:rPr>
              <w:t>1</w:t>
            </w:r>
            <w:r w:rsidRPr="00925790">
              <w:rPr>
                <w:rFonts w:cs="Arial"/>
                <w:szCs w:val="14"/>
                <w:vertAlign w:val="superscript"/>
              </w:rPr>
              <w:t>st</w:t>
            </w:r>
            <w:r w:rsidRPr="00925790">
              <w:rPr>
                <w:rFonts w:cs="Arial"/>
                <w:szCs w:val="14"/>
              </w:rPr>
              <w:t xml:space="preserve"> Half 2022</w:t>
            </w:r>
          </w:p>
        </w:tc>
      </w:tr>
      <w:tr w:rsidR="008B7E19" w:rsidRPr="007E64F0" w14:paraId="790F771A"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tcBorders>
              <w:top w:val="single" w:sz="2" w:space="0" w:color="1F4E79" w:themeColor="accent1" w:themeShade="80"/>
            </w:tcBorders>
            <w:shd w:val="clear" w:color="auto" w:fill="auto"/>
          </w:tcPr>
          <w:p w14:paraId="017234D9" w14:textId="77777777" w:rsidR="008B7E19" w:rsidRPr="007E64F0" w:rsidRDefault="008B7E19" w:rsidP="008B7E19">
            <w:pPr>
              <w:pStyle w:val="08-Tabelageral"/>
              <w:jc w:val="left"/>
              <w:rPr>
                <w:rFonts w:cs="Arial"/>
                <w:b w:val="0"/>
                <w:bCs w:val="0"/>
                <w:szCs w:val="14"/>
              </w:rPr>
            </w:pPr>
            <w:r>
              <w:rPr>
                <w:b w:val="0"/>
                <w:bCs w:val="0"/>
              </w:rPr>
              <w:t>C</w:t>
            </w:r>
            <w:r w:rsidRPr="00E038BB">
              <w:rPr>
                <w:b w:val="0"/>
                <w:bCs w:val="0"/>
              </w:rPr>
              <w:t>ommission income</w:t>
            </w:r>
          </w:p>
        </w:tc>
        <w:tc>
          <w:tcPr>
            <w:tcW w:w="1441" w:type="dxa"/>
            <w:tcBorders>
              <w:top w:val="nil"/>
            </w:tcBorders>
            <w:shd w:val="clear" w:color="auto" w:fill="auto"/>
            <w:vAlign w:val="center"/>
          </w:tcPr>
          <w:p w14:paraId="1562114C" w14:textId="77777777" w:rsidR="008B7E19" w:rsidRPr="007E64F0"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7E64F0">
              <w:rPr>
                <w:rFonts w:cs="Arial"/>
              </w:rPr>
              <w:t>11</w:t>
            </w:r>
            <w:r>
              <w:rPr>
                <w:rFonts w:cs="Arial"/>
              </w:rPr>
              <w:t>,</w:t>
            </w:r>
            <w:r w:rsidRPr="007E64F0">
              <w:rPr>
                <w:rFonts w:cs="Arial"/>
              </w:rPr>
              <w:t>872</w:t>
            </w:r>
          </w:p>
        </w:tc>
        <w:tc>
          <w:tcPr>
            <w:tcW w:w="1441" w:type="dxa"/>
            <w:tcBorders>
              <w:top w:val="nil"/>
            </w:tcBorders>
            <w:shd w:val="clear" w:color="auto" w:fill="auto"/>
            <w:vAlign w:val="center"/>
          </w:tcPr>
          <w:p w14:paraId="6E3E4761" w14:textId="77777777" w:rsidR="008B7E19" w:rsidRPr="007E64F0"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7E64F0">
              <w:rPr>
                <w:rFonts w:cs="Arial"/>
              </w:rPr>
              <w:t>22</w:t>
            </w:r>
            <w:r>
              <w:rPr>
                <w:rFonts w:cs="Arial"/>
              </w:rPr>
              <w:t>,</w:t>
            </w:r>
            <w:r w:rsidRPr="007E64F0">
              <w:rPr>
                <w:rFonts w:cs="Arial"/>
              </w:rPr>
              <w:t>426</w:t>
            </w:r>
          </w:p>
        </w:tc>
        <w:tc>
          <w:tcPr>
            <w:tcW w:w="1720" w:type="dxa"/>
            <w:tcBorders>
              <w:top w:val="nil"/>
              <w:left w:val="nil"/>
              <w:bottom w:val="nil"/>
              <w:right w:val="nil"/>
            </w:tcBorders>
            <w:shd w:val="clear" w:color="auto" w:fill="auto"/>
            <w:vAlign w:val="center"/>
          </w:tcPr>
          <w:p w14:paraId="66455779" w14:textId="77777777" w:rsidR="008B7E19" w:rsidRPr="007E64F0"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7E64F0">
              <w:rPr>
                <w:rFonts w:cs="Arial"/>
              </w:rPr>
              <w:t>11</w:t>
            </w:r>
            <w:r>
              <w:rPr>
                <w:rFonts w:cs="Arial"/>
              </w:rPr>
              <w:t>,</w:t>
            </w:r>
            <w:r w:rsidRPr="007E64F0">
              <w:rPr>
                <w:rFonts w:cs="Arial"/>
              </w:rPr>
              <w:t>183</w:t>
            </w:r>
          </w:p>
        </w:tc>
        <w:tc>
          <w:tcPr>
            <w:tcW w:w="1720" w:type="dxa"/>
            <w:tcBorders>
              <w:top w:val="single" w:sz="2" w:space="0" w:color="1F4E79" w:themeColor="accent1" w:themeShade="80"/>
            </w:tcBorders>
            <w:shd w:val="clear" w:color="auto" w:fill="auto"/>
            <w:vAlign w:val="center"/>
          </w:tcPr>
          <w:p w14:paraId="0D39AF87" w14:textId="77777777" w:rsidR="008B7E19" w:rsidRPr="007E64F0"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7E64F0">
              <w:rPr>
                <w:rFonts w:cs="Arial"/>
              </w:rPr>
              <w:t>19</w:t>
            </w:r>
            <w:r>
              <w:rPr>
                <w:rFonts w:cs="Arial"/>
              </w:rPr>
              <w:t>,</w:t>
            </w:r>
            <w:r w:rsidRPr="007E64F0">
              <w:rPr>
                <w:rFonts w:cs="Arial"/>
              </w:rPr>
              <w:t>109</w:t>
            </w:r>
          </w:p>
        </w:tc>
      </w:tr>
      <w:tr w:rsidR="008B7E19" w:rsidRPr="007E64F0" w14:paraId="10085737" w14:textId="77777777" w:rsidTr="008B7E19">
        <w:trPr>
          <w:trHeight w:val="238"/>
          <w:jc w:val="center"/>
        </w:trPr>
        <w:tc>
          <w:tcPr>
            <w:cnfStyle w:val="001000000000" w:firstRow="0" w:lastRow="0" w:firstColumn="1" w:lastColumn="0" w:oddVBand="0" w:evenVBand="0" w:oddHBand="0" w:evenHBand="0" w:firstRowFirstColumn="0" w:firstRowLastColumn="0" w:lastRowFirstColumn="0" w:lastRowLastColumn="0"/>
            <w:tcW w:w="3317" w:type="dxa"/>
            <w:shd w:val="clear" w:color="auto" w:fill="auto"/>
          </w:tcPr>
          <w:p w14:paraId="61590EF6" w14:textId="77777777" w:rsidR="008B7E19" w:rsidRPr="007E64F0" w:rsidRDefault="008B7E19" w:rsidP="008B7E19">
            <w:pPr>
              <w:pStyle w:val="08-Tabelageral"/>
              <w:jc w:val="left"/>
              <w:rPr>
                <w:rFonts w:cs="Arial"/>
                <w:b w:val="0"/>
                <w:bCs w:val="0"/>
                <w:szCs w:val="14"/>
              </w:rPr>
            </w:pPr>
            <w:r>
              <w:rPr>
                <w:b w:val="0"/>
                <w:bCs w:val="0"/>
              </w:rPr>
              <w:t>C</w:t>
            </w:r>
            <w:r w:rsidRPr="00E038BB">
              <w:rPr>
                <w:b w:val="0"/>
                <w:bCs w:val="0"/>
              </w:rPr>
              <w:t>osts</w:t>
            </w:r>
          </w:p>
        </w:tc>
        <w:tc>
          <w:tcPr>
            <w:tcW w:w="1441" w:type="dxa"/>
            <w:shd w:val="clear" w:color="auto" w:fill="auto"/>
            <w:vAlign w:val="center"/>
          </w:tcPr>
          <w:p w14:paraId="309FF093" w14:textId="77777777" w:rsidR="008B7E19" w:rsidRPr="007E64F0"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rPr>
            </w:pPr>
            <w:r w:rsidRPr="007E64F0">
              <w:rPr>
                <w:rFonts w:cs="Arial"/>
              </w:rPr>
              <w:t>(3</w:t>
            </w:r>
            <w:r>
              <w:rPr>
                <w:rFonts w:cs="Arial"/>
              </w:rPr>
              <w:t>,</w:t>
            </w:r>
            <w:r w:rsidRPr="007E64F0">
              <w:rPr>
                <w:rFonts w:cs="Arial"/>
              </w:rPr>
              <w:t>652)</w:t>
            </w:r>
          </w:p>
        </w:tc>
        <w:tc>
          <w:tcPr>
            <w:tcW w:w="1441" w:type="dxa"/>
            <w:shd w:val="clear" w:color="auto" w:fill="auto"/>
            <w:vAlign w:val="center"/>
          </w:tcPr>
          <w:p w14:paraId="02DCFEE3" w14:textId="77777777" w:rsidR="008B7E19" w:rsidRPr="007E64F0"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rPr>
            </w:pPr>
            <w:r w:rsidRPr="007E64F0">
              <w:rPr>
                <w:rFonts w:cs="Arial"/>
              </w:rPr>
              <w:t>(7</w:t>
            </w:r>
            <w:r>
              <w:rPr>
                <w:rFonts w:cs="Arial"/>
              </w:rPr>
              <w:t>,</w:t>
            </w:r>
            <w:r w:rsidRPr="007E64F0">
              <w:rPr>
                <w:rFonts w:cs="Arial"/>
              </w:rPr>
              <w:t>019)</w:t>
            </w:r>
          </w:p>
        </w:tc>
        <w:tc>
          <w:tcPr>
            <w:tcW w:w="1720" w:type="dxa"/>
            <w:tcBorders>
              <w:top w:val="nil"/>
              <w:left w:val="nil"/>
              <w:bottom w:val="nil"/>
              <w:right w:val="nil"/>
            </w:tcBorders>
            <w:shd w:val="clear" w:color="auto" w:fill="auto"/>
            <w:vAlign w:val="center"/>
          </w:tcPr>
          <w:p w14:paraId="732B08E1" w14:textId="77777777" w:rsidR="008B7E19" w:rsidRPr="007E64F0"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rPr>
            </w:pPr>
            <w:r w:rsidRPr="007E64F0">
              <w:rPr>
                <w:rFonts w:cs="Arial"/>
              </w:rPr>
              <w:t>(4</w:t>
            </w:r>
            <w:r>
              <w:rPr>
                <w:rFonts w:cs="Arial"/>
              </w:rPr>
              <w:t>,</w:t>
            </w:r>
            <w:r w:rsidRPr="007E64F0">
              <w:rPr>
                <w:rFonts w:cs="Arial"/>
              </w:rPr>
              <w:t>019)</w:t>
            </w:r>
          </w:p>
        </w:tc>
        <w:tc>
          <w:tcPr>
            <w:tcW w:w="1720" w:type="dxa"/>
            <w:shd w:val="clear" w:color="auto" w:fill="auto"/>
            <w:vAlign w:val="center"/>
          </w:tcPr>
          <w:p w14:paraId="55008558" w14:textId="77777777" w:rsidR="008B7E19" w:rsidRPr="007E64F0"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rPr>
            </w:pPr>
            <w:r w:rsidRPr="007E64F0">
              <w:rPr>
                <w:rFonts w:cs="Arial"/>
              </w:rPr>
              <w:t>(7</w:t>
            </w:r>
            <w:r>
              <w:rPr>
                <w:rFonts w:cs="Arial"/>
              </w:rPr>
              <w:t>,</w:t>
            </w:r>
            <w:r w:rsidRPr="007E64F0">
              <w:rPr>
                <w:rFonts w:cs="Arial"/>
              </w:rPr>
              <w:t>334)</w:t>
            </w:r>
          </w:p>
        </w:tc>
      </w:tr>
      <w:tr w:rsidR="008B7E19" w:rsidRPr="0093520D" w14:paraId="14130F33"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shd w:val="clear" w:color="auto" w:fill="auto"/>
          </w:tcPr>
          <w:p w14:paraId="2B068F15" w14:textId="77777777" w:rsidR="008B7E19" w:rsidRPr="0093520D" w:rsidRDefault="008B7E19" w:rsidP="008B7E19">
            <w:pPr>
              <w:pStyle w:val="08-Tabelageral"/>
              <w:jc w:val="left"/>
              <w:rPr>
                <w:rFonts w:cs="Arial"/>
                <w:szCs w:val="14"/>
              </w:rPr>
            </w:pPr>
            <w:r w:rsidRPr="0093520D">
              <w:t>Financial result</w:t>
            </w:r>
          </w:p>
        </w:tc>
        <w:tc>
          <w:tcPr>
            <w:tcW w:w="1441" w:type="dxa"/>
            <w:shd w:val="clear" w:color="auto" w:fill="auto"/>
            <w:vAlign w:val="center"/>
          </w:tcPr>
          <w:p w14:paraId="35ABD1A6" w14:textId="77777777" w:rsidR="008B7E19" w:rsidRPr="0093520D"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b/>
                <w:bCs/>
              </w:rPr>
            </w:pPr>
            <w:r w:rsidRPr="0093520D">
              <w:rPr>
                <w:b/>
                <w:bCs/>
              </w:rPr>
              <w:t>(238)</w:t>
            </w:r>
          </w:p>
        </w:tc>
        <w:tc>
          <w:tcPr>
            <w:tcW w:w="1441" w:type="dxa"/>
            <w:shd w:val="clear" w:color="auto" w:fill="auto"/>
            <w:vAlign w:val="center"/>
          </w:tcPr>
          <w:p w14:paraId="1B96AFEA" w14:textId="77777777" w:rsidR="008B7E19" w:rsidRPr="0093520D"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b/>
                <w:bCs/>
              </w:rPr>
            </w:pPr>
            <w:r w:rsidRPr="0093520D">
              <w:rPr>
                <w:b/>
                <w:bCs/>
              </w:rPr>
              <w:t>(556)</w:t>
            </w:r>
          </w:p>
        </w:tc>
        <w:tc>
          <w:tcPr>
            <w:tcW w:w="1720" w:type="dxa"/>
            <w:tcBorders>
              <w:top w:val="nil"/>
              <w:left w:val="nil"/>
              <w:bottom w:val="nil"/>
              <w:right w:val="nil"/>
            </w:tcBorders>
            <w:shd w:val="clear" w:color="auto" w:fill="auto"/>
            <w:vAlign w:val="center"/>
          </w:tcPr>
          <w:p w14:paraId="7EE758FB" w14:textId="77777777" w:rsidR="008B7E19" w:rsidRPr="0093520D"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b/>
                <w:bCs/>
              </w:rPr>
            </w:pPr>
            <w:r w:rsidRPr="0093520D">
              <w:rPr>
                <w:b/>
                <w:bCs/>
              </w:rPr>
              <w:t>(261)</w:t>
            </w:r>
          </w:p>
        </w:tc>
        <w:tc>
          <w:tcPr>
            <w:tcW w:w="1720" w:type="dxa"/>
            <w:shd w:val="clear" w:color="auto" w:fill="auto"/>
            <w:vAlign w:val="center"/>
          </w:tcPr>
          <w:p w14:paraId="0C4D7F23" w14:textId="77777777" w:rsidR="008B7E19" w:rsidRPr="0093520D"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b/>
                <w:bCs/>
              </w:rPr>
            </w:pPr>
            <w:r w:rsidRPr="0093520D">
              <w:rPr>
                <w:b/>
                <w:bCs/>
              </w:rPr>
              <w:t>(461)</w:t>
            </w:r>
          </w:p>
        </w:tc>
      </w:tr>
      <w:tr w:rsidR="008B7E19" w:rsidRPr="007E64F0" w14:paraId="3AE0DDD3" w14:textId="77777777" w:rsidTr="008B7E19">
        <w:trPr>
          <w:trHeight w:val="238"/>
          <w:jc w:val="center"/>
        </w:trPr>
        <w:tc>
          <w:tcPr>
            <w:cnfStyle w:val="001000000000" w:firstRow="0" w:lastRow="0" w:firstColumn="1" w:lastColumn="0" w:oddVBand="0" w:evenVBand="0" w:oddHBand="0" w:evenHBand="0" w:firstRowFirstColumn="0" w:firstRowLastColumn="0" w:lastRowFirstColumn="0" w:lastRowLastColumn="0"/>
            <w:tcW w:w="3317" w:type="dxa"/>
            <w:shd w:val="clear" w:color="auto" w:fill="auto"/>
          </w:tcPr>
          <w:p w14:paraId="3A3AD4D2" w14:textId="77777777" w:rsidR="008B7E19" w:rsidRPr="007E64F0" w:rsidRDefault="008B7E19" w:rsidP="008B7E19">
            <w:pPr>
              <w:pStyle w:val="08-Tabelageral"/>
              <w:ind w:left="113"/>
              <w:jc w:val="left"/>
              <w:rPr>
                <w:rFonts w:cs="Arial"/>
                <w:b w:val="0"/>
                <w:bCs w:val="0"/>
                <w:szCs w:val="14"/>
              </w:rPr>
            </w:pPr>
            <w:r>
              <w:rPr>
                <w:b w:val="0"/>
                <w:bCs w:val="0"/>
              </w:rPr>
              <w:t>I</w:t>
            </w:r>
            <w:r w:rsidRPr="00E038BB">
              <w:rPr>
                <w:b w:val="0"/>
                <w:bCs w:val="0"/>
              </w:rPr>
              <w:t>nterest income</w:t>
            </w:r>
          </w:p>
        </w:tc>
        <w:tc>
          <w:tcPr>
            <w:tcW w:w="1441" w:type="dxa"/>
            <w:shd w:val="clear" w:color="auto" w:fill="auto"/>
            <w:vAlign w:val="center"/>
          </w:tcPr>
          <w:p w14:paraId="7E034617" w14:textId="77777777" w:rsidR="008B7E19" w:rsidRPr="007E64F0"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rPr>
            </w:pPr>
            <w:r w:rsidRPr="007E64F0">
              <w:t>0</w:t>
            </w:r>
          </w:p>
        </w:tc>
        <w:tc>
          <w:tcPr>
            <w:tcW w:w="1441" w:type="dxa"/>
            <w:shd w:val="clear" w:color="auto" w:fill="auto"/>
            <w:vAlign w:val="center"/>
          </w:tcPr>
          <w:p w14:paraId="5EA4DD56" w14:textId="77777777" w:rsidR="008B7E19" w:rsidRPr="007E64F0"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rPr>
            </w:pPr>
            <w:r w:rsidRPr="007E64F0">
              <w:t>1</w:t>
            </w:r>
          </w:p>
        </w:tc>
        <w:tc>
          <w:tcPr>
            <w:tcW w:w="1720" w:type="dxa"/>
            <w:tcBorders>
              <w:top w:val="nil"/>
              <w:left w:val="nil"/>
              <w:bottom w:val="nil"/>
              <w:right w:val="nil"/>
            </w:tcBorders>
            <w:shd w:val="clear" w:color="auto" w:fill="auto"/>
            <w:vAlign w:val="center"/>
          </w:tcPr>
          <w:p w14:paraId="75CC052E" w14:textId="77777777" w:rsidR="008B7E19" w:rsidRPr="007E64F0"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rPr>
            </w:pPr>
            <w:r w:rsidRPr="007E64F0">
              <w:t>0</w:t>
            </w:r>
          </w:p>
        </w:tc>
        <w:tc>
          <w:tcPr>
            <w:tcW w:w="1720" w:type="dxa"/>
            <w:shd w:val="clear" w:color="auto" w:fill="auto"/>
            <w:vAlign w:val="center"/>
          </w:tcPr>
          <w:p w14:paraId="2EEFA6DB" w14:textId="77777777" w:rsidR="008B7E19" w:rsidRPr="007E64F0"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rPr>
            </w:pPr>
            <w:r w:rsidRPr="007E64F0">
              <w:t>4</w:t>
            </w:r>
          </w:p>
        </w:tc>
      </w:tr>
      <w:tr w:rsidR="008B7E19" w:rsidRPr="007E64F0" w14:paraId="22980A5E"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shd w:val="clear" w:color="auto" w:fill="auto"/>
          </w:tcPr>
          <w:p w14:paraId="5FAABF51" w14:textId="77777777" w:rsidR="008B7E19" w:rsidRPr="007E64F0" w:rsidRDefault="008B7E19" w:rsidP="008B7E19">
            <w:pPr>
              <w:pStyle w:val="08-Tabelageral"/>
              <w:ind w:left="113"/>
              <w:jc w:val="left"/>
              <w:rPr>
                <w:rFonts w:cs="Arial"/>
                <w:b w:val="0"/>
                <w:bCs w:val="0"/>
                <w:szCs w:val="14"/>
              </w:rPr>
            </w:pPr>
            <w:r w:rsidRPr="00E038BB">
              <w:rPr>
                <w:b w:val="0"/>
                <w:bCs w:val="0"/>
              </w:rPr>
              <w:t>Other financial income</w:t>
            </w:r>
          </w:p>
        </w:tc>
        <w:tc>
          <w:tcPr>
            <w:tcW w:w="1441" w:type="dxa"/>
            <w:shd w:val="clear" w:color="auto" w:fill="auto"/>
            <w:vAlign w:val="center"/>
          </w:tcPr>
          <w:p w14:paraId="347A7432" w14:textId="77777777" w:rsidR="008B7E19" w:rsidRPr="007E64F0"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7E64F0">
              <w:t>19</w:t>
            </w:r>
          </w:p>
        </w:tc>
        <w:tc>
          <w:tcPr>
            <w:tcW w:w="1441" w:type="dxa"/>
            <w:shd w:val="clear" w:color="auto" w:fill="auto"/>
            <w:vAlign w:val="center"/>
          </w:tcPr>
          <w:p w14:paraId="58C87FF9" w14:textId="77777777" w:rsidR="008B7E19" w:rsidRPr="007E64F0"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7E64F0">
              <w:t>38</w:t>
            </w:r>
          </w:p>
        </w:tc>
        <w:tc>
          <w:tcPr>
            <w:tcW w:w="1720" w:type="dxa"/>
            <w:tcBorders>
              <w:top w:val="nil"/>
              <w:left w:val="nil"/>
              <w:bottom w:val="nil"/>
              <w:right w:val="nil"/>
            </w:tcBorders>
            <w:shd w:val="clear" w:color="auto" w:fill="auto"/>
            <w:vAlign w:val="center"/>
          </w:tcPr>
          <w:p w14:paraId="1EE25D2F" w14:textId="77777777" w:rsidR="008B7E19" w:rsidRPr="007E64F0"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7E64F0">
              <w:t>28</w:t>
            </w:r>
          </w:p>
        </w:tc>
        <w:tc>
          <w:tcPr>
            <w:tcW w:w="1720" w:type="dxa"/>
            <w:shd w:val="clear" w:color="auto" w:fill="auto"/>
            <w:vAlign w:val="center"/>
          </w:tcPr>
          <w:p w14:paraId="6D1D92DD" w14:textId="77777777" w:rsidR="008B7E19" w:rsidRPr="007E64F0"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7E64F0">
              <w:t>76</w:t>
            </w:r>
          </w:p>
        </w:tc>
      </w:tr>
      <w:tr w:rsidR="008B7E19" w:rsidRPr="007E64F0" w14:paraId="54561144" w14:textId="77777777" w:rsidTr="008B7E19">
        <w:trPr>
          <w:trHeight w:val="238"/>
          <w:jc w:val="center"/>
        </w:trPr>
        <w:tc>
          <w:tcPr>
            <w:cnfStyle w:val="001000000000" w:firstRow="0" w:lastRow="0" w:firstColumn="1" w:lastColumn="0" w:oddVBand="0" w:evenVBand="0" w:oddHBand="0" w:evenHBand="0" w:firstRowFirstColumn="0" w:firstRowLastColumn="0" w:lastRowFirstColumn="0" w:lastRowLastColumn="0"/>
            <w:tcW w:w="3317" w:type="dxa"/>
            <w:shd w:val="clear" w:color="auto" w:fill="auto"/>
          </w:tcPr>
          <w:p w14:paraId="3DD28925" w14:textId="77777777" w:rsidR="008B7E19" w:rsidRPr="007E64F0" w:rsidRDefault="008B7E19" w:rsidP="008B7E19">
            <w:pPr>
              <w:pStyle w:val="08-Tabelageral"/>
              <w:ind w:left="113"/>
              <w:jc w:val="left"/>
              <w:rPr>
                <w:rFonts w:cs="Arial"/>
                <w:b w:val="0"/>
                <w:bCs w:val="0"/>
                <w:szCs w:val="14"/>
              </w:rPr>
            </w:pPr>
            <w:r>
              <w:rPr>
                <w:b w:val="0"/>
                <w:bCs w:val="0"/>
              </w:rPr>
              <w:t>I</w:t>
            </w:r>
            <w:r w:rsidRPr="00E038BB">
              <w:rPr>
                <w:b w:val="0"/>
                <w:bCs w:val="0"/>
              </w:rPr>
              <w:t>nterest expense</w:t>
            </w:r>
          </w:p>
        </w:tc>
        <w:tc>
          <w:tcPr>
            <w:tcW w:w="1441" w:type="dxa"/>
            <w:shd w:val="clear" w:color="auto" w:fill="auto"/>
            <w:vAlign w:val="center"/>
          </w:tcPr>
          <w:p w14:paraId="50E437D7" w14:textId="77777777" w:rsidR="008B7E19" w:rsidRPr="007E64F0"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rPr>
            </w:pPr>
            <w:r w:rsidRPr="007E64F0">
              <w:t>(3)</w:t>
            </w:r>
          </w:p>
        </w:tc>
        <w:tc>
          <w:tcPr>
            <w:tcW w:w="1441" w:type="dxa"/>
            <w:shd w:val="clear" w:color="auto" w:fill="auto"/>
            <w:vAlign w:val="center"/>
          </w:tcPr>
          <w:p w14:paraId="5E3F266B" w14:textId="77777777" w:rsidR="008B7E19" w:rsidRPr="007E64F0"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rPr>
            </w:pPr>
            <w:r w:rsidRPr="007E64F0">
              <w:t>(11)</w:t>
            </w:r>
          </w:p>
        </w:tc>
        <w:tc>
          <w:tcPr>
            <w:tcW w:w="1720" w:type="dxa"/>
            <w:tcBorders>
              <w:top w:val="nil"/>
              <w:left w:val="nil"/>
              <w:bottom w:val="nil"/>
              <w:right w:val="nil"/>
            </w:tcBorders>
            <w:shd w:val="clear" w:color="auto" w:fill="auto"/>
            <w:vAlign w:val="center"/>
          </w:tcPr>
          <w:p w14:paraId="37B1C59E" w14:textId="77777777" w:rsidR="008B7E19" w:rsidRPr="007E64F0"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rPr>
            </w:pPr>
            <w:r w:rsidRPr="007E64F0">
              <w:t>(0)</w:t>
            </w:r>
          </w:p>
        </w:tc>
        <w:tc>
          <w:tcPr>
            <w:tcW w:w="1720" w:type="dxa"/>
            <w:shd w:val="clear" w:color="auto" w:fill="auto"/>
            <w:vAlign w:val="center"/>
          </w:tcPr>
          <w:p w14:paraId="39F703B5" w14:textId="77777777" w:rsidR="008B7E19" w:rsidRPr="007E64F0"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rPr>
            </w:pPr>
            <w:r w:rsidRPr="007E64F0">
              <w:t>(0)</w:t>
            </w:r>
          </w:p>
        </w:tc>
      </w:tr>
      <w:tr w:rsidR="008B7E19" w:rsidRPr="007E64F0" w14:paraId="6868E88D"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shd w:val="clear" w:color="auto" w:fill="auto"/>
          </w:tcPr>
          <w:p w14:paraId="04E147BB" w14:textId="77777777" w:rsidR="008B7E19" w:rsidRPr="007E64F0" w:rsidRDefault="008B7E19" w:rsidP="008B7E19">
            <w:pPr>
              <w:pStyle w:val="08-Tabelageral"/>
              <w:ind w:left="113"/>
              <w:jc w:val="left"/>
              <w:rPr>
                <w:rFonts w:cs="Arial"/>
                <w:b w:val="0"/>
                <w:bCs w:val="0"/>
                <w:szCs w:val="14"/>
              </w:rPr>
            </w:pPr>
            <w:r>
              <w:rPr>
                <w:b w:val="0"/>
                <w:bCs w:val="0"/>
              </w:rPr>
              <w:t>Other financial expenses</w:t>
            </w:r>
          </w:p>
        </w:tc>
        <w:tc>
          <w:tcPr>
            <w:tcW w:w="1441" w:type="dxa"/>
            <w:shd w:val="clear" w:color="auto" w:fill="auto"/>
            <w:vAlign w:val="center"/>
          </w:tcPr>
          <w:p w14:paraId="5189853C" w14:textId="77777777" w:rsidR="008B7E19" w:rsidRPr="007E64F0"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7E64F0">
              <w:t>(254)</w:t>
            </w:r>
          </w:p>
        </w:tc>
        <w:tc>
          <w:tcPr>
            <w:tcW w:w="1441" w:type="dxa"/>
            <w:shd w:val="clear" w:color="auto" w:fill="auto"/>
            <w:vAlign w:val="center"/>
          </w:tcPr>
          <w:p w14:paraId="23C92065" w14:textId="77777777" w:rsidR="008B7E19" w:rsidRPr="007E64F0"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7E64F0">
              <w:t>(58</w:t>
            </w:r>
            <w:r>
              <w:t>4</w:t>
            </w:r>
            <w:r w:rsidRPr="007E64F0">
              <w:t>)</w:t>
            </w:r>
          </w:p>
        </w:tc>
        <w:tc>
          <w:tcPr>
            <w:tcW w:w="1720" w:type="dxa"/>
            <w:tcBorders>
              <w:top w:val="nil"/>
              <w:left w:val="nil"/>
              <w:bottom w:val="nil"/>
              <w:right w:val="nil"/>
            </w:tcBorders>
            <w:shd w:val="clear" w:color="auto" w:fill="auto"/>
            <w:vAlign w:val="center"/>
          </w:tcPr>
          <w:p w14:paraId="75EC951C" w14:textId="77777777" w:rsidR="008B7E19" w:rsidRPr="007E64F0"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7E64F0">
              <w:t>(289)</w:t>
            </w:r>
          </w:p>
        </w:tc>
        <w:tc>
          <w:tcPr>
            <w:tcW w:w="1720" w:type="dxa"/>
            <w:shd w:val="clear" w:color="auto" w:fill="auto"/>
            <w:vAlign w:val="center"/>
          </w:tcPr>
          <w:p w14:paraId="10214BE2" w14:textId="77777777" w:rsidR="008B7E19" w:rsidRPr="007E64F0"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7E64F0">
              <w:t>(541)</w:t>
            </w:r>
          </w:p>
        </w:tc>
      </w:tr>
      <w:tr w:rsidR="008B7E19" w:rsidRPr="0093520D" w14:paraId="2E5BD820" w14:textId="77777777" w:rsidTr="008B7E19">
        <w:trPr>
          <w:trHeight w:val="238"/>
          <w:jc w:val="center"/>
        </w:trPr>
        <w:tc>
          <w:tcPr>
            <w:cnfStyle w:val="001000000000" w:firstRow="0" w:lastRow="0" w:firstColumn="1" w:lastColumn="0" w:oddVBand="0" w:evenVBand="0" w:oddHBand="0" w:evenHBand="0" w:firstRowFirstColumn="0" w:firstRowLastColumn="0" w:lastRowFirstColumn="0" w:lastRowLastColumn="0"/>
            <w:tcW w:w="3317" w:type="dxa"/>
            <w:shd w:val="clear" w:color="auto" w:fill="auto"/>
          </w:tcPr>
          <w:p w14:paraId="1BAE660E" w14:textId="77777777" w:rsidR="008B7E19" w:rsidRPr="0093520D" w:rsidRDefault="008B7E19" w:rsidP="008B7E19">
            <w:pPr>
              <w:pStyle w:val="08-Tabelageral"/>
              <w:jc w:val="left"/>
              <w:rPr>
                <w:rFonts w:cs="Arial"/>
                <w:szCs w:val="14"/>
              </w:rPr>
            </w:pPr>
            <w:r w:rsidRPr="0093520D">
              <w:t>Resultado patrimonial</w:t>
            </w:r>
          </w:p>
        </w:tc>
        <w:tc>
          <w:tcPr>
            <w:tcW w:w="1441" w:type="dxa"/>
            <w:shd w:val="clear" w:color="auto" w:fill="auto"/>
            <w:vAlign w:val="center"/>
          </w:tcPr>
          <w:p w14:paraId="0C8DF218" w14:textId="77777777" w:rsidR="008B7E19" w:rsidRPr="0093520D"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b/>
                <w:bCs/>
              </w:rPr>
            </w:pPr>
            <w:r w:rsidRPr="0093520D">
              <w:rPr>
                <w:b/>
                <w:bCs/>
              </w:rPr>
              <w:t>(4,728)</w:t>
            </w:r>
          </w:p>
        </w:tc>
        <w:tc>
          <w:tcPr>
            <w:tcW w:w="1441" w:type="dxa"/>
            <w:shd w:val="clear" w:color="auto" w:fill="auto"/>
            <w:vAlign w:val="center"/>
          </w:tcPr>
          <w:p w14:paraId="3C8D2F60" w14:textId="77777777" w:rsidR="008B7E19" w:rsidRPr="0093520D"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b/>
                <w:bCs/>
              </w:rPr>
            </w:pPr>
            <w:r w:rsidRPr="0093520D">
              <w:rPr>
                <w:b/>
                <w:bCs/>
              </w:rPr>
              <w:t>(9,079)</w:t>
            </w:r>
          </w:p>
        </w:tc>
        <w:tc>
          <w:tcPr>
            <w:tcW w:w="1720" w:type="dxa"/>
            <w:tcBorders>
              <w:top w:val="nil"/>
              <w:left w:val="nil"/>
              <w:bottom w:val="nil"/>
              <w:right w:val="nil"/>
            </w:tcBorders>
            <w:shd w:val="clear" w:color="auto" w:fill="auto"/>
            <w:vAlign w:val="center"/>
          </w:tcPr>
          <w:p w14:paraId="0F5F599C" w14:textId="77777777" w:rsidR="008B7E19" w:rsidRPr="0093520D"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b/>
                <w:bCs/>
              </w:rPr>
            </w:pPr>
            <w:r w:rsidRPr="0093520D">
              <w:rPr>
                <w:b/>
                <w:bCs/>
              </w:rPr>
              <w:t>(4,016)</w:t>
            </w:r>
          </w:p>
        </w:tc>
        <w:tc>
          <w:tcPr>
            <w:tcW w:w="1720" w:type="dxa"/>
            <w:shd w:val="clear" w:color="auto" w:fill="auto"/>
            <w:vAlign w:val="center"/>
          </w:tcPr>
          <w:p w14:paraId="57FD6015" w14:textId="77777777" w:rsidR="008B7E19" w:rsidRPr="0093520D"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b/>
                <w:bCs/>
              </w:rPr>
            </w:pPr>
            <w:r w:rsidRPr="0093520D">
              <w:rPr>
                <w:b/>
                <w:bCs/>
              </w:rPr>
              <w:t>(8,199)</w:t>
            </w:r>
          </w:p>
        </w:tc>
      </w:tr>
      <w:tr w:rsidR="008B7E19" w:rsidRPr="007E64F0" w14:paraId="50509F9C"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shd w:val="clear" w:color="auto" w:fill="auto"/>
          </w:tcPr>
          <w:p w14:paraId="147F1CF1" w14:textId="77777777" w:rsidR="008B7E19" w:rsidRPr="007E64F0" w:rsidRDefault="008B7E19" w:rsidP="008B7E19">
            <w:pPr>
              <w:pStyle w:val="08-Tabelageral"/>
              <w:ind w:left="113"/>
              <w:jc w:val="left"/>
              <w:rPr>
                <w:rFonts w:cs="Arial"/>
                <w:b w:val="0"/>
                <w:bCs w:val="0"/>
                <w:szCs w:val="14"/>
              </w:rPr>
            </w:pPr>
            <w:r>
              <w:rPr>
                <w:b w:val="0"/>
                <w:bCs w:val="0"/>
              </w:rPr>
              <w:t>Depreciation and amortization</w:t>
            </w:r>
          </w:p>
        </w:tc>
        <w:tc>
          <w:tcPr>
            <w:tcW w:w="1441" w:type="dxa"/>
            <w:shd w:val="clear" w:color="auto" w:fill="auto"/>
            <w:vAlign w:val="center"/>
          </w:tcPr>
          <w:p w14:paraId="6B8610CE" w14:textId="77777777" w:rsidR="008B7E19" w:rsidRPr="007E64F0"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7E64F0">
              <w:t>(637)</w:t>
            </w:r>
          </w:p>
        </w:tc>
        <w:tc>
          <w:tcPr>
            <w:tcW w:w="1441" w:type="dxa"/>
            <w:shd w:val="clear" w:color="auto" w:fill="auto"/>
            <w:vAlign w:val="center"/>
          </w:tcPr>
          <w:p w14:paraId="113FA513" w14:textId="77777777" w:rsidR="008B7E19" w:rsidRPr="007E64F0"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7E64F0">
              <w:t>(1</w:t>
            </w:r>
            <w:r>
              <w:t>,</w:t>
            </w:r>
            <w:r w:rsidRPr="007E64F0">
              <w:t>210)</w:t>
            </w:r>
          </w:p>
        </w:tc>
        <w:tc>
          <w:tcPr>
            <w:tcW w:w="1720" w:type="dxa"/>
            <w:shd w:val="clear" w:color="auto" w:fill="auto"/>
            <w:vAlign w:val="center"/>
          </w:tcPr>
          <w:p w14:paraId="51AC95A7" w14:textId="77777777" w:rsidR="008B7E19" w:rsidRPr="007E64F0"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7E64F0">
              <w:t>(252)</w:t>
            </w:r>
          </w:p>
        </w:tc>
        <w:tc>
          <w:tcPr>
            <w:tcW w:w="1720" w:type="dxa"/>
            <w:shd w:val="clear" w:color="auto" w:fill="auto"/>
            <w:vAlign w:val="center"/>
          </w:tcPr>
          <w:p w14:paraId="64F61A02" w14:textId="77777777" w:rsidR="008B7E19" w:rsidRPr="007E64F0"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7E64F0">
              <w:t>(541)</w:t>
            </w:r>
          </w:p>
        </w:tc>
      </w:tr>
      <w:tr w:rsidR="008B7E19" w:rsidRPr="007E64F0" w14:paraId="009B4CEE" w14:textId="77777777" w:rsidTr="008B7E19">
        <w:trPr>
          <w:trHeight w:val="238"/>
          <w:jc w:val="center"/>
        </w:trPr>
        <w:tc>
          <w:tcPr>
            <w:cnfStyle w:val="001000000000" w:firstRow="0" w:lastRow="0" w:firstColumn="1" w:lastColumn="0" w:oddVBand="0" w:evenVBand="0" w:oddHBand="0" w:evenHBand="0" w:firstRowFirstColumn="0" w:firstRowLastColumn="0" w:lastRowFirstColumn="0" w:lastRowLastColumn="0"/>
            <w:tcW w:w="3317" w:type="dxa"/>
            <w:shd w:val="clear" w:color="auto" w:fill="auto"/>
          </w:tcPr>
          <w:p w14:paraId="4007F831" w14:textId="77777777" w:rsidR="008B7E19" w:rsidRPr="007E64F0" w:rsidRDefault="008B7E19" w:rsidP="008B7E19">
            <w:pPr>
              <w:pStyle w:val="08-Tabelageral"/>
              <w:ind w:left="113"/>
              <w:jc w:val="left"/>
              <w:rPr>
                <w:rFonts w:cs="Arial"/>
                <w:b w:val="0"/>
                <w:bCs w:val="0"/>
                <w:szCs w:val="14"/>
              </w:rPr>
            </w:pPr>
            <w:r w:rsidRPr="00E038BB">
              <w:rPr>
                <w:b w:val="0"/>
                <w:bCs w:val="0"/>
              </w:rPr>
              <w:t>Other equity income/expenses</w:t>
            </w:r>
          </w:p>
        </w:tc>
        <w:tc>
          <w:tcPr>
            <w:tcW w:w="1441" w:type="dxa"/>
            <w:shd w:val="clear" w:color="auto" w:fill="auto"/>
            <w:vAlign w:val="center"/>
          </w:tcPr>
          <w:p w14:paraId="0CC94573" w14:textId="77777777" w:rsidR="008B7E19" w:rsidRPr="007E64F0"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rPr>
            </w:pPr>
            <w:r w:rsidRPr="007E64F0">
              <w:t>(4</w:t>
            </w:r>
            <w:r>
              <w:t>,</w:t>
            </w:r>
            <w:r w:rsidRPr="007E64F0">
              <w:t>091)</w:t>
            </w:r>
          </w:p>
        </w:tc>
        <w:tc>
          <w:tcPr>
            <w:tcW w:w="1441" w:type="dxa"/>
            <w:shd w:val="clear" w:color="auto" w:fill="auto"/>
            <w:vAlign w:val="center"/>
          </w:tcPr>
          <w:p w14:paraId="2079F17F" w14:textId="77777777" w:rsidR="008B7E19" w:rsidRPr="007E64F0"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rPr>
            </w:pPr>
            <w:r w:rsidRPr="007E64F0">
              <w:t>(7</w:t>
            </w:r>
            <w:r>
              <w:t>,</w:t>
            </w:r>
            <w:r w:rsidRPr="007E64F0">
              <w:t>86</w:t>
            </w:r>
            <w:r>
              <w:t>9</w:t>
            </w:r>
            <w:r w:rsidRPr="007E64F0">
              <w:t>)</w:t>
            </w:r>
          </w:p>
        </w:tc>
        <w:tc>
          <w:tcPr>
            <w:tcW w:w="1720" w:type="dxa"/>
            <w:shd w:val="clear" w:color="auto" w:fill="auto"/>
            <w:vAlign w:val="center"/>
          </w:tcPr>
          <w:p w14:paraId="013248C4" w14:textId="77777777" w:rsidR="008B7E19" w:rsidRPr="007E64F0"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rPr>
            </w:pPr>
            <w:r w:rsidRPr="007E64F0">
              <w:t>(3</w:t>
            </w:r>
            <w:r>
              <w:t>,</w:t>
            </w:r>
            <w:r w:rsidRPr="007E64F0">
              <w:t>764)</w:t>
            </w:r>
          </w:p>
        </w:tc>
        <w:tc>
          <w:tcPr>
            <w:tcW w:w="1720" w:type="dxa"/>
            <w:shd w:val="clear" w:color="auto" w:fill="auto"/>
            <w:vAlign w:val="center"/>
          </w:tcPr>
          <w:p w14:paraId="011E4074" w14:textId="77777777" w:rsidR="008B7E19" w:rsidRPr="007E64F0"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rPr>
            </w:pPr>
            <w:r w:rsidRPr="007E64F0">
              <w:t>(7</w:t>
            </w:r>
            <w:r>
              <w:t>,</w:t>
            </w:r>
            <w:r w:rsidRPr="007E64F0">
              <w:t>658)</w:t>
            </w:r>
          </w:p>
        </w:tc>
      </w:tr>
      <w:tr w:rsidR="008B7E19" w:rsidRPr="0093520D" w14:paraId="0AC19662"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shd w:val="clear" w:color="auto" w:fill="auto"/>
          </w:tcPr>
          <w:p w14:paraId="60E2FA92" w14:textId="77777777" w:rsidR="008B7E19" w:rsidRPr="0093520D" w:rsidRDefault="008B7E19" w:rsidP="008B7E19">
            <w:pPr>
              <w:pStyle w:val="08-Tabelageral"/>
              <w:jc w:val="left"/>
              <w:rPr>
                <w:rFonts w:cs="Arial"/>
                <w:szCs w:val="14"/>
              </w:rPr>
            </w:pPr>
            <w:r w:rsidRPr="0093520D">
              <w:t>Other income and expenses</w:t>
            </w:r>
          </w:p>
        </w:tc>
        <w:tc>
          <w:tcPr>
            <w:tcW w:w="1441" w:type="dxa"/>
            <w:shd w:val="clear" w:color="auto" w:fill="auto"/>
            <w:vAlign w:val="center"/>
          </w:tcPr>
          <w:p w14:paraId="7EB395C3" w14:textId="77777777" w:rsidR="008B7E19" w:rsidRPr="0093520D"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b/>
                <w:bCs/>
              </w:rPr>
            </w:pPr>
            <w:r w:rsidRPr="0093520D">
              <w:rPr>
                <w:b/>
                <w:bCs/>
              </w:rPr>
              <w:t>(1,847)</w:t>
            </w:r>
          </w:p>
        </w:tc>
        <w:tc>
          <w:tcPr>
            <w:tcW w:w="1441" w:type="dxa"/>
            <w:shd w:val="clear" w:color="auto" w:fill="auto"/>
            <w:vAlign w:val="center"/>
          </w:tcPr>
          <w:p w14:paraId="4A855698" w14:textId="77777777" w:rsidR="008B7E19" w:rsidRPr="0093520D"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b/>
                <w:bCs/>
              </w:rPr>
            </w:pPr>
            <w:r w:rsidRPr="0093520D">
              <w:rPr>
                <w:b/>
                <w:bCs/>
              </w:rPr>
              <w:t>(4,309)</w:t>
            </w:r>
          </w:p>
        </w:tc>
        <w:tc>
          <w:tcPr>
            <w:tcW w:w="1720" w:type="dxa"/>
            <w:shd w:val="clear" w:color="auto" w:fill="auto"/>
            <w:vAlign w:val="center"/>
          </w:tcPr>
          <w:p w14:paraId="7857EFB0" w14:textId="77777777" w:rsidR="008B7E19" w:rsidRPr="0093520D"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b/>
                <w:bCs/>
              </w:rPr>
            </w:pPr>
            <w:r w:rsidRPr="0093520D">
              <w:rPr>
                <w:b/>
                <w:bCs/>
              </w:rPr>
              <w:t>(2,189)</w:t>
            </w:r>
          </w:p>
        </w:tc>
        <w:tc>
          <w:tcPr>
            <w:tcW w:w="1720" w:type="dxa"/>
            <w:shd w:val="clear" w:color="auto" w:fill="auto"/>
            <w:vAlign w:val="center"/>
          </w:tcPr>
          <w:p w14:paraId="60933769" w14:textId="77777777" w:rsidR="008B7E19" w:rsidRPr="0093520D"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b/>
                <w:bCs/>
              </w:rPr>
            </w:pPr>
            <w:r w:rsidRPr="0093520D">
              <w:rPr>
                <w:b/>
                <w:bCs/>
              </w:rPr>
              <w:t>(3,870)</w:t>
            </w:r>
          </w:p>
        </w:tc>
      </w:tr>
      <w:tr w:rsidR="008B7E19" w:rsidRPr="007E64F0" w14:paraId="3F4912FB" w14:textId="77777777" w:rsidTr="008B7E19">
        <w:trPr>
          <w:trHeight w:val="238"/>
          <w:jc w:val="center"/>
        </w:trPr>
        <w:tc>
          <w:tcPr>
            <w:cnfStyle w:val="001000000000" w:firstRow="0" w:lastRow="0" w:firstColumn="1" w:lastColumn="0" w:oddVBand="0" w:evenVBand="0" w:oddHBand="0" w:evenHBand="0" w:firstRowFirstColumn="0" w:firstRowLastColumn="0" w:lastRowFirstColumn="0" w:lastRowLastColumn="0"/>
            <w:tcW w:w="3317" w:type="dxa"/>
            <w:shd w:val="clear" w:color="auto" w:fill="auto"/>
          </w:tcPr>
          <w:p w14:paraId="3FB2DBE8" w14:textId="77777777" w:rsidR="008B7E19" w:rsidRPr="007E64F0" w:rsidRDefault="008B7E19" w:rsidP="008B7E19">
            <w:pPr>
              <w:pStyle w:val="08-Tabelageral"/>
              <w:ind w:left="113"/>
              <w:jc w:val="left"/>
              <w:rPr>
                <w:rFonts w:cs="Arial"/>
                <w:b w:val="0"/>
                <w:bCs w:val="0"/>
                <w:szCs w:val="14"/>
              </w:rPr>
            </w:pPr>
            <w:r>
              <w:rPr>
                <w:b w:val="0"/>
                <w:bCs w:val="0"/>
              </w:rPr>
              <w:t>Other income</w:t>
            </w:r>
          </w:p>
        </w:tc>
        <w:tc>
          <w:tcPr>
            <w:tcW w:w="1441" w:type="dxa"/>
            <w:shd w:val="clear" w:color="auto" w:fill="auto"/>
            <w:vAlign w:val="center"/>
          </w:tcPr>
          <w:p w14:paraId="4BAB36DC" w14:textId="77777777" w:rsidR="008B7E19" w:rsidRPr="007E64F0"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rPr>
            </w:pPr>
            <w:r w:rsidRPr="007E64F0">
              <w:t>0</w:t>
            </w:r>
          </w:p>
        </w:tc>
        <w:tc>
          <w:tcPr>
            <w:tcW w:w="1441" w:type="dxa"/>
            <w:shd w:val="clear" w:color="auto" w:fill="auto"/>
            <w:vAlign w:val="center"/>
          </w:tcPr>
          <w:p w14:paraId="02647F20" w14:textId="77777777" w:rsidR="008B7E19" w:rsidRPr="007E64F0"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rPr>
            </w:pPr>
            <w:r w:rsidRPr="007E64F0">
              <w:t>0</w:t>
            </w:r>
          </w:p>
        </w:tc>
        <w:tc>
          <w:tcPr>
            <w:tcW w:w="1720" w:type="dxa"/>
            <w:shd w:val="clear" w:color="auto" w:fill="auto"/>
            <w:vAlign w:val="center"/>
          </w:tcPr>
          <w:p w14:paraId="646DA2FF" w14:textId="77777777" w:rsidR="008B7E19" w:rsidRPr="007E64F0"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rPr>
            </w:pPr>
            <w:r w:rsidRPr="007E64F0">
              <w:t>0</w:t>
            </w:r>
          </w:p>
        </w:tc>
        <w:tc>
          <w:tcPr>
            <w:tcW w:w="1720" w:type="dxa"/>
            <w:shd w:val="clear" w:color="auto" w:fill="auto"/>
            <w:vAlign w:val="center"/>
          </w:tcPr>
          <w:p w14:paraId="5D130F91" w14:textId="77777777" w:rsidR="008B7E19" w:rsidRPr="007E64F0"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rPr>
            </w:pPr>
            <w:r w:rsidRPr="007E64F0">
              <w:t>0</w:t>
            </w:r>
          </w:p>
        </w:tc>
      </w:tr>
      <w:tr w:rsidR="008B7E19" w:rsidRPr="007E64F0" w14:paraId="5DA93BEA"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shd w:val="clear" w:color="auto" w:fill="auto"/>
          </w:tcPr>
          <w:p w14:paraId="7169F0D6" w14:textId="77777777" w:rsidR="008B7E19" w:rsidRPr="007E64F0" w:rsidRDefault="008B7E19" w:rsidP="008B7E19">
            <w:pPr>
              <w:pStyle w:val="08-Tabelageral"/>
              <w:ind w:left="113"/>
              <w:jc w:val="left"/>
              <w:rPr>
                <w:rFonts w:cs="Arial"/>
                <w:b w:val="0"/>
                <w:bCs w:val="0"/>
                <w:szCs w:val="14"/>
              </w:rPr>
            </w:pPr>
            <w:r>
              <w:rPr>
                <w:b w:val="0"/>
                <w:bCs w:val="0"/>
              </w:rPr>
              <w:t>Other expenses</w:t>
            </w:r>
          </w:p>
        </w:tc>
        <w:tc>
          <w:tcPr>
            <w:tcW w:w="1441" w:type="dxa"/>
            <w:shd w:val="clear" w:color="auto" w:fill="auto"/>
            <w:vAlign w:val="center"/>
          </w:tcPr>
          <w:p w14:paraId="084930CA" w14:textId="77777777" w:rsidR="008B7E19" w:rsidRPr="007E64F0"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7E64F0">
              <w:t>(1</w:t>
            </w:r>
            <w:r>
              <w:t>,</w:t>
            </w:r>
            <w:r w:rsidRPr="007E64F0">
              <w:t>847)</w:t>
            </w:r>
          </w:p>
        </w:tc>
        <w:tc>
          <w:tcPr>
            <w:tcW w:w="1441" w:type="dxa"/>
            <w:shd w:val="clear" w:color="auto" w:fill="auto"/>
            <w:vAlign w:val="center"/>
          </w:tcPr>
          <w:p w14:paraId="7AE17059" w14:textId="77777777" w:rsidR="008B7E19" w:rsidRPr="007E64F0"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7E64F0">
              <w:t>(4</w:t>
            </w:r>
            <w:r>
              <w:t>,</w:t>
            </w:r>
            <w:r w:rsidRPr="007E64F0">
              <w:t>309)</w:t>
            </w:r>
          </w:p>
        </w:tc>
        <w:tc>
          <w:tcPr>
            <w:tcW w:w="1720" w:type="dxa"/>
            <w:shd w:val="clear" w:color="auto" w:fill="auto"/>
            <w:vAlign w:val="center"/>
          </w:tcPr>
          <w:p w14:paraId="35A004A9" w14:textId="77777777" w:rsidR="008B7E19" w:rsidRPr="007E64F0"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7E64F0">
              <w:t>(2</w:t>
            </w:r>
            <w:r>
              <w:t>,</w:t>
            </w:r>
            <w:r w:rsidRPr="007E64F0">
              <w:t>189)</w:t>
            </w:r>
          </w:p>
        </w:tc>
        <w:tc>
          <w:tcPr>
            <w:tcW w:w="1720" w:type="dxa"/>
            <w:shd w:val="clear" w:color="auto" w:fill="auto"/>
            <w:vAlign w:val="center"/>
          </w:tcPr>
          <w:p w14:paraId="56DFAAD3" w14:textId="77777777" w:rsidR="008B7E19" w:rsidRPr="007E64F0"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7E64F0">
              <w:t>(3</w:t>
            </w:r>
            <w:r>
              <w:t>,</w:t>
            </w:r>
            <w:r w:rsidRPr="007E64F0">
              <w:t>870)</w:t>
            </w:r>
          </w:p>
        </w:tc>
      </w:tr>
      <w:tr w:rsidR="008B7E19" w:rsidRPr="0093520D" w14:paraId="3EE0617C" w14:textId="77777777" w:rsidTr="008B7E19">
        <w:trPr>
          <w:trHeight w:val="238"/>
          <w:jc w:val="center"/>
        </w:trPr>
        <w:tc>
          <w:tcPr>
            <w:cnfStyle w:val="001000000000" w:firstRow="0" w:lastRow="0" w:firstColumn="1" w:lastColumn="0" w:oddVBand="0" w:evenVBand="0" w:oddHBand="0" w:evenHBand="0" w:firstRowFirstColumn="0" w:firstRowLastColumn="0" w:lastRowFirstColumn="0" w:lastRowLastColumn="0"/>
            <w:tcW w:w="3317" w:type="dxa"/>
            <w:shd w:val="clear" w:color="auto" w:fill="auto"/>
          </w:tcPr>
          <w:p w14:paraId="406C62FD" w14:textId="77777777" w:rsidR="008B7E19" w:rsidRPr="0093520D" w:rsidRDefault="008B7E19" w:rsidP="008B7E19">
            <w:pPr>
              <w:pStyle w:val="08-Tabelageral"/>
              <w:jc w:val="left"/>
              <w:rPr>
                <w:rFonts w:cs="Arial"/>
                <w:szCs w:val="14"/>
              </w:rPr>
            </w:pPr>
            <w:r w:rsidRPr="0093520D">
              <w:t>Operational result</w:t>
            </w:r>
          </w:p>
        </w:tc>
        <w:tc>
          <w:tcPr>
            <w:tcW w:w="1441" w:type="dxa"/>
            <w:shd w:val="clear" w:color="auto" w:fill="auto"/>
            <w:vAlign w:val="center"/>
          </w:tcPr>
          <w:p w14:paraId="191E5BBB" w14:textId="77777777" w:rsidR="008B7E19" w:rsidRPr="0093520D"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b/>
                <w:bCs/>
              </w:rPr>
            </w:pPr>
            <w:r w:rsidRPr="0093520D">
              <w:rPr>
                <w:b/>
                <w:bCs/>
              </w:rPr>
              <w:t>1,407</w:t>
            </w:r>
          </w:p>
        </w:tc>
        <w:tc>
          <w:tcPr>
            <w:tcW w:w="1441" w:type="dxa"/>
            <w:shd w:val="clear" w:color="auto" w:fill="auto"/>
            <w:vAlign w:val="center"/>
          </w:tcPr>
          <w:p w14:paraId="3CB1C3EA" w14:textId="77777777" w:rsidR="008B7E19" w:rsidRPr="0093520D"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b/>
                <w:bCs/>
              </w:rPr>
            </w:pPr>
            <w:r w:rsidRPr="0093520D">
              <w:rPr>
                <w:b/>
                <w:bCs/>
              </w:rPr>
              <w:t>1,463</w:t>
            </w:r>
          </w:p>
        </w:tc>
        <w:tc>
          <w:tcPr>
            <w:tcW w:w="1720" w:type="dxa"/>
            <w:shd w:val="clear" w:color="auto" w:fill="auto"/>
            <w:vAlign w:val="center"/>
          </w:tcPr>
          <w:p w14:paraId="0AB5BD94" w14:textId="77777777" w:rsidR="008B7E19" w:rsidRPr="0093520D"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b/>
                <w:bCs/>
              </w:rPr>
            </w:pPr>
            <w:r w:rsidRPr="0093520D">
              <w:rPr>
                <w:b/>
                <w:bCs/>
              </w:rPr>
              <w:t>698</w:t>
            </w:r>
          </w:p>
        </w:tc>
        <w:tc>
          <w:tcPr>
            <w:tcW w:w="1720" w:type="dxa"/>
            <w:shd w:val="clear" w:color="auto" w:fill="auto"/>
            <w:vAlign w:val="center"/>
          </w:tcPr>
          <w:p w14:paraId="79369ADF" w14:textId="77777777" w:rsidR="008B7E19" w:rsidRPr="0093520D"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b/>
                <w:bCs/>
              </w:rPr>
            </w:pPr>
            <w:r w:rsidRPr="0093520D">
              <w:rPr>
                <w:b/>
                <w:bCs/>
              </w:rPr>
              <w:t>(755)</w:t>
            </w:r>
          </w:p>
        </w:tc>
      </w:tr>
      <w:tr w:rsidR="008B7E19" w:rsidRPr="0093520D" w14:paraId="44AA9B6C"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shd w:val="clear" w:color="auto" w:fill="auto"/>
          </w:tcPr>
          <w:p w14:paraId="4108B148" w14:textId="77777777" w:rsidR="008B7E19" w:rsidRPr="0093520D" w:rsidRDefault="008B7E19" w:rsidP="008B7E19">
            <w:pPr>
              <w:pStyle w:val="08-Tabelageral"/>
              <w:jc w:val="left"/>
              <w:rPr>
                <w:rFonts w:cs="Arial"/>
                <w:szCs w:val="14"/>
              </w:rPr>
            </w:pPr>
            <w:r w:rsidRPr="0093520D">
              <w:t>Income before taxes</w:t>
            </w:r>
          </w:p>
        </w:tc>
        <w:tc>
          <w:tcPr>
            <w:tcW w:w="1441" w:type="dxa"/>
            <w:shd w:val="clear" w:color="auto" w:fill="auto"/>
            <w:vAlign w:val="center"/>
          </w:tcPr>
          <w:p w14:paraId="0585EBD4" w14:textId="77777777" w:rsidR="008B7E19" w:rsidRPr="0093520D"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b/>
                <w:bCs/>
              </w:rPr>
            </w:pPr>
            <w:r w:rsidRPr="0093520D">
              <w:rPr>
                <w:b/>
                <w:bCs/>
              </w:rPr>
              <w:t>1,407</w:t>
            </w:r>
          </w:p>
        </w:tc>
        <w:tc>
          <w:tcPr>
            <w:tcW w:w="1441" w:type="dxa"/>
            <w:shd w:val="clear" w:color="auto" w:fill="auto"/>
            <w:vAlign w:val="center"/>
          </w:tcPr>
          <w:p w14:paraId="7DB4E13B" w14:textId="77777777" w:rsidR="008B7E19" w:rsidRPr="0093520D"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b/>
                <w:bCs/>
              </w:rPr>
            </w:pPr>
            <w:r w:rsidRPr="0093520D">
              <w:rPr>
                <w:b/>
                <w:bCs/>
              </w:rPr>
              <w:t>1,463</w:t>
            </w:r>
          </w:p>
        </w:tc>
        <w:tc>
          <w:tcPr>
            <w:tcW w:w="1720" w:type="dxa"/>
            <w:tcBorders>
              <w:top w:val="nil"/>
              <w:left w:val="nil"/>
              <w:bottom w:val="nil"/>
              <w:right w:val="nil"/>
            </w:tcBorders>
            <w:shd w:val="clear" w:color="auto" w:fill="auto"/>
            <w:vAlign w:val="center"/>
          </w:tcPr>
          <w:p w14:paraId="1F317DA3" w14:textId="77777777" w:rsidR="008B7E19" w:rsidRPr="0093520D"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b/>
                <w:bCs/>
              </w:rPr>
            </w:pPr>
            <w:r w:rsidRPr="0093520D">
              <w:rPr>
                <w:b/>
                <w:bCs/>
              </w:rPr>
              <w:t>698</w:t>
            </w:r>
          </w:p>
        </w:tc>
        <w:tc>
          <w:tcPr>
            <w:tcW w:w="1720" w:type="dxa"/>
            <w:shd w:val="clear" w:color="auto" w:fill="auto"/>
            <w:vAlign w:val="center"/>
          </w:tcPr>
          <w:p w14:paraId="48AD8A97" w14:textId="77777777" w:rsidR="008B7E19" w:rsidRPr="0093520D"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b/>
                <w:bCs/>
              </w:rPr>
            </w:pPr>
            <w:r w:rsidRPr="0093520D">
              <w:rPr>
                <w:b/>
                <w:bCs/>
              </w:rPr>
              <w:t>(755)</w:t>
            </w:r>
          </w:p>
        </w:tc>
      </w:tr>
      <w:tr w:rsidR="008B7E19" w:rsidRPr="007E64F0" w14:paraId="13E63302" w14:textId="77777777" w:rsidTr="008B7E19">
        <w:trPr>
          <w:trHeight w:val="238"/>
          <w:jc w:val="center"/>
        </w:trPr>
        <w:tc>
          <w:tcPr>
            <w:cnfStyle w:val="001000000000" w:firstRow="0" w:lastRow="0" w:firstColumn="1" w:lastColumn="0" w:oddVBand="0" w:evenVBand="0" w:oddHBand="0" w:evenHBand="0" w:firstRowFirstColumn="0" w:firstRowLastColumn="0" w:lastRowFirstColumn="0" w:lastRowLastColumn="0"/>
            <w:tcW w:w="3317" w:type="dxa"/>
            <w:shd w:val="clear" w:color="auto" w:fill="auto"/>
          </w:tcPr>
          <w:p w14:paraId="60194C88" w14:textId="77777777" w:rsidR="008B7E19" w:rsidRPr="00C9587F" w:rsidRDefault="008B7E19" w:rsidP="008B7E19">
            <w:pPr>
              <w:pStyle w:val="08-Tabelageral"/>
              <w:ind w:left="113"/>
              <w:jc w:val="left"/>
              <w:rPr>
                <w:b w:val="0"/>
                <w:bCs w:val="0"/>
              </w:rPr>
            </w:pPr>
            <w:r w:rsidRPr="00C9587F">
              <w:rPr>
                <w:b w:val="0"/>
                <w:bCs w:val="0"/>
              </w:rPr>
              <w:t>Taxes</w:t>
            </w:r>
          </w:p>
        </w:tc>
        <w:tc>
          <w:tcPr>
            <w:tcW w:w="1441" w:type="dxa"/>
            <w:shd w:val="clear" w:color="auto" w:fill="auto"/>
            <w:vAlign w:val="center"/>
          </w:tcPr>
          <w:p w14:paraId="4599F67E" w14:textId="77777777" w:rsidR="008B7E19" w:rsidRPr="007E64F0"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b/>
                <w:bCs/>
              </w:rPr>
            </w:pPr>
            <w:r w:rsidRPr="007E64F0">
              <w:t>(8)</w:t>
            </w:r>
          </w:p>
        </w:tc>
        <w:tc>
          <w:tcPr>
            <w:tcW w:w="1441" w:type="dxa"/>
            <w:shd w:val="clear" w:color="auto" w:fill="auto"/>
            <w:vAlign w:val="center"/>
          </w:tcPr>
          <w:p w14:paraId="3E9207A1" w14:textId="77777777" w:rsidR="008B7E19" w:rsidRPr="007E64F0"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b/>
                <w:bCs/>
              </w:rPr>
            </w:pPr>
            <w:r w:rsidRPr="007E64F0">
              <w:t>(14)</w:t>
            </w:r>
          </w:p>
        </w:tc>
        <w:tc>
          <w:tcPr>
            <w:tcW w:w="1720" w:type="dxa"/>
            <w:tcBorders>
              <w:top w:val="nil"/>
              <w:left w:val="nil"/>
              <w:bottom w:val="nil"/>
              <w:right w:val="nil"/>
            </w:tcBorders>
            <w:shd w:val="clear" w:color="auto" w:fill="auto"/>
            <w:vAlign w:val="center"/>
          </w:tcPr>
          <w:p w14:paraId="033B8CC0" w14:textId="77777777" w:rsidR="008B7E19" w:rsidRPr="007E64F0"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b/>
                <w:bCs/>
              </w:rPr>
            </w:pPr>
            <w:r w:rsidRPr="007E64F0">
              <w:t>(1</w:t>
            </w:r>
            <w:r>
              <w:t>8</w:t>
            </w:r>
            <w:r w:rsidRPr="007E64F0">
              <w:t>)</w:t>
            </w:r>
          </w:p>
        </w:tc>
        <w:tc>
          <w:tcPr>
            <w:tcW w:w="1720" w:type="dxa"/>
            <w:shd w:val="clear" w:color="auto" w:fill="auto"/>
            <w:vAlign w:val="center"/>
          </w:tcPr>
          <w:p w14:paraId="1E934C63" w14:textId="77777777" w:rsidR="008B7E19" w:rsidRPr="007E64F0"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b/>
                <w:bCs/>
              </w:rPr>
            </w:pPr>
            <w:r w:rsidRPr="007E64F0">
              <w:t>(2</w:t>
            </w:r>
            <w:r>
              <w:t>1</w:t>
            </w:r>
            <w:r w:rsidRPr="007E64F0">
              <w:t>)</w:t>
            </w:r>
          </w:p>
        </w:tc>
      </w:tr>
      <w:tr w:rsidR="008B7E19" w:rsidRPr="0093520D" w14:paraId="4A174BAD"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shd w:val="clear" w:color="auto" w:fill="auto"/>
          </w:tcPr>
          <w:p w14:paraId="013F9152" w14:textId="77777777" w:rsidR="008B7E19" w:rsidRPr="0093520D" w:rsidRDefault="008B7E19" w:rsidP="008B7E19">
            <w:pPr>
              <w:pStyle w:val="08-Tabelageral"/>
              <w:jc w:val="left"/>
              <w:rPr>
                <w:rFonts w:cs="Arial"/>
                <w:szCs w:val="14"/>
              </w:rPr>
            </w:pPr>
            <w:r w:rsidRPr="0093520D">
              <w:t>Net income</w:t>
            </w:r>
          </w:p>
        </w:tc>
        <w:tc>
          <w:tcPr>
            <w:tcW w:w="1441" w:type="dxa"/>
            <w:shd w:val="clear" w:color="auto" w:fill="auto"/>
            <w:vAlign w:val="center"/>
          </w:tcPr>
          <w:p w14:paraId="7EB6B61A" w14:textId="77777777" w:rsidR="008B7E19" w:rsidRPr="0093520D"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b/>
                <w:bCs/>
              </w:rPr>
            </w:pPr>
            <w:r w:rsidRPr="0093520D">
              <w:rPr>
                <w:b/>
                <w:bCs/>
              </w:rPr>
              <w:t>1,399</w:t>
            </w:r>
          </w:p>
        </w:tc>
        <w:tc>
          <w:tcPr>
            <w:tcW w:w="1441" w:type="dxa"/>
            <w:shd w:val="clear" w:color="auto" w:fill="auto"/>
            <w:vAlign w:val="center"/>
          </w:tcPr>
          <w:p w14:paraId="4274EFF1" w14:textId="77777777" w:rsidR="008B7E19" w:rsidRPr="0093520D"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b/>
                <w:bCs/>
              </w:rPr>
            </w:pPr>
            <w:r w:rsidRPr="0093520D">
              <w:rPr>
                <w:b/>
                <w:bCs/>
              </w:rPr>
              <w:t>1,449</w:t>
            </w:r>
          </w:p>
        </w:tc>
        <w:tc>
          <w:tcPr>
            <w:tcW w:w="1720" w:type="dxa"/>
            <w:tcBorders>
              <w:top w:val="nil"/>
              <w:left w:val="nil"/>
              <w:bottom w:val="nil"/>
              <w:right w:val="nil"/>
            </w:tcBorders>
            <w:shd w:val="clear" w:color="auto" w:fill="auto"/>
            <w:vAlign w:val="center"/>
          </w:tcPr>
          <w:p w14:paraId="1B25D688" w14:textId="77777777" w:rsidR="008B7E19" w:rsidRPr="0093520D"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b/>
                <w:bCs/>
              </w:rPr>
            </w:pPr>
            <w:r w:rsidRPr="0093520D">
              <w:rPr>
                <w:b/>
                <w:bCs/>
              </w:rPr>
              <w:t>680</w:t>
            </w:r>
          </w:p>
        </w:tc>
        <w:tc>
          <w:tcPr>
            <w:tcW w:w="1720" w:type="dxa"/>
            <w:shd w:val="clear" w:color="auto" w:fill="auto"/>
            <w:vAlign w:val="center"/>
          </w:tcPr>
          <w:p w14:paraId="15A3DB0D" w14:textId="77777777" w:rsidR="008B7E19" w:rsidRPr="0093520D"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b/>
                <w:bCs/>
              </w:rPr>
            </w:pPr>
            <w:r w:rsidRPr="0093520D">
              <w:rPr>
                <w:b/>
                <w:bCs/>
              </w:rPr>
              <w:t>(776)</w:t>
            </w:r>
          </w:p>
        </w:tc>
      </w:tr>
      <w:tr w:rsidR="008B7E19" w:rsidRPr="007E64F0" w14:paraId="4A6D28C4" w14:textId="77777777" w:rsidTr="008B7E19">
        <w:trPr>
          <w:trHeight w:val="238"/>
          <w:jc w:val="center"/>
        </w:trPr>
        <w:tc>
          <w:tcPr>
            <w:cnfStyle w:val="001000000000" w:firstRow="0" w:lastRow="0" w:firstColumn="1" w:lastColumn="0" w:oddVBand="0" w:evenVBand="0" w:oddHBand="0" w:evenHBand="0" w:firstRowFirstColumn="0" w:firstRowLastColumn="0" w:lastRowFirstColumn="0" w:lastRowLastColumn="0"/>
            <w:tcW w:w="3317" w:type="dxa"/>
            <w:tcBorders>
              <w:bottom w:val="nil"/>
            </w:tcBorders>
            <w:shd w:val="clear" w:color="auto" w:fill="auto"/>
          </w:tcPr>
          <w:p w14:paraId="7ABF1066" w14:textId="77777777" w:rsidR="008B7E19" w:rsidRPr="007E64F0" w:rsidRDefault="008B7E19" w:rsidP="008B7E19">
            <w:pPr>
              <w:pStyle w:val="08-Tabelageral"/>
              <w:ind w:left="113"/>
              <w:jc w:val="left"/>
              <w:rPr>
                <w:rFonts w:cs="Arial"/>
                <w:szCs w:val="14"/>
              </w:rPr>
            </w:pPr>
            <w:r w:rsidRPr="00C9587F">
              <w:rPr>
                <w:b w:val="0"/>
                <w:bCs w:val="0"/>
              </w:rPr>
              <w:t>Comprehensive income</w:t>
            </w:r>
          </w:p>
        </w:tc>
        <w:tc>
          <w:tcPr>
            <w:tcW w:w="1441" w:type="dxa"/>
            <w:tcBorders>
              <w:bottom w:val="nil"/>
            </w:tcBorders>
            <w:shd w:val="clear" w:color="auto" w:fill="auto"/>
            <w:vAlign w:val="center"/>
          </w:tcPr>
          <w:p w14:paraId="0EE5101E" w14:textId="77777777" w:rsidR="008B7E19" w:rsidRPr="007E64F0"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b/>
                <w:bCs/>
              </w:rPr>
            </w:pPr>
            <w:r w:rsidRPr="007E64F0">
              <w:t>1</w:t>
            </w:r>
            <w:r>
              <w:t>,</w:t>
            </w:r>
            <w:r w:rsidRPr="007E64F0">
              <w:t>399</w:t>
            </w:r>
          </w:p>
        </w:tc>
        <w:tc>
          <w:tcPr>
            <w:tcW w:w="1441" w:type="dxa"/>
            <w:tcBorders>
              <w:bottom w:val="nil"/>
            </w:tcBorders>
            <w:shd w:val="clear" w:color="auto" w:fill="auto"/>
            <w:vAlign w:val="center"/>
          </w:tcPr>
          <w:p w14:paraId="04A81A81" w14:textId="77777777" w:rsidR="008B7E19" w:rsidRPr="007E64F0"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b/>
                <w:bCs/>
              </w:rPr>
            </w:pPr>
            <w:r w:rsidRPr="007E64F0">
              <w:t>1</w:t>
            </w:r>
            <w:r>
              <w:t>,</w:t>
            </w:r>
            <w:r w:rsidRPr="007E64F0">
              <w:t>449</w:t>
            </w:r>
          </w:p>
        </w:tc>
        <w:tc>
          <w:tcPr>
            <w:tcW w:w="1720" w:type="dxa"/>
            <w:tcBorders>
              <w:bottom w:val="nil"/>
            </w:tcBorders>
            <w:shd w:val="clear" w:color="auto" w:fill="auto"/>
            <w:vAlign w:val="center"/>
          </w:tcPr>
          <w:p w14:paraId="400D84E7" w14:textId="77777777" w:rsidR="008B7E19" w:rsidRPr="007E64F0"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b/>
                <w:bCs/>
              </w:rPr>
            </w:pPr>
            <w:r w:rsidRPr="007E64F0">
              <w:t>680</w:t>
            </w:r>
          </w:p>
        </w:tc>
        <w:tc>
          <w:tcPr>
            <w:tcW w:w="1720" w:type="dxa"/>
            <w:tcBorders>
              <w:bottom w:val="nil"/>
            </w:tcBorders>
            <w:shd w:val="clear" w:color="auto" w:fill="auto"/>
            <w:vAlign w:val="center"/>
          </w:tcPr>
          <w:p w14:paraId="61B07B0A" w14:textId="77777777" w:rsidR="008B7E19" w:rsidRPr="007E64F0"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b/>
                <w:bCs/>
              </w:rPr>
            </w:pPr>
            <w:r w:rsidRPr="007E64F0">
              <w:t>(776)</w:t>
            </w:r>
          </w:p>
        </w:tc>
      </w:tr>
      <w:tr w:rsidR="008B7E19" w:rsidRPr="0093520D" w14:paraId="1227AEA3"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tcBorders>
              <w:top w:val="nil"/>
              <w:bottom w:val="nil"/>
            </w:tcBorders>
            <w:shd w:val="clear" w:color="auto" w:fill="auto"/>
            <w:vAlign w:val="center"/>
          </w:tcPr>
          <w:p w14:paraId="58C1C3E3" w14:textId="77777777" w:rsidR="008B7E19" w:rsidRPr="0093520D" w:rsidRDefault="008B7E19" w:rsidP="008B7E19">
            <w:pPr>
              <w:pStyle w:val="08-Tabelageral"/>
              <w:jc w:val="left"/>
              <w:rPr>
                <w:rFonts w:cs="Arial"/>
                <w:szCs w:val="14"/>
              </w:rPr>
            </w:pPr>
            <w:r w:rsidRPr="0093520D">
              <w:rPr>
                <w:rFonts w:cs="Arial"/>
                <w:color w:val="000000"/>
                <w:szCs w:val="14"/>
              </w:rPr>
              <w:t>Attributable to BB Seguridade</w:t>
            </w:r>
          </w:p>
        </w:tc>
        <w:tc>
          <w:tcPr>
            <w:tcW w:w="1441" w:type="dxa"/>
            <w:tcBorders>
              <w:top w:val="nil"/>
              <w:bottom w:val="nil"/>
            </w:tcBorders>
            <w:shd w:val="clear" w:color="auto" w:fill="auto"/>
            <w:vAlign w:val="center"/>
          </w:tcPr>
          <w:p w14:paraId="1C84CFC2" w14:textId="77777777" w:rsidR="008B7E19" w:rsidRPr="0093520D"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93520D">
              <w:rPr>
                <w:rFonts w:cs="Arial"/>
                <w:b/>
                <w:bCs/>
                <w:szCs w:val="14"/>
              </w:rPr>
              <w:t>1,050</w:t>
            </w:r>
          </w:p>
        </w:tc>
        <w:tc>
          <w:tcPr>
            <w:tcW w:w="1441" w:type="dxa"/>
            <w:tcBorders>
              <w:top w:val="nil"/>
              <w:bottom w:val="nil"/>
            </w:tcBorders>
            <w:shd w:val="clear" w:color="auto" w:fill="auto"/>
            <w:vAlign w:val="center"/>
          </w:tcPr>
          <w:p w14:paraId="2E22F55B" w14:textId="77777777" w:rsidR="008B7E19" w:rsidRPr="0093520D" w:rsidRDefault="008B7E19" w:rsidP="008B7E19">
            <w:pPr>
              <w:jc w:val="right"/>
              <w:cnfStyle w:val="000000100000" w:firstRow="0" w:lastRow="0" w:firstColumn="0" w:lastColumn="0" w:oddVBand="0" w:evenVBand="0" w:oddHBand="1" w:evenHBand="0" w:firstRowFirstColumn="0" w:firstRowLastColumn="0" w:lastRowFirstColumn="0" w:lastRowLastColumn="0"/>
              <w:rPr>
                <w:rFonts w:eastAsia="Times New Roman" w:cs="Arial"/>
                <w:b/>
                <w:bCs/>
                <w:color w:val="000000"/>
                <w:sz w:val="14"/>
                <w:szCs w:val="14"/>
              </w:rPr>
            </w:pPr>
            <w:r w:rsidRPr="0093520D">
              <w:rPr>
                <w:rFonts w:cs="Arial"/>
                <w:b/>
                <w:bCs/>
                <w:color w:val="000000"/>
                <w:sz w:val="14"/>
                <w:szCs w:val="14"/>
              </w:rPr>
              <w:t xml:space="preserve">      1,088 </w:t>
            </w:r>
          </w:p>
        </w:tc>
        <w:tc>
          <w:tcPr>
            <w:tcW w:w="1720" w:type="dxa"/>
            <w:tcBorders>
              <w:top w:val="nil"/>
              <w:bottom w:val="nil"/>
            </w:tcBorders>
            <w:shd w:val="clear" w:color="auto" w:fill="auto"/>
            <w:vAlign w:val="center"/>
          </w:tcPr>
          <w:p w14:paraId="0E2B8086" w14:textId="77777777" w:rsidR="008B7E19" w:rsidRPr="0093520D"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93520D">
              <w:rPr>
                <w:rFonts w:cs="Arial"/>
                <w:b/>
                <w:bCs/>
                <w:szCs w:val="14"/>
              </w:rPr>
              <w:t>510</w:t>
            </w:r>
          </w:p>
        </w:tc>
        <w:tc>
          <w:tcPr>
            <w:tcW w:w="1720" w:type="dxa"/>
            <w:tcBorders>
              <w:top w:val="nil"/>
              <w:bottom w:val="nil"/>
            </w:tcBorders>
            <w:shd w:val="clear" w:color="auto" w:fill="auto"/>
            <w:vAlign w:val="center"/>
          </w:tcPr>
          <w:p w14:paraId="35EE4DB3" w14:textId="77777777" w:rsidR="008B7E19" w:rsidRPr="0093520D"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93520D">
              <w:rPr>
                <w:rFonts w:cs="Arial"/>
                <w:b/>
                <w:bCs/>
                <w:szCs w:val="14"/>
              </w:rPr>
              <w:t>(582)</w:t>
            </w:r>
          </w:p>
        </w:tc>
      </w:tr>
      <w:tr w:rsidR="008B7E19" w:rsidRPr="007E64F0" w14:paraId="7D486CFE" w14:textId="77777777" w:rsidTr="008B7E19">
        <w:trPr>
          <w:trHeight w:val="238"/>
          <w:jc w:val="center"/>
        </w:trPr>
        <w:tc>
          <w:tcPr>
            <w:cnfStyle w:val="001000000000" w:firstRow="0" w:lastRow="0" w:firstColumn="1" w:lastColumn="0" w:oddVBand="0" w:evenVBand="0" w:oddHBand="0" w:evenHBand="0" w:firstRowFirstColumn="0" w:firstRowLastColumn="0" w:lastRowFirstColumn="0" w:lastRowLastColumn="0"/>
            <w:tcW w:w="3317" w:type="dxa"/>
            <w:tcBorders>
              <w:top w:val="nil"/>
              <w:bottom w:val="nil"/>
            </w:tcBorders>
            <w:shd w:val="clear" w:color="auto" w:fill="auto"/>
            <w:vAlign w:val="center"/>
          </w:tcPr>
          <w:p w14:paraId="17635831" w14:textId="77777777" w:rsidR="008B7E19" w:rsidRPr="00C9587F" w:rsidRDefault="008B7E19" w:rsidP="008B7E19">
            <w:pPr>
              <w:pStyle w:val="08-Tabelageral"/>
              <w:ind w:left="113"/>
              <w:jc w:val="left"/>
              <w:rPr>
                <w:b w:val="0"/>
                <w:bCs w:val="0"/>
              </w:rPr>
            </w:pPr>
            <w:r>
              <w:rPr>
                <w:b w:val="0"/>
                <w:bCs w:val="0"/>
              </w:rPr>
              <w:t>B</w:t>
            </w:r>
            <w:r w:rsidRPr="00C9587F">
              <w:rPr>
                <w:b w:val="0"/>
                <w:bCs w:val="0"/>
              </w:rPr>
              <w:t>alance adjustment</w:t>
            </w:r>
          </w:p>
        </w:tc>
        <w:tc>
          <w:tcPr>
            <w:tcW w:w="1441" w:type="dxa"/>
            <w:tcBorders>
              <w:top w:val="nil"/>
              <w:bottom w:val="nil"/>
            </w:tcBorders>
            <w:shd w:val="clear" w:color="auto" w:fill="auto"/>
            <w:vAlign w:val="center"/>
          </w:tcPr>
          <w:p w14:paraId="593B1363" w14:textId="77777777" w:rsidR="008B7E19" w:rsidRPr="007E64F0"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b/>
                <w:bCs/>
                <w:szCs w:val="14"/>
              </w:rPr>
            </w:pPr>
            <w:r w:rsidRPr="007E64F0">
              <w:rPr>
                <w:rFonts w:cs="Arial"/>
                <w:b/>
                <w:bCs/>
                <w:szCs w:val="14"/>
              </w:rPr>
              <w:t>--</w:t>
            </w:r>
          </w:p>
        </w:tc>
        <w:tc>
          <w:tcPr>
            <w:tcW w:w="1441" w:type="dxa"/>
            <w:tcBorders>
              <w:top w:val="nil"/>
              <w:bottom w:val="nil"/>
            </w:tcBorders>
            <w:shd w:val="clear" w:color="auto" w:fill="auto"/>
            <w:vAlign w:val="center"/>
          </w:tcPr>
          <w:p w14:paraId="4A6390A9" w14:textId="77777777" w:rsidR="008B7E19" w:rsidRPr="007E64F0"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b/>
                <w:bCs/>
                <w:szCs w:val="14"/>
              </w:rPr>
            </w:pPr>
            <w:r w:rsidRPr="007E64F0">
              <w:rPr>
                <w:rFonts w:cs="Arial"/>
                <w:b/>
                <w:bCs/>
                <w:szCs w:val="14"/>
              </w:rPr>
              <w:t>--</w:t>
            </w:r>
          </w:p>
        </w:tc>
        <w:tc>
          <w:tcPr>
            <w:tcW w:w="1720" w:type="dxa"/>
            <w:tcBorders>
              <w:top w:val="nil"/>
              <w:bottom w:val="nil"/>
            </w:tcBorders>
            <w:shd w:val="clear" w:color="auto" w:fill="auto"/>
            <w:vAlign w:val="center"/>
          </w:tcPr>
          <w:p w14:paraId="68B1791C" w14:textId="77777777" w:rsidR="008B7E19" w:rsidRPr="007E64F0"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b/>
                <w:bCs/>
                <w:szCs w:val="14"/>
              </w:rPr>
            </w:pPr>
            <w:r w:rsidRPr="007E64F0">
              <w:rPr>
                <w:rFonts w:cs="Arial"/>
                <w:b/>
                <w:bCs/>
                <w:szCs w:val="14"/>
              </w:rPr>
              <w:t>125</w:t>
            </w:r>
          </w:p>
        </w:tc>
        <w:tc>
          <w:tcPr>
            <w:tcW w:w="1720" w:type="dxa"/>
            <w:tcBorders>
              <w:top w:val="nil"/>
              <w:bottom w:val="nil"/>
            </w:tcBorders>
            <w:shd w:val="clear" w:color="auto" w:fill="auto"/>
            <w:vAlign w:val="center"/>
          </w:tcPr>
          <w:p w14:paraId="7B801F94" w14:textId="77777777" w:rsidR="008B7E19" w:rsidRPr="007E64F0"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b/>
                <w:bCs/>
                <w:szCs w:val="14"/>
              </w:rPr>
            </w:pPr>
            <w:r w:rsidRPr="007E64F0">
              <w:rPr>
                <w:rFonts w:cs="Arial"/>
                <w:b/>
                <w:bCs/>
                <w:szCs w:val="14"/>
              </w:rPr>
              <w:t>378</w:t>
            </w:r>
          </w:p>
        </w:tc>
      </w:tr>
      <w:tr w:rsidR="008B7E19" w:rsidRPr="0093520D" w14:paraId="0D35F965"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tcBorders>
              <w:top w:val="nil"/>
              <w:bottom w:val="single" w:sz="2" w:space="0" w:color="1F4E79" w:themeColor="accent1" w:themeShade="80"/>
            </w:tcBorders>
            <w:shd w:val="clear" w:color="auto" w:fill="auto"/>
            <w:vAlign w:val="center"/>
          </w:tcPr>
          <w:p w14:paraId="5E8A52C5" w14:textId="77777777" w:rsidR="008B7E19" w:rsidRPr="0093520D" w:rsidRDefault="008B7E19" w:rsidP="008B7E19">
            <w:pPr>
              <w:pStyle w:val="08-Tabelageral"/>
              <w:jc w:val="left"/>
              <w:rPr>
                <w:rFonts w:cs="Arial"/>
                <w:szCs w:val="14"/>
              </w:rPr>
            </w:pPr>
            <w:r w:rsidRPr="0093520D">
              <w:rPr>
                <w:rFonts w:cs="Arial"/>
                <w:color w:val="000000"/>
                <w:szCs w:val="14"/>
              </w:rPr>
              <w:t>Equity income</w:t>
            </w:r>
          </w:p>
        </w:tc>
        <w:tc>
          <w:tcPr>
            <w:tcW w:w="1441" w:type="dxa"/>
            <w:tcBorders>
              <w:top w:val="nil"/>
              <w:bottom w:val="single" w:sz="2" w:space="0" w:color="1F4E79" w:themeColor="accent1" w:themeShade="80"/>
            </w:tcBorders>
            <w:shd w:val="clear" w:color="auto" w:fill="auto"/>
            <w:vAlign w:val="center"/>
          </w:tcPr>
          <w:p w14:paraId="7B962B33" w14:textId="77777777" w:rsidR="008B7E19" w:rsidRPr="0093520D"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93520D">
              <w:rPr>
                <w:rFonts w:cs="Arial"/>
                <w:b/>
                <w:bCs/>
                <w:szCs w:val="14"/>
              </w:rPr>
              <w:t>1,050</w:t>
            </w:r>
          </w:p>
        </w:tc>
        <w:tc>
          <w:tcPr>
            <w:tcW w:w="1441" w:type="dxa"/>
            <w:tcBorders>
              <w:top w:val="nil"/>
              <w:bottom w:val="single" w:sz="2" w:space="0" w:color="1F4E79" w:themeColor="accent1" w:themeShade="80"/>
            </w:tcBorders>
            <w:shd w:val="clear" w:color="auto" w:fill="auto"/>
            <w:vAlign w:val="center"/>
          </w:tcPr>
          <w:p w14:paraId="4B044959" w14:textId="77777777" w:rsidR="008B7E19" w:rsidRPr="0093520D" w:rsidRDefault="008B7E19" w:rsidP="008B7E19">
            <w:pPr>
              <w:jc w:val="right"/>
              <w:cnfStyle w:val="000000100000" w:firstRow="0" w:lastRow="0" w:firstColumn="0" w:lastColumn="0" w:oddVBand="0" w:evenVBand="0" w:oddHBand="1" w:evenHBand="0" w:firstRowFirstColumn="0" w:firstRowLastColumn="0" w:lastRowFirstColumn="0" w:lastRowLastColumn="0"/>
              <w:rPr>
                <w:rFonts w:eastAsia="Times New Roman" w:cs="Arial"/>
                <w:b/>
                <w:bCs/>
                <w:color w:val="000000"/>
                <w:sz w:val="14"/>
                <w:szCs w:val="14"/>
              </w:rPr>
            </w:pPr>
            <w:r w:rsidRPr="0093520D">
              <w:rPr>
                <w:rFonts w:cs="Arial"/>
                <w:b/>
                <w:bCs/>
                <w:color w:val="000000"/>
                <w:sz w:val="14"/>
                <w:szCs w:val="14"/>
              </w:rPr>
              <w:t xml:space="preserve">      1,088 </w:t>
            </w:r>
          </w:p>
        </w:tc>
        <w:tc>
          <w:tcPr>
            <w:tcW w:w="1720" w:type="dxa"/>
            <w:tcBorders>
              <w:top w:val="nil"/>
              <w:bottom w:val="single" w:sz="2" w:space="0" w:color="1F4E79" w:themeColor="accent1" w:themeShade="80"/>
            </w:tcBorders>
            <w:shd w:val="clear" w:color="auto" w:fill="auto"/>
            <w:vAlign w:val="center"/>
          </w:tcPr>
          <w:p w14:paraId="7E7EC50D" w14:textId="77777777" w:rsidR="008B7E19" w:rsidRPr="0093520D"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93520D">
              <w:rPr>
                <w:rFonts w:cs="Arial"/>
                <w:b/>
                <w:bCs/>
                <w:szCs w:val="14"/>
              </w:rPr>
              <w:t>635</w:t>
            </w:r>
          </w:p>
        </w:tc>
        <w:tc>
          <w:tcPr>
            <w:tcW w:w="1720" w:type="dxa"/>
            <w:tcBorders>
              <w:top w:val="nil"/>
              <w:bottom w:val="single" w:sz="2" w:space="0" w:color="1F4E79" w:themeColor="accent1" w:themeShade="80"/>
            </w:tcBorders>
            <w:shd w:val="clear" w:color="auto" w:fill="auto"/>
            <w:vAlign w:val="center"/>
          </w:tcPr>
          <w:p w14:paraId="605A8F3D" w14:textId="77777777" w:rsidR="008B7E19" w:rsidRPr="0093520D"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93520D">
              <w:rPr>
                <w:rFonts w:cs="Arial"/>
                <w:b/>
                <w:bCs/>
                <w:szCs w:val="14"/>
              </w:rPr>
              <w:t>(204)</w:t>
            </w:r>
          </w:p>
        </w:tc>
      </w:tr>
    </w:tbl>
    <w:p w14:paraId="6AAD502F" w14:textId="77777777" w:rsidR="008B7E19" w:rsidRDefault="008B7E19" w:rsidP="008B7E19">
      <w:pPr>
        <w:spacing w:after="0" w:line="240" w:lineRule="auto"/>
        <w:rPr>
          <w:rFonts w:eastAsia="Times New Roman" w:cs="Times New Roman"/>
          <w:b/>
          <w:color w:val="1F4E79" w:themeColor="accent1" w:themeShade="80"/>
          <w:spacing w:val="-2"/>
          <w:szCs w:val="20"/>
          <w:lang w:val="en-US" w:eastAsia="pt-BR"/>
        </w:rPr>
      </w:pPr>
    </w:p>
    <w:p w14:paraId="23B34907" w14:textId="77777777" w:rsidR="008B7E19" w:rsidRDefault="008B7E19" w:rsidP="008B7E19">
      <w:pPr>
        <w:keepNext/>
        <w:keepLines/>
        <w:spacing w:after="0" w:line="240" w:lineRule="auto"/>
        <w:rPr>
          <w:rFonts w:eastAsia="Times New Roman" w:cs="Times New Roman"/>
          <w:b/>
          <w:color w:val="1F4E79" w:themeColor="accent1" w:themeShade="80"/>
          <w:spacing w:val="-2"/>
          <w:szCs w:val="20"/>
          <w:lang w:eastAsia="pt-BR"/>
        </w:rPr>
      </w:pPr>
      <w:r>
        <w:rPr>
          <w:rFonts w:eastAsia="Times New Roman" w:cs="Times New Roman"/>
          <w:b/>
          <w:color w:val="1F4E79" w:themeColor="accent1" w:themeShade="80"/>
          <w:spacing w:val="-2"/>
          <w:szCs w:val="20"/>
          <w:lang w:eastAsia="pt-BR"/>
        </w:rPr>
        <w:t>Balance Sheet Information</w:t>
      </w:r>
    </w:p>
    <w:p w14:paraId="30055787" w14:textId="77777777" w:rsidR="008B7E19" w:rsidRPr="00C91A1E" w:rsidRDefault="008B7E19" w:rsidP="008B7E19">
      <w:pPr>
        <w:pStyle w:val="01-TtulodeNota"/>
        <w:spacing w:before="0" w:after="0"/>
        <w:jc w:val="right"/>
        <w:rPr>
          <w:sz w:val="14"/>
          <w:szCs w:val="14"/>
        </w:rPr>
      </w:pPr>
      <w:r w:rsidRPr="00C91A1E">
        <w:rPr>
          <w:sz w:val="14"/>
          <w:szCs w:val="14"/>
        </w:rPr>
        <w:t xml:space="preserve">R$ </w:t>
      </w:r>
      <w:r>
        <w:rPr>
          <w:sz w:val="14"/>
          <w:szCs w:val="14"/>
        </w:rPr>
        <w:t>thousand</w:t>
      </w:r>
    </w:p>
    <w:tbl>
      <w:tblPr>
        <w:tblStyle w:val="TabeladeLista6Colorida-nfase5"/>
        <w:tblW w:w="9639" w:type="dxa"/>
        <w:jc w:val="center"/>
        <w:tblLayout w:type="fixed"/>
        <w:tblLook w:val="04A0" w:firstRow="1" w:lastRow="0" w:firstColumn="1" w:lastColumn="0" w:noHBand="0" w:noVBand="1"/>
      </w:tblPr>
      <w:tblGrid>
        <w:gridCol w:w="4820"/>
        <w:gridCol w:w="2409"/>
        <w:gridCol w:w="2410"/>
      </w:tblGrid>
      <w:tr w:rsidR="008B7E19" w:rsidRPr="00805B55" w14:paraId="73B676FE" w14:textId="77777777" w:rsidTr="008B7E19">
        <w:trPr>
          <w:cnfStyle w:val="100000000000" w:firstRow="1" w:lastRow="0" w:firstColumn="0" w:lastColumn="0" w:oddVBand="0" w:evenVBand="0" w:oddHBand="0" w:evenHBand="0" w:firstRowFirstColumn="0" w:firstRowLastColumn="0" w:lastRowFirstColumn="0" w:lastRowLastColumn="0"/>
          <w:trHeight w:hRule="exact" w:val="283"/>
          <w:jc w:val="center"/>
        </w:trPr>
        <w:tc>
          <w:tcPr>
            <w:cnfStyle w:val="001000000000" w:firstRow="0" w:lastRow="0" w:firstColumn="1" w:lastColumn="0" w:oddVBand="0" w:evenVBand="0" w:oddHBand="0" w:evenHBand="0" w:firstRowFirstColumn="0" w:firstRowLastColumn="0" w:lastRowFirstColumn="0" w:lastRowLastColumn="0"/>
            <w:tcW w:w="4820" w:type="dxa"/>
            <w:tcBorders>
              <w:top w:val="single" w:sz="2" w:space="0" w:color="1F4E79" w:themeColor="accent1" w:themeShade="80"/>
              <w:bottom w:val="single" w:sz="2" w:space="0" w:color="1F4E79" w:themeColor="accent1" w:themeShade="80"/>
            </w:tcBorders>
            <w:shd w:val="clear" w:color="auto" w:fill="auto"/>
            <w:vAlign w:val="center"/>
          </w:tcPr>
          <w:p w14:paraId="57FBA28B" w14:textId="77777777" w:rsidR="008B7E19" w:rsidRPr="00D318F3" w:rsidRDefault="008B7E19" w:rsidP="008B7E19">
            <w:pPr>
              <w:pStyle w:val="08-Tabelageral"/>
              <w:jc w:val="left"/>
              <w:rPr>
                <w:rFonts w:cs="Arial"/>
                <w:b w:val="0"/>
                <w:bCs w:val="0"/>
                <w:highlight w:val="yellow"/>
              </w:rPr>
            </w:pPr>
          </w:p>
        </w:tc>
        <w:tc>
          <w:tcPr>
            <w:tcW w:w="2409" w:type="dxa"/>
            <w:tcBorders>
              <w:top w:val="single" w:sz="2" w:space="0" w:color="1F4E79" w:themeColor="accent1" w:themeShade="80"/>
              <w:bottom w:val="single" w:sz="2" w:space="0" w:color="1F4E79" w:themeColor="accent1" w:themeShade="80"/>
            </w:tcBorders>
            <w:shd w:val="clear" w:color="auto" w:fill="auto"/>
            <w:vAlign w:val="center"/>
          </w:tcPr>
          <w:p w14:paraId="6B9799CB" w14:textId="77777777" w:rsidR="008B7E19" w:rsidRPr="00D318F3" w:rsidRDefault="008B7E19" w:rsidP="008B7E19">
            <w:pPr>
              <w:pStyle w:val="08-Tabelageral"/>
              <w:ind w:left="113"/>
              <w:cnfStyle w:val="100000000000" w:firstRow="1" w:lastRow="0" w:firstColumn="0" w:lastColumn="0" w:oddVBand="0" w:evenVBand="0" w:oddHBand="0" w:evenHBand="0" w:firstRowFirstColumn="0" w:firstRowLastColumn="0" w:lastRowFirstColumn="0" w:lastRowLastColumn="0"/>
              <w:rPr>
                <w:rFonts w:cs="Arial"/>
              </w:rPr>
            </w:pPr>
            <w:r>
              <w:rPr>
                <w:rFonts w:cs="Arial"/>
              </w:rPr>
              <w:t>June 30, 2023</w:t>
            </w:r>
          </w:p>
        </w:tc>
        <w:tc>
          <w:tcPr>
            <w:tcW w:w="2410" w:type="dxa"/>
            <w:tcBorders>
              <w:top w:val="single" w:sz="2" w:space="0" w:color="1F4E79" w:themeColor="accent1" w:themeShade="80"/>
              <w:bottom w:val="single" w:sz="2" w:space="0" w:color="1F4E79" w:themeColor="accent1" w:themeShade="80"/>
            </w:tcBorders>
            <w:shd w:val="clear" w:color="auto" w:fill="auto"/>
            <w:vAlign w:val="center"/>
          </w:tcPr>
          <w:p w14:paraId="31F3DEC8" w14:textId="77777777" w:rsidR="008B7E19" w:rsidRPr="00D318F3" w:rsidRDefault="008B7E19" w:rsidP="008B7E19">
            <w:pPr>
              <w:pStyle w:val="08-Tabelageral"/>
              <w:ind w:left="113"/>
              <w:cnfStyle w:val="100000000000" w:firstRow="1" w:lastRow="0" w:firstColumn="0" w:lastColumn="0" w:oddVBand="0" w:evenVBand="0" w:oddHBand="0" w:evenHBand="0" w:firstRowFirstColumn="0" w:firstRowLastColumn="0" w:lastRowFirstColumn="0" w:lastRowLastColumn="0"/>
              <w:rPr>
                <w:rFonts w:cs="Arial"/>
              </w:rPr>
            </w:pPr>
            <w:r>
              <w:rPr>
                <w:rFonts w:cs="Arial"/>
              </w:rPr>
              <w:t>Dec 31, 2022</w:t>
            </w:r>
          </w:p>
        </w:tc>
      </w:tr>
      <w:tr w:rsidR="008B7E19" w:rsidRPr="00D318F3" w14:paraId="1223C7C9" w14:textId="77777777" w:rsidTr="008B7E19">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single" w:sz="2" w:space="0" w:color="1F4E79" w:themeColor="accent1" w:themeShade="80"/>
              <w:bottom w:val="nil"/>
            </w:tcBorders>
            <w:shd w:val="clear" w:color="auto" w:fill="auto"/>
          </w:tcPr>
          <w:p w14:paraId="39FFF465" w14:textId="77777777" w:rsidR="008B7E19" w:rsidRPr="00D318F3" w:rsidRDefault="008B7E19" w:rsidP="008B7E19">
            <w:pPr>
              <w:pStyle w:val="08-Tabelageral"/>
              <w:jc w:val="left"/>
              <w:rPr>
                <w:rFonts w:cs="Arial"/>
                <w:szCs w:val="14"/>
                <w:highlight w:val="yellow"/>
              </w:rPr>
            </w:pPr>
            <w:r>
              <w:t>Current Assets</w:t>
            </w:r>
            <w:r w:rsidRPr="00D318F3">
              <w:t xml:space="preserve"> </w:t>
            </w:r>
          </w:p>
        </w:tc>
        <w:tc>
          <w:tcPr>
            <w:tcW w:w="2409" w:type="dxa"/>
            <w:tcBorders>
              <w:top w:val="single" w:sz="2" w:space="0" w:color="1F4E79" w:themeColor="accent1" w:themeShade="80"/>
              <w:left w:val="nil"/>
              <w:bottom w:val="nil"/>
              <w:right w:val="nil"/>
            </w:tcBorders>
            <w:shd w:val="clear" w:color="auto" w:fill="auto"/>
          </w:tcPr>
          <w:p w14:paraId="2B4FA5ED" w14:textId="77777777" w:rsidR="008B7E19" w:rsidRPr="00D318F3"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b/>
                <w:bCs/>
                <w:highlight w:val="yellow"/>
              </w:rPr>
            </w:pPr>
            <w:r w:rsidRPr="00C15118">
              <w:t>10</w:t>
            </w:r>
            <w:r>
              <w:t>,</w:t>
            </w:r>
            <w:r w:rsidRPr="00C15118">
              <w:t>200</w:t>
            </w:r>
          </w:p>
        </w:tc>
        <w:tc>
          <w:tcPr>
            <w:tcW w:w="2410" w:type="dxa"/>
            <w:tcBorders>
              <w:top w:val="single" w:sz="2" w:space="0" w:color="1F4E79" w:themeColor="accent1" w:themeShade="80"/>
              <w:left w:val="nil"/>
              <w:bottom w:val="nil"/>
              <w:right w:val="nil"/>
            </w:tcBorders>
            <w:shd w:val="clear" w:color="auto" w:fill="auto"/>
          </w:tcPr>
          <w:p w14:paraId="299D49C5" w14:textId="77777777" w:rsidR="008B7E19" w:rsidRPr="00D318F3" w:rsidRDefault="008B7E19" w:rsidP="008B7E19">
            <w:pPr>
              <w:pStyle w:val="08-Tabelageral"/>
              <w:ind w:left="113"/>
              <w:cnfStyle w:val="000000100000" w:firstRow="0" w:lastRow="0" w:firstColumn="0" w:lastColumn="0" w:oddVBand="0" w:evenVBand="0" w:oddHBand="1" w:evenHBand="0" w:firstRowFirstColumn="0" w:firstRowLastColumn="0" w:lastRowFirstColumn="0" w:lastRowLastColumn="0"/>
              <w:rPr>
                <w:b/>
                <w:bCs/>
                <w:color w:val="auto"/>
                <w:highlight w:val="yellow"/>
              </w:rPr>
            </w:pPr>
            <w:r w:rsidRPr="00C15118">
              <w:rPr>
                <w:b/>
                <w:bCs/>
              </w:rPr>
              <w:t xml:space="preserve"> 12</w:t>
            </w:r>
            <w:r>
              <w:rPr>
                <w:b/>
                <w:bCs/>
              </w:rPr>
              <w:t>,</w:t>
            </w:r>
            <w:r w:rsidRPr="00C15118">
              <w:rPr>
                <w:b/>
                <w:bCs/>
              </w:rPr>
              <w:t xml:space="preserve">898 </w:t>
            </w:r>
          </w:p>
        </w:tc>
      </w:tr>
      <w:tr w:rsidR="008B7E19" w:rsidRPr="00CD78B9" w14:paraId="7D8657B9" w14:textId="77777777" w:rsidTr="008B7E19">
        <w:trPr>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shd w:val="clear" w:color="auto" w:fill="auto"/>
          </w:tcPr>
          <w:p w14:paraId="01B42CDC" w14:textId="77777777" w:rsidR="008B7E19" w:rsidRPr="00D318F3" w:rsidRDefault="008B7E19" w:rsidP="008B7E19">
            <w:pPr>
              <w:pStyle w:val="08-Tabelageral"/>
              <w:ind w:left="113"/>
              <w:jc w:val="left"/>
              <w:rPr>
                <w:rFonts w:cs="Arial"/>
                <w:b w:val="0"/>
                <w:bCs w:val="0"/>
                <w:szCs w:val="14"/>
                <w:highlight w:val="yellow"/>
              </w:rPr>
            </w:pPr>
            <w:r>
              <w:rPr>
                <w:b w:val="0"/>
                <w:bCs w:val="0"/>
              </w:rPr>
              <w:t>Cash and cash equivalents</w:t>
            </w:r>
          </w:p>
        </w:tc>
        <w:tc>
          <w:tcPr>
            <w:tcW w:w="2409" w:type="dxa"/>
            <w:tcBorders>
              <w:top w:val="nil"/>
              <w:left w:val="nil"/>
              <w:bottom w:val="nil"/>
              <w:right w:val="nil"/>
            </w:tcBorders>
            <w:shd w:val="clear" w:color="auto" w:fill="auto"/>
          </w:tcPr>
          <w:p w14:paraId="7829A84B" w14:textId="77777777" w:rsidR="008B7E19" w:rsidRPr="0095285B"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highlight w:val="yellow"/>
              </w:rPr>
            </w:pPr>
            <w:r w:rsidRPr="00C15118">
              <w:t>221</w:t>
            </w:r>
          </w:p>
        </w:tc>
        <w:tc>
          <w:tcPr>
            <w:tcW w:w="2410" w:type="dxa"/>
            <w:tcBorders>
              <w:top w:val="nil"/>
              <w:left w:val="nil"/>
              <w:bottom w:val="nil"/>
              <w:right w:val="nil"/>
            </w:tcBorders>
            <w:shd w:val="clear" w:color="auto" w:fill="auto"/>
          </w:tcPr>
          <w:p w14:paraId="712A442D" w14:textId="77777777" w:rsidR="008B7E19" w:rsidRPr="0095285B"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highlight w:val="yellow"/>
              </w:rPr>
            </w:pPr>
            <w:r w:rsidRPr="00C15118">
              <w:t xml:space="preserve"> 1</w:t>
            </w:r>
            <w:r>
              <w:t>,</w:t>
            </w:r>
            <w:r w:rsidRPr="00C15118">
              <w:t xml:space="preserve">487 </w:t>
            </w:r>
          </w:p>
        </w:tc>
      </w:tr>
      <w:tr w:rsidR="008B7E19" w:rsidRPr="001D6BE8" w14:paraId="2FF41ACE"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shd w:val="clear" w:color="auto" w:fill="auto"/>
          </w:tcPr>
          <w:p w14:paraId="25E04B45" w14:textId="77777777" w:rsidR="008B7E19" w:rsidRPr="00D318F3" w:rsidRDefault="008B7E19" w:rsidP="008B7E19">
            <w:pPr>
              <w:pStyle w:val="08-Tabelageral"/>
              <w:ind w:left="113"/>
              <w:jc w:val="left"/>
              <w:rPr>
                <w:rFonts w:cs="Arial"/>
                <w:b w:val="0"/>
                <w:bCs w:val="0"/>
                <w:szCs w:val="14"/>
                <w:highlight w:val="yellow"/>
              </w:rPr>
            </w:pPr>
            <w:r>
              <w:rPr>
                <w:b w:val="0"/>
                <w:bCs w:val="0"/>
              </w:rPr>
              <w:t>Financial instruments</w:t>
            </w:r>
          </w:p>
        </w:tc>
        <w:tc>
          <w:tcPr>
            <w:tcW w:w="2409" w:type="dxa"/>
            <w:tcBorders>
              <w:top w:val="nil"/>
              <w:left w:val="nil"/>
              <w:bottom w:val="nil"/>
              <w:right w:val="nil"/>
            </w:tcBorders>
            <w:shd w:val="clear" w:color="auto" w:fill="auto"/>
          </w:tcPr>
          <w:p w14:paraId="28B461AC" w14:textId="77777777" w:rsidR="008B7E19" w:rsidRPr="0095285B"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highlight w:val="yellow"/>
              </w:rPr>
            </w:pPr>
            <w:r w:rsidRPr="00C15118">
              <w:t>0</w:t>
            </w:r>
          </w:p>
        </w:tc>
        <w:tc>
          <w:tcPr>
            <w:tcW w:w="2410" w:type="dxa"/>
            <w:tcBorders>
              <w:top w:val="nil"/>
              <w:left w:val="nil"/>
              <w:bottom w:val="nil"/>
              <w:right w:val="nil"/>
            </w:tcBorders>
            <w:shd w:val="clear" w:color="auto" w:fill="auto"/>
          </w:tcPr>
          <w:p w14:paraId="2B13C187" w14:textId="77777777" w:rsidR="008B7E19" w:rsidRPr="0095285B"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highlight w:val="yellow"/>
              </w:rPr>
            </w:pPr>
            <w:r w:rsidRPr="00C15118">
              <w:t xml:space="preserve"> 1 </w:t>
            </w:r>
          </w:p>
        </w:tc>
      </w:tr>
      <w:tr w:rsidR="008B7E19" w:rsidRPr="001D6BE8" w14:paraId="6A7FD88D" w14:textId="77777777" w:rsidTr="008B7E19">
        <w:trPr>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shd w:val="clear" w:color="auto" w:fill="auto"/>
          </w:tcPr>
          <w:p w14:paraId="42B5249B" w14:textId="77777777" w:rsidR="008B7E19" w:rsidRPr="00D318F3" w:rsidRDefault="008B7E19" w:rsidP="008B7E19">
            <w:pPr>
              <w:pStyle w:val="08-Tabelageral"/>
              <w:ind w:left="113"/>
              <w:jc w:val="left"/>
              <w:rPr>
                <w:rFonts w:cs="Arial"/>
                <w:b w:val="0"/>
                <w:bCs w:val="0"/>
                <w:szCs w:val="14"/>
                <w:highlight w:val="yellow"/>
              </w:rPr>
            </w:pPr>
            <w:r>
              <w:rPr>
                <w:b w:val="0"/>
                <w:bCs w:val="0"/>
              </w:rPr>
              <w:t>Other assets</w:t>
            </w:r>
          </w:p>
        </w:tc>
        <w:tc>
          <w:tcPr>
            <w:tcW w:w="2409" w:type="dxa"/>
            <w:tcBorders>
              <w:top w:val="nil"/>
              <w:left w:val="nil"/>
              <w:bottom w:val="nil"/>
              <w:right w:val="nil"/>
            </w:tcBorders>
            <w:shd w:val="clear" w:color="auto" w:fill="auto"/>
          </w:tcPr>
          <w:p w14:paraId="3A4A2AFF" w14:textId="77777777" w:rsidR="008B7E19" w:rsidRPr="0095285B"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highlight w:val="yellow"/>
              </w:rPr>
            </w:pPr>
            <w:r w:rsidRPr="00C15118">
              <w:t>9</w:t>
            </w:r>
            <w:r>
              <w:t>,</w:t>
            </w:r>
            <w:r w:rsidRPr="00C15118">
              <w:t>979</w:t>
            </w:r>
          </w:p>
        </w:tc>
        <w:tc>
          <w:tcPr>
            <w:tcW w:w="2410" w:type="dxa"/>
            <w:tcBorders>
              <w:top w:val="nil"/>
              <w:left w:val="nil"/>
              <w:bottom w:val="nil"/>
              <w:right w:val="nil"/>
            </w:tcBorders>
            <w:shd w:val="clear" w:color="auto" w:fill="auto"/>
          </w:tcPr>
          <w:p w14:paraId="4A604690" w14:textId="77777777" w:rsidR="008B7E19" w:rsidRPr="0095285B"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highlight w:val="yellow"/>
              </w:rPr>
            </w:pPr>
            <w:r w:rsidRPr="00C15118">
              <w:t xml:space="preserve"> 11</w:t>
            </w:r>
            <w:r>
              <w:t>,</w:t>
            </w:r>
            <w:r w:rsidRPr="00C15118">
              <w:t xml:space="preserve">410 </w:t>
            </w:r>
          </w:p>
        </w:tc>
      </w:tr>
      <w:tr w:rsidR="008B7E19" w:rsidRPr="00D318F3" w14:paraId="068259D4"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shd w:val="clear" w:color="auto" w:fill="auto"/>
          </w:tcPr>
          <w:p w14:paraId="45A39C0C" w14:textId="77777777" w:rsidR="008B7E19" w:rsidRPr="00D318F3" w:rsidRDefault="008B7E19" w:rsidP="008B7E19">
            <w:pPr>
              <w:pStyle w:val="08-Tabelageral"/>
              <w:jc w:val="left"/>
              <w:rPr>
                <w:rFonts w:cs="Arial"/>
                <w:szCs w:val="14"/>
                <w:highlight w:val="yellow"/>
              </w:rPr>
            </w:pPr>
            <w:r>
              <w:t>Non-Current Assets</w:t>
            </w:r>
            <w:r w:rsidRPr="00D318F3">
              <w:t xml:space="preserve"> </w:t>
            </w:r>
          </w:p>
        </w:tc>
        <w:tc>
          <w:tcPr>
            <w:tcW w:w="2409" w:type="dxa"/>
            <w:tcBorders>
              <w:top w:val="nil"/>
              <w:left w:val="nil"/>
              <w:bottom w:val="nil"/>
              <w:right w:val="nil"/>
            </w:tcBorders>
            <w:shd w:val="clear" w:color="auto" w:fill="auto"/>
          </w:tcPr>
          <w:p w14:paraId="30A657BF" w14:textId="77777777" w:rsidR="008B7E19" w:rsidRPr="00D318F3"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highlight w:val="yellow"/>
              </w:rPr>
            </w:pPr>
            <w:r w:rsidRPr="00C15118">
              <w:rPr>
                <w:rFonts w:cs="Arial"/>
                <w:b/>
                <w:bCs/>
                <w:szCs w:val="14"/>
              </w:rPr>
              <w:t>8</w:t>
            </w:r>
            <w:r>
              <w:rPr>
                <w:rFonts w:cs="Arial"/>
                <w:b/>
                <w:bCs/>
                <w:szCs w:val="14"/>
              </w:rPr>
              <w:t>,</w:t>
            </w:r>
            <w:r w:rsidRPr="00C15118">
              <w:rPr>
                <w:rFonts w:cs="Arial"/>
                <w:b/>
                <w:bCs/>
                <w:szCs w:val="14"/>
              </w:rPr>
              <w:t>786</w:t>
            </w:r>
          </w:p>
        </w:tc>
        <w:tc>
          <w:tcPr>
            <w:tcW w:w="2410" w:type="dxa"/>
            <w:tcBorders>
              <w:top w:val="nil"/>
              <w:bottom w:val="nil"/>
            </w:tcBorders>
            <w:shd w:val="clear" w:color="auto" w:fill="auto"/>
          </w:tcPr>
          <w:p w14:paraId="7880F6A0" w14:textId="77777777" w:rsidR="008B7E19" w:rsidRPr="00D318F3"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b/>
                <w:bCs/>
                <w:highlight w:val="yellow"/>
              </w:rPr>
            </w:pPr>
            <w:r w:rsidRPr="00C15118">
              <w:rPr>
                <w:b/>
                <w:bCs/>
              </w:rPr>
              <w:t xml:space="preserve"> 7</w:t>
            </w:r>
            <w:r>
              <w:rPr>
                <w:b/>
                <w:bCs/>
              </w:rPr>
              <w:t>,</w:t>
            </w:r>
            <w:r w:rsidRPr="00C15118">
              <w:rPr>
                <w:b/>
                <w:bCs/>
              </w:rPr>
              <w:t xml:space="preserve">677 </w:t>
            </w:r>
          </w:p>
        </w:tc>
      </w:tr>
      <w:tr w:rsidR="008B7E19" w:rsidRPr="009A4C3D" w14:paraId="7EA55ADB" w14:textId="77777777" w:rsidTr="008B7E19">
        <w:trPr>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shd w:val="clear" w:color="auto" w:fill="auto"/>
          </w:tcPr>
          <w:p w14:paraId="51BCDDAD" w14:textId="77777777" w:rsidR="008B7E19" w:rsidRPr="00D318F3" w:rsidRDefault="008B7E19" w:rsidP="008B7E19">
            <w:pPr>
              <w:pStyle w:val="08-Tabelageral"/>
              <w:ind w:left="113"/>
              <w:jc w:val="left"/>
              <w:rPr>
                <w:rFonts w:cs="Arial"/>
                <w:b w:val="0"/>
                <w:bCs w:val="0"/>
                <w:szCs w:val="14"/>
                <w:highlight w:val="yellow"/>
              </w:rPr>
            </w:pPr>
            <w:r>
              <w:rPr>
                <w:b w:val="0"/>
                <w:bCs w:val="0"/>
              </w:rPr>
              <w:t>Other assets</w:t>
            </w:r>
            <w:r w:rsidRPr="00D318F3">
              <w:rPr>
                <w:b w:val="0"/>
                <w:bCs w:val="0"/>
              </w:rPr>
              <w:t xml:space="preserve"> </w:t>
            </w:r>
          </w:p>
        </w:tc>
        <w:tc>
          <w:tcPr>
            <w:tcW w:w="2409" w:type="dxa"/>
            <w:tcBorders>
              <w:top w:val="nil"/>
              <w:left w:val="nil"/>
              <w:bottom w:val="nil"/>
              <w:right w:val="nil"/>
            </w:tcBorders>
            <w:shd w:val="clear" w:color="auto" w:fill="auto"/>
          </w:tcPr>
          <w:p w14:paraId="55911083" w14:textId="77777777" w:rsidR="008B7E19" w:rsidRPr="0095285B"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szCs w:val="14"/>
                <w:highlight w:val="yellow"/>
              </w:rPr>
            </w:pPr>
            <w:r w:rsidRPr="00C15118">
              <w:rPr>
                <w:rFonts w:cs="Arial"/>
                <w:szCs w:val="14"/>
              </w:rPr>
              <w:t>8</w:t>
            </w:r>
            <w:r>
              <w:rPr>
                <w:rFonts w:cs="Arial"/>
                <w:szCs w:val="14"/>
              </w:rPr>
              <w:t>,</w:t>
            </w:r>
            <w:r w:rsidRPr="00C15118">
              <w:rPr>
                <w:rFonts w:cs="Arial"/>
                <w:szCs w:val="14"/>
              </w:rPr>
              <w:t>786</w:t>
            </w:r>
          </w:p>
        </w:tc>
        <w:tc>
          <w:tcPr>
            <w:tcW w:w="2410" w:type="dxa"/>
            <w:tcBorders>
              <w:top w:val="nil"/>
              <w:left w:val="nil"/>
              <w:bottom w:val="nil"/>
              <w:right w:val="nil"/>
            </w:tcBorders>
            <w:shd w:val="clear" w:color="auto" w:fill="auto"/>
          </w:tcPr>
          <w:p w14:paraId="39334330" w14:textId="77777777" w:rsidR="008B7E19" w:rsidRPr="0095285B"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highlight w:val="yellow"/>
              </w:rPr>
            </w:pPr>
            <w:r w:rsidRPr="00C15118">
              <w:t xml:space="preserve"> 7</w:t>
            </w:r>
            <w:r>
              <w:t>,</w:t>
            </w:r>
            <w:r w:rsidRPr="00C15118">
              <w:t xml:space="preserve">677 </w:t>
            </w:r>
          </w:p>
        </w:tc>
      </w:tr>
      <w:tr w:rsidR="008B7E19" w:rsidRPr="00D318F3" w14:paraId="02573C2D"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shd w:val="clear" w:color="auto" w:fill="auto"/>
          </w:tcPr>
          <w:p w14:paraId="289B7C45" w14:textId="77777777" w:rsidR="008B7E19" w:rsidRPr="00D318F3" w:rsidRDefault="008B7E19" w:rsidP="008B7E19">
            <w:pPr>
              <w:pStyle w:val="08-Tabelageral"/>
              <w:jc w:val="left"/>
              <w:rPr>
                <w:rFonts w:cs="Arial"/>
                <w:szCs w:val="14"/>
                <w:highlight w:val="yellow"/>
              </w:rPr>
            </w:pPr>
            <w:r>
              <w:t>Current Liabilities</w:t>
            </w:r>
          </w:p>
        </w:tc>
        <w:tc>
          <w:tcPr>
            <w:tcW w:w="2409" w:type="dxa"/>
            <w:tcBorders>
              <w:top w:val="nil"/>
              <w:bottom w:val="nil"/>
            </w:tcBorders>
            <w:shd w:val="clear" w:color="auto" w:fill="auto"/>
          </w:tcPr>
          <w:p w14:paraId="6FFB2E84" w14:textId="77777777" w:rsidR="008B7E19" w:rsidRPr="00D318F3"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highlight w:val="yellow"/>
              </w:rPr>
            </w:pPr>
            <w:r w:rsidRPr="00C15118">
              <w:t>15</w:t>
            </w:r>
            <w:r>
              <w:t>,</w:t>
            </w:r>
            <w:r w:rsidRPr="00C15118">
              <w:t>637</w:t>
            </w:r>
          </w:p>
        </w:tc>
        <w:tc>
          <w:tcPr>
            <w:tcW w:w="2410" w:type="dxa"/>
            <w:tcBorders>
              <w:top w:val="nil"/>
              <w:bottom w:val="nil"/>
            </w:tcBorders>
            <w:shd w:val="clear" w:color="auto" w:fill="auto"/>
          </w:tcPr>
          <w:p w14:paraId="12347AC9" w14:textId="77777777" w:rsidR="008B7E19" w:rsidRPr="00D318F3"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b/>
                <w:bCs/>
                <w:highlight w:val="yellow"/>
              </w:rPr>
            </w:pPr>
            <w:r w:rsidRPr="00C15118">
              <w:rPr>
                <w:b/>
                <w:bCs/>
              </w:rPr>
              <w:t xml:space="preserve"> 18</w:t>
            </w:r>
            <w:r>
              <w:rPr>
                <w:b/>
                <w:bCs/>
              </w:rPr>
              <w:t>,</w:t>
            </w:r>
            <w:r w:rsidRPr="00C15118">
              <w:rPr>
                <w:b/>
                <w:bCs/>
              </w:rPr>
              <w:t xml:space="preserve">567 </w:t>
            </w:r>
          </w:p>
        </w:tc>
      </w:tr>
      <w:tr w:rsidR="008B7E19" w:rsidRPr="001D6BE8" w14:paraId="02848449" w14:textId="77777777" w:rsidTr="008B7E19">
        <w:trPr>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shd w:val="clear" w:color="auto" w:fill="auto"/>
          </w:tcPr>
          <w:p w14:paraId="67AC44F1" w14:textId="77777777" w:rsidR="008B7E19" w:rsidRPr="00D318F3" w:rsidRDefault="008B7E19" w:rsidP="008B7E19">
            <w:pPr>
              <w:pStyle w:val="08-Tabelageral"/>
              <w:ind w:left="113"/>
              <w:jc w:val="left"/>
              <w:rPr>
                <w:rFonts w:cs="Arial"/>
                <w:b w:val="0"/>
                <w:bCs w:val="0"/>
                <w:szCs w:val="14"/>
                <w:highlight w:val="yellow"/>
              </w:rPr>
            </w:pPr>
            <w:r>
              <w:rPr>
                <w:b w:val="0"/>
                <w:bCs w:val="0"/>
              </w:rPr>
              <w:t>Financial liabilities</w:t>
            </w:r>
          </w:p>
        </w:tc>
        <w:tc>
          <w:tcPr>
            <w:tcW w:w="2409" w:type="dxa"/>
            <w:tcBorders>
              <w:top w:val="nil"/>
              <w:bottom w:val="nil"/>
            </w:tcBorders>
            <w:shd w:val="clear" w:color="auto" w:fill="auto"/>
          </w:tcPr>
          <w:p w14:paraId="56DDAD0A" w14:textId="77777777" w:rsidR="008B7E19" w:rsidRPr="0095285B"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b/>
                <w:szCs w:val="14"/>
                <w:highlight w:val="yellow"/>
              </w:rPr>
            </w:pPr>
            <w:r w:rsidRPr="00C15118">
              <w:t>1</w:t>
            </w:r>
            <w:r>
              <w:t>,</w:t>
            </w:r>
            <w:r w:rsidRPr="00C15118">
              <w:t>911</w:t>
            </w:r>
          </w:p>
        </w:tc>
        <w:tc>
          <w:tcPr>
            <w:tcW w:w="2410" w:type="dxa"/>
            <w:tcBorders>
              <w:top w:val="nil"/>
              <w:bottom w:val="nil"/>
            </w:tcBorders>
            <w:shd w:val="clear" w:color="auto" w:fill="auto"/>
          </w:tcPr>
          <w:p w14:paraId="11444129" w14:textId="77777777" w:rsidR="008B7E19" w:rsidRPr="0095285B"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b/>
                <w:bCs/>
                <w:highlight w:val="yellow"/>
              </w:rPr>
            </w:pPr>
            <w:r w:rsidRPr="00C15118">
              <w:t xml:space="preserve"> 1</w:t>
            </w:r>
            <w:r>
              <w:t>,</w:t>
            </w:r>
            <w:r w:rsidRPr="00C15118">
              <w:t xml:space="preserve">683 </w:t>
            </w:r>
          </w:p>
        </w:tc>
      </w:tr>
      <w:tr w:rsidR="008B7E19" w:rsidRPr="001D6BE8" w14:paraId="678B3CFB"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shd w:val="clear" w:color="auto" w:fill="auto"/>
          </w:tcPr>
          <w:p w14:paraId="30D39573" w14:textId="77777777" w:rsidR="008B7E19" w:rsidRPr="00D318F3" w:rsidRDefault="008B7E19" w:rsidP="008B7E19">
            <w:pPr>
              <w:pStyle w:val="08-Tabelageral"/>
              <w:ind w:left="113"/>
              <w:jc w:val="left"/>
              <w:rPr>
                <w:rFonts w:cs="Arial"/>
                <w:b w:val="0"/>
                <w:bCs w:val="0"/>
                <w:color w:val="FF0000"/>
                <w:szCs w:val="14"/>
                <w:highlight w:val="yellow"/>
              </w:rPr>
            </w:pPr>
            <w:r>
              <w:rPr>
                <w:b w:val="0"/>
                <w:bCs w:val="0"/>
              </w:rPr>
              <w:t>Technical provisions</w:t>
            </w:r>
          </w:p>
        </w:tc>
        <w:tc>
          <w:tcPr>
            <w:tcW w:w="2409" w:type="dxa"/>
            <w:tcBorders>
              <w:top w:val="nil"/>
              <w:bottom w:val="nil"/>
            </w:tcBorders>
            <w:shd w:val="clear" w:color="auto" w:fill="auto"/>
          </w:tcPr>
          <w:p w14:paraId="401927B5" w14:textId="77777777" w:rsidR="008B7E19" w:rsidRPr="0095285B"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szCs w:val="14"/>
                <w:highlight w:val="yellow"/>
              </w:rPr>
            </w:pPr>
            <w:r w:rsidRPr="00C15118">
              <w:rPr>
                <w:rFonts w:cs="Arial"/>
                <w:szCs w:val="14"/>
              </w:rPr>
              <w:t>2</w:t>
            </w:r>
            <w:r>
              <w:rPr>
                <w:rFonts w:cs="Arial"/>
                <w:szCs w:val="14"/>
              </w:rPr>
              <w:t>,</w:t>
            </w:r>
            <w:r w:rsidRPr="00C15118">
              <w:rPr>
                <w:rFonts w:cs="Arial"/>
                <w:szCs w:val="14"/>
              </w:rPr>
              <w:t>794</w:t>
            </w:r>
          </w:p>
        </w:tc>
        <w:tc>
          <w:tcPr>
            <w:tcW w:w="2410" w:type="dxa"/>
            <w:tcBorders>
              <w:top w:val="nil"/>
              <w:bottom w:val="nil"/>
            </w:tcBorders>
            <w:shd w:val="clear" w:color="auto" w:fill="auto"/>
          </w:tcPr>
          <w:p w14:paraId="20152DD0" w14:textId="77777777" w:rsidR="008B7E19" w:rsidRPr="0095285B"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highlight w:val="yellow"/>
              </w:rPr>
            </w:pPr>
            <w:r w:rsidRPr="00C15118">
              <w:t xml:space="preserve"> 3</w:t>
            </w:r>
            <w:r>
              <w:t>,</w:t>
            </w:r>
            <w:r w:rsidRPr="00C15118">
              <w:t xml:space="preserve">017 </w:t>
            </w:r>
          </w:p>
        </w:tc>
      </w:tr>
      <w:tr w:rsidR="008B7E19" w:rsidRPr="001D6BE8" w14:paraId="58409B37" w14:textId="77777777" w:rsidTr="008B7E19">
        <w:trPr>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shd w:val="clear" w:color="auto" w:fill="auto"/>
          </w:tcPr>
          <w:p w14:paraId="63AF60C4" w14:textId="77777777" w:rsidR="008B7E19" w:rsidRPr="00D318F3" w:rsidRDefault="008B7E19" w:rsidP="008B7E19">
            <w:pPr>
              <w:pStyle w:val="08-Tabelageral"/>
              <w:ind w:left="113"/>
              <w:jc w:val="left"/>
              <w:rPr>
                <w:b w:val="0"/>
                <w:bCs w:val="0"/>
                <w:highlight w:val="yellow"/>
              </w:rPr>
            </w:pPr>
            <w:r>
              <w:rPr>
                <w:b w:val="0"/>
                <w:bCs w:val="0"/>
              </w:rPr>
              <w:t>Other liabilities</w:t>
            </w:r>
          </w:p>
        </w:tc>
        <w:tc>
          <w:tcPr>
            <w:tcW w:w="2409" w:type="dxa"/>
            <w:tcBorders>
              <w:top w:val="nil"/>
              <w:left w:val="nil"/>
              <w:bottom w:val="nil"/>
              <w:right w:val="nil"/>
            </w:tcBorders>
            <w:shd w:val="clear" w:color="auto" w:fill="auto"/>
          </w:tcPr>
          <w:p w14:paraId="5A203B82" w14:textId="77777777" w:rsidR="008B7E19" w:rsidRPr="0095285B"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szCs w:val="14"/>
                <w:highlight w:val="yellow"/>
              </w:rPr>
            </w:pPr>
            <w:r w:rsidRPr="00C15118">
              <w:rPr>
                <w:rFonts w:cs="Arial"/>
                <w:szCs w:val="14"/>
              </w:rPr>
              <w:t>10</w:t>
            </w:r>
            <w:r>
              <w:rPr>
                <w:rFonts w:cs="Arial"/>
                <w:szCs w:val="14"/>
              </w:rPr>
              <w:t>,</w:t>
            </w:r>
            <w:r w:rsidRPr="00C15118">
              <w:rPr>
                <w:rFonts w:cs="Arial"/>
                <w:szCs w:val="14"/>
              </w:rPr>
              <w:t>932</w:t>
            </w:r>
          </w:p>
        </w:tc>
        <w:tc>
          <w:tcPr>
            <w:tcW w:w="2410" w:type="dxa"/>
            <w:tcBorders>
              <w:top w:val="nil"/>
              <w:left w:val="nil"/>
              <w:bottom w:val="nil"/>
              <w:right w:val="nil"/>
            </w:tcBorders>
            <w:shd w:val="clear" w:color="auto" w:fill="auto"/>
          </w:tcPr>
          <w:p w14:paraId="2197D12E" w14:textId="77777777" w:rsidR="008B7E19" w:rsidRPr="0095285B"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highlight w:val="yellow"/>
              </w:rPr>
            </w:pPr>
            <w:r w:rsidRPr="00C15118">
              <w:t xml:space="preserve"> 13</w:t>
            </w:r>
            <w:r>
              <w:t>,</w:t>
            </w:r>
            <w:r w:rsidRPr="00C15118">
              <w:t xml:space="preserve">867 </w:t>
            </w:r>
          </w:p>
        </w:tc>
      </w:tr>
      <w:tr w:rsidR="008B7E19" w:rsidRPr="00D318F3" w14:paraId="7D4EB15E"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shd w:val="clear" w:color="auto" w:fill="auto"/>
          </w:tcPr>
          <w:p w14:paraId="418F6E16" w14:textId="77777777" w:rsidR="008B7E19" w:rsidRPr="00D318F3" w:rsidRDefault="008B7E19" w:rsidP="008B7E19">
            <w:pPr>
              <w:pStyle w:val="08-Tabelageral"/>
              <w:jc w:val="left"/>
              <w:rPr>
                <w:highlight w:val="yellow"/>
              </w:rPr>
            </w:pPr>
            <w:r>
              <w:t>Equity</w:t>
            </w:r>
          </w:p>
        </w:tc>
        <w:tc>
          <w:tcPr>
            <w:tcW w:w="2409" w:type="dxa"/>
            <w:tcBorders>
              <w:top w:val="nil"/>
              <w:bottom w:val="nil"/>
            </w:tcBorders>
            <w:shd w:val="clear" w:color="auto" w:fill="auto"/>
          </w:tcPr>
          <w:p w14:paraId="367F2B6B" w14:textId="77777777" w:rsidR="008B7E19" w:rsidRPr="00D318F3"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highlight w:val="yellow"/>
              </w:rPr>
            </w:pPr>
            <w:r w:rsidRPr="00C15118">
              <w:rPr>
                <w:rFonts w:cs="Arial"/>
                <w:b/>
                <w:bCs/>
                <w:szCs w:val="14"/>
              </w:rPr>
              <w:t>3</w:t>
            </w:r>
            <w:r>
              <w:rPr>
                <w:rFonts w:cs="Arial"/>
                <w:b/>
                <w:bCs/>
                <w:szCs w:val="14"/>
              </w:rPr>
              <w:t>,</w:t>
            </w:r>
            <w:r w:rsidRPr="00C15118">
              <w:rPr>
                <w:rFonts w:cs="Arial"/>
                <w:b/>
                <w:bCs/>
                <w:szCs w:val="14"/>
              </w:rPr>
              <w:t>349</w:t>
            </w:r>
          </w:p>
        </w:tc>
        <w:tc>
          <w:tcPr>
            <w:tcW w:w="2410" w:type="dxa"/>
            <w:tcBorders>
              <w:top w:val="nil"/>
              <w:bottom w:val="nil"/>
            </w:tcBorders>
            <w:shd w:val="clear" w:color="auto" w:fill="auto"/>
          </w:tcPr>
          <w:p w14:paraId="47B17127" w14:textId="77777777" w:rsidR="008B7E19" w:rsidRPr="00D318F3"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b/>
                <w:bCs/>
                <w:highlight w:val="yellow"/>
              </w:rPr>
            </w:pPr>
            <w:r w:rsidRPr="00C15118">
              <w:rPr>
                <w:b/>
                <w:bCs/>
              </w:rPr>
              <w:t xml:space="preserve"> 2</w:t>
            </w:r>
            <w:r>
              <w:rPr>
                <w:b/>
                <w:bCs/>
              </w:rPr>
              <w:t>,</w:t>
            </w:r>
            <w:r w:rsidRPr="00C15118">
              <w:rPr>
                <w:b/>
                <w:bCs/>
              </w:rPr>
              <w:t xml:space="preserve">008 </w:t>
            </w:r>
          </w:p>
        </w:tc>
      </w:tr>
      <w:tr w:rsidR="008B7E19" w:rsidRPr="00D318F3" w14:paraId="775EF02C" w14:textId="77777777" w:rsidTr="008B7E19">
        <w:trPr>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shd w:val="clear" w:color="auto" w:fill="auto"/>
          </w:tcPr>
          <w:p w14:paraId="4EF758EF" w14:textId="77777777" w:rsidR="008B7E19" w:rsidRPr="00D318F3" w:rsidRDefault="008B7E19" w:rsidP="008B7E19">
            <w:pPr>
              <w:pStyle w:val="08-Tabelageral"/>
              <w:jc w:val="left"/>
              <w:rPr>
                <w:highlight w:val="yellow"/>
              </w:rPr>
            </w:pPr>
            <w:r>
              <w:t>Attributable to BB Seguridade</w:t>
            </w:r>
          </w:p>
        </w:tc>
        <w:tc>
          <w:tcPr>
            <w:tcW w:w="2409" w:type="dxa"/>
            <w:tcBorders>
              <w:top w:val="nil"/>
              <w:bottom w:val="nil"/>
            </w:tcBorders>
            <w:shd w:val="clear" w:color="auto" w:fill="auto"/>
          </w:tcPr>
          <w:p w14:paraId="021BB759" w14:textId="77777777" w:rsidR="008B7E19" w:rsidRPr="00D318F3"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b/>
                <w:bCs/>
                <w:szCs w:val="14"/>
                <w:highlight w:val="yellow"/>
              </w:rPr>
            </w:pPr>
            <w:r w:rsidRPr="00C15118">
              <w:rPr>
                <w:rFonts w:cs="Arial"/>
                <w:b/>
                <w:bCs/>
                <w:szCs w:val="14"/>
              </w:rPr>
              <w:t>2</w:t>
            </w:r>
            <w:r>
              <w:rPr>
                <w:rFonts w:cs="Arial"/>
                <w:b/>
                <w:bCs/>
                <w:szCs w:val="14"/>
              </w:rPr>
              <w:t>,</w:t>
            </w:r>
            <w:r w:rsidRPr="00C15118">
              <w:rPr>
                <w:rFonts w:cs="Arial"/>
                <w:b/>
                <w:bCs/>
                <w:szCs w:val="14"/>
              </w:rPr>
              <w:t>513</w:t>
            </w:r>
          </w:p>
        </w:tc>
        <w:tc>
          <w:tcPr>
            <w:tcW w:w="2410" w:type="dxa"/>
            <w:tcBorders>
              <w:top w:val="nil"/>
              <w:bottom w:val="nil"/>
            </w:tcBorders>
            <w:shd w:val="clear" w:color="auto" w:fill="auto"/>
          </w:tcPr>
          <w:p w14:paraId="7C5581BB" w14:textId="77777777" w:rsidR="008B7E19" w:rsidRPr="00D318F3"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b/>
                <w:bCs/>
                <w:highlight w:val="yellow"/>
              </w:rPr>
            </w:pPr>
            <w:r w:rsidRPr="00C15118">
              <w:rPr>
                <w:b/>
                <w:bCs/>
              </w:rPr>
              <w:t xml:space="preserve"> 1</w:t>
            </w:r>
            <w:r>
              <w:rPr>
                <w:b/>
                <w:bCs/>
              </w:rPr>
              <w:t>,</w:t>
            </w:r>
            <w:r w:rsidRPr="00C15118">
              <w:rPr>
                <w:b/>
                <w:bCs/>
              </w:rPr>
              <w:t xml:space="preserve">506 </w:t>
            </w:r>
          </w:p>
        </w:tc>
      </w:tr>
      <w:tr w:rsidR="008B7E19" w:rsidRPr="00B84F26" w14:paraId="642BCD9E"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shd w:val="clear" w:color="auto" w:fill="auto"/>
          </w:tcPr>
          <w:p w14:paraId="1030C7E4" w14:textId="77777777" w:rsidR="008B7E19" w:rsidRPr="00B84F26" w:rsidRDefault="008B7E19" w:rsidP="008B7E19">
            <w:pPr>
              <w:pStyle w:val="08-Tabelageral"/>
              <w:ind w:left="113"/>
              <w:jc w:val="left"/>
              <w:rPr>
                <w:b w:val="0"/>
                <w:bCs w:val="0"/>
              </w:rPr>
            </w:pPr>
            <w:r w:rsidRPr="00E038BB">
              <w:rPr>
                <w:b w:val="0"/>
                <w:bCs w:val="0"/>
              </w:rPr>
              <w:t>Adjustments from previous periods</w:t>
            </w:r>
          </w:p>
        </w:tc>
        <w:tc>
          <w:tcPr>
            <w:tcW w:w="2409" w:type="dxa"/>
            <w:tcBorders>
              <w:top w:val="nil"/>
              <w:bottom w:val="nil"/>
            </w:tcBorders>
            <w:shd w:val="clear" w:color="auto" w:fill="auto"/>
          </w:tcPr>
          <w:p w14:paraId="3A712BB4" w14:textId="77777777" w:rsidR="008B7E19" w:rsidRPr="00B84F26" w:rsidRDefault="008B7E19" w:rsidP="008B7E19">
            <w:pPr>
              <w:pStyle w:val="08-Tabelageral"/>
              <w:cnfStyle w:val="000000100000" w:firstRow="0" w:lastRow="0" w:firstColumn="0" w:lastColumn="0" w:oddVBand="0" w:evenVBand="0" w:oddHBand="1" w:evenHBand="0" w:firstRowFirstColumn="0" w:firstRowLastColumn="0" w:lastRowFirstColumn="0" w:lastRowLastColumn="0"/>
            </w:pPr>
            <w:r>
              <w:t>(</w:t>
            </w:r>
            <w:r w:rsidRPr="00C15118">
              <w:t>168</w:t>
            </w:r>
            <w:r>
              <w:t>)</w:t>
            </w:r>
          </w:p>
        </w:tc>
        <w:tc>
          <w:tcPr>
            <w:tcW w:w="2410" w:type="dxa"/>
            <w:tcBorders>
              <w:top w:val="nil"/>
              <w:bottom w:val="nil"/>
            </w:tcBorders>
            <w:shd w:val="clear" w:color="auto" w:fill="auto"/>
          </w:tcPr>
          <w:p w14:paraId="22A662DF" w14:textId="77777777" w:rsidR="008B7E19" w:rsidRPr="00B84F26" w:rsidRDefault="008B7E19" w:rsidP="008B7E19">
            <w:pPr>
              <w:pStyle w:val="08-Tabelageral"/>
              <w:cnfStyle w:val="000000100000" w:firstRow="0" w:lastRow="0" w:firstColumn="0" w:lastColumn="0" w:oddVBand="0" w:evenVBand="0" w:oddHBand="1" w:evenHBand="0" w:firstRowFirstColumn="0" w:firstRowLastColumn="0" w:lastRowFirstColumn="0" w:lastRowLastColumn="0"/>
            </w:pPr>
            <w:r w:rsidRPr="00C15118">
              <w:t>--</w:t>
            </w:r>
          </w:p>
        </w:tc>
      </w:tr>
      <w:tr w:rsidR="008B7E19" w:rsidRPr="00D318F3" w14:paraId="529055AD" w14:textId="77777777" w:rsidTr="008B7E19">
        <w:trPr>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bottom w:val="single" w:sz="2" w:space="0" w:color="1F4E79" w:themeColor="accent1" w:themeShade="80"/>
            </w:tcBorders>
            <w:shd w:val="clear" w:color="auto" w:fill="auto"/>
          </w:tcPr>
          <w:p w14:paraId="7F7C009C" w14:textId="77777777" w:rsidR="008B7E19" w:rsidRPr="00D318F3" w:rsidRDefault="008B7E19" w:rsidP="008B7E19">
            <w:pPr>
              <w:pStyle w:val="08-Tabelageral"/>
              <w:jc w:val="left"/>
              <w:rPr>
                <w:highlight w:val="yellow"/>
              </w:rPr>
            </w:pPr>
            <w:r>
              <w:t>Investment balance</w:t>
            </w:r>
          </w:p>
        </w:tc>
        <w:tc>
          <w:tcPr>
            <w:tcW w:w="2409" w:type="dxa"/>
            <w:tcBorders>
              <w:top w:val="nil"/>
              <w:left w:val="nil"/>
              <w:bottom w:val="single" w:sz="2" w:space="0" w:color="1F4E79" w:themeColor="accent1" w:themeShade="80"/>
              <w:right w:val="nil"/>
            </w:tcBorders>
            <w:shd w:val="clear" w:color="auto" w:fill="auto"/>
          </w:tcPr>
          <w:p w14:paraId="5330552F" w14:textId="77777777" w:rsidR="008B7E19" w:rsidRPr="00D318F3"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b/>
                <w:bCs/>
                <w:highlight w:val="yellow"/>
              </w:rPr>
            </w:pPr>
            <w:r w:rsidRPr="00C15118">
              <w:rPr>
                <w:b/>
                <w:bCs/>
              </w:rPr>
              <w:t>2</w:t>
            </w:r>
            <w:r>
              <w:rPr>
                <w:b/>
                <w:bCs/>
              </w:rPr>
              <w:t>,</w:t>
            </w:r>
            <w:r w:rsidRPr="00C15118">
              <w:rPr>
                <w:b/>
                <w:bCs/>
              </w:rPr>
              <w:t>345</w:t>
            </w:r>
          </w:p>
        </w:tc>
        <w:tc>
          <w:tcPr>
            <w:tcW w:w="2410" w:type="dxa"/>
            <w:tcBorders>
              <w:top w:val="nil"/>
              <w:bottom w:val="single" w:sz="2" w:space="0" w:color="1F4E79" w:themeColor="accent1" w:themeShade="80"/>
            </w:tcBorders>
            <w:shd w:val="clear" w:color="auto" w:fill="auto"/>
          </w:tcPr>
          <w:p w14:paraId="0040D74D" w14:textId="77777777" w:rsidR="008B7E19" w:rsidRPr="00D318F3"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b/>
                <w:bCs/>
                <w:highlight w:val="yellow"/>
              </w:rPr>
            </w:pPr>
            <w:r w:rsidRPr="00C15118">
              <w:rPr>
                <w:b/>
                <w:bCs/>
              </w:rPr>
              <w:t>1</w:t>
            </w:r>
            <w:r>
              <w:rPr>
                <w:b/>
                <w:bCs/>
              </w:rPr>
              <w:t>,</w:t>
            </w:r>
            <w:r w:rsidRPr="00C15118">
              <w:rPr>
                <w:b/>
                <w:bCs/>
              </w:rPr>
              <w:t>506</w:t>
            </w:r>
          </w:p>
        </w:tc>
      </w:tr>
    </w:tbl>
    <w:p w14:paraId="0633AA3D" w14:textId="77777777" w:rsidR="008B7E19" w:rsidRDefault="008B7E19" w:rsidP="008B7E19">
      <w:pPr>
        <w:keepNext/>
        <w:keepLines/>
        <w:spacing w:after="0" w:line="240" w:lineRule="auto"/>
        <w:rPr>
          <w:rFonts w:eastAsia="Times New Roman" w:cs="Arial"/>
          <w:spacing w:val="-2"/>
          <w:szCs w:val="20"/>
          <w:lang w:eastAsia="zh-CN"/>
        </w:rPr>
      </w:pPr>
    </w:p>
    <w:p w14:paraId="0716A69A" w14:textId="77777777" w:rsidR="008B7E19" w:rsidRPr="00C83A83" w:rsidRDefault="008B7E19" w:rsidP="008B7E19">
      <w:pPr>
        <w:pageBreakBefore/>
        <w:spacing w:after="0" w:line="240" w:lineRule="auto"/>
        <w:rPr>
          <w:rFonts w:eastAsia="Times New Roman" w:cs="Times New Roman"/>
          <w:b/>
          <w:color w:val="1F4E79" w:themeColor="accent1" w:themeShade="80"/>
          <w:spacing w:val="-2"/>
          <w:szCs w:val="20"/>
          <w:lang w:eastAsia="pt-BR"/>
        </w:rPr>
      </w:pPr>
      <w:r>
        <w:rPr>
          <w:rFonts w:eastAsia="Times New Roman" w:cs="Times New Roman"/>
          <w:b/>
          <w:color w:val="1F4E79" w:themeColor="accent1" w:themeShade="80"/>
          <w:spacing w:val="-2"/>
          <w:szCs w:val="20"/>
          <w:lang w:eastAsia="pt-BR"/>
        </w:rPr>
        <w:t>c</w:t>
      </w:r>
      <w:r w:rsidRPr="006F152E">
        <w:rPr>
          <w:rFonts w:eastAsia="Times New Roman" w:cs="Times New Roman"/>
          <w:b/>
          <w:color w:val="1F4E79" w:themeColor="accent1" w:themeShade="80"/>
          <w:spacing w:val="-2"/>
          <w:szCs w:val="20"/>
          <w:lang w:eastAsia="pt-BR"/>
        </w:rPr>
        <w:t>.</w:t>
      </w:r>
      <w:r>
        <w:rPr>
          <w:rFonts w:eastAsia="Times New Roman" w:cs="Times New Roman"/>
          <w:b/>
          <w:color w:val="1F4E79" w:themeColor="accent1" w:themeShade="80"/>
          <w:spacing w:val="-2"/>
          <w:szCs w:val="20"/>
          <w:lang w:eastAsia="pt-BR"/>
        </w:rPr>
        <w:t>6</w:t>
      </w:r>
      <w:r w:rsidRPr="006F152E">
        <w:rPr>
          <w:rFonts w:eastAsia="Times New Roman" w:cs="Times New Roman"/>
          <w:b/>
          <w:color w:val="1F4E79" w:themeColor="accent1" w:themeShade="80"/>
          <w:spacing w:val="-2"/>
          <w:szCs w:val="20"/>
          <w:lang w:eastAsia="pt-BR"/>
        </w:rPr>
        <w:t xml:space="preserve">) </w:t>
      </w:r>
      <w:r>
        <w:rPr>
          <w:rFonts w:eastAsia="Times New Roman" w:cs="Times New Roman"/>
          <w:b/>
          <w:color w:val="1F4E79" w:themeColor="accent1" w:themeShade="80"/>
          <w:spacing w:val="-2"/>
          <w:szCs w:val="20"/>
          <w:lang w:eastAsia="pt-BR"/>
        </w:rPr>
        <w:t>BB Corretora</w:t>
      </w:r>
    </w:p>
    <w:p w14:paraId="0B021D84" w14:textId="77777777" w:rsidR="008B7E19" w:rsidRDefault="008B7E19" w:rsidP="008B7E19">
      <w:pPr>
        <w:spacing w:after="0" w:line="240" w:lineRule="auto"/>
        <w:rPr>
          <w:rFonts w:eastAsia="Times New Roman" w:cs="Times New Roman"/>
          <w:b/>
          <w:color w:val="1F4E79" w:themeColor="accent1" w:themeShade="80"/>
          <w:spacing w:val="-2"/>
          <w:szCs w:val="20"/>
          <w:lang w:eastAsia="pt-BR"/>
        </w:rPr>
      </w:pPr>
    </w:p>
    <w:p w14:paraId="6B3313F0" w14:textId="77777777" w:rsidR="008B7E19" w:rsidRDefault="008B7E19" w:rsidP="008B7E19">
      <w:pPr>
        <w:spacing w:after="0" w:line="240" w:lineRule="auto"/>
        <w:rPr>
          <w:rFonts w:eastAsia="Times New Roman" w:cs="Times New Roman"/>
          <w:b/>
          <w:color w:val="1F4E79" w:themeColor="accent1" w:themeShade="80"/>
          <w:spacing w:val="-2"/>
          <w:szCs w:val="20"/>
          <w:lang w:eastAsia="pt-BR"/>
        </w:rPr>
      </w:pPr>
      <w:r>
        <w:rPr>
          <w:rFonts w:eastAsia="Times New Roman" w:cs="Times New Roman"/>
          <w:b/>
          <w:color w:val="1F4E79" w:themeColor="accent1" w:themeShade="80"/>
          <w:spacing w:val="-2"/>
          <w:szCs w:val="20"/>
          <w:lang w:eastAsia="pt-BR"/>
        </w:rPr>
        <w:t>Income Statement Information</w:t>
      </w:r>
    </w:p>
    <w:p w14:paraId="2190C6DD" w14:textId="77777777" w:rsidR="008B7E19" w:rsidRDefault="008B7E19" w:rsidP="008B7E19">
      <w:pPr>
        <w:spacing w:after="0" w:line="240" w:lineRule="auto"/>
        <w:rPr>
          <w:rFonts w:eastAsia="Times New Roman" w:cs="Times New Roman"/>
          <w:b/>
          <w:color w:val="1F4E79" w:themeColor="accent1" w:themeShade="80"/>
          <w:spacing w:val="-2"/>
          <w:szCs w:val="20"/>
          <w:lang w:eastAsia="pt-BR"/>
        </w:rPr>
      </w:pPr>
    </w:p>
    <w:p w14:paraId="4A29DCAF" w14:textId="77777777" w:rsidR="008B7E19" w:rsidRPr="00C91A1E" w:rsidRDefault="008B7E19" w:rsidP="008B7E19">
      <w:pPr>
        <w:pStyle w:val="01-TtulodeNota"/>
        <w:spacing w:before="0" w:after="0"/>
        <w:jc w:val="right"/>
        <w:rPr>
          <w:sz w:val="14"/>
          <w:szCs w:val="14"/>
        </w:rPr>
      </w:pPr>
      <w:r w:rsidRPr="00C91A1E">
        <w:rPr>
          <w:sz w:val="14"/>
          <w:szCs w:val="14"/>
        </w:rPr>
        <w:t xml:space="preserve">R$ </w:t>
      </w:r>
      <w:r>
        <w:rPr>
          <w:sz w:val="14"/>
          <w:szCs w:val="14"/>
        </w:rPr>
        <w:t>thousand</w:t>
      </w:r>
    </w:p>
    <w:tbl>
      <w:tblPr>
        <w:tblStyle w:val="TabeladeLista6Colorida-nfase5"/>
        <w:tblW w:w="9639" w:type="dxa"/>
        <w:jc w:val="center"/>
        <w:tblBorders>
          <w:top w:val="single" w:sz="2" w:space="0" w:color="8EAADB" w:themeColor="accent5" w:themeTint="99"/>
          <w:bottom w:val="single" w:sz="2" w:space="0" w:color="8EAADB" w:themeColor="accent5" w:themeTint="99"/>
        </w:tblBorders>
        <w:shd w:val="clear" w:color="auto" w:fill="FFFFFF" w:themeFill="background1"/>
        <w:tblLook w:val="04A0" w:firstRow="1" w:lastRow="0" w:firstColumn="1" w:lastColumn="0" w:noHBand="0" w:noVBand="1"/>
      </w:tblPr>
      <w:tblGrid>
        <w:gridCol w:w="4186"/>
        <w:gridCol w:w="1429"/>
        <w:gridCol w:w="1344"/>
        <w:gridCol w:w="1419"/>
        <w:gridCol w:w="1261"/>
      </w:tblGrid>
      <w:tr w:rsidR="008B7E19" w:rsidRPr="00201B3F" w14:paraId="6F4DEDE8" w14:textId="77777777" w:rsidTr="008B7E19">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186" w:type="dxa"/>
            <w:tcBorders>
              <w:top w:val="single" w:sz="2" w:space="0" w:color="1F4E79" w:themeColor="accent1" w:themeShade="80"/>
              <w:bottom w:val="single" w:sz="2" w:space="0" w:color="1F4E79" w:themeColor="accent1" w:themeShade="80"/>
            </w:tcBorders>
            <w:shd w:val="clear" w:color="auto" w:fill="FFFFFF" w:themeFill="background1"/>
            <w:vAlign w:val="center"/>
          </w:tcPr>
          <w:p w14:paraId="4303FB98" w14:textId="77777777" w:rsidR="008B7E19" w:rsidRPr="00201B3F" w:rsidRDefault="008B7E19" w:rsidP="008B7E19">
            <w:pPr>
              <w:pStyle w:val="08-Tabelageral"/>
              <w:jc w:val="left"/>
              <w:rPr>
                <w:rFonts w:cs="Arial"/>
              </w:rPr>
            </w:pPr>
          </w:p>
        </w:tc>
        <w:tc>
          <w:tcPr>
            <w:tcW w:w="1429" w:type="dxa"/>
            <w:tcBorders>
              <w:top w:val="single" w:sz="2" w:space="0" w:color="1F4E79" w:themeColor="accent1" w:themeShade="80"/>
              <w:bottom w:val="single" w:sz="2" w:space="0" w:color="1F4E79" w:themeColor="accent1" w:themeShade="80"/>
            </w:tcBorders>
            <w:shd w:val="clear" w:color="auto" w:fill="FFFFFF" w:themeFill="background1"/>
            <w:vAlign w:val="center"/>
          </w:tcPr>
          <w:p w14:paraId="0AD7BDC7" w14:textId="77777777" w:rsidR="008B7E19" w:rsidRDefault="008B7E19" w:rsidP="008B7E19">
            <w:pPr>
              <w:pStyle w:val="08-Tabelageral"/>
              <w:ind w:left="113"/>
              <w:cnfStyle w:val="100000000000" w:firstRow="1" w:lastRow="0" w:firstColumn="0" w:lastColumn="0" w:oddVBand="0" w:evenVBand="0" w:oddHBand="0" w:evenHBand="0" w:firstRowFirstColumn="0" w:firstRowLastColumn="0" w:lastRowFirstColumn="0" w:lastRowLastColumn="0"/>
              <w:rPr>
                <w:rFonts w:cs="Arial"/>
              </w:rPr>
            </w:pPr>
            <w:r w:rsidRPr="00925790">
              <w:rPr>
                <w:rFonts w:cs="Arial"/>
                <w:szCs w:val="14"/>
              </w:rPr>
              <w:t>2</w:t>
            </w:r>
            <w:r w:rsidRPr="00925790">
              <w:rPr>
                <w:rFonts w:cs="Arial"/>
                <w:szCs w:val="14"/>
                <w:vertAlign w:val="superscript"/>
              </w:rPr>
              <w:t>nd</w:t>
            </w:r>
            <w:r w:rsidRPr="00925790">
              <w:rPr>
                <w:rFonts w:cs="Arial"/>
                <w:szCs w:val="14"/>
              </w:rPr>
              <w:t xml:space="preserve"> Quarter 2023</w:t>
            </w:r>
          </w:p>
        </w:tc>
        <w:tc>
          <w:tcPr>
            <w:tcW w:w="1344" w:type="dxa"/>
            <w:tcBorders>
              <w:top w:val="single" w:sz="2" w:space="0" w:color="1F4E79" w:themeColor="accent1" w:themeShade="80"/>
              <w:bottom w:val="single" w:sz="2" w:space="0" w:color="1F4E79" w:themeColor="accent1" w:themeShade="80"/>
            </w:tcBorders>
            <w:shd w:val="clear" w:color="auto" w:fill="FFFFFF" w:themeFill="background1"/>
            <w:vAlign w:val="center"/>
          </w:tcPr>
          <w:p w14:paraId="119840AE" w14:textId="77777777" w:rsidR="008B7E19" w:rsidRDefault="008B7E19" w:rsidP="008B7E19">
            <w:pPr>
              <w:pStyle w:val="08-Tabelageral"/>
              <w:ind w:left="113"/>
              <w:cnfStyle w:val="100000000000" w:firstRow="1" w:lastRow="0" w:firstColumn="0" w:lastColumn="0" w:oddVBand="0" w:evenVBand="0" w:oddHBand="0" w:evenHBand="0" w:firstRowFirstColumn="0" w:firstRowLastColumn="0" w:lastRowFirstColumn="0" w:lastRowLastColumn="0"/>
              <w:rPr>
                <w:rFonts w:cs="Arial"/>
              </w:rPr>
            </w:pPr>
            <w:r w:rsidRPr="00925790">
              <w:rPr>
                <w:rFonts w:cs="Arial"/>
                <w:szCs w:val="14"/>
              </w:rPr>
              <w:t>1</w:t>
            </w:r>
            <w:r w:rsidRPr="00925790">
              <w:rPr>
                <w:rFonts w:cs="Arial"/>
                <w:szCs w:val="14"/>
                <w:vertAlign w:val="superscript"/>
              </w:rPr>
              <w:t>st</w:t>
            </w:r>
            <w:r w:rsidRPr="00925790">
              <w:rPr>
                <w:rFonts w:cs="Arial"/>
                <w:szCs w:val="14"/>
              </w:rPr>
              <w:t xml:space="preserve"> Half 2023</w:t>
            </w:r>
          </w:p>
        </w:tc>
        <w:tc>
          <w:tcPr>
            <w:tcW w:w="1419" w:type="dxa"/>
            <w:tcBorders>
              <w:top w:val="single" w:sz="2" w:space="0" w:color="1F4E79" w:themeColor="accent1" w:themeShade="80"/>
              <w:bottom w:val="single" w:sz="2" w:space="0" w:color="1F4E79" w:themeColor="accent1" w:themeShade="80"/>
            </w:tcBorders>
            <w:shd w:val="clear" w:color="auto" w:fill="FFFFFF" w:themeFill="background1"/>
            <w:vAlign w:val="center"/>
          </w:tcPr>
          <w:p w14:paraId="18F60E55" w14:textId="77777777" w:rsidR="008B7E19" w:rsidRPr="00921638" w:rsidRDefault="008B7E19" w:rsidP="008B7E19">
            <w:pPr>
              <w:pStyle w:val="08-Tabelageral"/>
              <w:ind w:left="113"/>
              <w:cnfStyle w:val="100000000000" w:firstRow="1" w:lastRow="0" w:firstColumn="0" w:lastColumn="0" w:oddVBand="0" w:evenVBand="0" w:oddHBand="0" w:evenHBand="0" w:firstRowFirstColumn="0" w:firstRowLastColumn="0" w:lastRowFirstColumn="0" w:lastRowLastColumn="0"/>
              <w:rPr>
                <w:rFonts w:cs="Arial"/>
                <w:bCs w:val="0"/>
              </w:rPr>
            </w:pPr>
            <w:r w:rsidRPr="00925790">
              <w:rPr>
                <w:rFonts w:cs="Arial"/>
                <w:szCs w:val="14"/>
              </w:rPr>
              <w:t>2</w:t>
            </w:r>
            <w:r w:rsidRPr="00925790">
              <w:rPr>
                <w:rFonts w:cs="Arial"/>
                <w:szCs w:val="14"/>
                <w:vertAlign w:val="superscript"/>
              </w:rPr>
              <w:t>nd</w:t>
            </w:r>
            <w:r w:rsidRPr="00925790">
              <w:rPr>
                <w:rFonts w:cs="Arial"/>
                <w:szCs w:val="14"/>
              </w:rPr>
              <w:t xml:space="preserve"> Quarter 2022</w:t>
            </w:r>
          </w:p>
        </w:tc>
        <w:tc>
          <w:tcPr>
            <w:tcW w:w="1261" w:type="dxa"/>
            <w:tcBorders>
              <w:top w:val="single" w:sz="2" w:space="0" w:color="1F4E79" w:themeColor="accent1" w:themeShade="80"/>
              <w:bottom w:val="single" w:sz="2" w:space="0" w:color="1F4E79" w:themeColor="accent1" w:themeShade="80"/>
            </w:tcBorders>
            <w:shd w:val="clear" w:color="auto" w:fill="FFFFFF" w:themeFill="background1"/>
            <w:vAlign w:val="center"/>
          </w:tcPr>
          <w:p w14:paraId="3290926B" w14:textId="77777777" w:rsidR="008B7E19" w:rsidRPr="00921638" w:rsidRDefault="008B7E19" w:rsidP="008B7E19">
            <w:pPr>
              <w:pStyle w:val="08-Tabelageral"/>
              <w:ind w:left="113"/>
              <w:cnfStyle w:val="100000000000" w:firstRow="1" w:lastRow="0" w:firstColumn="0" w:lastColumn="0" w:oddVBand="0" w:evenVBand="0" w:oddHBand="0" w:evenHBand="0" w:firstRowFirstColumn="0" w:firstRowLastColumn="0" w:lastRowFirstColumn="0" w:lastRowLastColumn="0"/>
              <w:rPr>
                <w:rFonts w:cs="Arial"/>
                <w:bCs w:val="0"/>
              </w:rPr>
            </w:pPr>
            <w:r w:rsidRPr="00925790">
              <w:rPr>
                <w:rFonts w:cs="Arial"/>
                <w:szCs w:val="14"/>
              </w:rPr>
              <w:t>1</w:t>
            </w:r>
            <w:r w:rsidRPr="00925790">
              <w:rPr>
                <w:rFonts w:cs="Arial"/>
                <w:szCs w:val="14"/>
                <w:vertAlign w:val="superscript"/>
              </w:rPr>
              <w:t>st</w:t>
            </w:r>
            <w:r w:rsidRPr="00925790">
              <w:rPr>
                <w:rFonts w:cs="Arial"/>
                <w:szCs w:val="14"/>
              </w:rPr>
              <w:t xml:space="preserve"> Half 2022</w:t>
            </w:r>
          </w:p>
        </w:tc>
      </w:tr>
      <w:tr w:rsidR="008B7E19" w:rsidRPr="00C256A0" w14:paraId="1BDEB73B"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186" w:type="dxa"/>
            <w:tcBorders>
              <w:top w:val="single" w:sz="2" w:space="0" w:color="1F4E79" w:themeColor="accent1" w:themeShade="80"/>
            </w:tcBorders>
            <w:shd w:val="clear" w:color="auto" w:fill="FFFFFF" w:themeFill="background1"/>
            <w:vAlign w:val="center"/>
          </w:tcPr>
          <w:p w14:paraId="1BACD1B9" w14:textId="77777777" w:rsidR="008B7E19" w:rsidRPr="00EE1B0E" w:rsidRDefault="008B7E19" w:rsidP="008B7E19">
            <w:pPr>
              <w:pStyle w:val="08-Tabelageral"/>
              <w:jc w:val="left"/>
              <w:rPr>
                <w:rFonts w:cs="Arial"/>
                <w:bCs w:val="0"/>
                <w:szCs w:val="14"/>
              </w:rPr>
            </w:pPr>
            <w:r w:rsidRPr="00D078AA">
              <w:rPr>
                <w:rFonts w:cs="Arial"/>
                <w:szCs w:val="14"/>
              </w:rPr>
              <w:t>Operating income</w:t>
            </w:r>
          </w:p>
        </w:tc>
        <w:tc>
          <w:tcPr>
            <w:tcW w:w="1429" w:type="dxa"/>
            <w:tcBorders>
              <w:top w:val="nil"/>
            </w:tcBorders>
            <w:shd w:val="clear" w:color="auto" w:fill="auto"/>
          </w:tcPr>
          <w:p w14:paraId="4FF6642C" w14:textId="77777777" w:rsidR="008B7E19"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r w:rsidRPr="00EF458B">
              <w:rPr>
                <w:rFonts w:cs="Arial"/>
                <w:b/>
                <w:bCs/>
                <w:color w:val="000000"/>
                <w:szCs w:val="14"/>
              </w:rPr>
              <w:t>1.055.463</w:t>
            </w:r>
          </w:p>
        </w:tc>
        <w:tc>
          <w:tcPr>
            <w:tcW w:w="1344" w:type="dxa"/>
            <w:tcBorders>
              <w:top w:val="nil"/>
            </w:tcBorders>
            <w:shd w:val="clear" w:color="auto" w:fill="auto"/>
          </w:tcPr>
          <w:p w14:paraId="3A6DCE24" w14:textId="77777777" w:rsidR="008B7E19"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r w:rsidRPr="00EF458B">
              <w:rPr>
                <w:rFonts w:cs="Arial"/>
                <w:b/>
                <w:bCs/>
                <w:color w:val="000000"/>
                <w:szCs w:val="14"/>
              </w:rPr>
              <w:t>2.123.730</w:t>
            </w:r>
          </w:p>
        </w:tc>
        <w:tc>
          <w:tcPr>
            <w:tcW w:w="1419" w:type="dxa"/>
            <w:tcBorders>
              <w:top w:val="nil"/>
              <w:left w:val="nil"/>
              <w:bottom w:val="nil"/>
              <w:right w:val="nil"/>
            </w:tcBorders>
            <w:shd w:val="clear" w:color="auto" w:fill="auto"/>
            <w:vAlign w:val="center"/>
          </w:tcPr>
          <w:p w14:paraId="218A12F9" w14:textId="77777777" w:rsidR="008B7E19" w:rsidRPr="00D32895"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b/>
                <w:bCs/>
              </w:rPr>
            </w:pPr>
            <w:r w:rsidRPr="00364263">
              <w:rPr>
                <w:rFonts w:cs="Arial"/>
                <w:b/>
                <w:bCs/>
                <w:color w:val="000000"/>
                <w:szCs w:val="14"/>
              </w:rPr>
              <w:t>949.282</w:t>
            </w:r>
          </w:p>
        </w:tc>
        <w:tc>
          <w:tcPr>
            <w:tcW w:w="1261" w:type="dxa"/>
            <w:tcBorders>
              <w:top w:val="single" w:sz="2" w:space="0" w:color="1F4E79" w:themeColor="accent1" w:themeShade="80"/>
            </w:tcBorders>
            <w:shd w:val="clear" w:color="auto" w:fill="auto"/>
          </w:tcPr>
          <w:p w14:paraId="49069068" w14:textId="77777777" w:rsidR="008B7E19" w:rsidRPr="00D32895"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b/>
                <w:bCs/>
              </w:rPr>
            </w:pPr>
            <w:r w:rsidRPr="00364263">
              <w:rPr>
                <w:b/>
                <w:bCs/>
              </w:rPr>
              <w:t>1.855.307</w:t>
            </w:r>
          </w:p>
        </w:tc>
      </w:tr>
      <w:tr w:rsidR="008B7E19" w:rsidRPr="00387989" w14:paraId="48CBDD79" w14:textId="77777777" w:rsidTr="008B7E19">
        <w:trPr>
          <w:trHeight w:val="238"/>
          <w:jc w:val="center"/>
        </w:trPr>
        <w:tc>
          <w:tcPr>
            <w:cnfStyle w:val="001000000000" w:firstRow="0" w:lastRow="0" w:firstColumn="1" w:lastColumn="0" w:oddVBand="0" w:evenVBand="0" w:oddHBand="0" w:evenHBand="0" w:firstRowFirstColumn="0" w:firstRowLastColumn="0" w:lastRowFirstColumn="0" w:lastRowLastColumn="0"/>
            <w:tcW w:w="4186" w:type="dxa"/>
            <w:shd w:val="clear" w:color="auto" w:fill="FFFFFF" w:themeFill="background1"/>
            <w:vAlign w:val="center"/>
          </w:tcPr>
          <w:p w14:paraId="4A2816EB" w14:textId="77777777" w:rsidR="008B7E19" w:rsidRPr="00387989" w:rsidRDefault="008B7E19" w:rsidP="008B7E19">
            <w:pPr>
              <w:pStyle w:val="08-Tabelageral"/>
              <w:ind w:left="113"/>
              <w:jc w:val="left"/>
              <w:rPr>
                <w:rFonts w:cs="Arial"/>
                <w:b w:val="0"/>
                <w:szCs w:val="14"/>
              </w:rPr>
            </w:pPr>
            <w:r w:rsidRPr="00D078AA">
              <w:rPr>
                <w:rFonts w:cs="Arial"/>
                <w:b w:val="0"/>
                <w:szCs w:val="14"/>
              </w:rPr>
              <w:t>Commission income, net</w:t>
            </w:r>
          </w:p>
        </w:tc>
        <w:tc>
          <w:tcPr>
            <w:tcW w:w="1429" w:type="dxa"/>
            <w:shd w:val="clear" w:color="auto" w:fill="auto"/>
          </w:tcPr>
          <w:p w14:paraId="7F040FF5" w14:textId="77777777" w:rsidR="008B7E19"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color w:val="000000"/>
                <w:szCs w:val="14"/>
              </w:rPr>
            </w:pPr>
            <w:r w:rsidRPr="00EF458B">
              <w:rPr>
                <w:rFonts w:cs="Arial"/>
                <w:color w:val="000000"/>
                <w:szCs w:val="14"/>
              </w:rPr>
              <w:t>1.055.463</w:t>
            </w:r>
          </w:p>
        </w:tc>
        <w:tc>
          <w:tcPr>
            <w:tcW w:w="1344" w:type="dxa"/>
            <w:shd w:val="clear" w:color="auto" w:fill="auto"/>
          </w:tcPr>
          <w:p w14:paraId="59E51AFF" w14:textId="77777777" w:rsidR="008B7E19"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color w:val="000000"/>
                <w:szCs w:val="14"/>
              </w:rPr>
            </w:pPr>
            <w:r w:rsidRPr="00EF458B">
              <w:rPr>
                <w:rFonts w:cs="Arial"/>
                <w:color w:val="000000"/>
                <w:szCs w:val="14"/>
              </w:rPr>
              <w:t>2.123.730</w:t>
            </w:r>
          </w:p>
        </w:tc>
        <w:tc>
          <w:tcPr>
            <w:tcW w:w="1419" w:type="dxa"/>
            <w:tcBorders>
              <w:top w:val="nil"/>
              <w:left w:val="nil"/>
              <w:bottom w:val="nil"/>
              <w:right w:val="nil"/>
            </w:tcBorders>
            <w:shd w:val="clear" w:color="auto" w:fill="auto"/>
            <w:vAlign w:val="center"/>
          </w:tcPr>
          <w:p w14:paraId="45497F2E" w14:textId="77777777" w:rsidR="008B7E19" w:rsidRPr="00EB002F"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rPr>
            </w:pPr>
            <w:r>
              <w:rPr>
                <w:rFonts w:cs="Arial"/>
                <w:color w:val="000000"/>
                <w:szCs w:val="14"/>
              </w:rPr>
              <w:t>949.282</w:t>
            </w:r>
          </w:p>
        </w:tc>
        <w:tc>
          <w:tcPr>
            <w:tcW w:w="1261" w:type="dxa"/>
            <w:tcBorders>
              <w:top w:val="nil"/>
              <w:left w:val="nil"/>
              <w:bottom w:val="nil"/>
              <w:right w:val="nil"/>
            </w:tcBorders>
            <w:shd w:val="clear" w:color="auto" w:fill="auto"/>
            <w:vAlign w:val="center"/>
          </w:tcPr>
          <w:p w14:paraId="2FA0D9AF" w14:textId="77777777" w:rsidR="008B7E19" w:rsidRPr="00EB002F"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rPr>
            </w:pPr>
            <w:r>
              <w:rPr>
                <w:rFonts w:cs="Arial"/>
                <w:color w:val="000000"/>
                <w:szCs w:val="14"/>
              </w:rPr>
              <w:t>1.855.307</w:t>
            </w:r>
          </w:p>
        </w:tc>
      </w:tr>
      <w:tr w:rsidR="008B7E19" w:rsidRPr="00387989" w14:paraId="79CF440B"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186" w:type="dxa"/>
            <w:shd w:val="clear" w:color="auto" w:fill="FFFFFF" w:themeFill="background1"/>
            <w:vAlign w:val="center"/>
          </w:tcPr>
          <w:p w14:paraId="4FFC4F10" w14:textId="77777777" w:rsidR="008B7E19" w:rsidRPr="00BA5893" w:rsidRDefault="008B7E19" w:rsidP="008B7E19">
            <w:pPr>
              <w:pStyle w:val="08-Tabelageral"/>
              <w:jc w:val="left"/>
              <w:rPr>
                <w:rFonts w:cs="Arial"/>
                <w:bCs w:val="0"/>
                <w:szCs w:val="14"/>
              </w:rPr>
            </w:pPr>
            <w:r w:rsidRPr="00D078AA">
              <w:rPr>
                <w:rFonts w:cs="Arial"/>
                <w:bCs w:val="0"/>
                <w:szCs w:val="14"/>
              </w:rPr>
              <w:t>Cost of Services Provided</w:t>
            </w:r>
          </w:p>
        </w:tc>
        <w:tc>
          <w:tcPr>
            <w:tcW w:w="1429" w:type="dxa"/>
            <w:tcBorders>
              <w:top w:val="nil"/>
              <w:left w:val="nil"/>
              <w:bottom w:val="nil"/>
              <w:right w:val="nil"/>
            </w:tcBorders>
            <w:shd w:val="clear" w:color="auto" w:fill="auto"/>
            <w:vAlign w:val="center"/>
          </w:tcPr>
          <w:p w14:paraId="1D71E611" w14:textId="77777777" w:rsidR="008B7E19"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r>
              <w:rPr>
                <w:rFonts w:cs="Arial"/>
                <w:b/>
                <w:bCs/>
                <w:color w:val="000000"/>
                <w:szCs w:val="14"/>
              </w:rPr>
              <w:t>(50.139)</w:t>
            </w:r>
          </w:p>
        </w:tc>
        <w:tc>
          <w:tcPr>
            <w:tcW w:w="1344" w:type="dxa"/>
            <w:tcBorders>
              <w:top w:val="nil"/>
              <w:left w:val="nil"/>
              <w:bottom w:val="nil"/>
              <w:right w:val="nil"/>
            </w:tcBorders>
            <w:shd w:val="clear" w:color="auto" w:fill="auto"/>
            <w:vAlign w:val="center"/>
          </w:tcPr>
          <w:p w14:paraId="3593D811" w14:textId="77777777" w:rsidR="008B7E19"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r>
              <w:rPr>
                <w:rFonts w:cs="Arial"/>
                <w:b/>
                <w:bCs/>
                <w:color w:val="000000"/>
                <w:szCs w:val="14"/>
              </w:rPr>
              <w:t>(100.861)</w:t>
            </w:r>
          </w:p>
        </w:tc>
        <w:tc>
          <w:tcPr>
            <w:tcW w:w="1419" w:type="dxa"/>
            <w:tcBorders>
              <w:top w:val="nil"/>
              <w:left w:val="nil"/>
              <w:bottom w:val="nil"/>
              <w:right w:val="nil"/>
            </w:tcBorders>
            <w:shd w:val="clear" w:color="auto" w:fill="auto"/>
            <w:vAlign w:val="center"/>
          </w:tcPr>
          <w:p w14:paraId="03D4DF5E" w14:textId="77777777" w:rsidR="008B7E19" w:rsidRPr="00D32895"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b/>
                <w:bCs/>
              </w:rPr>
            </w:pPr>
            <w:r>
              <w:rPr>
                <w:rFonts w:cs="Arial"/>
                <w:b/>
                <w:bCs/>
                <w:color w:val="000000"/>
                <w:szCs w:val="14"/>
              </w:rPr>
              <w:t>(53.763)</w:t>
            </w:r>
          </w:p>
        </w:tc>
        <w:tc>
          <w:tcPr>
            <w:tcW w:w="1261" w:type="dxa"/>
            <w:tcBorders>
              <w:top w:val="nil"/>
              <w:left w:val="nil"/>
              <w:bottom w:val="nil"/>
              <w:right w:val="nil"/>
            </w:tcBorders>
            <w:shd w:val="clear" w:color="auto" w:fill="auto"/>
            <w:vAlign w:val="center"/>
          </w:tcPr>
          <w:p w14:paraId="1889CECD" w14:textId="77777777" w:rsidR="008B7E19" w:rsidRPr="00D32895"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b/>
                <w:bCs/>
              </w:rPr>
            </w:pPr>
            <w:r>
              <w:rPr>
                <w:rFonts w:cs="Arial"/>
                <w:b/>
                <w:bCs/>
                <w:color w:val="000000"/>
                <w:szCs w:val="14"/>
              </w:rPr>
              <w:t>(101.800)</w:t>
            </w:r>
          </w:p>
        </w:tc>
      </w:tr>
      <w:tr w:rsidR="008B7E19" w:rsidRPr="001D6BE8" w14:paraId="63938335" w14:textId="77777777" w:rsidTr="008B7E19">
        <w:trPr>
          <w:trHeight w:val="238"/>
          <w:jc w:val="center"/>
        </w:trPr>
        <w:tc>
          <w:tcPr>
            <w:cnfStyle w:val="001000000000" w:firstRow="0" w:lastRow="0" w:firstColumn="1" w:lastColumn="0" w:oddVBand="0" w:evenVBand="0" w:oddHBand="0" w:evenHBand="0" w:firstRowFirstColumn="0" w:firstRowLastColumn="0" w:lastRowFirstColumn="0" w:lastRowLastColumn="0"/>
            <w:tcW w:w="4186" w:type="dxa"/>
            <w:shd w:val="clear" w:color="auto" w:fill="FFFFFF" w:themeFill="background1"/>
            <w:vAlign w:val="center"/>
          </w:tcPr>
          <w:p w14:paraId="1F725555" w14:textId="77777777" w:rsidR="008B7E19" w:rsidRPr="00EE1B0E" w:rsidRDefault="008B7E19" w:rsidP="008B7E19">
            <w:pPr>
              <w:pStyle w:val="08-Tabelageral"/>
              <w:jc w:val="left"/>
              <w:rPr>
                <w:rFonts w:cs="Arial"/>
                <w:szCs w:val="14"/>
              </w:rPr>
            </w:pPr>
            <w:r w:rsidRPr="00D078AA">
              <w:rPr>
                <w:rFonts w:cs="Arial"/>
                <w:szCs w:val="14"/>
              </w:rPr>
              <w:t>Gross Profit</w:t>
            </w:r>
          </w:p>
        </w:tc>
        <w:tc>
          <w:tcPr>
            <w:tcW w:w="1429" w:type="dxa"/>
            <w:tcBorders>
              <w:top w:val="nil"/>
              <w:left w:val="nil"/>
              <w:bottom w:val="nil"/>
              <w:right w:val="nil"/>
            </w:tcBorders>
            <w:shd w:val="clear" w:color="auto" w:fill="auto"/>
            <w:vAlign w:val="center"/>
          </w:tcPr>
          <w:p w14:paraId="004050C2" w14:textId="77777777" w:rsidR="008B7E19"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b/>
                <w:bCs/>
                <w:color w:val="000000"/>
                <w:szCs w:val="14"/>
              </w:rPr>
            </w:pPr>
            <w:r>
              <w:rPr>
                <w:rFonts w:cs="Arial"/>
                <w:b/>
                <w:bCs/>
                <w:color w:val="000000"/>
                <w:szCs w:val="14"/>
              </w:rPr>
              <w:t>1.005.324</w:t>
            </w:r>
          </w:p>
        </w:tc>
        <w:tc>
          <w:tcPr>
            <w:tcW w:w="1344" w:type="dxa"/>
            <w:tcBorders>
              <w:top w:val="nil"/>
              <w:left w:val="nil"/>
              <w:bottom w:val="nil"/>
              <w:right w:val="nil"/>
            </w:tcBorders>
            <w:shd w:val="clear" w:color="auto" w:fill="auto"/>
            <w:vAlign w:val="center"/>
          </w:tcPr>
          <w:p w14:paraId="3E66E2C4" w14:textId="77777777" w:rsidR="008B7E19"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b/>
                <w:bCs/>
                <w:color w:val="000000"/>
                <w:szCs w:val="14"/>
              </w:rPr>
            </w:pPr>
            <w:r>
              <w:rPr>
                <w:rFonts w:cs="Arial"/>
                <w:b/>
                <w:bCs/>
                <w:color w:val="000000"/>
                <w:szCs w:val="14"/>
              </w:rPr>
              <w:t>2.022.869</w:t>
            </w:r>
          </w:p>
        </w:tc>
        <w:tc>
          <w:tcPr>
            <w:tcW w:w="1419" w:type="dxa"/>
            <w:tcBorders>
              <w:top w:val="nil"/>
              <w:left w:val="nil"/>
              <w:bottom w:val="nil"/>
              <w:right w:val="nil"/>
            </w:tcBorders>
            <w:shd w:val="clear" w:color="auto" w:fill="auto"/>
            <w:vAlign w:val="center"/>
          </w:tcPr>
          <w:p w14:paraId="0C164D34" w14:textId="77777777" w:rsidR="008B7E19" w:rsidRPr="00D32895"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color w:val="000000"/>
                <w:szCs w:val="14"/>
              </w:rPr>
              <w:t>895.519</w:t>
            </w:r>
          </w:p>
        </w:tc>
        <w:tc>
          <w:tcPr>
            <w:tcW w:w="1261" w:type="dxa"/>
            <w:tcBorders>
              <w:top w:val="nil"/>
              <w:left w:val="nil"/>
              <w:bottom w:val="nil"/>
              <w:right w:val="nil"/>
            </w:tcBorders>
            <w:shd w:val="clear" w:color="auto" w:fill="auto"/>
            <w:vAlign w:val="center"/>
          </w:tcPr>
          <w:p w14:paraId="4E9C7724" w14:textId="77777777" w:rsidR="008B7E19" w:rsidRPr="00D32895"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color w:val="000000"/>
                <w:szCs w:val="14"/>
              </w:rPr>
              <w:t>1.753.507</w:t>
            </w:r>
          </w:p>
        </w:tc>
      </w:tr>
      <w:tr w:rsidR="008B7E19" w:rsidRPr="001D6BE8" w14:paraId="716CF358"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186" w:type="dxa"/>
            <w:shd w:val="clear" w:color="auto" w:fill="FFFFFF" w:themeFill="background1"/>
            <w:vAlign w:val="center"/>
          </w:tcPr>
          <w:p w14:paraId="2D1D6E02" w14:textId="77777777" w:rsidR="008B7E19" w:rsidRPr="00EE1B0E" w:rsidRDefault="008B7E19" w:rsidP="008B7E19">
            <w:pPr>
              <w:pStyle w:val="08-Tabelageral"/>
              <w:jc w:val="left"/>
              <w:rPr>
                <w:rFonts w:cs="Arial"/>
                <w:bCs w:val="0"/>
                <w:szCs w:val="14"/>
              </w:rPr>
            </w:pPr>
            <w:r>
              <w:rPr>
                <w:rFonts w:cs="Arial"/>
                <w:szCs w:val="14"/>
              </w:rPr>
              <w:t>Other income and expenses</w:t>
            </w:r>
          </w:p>
        </w:tc>
        <w:tc>
          <w:tcPr>
            <w:tcW w:w="1429" w:type="dxa"/>
            <w:tcBorders>
              <w:top w:val="nil"/>
              <w:left w:val="nil"/>
              <w:bottom w:val="nil"/>
              <w:right w:val="nil"/>
            </w:tcBorders>
            <w:shd w:val="clear" w:color="auto" w:fill="auto"/>
            <w:vAlign w:val="center"/>
          </w:tcPr>
          <w:p w14:paraId="5D120FD4" w14:textId="77777777" w:rsidR="008B7E19"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r>
              <w:rPr>
                <w:rFonts w:cs="Arial"/>
                <w:b/>
                <w:bCs/>
                <w:color w:val="000000"/>
                <w:szCs w:val="14"/>
              </w:rPr>
              <w:t>(41.813)</w:t>
            </w:r>
          </w:p>
        </w:tc>
        <w:tc>
          <w:tcPr>
            <w:tcW w:w="1344" w:type="dxa"/>
            <w:tcBorders>
              <w:top w:val="nil"/>
              <w:left w:val="nil"/>
              <w:bottom w:val="nil"/>
              <w:right w:val="nil"/>
            </w:tcBorders>
            <w:shd w:val="clear" w:color="auto" w:fill="auto"/>
            <w:vAlign w:val="center"/>
          </w:tcPr>
          <w:p w14:paraId="18F60E56" w14:textId="77777777" w:rsidR="008B7E19"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r>
              <w:rPr>
                <w:rFonts w:cs="Arial"/>
                <w:b/>
                <w:bCs/>
                <w:color w:val="000000"/>
                <w:szCs w:val="14"/>
              </w:rPr>
              <w:t>(70.431)</w:t>
            </w:r>
          </w:p>
        </w:tc>
        <w:tc>
          <w:tcPr>
            <w:tcW w:w="1419" w:type="dxa"/>
            <w:tcBorders>
              <w:top w:val="nil"/>
              <w:left w:val="nil"/>
              <w:bottom w:val="nil"/>
              <w:right w:val="nil"/>
            </w:tcBorders>
            <w:shd w:val="clear" w:color="auto" w:fill="auto"/>
            <w:vAlign w:val="center"/>
          </w:tcPr>
          <w:p w14:paraId="3290B64F" w14:textId="77777777" w:rsidR="008B7E19" w:rsidRPr="00D32895"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b/>
                <w:bCs/>
              </w:rPr>
            </w:pPr>
            <w:r>
              <w:rPr>
                <w:rFonts w:cs="Arial"/>
                <w:b/>
                <w:bCs/>
                <w:color w:val="000000"/>
                <w:szCs w:val="14"/>
              </w:rPr>
              <w:t>(30.638)</w:t>
            </w:r>
          </w:p>
        </w:tc>
        <w:tc>
          <w:tcPr>
            <w:tcW w:w="1261" w:type="dxa"/>
            <w:tcBorders>
              <w:top w:val="nil"/>
              <w:left w:val="nil"/>
              <w:bottom w:val="nil"/>
              <w:right w:val="nil"/>
            </w:tcBorders>
            <w:shd w:val="clear" w:color="auto" w:fill="auto"/>
            <w:vAlign w:val="center"/>
          </w:tcPr>
          <w:p w14:paraId="74AECFF6" w14:textId="77777777" w:rsidR="008B7E19" w:rsidRPr="00D32895"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b/>
                <w:bCs/>
              </w:rPr>
            </w:pPr>
            <w:r>
              <w:rPr>
                <w:rFonts w:cs="Arial"/>
                <w:b/>
                <w:bCs/>
                <w:color w:val="000000"/>
                <w:szCs w:val="14"/>
              </w:rPr>
              <w:t>(60.380)</w:t>
            </w:r>
          </w:p>
        </w:tc>
      </w:tr>
      <w:tr w:rsidR="008B7E19" w:rsidRPr="001D6BE8" w14:paraId="2180F4D2" w14:textId="77777777" w:rsidTr="008B7E19">
        <w:trPr>
          <w:trHeight w:val="238"/>
          <w:jc w:val="center"/>
        </w:trPr>
        <w:tc>
          <w:tcPr>
            <w:cnfStyle w:val="001000000000" w:firstRow="0" w:lastRow="0" w:firstColumn="1" w:lastColumn="0" w:oddVBand="0" w:evenVBand="0" w:oddHBand="0" w:evenHBand="0" w:firstRowFirstColumn="0" w:firstRowLastColumn="0" w:lastRowFirstColumn="0" w:lastRowLastColumn="0"/>
            <w:tcW w:w="4186" w:type="dxa"/>
            <w:shd w:val="clear" w:color="auto" w:fill="FFFFFF" w:themeFill="background1"/>
            <w:vAlign w:val="center"/>
          </w:tcPr>
          <w:p w14:paraId="7BC07538" w14:textId="77777777" w:rsidR="008B7E19" w:rsidRPr="0093520D" w:rsidRDefault="008B7E19" w:rsidP="008B7E19">
            <w:pPr>
              <w:pStyle w:val="08-Tabelageral"/>
              <w:ind w:left="113"/>
              <w:jc w:val="left"/>
              <w:rPr>
                <w:rFonts w:cs="Arial"/>
                <w:b w:val="0"/>
                <w:szCs w:val="14"/>
                <w:lang w:val="en-US"/>
              </w:rPr>
            </w:pPr>
            <w:r w:rsidRPr="00E038BB">
              <w:rPr>
                <w:rFonts w:cs="Arial"/>
                <w:b w:val="0"/>
                <w:szCs w:val="14"/>
                <w:lang w:val="en-US"/>
              </w:rPr>
              <w:t>Income from investments in equity interests</w:t>
            </w:r>
          </w:p>
        </w:tc>
        <w:tc>
          <w:tcPr>
            <w:tcW w:w="1429" w:type="dxa"/>
            <w:tcBorders>
              <w:top w:val="nil"/>
              <w:left w:val="nil"/>
              <w:bottom w:val="nil"/>
              <w:right w:val="nil"/>
            </w:tcBorders>
            <w:shd w:val="clear" w:color="auto" w:fill="auto"/>
            <w:vAlign w:val="center"/>
          </w:tcPr>
          <w:p w14:paraId="215DE819" w14:textId="77777777" w:rsidR="008B7E19"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color w:val="000000"/>
                <w:szCs w:val="14"/>
              </w:rPr>
            </w:pPr>
            <w:r>
              <w:rPr>
                <w:rFonts w:cs="Arial"/>
                <w:color w:val="000000"/>
                <w:szCs w:val="14"/>
              </w:rPr>
              <w:t>1.050</w:t>
            </w:r>
          </w:p>
        </w:tc>
        <w:tc>
          <w:tcPr>
            <w:tcW w:w="1344" w:type="dxa"/>
            <w:tcBorders>
              <w:top w:val="nil"/>
              <w:left w:val="nil"/>
              <w:bottom w:val="nil"/>
              <w:right w:val="nil"/>
            </w:tcBorders>
            <w:shd w:val="clear" w:color="auto" w:fill="auto"/>
            <w:vAlign w:val="center"/>
          </w:tcPr>
          <w:p w14:paraId="2A9DB936" w14:textId="77777777" w:rsidR="008B7E19"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color w:val="000000"/>
                <w:szCs w:val="14"/>
              </w:rPr>
            </w:pPr>
            <w:r>
              <w:rPr>
                <w:rFonts w:cs="Arial"/>
                <w:color w:val="000000"/>
                <w:szCs w:val="14"/>
              </w:rPr>
              <w:t>1.088</w:t>
            </w:r>
          </w:p>
        </w:tc>
        <w:tc>
          <w:tcPr>
            <w:tcW w:w="1419" w:type="dxa"/>
            <w:tcBorders>
              <w:top w:val="nil"/>
              <w:left w:val="nil"/>
              <w:bottom w:val="nil"/>
              <w:right w:val="nil"/>
            </w:tcBorders>
            <w:shd w:val="clear" w:color="auto" w:fill="auto"/>
            <w:vAlign w:val="center"/>
          </w:tcPr>
          <w:p w14:paraId="7FD713F2" w14:textId="77777777" w:rsidR="008B7E19" w:rsidRPr="00EB002F"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rPr>
            </w:pPr>
            <w:r>
              <w:rPr>
                <w:rFonts w:cs="Arial"/>
                <w:color w:val="000000"/>
                <w:szCs w:val="14"/>
              </w:rPr>
              <w:t>635</w:t>
            </w:r>
          </w:p>
        </w:tc>
        <w:tc>
          <w:tcPr>
            <w:tcW w:w="1261" w:type="dxa"/>
            <w:tcBorders>
              <w:top w:val="nil"/>
              <w:left w:val="nil"/>
              <w:bottom w:val="nil"/>
              <w:right w:val="nil"/>
            </w:tcBorders>
            <w:shd w:val="clear" w:color="auto" w:fill="auto"/>
            <w:vAlign w:val="center"/>
          </w:tcPr>
          <w:p w14:paraId="7925281E" w14:textId="77777777" w:rsidR="008B7E19" w:rsidRPr="00EB002F"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rPr>
            </w:pPr>
            <w:r>
              <w:rPr>
                <w:rFonts w:cs="Arial"/>
                <w:color w:val="000000"/>
                <w:szCs w:val="14"/>
              </w:rPr>
              <w:t>(204)</w:t>
            </w:r>
          </w:p>
        </w:tc>
      </w:tr>
      <w:tr w:rsidR="008B7E19" w:rsidRPr="001D6BE8" w14:paraId="2EEB977C"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186" w:type="dxa"/>
            <w:shd w:val="clear" w:color="auto" w:fill="FFFFFF" w:themeFill="background1"/>
            <w:vAlign w:val="center"/>
          </w:tcPr>
          <w:p w14:paraId="6B3CE1BF" w14:textId="77777777" w:rsidR="008B7E19" w:rsidRPr="00C806B0" w:rsidRDefault="008B7E19" w:rsidP="008B7E19">
            <w:pPr>
              <w:pStyle w:val="08-Tabelageral"/>
              <w:ind w:left="113"/>
              <w:jc w:val="left"/>
              <w:rPr>
                <w:rFonts w:cs="Arial"/>
                <w:b w:val="0"/>
                <w:szCs w:val="14"/>
              </w:rPr>
            </w:pPr>
            <w:r w:rsidRPr="00E038BB">
              <w:rPr>
                <w:rFonts w:cs="Arial"/>
                <w:b w:val="0"/>
                <w:szCs w:val="14"/>
              </w:rPr>
              <w:t>Personnel expenses</w:t>
            </w:r>
          </w:p>
        </w:tc>
        <w:tc>
          <w:tcPr>
            <w:tcW w:w="1429" w:type="dxa"/>
            <w:tcBorders>
              <w:top w:val="nil"/>
              <w:left w:val="nil"/>
              <w:bottom w:val="nil"/>
              <w:right w:val="nil"/>
            </w:tcBorders>
            <w:shd w:val="clear" w:color="auto" w:fill="auto"/>
            <w:vAlign w:val="center"/>
          </w:tcPr>
          <w:p w14:paraId="19AD44D7" w14:textId="77777777" w:rsidR="008B7E19"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r>
              <w:rPr>
                <w:rFonts w:cs="Arial"/>
                <w:color w:val="000000"/>
                <w:szCs w:val="14"/>
              </w:rPr>
              <w:t>(16.451)</w:t>
            </w:r>
          </w:p>
        </w:tc>
        <w:tc>
          <w:tcPr>
            <w:tcW w:w="1344" w:type="dxa"/>
            <w:tcBorders>
              <w:top w:val="nil"/>
              <w:left w:val="nil"/>
              <w:bottom w:val="nil"/>
              <w:right w:val="nil"/>
            </w:tcBorders>
            <w:shd w:val="clear" w:color="auto" w:fill="auto"/>
            <w:vAlign w:val="center"/>
          </w:tcPr>
          <w:p w14:paraId="2736A7AD" w14:textId="77777777" w:rsidR="008B7E19"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r>
              <w:rPr>
                <w:rFonts w:cs="Arial"/>
                <w:color w:val="000000"/>
                <w:szCs w:val="14"/>
              </w:rPr>
              <w:t>(30.120)</w:t>
            </w:r>
          </w:p>
        </w:tc>
        <w:tc>
          <w:tcPr>
            <w:tcW w:w="1419" w:type="dxa"/>
            <w:tcBorders>
              <w:top w:val="nil"/>
              <w:left w:val="nil"/>
              <w:bottom w:val="nil"/>
              <w:right w:val="nil"/>
            </w:tcBorders>
            <w:shd w:val="clear" w:color="auto" w:fill="auto"/>
            <w:vAlign w:val="center"/>
          </w:tcPr>
          <w:p w14:paraId="76CB5AD5" w14:textId="77777777" w:rsidR="008B7E19" w:rsidRPr="00EB002F"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rPr>
            </w:pPr>
            <w:r>
              <w:rPr>
                <w:rFonts w:cs="Arial"/>
                <w:color w:val="000000"/>
                <w:szCs w:val="14"/>
              </w:rPr>
              <w:t>(11.752)</w:t>
            </w:r>
          </w:p>
        </w:tc>
        <w:tc>
          <w:tcPr>
            <w:tcW w:w="1261" w:type="dxa"/>
            <w:tcBorders>
              <w:top w:val="nil"/>
              <w:left w:val="nil"/>
              <w:bottom w:val="nil"/>
              <w:right w:val="nil"/>
            </w:tcBorders>
            <w:shd w:val="clear" w:color="auto" w:fill="auto"/>
            <w:vAlign w:val="center"/>
          </w:tcPr>
          <w:p w14:paraId="7268860D" w14:textId="77777777" w:rsidR="008B7E19" w:rsidRPr="00EB002F"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rPr>
            </w:pPr>
            <w:r>
              <w:rPr>
                <w:rFonts w:cs="Arial"/>
                <w:color w:val="000000"/>
                <w:szCs w:val="14"/>
              </w:rPr>
              <w:t>(22.724)</w:t>
            </w:r>
          </w:p>
        </w:tc>
      </w:tr>
      <w:tr w:rsidR="008B7E19" w:rsidRPr="001D6BE8" w14:paraId="5EE6FED5" w14:textId="77777777" w:rsidTr="008B7E19">
        <w:trPr>
          <w:trHeight w:val="238"/>
          <w:jc w:val="center"/>
        </w:trPr>
        <w:tc>
          <w:tcPr>
            <w:cnfStyle w:val="001000000000" w:firstRow="0" w:lastRow="0" w:firstColumn="1" w:lastColumn="0" w:oddVBand="0" w:evenVBand="0" w:oddHBand="0" w:evenHBand="0" w:firstRowFirstColumn="0" w:firstRowLastColumn="0" w:lastRowFirstColumn="0" w:lastRowLastColumn="0"/>
            <w:tcW w:w="4186" w:type="dxa"/>
            <w:shd w:val="clear" w:color="auto" w:fill="FFFFFF" w:themeFill="background1"/>
            <w:vAlign w:val="center"/>
          </w:tcPr>
          <w:p w14:paraId="1F1F4624" w14:textId="77777777" w:rsidR="008B7E19" w:rsidRPr="00C806B0" w:rsidRDefault="008B7E19" w:rsidP="008B7E19">
            <w:pPr>
              <w:pStyle w:val="08-Tabelageral"/>
              <w:ind w:left="113"/>
              <w:jc w:val="left"/>
              <w:rPr>
                <w:rFonts w:cs="Arial"/>
                <w:b w:val="0"/>
                <w:szCs w:val="14"/>
              </w:rPr>
            </w:pPr>
            <w:r w:rsidRPr="00E038BB">
              <w:rPr>
                <w:rFonts w:cs="Arial"/>
                <w:b w:val="0"/>
                <w:szCs w:val="14"/>
              </w:rPr>
              <w:t>Administrative and selling expenses</w:t>
            </w:r>
          </w:p>
        </w:tc>
        <w:tc>
          <w:tcPr>
            <w:tcW w:w="1429" w:type="dxa"/>
            <w:tcBorders>
              <w:top w:val="nil"/>
              <w:left w:val="nil"/>
              <w:bottom w:val="nil"/>
              <w:right w:val="nil"/>
            </w:tcBorders>
            <w:shd w:val="clear" w:color="auto" w:fill="auto"/>
            <w:vAlign w:val="center"/>
          </w:tcPr>
          <w:p w14:paraId="0DD2A19B" w14:textId="77777777" w:rsidR="008B7E19"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color w:val="000000"/>
                <w:szCs w:val="14"/>
              </w:rPr>
            </w:pPr>
            <w:r>
              <w:rPr>
                <w:rFonts w:cs="Arial"/>
                <w:color w:val="000000"/>
                <w:szCs w:val="14"/>
              </w:rPr>
              <w:t>(11.176)</w:t>
            </w:r>
          </w:p>
        </w:tc>
        <w:tc>
          <w:tcPr>
            <w:tcW w:w="1344" w:type="dxa"/>
            <w:tcBorders>
              <w:top w:val="nil"/>
              <w:left w:val="nil"/>
              <w:bottom w:val="nil"/>
              <w:right w:val="nil"/>
            </w:tcBorders>
            <w:shd w:val="clear" w:color="auto" w:fill="auto"/>
            <w:vAlign w:val="center"/>
          </w:tcPr>
          <w:p w14:paraId="648E7892" w14:textId="77777777" w:rsidR="008B7E19"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color w:val="000000"/>
                <w:szCs w:val="14"/>
              </w:rPr>
            </w:pPr>
            <w:r>
              <w:rPr>
                <w:rFonts w:cs="Arial"/>
                <w:color w:val="000000"/>
                <w:szCs w:val="14"/>
              </w:rPr>
              <w:t>(18.983)</w:t>
            </w:r>
          </w:p>
        </w:tc>
        <w:tc>
          <w:tcPr>
            <w:tcW w:w="1419" w:type="dxa"/>
            <w:tcBorders>
              <w:top w:val="nil"/>
              <w:left w:val="nil"/>
              <w:bottom w:val="nil"/>
              <w:right w:val="nil"/>
            </w:tcBorders>
            <w:shd w:val="clear" w:color="auto" w:fill="auto"/>
            <w:vAlign w:val="center"/>
          </w:tcPr>
          <w:p w14:paraId="48B45AE5" w14:textId="77777777" w:rsidR="008B7E19" w:rsidRPr="00EB002F"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rPr>
            </w:pPr>
            <w:r>
              <w:rPr>
                <w:rFonts w:cs="Arial"/>
                <w:color w:val="000000"/>
                <w:szCs w:val="14"/>
              </w:rPr>
              <w:t>(5.341)</w:t>
            </w:r>
          </w:p>
        </w:tc>
        <w:tc>
          <w:tcPr>
            <w:tcW w:w="1261" w:type="dxa"/>
            <w:tcBorders>
              <w:top w:val="nil"/>
              <w:left w:val="nil"/>
              <w:bottom w:val="nil"/>
              <w:right w:val="nil"/>
            </w:tcBorders>
            <w:shd w:val="clear" w:color="auto" w:fill="auto"/>
            <w:vAlign w:val="center"/>
          </w:tcPr>
          <w:p w14:paraId="4A0FE592" w14:textId="77777777" w:rsidR="008B7E19" w:rsidRPr="00EB002F"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rPr>
            </w:pPr>
            <w:r>
              <w:rPr>
                <w:rFonts w:cs="Arial"/>
                <w:color w:val="000000"/>
                <w:szCs w:val="14"/>
              </w:rPr>
              <w:t>(10.088)</w:t>
            </w:r>
          </w:p>
        </w:tc>
      </w:tr>
      <w:tr w:rsidR="008B7E19" w:rsidRPr="001D6BE8" w14:paraId="0B6DC84D"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186" w:type="dxa"/>
            <w:shd w:val="clear" w:color="auto" w:fill="FFFFFF" w:themeFill="background1"/>
            <w:vAlign w:val="center"/>
          </w:tcPr>
          <w:p w14:paraId="5ECB27B0" w14:textId="77777777" w:rsidR="008B7E19" w:rsidRPr="00C806B0" w:rsidRDefault="008B7E19" w:rsidP="008B7E19">
            <w:pPr>
              <w:pStyle w:val="08-Tabelageral"/>
              <w:ind w:left="113"/>
              <w:jc w:val="left"/>
              <w:rPr>
                <w:rFonts w:cs="Arial"/>
                <w:b w:val="0"/>
                <w:szCs w:val="14"/>
              </w:rPr>
            </w:pPr>
            <w:r>
              <w:rPr>
                <w:rFonts w:cs="Arial"/>
                <w:b w:val="0"/>
                <w:szCs w:val="14"/>
              </w:rPr>
              <w:t>T</w:t>
            </w:r>
            <w:r w:rsidRPr="00C453A1">
              <w:rPr>
                <w:rFonts w:cs="Arial"/>
                <w:b w:val="0"/>
                <w:szCs w:val="14"/>
              </w:rPr>
              <w:t>ax expenses</w:t>
            </w:r>
          </w:p>
        </w:tc>
        <w:tc>
          <w:tcPr>
            <w:tcW w:w="1429" w:type="dxa"/>
            <w:tcBorders>
              <w:top w:val="nil"/>
              <w:left w:val="nil"/>
              <w:bottom w:val="nil"/>
              <w:right w:val="nil"/>
            </w:tcBorders>
            <w:shd w:val="clear" w:color="auto" w:fill="auto"/>
            <w:vAlign w:val="center"/>
          </w:tcPr>
          <w:p w14:paraId="32BE83DF" w14:textId="77777777" w:rsidR="008B7E19"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r>
              <w:rPr>
                <w:rFonts w:cs="Arial"/>
                <w:color w:val="000000"/>
                <w:szCs w:val="14"/>
              </w:rPr>
              <w:t>(4.991)</w:t>
            </w:r>
          </w:p>
        </w:tc>
        <w:tc>
          <w:tcPr>
            <w:tcW w:w="1344" w:type="dxa"/>
            <w:tcBorders>
              <w:top w:val="nil"/>
              <w:left w:val="nil"/>
              <w:bottom w:val="nil"/>
              <w:right w:val="nil"/>
            </w:tcBorders>
            <w:shd w:val="clear" w:color="auto" w:fill="auto"/>
            <w:vAlign w:val="center"/>
          </w:tcPr>
          <w:p w14:paraId="51D5E24B" w14:textId="77777777" w:rsidR="008B7E19"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r>
              <w:rPr>
                <w:rFonts w:cs="Arial"/>
                <w:color w:val="000000"/>
                <w:szCs w:val="14"/>
              </w:rPr>
              <w:t>(10.426)</w:t>
            </w:r>
          </w:p>
        </w:tc>
        <w:tc>
          <w:tcPr>
            <w:tcW w:w="1419" w:type="dxa"/>
            <w:tcBorders>
              <w:top w:val="nil"/>
              <w:left w:val="nil"/>
              <w:bottom w:val="nil"/>
              <w:right w:val="nil"/>
            </w:tcBorders>
            <w:shd w:val="clear" w:color="auto" w:fill="auto"/>
            <w:vAlign w:val="center"/>
          </w:tcPr>
          <w:p w14:paraId="155740C0" w14:textId="77777777" w:rsidR="008B7E19" w:rsidRPr="00EB002F"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rPr>
            </w:pPr>
            <w:r>
              <w:rPr>
                <w:rFonts w:cs="Arial"/>
                <w:color w:val="000000"/>
                <w:szCs w:val="14"/>
              </w:rPr>
              <w:t>(4.286)</w:t>
            </w:r>
          </w:p>
        </w:tc>
        <w:tc>
          <w:tcPr>
            <w:tcW w:w="1261" w:type="dxa"/>
            <w:tcBorders>
              <w:top w:val="nil"/>
              <w:left w:val="nil"/>
              <w:bottom w:val="nil"/>
              <w:right w:val="nil"/>
            </w:tcBorders>
            <w:shd w:val="clear" w:color="auto" w:fill="auto"/>
            <w:vAlign w:val="center"/>
          </w:tcPr>
          <w:p w14:paraId="4F5BAFA2" w14:textId="77777777" w:rsidR="008B7E19" w:rsidRPr="00EB002F"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rPr>
            </w:pPr>
            <w:r>
              <w:rPr>
                <w:rFonts w:cs="Arial"/>
                <w:color w:val="000000"/>
                <w:szCs w:val="14"/>
              </w:rPr>
              <w:t>(7.313)</w:t>
            </w:r>
          </w:p>
        </w:tc>
      </w:tr>
      <w:tr w:rsidR="008B7E19" w:rsidRPr="003E4D11" w14:paraId="09C8CF03" w14:textId="77777777" w:rsidTr="008B7E19">
        <w:trPr>
          <w:trHeight w:val="238"/>
          <w:jc w:val="center"/>
        </w:trPr>
        <w:tc>
          <w:tcPr>
            <w:cnfStyle w:val="001000000000" w:firstRow="0" w:lastRow="0" w:firstColumn="1" w:lastColumn="0" w:oddVBand="0" w:evenVBand="0" w:oddHBand="0" w:evenHBand="0" w:firstRowFirstColumn="0" w:firstRowLastColumn="0" w:lastRowFirstColumn="0" w:lastRowLastColumn="0"/>
            <w:tcW w:w="4186" w:type="dxa"/>
            <w:shd w:val="clear" w:color="auto" w:fill="FFFFFF" w:themeFill="background1"/>
            <w:vAlign w:val="center"/>
          </w:tcPr>
          <w:p w14:paraId="0DA9DB69" w14:textId="77777777" w:rsidR="008B7E19" w:rsidRPr="0093520D" w:rsidRDefault="008B7E19" w:rsidP="008B7E19">
            <w:pPr>
              <w:pStyle w:val="08-Tabelageral"/>
              <w:ind w:left="113"/>
              <w:jc w:val="left"/>
              <w:rPr>
                <w:rFonts w:cs="Arial"/>
                <w:b w:val="0"/>
                <w:bCs w:val="0"/>
                <w:szCs w:val="14"/>
                <w:lang w:val="en-US"/>
              </w:rPr>
            </w:pPr>
            <w:r w:rsidRPr="00C453A1">
              <w:rPr>
                <w:rFonts w:cs="Arial"/>
                <w:b w:val="0"/>
                <w:bCs w:val="0"/>
                <w:szCs w:val="14"/>
                <w:lang w:val="en-US"/>
              </w:rPr>
              <w:t>Provision for brokerage to return</w:t>
            </w:r>
          </w:p>
        </w:tc>
        <w:tc>
          <w:tcPr>
            <w:tcW w:w="1429" w:type="dxa"/>
            <w:tcBorders>
              <w:top w:val="nil"/>
              <w:left w:val="nil"/>
              <w:bottom w:val="nil"/>
              <w:right w:val="nil"/>
            </w:tcBorders>
            <w:shd w:val="clear" w:color="auto" w:fill="auto"/>
            <w:vAlign w:val="center"/>
          </w:tcPr>
          <w:p w14:paraId="48530FC7" w14:textId="77777777" w:rsidR="008B7E19" w:rsidRPr="0062679E"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rPr>
            </w:pPr>
            <w:r>
              <w:rPr>
                <w:rFonts w:cs="Arial"/>
              </w:rPr>
              <w:t>--</w:t>
            </w:r>
          </w:p>
        </w:tc>
        <w:tc>
          <w:tcPr>
            <w:tcW w:w="1344" w:type="dxa"/>
            <w:tcBorders>
              <w:top w:val="nil"/>
              <w:left w:val="nil"/>
              <w:bottom w:val="nil"/>
              <w:right w:val="nil"/>
            </w:tcBorders>
            <w:shd w:val="clear" w:color="auto" w:fill="auto"/>
            <w:vAlign w:val="center"/>
          </w:tcPr>
          <w:p w14:paraId="35912DD2" w14:textId="77777777" w:rsidR="008B7E19" w:rsidRPr="0062679E"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rPr>
            </w:pPr>
            <w:r>
              <w:rPr>
                <w:rFonts w:cs="Arial"/>
                <w:color w:val="000000"/>
                <w:szCs w:val="14"/>
              </w:rPr>
              <w:t>--</w:t>
            </w:r>
          </w:p>
        </w:tc>
        <w:tc>
          <w:tcPr>
            <w:tcW w:w="1419" w:type="dxa"/>
            <w:tcBorders>
              <w:top w:val="nil"/>
              <w:left w:val="nil"/>
              <w:bottom w:val="nil"/>
              <w:right w:val="nil"/>
            </w:tcBorders>
            <w:shd w:val="clear" w:color="auto" w:fill="auto"/>
            <w:vAlign w:val="center"/>
          </w:tcPr>
          <w:p w14:paraId="1D9793AE" w14:textId="77777777" w:rsidR="008B7E19" w:rsidRPr="0062679E"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rPr>
            </w:pPr>
            <w:r>
              <w:rPr>
                <w:rFonts w:cs="Arial"/>
                <w:color w:val="000000"/>
                <w:szCs w:val="14"/>
              </w:rPr>
              <w:t>(</w:t>
            </w:r>
            <w:r w:rsidRPr="00AF7E7E">
              <w:rPr>
                <w:rFonts w:cs="Arial"/>
                <w:color w:val="000000"/>
                <w:szCs w:val="14"/>
              </w:rPr>
              <w:t>9.824</w:t>
            </w:r>
            <w:r>
              <w:rPr>
                <w:rFonts w:cs="Arial"/>
                <w:color w:val="000000"/>
                <w:szCs w:val="14"/>
              </w:rPr>
              <w:t>)</w:t>
            </w:r>
          </w:p>
        </w:tc>
        <w:tc>
          <w:tcPr>
            <w:tcW w:w="1261" w:type="dxa"/>
            <w:tcBorders>
              <w:top w:val="nil"/>
              <w:left w:val="nil"/>
              <w:bottom w:val="nil"/>
              <w:right w:val="nil"/>
            </w:tcBorders>
            <w:shd w:val="clear" w:color="auto" w:fill="auto"/>
            <w:vAlign w:val="center"/>
          </w:tcPr>
          <w:p w14:paraId="5B092B23" w14:textId="77777777" w:rsidR="008B7E19" w:rsidRPr="00507512" w:rsidRDefault="008B7E19" w:rsidP="008B7E19">
            <w:pPr>
              <w:pStyle w:val="08-Tabelageral"/>
              <w:cnfStyle w:val="000000000000" w:firstRow="0" w:lastRow="0" w:firstColumn="0" w:lastColumn="0" w:oddVBand="0" w:evenVBand="0" w:oddHBand="0" w:evenHBand="0" w:firstRowFirstColumn="0" w:firstRowLastColumn="0" w:lastRowFirstColumn="0" w:lastRowLastColumn="0"/>
            </w:pPr>
            <w:r>
              <w:rPr>
                <w:rFonts w:cs="Arial"/>
                <w:color w:val="000000"/>
                <w:szCs w:val="14"/>
              </w:rPr>
              <w:t>(</w:t>
            </w:r>
            <w:r w:rsidRPr="00AF7E7E">
              <w:rPr>
                <w:rFonts w:cs="Arial"/>
                <w:color w:val="000000"/>
                <w:szCs w:val="14"/>
              </w:rPr>
              <w:t>19.648</w:t>
            </w:r>
            <w:r>
              <w:rPr>
                <w:rFonts w:cs="Arial"/>
                <w:color w:val="000000"/>
                <w:szCs w:val="14"/>
              </w:rPr>
              <w:t>)</w:t>
            </w:r>
          </w:p>
        </w:tc>
      </w:tr>
      <w:tr w:rsidR="008B7E19" w:rsidRPr="001D6BE8" w14:paraId="3D4DE5DE"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186" w:type="dxa"/>
            <w:shd w:val="clear" w:color="auto" w:fill="FFFFFF" w:themeFill="background1"/>
            <w:vAlign w:val="center"/>
          </w:tcPr>
          <w:p w14:paraId="77BA4BC7" w14:textId="77777777" w:rsidR="008B7E19" w:rsidRPr="00507512" w:rsidRDefault="008B7E19" w:rsidP="008B7E19">
            <w:pPr>
              <w:pStyle w:val="08-Tabelageral"/>
              <w:ind w:left="113"/>
              <w:jc w:val="left"/>
              <w:rPr>
                <w:rFonts w:cs="Arial"/>
                <w:b w:val="0"/>
                <w:szCs w:val="14"/>
              </w:rPr>
            </w:pPr>
            <w:r w:rsidRPr="00C453A1">
              <w:rPr>
                <w:rFonts w:cs="Arial"/>
                <w:b w:val="0"/>
                <w:szCs w:val="14"/>
              </w:rPr>
              <w:t>Others</w:t>
            </w:r>
          </w:p>
        </w:tc>
        <w:tc>
          <w:tcPr>
            <w:tcW w:w="1429" w:type="dxa"/>
            <w:tcBorders>
              <w:top w:val="nil"/>
              <w:left w:val="nil"/>
              <w:bottom w:val="nil"/>
              <w:right w:val="nil"/>
            </w:tcBorders>
            <w:shd w:val="clear" w:color="auto" w:fill="auto"/>
            <w:vAlign w:val="center"/>
          </w:tcPr>
          <w:p w14:paraId="40F9F925" w14:textId="77777777" w:rsidR="008B7E19" w:rsidRPr="0062679E"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rPr>
            </w:pPr>
            <w:r>
              <w:rPr>
                <w:rFonts w:cs="Arial"/>
                <w:color w:val="000000"/>
                <w:szCs w:val="14"/>
              </w:rPr>
              <w:t>(10.245)</w:t>
            </w:r>
          </w:p>
        </w:tc>
        <w:tc>
          <w:tcPr>
            <w:tcW w:w="1344" w:type="dxa"/>
            <w:tcBorders>
              <w:top w:val="nil"/>
              <w:left w:val="nil"/>
              <w:bottom w:val="nil"/>
              <w:right w:val="nil"/>
            </w:tcBorders>
            <w:shd w:val="clear" w:color="auto" w:fill="auto"/>
            <w:vAlign w:val="center"/>
          </w:tcPr>
          <w:p w14:paraId="50D7D0FD" w14:textId="77777777" w:rsidR="008B7E19" w:rsidRPr="0062679E"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rPr>
            </w:pPr>
            <w:r>
              <w:rPr>
                <w:rFonts w:cs="Arial"/>
                <w:color w:val="000000"/>
                <w:szCs w:val="14"/>
              </w:rPr>
              <w:t>(11.990)</w:t>
            </w:r>
          </w:p>
        </w:tc>
        <w:tc>
          <w:tcPr>
            <w:tcW w:w="1419" w:type="dxa"/>
            <w:tcBorders>
              <w:top w:val="nil"/>
              <w:left w:val="nil"/>
              <w:bottom w:val="nil"/>
              <w:right w:val="nil"/>
            </w:tcBorders>
            <w:shd w:val="clear" w:color="auto" w:fill="auto"/>
            <w:vAlign w:val="center"/>
          </w:tcPr>
          <w:p w14:paraId="02795DDE" w14:textId="77777777" w:rsidR="008B7E19" w:rsidRPr="0062679E"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rPr>
            </w:pPr>
            <w:r>
              <w:rPr>
                <w:rFonts w:cs="Arial"/>
              </w:rPr>
              <w:t>(70)</w:t>
            </w:r>
          </w:p>
        </w:tc>
        <w:tc>
          <w:tcPr>
            <w:tcW w:w="1261" w:type="dxa"/>
            <w:tcBorders>
              <w:top w:val="nil"/>
              <w:left w:val="nil"/>
              <w:bottom w:val="nil"/>
              <w:right w:val="nil"/>
            </w:tcBorders>
            <w:shd w:val="clear" w:color="auto" w:fill="auto"/>
            <w:vAlign w:val="center"/>
          </w:tcPr>
          <w:p w14:paraId="0512CCF7" w14:textId="77777777" w:rsidR="008B7E19" w:rsidRPr="00507512"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rPr>
            </w:pPr>
            <w:r>
              <w:rPr>
                <w:rFonts w:cs="Arial"/>
              </w:rPr>
              <w:t>(403)</w:t>
            </w:r>
          </w:p>
        </w:tc>
      </w:tr>
      <w:tr w:rsidR="008B7E19" w:rsidRPr="00E54B4C" w14:paraId="1C25123D" w14:textId="77777777" w:rsidTr="008B7E19">
        <w:trPr>
          <w:trHeight w:val="238"/>
          <w:jc w:val="center"/>
        </w:trPr>
        <w:tc>
          <w:tcPr>
            <w:cnfStyle w:val="001000000000" w:firstRow="0" w:lastRow="0" w:firstColumn="1" w:lastColumn="0" w:oddVBand="0" w:evenVBand="0" w:oddHBand="0" w:evenHBand="0" w:firstRowFirstColumn="0" w:firstRowLastColumn="0" w:lastRowFirstColumn="0" w:lastRowLastColumn="0"/>
            <w:tcW w:w="4186" w:type="dxa"/>
            <w:shd w:val="clear" w:color="auto" w:fill="FFFFFF" w:themeFill="background1"/>
            <w:vAlign w:val="center"/>
          </w:tcPr>
          <w:p w14:paraId="707840B7" w14:textId="77777777" w:rsidR="008B7E19" w:rsidRPr="0093520D" w:rsidRDefault="008B7E19" w:rsidP="008B7E19">
            <w:pPr>
              <w:pStyle w:val="08-Tabelageral"/>
              <w:jc w:val="left"/>
              <w:rPr>
                <w:rFonts w:cs="Arial"/>
                <w:szCs w:val="14"/>
                <w:lang w:val="en-US"/>
              </w:rPr>
            </w:pPr>
            <w:r w:rsidRPr="00C453A1">
              <w:rPr>
                <w:rFonts w:cs="Arial"/>
                <w:szCs w:val="14"/>
                <w:lang w:val="en-US"/>
              </w:rPr>
              <w:t>Income Before Financial Income and Expenses</w:t>
            </w:r>
          </w:p>
        </w:tc>
        <w:tc>
          <w:tcPr>
            <w:tcW w:w="1429" w:type="dxa"/>
            <w:tcBorders>
              <w:top w:val="nil"/>
              <w:left w:val="nil"/>
              <w:bottom w:val="nil"/>
              <w:right w:val="nil"/>
            </w:tcBorders>
            <w:shd w:val="clear" w:color="auto" w:fill="auto"/>
            <w:vAlign w:val="center"/>
          </w:tcPr>
          <w:p w14:paraId="50579D8C" w14:textId="77777777" w:rsidR="008B7E19"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b/>
                <w:bCs/>
                <w:color w:val="000000"/>
                <w:szCs w:val="14"/>
              </w:rPr>
            </w:pPr>
            <w:r>
              <w:rPr>
                <w:rFonts w:cs="Arial"/>
                <w:b/>
                <w:bCs/>
                <w:color w:val="000000"/>
                <w:szCs w:val="14"/>
              </w:rPr>
              <w:t>963.511</w:t>
            </w:r>
          </w:p>
        </w:tc>
        <w:tc>
          <w:tcPr>
            <w:tcW w:w="1344" w:type="dxa"/>
            <w:tcBorders>
              <w:top w:val="nil"/>
              <w:left w:val="nil"/>
              <w:bottom w:val="nil"/>
              <w:right w:val="nil"/>
            </w:tcBorders>
            <w:shd w:val="clear" w:color="auto" w:fill="auto"/>
            <w:vAlign w:val="center"/>
          </w:tcPr>
          <w:p w14:paraId="4C43E172" w14:textId="77777777" w:rsidR="008B7E19"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b/>
                <w:bCs/>
                <w:color w:val="000000"/>
                <w:szCs w:val="14"/>
              </w:rPr>
            </w:pPr>
            <w:r>
              <w:rPr>
                <w:rFonts w:cs="Arial"/>
                <w:b/>
                <w:bCs/>
                <w:color w:val="000000"/>
                <w:szCs w:val="14"/>
              </w:rPr>
              <w:t>1.952.438</w:t>
            </w:r>
          </w:p>
        </w:tc>
        <w:tc>
          <w:tcPr>
            <w:tcW w:w="1419" w:type="dxa"/>
            <w:tcBorders>
              <w:top w:val="nil"/>
              <w:left w:val="nil"/>
              <w:bottom w:val="nil"/>
              <w:right w:val="nil"/>
            </w:tcBorders>
            <w:shd w:val="clear" w:color="auto" w:fill="auto"/>
            <w:vAlign w:val="center"/>
          </w:tcPr>
          <w:p w14:paraId="632CA73B" w14:textId="77777777" w:rsidR="008B7E19" w:rsidRPr="00D32895"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color w:val="000000"/>
                <w:szCs w:val="14"/>
              </w:rPr>
              <w:t>864.881</w:t>
            </w:r>
          </w:p>
        </w:tc>
        <w:tc>
          <w:tcPr>
            <w:tcW w:w="1261" w:type="dxa"/>
            <w:tcBorders>
              <w:top w:val="nil"/>
              <w:left w:val="nil"/>
              <w:bottom w:val="nil"/>
              <w:right w:val="nil"/>
            </w:tcBorders>
            <w:shd w:val="clear" w:color="auto" w:fill="auto"/>
            <w:vAlign w:val="center"/>
          </w:tcPr>
          <w:p w14:paraId="431873F3" w14:textId="77777777" w:rsidR="008B7E19" w:rsidRPr="00D32895"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color w:val="000000"/>
                <w:szCs w:val="14"/>
              </w:rPr>
              <w:t>1.693.127</w:t>
            </w:r>
          </w:p>
        </w:tc>
      </w:tr>
      <w:tr w:rsidR="008B7E19" w:rsidRPr="00E54B4C" w14:paraId="5FC2CCD9"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186" w:type="dxa"/>
            <w:shd w:val="clear" w:color="auto" w:fill="FFFFFF" w:themeFill="background1"/>
            <w:vAlign w:val="center"/>
          </w:tcPr>
          <w:p w14:paraId="55396349" w14:textId="77777777" w:rsidR="008B7E19" w:rsidRPr="00E54B4C" w:rsidRDefault="008B7E19" w:rsidP="008B7E19">
            <w:pPr>
              <w:pStyle w:val="08-Tabelageral"/>
              <w:jc w:val="left"/>
              <w:rPr>
                <w:rFonts w:cs="Arial"/>
                <w:szCs w:val="14"/>
              </w:rPr>
            </w:pPr>
            <w:r>
              <w:rPr>
                <w:rFonts w:cs="Arial"/>
                <w:szCs w:val="14"/>
              </w:rPr>
              <w:t>Financial result</w:t>
            </w:r>
          </w:p>
        </w:tc>
        <w:tc>
          <w:tcPr>
            <w:tcW w:w="1429" w:type="dxa"/>
            <w:tcBorders>
              <w:top w:val="nil"/>
              <w:left w:val="nil"/>
              <w:bottom w:val="nil"/>
              <w:right w:val="nil"/>
            </w:tcBorders>
            <w:shd w:val="clear" w:color="auto" w:fill="auto"/>
            <w:vAlign w:val="center"/>
          </w:tcPr>
          <w:p w14:paraId="15A2B90B" w14:textId="77777777" w:rsidR="008B7E19"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r>
              <w:rPr>
                <w:rFonts w:cs="Arial"/>
                <w:b/>
                <w:bCs/>
                <w:color w:val="000000"/>
                <w:szCs w:val="14"/>
              </w:rPr>
              <w:t>106.366</w:t>
            </w:r>
          </w:p>
        </w:tc>
        <w:tc>
          <w:tcPr>
            <w:tcW w:w="1344" w:type="dxa"/>
            <w:tcBorders>
              <w:top w:val="nil"/>
              <w:left w:val="nil"/>
              <w:bottom w:val="nil"/>
              <w:right w:val="nil"/>
            </w:tcBorders>
            <w:shd w:val="clear" w:color="auto" w:fill="auto"/>
            <w:vAlign w:val="center"/>
          </w:tcPr>
          <w:p w14:paraId="1EA1A674" w14:textId="77777777" w:rsidR="008B7E19"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r>
              <w:rPr>
                <w:rFonts w:cs="Arial"/>
                <w:b/>
                <w:bCs/>
                <w:color w:val="000000"/>
                <w:szCs w:val="14"/>
              </w:rPr>
              <w:t>189.703</w:t>
            </w:r>
          </w:p>
        </w:tc>
        <w:tc>
          <w:tcPr>
            <w:tcW w:w="1419" w:type="dxa"/>
            <w:tcBorders>
              <w:top w:val="nil"/>
              <w:left w:val="nil"/>
              <w:bottom w:val="nil"/>
              <w:right w:val="nil"/>
            </w:tcBorders>
            <w:shd w:val="clear" w:color="auto" w:fill="auto"/>
            <w:vAlign w:val="center"/>
          </w:tcPr>
          <w:p w14:paraId="3A7B603F" w14:textId="77777777" w:rsidR="008B7E19" w:rsidRPr="00D32895"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b/>
                <w:bCs/>
              </w:rPr>
            </w:pPr>
            <w:r>
              <w:rPr>
                <w:rFonts w:cs="Arial"/>
                <w:b/>
                <w:bCs/>
                <w:color w:val="000000"/>
                <w:szCs w:val="14"/>
              </w:rPr>
              <w:t>92.084</w:t>
            </w:r>
          </w:p>
        </w:tc>
        <w:tc>
          <w:tcPr>
            <w:tcW w:w="1261" w:type="dxa"/>
            <w:tcBorders>
              <w:top w:val="nil"/>
              <w:left w:val="nil"/>
              <w:bottom w:val="nil"/>
              <w:right w:val="nil"/>
            </w:tcBorders>
            <w:shd w:val="clear" w:color="auto" w:fill="auto"/>
            <w:vAlign w:val="center"/>
          </w:tcPr>
          <w:p w14:paraId="2A281BE4" w14:textId="77777777" w:rsidR="008B7E19" w:rsidRPr="00D32895"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b/>
                <w:bCs/>
              </w:rPr>
            </w:pPr>
            <w:r>
              <w:rPr>
                <w:rFonts w:cs="Arial"/>
                <w:b/>
                <w:bCs/>
                <w:color w:val="000000"/>
                <w:szCs w:val="14"/>
              </w:rPr>
              <w:t>138.280</w:t>
            </w:r>
          </w:p>
        </w:tc>
      </w:tr>
      <w:tr w:rsidR="008B7E19" w:rsidRPr="001D6BE8" w14:paraId="3B91BFC8" w14:textId="77777777" w:rsidTr="008B7E19">
        <w:trPr>
          <w:trHeight w:val="238"/>
          <w:jc w:val="center"/>
        </w:trPr>
        <w:tc>
          <w:tcPr>
            <w:cnfStyle w:val="001000000000" w:firstRow="0" w:lastRow="0" w:firstColumn="1" w:lastColumn="0" w:oddVBand="0" w:evenVBand="0" w:oddHBand="0" w:evenHBand="0" w:firstRowFirstColumn="0" w:firstRowLastColumn="0" w:lastRowFirstColumn="0" w:lastRowLastColumn="0"/>
            <w:tcW w:w="4186" w:type="dxa"/>
            <w:shd w:val="clear" w:color="auto" w:fill="FFFFFF" w:themeFill="background1"/>
            <w:vAlign w:val="center"/>
          </w:tcPr>
          <w:p w14:paraId="4F398490" w14:textId="77777777" w:rsidR="008B7E19" w:rsidRPr="00C806B0" w:rsidRDefault="008B7E19" w:rsidP="008B7E19">
            <w:pPr>
              <w:pStyle w:val="08-Tabelageral"/>
              <w:ind w:left="113"/>
              <w:jc w:val="left"/>
              <w:rPr>
                <w:rFonts w:cs="Arial"/>
                <w:b w:val="0"/>
                <w:szCs w:val="14"/>
              </w:rPr>
            </w:pPr>
            <w:r>
              <w:rPr>
                <w:rFonts w:cs="Arial"/>
                <w:b w:val="0"/>
                <w:szCs w:val="14"/>
              </w:rPr>
              <w:t>Financial income</w:t>
            </w:r>
          </w:p>
        </w:tc>
        <w:tc>
          <w:tcPr>
            <w:tcW w:w="1429" w:type="dxa"/>
            <w:tcBorders>
              <w:top w:val="nil"/>
              <w:left w:val="nil"/>
              <w:bottom w:val="nil"/>
              <w:right w:val="nil"/>
            </w:tcBorders>
            <w:shd w:val="clear" w:color="auto" w:fill="auto"/>
            <w:vAlign w:val="center"/>
          </w:tcPr>
          <w:p w14:paraId="6C9F5915" w14:textId="77777777" w:rsidR="008B7E19"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color w:val="000000"/>
                <w:szCs w:val="14"/>
              </w:rPr>
            </w:pPr>
            <w:r>
              <w:rPr>
                <w:rFonts w:cs="Arial"/>
                <w:color w:val="000000"/>
                <w:szCs w:val="14"/>
              </w:rPr>
              <w:t>106.453</w:t>
            </w:r>
          </w:p>
        </w:tc>
        <w:tc>
          <w:tcPr>
            <w:tcW w:w="1344" w:type="dxa"/>
            <w:tcBorders>
              <w:top w:val="nil"/>
              <w:left w:val="nil"/>
              <w:bottom w:val="nil"/>
              <w:right w:val="nil"/>
            </w:tcBorders>
            <w:shd w:val="clear" w:color="auto" w:fill="auto"/>
            <w:vAlign w:val="center"/>
          </w:tcPr>
          <w:p w14:paraId="3829737D" w14:textId="77777777" w:rsidR="008B7E19"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color w:val="000000"/>
                <w:szCs w:val="14"/>
              </w:rPr>
            </w:pPr>
            <w:r>
              <w:rPr>
                <w:rFonts w:cs="Arial"/>
                <w:color w:val="000000"/>
                <w:szCs w:val="14"/>
              </w:rPr>
              <w:t>221.878</w:t>
            </w:r>
          </w:p>
        </w:tc>
        <w:tc>
          <w:tcPr>
            <w:tcW w:w="1419" w:type="dxa"/>
            <w:tcBorders>
              <w:top w:val="nil"/>
              <w:left w:val="nil"/>
              <w:bottom w:val="nil"/>
              <w:right w:val="nil"/>
            </w:tcBorders>
            <w:shd w:val="clear" w:color="auto" w:fill="auto"/>
            <w:vAlign w:val="center"/>
          </w:tcPr>
          <w:p w14:paraId="29405BCD" w14:textId="77777777" w:rsidR="008B7E19" w:rsidRPr="00EB002F"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rPr>
            </w:pPr>
            <w:r>
              <w:rPr>
                <w:rFonts w:cs="Arial"/>
                <w:color w:val="000000"/>
                <w:szCs w:val="14"/>
              </w:rPr>
              <w:t>92.136</w:t>
            </w:r>
          </w:p>
        </w:tc>
        <w:tc>
          <w:tcPr>
            <w:tcW w:w="1261" w:type="dxa"/>
            <w:tcBorders>
              <w:top w:val="nil"/>
              <w:left w:val="nil"/>
              <w:bottom w:val="nil"/>
              <w:right w:val="nil"/>
            </w:tcBorders>
            <w:shd w:val="clear" w:color="auto" w:fill="auto"/>
            <w:vAlign w:val="center"/>
          </w:tcPr>
          <w:p w14:paraId="250E95B3" w14:textId="77777777" w:rsidR="008B7E19" w:rsidRPr="00EB002F"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rPr>
            </w:pPr>
            <w:r>
              <w:rPr>
                <w:rFonts w:cs="Arial"/>
                <w:color w:val="000000"/>
                <w:szCs w:val="14"/>
              </w:rPr>
              <w:t>155.465</w:t>
            </w:r>
          </w:p>
        </w:tc>
      </w:tr>
      <w:tr w:rsidR="008B7E19" w:rsidRPr="001D6BE8" w14:paraId="6D6D65E3"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186" w:type="dxa"/>
            <w:shd w:val="clear" w:color="auto" w:fill="FFFFFF" w:themeFill="background1"/>
            <w:vAlign w:val="center"/>
          </w:tcPr>
          <w:p w14:paraId="617727A2" w14:textId="77777777" w:rsidR="008B7E19" w:rsidRPr="00C806B0" w:rsidRDefault="008B7E19" w:rsidP="008B7E19">
            <w:pPr>
              <w:pStyle w:val="08-Tabelageral"/>
              <w:ind w:left="113"/>
              <w:jc w:val="left"/>
              <w:rPr>
                <w:rFonts w:cs="Arial"/>
                <w:b w:val="0"/>
                <w:szCs w:val="14"/>
              </w:rPr>
            </w:pPr>
            <w:r>
              <w:rPr>
                <w:rFonts w:cs="Arial"/>
                <w:b w:val="0"/>
                <w:szCs w:val="14"/>
              </w:rPr>
              <w:t>Financial expenses</w:t>
            </w:r>
            <w:r w:rsidRPr="00C806B0">
              <w:rPr>
                <w:rFonts w:cs="Arial"/>
                <w:b w:val="0"/>
                <w:szCs w:val="14"/>
              </w:rPr>
              <w:t xml:space="preserve"> </w:t>
            </w:r>
          </w:p>
        </w:tc>
        <w:tc>
          <w:tcPr>
            <w:tcW w:w="1429" w:type="dxa"/>
            <w:tcBorders>
              <w:top w:val="nil"/>
              <w:left w:val="nil"/>
              <w:bottom w:val="nil"/>
              <w:right w:val="nil"/>
            </w:tcBorders>
            <w:shd w:val="clear" w:color="auto" w:fill="auto"/>
            <w:vAlign w:val="center"/>
          </w:tcPr>
          <w:p w14:paraId="333852BC" w14:textId="77777777" w:rsidR="008B7E19"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r>
              <w:rPr>
                <w:rFonts w:cs="Arial"/>
                <w:color w:val="000000"/>
                <w:szCs w:val="14"/>
              </w:rPr>
              <w:t>(87)</w:t>
            </w:r>
          </w:p>
        </w:tc>
        <w:tc>
          <w:tcPr>
            <w:tcW w:w="1344" w:type="dxa"/>
            <w:tcBorders>
              <w:top w:val="nil"/>
              <w:left w:val="nil"/>
              <w:bottom w:val="nil"/>
              <w:right w:val="nil"/>
            </w:tcBorders>
            <w:shd w:val="clear" w:color="auto" w:fill="auto"/>
            <w:vAlign w:val="center"/>
          </w:tcPr>
          <w:p w14:paraId="12CACAD2" w14:textId="77777777" w:rsidR="008B7E19"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r>
              <w:rPr>
                <w:rFonts w:cs="Arial"/>
                <w:color w:val="000000"/>
                <w:szCs w:val="14"/>
              </w:rPr>
              <w:t>(32.175)</w:t>
            </w:r>
          </w:p>
        </w:tc>
        <w:tc>
          <w:tcPr>
            <w:tcW w:w="1419" w:type="dxa"/>
            <w:tcBorders>
              <w:top w:val="nil"/>
              <w:left w:val="nil"/>
              <w:bottom w:val="nil"/>
              <w:right w:val="nil"/>
            </w:tcBorders>
            <w:shd w:val="clear" w:color="auto" w:fill="auto"/>
            <w:vAlign w:val="center"/>
          </w:tcPr>
          <w:p w14:paraId="08D38993" w14:textId="77777777" w:rsidR="008B7E19" w:rsidRPr="00EB002F"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rPr>
            </w:pPr>
            <w:r>
              <w:rPr>
                <w:rFonts w:cs="Arial"/>
                <w:color w:val="000000"/>
                <w:szCs w:val="14"/>
              </w:rPr>
              <w:t>(52)</w:t>
            </w:r>
          </w:p>
        </w:tc>
        <w:tc>
          <w:tcPr>
            <w:tcW w:w="1261" w:type="dxa"/>
            <w:tcBorders>
              <w:top w:val="nil"/>
              <w:left w:val="nil"/>
              <w:bottom w:val="nil"/>
              <w:right w:val="nil"/>
            </w:tcBorders>
            <w:shd w:val="clear" w:color="auto" w:fill="auto"/>
            <w:vAlign w:val="center"/>
          </w:tcPr>
          <w:p w14:paraId="3651711E" w14:textId="77777777" w:rsidR="008B7E19" w:rsidRPr="00EB002F"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rPr>
            </w:pPr>
            <w:r>
              <w:rPr>
                <w:rFonts w:cs="Arial"/>
                <w:color w:val="000000"/>
                <w:szCs w:val="14"/>
              </w:rPr>
              <w:t>(17.185)</w:t>
            </w:r>
          </w:p>
        </w:tc>
      </w:tr>
      <w:tr w:rsidR="008B7E19" w:rsidRPr="00E54B4C" w14:paraId="0812DBCC" w14:textId="77777777" w:rsidTr="008B7E19">
        <w:trPr>
          <w:trHeight w:val="238"/>
          <w:jc w:val="center"/>
        </w:trPr>
        <w:tc>
          <w:tcPr>
            <w:cnfStyle w:val="001000000000" w:firstRow="0" w:lastRow="0" w:firstColumn="1" w:lastColumn="0" w:oddVBand="0" w:evenVBand="0" w:oddHBand="0" w:evenHBand="0" w:firstRowFirstColumn="0" w:firstRowLastColumn="0" w:lastRowFirstColumn="0" w:lastRowLastColumn="0"/>
            <w:tcW w:w="4186" w:type="dxa"/>
            <w:shd w:val="clear" w:color="auto" w:fill="FFFFFF" w:themeFill="background1"/>
            <w:vAlign w:val="center"/>
          </w:tcPr>
          <w:p w14:paraId="18EA9513" w14:textId="77777777" w:rsidR="008B7E19" w:rsidRPr="00E54B4C" w:rsidRDefault="008B7E19" w:rsidP="008B7E19">
            <w:pPr>
              <w:pStyle w:val="08-Tabelageral"/>
              <w:jc w:val="left"/>
              <w:rPr>
                <w:rFonts w:cs="Arial"/>
                <w:bCs w:val="0"/>
                <w:szCs w:val="14"/>
              </w:rPr>
            </w:pPr>
            <w:r w:rsidRPr="00C453A1">
              <w:rPr>
                <w:rFonts w:cs="Arial"/>
                <w:szCs w:val="14"/>
              </w:rPr>
              <w:t>Income before taxes</w:t>
            </w:r>
          </w:p>
        </w:tc>
        <w:tc>
          <w:tcPr>
            <w:tcW w:w="1429" w:type="dxa"/>
            <w:tcBorders>
              <w:top w:val="nil"/>
              <w:left w:val="nil"/>
              <w:bottom w:val="nil"/>
              <w:right w:val="nil"/>
            </w:tcBorders>
            <w:shd w:val="clear" w:color="auto" w:fill="auto"/>
            <w:vAlign w:val="center"/>
          </w:tcPr>
          <w:p w14:paraId="7A65CB0C" w14:textId="77777777" w:rsidR="008B7E19"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b/>
                <w:bCs/>
                <w:color w:val="000000"/>
                <w:szCs w:val="14"/>
              </w:rPr>
            </w:pPr>
            <w:r>
              <w:rPr>
                <w:rFonts w:cs="Arial"/>
                <w:b/>
                <w:bCs/>
                <w:color w:val="000000"/>
                <w:szCs w:val="14"/>
              </w:rPr>
              <w:t>1.069.877</w:t>
            </w:r>
          </w:p>
        </w:tc>
        <w:tc>
          <w:tcPr>
            <w:tcW w:w="1344" w:type="dxa"/>
            <w:tcBorders>
              <w:top w:val="nil"/>
              <w:left w:val="nil"/>
              <w:bottom w:val="nil"/>
              <w:right w:val="nil"/>
            </w:tcBorders>
            <w:shd w:val="clear" w:color="auto" w:fill="auto"/>
            <w:vAlign w:val="center"/>
          </w:tcPr>
          <w:p w14:paraId="2E2B80B3" w14:textId="77777777" w:rsidR="008B7E19"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b/>
                <w:bCs/>
                <w:color w:val="000000"/>
                <w:szCs w:val="14"/>
              </w:rPr>
            </w:pPr>
            <w:r>
              <w:rPr>
                <w:rFonts w:cs="Arial"/>
                <w:b/>
                <w:bCs/>
                <w:color w:val="000000"/>
                <w:szCs w:val="14"/>
              </w:rPr>
              <w:t>2.142.141</w:t>
            </w:r>
          </w:p>
        </w:tc>
        <w:tc>
          <w:tcPr>
            <w:tcW w:w="1419" w:type="dxa"/>
            <w:tcBorders>
              <w:top w:val="nil"/>
              <w:left w:val="nil"/>
              <w:bottom w:val="nil"/>
              <w:right w:val="nil"/>
            </w:tcBorders>
            <w:shd w:val="clear" w:color="auto" w:fill="auto"/>
            <w:vAlign w:val="center"/>
          </w:tcPr>
          <w:p w14:paraId="55F517E3" w14:textId="77777777" w:rsidR="008B7E19" w:rsidRPr="001C213F"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color w:val="000000"/>
                <w:szCs w:val="14"/>
              </w:rPr>
              <w:t>956.965</w:t>
            </w:r>
          </w:p>
        </w:tc>
        <w:tc>
          <w:tcPr>
            <w:tcW w:w="1261" w:type="dxa"/>
            <w:tcBorders>
              <w:top w:val="nil"/>
              <w:left w:val="nil"/>
              <w:bottom w:val="nil"/>
              <w:right w:val="nil"/>
            </w:tcBorders>
            <w:shd w:val="clear" w:color="auto" w:fill="auto"/>
            <w:vAlign w:val="center"/>
          </w:tcPr>
          <w:p w14:paraId="36A23688" w14:textId="77777777" w:rsidR="008B7E19" w:rsidRPr="001C213F"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color w:val="000000"/>
                <w:szCs w:val="14"/>
              </w:rPr>
              <w:t>1.831.407</w:t>
            </w:r>
          </w:p>
        </w:tc>
      </w:tr>
      <w:tr w:rsidR="008B7E19" w:rsidRPr="009365D0" w14:paraId="30A9F4A7"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186" w:type="dxa"/>
            <w:shd w:val="clear" w:color="auto" w:fill="FFFFFF" w:themeFill="background1"/>
            <w:vAlign w:val="center"/>
          </w:tcPr>
          <w:p w14:paraId="5686D329" w14:textId="77777777" w:rsidR="008B7E19" w:rsidRPr="0093520D" w:rsidRDefault="008B7E19" w:rsidP="008B7E19">
            <w:pPr>
              <w:pStyle w:val="08-Tabelageral"/>
              <w:ind w:left="113"/>
              <w:jc w:val="left"/>
              <w:rPr>
                <w:rFonts w:cs="Arial"/>
                <w:b w:val="0"/>
                <w:bCs w:val="0"/>
                <w:szCs w:val="14"/>
              </w:rPr>
            </w:pPr>
            <w:r w:rsidRPr="0093520D">
              <w:rPr>
                <w:rFonts w:cs="Arial"/>
                <w:b w:val="0"/>
                <w:szCs w:val="14"/>
              </w:rPr>
              <w:t>Taxes</w:t>
            </w:r>
          </w:p>
        </w:tc>
        <w:tc>
          <w:tcPr>
            <w:tcW w:w="1429" w:type="dxa"/>
            <w:tcBorders>
              <w:top w:val="nil"/>
              <w:left w:val="nil"/>
              <w:bottom w:val="nil"/>
              <w:right w:val="nil"/>
            </w:tcBorders>
            <w:shd w:val="clear" w:color="auto" w:fill="auto"/>
            <w:vAlign w:val="center"/>
          </w:tcPr>
          <w:p w14:paraId="0D5FB2A0" w14:textId="77777777" w:rsidR="008B7E19" w:rsidRPr="0001062D"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r>
              <w:rPr>
                <w:rFonts w:cs="Arial"/>
                <w:color w:val="000000"/>
                <w:szCs w:val="14"/>
              </w:rPr>
              <w:t>(363.082)</w:t>
            </w:r>
          </w:p>
        </w:tc>
        <w:tc>
          <w:tcPr>
            <w:tcW w:w="1344" w:type="dxa"/>
            <w:tcBorders>
              <w:top w:val="nil"/>
              <w:left w:val="nil"/>
              <w:bottom w:val="nil"/>
              <w:right w:val="nil"/>
            </w:tcBorders>
            <w:shd w:val="clear" w:color="auto" w:fill="auto"/>
            <w:vAlign w:val="center"/>
          </w:tcPr>
          <w:p w14:paraId="2B5458BA" w14:textId="77777777" w:rsidR="008B7E19" w:rsidRPr="0001062D"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r>
              <w:rPr>
                <w:rFonts w:cs="Arial"/>
                <w:color w:val="000000"/>
                <w:szCs w:val="14"/>
              </w:rPr>
              <w:t>(727.635)</w:t>
            </w:r>
          </w:p>
        </w:tc>
        <w:tc>
          <w:tcPr>
            <w:tcW w:w="1419" w:type="dxa"/>
            <w:tcBorders>
              <w:top w:val="nil"/>
              <w:left w:val="nil"/>
              <w:bottom w:val="nil"/>
              <w:right w:val="nil"/>
            </w:tcBorders>
            <w:shd w:val="clear" w:color="auto" w:fill="auto"/>
            <w:vAlign w:val="center"/>
          </w:tcPr>
          <w:p w14:paraId="5DDC9EAD" w14:textId="77777777" w:rsidR="008B7E19" w:rsidRPr="001C213F"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b/>
                <w:bCs/>
              </w:rPr>
            </w:pPr>
            <w:r w:rsidRPr="001C213F">
              <w:rPr>
                <w:rFonts w:cs="Arial"/>
                <w:b/>
                <w:bCs/>
                <w:color w:val="000000"/>
                <w:szCs w:val="14"/>
              </w:rPr>
              <w:t>(325.155)</w:t>
            </w:r>
          </w:p>
        </w:tc>
        <w:tc>
          <w:tcPr>
            <w:tcW w:w="1261" w:type="dxa"/>
            <w:tcBorders>
              <w:top w:val="nil"/>
              <w:left w:val="nil"/>
              <w:bottom w:val="nil"/>
              <w:right w:val="nil"/>
            </w:tcBorders>
            <w:shd w:val="clear" w:color="auto" w:fill="auto"/>
            <w:vAlign w:val="center"/>
          </w:tcPr>
          <w:p w14:paraId="73C03B25" w14:textId="77777777" w:rsidR="008B7E19" w:rsidRPr="001C213F"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b/>
                <w:bCs/>
              </w:rPr>
            </w:pPr>
            <w:r w:rsidRPr="001C213F">
              <w:rPr>
                <w:rFonts w:cs="Arial"/>
                <w:b/>
                <w:bCs/>
                <w:color w:val="000000"/>
                <w:szCs w:val="14"/>
              </w:rPr>
              <w:t>(624.293)</w:t>
            </w:r>
          </w:p>
        </w:tc>
      </w:tr>
      <w:tr w:rsidR="008B7E19" w:rsidRPr="00BB480E" w14:paraId="4C26C558" w14:textId="77777777" w:rsidTr="008B7E19">
        <w:trPr>
          <w:trHeight w:val="238"/>
          <w:jc w:val="center"/>
        </w:trPr>
        <w:tc>
          <w:tcPr>
            <w:cnfStyle w:val="001000000000" w:firstRow="0" w:lastRow="0" w:firstColumn="1" w:lastColumn="0" w:oddVBand="0" w:evenVBand="0" w:oddHBand="0" w:evenHBand="0" w:firstRowFirstColumn="0" w:firstRowLastColumn="0" w:lastRowFirstColumn="0" w:lastRowLastColumn="0"/>
            <w:tcW w:w="4186" w:type="dxa"/>
            <w:shd w:val="clear" w:color="auto" w:fill="FFFFFF" w:themeFill="background1"/>
            <w:vAlign w:val="center"/>
          </w:tcPr>
          <w:p w14:paraId="031B680A" w14:textId="77777777" w:rsidR="008B7E19" w:rsidRPr="00E54B4C" w:rsidRDefault="008B7E19" w:rsidP="008B7E19">
            <w:pPr>
              <w:pStyle w:val="08-Tabelageral"/>
              <w:jc w:val="left"/>
              <w:rPr>
                <w:rFonts w:cs="Arial"/>
                <w:bCs w:val="0"/>
                <w:szCs w:val="14"/>
              </w:rPr>
            </w:pPr>
            <w:r>
              <w:rPr>
                <w:rFonts w:cs="Arial"/>
                <w:szCs w:val="14"/>
              </w:rPr>
              <w:t xml:space="preserve">Net income </w:t>
            </w:r>
          </w:p>
        </w:tc>
        <w:tc>
          <w:tcPr>
            <w:tcW w:w="1429" w:type="dxa"/>
            <w:shd w:val="clear" w:color="auto" w:fill="auto"/>
          </w:tcPr>
          <w:p w14:paraId="4D72F20B" w14:textId="77777777" w:rsidR="008B7E19" w:rsidRPr="0001062D"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b/>
                <w:bCs/>
              </w:rPr>
            </w:pPr>
            <w:r w:rsidRPr="00EF458B">
              <w:rPr>
                <w:rFonts w:cs="Arial"/>
                <w:b/>
                <w:bCs/>
              </w:rPr>
              <w:t>706.795</w:t>
            </w:r>
          </w:p>
        </w:tc>
        <w:tc>
          <w:tcPr>
            <w:tcW w:w="1344" w:type="dxa"/>
            <w:shd w:val="clear" w:color="auto" w:fill="auto"/>
          </w:tcPr>
          <w:p w14:paraId="4DBC627E" w14:textId="77777777" w:rsidR="008B7E19" w:rsidRPr="0001062D"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b/>
                <w:bCs/>
              </w:rPr>
            </w:pPr>
            <w:r w:rsidRPr="00EF458B">
              <w:rPr>
                <w:rFonts w:cs="Arial"/>
                <w:b/>
                <w:bCs/>
              </w:rPr>
              <w:t>1.414.506</w:t>
            </w:r>
          </w:p>
        </w:tc>
        <w:tc>
          <w:tcPr>
            <w:tcW w:w="1419" w:type="dxa"/>
            <w:shd w:val="clear" w:color="auto" w:fill="auto"/>
          </w:tcPr>
          <w:p w14:paraId="4F1B6C17" w14:textId="77777777" w:rsidR="008B7E19" w:rsidRPr="00042919"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b/>
                <w:bCs/>
              </w:rPr>
            </w:pPr>
            <w:r w:rsidRPr="00364263">
              <w:rPr>
                <w:rFonts w:cs="Arial"/>
                <w:b/>
                <w:bCs/>
              </w:rPr>
              <w:t>631.810</w:t>
            </w:r>
          </w:p>
        </w:tc>
        <w:tc>
          <w:tcPr>
            <w:tcW w:w="1261" w:type="dxa"/>
            <w:shd w:val="clear" w:color="auto" w:fill="auto"/>
          </w:tcPr>
          <w:p w14:paraId="6A0E92E8" w14:textId="77777777" w:rsidR="008B7E19" w:rsidRPr="00042919"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b/>
                <w:bCs/>
              </w:rPr>
            </w:pPr>
            <w:r w:rsidRPr="00364263">
              <w:rPr>
                <w:rFonts w:cs="Arial"/>
                <w:b/>
                <w:bCs/>
              </w:rPr>
              <w:t>1.207.114</w:t>
            </w:r>
          </w:p>
        </w:tc>
      </w:tr>
      <w:tr w:rsidR="008B7E19" w:rsidRPr="004E4F73" w14:paraId="11EA5F84"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186" w:type="dxa"/>
            <w:shd w:val="clear" w:color="auto" w:fill="FFFFFF" w:themeFill="background1"/>
            <w:vAlign w:val="center"/>
          </w:tcPr>
          <w:p w14:paraId="066D8C80" w14:textId="77777777" w:rsidR="008B7E19" w:rsidRPr="004E4F73" w:rsidRDefault="008B7E19" w:rsidP="008B7E19">
            <w:pPr>
              <w:pStyle w:val="08-Tabelageral"/>
              <w:ind w:left="113"/>
              <w:jc w:val="left"/>
              <w:rPr>
                <w:rFonts w:cs="Arial"/>
                <w:b w:val="0"/>
                <w:szCs w:val="14"/>
              </w:rPr>
            </w:pPr>
            <w:r>
              <w:rPr>
                <w:rFonts w:cs="Arial"/>
                <w:b w:val="0"/>
                <w:szCs w:val="14"/>
              </w:rPr>
              <w:t>Other comprehensive results</w:t>
            </w:r>
          </w:p>
        </w:tc>
        <w:tc>
          <w:tcPr>
            <w:tcW w:w="1429" w:type="dxa"/>
            <w:shd w:val="clear" w:color="auto" w:fill="auto"/>
            <w:vAlign w:val="center"/>
          </w:tcPr>
          <w:p w14:paraId="33B3C193" w14:textId="77777777" w:rsidR="008B7E19" w:rsidRPr="004E4F73"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bCs/>
              </w:rPr>
            </w:pPr>
            <w:r w:rsidRPr="004E4F73">
              <w:rPr>
                <w:rFonts w:cs="Arial"/>
                <w:bCs/>
                <w:szCs w:val="14"/>
              </w:rPr>
              <w:t>(300)</w:t>
            </w:r>
          </w:p>
        </w:tc>
        <w:tc>
          <w:tcPr>
            <w:tcW w:w="1344" w:type="dxa"/>
            <w:shd w:val="clear" w:color="auto" w:fill="auto"/>
            <w:vAlign w:val="center"/>
          </w:tcPr>
          <w:p w14:paraId="1215EB4A" w14:textId="77777777" w:rsidR="008B7E19" w:rsidRPr="004E4F73"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bCs/>
              </w:rPr>
            </w:pPr>
            <w:r w:rsidRPr="004E4F73">
              <w:rPr>
                <w:rFonts w:cs="Arial"/>
                <w:bCs/>
                <w:szCs w:val="14"/>
              </w:rPr>
              <w:t>(248)</w:t>
            </w:r>
          </w:p>
        </w:tc>
        <w:tc>
          <w:tcPr>
            <w:tcW w:w="1419" w:type="dxa"/>
            <w:shd w:val="clear" w:color="auto" w:fill="auto"/>
            <w:vAlign w:val="center"/>
          </w:tcPr>
          <w:p w14:paraId="6DF022EA" w14:textId="77777777" w:rsidR="008B7E19" w:rsidRPr="004E4F73"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bCs/>
              </w:rPr>
            </w:pPr>
            <w:r w:rsidRPr="004E4F73">
              <w:rPr>
                <w:rFonts w:cs="Arial"/>
                <w:bCs/>
                <w:szCs w:val="14"/>
              </w:rPr>
              <w:t>--</w:t>
            </w:r>
          </w:p>
        </w:tc>
        <w:tc>
          <w:tcPr>
            <w:tcW w:w="1261" w:type="dxa"/>
            <w:shd w:val="clear" w:color="auto" w:fill="auto"/>
            <w:vAlign w:val="center"/>
          </w:tcPr>
          <w:p w14:paraId="30784B38" w14:textId="77777777" w:rsidR="008B7E19" w:rsidRPr="004E4F73"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bCs/>
              </w:rPr>
            </w:pPr>
            <w:r w:rsidRPr="004E4F73">
              <w:rPr>
                <w:rFonts w:cs="Arial"/>
                <w:bCs/>
                <w:szCs w:val="14"/>
              </w:rPr>
              <w:t>--</w:t>
            </w:r>
          </w:p>
        </w:tc>
      </w:tr>
      <w:tr w:rsidR="008B7E19" w:rsidRPr="004E4F73" w14:paraId="0AC134D3" w14:textId="77777777" w:rsidTr="008B7E19">
        <w:trPr>
          <w:trHeight w:val="238"/>
          <w:jc w:val="center"/>
        </w:trPr>
        <w:tc>
          <w:tcPr>
            <w:cnfStyle w:val="001000000000" w:firstRow="0" w:lastRow="0" w:firstColumn="1" w:lastColumn="0" w:oddVBand="0" w:evenVBand="0" w:oddHBand="0" w:evenHBand="0" w:firstRowFirstColumn="0" w:firstRowLastColumn="0" w:lastRowFirstColumn="0" w:lastRowLastColumn="0"/>
            <w:tcW w:w="4186" w:type="dxa"/>
            <w:shd w:val="clear" w:color="auto" w:fill="FFFFFF" w:themeFill="background1"/>
            <w:vAlign w:val="center"/>
          </w:tcPr>
          <w:p w14:paraId="675EF8F5" w14:textId="77777777" w:rsidR="008B7E19" w:rsidRPr="004E4F73" w:rsidRDefault="008B7E19" w:rsidP="008B7E19">
            <w:pPr>
              <w:pStyle w:val="08-Tabelageral"/>
              <w:jc w:val="left"/>
              <w:rPr>
                <w:rFonts w:cs="Arial"/>
                <w:szCs w:val="14"/>
              </w:rPr>
            </w:pPr>
            <w:r w:rsidRPr="00E038BB">
              <w:rPr>
                <w:rFonts w:cs="Arial"/>
                <w:szCs w:val="14"/>
              </w:rPr>
              <w:t>Comprehensive Income</w:t>
            </w:r>
          </w:p>
        </w:tc>
        <w:tc>
          <w:tcPr>
            <w:tcW w:w="1429" w:type="dxa"/>
            <w:shd w:val="clear" w:color="auto" w:fill="auto"/>
            <w:vAlign w:val="center"/>
          </w:tcPr>
          <w:p w14:paraId="4181BD13" w14:textId="77777777" w:rsidR="008B7E19" w:rsidRPr="004E4F73"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b/>
                <w:bCs/>
              </w:rPr>
            </w:pPr>
            <w:r w:rsidRPr="004E4F73">
              <w:rPr>
                <w:rFonts w:cs="Arial"/>
                <w:b/>
                <w:bCs/>
              </w:rPr>
              <w:t>706.495</w:t>
            </w:r>
          </w:p>
        </w:tc>
        <w:tc>
          <w:tcPr>
            <w:tcW w:w="1344" w:type="dxa"/>
            <w:shd w:val="clear" w:color="auto" w:fill="auto"/>
            <w:vAlign w:val="center"/>
          </w:tcPr>
          <w:p w14:paraId="293F5539" w14:textId="77777777" w:rsidR="008B7E19" w:rsidRPr="004E4F73"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b/>
                <w:bCs/>
              </w:rPr>
            </w:pPr>
            <w:r w:rsidRPr="004E4F73">
              <w:rPr>
                <w:rFonts w:cs="Arial"/>
                <w:b/>
                <w:bCs/>
              </w:rPr>
              <w:t>1.414.258</w:t>
            </w:r>
          </w:p>
        </w:tc>
        <w:tc>
          <w:tcPr>
            <w:tcW w:w="1419" w:type="dxa"/>
            <w:shd w:val="clear" w:color="auto" w:fill="auto"/>
            <w:vAlign w:val="center"/>
          </w:tcPr>
          <w:p w14:paraId="7DB544F1" w14:textId="77777777" w:rsidR="008B7E19" w:rsidRPr="004E4F73"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b/>
                <w:bCs/>
              </w:rPr>
            </w:pPr>
            <w:r w:rsidRPr="004E4F73">
              <w:rPr>
                <w:rFonts w:cs="Arial"/>
                <w:b/>
                <w:bCs/>
              </w:rPr>
              <w:t>631.810</w:t>
            </w:r>
          </w:p>
        </w:tc>
        <w:tc>
          <w:tcPr>
            <w:tcW w:w="1261" w:type="dxa"/>
            <w:shd w:val="clear" w:color="auto" w:fill="auto"/>
            <w:vAlign w:val="center"/>
          </w:tcPr>
          <w:p w14:paraId="2E22DE91" w14:textId="77777777" w:rsidR="008B7E19" w:rsidRPr="004E4F73"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b/>
                <w:bCs/>
              </w:rPr>
            </w:pPr>
            <w:r w:rsidRPr="004E4F73">
              <w:rPr>
                <w:rFonts w:cs="Arial"/>
                <w:b/>
                <w:bCs/>
              </w:rPr>
              <w:t>1.207.114</w:t>
            </w:r>
          </w:p>
        </w:tc>
      </w:tr>
      <w:tr w:rsidR="008B7E19" w:rsidRPr="004E4F73" w14:paraId="44AAD345"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186" w:type="dxa"/>
            <w:shd w:val="clear" w:color="auto" w:fill="FFFFFF" w:themeFill="background1"/>
            <w:vAlign w:val="center"/>
          </w:tcPr>
          <w:p w14:paraId="31143574" w14:textId="77777777" w:rsidR="008B7E19" w:rsidRPr="004E4F73" w:rsidRDefault="008B7E19" w:rsidP="008B7E19">
            <w:pPr>
              <w:pStyle w:val="08-Tabelageral"/>
              <w:jc w:val="left"/>
              <w:rPr>
                <w:rFonts w:cs="Arial"/>
                <w:szCs w:val="14"/>
              </w:rPr>
            </w:pPr>
            <w:r>
              <w:rPr>
                <w:rFonts w:cs="Arial"/>
                <w:szCs w:val="14"/>
              </w:rPr>
              <w:t>Attributable to BB Seguridade</w:t>
            </w:r>
          </w:p>
        </w:tc>
        <w:tc>
          <w:tcPr>
            <w:tcW w:w="1429" w:type="dxa"/>
            <w:shd w:val="clear" w:color="auto" w:fill="auto"/>
          </w:tcPr>
          <w:p w14:paraId="6F5382D2" w14:textId="77777777" w:rsidR="008B7E19" w:rsidRPr="004E4F73"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b/>
                <w:bCs/>
              </w:rPr>
            </w:pPr>
            <w:r w:rsidRPr="004E4F73">
              <w:rPr>
                <w:rFonts w:cs="Arial"/>
                <w:b/>
                <w:bCs/>
              </w:rPr>
              <w:t>706.795</w:t>
            </w:r>
          </w:p>
        </w:tc>
        <w:tc>
          <w:tcPr>
            <w:tcW w:w="1344" w:type="dxa"/>
            <w:shd w:val="clear" w:color="auto" w:fill="auto"/>
          </w:tcPr>
          <w:p w14:paraId="71CEB0C4" w14:textId="77777777" w:rsidR="008B7E19" w:rsidRPr="004E4F73"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b/>
                <w:bCs/>
              </w:rPr>
            </w:pPr>
            <w:r w:rsidRPr="004E4F73">
              <w:rPr>
                <w:rFonts w:cs="Arial"/>
                <w:b/>
                <w:bCs/>
              </w:rPr>
              <w:t>1.414.506</w:t>
            </w:r>
          </w:p>
        </w:tc>
        <w:tc>
          <w:tcPr>
            <w:tcW w:w="1419" w:type="dxa"/>
            <w:shd w:val="clear" w:color="auto" w:fill="auto"/>
          </w:tcPr>
          <w:p w14:paraId="2160406C" w14:textId="77777777" w:rsidR="008B7E19" w:rsidRPr="004E4F73"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b/>
                <w:bCs/>
              </w:rPr>
            </w:pPr>
            <w:r w:rsidRPr="004E4F73">
              <w:rPr>
                <w:rFonts w:cs="Arial"/>
                <w:b/>
                <w:bCs/>
              </w:rPr>
              <w:t>631.810</w:t>
            </w:r>
          </w:p>
        </w:tc>
        <w:tc>
          <w:tcPr>
            <w:tcW w:w="1261" w:type="dxa"/>
            <w:shd w:val="clear" w:color="auto" w:fill="auto"/>
          </w:tcPr>
          <w:p w14:paraId="04943466" w14:textId="77777777" w:rsidR="008B7E19" w:rsidRPr="004E4F73"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b/>
                <w:bCs/>
              </w:rPr>
            </w:pPr>
            <w:r w:rsidRPr="004E4F73">
              <w:rPr>
                <w:rFonts w:cs="Arial"/>
                <w:b/>
                <w:bCs/>
              </w:rPr>
              <w:t>1.207.114</w:t>
            </w:r>
          </w:p>
        </w:tc>
      </w:tr>
      <w:tr w:rsidR="008B7E19" w:rsidRPr="004E4F73" w14:paraId="24409A44" w14:textId="77777777" w:rsidTr="008B7E19">
        <w:trPr>
          <w:trHeight w:val="238"/>
          <w:jc w:val="center"/>
        </w:trPr>
        <w:tc>
          <w:tcPr>
            <w:cnfStyle w:val="001000000000" w:firstRow="0" w:lastRow="0" w:firstColumn="1" w:lastColumn="0" w:oddVBand="0" w:evenVBand="0" w:oddHBand="0" w:evenHBand="0" w:firstRowFirstColumn="0" w:firstRowLastColumn="0" w:lastRowFirstColumn="0" w:lastRowLastColumn="0"/>
            <w:tcW w:w="4186" w:type="dxa"/>
            <w:shd w:val="clear" w:color="auto" w:fill="FFFFFF" w:themeFill="background1"/>
            <w:vAlign w:val="center"/>
          </w:tcPr>
          <w:p w14:paraId="6877C9F7" w14:textId="77777777" w:rsidR="008B7E19" w:rsidRPr="004E4F73" w:rsidRDefault="008B7E19" w:rsidP="008B7E19">
            <w:pPr>
              <w:pStyle w:val="08-Tabelageral"/>
              <w:jc w:val="left"/>
              <w:rPr>
                <w:rFonts w:cs="Arial"/>
                <w:szCs w:val="14"/>
              </w:rPr>
            </w:pPr>
            <w:r>
              <w:rPr>
                <w:rFonts w:cs="Arial"/>
                <w:szCs w:val="14"/>
              </w:rPr>
              <w:t>Equity income</w:t>
            </w:r>
          </w:p>
        </w:tc>
        <w:tc>
          <w:tcPr>
            <w:tcW w:w="1429" w:type="dxa"/>
            <w:shd w:val="clear" w:color="auto" w:fill="auto"/>
          </w:tcPr>
          <w:p w14:paraId="568C0902" w14:textId="77777777" w:rsidR="008B7E19" w:rsidRPr="004E4F73"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b/>
                <w:bCs/>
              </w:rPr>
            </w:pPr>
            <w:r w:rsidRPr="004E4F73">
              <w:rPr>
                <w:rFonts w:cs="Arial"/>
                <w:b/>
                <w:bCs/>
              </w:rPr>
              <w:t>706.795</w:t>
            </w:r>
          </w:p>
        </w:tc>
        <w:tc>
          <w:tcPr>
            <w:tcW w:w="1344" w:type="dxa"/>
            <w:shd w:val="clear" w:color="auto" w:fill="auto"/>
          </w:tcPr>
          <w:p w14:paraId="55426A5E" w14:textId="77777777" w:rsidR="008B7E19" w:rsidRPr="004E4F73"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b/>
                <w:bCs/>
              </w:rPr>
            </w:pPr>
            <w:r w:rsidRPr="004E4F73">
              <w:rPr>
                <w:rFonts w:cs="Arial"/>
                <w:b/>
                <w:bCs/>
              </w:rPr>
              <w:t>1.414.506</w:t>
            </w:r>
          </w:p>
        </w:tc>
        <w:tc>
          <w:tcPr>
            <w:tcW w:w="1419" w:type="dxa"/>
            <w:shd w:val="clear" w:color="auto" w:fill="auto"/>
          </w:tcPr>
          <w:p w14:paraId="6FF76D6A" w14:textId="77777777" w:rsidR="008B7E19" w:rsidRPr="004E4F73"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b/>
                <w:bCs/>
              </w:rPr>
            </w:pPr>
            <w:r w:rsidRPr="004E4F73">
              <w:rPr>
                <w:rFonts w:cs="Arial"/>
                <w:b/>
                <w:bCs/>
              </w:rPr>
              <w:t>631.810</w:t>
            </w:r>
          </w:p>
        </w:tc>
        <w:tc>
          <w:tcPr>
            <w:tcW w:w="1261" w:type="dxa"/>
            <w:shd w:val="clear" w:color="auto" w:fill="auto"/>
          </w:tcPr>
          <w:p w14:paraId="022D707A" w14:textId="77777777" w:rsidR="008B7E19" w:rsidRPr="004E4F73"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b/>
                <w:bCs/>
              </w:rPr>
            </w:pPr>
            <w:r w:rsidRPr="004E4F73">
              <w:rPr>
                <w:rFonts w:cs="Arial"/>
                <w:b/>
                <w:bCs/>
              </w:rPr>
              <w:t>1.207.114</w:t>
            </w:r>
          </w:p>
        </w:tc>
      </w:tr>
    </w:tbl>
    <w:p w14:paraId="5D6AE10B" w14:textId="77777777" w:rsidR="008B7E19" w:rsidRDefault="008B7E19" w:rsidP="008B7E19">
      <w:pPr>
        <w:spacing w:after="0" w:line="240" w:lineRule="auto"/>
        <w:rPr>
          <w:rFonts w:eastAsia="Times New Roman" w:cs="Times New Roman"/>
          <w:b/>
          <w:color w:val="1F4E79" w:themeColor="accent1" w:themeShade="80"/>
          <w:spacing w:val="-2"/>
          <w:szCs w:val="20"/>
          <w:lang w:eastAsia="pt-BR"/>
        </w:rPr>
      </w:pPr>
    </w:p>
    <w:p w14:paraId="684858A2" w14:textId="77777777" w:rsidR="008B7E19" w:rsidRDefault="008B7E19" w:rsidP="008B7E19">
      <w:pPr>
        <w:spacing w:after="0" w:line="240" w:lineRule="auto"/>
        <w:rPr>
          <w:rFonts w:eastAsia="Times New Roman" w:cs="Times New Roman"/>
          <w:b/>
          <w:color w:val="1F4E79" w:themeColor="accent1" w:themeShade="80"/>
          <w:spacing w:val="-2"/>
          <w:szCs w:val="20"/>
          <w:lang w:eastAsia="pt-BR"/>
        </w:rPr>
      </w:pPr>
    </w:p>
    <w:bookmarkEnd w:id="29"/>
    <w:bookmarkEnd w:id="30"/>
    <w:p w14:paraId="3A7D1F6F" w14:textId="77777777" w:rsidR="008B7E19" w:rsidRDefault="008B7E19" w:rsidP="008B7E19">
      <w:pPr>
        <w:keepNext/>
        <w:keepLines/>
        <w:pageBreakBefore/>
        <w:spacing w:after="0" w:line="240" w:lineRule="auto"/>
        <w:rPr>
          <w:rFonts w:eastAsia="Times New Roman" w:cs="Times New Roman"/>
          <w:b/>
          <w:color w:val="1F4E79" w:themeColor="accent1" w:themeShade="80"/>
          <w:spacing w:val="-2"/>
          <w:szCs w:val="20"/>
          <w:lang w:eastAsia="pt-BR"/>
        </w:rPr>
      </w:pPr>
      <w:r>
        <w:rPr>
          <w:rFonts w:eastAsia="Times New Roman" w:cs="Times New Roman"/>
          <w:b/>
          <w:color w:val="1F4E79" w:themeColor="accent1" w:themeShade="80"/>
          <w:spacing w:val="-2"/>
          <w:szCs w:val="20"/>
          <w:lang w:eastAsia="pt-BR"/>
        </w:rPr>
        <w:t>Balance Sheet Information</w:t>
      </w:r>
    </w:p>
    <w:p w14:paraId="6D2BC455" w14:textId="77777777" w:rsidR="008B7E19" w:rsidRPr="00C91A1E" w:rsidRDefault="008B7E19" w:rsidP="008B7E19">
      <w:pPr>
        <w:pStyle w:val="01-TtulodeNota"/>
        <w:spacing w:before="0" w:after="0"/>
        <w:jc w:val="right"/>
        <w:rPr>
          <w:sz w:val="14"/>
          <w:szCs w:val="14"/>
        </w:rPr>
      </w:pPr>
      <w:r w:rsidRPr="00C91A1E">
        <w:rPr>
          <w:sz w:val="14"/>
          <w:szCs w:val="14"/>
        </w:rPr>
        <w:t xml:space="preserve">R$ </w:t>
      </w:r>
      <w:r>
        <w:rPr>
          <w:sz w:val="14"/>
          <w:szCs w:val="14"/>
        </w:rPr>
        <w:t>thousand</w:t>
      </w:r>
    </w:p>
    <w:tbl>
      <w:tblPr>
        <w:tblStyle w:val="TabeladeLista6Colorida-nfase5"/>
        <w:tblW w:w="9639" w:type="dxa"/>
        <w:jc w:val="center"/>
        <w:tblLayout w:type="fixed"/>
        <w:tblLook w:val="04A0" w:firstRow="1" w:lastRow="0" w:firstColumn="1" w:lastColumn="0" w:noHBand="0" w:noVBand="1"/>
      </w:tblPr>
      <w:tblGrid>
        <w:gridCol w:w="5812"/>
        <w:gridCol w:w="1913"/>
        <w:gridCol w:w="1914"/>
      </w:tblGrid>
      <w:tr w:rsidR="008B7E19" w:rsidRPr="00805B55" w14:paraId="7CD5BC56" w14:textId="77777777" w:rsidTr="008B7E19">
        <w:trPr>
          <w:cnfStyle w:val="100000000000" w:firstRow="1" w:lastRow="0" w:firstColumn="0" w:lastColumn="0" w:oddVBand="0" w:evenVBand="0" w:oddHBand="0" w:evenHBand="0" w:firstRowFirstColumn="0" w:firstRowLastColumn="0" w:lastRowFirstColumn="0" w:lastRowLastColumn="0"/>
          <w:trHeight w:hRule="exact" w:val="283"/>
          <w:jc w:val="center"/>
        </w:trPr>
        <w:tc>
          <w:tcPr>
            <w:cnfStyle w:val="001000000000" w:firstRow="0" w:lastRow="0" w:firstColumn="1" w:lastColumn="0" w:oddVBand="0" w:evenVBand="0" w:oddHBand="0" w:evenHBand="0" w:firstRowFirstColumn="0" w:firstRowLastColumn="0" w:lastRowFirstColumn="0" w:lastRowLastColumn="0"/>
            <w:tcW w:w="5812" w:type="dxa"/>
            <w:tcBorders>
              <w:top w:val="single" w:sz="2" w:space="0" w:color="1F4E79" w:themeColor="accent1" w:themeShade="80"/>
              <w:bottom w:val="single" w:sz="2" w:space="0" w:color="1F4E79" w:themeColor="accent1" w:themeShade="80"/>
            </w:tcBorders>
            <w:shd w:val="clear" w:color="auto" w:fill="auto"/>
            <w:vAlign w:val="center"/>
          </w:tcPr>
          <w:p w14:paraId="4317D702" w14:textId="77777777" w:rsidR="008B7E19" w:rsidRPr="00805B55" w:rsidRDefault="008B7E19" w:rsidP="008B7E19">
            <w:pPr>
              <w:pStyle w:val="08-Tabelageral"/>
              <w:jc w:val="left"/>
              <w:rPr>
                <w:rFonts w:cs="Arial"/>
              </w:rPr>
            </w:pPr>
          </w:p>
        </w:tc>
        <w:tc>
          <w:tcPr>
            <w:tcW w:w="1913" w:type="dxa"/>
            <w:tcBorders>
              <w:top w:val="single" w:sz="2" w:space="0" w:color="1F4E79" w:themeColor="accent1" w:themeShade="80"/>
              <w:bottom w:val="single" w:sz="2" w:space="0" w:color="1F4E79" w:themeColor="accent1" w:themeShade="80"/>
            </w:tcBorders>
            <w:shd w:val="clear" w:color="auto" w:fill="auto"/>
            <w:vAlign w:val="center"/>
          </w:tcPr>
          <w:p w14:paraId="04A03163" w14:textId="77777777" w:rsidR="008B7E19" w:rsidRPr="00805B55" w:rsidRDefault="008B7E19" w:rsidP="008B7E19">
            <w:pPr>
              <w:pStyle w:val="08-Tabelageral"/>
              <w:ind w:left="113"/>
              <w:cnfStyle w:val="100000000000" w:firstRow="1" w:lastRow="0" w:firstColumn="0" w:lastColumn="0" w:oddVBand="0" w:evenVBand="0" w:oddHBand="0" w:evenHBand="0" w:firstRowFirstColumn="0" w:firstRowLastColumn="0" w:lastRowFirstColumn="0" w:lastRowLastColumn="0"/>
              <w:rPr>
                <w:rFonts w:cs="Arial"/>
              </w:rPr>
            </w:pPr>
            <w:r>
              <w:rPr>
                <w:rFonts w:cs="Arial"/>
              </w:rPr>
              <w:t>June 30, 2023</w:t>
            </w:r>
          </w:p>
        </w:tc>
        <w:tc>
          <w:tcPr>
            <w:tcW w:w="1914" w:type="dxa"/>
            <w:tcBorders>
              <w:top w:val="single" w:sz="2" w:space="0" w:color="1F4E79" w:themeColor="accent1" w:themeShade="80"/>
              <w:bottom w:val="single" w:sz="2" w:space="0" w:color="1F4E79" w:themeColor="accent1" w:themeShade="80"/>
            </w:tcBorders>
            <w:shd w:val="clear" w:color="auto" w:fill="auto"/>
            <w:vAlign w:val="center"/>
          </w:tcPr>
          <w:p w14:paraId="10934549" w14:textId="77777777" w:rsidR="008B7E19" w:rsidRPr="00805B55" w:rsidRDefault="008B7E19" w:rsidP="008B7E19">
            <w:pPr>
              <w:pStyle w:val="08-Tabelageral"/>
              <w:ind w:left="113"/>
              <w:cnfStyle w:val="100000000000" w:firstRow="1" w:lastRow="0" w:firstColumn="0" w:lastColumn="0" w:oddVBand="0" w:evenVBand="0" w:oddHBand="0" w:evenHBand="0" w:firstRowFirstColumn="0" w:firstRowLastColumn="0" w:lastRowFirstColumn="0" w:lastRowLastColumn="0"/>
              <w:rPr>
                <w:rFonts w:cs="Arial"/>
              </w:rPr>
            </w:pPr>
            <w:r>
              <w:rPr>
                <w:rFonts w:cs="Arial"/>
              </w:rPr>
              <w:t>Dec 31, 2022</w:t>
            </w:r>
          </w:p>
        </w:tc>
      </w:tr>
      <w:tr w:rsidR="008B7E19" w:rsidRPr="00034627" w14:paraId="17921E0C" w14:textId="77777777" w:rsidTr="008B7E19">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single" w:sz="2" w:space="0" w:color="1F4E79" w:themeColor="accent1" w:themeShade="80"/>
              <w:bottom w:val="nil"/>
            </w:tcBorders>
            <w:shd w:val="clear" w:color="auto" w:fill="auto"/>
            <w:vAlign w:val="center"/>
          </w:tcPr>
          <w:p w14:paraId="2EA71FA3" w14:textId="77777777" w:rsidR="008B7E19" w:rsidRPr="00034627" w:rsidRDefault="008B7E19" w:rsidP="008B7E19">
            <w:pPr>
              <w:pStyle w:val="08-Tabelageral"/>
              <w:jc w:val="left"/>
              <w:rPr>
                <w:rFonts w:cs="Arial"/>
                <w:szCs w:val="14"/>
              </w:rPr>
            </w:pPr>
            <w:r>
              <w:rPr>
                <w:rFonts w:cs="Arial"/>
                <w:szCs w:val="14"/>
              </w:rPr>
              <w:t>Current Assets</w:t>
            </w:r>
          </w:p>
        </w:tc>
        <w:tc>
          <w:tcPr>
            <w:tcW w:w="1913" w:type="dxa"/>
            <w:tcBorders>
              <w:top w:val="nil"/>
              <w:left w:val="nil"/>
              <w:bottom w:val="nil"/>
              <w:right w:val="nil"/>
            </w:tcBorders>
            <w:shd w:val="clear" w:color="auto" w:fill="auto"/>
            <w:vAlign w:val="center"/>
          </w:tcPr>
          <w:p w14:paraId="5C75755F" w14:textId="77777777" w:rsidR="008B7E19" w:rsidRPr="005723AE"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b/>
                <w:bCs/>
              </w:rPr>
            </w:pPr>
            <w:r w:rsidRPr="00C4460C">
              <w:rPr>
                <w:b/>
                <w:bCs/>
              </w:rPr>
              <w:t>3</w:t>
            </w:r>
            <w:r>
              <w:rPr>
                <w:b/>
                <w:bCs/>
              </w:rPr>
              <w:t>,</w:t>
            </w:r>
            <w:r w:rsidRPr="00C4460C">
              <w:rPr>
                <w:b/>
                <w:bCs/>
              </w:rPr>
              <w:t>491</w:t>
            </w:r>
            <w:r>
              <w:rPr>
                <w:b/>
                <w:bCs/>
              </w:rPr>
              <w:t>,</w:t>
            </w:r>
            <w:r w:rsidRPr="00C4460C">
              <w:rPr>
                <w:b/>
                <w:bCs/>
              </w:rPr>
              <w:t>161</w:t>
            </w:r>
          </w:p>
        </w:tc>
        <w:tc>
          <w:tcPr>
            <w:tcW w:w="1914" w:type="dxa"/>
            <w:tcBorders>
              <w:top w:val="nil"/>
              <w:left w:val="nil"/>
              <w:bottom w:val="nil"/>
              <w:right w:val="nil"/>
            </w:tcBorders>
            <w:shd w:val="clear" w:color="auto" w:fill="auto"/>
            <w:vAlign w:val="center"/>
          </w:tcPr>
          <w:p w14:paraId="2124B074" w14:textId="77777777" w:rsidR="008B7E19" w:rsidRPr="006A4091" w:rsidRDefault="008B7E19" w:rsidP="008B7E19">
            <w:pPr>
              <w:pStyle w:val="08-Tabelageral"/>
              <w:ind w:left="113"/>
              <w:cnfStyle w:val="000000100000" w:firstRow="0" w:lastRow="0" w:firstColumn="0" w:lastColumn="0" w:oddVBand="0" w:evenVBand="0" w:oddHBand="1" w:evenHBand="0" w:firstRowFirstColumn="0" w:firstRowLastColumn="0" w:lastRowFirstColumn="0" w:lastRowLastColumn="0"/>
              <w:rPr>
                <w:b/>
                <w:bCs/>
                <w:color w:val="auto"/>
              </w:rPr>
            </w:pPr>
            <w:r w:rsidRPr="00855E54">
              <w:rPr>
                <w:b/>
                <w:bCs/>
              </w:rPr>
              <w:t>4</w:t>
            </w:r>
            <w:r>
              <w:rPr>
                <w:b/>
                <w:bCs/>
              </w:rPr>
              <w:t>,</w:t>
            </w:r>
            <w:r w:rsidRPr="00855E54">
              <w:rPr>
                <w:b/>
                <w:bCs/>
              </w:rPr>
              <w:t>764</w:t>
            </w:r>
            <w:r>
              <w:rPr>
                <w:b/>
                <w:bCs/>
              </w:rPr>
              <w:t>,</w:t>
            </w:r>
            <w:r w:rsidRPr="00855E54">
              <w:rPr>
                <w:b/>
                <w:bCs/>
              </w:rPr>
              <w:t>890</w:t>
            </w:r>
          </w:p>
        </w:tc>
      </w:tr>
      <w:tr w:rsidR="008B7E19" w:rsidRPr="00CD78B9" w14:paraId="625FB8FB" w14:textId="77777777" w:rsidTr="008B7E19">
        <w:trPr>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shd w:val="clear" w:color="auto" w:fill="auto"/>
            <w:vAlign w:val="center"/>
          </w:tcPr>
          <w:p w14:paraId="5B9765E9" w14:textId="77777777" w:rsidR="008B7E19" w:rsidRPr="00CD78B9" w:rsidRDefault="008B7E19" w:rsidP="008B7E19">
            <w:pPr>
              <w:pStyle w:val="08-Tabelageral"/>
              <w:ind w:left="113"/>
              <w:jc w:val="left"/>
              <w:rPr>
                <w:rFonts w:cs="Arial"/>
                <w:b w:val="0"/>
                <w:szCs w:val="14"/>
              </w:rPr>
            </w:pPr>
            <w:r w:rsidRPr="00875ACA">
              <w:rPr>
                <w:rFonts w:cs="Arial"/>
                <w:b w:val="0"/>
                <w:szCs w:val="14"/>
              </w:rPr>
              <w:t>Cash and cash equivalents</w:t>
            </w:r>
          </w:p>
        </w:tc>
        <w:tc>
          <w:tcPr>
            <w:tcW w:w="1913" w:type="dxa"/>
            <w:tcBorders>
              <w:top w:val="nil"/>
              <w:left w:val="nil"/>
              <w:bottom w:val="nil"/>
              <w:right w:val="nil"/>
            </w:tcBorders>
            <w:shd w:val="clear" w:color="auto" w:fill="auto"/>
            <w:vAlign w:val="center"/>
          </w:tcPr>
          <w:p w14:paraId="5A2D7449" w14:textId="77777777" w:rsidR="008B7E19" w:rsidRPr="009C4A59" w:rsidRDefault="008B7E19" w:rsidP="008B7E19">
            <w:pPr>
              <w:pStyle w:val="08-Tabelageral"/>
              <w:cnfStyle w:val="000000000000" w:firstRow="0" w:lastRow="0" w:firstColumn="0" w:lastColumn="0" w:oddVBand="0" w:evenVBand="0" w:oddHBand="0" w:evenHBand="0" w:firstRowFirstColumn="0" w:firstRowLastColumn="0" w:lastRowFirstColumn="0" w:lastRowLastColumn="0"/>
            </w:pPr>
            <w:r w:rsidRPr="000B54FD">
              <w:t>2</w:t>
            </w:r>
            <w:r>
              <w:t>,</w:t>
            </w:r>
            <w:r w:rsidRPr="000B54FD">
              <w:t>478</w:t>
            </w:r>
            <w:r>
              <w:t>,</w:t>
            </w:r>
            <w:r w:rsidRPr="000B54FD">
              <w:t>686</w:t>
            </w:r>
          </w:p>
        </w:tc>
        <w:tc>
          <w:tcPr>
            <w:tcW w:w="1914" w:type="dxa"/>
            <w:tcBorders>
              <w:top w:val="nil"/>
              <w:left w:val="nil"/>
              <w:bottom w:val="nil"/>
              <w:right w:val="nil"/>
            </w:tcBorders>
            <w:shd w:val="clear" w:color="auto" w:fill="auto"/>
            <w:vAlign w:val="center"/>
          </w:tcPr>
          <w:p w14:paraId="1CD2E9CA" w14:textId="77777777" w:rsidR="008B7E19" w:rsidRPr="009C4A59" w:rsidRDefault="008B7E19" w:rsidP="008B7E19">
            <w:pPr>
              <w:pStyle w:val="08-Tabelageral"/>
              <w:cnfStyle w:val="000000000000" w:firstRow="0" w:lastRow="0" w:firstColumn="0" w:lastColumn="0" w:oddVBand="0" w:evenVBand="0" w:oddHBand="0" w:evenHBand="0" w:firstRowFirstColumn="0" w:firstRowLastColumn="0" w:lastRowFirstColumn="0" w:lastRowLastColumn="0"/>
            </w:pPr>
            <w:r w:rsidRPr="00855E54">
              <w:t>3</w:t>
            </w:r>
            <w:r>
              <w:t>,</w:t>
            </w:r>
            <w:r w:rsidRPr="00855E54">
              <w:t>650</w:t>
            </w:r>
            <w:r>
              <w:t>,</w:t>
            </w:r>
            <w:r w:rsidRPr="00855E54">
              <w:t>518</w:t>
            </w:r>
          </w:p>
        </w:tc>
      </w:tr>
      <w:tr w:rsidR="008B7E19" w:rsidRPr="001D6BE8" w14:paraId="11D83EE3"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shd w:val="clear" w:color="auto" w:fill="auto"/>
            <w:vAlign w:val="center"/>
          </w:tcPr>
          <w:p w14:paraId="0D4863C8" w14:textId="77777777" w:rsidR="008B7E19" w:rsidRPr="00034627" w:rsidRDefault="008B7E19" w:rsidP="008B7E19">
            <w:pPr>
              <w:pStyle w:val="08-Tabelageral"/>
              <w:ind w:left="113"/>
              <w:jc w:val="left"/>
              <w:rPr>
                <w:rFonts w:cs="Arial"/>
                <w:b w:val="0"/>
                <w:szCs w:val="14"/>
              </w:rPr>
            </w:pPr>
            <w:r w:rsidRPr="00E03629">
              <w:rPr>
                <w:b w:val="0"/>
              </w:rPr>
              <w:t>Commissions receivable</w:t>
            </w:r>
          </w:p>
        </w:tc>
        <w:tc>
          <w:tcPr>
            <w:tcW w:w="1913" w:type="dxa"/>
            <w:tcBorders>
              <w:top w:val="nil"/>
              <w:left w:val="nil"/>
              <w:bottom w:val="nil"/>
              <w:right w:val="nil"/>
            </w:tcBorders>
            <w:shd w:val="clear" w:color="auto" w:fill="auto"/>
            <w:vAlign w:val="center"/>
          </w:tcPr>
          <w:p w14:paraId="2D28A708" w14:textId="77777777" w:rsidR="008B7E19" w:rsidRPr="000A4E7B"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highlight w:val="yellow"/>
              </w:rPr>
            </w:pPr>
            <w:r w:rsidRPr="000B54FD">
              <w:t>1</w:t>
            </w:r>
            <w:r>
              <w:t>,</w:t>
            </w:r>
            <w:r w:rsidRPr="000B54FD">
              <w:t>009</w:t>
            </w:r>
            <w:r>
              <w:t>,</w:t>
            </w:r>
            <w:r w:rsidRPr="000B54FD">
              <w:t>929</w:t>
            </w:r>
          </w:p>
        </w:tc>
        <w:tc>
          <w:tcPr>
            <w:tcW w:w="1914" w:type="dxa"/>
            <w:tcBorders>
              <w:top w:val="nil"/>
              <w:left w:val="nil"/>
              <w:bottom w:val="nil"/>
              <w:right w:val="nil"/>
            </w:tcBorders>
            <w:shd w:val="clear" w:color="auto" w:fill="auto"/>
            <w:vAlign w:val="center"/>
          </w:tcPr>
          <w:p w14:paraId="0B9C9A4D" w14:textId="77777777" w:rsidR="008B7E19" w:rsidRPr="009C4A59" w:rsidRDefault="008B7E19" w:rsidP="008B7E19">
            <w:pPr>
              <w:pStyle w:val="08-Tabelageral"/>
              <w:cnfStyle w:val="000000100000" w:firstRow="0" w:lastRow="0" w:firstColumn="0" w:lastColumn="0" w:oddVBand="0" w:evenVBand="0" w:oddHBand="1" w:evenHBand="0" w:firstRowFirstColumn="0" w:firstRowLastColumn="0" w:lastRowFirstColumn="0" w:lastRowLastColumn="0"/>
            </w:pPr>
            <w:r w:rsidRPr="002A17C3">
              <w:t>1</w:t>
            </w:r>
            <w:r>
              <w:t>,</w:t>
            </w:r>
            <w:r w:rsidRPr="002A17C3">
              <w:t>114</w:t>
            </w:r>
            <w:r>
              <w:t>,</w:t>
            </w:r>
            <w:r w:rsidRPr="002A17C3">
              <w:t>256</w:t>
            </w:r>
          </w:p>
        </w:tc>
      </w:tr>
      <w:tr w:rsidR="008B7E19" w:rsidRPr="001D6BE8" w14:paraId="72379E98" w14:textId="77777777" w:rsidTr="008B7E19">
        <w:trPr>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shd w:val="clear" w:color="auto" w:fill="auto"/>
            <w:vAlign w:val="center"/>
          </w:tcPr>
          <w:p w14:paraId="2FF145CF" w14:textId="77777777" w:rsidR="008B7E19" w:rsidRPr="00034627" w:rsidRDefault="008B7E19" w:rsidP="008B7E19">
            <w:pPr>
              <w:pStyle w:val="08-Tabelageral"/>
              <w:ind w:left="113"/>
              <w:jc w:val="left"/>
              <w:rPr>
                <w:rFonts w:cs="Arial"/>
                <w:b w:val="0"/>
                <w:szCs w:val="14"/>
              </w:rPr>
            </w:pPr>
            <w:r>
              <w:rPr>
                <w:rFonts w:cs="Arial"/>
                <w:b w:val="0"/>
                <w:szCs w:val="14"/>
              </w:rPr>
              <w:t>Other assets</w:t>
            </w:r>
          </w:p>
        </w:tc>
        <w:tc>
          <w:tcPr>
            <w:tcW w:w="1913" w:type="dxa"/>
            <w:tcBorders>
              <w:top w:val="nil"/>
              <w:left w:val="nil"/>
              <w:bottom w:val="nil"/>
              <w:right w:val="nil"/>
            </w:tcBorders>
            <w:shd w:val="clear" w:color="auto" w:fill="auto"/>
            <w:vAlign w:val="center"/>
          </w:tcPr>
          <w:p w14:paraId="560FEAA4" w14:textId="77777777" w:rsidR="008B7E19" w:rsidRPr="009C4A59" w:rsidRDefault="008B7E19" w:rsidP="008B7E19">
            <w:pPr>
              <w:pStyle w:val="08-Tabelageral"/>
              <w:cnfStyle w:val="000000000000" w:firstRow="0" w:lastRow="0" w:firstColumn="0" w:lastColumn="0" w:oddVBand="0" w:evenVBand="0" w:oddHBand="0" w:evenHBand="0" w:firstRowFirstColumn="0" w:firstRowLastColumn="0" w:lastRowFirstColumn="0" w:lastRowLastColumn="0"/>
            </w:pPr>
            <w:r w:rsidRPr="000B54FD">
              <w:t>2</w:t>
            </w:r>
            <w:r>
              <w:t>,</w:t>
            </w:r>
            <w:r w:rsidRPr="000B54FD">
              <w:t>546</w:t>
            </w:r>
          </w:p>
        </w:tc>
        <w:tc>
          <w:tcPr>
            <w:tcW w:w="1914" w:type="dxa"/>
            <w:tcBorders>
              <w:top w:val="nil"/>
              <w:left w:val="nil"/>
              <w:bottom w:val="nil"/>
              <w:right w:val="nil"/>
            </w:tcBorders>
            <w:shd w:val="clear" w:color="auto" w:fill="auto"/>
            <w:vAlign w:val="center"/>
          </w:tcPr>
          <w:p w14:paraId="3BA98A9E" w14:textId="77777777" w:rsidR="008B7E19" w:rsidRPr="009C4A59" w:rsidRDefault="008B7E19" w:rsidP="008B7E19">
            <w:pPr>
              <w:pStyle w:val="08-Tabelageral"/>
              <w:cnfStyle w:val="000000000000" w:firstRow="0" w:lastRow="0" w:firstColumn="0" w:lastColumn="0" w:oddVBand="0" w:evenVBand="0" w:oddHBand="0" w:evenHBand="0" w:firstRowFirstColumn="0" w:firstRowLastColumn="0" w:lastRowFirstColumn="0" w:lastRowLastColumn="0"/>
            </w:pPr>
            <w:r w:rsidRPr="002A17C3">
              <w:t>116</w:t>
            </w:r>
          </w:p>
        </w:tc>
      </w:tr>
      <w:tr w:rsidR="008B7E19" w:rsidRPr="00CD78B9" w14:paraId="15C58E1B"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shd w:val="clear" w:color="auto" w:fill="auto"/>
            <w:vAlign w:val="center"/>
          </w:tcPr>
          <w:p w14:paraId="5ACC2D32" w14:textId="77777777" w:rsidR="008B7E19" w:rsidRPr="00CD78B9" w:rsidRDefault="008B7E19" w:rsidP="008B7E19">
            <w:pPr>
              <w:pStyle w:val="08-Tabelageral"/>
              <w:jc w:val="left"/>
              <w:rPr>
                <w:rFonts w:cs="Arial"/>
                <w:szCs w:val="14"/>
              </w:rPr>
            </w:pPr>
            <w:r>
              <w:rPr>
                <w:rFonts w:cs="Arial"/>
                <w:szCs w:val="14"/>
              </w:rPr>
              <w:t>Non-Current Assets</w:t>
            </w:r>
          </w:p>
        </w:tc>
        <w:tc>
          <w:tcPr>
            <w:tcW w:w="1913" w:type="dxa"/>
            <w:tcBorders>
              <w:top w:val="nil"/>
              <w:left w:val="nil"/>
              <w:bottom w:val="nil"/>
              <w:right w:val="nil"/>
            </w:tcBorders>
            <w:shd w:val="clear" w:color="auto" w:fill="auto"/>
            <w:vAlign w:val="center"/>
          </w:tcPr>
          <w:p w14:paraId="65EEBA4B" w14:textId="77777777" w:rsidR="008B7E19" w:rsidRPr="009D0AD3"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r w:rsidRPr="000B54FD">
              <w:rPr>
                <w:rFonts w:cs="Arial"/>
                <w:b/>
                <w:szCs w:val="14"/>
              </w:rPr>
              <w:t>2</w:t>
            </w:r>
            <w:r>
              <w:rPr>
                <w:rFonts w:cs="Arial"/>
                <w:b/>
                <w:szCs w:val="14"/>
              </w:rPr>
              <w:t>,</w:t>
            </w:r>
            <w:r w:rsidRPr="000B54FD">
              <w:rPr>
                <w:rFonts w:cs="Arial"/>
                <w:b/>
                <w:szCs w:val="14"/>
              </w:rPr>
              <w:t>519</w:t>
            </w:r>
            <w:r>
              <w:rPr>
                <w:rFonts w:cs="Arial"/>
                <w:b/>
                <w:szCs w:val="14"/>
              </w:rPr>
              <w:t>,</w:t>
            </w:r>
            <w:r w:rsidRPr="000B54FD">
              <w:rPr>
                <w:rFonts w:cs="Arial"/>
                <w:b/>
                <w:szCs w:val="14"/>
              </w:rPr>
              <w:t>197</w:t>
            </w:r>
          </w:p>
        </w:tc>
        <w:tc>
          <w:tcPr>
            <w:tcW w:w="1914" w:type="dxa"/>
            <w:tcBorders>
              <w:top w:val="nil"/>
              <w:bottom w:val="nil"/>
            </w:tcBorders>
            <w:shd w:val="clear" w:color="auto" w:fill="auto"/>
            <w:vAlign w:val="center"/>
          </w:tcPr>
          <w:p w14:paraId="126DB500" w14:textId="77777777" w:rsidR="008B7E19" w:rsidRPr="009D0AD3"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b/>
                <w:bCs/>
              </w:rPr>
            </w:pPr>
            <w:r w:rsidRPr="00855E54">
              <w:rPr>
                <w:rFonts w:cs="Arial"/>
                <w:b/>
                <w:szCs w:val="14"/>
              </w:rPr>
              <w:t>1</w:t>
            </w:r>
            <w:r>
              <w:rPr>
                <w:rFonts w:cs="Arial"/>
                <w:b/>
                <w:szCs w:val="14"/>
              </w:rPr>
              <w:t>,</w:t>
            </w:r>
            <w:r w:rsidRPr="00855E54">
              <w:rPr>
                <w:rFonts w:cs="Arial"/>
                <w:b/>
                <w:szCs w:val="14"/>
              </w:rPr>
              <w:t>292</w:t>
            </w:r>
            <w:r>
              <w:rPr>
                <w:rFonts w:cs="Arial"/>
                <w:b/>
                <w:szCs w:val="14"/>
              </w:rPr>
              <w:t>,</w:t>
            </w:r>
            <w:r w:rsidRPr="00855E54">
              <w:rPr>
                <w:rFonts w:cs="Arial"/>
                <w:b/>
                <w:szCs w:val="14"/>
              </w:rPr>
              <w:t>715</w:t>
            </w:r>
          </w:p>
        </w:tc>
      </w:tr>
      <w:tr w:rsidR="008B7E19" w:rsidRPr="00855E54" w14:paraId="6F85347E" w14:textId="77777777" w:rsidTr="008B7E19">
        <w:trPr>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shd w:val="clear" w:color="auto" w:fill="auto"/>
            <w:vAlign w:val="center"/>
          </w:tcPr>
          <w:p w14:paraId="56E951C3" w14:textId="77777777" w:rsidR="008B7E19" w:rsidRPr="00827074" w:rsidRDefault="008B7E19" w:rsidP="008B7E19">
            <w:pPr>
              <w:pStyle w:val="08-Tabelageral"/>
              <w:ind w:left="113"/>
              <w:jc w:val="left"/>
              <w:rPr>
                <w:b w:val="0"/>
                <w:bCs w:val="0"/>
                <w:lang w:val="en-US"/>
              </w:rPr>
            </w:pPr>
            <w:r w:rsidRPr="00827074">
              <w:rPr>
                <w:b w:val="0"/>
                <w:bCs w:val="0"/>
                <w:lang w:val="en-US"/>
              </w:rPr>
              <w:t>Financial assets at fair value through profit or loss</w:t>
            </w:r>
          </w:p>
        </w:tc>
        <w:tc>
          <w:tcPr>
            <w:tcW w:w="1913" w:type="dxa"/>
            <w:tcBorders>
              <w:top w:val="nil"/>
              <w:left w:val="nil"/>
              <w:bottom w:val="nil"/>
              <w:right w:val="nil"/>
            </w:tcBorders>
            <w:shd w:val="clear" w:color="auto" w:fill="auto"/>
            <w:vAlign w:val="center"/>
          </w:tcPr>
          <w:p w14:paraId="4FF28945" w14:textId="77777777" w:rsidR="008B7E19" w:rsidRPr="00855E54" w:rsidRDefault="008B7E19" w:rsidP="008B7E19">
            <w:pPr>
              <w:pStyle w:val="08-Tabelageral"/>
              <w:cnfStyle w:val="000000000000" w:firstRow="0" w:lastRow="0" w:firstColumn="0" w:lastColumn="0" w:oddVBand="0" w:evenVBand="0" w:oddHBand="0" w:evenHBand="0" w:firstRowFirstColumn="0" w:firstRowLastColumn="0" w:lastRowFirstColumn="0" w:lastRowLastColumn="0"/>
            </w:pPr>
            <w:r w:rsidRPr="000B54FD">
              <w:t>1</w:t>
            </w:r>
            <w:r>
              <w:t>,</w:t>
            </w:r>
            <w:r w:rsidRPr="000B54FD">
              <w:t>384</w:t>
            </w:r>
            <w:r>
              <w:t>,</w:t>
            </w:r>
            <w:r w:rsidRPr="000B54FD">
              <w:t>090</w:t>
            </w:r>
          </w:p>
        </w:tc>
        <w:tc>
          <w:tcPr>
            <w:tcW w:w="1914" w:type="dxa"/>
            <w:tcBorders>
              <w:top w:val="nil"/>
              <w:bottom w:val="nil"/>
            </w:tcBorders>
            <w:shd w:val="clear" w:color="auto" w:fill="auto"/>
            <w:vAlign w:val="center"/>
          </w:tcPr>
          <w:p w14:paraId="2688F755" w14:textId="77777777" w:rsidR="008B7E19" w:rsidRPr="00855E54" w:rsidRDefault="008B7E19" w:rsidP="008B7E19">
            <w:pPr>
              <w:pStyle w:val="08-Tabelageral"/>
              <w:cnfStyle w:val="000000000000" w:firstRow="0" w:lastRow="0" w:firstColumn="0" w:lastColumn="0" w:oddVBand="0" w:evenVBand="0" w:oddHBand="0" w:evenHBand="0" w:firstRowFirstColumn="0" w:firstRowLastColumn="0" w:lastRowFirstColumn="0" w:lastRowLastColumn="0"/>
            </w:pPr>
            <w:r w:rsidRPr="00855E54">
              <w:t>350</w:t>
            </w:r>
            <w:r>
              <w:t>,</w:t>
            </w:r>
            <w:r w:rsidRPr="00855E54">
              <w:t>217</w:t>
            </w:r>
          </w:p>
        </w:tc>
      </w:tr>
      <w:tr w:rsidR="008B7E19" w:rsidRPr="005611BC" w14:paraId="0A04F403"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shd w:val="clear" w:color="auto" w:fill="auto"/>
            <w:vAlign w:val="center"/>
          </w:tcPr>
          <w:p w14:paraId="643BC3F3" w14:textId="77777777" w:rsidR="008B7E19" w:rsidRPr="005611BC" w:rsidRDefault="008B7E19" w:rsidP="008B7E19">
            <w:pPr>
              <w:pStyle w:val="08-Tabelageral"/>
              <w:ind w:left="113"/>
              <w:jc w:val="left"/>
              <w:rPr>
                <w:rFonts w:cs="Arial"/>
                <w:b w:val="0"/>
                <w:bCs w:val="0"/>
                <w:szCs w:val="14"/>
              </w:rPr>
            </w:pPr>
            <w:r w:rsidRPr="002E2354">
              <w:rPr>
                <w:b w:val="0"/>
                <w:bCs w:val="0"/>
              </w:rPr>
              <w:t>Current tax assets</w:t>
            </w:r>
          </w:p>
        </w:tc>
        <w:tc>
          <w:tcPr>
            <w:tcW w:w="1913" w:type="dxa"/>
            <w:tcBorders>
              <w:top w:val="nil"/>
              <w:left w:val="nil"/>
              <w:bottom w:val="nil"/>
              <w:right w:val="nil"/>
            </w:tcBorders>
            <w:shd w:val="clear" w:color="auto" w:fill="auto"/>
            <w:vAlign w:val="center"/>
          </w:tcPr>
          <w:p w14:paraId="63D93CFB" w14:textId="77777777" w:rsidR="008B7E19" w:rsidRPr="005611BC" w:rsidRDefault="008B7E19" w:rsidP="008B7E19">
            <w:pPr>
              <w:pStyle w:val="08-Tabelageral"/>
              <w:cnfStyle w:val="000000100000" w:firstRow="0" w:lastRow="0" w:firstColumn="0" w:lastColumn="0" w:oddVBand="0" w:evenVBand="0" w:oddHBand="1" w:evenHBand="0" w:firstRowFirstColumn="0" w:firstRowLastColumn="0" w:lastRowFirstColumn="0" w:lastRowLastColumn="0"/>
            </w:pPr>
            <w:r w:rsidRPr="00C4460C">
              <w:t>5</w:t>
            </w:r>
            <w:r>
              <w:t>,</w:t>
            </w:r>
            <w:r w:rsidRPr="00C4460C">
              <w:t>800</w:t>
            </w:r>
          </w:p>
        </w:tc>
        <w:tc>
          <w:tcPr>
            <w:tcW w:w="1914" w:type="dxa"/>
            <w:tcBorders>
              <w:top w:val="nil"/>
              <w:left w:val="nil"/>
              <w:bottom w:val="nil"/>
              <w:right w:val="nil"/>
            </w:tcBorders>
            <w:shd w:val="clear" w:color="auto" w:fill="auto"/>
            <w:vAlign w:val="center"/>
          </w:tcPr>
          <w:p w14:paraId="2005651E" w14:textId="77777777" w:rsidR="008B7E19" w:rsidRPr="005611BC" w:rsidRDefault="008B7E19" w:rsidP="008B7E19">
            <w:pPr>
              <w:pStyle w:val="08-Tabelageral"/>
              <w:cnfStyle w:val="000000100000" w:firstRow="0" w:lastRow="0" w:firstColumn="0" w:lastColumn="0" w:oddVBand="0" w:evenVBand="0" w:oddHBand="1" w:evenHBand="0" w:firstRowFirstColumn="0" w:firstRowLastColumn="0" w:lastRowFirstColumn="0" w:lastRowLastColumn="0"/>
            </w:pPr>
            <w:r w:rsidRPr="002A17C3">
              <w:t>5</w:t>
            </w:r>
            <w:r>
              <w:t>,</w:t>
            </w:r>
            <w:r w:rsidRPr="002A17C3">
              <w:t>800</w:t>
            </w:r>
          </w:p>
        </w:tc>
      </w:tr>
      <w:tr w:rsidR="008B7E19" w:rsidRPr="009A4C3D" w14:paraId="214B33F0" w14:textId="77777777" w:rsidTr="008B7E19">
        <w:trPr>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shd w:val="clear" w:color="auto" w:fill="auto"/>
            <w:vAlign w:val="center"/>
          </w:tcPr>
          <w:p w14:paraId="7B11CED5" w14:textId="77777777" w:rsidR="008B7E19" w:rsidRPr="009A4C3D" w:rsidRDefault="008B7E19" w:rsidP="008B7E19">
            <w:pPr>
              <w:pStyle w:val="08-Tabelageral"/>
              <w:ind w:left="113"/>
              <w:jc w:val="left"/>
              <w:rPr>
                <w:rFonts w:cs="Arial"/>
                <w:b w:val="0"/>
                <w:szCs w:val="14"/>
              </w:rPr>
            </w:pPr>
            <w:r w:rsidRPr="00C27294">
              <w:rPr>
                <w:rFonts w:cs="Arial"/>
                <w:b w:val="0"/>
                <w:szCs w:val="14"/>
              </w:rPr>
              <w:t>Deferred tax assets</w:t>
            </w:r>
          </w:p>
        </w:tc>
        <w:tc>
          <w:tcPr>
            <w:tcW w:w="1913" w:type="dxa"/>
            <w:tcBorders>
              <w:top w:val="nil"/>
              <w:left w:val="nil"/>
              <w:bottom w:val="nil"/>
              <w:right w:val="nil"/>
            </w:tcBorders>
            <w:shd w:val="clear" w:color="auto" w:fill="auto"/>
            <w:vAlign w:val="center"/>
          </w:tcPr>
          <w:p w14:paraId="7538C6F9" w14:textId="77777777" w:rsidR="008B7E19" w:rsidRPr="009C4A59"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r w:rsidRPr="00C4460C">
              <w:rPr>
                <w:rFonts w:cs="Arial"/>
                <w:szCs w:val="14"/>
              </w:rPr>
              <w:t>8</w:t>
            </w:r>
            <w:r>
              <w:rPr>
                <w:rFonts w:cs="Arial"/>
                <w:szCs w:val="14"/>
              </w:rPr>
              <w:t>,</w:t>
            </w:r>
            <w:r w:rsidRPr="00C4460C">
              <w:rPr>
                <w:rFonts w:cs="Arial"/>
                <w:szCs w:val="14"/>
              </w:rPr>
              <w:t>124</w:t>
            </w:r>
          </w:p>
        </w:tc>
        <w:tc>
          <w:tcPr>
            <w:tcW w:w="1914" w:type="dxa"/>
            <w:tcBorders>
              <w:top w:val="nil"/>
              <w:left w:val="nil"/>
              <w:bottom w:val="nil"/>
              <w:right w:val="nil"/>
            </w:tcBorders>
            <w:shd w:val="clear" w:color="auto" w:fill="auto"/>
            <w:vAlign w:val="center"/>
          </w:tcPr>
          <w:p w14:paraId="1E363991" w14:textId="77777777" w:rsidR="008B7E19" w:rsidRPr="009C4A59" w:rsidRDefault="008B7E19" w:rsidP="008B7E19">
            <w:pPr>
              <w:pStyle w:val="08-Tabelageral"/>
              <w:cnfStyle w:val="000000000000" w:firstRow="0" w:lastRow="0" w:firstColumn="0" w:lastColumn="0" w:oddVBand="0" w:evenVBand="0" w:oddHBand="0" w:evenHBand="0" w:firstRowFirstColumn="0" w:firstRowLastColumn="0" w:lastRowFirstColumn="0" w:lastRowLastColumn="0"/>
            </w:pPr>
            <w:r w:rsidRPr="002A17C3">
              <w:rPr>
                <w:rFonts w:cs="Arial"/>
                <w:szCs w:val="14"/>
              </w:rPr>
              <w:t>4</w:t>
            </w:r>
            <w:r>
              <w:rPr>
                <w:rFonts w:cs="Arial"/>
                <w:szCs w:val="14"/>
              </w:rPr>
              <w:t>,</w:t>
            </w:r>
            <w:r w:rsidRPr="002A17C3">
              <w:rPr>
                <w:rFonts w:cs="Arial"/>
                <w:szCs w:val="14"/>
              </w:rPr>
              <w:t>378</w:t>
            </w:r>
          </w:p>
        </w:tc>
      </w:tr>
      <w:tr w:rsidR="008B7E19" w:rsidRPr="009A4C3D" w14:paraId="76ED2531"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shd w:val="clear" w:color="auto" w:fill="auto"/>
            <w:vAlign w:val="center"/>
          </w:tcPr>
          <w:p w14:paraId="5D1443DF" w14:textId="77777777" w:rsidR="008B7E19" w:rsidRPr="009A4C3D" w:rsidRDefault="008B7E19" w:rsidP="008B7E19">
            <w:pPr>
              <w:pStyle w:val="08-Tabelageral"/>
              <w:ind w:left="113"/>
              <w:jc w:val="left"/>
              <w:rPr>
                <w:rFonts w:cs="Arial"/>
                <w:b w:val="0"/>
                <w:szCs w:val="14"/>
              </w:rPr>
            </w:pPr>
            <w:r w:rsidRPr="00C27294">
              <w:rPr>
                <w:rFonts w:cs="Arial"/>
                <w:b w:val="0"/>
                <w:szCs w:val="14"/>
              </w:rPr>
              <w:t>Commissions receivable</w:t>
            </w:r>
          </w:p>
        </w:tc>
        <w:tc>
          <w:tcPr>
            <w:tcW w:w="1913" w:type="dxa"/>
            <w:tcBorders>
              <w:top w:val="nil"/>
              <w:left w:val="nil"/>
              <w:bottom w:val="nil"/>
              <w:right w:val="nil"/>
            </w:tcBorders>
            <w:shd w:val="clear" w:color="auto" w:fill="auto"/>
            <w:vAlign w:val="center"/>
          </w:tcPr>
          <w:p w14:paraId="6D7C9900" w14:textId="77777777" w:rsidR="008B7E19" w:rsidRPr="009C4A59"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0B54FD">
              <w:rPr>
                <w:rFonts w:cs="Arial"/>
                <w:szCs w:val="14"/>
              </w:rPr>
              <w:t>890</w:t>
            </w:r>
            <w:r>
              <w:rPr>
                <w:rFonts w:cs="Arial"/>
                <w:szCs w:val="14"/>
              </w:rPr>
              <w:t>,</w:t>
            </w:r>
            <w:r w:rsidRPr="000B54FD">
              <w:rPr>
                <w:rFonts w:cs="Arial"/>
                <w:szCs w:val="14"/>
              </w:rPr>
              <w:t>738</w:t>
            </w:r>
          </w:p>
        </w:tc>
        <w:tc>
          <w:tcPr>
            <w:tcW w:w="1914" w:type="dxa"/>
            <w:tcBorders>
              <w:top w:val="nil"/>
              <w:left w:val="nil"/>
              <w:bottom w:val="nil"/>
              <w:right w:val="nil"/>
            </w:tcBorders>
            <w:shd w:val="clear" w:color="auto" w:fill="auto"/>
            <w:vAlign w:val="center"/>
          </w:tcPr>
          <w:p w14:paraId="600690C8" w14:textId="77777777" w:rsidR="008B7E19" w:rsidRPr="009C4A59"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color w:val="auto"/>
              </w:rPr>
            </w:pPr>
            <w:r w:rsidRPr="002A17C3">
              <w:rPr>
                <w:rFonts w:cs="Arial"/>
                <w:szCs w:val="14"/>
              </w:rPr>
              <w:t>708</w:t>
            </w:r>
            <w:r>
              <w:rPr>
                <w:rFonts w:cs="Arial"/>
                <w:szCs w:val="14"/>
              </w:rPr>
              <w:t>,</w:t>
            </w:r>
            <w:r w:rsidRPr="002A17C3">
              <w:rPr>
                <w:rFonts w:cs="Arial"/>
                <w:szCs w:val="14"/>
              </w:rPr>
              <w:t>990</w:t>
            </w:r>
          </w:p>
        </w:tc>
      </w:tr>
      <w:tr w:rsidR="008B7E19" w:rsidRPr="00A96A57" w14:paraId="6359C571" w14:textId="77777777" w:rsidTr="008B7E19">
        <w:trPr>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shd w:val="clear" w:color="auto" w:fill="auto"/>
            <w:vAlign w:val="center"/>
          </w:tcPr>
          <w:p w14:paraId="02B8AF28" w14:textId="77777777" w:rsidR="008B7E19" w:rsidRPr="00A96A57" w:rsidRDefault="008B7E19" w:rsidP="008B7E19">
            <w:pPr>
              <w:pStyle w:val="08-Tabelageral"/>
              <w:ind w:left="113"/>
              <w:jc w:val="left"/>
              <w:rPr>
                <w:rFonts w:cs="Arial"/>
                <w:b w:val="0"/>
                <w:szCs w:val="14"/>
              </w:rPr>
            </w:pPr>
            <w:r w:rsidRPr="00C27294">
              <w:rPr>
                <w:rFonts w:cs="Arial"/>
                <w:b w:val="0"/>
                <w:szCs w:val="14"/>
              </w:rPr>
              <w:t>Investments in associates</w:t>
            </w:r>
          </w:p>
        </w:tc>
        <w:tc>
          <w:tcPr>
            <w:tcW w:w="1913" w:type="dxa"/>
            <w:tcBorders>
              <w:top w:val="nil"/>
              <w:left w:val="nil"/>
              <w:bottom w:val="nil"/>
              <w:right w:val="nil"/>
            </w:tcBorders>
            <w:shd w:val="clear" w:color="auto" w:fill="auto"/>
            <w:vAlign w:val="center"/>
          </w:tcPr>
          <w:p w14:paraId="022449CE" w14:textId="77777777" w:rsidR="008B7E19" w:rsidRPr="00A96A57"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r w:rsidRPr="000B54FD">
              <w:rPr>
                <w:rFonts w:cs="Arial"/>
                <w:szCs w:val="14"/>
              </w:rPr>
              <w:t>2</w:t>
            </w:r>
            <w:r>
              <w:rPr>
                <w:rFonts w:cs="Arial"/>
                <w:szCs w:val="14"/>
              </w:rPr>
              <w:t>,</w:t>
            </w:r>
            <w:r w:rsidRPr="000B54FD">
              <w:rPr>
                <w:rFonts w:cs="Arial"/>
                <w:szCs w:val="14"/>
              </w:rPr>
              <w:t>346</w:t>
            </w:r>
          </w:p>
        </w:tc>
        <w:tc>
          <w:tcPr>
            <w:tcW w:w="1914" w:type="dxa"/>
            <w:tcBorders>
              <w:top w:val="nil"/>
              <w:left w:val="nil"/>
              <w:bottom w:val="nil"/>
              <w:right w:val="nil"/>
            </w:tcBorders>
            <w:shd w:val="clear" w:color="auto" w:fill="auto"/>
            <w:vAlign w:val="center"/>
          </w:tcPr>
          <w:p w14:paraId="45302720" w14:textId="77777777" w:rsidR="008B7E19" w:rsidRPr="00A96A57"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r w:rsidRPr="002A17C3">
              <w:rPr>
                <w:rFonts w:cs="Arial"/>
                <w:szCs w:val="14"/>
              </w:rPr>
              <w:t>1</w:t>
            </w:r>
            <w:r>
              <w:rPr>
                <w:rFonts w:cs="Arial"/>
                <w:szCs w:val="14"/>
              </w:rPr>
              <w:t>,</w:t>
            </w:r>
            <w:r w:rsidRPr="002A17C3">
              <w:rPr>
                <w:rFonts w:cs="Arial"/>
                <w:szCs w:val="14"/>
              </w:rPr>
              <w:t>506</w:t>
            </w:r>
          </w:p>
        </w:tc>
      </w:tr>
      <w:tr w:rsidR="008B7E19" w:rsidRPr="009A4C3D" w14:paraId="1A83591D"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shd w:val="clear" w:color="auto" w:fill="auto"/>
            <w:vAlign w:val="center"/>
          </w:tcPr>
          <w:p w14:paraId="05F87BE9" w14:textId="77777777" w:rsidR="008B7E19" w:rsidRPr="009A4C3D" w:rsidRDefault="008B7E19" w:rsidP="008B7E19">
            <w:pPr>
              <w:pStyle w:val="08-Tabelageral"/>
              <w:ind w:left="113"/>
              <w:jc w:val="left"/>
              <w:rPr>
                <w:rFonts w:cs="Arial"/>
                <w:b w:val="0"/>
                <w:szCs w:val="14"/>
              </w:rPr>
            </w:pPr>
            <w:r>
              <w:rPr>
                <w:rFonts w:cs="Arial"/>
                <w:b w:val="0"/>
                <w:szCs w:val="14"/>
              </w:rPr>
              <w:t>Other assets</w:t>
            </w:r>
          </w:p>
        </w:tc>
        <w:tc>
          <w:tcPr>
            <w:tcW w:w="1913" w:type="dxa"/>
            <w:tcBorders>
              <w:top w:val="nil"/>
              <w:bottom w:val="nil"/>
            </w:tcBorders>
            <w:shd w:val="clear" w:color="auto" w:fill="auto"/>
            <w:vAlign w:val="center"/>
          </w:tcPr>
          <w:p w14:paraId="28B656CA" w14:textId="77777777" w:rsidR="008B7E19" w:rsidRPr="009C4A59"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0B54FD">
              <w:rPr>
                <w:rFonts w:cs="Arial"/>
                <w:szCs w:val="14"/>
              </w:rPr>
              <w:t>228</w:t>
            </w:r>
            <w:r>
              <w:rPr>
                <w:rFonts w:cs="Arial"/>
                <w:szCs w:val="14"/>
              </w:rPr>
              <w:t>,</w:t>
            </w:r>
            <w:r w:rsidRPr="000B54FD">
              <w:rPr>
                <w:rFonts w:cs="Arial"/>
                <w:szCs w:val="14"/>
              </w:rPr>
              <w:t>099</w:t>
            </w:r>
          </w:p>
        </w:tc>
        <w:tc>
          <w:tcPr>
            <w:tcW w:w="1914" w:type="dxa"/>
            <w:tcBorders>
              <w:top w:val="nil"/>
              <w:bottom w:val="nil"/>
            </w:tcBorders>
            <w:shd w:val="clear" w:color="auto" w:fill="auto"/>
            <w:vAlign w:val="center"/>
          </w:tcPr>
          <w:p w14:paraId="762C3F3F" w14:textId="77777777" w:rsidR="008B7E19" w:rsidRPr="009C4A59" w:rsidRDefault="008B7E19" w:rsidP="008B7E19">
            <w:pPr>
              <w:pStyle w:val="08-Tabelageral"/>
              <w:cnfStyle w:val="000000100000" w:firstRow="0" w:lastRow="0" w:firstColumn="0" w:lastColumn="0" w:oddVBand="0" w:evenVBand="0" w:oddHBand="1" w:evenHBand="0" w:firstRowFirstColumn="0" w:firstRowLastColumn="0" w:lastRowFirstColumn="0" w:lastRowLastColumn="0"/>
            </w:pPr>
            <w:r w:rsidRPr="002A17C3">
              <w:rPr>
                <w:rFonts w:cs="Arial"/>
                <w:szCs w:val="14"/>
              </w:rPr>
              <w:t>221</w:t>
            </w:r>
            <w:r>
              <w:rPr>
                <w:rFonts w:cs="Arial"/>
                <w:szCs w:val="14"/>
              </w:rPr>
              <w:t>,</w:t>
            </w:r>
            <w:r w:rsidRPr="002A17C3">
              <w:rPr>
                <w:rFonts w:cs="Arial"/>
                <w:szCs w:val="14"/>
              </w:rPr>
              <w:t>824</w:t>
            </w:r>
          </w:p>
        </w:tc>
      </w:tr>
      <w:tr w:rsidR="008B7E19" w:rsidRPr="001D6BE8" w14:paraId="1572349B" w14:textId="77777777" w:rsidTr="008B7E19">
        <w:trPr>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shd w:val="clear" w:color="auto" w:fill="auto"/>
            <w:vAlign w:val="center"/>
          </w:tcPr>
          <w:p w14:paraId="3BFE5F83" w14:textId="77777777" w:rsidR="008B7E19" w:rsidRPr="00CD3714" w:rsidRDefault="008B7E19" w:rsidP="008B7E19">
            <w:pPr>
              <w:pStyle w:val="08-Tabelageral"/>
              <w:jc w:val="left"/>
              <w:rPr>
                <w:rFonts w:cs="Arial"/>
                <w:szCs w:val="14"/>
              </w:rPr>
            </w:pPr>
            <w:r>
              <w:rPr>
                <w:rFonts w:cs="Arial"/>
                <w:szCs w:val="14"/>
              </w:rPr>
              <w:t>Total Assets</w:t>
            </w:r>
          </w:p>
        </w:tc>
        <w:tc>
          <w:tcPr>
            <w:tcW w:w="1913" w:type="dxa"/>
            <w:tcBorders>
              <w:top w:val="nil"/>
              <w:bottom w:val="nil"/>
            </w:tcBorders>
            <w:shd w:val="clear" w:color="auto" w:fill="auto"/>
            <w:vAlign w:val="center"/>
          </w:tcPr>
          <w:p w14:paraId="28A3045A" w14:textId="77777777" w:rsidR="008B7E19" w:rsidRPr="00CD3714"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b/>
                <w:szCs w:val="14"/>
              </w:rPr>
            </w:pPr>
            <w:r w:rsidRPr="00C4460C">
              <w:rPr>
                <w:rFonts w:cs="Arial"/>
                <w:b/>
                <w:szCs w:val="14"/>
              </w:rPr>
              <w:t>6</w:t>
            </w:r>
            <w:r>
              <w:rPr>
                <w:rFonts w:cs="Arial"/>
                <w:b/>
                <w:szCs w:val="14"/>
              </w:rPr>
              <w:t>,</w:t>
            </w:r>
            <w:r w:rsidRPr="00C4460C">
              <w:rPr>
                <w:rFonts w:cs="Arial"/>
                <w:b/>
                <w:szCs w:val="14"/>
              </w:rPr>
              <w:t>010</w:t>
            </w:r>
            <w:r>
              <w:rPr>
                <w:rFonts w:cs="Arial"/>
                <w:b/>
                <w:szCs w:val="14"/>
              </w:rPr>
              <w:t>,</w:t>
            </w:r>
            <w:r w:rsidRPr="00C4460C">
              <w:rPr>
                <w:rFonts w:cs="Arial"/>
                <w:b/>
                <w:szCs w:val="14"/>
              </w:rPr>
              <w:t>358</w:t>
            </w:r>
          </w:p>
        </w:tc>
        <w:tc>
          <w:tcPr>
            <w:tcW w:w="1914" w:type="dxa"/>
            <w:tcBorders>
              <w:top w:val="nil"/>
              <w:bottom w:val="nil"/>
            </w:tcBorders>
            <w:shd w:val="clear" w:color="auto" w:fill="auto"/>
            <w:vAlign w:val="center"/>
          </w:tcPr>
          <w:p w14:paraId="10EAA96B" w14:textId="77777777" w:rsidR="008B7E19" w:rsidRPr="002D005F"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b/>
                <w:bCs/>
              </w:rPr>
            </w:pPr>
            <w:r w:rsidRPr="002A17C3">
              <w:rPr>
                <w:rFonts w:cs="Arial"/>
                <w:b/>
                <w:szCs w:val="14"/>
              </w:rPr>
              <w:t>6</w:t>
            </w:r>
            <w:r>
              <w:rPr>
                <w:rFonts w:cs="Arial"/>
                <w:b/>
                <w:szCs w:val="14"/>
              </w:rPr>
              <w:t>,</w:t>
            </w:r>
            <w:r w:rsidRPr="002A17C3">
              <w:rPr>
                <w:rFonts w:cs="Arial"/>
                <w:b/>
                <w:szCs w:val="14"/>
              </w:rPr>
              <w:t>057</w:t>
            </w:r>
            <w:r>
              <w:rPr>
                <w:rFonts w:cs="Arial"/>
                <w:b/>
                <w:szCs w:val="14"/>
              </w:rPr>
              <w:t>,</w:t>
            </w:r>
            <w:r w:rsidRPr="002A17C3">
              <w:rPr>
                <w:rFonts w:cs="Arial"/>
                <w:b/>
                <w:szCs w:val="14"/>
              </w:rPr>
              <w:t>605</w:t>
            </w:r>
          </w:p>
        </w:tc>
      </w:tr>
      <w:tr w:rsidR="008B7E19" w:rsidRPr="001D6BE8" w14:paraId="65048D30"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shd w:val="clear" w:color="auto" w:fill="auto"/>
            <w:vAlign w:val="center"/>
          </w:tcPr>
          <w:p w14:paraId="5958E3C4" w14:textId="77777777" w:rsidR="008B7E19" w:rsidRPr="0038031F" w:rsidRDefault="008B7E19" w:rsidP="008B7E19">
            <w:pPr>
              <w:pStyle w:val="08-Tabelageral"/>
              <w:jc w:val="left"/>
              <w:rPr>
                <w:rFonts w:cs="Arial"/>
                <w:b w:val="0"/>
                <w:color w:val="FF0000"/>
                <w:szCs w:val="14"/>
              </w:rPr>
            </w:pPr>
          </w:p>
        </w:tc>
        <w:tc>
          <w:tcPr>
            <w:tcW w:w="1913" w:type="dxa"/>
            <w:tcBorders>
              <w:top w:val="nil"/>
              <w:bottom w:val="nil"/>
            </w:tcBorders>
            <w:shd w:val="clear" w:color="auto" w:fill="auto"/>
            <w:vAlign w:val="center"/>
          </w:tcPr>
          <w:p w14:paraId="4226BEA7" w14:textId="77777777" w:rsidR="008B7E19" w:rsidRPr="00350BA7"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914" w:type="dxa"/>
            <w:tcBorders>
              <w:top w:val="nil"/>
              <w:bottom w:val="nil"/>
            </w:tcBorders>
            <w:shd w:val="clear" w:color="auto" w:fill="auto"/>
            <w:vAlign w:val="center"/>
          </w:tcPr>
          <w:p w14:paraId="636CEE73" w14:textId="77777777" w:rsidR="008B7E19" w:rsidRPr="00CF4B29" w:rsidRDefault="008B7E19" w:rsidP="008B7E19">
            <w:pPr>
              <w:pStyle w:val="08-Tabelageral"/>
              <w:cnfStyle w:val="000000100000" w:firstRow="0" w:lastRow="0" w:firstColumn="0" w:lastColumn="0" w:oddVBand="0" w:evenVBand="0" w:oddHBand="1" w:evenHBand="0" w:firstRowFirstColumn="0" w:firstRowLastColumn="0" w:lastRowFirstColumn="0" w:lastRowLastColumn="0"/>
            </w:pPr>
          </w:p>
        </w:tc>
      </w:tr>
      <w:tr w:rsidR="008B7E19" w:rsidRPr="000A7F23" w14:paraId="0B2E472F" w14:textId="77777777" w:rsidTr="008B7E19">
        <w:trPr>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shd w:val="clear" w:color="auto" w:fill="auto"/>
            <w:vAlign w:val="center"/>
          </w:tcPr>
          <w:p w14:paraId="7AA95B5A" w14:textId="77777777" w:rsidR="008B7E19" w:rsidRPr="000A7F23" w:rsidRDefault="008B7E19" w:rsidP="008B7E19">
            <w:pPr>
              <w:pStyle w:val="08-Tabelageral"/>
              <w:jc w:val="left"/>
            </w:pPr>
            <w:r>
              <w:t>Current Liabilities</w:t>
            </w:r>
          </w:p>
        </w:tc>
        <w:tc>
          <w:tcPr>
            <w:tcW w:w="1913" w:type="dxa"/>
            <w:tcBorders>
              <w:top w:val="nil"/>
              <w:left w:val="nil"/>
              <w:bottom w:val="nil"/>
              <w:right w:val="nil"/>
            </w:tcBorders>
            <w:shd w:val="clear" w:color="auto" w:fill="auto"/>
            <w:vAlign w:val="center"/>
          </w:tcPr>
          <w:p w14:paraId="4E2281A2" w14:textId="77777777" w:rsidR="008B7E19" w:rsidRPr="002A17C3"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b/>
                <w:szCs w:val="14"/>
              </w:rPr>
            </w:pPr>
            <w:r w:rsidRPr="00C4460C">
              <w:rPr>
                <w:rFonts w:cs="Arial"/>
                <w:b/>
                <w:szCs w:val="14"/>
              </w:rPr>
              <w:t>3</w:t>
            </w:r>
            <w:r>
              <w:rPr>
                <w:rFonts w:cs="Arial"/>
                <w:b/>
                <w:szCs w:val="14"/>
              </w:rPr>
              <w:t>,</w:t>
            </w:r>
            <w:r w:rsidRPr="00C4460C">
              <w:rPr>
                <w:rFonts w:cs="Arial"/>
                <w:b/>
                <w:szCs w:val="14"/>
              </w:rPr>
              <w:t>730</w:t>
            </w:r>
            <w:r>
              <w:rPr>
                <w:rFonts w:cs="Arial"/>
                <w:b/>
                <w:szCs w:val="14"/>
              </w:rPr>
              <w:t>,</w:t>
            </w:r>
            <w:r w:rsidRPr="00C4460C">
              <w:rPr>
                <w:rFonts w:cs="Arial"/>
                <w:b/>
                <w:szCs w:val="14"/>
              </w:rPr>
              <w:t>449</w:t>
            </w:r>
          </w:p>
        </w:tc>
        <w:tc>
          <w:tcPr>
            <w:tcW w:w="1914" w:type="dxa"/>
            <w:tcBorders>
              <w:top w:val="nil"/>
              <w:left w:val="nil"/>
              <w:bottom w:val="nil"/>
              <w:right w:val="nil"/>
            </w:tcBorders>
            <w:shd w:val="clear" w:color="auto" w:fill="auto"/>
            <w:vAlign w:val="center"/>
          </w:tcPr>
          <w:p w14:paraId="1CD3FA19" w14:textId="77777777" w:rsidR="008B7E19" w:rsidRPr="007F6341"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b/>
                <w:bCs/>
              </w:rPr>
            </w:pPr>
            <w:r w:rsidRPr="002A17C3">
              <w:rPr>
                <w:rFonts w:cs="Arial"/>
                <w:b/>
                <w:bCs/>
                <w:color w:val="000000"/>
                <w:szCs w:val="14"/>
              </w:rPr>
              <w:t>4</w:t>
            </w:r>
            <w:r>
              <w:rPr>
                <w:rFonts w:cs="Arial"/>
                <w:b/>
                <w:bCs/>
                <w:color w:val="000000"/>
                <w:szCs w:val="14"/>
              </w:rPr>
              <w:t>,</w:t>
            </w:r>
            <w:r w:rsidRPr="002A17C3">
              <w:rPr>
                <w:rFonts w:cs="Arial"/>
                <w:b/>
                <w:bCs/>
                <w:color w:val="000000"/>
                <w:szCs w:val="14"/>
              </w:rPr>
              <w:t>254</w:t>
            </w:r>
            <w:r>
              <w:rPr>
                <w:rFonts w:cs="Arial"/>
                <w:b/>
                <w:bCs/>
                <w:color w:val="000000"/>
                <w:szCs w:val="14"/>
              </w:rPr>
              <w:t>,</w:t>
            </w:r>
            <w:r w:rsidRPr="002A17C3">
              <w:rPr>
                <w:rFonts w:cs="Arial"/>
                <w:b/>
                <w:bCs/>
                <w:color w:val="000000"/>
                <w:szCs w:val="14"/>
              </w:rPr>
              <w:t>929</w:t>
            </w:r>
          </w:p>
        </w:tc>
      </w:tr>
      <w:tr w:rsidR="008B7E19" w:rsidRPr="001D6BE8" w14:paraId="080D425D"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shd w:val="clear" w:color="auto" w:fill="auto"/>
            <w:vAlign w:val="center"/>
          </w:tcPr>
          <w:p w14:paraId="096D8F19" w14:textId="77777777" w:rsidR="008B7E19" w:rsidRPr="0038031F" w:rsidRDefault="008B7E19" w:rsidP="008B7E19">
            <w:pPr>
              <w:pStyle w:val="08-Tabelageral"/>
              <w:ind w:left="113"/>
              <w:jc w:val="left"/>
              <w:rPr>
                <w:b w:val="0"/>
              </w:rPr>
            </w:pPr>
            <w:r>
              <w:rPr>
                <w:b w:val="0"/>
              </w:rPr>
              <w:t>S</w:t>
            </w:r>
            <w:r w:rsidRPr="00D546E8">
              <w:rPr>
                <w:b w:val="0"/>
              </w:rPr>
              <w:t>tatutory obligation</w:t>
            </w:r>
          </w:p>
        </w:tc>
        <w:tc>
          <w:tcPr>
            <w:tcW w:w="1913" w:type="dxa"/>
            <w:tcBorders>
              <w:top w:val="nil"/>
              <w:left w:val="nil"/>
              <w:bottom w:val="nil"/>
              <w:right w:val="nil"/>
            </w:tcBorders>
            <w:shd w:val="clear" w:color="auto" w:fill="auto"/>
            <w:vAlign w:val="center"/>
          </w:tcPr>
          <w:p w14:paraId="4B176E53" w14:textId="77777777" w:rsidR="008B7E19" w:rsidRPr="002A17C3"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592EEE">
              <w:rPr>
                <w:rFonts w:cs="Arial"/>
                <w:szCs w:val="14"/>
              </w:rPr>
              <w:t>1</w:t>
            </w:r>
            <w:r>
              <w:rPr>
                <w:rFonts w:cs="Arial"/>
                <w:szCs w:val="14"/>
              </w:rPr>
              <w:t>,</w:t>
            </w:r>
            <w:r w:rsidRPr="00592EEE">
              <w:rPr>
                <w:rFonts w:cs="Arial"/>
                <w:szCs w:val="14"/>
              </w:rPr>
              <w:t>414</w:t>
            </w:r>
            <w:r>
              <w:rPr>
                <w:rFonts w:cs="Arial"/>
                <w:szCs w:val="14"/>
              </w:rPr>
              <w:t>,</w:t>
            </w:r>
            <w:r w:rsidRPr="00592EEE">
              <w:rPr>
                <w:rFonts w:cs="Arial"/>
                <w:szCs w:val="14"/>
              </w:rPr>
              <w:t>506</w:t>
            </w:r>
          </w:p>
        </w:tc>
        <w:tc>
          <w:tcPr>
            <w:tcW w:w="1914" w:type="dxa"/>
            <w:tcBorders>
              <w:top w:val="nil"/>
              <w:left w:val="nil"/>
              <w:bottom w:val="nil"/>
              <w:right w:val="nil"/>
            </w:tcBorders>
            <w:shd w:val="clear" w:color="auto" w:fill="auto"/>
            <w:vAlign w:val="center"/>
          </w:tcPr>
          <w:p w14:paraId="5CF0417D" w14:textId="77777777" w:rsidR="008B7E19" w:rsidRPr="00C77672" w:rsidRDefault="008B7E19" w:rsidP="008B7E19">
            <w:pPr>
              <w:pStyle w:val="08-Tabelageral"/>
              <w:cnfStyle w:val="000000100000" w:firstRow="0" w:lastRow="0" w:firstColumn="0" w:lastColumn="0" w:oddVBand="0" w:evenVBand="0" w:oddHBand="1" w:evenHBand="0" w:firstRowFirstColumn="0" w:firstRowLastColumn="0" w:lastRowFirstColumn="0" w:lastRowLastColumn="0"/>
            </w:pPr>
            <w:r w:rsidRPr="002A17C3">
              <w:rPr>
                <w:rFonts w:cs="Arial"/>
                <w:color w:val="000000"/>
                <w:szCs w:val="14"/>
              </w:rPr>
              <w:t>1</w:t>
            </w:r>
            <w:r>
              <w:rPr>
                <w:rFonts w:cs="Arial"/>
                <w:color w:val="000000"/>
                <w:szCs w:val="14"/>
              </w:rPr>
              <w:t>,</w:t>
            </w:r>
            <w:r w:rsidRPr="002A17C3">
              <w:rPr>
                <w:rFonts w:cs="Arial"/>
                <w:color w:val="000000"/>
                <w:szCs w:val="14"/>
              </w:rPr>
              <w:t>522</w:t>
            </w:r>
            <w:r>
              <w:rPr>
                <w:rFonts w:cs="Arial"/>
                <w:color w:val="000000"/>
                <w:szCs w:val="14"/>
              </w:rPr>
              <w:t>,</w:t>
            </w:r>
            <w:r w:rsidRPr="002A17C3">
              <w:rPr>
                <w:rFonts w:cs="Arial"/>
                <w:color w:val="000000"/>
                <w:szCs w:val="14"/>
              </w:rPr>
              <w:t>364</w:t>
            </w:r>
          </w:p>
        </w:tc>
      </w:tr>
      <w:tr w:rsidR="008B7E19" w:rsidRPr="001D6BE8" w14:paraId="7B66F547" w14:textId="77777777" w:rsidTr="008B7E19">
        <w:trPr>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shd w:val="clear" w:color="auto" w:fill="auto"/>
            <w:vAlign w:val="center"/>
          </w:tcPr>
          <w:p w14:paraId="7FB7971D" w14:textId="77777777" w:rsidR="008B7E19" w:rsidRPr="0038031F" w:rsidRDefault="008B7E19" w:rsidP="008B7E19">
            <w:pPr>
              <w:pStyle w:val="08-Tabelageral"/>
              <w:ind w:left="113"/>
              <w:jc w:val="left"/>
              <w:rPr>
                <w:b w:val="0"/>
              </w:rPr>
            </w:pPr>
            <w:r w:rsidRPr="00C27294">
              <w:rPr>
                <w:b w:val="0"/>
              </w:rPr>
              <w:t>Contingent liabilities</w:t>
            </w:r>
          </w:p>
        </w:tc>
        <w:tc>
          <w:tcPr>
            <w:tcW w:w="1913" w:type="dxa"/>
            <w:tcBorders>
              <w:top w:val="nil"/>
              <w:left w:val="nil"/>
              <w:bottom w:val="nil"/>
              <w:right w:val="nil"/>
            </w:tcBorders>
            <w:shd w:val="clear" w:color="auto" w:fill="auto"/>
            <w:vAlign w:val="center"/>
          </w:tcPr>
          <w:p w14:paraId="412D2F9E" w14:textId="77777777" w:rsidR="008B7E19" w:rsidRPr="002A17C3"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r w:rsidRPr="00592EEE">
              <w:rPr>
                <w:rFonts w:cs="Arial"/>
                <w:szCs w:val="14"/>
              </w:rPr>
              <w:t>14</w:t>
            </w:r>
            <w:r>
              <w:rPr>
                <w:rFonts w:cs="Arial"/>
                <w:szCs w:val="14"/>
              </w:rPr>
              <w:t>,</w:t>
            </w:r>
            <w:r w:rsidRPr="00592EEE">
              <w:rPr>
                <w:rFonts w:cs="Arial"/>
                <w:szCs w:val="14"/>
              </w:rPr>
              <w:t>831</w:t>
            </w:r>
          </w:p>
        </w:tc>
        <w:tc>
          <w:tcPr>
            <w:tcW w:w="1914" w:type="dxa"/>
            <w:tcBorders>
              <w:top w:val="nil"/>
              <w:left w:val="nil"/>
              <w:bottom w:val="nil"/>
              <w:right w:val="nil"/>
            </w:tcBorders>
            <w:shd w:val="clear" w:color="auto" w:fill="auto"/>
            <w:vAlign w:val="center"/>
          </w:tcPr>
          <w:p w14:paraId="7D889271" w14:textId="77777777" w:rsidR="008B7E19" w:rsidRPr="00C77672" w:rsidRDefault="008B7E19" w:rsidP="008B7E19">
            <w:pPr>
              <w:pStyle w:val="08-Tabelageral"/>
              <w:cnfStyle w:val="000000000000" w:firstRow="0" w:lastRow="0" w:firstColumn="0" w:lastColumn="0" w:oddVBand="0" w:evenVBand="0" w:oddHBand="0" w:evenHBand="0" w:firstRowFirstColumn="0" w:firstRowLastColumn="0" w:lastRowFirstColumn="0" w:lastRowLastColumn="0"/>
            </w:pPr>
            <w:r w:rsidRPr="002A17C3">
              <w:rPr>
                <w:rFonts w:cs="Arial"/>
                <w:color w:val="000000"/>
                <w:szCs w:val="14"/>
              </w:rPr>
              <w:t>4</w:t>
            </w:r>
            <w:r>
              <w:rPr>
                <w:rFonts w:cs="Arial"/>
                <w:color w:val="000000"/>
                <w:szCs w:val="14"/>
              </w:rPr>
              <w:t>,</w:t>
            </w:r>
            <w:r w:rsidRPr="002A17C3">
              <w:rPr>
                <w:rFonts w:cs="Arial"/>
                <w:color w:val="000000"/>
                <w:szCs w:val="14"/>
              </w:rPr>
              <w:t>088</w:t>
            </w:r>
          </w:p>
        </w:tc>
      </w:tr>
      <w:tr w:rsidR="008B7E19" w:rsidRPr="001D6BE8" w14:paraId="43E16781"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shd w:val="clear" w:color="auto" w:fill="auto"/>
            <w:vAlign w:val="center"/>
          </w:tcPr>
          <w:p w14:paraId="37DCAB4A" w14:textId="77777777" w:rsidR="008B7E19" w:rsidRPr="0038031F" w:rsidRDefault="008B7E19" w:rsidP="008B7E19">
            <w:pPr>
              <w:pStyle w:val="08-Tabelageral"/>
              <w:ind w:left="113"/>
              <w:jc w:val="left"/>
              <w:rPr>
                <w:b w:val="0"/>
              </w:rPr>
            </w:pPr>
            <w:r w:rsidRPr="00C27294">
              <w:rPr>
                <w:b w:val="0"/>
              </w:rPr>
              <w:t>Current tax liabilities</w:t>
            </w:r>
          </w:p>
        </w:tc>
        <w:tc>
          <w:tcPr>
            <w:tcW w:w="1913" w:type="dxa"/>
            <w:tcBorders>
              <w:top w:val="nil"/>
              <w:left w:val="nil"/>
              <w:bottom w:val="nil"/>
              <w:right w:val="nil"/>
            </w:tcBorders>
            <w:shd w:val="clear" w:color="auto" w:fill="auto"/>
            <w:vAlign w:val="center"/>
          </w:tcPr>
          <w:p w14:paraId="27A41186" w14:textId="77777777" w:rsidR="008B7E19" w:rsidRPr="002A17C3"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C4460C">
              <w:rPr>
                <w:rFonts w:cs="Arial"/>
                <w:szCs w:val="14"/>
              </w:rPr>
              <w:t>477</w:t>
            </w:r>
            <w:r>
              <w:rPr>
                <w:rFonts w:cs="Arial"/>
                <w:szCs w:val="14"/>
              </w:rPr>
              <w:t>,</w:t>
            </w:r>
            <w:r w:rsidRPr="00C4460C">
              <w:rPr>
                <w:rFonts w:cs="Arial"/>
                <w:szCs w:val="14"/>
              </w:rPr>
              <w:t>300</w:t>
            </w:r>
          </w:p>
        </w:tc>
        <w:tc>
          <w:tcPr>
            <w:tcW w:w="1914" w:type="dxa"/>
            <w:tcBorders>
              <w:top w:val="nil"/>
              <w:left w:val="nil"/>
              <w:bottom w:val="nil"/>
              <w:right w:val="nil"/>
            </w:tcBorders>
            <w:shd w:val="clear" w:color="auto" w:fill="auto"/>
            <w:vAlign w:val="center"/>
          </w:tcPr>
          <w:p w14:paraId="5C40FAC6" w14:textId="77777777" w:rsidR="008B7E19" w:rsidRPr="00C77672" w:rsidRDefault="008B7E19" w:rsidP="008B7E19">
            <w:pPr>
              <w:pStyle w:val="08-Tabelageral"/>
              <w:cnfStyle w:val="000000100000" w:firstRow="0" w:lastRow="0" w:firstColumn="0" w:lastColumn="0" w:oddVBand="0" w:evenVBand="0" w:oddHBand="1" w:evenHBand="0" w:firstRowFirstColumn="0" w:firstRowLastColumn="0" w:lastRowFirstColumn="0" w:lastRowLastColumn="0"/>
            </w:pPr>
            <w:r w:rsidRPr="002A17C3">
              <w:rPr>
                <w:rFonts w:cs="Arial"/>
                <w:color w:val="000000"/>
                <w:szCs w:val="14"/>
              </w:rPr>
              <w:t>893</w:t>
            </w:r>
            <w:r>
              <w:rPr>
                <w:rFonts w:cs="Arial"/>
                <w:color w:val="000000"/>
                <w:szCs w:val="14"/>
              </w:rPr>
              <w:t>,</w:t>
            </w:r>
            <w:r w:rsidRPr="002A17C3">
              <w:rPr>
                <w:rFonts w:cs="Arial"/>
                <w:color w:val="000000"/>
                <w:szCs w:val="14"/>
              </w:rPr>
              <w:t>651</w:t>
            </w:r>
          </w:p>
        </w:tc>
      </w:tr>
      <w:tr w:rsidR="008B7E19" w:rsidRPr="001D6BE8" w14:paraId="78ADE504" w14:textId="77777777" w:rsidTr="008B7E19">
        <w:trPr>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shd w:val="clear" w:color="auto" w:fill="auto"/>
            <w:vAlign w:val="center"/>
          </w:tcPr>
          <w:p w14:paraId="394C9715" w14:textId="77777777" w:rsidR="008B7E19" w:rsidRPr="0038031F" w:rsidRDefault="008B7E19" w:rsidP="008B7E19">
            <w:pPr>
              <w:pStyle w:val="08-Tabelageral"/>
              <w:ind w:left="113"/>
              <w:jc w:val="left"/>
              <w:rPr>
                <w:b w:val="0"/>
              </w:rPr>
            </w:pPr>
            <w:r w:rsidRPr="00C27294">
              <w:rPr>
                <w:b w:val="0"/>
              </w:rPr>
              <w:t>Unearned commissions</w:t>
            </w:r>
          </w:p>
        </w:tc>
        <w:tc>
          <w:tcPr>
            <w:tcW w:w="1913" w:type="dxa"/>
            <w:tcBorders>
              <w:top w:val="nil"/>
              <w:left w:val="nil"/>
              <w:bottom w:val="nil"/>
              <w:right w:val="nil"/>
            </w:tcBorders>
            <w:shd w:val="clear" w:color="auto" w:fill="auto"/>
            <w:vAlign w:val="center"/>
          </w:tcPr>
          <w:p w14:paraId="4A4CC497" w14:textId="77777777" w:rsidR="008B7E19" w:rsidRPr="002A17C3"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r w:rsidRPr="00592EEE">
              <w:rPr>
                <w:rFonts w:cs="Arial"/>
                <w:szCs w:val="14"/>
              </w:rPr>
              <w:t>1</w:t>
            </w:r>
            <w:r>
              <w:rPr>
                <w:rFonts w:cs="Arial"/>
                <w:szCs w:val="14"/>
              </w:rPr>
              <w:t>,</w:t>
            </w:r>
            <w:r w:rsidRPr="00592EEE">
              <w:rPr>
                <w:rFonts w:cs="Arial"/>
                <w:szCs w:val="14"/>
              </w:rPr>
              <w:t>744</w:t>
            </w:r>
            <w:r>
              <w:rPr>
                <w:rFonts w:cs="Arial"/>
                <w:szCs w:val="14"/>
              </w:rPr>
              <w:t>,</w:t>
            </w:r>
            <w:r w:rsidRPr="00592EEE">
              <w:rPr>
                <w:rFonts w:cs="Arial"/>
                <w:szCs w:val="14"/>
              </w:rPr>
              <w:t>756</w:t>
            </w:r>
          </w:p>
        </w:tc>
        <w:tc>
          <w:tcPr>
            <w:tcW w:w="1914" w:type="dxa"/>
            <w:tcBorders>
              <w:top w:val="nil"/>
              <w:left w:val="nil"/>
              <w:bottom w:val="nil"/>
              <w:right w:val="nil"/>
            </w:tcBorders>
            <w:shd w:val="clear" w:color="auto" w:fill="auto"/>
            <w:vAlign w:val="center"/>
          </w:tcPr>
          <w:p w14:paraId="7E1EA506" w14:textId="77777777" w:rsidR="008B7E19" w:rsidRPr="00C77672" w:rsidRDefault="008B7E19" w:rsidP="008B7E19">
            <w:pPr>
              <w:pStyle w:val="08-Tabelageral"/>
              <w:cnfStyle w:val="000000000000" w:firstRow="0" w:lastRow="0" w:firstColumn="0" w:lastColumn="0" w:oddVBand="0" w:evenVBand="0" w:oddHBand="0" w:evenHBand="0" w:firstRowFirstColumn="0" w:firstRowLastColumn="0" w:lastRowFirstColumn="0" w:lastRowLastColumn="0"/>
            </w:pPr>
            <w:r w:rsidRPr="002A17C3">
              <w:rPr>
                <w:rFonts w:cs="Arial"/>
                <w:color w:val="000000"/>
                <w:szCs w:val="14"/>
              </w:rPr>
              <w:t>1</w:t>
            </w:r>
            <w:r>
              <w:rPr>
                <w:rFonts w:cs="Arial"/>
                <w:color w:val="000000"/>
                <w:szCs w:val="14"/>
              </w:rPr>
              <w:t>,</w:t>
            </w:r>
            <w:r w:rsidRPr="002A17C3">
              <w:rPr>
                <w:rFonts w:cs="Arial"/>
                <w:color w:val="000000"/>
                <w:szCs w:val="14"/>
              </w:rPr>
              <w:t>760</w:t>
            </w:r>
            <w:r>
              <w:rPr>
                <w:rFonts w:cs="Arial"/>
                <w:color w:val="000000"/>
                <w:szCs w:val="14"/>
              </w:rPr>
              <w:t>,</w:t>
            </w:r>
            <w:r w:rsidRPr="002A17C3">
              <w:rPr>
                <w:rFonts w:cs="Arial"/>
                <w:color w:val="000000"/>
                <w:szCs w:val="14"/>
              </w:rPr>
              <w:t>473</w:t>
            </w:r>
          </w:p>
        </w:tc>
      </w:tr>
      <w:tr w:rsidR="008B7E19" w:rsidRPr="001D6BE8" w14:paraId="0D156AF6"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shd w:val="clear" w:color="auto" w:fill="auto"/>
            <w:vAlign w:val="center"/>
          </w:tcPr>
          <w:p w14:paraId="4237C4D0" w14:textId="77777777" w:rsidR="008B7E19" w:rsidRPr="0038031F" w:rsidRDefault="008B7E19" w:rsidP="008B7E19">
            <w:pPr>
              <w:pStyle w:val="08-Tabelageral"/>
              <w:ind w:left="113"/>
              <w:jc w:val="left"/>
              <w:rPr>
                <w:b w:val="0"/>
              </w:rPr>
            </w:pPr>
            <w:r w:rsidRPr="00C27294">
              <w:rPr>
                <w:b w:val="0"/>
              </w:rPr>
              <w:t>Other liabilities</w:t>
            </w:r>
          </w:p>
        </w:tc>
        <w:tc>
          <w:tcPr>
            <w:tcW w:w="1913" w:type="dxa"/>
            <w:tcBorders>
              <w:top w:val="nil"/>
              <w:left w:val="nil"/>
              <w:bottom w:val="nil"/>
              <w:right w:val="nil"/>
            </w:tcBorders>
            <w:shd w:val="clear" w:color="auto" w:fill="auto"/>
            <w:vAlign w:val="center"/>
          </w:tcPr>
          <w:p w14:paraId="70862ADD" w14:textId="77777777" w:rsidR="008B7E19" w:rsidRPr="002A17C3"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592EEE">
              <w:rPr>
                <w:rFonts w:cs="Arial"/>
                <w:szCs w:val="14"/>
              </w:rPr>
              <w:t>79</w:t>
            </w:r>
            <w:r>
              <w:rPr>
                <w:rFonts w:cs="Arial"/>
                <w:szCs w:val="14"/>
              </w:rPr>
              <w:t>,</w:t>
            </w:r>
            <w:r w:rsidRPr="00592EEE">
              <w:rPr>
                <w:rFonts w:cs="Arial"/>
                <w:szCs w:val="14"/>
              </w:rPr>
              <w:t>056</w:t>
            </w:r>
          </w:p>
        </w:tc>
        <w:tc>
          <w:tcPr>
            <w:tcW w:w="1914" w:type="dxa"/>
            <w:tcBorders>
              <w:top w:val="nil"/>
              <w:left w:val="nil"/>
              <w:bottom w:val="nil"/>
              <w:right w:val="nil"/>
            </w:tcBorders>
            <w:shd w:val="clear" w:color="auto" w:fill="auto"/>
            <w:vAlign w:val="center"/>
          </w:tcPr>
          <w:p w14:paraId="66274F2D" w14:textId="77777777" w:rsidR="008B7E19" w:rsidRDefault="008B7E19" w:rsidP="008B7E19">
            <w:pPr>
              <w:pStyle w:val="08-Tabelageral"/>
              <w:cnfStyle w:val="000000100000" w:firstRow="0" w:lastRow="0" w:firstColumn="0" w:lastColumn="0" w:oddVBand="0" w:evenVBand="0" w:oddHBand="1" w:evenHBand="0" w:firstRowFirstColumn="0" w:firstRowLastColumn="0" w:lastRowFirstColumn="0" w:lastRowLastColumn="0"/>
            </w:pPr>
            <w:r w:rsidRPr="002A17C3">
              <w:rPr>
                <w:rFonts w:cs="Arial"/>
                <w:color w:val="000000"/>
                <w:szCs w:val="14"/>
              </w:rPr>
              <w:t>74</w:t>
            </w:r>
            <w:r>
              <w:rPr>
                <w:rFonts w:cs="Arial"/>
                <w:color w:val="000000"/>
                <w:szCs w:val="14"/>
              </w:rPr>
              <w:t>,</w:t>
            </w:r>
            <w:r w:rsidRPr="002A17C3">
              <w:rPr>
                <w:rFonts w:cs="Arial"/>
                <w:color w:val="000000"/>
                <w:szCs w:val="14"/>
              </w:rPr>
              <w:t>353</w:t>
            </w:r>
          </w:p>
        </w:tc>
      </w:tr>
      <w:tr w:rsidR="008B7E19" w:rsidRPr="00D25CE5" w14:paraId="585BB557" w14:textId="77777777" w:rsidTr="008B7E19">
        <w:trPr>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shd w:val="clear" w:color="auto" w:fill="auto"/>
            <w:vAlign w:val="center"/>
          </w:tcPr>
          <w:p w14:paraId="09B50B47" w14:textId="77777777" w:rsidR="008B7E19" w:rsidRPr="00D25CE5" w:rsidRDefault="008B7E19" w:rsidP="008B7E19">
            <w:pPr>
              <w:pStyle w:val="08-Tabelageral"/>
              <w:jc w:val="left"/>
            </w:pPr>
            <w:r>
              <w:t>Non-Current Liabilities</w:t>
            </w:r>
          </w:p>
        </w:tc>
        <w:tc>
          <w:tcPr>
            <w:tcW w:w="1913" w:type="dxa"/>
            <w:tcBorders>
              <w:top w:val="nil"/>
              <w:bottom w:val="nil"/>
            </w:tcBorders>
            <w:shd w:val="clear" w:color="auto" w:fill="auto"/>
            <w:vAlign w:val="center"/>
          </w:tcPr>
          <w:p w14:paraId="017E6735" w14:textId="77777777" w:rsidR="008B7E19" w:rsidRPr="00D25CE5"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b/>
                <w:szCs w:val="14"/>
              </w:rPr>
            </w:pPr>
            <w:r w:rsidRPr="00592EEE">
              <w:rPr>
                <w:rFonts w:cs="Arial"/>
                <w:b/>
                <w:szCs w:val="14"/>
              </w:rPr>
              <w:t>2</w:t>
            </w:r>
            <w:r>
              <w:rPr>
                <w:rFonts w:cs="Arial"/>
                <w:b/>
                <w:szCs w:val="14"/>
              </w:rPr>
              <w:t>,</w:t>
            </w:r>
            <w:r w:rsidRPr="00592EEE">
              <w:rPr>
                <w:rFonts w:cs="Arial"/>
                <w:b/>
                <w:szCs w:val="14"/>
              </w:rPr>
              <w:t>273</w:t>
            </w:r>
            <w:r>
              <w:rPr>
                <w:rFonts w:cs="Arial"/>
                <w:b/>
                <w:szCs w:val="14"/>
              </w:rPr>
              <w:t>,</w:t>
            </w:r>
            <w:r w:rsidRPr="00592EEE">
              <w:rPr>
                <w:rFonts w:cs="Arial"/>
                <w:b/>
                <w:szCs w:val="14"/>
              </w:rPr>
              <w:t>819</w:t>
            </w:r>
          </w:p>
        </w:tc>
        <w:tc>
          <w:tcPr>
            <w:tcW w:w="1914" w:type="dxa"/>
            <w:tcBorders>
              <w:top w:val="nil"/>
              <w:bottom w:val="nil"/>
            </w:tcBorders>
            <w:shd w:val="clear" w:color="auto" w:fill="auto"/>
            <w:vAlign w:val="center"/>
          </w:tcPr>
          <w:p w14:paraId="694A0982" w14:textId="77777777" w:rsidR="008B7E19" w:rsidRPr="002D005F"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b/>
                <w:bCs/>
              </w:rPr>
            </w:pPr>
            <w:r w:rsidRPr="002A17C3">
              <w:rPr>
                <w:rFonts w:cs="Arial"/>
                <w:b/>
                <w:szCs w:val="14"/>
              </w:rPr>
              <w:t>1</w:t>
            </w:r>
            <w:r>
              <w:rPr>
                <w:rFonts w:cs="Arial"/>
                <w:b/>
                <w:szCs w:val="14"/>
              </w:rPr>
              <w:t>,</w:t>
            </w:r>
            <w:r w:rsidRPr="002A17C3">
              <w:rPr>
                <w:rFonts w:cs="Arial"/>
                <w:b/>
                <w:szCs w:val="14"/>
              </w:rPr>
              <w:t>796</w:t>
            </w:r>
            <w:r>
              <w:rPr>
                <w:rFonts w:cs="Arial"/>
                <w:b/>
                <w:szCs w:val="14"/>
              </w:rPr>
              <w:t>,</w:t>
            </w:r>
            <w:r w:rsidRPr="002A17C3">
              <w:rPr>
                <w:rFonts w:cs="Arial"/>
                <w:b/>
                <w:szCs w:val="14"/>
              </w:rPr>
              <w:t>338</w:t>
            </w:r>
          </w:p>
        </w:tc>
      </w:tr>
      <w:tr w:rsidR="008B7E19" w:rsidRPr="001D6BE8" w14:paraId="660816FD"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shd w:val="clear" w:color="auto" w:fill="auto"/>
            <w:vAlign w:val="center"/>
          </w:tcPr>
          <w:p w14:paraId="5148AC3C" w14:textId="77777777" w:rsidR="008B7E19" w:rsidRPr="0038031F" w:rsidRDefault="008B7E19" w:rsidP="008B7E19">
            <w:pPr>
              <w:pStyle w:val="08-Tabelageral"/>
              <w:ind w:left="113"/>
              <w:jc w:val="left"/>
              <w:rPr>
                <w:b w:val="0"/>
              </w:rPr>
            </w:pPr>
            <w:r w:rsidRPr="00402D4F">
              <w:rPr>
                <w:b w:val="0"/>
              </w:rPr>
              <w:t>Other provisions</w:t>
            </w:r>
          </w:p>
        </w:tc>
        <w:tc>
          <w:tcPr>
            <w:tcW w:w="1913" w:type="dxa"/>
            <w:tcBorders>
              <w:top w:val="nil"/>
              <w:bottom w:val="nil"/>
            </w:tcBorders>
            <w:shd w:val="clear" w:color="auto" w:fill="auto"/>
            <w:vAlign w:val="center"/>
          </w:tcPr>
          <w:p w14:paraId="6C046DA2" w14:textId="77777777" w:rsidR="008B7E19" w:rsidRPr="00350BA7"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592EEE">
              <w:rPr>
                <w:rFonts w:cs="Arial"/>
                <w:szCs w:val="14"/>
              </w:rPr>
              <w:t>9</w:t>
            </w:r>
            <w:r>
              <w:rPr>
                <w:rFonts w:cs="Arial"/>
                <w:szCs w:val="14"/>
              </w:rPr>
              <w:t>,</w:t>
            </w:r>
            <w:r w:rsidRPr="00592EEE">
              <w:rPr>
                <w:rFonts w:cs="Arial"/>
                <w:szCs w:val="14"/>
              </w:rPr>
              <w:t>062</w:t>
            </w:r>
          </w:p>
        </w:tc>
        <w:tc>
          <w:tcPr>
            <w:tcW w:w="1914" w:type="dxa"/>
            <w:tcBorders>
              <w:top w:val="nil"/>
              <w:bottom w:val="nil"/>
            </w:tcBorders>
            <w:shd w:val="clear" w:color="auto" w:fill="auto"/>
            <w:vAlign w:val="center"/>
          </w:tcPr>
          <w:p w14:paraId="00EED904" w14:textId="77777777" w:rsidR="008B7E19" w:rsidRPr="00DC38D1" w:rsidRDefault="008B7E19" w:rsidP="008B7E19">
            <w:pPr>
              <w:pStyle w:val="08-Tabelageral"/>
              <w:cnfStyle w:val="000000100000" w:firstRow="0" w:lastRow="0" w:firstColumn="0" w:lastColumn="0" w:oddVBand="0" w:evenVBand="0" w:oddHBand="1" w:evenHBand="0" w:firstRowFirstColumn="0" w:firstRowLastColumn="0" w:lastRowFirstColumn="0" w:lastRowLastColumn="0"/>
            </w:pPr>
            <w:r w:rsidRPr="002A17C3">
              <w:rPr>
                <w:rFonts w:cs="Arial"/>
                <w:szCs w:val="14"/>
              </w:rPr>
              <w:t>8</w:t>
            </w:r>
            <w:r>
              <w:rPr>
                <w:rFonts w:cs="Arial"/>
                <w:szCs w:val="14"/>
              </w:rPr>
              <w:t>,</w:t>
            </w:r>
            <w:r w:rsidRPr="002A17C3">
              <w:rPr>
                <w:rFonts w:cs="Arial"/>
                <w:szCs w:val="14"/>
              </w:rPr>
              <w:t>791</w:t>
            </w:r>
          </w:p>
        </w:tc>
      </w:tr>
      <w:tr w:rsidR="008B7E19" w:rsidRPr="001D6BE8" w14:paraId="57B93966" w14:textId="77777777" w:rsidTr="008B7E19">
        <w:trPr>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shd w:val="clear" w:color="auto" w:fill="auto"/>
            <w:vAlign w:val="center"/>
          </w:tcPr>
          <w:p w14:paraId="5F66CC04" w14:textId="77777777" w:rsidR="008B7E19" w:rsidRPr="0038031F" w:rsidRDefault="008B7E19" w:rsidP="008B7E19">
            <w:pPr>
              <w:pStyle w:val="08-Tabelageral"/>
              <w:ind w:left="113"/>
              <w:jc w:val="left"/>
              <w:rPr>
                <w:b w:val="0"/>
              </w:rPr>
            </w:pPr>
            <w:r w:rsidRPr="00402D4F">
              <w:rPr>
                <w:b w:val="0"/>
              </w:rPr>
              <w:t>Commissions to be appropriated</w:t>
            </w:r>
          </w:p>
        </w:tc>
        <w:tc>
          <w:tcPr>
            <w:tcW w:w="1913" w:type="dxa"/>
            <w:tcBorders>
              <w:top w:val="nil"/>
              <w:bottom w:val="nil"/>
            </w:tcBorders>
            <w:shd w:val="clear" w:color="auto" w:fill="auto"/>
            <w:vAlign w:val="center"/>
          </w:tcPr>
          <w:p w14:paraId="05AD8E2C" w14:textId="77777777" w:rsidR="008B7E19" w:rsidRPr="00350BA7"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r w:rsidRPr="00592EEE">
              <w:rPr>
                <w:rFonts w:cs="Arial"/>
                <w:szCs w:val="14"/>
              </w:rPr>
              <w:t>2</w:t>
            </w:r>
            <w:r>
              <w:rPr>
                <w:rFonts w:cs="Arial"/>
                <w:szCs w:val="14"/>
              </w:rPr>
              <w:t>,</w:t>
            </w:r>
            <w:r w:rsidRPr="00592EEE">
              <w:rPr>
                <w:rFonts w:cs="Arial"/>
                <w:szCs w:val="14"/>
              </w:rPr>
              <w:t>264</w:t>
            </w:r>
            <w:r>
              <w:rPr>
                <w:rFonts w:cs="Arial"/>
                <w:szCs w:val="14"/>
              </w:rPr>
              <w:t>,</w:t>
            </w:r>
            <w:r w:rsidRPr="00592EEE">
              <w:rPr>
                <w:rFonts w:cs="Arial"/>
                <w:szCs w:val="14"/>
              </w:rPr>
              <w:t>757</w:t>
            </w:r>
          </w:p>
        </w:tc>
        <w:tc>
          <w:tcPr>
            <w:tcW w:w="1914" w:type="dxa"/>
            <w:tcBorders>
              <w:top w:val="nil"/>
              <w:bottom w:val="nil"/>
            </w:tcBorders>
            <w:shd w:val="clear" w:color="auto" w:fill="auto"/>
            <w:vAlign w:val="center"/>
          </w:tcPr>
          <w:p w14:paraId="6E33E3DB" w14:textId="77777777" w:rsidR="008B7E19" w:rsidRDefault="008B7E19" w:rsidP="008B7E19">
            <w:pPr>
              <w:pStyle w:val="08-Tabelageral"/>
              <w:cnfStyle w:val="000000000000" w:firstRow="0" w:lastRow="0" w:firstColumn="0" w:lastColumn="0" w:oddVBand="0" w:evenVBand="0" w:oddHBand="0" w:evenHBand="0" w:firstRowFirstColumn="0" w:firstRowLastColumn="0" w:lastRowFirstColumn="0" w:lastRowLastColumn="0"/>
            </w:pPr>
            <w:r w:rsidRPr="002A17C3">
              <w:rPr>
                <w:rFonts w:cs="Arial"/>
                <w:szCs w:val="14"/>
              </w:rPr>
              <w:t>1</w:t>
            </w:r>
            <w:r>
              <w:rPr>
                <w:rFonts w:cs="Arial"/>
                <w:szCs w:val="14"/>
              </w:rPr>
              <w:t>,</w:t>
            </w:r>
            <w:r w:rsidRPr="002A17C3">
              <w:rPr>
                <w:rFonts w:cs="Arial"/>
                <w:szCs w:val="14"/>
              </w:rPr>
              <w:t>787</w:t>
            </w:r>
            <w:r>
              <w:rPr>
                <w:rFonts w:cs="Arial"/>
                <w:szCs w:val="14"/>
              </w:rPr>
              <w:t>,</w:t>
            </w:r>
            <w:r w:rsidRPr="002A17C3">
              <w:rPr>
                <w:rFonts w:cs="Arial"/>
                <w:szCs w:val="14"/>
              </w:rPr>
              <w:t>547</w:t>
            </w:r>
          </w:p>
        </w:tc>
      </w:tr>
      <w:tr w:rsidR="008B7E19" w:rsidRPr="001D6BE8" w14:paraId="44911466"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shd w:val="clear" w:color="auto" w:fill="auto"/>
            <w:vAlign w:val="center"/>
          </w:tcPr>
          <w:p w14:paraId="77DBED2C" w14:textId="77777777" w:rsidR="008B7E19" w:rsidRPr="00CD3714" w:rsidRDefault="008B7E19" w:rsidP="008B7E19">
            <w:pPr>
              <w:pStyle w:val="08-Tabelageral"/>
              <w:jc w:val="left"/>
            </w:pPr>
            <w:r>
              <w:t>Total Liabilities</w:t>
            </w:r>
          </w:p>
        </w:tc>
        <w:tc>
          <w:tcPr>
            <w:tcW w:w="1913" w:type="dxa"/>
            <w:tcBorders>
              <w:top w:val="nil"/>
              <w:bottom w:val="nil"/>
            </w:tcBorders>
            <w:shd w:val="clear" w:color="auto" w:fill="auto"/>
            <w:vAlign w:val="center"/>
          </w:tcPr>
          <w:p w14:paraId="4B269922" w14:textId="77777777" w:rsidR="008B7E19" w:rsidRPr="006128A8"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r w:rsidRPr="00C4460C">
              <w:rPr>
                <w:rFonts w:cs="Arial"/>
                <w:b/>
                <w:szCs w:val="14"/>
              </w:rPr>
              <w:t>6</w:t>
            </w:r>
            <w:r>
              <w:rPr>
                <w:rFonts w:cs="Arial"/>
                <w:b/>
                <w:szCs w:val="14"/>
              </w:rPr>
              <w:t>,</w:t>
            </w:r>
            <w:r w:rsidRPr="00C4460C">
              <w:rPr>
                <w:rFonts w:cs="Arial"/>
                <w:b/>
                <w:szCs w:val="14"/>
              </w:rPr>
              <w:t>004</w:t>
            </w:r>
            <w:r>
              <w:rPr>
                <w:rFonts w:cs="Arial"/>
                <w:b/>
                <w:szCs w:val="14"/>
              </w:rPr>
              <w:t>,</w:t>
            </w:r>
            <w:r w:rsidRPr="00C4460C">
              <w:rPr>
                <w:rFonts w:cs="Arial"/>
                <w:b/>
                <w:szCs w:val="14"/>
              </w:rPr>
              <w:t>268</w:t>
            </w:r>
          </w:p>
        </w:tc>
        <w:tc>
          <w:tcPr>
            <w:tcW w:w="1914" w:type="dxa"/>
            <w:tcBorders>
              <w:top w:val="nil"/>
              <w:bottom w:val="nil"/>
            </w:tcBorders>
            <w:shd w:val="clear" w:color="auto" w:fill="auto"/>
            <w:vAlign w:val="center"/>
          </w:tcPr>
          <w:p w14:paraId="22CD99C6" w14:textId="77777777" w:rsidR="008B7E19" w:rsidRPr="002D005F"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b/>
                <w:bCs/>
              </w:rPr>
            </w:pPr>
            <w:r w:rsidRPr="002A17C3">
              <w:rPr>
                <w:rFonts w:cs="Arial"/>
                <w:b/>
                <w:szCs w:val="14"/>
              </w:rPr>
              <w:t>6</w:t>
            </w:r>
            <w:r>
              <w:rPr>
                <w:rFonts w:cs="Arial"/>
                <w:b/>
                <w:szCs w:val="14"/>
              </w:rPr>
              <w:t>,</w:t>
            </w:r>
            <w:r w:rsidRPr="002A17C3">
              <w:rPr>
                <w:rFonts w:cs="Arial"/>
                <w:b/>
                <w:szCs w:val="14"/>
              </w:rPr>
              <w:t>051</w:t>
            </w:r>
            <w:r>
              <w:rPr>
                <w:rFonts w:cs="Arial"/>
                <w:b/>
                <w:szCs w:val="14"/>
              </w:rPr>
              <w:t>,</w:t>
            </w:r>
            <w:r w:rsidRPr="002A17C3">
              <w:rPr>
                <w:rFonts w:cs="Arial"/>
                <w:b/>
                <w:szCs w:val="14"/>
              </w:rPr>
              <w:t>267</w:t>
            </w:r>
          </w:p>
        </w:tc>
      </w:tr>
      <w:tr w:rsidR="008B7E19" w:rsidRPr="001D6BE8" w14:paraId="7C48EA2A" w14:textId="77777777" w:rsidTr="008B7E19">
        <w:trPr>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shd w:val="clear" w:color="auto" w:fill="auto"/>
            <w:vAlign w:val="center"/>
          </w:tcPr>
          <w:p w14:paraId="0CC8743C" w14:textId="77777777" w:rsidR="008B7E19" w:rsidRPr="0038031F" w:rsidRDefault="008B7E19" w:rsidP="008B7E19">
            <w:pPr>
              <w:pStyle w:val="08-Tabelageral"/>
              <w:jc w:val="left"/>
              <w:rPr>
                <w:b w:val="0"/>
              </w:rPr>
            </w:pPr>
          </w:p>
        </w:tc>
        <w:tc>
          <w:tcPr>
            <w:tcW w:w="1913" w:type="dxa"/>
            <w:tcBorders>
              <w:top w:val="nil"/>
              <w:bottom w:val="nil"/>
            </w:tcBorders>
            <w:shd w:val="clear" w:color="auto" w:fill="auto"/>
            <w:vAlign w:val="center"/>
          </w:tcPr>
          <w:p w14:paraId="011FD9D9" w14:textId="77777777" w:rsidR="008B7E19" w:rsidRPr="00350BA7"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p>
        </w:tc>
        <w:tc>
          <w:tcPr>
            <w:tcW w:w="1914" w:type="dxa"/>
            <w:tcBorders>
              <w:top w:val="nil"/>
              <w:bottom w:val="nil"/>
            </w:tcBorders>
            <w:shd w:val="clear" w:color="auto" w:fill="auto"/>
            <w:vAlign w:val="center"/>
          </w:tcPr>
          <w:p w14:paraId="3DF50837" w14:textId="77777777" w:rsidR="008B7E19" w:rsidRPr="00CF4B29" w:rsidRDefault="008B7E19" w:rsidP="008B7E19">
            <w:pPr>
              <w:pStyle w:val="08-Tabelageral"/>
              <w:cnfStyle w:val="000000000000" w:firstRow="0" w:lastRow="0" w:firstColumn="0" w:lastColumn="0" w:oddVBand="0" w:evenVBand="0" w:oddHBand="0" w:evenHBand="0" w:firstRowFirstColumn="0" w:firstRowLastColumn="0" w:lastRowFirstColumn="0" w:lastRowLastColumn="0"/>
            </w:pPr>
          </w:p>
        </w:tc>
      </w:tr>
      <w:tr w:rsidR="008B7E19" w:rsidRPr="00D25CE5" w14:paraId="63B0484E"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shd w:val="clear" w:color="auto" w:fill="auto"/>
            <w:vAlign w:val="center"/>
          </w:tcPr>
          <w:p w14:paraId="144C3DCE" w14:textId="77777777" w:rsidR="008B7E19" w:rsidRPr="00D25CE5" w:rsidRDefault="008B7E19" w:rsidP="008B7E19">
            <w:pPr>
              <w:pStyle w:val="08-Tabelageral"/>
              <w:jc w:val="left"/>
            </w:pPr>
            <w:r>
              <w:t>Equity</w:t>
            </w:r>
          </w:p>
        </w:tc>
        <w:tc>
          <w:tcPr>
            <w:tcW w:w="1913" w:type="dxa"/>
            <w:tcBorders>
              <w:top w:val="nil"/>
              <w:left w:val="nil"/>
              <w:bottom w:val="nil"/>
              <w:right w:val="nil"/>
            </w:tcBorders>
            <w:shd w:val="clear" w:color="auto" w:fill="auto"/>
            <w:vAlign w:val="center"/>
          </w:tcPr>
          <w:p w14:paraId="4BEBB4B8" w14:textId="77777777" w:rsidR="008B7E19" w:rsidRPr="00C83FAF"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b/>
                <w:bCs/>
              </w:rPr>
            </w:pPr>
            <w:r w:rsidRPr="00592EEE">
              <w:rPr>
                <w:b/>
                <w:bCs/>
              </w:rPr>
              <w:t>6</w:t>
            </w:r>
            <w:r>
              <w:rPr>
                <w:b/>
                <w:bCs/>
              </w:rPr>
              <w:t>,</w:t>
            </w:r>
            <w:r w:rsidRPr="00592EEE">
              <w:rPr>
                <w:b/>
                <w:bCs/>
              </w:rPr>
              <w:t>090</w:t>
            </w:r>
          </w:p>
        </w:tc>
        <w:tc>
          <w:tcPr>
            <w:tcW w:w="1914" w:type="dxa"/>
            <w:tcBorders>
              <w:top w:val="nil"/>
              <w:bottom w:val="nil"/>
            </w:tcBorders>
            <w:shd w:val="clear" w:color="auto" w:fill="auto"/>
          </w:tcPr>
          <w:p w14:paraId="2C80C91E" w14:textId="77777777" w:rsidR="008B7E19" w:rsidRPr="00C83FAF"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b/>
                <w:bCs/>
              </w:rPr>
            </w:pPr>
            <w:r w:rsidRPr="002A17C3">
              <w:rPr>
                <w:b/>
                <w:bCs/>
              </w:rPr>
              <w:t>6</w:t>
            </w:r>
            <w:r>
              <w:rPr>
                <w:b/>
                <w:bCs/>
              </w:rPr>
              <w:t>,</w:t>
            </w:r>
            <w:r w:rsidRPr="002A17C3">
              <w:rPr>
                <w:b/>
                <w:bCs/>
              </w:rPr>
              <w:t>338</w:t>
            </w:r>
          </w:p>
        </w:tc>
      </w:tr>
      <w:tr w:rsidR="008B7E19" w:rsidRPr="001D6BE8" w14:paraId="5F7A2556" w14:textId="77777777" w:rsidTr="008B7E19">
        <w:trPr>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shd w:val="clear" w:color="auto" w:fill="auto"/>
            <w:vAlign w:val="center"/>
          </w:tcPr>
          <w:p w14:paraId="7CD2D251" w14:textId="77777777" w:rsidR="008B7E19" w:rsidRPr="0038031F" w:rsidRDefault="008B7E19" w:rsidP="008B7E19">
            <w:pPr>
              <w:pStyle w:val="08-Tabelageral"/>
              <w:ind w:left="113"/>
              <w:jc w:val="left"/>
              <w:rPr>
                <w:b w:val="0"/>
              </w:rPr>
            </w:pPr>
            <w:r w:rsidRPr="0038031F">
              <w:rPr>
                <w:b w:val="0"/>
              </w:rPr>
              <w:t>Capital</w:t>
            </w:r>
          </w:p>
        </w:tc>
        <w:tc>
          <w:tcPr>
            <w:tcW w:w="1913" w:type="dxa"/>
            <w:tcBorders>
              <w:top w:val="nil"/>
              <w:left w:val="nil"/>
              <w:bottom w:val="nil"/>
              <w:right w:val="nil"/>
            </w:tcBorders>
            <w:shd w:val="clear" w:color="auto" w:fill="auto"/>
            <w:vAlign w:val="center"/>
          </w:tcPr>
          <w:p w14:paraId="3EDB628A" w14:textId="77777777" w:rsidR="008B7E19" w:rsidRPr="009F7C7B" w:rsidRDefault="008B7E19" w:rsidP="008B7E19">
            <w:pPr>
              <w:pStyle w:val="08-Tabelageral"/>
              <w:cnfStyle w:val="000000000000" w:firstRow="0" w:lastRow="0" w:firstColumn="0" w:lastColumn="0" w:oddVBand="0" w:evenVBand="0" w:oddHBand="0" w:evenHBand="0" w:firstRowFirstColumn="0" w:firstRowLastColumn="0" w:lastRowFirstColumn="0" w:lastRowLastColumn="0"/>
            </w:pPr>
            <w:r w:rsidRPr="00592EEE">
              <w:t>1</w:t>
            </w:r>
            <w:r>
              <w:t>,</w:t>
            </w:r>
            <w:r w:rsidRPr="00592EEE">
              <w:t>000</w:t>
            </w:r>
          </w:p>
        </w:tc>
        <w:tc>
          <w:tcPr>
            <w:tcW w:w="1914" w:type="dxa"/>
            <w:tcBorders>
              <w:top w:val="nil"/>
              <w:bottom w:val="nil"/>
            </w:tcBorders>
            <w:shd w:val="clear" w:color="auto" w:fill="auto"/>
            <w:vAlign w:val="center"/>
          </w:tcPr>
          <w:p w14:paraId="01601E61" w14:textId="77777777" w:rsidR="008B7E19" w:rsidRPr="00D93BE0" w:rsidRDefault="008B7E19" w:rsidP="008B7E19">
            <w:pPr>
              <w:pStyle w:val="08-Tabelageral"/>
              <w:cnfStyle w:val="000000000000" w:firstRow="0" w:lastRow="0" w:firstColumn="0" w:lastColumn="0" w:oddVBand="0" w:evenVBand="0" w:oddHBand="0" w:evenHBand="0" w:firstRowFirstColumn="0" w:firstRowLastColumn="0" w:lastRowFirstColumn="0" w:lastRowLastColumn="0"/>
            </w:pPr>
            <w:r w:rsidRPr="000F0FE4">
              <w:t>1</w:t>
            </w:r>
            <w:r>
              <w:t>,</w:t>
            </w:r>
            <w:r w:rsidRPr="000F0FE4">
              <w:t>000</w:t>
            </w:r>
          </w:p>
        </w:tc>
      </w:tr>
      <w:tr w:rsidR="008B7E19" w:rsidRPr="001D6BE8" w14:paraId="6177E228"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shd w:val="clear" w:color="auto" w:fill="auto"/>
            <w:vAlign w:val="center"/>
          </w:tcPr>
          <w:p w14:paraId="6BF733A0" w14:textId="77777777" w:rsidR="008B7E19" w:rsidRPr="0038031F" w:rsidRDefault="008B7E19" w:rsidP="008B7E19">
            <w:pPr>
              <w:pStyle w:val="08-Tabelageral"/>
              <w:ind w:left="113"/>
              <w:jc w:val="left"/>
              <w:rPr>
                <w:b w:val="0"/>
              </w:rPr>
            </w:pPr>
            <w:r w:rsidRPr="00C27294">
              <w:rPr>
                <w:b w:val="0"/>
              </w:rPr>
              <w:t>Capital reserves</w:t>
            </w:r>
          </w:p>
        </w:tc>
        <w:tc>
          <w:tcPr>
            <w:tcW w:w="1913" w:type="dxa"/>
            <w:tcBorders>
              <w:top w:val="nil"/>
              <w:left w:val="nil"/>
              <w:bottom w:val="nil"/>
              <w:right w:val="nil"/>
            </w:tcBorders>
            <w:shd w:val="clear" w:color="auto" w:fill="auto"/>
            <w:vAlign w:val="center"/>
          </w:tcPr>
          <w:p w14:paraId="05846F33" w14:textId="77777777" w:rsidR="008B7E19" w:rsidRPr="009F7C7B" w:rsidRDefault="008B7E19" w:rsidP="008B7E19">
            <w:pPr>
              <w:pStyle w:val="08-Tabelageral"/>
              <w:cnfStyle w:val="000000100000" w:firstRow="0" w:lastRow="0" w:firstColumn="0" w:lastColumn="0" w:oddVBand="0" w:evenVBand="0" w:oddHBand="1" w:evenHBand="0" w:firstRowFirstColumn="0" w:firstRowLastColumn="0" w:lastRowFirstColumn="0" w:lastRowLastColumn="0"/>
            </w:pPr>
            <w:r w:rsidRPr="00592EEE">
              <w:t>4</w:t>
            </w:r>
            <w:r>
              <w:t>,</w:t>
            </w:r>
            <w:r w:rsidRPr="00592EEE">
              <w:t>975</w:t>
            </w:r>
          </w:p>
        </w:tc>
        <w:tc>
          <w:tcPr>
            <w:tcW w:w="1914" w:type="dxa"/>
            <w:tcBorders>
              <w:top w:val="nil"/>
              <w:bottom w:val="nil"/>
            </w:tcBorders>
            <w:shd w:val="clear" w:color="auto" w:fill="auto"/>
            <w:vAlign w:val="center"/>
          </w:tcPr>
          <w:p w14:paraId="44AAA48F" w14:textId="77777777" w:rsidR="008B7E19" w:rsidRPr="00D93BE0" w:rsidRDefault="008B7E19" w:rsidP="008B7E19">
            <w:pPr>
              <w:pStyle w:val="08-Tabelageral"/>
              <w:cnfStyle w:val="000000100000" w:firstRow="0" w:lastRow="0" w:firstColumn="0" w:lastColumn="0" w:oddVBand="0" w:evenVBand="0" w:oddHBand="1" w:evenHBand="0" w:firstRowFirstColumn="0" w:firstRowLastColumn="0" w:lastRowFirstColumn="0" w:lastRowLastColumn="0"/>
            </w:pPr>
            <w:r w:rsidRPr="000F0FE4">
              <w:t>4</w:t>
            </w:r>
            <w:r>
              <w:t>,</w:t>
            </w:r>
            <w:r w:rsidRPr="000F0FE4">
              <w:t>975</w:t>
            </w:r>
          </w:p>
        </w:tc>
      </w:tr>
      <w:tr w:rsidR="008B7E19" w:rsidRPr="001D6BE8" w14:paraId="6E4486F9" w14:textId="77777777" w:rsidTr="008B7E19">
        <w:trPr>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shd w:val="clear" w:color="auto" w:fill="auto"/>
            <w:vAlign w:val="center"/>
          </w:tcPr>
          <w:p w14:paraId="4F2BFB10" w14:textId="77777777" w:rsidR="008B7E19" w:rsidRPr="0038031F" w:rsidRDefault="008B7E19" w:rsidP="008B7E19">
            <w:pPr>
              <w:pStyle w:val="08-Tabelageral"/>
              <w:ind w:left="113"/>
              <w:jc w:val="left"/>
              <w:rPr>
                <w:b w:val="0"/>
              </w:rPr>
            </w:pPr>
            <w:r w:rsidRPr="00C27294">
              <w:rPr>
                <w:b w:val="0"/>
              </w:rPr>
              <w:t>Income reserves</w:t>
            </w:r>
          </w:p>
        </w:tc>
        <w:tc>
          <w:tcPr>
            <w:tcW w:w="1913" w:type="dxa"/>
            <w:tcBorders>
              <w:top w:val="nil"/>
              <w:left w:val="nil"/>
              <w:bottom w:val="nil"/>
              <w:right w:val="nil"/>
            </w:tcBorders>
            <w:shd w:val="clear" w:color="auto" w:fill="auto"/>
            <w:vAlign w:val="center"/>
          </w:tcPr>
          <w:p w14:paraId="654B692E" w14:textId="77777777" w:rsidR="008B7E19" w:rsidRPr="009F7C7B" w:rsidRDefault="008B7E19" w:rsidP="008B7E19">
            <w:pPr>
              <w:pStyle w:val="08-Tabelageral"/>
              <w:cnfStyle w:val="000000000000" w:firstRow="0" w:lastRow="0" w:firstColumn="0" w:lastColumn="0" w:oddVBand="0" w:evenVBand="0" w:oddHBand="0" w:evenHBand="0" w:firstRowFirstColumn="0" w:firstRowLastColumn="0" w:lastRowFirstColumn="0" w:lastRowLastColumn="0"/>
            </w:pPr>
            <w:r w:rsidRPr="00592EEE">
              <w:t>200</w:t>
            </w:r>
          </w:p>
        </w:tc>
        <w:tc>
          <w:tcPr>
            <w:tcW w:w="1914" w:type="dxa"/>
            <w:tcBorders>
              <w:top w:val="nil"/>
              <w:bottom w:val="nil"/>
            </w:tcBorders>
            <w:shd w:val="clear" w:color="auto" w:fill="auto"/>
            <w:vAlign w:val="center"/>
          </w:tcPr>
          <w:p w14:paraId="190EF7C9" w14:textId="77777777" w:rsidR="008B7E19" w:rsidRPr="00D93BE0" w:rsidRDefault="008B7E19" w:rsidP="008B7E19">
            <w:pPr>
              <w:pStyle w:val="08-Tabelageral"/>
              <w:cnfStyle w:val="000000000000" w:firstRow="0" w:lastRow="0" w:firstColumn="0" w:lastColumn="0" w:oddVBand="0" w:evenVBand="0" w:oddHBand="0" w:evenHBand="0" w:firstRowFirstColumn="0" w:firstRowLastColumn="0" w:lastRowFirstColumn="0" w:lastRowLastColumn="0"/>
            </w:pPr>
            <w:r w:rsidRPr="000F0FE4">
              <w:t>200</w:t>
            </w:r>
          </w:p>
        </w:tc>
      </w:tr>
      <w:tr w:rsidR="008B7E19" w:rsidRPr="001D6BE8" w14:paraId="4037252B"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shd w:val="clear" w:color="auto" w:fill="auto"/>
            <w:vAlign w:val="center"/>
          </w:tcPr>
          <w:p w14:paraId="55FAFE0F" w14:textId="77777777" w:rsidR="008B7E19" w:rsidRPr="0038031F" w:rsidRDefault="008B7E19" w:rsidP="008B7E19">
            <w:pPr>
              <w:pStyle w:val="08-Tabelageral"/>
              <w:ind w:left="113"/>
              <w:jc w:val="left"/>
              <w:rPr>
                <w:b w:val="0"/>
              </w:rPr>
            </w:pPr>
            <w:r>
              <w:rPr>
                <w:b w:val="0"/>
              </w:rPr>
              <w:t>Other comprehensive results</w:t>
            </w:r>
          </w:p>
        </w:tc>
        <w:tc>
          <w:tcPr>
            <w:tcW w:w="1913" w:type="dxa"/>
            <w:tcBorders>
              <w:top w:val="nil"/>
              <w:left w:val="nil"/>
              <w:bottom w:val="nil"/>
              <w:right w:val="nil"/>
            </w:tcBorders>
            <w:shd w:val="clear" w:color="auto" w:fill="auto"/>
            <w:vAlign w:val="center"/>
          </w:tcPr>
          <w:p w14:paraId="18F16C2E" w14:textId="77777777" w:rsidR="008B7E19" w:rsidRPr="009F7C7B" w:rsidRDefault="008B7E19" w:rsidP="008B7E19">
            <w:pPr>
              <w:pStyle w:val="08-Tabelageral"/>
              <w:cnfStyle w:val="000000100000" w:firstRow="0" w:lastRow="0" w:firstColumn="0" w:lastColumn="0" w:oddVBand="0" w:evenVBand="0" w:oddHBand="1" w:evenHBand="0" w:firstRowFirstColumn="0" w:firstRowLastColumn="0" w:lastRowFirstColumn="0" w:lastRowLastColumn="0"/>
            </w:pPr>
            <w:r w:rsidRPr="00592EEE">
              <w:t>(85)</w:t>
            </w:r>
          </w:p>
        </w:tc>
        <w:tc>
          <w:tcPr>
            <w:tcW w:w="1914" w:type="dxa"/>
            <w:tcBorders>
              <w:top w:val="nil"/>
              <w:bottom w:val="nil"/>
            </w:tcBorders>
            <w:shd w:val="clear" w:color="auto" w:fill="auto"/>
            <w:vAlign w:val="center"/>
          </w:tcPr>
          <w:p w14:paraId="00CFD551" w14:textId="77777777" w:rsidR="008B7E19" w:rsidRDefault="008B7E19" w:rsidP="008B7E19">
            <w:pPr>
              <w:pStyle w:val="08-Tabelageral"/>
              <w:cnfStyle w:val="000000100000" w:firstRow="0" w:lastRow="0" w:firstColumn="0" w:lastColumn="0" w:oddVBand="0" w:evenVBand="0" w:oddHBand="1" w:evenHBand="0" w:firstRowFirstColumn="0" w:firstRowLastColumn="0" w:lastRowFirstColumn="0" w:lastRowLastColumn="0"/>
            </w:pPr>
            <w:r w:rsidRPr="000F0FE4">
              <w:t>16</w:t>
            </w:r>
            <w:r>
              <w:t>3</w:t>
            </w:r>
          </w:p>
        </w:tc>
      </w:tr>
      <w:tr w:rsidR="008B7E19" w:rsidRPr="002D005F" w14:paraId="4C49DA4F" w14:textId="77777777" w:rsidTr="008B7E19">
        <w:trPr>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shd w:val="clear" w:color="auto" w:fill="auto"/>
            <w:vAlign w:val="center"/>
          </w:tcPr>
          <w:p w14:paraId="1E99CAED" w14:textId="77777777" w:rsidR="008B7E19" w:rsidRPr="0050672E" w:rsidRDefault="008B7E19" w:rsidP="008B7E19">
            <w:pPr>
              <w:pStyle w:val="08-Tabelageral"/>
              <w:jc w:val="left"/>
            </w:pPr>
            <w:r>
              <w:t>Total Liabilities and</w:t>
            </w:r>
            <w:r w:rsidRPr="0050672E">
              <w:t xml:space="preserve"> </w:t>
            </w:r>
            <w:r>
              <w:t>Equity</w:t>
            </w:r>
          </w:p>
        </w:tc>
        <w:tc>
          <w:tcPr>
            <w:tcW w:w="1913" w:type="dxa"/>
            <w:tcBorders>
              <w:top w:val="nil"/>
              <w:bottom w:val="nil"/>
            </w:tcBorders>
            <w:shd w:val="clear" w:color="auto" w:fill="auto"/>
            <w:vAlign w:val="center"/>
          </w:tcPr>
          <w:p w14:paraId="0D0A9F0C" w14:textId="77777777" w:rsidR="008B7E19" w:rsidRPr="0050672E"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b/>
                <w:szCs w:val="14"/>
              </w:rPr>
            </w:pPr>
            <w:r w:rsidRPr="00C4460C">
              <w:rPr>
                <w:rFonts w:cs="Arial"/>
                <w:b/>
                <w:szCs w:val="14"/>
              </w:rPr>
              <w:t>6</w:t>
            </w:r>
            <w:r>
              <w:rPr>
                <w:rFonts w:cs="Arial"/>
                <w:b/>
                <w:szCs w:val="14"/>
              </w:rPr>
              <w:t>,</w:t>
            </w:r>
            <w:r w:rsidRPr="00C4460C">
              <w:rPr>
                <w:rFonts w:cs="Arial"/>
                <w:b/>
                <w:szCs w:val="14"/>
              </w:rPr>
              <w:t>010</w:t>
            </w:r>
            <w:r>
              <w:rPr>
                <w:rFonts w:cs="Arial"/>
                <w:b/>
                <w:szCs w:val="14"/>
              </w:rPr>
              <w:t>,</w:t>
            </w:r>
            <w:r w:rsidRPr="00C4460C">
              <w:rPr>
                <w:rFonts w:cs="Arial"/>
                <w:b/>
                <w:szCs w:val="14"/>
              </w:rPr>
              <w:t>358</w:t>
            </w:r>
          </w:p>
        </w:tc>
        <w:tc>
          <w:tcPr>
            <w:tcW w:w="1914" w:type="dxa"/>
            <w:tcBorders>
              <w:top w:val="nil"/>
              <w:bottom w:val="nil"/>
            </w:tcBorders>
            <w:shd w:val="clear" w:color="auto" w:fill="auto"/>
            <w:vAlign w:val="center"/>
          </w:tcPr>
          <w:p w14:paraId="6B8444A2" w14:textId="77777777" w:rsidR="008B7E19" w:rsidRPr="002D005F"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b/>
                <w:bCs/>
              </w:rPr>
            </w:pPr>
            <w:r w:rsidRPr="002A17C3">
              <w:rPr>
                <w:rFonts w:cs="Arial"/>
                <w:b/>
                <w:szCs w:val="14"/>
              </w:rPr>
              <w:t>6</w:t>
            </w:r>
            <w:r>
              <w:rPr>
                <w:rFonts w:cs="Arial"/>
                <w:b/>
                <w:szCs w:val="14"/>
              </w:rPr>
              <w:t>,</w:t>
            </w:r>
            <w:r w:rsidRPr="002A17C3">
              <w:rPr>
                <w:rFonts w:cs="Arial"/>
                <w:b/>
                <w:szCs w:val="14"/>
              </w:rPr>
              <w:t>057</w:t>
            </w:r>
            <w:r>
              <w:rPr>
                <w:rFonts w:cs="Arial"/>
                <w:b/>
                <w:szCs w:val="14"/>
              </w:rPr>
              <w:t>,</w:t>
            </w:r>
            <w:r w:rsidRPr="002A17C3">
              <w:rPr>
                <w:rFonts w:cs="Arial"/>
                <w:b/>
                <w:szCs w:val="14"/>
              </w:rPr>
              <w:t>605</w:t>
            </w:r>
          </w:p>
        </w:tc>
      </w:tr>
      <w:tr w:rsidR="008B7E19" w:rsidRPr="002D005F" w14:paraId="1B85E349" w14:textId="77777777" w:rsidTr="008B7E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shd w:val="clear" w:color="auto" w:fill="auto"/>
            <w:vAlign w:val="center"/>
          </w:tcPr>
          <w:p w14:paraId="4848F26C" w14:textId="77777777" w:rsidR="008B7E19" w:rsidRPr="0050672E" w:rsidRDefault="008B7E19" w:rsidP="008B7E19">
            <w:pPr>
              <w:pStyle w:val="08-Tabelageral"/>
              <w:jc w:val="left"/>
            </w:pPr>
            <w:r>
              <w:t>Attributable to BB Seguridade</w:t>
            </w:r>
          </w:p>
        </w:tc>
        <w:tc>
          <w:tcPr>
            <w:tcW w:w="1913" w:type="dxa"/>
            <w:tcBorders>
              <w:top w:val="nil"/>
              <w:bottom w:val="nil"/>
            </w:tcBorders>
            <w:shd w:val="clear" w:color="auto" w:fill="auto"/>
            <w:vAlign w:val="center"/>
          </w:tcPr>
          <w:p w14:paraId="3188FE64" w14:textId="77777777" w:rsidR="008B7E19" w:rsidRPr="0001062D"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r w:rsidRPr="00592EEE">
              <w:rPr>
                <w:b/>
                <w:bCs/>
              </w:rPr>
              <w:t>6</w:t>
            </w:r>
            <w:r>
              <w:rPr>
                <w:b/>
                <w:bCs/>
              </w:rPr>
              <w:t>,</w:t>
            </w:r>
            <w:r w:rsidRPr="00592EEE">
              <w:rPr>
                <w:b/>
                <w:bCs/>
              </w:rPr>
              <w:t>090</w:t>
            </w:r>
          </w:p>
        </w:tc>
        <w:tc>
          <w:tcPr>
            <w:tcW w:w="1914" w:type="dxa"/>
            <w:tcBorders>
              <w:top w:val="nil"/>
              <w:bottom w:val="nil"/>
            </w:tcBorders>
            <w:shd w:val="clear" w:color="auto" w:fill="auto"/>
          </w:tcPr>
          <w:p w14:paraId="6F93FE0B" w14:textId="77777777" w:rsidR="008B7E19" w:rsidRPr="002A17C3"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r w:rsidRPr="002A17C3">
              <w:rPr>
                <w:b/>
                <w:bCs/>
              </w:rPr>
              <w:t>6</w:t>
            </w:r>
            <w:r>
              <w:rPr>
                <w:b/>
                <w:bCs/>
              </w:rPr>
              <w:t>,</w:t>
            </w:r>
            <w:r w:rsidRPr="002A17C3">
              <w:rPr>
                <w:b/>
                <w:bCs/>
              </w:rPr>
              <w:t>338</w:t>
            </w:r>
          </w:p>
        </w:tc>
      </w:tr>
      <w:tr w:rsidR="008B7E19" w:rsidRPr="002D005F" w14:paraId="4DD44C2A" w14:textId="77777777" w:rsidTr="008B7E19">
        <w:trPr>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single" w:sz="2" w:space="0" w:color="1F4E79" w:themeColor="accent1" w:themeShade="80"/>
            </w:tcBorders>
            <w:shd w:val="clear" w:color="auto" w:fill="auto"/>
            <w:vAlign w:val="center"/>
          </w:tcPr>
          <w:p w14:paraId="7A6D2196" w14:textId="77777777" w:rsidR="008B7E19" w:rsidRPr="0050672E" w:rsidRDefault="008B7E19" w:rsidP="008B7E19">
            <w:pPr>
              <w:pStyle w:val="08-Tabelageral"/>
              <w:jc w:val="left"/>
            </w:pPr>
            <w:r>
              <w:t>Investment balance</w:t>
            </w:r>
          </w:p>
        </w:tc>
        <w:tc>
          <w:tcPr>
            <w:tcW w:w="1913" w:type="dxa"/>
            <w:tcBorders>
              <w:top w:val="nil"/>
              <w:bottom w:val="single" w:sz="2" w:space="0" w:color="1F4E79" w:themeColor="accent1" w:themeShade="80"/>
            </w:tcBorders>
            <w:shd w:val="clear" w:color="auto" w:fill="auto"/>
            <w:vAlign w:val="center"/>
          </w:tcPr>
          <w:p w14:paraId="47AE6EEE" w14:textId="77777777" w:rsidR="008B7E19" w:rsidRPr="0001062D"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b/>
                <w:szCs w:val="14"/>
              </w:rPr>
            </w:pPr>
            <w:r w:rsidRPr="00592EEE">
              <w:rPr>
                <w:b/>
                <w:bCs/>
              </w:rPr>
              <w:t>6</w:t>
            </w:r>
            <w:r>
              <w:rPr>
                <w:b/>
                <w:bCs/>
              </w:rPr>
              <w:t>,</w:t>
            </w:r>
            <w:r w:rsidRPr="00592EEE">
              <w:rPr>
                <w:b/>
                <w:bCs/>
              </w:rPr>
              <w:t>090</w:t>
            </w:r>
          </w:p>
        </w:tc>
        <w:tc>
          <w:tcPr>
            <w:tcW w:w="1914" w:type="dxa"/>
            <w:tcBorders>
              <w:top w:val="nil"/>
              <w:bottom w:val="single" w:sz="2" w:space="0" w:color="1F4E79" w:themeColor="accent1" w:themeShade="80"/>
            </w:tcBorders>
            <w:shd w:val="clear" w:color="auto" w:fill="auto"/>
          </w:tcPr>
          <w:p w14:paraId="09E2689F" w14:textId="77777777" w:rsidR="008B7E19" w:rsidRPr="002A17C3" w:rsidRDefault="008B7E19" w:rsidP="008B7E19">
            <w:pPr>
              <w:pStyle w:val="08-Tabelageral"/>
              <w:cnfStyle w:val="000000000000" w:firstRow="0" w:lastRow="0" w:firstColumn="0" w:lastColumn="0" w:oddVBand="0" w:evenVBand="0" w:oddHBand="0" w:evenHBand="0" w:firstRowFirstColumn="0" w:firstRowLastColumn="0" w:lastRowFirstColumn="0" w:lastRowLastColumn="0"/>
              <w:rPr>
                <w:rFonts w:cs="Arial"/>
                <w:b/>
                <w:szCs w:val="14"/>
              </w:rPr>
            </w:pPr>
            <w:r w:rsidRPr="002A17C3">
              <w:rPr>
                <w:b/>
                <w:bCs/>
              </w:rPr>
              <w:t>6</w:t>
            </w:r>
            <w:r>
              <w:rPr>
                <w:b/>
                <w:bCs/>
              </w:rPr>
              <w:t>,</w:t>
            </w:r>
            <w:r w:rsidRPr="002A17C3">
              <w:rPr>
                <w:b/>
                <w:bCs/>
              </w:rPr>
              <w:t>338</w:t>
            </w:r>
          </w:p>
        </w:tc>
      </w:tr>
      <w:bookmarkEnd w:id="28"/>
    </w:tbl>
    <w:p w14:paraId="647ACE22" w14:textId="77777777" w:rsidR="008B7E19" w:rsidRPr="00D44604" w:rsidRDefault="008B7E19" w:rsidP="008B7E19">
      <w:pPr>
        <w:spacing w:before="120" w:after="120" w:line="240" w:lineRule="auto"/>
        <w:jc w:val="both"/>
        <w:outlineLvl w:val="1"/>
        <w:rPr>
          <w:rFonts w:eastAsia="Times New Roman" w:cs="Times New Roman"/>
          <w:b/>
          <w:color w:val="1F4E79" w:themeColor="accent1" w:themeShade="80"/>
          <w:spacing w:val="-2"/>
          <w:szCs w:val="20"/>
          <w:lang w:val="en-US" w:eastAsia="pt-BR"/>
        </w:rPr>
      </w:pPr>
    </w:p>
    <w:p w14:paraId="7E2AA90D" w14:textId="2D56D1B4" w:rsidR="008B7E19" w:rsidRPr="00BA3B34" w:rsidRDefault="008B7E19" w:rsidP="008B7E19">
      <w:pPr>
        <w:pStyle w:val="Ttulo1"/>
        <w:rPr>
          <w:b w:val="0"/>
        </w:rPr>
      </w:pPr>
      <w:bookmarkStart w:id="31" w:name="OLE_LINK25"/>
      <w:bookmarkStart w:id="32" w:name="_Toc141966686"/>
      <w:r>
        <w:t>8</w:t>
      </w:r>
      <w:r w:rsidRPr="00BA3B34">
        <w:t xml:space="preserve"> – </w:t>
      </w:r>
      <w:r>
        <w:t>COMMISSIONS INCOME</w:t>
      </w:r>
      <w:bookmarkEnd w:id="32"/>
    </w:p>
    <w:p w14:paraId="45A452C1" w14:textId="77777777" w:rsidR="008B7E19" w:rsidRPr="004C777F" w:rsidRDefault="008B7E19" w:rsidP="008B7E19">
      <w:pPr>
        <w:pStyle w:val="01-TtulodeNota"/>
        <w:spacing w:before="0" w:after="0"/>
        <w:jc w:val="right"/>
        <w:rPr>
          <w:sz w:val="14"/>
          <w:szCs w:val="14"/>
        </w:rPr>
      </w:pPr>
      <w:r>
        <w:rPr>
          <w:sz w:val="14"/>
          <w:szCs w:val="14"/>
        </w:rPr>
        <w:t xml:space="preserve">  </w:t>
      </w:r>
      <w:r>
        <w:rPr>
          <w:sz w:val="14"/>
          <w:szCs w:val="14"/>
        </w:rPr>
        <w:tab/>
        <w:t xml:space="preserve"> </w:t>
      </w:r>
      <w:r w:rsidRPr="004C777F">
        <w:rPr>
          <w:sz w:val="14"/>
          <w:szCs w:val="14"/>
        </w:rPr>
        <w:t xml:space="preserve">R$ </w:t>
      </w:r>
      <w:r>
        <w:rPr>
          <w:sz w:val="14"/>
          <w:szCs w:val="14"/>
        </w:rPr>
        <w:t>thousand</w:t>
      </w:r>
    </w:p>
    <w:tbl>
      <w:tblPr>
        <w:tblW w:w="9702" w:type="dxa"/>
        <w:jc w:val="center"/>
        <w:tblBorders>
          <w:top w:val="single" w:sz="2" w:space="0" w:color="8EAADB" w:themeColor="accent5" w:themeTint="99"/>
          <w:bottom w:val="single" w:sz="2" w:space="0" w:color="8EAADB" w:themeColor="accent5" w:themeTint="99"/>
        </w:tblBorders>
        <w:tblLook w:val="04A0" w:firstRow="1" w:lastRow="0" w:firstColumn="1" w:lastColumn="0" w:noHBand="0" w:noVBand="1"/>
      </w:tblPr>
      <w:tblGrid>
        <w:gridCol w:w="2467"/>
        <w:gridCol w:w="583"/>
        <w:gridCol w:w="779"/>
        <w:gridCol w:w="1274"/>
        <w:gridCol w:w="1400"/>
        <w:gridCol w:w="284"/>
        <w:gridCol w:w="1404"/>
        <w:gridCol w:w="1511"/>
      </w:tblGrid>
      <w:tr w:rsidR="008B7E19" w:rsidRPr="00A47279" w14:paraId="043F0623" w14:textId="77777777" w:rsidTr="008B7E19">
        <w:trPr>
          <w:trHeight w:val="238"/>
          <w:jc w:val="center"/>
        </w:trPr>
        <w:tc>
          <w:tcPr>
            <w:tcW w:w="2467" w:type="dxa"/>
            <w:tcBorders>
              <w:top w:val="single" w:sz="2" w:space="0" w:color="1F4E79" w:themeColor="accent1" w:themeShade="80"/>
              <w:bottom w:val="nil"/>
            </w:tcBorders>
            <w:shd w:val="clear" w:color="auto" w:fill="auto"/>
          </w:tcPr>
          <w:p w14:paraId="4C0799D8" w14:textId="77777777" w:rsidR="008B7E19" w:rsidRPr="00890AEB" w:rsidRDefault="008B7E19" w:rsidP="008B7E19">
            <w:pPr>
              <w:keepNext/>
              <w:keepLines/>
              <w:tabs>
                <w:tab w:val="left" w:pos="2244"/>
                <w:tab w:val="center" w:pos="3294"/>
                <w:tab w:val="left" w:pos="4208"/>
                <w:tab w:val="left" w:pos="5816"/>
                <w:tab w:val="left" w:pos="5872"/>
              </w:tabs>
              <w:spacing w:before="40" w:after="40"/>
              <w:jc w:val="right"/>
              <w:rPr>
                <w:rFonts w:cs="Arial"/>
                <w:bCs/>
                <w:spacing w:val="-2"/>
                <w:sz w:val="14"/>
                <w:szCs w:val="14"/>
              </w:rPr>
            </w:pPr>
          </w:p>
        </w:tc>
        <w:tc>
          <w:tcPr>
            <w:tcW w:w="1362" w:type="dxa"/>
            <w:gridSpan w:val="2"/>
            <w:tcBorders>
              <w:top w:val="single" w:sz="2" w:space="0" w:color="1F4E79" w:themeColor="accent1" w:themeShade="80"/>
              <w:bottom w:val="nil"/>
            </w:tcBorders>
            <w:shd w:val="clear" w:color="auto" w:fill="auto"/>
          </w:tcPr>
          <w:p w14:paraId="5AA5C43D" w14:textId="77777777" w:rsidR="008B7E19" w:rsidRPr="00890AEB" w:rsidRDefault="008B7E19" w:rsidP="008B7E19">
            <w:pPr>
              <w:keepNext/>
              <w:keepLines/>
              <w:spacing w:before="40" w:after="40"/>
              <w:jc w:val="center"/>
              <w:rPr>
                <w:rFonts w:cs="Arial"/>
                <w:b/>
                <w:spacing w:val="-2"/>
                <w:sz w:val="14"/>
                <w:szCs w:val="14"/>
              </w:rPr>
            </w:pPr>
          </w:p>
        </w:tc>
        <w:tc>
          <w:tcPr>
            <w:tcW w:w="5873" w:type="dxa"/>
            <w:gridSpan w:val="5"/>
            <w:tcBorders>
              <w:top w:val="single" w:sz="2" w:space="0" w:color="1F4E79" w:themeColor="accent1" w:themeShade="80"/>
              <w:bottom w:val="single" w:sz="2" w:space="0" w:color="1F4E79" w:themeColor="accent1" w:themeShade="80"/>
            </w:tcBorders>
            <w:shd w:val="clear" w:color="auto" w:fill="auto"/>
            <w:vAlign w:val="center"/>
          </w:tcPr>
          <w:p w14:paraId="24665106" w14:textId="77777777" w:rsidR="008B7E19" w:rsidRPr="00A47279" w:rsidRDefault="008B7E19" w:rsidP="008B7E19">
            <w:pPr>
              <w:keepNext/>
              <w:keepLines/>
              <w:spacing w:before="40" w:after="40"/>
              <w:jc w:val="center"/>
              <w:rPr>
                <w:rFonts w:cs="Arial"/>
                <w:b/>
                <w:spacing w:val="-2"/>
                <w:sz w:val="14"/>
                <w:szCs w:val="14"/>
              </w:rPr>
            </w:pPr>
            <w:r>
              <w:rPr>
                <w:rFonts w:cs="Arial"/>
                <w:b/>
                <w:spacing w:val="-2"/>
                <w:sz w:val="14"/>
                <w:szCs w:val="14"/>
              </w:rPr>
              <w:t>Consolidated</w:t>
            </w:r>
          </w:p>
        </w:tc>
      </w:tr>
      <w:tr w:rsidR="008B7E19" w:rsidRPr="00A47279" w14:paraId="4BD821E4" w14:textId="77777777" w:rsidTr="008B7E19">
        <w:trPr>
          <w:trHeight w:val="238"/>
          <w:jc w:val="center"/>
        </w:trPr>
        <w:tc>
          <w:tcPr>
            <w:tcW w:w="3050" w:type="dxa"/>
            <w:gridSpan w:val="2"/>
            <w:tcBorders>
              <w:top w:val="nil"/>
              <w:bottom w:val="single" w:sz="2" w:space="0" w:color="1F4E79" w:themeColor="accent1" w:themeShade="80"/>
            </w:tcBorders>
            <w:shd w:val="clear" w:color="auto" w:fill="auto"/>
          </w:tcPr>
          <w:p w14:paraId="00DB0D9D" w14:textId="77777777" w:rsidR="008B7E19" w:rsidRPr="00A47279" w:rsidRDefault="008B7E19" w:rsidP="008B7E19">
            <w:pPr>
              <w:keepNext/>
              <w:keepLines/>
              <w:spacing w:before="40" w:after="40"/>
              <w:rPr>
                <w:rFonts w:cs="Arial"/>
                <w:b/>
                <w:spacing w:val="-2"/>
                <w:sz w:val="14"/>
                <w:szCs w:val="14"/>
              </w:rPr>
            </w:pPr>
          </w:p>
        </w:tc>
        <w:tc>
          <w:tcPr>
            <w:tcW w:w="779" w:type="dxa"/>
            <w:tcBorders>
              <w:top w:val="nil"/>
              <w:bottom w:val="single" w:sz="2" w:space="0" w:color="1F4E79" w:themeColor="accent1" w:themeShade="80"/>
            </w:tcBorders>
            <w:shd w:val="clear" w:color="auto" w:fill="auto"/>
          </w:tcPr>
          <w:p w14:paraId="6EA5E98B" w14:textId="77777777" w:rsidR="008B7E19" w:rsidRPr="00890AEB" w:rsidRDefault="008B7E19" w:rsidP="008B7E19">
            <w:pPr>
              <w:keepNext/>
              <w:keepLines/>
              <w:spacing w:before="40" w:after="40"/>
              <w:jc w:val="right"/>
              <w:rPr>
                <w:rFonts w:cs="Arial"/>
                <w:bCs/>
                <w:spacing w:val="-2"/>
                <w:sz w:val="14"/>
                <w:szCs w:val="14"/>
              </w:rPr>
            </w:pPr>
          </w:p>
        </w:tc>
        <w:tc>
          <w:tcPr>
            <w:tcW w:w="1274" w:type="dxa"/>
            <w:tcBorders>
              <w:top w:val="single" w:sz="2" w:space="0" w:color="1F4E79" w:themeColor="accent1" w:themeShade="80"/>
              <w:bottom w:val="single" w:sz="2" w:space="0" w:color="1F4E79" w:themeColor="accent1" w:themeShade="80"/>
            </w:tcBorders>
            <w:shd w:val="clear" w:color="auto" w:fill="auto"/>
          </w:tcPr>
          <w:p w14:paraId="6DFD6B76" w14:textId="77777777" w:rsidR="008B7E19" w:rsidRPr="0077417D" w:rsidRDefault="008B7E19" w:rsidP="008B7E19">
            <w:pPr>
              <w:keepNext/>
              <w:keepLines/>
              <w:spacing w:before="40" w:after="40"/>
              <w:jc w:val="right"/>
              <w:rPr>
                <w:rFonts w:cs="Arial"/>
                <w:bCs/>
                <w:spacing w:val="-2"/>
                <w:sz w:val="14"/>
                <w:szCs w:val="14"/>
              </w:rPr>
            </w:pPr>
            <w:r>
              <w:rPr>
                <w:rFonts w:cs="Arial"/>
                <w:b/>
                <w:bCs/>
                <w:spacing w:val="-2"/>
                <w:sz w:val="14"/>
                <w:szCs w:val="18"/>
              </w:rPr>
              <w:t>2</w:t>
            </w:r>
            <w:r>
              <w:rPr>
                <w:rFonts w:cs="Arial"/>
                <w:b/>
                <w:bCs/>
                <w:spacing w:val="-2"/>
                <w:sz w:val="14"/>
                <w:szCs w:val="18"/>
                <w:vertAlign w:val="superscript"/>
              </w:rPr>
              <w:t>nd</w:t>
            </w:r>
            <w:r>
              <w:rPr>
                <w:rFonts w:cs="Arial"/>
                <w:b/>
                <w:bCs/>
                <w:spacing w:val="-2"/>
                <w:sz w:val="14"/>
                <w:szCs w:val="18"/>
              </w:rPr>
              <w:t xml:space="preserve"> Quarter 2023</w:t>
            </w:r>
          </w:p>
        </w:tc>
        <w:tc>
          <w:tcPr>
            <w:tcW w:w="1400" w:type="dxa"/>
            <w:tcBorders>
              <w:top w:val="single" w:sz="2" w:space="0" w:color="1F4E79" w:themeColor="accent1" w:themeShade="80"/>
              <w:bottom w:val="single" w:sz="2" w:space="0" w:color="1F4E79" w:themeColor="accent1" w:themeShade="80"/>
            </w:tcBorders>
            <w:shd w:val="clear" w:color="auto" w:fill="auto"/>
          </w:tcPr>
          <w:p w14:paraId="2E107DE3" w14:textId="77777777" w:rsidR="008B7E19" w:rsidRPr="0077417D" w:rsidRDefault="008B7E19" w:rsidP="008B7E19">
            <w:pPr>
              <w:keepNext/>
              <w:keepLines/>
              <w:spacing w:before="40" w:after="40"/>
              <w:jc w:val="right"/>
              <w:rPr>
                <w:rFonts w:cs="Arial"/>
                <w:bCs/>
                <w:spacing w:val="-2"/>
                <w:sz w:val="14"/>
                <w:szCs w:val="14"/>
              </w:rPr>
            </w:pPr>
            <w:r>
              <w:rPr>
                <w:rFonts w:cs="Arial"/>
                <w:b/>
                <w:bCs/>
                <w:spacing w:val="-2"/>
                <w:sz w:val="14"/>
                <w:szCs w:val="18"/>
              </w:rPr>
              <w:t>1</w:t>
            </w:r>
            <w:r>
              <w:rPr>
                <w:rFonts w:cs="Arial"/>
                <w:b/>
                <w:bCs/>
                <w:spacing w:val="-2"/>
                <w:sz w:val="14"/>
                <w:szCs w:val="18"/>
                <w:vertAlign w:val="superscript"/>
              </w:rPr>
              <w:t>st</w:t>
            </w:r>
            <w:r>
              <w:rPr>
                <w:rFonts w:cs="Arial"/>
                <w:b/>
                <w:bCs/>
                <w:spacing w:val="-2"/>
                <w:sz w:val="14"/>
                <w:szCs w:val="18"/>
              </w:rPr>
              <w:t xml:space="preserve"> Half 2023</w:t>
            </w:r>
          </w:p>
        </w:tc>
        <w:tc>
          <w:tcPr>
            <w:tcW w:w="284" w:type="dxa"/>
            <w:tcBorders>
              <w:top w:val="single" w:sz="2" w:space="0" w:color="1F4E79" w:themeColor="accent1" w:themeShade="80"/>
              <w:bottom w:val="single" w:sz="2" w:space="0" w:color="1F4E79" w:themeColor="accent1" w:themeShade="80"/>
            </w:tcBorders>
            <w:shd w:val="clear" w:color="auto" w:fill="auto"/>
            <w:vAlign w:val="center"/>
          </w:tcPr>
          <w:p w14:paraId="49BA3638" w14:textId="77777777" w:rsidR="008B7E19" w:rsidRPr="00A47279" w:rsidRDefault="008B7E19" w:rsidP="008B7E19">
            <w:pPr>
              <w:keepNext/>
              <w:keepLines/>
              <w:spacing w:before="40" w:after="40"/>
              <w:jc w:val="right"/>
              <w:rPr>
                <w:rFonts w:cs="Arial"/>
                <w:b/>
                <w:spacing w:val="-2"/>
                <w:sz w:val="14"/>
                <w:szCs w:val="18"/>
              </w:rPr>
            </w:pPr>
          </w:p>
        </w:tc>
        <w:tc>
          <w:tcPr>
            <w:tcW w:w="1404" w:type="dxa"/>
            <w:tcBorders>
              <w:top w:val="single" w:sz="2" w:space="0" w:color="1F4E79" w:themeColor="accent1" w:themeShade="80"/>
              <w:bottom w:val="single" w:sz="2" w:space="0" w:color="1F4E79" w:themeColor="accent1" w:themeShade="80"/>
            </w:tcBorders>
            <w:shd w:val="clear" w:color="auto" w:fill="auto"/>
          </w:tcPr>
          <w:p w14:paraId="07BEEA7F" w14:textId="77777777" w:rsidR="008B7E19" w:rsidRPr="00A47279" w:rsidRDefault="008B7E19" w:rsidP="008B7E19">
            <w:pPr>
              <w:keepNext/>
              <w:keepLines/>
              <w:spacing w:before="40" w:after="40"/>
              <w:jc w:val="right"/>
              <w:rPr>
                <w:rFonts w:cs="Arial"/>
                <w:b/>
                <w:spacing w:val="-2"/>
                <w:sz w:val="14"/>
                <w:szCs w:val="18"/>
              </w:rPr>
            </w:pPr>
            <w:r>
              <w:rPr>
                <w:rFonts w:cs="Arial"/>
                <w:b/>
                <w:bCs/>
                <w:spacing w:val="-2"/>
                <w:sz w:val="14"/>
                <w:szCs w:val="18"/>
              </w:rPr>
              <w:t>2</w:t>
            </w:r>
            <w:r>
              <w:rPr>
                <w:rFonts w:cs="Arial"/>
                <w:b/>
                <w:bCs/>
                <w:spacing w:val="-2"/>
                <w:sz w:val="14"/>
                <w:szCs w:val="18"/>
                <w:vertAlign w:val="superscript"/>
              </w:rPr>
              <w:t>nd</w:t>
            </w:r>
            <w:r>
              <w:rPr>
                <w:rFonts w:cs="Arial"/>
                <w:b/>
                <w:bCs/>
                <w:spacing w:val="-2"/>
                <w:sz w:val="14"/>
                <w:szCs w:val="18"/>
              </w:rPr>
              <w:t xml:space="preserve"> Quarter 2022</w:t>
            </w:r>
          </w:p>
        </w:tc>
        <w:tc>
          <w:tcPr>
            <w:tcW w:w="1511" w:type="dxa"/>
            <w:tcBorders>
              <w:top w:val="single" w:sz="2" w:space="0" w:color="1F4E79" w:themeColor="accent1" w:themeShade="80"/>
              <w:bottom w:val="single" w:sz="2" w:space="0" w:color="1F4E79" w:themeColor="accent1" w:themeShade="80"/>
            </w:tcBorders>
            <w:shd w:val="clear" w:color="auto" w:fill="auto"/>
          </w:tcPr>
          <w:p w14:paraId="4236D00C" w14:textId="77777777" w:rsidR="008B7E19" w:rsidRPr="00A47279" w:rsidRDefault="008B7E19" w:rsidP="008B7E19">
            <w:pPr>
              <w:keepNext/>
              <w:keepLines/>
              <w:spacing w:before="40" w:after="40"/>
              <w:jc w:val="right"/>
              <w:rPr>
                <w:rFonts w:cs="Arial"/>
                <w:b/>
                <w:spacing w:val="-2"/>
                <w:sz w:val="14"/>
                <w:szCs w:val="18"/>
              </w:rPr>
            </w:pPr>
            <w:r>
              <w:rPr>
                <w:rFonts w:cs="Arial"/>
                <w:b/>
                <w:bCs/>
                <w:spacing w:val="-2"/>
                <w:sz w:val="14"/>
                <w:szCs w:val="18"/>
              </w:rPr>
              <w:t>1</w:t>
            </w:r>
            <w:r>
              <w:rPr>
                <w:rFonts w:cs="Arial"/>
                <w:b/>
                <w:bCs/>
                <w:spacing w:val="-2"/>
                <w:sz w:val="14"/>
                <w:szCs w:val="18"/>
                <w:vertAlign w:val="superscript"/>
              </w:rPr>
              <w:t>st</w:t>
            </w:r>
            <w:r>
              <w:rPr>
                <w:rFonts w:cs="Arial"/>
                <w:b/>
                <w:bCs/>
                <w:spacing w:val="-2"/>
                <w:sz w:val="14"/>
                <w:szCs w:val="18"/>
              </w:rPr>
              <w:t xml:space="preserve"> Half 2022</w:t>
            </w:r>
          </w:p>
        </w:tc>
      </w:tr>
      <w:tr w:rsidR="008B7E19" w:rsidRPr="00A47279" w14:paraId="4923B64A" w14:textId="77777777" w:rsidTr="008B7E19">
        <w:trPr>
          <w:trHeight w:val="238"/>
          <w:jc w:val="center"/>
        </w:trPr>
        <w:tc>
          <w:tcPr>
            <w:tcW w:w="3050" w:type="dxa"/>
            <w:gridSpan w:val="2"/>
            <w:tcBorders>
              <w:top w:val="single" w:sz="2" w:space="0" w:color="1F4E79" w:themeColor="accent1" w:themeShade="80"/>
              <w:bottom w:val="nil"/>
            </w:tcBorders>
            <w:shd w:val="clear" w:color="auto" w:fill="auto"/>
            <w:vAlign w:val="center"/>
          </w:tcPr>
          <w:p w14:paraId="3D99173F" w14:textId="77777777" w:rsidR="008B7E19" w:rsidRPr="00A47279" w:rsidRDefault="008B7E19" w:rsidP="008B7E19">
            <w:pPr>
              <w:pStyle w:val="08-Tabelageral"/>
              <w:jc w:val="left"/>
              <w:rPr>
                <w:rFonts w:cs="Arial"/>
                <w:szCs w:val="14"/>
                <w:vertAlign w:val="superscript"/>
              </w:rPr>
            </w:pPr>
            <w:r w:rsidRPr="00945E16">
              <w:rPr>
                <w:b/>
                <w:bCs/>
              </w:rPr>
              <w:t>Gross commission income</w:t>
            </w:r>
          </w:p>
        </w:tc>
        <w:tc>
          <w:tcPr>
            <w:tcW w:w="779" w:type="dxa"/>
            <w:tcBorders>
              <w:top w:val="single" w:sz="2" w:space="0" w:color="1F4E79" w:themeColor="accent1" w:themeShade="80"/>
              <w:bottom w:val="nil"/>
            </w:tcBorders>
            <w:shd w:val="clear" w:color="auto" w:fill="auto"/>
          </w:tcPr>
          <w:p w14:paraId="351DA98C" w14:textId="77777777" w:rsidR="008B7E19" w:rsidRPr="00890AEB" w:rsidRDefault="008B7E19" w:rsidP="008B7E19">
            <w:pPr>
              <w:pStyle w:val="08-Tabelageral"/>
              <w:rPr>
                <w:rFonts w:cs="Arial"/>
                <w:bCs/>
                <w:szCs w:val="14"/>
              </w:rPr>
            </w:pPr>
          </w:p>
        </w:tc>
        <w:tc>
          <w:tcPr>
            <w:tcW w:w="1274" w:type="dxa"/>
            <w:tcBorders>
              <w:top w:val="single" w:sz="2" w:space="0" w:color="1F4E79" w:themeColor="accent1" w:themeShade="80"/>
            </w:tcBorders>
            <w:shd w:val="clear" w:color="auto" w:fill="auto"/>
            <w:vAlign w:val="center"/>
          </w:tcPr>
          <w:p w14:paraId="4DFE3BA5" w14:textId="77777777" w:rsidR="008B7E19" w:rsidRPr="00E54DBC" w:rsidRDefault="008B7E19" w:rsidP="008B7E19">
            <w:pPr>
              <w:pStyle w:val="08-Tabelageral"/>
              <w:rPr>
                <w:b/>
                <w:bCs/>
              </w:rPr>
            </w:pPr>
            <w:r>
              <w:rPr>
                <w:b/>
                <w:bCs/>
              </w:rPr>
              <w:t>1,193,255</w:t>
            </w:r>
          </w:p>
        </w:tc>
        <w:tc>
          <w:tcPr>
            <w:tcW w:w="1400" w:type="dxa"/>
            <w:tcBorders>
              <w:top w:val="single" w:sz="2" w:space="0" w:color="1F4E79" w:themeColor="accent1" w:themeShade="80"/>
            </w:tcBorders>
            <w:shd w:val="clear" w:color="auto" w:fill="auto"/>
            <w:vAlign w:val="center"/>
          </w:tcPr>
          <w:p w14:paraId="2D431657" w14:textId="77777777" w:rsidR="008B7E19" w:rsidRPr="00E54DBC" w:rsidRDefault="008B7E19" w:rsidP="008B7E19">
            <w:pPr>
              <w:pStyle w:val="08-Tabelageral"/>
              <w:rPr>
                <w:b/>
                <w:bCs/>
              </w:rPr>
            </w:pPr>
            <w:r>
              <w:rPr>
                <w:b/>
                <w:bCs/>
              </w:rPr>
              <w:t>2,400,431</w:t>
            </w:r>
          </w:p>
        </w:tc>
        <w:tc>
          <w:tcPr>
            <w:tcW w:w="284" w:type="dxa"/>
            <w:tcBorders>
              <w:top w:val="single" w:sz="2" w:space="0" w:color="1F4E79" w:themeColor="accent1" w:themeShade="80"/>
              <w:bottom w:val="nil"/>
            </w:tcBorders>
            <w:shd w:val="clear" w:color="auto" w:fill="auto"/>
            <w:vAlign w:val="center"/>
          </w:tcPr>
          <w:p w14:paraId="01BCC294" w14:textId="77777777" w:rsidR="008B7E19" w:rsidRPr="00A47279" w:rsidRDefault="008B7E19" w:rsidP="008B7E19">
            <w:pPr>
              <w:pStyle w:val="08-Tabelageral"/>
            </w:pPr>
          </w:p>
        </w:tc>
        <w:tc>
          <w:tcPr>
            <w:tcW w:w="1404" w:type="dxa"/>
            <w:tcBorders>
              <w:top w:val="single" w:sz="2" w:space="0" w:color="1F4E79" w:themeColor="accent1" w:themeShade="80"/>
            </w:tcBorders>
            <w:shd w:val="clear" w:color="auto" w:fill="auto"/>
            <w:vAlign w:val="center"/>
          </w:tcPr>
          <w:p w14:paraId="4181595E" w14:textId="77777777" w:rsidR="008B7E19" w:rsidRPr="007F1951" w:rsidRDefault="008B7E19" w:rsidP="008B7E19">
            <w:pPr>
              <w:pStyle w:val="08-Tabelageral"/>
            </w:pPr>
            <w:r w:rsidRPr="00E54DBC">
              <w:rPr>
                <w:b/>
                <w:bCs/>
              </w:rPr>
              <w:t>1</w:t>
            </w:r>
            <w:r>
              <w:rPr>
                <w:b/>
                <w:bCs/>
              </w:rPr>
              <w:t>,</w:t>
            </w:r>
            <w:r w:rsidRPr="00E54DBC">
              <w:rPr>
                <w:b/>
                <w:bCs/>
              </w:rPr>
              <w:t>073</w:t>
            </w:r>
            <w:r>
              <w:rPr>
                <w:b/>
                <w:bCs/>
              </w:rPr>
              <w:t>,</w:t>
            </w:r>
            <w:r w:rsidRPr="00E54DBC">
              <w:rPr>
                <w:b/>
                <w:bCs/>
              </w:rPr>
              <w:t>182</w:t>
            </w:r>
          </w:p>
        </w:tc>
        <w:tc>
          <w:tcPr>
            <w:tcW w:w="1511" w:type="dxa"/>
            <w:tcBorders>
              <w:top w:val="single" w:sz="2" w:space="0" w:color="1F4E79" w:themeColor="accent1" w:themeShade="80"/>
            </w:tcBorders>
            <w:shd w:val="clear" w:color="auto" w:fill="auto"/>
            <w:vAlign w:val="center"/>
          </w:tcPr>
          <w:p w14:paraId="1A4E4E6F" w14:textId="77777777" w:rsidR="008B7E19" w:rsidRPr="007F1951" w:rsidRDefault="008B7E19" w:rsidP="008B7E19">
            <w:pPr>
              <w:pStyle w:val="08-Tabelageral"/>
            </w:pPr>
            <w:r w:rsidRPr="00E54DBC">
              <w:rPr>
                <w:b/>
                <w:bCs/>
              </w:rPr>
              <w:t>2</w:t>
            </w:r>
            <w:r>
              <w:rPr>
                <w:b/>
                <w:bCs/>
              </w:rPr>
              <w:t>,</w:t>
            </w:r>
            <w:r w:rsidRPr="00E54DBC">
              <w:rPr>
                <w:b/>
                <w:bCs/>
              </w:rPr>
              <w:t>098</w:t>
            </w:r>
            <w:r>
              <w:rPr>
                <w:b/>
                <w:bCs/>
              </w:rPr>
              <w:t>,</w:t>
            </w:r>
            <w:r w:rsidRPr="00E54DBC">
              <w:rPr>
                <w:b/>
                <w:bCs/>
              </w:rPr>
              <w:t>209</w:t>
            </w:r>
          </w:p>
        </w:tc>
      </w:tr>
      <w:tr w:rsidR="008B7E19" w:rsidRPr="00A47279" w14:paraId="2EE7B6F4" w14:textId="77777777" w:rsidTr="008B7E19">
        <w:trPr>
          <w:trHeight w:val="238"/>
          <w:jc w:val="center"/>
        </w:trPr>
        <w:tc>
          <w:tcPr>
            <w:tcW w:w="3050" w:type="dxa"/>
            <w:gridSpan w:val="2"/>
            <w:tcBorders>
              <w:top w:val="nil"/>
            </w:tcBorders>
            <w:shd w:val="clear" w:color="auto" w:fill="auto"/>
            <w:vAlign w:val="center"/>
          </w:tcPr>
          <w:p w14:paraId="7A151709" w14:textId="77777777" w:rsidR="008B7E19" w:rsidRPr="00A47279" w:rsidRDefault="008B7E19" w:rsidP="008B7E19">
            <w:pPr>
              <w:pStyle w:val="08-Tabelageral"/>
              <w:ind w:left="113"/>
              <w:jc w:val="left"/>
              <w:rPr>
                <w:rFonts w:cs="Arial"/>
                <w:szCs w:val="14"/>
              </w:rPr>
            </w:pPr>
            <w:r w:rsidRPr="00BC5A4F">
              <w:t>BB M</w:t>
            </w:r>
            <w:r>
              <w:t>APFRE</w:t>
            </w:r>
          </w:p>
        </w:tc>
        <w:tc>
          <w:tcPr>
            <w:tcW w:w="779" w:type="dxa"/>
            <w:tcBorders>
              <w:top w:val="nil"/>
            </w:tcBorders>
            <w:shd w:val="clear" w:color="auto" w:fill="auto"/>
          </w:tcPr>
          <w:p w14:paraId="1621B287" w14:textId="77777777" w:rsidR="008B7E19" w:rsidRPr="00890AEB" w:rsidRDefault="008B7E19" w:rsidP="008B7E19">
            <w:pPr>
              <w:pStyle w:val="08-Tabelageral"/>
              <w:rPr>
                <w:rFonts w:cs="Arial"/>
                <w:bCs/>
                <w:szCs w:val="14"/>
              </w:rPr>
            </w:pPr>
          </w:p>
        </w:tc>
        <w:tc>
          <w:tcPr>
            <w:tcW w:w="1274" w:type="dxa"/>
            <w:shd w:val="clear" w:color="auto" w:fill="auto"/>
            <w:vAlign w:val="center"/>
          </w:tcPr>
          <w:p w14:paraId="25CA9B11" w14:textId="77777777" w:rsidR="008B7E19" w:rsidRPr="00890AEB" w:rsidRDefault="008B7E19" w:rsidP="008B7E19">
            <w:pPr>
              <w:pStyle w:val="08-Tabelageral"/>
            </w:pPr>
            <w:r>
              <w:t>904,859</w:t>
            </w:r>
          </w:p>
        </w:tc>
        <w:tc>
          <w:tcPr>
            <w:tcW w:w="1400" w:type="dxa"/>
            <w:shd w:val="clear" w:color="auto" w:fill="auto"/>
            <w:vAlign w:val="center"/>
          </w:tcPr>
          <w:p w14:paraId="68ABB397" w14:textId="77777777" w:rsidR="008B7E19" w:rsidRPr="00890AEB" w:rsidRDefault="008B7E19" w:rsidP="008B7E19">
            <w:pPr>
              <w:pStyle w:val="08-Tabelageral"/>
            </w:pPr>
            <w:r>
              <w:t>1,812,010</w:t>
            </w:r>
          </w:p>
        </w:tc>
        <w:tc>
          <w:tcPr>
            <w:tcW w:w="284" w:type="dxa"/>
            <w:tcBorders>
              <w:top w:val="nil"/>
            </w:tcBorders>
            <w:shd w:val="clear" w:color="auto" w:fill="auto"/>
            <w:vAlign w:val="center"/>
          </w:tcPr>
          <w:p w14:paraId="1E158E96" w14:textId="77777777" w:rsidR="008B7E19" w:rsidRPr="00A47279" w:rsidRDefault="008B7E19" w:rsidP="008B7E19">
            <w:pPr>
              <w:pStyle w:val="08-Tabelageral"/>
            </w:pPr>
          </w:p>
        </w:tc>
        <w:tc>
          <w:tcPr>
            <w:tcW w:w="1404" w:type="dxa"/>
            <w:shd w:val="clear" w:color="auto" w:fill="auto"/>
            <w:vAlign w:val="center"/>
          </w:tcPr>
          <w:p w14:paraId="3C0BC518" w14:textId="77777777" w:rsidR="008B7E19" w:rsidRPr="007F1951" w:rsidRDefault="008B7E19" w:rsidP="008B7E19">
            <w:pPr>
              <w:pStyle w:val="08-Tabelageral"/>
            </w:pPr>
            <w:r>
              <w:t>806,190</w:t>
            </w:r>
          </w:p>
        </w:tc>
        <w:tc>
          <w:tcPr>
            <w:tcW w:w="1511" w:type="dxa"/>
            <w:shd w:val="clear" w:color="auto" w:fill="auto"/>
            <w:vAlign w:val="center"/>
          </w:tcPr>
          <w:p w14:paraId="2A94F0D4" w14:textId="77777777" w:rsidR="008B7E19" w:rsidRPr="007F1951" w:rsidRDefault="008B7E19" w:rsidP="008B7E19">
            <w:pPr>
              <w:pStyle w:val="08-Tabelageral"/>
            </w:pPr>
            <w:r>
              <w:t>1,537,003</w:t>
            </w:r>
          </w:p>
        </w:tc>
      </w:tr>
      <w:tr w:rsidR="008B7E19" w:rsidRPr="00A47279" w14:paraId="70AF5124" w14:textId="77777777" w:rsidTr="008B7E19">
        <w:trPr>
          <w:trHeight w:val="238"/>
          <w:jc w:val="center"/>
        </w:trPr>
        <w:tc>
          <w:tcPr>
            <w:tcW w:w="3050" w:type="dxa"/>
            <w:gridSpan w:val="2"/>
            <w:tcBorders>
              <w:bottom w:val="nil"/>
            </w:tcBorders>
            <w:shd w:val="clear" w:color="auto" w:fill="auto"/>
            <w:vAlign w:val="center"/>
          </w:tcPr>
          <w:p w14:paraId="0A62827D" w14:textId="77777777" w:rsidR="008B7E19" w:rsidRPr="00A47279" w:rsidRDefault="008B7E19" w:rsidP="008B7E19">
            <w:pPr>
              <w:pStyle w:val="08-Tabelageral"/>
              <w:ind w:left="113"/>
              <w:jc w:val="left"/>
              <w:rPr>
                <w:rFonts w:cs="Arial"/>
                <w:szCs w:val="14"/>
              </w:rPr>
            </w:pPr>
            <w:r w:rsidRPr="00BC5A4F">
              <w:t>Brasilprev</w:t>
            </w:r>
          </w:p>
        </w:tc>
        <w:tc>
          <w:tcPr>
            <w:tcW w:w="779" w:type="dxa"/>
            <w:tcBorders>
              <w:bottom w:val="nil"/>
            </w:tcBorders>
            <w:shd w:val="clear" w:color="auto" w:fill="auto"/>
          </w:tcPr>
          <w:p w14:paraId="0034B2B5" w14:textId="77777777" w:rsidR="008B7E19" w:rsidRPr="00890AEB" w:rsidRDefault="008B7E19" w:rsidP="008B7E19">
            <w:pPr>
              <w:pStyle w:val="08-Tabelageral"/>
              <w:rPr>
                <w:rFonts w:cs="Arial"/>
                <w:bCs/>
                <w:szCs w:val="14"/>
              </w:rPr>
            </w:pPr>
          </w:p>
        </w:tc>
        <w:tc>
          <w:tcPr>
            <w:tcW w:w="1274" w:type="dxa"/>
            <w:tcBorders>
              <w:bottom w:val="nil"/>
            </w:tcBorders>
            <w:shd w:val="clear" w:color="auto" w:fill="auto"/>
            <w:vAlign w:val="center"/>
          </w:tcPr>
          <w:p w14:paraId="00B86D33" w14:textId="77777777" w:rsidR="008B7E19" w:rsidRPr="00890AEB" w:rsidRDefault="008B7E19" w:rsidP="008B7E19">
            <w:pPr>
              <w:pStyle w:val="08-Tabelageral"/>
            </w:pPr>
            <w:r>
              <w:t>124,641</w:t>
            </w:r>
          </w:p>
        </w:tc>
        <w:tc>
          <w:tcPr>
            <w:tcW w:w="1400" w:type="dxa"/>
            <w:tcBorders>
              <w:bottom w:val="nil"/>
            </w:tcBorders>
            <w:shd w:val="clear" w:color="auto" w:fill="auto"/>
            <w:vAlign w:val="center"/>
          </w:tcPr>
          <w:p w14:paraId="3E41EDC8" w14:textId="77777777" w:rsidR="008B7E19" w:rsidRPr="00890AEB" w:rsidRDefault="008B7E19" w:rsidP="008B7E19">
            <w:pPr>
              <w:pStyle w:val="08-Tabelageral"/>
            </w:pPr>
            <w:r>
              <w:t>277,556</w:t>
            </w:r>
          </w:p>
        </w:tc>
        <w:tc>
          <w:tcPr>
            <w:tcW w:w="284" w:type="dxa"/>
            <w:tcBorders>
              <w:bottom w:val="nil"/>
            </w:tcBorders>
            <w:shd w:val="clear" w:color="auto" w:fill="auto"/>
            <w:vAlign w:val="center"/>
          </w:tcPr>
          <w:p w14:paraId="024BF8F9" w14:textId="77777777" w:rsidR="008B7E19" w:rsidRPr="00A47279" w:rsidRDefault="008B7E19" w:rsidP="008B7E19">
            <w:pPr>
              <w:pStyle w:val="08-Tabelageral"/>
            </w:pPr>
          </w:p>
        </w:tc>
        <w:tc>
          <w:tcPr>
            <w:tcW w:w="1404" w:type="dxa"/>
            <w:tcBorders>
              <w:bottom w:val="nil"/>
            </w:tcBorders>
            <w:shd w:val="clear" w:color="auto" w:fill="auto"/>
            <w:vAlign w:val="center"/>
          </w:tcPr>
          <w:p w14:paraId="379B230D" w14:textId="77777777" w:rsidR="008B7E19" w:rsidRPr="007F1951" w:rsidRDefault="008B7E19" w:rsidP="008B7E19">
            <w:pPr>
              <w:pStyle w:val="08-Tabelageral"/>
            </w:pPr>
            <w:r>
              <w:t>137,520</w:t>
            </w:r>
          </w:p>
        </w:tc>
        <w:tc>
          <w:tcPr>
            <w:tcW w:w="1511" w:type="dxa"/>
            <w:tcBorders>
              <w:bottom w:val="nil"/>
            </w:tcBorders>
            <w:shd w:val="clear" w:color="auto" w:fill="auto"/>
            <w:vAlign w:val="center"/>
          </w:tcPr>
          <w:p w14:paraId="559C8536" w14:textId="77777777" w:rsidR="008B7E19" w:rsidRPr="007F1951" w:rsidRDefault="008B7E19" w:rsidP="008B7E19">
            <w:pPr>
              <w:pStyle w:val="08-Tabelageral"/>
            </w:pPr>
            <w:r>
              <w:t>287,167</w:t>
            </w:r>
          </w:p>
        </w:tc>
      </w:tr>
      <w:tr w:rsidR="008B7E19" w:rsidRPr="00A47279" w14:paraId="1C8E676E" w14:textId="77777777" w:rsidTr="008B7E19">
        <w:trPr>
          <w:trHeight w:val="238"/>
          <w:jc w:val="center"/>
        </w:trPr>
        <w:tc>
          <w:tcPr>
            <w:tcW w:w="3050" w:type="dxa"/>
            <w:gridSpan w:val="2"/>
            <w:tcBorders>
              <w:bottom w:val="nil"/>
            </w:tcBorders>
            <w:shd w:val="clear" w:color="auto" w:fill="auto"/>
            <w:vAlign w:val="center"/>
          </w:tcPr>
          <w:p w14:paraId="10C8BAD5" w14:textId="77777777" w:rsidR="008B7E19" w:rsidRPr="00A47279" w:rsidRDefault="008B7E19" w:rsidP="008B7E19">
            <w:pPr>
              <w:pStyle w:val="08-Tabelageral"/>
              <w:ind w:left="113"/>
              <w:jc w:val="left"/>
              <w:rPr>
                <w:rFonts w:cs="Arial"/>
                <w:szCs w:val="14"/>
              </w:rPr>
            </w:pPr>
            <w:r>
              <w:rPr>
                <w:rFonts w:cs="Arial"/>
                <w:szCs w:val="14"/>
              </w:rPr>
              <w:t>Brasilcap</w:t>
            </w:r>
          </w:p>
        </w:tc>
        <w:tc>
          <w:tcPr>
            <w:tcW w:w="779" w:type="dxa"/>
            <w:tcBorders>
              <w:bottom w:val="nil"/>
            </w:tcBorders>
            <w:shd w:val="clear" w:color="auto" w:fill="auto"/>
          </w:tcPr>
          <w:p w14:paraId="7FB42E74" w14:textId="77777777" w:rsidR="008B7E19" w:rsidRPr="00890AEB" w:rsidRDefault="008B7E19" w:rsidP="008B7E19">
            <w:pPr>
              <w:pStyle w:val="08-Tabelageral"/>
              <w:rPr>
                <w:rFonts w:cs="Arial"/>
                <w:bCs/>
                <w:szCs w:val="14"/>
              </w:rPr>
            </w:pPr>
          </w:p>
        </w:tc>
        <w:tc>
          <w:tcPr>
            <w:tcW w:w="1274" w:type="dxa"/>
            <w:tcBorders>
              <w:bottom w:val="nil"/>
            </w:tcBorders>
            <w:shd w:val="clear" w:color="auto" w:fill="auto"/>
            <w:vAlign w:val="center"/>
          </w:tcPr>
          <w:p w14:paraId="3E67175F" w14:textId="77777777" w:rsidR="008B7E19" w:rsidRPr="00890AEB" w:rsidRDefault="008B7E19" w:rsidP="008B7E19">
            <w:pPr>
              <w:pStyle w:val="08-Tabelageral"/>
            </w:pPr>
            <w:r>
              <w:t>120,749</w:t>
            </w:r>
          </w:p>
        </w:tc>
        <w:tc>
          <w:tcPr>
            <w:tcW w:w="1400" w:type="dxa"/>
            <w:tcBorders>
              <w:bottom w:val="nil"/>
            </w:tcBorders>
            <w:shd w:val="clear" w:color="auto" w:fill="auto"/>
            <w:vAlign w:val="center"/>
          </w:tcPr>
          <w:p w14:paraId="13F85B7A" w14:textId="77777777" w:rsidR="008B7E19" w:rsidRPr="00890AEB" w:rsidRDefault="008B7E19" w:rsidP="008B7E19">
            <w:pPr>
              <w:pStyle w:val="08-Tabelageral"/>
            </w:pPr>
            <w:r>
              <w:t>223,912</w:t>
            </w:r>
          </w:p>
        </w:tc>
        <w:tc>
          <w:tcPr>
            <w:tcW w:w="284" w:type="dxa"/>
            <w:tcBorders>
              <w:bottom w:val="nil"/>
            </w:tcBorders>
            <w:shd w:val="clear" w:color="auto" w:fill="auto"/>
            <w:vAlign w:val="center"/>
          </w:tcPr>
          <w:p w14:paraId="39DA0122" w14:textId="77777777" w:rsidR="008B7E19" w:rsidRPr="00A47279" w:rsidRDefault="008B7E19" w:rsidP="008B7E19">
            <w:pPr>
              <w:pStyle w:val="08-Tabelageral"/>
            </w:pPr>
          </w:p>
        </w:tc>
        <w:tc>
          <w:tcPr>
            <w:tcW w:w="1404" w:type="dxa"/>
            <w:tcBorders>
              <w:bottom w:val="nil"/>
            </w:tcBorders>
            <w:shd w:val="clear" w:color="auto" w:fill="auto"/>
            <w:vAlign w:val="center"/>
          </w:tcPr>
          <w:p w14:paraId="7B6A3676" w14:textId="77777777" w:rsidR="008B7E19" w:rsidRPr="00A9631C" w:rsidRDefault="008B7E19" w:rsidP="008B7E19">
            <w:pPr>
              <w:pStyle w:val="08-Tabelageral"/>
            </w:pPr>
            <w:r>
              <w:t>90,728</w:t>
            </w:r>
          </w:p>
        </w:tc>
        <w:tc>
          <w:tcPr>
            <w:tcW w:w="1511" w:type="dxa"/>
            <w:tcBorders>
              <w:bottom w:val="nil"/>
            </w:tcBorders>
            <w:shd w:val="clear" w:color="auto" w:fill="auto"/>
            <w:vAlign w:val="center"/>
          </w:tcPr>
          <w:p w14:paraId="34B84727" w14:textId="77777777" w:rsidR="008B7E19" w:rsidRPr="00823490" w:rsidRDefault="008B7E19" w:rsidP="008B7E19">
            <w:pPr>
              <w:pStyle w:val="08-Tabelageral"/>
            </w:pPr>
            <w:r>
              <w:t>197,642</w:t>
            </w:r>
          </w:p>
        </w:tc>
      </w:tr>
      <w:tr w:rsidR="008B7E19" w:rsidRPr="00A47279" w14:paraId="68536CC7" w14:textId="77777777" w:rsidTr="008B7E19">
        <w:trPr>
          <w:trHeight w:val="238"/>
          <w:jc w:val="center"/>
        </w:trPr>
        <w:tc>
          <w:tcPr>
            <w:tcW w:w="3050" w:type="dxa"/>
            <w:gridSpan w:val="2"/>
            <w:tcBorders>
              <w:bottom w:val="nil"/>
            </w:tcBorders>
            <w:shd w:val="clear" w:color="auto" w:fill="auto"/>
            <w:vAlign w:val="center"/>
          </w:tcPr>
          <w:p w14:paraId="1E22ACA6" w14:textId="77777777" w:rsidR="008B7E19" w:rsidRPr="00A47279" w:rsidRDefault="008B7E19" w:rsidP="008B7E19">
            <w:pPr>
              <w:pStyle w:val="08-Tabelageral"/>
              <w:ind w:left="113"/>
              <w:jc w:val="left"/>
              <w:rPr>
                <w:rFonts w:cs="Arial"/>
                <w:szCs w:val="14"/>
              </w:rPr>
            </w:pPr>
            <w:r w:rsidRPr="00BC5A4F">
              <w:t>M</w:t>
            </w:r>
            <w:r>
              <w:t xml:space="preserve">APFRE Seguros Gerais </w:t>
            </w:r>
            <w:r w:rsidRPr="00BC5A4F">
              <w:rPr>
                <w:vertAlign w:val="superscript"/>
              </w:rPr>
              <w:t>(1)</w:t>
            </w:r>
          </w:p>
        </w:tc>
        <w:tc>
          <w:tcPr>
            <w:tcW w:w="779" w:type="dxa"/>
            <w:tcBorders>
              <w:bottom w:val="nil"/>
            </w:tcBorders>
            <w:shd w:val="clear" w:color="auto" w:fill="auto"/>
          </w:tcPr>
          <w:p w14:paraId="33460CEF" w14:textId="77777777" w:rsidR="008B7E19" w:rsidRPr="00890AEB" w:rsidRDefault="008B7E19" w:rsidP="008B7E19">
            <w:pPr>
              <w:pStyle w:val="08-Tabelageral"/>
              <w:rPr>
                <w:rFonts w:cs="Arial"/>
                <w:bCs/>
                <w:szCs w:val="14"/>
              </w:rPr>
            </w:pPr>
          </w:p>
        </w:tc>
        <w:tc>
          <w:tcPr>
            <w:tcW w:w="1274" w:type="dxa"/>
            <w:tcBorders>
              <w:bottom w:val="nil"/>
            </w:tcBorders>
            <w:shd w:val="clear" w:color="auto" w:fill="auto"/>
            <w:vAlign w:val="center"/>
          </w:tcPr>
          <w:p w14:paraId="216B023F" w14:textId="77777777" w:rsidR="008B7E19" w:rsidRPr="00890AEB" w:rsidRDefault="008B7E19" w:rsidP="008B7E19">
            <w:pPr>
              <w:pStyle w:val="08-Tabelageral"/>
            </w:pPr>
            <w:r>
              <w:t>40,988</w:t>
            </w:r>
          </w:p>
        </w:tc>
        <w:tc>
          <w:tcPr>
            <w:tcW w:w="1400" w:type="dxa"/>
            <w:tcBorders>
              <w:bottom w:val="nil"/>
            </w:tcBorders>
            <w:shd w:val="clear" w:color="auto" w:fill="auto"/>
            <w:vAlign w:val="center"/>
          </w:tcPr>
          <w:p w14:paraId="2141E110" w14:textId="77777777" w:rsidR="008B7E19" w:rsidRPr="00890AEB" w:rsidRDefault="008B7E19" w:rsidP="008B7E19">
            <w:pPr>
              <w:pStyle w:val="08-Tabelageral"/>
            </w:pPr>
            <w:r>
              <w:t>83,166</w:t>
            </w:r>
          </w:p>
        </w:tc>
        <w:tc>
          <w:tcPr>
            <w:tcW w:w="284" w:type="dxa"/>
            <w:tcBorders>
              <w:bottom w:val="nil"/>
            </w:tcBorders>
            <w:shd w:val="clear" w:color="auto" w:fill="auto"/>
            <w:vAlign w:val="center"/>
          </w:tcPr>
          <w:p w14:paraId="7763E2CC" w14:textId="77777777" w:rsidR="008B7E19" w:rsidRPr="00A47279" w:rsidRDefault="008B7E19" w:rsidP="008B7E19">
            <w:pPr>
              <w:pStyle w:val="08-Tabelageral"/>
            </w:pPr>
          </w:p>
        </w:tc>
        <w:tc>
          <w:tcPr>
            <w:tcW w:w="1404" w:type="dxa"/>
            <w:tcBorders>
              <w:bottom w:val="nil"/>
            </w:tcBorders>
            <w:shd w:val="clear" w:color="auto" w:fill="auto"/>
            <w:vAlign w:val="center"/>
          </w:tcPr>
          <w:p w14:paraId="4E00B0F5" w14:textId="77777777" w:rsidR="008B7E19" w:rsidRPr="00A9631C" w:rsidRDefault="008B7E19" w:rsidP="008B7E19">
            <w:pPr>
              <w:pStyle w:val="08-Tabelageral"/>
            </w:pPr>
            <w:r>
              <w:t>36,533</w:t>
            </w:r>
          </w:p>
        </w:tc>
        <w:tc>
          <w:tcPr>
            <w:tcW w:w="1511" w:type="dxa"/>
            <w:tcBorders>
              <w:bottom w:val="nil"/>
            </w:tcBorders>
            <w:shd w:val="clear" w:color="auto" w:fill="auto"/>
            <w:vAlign w:val="center"/>
          </w:tcPr>
          <w:p w14:paraId="0B9182CB" w14:textId="77777777" w:rsidR="008B7E19" w:rsidRPr="00823490" w:rsidRDefault="008B7E19" w:rsidP="008B7E19">
            <w:pPr>
              <w:pStyle w:val="08-Tabelageral"/>
            </w:pPr>
            <w:r>
              <w:t>72,245</w:t>
            </w:r>
          </w:p>
        </w:tc>
      </w:tr>
      <w:tr w:rsidR="008B7E19" w:rsidRPr="00A47279" w14:paraId="20454282" w14:textId="77777777" w:rsidTr="008B7E19">
        <w:trPr>
          <w:trHeight w:val="238"/>
          <w:jc w:val="center"/>
        </w:trPr>
        <w:tc>
          <w:tcPr>
            <w:tcW w:w="3050" w:type="dxa"/>
            <w:gridSpan w:val="2"/>
            <w:tcBorders>
              <w:bottom w:val="nil"/>
            </w:tcBorders>
            <w:shd w:val="clear" w:color="auto" w:fill="auto"/>
            <w:vAlign w:val="center"/>
          </w:tcPr>
          <w:p w14:paraId="6380EF9F" w14:textId="77777777" w:rsidR="008B7E19" w:rsidRPr="00A47279" w:rsidRDefault="008B7E19" w:rsidP="008B7E19">
            <w:pPr>
              <w:pStyle w:val="08-Tabelageral"/>
              <w:ind w:left="113"/>
              <w:jc w:val="left"/>
              <w:rPr>
                <w:rFonts w:cs="Arial"/>
                <w:szCs w:val="14"/>
              </w:rPr>
            </w:pPr>
            <w:r>
              <w:t>Others</w:t>
            </w:r>
          </w:p>
        </w:tc>
        <w:tc>
          <w:tcPr>
            <w:tcW w:w="779" w:type="dxa"/>
            <w:tcBorders>
              <w:bottom w:val="nil"/>
            </w:tcBorders>
            <w:shd w:val="clear" w:color="auto" w:fill="auto"/>
          </w:tcPr>
          <w:p w14:paraId="6475A517" w14:textId="77777777" w:rsidR="008B7E19" w:rsidRPr="00890AEB" w:rsidRDefault="008B7E19" w:rsidP="008B7E19">
            <w:pPr>
              <w:pStyle w:val="08-Tabelageral"/>
              <w:rPr>
                <w:rFonts w:cs="Arial"/>
                <w:bCs/>
                <w:szCs w:val="14"/>
              </w:rPr>
            </w:pPr>
          </w:p>
        </w:tc>
        <w:tc>
          <w:tcPr>
            <w:tcW w:w="1274" w:type="dxa"/>
            <w:tcBorders>
              <w:bottom w:val="nil"/>
            </w:tcBorders>
            <w:shd w:val="clear" w:color="auto" w:fill="auto"/>
            <w:vAlign w:val="center"/>
          </w:tcPr>
          <w:p w14:paraId="104B46A4" w14:textId="77777777" w:rsidR="008B7E19" w:rsidRPr="00890AEB" w:rsidRDefault="008B7E19" w:rsidP="008B7E19">
            <w:pPr>
              <w:pStyle w:val="08-Tabelageral"/>
            </w:pPr>
            <w:r>
              <w:t>2,018</w:t>
            </w:r>
          </w:p>
        </w:tc>
        <w:tc>
          <w:tcPr>
            <w:tcW w:w="1400" w:type="dxa"/>
            <w:tcBorders>
              <w:bottom w:val="nil"/>
            </w:tcBorders>
            <w:shd w:val="clear" w:color="auto" w:fill="auto"/>
            <w:vAlign w:val="center"/>
          </w:tcPr>
          <w:p w14:paraId="32E1A88B" w14:textId="77777777" w:rsidR="008B7E19" w:rsidRPr="00890AEB" w:rsidRDefault="008B7E19" w:rsidP="008B7E19">
            <w:pPr>
              <w:pStyle w:val="08-Tabelageral"/>
            </w:pPr>
            <w:r>
              <w:t>3,787</w:t>
            </w:r>
          </w:p>
        </w:tc>
        <w:tc>
          <w:tcPr>
            <w:tcW w:w="284" w:type="dxa"/>
            <w:tcBorders>
              <w:bottom w:val="nil"/>
            </w:tcBorders>
            <w:shd w:val="clear" w:color="auto" w:fill="auto"/>
            <w:vAlign w:val="center"/>
          </w:tcPr>
          <w:p w14:paraId="160BA15C" w14:textId="77777777" w:rsidR="008B7E19" w:rsidRPr="00A47279" w:rsidRDefault="008B7E19" w:rsidP="008B7E19">
            <w:pPr>
              <w:pStyle w:val="08-Tabelageral"/>
            </w:pPr>
          </w:p>
        </w:tc>
        <w:tc>
          <w:tcPr>
            <w:tcW w:w="1404" w:type="dxa"/>
            <w:tcBorders>
              <w:bottom w:val="nil"/>
            </w:tcBorders>
            <w:shd w:val="clear" w:color="auto" w:fill="auto"/>
            <w:vAlign w:val="center"/>
          </w:tcPr>
          <w:p w14:paraId="5739F720" w14:textId="77777777" w:rsidR="008B7E19" w:rsidRPr="00A9631C" w:rsidRDefault="008B7E19" w:rsidP="008B7E19">
            <w:pPr>
              <w:pStyle w:val="08-Tabelageral"/>
            </w:pPr>
            <w:r>
              <w:t>2,211</w:t>
            </w:r>
          </w:p>
        </w:tc>
        <w:tc>
          <w:tcPr>
            <w:tcW w:w="1511" w:type="dxa"/>
            <w:tcBorders>
              <w:bottom w:val="nil"/>
            </w:tcBorders>
            <w:shd w:val="clear" w:color="auto" w:fill="auto"/>
            <w:vAlign w:val="center"/>
          </w:tcPr>
          <w:p w14:paraId="65CA6302" w14:textId="77777777" w:rsidR="008B7E19" w:rsidRPr="00823490" w:rsidRDefault="008B7E19" w:rsidP="008B7E19">
            <w:pPr>
              <w:pStyle w:val="08-Tabelageral"/>
            </w:pPr>
            <w:r>
              <w:t>4,152</w:t>
            </w:r>
          </w:p>
        </w:tc>
      </w:tr>
      <w:tr w:rsidR="008B7E19" w:rsidRPr="00A47279" w14:paraId="55B16684" w14:textId="77777777" w:rsidTr="008B7E19">
        <w:trPr>
          <w:trHeight w:val="238"/>
          <w:jc w:val="center"/>
        </w:trPr>
        <w:tc>
          <w:tcPr>
            <w:tcW w:w="3050" w:type="dxa"/>
            <w:gridSpan w:val="2"/>
            <w:tcBorders>
              <w:bottom w:val="nil"/>
            </w:tcBorders>
            <w:shd w:val="clear" w:color="auto" w:fill="auto"/>
            <w:vAlign w:val="center"/>
          </w:tcPr>
          <w:p w14:paraId="1C153598" w14:textId="77777777" w:rsidR="008B7E19" w:rsidRPr="00A47279" w:rsidRDefault="008B7E19" w:rsidP="008B7E19">
            <w:pPr>
              <w:pStyle w:val="08-Tabelageral"/>
              <w:jc w:val="left"/>
              <w:rPr>
                <w:rFonts w:cs="Arial"/>
                <w:szCs w:val="14"/>
              </w:rPr>
            </w:pPr>
            <w:r w:rsidRPr="00945E16">
              <w:rPr>
                <w:b/>
                <w:bCs/>
              </w:rPr>
              <w:t>Deductions from commission income</w:t>
            </w:r>
          </w:p>
        </w:tc>
        <w:tc>
          <w:tcPr>
            <w:tcW w:w="779" w:type="dxa"/>
            <w:tcBorders>
              <w:bottom w:val="nil"/>
            </w:tcBorders>
            <w:shd w:val="clear" w:color="auto" w:fill="auto"/>
          </w:tcPr>
          <w:p w14:paraId="74B5BCD1" w14:textId="77777777" w:rsidR="008B7E19" w:rsidRPr="00890AEB" w:rsidRDefault="008B7E19" w:rsidP="008B7E19">
            <w:pPr>
              <w:pStyle w:val="08-Tabelageral"/>
              <w:rPr>
                <w:rFonts w:cs="Arial"/>
                <w:bCs/>
                <w:szCs w:val="14"/>
              </w:rPr>
            </w:pPr>
          </w:p>
        </w:tc>
        <w:tc>
          <w:tcPr>
            <w:tcW w:w="1274" w:type="dxa"/>
            <w:tcBorders>
              <w:bottom w:val="nil"/>
            </w:tcBorders>
            <w:shd w:val="clear" w:color="auto" w:fill="auto"/>
            <w:vAlign w:val="center"/>
          </w:tcPr>
          <w:p w14:paraId="7B198B65" w14:textId="77777777" w:rsidR="008B7E19" w:rsidRPr="00E54DBC" w:rsidRDefault="008B7E19" w:rsidP="008B7E19">
            <w:pPr>
              <w:pStyle w:val="08-Tabelageral"/>
              <w:rPr>
                <w:b/>
                <w:bCs/>
              </w:rPr>
            </w:pPr>
            <w:r>
              <w:rPr>
                <w:b/>
                <w:bCs/>
              </w:rPr>
              <w:t>(137,792)</w:t>
            </w:r>
          </w:p>
        </w:tc>
        <w:tc>
          <w:tcPr>
            <w:tcW w:w="1400" w:type="dxa"/>
            <w:tcBorders>
              <w:bottom w:val="nil"/>
            </w:tcBorders>
            <w:shd w:val="clear" w:color="auto" w:fill="auto"/>
            <w:vAlign w:val="center"/>
          </w:tcPr>
          <w:p w14:paraId="1E058A12" w14:textId="77777777" w:rsidR="008B7E19" w:rsidRPr="00E54DBC" w:rsidRDefault="008B7E19" w:rsidP="008B7E19">
            <w:pPr>
              <w:pStyle w:val="08-Tabelageral"/>
              <w:rPr>
                <w:b/>
                <w:bCs/>
              </w:rPr>
            </w:pPr>
            <w:r>
              <w:rPr>
                <w:b/>
                <w:bCs/>
              </w:rPr>
              <w:t>(276,701)</w:t>
            </w:r>
          </w:p>
        </w:tc>
        <w:tc>
          <w:tcPr>
            <w:tcW w:w="284" w:type="dxa"/>
            <w:tcBorders>
              <w:bottom w:val="nil"/>
            </w:tcBorders>
            <w:shd w:val="clear" w:color="auto" w:fill="auto"/>
            <w:vAlign w:val="center"/>
          </w:tcPr>
          <w:p w14:paraId="558E8910" w14:textId="77777777" w:rsidR="008B7E19" w:rsidRPr="00A47279" w:rsidRDefault="008B7E19" w:rsidP="008B7E19">
            <w:pPr>
              <w:pStyle w:val="08-Tabelageral"/>
            </w:pPr>
          </w:p>
        </w:tc>
        <w:tc>
          <w:tcPr>
            <w:tcW w:w="1404" w:type="dxa"/>
            <w:tcBorders>
              <w:bottom w:val="nil"/>
            </w:tcBorders>
            <w:shd w:val="clear" w:color="auto" w:fill="auto"/>
            <w:vAlign w:val="center"/>
          </w:tcPr>
          <w:p w14:paraId="582D1150" w14:textId="77777777" w:rsidR="008B7E19" w:rsidRPr="00A9631C" w:rsidRDefault="008B7E19" w:rsidP="008B7E19">
            <w:pPr>
              <w:pStyle w:val="08-Tabelageral"/>
            </w:pPr>
            <w:r w:rsidRPr="00E54DBC">
              <w:rPr>
                <w:b/>
                <w:bCs/>
              </w:rPr>
              <w:t>(123</w:t>
            </w:r>
            <w:r>
              <w:rPr>
                <w:b/>
                <w:bCs/>
              </w:rPr>
              <w:t>,</w:t>
            </w:r>
            <w:r w:rsidRPr="00E54DBC">
              <w:rPr>
                <w:b/>
                <w:bCs/>
              </w:rPr>
              <w:t>900)</w:t>
            </w:r>
          </w:p>
        </w:tc>
        <w:tc>
          <w:tcPr>
            <w:tcW w:w="1511" w:type="dxa"/>
            <w:tcBorders>
              <w:bottom w:val="nil"/>
            </w:tcBorders>
            <w:shd w:val="clear" w:color="auto" w:fill="auto"/>
            <w:vAlign w:val="center"/>
          </w:tcPr>
          <w:p w14:paraId="53FE167C" w14:textId="77777777" w:rsidR="008B7E19" w:rsidRPr="00823490" w:rsidRDefault="008B7E19" w:rsidP="008B7E19">
            <w:pPr>
              <w:pStyle w:val="08-Tabelageral"/>
            </w:pPr>
            <w:r w:rsidRPr="00E54DBC">
              <w:rPr>
                <w:b/>
                <w:bCs/>
              </w:rPr>
              <w:t>(242</w:t>
            </w:r>
            <w:r>
              <w:rPr>
                <w:b/>
                <w:bCs/>
              </w:rPr>
              <w:t>,</w:t>
            </w:r>
            <w:r w:rsidRPr="00E54DBC">
              <w:rPr>
                <w:b/>
                <w:bCs/>
              </w:rPr>
              <w:t>902)</w:t>
            </w:r>
          </w:p>
        </w:tc>
      </w:tr>
      <w:tr w:rsidR="008B7E19" w:rsidRPr="00A47279" w14:paraId="47927A5F" w14:textId="77777777" w:rsidTr="008B7E19">
        <w:trPr>
          <w:trHeight w:val="238"/>
          <w:jc w:val="center"/>
        </w:trPr>
        <w:tc>
          <w:tcPr>
            <w:tcW w:w="3050" w:type="dxa"/>
            <w:gridSpan w:val="2"/>
            <w:tcBorders>
              <w:bottom w:val="nil"/>
            </w:tcBorders>
            <w:shd w:val="clear" w:color="auto" w:fill="auto"/>
            <w:vAlign w:val="center"/>
          </w:tcPr>
          <w:p w14:paraId="11B6BD22" w14:textId="77777777" w:rsidR="008B7E19" w:rsidRPr="00A47279" w:rsidRDefault="008B7E19" w:rsidP="008B7E19">
            <w:pPr>
              <w:pStyle w:val="08-Tabelageral"/>
              <w:ind w:left="113"/>
              <w:jc w:val="left"/>
              <w:rPr>
                <w:rFonts w:cs="Arial"/>
                <w:szCs w:val="14"/>
              </w:rPr>
            </w:pPr>
            <w:r>
              <w:rPr>
                <w:lang w:eastAsia="en-US"/>
              </w:rPr>
              <w:t>Cofins</w:t>
            </w:r>
          </w:p>
        </w:tc>
        <w:tc>
          <w:tcPr>
            <w:tcW w:w="779" w:type="dxa"/>
            <w:tcBorders>
              <w:bottom w:val="nil"/>
            </w:tcBorders>
            <w:shd w:val="clear" w:color="auto" w:fill="auto"/>
          </w:tcPr>
          <w:p w14:paraId="2A827966" w14:textId="77777777" w:rsidR="008B7E19" w:rsidRPr="00890AEB" w:rsidRDefault="008B7E19" w:rsidP="008B7E19">
            <w:pPr>
              <w:pStyle w:val="08-Tabelageral"/>
              <w:rPr>
                <w:rFonts w:cs="Arial"/>
                <w:bCs/>
                <w:szCs w:val="14"/>
              </w:rPr>
            </w:pPr>
          </w:p>
        </w:tc>
        <w:tc>
          <w:tcPr>
            <w:tcW w:w="1274" w:type="dxa"/>
            <w:tcBorders>
              <w:bottom w:val="nil"/>
            </w:tcBorders>
            <w:shd w:val="clear" w:color="auto" w:fill="auto"/>
            <w:vAlign w:val="center"/>
          </w:tcPr>
          <w:p w14:paraId="6A7812CC" w14:textId="77777777" w:rsidR="008B7E19" w:rsidRPr="00890AEB" w:rsidRDefault="008B7E19" w:rsidP="008B7E19">
            <w:pPr>
              <w:pStyle w:val="08-Tabelageral"/>
            </w:pPr>
            <w:r>
              <w:t>(90,458)</w:t>
            </w:r>
          </w:p>
        </w:tc>
        <w:tc>
          <w:tcPr>
            <w:tcW w:w="1400" w:type="dxa"/>
            <w:tcBorders>
              <w:bottom w:val="nil"/>
            </w:tcBorders>
            <w:shd w:val="clear" w:color="auto" w:fill="auto"/>
            <w:vAlign w:val="center"/>
          </w:tcPr>
          <w:p w14:paraId="1B7606A9" w14:textId="77777777" w:rsidR="008B7E19" w:rsidRPr="00890AEB" w:rsidRDefault="008B7E19" w:rsidP="008B7E19">
            <w:pPr>
              <w:pStyle w:val="08-Tabelageral"/>
            </w:pPr>
            <w:r>
              <w:t>(182,077)</w:t>
            </w:r>
          </w:p>
        </w:tc>
        <w:tc>
          <w:tcPr>
            <w:tcW w:w="284" w:type="dxa"/>
            <w:tcBorders>
              <w:bottom w:val="nil"/>
            </w:tcBorders>
            <w:shd w:val="clear" w:color="auto" w:fill="auto"/>
            <w:vAlign w:val="center"/>
          </w:tcPr>
          <w:p w14:paraId="19EA401D" w14:textId="77777777" w:rsidR="008B7E19" w:rsidRPr="00A47279" w:rsidRDefault="008B7E19" w:rsidP="008B7E19">
            <w:pPr>
              <w:pStyle w:val="08-Tabelageral"/>
            </w:pPr>
          </w:p>
        </w:tc>
        <w:tc>
          <w:tcPr>
            <w:tcW w:w="1404" w:type="dxa"/>
            <w:tcBorders>
              <w:bottom w:val="nil"/>
            </w:tcBorders>
            <w:shd w:val="clear" w:color="auto" w:fill="auto"/>
            <w:vAlign w:val="center"/>
          </w:tcPr>
          <w:p w14:paraId="4AAA4D49" w14:textId="77777777" w:rsidR="008B7E19" w:rsidRPr="00A9631C" w:rsidRDefault="008B7E19" w:rsidP="008B7E19">
            <w:pPr>
              <w:pStyle w:val="08-Tabelageral"/>
            </w:pPr>
            <w:r>
              <w:t>(81,438)</w:t>
            </w:r>
          </w:p>
        </w:tc>
        <w:tc>
          <w:tcPr>
            <w:tcW w:w="1511" w:type="dxa"/>
            <w:tcBorders>
              <w:bottom w:val="nil"/>
            </w:tcBorders>
            <w:shd w:val="clear" w:color="auto" w:fill="auto"/>
            <w:vAlign w:val="center"/>
          </w:tcPr>
          <w:p w14:paraId="0263BE91" w14:textId="77777777" w:rsidR="008B7E19" w:rsidRPr="00823490" w:rsidRDefault="008B7E19" w:rsidP="008B7E19">
            <w:pPr>
              <w:pStyle w:val="08-Tabelageral"/>
            </w:pPr>
            <w:r>
              <w:t>(159,200)</w:t>
            </w:r>
          </w:p>
        </w:tc>
      </w:tr>
      <w:tr w:rsidR="008B7E19" w:rsidRPr="00A47279" w14:paraId="1DB9898A" w14:textId="77777777" w:rsidTr="008B7E19">
        <w:trPr>
          <w:trHeight w:val="238"/>
          <w:jc w:val="center"/>
        </w:trPr>
        <w:tc>
          <w:tcPr>
            <w:tcW w:w="3050" w:type="dxa"/>
            <w:gridSpan w:val="2"/>
            <w:tcBorders>
              <w:bottom w:val="nil"/>
            </w:tcBorders>
            <w:shd w:val="clear" w:color="auto" w:fill="auto"/>
            <w:vAlign w:val="center"/>
          </w:tcPr>
          <w:p w14:paraId="596D631B" w14:textId="77777777" w:rsidR="008B7E19" w:rsidRPr="00A47279" w:rsidRDefault="008B7E19" w:rsidP="008B7E19">
            <w:pPr>
              <w:pStyle w:val="08-Tabelageral"/>
              <w:ind w:left="113"/>
              <w:jc w:val="left"/>
              <w:rPr>
                <w:rFonts w:cs="Arial"/>
                <w:szCs w:val="14"/>
              </w:rPr>
            </w:pPr>
            <w:r>
              <w:rPr>
                <w:lang w:eastAsia="en-US"/>
              </w:rPr>
              <w:t>ISS</w:t>
            </w:r>
          </w:p>
        </w:tc>
        <w:tc>
          <w:tcPr>
            <w:tcW w:w="779" w:type="dxa"/>
            <w:tcBorders>
              <w:bottom w:val="nil"/>
            </w:tcBorders>
            <w:shd w:val="clear" w:color="auto" w:fill="auto"/>
          </w:tcPr>
          <w:p w14:paraId="547FF66C" w14:textId="77777777" w:rsidR="008B7E19" w:rsidRPr="00890AEB" w:rsidRDefault="008B7E19" w:rsidP="008B7E19">
            <w:pPr>
              <w:pStyle w:val="08-Tabelageral"/>
              <w:rPr>
                <w:rFonts w:cs="Arial"/>
                <w:bCs/>
                <w:szCs w:val="14"/>
              </w:rPr>
            </w:pPr>
          </w:p>
        </w:tc>
        <w:tc>
          <w:tcPr>
            <w:tcW w:w="1274" w:type="dxa"/>
            <w:tcBorders>
              <w:bottom w:val="nil"/>
            </w:tcBorders>
            <w:shd w:val="clear" w:color="auto" w:fill="auto"/>
            <w:vAlign w:val="center"/>
          </w:tcPr>
          <w:p w14:paraId="4C1D717D" w14:textId="77777777" w:rsidR="008B7E19" w:rsidRPr="00890AEB" w:rsidRDefault="008B7E19" w:rsidP="008B7E19">
            <w:pPr>
              <w:pStyle w:val="08-Tabelageral"/>
            </w:pPr>
            <w:r>
              <w:t>(27,695)</w:t>
            </w:r>
          </w:p>
        </w:tc>
        <w:tc>
          <w:tcPr>
            <w:tcW w:w="1400" w:type="dxa"/>
            <w:tcBorders>
              <w:bottom w:val="nil"/>
            </w:tcBorders>
            <w:shd w:val="clear" w:color="auto" w:fill="auto"/>
            <w:vAlign w:val="center"/>
          </w:tcPr>
          <w:p w14:paraId="2097A39A" w14:textId="77777777" w:rsidR="008B7E19" w:rsidRPr="00890AEB" w:rsidRDefault="008B7E19" w:rsidP="008B7E19">
            <w:pPr>
              <w:pStyle w:val="08-Tabelageral"/>
            </w:pPr>
            <w:r>
              <w:t>(55,094)</w:t>
            </w:r>
          </w:p>
        </w:tc>
        <w:tc>
          <w:tcPr>
            <w:tcW w:w="284" w:type="dxa"/>
            <w:tcBorders>
              <w:bottom w:val="nil"/>
            </w:tcBorders>
            <w:shd w:val="clear" w:color="auto" w:fill="auto"/>
            <w:vAlign w:val="center"/>
          </w:tcPr>
          <w:p w14:paraId="746C0097" w14:textId="77777777" w:rsidR="008B7E19" w:rsidRPr="00A47279" w:rsidRDefault="008B7E19" w:rsidP="008B7E19">
            <w:pPr>
              <w:pStyle w:val="08-Tabelageral"/>
            </w:pPr>
          </w:p>
        </w:tc>
        <w:tc>
          <w:tcPr>
            <w:tcW w:w="1404" w:type="dxa"/>
            <w:tcBorders>
              <w:bottom w:val="nil"/>
            </w:tcBorders>
            <w:shd w:val="clear" w:color="auto" w:fill="auto"/>
            <w:vAlign w:val="center"/>
          </w:tcPr>
          <w:p w14:paraId="6E5FA327" w14:textId="77777777" w:rsidR="008B7E19" w:rsidRPr="00A9631C" w:rsidRDefault="008B7E19" w:rsidP="008B7E19">
            <w:pPr>
              <w:pStyle w:val="08-Tabelageral"/>
            </w:pPr>
            <w:r>
              <w:t>(24,781)</w:t>
            </w:r>
          </w:p>
        </w:tc>
        <w:tc>
          <w:tcPr>
            <w:tcW w:w="1511" w:type="dxa"/>
            <w:tcBorders>
              <w:bottom w:val="nil"/>
            </w:tcBorders>
            <w:shd w:val="clear" w:color="auto" w:fill="auto"/>
            <w:vAlign w:val="center"/>
          </w:tcPr>
          <w:p w14:paraId="66030A93" w14:textId="77777777" w:rsidR="008B7E19" w:rsidRPr="00823490" w:rsidRDefault="008B7E19" w:rsidP="008B7E19">
            <w:pPr>
              <w:pStyle w:val="08-Tabelageral"/>
            </w:pPr>
            <w:r>
              <w:t>(49,139)</w:t>
            </w:r>
          </w:p>
        </w:tc>
      </w:tr>
      <w:tr w:rsidR="008B7E19" w:rsidRPr="00A47279" w14:paraId="472A3AF5" w14:textId="77777777" w:rsidTr="008B7E19">
        <w:trPr>
          <w:trHeight w:val="238"/>
          <w:jc w:val="center"/>
        </w:trPr>
        <w:tc>
          <w:tcPr>
            <w:tcW w:w="3050" w:type="dxa"/>
            <w:gridSpan w:val="2"/>
            <w:tcBorders>
              <w:bottom w:val="nil"/>
            </w:tcBorders>
            <w:shd w:val="clear" w:color="auto" w:fill="auto"/>
            <w:vAlign w:val="center"/>
          </w:tcPr>
          <w:p w14:paraId="71DE2854" w14:textId="77777777" w:rsidR="008B7E19" w:rsidRPr="00A47279" w:rsidRDefault="008B7E19" w:rsidP="008B7E19">
            <w:pPr>
              <w:pStyle w:val="08-Tabelageral"/>
              <w:ind w:left="113"/>
              <w:jc w:val="left"/>
              <w:rPr>
                <w:rFonts w:cs="Arial"/>
                <w:szCs w:val="14"/>
              </w:rPr>
            </w:pPr>
            <w:r>
              <w:rPr>
                <w:lang w:eastAsia="en-US"/>
              </w:rPr>
              <w:t>PIS</w:t>
            </w:r>
          </w:p>
        </w:tc>
        <w:tc>
          <w:tcPr>
            <w:tcW w:w="779" w:type="dxa"/>
            <w:tcBorders>
              <w:bottom w:val="nil"/>
            </w:tcBorders>
            <w:shd w:val="clear" w:color="auto" w:fill="auto"/>
          </w:tcPr>
          <w:p w14:paraId="72BE1D5E" w14:textId="77777777" w:rsidR="008B7E19" w:rsidRPr="00890AEB" w:rsidRDefault="008B7E19" w:rsidP="008B7E19">
            <w:pPr>
              <w:pStyle w:val="08-Tabelageral"/>
              <w:rPr>
                <w:rFonts w:cs="Arial"/>
                <w:bCs/>
                <w:szCs w:val="14"/>
              </w:rPr>
            </w:pPr>
          </w:p>
        </w:tc>
        <w:tc>
          <w:tcPr>
            <w:tcW w:w="1274" w:type="dxa"/>
            <w:tcBorders>
              <w:bottom w:val="nil"/>
            </w:tcBorders>
            <w:shd w:val="clear" w:color="auto" w:fill="auto"/>
            <w:vAlign w:val="center"/>
          </w:tcPr>
          <w:p w14:paraId="02798CEC" w14:textId="77777777" w:rsidR="008B7E19" w:rsidRPr="00890AEB" w:rsidRDefault="008B7E19" w:rsidP="008B7E19">
            <w:pPr>
              <w:pStyle w:val="08-Tabelageral"/>
            </w:pPr>
            <w:r>
              <w:t>(19,639)</w:t>
            </w:r>
          </w:p>
        </w:tc>
        <w:tc>
          <w:tcPr>
            <w:tcW w:w="1400" w:type="dxa"/>
            <w:tcBorders>
              <w:bottom w:val="nil"/>
            </w:tcBorders>
            <w:shd w:val="clear" w:color="auto" w:fill="auto"/>
            <w:vAlign w:val="center"/>
          </w:tcPr>
          <w:p w14:paraId="0C1FF142" w14:textId="77777777" w:rsidR="008B7E19" w:rsidRPr="00890AEB" w:rsidRDefault="008B7E19" w:rsidP="008B7E19">
            <w:pPr>
              <w:pStyle w:val="08-Tabelageral"/>
            </w:pPr>
            <w:r>
              <w:t>(39,530)</w:t>
            </w:r>
          </w:p>
        </w:tc>
        <w:tc>
          <w:tcPr>
            <w:tcW w:w="284" w:type="dxa"/>
            <w:tcBorders>
              <w:bottom w:val="nil"/>
            </w:tcBorders>
            <w:shd w:val="clear" w:color="auto" w:fill="auto"/>
            <w:vAlign w:val="center"/>
          </w:tcPr>
          <w:p w14:paraId="40773B4F" w14:textId="77777777" w:rsidR="008B7E19" w:rsidRPr="00A47279" w:rsidRDefault="008B7E19" w:rsidP="008B7E19">
            <w:pPr>
              <w:pStyle w:val="08-Tabelageral"/>
            </w:pPr>
          </w:p>
        </w:tc>
        <w:tc>
          <w:tcPr>
            <w:tcW w:w="1404" w:type="dxa"/>
            <w:tcBorders>
              <w:bottom w:val="nil"/>
            </w:tcBorders>
            <w:shd w:val="clear" w:color="auto" w:fill="auto"/>
            <w:vAlign w:val="center"/>
          </w:tcPr>
          <w:p w14:paraId="392B175D" w14:textId="77777777" w:rsidR="008B7E19" w:rsidRPr="00A9631C" w:rsidRDefault="008B7E19" w:rsidP="008B7E19">
            <w:pPr>
              <w:pStyle w:val="08-Tabelageral"/>
            </w:pPr>
            <w:r>
              <w:t>(17,681)</w:t>
            </w:r>
          </w:p>
        </w:tc>
        <w:tc>
          <w:tcPr>
            <w:tcW w:w="1511" w:type="dxa"/>
            <w:tcBorders>
              <w:bottom w:val="nil"/>
            </w:tcBorders>
            <w:shd w:val="clear" w:color="auto" w:fill="auto"/>
            <w:vAlign w:val="center"/>
          </w:tcPr>
          <w:p w14:paraId="452C14E4" w14:textId="77777777" w:rsidR="008B7E19" w:rsidRPr="00823490" w:rsidRDefault="008B7E19" w:rsidP="008B7E19">
            <w:pPr>
              <w:pStyle w:val="08-Tabelageral"/>
            </w:pPr>
            <w:r>
              <w:t>(34,563)</w:t>
            </w:r>
          </w:p>
        </w:tc>
      </w:tr>
      <w:tr w:rsidR="008B7E19" w:rsidRPr="00077CB2" w14:paraId="5943E4DB" w14:textId="77777777" w:rsidTr="008B7E19">
        <w:trPr>
          <w:trHeight w:val="238"/>
          <w:jc w:val="center"/>
        </w:trPr>
        <w:tc>
          <w:tcPr>
            <w:tcW w:w="3050" w:type="dxa"/>
            <w:gridSpan w:val="2"/>
            <w:tcBorders>
              <w:top w:val="nil"/>
              <w:bottom w:val="single" w:sz="2" w:space="0" w:color="1F4E79" w:themeColor="accent1" w:themeShade="80"/>
            </w:tcBorders>
            <w:shd w:val="clear" w:color="auto" w:fill="auto"/>
            <w:vAlign w:val="center"/>
          </w:tcPr>
          <w:p w14:paraId="3A249176" w14:textId="77777777" w:rsidR="008B7E19" w:rsidRPr="00077CB2" w:rsidRDefault="008B7E19" w:rsidP="008B7E19">
            <w:pPr>
              <w:keepNext/>
              <w:keepLines/>
              <w:spacing w:before="40" w:after="40" w:line="240" w:lineRule="auto"/>
              <w:rPr>
                <w:rFonts w:cs="Arial"/>
                <w:b/>
                <w:spacing w:val="-2"/>
                <w:sz w:val="14"/>
                <w:szCs w:val="14"/>
              </w:rPr>
            </w:pPr>
            <w:r w:rsidRPr="00945E16">
              <w:rPr>
                <w:rFonts w:cs="Arial"/>
                <w:b/>
                <w:spacing w:val="-2"/>
                <w:sz w:val="14"/>
                <w:szCs w:val="14"/>
              </w:rPr>
              <w:t>Net commission income</w:t>
            </w:r>
          </w:p>
        </w:tc>
        <w:tc>
          <w:tcPr>
            <w:tcW w:w="779" w:type="dxa"/>
            <w:tcBorders>
              <w:top w:val="nil"/>
              <w:bottom w:val="single" w:sz="2" w:space="0" w:color="1F4E79" w:themeColor="accent1" w:themeShade="80"/>
            </w:tcBorders>
            <w:shd w:val="clear" w:color="auto" w:fill="auto"/>
          </w:tcPr>
          <w:p w14:paraId="27ED2825" w14:textId="77777777" w:rsidR="008B7E19" w:rsidRPr="00077CB2" w:rsidRDefault="008B7E19" w:rsidP="008B7E19">
            <w:pPr>
              <w:keepNext/>
              <w:keepLines/>
              <w:spacing w:before="40" w:after="40"/>
              <w:jc w:val="right"/>
              <w:rPr>
                <w:rFonts w:cs="Arial"/>
                <w:b/>
                <w:spacing w:val="-2"/>
                <w:sz w:val="14"/>
                <w:szCs w:val="14"/>
              </w:rPr>
            </w:pPr>
          </w:p>
        </w:tc>
        <w:tc>
          <w:tcPr>
            <w:tcW w:w="1274" w:type="dxa"/>
            <w:tcBorders>
              <w:top w:val="nil"/>
              <w:bottom w:val="single" w:sz="2" w:space="0" w:color="1F4E79" w:themeColor="accent1" w:themeShade="80"/>
            </w:tcBorders>
            <w:shd w:val="clear" w:color="auto" w:fill="auto"/>
            <w:vAlign w:val="center"/>
          </w:tcPr>
          <w:p w14:paraId="5029E9D5" w14:textId="77777777" w:rsidR="008B7E19" w:rsidRPr="00077CB2" w:rsidRDefault="008B7E19" w:rsidP="008B7E19">
            <w:pPr>
              <w:pStyle w:val="08-Tabelageral"/>
              <w:rPr>
                <w:b/>
              </w:rPr>
            </w:pPr>
            <w:r>
              <w:rPr>
                <w:b/>
              </w:rPr>
              <w:t>1,055,463</w:t>
            </w:r>
          </w:p>
        </w:tc>
        <w:tc>
          <w:tcPr>
            <w:tcW w:w="1400" w:type="dxa"/>
            <w:tcBorders>
              <w:top w:val="nil"/>
              <w:bottom w:val="single" w:sz="2" w:space="0" w:color="1F4E79" w:themeColor="accent1" w:themeShade="80"/>
            </w:tcBorders>
            <w:shd w:val="clear" w:color="auto" w:fill="auto"/>
            <w:vAlign w:val="center"/>
          </w:tcPr>
          <w:p w14:paraId="72FC7AC6" w14:textId="77777777" w:rsidR="008B7E19" w:rsidRPr="00077CB2" w:rsidRDefault="008B7E19" w:rsidP="008B7E19">
            <w:pPr>
              <w:pStyle w:val="08-Tabelageral"/>
              <w:rPr>
                <w:b/>
              </w:rPr>
            </w:pPr>
            <w:r>
              <w:rPr>
                <w:b/>
              </w:rPr>
              <w:t>2,123,730</w:t>
            </w:r>
          </w:p>
        </w:tc>
        <w:tc>
          <w:tcPr>
            <w:tcW w:w="284" w:type="dxa"/>
            <w:tcBorders>
              <w:top w:val="nil"/>
              <w:bottom w:val="single" w:sz="2" w:space="0" w:color="1F4E79" w:themeColor="accent1" w:themeShade="80"/>
            </w:tcBorders>
            <w:shd w:val="clear" w:color="auto" w:fill="auto"/>
            <w:vAlign w:val="center"/>
          </w:tcPr>
          <w:p w14:paraId="5AFEFB6F" w14:textId="77777777" w:rsidR="008B7E19" w:rsidRPr="00077CB2" w:rsidRDefault="008B7E19" w:rsidP="008B7E19">
            <w:pPr>
              <w:pStyle w:val="08-Tabelageral"/>
              <w:rPr>
                <w:b/>
              </w:rPr>
            </w:pPr>
          </w:p>
        </w:tc>
        <w:tc>
          <w:tcPr>
            <w:tcW w:w="1404" w:type="dxa"/>
            <w:tcBorders>
              <w:top w:val="nil"/>
              <w:bottom w:val="single" w:sz="2" w:space="0" w:color="1F4E79" w:themeColor="accent1" w:themeShade="80"/>
            </w:tcBorders>
            <w:shd w:val="clear" w:color="auto" w:fill="auto"/>
            <w:vAlign w:val="center"/>
          </w:tcPr>
          <w:p w14:paraId="0300B4C2" w14:textId="77777777" w:rsidR="008B7E19" w:rsidRPr="00077CB2" w:rsidRDefault="008B7E19" w:rsidP="008B7E19">
            <w:pPr>
              <w:pStyle w:val="08-Tabelageral"/>
              <w:rPr>
                <w:b/>
              </w:rPr>
            </w:pPr>
            <w:r>
              <w:rPr>
                <w:b/>
              </w:rPr>
              <w:t>949,282</w:t>
            </w:r>
          </w:p>
        </w:tc>
        <w:tc>
          <w:tcPr>
            <w:tcW w:w="1511" w:type="dxa"/>
            <w:tcBorders>
              <w:top w:val="nil"/>
              <w:bottom w:val="single" w:sz="2" w:space="0" w:color="1F4E79" w:themeColor="accent1" w:themeShade="80"/>
            </w:tcBorders>
            <w:shd w:val="clear" w:color="auto" w:fill="auto"/>
            <w:vAlign w:val="center"/>
          </w:tcPr>
          <w:p w14:paraId="4D232B60" w14:textId="77777777" w:rsidR="008B7E19" w:rsidRPr="00077CB2" w:rsidRDefault="008B7E19" w:rsidP="008B7E19">
            <w:pPr>
              <w:pStyle w:val="08-Tabelageral"/>
              <w:rPr>
                <w:b/>
              </w:rPr>
            </w:pPr>
            <w:r>
              <w:rPr>
                <w:b/>
              </w:rPr>
              <w:t>1,855,307</w:t>
            </w:r>
          </w:p>
        </w:tc>
      </w:tr>
    </w:tbl>
    <w:p w14:paraId="1CAF9461" w14:textId="77777777" w:rsidR="008B7E19" w:rsidRPr="00872E58" w:rsidRDefault="008B7E19" w:rsidP="008B7E19">
      <w:pPr>
        <w:pStyle w:val="07-Legenda"/>
        <w:numPr>
          <w:ilvl w:val="0"/>
          <w:numId w:val="18"/>
        </w:numPr>
        <w:tabs>
          <w:tab w:val="clear" w:pos="284"/>
          <w:tab w:val="left" w:pos="0"/>
        </w:tabs>
        <w:ind w:left="284" w:hanging="284"/>
        <w:rPr>
          <w:lang w:val="en-US"/>
        </w:rPr>
      </w:pPr>
      <w:r>
        <w:rPr>
          <w:lang w:val="en-US"/>
        </w:rPr>
        <w:t>I</w:t>
      </w:r>
      <w:r w:rsidRPr="000E3F50">
        <w:rPr>
          <w:rFonts w:cs="Arial"/>
          <w:szCs w:val="14"/>
          <w:lang w:val="en-US"/>
        </w:rPr>
        <w:t>nclude auto insurance and major risks</w:t>
      </w:r>
      <w:r>
        <w:rPr>
          <w:rFonts w:cs="Arial"/>
          <w:szCs w:val="14"/>
          <w:lang w:val="en-US"/>
        </w:rPr>
        <w:t>.</w:t>
      </w:r>
    </w:p>
    <w:bookmarkEnd w:id="31"/>
    <w:p w14:paraId="16DC1985" w14:textId="44688968" w:rsidR="008B7E19" w:rsidRDefault="008B7E19" w:rsidP="008B7E19">
      <w:pPr>
        <w:pStyle w:val="07-Legenda"/>
        <w:spacing w:before="120" w:after="120"/>
        <w:rPr>
          <w:sz w:val="18"/>
          <w:lang w:val="en-US"/>
        </w:rPr>
      </w:pPr>
      <w:r w:rsidRPr="00872E58">
        <w:rPr>
          <w:sz w:val="18"/>
          <w:lang w:val="en-US"/>
        </w:rPr>
        <w:t>There are no amount of commissions income in parent.</w:t>
      </w:r>
    </w:p>
    <w:p w14:paraId="796C31B2" w14:textId="77777777" w:rsidR="008875E7" w:rsidRPr="008A7221" w:rsidRDefault="008875E7" w:rsidP="008B7E19">
      <w:pPr>
        <w:pStyle w:val="07-Legenda"/>
        <w:spacing w:before="120" w:after="120"/>
        <w:rPr>
          <w:sz w:val="18"/>
          <w:lang w:val="en-US"/>
        </w:rPr>
      </w:pPr>
    </w:p>
    <w:p w14:paraId="70A874E8" w14:textId="421CC49A" w:rsidR="008B7E19" w:rsidRPr="008875E7" w:rsidRDefault="008B7E19" w:rsidP="008875E7">
      <w:pPr>
        <w:pStyle w:val="02-TtulodeNota"/>
        <w:rPr>
          <w:bCs/>
          <w:color w:val="1F4E79" w:themeColor="accent1" w:themeShade="80"/>
        </w:rPr>
      </w:pPr>
      <w:bookmarkStart w:id="33" w:name="_Toc141966687"/>
      <w:r w:rsidRPr="008875E7">
        <w:rPr>
          <w:color w:val="1F4E79" w:themeColor="accent1" w:themeShade="80"/>
        </w:rPr>
        <w:t>9 – COSTS OF SERVICES PROVIDED</w:t>
      </w:r>
      <w:bookmarkEnd w:id="33"/>
    </w:p>
    <w:p w14:paraId="0999D72E" w14:textId="77777777" w:rsidR="008B7E19" w:rsidRPr="00654762" w:rsidRDefault="008B7E19" w:rsidP="008B7E19">
      <w:pPr>
        <w:pStyle w:val="06-Rmil"/>
        <w:rPr>
          <w:rFonts w:cs="Arial"/>
          <w:szCs w:val="14"/>
          <w:lang w:val="en-US"/>
        </w:rPr>
      </w:pPr>
      <w:r w:rsidRPr="00654762">
        <w:rPr>
          <w:szCs w:val="14"/>
          <w:lang w:val="en-US"/>
        </w:rPr>
        <w:t>R$ thousand</w:t>
      </w:r>
    </w:p>
    <w:tbl>
      <w:tblPr>
        <w:tblW w:w="9639" w:type="dxa"/>
        <w:jc w:val="center"/>
        <w:tblBorders>
          <w:top w:val="single" w:sz="2" w:space="0" w:color="8EAADB" w:themeColor="accent5" w:themeTint="99"/>
          <w:bottom w:val="single" w:sz="2" w:space="0" w:color="8EAADB" w:themeColor="accent5" w:themeTint="99"/>
        </w:tblBorders>
        <w:tblLook w:val="04A0" w:firstRow="1" w:lastRow="0" w:firstColumn="1" w:lastColumn="0" w:noHBand="0" w:noVBand="1"/>
      </w:tblPr>
      <w:tblGrid>
        <w:gridCol w:w="3050"/>
        <w:gridCol w:w="488"/>
        <w:gridCol w:w="344"/>
        <w:gridCol w:w="1053"/>
        <w:gridCol w:w="1507"/>
        <w:gridCol w:w="238"/>
        <w:gridCol w:w="1401"/>
        <w:gridCol w:w="1558"/>
      </w:tblGrid>
      <w:tr w:rsidR="008B7E19" w:rsidRPr="00A47279" w14:paraId="55E8696F" w14:textId="77777777" w:rsidTr="008B7E19">
        <w:trPr>
          <w:trHeight w:val="238"/>
          <w:jc w:val="center"/>
        </w:trPr>
        <w:tc>
          <w:tcPr>
            <w:tcW w:w="3882" w:type="dxa"/>
            <w:gridSpan w:val="3"/>
            <w:tcBorders>
              <w:top w:val="single" w:sz="2" w:space="0" w:color="1F4E79" w:themeColor="accent1" w:themeShade="80"/>
              <w:bottom w:val="nil"/>
            </w:tcBorders>
            <w:shd w:val="clear" w:color="auto" w:fill="auto"/>
          </w:tcPr>
          <w:p w14:paraId="6DE0AC97" w14:textId="77777777" w:rsidR="008B7E19" w:rsidRPr="00654762" w:rsidRDefault="008B7E19" w:rsidP="008B7E19">
            <w:pPr>
              <w:keepNext/>
              <w:keepLines/>
              <w:tabs>
                <w:tab w:val="left" w:pos="2244"/>
                <w:tab w:val="center" w:pos="3294"/>
                <w:tab w:val="left" w:pos="4208"/>
                <w:tab w:val="left" w:pos="5816"/>
                <w:tab w:val="left" w:pos="5872"/>
              </w:tabs>
              <w:spacing w:before="40" w:after="40"/>
              <w:rPr>
                <w:rFonts w:cs="Arial"/>
                <w:b/>
                <w:spacing w:val="-2"/>
                <w:sz w:val="14"/>
                <w:szCs w:val="14"/>
                <w:lang w:val="en-US"/>
              </w:rPr>
            </w:pPr>
          </w:p>
        </w:tc>
        <w:tc>
          <w:tcPr>
            <w:tcW w:w="2798" w:type="dxa"/>
            <w:gridSpan w:val="3"/>
            <w:tcBorders>
              <w:top w:val="single" w:sz="2" w:space="0" w:color="1F4E79" w:themeColor="accent1" w:themeShade="80"/>
              <w:bottom w:val="nil"/>
            </w:tcBorders>
            <w:shd w:val="clear" w:color="auto" w:fill="auto"/>
            <w:vAlign w:val="center"/>
          </w:tcPr>
          <w:p w14:paraId="5F4A157D" w14:textId="77777777" w:rsidR="008B7E19" w:rsidRPr="00654762" w:rsidRDefault="008B7E19" w:rsidP="008B7E19">
            <w:pPr>
              <w:keepNext/>
              <w:keepLines/>
              <w:spacing w:before="40" w:after="40"/>
              <w:jc w:val="center"/>
              <w:rPr>
                <w:rFonts w:cs="Arial"/>
                <w:b/>
                <w:spacing w:val="-2"/>
                <w:sz w:val="14"/>
                <w:szCs w:val="14"/>
                <w:lang w:val="en-US"/>
              </w:rPr>
            </w:pPr>
            <w:r w:rsidRPr="0087229B">
              <w:rPr>
                <w:rFonts w:cs="Arial"/>
                <w:b/>
                <w:bCs/>
                <w:spacing w:val="-2"/>
                <w:sz w:val="14"/>
                <w:szCs w:val="14"/>
              </w:rPr>
              <w:t>Consolidated</w:t>
            </w:r>
          </w:p>
        </w:tc>
        <w:tc>
          <w:tcPr>
            <w:tcW w:w="2959" w:type="dxa"/>
            <w:gridSpan w:val="2"/>
            <w:tcBorders>
              <w:top w:val="single" w:sz="2" w:space="0" w:color="1F4E79" w:themeColor="accent1" w:themeShade="80"/>
              <w:bottom w:val="single" w:sz="4" w:space="0" w:color="1F4E79" w:themeColor="accent1" w:themeShade="80"/>
            </w:tcBorders>
            <w:shd w:val="clear" w:color="auto" w:fill="auto"/>
            <w:vAlign w:val="center"/>
          </w:tcPr>
          <w:p w14:paraId="38274755" w14:textId="77777777" w:rsidR="008B7E19" w:rsidRPr="0087229B" w:rsidRDefault="008B7E19" w:rsidP="008B7E19">
            <w:pPr>
              <w:keepNext/>
              <w:keepLines/>
              <w:spacing w:before="40" w:after="40"/>
              <w:jc w:val="center"/>
              <w:rPr>
                <w:rFonts w:cs="Arial"/>
                <w:b/>
                <w:bCs/>
                <w:spacing w:val="-2"/>
                <w:sz w:val="14"/>
                <w:szCs w:val="14"/>
              </w:rPr>
            </w:pPr>
            <w:r w:rsidRPr="0087229B">
              <w:rPr>
                <w:rFonts w:cs="Arial"/>
                <w:b/>
                <w:bCs/>
                <w:spacing w:val="-2"/>
                <w:sz w:val="14"/>
                <w:szCs w:val="14"/>
              </w:rPr>
              <w:t>Consolidated</w:t>
            </w:r>
          </w:p>
        </w:tc>
      </w:tr>
      <w:tr w:rsidR="008B7E19" w:rsidRPr="009A7D77" w14:paraId="15FBEE53" w14:textId="77777777" w:rsidTr="008B7E19">
        <w:trPr>
          <w:trHeight w:val="238"/>
          <w:jc w:val="center"/>
        </w:trPr>
        <w:tc>
          <w:tcPr>
            <w:tcW w:w="3050" w:type="dxa"/>
            <w:tcBorders>
              <w:top w:val="nil"/>
              <w:bottom w:val="single" w:sz="2" w:space="0" w:color="1F4E79" w:themeColor="accent1" w:themeShade="80"/>
            </w:tcBorders>
            <w:shd w:val="clear" w:color="auto" w:fill="auto"/>
          </w:tcPr>
          <w:p w14:paraId="5021B432" w14:textId="77777777" w:rsidR="008B7E19" w:rsidRPr="009A7D77" w:rsidRDefault="008B7E19" w:rsidP="008B7E19">
            <w:pPr>
              <w:keepNext/>
              <w:keepLines/>
              <w:tabs>
                <w:tab w:val="left" w:pos="2244"/>
                <w:tab w:val="center" w:pos="3294"/>
                <w:tab w:val="left" w:pos="4208"/>
                <w:tab w:val="left" w:pos="5816"/>
                <w:tab w:val="left" w:pos="5872"/>
              </w:tabs>
              <w:spacing w:before="40" w:after="40"/>
              <w:jc w:val="right"/>
              <w:rPr>
                <w:rFonts w:cs="Arial"/>
                <w:b/>
                <w:spacing w:val="-2"/>
                <w:sz w:val="14"/>
                <w:szCs w:val="14"/>
              </w:rPr>
            </w:pPr>
          </w:p>
        </w:tc>
        <w:tc>
          <w:tcPr>
            <w:tcW w:w="488" w:type="dxa"/>
            <w:tcBorders>
              <w:top w:val="nil"/>
              <w:bottom w:val="single" w:sz="2" w:space="0" w:color="1F4E79" w:themeColor="accent1" w:themeShade="80"/>
            </w:tcBorders>
            <w:shd w:val="clear" w:color="auto" w:fill="auto"/>
          </w:tcPr>
          <w:p w14:paraId="380AB915" w14:textId="77777777" w:rsidR="008B7E19" w:rsidRPr="009A7D77" w:rsidRDefault="008B7E19" w:rsidP="008B7E19">
            <w:pPr>
              <w:keepNext/>
              <w:keepLines/>
              <w:spacing w:before="40" w:after="40"/>
              <w:rPr>
                <w:rFonts w:cs="Arial"/>
                <w:b/>
                <w:spacing w:val="-2"/>
                <w:sz w:val="14"/>
                <w:szCs w:val="14"/>
              </w:rPr>
            </w:pPr>
          </w:p>
        </w:tc>
        <w:tc>
          <w:tcPr>
            <w:tcW w:w="1397" w:type="dxa"/>
            <w:gridSpan w:val="2"/>
            <w:tcBorders>
              <w:top w:val="single" w:sz="4" w:space="0" w:color="auto"/>
              <w:bottom w:val="single" w:sz="4" w:space="0" w:color="auto"/>
            </w:tcBorders>
            <w:shd w:val="clear" w:color="auto" w:fill="auto"/>
          </w:tcPr>
          <w:p w14:paraId="0E6B2915" w14:textId="77777777" w:rsidR="008B7E19" w:rsidRPr="009A7D77" w:rsidRDefault="008B7E19" w:rsidP="008B7E19">
            <w:pPr>
              <w:keepNext/>
              <w:keepLines/>
              <w:spacing w:before="40" w:after="40"/>
              <w:jc w:val="right"/>
              <w:rPr>
                <w:rFonts w:cs="Arial"/>
                <w:b/>
                <w:spacing w:val="-2"/>
                <w:sz w:val="14"/>
                <w:szCs w:val="14"/>
              </w:rPr>
            </w:pPr>
            <w:r w:rsidRPr="003E6939">
              <w:rPr>
                <w:rFonts w:cs="Arial"/>
                <w:b/>
                <w:sz w:val="14"/>
                <w:szCs w:val="14"/>
              </w:rPr>
              <w:t>2</w:t>
            </w:r>
            <w:r w:rsidRPr="003E6939">
              <w:rPr>
                <w:rFonts w:cs="Arial"/>
                <w:b/>
                <w:sz w:val="14"/>
                <w:szCs w:val="14"/>
                <w:vertAlign w:val="superscript"/>
              </w:rPr>
              <w:t>nd</w:t>
            </w:r>
            <w:r w:rsidRPr="003E6939">
              <w:rPr>
                <w:rFonts w:cs="Arial"/>
                <w:b/>
                <w:sz w:val="14"/>
                <w:szCs w:val="14"/>
              </w:rPr>
              <w:t xml:space="preserve"> Quarter 202</w:t>
            </w:r>
            <w:r>
              <w:rPr>
                <w:rFonts w:cs="Arial"/>
                <w:b/>
                <w:sz w:val="14"/>
                <w:szCs w:val="14"/>
              </w:rPr>
              <w:t>3</w:t>
            </w:r>
          </w:p>
        </w:tc>
        <w:tc>
          <w:tcPr>
            <w:tcW w:w="1507" w:type="dxa"/>
            <w:tcBorders>
              <w:top w:val="single" w:sz="4" w:space="0" w:color="auto"/>
              <w:bottom w:val="single" w:sz="4" w:space="0" w:color="auto"/>
            </w:tcBorders>
            <w:shd w:val="clear" w:color="auto" w:fill="auto"/>
          </w:tcPr>
          <w:p w14:paraId="4013C4EC" w14:textId="77777777" w:rsidR="008B7E19" w:rsidRPr="009A7D77" w:rsidRDefault="008B7E19" w:rsidP="008B7E19">
            <w:pPr>
              <w:keepNext/>
              <w:keepLines/>
              <w:spacing w:before="40" w:after="40"/>
              <w:jc w:val="right"/>
              <w:rPr>
                <w:rFonts w:cs="Arial"/>
                <w:b/>
                <w:spacing w:val="-2"/>
                <w:sz w:val="14"/>
                <w:szCs w:val="14"/>
              </w:rPr>
            </w:pPr>
            <w:r w:rsidRPr="001821C3">
              <w:rPr>
                <w:rFonts w:cs="Arial"/>
                <w:b/>
                <w:sz w:val="14"/>
                <w:szCs w:val="14"/>
              </w:rPr>
              <w:t>1</w:t>
            </w:r>
            <w:r w:rsidRPr="001821C3">
              <w:rPr>
                <w:rFonts w:cs="Arial"/>
                <w:b/>
                <w:sz w:val="14"/>
                <w:szCs w:val="14"/>
                <w:vertAlign w:val="superscript"/>
              </w:rPr>
              <w:t>st</w:t>
            </w:r>
            <w:r w:rsidRPr="001821C3">
              <w:rPr>
                <w:rFonts w:cs="Arial"/>
                <w:b/>
                <w:sz w:val="14"/>
                <w:szCs w:val="14"/>
              </w:rPr>
              <w:t xml:space="preserve"> </w:t>
            </w:r>
            <w:r>
              <w:rPr>
                <w:rFonts w:cs="Arial"/>
                <w:b/>
                <w:sz w:val="14"/>
                <w:szCs w:val="14"/>
              </w:rPr>
              <w:t>Half</w:t>
            </w:r>
            <w:r w:rsidRPr="001821C3">
              <w:rPr>
                <w:rFonts w:cs="Arial"/>
                <w:b/>
                <w:sz w:val="14"/>
                <w:szCs w:val="14"/>
              </w:rPr>
              <w:t xml:space="preserve"> 202</w:t>
            </w:r>
            <w:r>
              <w:rPr>
                <w:rFonts w:cs="Arial"/>
                <w:b/>
                <w:sz w:val="14"/>
                <w:szCs w:val="14"/>
              </w:rPr>
              <w:t>3</w:t>
            </w:r>
          </w:p>
        </w:tc>
        <w:tc>
          <w:tcPr>
            <w:tcW w:w="238" w:type="dxa"/>
            <w:tcBorders>
              <w:top w:val="nil"/>
              <w:bottom w:val="single" w:sz="2" w:space="0" w:color="1F4E79" w:themeColor="accent1" w:themeShade="80"/>
            </w:tcBorders>
            <w:shd w:val="clear" w:color="auto" w:fill="auto"/>
            <w:vAlign w:val="center"/>
          </w:tcPr>
          <w:p w14:paraId="517677B6" w14:textId="77777777" w:rsidR="008B7E19" w:rsidRPr="009A7D77" w:rsidRDefault="008B7E19" w:rsidP="008B7E19">
            <w:pPr>
              <w:keepNext/>
              <w:keepLines/>
              <w:spacing w:before="40" w:after="40"/>
              <w:jc w:val="right"/>
              <w:rPr>
                <w:rFonts w:cs="Arial"/>
                <w:b/>
                <w:spacing w:val="-2"/>
                <w:sz w:val="14"/>
                <w:szCs w:val="14"/>
              </w:rPr>
            </w:pPr>
          </w:p>
        </w:tc>
        <w:tc>
          <w:tcPr>
            <w:tcW w:w="1401" w:type="dxa"/>
            <w:tcBorders>
              <w:top w:val="single" w:sz="4" w:space="0" w:color="1F4E79" w:themeColor="accent1" w:themeShade="80"/>
              <w:bottom w:val="single" w:sz="2" w:space="0" w:color="1F4E79" w:themeColor="accent1" w:themeShade="80"/>
            </w:tcBorders>
            <w:shd w:val="clear" w:color="auto" w:fill="auto"/>
          </w:tcPr>
          <w:p w14:paraId="48DB6320" w14:textId="77777777" w:rsidR="008B7E19" w:rsidRPr="009A7D77" w:rsidRDefault="008B7E19" w:rsidP="008B7E19">
            <w:pPr>
              <w:keepNext/>
              <w:keepLines/>
              <w:spacing w:before="40" w:after="40"/>
              <w:jc w:val="right"/>
              <w:rPr>
                <w:rFonts w:cs="Arial"/>
                <w:b/>
                <w:spacing w:val="-2"/>
                <w:sz w:val="14"/>
                <w:szCs w:val="14"/>
              </w:rPr>
            </w:pPr>
            <w:r w:rsidRPr="003E6939">
              <w:rPr>
                <w:rFonts w:cs="Arial"/>
                <w:b/>
                <w:sz w:val="14"/>
                <w:szCs w:val="14"/>
              </w:rPr>
              <w:t>2</w:t>
            </w:r>
            <w:r w:rsidRPr="003E6939">
              <w:rPr>
                <w:rFonts w:cs="Arial"/>
                <w:b/>
                <w:sz w:val="14"/>
                <w:szCs w:val="14"/>
                <w:vertAlign w:val="superscript"/>
              </w:rPr>
              <w:t>nd</w:t>
            </w:r>
            <w:r w:rsidRPr="003E6939">
              <w:rPr>
                <w:rFonts w:cs="Arial"/>
                <w:b/>
                <w:sz w:val="14"/>
                <w:szCs w:val="14"/>
              </w:rPr>
              <w:t xml:space="preserve"> Quarter 202</w:t>
            </w:r>
            <w:r>
              <w:rPr>
                <w:rFonts w:cs="Arial"/>
                <w:b/>
                <w:sz w:val="14"/>
                <w:szCs w:val="14"/>
              </w:rPr>
              <w:t>2</w:t>
            </w:r>
          </w:p>
        </w:tc>
        <w:tc>
          <w:tcPr>
            <w:tcW w:w="1558" w:type="dxa"/>
            <w:tcBorders>
              <w:top w:val="single" w:sz="4" w:space="0" w:color="1F4E79" w:themeColor="accent1" w:themeShade="80"/>
              <w:bottom w:val="single" w:sz="2" w:space="0" w:color="1F4E79" w:themeColor="accent1" w:themeShade="80"/>
            </w:tcBorders>
            <w:shd w:val="clear" w:color="auto" w:fill="auto"/>
          </w:tcPr>
          <w:p w14:paraId="23768C95" w14:textId="77777777" w:rsidR="008B7E19" w:rsidRPr="009A7D77" w:rsidRDefault="008B7E19" w:rsidP="008B7E19">
            <w:pPr>
              <w:keepNext/>
              <w:keepLines/>
              <w:spacing w:before="40" w:after="40"/>
              <w:jc w:val="right"/>
              <w:rPr>
                <w:rFonts w:cs="Arial"/>
                <w:b/>
                <w:spacing w:val="-2"/>
                <w:sz w:val="14"/>
                <w:szCs w:val="14"/>
              </w:rPr>
            </w:pPr>
            <w:r w:rsidRPr="001821C3">
              <w:rPr>
                <w:rFonts w:cs="Arial"/>
                <w:b/>
                <w:sz w:val="14"/>
                <w:szCs w:val="14"/>
              </w:rPr>
              <w:t>1</w:t>
            </w:r>
            <w:r w:rsidRPr="001821C3">
              <w:rPr>
                <w:rFonts w:cs="Arial"/>
                <w:b/>
                <w:sz w:val="14"/>
                <w:szCs w:val="14"/>
                <w:vertAlign w:val="superscript"/>
              </w:rPr>
              <w:t>st</w:t>
            </w:r>
            <w:r w:rsidRPr="001821C3">
              <w:rPr>
                <w:rFonts w:cs="Arial"/>
                <w:b/>
                <w:sz w:val="14"/>
                <w:szCs w:val="14"/>
              </w:rPr>
              <w:t xml:space="preserve"> </w:t>
            </w:r>
            <w:r>
              <w:rPr>
                <w:rFonts w:cs="Arial"/>
                <w:b/>
                <w:sz w:val="14"/>
                <w:szCs w:val="14"/>
              </w:rPr>
              <w:t>Half</w:t>
            </w:r>
            <w:r w:rsidRPr="001821C3">
              <w:rPr>
                <w:rFonts w:cs="Arial"/>
                <w:b/>
                <w:sz w:val="14"/>
                <w:szCs w:val="14"/>
              </w:rPr>
              <w:t xml:space="preserve"> 2022</w:t>
            </w:r>
          </w:p>
        </w:tc>
      </w:tr>
      <w:tr w:rsidR="008B7E19" w:rsidRPr="00A47279" w14:paraId="43E2FD05" w14:textId="77777777" w:rsidTr="008B7E19">
        <w:trPr>
          <w:trHeight w:val="238"/>
          <w:jc w:val="center"/>
        </w:trPr>
        <w:tc>
          <w:tcPr>
            <w:tcW w:w="3050" w:type="dxa"/>
            <w:tcBorders>
              <w:top w:val="single" w:sz="2" w:space="0" w:color="1F4E79" w:themeColor="accent1" w:themeShade="80"/>
              <w:bottom w:val="nil"/>
            </w:tcBorders>
            <w:shd w:val="clear" w:color="auto" w:fill="auto"/>
          </w:tcPr>
          <w:p w14:paraId="7CF2907C" w14:textId="77777777" w:rsidR="008B7E19" w:rsidRPr="00A47279" w:rsidRDefault="008B7E19" w:rsidP="008B7E19">
            <w:pPr>
              <w:pStyle w:val="08-Tabelageral"/>
              <w:jc w:val="left"/>
              <w:rPr>
                <w:rFonts w:cs="Arial"/>
                <w:szCs w:val="14"/>
                <w:vertAlign w:val="superscript"/>
              </w:rPr>
            </w:pPr>
            <w:r w:rsidRPr="00A370E1">
              <w:rPr>
                <w:rFonts w:cs="Arial"/>
                <w:szCs w:val="14"/>
              </w:rPr>
              <w:t>Administrative cost products</w:t>
            </w:r>
          </w:p>
        </w:tc>
        <w:tc>
          <w:tcPr>
            <w:tcW w:w="488" w:type="dxa"/>
            <w:tcBorders>
              <w:top w:val="single" w:sz="2" w:space="0" w:color="1F4E79" w:themeColor="accent1" w:themeShade="80"/>
              <w:bottom w:val="nil"/>
            </w:tcBorders>
            <w:shd w:val="clear" w:color="auto" w:fill="auto"/>
          </w:tcPr>
          <w:p w14:paraId="009DD6F1" w14:textId="77777777" w:rsidR="008B7E19" w:rsidRPr="00A47279" w:rsidRDefault="008B7E19" w:rsidP="008B7E19">
            <w:pPr>
              <w:pStyle w:val="08-Tabelageral"/>
              <w:rPr>
                <w:rFonts w:cs="Arial"/>
                <w:szCs w:val="14"/>
              </w:rPr>
            </w:pPr>
          </w:p>
        </w:tc>
        <w:tc>
          <w:tcPr>
            <w:tcW w:w="1397" w:type="dxa"/>
            <w:gridSpan w:val="2"/>
            <w:tcBorders>
              <w:top w:val="single" w:sz="2" w:space="0" w:color="1F4E79" w:themeColor="accent1" w:themeShade="80"/>
            </w:tcBorders>
            <w:shd w:val="clear" w:color="auto" w:fill="auto"/>
            <w:vAlign w:val="center"/>
          </w:tcPr>
          <w:p w14:paraId="424B92A0" w14:textId="77777777" w:rsidR="008B7E19" w:rsidRPr="00A47279" w:rsidRDefault="008B7E19" w:rsidP="008B7E19">
            <w:pPr>
              <w:pStyle w:val="08-Tabelageral"/>
            </w:pPr>
            <w:r w:rsidRPr="007A162A">
              <w:t>(32</w:t>
            </w:r>
            <w:r>
              <w:t>,</w:t>
            </w:r>
            <w:r w:rsidRPr="007A162A">
              <w:t>843)</w:t>
            </w:r>
          </w:p>
        </w:tc>
        <w:tc>
          <w:tcPr>
            <w:tcW w:w="1507" w:type="dxa"/>
            <w:tcBorders>
              <w:top w:val="single" w:sz="2" w:space="0" w:color="1F4E79" w:themeColor="accent1" w:themeShade="80"/>
            </w:tcBorders>
            <w:shd w:val="clear" w:color="auto" w:fill="auto"/>
            <w:vAlign w:val="center"/>
          </w:tcPr>
          <w:p w14:paraId="6844CB02" w14:textId="77777777" w:rsidR="008B7E19" w:rsidRPr="00A47279" w:rsidRDefault="008B7E19" w:rsidP="008B7E19">
            <w:pPr>
              <w:pStyle w:val="08-Tabelageral"/>
            </w:pPr>
            <w:r w:rsidRPr="00DA2D53">
              <w:t>(65</w:t>
            </w:r>
            <w:r>
              <w:t>,</w:t>
            </w:r>
            <w:r w:rsidRPr="00DA2D53">
              <w:t>445)</w:t>
            </w:r>
          </w:p>
        </w:tc>
        <w:tc>
          <w:tcPr>
            <w:tcW w:w="238" w:type="dxa"/>
            <w:tcBorders>
              <w:top w:val="single" w:sz="2" w:space="0" w:color="1F4E79" w:themeColor="accent1" w:themeShade="80"/>
              <w:bottom w:val="nil"/>
            </w:tcBorders>
            <w:shd w:val="clear" w:color="auto" w:fill="auto"/>
            <w:vAlign w:val="center"/>
          </w:tcPr>
          <w:p w14:paraId="322CEA96" w14:textId="77777777" w:rsidR="008B7E19" w:rsidRPr="00A47279" w:rsidRDefault="008B7E19" w:rsidP="008B7E19">
            <w:pPr>
              <w:pStyle w:val="08-Tabelageral"/>
              <w:rPr>
                <w:rFonts w:cs="Arial"/>
                <w:szCs w:val="14"/>
              </w:rPr>
            </w:pPr>
          </w:p>
        </w:tc>
        <w:tc>
          <w:tcPr>
            <w:tcW w:w="1401" w:type="dxa"/>
            <w:tcBorders>
              <w:top w:val="single" w:sz="2" w:space="0" w:color="1F4E79" w:themeColor="accent1" w:themeShade="80"/>
            </w:tcBorders>
            <w:shd w:val="clear" w:color="auto" w:fill="auto"/>
            <w:vAlign w:val="center"/>
          </w:tcPr>
          <w:p w14:paraId="003054B0" w14:textId="77777777" w:rsidR="008B7E19" w:rsidRPr="00A47279" w:rsidRDefault="008B7E19" w:rsidP="008B7E19">
            <w:pPr>
              <w:pStyle w:val="08-Tabelageral"/>
            </w:pPr>
            <w:r w:rsidRPr="00D445A6">
              <w:t>(34</w:t>
            </w:r>
            <w:r>
              <w:t>,</w:t>
            </w:r>
            <w:r w:rsidRPr="00D445A6">
              <w:t>292)</w:t>
            </w:r>
          </w:p>
        </w:tc>
        <w:tc>
          <w:tcPr>
            <w:tcW w:w="1558" w:type="dxa"/>
            <w:tcBorders>
              <w:top w:val="single" w:sz="2" w:space="0" w:color="1F4E79" w:themeColor="accent1" w:themeShade="80"/>
              <w:bottom w:val="nil"/>
            </w:tcBorders>
            <w:shd w:val="clear" w:color="auto" w:fill="auto"/>
            <w:vAlign w:val="center"/>
          </w:tcPr>
          <w:p w14:paraId="592D8F65" w14:textId="77777777" w:rsidR="008B7E19" w:rsidRPr="00A47279" w:rsidRDefault="008B7E19" w:rsidP="008B7E19">
            <w:pPr>
              <w:pStyle w:val="08-Tabelageral"/>
            </w:pPr>
            <w:r w:rsidRPr="00D445A6">
              <w:t>(65</w:t>
            </w:r>
            <w:r>
              <w:t>,</w:t>
            </w:r>
            <w:r w:rsidRPr="00D445A6">
              <w:t>428)</w:t>
            </w:r>
          </w:p>
        </w:tc>
      </w:tr>
      <w:tr w:rsidR="008B7E19" w:rsidRPr="00A47279" w14:paraId="7BE61A98" w14:textId="77777777" w:rsidTr="008B7E19">
        <w:trPr>
          <w:trHeight w:val="238"/>
          <w:jc w:val="center"/>
        </w:trPr>
        <w:tc>
          <w:tcPr>
            <w:tcW w:w="3050" w:type="dxa"/>
            <w:tcBorders>
              <w:top w:val="nil"/>
            </w:tcBorders>
            <w:shd w:val="clear" w:color="auto" w:fill="auto"/>
          </w:tcPr>
          <w:p w14:paraId="76117D2F" w14:textId="77777777" w:rsidR="008B7E19" w:rsidRPr="00A47279" w:rsidRDefault="008B7E19" w:rsidP="008B7E19">
            <w:pPr>
              <w:pStyle w:val="08-Tabelageral"/>
              <w:jc w:val="left"/>
              <w:rPr>
                <w:rFonts w:cs="Arial"/>
                <w:szCs w:val="14"/>
              </w:rPr>
            </w:pPr>
            <w:r w:rsidRPr="00A370E1">
              <w:rPr>
                <w:rFonts w:cs="Arial"/>
                <w:szCs w:val="14"/>
              </w:rPr>
              <w:t>Operational support cost</w:t>
            </w:r>
          </w:p>
        </w:tc>
        <w:tc>
          <w:tcPr>
            <w:tcW w:w="488" w:type="dxa"/>
            <w:tcBorders>
              <w:top w:val="nil"/>
            </w:tcBorders>
            <w:shd w:val="clear" w:color="auto" w:fill="auto"/>
          </w:tcPr>
          <w:p w14:paraId="17FC6226" w14:textId="77777777" w:rsidR="008B7E19" w:rsidRPr="00A47279" w:rsidRDefault="008B7E19" w:rsidP="008B7E19">
            <w:pPr>
              <w:pStyle w:val="08-Tabelageral"/>
              <w:rPr>
                <w:rFonts w:cs="Arial"/>
                <w:szCs w:val="14"/>
              </w:rPr>
            </w:pPr>
          </w:p>
        </w:tc>
        <w:tc>
          <w:tcPr>
            <w:tcW w:w="1397" w:type="dxa"/>
            <w:gridSpan w:val="2"/>
            <w:shd w:val="clear" w:color="auto" w:fill="auto"/>
            <w:vAlign w:val="center"/>
          </w:tcPr>
          <w:p w14:paraId="484DF8D6" w14:textId="77777777" w:rsidR="008B7E19" w:rsidRPr="00A47279" w:rsidRDefault="008B7E19" w:rsidP="008B7E19">
            <w:pPr>
              <w:pStyle w:val="08-Tabelageral"/>
            </w:pPr>
            <w:r w:rsidRPr="007A162A">
              <w:t>(12</w:t>
            </w:r>
            <w:r>
              <w:t>,</w:t>
            </w:r>
            <w:r w:rsidRPr="007A162A">
              <w:t>915)</w:t>
            </w:r>
          </w:p>
        </w:tc>
        <w:tc>
          <w:tcPr>
            <w:tcW w:w="1507" w:type="dxa"/>
            <w:shd w:val="clear" w:color="auto" w:fill="auto"/>
            <w:vAlign w:val="center"/>
          </w:tcPr>
          <w:p w14:paraId="725009F3" w14:textId="77777777" w:rsidR="008B7E19" w:rsidRPr="00A47279" w:rsidRDefault="008B7E19" w:rsidP="008B7E19">
            <w:pPr>
              <w:pStyle w:val="08-Tabelageral"/>
            </w:pPr>
            <w:r w:rsidRPr="00DA2D53">
              <w:t>(24</w:t>
            </w:r>
            <w:r>
              <w:t>,</w:t>
            </w:r>
            <w:r w:rsidRPr="00DA2D53">
              <w:t>910)</w:t>
            </w:r>
          </w:p>
        </w:tc>
        <w:tc>
          <w:tcPr>
            <w:tcW w:w="238" w:type="dxa"/>
            <w:tcBorders>
              <w:top w:val="nil"/>
            </w:tcBorders>
            <w:shd w:val="clear" w:color="auto" w:fill="auto"/>
            <w:vAlign w:val="center"/>
          </w:tcPr>
          <w:p w14:paraId="039A91D0" w14:textId="77777777" w:rsidR="008B7E19" w:rsidRPr="00A47279" w:rsidRDefault="008B7E19" w:rsidP="008B7E19">
            <w:pPr>
              <w:pStyle w:val="08-Tabelageral"/>
              <w:rPr>
                <w:rFonts w:cs="Arial"/>
                <w:szCs w:val="14"/>
              </w:rPr>
            </w:pPr>
          </w:p>
        </w:tc>
        <w:tc>
          <w:tcPr>
            <w:tcW w:w="1401" w:type="dxa"/>
            <w:shd w:val="clear" w:color="auto" w:fill="auto"/>
            <w:vAlign w:val="center"/>
          </w:tcPr>
          <w:p w14:paraId="5BD886A4" w14:textId="77777777" w:rsidR="008B7E19" w:rsidRPr="00A47279" w:rsidRDefault="008B7E19" w:rsidP="008B7E19">
            <w:pPr>
              <w:pStyle w:val="08-Tabelageral"/>
            </w:pPr>
            <w:r w:rsidRPr="00D445A6">
              <w:t>(12</w:t>
            </w:r>
            <w:r>
              <w:t>,</w:t>
            </w:r>
            <w:r w:rsidRPr="00D445A6">
              <w:t>694)</w:t>
            </w:r>
          </w:p>
        </w:tc>
        <w:tc>
          <w:tcPr>
            <w:tcW w:w="1558" w:type="dxa"/>
            <w:tcBorders>
              <w:top w:val="nil"/>
            </w:tcBorders>
            <w:shd w:val="clear" w:color="auto" w:fill="auto"/>
            <w:vAlign w:val="center"/>
          </w:tcPr>
          <w:p w14:paraId="1CB2369E" w14:textId="77777777" w:rsidR="008B7E19" w:rsidRPr="00A47279" w:rsidRDefault="008B7E19" w:rsidP="008B7E19">
            <w:pPr>
              <w:pStyle w:val="08-Tabelageral"/>
            </w:pPr>
            <w:r w:rsidRPr="00D445A6">
              <w:t>(25</w:t>
            </w:r>
            <w:r>
              <w:t>,</w:t>
            </w:r>
            <w:r w:rsidRPr="00D445A6">
              <w:t>928)</w:t>
            </w:r>
          </w:p>
        </w:tc>
      </w:tr>
      <w:tr w:rsidR="008B7E19" w:rsidRPr="00A47279" w14:paraId="5AE130A5" w14:textId="77777777" w:rsidTr="008B7E19">
        <w:trPr>
          <w:trHeight w:val="238"/>
          <w:jc w:val="center"/>
        </w:trPr>
        <w:tc>
          <w:tcPr>
            <w:tcW w:w="3050" w:type="dxa"/>
            <w:tcBorders>
              <w:bottom w:val="nil"/>
            </w:tcBorders>
            <w:shd w:val="clear" w:color="auto" w:fill="auto"/>
          </w:tcPr>
          <w:p w14:paraId="45973932" w14:textId="77777777" w:rsidR="008B7E19" w:rsidRPr="00A47279" w:rsidRDefault="008B7E19" w:rsidP="008B7E19">
            <w:pPr>
              <w:pStyle w:val="08-Tabelageral"/>
              <w:jc w:val="left"/>
              <w:rPr>
                <w:rFonts w:cs="Arial"/>
                <w:szCs w:val="14"/>
              </w:rPr>
            </w:pPr>
            <w:r w:rsidRPr="00A370E1">
              <w:rPr>
                <w:rFonts w:cs="Arial"/>
                <w:szCs w:val="14"/>
              </w:rPr>
              <w:t>Cost of data processing</w:t>
            </w:r>
          </w:p>
        </w:tc>
        <w:tc>
          <w:tcPr>
            <w:tcW w:w="488" w:type="dxa"/>
            <w:tcBorders>
              <w:bottom w:val="nil"/>
            </w:tcBorders>
            <w:shd w:val="clear" w:color="auto" w:fill="auto"/>
          </w:tcPr>
          <w:p w14:paraId="557A164B" w14:textId="77777777" w:rsidR="008B7E19" w:rsidRPr="00A47279" w:rsidRDefault="008B7E19" w:rsidP="008B7E19">
            <w:pPr>
              <w:pStyle w:val="08-Tabelageral"/>
              <w:rPr>
                <w:rFonts w:cs="Arial"/>
                <w:szCs w:val="14"/>
              </w:rPr>
            </w:pPr>
          </w:p>
        </w:tc>
        <w:tc>
          <w:tcPr>
            <w:tcW w:w="1397" w:type="dxa"/>
            <w:gridSpan w:val="2"/>
            <w:tcBorders>
              <w:bottom w:val="nil"/>
            </w:tcBorders>
            <w:shd w:val="clear" w:color="auto" w:fill="auto"/>
            <w:vAlign w:val="center"/>
          </w:tcPr>
          <w:p w14:paraId="47B62100" w14:textId="77777777" w:rsidR="008B7E19" w:rsidRPr="00A47279" w:rsidRDefault="008B7E19" w:rsidP="008B7E19">
            <w:pPr>
              <w:pStyle w:val="08-Tabelageral"/>
            </w:pPr>
            <w:r w:rsidRPr="007A162A">
              <w:t>(4</w:t>
            </w:r>
            <w:r>
              <w:t>,</w:t>
            </w:r>
            <w:r w:rsidRPr="007A162A">
              <w:t>381)</w:t>
            </w:r>
          </w:p>
        </w:tc>
        <w:tc>
          <w:tcPr>
            <w:tcW w:w="1507" w:type="dxa"/>
            <w:tcBorders>
              <w:bottom w:val="nil"/>
            </w:tcBorders>
            <w:shd w:val="clear" w:color="auto" w:fill="auto"/>
            <w:vAlign w:val="center"/>
          </w:tcPr>
          <w:p w14:paraId="311CCA1A" w14:textId="77777777" w:rsidR="008B7E19" w:rsidRPr="00A47279" w:rsidRDefault="008B7E19" w:rsidP="008B7E19">
            <w:pPr>
              <w:pStyle w:val="08-Tabelageral"/>
            </w:pPr>
            <w:r w:rsidRPr="00DA2D53">
              <w:t>(10</w:t>
            </w:r>
            <w:r>
              <w:t>,</w:t>
            </w:r>
            <w:r w:rsidRPr="00DA2D53">
              <w:t>506)</w:t>
            </w:r>
          </w:p>
        </w:tc>
        <w:tc>
          <w:tcPr>
            <w:tcW w:w="238" w:type="dxa"/>
            <w:tcBorders>
              <w:bottom w:val="nil"/>
            </w:tcBorders>
            <w:shd w:val="clear" w:color="auto" w:fill="auto"/>
            <w:vAlign w:val="center"/>
          </w:tcPr>
          <w:p w14:paraId="38821DC3" w14:textId="77777777" w:rsidR="008B7E19" w:rsidRPr="00A47279" w:rsidRDefault="008B7E19" w:rsidP="008B7E19">
            <w:pPr>
              <w:pStyle w:val="08-Tabelageral"/>
              <w:rPr>
                <w:rFonts w:cs="Arial"/>
                <w:szCs w:val="14"/>
              </w:rPr>
            </w:pPr>
          </w:p>
        </w:tc>
        <w:tc>
          <w:tcPr>
            <w:tcW w:w="1401" w:type="dxa"/>
            <w:tcBorders>
              <w:bottom w:val="nil"/>
            </w:tcBorders>
            <w:shd w:val="clear" w:color="auto" w:fill="auto"/>
            <w:vAlign w:val="center"/>
          </w:tcPr>
          <w:p w14:paraId="72BCA544" w14:textId="77777777" w:rsidR="008B7E19" w:rsidRPr="00A47279" w:rsidRDefault="008B7E19" w:rsidP="008B7E19">
            <w:pPr>
              <w:pStyle w:val="08-Tabelageral"/>
            </w:pPr>
            <w:r w:rsidRPr="00D445A6">
              <w:t>(6</w:t>
            </w:r>
            <w:r>
              <w:t>,</w:t>
            </w:r>
            <w:r w:rsidRPr="00D445A6">
              <w:t>777)</w:t>
            </w:r>
          </w:p>
        </w:tc>
        <w:tc>
          <w:tcPr>
            <w:tcW w:w="1558" w:type="dxa"/>
            <w:tcBorders>
              <w:bottom w:val="nil"/>
            </w:tcBorders>
            <w:shd w:val="clear" w:color="auto" w:fill="auto"/>
            <w:vAlign w:val="center"/>
          </w:tcPr>
          <w:p w14:paraId="4A1D2354" w14:textId="77777777" w:rsidR="008B7E19" w:rsidRPr="00A47279" w:rsidRDefault="008B7E19" w:rsidP="008B7E19">
            <w:pPr>
              <w:pStyle w:val="08-Tabelageral"/>
            </w:pPr>
            <w:r w:rsidRPr="00D445A6">
              <w:t>(10</w:t>
            </w:r>
            <w:r>
              <w:t>,</w:t>
            </w:r>
            <w:r w:rsidRPr="00D445A6">
              <w:t>444)</w:t>
            </w:r>
          </w:p>
        </w:tc>
      </w:tr>
      <w:tr w:rsidR="008B7E19" w:rsidRPr="00FA3D92" w14:paraId="0F7B9B97" w14:textId="77777777" w:rsidTr="008B7E19">
        <w:trPr>
          <w:trHeight w:val="238"/>
          <w:jc w:val="center"/>
        </w:trPr>
        <w:tc>
          <w:tcPr>
            <w:tcW w:w="3050" w:type="dxa"/>
            <w:tcBorders>
              <w:top w:val="nil"/>
              <w:bottom w:val="single" w:sz="2" w:space="0" w:color="1F4E79" w:themeColor="accent1" w:themeShade="80"/>
            </w:tcBorders>
            <w:shd w:val="clear" w:color="auto" w:fill="auto"/>
          </w:tcPr>
          <w:p w14:paraId="0C140FB3" w14:textId="77777777" w:rsidR="008B7E19" w:rsidRPr="00FA3D92" w:rsidRDefault="008B7E19" w:rsidP="008B7E19">
            <w:pPr>
              <w:keepNext/>
              <w:keepLines/>
              <w:spacing w:before="40" w:after="40"/>
              <w:rPr>
                <w:rFonts w:cs="Arial"/>
                <w:b/>
                <w:bCs/>
                <w:spacing w:val="-2"/>
                <w:sz w:val="14"/>
                <w:szCs w:val="14"/>
              </w:rPr>
            </w:pPr>
            <w:r w:rsidRPr="00FA3D92">
              <w:rPr>
                <w:rFonts w:cs="Arial"/>
                <w:b/>
                <w:bCs/>
                <w:spacing w:val="-2"/>
                <w:sz w:val="14"/>
                <w:szCs w:val="14"/>
              </w:rPr>
              <w:t>Total</w:t>
            </w:r>
          </w:p>
        </w:tc>
        <w:tc>
          <w:tcPr>
            <w:tcW w:w="488" w:type="dxa"/>
            <w:tcBorders>
              <w:top w:val="nil"/>
              <w:bottom w:val="single" w:sz="2" w:space="0" w:color="1F4E79" w:themeColor="accent1" w:themeShade="80"/>
            </w:tcBorders>
            <w:shd w:val="clear" w:color="auto" w:fill="auto"/>
          </w:tcPr>
          <w:p w14:paraId="78AAECC3" w14:textId="77777777" w:rsidR="008B7E19" w:rsidRPr="00FA3D92" w:rsidRDefault="008B7E19" w:rsidP="008B7E19">
            <w:pPr>
              <w:keepNext/>
              <w:keepLines/>
              <w:spacing w:before="40" w:after="40"/>
              <w:jc w:val="center"/>
              <w:rPr>
                <w:rFonts w:cs="Arial"/>
                <w:b/>
                <w:bCs/>
                <w:spacing w:val="-2"/>
                <w:sz w:val="14"/>
                <w:szCs w:val="14"/>
              </w:rPr>
            </w:pPr>
          </w:p>
        </w:tc>
        <w:tc>
          <w:tcPr>
            <w:tcW w:w="1397" w:type="dxa"/>
            <w:gridSpan w:val="2"/>
            <w:tcBorders>
              <w:top w:val="nil"/>
              <w:bottom w:val="single" w:sz="2" w:space="0" w:color="1F4E79" w:themeColor="accent1" w:themeShade="80"/>
            </w:tcBorders>
            <w:shd w:val="clear" w:color="auto" w:fill="auto"/>
            <w:vAlign w:val="center"/>
          </w:tcPr>
          <w:p w14:paraId="5049F185" w14:textId="77777777" w:rsidR="008B7E19" w:rsidRPr="00FA3D92" w:rsidRDefault="008B7E19" w:rsidP="008B7E19">
            <w:pPr>
              <w:pStyle w:val="08-Tabelageral"/>
              <w:rPr>
                <w:b/>
                <w:bCs/>
              </w:rPr>
            </w:pPr>
            <w:r w:rsidRPr="007E35BA">
              <w:rPr>
                <w:b/>
              </w:rPr>
              <w:t>(50</w:t>
            </w:r>
            <w:r>
              <w:rPr>
                <w:b/>
              </w:rPr>
              <w:t>,</w:t>
            </w:r>
            <w:r w:rsidRPr="007E35BA">
              <w:rPr>
                <w:b/>
              </w:rPr>
              <w:t>139)</w:t>
            </w:r>
          </w:p>
        </w:tc>
        <w:tc>
          <w:tcPr>
            <w:tcW w:w="1507" w:type="dxa"/>
            <w:tcBorders>
              <w:top w:val="nil"/>
              <w:bottom w:val="single" w:sz="2" w:space="0" w:color="1F4E79" w:themeColor="accent1" w:themeShade="80"/>
            </w:tcBorders>
            <w:shd w:val="clear" w:color="auto" w:fill="auto"/>
            <w:vAlign w:val="center"/>
          </w:tcPr>
          <w:p w14:paraId="3FC35EBF" w14:textId="77777777" w:rsidR="008B7E19" w:rsidRPr="00FA3D92" w:rsidRDefault="008B7E19" w:rsidP="008B7E19">
            <w:pPr>
              <w:pStyle w:val="08-Tabelageral"/>
              <w:rPr>
                <w:b/>
                <w:bCs/>
              </w:rPr>
            </w:pPr>
            <w:r w:rsidRPr="007E35BA">
              <w:rPr>
                <w:b/>
              </w:rPr>
              <w:t>(100</w:t>
            </w:r>
            <w:r>
              <w:rPr>
                <w:b/>
              </w:rPr>
              <w:t>,</w:t>
            </w:r>
            <w:r w:rsidRPr="007E35BA">
              <w:rPr>
                <w:b/>
              </w:rPr>
              <w:t>861)</w:t>
            </w:r>
          </w:p>
        </w:tc>
        <w:tc>
          <w:tcPr>
            <w:tcW w:w="238" w:type="dxa"/>
            <w:tcBorders>
              <w:top w:val="nil"/>
              <w:bottom w:val="single" w:sz="2" w:space="0" w:color="1F4E79" w:themeColor="accent1" w:themeShade="80"/>
            </w:tcBorders>
            <w:shd w:val="clear" w:color="auto" w:fill="auto"/>
            <w:vAlign w:val="center"/>
          </w:tcPr>
          <w:p w14:paraId="4516A0A6" w14:textId="77777777" w:rsidR="008B7E19" w:rsidRPr="00FA3D92" w:rsidRDefault="008B7E19" w:rsidP="008B7E19">
            <w:pPr>
              <w:keepNext/>
              <w:keepLines/>
              <w:spacing w:before="40" w:after="40"/>
              <w:jc w:val="right"/>
              <w:rPr>
                <w:rFonts w:cs="Arial"/>
                <w:b/>
                <w:bCs/>
                <w:spacing w:val="-2"/>
                <w:sz w:val="14"/>
                <w:szCs w:val="14"/>
              </w:rPr>
            </w:pPr>
          </w:p>
        </w:tc>
        <w:tc>
          <w:tcPr>
            <w:tcW w:w="1401" w:type="dxa"/>
            <w:tcBorders>
              <w:top w:val="nil"/>
              <w:bottom w:val="single" w:sz="2" w:space="0" w:color="1F4E79" w:themeColor="accent1" w:themeShade="80"/>
            </w:tcBorders>
            <w:shd w:val="clear" w:color="auto" w:fill="auto"/>
            <w:vAlign w:val="center"/>
          </w:tcPr>
          <w:p w14:paraId="101DE34A" w14:textId="77777777" w:rsidR="008B7E19" w:rsidRPr="00FA3D92" w:rsidRDefault="008B7E19" w:rsidP="008B7E19">
            <w:pPr>
              <w:pStyle w:val="08-Tabelageral"/>
              <w:rPr>
                <w:b/>
                <w:bCs/>
              </w:rPr>
            </w:pPr>
            <w:r w:rsidRPr="007E35BA">
              <w:rPr>
                <w:b/>
              </w:rPr>
              <w:t>(53</w:t>
            </w:r>
            <w:r>
              <w:rPr>
                <w:b/>
              </w:rPr>
              <w:t>,</w:t>
            </w:r>
            <w:r w:rsidRPr="007E35BA">
              <w:rPr>
                <w:b/>
              </w:rPr>
              <w:t>763)</w:t>
            </w:r>
          </w:p>
        </w:tc>
        <w:tc>
          <w:tcPr>
            <w:tcW w:w="1558" w:type="dxa"/>
            <w:tcBorders>
              <w:top w:val="nil"/>
              <w:bottom w:val="single" w:sz="2" w:space="0" w:color="1F4E79" w:themeColor="accent1" w:themeShade="80"/>
            </w:tcBorders>
            <w:shd w:val="clear" w:color="auto" w:fill="auto"/>
            <w:vAlign w:val="center"/>
          </w:tcPr>
          <w:p w14:paraId="65A53F55" w14:textId="77777777" w:rsidR="008B7E19" w:rsidRPr="00FA3D92" w:rsidRDefault="008B7E19" w:rsidP="008B7E19">
            <w:pPr>
              <w:pStyle w:val="08-Tabelageral"/>
              <w:rPr>
                <w:b/>
                <w:bCs/>
              </w:rPr>
            </w:pPr>
            <w:r w:rsidRPr="007E35BA">
              <w:rPr>
                <w:b/>
              </w:rPr>
              <w:t>(101</w:t>
            </w:r>
            <w:r>
              <w:rPr>
                <w:b/>
              </w:rPr>
              <w:t>,</w:t>
            </w:r>
            <w:r w:rsidRPr="007E35BA">
              <w:rPr>
                <w:b/>
              </w:rPr>
              <w:t>800)</w:t>
            </w:r>
          </w:p>
        </w:tc>
      </w:tr>
    </w:tbl>
    <w:p w14:paraId="140C9F10" w14:textId="01E7587B" w:rsidR="008B7E19" w:rsidRDefault="008B7E19" w:rsidP="008B7E19">
      <w:pPr>
        <w:pStyle w:val="01-TtulodeNota"/>
        <w:jc w:val="left"/>
        <w:rPr>
          <w:b w:val="0"/>
          <w:sz w:val="18"/>
          <w:szCs w:val="18"/>
          <w:lang w:val="en-US"/>
        </w:rPr>
      </w:pPr>
      <w:r w:rsidRPr="00654762">
        <w:rPr>
          <w:b w:val="0"/>
          <w:sz w:val="18"/>
          <w:szCs w:val="18"/>
          <w:lang w:val="en-US"/>
        </w:rPr>
        <w:t>There are no service costs provided in Parent</w:t>
      </w:r>
      <w:r>
        <w:rPr>
          <w:b w:val="0"/>
          <w:sz w:val="18"/>
          <w:szCs w:val="18"/>
          <w:lang w:val="en-US"/>
        </w:rPr>
        <w:t>.</w:t>
      </w:r>
    </w:p>
    <w:p w14:paraId="233A2733" w14:textId="77777777" w:rsidR="008875E7" w:rsidRPr="008875E7" w:rsidRDefault="008875E7" w:rsidP="008875E7">
      <w:pPr>
        <w:rPr>
          <w:lang w:val="en-US" w:eastAsia="pt-BR"/>
        </w:rPr>
      </w:pPr>
    </w:p>
    <w:p w14:paraId="3660EB8D" w14:textId="509E542F" w:rsidR="008B7E19" w:rsidRPr="008875E7" w:rsidRDefault="008B7E19" w:rsidP="008875E7">
      <w:pPr>
        <w:pStyle w:val="02-TtulodeNota"/>
        <w:rPr>
          <w:bCs/>
          <w:color w:val="1F4E79" w:themeColor="accent1" w:themeShade="80"/>
        </w:rPr>
      </w:pPr>
      <w:bookmarkStart w:id="34" w:name="_Toc141966688"/>
      <w:r w:rsidRPr="008875E7">
        <w:rPr>
          <w:color w:val="1F4E79" w:themeColor="accent1" w:themeShade="80"/>
        </w:rPr>
        <w:t>10 – PERSONNEL EXPENSES</w:t>
      </w:r>
      <w:bookmarkEnd w:id="34"/>
    </w:p>
    <w:p w14:paraId="3F3962FB" w14:textId="77777777" w:rsidR="008B7E19" w:rsidRPr="002A40FF" w:rsidRDefault="008B7E19" w:rsidP="008B7E19">
      <w:pPr>
        <w:pStyle w:val="01-TtulodeNota"/>
        <w:spacing w:before="0" w:after="0"/>
        <w:jc w:val="right"/>
        <w:rPr>
          <w:rFonts w:cs="Arial"/>
          <w:sz w:val="14"/>
          <w:szCs w:val="14"/>
        </w:rPr>
      </w:pPr>
      <w:bookmarkStart w:id="35" w:name="_Hlk109722255"/>
      <w:r w:rsidRPr="002A40FF">
        <w:rPr>
          <w:rFonts w:cs="Arial"/>
          <w:sz w:val="14"/>
          <w:szCs w:val="14"/>
        </w:rPr>
        <w:t>R$ thousand</w:t>
      </w:r>
    </w:p>
    <w:tbl>
      <w:tblPr>
        <w:tblStyle w:val="TabeladeLista6Colorida-nfase510"/>
        <w:tblW w:w="9639" w:type="dxa"/>
        <w:jc w:val="center"/>
        <w:tblInd w:w="0" w:type="dxa"/>
        <w:tblLook w:val="04A0" w:firstRow="1" w:lastRow="0" w:firstColumn="1" w:lastColumn="0" w:noHBand="0" w:noVBand="1"/>
      </w:tblPr>
      <w:tblGrid>
        <w:gridCol w:w="850"/>
        <w:gridCol w:w="2244"/>
        <w:gridCol w:w="604"/>
        <w:gridCol w:w="1411"/>
        <w:gridCol w:w="1412"/>
        <w:gridCol w:w="283"/>
        <w:gridCol w:w="1417"/>
        <w:gridCol w:w="1418"/>
      </w:tblGrid>
      <w:tr w:rsidR="008B7E19" w:rsidRPr="002A40FF" w14:paraId="328F2631" w14:textId="77777777" w:rsidTr="008875E7">
        <w:trPr>
          <w:cnfStyle w:val="100000000000" w:firstRow="1" w:lastRow="0" w:firstColumn="0" w:lastColumn="0" w:oddVBand="0" w:evenVBand="0" w:oddHBand="0" w:evenHBand="0" w:firstRowFirstColumn="0" w:firstRowLastColumn="0" w:lastRowFirstColumn="0" w:lastRowLastColumn="0"/>
          <w:trHeight w:hRule="exact" w:val="283"/>
          <w:jc w:val="center"/>
        </w:trPr>
        <w:tc>
          <w:tcPr>
            <w:cnfStyle w:val="001000000000" w:firstRow="0" w:lastRow="0" w:firstColumn="1" w:lastColumn="0" w:oddVBand="0" w:evenVBand="0" w:oddHBand="0" w:evenHBand="0" w:firstRowFirstColumn="0" w:firstRowLastColumn="0" w:lastRowFirstColumn="0" w:lastRowLastColumn="0"/>
            <w:tcW w:w="850" w:type="dxa"/>
            <w:tcBorders>
              <w:top w:val="single" w:sz="2" w:space="0" w:color="1F4E79" w:themeColor="accent1" w:themeShade="80"/>
              <w:bottom w:val="nil"/>
            </w:tcBorders>
            <w:shd w:val="clear" w:color="auto" w:fill="auto"/>
          </w:tcPr>
          <w:p w14:paraId="1796FA19" w14:textId="77777777" w:rsidR="008B7E19" w:rsidRPr="002A40FF" w:rsidRDefault="008B7E19" w:rsidP="008B7E19">
            <w:pPr>
              <w:pStyle w:val="08-Tabelageral"/>
              <w:jc w:val="center"/>
              <w:rPr>
                <w:rFonts w:cs="Arial"/>
                <w:szCs w:val="14"/>
              </w:rPr>
            </w:pPr>
            <w:bookmarkStart w:id="36" w:name="_Hlk109722238"/>
            <w:bookmarkEnd w:id="35"/>
          </w:p>
        </w:tc>
        <w:tc>
          <w:tcPr>
            <w:tcW w:w="2848" w:type="dxa"/>
            <w:gridSpan w:val="2"/>
            <w:tcBorders>
              <w:top w:val="single" w:sz="2" w:space="0" w:color="1F4E79" w:themeColor="accent1" w:themeShade="80"/>
              <w:bottom w:val="nil"/>
            </w:tcBorders>
            <w:shd w:val="clear" w:color="auto" w:fill="auto"/>
          </w:tcPr>
          <w:p w14:paraId="16054C6E" w14:textId="77777777" w:rsidR="008B7E19" w:rsidRPr="002A40FF" w:rsidRDefault="008B7E19" w:rsidP="008B7E19">
            <w:pPr>
              <w:pStyle w:val="08-Tabelageral"/>
              <w:jc w:val="center"/>
              <w:cnfStyle w:val="100000000000" w:firstRow="1" w:lastRow="0" w:firstColumn="0" w:lastColumn="0" w:oddVBand="0" w:evenVBand="0" w:oddHBand="0" w:evenHBand="0" w:firstRowFirstColumn="0" w:firstRowLastColumn="0" w:lastRowFirstColumn="0" w:lastRowLastColumn="0"/>
              <w:rPr>
                <w:rFonts w:cs="Arial"/>
                <w:szCs w:val="14"/>
              </w:rPr>
            </w:pPr>
          </w:p>
        </w:tc>
        <w:tc>
          <w:tcPr>
            <w:tcW w:w="2823" w:type="dxa"/>
            <w:gridSpan w:val="2"/>
            <w:tcBorders>
              <w:top w:val="single" w:sz="2" w:space="0" w:color="1F4E79" w:themeColor="accent1" w:themeShade="80"/>
              <w:bottom w:val="single" w:sz="4" w:space="0" w:color="1F4E79" w:themeColor="accent1" w:themeShade="80"/>
            </w:tcBorders>
            <w:shd w:val="clear" w:color="auto" w:fill="auto"/>
            <w:vAlign w:val="center"/>
          </w:tcPr>
          <w:p w14:paraId="6451C60A" w14:textId="77777777" w:rsidR="008B7E19" w:rsidRPr="002A40FF" w:rsidRDefault="008B7E19" w:rsidP="008B7E19">
            <w:pPr>
              <w:pStyle w:val="08-Tabelageral"/>
              <w:jc w:val="center"/>
              <w:cnfStyle w:val="100000000000" w:firstRow="1" w:lastRow="0" w:firstColumn="0" w:lastColumn="0" w:oddVBand="0" w:evenVBand="0" w:oddHBand="0" w:evenHBand="0" w:firstRowFirstColumn="0" w:firstRowLastColumn="0" w:lastRowFirstColumn="0" w:lastRowLastColumn="0"/>
              <w:rPr>
                <w:rFonts w:cs="Arial"/>
                <w:szCs w:val="14"/>
              </w:rPr>
            </w:pPr>
            <w:r w:rsidRPr="002A40FF">
              <w:rPr>
                <w:rFonts w:cs="Arial"/>
                <w:szCs w:val="14"/>
              </w:rPr>
              <w:t>Parent</w:t>
            </w:r>
          </w:p>
        </w:tc>
        <w:tc>
          <w:tcPr>
            <w:tcW w:w="283" w:type="dxa"/>
            <w:tcBorders>
              <w:top w:val="single" w:sz="2" w:space="0" w:color="1F4E79" w:themeColor="accent1" w:themeShade="80"/>
              <w:bottom w:val="nil"/>
            </w:tcBorders>
            <w:shd w:val="clear" w:color="auto" w:fill="auto"/>
            <w:vAlign w:val="center"/>
          </w:tcPr>
          <w:p w14:paraId="302762AC" w14:textId="77777777" w:rsidR="008B7E19" w:rsidRPr="002A40FF" w:rsidRDefault="008B7E19" w:rsidP="008B7E19">
            <w:pPr>
              <w:pStyle w:val="08-Tabelageral"/>
              <w:jc w:val="center"/>
              <w:cnfStyle w:val="100000000000" w:firstRow="1" w:lastRow="0" w:firstColumn="0" w:lastColumn="0" w:oddVBand="0" w:evenVBand="0" w:oddHBand="0" w:evenHBand="0" w:firstRowFirstColumn="0" w:firstRowLastColumn="0" w:lastRowFirstColumn="0" w:lastRowLastColumn="0"/>
              <w:rPr>
                <w:rFonts w:cs="Arial"/>
                <w:szCs w:val="14"/>
              </w:rPr>
            </w:pPr>
          </w:p>
        </w:tc>
        <w:tc>
          <w:tcPr>
            <w:tcW w:w="2835" w:type="dxa"/>
            <w:gridSpan w:val="2"/>
            <w:tcBorders>
              <w:top w:val="single" w:sz="2" w:space="0" w:color="1F4E79" w:themeColor="accent1" w:themeShade="80"/>
              <w:bottom w:val="single" w:sz="4" w:space="0" w:color="1F4E79" w:themeColor="accent1" w:themeShade="80"/>
            </w:tcBorders>
            <w:shd w:val="clear" w:color="auto" w:fill="auto"/>
            <w:vAlign w:val="center"/>
          </w:tcPr>
          <w:p w14:paraId="72012FAE" w14:textId="77777777" w:rsidR="008B7E19" w:rsidRPr="002A40FF" w:rsidRDefault="008B7E19" w:rsidP="008B7E19">
            <w:pPr>
              <w:pStyle w:val="08-Tabelageral"/>
              <w:jc w:val="center"/>
              <w:cnfStyle w:val="100000000000" w:firstRow="1" w:lastRow="0" w:firstColumn="0" w:lastColumn="0" w:oddVBand="0" w:evenVBand="0" w:oddHBand="0" w:evenHBand="0" w:firstRowFirstColumn="0" w:firstRowLastColumn="0" w:lastRowFirstColumn="0" w:lastRowLastColumn="0"/>
              <w:rPr>
                <w:rFonts w:cs="Arial"/>
                <w:szCs w:val="14"/>
              </w:rPr>
            </w:pPr>
            <w:r w:rsidRPr="002A40FF">
              <w:rPr>
                <w:rFonts w:cs="Arial"/>
                <w:szCs w:val="14"/>
              </w:rPr>
              <w:t>Consolidated</w:t>
            </w:r>
          </w:p>
        </w:tc>
      </w:tr>
      <w:tr w:rsidR="008B7E19" w:rsidRPr="002A40FF" w14:paraId="6A446B6F" w14:textId="77777777" w:rsidTr="008875E7">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3094" w:type="dxa"/>
            <w:gridSpan w:val="2"/>
            <w:tcBorders>
              <w:top w:val="nil"/>
              <w:bottom w:val="single" w:sz="2" w:space="0" w:color="1F4E79" w:themeColor="accent1" w:themeShade="80"/>
            </w:tcBorders>
            <w:shd w:val="clear" w:color="auto" w:fill="auto"/>
          </w:tcPr>
          <w:p w14:paraId="38B8E292" w14:textId="77777777" w:rsidR="008B7E19" w:rsidRPr="002A40FF" w:rsidRDefault="008B7E19" w:rsidP="008B7E19">
            <w:pPr>
              <w:keepNext/>
              <w:keepLines/>
              <w:spacing w:before="40" w:after="40"/>
              <w:rPr>
                <w:rFonts w:cs="Arial"/>
                <w:spacing w:val="-2"/>
                <w:sz w:val="14"/>
                <w:szCs w:val="14"/>
              </w:rPr>
            </w:pPr>
          </w:p>
        </w:tc>
        <w:tc>
          <w:tcPr>
            <w:tcW w:w="604" w:type="dxa"/>
            <w:tcBorders>
              <w:top w:val="nil"/>
              <w:bottom w:val="single" w:sz="2" w:space="0" w:color="1F4E79" w:themeColor="accent1" w:themeShade="80"/>
            </w:tcBorders>
            <w:shd w:val="clear" w:color="auto" w:fill="auto"/>
          </w:tcPr>
          <w:p w14:paraId="27D8BA6E" w14:textId="77777777" w:rsidR="008B7E19" w:rsidRPr="002A40FF" w:rsidRDefault="008B7E19" w:rsidP="008B7E19">
            <w:pPr>
              <w:keepNext/>
              <w:keepLines/>
              <w:spacing w:before="40" w:after="40"/>
              <w:cnfStyle w:val="000000100000" w:firstRow="0" w:lastRow="0" w:firstColumn="0" w:lastColumn="0" w:oddVBand="0" w:evenVBand="0" w:oddHBand="1" w:evenHBand="0" w:firstRowFirstColumn="0" w:firstRowLastColumn="0" w:lastRowFirstColumn="0" w:lastRowLastColumn="0"/>
              <w:rPr>
                <w:rFonts w:cs="Arial"/>
                <w:b/>
                <w:spacing w:val="-2"/>
                <w:sz w:val="14"/>
                <w:szCs w:val="14"/>
              </w:rPr>
            </w:pPr>
          </w:p>
        </w:tc>
        <w:tc>
          <w:tcPr>
            <w:tcW w:w="1411" w:type="dxa"/>
            <w:tcBorders>
              <w:top w:val="single" w:sz="4" w:space="0" w:color="1F4E79" w:themeColor="accent1" w:themeShade="80"/>
              <w:bottom w:val="single" w:sz="2" w:space="0" w:color="1F4E79" w:themeColor="accent1" w:themeShade="80"/>
            </w:tcBorders>
            <w:shd w:val="clear" w:color="auto" w:fill="auto"/>
          </w:tcPr>
          <w:p w14:paraId="4074DB10" w14:textId="77777777" w:rsidR="008B7E19" w:rsidRPr="002A40FF"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b/>
                <w:spacing w:val="-2"/>
                <w:sz w:val="14"/>
                <w:szCs w:val="14"/>
              </w:rPr>
            </w:pPr>
            <w:r w:rsidRPr="003E6939">
              <w:rPr>
                <w:rFonts w:cs="Arial"/>
                <w:b/>
                <w:sz w:val="14"/>
                <w:szCs w:val="14"/>
              </w:rPr>
              <w:t>2</w:t>
            </w:r>
            <w:r w:rsidRPr="003E6939">
              <w:rPr>
                <w:rFonts w:cs="Arial"/>
                <w:b/>
                <w:sz w:val="14"/>
                <w:szCs w:val="14"/>
                <w:vertAlign w:val="superscript"/>
              </w:rPr>
              <w:t>nd</w:t>
            </w:r>
            <w:r w:rsidRPr="003E6939">
              <w:rPr>
                <w:rFonts w:cs="Arial"/>
                <w:b/>
                <w:sz w:val="14"/>
                <w:szCs w:val="14"/>
              </w:rPr>
              <w:t xml:space="preserve"> Quarter 202</w:t>
            </w:r>
            <w:r>
              <w:rPr>
                <w:rFonts w:cs="Arial"/>
                <w:b/>
                <w:sz w:val="14"/>
                <w:szCs w:val="14"/>
              </w:rPr>
              <w:t>3</w:t>
            </w:r>
          </w:p>
        </w:tc>
        <w:tc>
          <w:tcPr>
            <w:tcW w:w="1412" w:type="dxa"/>
            <w:tcBorders>
              <w:top w:val="single" w:sz="4" w:space="0" w:color="1F4E79" w:themeColor="accent1" w:themeShade="80"/>
              <w:bottom w:val="single" w:sz="2" w:space="0" w:color="1F4E79" w:themeColor="accent1" w:themeShade="80"/>
            </w:tcBorders>
            <w:shd w:val="clear" w:color="auto" w:fill="auto"/>
          </w:tcPr>
          <w:p w14:paraId="5E04CB21" w14:textId="77777777" w:rsidR="008B7E19" w:rsidRPr="002A40FF"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b/>
                <w:spacing w:val="-2"/>
                <w:sz w:val="14"/>
                <w:szCs w:val="14"/>
              </w:rPr>
            </w:pPr>
            <w:r w:rsidRPr="003E6939">
              <w:rPr>
                <w:rFonts w:cs="Arial"/>
                <w:b/>
                <w:sz w:val="14"/>
                <w:szCs w:val="14"/>
              </w:rPr>
              <w:t>2</w:t>
            </w:r>
            <w:r w:rsidRPr="003E6939">
              <w:rPr>
                <w:rFonts w:cs="Arial"/>
                <w:b/>
                <w:sz w:val="14"/>
                <w:szCs w:val="14"/>
                <w:vertAlign w:val="superscript"/>
              </w:rPr>
              <w:t>nd</w:t>
            </w:r>
            <w:r w:rsidRPr="003E6939">
              <w:rPr>
                <w:rFonts w:cs="Arial"/>
                <w:b/>
                <w:sz w:val="14"/>
                <w:szCs w:val="14"/>
              </w:rPr>
              <w:t xml:space="preserve"> Quarter 202</w:t>
            </w:r>
            <w:r>
              <w:rPr>
                <w:rFonts w:cs="Arial"/>
                <w:b/>
                <w:sz w:val="14"/>
                <w:szCs w:val="14"/>
              </w:rPr>
              <w:t>2</w:t>
            </w:r>
          </w:p>
        </w:tc>
        <w:tc>
          <w:tcPr>
            <w:tcW w:w="283" w:type="dxa"/>
            <w:tcBorders>
              <w:top w:val="nil"/>
              <w:bottom w:val="single" w:sz="2" w:space="0" w:color="1F4E79" w:themeColor="accent1" w:themeShade="80"/>
            </w:tcBorders>
            <w:shd w:val="clear" w:color="auto" w:fill="auto"/>
            <w:vAlign w:val="center"/>
          </w:tcPr>
          <w:p w14:paraId="78F1946A" w14:textId="77777777" w:rsidR="008B7E19" w:rsidRPr="002A40FF"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b/>
                <w:spacing w:val="-2"/>
                <w:sz w:val="14"/>
                <w:szCs w:val="14"/>
              </w:rPr>
            </w:pPr>
          </w:p>
        </w:tc>
        <w:tc>
          <w:tcPr>
            <w:tcW w:w="1417" w:type="dxa"/>
            <w:tcBorders>
              <w:top w:val="single" w:sz="4" w:space="0" w:color="1F4E79" w:themeColor="accent1" w:themeShade="80"/>
              <w:bottom w:val="single" w:sz="2" w:space="0" w:color="1F4E79" w:themeColor="accent1" w:themeShade="80"/>
            </w:tcBorders>
            <w:shd w:val="clear" w:color="auto" w:fill="auto"/>
          </w:tcPr>
          <w:p w14:paraId="66D7A822" w14:textId="77777777" w:rsidR="008B7E19" w:rsidRPr="002A40FF"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b/>
                <w:spacing w:val="-2"/>
                <w:sz w:val="14"/>
                <w:szCs w:val="14"/>
              </w:rPr>
            </w:pPr>
            <w:r w:rsidRPr="003E6939">
              <w:rPr>
                <w:rFonts w:cs="Arial"/>
                <w:b/>
                <w:sz w:val="14"/>
                <w:szCs w:val="14"/>
              </w:rPr>
              <w:t>2</w:t>
            </w:r>
            <w:r w:rsidRPr="003E6939">
              <w:rPr>
                <w:rFonts w:cs="Arial"/>
                <w:b/>
                <w:sz w:val="14"/>
                <w:szCs w:val="14"/>
                <w:vertAlign w:val="superscript"/>
              </w:rPr>
              <w:t>nd</w:t>
            </w:r>
            <w:r w:rsidRPr="003E6939">
              <w:rPr>
                <w:rFonts w:cs="Arial"/>
                <w:b/>
                <w:sz w:val="14"/>
                <w:szCs w:val="14"/>
              </w:rPr>
              <w:t xml:space="preserve"> Quarter 202</w:t>
            </w:r>
            <w:r>
              <w:rPr>
                <w:rFonts w:cs="Arial"/>
                <w:b/>
                <w:sz w:val="14"/>
                <w:szCs w:val="14"/>
              </w:rPr>
              <w:t>3</w:t>
            </w:r>
          </w:p>
        </w:tc>
        <w:tc>
          <w:tcPr>
            <w:tcW w:w="1418" w:type="dxa"/>
            <w:tcBorders>
              <w:top w:val="single" w:sz="4" w:space="0" w:color="1F4E79" w:themeColor="accent1" w:themeShade="80"/>
              <w:bottom w:val="single" w:sz="2" w:space="0" w:color="1F4E79" w:themeColor="accent1" w:themeShade="80"/>
            </w:tcBorders>
            <w:shd w:val="clear" w:color="auto" w:fill="auto"/>
          </w:tcPr>
          <w:p w14:paraId="7A5A037A" w14:textId="77777777" w:rsidR="008B7E19" w:rsidRPr="002A40FF"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b/>
                <w:spacing w:val="-2"/>
                <w:sz w:val="14"/>
                <w:szCs w:val="14"/>
              </w:rPr>
            </w:pPr>
            <w:r w:rsidRPr="003E6939">
              <w:rPr>
                <w:rFonts w:cs="Arial"/>
                <w:b/>
                <w:sz w:val="14"/>
                <w:szCs w:val="14"/>
              </w:rPr>
              <w:t>2</w:t>
            </w:r>
            <w:r w:rsidRPr="003E6939">
              <w:rPr>
                <w:rFonts w:cs="Arial"/>
                <w:b/>
                <w:sz w:val="14"/>
                <w:szCs w:val="14"/>
                <w:vertAlign w:val="superscript"/>
              </w:rPr>
              <w:t>nd</w:t>
            </w:r>
            <w:r w:rsidRPr="003E6939">
              <w:rPr>
                <w:rFonts w:cs="Arial"/>
                <w:b/>
                <w:sz w:val="14"/>
                <w:szCs w:val="14"/>
              </w:rPr>
              <w:t xml:space="preserve"> Quarter 202</w:t>
            </w:r>
            <w:r>
              <w:rPr>
                <w:rFonts w:cs="Arial"/>
                <w:b/>
                <w:sz w:val="14"/>
                <w:szCs w:val="14"/>
              </w:rPr>
              <w:t>2</w:t>
            </w:r>
          </w:p>
        </w:tc>
      </w:tr>
      <w:tr w:rsidR="008B7E19" w:rsidRPr="002A40FF" w14:paraId="1B11BB25" w14:textId="77777777" w:rsidTr="008875E7">
        <w:trPr>
          <w:cnfStyle w:val="000000010000" w:firstRow="0" w:lastRow="0" w:firstColumn="0" w:lastColumn="0" w:oddVBand="0" w:evenVBand="0" w:oddHBand="0" w:evenHBand="1"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3094" w:type="dxa"/>
            <w:gridSpan w:val="2"/>
            <w:tcBorders>
              <w:top w:val="single" w:sz="2" w:space="0" w:color="1F4E79" w:themeColor="accent1" w:themeShade="80"/>
              <w:bottom w:val="nil"/>
            </w:tcBorders>
            <w:shd w:val="clear" w:color="auto" w:fill="auto"/>
            <w:vAlign w:val="center"/>
          </w:tcPr>
          <w:p w14:paraId="5DDA74F0" w14:textId="77777777" w:rsidR="008B7E19" w:rsidRPr="00F74EC0" w:rsidRDefault="008B7E19" w:rsidP="008B7E19">
            <w:pPr>
              <w:pStyle w:val="08-Tabelageral"/>
              <w:jc w:val="left"/>
              <w:rPr>
                <w:b w:val="0"/>
                <w:bCs w:val="0"/>
              </w:rPr>
            </w:pPr>
            <w:r w:rsidRPr="00F74EC0">
              <w:rPr>
                <w:b w:val="0"/>
                <w:bCs w:val="0"/>
              </w:rPr>
              <w:t xml:space="preserve">Salaries </w:t>
            </w:r>
          </w:p>
        </w:tc>
        <w:tc>
          <w:tcPr>
            <w:tcW w:w="604" w:type="dxa"/>
            <w:tcBorders>
              <w:top w:val="single" w:sz="2" w:space="0" w:color="1F4E79" w:themeColor="accent1" w:themeShade="80"/>
              <w:bottom w:val="nil"/>
            </w:tcBorders>
            <w:shd w:val="clear" w:color="auto" w:fill="auto"/>
            <w:vAlign w:val="center"/>
          </w:tcPr>
          <w:p w14:paraId="20C4FF72" w14:textId="77777777" w:rsidR="008B7E19" w:rsidRPr="00F74EC0" w:rsidRDefault="008B7E19" w:rsidP="008B7E19">
            <w:pPr>
              <w:pStyle w:val="08-Tabelageral"/>
              <w:cnfStyle w:val="000000010000" w:firstRow="0" w:lastRow="0" w:firstColumn="0" w:lastColumn="0" w:oddVBand="0" w:evenVBand="0" w:oddHBand="0" w:evenHBand="1" w:firstRowFirstColumn="0" w:firstRowLastColumn="0" w:lastRowFirstColumn="0" w:lastRowLastColumn="0"/>
            </w:pPr>
            <w:r w:rsidRPr="00F74EC0">
              <w:t xml:space="preserve">  </w:t>
            </w:r>
          </w:p>
        </w:tc>
        <w:tc>
          <w:tcPr>
            <w:tcW w:w="1411" w:type="dxa"/>
            <w:tcBorders>
              <w:top w:val="single" w:sz="2" w:space="0" w:color="1F4E79" w:themeColor="accent1" w:themeShade="80"/>
              <w:bottom w:val="nil"/>
            </w:tcBorders>
            <w:shd w:val="clear" w:color="auto" w:fill="auto"/>
          </w:tcPr>
          <w:p w14:paraId="40886D3D" w14:textId="77777777" w:rsidR="008B7E19" w:rsidRPr="00F74EC0" w:rsidRDefault="008B7E19" w:rsidP="008B7E19">
            <w:pPr>
              <w:pStyle w:val="08-Tabelageral"/>
              <w:cnfStyle w:val="000000010000" w:firstRow="0" w:lastRow="0" w:firstColumn="0" w:lastColumn="0" w:oddVBand="0" w:evenVBand="0" w:oddHBand="0" w:evenHBand="1" w:firstRowFirstColumn="0" w:firstRowLastColumn="0" w:lastRowFirstColumn="0" w:lastRowLastColumn="0"/>
            </w:pPr>
            <w:r w:rsidRPr="001B761A">
              <w:t>(1</w:t>
            </w:r>
            <w:r>
              <w:t>,</w:t>
            </w:r>
            <w:r w:rsidRPr="001B761A">
              <w:t>736)</w:t>
            </w:r>
          </w:p>
        </w:tc>
        <w:tc>
          <w:tcPr>
            <w:tcW w:w="1412" w:type="dxa"/>
            <w:tcBorders>
              <w:top w:val="single" w:sz="2" w:space="0" w:color="1F4E79" w:themeColor="accent1" w:themeShade="80"/>
              <w:bottom w:val="nil"/>
            </w:tcBorders>
            <w:shd w:val="clear" w:color="auto" w:fill="auto"/>
          </w:tcPr>
          <w:p w14:paraId="4CD3992C" w14:textId="77777777" w:rsidR="008B7E19" w:rsidRPr="00F74EC0" w:rsidRDefault="008B7E19" w:rsidP="008B7E19">
            <w:pPr>
              <w:pStyle w:val="08-Tabelageral"/>
              <w:cnfStyle w:val="000000010000" w:firstRow="0" w:lastRow="0" w:firstColumn="0" w:lastColumn="0" w:oddVBand="0" w:evenVBand="0" w:oddHBand="0" w:evenHBand="1" w:firstRowFirstColumn="0" w:firstRowLastColumn="0" w:lastRowFirstColumn="0" w:lastRowLastColumn="0"/>
            </w:pPr>
            <w:r>
              <w:t>(1,897)</w:t>
            </w:r>
          </w:p>
        </w:tc>
        <w:tc>
          <w:tcPr>
            <w:tcW w:w="283" w:type="dxa"/>
            <w:tcBorders>
              <w:top w:val="single" w:sz="2" w:space="0" w:color="1F4E79" w:themeColor="accent1" w:themeShade="80"/>
              <w:bottom w:val="nil"/>
            </w:tcBorders>
            <w:shd w:val="clear" w:color="auto" w:fill="auto"/>
            <w:vAlign w:val="center"/>
          </w:tcPr>
          <w:p w14:paraId="6CA808EB" w14:textId="77777777" w:rsidR="008B7E19" w:rsidRPr="00F74EC0" w:rsidRDefault="008B7E19" w:rsidP="008B7E19">
            <w:pPr>
              <w:pStyle w:val="08-Tabelageral"/>
              <w:cnfStyle w:val="000000010000" w:firstRow="0" w:lastRow="0" w:firstColumn="0" w:lastColumn="0" w:oddVBand="0" w:evenVBand="0" w:oddHBand="0" w:evenHBand="1" w:firstRowFirstColumn="0" w:firstRowLastColumn="0" w:lastRowFirstColumn="0" w:lastRowLastColumn="0"/>
            </w:pPr>
          </w:p>
        </w:tc>
        <w:tc>
          <w:tcPr>
            <w:tcW w:w="1417" w:type="dxa"/>
            <w:tcBorders>
              <w:top w:val="single" w:sz="2" w:space="0" w:color="1F4E79" w:themeColor="accent1" w:themeShade="80"/>
              <w:bottom w:val="nil"/>
            </w:tcBorders>
            <w:shd w:val="clear" w:color="auto" w:fill="auto"/>
            <w:vAlign w:val="center"/>
          </w:tcPr>
          <w:p w14:paraId="056B1AB5" w14:textId="77777777" w:rsidR="008B7E19" w:rsidRPr="00F74EC0" w:rsidRDefault="008B7E19" w:rsidP="008B7E19">
            <w:pPr>
              <w:pStyle w:val="08-Tabelageral"/>
              <w:cnfStyle w:val="000000010000" w:firstRow="0" w:lastRow="0" w:firstColumn="0" w:lastColumn="0" w:oddVBand="0" w:evenVBand="0" w:oddHBand="0" w:evenHBand="1" w:firstRowFirstColumn="0" w:firstRowLastColumn="0" w:lastRowFirstColumn="0" w:lastRowLastColumn="0"/>
            </w:pPr>
            <w:r w:rsidRPr="001B761A">
              <w:t>(12</w:t>
            </w:r>
            <w:r>
              <w:t>,</w:t>
            </w:r>
            <w:r w:rsidRPr="001B761A">
              <w:t>565)</w:t>
            </w:r>
          </w:p>
        </w:tc>
        <w:tc>
          <w:tcPr>
            <w:tcW w:w="1418" w:type="dxa"/>
            <w:tcBorders>
              <w:top w:val="single" w:sz="2" w:space="0" w:color="1F4E79" w:themeColor="accent1" w:themeShade="80"/>
              <w:bottom w:val="nil"/>
            </w:tcBorders>
            <w:shd w:val="clear" w:color="auto" w:fill="auto"/>
          </w:tcPr>
          <w:p w14:paraId="78EC44A1" w14:textId="77777777" w:rsidR="008B7E19" w:rsidRPr="00F74EC0" w:rsidRDefault="008B7E19" w:rsidP="008B7E19">
            <w:pPr>
              <w:pStyle w:val="08-Tabelageral"/>
              <w:cnfStyle w:val="000000010000" w:firstRow="0" w:lastRow="0" w:firstColumn="0" w:lastColumn="0" w:oddVBand="0" w:evenVBand="0" w:oddHBand="0" w:evenHBand="1" w:firstRowFirstColumn="0" w:firstRowLastColumn="0" w:lastRowFirstColumn="0" w:lastRowLastColumn="0"/>
            </w:pPr>
            <w:r>
              <w:t>(9,564)</w:t>
            </w:r>
          </w:p>
        </w:tc>
      </w:tr>
      <w:tr w:rsidR="008B7E19" w:rsidRPr="002A40FF" w14:paraId="77254EC6" w14:textId="77777777" w:rsidTr="008875E7">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3094" w:type="dxa"/>
            <w:gridSpan w:val="2"/>
            <w:tcBorders>
              <w:top w:val="nil"/>
              <w:bottom w:val="nil"/>
            </w:tcBorders>
            <w:shd w:val="clear" w:color="auto" w:fill="auto"/>
            <w:vAlign w:val="center"/>
          </w:tcPr>
          <w:p w14:paraId="1245283A" w14:textId="77777777" w:rsidR="008B7E19" w:rsidRPr="00F74EC0" w:rsidRDefault="008B7E19" w:rsidP="008B7E19">
            <w:pPr>
              <w:pStyle w:val="08-Tabelageral"/>
              <w:jc w:val="left"/>
              <w:rPr>
                <w:b w:val="0"/>
                <w:bCs w:val="0"/>
              </w:rPr>
            </w:pPr>
            <w:r w:rsidRPr="00F74EC0">
              <w:rPr>
                <w:b w:val="0"/>
                <w:bCs w:val="0"/>
              </w:rPr>
              <w:t>Social security costs</w:t>
            </w:r>
          </w:p>
        </w:tc>
        <w:tc>
          <w:tcPr>
            <w:tcW w:w="604" w:type="dxa"/>
            <w:tcBorders>
              <w:top w:val="nil"/>
              <w:bottom w:val="nil"/>
            </w:tcBorders>
            <w:shd w:val="clear" w:color="auto" w:fill="auto"/>
            <w:vAlign w:val="center"/>
          </w:tcPr>
          <w:p w14:paraId="0224EBE0" w14:textId="77777777" w:rsidR="008B7E19" w:rsidRPr="00F74EC0" w:rsidRDefault="008B7E19" w:rsidP="008B7E19">
            <w:pPr>
              <w:pStyle w:val="08-Tabelageral"/>
              <w:cnfStyle w:val="000000100000" w:firstRow="0" w:lastRow="0" w:firstColumn="0" w:lastColumn="0" w:oddVBand="0" w:evenVBand="0" w:oddHBand="1" w:evenHBand="0" w:firstRowFirstColumn="0" w:firstRowLastColumn="0" w:lastRowFirstColumn="0" w:lastRowLastColumn="0"/>
            </w:pPr>
          </w:p>
        </w:tc>
        <w:tc>
          <w:tcPr>
            <w:tcW w:w="1411" w:type="dxa"/>
            <w:tcBorders>
              <w:top w:val="nil"/>
            </w:tcBorders>
            <w:shd w:val="clear" w:color="auto" w:fill="auto"/>
          </w:tcPr>
          <w:p w14:paraId="5D79A9B2" w14:textId="77777777" w:rsidR="008B7E19" w:rsidRPr="00F74EC0" w:rsidRDefault="008B7E19" w:rsidP="008B7E19">
            <w:pPr>
              <w:pStyle w:val="08-Tabelageral"/>
              <w:cnfStyle w:val="000000100000" w:firstRow="0" w:lastRow="0" w:firstColumn="0" w:lastColumn="0" w:oddVBand="0" w:evenVBand="0" w:oddHBand="1" w:evenHBand="0" w:firstRowFirstColumn="0" w:firstRowLastColumn="0" w:lastRowFirstColumn="0" w:lastRowLastColumn="0"/>
            </w:pPr>
            <w:r w:rsidRPr="001B761A">
              <w:t>(957)</w:t>
            </w:r>
          </w:p>
        </w:tc>
        <w:tc>
          <w:tcPr>
            <w:tcW w:w="1412" w:type="dxa"/>
            <w:tcBorders>
              <w:top w:val="nil"/>
            </w:tcBorders>
            <w:shd w:val="clear" w:color="auto" w:fill="auto"/>
          </w:tcPr>
          <w:p w14:paraId="1F6FE9C9" w14:textId="77777777" w:rsidR="008B7E19" w:rsidRPr="00F74EC0" w:rsidRDefault="008B7E19" w:rsidP="008B7E19">
            <w:pPr>
              <w:pStyle w:val="08-Tabelageral"/>
              <w:cnfStyle w:val="000000100000" w:firstRow="0" w:lastRow="0" w:firstColumn="0" w:lastColumn="0" w:oddVBand="0" w:evenVBand="0" w:oddHBand="1" w:evenHBand="0" w:firstRowFirstColumn="0" w:firstRowLastColumn="0" w:lastRowFirstColumn="0" w:lastRowLastColumn="0"/>
            </w:pPr>
            <w:r>
              <w:t>(1,035)</w:t>
            </w:r>
          </w:p>
        </w:tc>
        <w:tc>
          <w:tcPr>
            <w:tcW w:w="283" w:type="dxa"/>
            <w:tcBorders>
              <w:top w:val="nil"/>
            </w:tcBorders>
            <w:shd w:val="clear" w:color="auto" w:fill="auto"/>
            <w:vAlign w:val="center"/>
          </w:tcPr>
          <w:p w14:paraId="23687F84" w14:textId="77777777" w:rsidR="008B7E19" w:rsidRPr="00F74EC0" w:rsidRDefault="008B7E19" w:rsidP="008B7E19">
            <w:pPr>
              <w:pStyle w:val="08-Tabelageral"/>
              <w:cnfStyle w:val="000000100000" w:firstRow="0" w:lastRow="0" w:firstColumn="0" w:lastColumn="0" w:oddVBand="0" w:evenVBand="0" w:oddHBand="1" w:evenHBand="0" w:firstRowFirstColumn="0" w:firstRowLastColumn="0" w:lastRowFirstColumn="0" w:lastRowLastColumn="0"/>
            </w:pPr>
          </w:p>
        </w:tc>
        <w:tc>
          <w:tcPr>
            <w:tcW w:w="1417" w:type="dxa"/>
            <w:tcBorders>
              <w:top w:val="nil"/>
            </w:tcBorders>
            <w:shd w:val="clear" w:color="auto" w:fill="auto"/>
            <w:vAlign w:val="center"/>
          </w:tcPr>
          <w:p w14:paraId="7AF0A6F8" w14:textId="77777777" w:rsidR="008B7E19" w:rsidRPr="00F74EC0" w:rsidRDefault="008B7E19" w:rsidP="008B7E19">
            <w:pPr>
              <w:pStyle w:val="08-Tabelageral"/>
              <w:cnfStyle w:val="000000100000" w:firstRow="0" w:lastRow="0" w:firstColumn="0" w:lastColumn="0" w:oddVBand="0" w:evenVBand="0" w:oddHBand="1" w:evenHBand="0" w:firstRowFirstColumn="0" w:firstRowLastColumn="0" w:lastRowFirstColumn="0" w:lastRowLastColumn="0"/>
            </w:pPr>
            <w:r w:rsidRPr="001B761A">
              <w:t>(6</w:t>
            </w:r>
            <w:r>
              <w:t>,</w:t>
            </w:r>
            <w:r w:rsidRPr="001B761A">
              <w:t>173)</w:t>
            </w:r>
          </w:p>
        </w:tc>
        <w:tc>
          <w:tcPr>
            <w:tcW w:w="1418" w:type="dxa"/>
            <w:tcBorders>
              <w:top w:val="nil"/>
            </w:tcBorders>
            <w:shd w:val="clear" w:color="auto" w:fill="auto"/>
          </w:tcPr>
          <w:p w14:paraId="7D4264E3" w14:textId="77777777" w:rsidR="008B7E19" w:rsidRPr="00F74EC0" w:rsidRDefault="008B7E19" w:rsidP="008B7E19">
            <w:pPr>
              <w:pStyle w:val="08-Tabelageral"/>
              <w:cnfStyle w:val="000000100000" w:firstRow="0" w:lastRow="0" w:firstColumn="0" w:lastColumn="0" w:oddVBand="0" w:evenVBand="0" w:oddHBand="1" w:evenHBand="0" w:firstRowFirstColumn="0" w:firstRowLastColumn="0" w:lastRowFirstColumn="0" w:lastRowLastColumn="0"/>
            </w:pPr>
            <w:r>
              <w:t>(5,182)</w:t>
            </w:r>
          </w:p>
        </w:tc>
      </w:tr>
      <w:tr w:rsidR="008B7E19" w:rsidRPr="002A40FF" w14:paraId="666F02A3" w14:textId="77777777" w:rsidTr="008875E7">
        <w:trPr>
          <w:cnfStyle w:val="000000010000" w:firstRow="0" w:lastRow="0" w:firstColumn="0" w:lastColumn="0" w:oddVBand="0" w:evenVBand="0" w:oddHBand="0" w:evenHBand="1"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3094" w:type="dxa"/>
            <w:gridSpan w:val="2"/>
            <w:shd w:val="clear" w:color="auto" w:fill="auto"/>
            <w:vAlign w:val="center"/>
          </w:tcPr>
          <w:p w14:paraId="6D4BFAF0" w14:textId="77777777" w:rsidR="008B7E19" w:rsidRPr="00F74EC0" w:rsidRDefault="008B7E19" w:rsidP="008B7E19">
            <w:pPr>
              <w:pStyle w:val="08-Tabelageral"/>
              <w:jc w:val="left"/>
              <w:rPr>
                <w:b w:val="0"/>
                <w:bCs w:val="0"/>
              </w:rPr>
            </w:pPr>
            <w:r w:rsidRPr="00F74EC0">
              <w:rPr>
                <w:b w:val="0"/>
                <w:bCs w:val="0"/>
              </w:rPr>
              <w:t>Benefits</w:t>
            </w:r>
          </w:p>
        </w:tc>
        <w:tc>
          <w:tcPr>
            <w:tcW w:w="604" w:type="dxa"/>
            <w:shd w:val="clear" w:color="auto" w:fill="auto"/>
            <w:vAlign w:val="center"/>
          </w:tcPr>
          <w:p w14:paraId="16E6B084" w14:textId="77777777" w:rsidR="008B7E19" w:rsidRPr="00F74EC0" w:rsidRDefault="008B7E19" w:rsidP="008B7E19">
            <w:pPr>
              <w:pStyle w:val="08-Tabelageral"/>
              <w:cnfStyle w:val="000000010000" w:firstRow="0" w:lastRow="0" w:firstColumn="0" w:lastColumn="0" w:oddVBand="0" w:evenVBand="0" w:oddHBand="0" w:evenHBand="1" w:firstRowFirstColumn="0" w:firstRowLastColumn="0" w:lastRowFirstColumn="0" w:lastRowLastColumn="0"/>
            </w:pPr>
          </w:p>
        </w:tc>
        <w:tc>
          <w:tcPr>
            <w:tcW w:w="1411" w:type="dxa"/>
            <w:shd w:val="clear" w:color="auto" w:fill="auto"/>
          </w:tcPr>
          <w:p w14:paraId="2B0E7E03" w14:textId="77777777" w:rsidR="008B7E19" w:rsidRPr="00F74EC0" w:rsidRDefault="008B7E19" w:rsidP="008B7E19">
            <w:pPr>
              <w:pStyle w:val="08-Tabelageral"/>
              <w:cnfStyle w:val="000000010000" w:firstRow="0" w:lastRow="0" w:firstColumn="0" w:lastColumn="0" w:oddVBand="0" w:evenVBand="0" w:oddHBand="0" w:evenHBand="1" w:firstRowFirstColumn="0" w:firstRowLastColumn="0" w:lastRowFirstColumn="0" w:lastRowLastColumn="0"/>
            </w:pPr>
            <w:r w:rsidRPr="001B761A">
              <w:t>(252)</w:t>
            </w:r>
          </w:p>
        </w:tc>
        <w:tc>
          <w:tcPr>
            <w:tcW w:w="1412" w:type="dxa"/>
            <w:shd w:val="clear" w:color="auto" w:fill="auto"/>
          </w:tcPr>
          <w:p w14:paraId="66050C8F" w14:textId="77777777" w:rsidR="008B7E19" w:rsidRPr="00F74EC0" w:rsidRDefault="008B7E19" w:rsidP="008B7E19">
            <w:pPr>
              <w:pStyle w:val="08-Tabelageral"/>
              <w:cnfStyle w:val="000000010000" w:firstRow="0" w:lastRow="0" w:firstColumn="0" w:lastColumn="0" w:oddVBand="0" w:evenVBand="0" w:oddHBand="0" w:evenHBand="1" w:firstRowFirstColumn="0" w:firstRowLastColumn="0" w:lastRowFirstColumn="0" w:lastRowLastColumn="0"/>
            </w:pPr>
            <w:r>
              <w:t>(284)</w:t>
            </w:r>
          </w:p>
        </w:tc>
        <w:tc>
          <w:tcPr>
            <w:tcW w:w="283" w:type="dxa"/>
            <w:shd w:val="clear" w:color="auto" w:fill="auto"/>
            <w:vAlign w:val="center"/>
          </w:tcPr>
          <w:p w14:paraId="6ABFB120" w14:textId="77777777" w:rsidR="008B7E19" w:rsidRPr="00F74EC0" w:rsidRDefault="008B7E19" w:rsidP="008B7E19">
            <w:pPr>
              <w:pStyle w:val="08-Tabelageral"/>
              <w:cnfStyle w:val="000000010000" w:firstRow="0" w:lastRow="0" w:firstColumn="0" w:lastColumn="0" w:oddVBand="0" w:evenVBand="0" w:oddHBand="0" w:evenHBand="1" w:firstRowFirstColumn="0" w:firstRowLastColumn="0" w:lastRowFirstColumn="0" w:lastRowLastColumn="0"/>
            </w:pPr>
          </w:p>
        </w:tc>
        <w:tc>
          <w:tcPr>
            <w:tcW w:w="1417" w:type="dxa"/>
            <w:shd w:val="clear" w:color="auto" w:fill="auto"/>
            <w:vAlign w:val="center"/>
          </w:tcPr>
          <w:p w14:paraId="56FAF709" w14:textId="77777777" w:rsidR="008B7E19" w:rsidRPr="00F74EC0" w:rsidRDefault="008B7E19" w:rsidP="008B7E19">
            <w:pPr>
              <w:pStyle w:val="08-Tabelageral"/>
              <w:cnfStyle w:val="000000010000" w:firstRow="0" w:lastRow="0" w:firstColumn="0" w:lastColumn="0" w:oddVBand="0" w:evenVBand="0" w:oddHBand="0" w:evenHBand="1" w:firstRowFirstColumn="0" w:firstRowLastColumn="0" w:lastRowFirstColumn="0" w:lastRowLastColumn="0"/>
            </w:pPr>
            <w:r w:rsidRPr="001B761A">
              <w:t>(1</w:t>
            </w:r>
            <w:r>
              <w:t>,</w:t>
            </w:r>
            <w:r w:rsidRPr="001B761A">
              <w:t>891)</w:t>
            </w:r>
          </w:p>
        </w:tc>
        <w:tc>
          <w:tcPr>
            <w:tcW w:w="1418" w:type="dxa"/>
            <w:shd w:val="clear" w:color="auto" w:fill="auto"/>
          </w:tcPr>
          <w:p w14:paraId="74E3E903" w14:textId="77777777" w:rsidR="008B7E19" w:rsidRPr="00F74EC0" w:rsidRDefault="008B7E19" w:rsidP="008B7E19">
            <w:pPr>
              <w:pStyle w:val="08-Tabelageral"/>
              <w:cnfStyle w:val="000000010000" w:firstRow="0" w:lastRow="0" w:firstColumn="0" w:lastColumn="0" w:oddVBand="0" w:evenVBand="0" w:oddHBand="0" w:evenHBand="1" w:firstRowFirstColumn="0" w:firstRowLastColumn="0" w:lastRowFirstColumn="0" w:lastRowLastColumn="0"/>
            </w:pPr>
            <w:r>
              <w:t>(1,609)</w:t>
            </w:r>
          </w:p>
        </w:tc>
      </w:tr>
      <w:tr w:rsidR="008B7E19" w:rsidRPr="002A40FF" w14:paraId="32BB41F1" w14:textId="77777777" w:rsidTr="008875E7">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3094" w:type="dxa"/>
            <w:gridSpan w:val="2"/>
            <w:tcBorders>
              <w:top w:val="nil"/>
              <w:bottom w:val="nil"/>
            </w:tcBorders>
            <w:shd w:val="clear" w:color="auto" w:fill="auto"/>
            <w:vAlign w:val="center"/>
          </w:tcPr>
          <w:p w14:paraId="4BC50C71" w14:textId="77777777" w:rsidR="008B7E19" w:rsidRPr="00F74EC0" w:rsidRDefault="008B7E19" w:rsidP="008B7E19">
            <w:pPr>
              <w:pStyle w:val="08-Tabelageral"/>
              <w:jc w:val="left"/>
              <w:rPr>
                <w:b w:val="0"/>
                <w:bCs w:val="0"/>
              </w:rPr>
            </w:pPr>
            <w:r w:rsidRPr="00F74EC0">
              <w:rPr>
                <w:b w:val="0"/>
                <w:bCs w:val="0"/>
              </w:rPr>
              <w:t xml:space="preserve">Fees </w:t>
            </w:r>
          </w:p>
        </w:tc>
        <w:tc>
          <w:tcPr>
            <w:tcW w:w="604" w:type="dxa"/>
            <w:tcBorders>
              <w:top w:val="nil"/>
              <w:bottom w:val="nil"/>
            </w:tcBorders>
            <w:shd w:val="clear" w:color="auto" w:fill="auto"/>
            <w:vAlign w:val="center"/>
          </w:tcPr>
          <w:p w14:paraId="617B3419" w14:textId="77777777" w:rsidR="008B7E19" w:rsidRPr="00F74EC0" w:rsidRDefault="008B7E19" w:rsidP="008B7E19">
            <w:pPr>
              <w:pStyle w:val="08-Tabelageral"/>
              <w:cnfStyle w:val="000000100000" w:firstRow="0" w:lastRow="0" w:firstColumn="0" w:lastColumn="0" w:oddVBand="0" w:evenVBand="0" w:oddHBand="1" w:evenHBand="0" w:firstRowFirstColumn="0" w:firstRowLastColumn="0" w:lastRowFirstColumn="0" w:lastRowLastColumn="0"/>
            </w:pPr>
          </w:p>
        </w:tc>
        <w:tc>
          <w:tcPr>
            <w:tcW w:w="1411" w:type="dxa"/>
            <w:shd w:val="clear" w:color="auto" w:fill="auto"/>
          </w:tcPr>
          <w:p w14:paraId="4E8A963F" w14:textId="77777777" w:rsidR="008B7E19" w:rsidRPr="00F74EC0" w:rsidRDefault="008B7E19" w:rsidP="008B7E19">
            <w:pPr>
              <w:pStyle w:val="08-Tabelageral"/>
              <w:cnfStyle w:val="000000100000" w:firstRow="0" w:lastRow="0" w:firstColumn="0" w:lastColumn="0" w:oddVBand="0" w:evenVBand="0" w:oddHBand="1" w:evenHBand="0" w:firstRowFirstColumn="0" w:firstRowLastColumn="0" w:lastRowFirstColumn="0" w:lastRowLastColumn="0"/>
            </w:pPr>
            <w:r w:rsidRPr="001B761A">
              <w:t>(236)</w:t>
            </w:r>
          </w:p>
        </w:tc>
        <w:tc>
          <w:tcPr>
            <w:tcW w:w="1412" w:type="dxa"/>
            <w:shd w:val="clear" w:color="auto" w:fill="auto"/>
          </w:tcPr>
          <w:p w14:paraId="35B2CFB2" w14:textId="77777777" w:rsidR="008B7E19" w:rsidRPr="00F74EC0" w:rsidRDefault="008B7E19" w:rsidP="008B7E19">
            <w:pPr>
              <w:pStyle w:val="08-Tabelageral"/>
              <w:cnfStyle w:val="000000100000" w:firstRow="0" w:lastRow="0" w:firstColumn="0" w:lastColumn="0" w:oddVBand="0" w:evenVBand="0" w:oddHBand="1" w:evenHBand="0" w:firstRowFirstColumn="0" w:firstRowLastColumn="0" w:lastRowFirstColumn="0" w:lastRowLastColumn="0"/>
            </w:pPr>
            <w:r>
              <w:t>(371)</w:t>
            </w:r>
          </w:p>
        </w:tc>
        <w:tc>
          <w:tcPr>
            <w:tcW w:w="283" w:type="dxa"/>
            <w:shd w:val="clear" w:color="auto" w:fill="auto"/>
            <w:vAlign w:val="center"/>
          </w:tcPr>
          <w:p w14:paraId="27D6AD37" w14:textId="77777777" w:rsidR="008B7E19" w:rsidRPr="00F74EC0" w:rsidRDefault="008B7E19" w:rsidP="008B7E19">
            <w:pPr>
              <w:pStyle w:val="08-Tabelageral"/>
              <w:cnfStyle w:val="000000100000" w:firstRow="0" w:lastRow="0" w:firstColumn="0" w:lastColumn="0" w:oddVBand="0" w:evenVBand="0" w:oddHBand="1" w:evenHBand="0" w:firstRowFirstColumn="0" w:firstRowLastColumn="0" w:lastRowFirstColumn="0" w:lastRowLastColumn="0"/>
            </w:pPr>
          </w:p>
        </w:tc>
        <w:tc>
          <w:tcPr>
            <w:tcW w:w="1417" w:type="dxa"/>
            <w:shd w:val="clear" w:color="auto" w:fill="auto"/>
            <w:vAlign w:val="center"/>
          </w:tcPr>
          <w:p w14:paraId="71BFF0BE" w14:textId="77777777" w:rsidR="008B7E19" w:rsidRPr="00F74EC0" w:rsidRDefault="008B7E19" w:rsidP="008B7E19">
            <w:pPr>
              <w:pStyle w:val="08-Tabelageral"/>
              <w:cnfStyle w:val="000000100000" w:firstRow="0" w:lastRow="0" w:firstColumn="0" w:lastColumn="0" w:oddVBand="0" w:evenVBand="0" w:oddHBand="1" w:evenHBand="0" w:firstRowFirstColumn="0" w:firstRowLastColumn="0" w:lastRowFirstColumn="0" w:lastRowLastColumn="0"/>
            </w:pPr>
            <w:r w:rsidRPr="001B761A">
              <w:t>(1</w:t>
            </w:r>
            <w:r>
              <w:t>,</w:t>
            </w:r>
            <w:r w:rsidRPr="001B761A">
              <w:t>123)</w:t>
            </w:r>
          </w:p>
        </w:tc>
        <w:tc>
          <w:tcPr>
            <w:tcW w:w="1418" w:type="dxa"/>
            <w:shd w:val="clear" w:color="auto" w:fill="auto"/>
          </w:tcPr>
          <w:p w14:paraId="6B839A17" w14:textId="77777777" w:rsidR="008B7E19" w:rsidRPr="00F74EC0" w:rsidRDefault="008B7E19" w:rsidP="008B7E19">
            <w:pPr>
              <w:pStyle w:val="08-Tabelageral"/>
              <w:cnfStyle w:val="000000100000" w:firstRow="0" w:lastRow="0" w:firstColumn="0" w:lastColumn="0" w:oddVBand="0" w:evenVBand="0" w:oddHBand="1" w:evenHBand="0" w:firstRowFirstColumn="0" w:firstRowLastColumn="0" w:lastRowFirstColumn="0" w:lastRowLastColumn="0"/>
            </w:pPr>
            <w:r>
              <w:t>(1,032)</w:t>
            </w:r>
          </w:p>
        </w:tc>
      </w:tr>
      <w:tr w:rsidR="008B7E19" w:rsidRPr="002A40FF" w14:paraId="0CDDA0B0" w14:textId="77777777" w:rsidTr="008875E7">
        <w:trPr>
          <w:cnfStyle w:val="000000010000" w:firstRow="0" w:lastRow="0" w:firstColumn="0" w:lastColumn="0" w:oddVBand="0" w:evenVBand="0" w:oddHBand="0" w:evenHBand="1"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3094" w:type="dxa"/>
            <w:gridSpan w:val="2"/>
            <w:tcBorders>
              <w:top w:val="nil"/>
              <w:bottom w:val="nil"/>
            </w:tcBorders>
            <w:shd w:val="clear" w:color="auto" w:fill="auto"/>
            <w:vAlign w:val="center"/>
          </w:tcPr>
          <w:p w14:paraId="54DD8F72" w14:textId="77777777" w:rsidR="008B7E19" w:rsidRPr="00F74EC0" w:rsidRDefault="008B7E19" w:rsidP="008B7E19">
            <w:pPr>
              <w:pStyle w:val="08-Tabelageral"/>
              <w:jc w:val="left"/>
              <w:rPr>
                <w:b w:val="0"/>
                <w:bCs w:val="0"/>
              </w:rPr>
            </w:pPr>
            <w:r w:rsidRPr="00F74EC0">
              <w:rPr>
                <w:b w:val="0"/>
                <w:bCs w:val="0"/>
              </w:rPr>
              <w:t>Training</w:t>
            </w:r>
          </w:p>
        </w:tc>
        <w:tc>
          <w:tcPr>
            <w:tcW w:w="604" w:type="dxa"/>
            <w:tcBorders>
              <w:top w:val="nil"/>
              <w:bottom w:val="nil"/>
            </w:tcBorders>
            <w:shd w:val="clear" w:color="auto" w:fill="auto"/>
            <w:vAlign w:val="center"/>
          </w:tcPr>
          <w:p w14:paraId="52D4DA89" w14:textId="77777777" w:rsidR="008B7E19" w:rsidRPr="00F74EC0" w:rsidRDefault="008B7E19" w:rsidP="008B7E19">
            <w:pPr>
              <w:pStyle w:val="08-Tabelageral"/>
              <w:cnfStyle w:val="000000010000" w:firstRow="0" w:lastRow="0" w:firstColumn="0" w:lastColumn="0" w:oddVBand="0" w:evenVBand="0" w:oddHBand="0" w:evenHBand="1" w:firstRowFirstColumn="0" w:firstRowLastColumn="0" w:lastRowFirstColumn="0" w:lastRowLastColumn="0"/>
            </w:pPr>
          </w:p>
        </w:tc>
        <w:tc>
          <w:tcPr>
            <w:tcW w:w="1411" w:type="dxa"/>
            <w:tcBorders>
              <w:bottom w:val="nil"/>
            </w:tcBorders>
            <w:shd w:val="clear" w:color="auto" w:fill="auto"/>
          </w:tcPr>
          <w:p w14:paraId="4AD0969B" w14:textId="77777777" w:rsidR="008B7E19" w:rsidRPr="00F74EC0" w:rsidRDefault="008B7E19" w:rsidP="008B7E19">
            <w:pPr>
              <w:pStyle w:val="08-Tabelageral"/>
              <w:cnfStyle w:val="000000010000" w:firstRow="0" w:lastRow="0" w:firstColumn="0" w:lastColumn="0" w:oddVBand="0" w:evenVBand="0" w:oddHBand="0" w:evenHBand="1" w:firstRowFirstColumn="0" w:firstRowLastColumn="0" w:lastRowFirstColumn="0" w:lastRowLastColumn="0"/>
            </w:pPr>
            <w:r w:rsidRPr="001B761A">
              <w:t>(26)</w:t>
            </w:r>
          </w:p>
        </w:tc>
        <w:tc>
          <w:tcPr>
            <w:tcW w:w="1412" w:type="dxa"/>
            <w:tcBorders>
              <w:bottom w:val="nil"/>
            </w:tcBorders>
            <w:shd w:val="clear" w:color="auto" w:fill="auto"/>
          </w:tcPr>
          <w:p w14:paraId="3F2E942C" w14:textId="77777777" w:rsidR="008B7E19" w:rsidRPr="00F74EC0" w:rsidRDefault="008B7E19" w:rsidP="008B7E19">
            <w:pPr>
              <w:pStyle w:val="08-Tabelageral"/>
              <w:cnfStyle w:val="000000010000" w:firstRow="0" w:lastRow="0" w:firstColumn="0" w:lastColumn="0" w:oddVBand="0" w:evenVBand="0" w:oddHBand="0" w:evenHBand="1" w:firstRowFirstColumn="0" w:firstRowLastColumn="0" w:lastRowFirstColumn="0" w:lastRowLastColumn="0"/>
            </w:pPr>
            <w:r>
              <w:t>(24)</w:t>
            </w:r>
          </w:p>
        </w:tc>
        <w:tc>
          <w:tcPr>
            <w:tcW w:w="283" w:type="dxa"/>
            <w:tcBorders>
              <w:bottom w:val="nil"/>
            </w:tcBorders>
            <w:shd w:val="clear" w:color="auto" w:fill="auto"/>
            <w:vAlign w:val="center"/>
          </w:tcPr>
          <w:p w14:paraId="78F729FB" w14:textId="77777777" w:rsidR="008B7E19" w:rsidRPr="00F74EC0" w:rsidRDefault="008B7E19" w:rsidP="008B7E19">
            <w:pPr>
              <w:pStyle w:val="08-Tabelageral"/>
              <w:cnfStyle w:val="000000010000" w:firstRow="0" w:lastRow="0" w:firstColumn="0" w:lastColumn="0" w:oddVBand="0" w:evenVBand="0" w:oddHBand="0" w:evenHBand="1" w:firstRowFirstColumn="0" w:firstRowLastColumn="0" w:lastRowFirstColumn="0" w:lastRowLastColumn="0"/>
            </w:pPr>
          </w:p>
        </w:tc>
        <w:tc>
          <w:tcPr>
            <w:tcW w:w="1417" w:type="dxa"/>
            <w:tcBorders>
              <w:bottom w:val="nil"/>
            </w:tcBorders>
            <w:shd w:val="clear" w:color="auto" w:fill="auto"/>
            <w:vAlign w:val="center"/>
          </w:tcPr>
          <w:p w14:paraId="3D1285C2" w14:textId="77777777" w:rsidR="008B7E19" w:rsidRPr="00F74EC0" w:rsidRDefault="008B7E19" w:rsidP="008B7E19">
            <w:pPr>
              <w:pStyle w:val="08-Tabelageral"/>
              <w:cnfStyle w:val="000000010000" w:firstRow="0" w:lastRow="0" w:firstColumn="0" w:lastColumn="0" w:oddVBand="0" w:evenVBand="0" w:oddHBand="0" w:evenHBand="1" w:firstRowFirstColumn="0" w:firstRowLastColumn="0" w:lastRowFirstColumn="0" w:lastRowLastColumn="0"/>
            </w:pPr>
            <w:r w:rsidRPr="001B761A">
              <w:t>(144)</w:t>
            </w:r>
          </w:p>
        </w:tc>
        <w:tc>
          <w:tcPr>
            <w:tcW w:w="1418" w:type="dxa"/>
            <w:tcBorders>
              <w:bottom w:val="nil"/>
            </w:tcBorders>
            <w:shd w:val="clear" w:color="auto" w:fill="auto"/>
          </w:tcPr>
          <w:p w14:paraId="0AA23BD2" w14:textId="77777777" w:rsidR="008B7E19" w:rsidRPr="00F74EC0" w:rsidRDefault="008B7E19" w:rsidP="008B7E19">
            <w:pPr>
              <w:pStyle w:val="08-Tabelageral"/>
              <w:cnfStyle w:val="000000010000" w:firstRow="0" w:lastRow="0" w:firstColumn="0" w:lastColumn="0" w:oddVBand="0" w:evenVBand="0" w:oddHBand="0" w:evenHBand="1" w:firstRowFirstColumn="0" w:firstRowLastColumn="0" w:lastRowFirstColumn="0" w:lastRowLastColumn="0"/>
            </w:pPr>
            <w:r>
              <w:t>(161)</w:t>
            </w:r>
          </w:p>
        </w:tc>
      </w:tr>
      <w:tr w:rsidR="008B7E19" w:rsidRPr="00F74EC0" w14:paraId="03AC6E05" w14:textId="77777777" w:rsidTr="008875E7">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3094" w:type="dxa"/>
            <w:gridSpan w:val="2"/>
            <w:tcBorders>
              <w:top w:val="nil"/>
              <w:bottom w:val="single" w:sz="2" w:space="0" w:color="1F4E79" w:themeColor="accent1" w:themeShade="80"/>
            </w:tcBorders>
            <w:shd w:val="clear" w:color="auto" w:fill="auto"/>
            <w:vAlign w:val="center"/>
          </w:tcPr>
          <w:p w14:paraId="2D6A38A9" w14:textId="77777777" w:rsidR="008B7E19" w:rsidRPr="00F74EC0" w:rsidRDefault="008B7E19" w:rsidP="008B7E19">
            <w:pPr>
              <w:pStyle w:val="08-Tabelageral"/>
              <w:jc w:val="left"/>
            </w:pPr>
            <w:r w:rsidRPr="00F74EC0">
              <w:t>Total</w:t>
            </w:r>
          </w:p>
        </w:tc>
        <w:tc>
          <w:tcPr>
            <w:tcW w:w="604" w:type="dxa"/>
            <w:tcBorders>
              <w:top w:val="nil"/>
              <w:bottom w:val="single" w:sz="2" w:space="0" w:color="1F4E79" w:themeColor="accent1" w:themeShade="80"/>
            </w:tcBorders>
            <w:shd w:val="clear" w:color="auto" w:fill="auto"/>
            <w:vAlign w:val="center"/>
          </w:tcPr>
          <w:p w14:paraId="5F0C7220" w14:textId="77777777" w:rsidR="008B7E19" w:rsidRPr="00F74EC0"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b/>
                <w:bCs/>
              </w:rPr>
            </w:pPr>
          </w:p>
        </w:tc>
        <w:tc>
          <w:tcPr>
            <w:tcW w:w="1411" w:type="dxa"/>
            <w:tcBorders>
              <w:top w:val="nil"/>
              <w:bottom w:val="single" w:sz="2" w:space="0" w:color="1F4E79" w:themeColor="accent1" w:themeShade="80"/>
            </w:tcBorders>
            <w:shd w:val="clear" w:color="auto" w:fill="auto"/>
          </w:tcPr>
          <w:p w14:paraId="7B832172" w14:textId="77777777" w:rsidR="008B7E19" w:rsidRPr="00F74EC0"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b/>
                <w:bCs/>
              </w:rPr>
            </w:pPr>
            <w:r w:rsidRPr="001B761A">
              <w:rPr>
                <w:b/>
              </w:rPr>
              <w:t>(3</w:t>
            </w:r>
            <w:r>
              <w:rPr>
                <w:b/>
              </w:rPr>
              <w:t>,</w:t>
            </w:r>
            <w:r w:rsidRPr="001B761A">
              <w:rPr>
                <w:b/>
              </w:rPr>
              <w:t>207)</w:t>
            </w:r>
          </w:p>
        </w:tc>
        <w:tc>
          <w:tcPr>
            <w:tcW w:w="1412" w:type="dxa"/>
            <w:tcBorders>
              <w:top w:val="nil"/>
              <w:bottom w:val="single" w:sz="2" w:space="0" w:color="1F4E79" w:themeColor="accent1" w:themeShade="80"/>
            </w:tcBorders>
            <w:shd w:val="clear" w:color="auto" w:fill="auto"/>
          </w:tcPr>
          <w:p w14:paraId="70A6FADD" w14:textId="77777777" w:rsidR="008B7E19" w:rsidRPr="00F74EC0"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b/>
                <w:bCs/>
              </w:rPr>
            </w:pPr>
            <w:r>
              <w:rPr>
                <w:b/>
              </w:rPr>
              <w:t>(3,611)</w:t>
            </w:r>
          </w:p>
        </w:tc>
        <w:tc>
          <w:tcPr>
            <w:tcW w:w="283" w:type="dxa"/>
            <w:tcBorders>
              <w:top w:val="nil"/>
              <w:bottom w:val="single" w:sz="2" w:space="0" w:color="1F4E79" w:themeColor="accent1" w:themeShade="80"/>
            </w:tcBorders>
            <w:shd w:val="clear" w:color="auto" w:fill="auto"/>
            <w:vAlign w:val="center"/>
          </w:tcPr>
          <w:p w14:paraId="50F2D237" w14:textId="77777777" w:rsidR="008B7E19" w:rsidRPr="00F74EC0"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b/>
                <w:bCs/>
              </w:rPr>
            </w:pPr>
          </w:p>
        </w:tc>
        <w:tc>
          <w:tcPr>
            <w:tcW w:w="1417" w:type="dxa"/>
            <w:tcBorders>
              <w:top w:val="nil"/>
              <w:bottom w:val="single" w:sz="2" w:space="0" w:color="1F4E79" w:themeColor="accent1" w:themeShade="80"/>
            </w:tcBorders>
            <w:shd w:val="clear" w:color="auto" w:fill="auto"/>
            <w:vAlign w:val="center"/>
          </w:tcPr>
          <w:p w14:paraId="0E777168" w14:textId="77777777" w:rsidR="008B7E19" w:rsidRPr="00F74EC0"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b/>
                <w:bCs/>
              </w:rPr>
            </w:pPr>
            <w:r w:rsidRPr="001B761A">
              <w:rPr>
                <w:b/>
              </w:rPr>
              <w:t>(21</w:t>
            </w:r>
            <w:r>
              <w:rPr>
                <w:b/>
              </w:rPr>
              <w:t>,</w:t>
            </w:r>
            <w:r w:rsidRPr="001B761A">
              <w:rPr>
                <w:b/>
              </w:rPr>
              <w:t>896)</w:t>
            </w:r>
          </w:p>
        </w:tc>
        <w:tc>
          <w:tcPr>
            <w:tcW w:w="1418" w:type="dxa"/>
            <w:tcBorders>
              <w:top w:val="nil"/>
              <w:bottom w:val="single" w:sz="2" w:space="0" w:color="1F4E79" w:themeColor="accent1" w:themeShade="80"/>
            </w:tcBorders>
            <w:shd w:val="clear" w:color="auto" w:fill="auto"/>
          </w:tcPr>
          <w:p w14:paraId="17466C10" w14:textId="77777777" w:rsidR="008B7E19" w:rsidRPr="00F74EC0"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b/>
                <w:bCs/>
              </w:rPr>
            </w:pPr>
            <w:r>
              <w:rPr>
                <w:b/>
                <w:bCs/>
              </w:rPr>
              <w:t>(17,548)</w:t>
            </w:r>
          </w:p>
        </w:tc>
      </w:tr>
      <w:bookmarkEnd w:id="36"/>
    </w:tbl>
    <w:p w14:paraId="09055EE1" w14:textId="77777777" w:rsidR="008B7E19" w:rsidRDefault="008B7E19" w:rsidP="008B7E19">
      <w:pPr>
        <w:pStyle w:val="01-TtulodeNota"/>
        <w:spacing w:before="0" w:after="0"/>
        <w:jc w:val="right"/>
        <w:rPr>
          <w:rFonts w:cs="Arial"/>
          <w:sz w:val="14"/>
          <w:szCs w:val="14"/>
        </w:rPr>
      </w:pPr>
    </w:p>
    <w:p w14:paraId="2E15A5E5" w14:textId="77777777" w:rsidR="008B7E19" w:rsidRPr="002A40FF" w:rsidRDefault="008B7E19" w:rsidP="008B7E19">
      <w:pPr>
        <w:pStyle w:val="01-TtulodeNota"/>
        <w:spacing w:before="0" w:after="0"/>
        <w:jc w:val="right"/>
        <w:rPr>
          <w:rFonts w:cs="Arial"/>
          <w:sz w:val="14"/>
          <w:szCs w:val="14"/>
        </w:rPr>
      </w:pPr>
      <w:r w:rsidRPr="002A40FF">
        <w:rPr>
          <w:rFonts w:cs="Arial"/>
          <w:sz w:val="14"/>
          <w:szCs w:val="14"/>
        </w:rPr>
        <w:t>R$ thousand</w:t>
      </w:r>
    </w:p>
    <w:tbl>
      <w:tblPr>
        <w:tblStyle w:val="TabeladeLista6Colorida-nfase510"/>
        <w:tblW w:w="9639" w:type="dxa"/>
        <w:jc w:val="center"/>
        <w:tblInd w:w="0" w:type="dxa"/>
        <w:tblLook w:val="04A0" w:firstRow="1" w:lastRow="0" w:firstColumn="1" w:lastColumn="0" w:noHBand="0" w:noVBand="1"/>
      </w:tblPr>
      <w:tblGrid>
        <w:gridCol w:w="850"/>
        <w:gridCol w:w="2244"/>
        <w:gridCol w:w="604"/>
        <w:gridCol w:w="1411"/>
        <w:gridCol w:w="1412"/>
        <w:gridCol w:w="283"/>
        <w:gridCol w:w="1417"/>
        <w:gridCol w:w="1418"/>
      </w:tblGrid>
      <w:tr w:rsidR="008B7E19" w:rsidRPr="002A40FF" w14:paraId="29DD1166" w14:textId="77777777" w:rsidTr="008875E7">
        <w:trPr>
          <w:cnfStyle w:val="100000000000" w:firstRow="1" w:lastRow="0" w:firstColumn="0" w:lastColumn="0" w:oddVBand="0" w:evenVBand="0" w:oddHBand="0" w:evenHBand="0" w:firstRowFirstColumn="0" w:firstRowLastColumn="0" w:lastRowFirstColumn="0" w:lastRowLastColumn="0"/>
          <w:trHeight w:hRule="exact" w:val="283"/>
          <w:jc w:val="center"/>
        </w:trPr>
        <w:tc>
          <w:tcPr>
            <w:cnfStyle w:val="001000000000" w:firstRow="0" w:lastRow="0" w:firstColumn="1" w:lastColumn="0" w:oddVBand="0" w:evenVBand="0" w:oddHBand="0" w:evenHBand="0" w:firstRowFirstColumn="0" w:firstRowLastColumn="0" w:lastRowFirstColumn="0" w:lastRowLastColumn="0"/>
            <w:tcW w:w="850" w:type="dxa"/>
            <w:tcBorders>
              <w:top w:val="single" w:sz="2" w:space="0" w:color="1F4E79" w:themeColor="accent1" w:themeShade="80"/>
              <w:bottom w:val="nil"/>
            </w:tcBorders>
            <w:shd w:val="clear" w:color="auto" w:fill="auto"/>
          </w:tcPr>
          <w:p w14:paraId="0F8A18F6" w14:textId="77777777" w:rsidR="008B7E19" w:rsidRPr="002A40FF" w:rsidRDefault="008B7E19" w:rsidP="008B7E19">
            <w:pPr>
              <w:pStyle w:val="08-Tabelageral"/>
              <w:jc w:val="center"/>
              <w:rPr>
                <w:rFonts w:cs="Arial"/>
                <w:szCs w:val="14"/>
              </w:rPr>
            </w:pPr>
          </w:p>
        </w:tc>
        <w:tc>
          <w:tcPr>
            <w:tcW w:w="2848" w:type="dxa"/>
            <w:gridSpan w:val="2"/>
            <w:tcBorders>
              <w:top w:val="single" w:sz="2" w:space="0" w:color="1F4E79" w:themeColor="accent1" w:themeShade="80"/>
              <w:bottom w:val="nil"/>
            </w:tcBorders>
            <w:shd w:val="clear" w:color="auto" w:fill="auto"/>
          </w:tcPr>
          <w:p w14:paraId="3FEC55E1" w14:textId="77777777" w:rsidR="008B7E19" w:rsidRPr="002A40FF" w:rsidRDefault="008B7E19" w:rsidP="008B7E19">
            <w:pPr>
              <w:pStyle w:val="08-Tabelageral"/>
              <w:jc w:val="center"/>
              <w:cnfStyle w:val="100000000000" w:firstRow="1" w:lastRow="0" w:firstColumn="0" w:lastColumn="0" w:oddVBand="0" w:evenVBand="0" w:oddHBand="0" w:evenHBand="0" w:firstRowFirstColumn="0" w:firstRowLastColumn="0" w:lastRowFirstColumn="0" w:lastRowLastColumn="0"/>
              <w:rPr>
                <w:rFonts w:cs="Arial"/>
                <w:szCs w:val="14"/>
              </w:rPr>
            </w:pPr>
          </w:p>
        </w:tc>
        <w:tc>
          <w:tcPr>
            <w:tcW w:w="2823" w:type="dxa"/>
            <w:gridSpan w:val="2"/>
            <w:tcBorders>
              <w:top w:val="single" w:sz="2" w:space="0" w:color="1F4E79" w:themeColor="accent1" w:themeShade="80"/>
              <w:bottom w:val="single" w:sz="4" w:space="0" w:color="1F4E79" w:themeColor="accent1" w:themeShade="80"/>
            </w:tcBorders>
            <w:shd w:val="clear" w:color="auto" w:fill="auto"/>
            <w:vAlign w:val="center"/>
          </w:tcPr>
          <w:p w14:paraId="68A781A3" w14:textId="77777777" w:rsidR="008B7E19" w:rsidRPr="002A40FF" w:rsidRDefault="008B7E19" w:rsidP="008B7E19">
            <w:pPr>
              <w:pStyle w:val="08-Tabelageral"/>
              <w:jc w:val="center"/>
              <w:cnfStyle w:val="100000000000" w:firstRow="1" w:lastRow="0" w:firstColumn="0" w:lastColumn="0" w:oddVBand="0" w:evenVBand="0" w:oddHBand="0" w:evenHBand="0" w:firstRowFirstColumn="0" w:firstRowLastColumn="0" w:lastRowFirstColumn="0" w:lastRowLastColumn="0"/>
              <w:rPr>
                <w:rFonts w:cs="Arial"/>
                <w:szCs w:val="14"/>
              </w:rPr>
            </w:pPr>
            <w:r w:rsidRPr="002A40FF">
              <w:rPr>
                <w:rFonts w:cs="Arial"/>
                <w:szCs w:val="14"/>
              </w:rPr>
              <w:t>Parent</w:t>
            </w:r>
          </w:p>
        </w:tc>
        <w:tc>
          <w:tcPr>
            <w:tcW w:w="283" w:type="dxa"/>
            <w:tcBorders>
              <w:top w:val="single" w:sz="2" w:space="0" w:color="1F4E79" w:themeColor="accent1" w:themeShade="80"/>
              <w:bottom w:val="nil"/>
            </w:tcBorders>
            <w:shd w:val="clear" w:color="auto" w:fill="auto"/>
            <w:vAlign w:val="center"/>
          </w:tcPr>
          <w:p w14:paraId="7D252F71" w14:textId="77777777" w:rsidR="008B7E19" w:rsidRPr="002A40FF" w:rsidRDefault="008B7E19" w:rsidP="008B7E19">
            <w:pPr>
              <w:pStyle w:val="08-Tabelageral"/>
              <w:jc w:val="center"/>
              <w:cnfStyle w:val="100000000000" w:firstRow="1" w:lastRow="0" w:firstColumn="0" w:lastColumn="0" w:oddVBand="0" w:evenVBand="0" w:oddHBand="0" w:evenHBand="0" w:firstRowFirstColumn="0" w:firstRowLastColumn="0" w:lastRowFirstColumn="0" w:lastRowLastColumn="0"/>
              <w:rPr>
                <w:rFonts w:cs="Arial"/>
                <w:szCs w:val="14"/>
              </w:rPr>
            </w:pPr>
          </w:p>
        </w:tc>
        <w:tc>
          <w:tcPr>
            <w:tcW w:w="2835" w:type="dxa"/>
            <w:gridSpan w:val="2"/>
            <w:tcBorders>
              <w:top w:val="single" w:sz="2" w:space="0" w:color="1F4E79" w:themeColor="accent1" w:themeShade="80"/>
              <w:bottom w:val="single" w:sz="4" w:space="0" w:color="1F4E79" w:themeColor="accent1" w:themeShade="80"/>
            </w:tcBorders>
            <w:shd w:val="clear" w:color="auto" w:fill="auto"/>
            <w:vAlign w:val="center"/>
          </w:tcPr>
          <w:p w14:paraId="1699EB1A" w14:textId="77777777" w:rsidR="008B7E19" w:rsidRPr="002A40FF" w:rsidRDefault="008B7E19" w:rsidP="008B7E19">
            <w:pPr>
              <w:pStyle w:val="08-Tabelageral"/>
              <w:jc w:val="center"/>
              <w:cnfStyle w:val="100000000000" w:firstRow="1" w:lastRow="0" w:firstColumn="0" w:lastColumn="0" w:oddVBand="0" w:evenVBand="0" w:oddHBand="0" w:evenHBand="0" w:firstRowFirstColumn="0" w:firstRowLastColumn="0" w:lastRowFirstColumn="0" w:lastRowLastColumn="0"/>
              <w:rPr>
                <w:rFonts w:cs="Arial"/>
                <w:szCs w:val="14"/>
              </w:rPr>
            </w:pPr>
            <w:r w:rsidRPr="002A40FF">
              <w:rPr>
                <w:rFonts w:cs="Arial"/>
                <w:szCs w:val="14"/>
              </w:rPr>
              <w:t>Consolidated</w:t>
            </w:r>
          </w:p>
        </w:tc>
      </w:tr>
      <w:tr w:rsidR="008B7E19" w:rsidRPr="002A40FF" w14:paraId="53A1E2FA" w14:textId="77777777" w:rsidTr="008875E7">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3094" w:type="dxa"/>
            <w:gridSpan w:val="2"/>
            <w:tcBorders>
              <w:top w:val="nil"/>
              <w:bottom w:val="single" w:sz="2" w:space="0" w:color="1F4E79" w:themeColor="accent1" w:themeShade="80"/>
            </w:tcBorders>
            <w:shd w:val="clear" w:color="auto" w:fill="auto"/>
          </w:tcPr>
          <w:p w14:paraId="20F13E70" w14:textId="77777777" w:rsidR="008B7E19" w:rsidRPr="002A40FF" w:rsidRDefault="008B7E19" w:rsidP="008B7E19">
            <w:pPr>
              <w:keepNext/>
              <w:keepLines/>
              <w:spacing w:before="40" w:after="40"/>
              <w:rPr>
                <w:rFonts w:cs="Arial"/>
                <w:spacing w:val="-2"/>
                <w:sz w:val="14"/>
                <w:szCs w:val="14"/>
              </w:rPr>
            </w:pPr>
          </w:p>
        </w:tc>
        <w:tc>
          <w:tcPr>
            <w:tcW w:w="604" w:type="dxa"/>
            <w:tcBorders>
              <w:top w:val="nil"/>
              <w:bottom w:val="single" w:sz="2" w:space="0" w:color="1F4E79" w:themeColor="accent1" w:themeShade="80"/>
            </w:tcBorders>
            <w:shd w:val="clear" w:color="auto" w:fill="auto"/>
          </w:tcPr>
          <w:p w14:paraId="61F513FF" w14:textId="77777777" w:rsidR="008B7E19" w:rsidRPr="002A40FF" w:rsidRDefault="008B7E19" w:rsidP="008B7E19">
            <w:pPr>
              <w:keepNext/>
              <w:keepLines/>
              <w:spacing w:before="40" w:after="40"/>
              <w:cnfStyle w:val="000000100000" w:firstRow="0" w:lastRow="0" w:firstColumn="0" w:lastColumn="0" w:oddVBand="0" w:evenVBand="0" w:oddHBand="1" w:evenHBand="0" w:firstRowFirstColumn="0" w:firstRowLastColumn="0" w:lastRowFirstColumn="0" w:lastRowLastColumn="0"/>
              <w:rPr>
                <w:rFonts w:cs="Arial"/>
                <w:b/>
                <w:spacing w:val="-2"/>
                <w:sz w:val="14"/>
                <w:szCs w:val="14"/>
              </w:rPr>
            </w:pPr>
          </w:p>
        </w:tc>
        <w:tc>
          <w:tcPr>
            <w:tcW w:w="1411" w:type="dxa"/>
            <w:tcBorders>
              <w:top w:val="single" w:sz="4" w:space="0" w:color="1F4E79" w:themeColor="accent1" w:themeShade="80"/>
              <w:bottom w:val="single" w:sz="2" w:space="0" w:color="1F4E79" w:themeColor="accent1" w:themeShade="80"/>
            </w:tcBorders>
            <w:shd w:val="clear" w:color="auto" w:fill="auto"/>
          </w:tcPr>
          <w:p w14:paraId="120CF827" w14:textId="77777777" w:rsidR="008B7E19" w:rsidRPr="002A40FF"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b/>
                <w:spacing w:val="-2"/>
                <w:sz w:val="14"/>
                <w:szCs w:val="14"/>
              </w:rPr>
            </w:pPr>
            <w:r w:rsidRPr="001821C3">
              <w:rPr>
                <w:rFonts w:cs="Arial"/>
                <w:b/>
                <w:sz w:val="14"/>
                <w:szCs w:val="14"/>
              </w:rPr>
              <w:t>1</w:t>
            </w:r>
            <w:r w:rsidRPr="001821C3">
              <w:rPr>
                <w:rFonts w:cs="Arial"/>
                <w:b/>
                <w:sz w:val="14"/>
                <w:szCs w:val="14"/>
                <w:vertAlign w:val="superscript"/>
              </w:rPr>
              <w:t>st</w:t>
            </w:r>
            <w:r w:rsidRPr="001821C3">
              <w:rPr>
                <w:rFonts w:cs="Arial"/>
                <w:b/>
                <w:sz w:val="14"/>
                <w:szCs w:val="14"/>
              </w:rPr>
              <w:t xml:space="preserve"> </w:t>
            </w:r>
            <w:r>
              <w:rPr>
                <w:rFonts w:cs="Arial"/>
                <w:b/>
                <w:sz w:val="14"/>
                <w:szCs w:val="14"/>
              </w:rPr>
              <w:t>Half</w:t>
            </w:r>
            <w:r w:rsidRPr="001821C3">
              <w:rPr>
                <w:rFonts w:cs="Arial"/>
                <w:b/>
                <w:sz w:val="14"/>
                <w:szCs w:val="14"/>
              </w:rPr>
              <w:t xml:space="preserve"> 202</w:t>
            </w:r>
            <w:r>
              <w:rPr>
                <w:rFonts w:cs="Arial"/>
                <w:b/>
                <w:sz w:val="14"/>
                <w:szCs w:val="14"/>
              </w:rPr>
              <w:t>3</w:t>
            </w:r>
          </w:p>
        </w:tc>
        <w:tc>
          <w:tcPr>
            <w:tcW w:w="1412" w:type="dxa"/>
            <w:tcBorders>
              <w:top w:val="single" w:sz="4" w:space="0" w:color="1F4E79" w:themeColor="accent1" w:themeShade="80"/>
              <w:bottom w:val="single" w:sz="2" w:space="0" w:color="1F4E79" w:themeColor="accent1" w:themeShade="80"/>
            </w:tcBorders>
            <w:shd w:val="clear" w:color="auto" w:fill="auto"/>
          </w:tcPr>
          <w:p w14:paraId="1698B3D5" w14:textId="77777777" w:rsidR="008B7E19" w:rsidRPr="002A40FF"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b/>
                <w:spacing w:val="-2"/>
                <w:sz w:val="14"/>
                <w:szCs w:val="14"/>
              </w:rPr>
            </w:pPr>
            <w:r w:rsidRPr="001821C3">
              <w:rPr>
                <w:rFonts w:cs="Arial"/>
                <w:b/>
                <w:sz w:val="14"/>
                <w:szCs w:val="14"/>
              </w:rPr>
              <w:t>1</w:t>
            </w:r>
            <w:r w:rsidRPr="001821C3">
              <w:rPr>
                <w:rFonts w:cs="Arial"/>
                <w:b/>
                <w:sz w:val="14"/>
                <w:szCs w:val="14"/>
                <w:vertAlign w:val="superscript"/>
              </w:rPr>
              <w:t>st</w:t>
            </w:r>
            <w:r w:rsidRPr="001821C3">
              <w:rPr>
                <w:rFonts w:cs="Arial"/>
                <w:b/>
                <w:sz w:val="14"/>
                <w:szCs w:val="14"/>
              </w:rPr>
              <w:t xml:space="preserve"> </w:t>
            </w:r>
            <w:r>
              <w:rPr>
                <w:rFonts w:cs="Arial"/>
                <w:b/>
                <w:sz w:val="14"/>
                <w:szCs w:val="14"/>
              </w:rPr>
              <w:t>Half</w:t>
            </w:r>
            <w:r w:rsidRPr="001821C3">
              <w:rPr>
                <w:rFonts w:cs="Arial"/>
                <w:b/>
                <w:sz w:val="14"/>
                <w:szCs w:val="14"/>
              </w:rPr>
              <w:t xml:space="preserve"> 202</w:t>
            </w:r>
            <w:r>
              <w:rPr>
                <w:rFonts w:cs="Arial"/>
                <w:b/>
                <w:sz w:val="14"/>
                <w:szCs w:val="14"/>
              </w:rPr>
              <w:t>2</w:t>
            </w:r>
          </w:p>
        </w:tc>
        <w:tc>
          <w:tcPr>
            <w:tcW w:w="283" w:type="dxa"/>
            <w:tcBorders>
              <w:top w:val="nil"/>
              <w:bottom w:val="single" w:sz="2" w:space="0" w:color="1F4E79" w:themeColor="accent1" w:themeShade="80"/>
            </w:tcBorders>
            <w:shd w:val="clear" w:color="auto" w:fill="auto"/>
            <w:vAlign w:val="center"/>
          </w:tcPr>
          <w:p w14:paraId="7B37A6AD" w14:textId="77777777" w:rsidR="008B7E19" w:rsidRPr="002A40FF"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b/>
                <w:spacing w:val="-2"/>
                <w:sz w:val="14"/>
                <w:szCs w:val="14"/>
              </w:rPr>
            </w:pPr>
          </w:p>
        </w:tc>
        <w:tc>
          <w:tcPr>
            <w:tcW w:w="1417" w:type="dxa"/>
            <w:tcBorders>
              <w:top w:val="single" w:sz="4" w:space="0" w:color="1F4E79" w:themeColor="accent1" w:themeShade="80"/>
              <w:bottom w:val="single" w:sz="2" w:space="0" w:color="1F4E79" w:themeColor="accent1" w:themeShade="80"/>
            </w:tcBorders>
            <w:shd w:val="clear" w:color="auto" w:fill="auto"/>
          </w:tcPr>
          <w:p w14:paraId="210232CF" w14:textId="77777777" w:rsidR="008B7E19" w:rsidRPr="002A40FF"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b/>
                <w:spacing w:val="-2"/>
                <w:sz w:val="14"/>
                <w:szCs w:val="14"/>
              </w:rPr>
            </w:pPr>
            <w:r w:rsidRPr="001821C3">
              <w:rPr>
                <w:rFonts w:cs="Arial"/>
                <w:b/>
                <w:sz w:val="14"/>
                <w:szCs w:val="14"/>
              </w:rPr>
              <w:t>1</w:t>
            </w:r>
            <w:r w:rsidRPr="001821C3">
              <w:rPr>
                <w:rFonts w:cs="Arial"/>
                <w:b/>
                <w:sz w:val="14"/>
                <w:szCs w:val="14"/>
                <w:vertAlign w:val="superscript"/>
              </w:rPr>
              <w:t>st</w:t>
            </w:r>
            <w:r w:rsidRPr="001821C3">
              <w:rPr>
                <w:rFonts w:cs="Arial"/>
                <w:b/>
                <w:sz w:val="14"/>
                <w:szCs w:val="14"/>
              </w:rPr>
              <w:t xml:space="preserve"> </w:t>
            </w:r>
            <w:r>
              <w:rPr>
                <w:rFonts w:cs="Arial"/>
                <w:b/>
                <w:sz w:val="14"/>
                <w:szCs w:val="14"/>
              </w:rPr>
              <w:t>Half</w:t>
            </w:r>
            <w:r w:rsidRPr="001821C3">
              <w:rPr>
                <w:rFonts w:cs="Arial"/>
                <w:b/>
                <w:sz w:val="14"/>
                <w:szCs w:val="14"/>
              </w:rPr>
              <w:t xml:space="preserve"> 202</w:t>
            </w:r>
            <w:r>
              <w:rPr>
                <w:rFonts w:cs="Arial"/>
                <w:b/>
                <w:sz w:val="14"/>
                <w:szCs w:val="14"/>
              </w:rPr>
              <w:t>3</w:t>
            </w:r>
          </w:p>
        </w:tc>
        <w:tc>
          <w:tcPr>
            <w:tcW w:w="1418" w:type="dxa"/>
            <w:tcBorders>
              <w:top w:val="single" w:sz="4" w:space="0" w:color="1F4E79" w:themeColor="accent1" w:themeShade="80"/>
              <w:bottom w:val="single" w:sz="2" w:space="0" w:color="1F4E79" w:themeColor="accent1" w:themeShade="80"/>
            </w:tcBorders>
            <w:shd w:val="clear" w:color="auto" w:fill="auto"/>
          </w:tcPr>
          <w:p w14:paraId="6C6401B1" w14:textId="77777777" w:rsidR="008B7E19" w:rsidRPr="002A40FF"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b/>
                <w:spacing w:val="-2"/>
                <w:sz w:val="14"/>
                <w:szCs w:val="14"/>
              </w:rPr>
            </w:pPr>
            <w:r w:rsidRPr="001821C3">
              <w:rPr>
                <w:rFonts w:cs="Arial"/>
                <w:b/>
                <w:sz w:val="14"/>
                <w:szCs w:val="14"/>
              </w:rPr>
              <w:t>1</w:t>
            </w:r>
            <w:r w:rsidRPr="001821C3">
              <w:rPr>
                <w:rFonts w:cs="Arial"/>
                <w:b/>
                <w:sz w:val="14"/>
                <w:szCs w:val="14"/>
                <w:vertAlign w:val="superscript"/>
              </w:rPr>
              <w:t>st</w:t>
            </w:r>
            <w:r w:rsidRPr="001821C3">
              <w:rPr>
                <w:rFonts w:cs="Arial"/>
                <w:b/>
                <w:sz w:val="14"/>
                <w:szCs w:val="14"/>
              </w:rPr>
              <w:t xml:space="preserve"> </w:t>
            </w:r>
            <w:r>
              <w:rPr>
                <w:rFonts w:cs="Arial"/>
                <w:b/>
                <w:sz w:val="14"/>
                <w:szCs w:val="14"/>
              </w:rPr>
              <w:t>Half</w:t>
            </w:r>
            <w:r w:rsidRPr="001821C3">
              <w:rPr>
                <w:rFonts w:cs="Arial"/>
                <w:b/>
                <w:sz w:val="14"/>
                <w:szCs w:val="14"/>
              </w:rPr>
              <w:t xml:space="preserve"> 202</w:t>
            </w:r>
            <w:r>
              <w:rPr>
                <w:rFonts w:cs="Arial"/>
                <w:b/>
                <w:sz w:val="14"/>
                <w:szCs w:val="14"/>
              </w:rPr>
              <w:t>2</w:t>
            </w:r>
          </w:p>
        </w:tc>
      </w:tr>
      <w:tr w:rsidR="008B7E19" w:rsidRPr="002A40FF" w14:paraId="2B1E680C" w14:textId="77777777" w:rsidTr="008875E7">
        <w:trPr>
          <w:cnfStyle w:val="000000010000" w:firstRow="0" w:lastRow="0" w:firstColumn="0" w:lastColumn="0" w:oddVBand="0" w:evenVBand="0" w:oddHBand="0" w:evenHBand="1"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3094" w:type="dxa"/>
            <w:gridSpan w:val="2"/>
            <w:tcBorders>
              <w:top w:val="single" w:sz="2" w:space="0" w:color="1F4E79" w:themeColor="accent1" w:themeShade="80"/>
              <w:bottom w:val="nil"/>
            </w:tcBorders>
            <w:shd w:val="clear" w:color="auto" w:fill="auto"/>
            <w:vAlign w:val="center"/>
          </w:tcPr>
          <w:p w14:paraId="048D7E72" w14:textId="77777777" w:rsidR="008B7E19" w:rsidRPr="00F74EC0" w:rsidRDefault="008B7E19" w:rsidP="008B7E19">
            <w:pPr>
              <w:pStyle w:val="08-Tabelageral"/>
              <w:jc w:val="left"/>
              <w:rPr>
                <w:b w:val="0"/>
                <w:bCs w:val="0"/>
              </w:rPr>
            </w:pPr>
            <w:r w:rsidRPr="00F74EC0">
              <w:rPr>
                <w:b w:val="0"/>
                <w:bCs w:val="0"/>
              </w:rPr>
              <w:t xml:space="preserve">Salaries </w:t>
            </w:r>
          </w:p>
        </w:tc>
        <w:tc>
          <w:tcPr>
            <w:tcW w:w="604" w:type="dxa"/>
            <w:tcBorders>
              <w:top w:val="single" w:sz="2" w:space="0" w:color="1F4E79" w:themeColor="accent1" w:themeShade="80"/>
              <w:bottom w:val="nil"/>
            </w:tcBorders>
            <w:shd w:val="clear" w:color="auto" w:fill="auto"/>
            <w:vAlign w:val="center"/>
          </w:tcPr>
          <w:p w14:paraId="433884ED" w14:textId="77777777" w:rsidR="008B7E19" w:rsidRPr="00F74EC0" w:rsidRDefault="008B7E19" w:rsidP="008B7E19">
            <w:pPr>
              <w:pStyle w:val="08-Tabelageral"/>
              <w:cnfStyle w:val="000000010000" w:firstRow="0" w:lastRow="0" w:firstColumn="0" w:lastColumn="0" w:oddVBand="0" w:evenVBand="0" w:oddHBand="0" w:evenHBand="1" w:firstRowFirstColumn="0" w:firstRowLastColumn="0" w:lastRowFirstColumn="0" w:lastRowLastColumn="0"/>
            </w:pPr>
            <w:r w:rsidRPr="00F74EC0">
              <w:t xml:space="preserve">  </w:t>
            </w:r>
          </w:p>
        </w:tc>
        <w:tc>
          <w:tcPr>
            <w:tcW w:w="1411" w:type="dxa"/>
            <w:tcBorders>
              <w:top w:val="single" w:sz="2" w:space="0" w:color="1F4E79" w:themeColor="accent1" w:themeShade="80"/>
              <w:bottom w:val="nil"/>
            </w:tcBorders>
            <w:shd w:val="clear" w:color="auto" w:fill="auto"/>
          </w:tcPr>
          <w:p w14:paraId="6A5043B3" w14:textId="77777777" w:rsidR="008B7E19" w:rsidRPr="00F74EC0" w:rsidRDefault="008B7E19" w:rsidP="008B7E19">
            <w:pPr>
              <w:pStyle w:val="08-Tabelageral"/>
              <w:cnfStyle w:val="000000010000" w:firstRow="0" w:lastRow="0" w:firstColumn="0" w:lastColumn="0" w:oddVBand="0" w:evenVBand="0" w:oddHBand="0" w:evenHBand="1" w:firstRowFirstColumn="0" w:firstRowLastColumn="0" w:lastRowFirstColumn="0" w:lastRowLastColumn="0"/>
            </w:pPr>
            <w:r w:rsidRPr="006E1312">
              <w:t>(3</w:t>
            </w:r>
            <w:r>
              <w:t>,</w:t>
            </w:r>
            <w:r w:rsidRPr="006E1312">
              <w:t>609)</w:t>
            </w:r>
          </w:p>
        </w:tc>
        <w:tc>
          <w:tcPr>
            <w:tcW w:w="1412" w:type="dxa"/>
            <w:tcBorders>
              <w:top w:val="single" w:sz="2" w:space="0" w:color="1F4E79" w:themeColor="accent1" w:themeShade="80"/>
              <w:bottom w:val="nil"/>
            </w:tcBorders>
            <w:shd w:val="clear" w:color="auto" w:fill="auto"/>
          </w:tcPr>
          <w:p w14:paraId="24420E6F" w14:textId="77777777" w:rsidR="008B7E19" w:rsidRPr="00F74EC0" w:rsidRDefault="008B7E19" w:rsidP="008B7E19">
            <w:pPr>
              <w:pStyle w:val="08-Tabelageral"/>
              <w:cnfStyle w:val="000000010000" w:firstRow="0" w:lastRow="0" w:firstColumn="0" w:lastColumn="0" w:oddVBand="0" w:evenVBand="0" w:oddHBand="0" w:evenHBand="1" w:firstRowFirstColumn="0" w:firstRowLastColumn="0" w:lastRowFirstColumn="0" w:lastRowLastColumn="0"/>
            </w:pPr>
            <w:r>
              <w:t>(3,618)</w:t>
            </w:r>
          </w:p>
        </w:tc>
        <w:tc>
          <w:tcPr>
            <w:tcW w:w="283" w:type="dxa"/>
            <w:tcBorders>
              <w:top w:val="single" w:sz="2" w:space="0" w:color="1F4E79" w:themeColor="accent1" w:themeShade="80"/>
              <w:bottom w:val="nil"/>
            </w:tcBorders>
            <w:shd w:val="clear" w:color="auto" w:fill="auto"/>
            <w:vAlign w:val="center"/>
          </w:tcPr>
          <w:p w14:paraId="15307B17" w14:textId="77777777" w:rsidR="008B7E19" w:rsidRPr="00F74EC0" w:rsidRDefault="008B7E19" w:rsidP="008B7E19">
            <w:pPr>
              <w:pStyle w:val="08-Tabelageral"/>
              <w:cnfStyle w:val="000000010000" w:firstRow="0" w:lastRow="0" w:firstColumn="0" w:lastColumn="0" w:oddVBand="0" w:evenVBand="0" w:oddHBand="0" w:evenHBand="1" w:firstRowFirstColumn="0" w:firstRowLastColumn="0" w:lastRowFirstColumn="0" w:lastRowLastColumn="0"/>
            </w:pPr>
          </w:p>
        </w:tc>
        <w:tc>
          <w:tcPr>
            <w:tcW w:w="1417" w:type="dxa"/>
            <w:tcBorders>
              <w:top w:val="single" w:sz="2" w:space="0" w:color="1F4E79" w:themeColor="accent1" w:themeShade="80"/>
              <w:bottom w:val="nil"/>
            </w:tcBorders>
            <w:shd w:val="clear" w:color="auto" w:fill="auto"/>
            <w:vAlign w:val="center"/>
          </w:tcPr>
          <w:p w14:paraId="7FEECEC2" w14:textId="77777777" w:rsidR="008B7E19" w:rsidRPr="00F74EC0" w:rsidRDefault="008B7E19" w:rsidP="008B7E19">
            <w:pPr>
              <w:pStyle w:val="08-Tabelageral"/>
              <w:cnfStyle w:val="000000010000" w:firstRow="0" w:lastRow="0" w:firstColumn="0" w:lastColumn="0" w:oddVBand="0" w:evenVBand="0" w:oddHBand="0" w:evenHBand="1" w:firstRowFirstColumn="0" w:firstRowLastColumn="0" w:lastRowFirstColumn="0" w:lastRowLastColumn="0"/>
            </w:pPr>
            <w:r w:rsidRPr="006E1312">
              <w:t>(23</w:t>
            </w:r>
            <w:r>
              <w:t>,</w:t>
            </w:r>
            <w:r w:rsidRPr="006E1312">
              <w:t>062)</w:t>
            </w:r>
          </w:p>
        </w:tc>
        <w:tc>
          <w:tcPr>
            <w:tcW w:w="1418" w:type="dxa"/>
            <w:tcBorders>
              <w:top w:val="single" w:sz="2" w:space="0" w:color="1F4E79" w:themeColor="accent1" w:themeShade="80"/>
              <w:bottom w:val="nil"/>
            </w:tcBorders>
            <w:shd w:val="clear" w:color="auto" w:fill="auto"/>
          </w:tcPr>
          <w:p w14:paraId="077EEB88" w14:textId="77777777" w:rsidR="008B7E19" w:rsidRPr="00F74EC0" w:rsidRDefault="008B7E19" w:rsidP="008B7E19">
            <w:pPr>
              <w:pStyle w:val="08-Tabelageral"/>
              <w:cnfStyle w:val="000000010000" w:firstRow="0" w:lastRow="0" w:firstColumn="0" w:lastColumn="0" w:oddVBand="0" w:evenVBand="0" w:oddHBand="0" w:evenHBand="1" w:firstRowFirstColumn="0" w:firstRowLastColumn="0" w:lastRowFirstColumn="0" w:lastRowLastColumn="0"/>
            </w:pPr>
            <w:r>
              <w:t>(18,517)</w:t>
            </w:r>
          </w:p>
        </w:tc>
      </w:tr>
      <w:tr w:rsidR="008B7E19" w:rsidRPr="002A40FF" w14:paraId="6976303C" w14:textId="77777777" w:rsidTr="008875E7">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3094" w:type="dxa"/>
            <w:gridSpan w:val="2"/>
            <w:tcBorders>
              <w:top w:val="nil"/>
              <w:bottom w:val="nil"/>
            </w:tcBorders>
            <w:shd w:val="clear" w:color="auto" w:fill="auto"/>
            <w:vAlign w:val="center"/>
          </w:tcPr>
          <w:p w14:paraId="488A4B35" w14:textId="77777777" w:rsidR="008B7E19" w:rsidRPr="00F74EC0" w:rsidRDefault="008B7E19" w:rsidP="008B7E19">
            <w:pPr>
              <w:pStyle w:val="08-Tabelageral"/>
              <w:jc w:val="left"/>
              <w:rPr>
                <w:b w:val="0"/>
                <w:bCs w:val="0"/>
              </w:rPr>
            </w:pPr>
            <w:r w:rsidRPr="00F74EC0">
              <w:rPr>
                <w:b w:val="0"/>
                <w:bCs w:val="0"/>
              </w:rPr>
              <w:t>Social security costs</w:t>
            </w:r>
          </w:p>
        </w:tc>
        <w:tc>
          <w:tcPr>
            <w:tcW w:w="604" w:type="dxa"/>
            <w:tcBorders>
              <w:top w:val="nil"/>
              <w:bottom w:val="nil"/>
            </w:tcBorders>
            <w:shd w:val="clear" w:color="auto" w:fill="auto"/>
            <w:vAlign w:val="center"/>
          </w:tcPr>
          <w:p w14:paraId="7C740897" w14:textId="77777777" w:rsidR="008B7E19" w:rsidRPr="00F74EC0" w:rsidRDefault="008B7E19" w:rsidP="008B7E19">
            <w:pPr>
              <w:pStyle w:val="08-Tabelageral"/>
              <w:cnfStyle w:val="000000100000" w:firstRow="0" w:lastRow="0" w:firstColumn="0" w:lastColumn="0" w:oddVBand="0" w:evenVBand="0" w:oddHBand="1" w:evenHBand="0" w:firstRowFirstColumn="0" w:firstRowLastColumn="0" w:lastRowFirstColumn="0" w:lastRowLastColumn="0"/>
            </w:pPr>
          </w:p>
        </w:tc>
        <w:tc>
          <w:tcPr>
            <w:tcW w:w="1411" w:type="dxa"/>
            <w:tcBorders>
              <w:top w:val="nil"/>
            </w:tcBorders>
            <w:shd w:val="clear" w:color="auto" w:fill="auto"/>
          </w:tcPr>
          <w:p w14:paraId="0A7A8EFB" w14:textId="77777777" w:rsidR="008B7E19" w:rsidRPr="00F74EC0" w:rsidRDefault="008B7E19" w:rsidP="008B7E19">
            <w:pPr>
              <w:pStyle w:val="08-Tabelageral"/>
              <w:cnfStyle w:val="000000100000" w:firstRow="0" w:lastRow="0" w:firstColumn="0" w:lastColumn="0" w:oddVBand="0" w:evenVBand="0" w:oddHBand="1" w:evenHBand="0" w:firstRowFirstColumn="0" w:firstRowLastColumn="0" w:lastRowFirstColumn="0" w:lastRowLastColumn="0"/>
            </w:pPr>
            <w:r w:rsidRPr="006E1312">
              <w:t>(2</w:t>
            </w:r>
            <w:r>
              <w:t>,</w:t>
            </w:r>
            <w:r w:rsidRPr="006E1312">
              <w:t>094)</w:t>
            </w:r>
          </w:p>
        </w:tc>
        <w:tc>
          <w:tcPr>
            <w:tcW w:w="1412" w:type="dxa"/>
            <w:tcBorders>
              <w:top w:val="nil"/>
            </w:tcBorders>
            <w:shd w:val="clear" w:color="auto" w:fill="auto"/>
          </w:tcPr>
          <w:p w14:paraId="1ACBEC0F" w14:textId="77777777" w:rsidR="008B7E19" w:rsidRPr="00F74EC0" w:rsidRDefault="008B7E19" w:rsidP="008B7E19">
            <w:pPr>
              <w:pStyle w:val="08-Tabelageral"/>
              <w:cnfStyle w:val="000000100000" w:firstRow="0" w:lastRow="0" w:firstColumn="0" w:lastColumn="0" w:oddVBand="0" w:evenVBand="0" w:oddHBand="1" w:evenHBand="0" w:firstRowFirstColumn="0" w:firstRowLastColumn="0" w:lastRowFirstColumn="0" w:lastRowLastColumn="0"/>
            </w:pPr>
            <w:r>
              <w:t>(1,974)</w:t>
            </w:r>
          </w:p>
        </w:tc>
        <w:tc>
          <w:tcPr>
            <w:tcW w:w="283" w:type="dxa"/>
            <w:tcBorders>
              <w:top w:val="nil"/>
            </w:tcBorders>
            <w:shd w:val="clear" w:color="auto" w:fill="auto"/>
            <w:vAlign w:val="center"/>
          </w:tcPr>
          <w:p w14:paraId="1C2BA9C2" w14:textId="77777777" w:rsidR="008B7E19" w:rsidRPr="00F74EC0" w:rsidRDefault="008B7E19" w:rsidP="008B7E19">
            <w:pPr>
              <w:pStyle w:val="08-Tabelageral"/>
              <w:cnfStyle w:val="000000100000" w:firstRow="0" w:lastRow="0" w:firstColumn="0" w:lastColumn="0" w:oddVBand="0" w:evenVBand="0" w:oddHBand="1" w:evenHBand="0" w:firstRowFirstColumn="0" w:firstRowLastColumn="0" w:lastRowFirstColumn="0" w:lastRowLastColumn="0"/>
            </w:pPr>
          </w:p>
        </w:tc>
        <w:tc>
          <w:tcPr>
            <w:tcW w:w="1417" w:type="dxa"/>
            <w:tcBorders>
              <w:top w:val="nil"/>
            </w:tcBorders>
            <w:shd w:val="clear" w:color="auto" w:fill="auto"/>
            <w:vAlign w:val="center"/>
          </w:tcPr>
          <w:p w14:paraId="521C34B1" w14:textId="77777777" w:rsidR="008B7E19" w:rsidRPr="00F74EC0" w:rsidRDefault="008B7E19" w:rsidP="008B7E19">
            <w:pPr>
              <w:pStyle w:val="08-Tabelageral"/>
              <w:cnfStyle w:val="000000100000" w:firstRow="0" w:lastRow="0" w:firstColumn="0" w:lastColumn="0" w:oddVBand="0" w:evenVBand="0" w:oddHBand="1" w:evenHBand="0" w:firstRowFirstColumn="0" w:firstRowLastColumn="0" w:lastRowFirstColumn="0" w:lastRowLastColumn="0"/>
            </w:pPr>
            <w:r w:rsidRPr="006E1312">
              <w:t>(12</w:t>
            </w:r>
            <w:r>
              <w:t>,</w:t>
            </w:r>
            <w:r w:rsidRPr="006E1312">
              <w:t>242)</w:t>
            </w:r>
          </w:p>
        </w:tc>
        <w:tc>
          <w:tcPr>
            <w:tcW w:w="1418" w:type="dxa"/>
            <w:tcBorders>
              <w:top w:val="nil"/>
            </w:tcBorders>
            <w:shd w:val="clear" w:color="auto" w:fill="auto"/>
          </w:tcPr>
          <w:p w14:paraId="1F1E5381" w14:textId="77777777" w:rsidR="008B7E19" w:rsidRPr="00F74EC0" w:rsidRDefault="008B7E19" w:rsidP="008B7E19">
            <w:pPr>
              <w:pStyle w:val="08-Tabelageral"/>
              <w:cnfStyle w:val="000000100000" w:firstRow="0" w:lastRow="0" w:firstColumn="0" w:lastColumn="0" w:oddVBand="0" w:evenVBand="0" w:oddHBand="1" w:evenHBand="0" w:firstRowFirstColumn="0" w:firstRowLastColumn="0" w:lastRowFirstColumn="0" w:lastRowLastColumn="0"/>
            </w:pPr>
            <w:r>
              <w:t>(9,936)</w:t>
            </w:r>
          </w:p>
        </w:tc>
      </w:tr>
      <w:tr w:rsidR="008B7E19" w:rsidRPr="002A40FF" w14:paraId="644FFA9E" w14:textId="77777777" w:rsidTr="008875E7">
        <w:trPr>
          <w:cnfStyle w:val="000000010000" w:firstRow="0" w:lastRow="0" w:firstColumn="0" w:lastColumn="0" w:oddVBand="0" w:evenVBand="0" w:oddHBand="0" w:evenHBand="1"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3094" w:type="dxa"/>
            <w:gridSpan w:val="2"/>
            <w:shd w:val="clear" w:color="auto" w:fill="auto"/>
            <w:vAlign w:val="center"/>
          </w:tcPr>
          <w:p w14:paraId="76256CB9" w14:textId="77777777" w:rsidR="008B7E19" w:rsidRPr="00F74EC0" w:rsidRDefault="008B7E19" w:rsidP="008B7E19">
            <w:pPr>
              <w:pStyle w:val="08-Tabelageral"/>
              <w:jc w:val="left"/>
              <w:rPr>
                <w:b w:val="0"/>
                <w:bCs w:val="0"/>
              </w:rPr>
            </w:pPr>
            <w:r w:rsidRPr="00F74EC0">
              <w:rPr>
                <w:b w:val="0"/>
                <w:bCs w:val="0"/>
              </w:rPr>
              <w:t>Benefits</w:t>
            </w:r>
          </w:p>
        </w:tc>
        <w:tc>
          <w:tcPr>
            <w:tcW w:w="604" w:type="dxa"/>
            <w:shd w:val="clear" w:color="auto" w:fill="auto"/>
            <w:vAlign w:val="center"/>
          </w:tcPr>
          <w:p w14:paraId="14C8E9E0" w14:textId="77777777" w:rsidR="008B7E19" w:rsidRPr="00F74EC0" w:rsidRDefault="008B7E19" w:rsidP="008B7E19">
            <w:pPr>
              <w:pStyle w:val="08-Tabelageral"/>
              <w:cnfStyle w:val="000000010000" w:firstRow="0" w:lastRow="0" w:firstColumn="0" w:lastColumn="0" w:oddVBand="0" w:evenVBand="0" w:oddHBand="0" w:evenHBand="1" w:firstRowFirstColumn="0" w:firstRowLastColumn="0" w:lastRowFirstColumn="0" w:lastRowLastColumn="0"/>
            </w:pPr>
          </w:p>
        </w:tc>
        <w:tc>
          <w:tcPr>
            <w:tcW w:w="1411" w:type="dxa"/>
            <w:shd w:val="clear" w:color="auto" w:fill="auto"/>
          </w:tcPr>
          <w:p w14:paraId="7AC0E2CE" w14:textId="77777777" w:rsidR="008B7E19" w:rsidRPr="00F74EC0" w:rsidRDefault="008B7E19" w:rsidP="008B7E19">
            <w:pPr>
              <w:pStyle w:val="08-Tabelageral"/>
              <w:cnfStyle w:val="000000010000" w:firstRow="0" w:lastRow="0" w:firstColumn="0" w:lastColumn="0" w:oddVBand="0" w:evenVBand="0" w:oddHBand="0" w:evenHBand="1" w:firstRowFirstColumn="0" w:firstRowLastColumn="0" w:lastRowFirstColumn="0" w:lastRowLastColumn="0"/>
            </w:pPr>
            <w:r w:rsidRPr="006E1312">
              <w:t>(552)</w:t>
            </w:r>
          </w:p>
        </w:tc>
        <w:tc>
          <w:tcPr>
            <w:tcW w:w="1412" w:type="dxa"/>
            <w:shd w:val="clear" w:color="auto" w:fill="auto"/>
          </w:tcPr>
          <w:p w14:paraId="54C9EE06" w14:textId="77777777" w:rsidR="008B7E19" w:rsidRPr="00F74EC0" w:rsidRDefault="008B7E19" w:rsidP="008B7E19">
            <w:pPr>
              <w:pStyle w:val="08-Tabelageral"/>
              <w:cnfStyle w:val="000000010000" w:firstRow="0" w:lastRow="0" w:firstColumn="0" w:lastColumn="0" w:oddVBand="0" w:evenVBand="0" w:oddHBand="0" w:evenHBand="1" w:firstRowFirstColumn="0" w:firstRowLastColumn="0" w:lastRowFirstColumn="0" w:lastRowLastColumn="0"/>
            </w:pPr>
            <w:r>
              <w:t>(550)</w:t>
            </w:r>
          </w:p>
        </w:tc>
        <w:tc>
          <w:tcPr>
            <w:tcW w:w="283" w:type="dxa"/>
            <w:shd w:val="clear" w:color="auto" w:fill="auto"/>
            <w:vAlign w:val="center"/>
          </w:tcPr>
          <w:p w14:paraId="61BD3950" w14:textId="77777777" w:rsidR="008B7E19" w:rsidRPr="00F74EC0" w:rsidRDefault="008B7E19" w:rsidP="008B7E19">
            <w:pPr>
              <w:pStyle w:val="08-Tabelageral"/>
              <w:cnfStyle w:val="000000010000" w:firstRow="0" w:lastRow="0" w:firstColumn="0" w:lastColumn="0" w:oddVBand="0" w:evenVBand="0" w:oddHBand="0" w:evenHBand="1" w:firstRowFirstColumn="0" w:firstRowLastColumn="0" w:lastRowFirstColumn="0" w:lastRowLastColumn="0"/>
            </w:pPr>
          </w:p>
        </w:tc>
        <w:tc>
          <w:tcPr>
            <w:tcW w:w="1417" w:type="dxa"/>
            <w:shd w:val="clear" w:color="auto" w:fill="auto"/>
            <w:vAlign w:val="center"/>
          </w:tcPr>
          <w:p w14:paraId="334CA9CD" w14:textId="77777777" w:rsidR="008B7E19" w:rsidRPr="00F74EC0" w:rsidRDefault="008B7E19" w:rsidP="008B7E19">
            <w:pPr>
              <w:pStyle w:val="08-Tabelageral"/>
              <w:cnfStyle w:val="000000010000" w:firstRow="0" w:lastRow="0" w:firstColumn="0" w:lastColumn="0" w:oddVBand="0" w:evenVBand="0" w:oddHBand="0" w:evenHBand="1" w:firstRowFirstColumn="0" w:firstRowLastColumn="0" w:lastRowFirstColumn="0" w:lastRowLastColumn="0"/>
            </w:pPr>
            <w:r w:rsidRPr="006E1312">
              <w:t>(3</w:t>
            </w:r>
            <w:r>
              <w:t>,</w:t>
            </w:r>
            <w:r w:rsidRPr="006E1312">
              <w:t>713)</w:t>
            </w:r>
          </w:p>
        </w:tc>
        <w:tc>
          <w:tcPr>
            <w:tcW w:w="1418" w:type="dxa"/>
            <w:shd w:val="clear" w:color="auto" w:fill="auto"/>
          </w:tcPr>
          <w:p w14:paraId="1F1ADAFE" w14:textId="77777777" w:rsidR="008B7E19" w:rsidRPr="00F74EC0" w:rsidRDefault="008B7E19" w:rsidP="008B7E19">
            <w:pPr>
              <w:pStyle w:val="08-Tabelageral"/>
              <w:cnfStyle w:val="000000010000" w:firstRow="0" w:lastRow="0" w:firstColumn="0" w:lastColumn="0" w:oddVBand="0" w:evenVBand="0" w:oddHBand="0" w:evenHBand="1" w:firstRowFirstColumn="0" w:firstRowLastColumn="0" w:lastRowFirstColumn="0" w:lastRowLastColumn="0"/>
            </w:pPr>
            <w:r>
              <w:t>(3,178)</w:t>
            </w:r>
          </w:p>
        </w:tc>
      </w:tr>
      <w:tr w:rsidR="008B7E19" w:rsidRPr="002A40FF" w14:paraId="5A1A7A9B" w14:textId="77777777" w:rsidTr="008875E7">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3094" w:type="dxa"/>
            <w:gridSpan w:val="2"/>
            <w:tcBorders>
              <w:top w:val="nil"/>
              <w:bottom w:val="nil"/>
            </w:tcBorders>
            <w:shd w:val="clear" w:color="auto" w:fill="auto"/>
            <w:vAlign w:val="center"/>
          </w:tcPr>
          <w:p w14:paraId="6B4E7003" w14:textId="77777777" w:rsidR="008B7E19" w:rsidRPr="00F74EC0" w:rsidRDefault="008B7E19" w:rsidP="008B7E19">
            <w:pPr>
              <w:pStyle w:val="08-Tabelageral"/>
              <w:jc w:val="left"/>
              <w:rPr>
                <w:b w:val="0"/>
                <w:bCs w:val="0"/>
              </w:rPr>
            </w:pPr>
            <w:r w:rsidRPr="00F74EC0">
              <w:rPr>
                <w:b w:val="0"/>
                <w:bCs w:val="0"/>
              </w:rPr>
              <w:t xml:space="preserve">Fees </w:t>
            </w:r>
          </w:p>
        </w:tc>
        <w:tc>
          <w:tcPr>
            <w:tcW w:w="604" w:type="dxa"/>
            <w:tcBorders>
              <w:top w:val="nil"/>
              <w:bottom w:val="nil"/>
            </w:tcBorders>
            <w:shd w:val="clear" w:color="auto" w:fill="auto"/>
            <w:vAlign w:val="center"/>
          </w:tcPr>
          <w:p w14:paraId="3B2C2384" w14:textId="77777777" w:rsidR="008B7E19" w:rsidRPr="00F74EC0" w:rsidRDefault="008B7E19" w:rsidP="008B7E19">
            <w:pPr>
              <w:pStyle w:val="08-Tabelageral"/>
              <w:cnfStyle w:val="000000100000" w:firstRow="0" w:lastRow="0" w:firstColumn="0" w:lastColumn="0" w:oddVBand="0" w:evenVBand="0" w:oddHBand="1" w:evenHBand="0" w:firstRowFirstColumn="0" w:firstRowLastColumn="0" w:lastRowFirstColumn="0" w:lastRowLastColumn="0"/>
            </w:pPr>
          </w:p>
        </w:tc>
        <w:tc>
          <w:tcPr>
            <w:tcW w:w="1411" w:type="dxa"/>
            <w:shd w:val="clear" w:color="auto" w:fill="auto"/>
          </w:tcPr>
          <w:p w14:paraId="275B65AF" w14:textId="77777777" w:rsidR="008B7E19" w:rsidRPr="00F74EC0" w:rsidRDefault="008B7E19" w:rsidP="008B7E19">
            <w:pPr>
              <w:pStyle w:val="08-Tabelageral"/>
              <w:cnfStyle w:val="000000100000" w:firstRow="0" w:lastRow="0" w:firstColumn="0" w:lastColumn="0" w:oddVBand="0" w:evenVBand="0" w:oddHBand="1" w:evenHBand="0" w:firstRowFirstColumn="0" w:firstRowLastColumn="0" w:lastRowFirstColumn="0" w:lastRowLastColumn="0"/>
            </w:pPr>
            <w:r w:rsidRPr="006E1312">
              <w:t>(538)</w:t>
            </w:r>
          </w:p>
        </w:tc>
        <w:tc>
          <w:tcPr>
            <w:tcW w:w="1412" w:type="dxa"/>
            <w:shd w:val="clear" w:color="auto" w:fill="auto"/>
          </w:tcPr>
          <w:p w14:paraId="78589F2C" w14:textId="77777777" w:rsidR="008B7E19" w:rsidRPr="00F74EC0" w:rsidRDefault="008B7E19" w:rsidP="008B7E19">
            <w:pPr>
              <w:pStyle w:val="08-Tabelageral"/>
              <w:cnfStyle w:val="000000100000" w:firstRow="0" w:lastRow="0" w:firstColumn="0" w:lastColumn="0" w:oddVBand="0" w:evenVBand="0" w:oddHBand="1" w:evenHBand="0" w:firstRowFirstColumn="0" w:firstRowLastColumn="0" w:lastRowFirstColumn="0" w:lastRowLastColumn="0"/>
            </w:pPr>
            <w:r>
              <w:t>(726)</w:t>
            </w:r>
          </w:p>
        </w:tc>
        <w:tc>
          <w:tcPr>
            <w:tcW w:w="283" w:type="dxa"/>
            <w:shd w:val="clear" w:color="auto" w:fill="auto"/>
            <w:vAlign w:val="center"/>
          </w:tcPr>
          <w:p w14:paraId="7ADF4874" w14:textId="77777777" w:rsidR="008B7E19" w:rsidRPr="00F74EC0" w:rsidRDefault="008B7E19" w:rsidP="008B7E19">
            <w:pPr>
              <w:pStyle w:val="08-Tabelageral"/>
              <w:cnfStyle w:val="000000100000" w:firstRow="0" w:lastRow="0" w:firstColumn="0" w:lastColumn="0" w:oddVBand="0" w:evenVBand="0" w:oddHBand="1" w:evenHBand="0" w:firstRowFirstColumn="0" w:firstRowLastColumn="0" w:lastRowFirstColumn="0" w:lastRowLastColumn="0"/>
            </w:pPr>
          </w:p>
        </w:tc>
        <w:tc>
          <w:tcPr>
            <w:tcW w:w="1417" w:type="dxa"/>
            <w:shd w:val="clear" w:color="auto" w:fill="auto"/>
            <w:vAlign w:val="center"/>
          </w:tcPr>
          <w:p w14:paraId="62EB7284" w14:textId="77777777" w:rsidR="008B7E19" w:rsidRPr="00F74EC0" w:rsidRDefault="008B7E19" w:rsidP="008B7E19">
            <w:pPr>
              <w:pStyle w:val="08-Tabelageral"/>
              <w:cnfStyle w:val="000000100000" w:firstRow="0" w:lastRow="0" w:firstColumn="0" w:lastColumn="0" w:oddVBand="0" w:evenVBand="0" w:oddHBand="1" w:evenHBand="0" w:firstRowFirstColumn="0" w:firstRowLastColumn="0" w:lastRowFirstColumn="0" w:lastRowLastColumn="0"/>
            </w:pPr>
            <w:r w:rsidRPr="006E1312">
              <w:t>(2</w:t>
            </w:r>
            <w:r>
              <w:t>,</w:t>
            </w:r>
            <w:r w:rsidRPr="006E1312">
              <w:t>168)</w:t>
            </w:r>
          </w:p>
        </w:tc>
        <w:tc>
          <w:tcPr>
            <w:tcW w:w="1418" w:type="dxa"/>
            <w:shd w:val="clear" w:color="auto" w:fill="auto"/>
          </w:tcPr>
          <w:p w14:paraId="7D950CD6" w14:textId="77777777" w:rsidR="008B7E19" w:rsidRPr="00F74EC0" w:rsidRDefault="008B7E19" w:rsidP="008B7E19">
            <w:pPr>
              <w:pStyle w:val="08-Tabelageral"/>
              <w:cnfStyle w:val="000000100000" w:firstRow="0" w:lastRow="0" w:firstColumn="0" w:lastColumn="0" w:oddVBand="0" w:evenVBand="0" w:oddHBand="1" w:evenHBand="0" w:firstRowFirstColumn="0" w:firstRowLastColumn="0" w:lastRowFirstColumn="0" w:lastRowLastColumn="0"/>
            </w:pPr>
            <w:r>
              <w:t>(1,983)</w:t>
            </w:r>
          </w:p>
        </w:tc>
      </w:tr>
      <w:tr w:rsidR="008B7E19" w:rsidRPr="002A40FF" w14:paraId="01E3CD75" w14:textId="77777777" w:rsidTr="008875E7">
        <w:trPr>
          <w:cnfStyle w:val="000000010000" w:firstRow="0" w:lastRow="0" w:firstColumn="0" w:lastColumn="0" w:oddVBand="0" w:evenVBand="0" w:oddHBand="0" w:evenHBand="1"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3094" w:type="dxa"/>
            <w:gridSpan w:val="2"/>
            <w:tcBorders>
              <w:top w:val="nil"/>
              <w:bottom w:val="nil"/>
            </w:tcBorders>
            <w:shd w:val="clear" w:color="auto" w:fill="auto"/>
            <w:vAlign w:val="center"/>
          </w:tcPr>
          <w:p w14:paraId="44DE78BB" w14:textId="77777777" w:rsidR="008B7E19" w:rsidRPr="00F74EC0" w:rsidRDefault="008B7E19" w:rsidP="008B7E19">
            <w:pPr>
              <w:pStyle w:val="08-Tabelageral"/>
              <w:jc w:val="left"/>
              <w:rPr>
                <w:b w:val="0"/>
                <w:bCs w:val="0"/>
              </w:rPr>
            </w:pPr>
            <w:r w:rsidRPr="00F74EC0">
              <w:rPr>
                <w:b w:val="0"/>
                <w:bCs w:val="0"/>
              </w:rPr>
              <w:t>Training</w:t>
            </w:r>
          </w:p>
        </w:tc>
        <w:tc>
          <w:tcPr>
            <w:tcW w:w="604" w:type="dxa"/>
            <w:tcBorders>
              <w:top w:val="nil"/>
              <w:bottom w:val="nil"/>
            </w:tcBorders>
            <w:shd w:val="clear" w:color="auto" w:fill="auto"/>
            <w:vAlign w:val="center"/>
          </w:tcPr>
          <w:p w14:paraId="25CA7168" w14:textId="77777777" w:rsidR="008B7E19" w:rsidRPr="00F74EC0" w:rsidRDefault="008B7E19" w:rsidP="008B7E19">
            <w:pPr>
              <w:pStyle w:val="08-Tabelageral"/>
              <w:cnfStyle w:val="000000010000" w:firstRow="0" w:lastRow="0" w:firstColumn="0" w:lastColumn="0" w:oddVBand="0" w:evenVBand="0" w:oddHBand="0" w:evenHBand="1" w:firstRowFirstColumn="0" w:firstRowLastColumn="0" w:lastRowFirstColumn="0" w:lastRowLastColumn="0"/>
            </w:pPr>
          </w:p>
        </w:tc>
        <w:tc>
          <w:tcPr>
            <w:tcW w:w="1411" w:type="dxa"/>
            <w:tcBorders>
              <w:bottom w:val="nil"/>
            </w:tcBorders>
            <w:shd w:val="clear" w:color="auto" w:fill="auto"/>
          </w:tcPr>
          <w:p w14:paraId="626D6398" w14:textId="77777777" w:rsidR="008B7E19" w:rsidRPr="00F74EC0" w:rsidRDefault="008B7E19" w:rsidP="008B7E19">
            <w:pPr>
              <w:pStyle w:val="08-Tabelageral"/>
              <w:cnfStyle w:val="000000010000" w:firstRow="0" w:lastRow="0" w:firstColumn="0" w:lastColumn="0" w:oddVBand="0" w:evenVBand="0" w:oddHBand="0" w:evenHBand="1" w:firstRowFirstColumn="0" w:firstRowLastColumn="0" w:lastRowFirstColumn="0" w:lastRowLastColumn="0"/>
            </w:pPr>
            <w:r w:rsidRPr="006E1312">
              <w:t>(54)</w:t>
            </w:r>
          </w:p>
        </w:tc>
        <w:tc>
          <w:tcPr>
            <w:tcW w:w="1412" w:type="dxa"/>
            <w:tcBorders>
              <w:bottom w:val="nil"/>
            </w:tcBorders>
            <w:shd w:val="clear" w:color="auto" w:fill="auto"/>
          </w:tcPr>
          <w:p w14:paraId="19929CA2" w14:textId="77777777" w:rsidR="008B7E19" w:rsidRPr="00F74EC0" w:rsidRDefault="008B7E19" w:rsidP="008B7E19">
            <w:pPr>
              <w:pStyle w:val="08-Tabelageral"/>
              <w:cnfStyle w:val="000000010000" w:firstRow="0" w:lastRow="0" w:firstColumn="0" w:lastColumn="0" w:oddVBand="0" w:evenVBand="0" w:oddHBand="0" w:evenHBand="1" w:firstRowFirstColumn="0" w:firstRowLastColumn="0" w:lastRowFirstColumn="0" w:lastRowLastColumn="0"/>
            </w:pPr>
            <w:r>
              <w:t>(49)</w:t>
            </w:r>
          </w:p>
        </w:tc>
        <w:tc>
          <w:tcPr>
            <w:tcW w:w="283" w:type="dxa"/>
            <w:tcBorders>
              <w:bottom w:val="nil"/>
            </w:tcBorders>
            <w:shd w:val="clear" w:color="auto" w:fill="auto"/>
            <w:vAlign w:val="center"/>
          </w:tcPr>
          <w:p w14:paraId="288FA13C" w14:textId="77777777" w:rsidR="008B7E19" w:rsidRPr="00F74EC0" w:rsidRDefault="008B7E19" w:rsidP="008B7E19">
            <w:pPr>
              <w:pStyle w:val="08-Tabelageral"/>
              <w:cnfStyle w:val="000000010000" w:firstRow="0" w:lastRow="0" w:firstColumn="0" w:lastColumn="0" w:oddVBand="0" w:evenVBand="0" w:oddHBand="0" w:evenHBand="1" w:firstRowFirstColumn="0" w:firstRowLastColumn="0" w:lastRowFirstColumn="0" w:lastRowLastColumn="0"/>
            </w:pPr>
          </w:p>
        </w:tc>
        <w:tc>
          <w:tcPr>
            <w:tcW w:w="1417" w:type="dxa"/>
            <w:tcBorders>
              <w:bottom w:val="nil"/>
            </w:tcBorders>
            <w:shd w:val="clear" w:color="auto" w:fill="auto"/>
            <w:vAlign w:val="center"/>
          </w:tcPr>
          <w:p w14:paraId="29293EFC" w14:textId="77777777" w:rsidR="008B7E19" w:rsidRPr="00F74EC0" w:rsidRDefault="008B7E19" w:rsidP="008B7E19">
            <w:pPr>
              <w:pStyle w:val="08-Tabelageral"/>
              <w:cnfStyle w:val="000000010000" w:firstRow="0" w:lastRow="0" w:firstColumn="0" w:lastColumn="0" w:oddVBand="0" w:evenVBand="0" w:oddHBand="0" w:evenHBand="1" w:firstRowFirstColumn="0" w:firstRowLastColumn="0" w:lastRowFirstColumn="0" w:lastRowLastColumn="0"/>
            </w:pPr>
            <w:r w:rsidRPr="006E1312">
              <w:t>(273)</w:t>
            </w:r>
          </w:p>
        </w:tc>
        <w:tc>
          <w:tcPr>
            <w:tcW w:w="1418" w:type="dxa"/>
            <w:tcBorders>
              <w:bottom w:val="nil"/>
            </w:tcBorders>
            <w:shd w:val="clear" w:color="auto" w:fill="auto"/>
          </w:tcPr>
          <w:p w14:paraId="2E620843" w14:textId="77777777" w:rsidR="008B7E19" w:rsidRPr="00F74EC0" w:rsidRDefault="008B7E19" w:rsidP="008B7E19">
            <w:pPr>
              <w:pStyle w:val="08-Tabelageral"/>
              <w:cnfStyle w:val="000000010000" w:firstRow="0" w:lastRow="0" w:firstColumn="0" w:lastColumn="0" w:oddVBand="0" w:evenVBand="0" w:oddHBand="0" w:evenHBand="1" w:firstRowFirstColumn="0" w:firstRowLastColumn="0" w:lastRowFirstColumn="0" w:lastRowLastColumn="0"/>
            </w:pPr>
            <w:r>
              <w:t>(324)</w:t>
            </w:r>
          </w:p>
        </w:tc>
      </w:tr>
      <w:tr w:rsidR="008B7E19" w:rsidRPr="00F74EC0" w14:paraId="709A6A58" w14:textId="77777777" w:rsidTr="008875E7">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3094" w:type="dxa"/>
            <w:gridSpan w:val="2"/>
            <w:tcBorders>
              <w:top w:val="nil"/>
              <w:bottom w:val="single" w:sz="2" w:space="0" w:color="1F4E79" w:themeColor="accent1" w:themeShade="80"/>
            </w:tcBorders>
            <w:shd w:val="clear" w:color="auto" w:fill="auto"/>
            <w:vAlign w:val="center"/>
          </w:tcPr>
          <w:p w14:paraId="1B4DB030" w14:textId="77777777" w:rsidR="008B7E19" w:rsidRPr="00F74EC0" w:rsidRDefault="008B7E19" w:rsidP="008B7E19">
            <w:pPr>
              <w:pStyle w:val="08-Tabelageral"/>
              <w:jc w:val="left"/>
            </w:pPr>
            <w:r w:rsidRPr="00F74EC0">
              <w:t>Total</w:t>
            </w:r>
          </w:p>
        </w:tc>
        <w:tc>
          <w:tcPr>
            <w:tcW w:w="604" w:type="dxa"/>
            <w:tcBorders>
              <w:top w:val="nil"/>
              <w:bottom w:val="single" w:sz="2" w:space="0" w:color="1F4E79" w:themeColor="accent1" w:themeShade="80"/>
            </w:tcBorders>
            <w:shd w:val="clear" w:color="auto" w:fill="auto"/>
            <w:vAlign w:val="center"/>
          </w:tcPr>
          <w:p w14:paraId="0E6CDB23" w14:textId="77777777" w:rsidR="008B7E19" w:rsidRPr="00F74EC0"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b/>
                <w:bCs/>
              </w:rPr>
            </w:pPr>
          </w:p>
        </w:tc>
        <w:tc>
          <w:tcPr>
            <w:tcW w:w="1411" w:type="dxa"/>
            <w:tcBorders>
              <w:top w:val="nil"/>
              <w:bottom w:val="single" w:sz="2" w:space="0" w:color="1F4E79" w:themeColor="accent1" w:themeShade="80"/>
            </w:tcBorders>
            <w:shd w:val="clear" w:color="auto" w:fill="auto"/>
          </w:tcPr>
          <w:p w14:paraId="011F92F4" w14:textId="77777777" w:rsidR="008B7E19" w:rsidRPr="00F74EC0"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b/>
                <w:bCs/>
              </w:rPr>
            </w:pPr>
            <w:r w:rsidRPr="006E1312">
              <w:rPr>
                <w:b/>
              </w:rPr>
              <w:t>(6</w:t>
            </w:r>
            <w:r>
              <w:rPr>
                <w:b/>
              </w:rPr>
              <w:t>,</w:t>
            </w:r>
            <w:r w:rsidRPr="006E1312">
              <w:rPr>
                <w:b/>
              </w:rPr>
              <w:t>847)</w:t>
            </w:r>
          </w:p>
        </w:tc>
        <w:tc>
          <w:tcPr>
            <w:tcW w:w="1412" w:type="dxa"/>
            <w:tcBorders>
              <w:top w:val="nil"/>
              <w:bottom w:val="single" w:sz="2" w:space="0" w:color="1F4E79" w:themeColor="accent1" w:themeShade="80"/>
            </w:tcBorders>
            <w:shd w:val="clear" w:color="auto" w:fill="auto"/>
          </w:tcPr>
          <w:p w14:paraId="335547D3" w14:textId="77777777" w:rsidR="008B7E19" w:rsidRPr="00F74EC0"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b/>
                <w:bCs/>
              </w:rPr>
            </w:pPr>
            <w:r>
              <w:rPr>
                <w:b/>
              </w:rPr>
              <w:t>(6,917)</w:t>
            </w:r>
          </w:p>
        </w:tc>
        <w:tc>
          <w:tcPr>
            <w:tcW w:w="283" w:type="dxa"/>
            <w:tcBorders>
              <w:top w:val="nil"/>
              <w:bottom w:val="single" w:sz="2" w:space="0" w:color="1F4E79" w:themeColor="accent1" w:themeShade="80"/>
            </w:tcBorders>
            <w:shd w:val="clear" w:color="auto" w:fill="auto"/>
            <w:vAlign w:val="center"/>
          </w:tcPr>
          <w:p w14:paraId="69B1316F" w14:textId="77777777" w:rsidR="008B7E19" w:rsidRPr="00F74EC0"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b/>
                <w:bCs/>
              </w:rPr>
            </w:pPr>
          </w:p>
        </w:tc>
        <w:tc>
          <w:tcPr>
            <w:tcW w:w="1417" w:type="dxa"/>
            <w:tcBorders>
              <w:top w:val="nil"/>
              <w:bottom w:val="single" w:sz="2" w:space="0" w:color="1F4E79" w:themeColor="accent1" w:themeShade="80"/>
            </w:tcBorders>
            <w:shd w:val="clear" w:color="auto" w:fill="auto"/>
            <w:vAlign w:val="center"/>
          </w:tcPr>
          <w:p w14:paraId="4DC2551D" w14:textId="77777777" w:rsidR="008B7E19" w:rsidRPr="00F74EC0"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b/>
                <w:bCs/>
              </w:rPr>
            </w:pPr>
            <w:r w:rsidRPr="006E1312">
              <w:rPr>
                <w:b/>
              </w:rPr>
              <w:t>(41</w:t>
            </w:r>
            <w:r>
              <w:rPr>
                <w:b/>
              </w:rPr>
              <w:t>,</w:t>
            </w:r>
            <w:r w:rsidRPr="006E1312">
              <w:rPr>
                <w:b/>
              </w:rPr>
              <w:t>458)</w:t>
            </w:r>
          </w:p>
        </w:tc>
        <w:tc>
          <w:tcPr>
            <w:tcW w:w="1418" w:type="dxa"/>
            <w:tcBorders>
              <w:top w:val="nil"/>
              <w:bottom w:val="single" w:sz="2" w:space="0" w:color="1F4E79" w:themeColor="accent1" w:themeShade="80"/>
            </w:tcBorders>
            <w:shd w:val="clear" w:color="auto" w:fill="auto"/>
          </w:tcPr>
          <w:p w14:paraId="33481D57" w14:textId="77777777" w:rsidR="008B7E19" w:rsidRPr="00F74EC0"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b/>
                <w:bCs/>
              </w:rPr>
            </w:pPr>
            <w:r>
              <w:rPr>
                <w:b/>
                <w:bCs/>
              </w:rPr>
              <w:t>(33,938)</w:t>
            </w:r>
          </w:p>
        </w:tc>
      </w:tr>
    </w:tbl>
    <w:p w14:paraId="6EEEA6B4" w14:textId="77777777" w:rsidR="008B7E19" w:rsidRPr="00065BCF" w:rsidRDefault="008B7E19" w:rsidP="008B7E19">
      <w:pPr>
        <w:rPr>
          <w:lang w:eastAsia="pt-BR"/>
        </w:rPr>
      </w:pPr>
    </w:p>
    <w:p w14:paraId="2F33D7D0" w14:textId="72AFA7A2" w:rsidR="008B7E19" w:rsidRPr="008875E7" w:rsidRDefault="008B7E19" w:rsidP="008875E7">
      <w:pPr>
        <w:pStyle w:val="02-TtulodeNota"/>
        <w:keepNext/>
        <w:keepLines/>
        <w:pageBreakBefore/>
        <w:rPr>
          <w:bCs/>
          <w:color w:val="1F4E79" w:themeColor="accent1" w:themeShade="80"/>
        </w:rPr>
      </w:pPr>
      <w:bookmarkStart w:id="37" w:name="_Toc141966689"/>
      <w:r w:rsidRPr="008875E7">
        <w:rPr>
          <w:color w:val="1F4E79" w:themeColor="accent1" w:themeShade="80"/>
        </w:rPr>
        <w:t>11 – ADMINISTRATIVE EXPENSES AND SALES</w:t>
      </w:r>
      <w:bookmarkEnd w:id="37"/>
    </w:p>
    <w:p w14:paraId="72EB1396" w14:textId="77777777" w:rsidR="008B7E19" w:rsidRPr="00FE2DBE" w:rsidRDefault="008B7E19" w:rsidP="008B7E19">
      <w:pPr>
        <w:spacing w:after="0" w:line="240" w:lineRule="auto"/>
        <w:jc w:val="right"/>
        <w:rPr>
          <w:rFonts w:cs="Arial"/>
          <w:b/>
          <w:color w:val="0D0D0D" w:themeColor="text1" w:themeTint="F2"/>
          <w:sz w:val="14"/>
          <w:szCs w:val="14"/>
        </w:rPr>
      </w:pPr>
      <w:r w:rsidRPr="00FE2DBE">
        <w:rPr>
          <w:rFonts w:cs="Arial"/>
          <w:b/>
          <w:color w:val="0D0D0D" w:themeColor="text1" w:themeTint="F2"/>
          <w:sz w:val="14"/>
          <w:szCs w:val="14"/>
        </w:rPr>
        <w:t>R$ thousand</w:t>
      </w:r>
    </w:p>
    <w:tbl>
      <w:tblPr>
        <w:tblW w:w="9639" w:type="dxa"/>
        <w:jc w:val="center"/>
        <w:tblBorders>
          <w:top w:val="single" w:sz="2" w:space="0" w:color="8EAADB" w:themeColor="accent5" w:themeTint="99"/>
          <w:bottom w:val="single" w:sz="2" w:space="0" w:color="8EAADB" w:themeColor="accent5" w:themeTint="99"/>
        </w:tblBorders>
        <w:tblLook w:val="04A0" w:firstRow="1" w:lastRow="0" w:firstColumn="1" w:lastColumn="0" w:noHBand="0" w:noVBand="1"/>
      </w:tblPr>
      <w:tblGrid>
        <w:gridCol w:w="742"/>
        <w:gridCol w:w="2244"/>
        <w:gridCol w:w="417"/>
        <w:gridCol w:w="187"/>
        <w:gridCol w:w="1411"/>
        <w:gridCol w:w="1412"/>
        <w:gridCol w:w="251"/>
        <w:gridCol w:w="32"/>
        <w:gridCol w:w="1417"/>
        <w:gridCol w:w="1526"/>
      </w:tblGrid>
      <w:tr w:rsidR="008B7E19" w:rsidRPr="004078D0" w14:paraId="28645F43" w14:textId="77777777" w:rsidTr="008B7E19">
        <w:trPr>
          <w:trHeight w:val="238"/>
          <w:jc w:val="center"/>
        </w:trPr>
        <w:tc>
          <w:tcPr>
            <w:tcW w:w="742" w:type="dxa"/>
            <w:tcBorders>
              <w:top w:val="single" w:sz="2" w:space="0" w:color="1F4E79" w:themeColor="accent1" w:themeShade="80"/>
              <w:bottom w:val="nil"/>
            </w:tcBorders>
            <w:shd w:val="clear" w:color="auto" w:fill="auto"/>
          </w:tcPr>
          <w:p w14:paraId="3F5B5734" w14:textId="77777777" w:rsidR="008B7E19" w:rsidRPr="004078D0" w:rsidRDefault="008B7E19" w:rsidP="008B7E19">
            <w:pPr>
              <w:keepNext/>
              <w:keepLines/>
              <w:spacing w:before="40" w:after="40"/>
              <w:jc w:val="center"/>
              <w:rPr>
                <w:rFonts w:cs="Arial"/>
                <w:b/>
                <w:bCs/>
                <w:spacing w:val="-2"/>
                <w:sz w:val="14"/>
                <w:szCs w:val="14"/>
              </w:rPr>
            </w:pPr>
          </w:p>
        </w:tc>
        <w:tc>
          <w:tcPr>
            <w:tcW w:w="2848" w:type="dxa"/>
            <w:gridSpan w:val="3"/>
            <w:tcBorders>
              <w:top w:val="single" w:sz="2" w:space="0" w:color="1F4E79" w:themeColor="accent1" w:themeShade="80"/>
              <w:bottom w:val="nil"/>
            </w:tcBorders>
            <w:shd w:val="clear" w:color="auto" w:fill="auto"/>
          </w:tcPr>
          <w:p w14:paraId="2E2D4D85" w14:textId="77777777" w:rsidR="008B7E19" w:rsidRPr="004078D0" w:rsidRDefault="008B7E19" w:rsidP="008B7E19">
            <w:pPr>
              <w:keepNext/>
              <w:keepLines/>
              <w:spacing w:before="40" w:after="40"/>
              <w:jc w:val="center"/>
              <w:rPr>
                <w:rFonts w:cs="Arial"/>
                <w:b/>
                <w:spacing w:val="-2"/>
                <w:sz w:val="14"/>
                <w:szCs w:val="14"/>
              </w:rPr>
            </w:pPr>
          </w:p>
        </w:tc>
        <w:tc>
          <w:tcPr>
            <w:tcW w:w="2823" w:type="dxa"/>
            <w:gridSpan w:val="2"/>
            <w:tcBorders>
              <w:top w:val="single" w:sz="2" w:space="0" w:color="1F4E79" w:themeColor="accent1" w:themeShade="80"/>
              <w:bottom w:val="single" w:sz="4" w:space="0" w:color="1F4E79" w:themeColor="accent1" w:themeShade="80"/>
            </w:tcBorders>
            <w:shd w:val="clear" w:color="auto" w:fill="auto"/>
            <w:vAlign w:val="center"/>
          </w:tcPr>
          <w:p w14:paraId="1B03A2D0" w14:textId="77777777" w:rsidR="008B7E19" w:rsidRPr="009D7709" w:rsidRDefault="008B7E19" w:rsidP="008B7E19">
            <w:pPr>
              <w:keepNext/>
              <w:keepLines/>
              <w:spacing w:before="40" w:after="40"/>
              <w:jc w:val="center"/>
              <w:rPr>
                <w:rFonts w:cs="Arial"/>
                <w:b/>
                <w:spacing w:val="-2"/>
                <w:sz w:val="14"/>
                <w:szCs w:val="14"/>
              </w:rPr>
            </w:pPr>
            <w:r w:rsidRPr="009D7709">
              <w:rPr>
                <w:rFonts w:cs="Arial"/>
                <w:b/>
                <w:sz w:val="14"/>
                <w:szCs w:val="14"/>
              </w:rPr>
              <w:t>Parent</w:t>
            </w:r>
          </w:p>
        </w:tc>
        <w:tc>
          <w:tcPr>
            <w:tcW w:w="283" w:type="dxa"/>
            <w:gridSpan w:val="2"/>
            <w:tcBorders>
              <w:top w:val="single" w:sz="2" w:space="0" w:color="1F4E79" w:themeColor="accent1" w:themeShade="80"/>
              <w:bottom w:val="nil"/>
            </w:tcBorders>
            <w:shd w:val="clear" w:color="auto" w:fill="auto"/>
            <w:vAlign w:val="center"/>
          </w:tcPr>
          <w:p w14:paraId="7589C194" w14:textId="77777777" w:rsidR="008B7E19" w:rsidRPr="009D7709" w:rsidRDefault="008B7E19" w:rsidP="008B7E19">
            <w:pPr>
              <w:keepNext/>
              <w:keepLines/>
              <w:spacing w:before="40" w:after="40"/>
              <w:jc w:val="center"/>
              <w:rPr>
                <w:rFonts w:cs="Arial"/>
                <w:b/>
                <w:bCs/>
                <w:spacing w:val="-2"/>
                <w:sz w:val="14"/>
                <w:szCs w:val="14"/>
              </w:rPr>
            </w:pPr>
          </w:p>
        </w:tc>
        <w:tc>
          <w:tcPr>
            <w:tcW w:w="2943" w:type="dxa"/>
            <w:gridSpan w:val="2"/>
            <w:tcBorders>
              <w:top w:val="single" w:sz="2" w:space="0" w:color="1F4E79" w:themeColor="accent1" w:themeShade="80"/>
              <w:bottom w:val="single" w:sz="4" w:space="0" w:color="1F4E79" w:themeColor="accent1" w:themeShade="80"/>
            </w:tcBorders>
            <w:shd w:val="clear" w:color="auto" w:fill="auto"/>
            <w:vAlign w:val="center"/>
          </w:tcPr>
          <w:p w14:paraId="40D43790" w14:textId="77777777" w:rsidR="008B7E19" w:rsidRPr="009D7709" w:rsidRDefault="008B7E19" w:rsidP="008B7E19">
            <w:pPr>
              <w:keepNext/>
              <w:keepLines/>
              <w:spacing w:before="40" w:after="40"/>
              <w:jc w:val="center"/>
              <w:rPr>
                <w:rFonts w:cs="Arial"/>
                <w:b/>
                <w:spacing w:val="-2"/>
                <w:sz w:val="14"/>
                <w:szCs w:val="14"/>
              </w:rPr>
            </w:pPr>
            <w:r w:rsidRPr="009D7709">
              <w:rPr>
                <w:rFonts w:cs="Arial"/>
                <w:b/>
                <w:sz w:val="14"/>
                <w:szCs w:val="14"/>
              </w:rPr>
              <w:t>Consolidated</w:t>
            </w:r>
          </w:p>
        </w:tc>
      </w:tr>
      <w:tr w:rsidR="008B7E19" w:rsidRPr="004078D0" w14:paraId="221F2492" w14:textId="77777777" w:rsidTr="008B7E19">
        <w:trPr>
          <w:trHeight w:val="238"/>
          <w:jc w:val="center"/>
        </w:trPr>
        <w:tc>
          <w:tcPr>
            <w:tcW w:w="2986" w:type="dxa"/>
            <w:gridSpan w:val="2"/>
            <w:tcBorders>
              <w:top w:val="nil"/>
              <w:bottom w:val="single" w:sz="2" w:space="0" w:color="1F4E79" w:themeColor="accent1" w:themeShade="80"/>
            </w:tcBorders>
            <w:shd w:val="clear" w:color="auto" w:fill="auto"/>
          </w:tcPr>
          <w:p w14:paraId="2DA75FEA" w14:textId="77777777" w:rsidR="008B7E19" w:rsidRPr="004078D0" w:rsidRDefault="008B7E19" w:rsidP="008B7E19">
            <w:pPr>
              <w:keepNext/>
              <w:keepLines/>
              <w:spacing w:before="40" w:after="40"/>
              <w:rPr>
                <w:rFonts w:cs="Arial"/>
                <w:b/>
                <w:spacing w:val="-2"/>
                <w:sz w:val="14"/>
                <w:szCs w:val="14"/>
              </w:rPr>
            </w:pPr>
          </w:p>
        </w:tc>
        <w:tc>
          <w:tcPr>
            <w:tcW w:w="417" w:type="dxa"/>
            <w:tcBorders>
              <w:top w:val="nil"/>
              <w:bottom w:val="single" w:sz="2" w:space="0" w:color="1F4E79" w:themeColor="accent1" w:themeShade="80"/>
            </w:tcBorders>
            <w:shd w:val="clear" w:color="auto" w:fill="auto"/>
          </w:tcPr>
          <w:p w14:paraId="09174DEE" w14:textId="77777777" w:rsidR="008B7E19" w:rsidRPr="004078D0" w:rsidRDefault="008B7E19" w:rsidP="008B7E19">
            <w:pPr>
              <w:keepNext/>
              <w:keepLines/>
              <w:spacing w:before="40" w:after="40"/>
              <w:rPr>
                <w:rFonts w:cs="Arial"/>
                <w:b/>
                <w:spacing w:val="-2"/>
                <w:sz w:val="14"/>
                <w:szCs w:val="14"/>
              </w:rPr>
            </w:pPr>
          </w:p>
        </w:tc>
        <w:tc>
          <w:tcPr>
            <w:tcW w:w="1598" w:type="dxa"/>
            <w:gridSpan w:val="2"/>
            <w:tcBorders>
              <w:top w:val="single" w:sz="4" w:space="0" w:color="1F4E79" w:themeColor="accent1" w:themeShade="80"/>
              <w:bottom w:val="single" w:sz="2" w:space="0" w:color="1F4E79" w:themeColor="accent1" w:themeShade="80"/>
            </w:tcBorders>
            <w:shd w:val="clear" w:color="auto" w:fill="auto"/>
          </w:tcPr>
          <w:p w14:paraId="5E156698" w14:textId="77777777" w:rsidR="008B7E19" w:rsidRPr="004078D0" w:rsidRDefault="008B7E19" w:rsidP="008B7E19">
            <w:pPr>
              <w:keepNext/>
              <w:keepLines/>
              <w:spacing w:before="40" w:after="40"/>
              <w:jc w:val="right"/>
              <w:rPr>
                <w:rFonts w:cs="Arial"/>
                <w:b/>
                <w:spacing w:val="-2"/>
                <w:sz w:val="14"/>
                <w:szCs w:val="18"/>
              </w:rPr>
            </w:pPr>
            <w:r w:rsidRPr="003E6939">
              <w:rPr>
                <w:rFonts w:cs="Arial"/>
                <w:b/>
                <w:sz w:val="14"/>
                <w:szCs w:val="14"/>
              </w:rPr>
              <w:t>2</w:t>
            </w:r>
            <w:r w:rsidRPr="003E6939">
              <w:rPr>
                <w:rFonts w:cs="Arial"/>
                <w:b/>
                <w:sz w:val="14"/>
                <w:szCs w:val="14"/>
                <w:vertAlign w:val="superscript"/>
              </w:rPr>
              <w:t>nd</w:t>
            </w:r>
            <w:r w:rsidRPr="003E6939">
              <w:rPr>
                <w:rFonts w:cs="Arial"/>
                <w:b/>
                <w:sz w:val="14"/>
                <w:szCs w:val="14"/>
              </w:rPr>
              <w:t xml:space="preserve"> Quarter 202</w:t>
            </w:r>
            <w:r>
              <w:rPr>
                <w:rFonts w:cs="Arial"/>
                <w:b/>
                <w:sz w:val="14"/>
                <w:szCs w:val="14"/>
              </w:rPr>
              <w:t>3</w:t>
            </w:r>
          </w:p>
        </w:tc>
        <w:tc>
          <w:tcPr>
            <w:tcW w:w="1412" w:type="dxa"/>
            <w:tcBorders>
              <w:top w:val="single" w:sz="4" w:space="0" w:color="1F4E79" w:themeColor="accent1" w:themeShade="80"/>
              <w:bottom w:val="single" w:sz="2" w:space="0" w:color="1F4E79" w:themeColor="accent1" w:themeShade="80"/>
            </w:tcBorders>
            <w:shd w:val="clear" w:color="auto" w:fill="auto"/>
          </w:tcPr>
          <w:p w14:paraId="760DCBD4" w14:textId="77777777" w:rsidR="008B7E19" w:rsidRPr="004078D0" w:rsidRDefault="008B7E19" w:rsidP="008B7E19">
            <w:pPr>
              <w:keepNext/>
              <w:keepLines/>
              <w:spacing w:before="40" w:after="40"/>
              <w:jc w:val="right"/>
              <w:rPr>
                <w:rFonts w:cs="Arial"/>
                <w:b/>
                <w:spacing w:val="-2"/>
                <w:sz w:val="14"/>
                <w:szCs w:val="18"/>
              </w:rPr>
            </w:pPr>
            <w:r w:rsidRPr="003E6939">
              <w:rPr>
                <w:rFonts w:cs="Arial"/>
                <w:b/>
                <w:sz w:val="14"/>
                <w:szCs w:val="14"/>
              </w:rPr>
              <w:t>2</w:t>
            </w:r>
            <w:r w:rsidRPr="003E6939">
              <w:rPr>
                <w:rFonts w:cs="Arial"/>
                <w:b/>
                <w:sz w:val="14"/>
                <w:szCs w:val="14"/>
                <w:vertAlign w:val="superscript"/>
              </w:rPr>
              <w:t>nd</w:t>
            </w:r>
            <w:r w:rsidRPr="003E6939">
              <w:rPr>
                <w:rFonts w:cs="Arial"/>
                <w:b/>
                <w:sz w:val="14"/>
                <w:szCs w:val="14"/>
              </w:rPr>
              <w:t xml:space="preserve"> Quarter 202</w:t>
            </w:r>
            <w:r>
              <w:rPr>
                <w:rFonts w:cs="Arial"/>
                <w:b/>
                <w:sz w:val="14"/>
                <w:szCs w:val="14"/>
              </w:rPr>
              <w:t>2</w:t>
            </w:r>
          </w:p>
        </w:tc>
        <w:tc>
          <w:tcPr>
            <w:tcW w:w="251" w:type="dxa"/>
            <w:tcBorders>
              <w:top w:val="nil"/>
              <w:bottom w:val="single" w:sz="2" w:space="0" w:color="1F4E79" w:themeColor="accent1" w:themeShade="80"/>
            </w:tcBorders>
            <w:shd w:val="clear" w:color="auto" w:fill="auto"/>
            <w:vAlign w:val="center"/>
          </w:tcPr>
          <w:p w14:paraId="0A517277" w14:textId="77777777" w:rsidR="008B7E19" w:rsidRPr="004078D0" w:rsidRDefault="008B7E19" w:rsidP="008B7E19">
            <w:pPr>
              <w:keepNext/>
              <w:keepLines/>
              <w:spacing w:before="40" w:after="40"/>
              <w:jc w:val="right"/>
              <w:rPr>
                <w:rFonts w:cs="Arial"/>
                <w:b/>
                <w:spacing w:val="-2"/>
                <w:sz w:val="14"/>
                <w:szCs w:val="18"/>
              </w:rPr>
            </w:pPr>
          </w:p>
        </w:tc>
        <w:tc>
          <w:tcPr>
            <w:tcW w:w="1449" w:type="dxa"/>
            <w:gridSpan w:val="2"/>
            <w:tcBorders>
              <w:top w:val="single" w:sz="4" w:space="0" w:color="1F4E79" w:themeColor="accent1" w:themeShade="80"/>
              <w:bottom w:val="single" w:sz="2" w:space="0" w:color="1F4E79" w:themeColor="accent1" w:themeShade="80"/>
            </w:tcBorders>
            <w:shd w:val="clear" w:color="auto" w:fill="auto"/>
          </w:tcPr>
          <w:p w14:paraId="71A0E8D0" w14:textId="77777777" w:rsidR="008B7E19" w:rsidRPr="004078D0" w:rsidRDefault="008B7E19" w:rsidP="008B7E19">
            <w:pPr>
              <w:keepNext/>
              <w:keepLines/>
              <w:spacing w:before="40" w:after="40"/>
              <w:jc w:val="right"/>
              <w:rPr>
                <w:rFonts w:cs="Arial"/>
                <w:b/>
                <w:spacing w:val="-2"/>
                <w:sz w:val="14"/>
                <w:szCs w:val="18"/>
              </w:rPr>
            </w:pPr>
            <w:r w:rsidRPr="003E6939">
              <w:rPr>
                <w:rFonts w:cs="Arial"/>
                <w:b/>
                <w:sz w:val="14"/>
                <w:szCs w:val="14"/>
              </w:rPr>
              <w:t>2</w:t>
            </w:r>
            <w:r w:rsidRPr="003E6939">
              <w:rPr>
                <w:rFonts w:cs="Arial"/>
                <w:b/>
                <w:sz w:val="14"/>
                <w:szCs w:val="14"/>
                <w:vertAlign w:val="superscript"/>
              </w:rPr>
              <w:t>nd</w:t>
            </w:r>
            <w:r w:rsidRPr="003E6939">
              <w:rPr>
                <w:rFonts w:cs="Arial"/>
                <w:b/>
                <w:sz w:val="14"/>
                <w:szCs w:val="14"/>
              </w:rPr>
              <w:t xml:space="preserve"> Quarter 202</w:t>
            </w:r>
            <w:r>
              <w:rPr>
                <w:rFonts w:cs="Arial"/>
                <w:b/>
                <w:sz w:val="14"/>
                <w:szCs w:val="14"/>
              </w:rPr>
              <w:t>3</w:t>
            </w:r>
          </w:p>
        </w:tc>
        <w:tc>
          <w:tcPr>
            <w:tcW w:w="1526" w:type="dxa"/>
            <w:tcBorders>
              <w:top w:val="single" w:sz="4" w:space="0" w:color="1F4E79" w:themeColor="accent1" w:themeShade="80"/>
              <w:bottom w:val="single" w:sz="2" w:space="0" w:color="1F4E79" w:themeColor="accent1" w:themeShade="80"/>
            </w:tcBorders>
            <w:shd w:val="clear" w:color="auto" w:fill="auto"/>
          </w:tcPr>
          <w:p w14:paraId="45106C7F" w14:textId="77777777" w:rsidR="008B7E19" w:rsidRPr="004078D0" w:rsidRDefault="008B7E19" w:rsidP="008B7E19">
            <w:pPr>
              <w:keepNext/>
              <w:keepLines/>
              <w:spacing w:before="40" w:after="40"/>
              <w:jc w:val="right"/>
              <w:rPr>
                <w:rFonts w:cs="Arial"/>
                <w:b/>
                <w:spacing w:val="-2"/>
                <w:sz w:val="14"/>
                <w:szCs w:val="18"/>
              </w:rPr>
            </w:pPr>
            <w:r w:rsidRPr="003E6939">
              <w:rPr>
                <w:rFonts w:cs="Arial"/>
                <w:b/>
                <w:sz w:val="14"/>
                <w:szCs w:val="14"/>
              </w:rPr>
              <w:t>2</w:t>
            </w:r>
            <w:r w:rsidRPr="003E6939">
              <w:rPr>
                <w:rFonts w:cs="Arial"/>
                <w:b/>
                <w:sz w:val="14"/>
                <w:szCs w:val="14"/>
                <w:vertAlign w:val="superscript"/>
              </w:rPr>
              <w:t>nd</w:t>
            </w:r>
            <w:r w:rsidRPr="003E6939">
              <w:rPr>
                <w:rFonts w:cs="Arial"/>
                <w:b/>
                <w:sz w:val="14"/>
                <w:szCs w:val="14"/>
              </w:rPr>
              <w:t xml:space="preserve"> Quarter 202</w:t>
            </w:r>
            <w:r>
              <w:rPr>
                <w:rFonts w:cs="Arial"/>
                <w:b/>
                <w:sz w:val="14"/>
                <w:szCs w:val="14"/>
              </w:rPr>
              <w:t>2</w:t>
            </w:r>
          </w:p>
        </w:tc>
      </w:tr>
      <w:tr w:rsidR="008B7E19" w:rsidRPr="004078D0" w14:paraId="134D60A5" w14:textId="77777777" w:rsidTr="008B7E19">
        <w:trPr>
          <w:trHeight w:val="238"/>
          <w:jc w:val="center"/>
        </w:trPr>
        <w:tc>
          <w:tcPr>
            <w:tcW w:w="2986" w:type="dxa"/>
            <w:gridSpan w:val="2"/>
            <w:tcBorders>
              <w:top w:val="nil"/>
            </w:tcBorders>
            <w:shd w:val="clear" w:color="auto" w:fill="auto"/>
          </w:tcPr>
          <w:p w14:paraId="1FCAC61D" w14:textId="77777777" w:rsidR="008B7E19" w:rsidRPr="00CB7397" w:rsidRDefault="008B7E19" w:rsidP="008B7E19">
            <w:pPr>
              <w:pStyle w:val="08-Tabelageral"/>
              <w:jc w:val="left"/>
            </w:pPr>
            <w:r w:rsidRPr="00FE2DBE">
              <w:t>Selling expenses</w:t>
            </w:r>
            <w:r>
              <w:t xml:space="preserve"> </w:t>
            </w:r>
            <w:r w:rsidRPr="00323ECF">
              <w:rPr>
                <w:vertAlign w:val="superscript"/>
              </w:rPr>
              <w:t>(</w:t>
            </w:r>
            <w:r>
              <w:rPr>
                <w:vertAlign w:val="superscript"/>
              </w:rPr>
              <w:t>1</w:t>
            </w:r>
            <w:r w:rsidRPr="00323ECF">
              <w:rPr>
                <w:vertAlign w:val="superscript"/>
              </w:rPr>
              <w:t>)</w:t>
            </w:r>
          </w:p>
        </w:tc>
        <w:tc>
          <w:tcPr>
            <w:tcW w:w="417" w:type="dxa"/>
            <w:tcBorders>
              <w:top w:val="nil"/>
            </w:tcBorders>
            <w:shd w:val="clear" w:color="auto" w:fill="auto"/>
            <w:vAlign w:val="center"/>
          </w:tcPr>
          <w:p w14:paraId="411F0E8B" w14:textId="77777777" w:rsidR="008B7E19" w:rsidRPr="006468C2" w:rsidRDefault="008B7E19" w:rsidP="008B7E19">
            <w:pPr>
              <w:pStyle w:val="08-Tabelageral"/>
              <w:rPr>
                <w:rFonts w:cs="Arial"/>
                <w:szCs w:val="14"/>
              </w:rPr>
            </w:pPr>
          </w:p>
        </w:tc>
        <w:tc>
          <w:tcPr>
            <w:tcW w:w="1598" w:type="dxa"/>
            <w:gridSpan w:val="2"/>
            <w:tcBorders>
              <w:top w:val="nil"/>
            </w:tcBorders>
            <w:shd w:val="clear" w:color="auto" w:fill="auto"/>
          </w:tcPr>
          <w:p w14:paraId="5F7DB353" w14:textId="77777777" w:rsidR="008B7E19" w:rsidRPr="006468C2" w:rsidRDefault="008B7E19" w:rsidP="008B7E19">
            <w:pPr>
              <w:pStyle w:val="08-Tabelageral"/>
              <w:rPr>
                <w:rFonts w:cs="Arial"/>
                <w:szCs w:val="14"/>
              </w:rPr>
            </w:pPr>
            <w:r>
              <w:rPr>
                <w:rFonts w:cs="Arial"/>
                <w:szCs w:val="14"/>
              </w:rPr>
              <w:t>--</w:t>
            </w:r>
          </w:p>
        </w:tc>
        <w:tc>
          <w:tcPr>
            <w:tcW w:w="1412" w:type="dxa"/>
            <w:tcBorders>
              <w:top w:val="nil"/>
            </w:tcBorders>
            <w:shd w:val="clear" w:color="auto" w:fill="auto"/>
            <w:vAlign w:val="bottom"/>
          </w:tcPr>
          <w:p w14:paraId="74556645" w14:textId="77777777" w:rsidR="008B7E19" w:rsidRPr="006468C2" w:rsidRDefault="008B7E19" w:rsidP="008B7E19">
            <w:pPr>
              <w:pStyle w:val="08-Tabelageral"/>
            </w:pPr>
            <w:r>
              <w:rPr>
                <w:rFonts w:cs="Arial"/>
                <w:color w:val="000000"/>
                <w:szCs w:val="14"/>
              </w:rPr>
              <w:t>--</w:t>
            </w:r>
          </w:p>
        </w:tc>
        <w:tc>
          <w:tcPr>
            <w:tcW w:w="251" w:type="dxa"/>
            <w:tcBorders>
              <w:top w:val="nil"/>
            </w:tcBorders>
            <w:shd w:val="clear" w:color="auto" w:fill="auto"/>
            <w:vAlign w:val="center"/>
          </w:tcPr>
          <w:p w14:paraId="0B414D38" w14:textId="77777777" w:rsidR="008B7E19" w:rsidRPr="006468C2" w:rsidRDefault="008B7E19" w:rsidP="008B7E19">
            <w:pPr>
              <w:pStyle w:val="08-Tabelageral"/>
              <w:rPr>
                <w:rFonts w:cs="Arial"/>
                <w:szCs w:val="14"/>
              </w:rPr>
            </w:pPr>
          </w:p>
        </w:tc>
        <w:tc>
          <w:tcPr>
            <w:tcW w:w="1449" w:type="dxa"/>
            <w:gridSpan w:val="2"/>
            <w:tcBorders>
              <w:top w:val="nil"/>
            </w:tcBorders>
            <w:shd w:val="clear" w:color="auto" w:fill="auto"/>
          </w:tcPr>
          <w:p w14:paraId="633C2366" w14:textId="77777777" w:rsidR="008B7E19" w:rsidRPr="006468C2" w:rsidRDefault="008B7E19" w:rsidP="008B7E19">
            <w:pPr>
              <w:pStyle w:val="08-Tabelageral"/>
              <w:rPr>
                <w:rFonts w:cs="Arial"/>
                <w:szCs w:val="14"/>
              </w:rPr>
            </w:pPr>
            <w:r>
              <w:rPr>
                <w:rFonts w:cs="Arial"/>
                <w:szCs w:val="14"/>
              </w:rPr>
              <w:t>(4,937)</w:t>
            </w:r>
          </w:p>
        </w:tc>
        <w:tc>
          <w:tcPr>
            <w:tcW w:w="1526" w:type="dxa"/>
            <w:tcBorders>
              <w:top w:val="nil"/>
            </w:tcBorders>
            <w:shd w:val="clear" w:color="auto" w:fill="auto"/>
            <w:vAlign w:val="bottom"/>
          </w:tcPr>
          <w:p w14:paraId="1526F9E4" w14:textId="77777777" w:rsidR="008B7E19" w:rsidRPr="004078D0" w:rsidRDefault="008B7E19" w:rsidP="008B7E19">
            <w:pPr>
              <w:pStyle w:val="08-Tabelageral"/>
              <w:rPr>
                <w:rFonts w:cs="Arial"/>
                <w:szCs w:val="14"/>
              </w:rPr>
            </w:pPr>
            <w:r>
              <w:rPr>
                <w:rFonts w:cs="Arial"/>
                <w:color w:val="000000"/>
                <w:szCs w:val="14"/>
              </w:rPr>
              <w:t>(1,911)</w:t>
            </w:r>
          </w:p>
        </w:tc>
      </w:tr>
      <w:tr w:rsidR="008B7E19" w:rsidRPr="004078D0" w14:paraId="127A4304" w14:textId="77777777" w:rsidTr="008B7E19">
        <w:trPr>
          <w:trHeight w:val="238"/>
          <w:jc w:val="center"/>
        </w:trPr>
        <w:tc>
          <w:tcPr>
            <w:tcW w:w="2986" w:type="dxa"/>
            <w:gridSpan w:val="2"/>
            <w:tcBorders>
              <w:top w:val="nil"/>
            </w:tcBorders>
            <w:shd w:val="clear" w:color="auto" w:fill="auto"/>
          </w:tcPr>
          <w:p w14:paraId="1A8151FE" w14:textId="77777777" w:rsidR="008B7E19" w:rsidRPr="00CB7397" w:rsidRDefault="008B7E19" w:rsidP="008B7E19">
            <w:pPr>
              <w:pStyle w:val="08-Tabelageral"/>
              <w:jc w:val="left"/>
            </w:pPr>
            <w:r w:rsidRPr="00CB7397">
              <w:t>Data processing</w:t>
            </w:r>
          </w:p>
        </w:tc>
        <w:tc>
          <w:tcPr>
            <w:tcW w:w="417" w:type="dxa"/>
            <w:tcBorders>
              <w:top w:val="nil"/>
            </w:tcBorders>
            <w:shd w:val="clear" w:color="auto" w:fill="auto"/>
            <w:vAlign w:val="center"/>
          </w:tcPr>
          <w:p w14:paraId="6E332BA7" w14:textId="77777777" w:rsidR="008B7E19" w:rsidRPr="006468C2" w:rsidRDefault="008B7E19" w:rsidP="008B7E19">
            <w:pPr>
              <w:pStyle w:val="08-Tabelageral"/>
              <w:rPr>
                <w:rFonts w:cs="Arial"/>
                <w:szCs w:val="14"/>
              </w:rPr>
            </w:pPr>
          </w:p>
        </w:tc>
        <w:tc>
          <w:tcPr>
            <w:tcW w:w="1598" w:type="dxa"/>
            <w:gridSpan w:val="2"/>
            <w:tcBorders>
              <w:top w:val="nil"/>
            </w:tcBorders>
            <w:shd w:val="clear" w:color="auto" w:fill="auto"/>
          </w:tcPr>
          <w:p w14:paraId="3C1E9037" w14:textId="77777777" w:rsidR="008B7E19" w:rsidRPr="006468C2" w:rsidRDefault="008B7E19" w:rsidP="008B7E19">
            <w:pPr>
              <w:pStyle w:val="08-Tabelageral"/>
              <w:rPr>
                <w:rFonts w:cs="Arial"/>
                <w:szCs w:val="14"/>
              </w:rPr>
            </w:pPr>
            <w:r w:rsidRPr="00751D19">
              <w:rPr>
                <w:rFonts w:cs="Arial"/>
                <w:szCs w:val="14"/>
              </w:rPr>
              <w:t>(165)</w:t>
            </w:r>
          </w:p>
        </w:tc>
        <w:tc>
          <w:tcPr>
            <w:tcW w:w="1412" w:type="dxa"/>
            <w:tcBorders>
              <w:top w:val="nil"/>
            </w:tcBorders>
            <w:shd w:val="clear" w:color="auto" w:fill="auto"/>
            <w:vAlign w:val="bottom"/>
          </w:tcPr>
          <w:p w14:paraId="7B8F7335" w14:textId="77777777" w:rsidR="008B7E19" w:rsidRPr="006468C2" w:rsidRDefault="008B7E19" w:rsidP="008B7E19">
            <w:pPr>
              <w:pStyle w:val="08-Tabelageral"/>
            </w:pPr>
            <w:r>
              <w:rPr>
                <w:rFonts w:cs="Arial"/>
                <w:color w:val="000000"/>
                <w:szCs w:val="14"/>
              </w:rPr>
              <w:t>(175)</w:t>
            </w:r>
          </w:p>
        </w:tc>
        <w:tc>
          <w:tcPr>
            <w:tcW w:w="251" w:type="dxa"/>
            <w:tcBorders>
              <w:top w:val="nil"/>
            </w:tcBorders>
            <w:shd w:val="clear" w:color="auto" w:fill="auto"/>
            <w:vAlign w:val="center"/>
          </w:tcPr>
          <w:p w14:paraId="4943A14E" w14:textId="77777777" w:rsidR="008B7E19" w:rsidRPr="006468C2" w:rsidRDefault="008B7E19" w:rsidP="008B7E19">
            <w:pPr>
              <w:pStyle w:val="08-Tabelageral"/>
              <w:rPr>
                <w:rFonts w:cs="Arial"/>
                <w:szCs w:val="14"/>
              </w:rPr>
            </w:pPr>
          </w:p>
        </w:tc>
        <w:tc>
          <w:tcPr>
            <w:tcW w:w="1449" w:type="dxa"/>
            <w:gridSpan w:val="2"/>
            <w:tcBorders>
              <w:top w:val="nil"/>
            </w:tcBorders>
            <w:shd w:val="clear" w:color="auto" w:fill="auto"/>
          </w:tcPr>
          <w:p w14:paraId="428FFA4A" w14:textId="77777777" w:rsidR="008B7E19" w:rsidRPr="006468C2" w:rsidRDefault="008B7E19" w:rsidP="008B7E19">
            <w:pPr>
              <w:pStyle w:val="08-Tabelageral"/>
              <w:rPr>
                <w:rFonts w:cs="Arial"/>
                <w:szCs w:val="14"/>
              </w:rPr>
            </w:pPr>
            <w:r>
              <w:rPr>
                <w:rFonts w:cs="Arial"/>
                <w:szCs w:val="14"/>
              </w:rPr>
              <w:tab/>
            </w:r>
            <w:r w:rsidRPr="004D3293">
              <w:rPr>
                <w:rFonts w:cs="Arial"/>
                <w:szCs w:val="14"/>
              </w:rPr>
              <w:t>(2</w:t>
            </w:r>
            <w:r>
              <w:rPr>
                <w:rFonts w:cs="Arial"/>
                <w:szCs w:val="14"/>
              </w:rPr>
              <w:t>,</w:t>
            </w:r>
            <w:r w:rsidRPr="004D3293">
              <w:rPr>
                <w:rFonts w:cs="Arial"/>
                <w:szCs w:val="14"/>
              </w:rPr>
              <w:t>809)</w:t>
            </w:r>
          </w:p>
        </w:tc>
        <w:tc>
          <w:tcPr>
            <w:tcW w:w="1526" w:type="dxa"/>
            <w:tcBorders>
              <w:top w:val="nil"/>
            </w:tcBorders>
            <w:shd w:val="clear" w:color="auto" w:fill="auto"/>
            <w:vAlign w:val="bottom"/>
          </w:tcPr>
          <w:p w14:paraId="2881B144" w14:textId="77777777" w:rsidR="008B7E19" w:rsidRPr="004078D0" w:rsidRDefault="008B7E19" w:rsidP="008B7E19">
            <w:pPr>
              <w:pStyle w:val="08-Tabelageral"/>
              <w:rPr>
                <w:rFonts w:cs="Arial"/>
                <w:szCs w:val="14"/>
              </w:rPr>
            </w:pPr>
            <w:r>
              <w:rPr>
                <w:rFonts w:cs="Arial"/>
                <w:color w:val="000000"/>
                <w:szCs w:val="14"/>
              </w:rPr>
              <w:t>(1,355)</w:t>
            </w:r>
          </w:p>
        </w:tc>
      </w:tr>
      <w:tr w:rsidR="008B7E19" w:rsidRPr="004078D0" w14:paraId="46BD098D" w14:textId="77777777" w:rsidTr="008B7E19">
        <w:trPr>
          <w:trHeight w:val="238"/>
          <w:jc w:val="center"/>
        </w:trPr>
        <w:tc>
          <w:tcPr>
            <w:tcW w:w="2986" w:type="dxa"/>
            <w:gridSpan w:val="2"/>
            <w:tcBorders>
              <w:top w:val="nil"/>
            </w:tcBorders>
            <w:shd w:val="clear" w:color="auto" w:fill="auto"/>
          </w:tcPr>
          <w:p w14:paraId="7769A49A" w14:textId="77777777" w:rsidR="008B7E19" w:rsidRPr="00CB7397" w:rsidRDefault="008B7E19" w:rsidP="008B7E19">
            <w:pPr>
              <w:pStyle w:val="08-Tabelageral"/>
              <w:jc w:val="left"/>
            </w:pPr>
            <w:r w:rsidRPr="00C009BA">
              <w:t>Rent expenses and condominium fee</w:t>
            </w:r>
          </w:p>
        </w:tc>
        <w:tc>
          <w:tcPr>
            <w:tcW w:w="417" w:type="dxa"/>
            <w:tcBorders>
              <w:top w:val="nil"/>
            </w:tcBorders>
            <w:shd w:val="clear" w:color="auto" w:fill="auto"/>
            <w:vAlign w:val="center"/>
          </w:tcPr>
          <w:p w14:paraId="2ADC91F8" w14:textId="77777777" w:rsidR="008B7E19" w:rsidRPr="006468C2" w:rsidRDefault="008B7E19" w:rsidP="008B7E19">
            <w:pPr>
              <w:pStyle w:val="08-Tabelageral"/>
              <w:rPr>
                <w:rFonts w:cs="Arial"/>
                <w:szCs w:val="14"/>
              </w:rPr>
            </w:pPr>
          </w:p>
        </w:tc>
        <w:tc>
          <w:tcPr>
            <w:tcW w:w="1598" w:type="dxa"/>
            <w:gridSpan w:val="2"/>
            <w:tcBorders>
              <w:top w:val="nil"/>
            </w:tcBorders>
            <w:shd w:val="clear" w:color="auto" w:fill="auto"/>
          </w:tcPr>
          <w:p w14:paraId="6AD8B1D4" w14:textId="77777777" w:rsidR="008B7E19" w:rsidRPr="006468C2" w:rsidRDefault="008B7E19" w:rsidP="008B7E19">
            <w:pPr>
              <w:pStyle w:val="08-Tabelageral"/>
              <w:rPr>
                <w:rFonts w:cs="Arial"/>
                <w:szCs w:val="14"/>
              </w:rPr>
            </w:pPr>
            <w:r w:rsidRPr="00751D19">
              <w:rPr>
                <w:rFonts w:cs="Arial"/>
                <w:szCs w:val="14"/>
              </w:rPr>
              <w:t>(275)</w:t>
            </w:r>
          </w:p>
        </w:tc>
        <w:tc>
          <w:tcPr>
            <w:tcW w:w="1412" w:type="dxa"/>
            <w:tcBorders>
              <w:top w:val="nil"/>
            </w:tcBorders>
            <w:shd w:val="clear" w:color="auto" w:fill="auto"/>
            <w:vAlign w:val="bottom"/>
          </w:tcPr>
          <w:p w14:paraId="162B10F2" w14:textId="77777777" w:rsidR="008B7E19" w:rsidRPr="006468C2" w:rsidRDefault="008B7E19" w:rsidP="008B7E19">
            <w:pPr>
              <w:pStyle w:val="08-Tabelageral"/>
            </w:pPr>
            <w:r>
              <w:rPr>
                <w:rFonts w:cs="Arial"/>
                <w:color w:val="000000"/>
                <w:szCs w:val="14"/>
              </w:rPr>
              <w:t>(317)</w:t>
            </w:r>
          </w:p>
        </w:tc>
        <w:tc>
          <w:tcPr>
            <w:tcW w:w="251" w:type="dxa"/>
            <w:tcBorders>
              <w:top w:val="nil"/>
            </w:tcBorders>
            <w:shd w:val="clear" w:color="auto" w:fill="auto"/>
            <w:vAlign w:val="center"/>
          </w:tcPr>
          <w:p w14:paraId="0D35E25E" w14:textId="77777777" w:rsidR="008B7E19" w:rsidRPr="006468C2" w:rsidRDefault="008B7E19" w:rsidP="008B7E19">
            <w:pPr>
              <w:pStyle w:val="08-Tabelageral"/>
              <w:rPr>
                <w:rFonts w:cs="Arial"/>
                <w:szCs w:val="14"/>
              </w:rPr>
            </w:pPr>
          </w:p>
        </w:tc>
        <w:tc>
          <w:tcPr>
            <w:tcW w:w="1449" w:type="dxa"/>
            <w:gridSpan w:val="2"/>
            <w:tcBorders>
              <w:top w:val="nil"/>
            </w:tcBorders>
            <w:shd w:val="clear" w:color="auto" w:fill="auto"/>
          </w:tcPr>
          <w:p w14:paraId="6739EA71" w14:textId="77777777" w:rsidR="008B7E19" w:rsidRPr="006468C2" w:rsidRDefault="008B7E19" w:rsidP="008B7E19">
            <w:pPr>
              <w:pStyle w:val="08-Tabelageral"/>
              <w:rPr>
                <w:rFonts w:cs="Arial"/>
                <w:szCs w:val="14"/>
              </w:rPr>
            </w:pPr>
            <w:r w:rsidRPr="004D3293">
              <w:rPr>
                <w:rFonts w:cs="Arial"/>
                <w:szCs w:val="14"/>
              </w:rPr>
              <w:t>(1</w:t>
            </w:r>
            <w:r>
              <w:rPr>
                <w:rFonts w:cs="Arial"/>
                <w:szCs w:val="14"/>
              </w:rPr>
              <w:t>,</w:t>
            </w:r>
            <w:r w:rsidRPr="004D3293">
              <w:rPr>
                <w:rFonts w:cs="Arial"/>
                <w:szCs w:val="14"/>
              </w:rPr>
              <w:t>349)</w:t>
            </w:r>
          </w:p>
        </w:tc>
        <w:tc>
          <w:tcPr>
            <w:tcW w:w="1526" w:type="dxa"/>
            <w:tcBorders>
              <w:top w:val="nil"/>
            </w:tcBorders>
            <w:shd w:val="clear" w:color="auto" w:fill="auto"/>
            <w:vAlign w:val="bottom"/>
          </w:tcPr>
          <w:p w14:paraId="33E3D707" w14:textId="77777777" w:rsidR="008B7E19" w:rsidRPr="004078D0" w:rsidRDefault="008B7E19" w:rsidP="008B7E19">
            <w:pPr>
              <w:pStyle w:val="08-Tabelageral"/>
              <w:rPr>
                <w:rFonts w:cs="Arial"/>
                <w:szCs w:val="14"/>
              </w:rPr>
            </w:pPr>
            <w:r>
              <w:rPr>
                <w:rFonts w:cs="Arial"/>
                <w:color w:val="000000"/>
                <w:szCs w:val="14"/>
              </w:rPr>
              <w:t>(1,254)</w:t>
            </w:r>
          </w:p>
        </w:tc>
      </w:tr>
      <w:tr w:rsidR="008B7E19" w:rsidRPr="004078D0" w14:paraId="1CB32B06" w14:textId="77777777" w:rsidTr="008B7E19">
        <w:trPr>
          <w:trHeight w:val="238"/>
          <w:jc w:val="center"/>
        </w:trPr>
        <w:tc>
          <w:tcPr>
            <w:tcW w:w="2986" w:type="dxa"/>
            <w:gridSpan w:val="2"/>
            <w:tcBorders>
              <w:top w:val="nil"/>
            </w:tcBorders>
            <w:shd w:val="clear" w:color="auto" w:fill="auto"/>
          </w:tcPr>
          <w:p w14:paraId="5D24302D" w14:textId="77777777" w:rsidR="008B7E19" w:rsidRPr="00CB7397" w:rsidRDefault="008B7E19" w:rsidP="008B7E19">
            <w:pPr>
              <w:pStyle w:val="08-Tabelageral"/>
              <w:jc w:val="left"/>
            </w:pPr>
            <w:r w:rsidRPr="003B51B0">
              <w:t>Specialized technical services</w:t>
            </w:r>
          </w:p>
        </w:tc>
        <w:tc>
          <w:tcPr>
            <w:tcW w:w="417" w:type="dxa"/>
            <w:tcBorders>
              <w:top w:val="nil"/>
            </w:tcBorders>
            <w:shd w:val="clear" w:color="auto" w:fill="auto"/>
            <w:vAlign w:val="center"/>
          </w:tcPr>
          <w:p w14:paraId="505912E7" w14:textId="77777777" w:rsidR="008B7E19" w:rsidRPr="006468C2" w:rsidRDefault="008B7E19" w:rsidP="008B7E19">
            <w:pPr>
              <w:pStyle w:val="08-Tabelageral"/>
              <w:rPr>
                <w:rFonts w:cs="Arial"/>
                <w:szCs w:val="14"/>
              </w:rPr>
            </w:pPr>
          </w:p>
        </w:tc>
        <w:tc>
          <w:tcPr>
            <w:tcW w:w="1598" w:type="dxa"/>
            <w:gridSpan w:val="2"/>
            <w:tcBorders>
              <w:top w:val="nil"/>
            </w:tcBorders>
            <w:shd w:val="clear" w:color="auto" w:fill="auto"/>
          </w:tcPr>
          <w:p w14:paraId="0436F89F" w14:textId="77777777" w:rsidR="008B7E19" w:rsidRPr="006468C2" w:rsidRDefault="008B7E19" w:rsidP="008B7E19">
            <w:pPr>
              <w:pStyle w:val="08-Tabelageral"/>
              <w:rPr>
                <w:rFonts w:cs="Arial"/>
                <w:szCs w:val="14"/>
              </w:rPr>
            </w:pPr>
            <w:r w:rsidRPr="00751D19">
              <w:rPr>
                <w:rFonts w:cs="Arial"/>
                <w:szCs w:val="14"/>
              </w:rPr>
              <w:t>(428)</w:t>
            </w:r>
          </w:p>
        </w:tc>
        <w:tc>
          <w:tcPr>
            <w:tcW w:w="1412" w:type="dxa"/>
            <w:tcBorders>
              <w:top w:val="nil"/>
            </w:tcBorders>
            <w:shd w:val="clear" w:color="auto" w:fill="auto"/>
            <w:vAlign w:val="bottom"/>
          </w:tcPr>
          <w:p w14:paraId="4BEC90ED" w14:textId="77777777" w:rsidR="008B7E19" w:rsidRPr="006468C2" w:rsidRDefault="008B7E19" w:rsidP="008B7E19">
            <w:pPr>
              <w:pStyle w:val="08-Tabelageral"/>
            </w:pPr>
            <w:r>
              <w:rPr>
                <w:rFonts w:cs="Arial"/>
                <w:color w:val="000000"/>
                <w:szCs w:val="14"/>
              </w:rPr>
              <w:t>(255)</w:t>
            </w:r>
          </w:p>
        </w:tc>
        <w:tc>
          <w:tcPr>
            <w:tcW w:w="251" w:type="dxa"/>
            <w:tcBorders>
              <w:top w:val="nil"/>
            </w:tcBorders>
            <w:shd w:val="clear" w:color="auto" w:fill="auto"/>
            <w:vAlign w:val="center"/>
          </w:tcPr>
          <w:p w14:paraId="4D80B188" w14:textId="77777777" w:rsidR="008B7E19" w:rsidRPr="006468C2" w:rsidRDefault="008B7E19" w:rsidP="008B7E19">
            <w:pPr>
              <w:pStyle w:val="08-Tabelageral"/>
              <w:rPr>
                <w:rFonts w:cs="Arial"/>
                <w:szCs w:val="14"/>
              </w:rPr>
            </w:pPr>
          </w:p>
        </w:tc>
        <w:tc>
          <w:tcPr>
            <w:tcW w:w="1449" w:type="dxa"/>
            <w:gridSpan w:val="2"/>
            <w:tcBorders>
              <w:top w:val="nil"/>
            </w:tcBorders>
            <w:shd w:val="clear" w:color="auto" w:fill="auto"/>
          </w:tcPr>
          <w:p w14:paraId="5D279BA6" w14:textId="77777777" w:rsidR="008B7E19" w:rsidRPr="006468C2" w:rsidRDefault="008B7E19" w:rsidP="008B7E19">
            <w:pPr>
              <w:pStyle w:val="08-Tabelageral"/>
              <w:rPr>
                <w:rFonts w:cs="Arial"/>
                <w:szCs w:val="14"/>
              </w:rPr>
            </w:pPr>
            <w:r w:rsidRPr="003565A5">
              <w:rPr>
                <w:rFonts w:cs="Arial"/>
                <w:szCs w:val="14"/>
              </w:rPr>
              <w:t>(1</w:t>
            </w:r>
            <w:r>
              <w:rPr>
                <w:rFonts w:cs="Arial"/>
                <w:szCs w:val="14"/>
              </w:rPr>
              <w:t>,</w:t>
            </w:r>
            <w:r w:rsidRPr="003565A5">
              <w:rPr>
                <w:rFonts w:cs="Arial"/>
                <w:szCs w:val="14"/>
              </w:rPr>
              <w:t>776)</w:t>
            </w:r>
          </w:p>
        </w:tc>
        <w:tc>
          <w:tcPr>
            <w:tcW w:w="1526" w:type="dxa"/>
            <w:tcBorders>
              <w:top w:val="nil"/>
            </w:tcBorders>
            <w:shd w:val="clear" w:color="auto" w:fill="auto"/>
            <w:vAlign w:val="bottom"/>
          </w:tcPr>
          <w:p w14:paraId="538B2910" w14:textId="77777777" w:rsidR="008B7E19" w:rsidRPr="004078D0" w:rsidRDefault="008B7E19" w:rsidP="008B7E19">
            <w:pPr>
              <w:pStyle w:val="08-Tabelageral"/>
              <w:rPr>
                <w:rFonts w:cs="Arial"/>
                <w:szCs w:val="14"/>
              </w:rPr>
            </w:pPr>
            <w:r>
              <w:rPr>
                <w:rFonts w:cs="Arial"/>
                <w:color w:val="000000"/>
                <w:szCs w:val="14"/>
              </w:rPr>
              <w:t>(967)</w:t>
            </w:r>
          </w:p>
        </w:tc>
      </w:tr>
      <w:tr w:rsidR="008B7E19" w:rsidRPr="004078D0" w14:paraId="2F890645" w14:textId="77777777" w:rsidTr="008B7E19">
        <w:trPr>
          <w:trHeight w:val="238"/>
          <w:jc w:val="center"/>
        </w:trPr>
        <w:tc>
          <w:tcPr>
            <w:tcW w:w="2986" w:type="dxa"/>
            <w:gridSpan w:val="2"/>
            <w:tcBorders>
              <w:top w:val="nil"/>
            </w:tcBorders>
            <w:shd w:val="clear" w:color="auto" w:fill="auto"/>
          </w:tcPr>
          <w:p w14:paraId="20864159" w14:textId="77777777" w:rsidR="008B7E19" w:rsidRPr="00CB7397" w:rsidRDefault="008B7E19" w:rsidP="008B7E19">
            <w:pPr>
              <w:pStyle w:val="08-Tabelageral"/>
              <w:jc w:val="left"/>
            </w:pPr>
            <w:r w:rsidRPr="003B51B0">
              <w:t>Costs communicating</w:t>
            </w:r>
          </w:p>
        </w:tc>
        <w:tc>
          <w:tcPr>
            <w:tcW w:w="417" w:type="dxa"/>
            <w:tcBorders>
              <w:top w:val="nil"/>
            </w:tcBorders>
            <w:shd w:val="clear" w:color="auto" w:fill="auto"/>
            <w:vAlign w:val="center"/>
          </w:tcPr>
          <w:p w14:paraId="5985C7B3" w14:textId="77777777" w:rsidR="008B7E19" w:rsidRPr="006468C2" w:rsidRDefault="008B7E19" w:rsidP="008B7E19">
            <w:pPr>
              <w:pStyle w:val="08-Tabelageral"/>
              <w:rPr>
                <w:rFonts w:cs="Arial"/>
                <w:szCs w:val="14"/>
              </w:rPr>
            </w:pPr>
          </w:p>
        </w:tc>
        <w:tc>
          <w:tcPr>
            <w:tcW w:w="1598" w:type="dxa"/>
            <w:gridSpan w:val="2"/>
            <w:tcBorders>
              <w:top w:val="nil"/>
            </w:tcBorders>
            <w:shd w:val="clear" w:color="auto" w:fill="auto"/>
          </w:tcPr>
          <w:p w14:paraId="7C4B0C18" w14:textId="77777777" w:rsidR="008B7E19" w:rsidRPr="006468C2" w:rsidRDefault="008B7E19" w:rsidP="008B7E19">
            <w:pPr>
              <w:pStyle w:val="08-Tabelageral"/>
              <w:rPr>
                <w:rFonts w:cs="Arial"/>
                <w:szCs w:val="14"/>
              </w:rPr>
            </w:pPr>
            <w:r w:rsidRPr="00751D19">
              <w:rPr>
                <w:rFonts w:cs="Arial"/>
                <w:szCs w:val="14"/>
              </w:rPr>
              <w:t>(18)</w:t>
            </w:r>
          </w:p>
        </w:tc>
        <w:tc>
          <w:tcPr>
            <w:tcW w:w="1412" w:type="dxa"/>
            <w:tcBorders>
              <w:top w:val="nil"/>
            </w:tcBorders>
            <w:shd w:val="clear" w:color="auto" w:fill="auto"/>
            <w:vAlign w:val="bottom"/>
          </w:tcPr>
          <w:p w14:paraId="661BEE66" w14:textId="77777777" w:rsidR="008B7E19" w:rsidRPr="006468C2" w:rsidRDefault="008B7E19" w:rsidP="008B7E19">
            <w:pPr>
              <w:pStyle w:val="08-Tabelageral"/>
            </w:pPr>
            <w:r>
              <w:rPr>
                <w:rFonts w:cs="Arial"/>
                <w:color w:val="000000"/>
                <w:szCs w:val="14"/>
              </w:rPr>
              <w:t>(537)</w:t>
            </w:r>
          </w:p>
        </w:tc>
        <w:tc>
          <w:tcPr>
            <w:tcW w:w="251" w:type="dxa"/>
            <w:tcBorders>
              <w:top w:val="nil"/>
            </w:tcBorders>
            <w:shd w:val="clear" w:color="auto" w:fill="auto"/>
            <w:vAlign w:val="center"/>
          </w:tcPr>
          <w:p w14:paraId="5895BEA8" w14:textId="77777777" w:rsidR="008B7E19" w:rsidRPr="006468C2" w:rsidRDefault="008B7E19" w:rsidP="008B7E19">
            <w:pPr>
              <w:pStyle w:val="08-Tabelageral"/>
              <w:rPr>
                <w:rFonts w:cs="Arial"/>
                <w:szCs w:val="14"/>
              </w:rPr>
            </w:pPr>
          </w:p>
        </w:tc>
        <w:tc>
          <w:tcPr>
            <w:tcW w:w="1449" w:type="dxa"/>
            <w:gridSpan w:val="2"/>
            <w:tcBorders>
              <w:top w:val="nil"/>
            </w:tcBorders>
            <w:shd w:val="clear" w:color="auto" w:fill="auto"/>
          </w:tcPr>
          <w:p w14:paraId="03C019B0" w14:textId="77777777" w:rsidR="008B7E19" w:rsidRPr="006468C2" w:rsidRDefault="008B7E19" w:rsidP="008B7E19">
            <w:pPr>
              <w:pStyle w:val="08-Tabelageral"/>
              <w:rPr>
                <w:rFonts w:cs="Arial"/>
                <w:szCs w:val="14"/>
              </w:rPr>
            </w:pPr>
            <w:r w:rsidRPr="004D3293">
              <w:rPr>
                <w:rFonts w:cs="Arial"/>
                <w:szCs w:val="14"/>
              </w:rPr>
              <w:t>(100)</w:t>
            </w:r>
          </w:p>
        </w:tc>
        <w:tc>
          <w:tcPr>
            <w:tcW w:w="1526" w:type="dxa"/>
            <w:tcBorders>
              <w:top w:val="nil"/>
            </w:tcBorders>
            <w:shd w:val="clear" w:color="auto" w:fill="auto"/>
            <w:vAlign w:val="bottom"/>
          </w:tcPr>
          <w:p w14:paraId="7BA62291" w14:textId="77777777" w:rsidR="008B7E19" w:rsidRPr="004078D0" w:rsidRDefault="008B7E19" w:rsidP="008B7E19">
            <w:pPr>
              <w:pStyle w:val="08-Tabelageral"/>
              <w:rPr>
                <w:rFonts w:cs="Arial"/>
                <w:szCs w:val="14"/>
              </w:rPr>
            </w:pPr>
            <w:r>
              <w:rPr>
                <w:rFonts w:cs="Arial"/>
                <w:color w:val="000000"/>
                <w:szCs w:val="14"/>
              </w:rPr>
              <w:t>(605)</w:t>
            </w:r>
          </w:p>
        </w:tc>
      </w:tr>
      <w:tr w:rsidR="008B7E19" w:rsidRPr="004078D0" w14:paraId="6F54B359" w14:textId="77777777" w:rsidTr="008B7E19">
        <w:trPr>
          <w:trHeight w:val="238"/>
          <w:jc w:val="center"/>
        </w:trPr>
        <w:tc>
          <w:tcPr>
            <w:tcW w:w="2986" w:type="dxa"/>
            <w:gridSpan w:val="2"/>
            <w:tcBorders>
              <w:top w:val="nil"/>
            </w:tcBorders>
            <w:shd w:val="clear" w:color="auto" w:fill="auto"/>
          </w:tcPr>
          <w:p w14:paraId="36C246A1" w14:textId="77777777" w:rsidR="008B7E19" w:rsidRPr="00CB7397" w:rsidRDefault="008B7E19" w:rsidP="008B7E19">
            <w:pPr>
              <w:pStyle w:val="08-Tabelageral"/>
              <w:jc w:val="left"/>
            </w:pPr>
            <w:r>
              <w:t>P</w:t>
            </w:r>
            <w:r w:rsidRPr="00EF06D4">
              <w:t>ublications</w:t>
            </w:r>
          </w:p>
        </w:tc>
        <w:tc>
          <w:tcPr>
            <w:tcW w:w="417" w:type="dxa"/>
            <w:tcBorders>
              <w:top w:val="nil"/>
            </w:tcBorders>
            <w:shd w:val="clear" w:color="auto" w:fill="auto"/>
            <w:vAlign w:val="center"/>
          </w:tcPr>
          <w:p w14:paraId="561C65DB" w14:textId="77777777" w:rsidR="008B7E19" w:rsidRPr="006468C2" w:rsidRDefault="008B7E19" w:rsidP="008B7E19">
            <w:pPr>
              <w:pStyle w:val="08-Tabelageral"/>
              <w:rPr>
                <w:rFonts w:cs="Arial"/>
                <w:szCs w:val="14"/>
              </w:rPr>
            </w:pPr>
          </w:p>
        </w:tc>
        <w:tc>
          <w:tcPr>
            <w:tcW w:w="1598" w:type="dxa"/>
            <w:gridSpan w:val="2"/>
            <w:tcBorders>
              <w:top w:val="nil"/>
            </w:tcBorders>
            <w:shd w:val="clear" w:color="auto" w:fill="auto"/>
          </w:tcPr>
          <w:p w14:paraId="1A7C5475" w14:textId="77777777" w:rsidR="008B7E19" w:rsidRPr="006468C2" w:rsidRDefault="008B7E19" w:rsidP="008B7E19">
            <w:pPr>
              <w:pStyle w:val="08-Tabelageral"/>
              <w:rPr>
                <w:rFonts w:cs="Arial"/>
                <w:szCs w:val="14"/>
              </w:rPr>
            </w:pPr>
            <w:r w:rsidRPr="00751D19">
              <w:rPr>
                <w:rFonts w:cs="Arial"/>
                <w:szCs w:val="14"/>
              </w:rPr>
              <w:t>(61)</w:t>
            </w:r>
          </w:p>
        </w:tc>
        <w:tc>
          <w:tcPr>
            <w:tcW w:w="1412" w:type="dxa"/>
            <w:tcBorders>
              <w:top w:val="nil"/>
            </w:tcBorders>
            <w:shd w:val="clear" w:color="auto" w:fill="auto"/>
            <w:vAlign w:val="bottom"/>
          </w:tcPr>
          <w:p w14:paraId="2EC0D470" w14:textId="77777777" w:rsidR="008B7E19" w:rsidRPr="006468C2" w:rsidRDefault="008B7E19" w:rsidP="008B7E19">
            <w:pPr>
              <w:pStyle w:val="08-Tabelageral"/>
            </w:pPr>
            <w:r>
              <w:rPr>
                <w:rFonts w:cs="Arial"/>
                <w:color w:val="000000"/>
                <w:szCs w:val="14"/>
              </w:rPr>
              <w:t>(73)</w:t>
            </w:r>
          </w:p>
        </w:tc>
        <w:tc>
          <w:tcPr>
            <w:tcW w:w="251" w:type="dxa"/>
            <w:tcBorders>
              <w:top w:val="nil"/>
            </w:tcBorders>
            <w:shd w:val="clear" w:color="auto" w:fill="auto"/>
            <w:vAlign w:val="center"/>
          </w:tcPr>
          <w:p w14:paraId="36A28E8D" w14:textId="77777777" w:rsidR="008B7E19" w:rsidRPr="006468C2" w:rsidRDefault="008B7E19" w:rsidP="008B7E19">
            <w:pPr>
              <w:pStyle w:val="08-Tabelageral"/>
              <w:rPr>
                <w:rFonts w:cs="Arial"/>
                <w:szCs w:val="14"/>
              </w:rPr>
            </w:pPr>
          </w:p>
        </w:tc>
        <w:tc>
          <w:tcPr>
            <w:tcW w:w="1449" w:type="dxa"/>
            <w:gridSpan w:val="2"/>
            <w:tcBorders>
              <w:top w:val="nil"/>
            </w:tcBorders>
            <w:shd w:val="clear" w:color="auto" w:fill="auto"/>
          </w:tcPr>
          <w:p w14:paraId="1543841A" w14:textId="77777777" w:rsidR="008B7E19" w:rsidRPr="006468C2" w:rsidRDefault="008B7E19" w:rsidP="008B7E19">
            <w:pPr>
              <w:pStyle w:val="08-Tabelageral"/>
              <w:rPr>
                <w:rFonts w:cs="Arial"/>
                <w:szCs w:val="14"/>
              </w:rPr>
            </w:pPr>
            <w:r w:rsidRPr="003565A5">
              <w:rPr>
                <w:rFonts w:cs="Arial"/>
                <w:szCs w:val="14"/>
              </w:rPr>
              <w:t>(474)</w:t>
            </w:r>
          </w:p>
        </w:tc>
        <w:tc>
          <w:tcPr>
            <w:tcW w:w="1526" w:type="dxa"/>
            <w:tcBorders>
              <w:top w:val="nil"/>
            </w:tcBorders>
            <w:shd w:val="clear" w:color="auto" w:fill="auto"/>
            <w:vAlign w:val="bottom"/>
          </w:tcPr>
          <w:p w14:paraId="5A2F9ADB" w14:textId="77777777" w:rsidR="008B7E19" w:rsidRPr="004078D0" w:rsidRDefault="008B7E19" w:rsidP="008B7E19">
            <w:pPr>
              <w:pStyle w:val="08-Tabelageral"/>
              <w:rPr>
                <w:rFonts w:cs="Arial"/>
                <w:szCs w:val="14"/>
              </w:rPr>
            </w:pPr>
            <w:r>
              <w:rPr>
                <w:rFonts w:cs="Arial"/>
                <w:color w:val="000000"/>
                <w:szCs w:val="14"/>
              </w:rPr>
              <w:t>(601)</w:t>
            </w:r>
          </w:p>
        </w:tc>
      </w:tr>
      <w:tr w:rsidR="008B7E19" w:rsidRPr="004078D0" w14:paraId="46ED947E" w14:textId="77777777" w:rsidTr="008B7E19">
        <w:trPr>
          <w:trHeight w:val="238"/>
          <w:jc w:val="center"/>
        </w:trPr>
        <w:tc>
          <w:tcPr>
            <w:tcW w:w="2986" w:type="dxa"/>
            <w:gridSpan w:val="2"/>
            <w:tcBorders>
              <w:top w:val="nil"/>
            </w:tcBorders>
            <w:shd w:val="clear" w:color="auto" w:fill="auto"/>
          </w:tcPr>
          <w:p w14:paraId="1F715DD6" w14:textId="77777777" w:rsidR="008B7E19" w:rsidRPr="00CB7397" w:rsidRDefault="008B7E19" w:rsidP="008B7E19">
            <w:pPr>
              <w:pStyle w:val="08-Tabelageral"/>
              <w:jc w:val="left"/>
            </w:pPr>
            <w:r w:rsidRPr="003B51B0">
              <w:t>Service travel</w:t>
            </w:r>
          </w:p>
        </w:tc>
        <w:tc>
          <w:tcPr>
            <w:tcW w:w="417" w:type="dxa"/>
            <w:tcBorders>
              <w:top w:val="nil"/>
            </w:tcBorders>
            <w:shd w:val="clear" w:color="auto" w:fill="auto"/>
            <w:vAlign w:val="center"/>
          </w:tcPr>
          <w:p w14:paraId="5B29A1FF" w14:textId="77777777" w:rsidR="008B7E19" w:rsidRPr="006468C2" w:rsidRDefault="008B7E19" w:rsidP="008B7E19">
            <w:pPr>
              <w:pStyle w:val="08-Tabelageral"/>
              <w:rPr>
                <w:rFonts w:cs="Arial"/>
                <w:szCs w:val="14"/>
              </w:rPr>
            </w:pPr>
          </w:p>
        </w:tc>
        <w:tc>
          <w:tcPr>
            <w:tcW w:w="1598" w:type="dxa"/>
            <w:gridSpan w:val="2"/>
            <w:tcBorders>
              <w:top w:val="nil"/>
            </w:tcBorders>
            <w:shd w:val="clear" w:color="auto" w:fill="auto"/>
          </w:tcPr>
          <w:p w14:paraId="6738A9DF" w14:textId="77777777" w:rsidR="008B7E19" w:rsidRPr="006468C2" w:rsidRDefault="008B7E19" w:rsidP="008B7E19">
            <w:pPr>
              <w:pStyle w:val="08-Tabelageral"/>
              <w:rPr>
                <w:rFonts w:cs="Arial"/>
                <w:szCs w:val="14"/>
              </w:rPr>
            </w:pPr>
            <w:r w:rsidRPr="00751D19">
              <w:rPr>
                <w:rFonts w:cs="Arial"/>
                <w:szCs w:val="14"/>
              </w:rPr>
              <w:t>(134)</w:t>
            </w:r>
          </w:p>
        </w:tc>
        <w:tc>
          <w:tcPr>
            <w:tcW w:w="1412" w:type="dxa"/>
            <w:tcBorders>
              <w:top w:val="nil"/>
            </w:tcBorders>
            <w:shd w:val="clear" w:color="auto" w:fill="auto"/>
            <w:vAlign w:val="bottom"/>
          </w:tcPr>
          <w:p w14:paraId="03D9C1FB" w14:textId="77777777" w:rsidR="008B7E19" w:rsidRPr="006468C2" w:rsidRDefault="008B7E19" w:rsidP="008B7E19">
            <w:pPr>
              <w:pStyle w:val="08-Tabelageral"/>
            </w:pPr>
            <w:r>
              <w:rPr>
                <w:rFonts w:cs="Arial"/>
                <w:color w:val="000000"/>
                <w:szCs w:val="14"/>
              </w:rPr>
              <w:t>(57)</w:t>
            </w:r>
          </w:p>
        </w:tc>
        <w:tc>
          <w:tcPr>
            <w:tcW w:w="251" w:type="dxa"/>
            <w:tcBorders>
              <w:top w:val="nil"/>
            </w:tcBorders>
            <w:shd w:val="clear" w:color="auto" w:fill="auto"/>
            <w:vAlign w:val="center"/>
          </w:tcPr>
          <w:p w14:paraId="53F37839" w14:textId="77777777" w:rsidR="008B7E19" w:rsidRPr="006468C2" w:rsidRDefault="008B7E19" w:rsidP="008B7E19">
            <w:pPr>
              <w:pStyle w:val="08-Tabelageral"/>
              <w:rPr>
                <w:rFonts w:cs="Arial"/>
                <w:szCs w:val="14"/>
              </w:rPr>
            </w:pPr>
          </w:p>
        </w:tc>
        <w:tc>
          <w:tcPr>
            <w:tcW w:w="1449" w:type="dxa"/>
            <w:gridSpan w:val="2"/>
            <w:tcBorders>
              <w:top w:val="nil"/>
            </w:tcBorders>
            <w:shd w:val="clear" w:color="auto" w:fill="auto"/>
          </w:tcPr>
          <w:p w14:paraId="3E580BD5" w14:textId="77777777" w:rsidR="008B7E19" w:rsidRPr="006468C2" w:rsidRDefault="008B7E19" w:rsidP="008B7E19">
            <w:pPr>
              <w:pStyle w:val="08-Tabelageral"/>
              <w:rPr>
                <w:rFonts w:cs="Arial"/>
                <w:szCs w:val="14"/>
              </w:rPr>
            </w:pPr>
            <w:r w:rsidRPr="004D3293">
              <w:rPr>
                <w:rFonts w:cs="Arial"/>
                <w:szCs w:val="14"/>
              </w:rPr>
              <w:t>(520)</w:t>
            </w:r>
          </w:p>
        </w:tc>
        <w:tc>
          <w:tcPr>
            <w:tcW w:w="1526" w:type="dxa"/>
            <w:tcBorders>
              <w:top w:val="nil"/>
            </w:tcBorders>
            <w:shd w:val="clear" w:color="auto" w:fill="auto"/>
            <w:vAlign w:val="bottom"/>
          </w:tcPr>
          <w:p w14:paraId="52CABE26" w14:textId="77777777" w:rsidR="008B7E19" w:rsidRPr="004078D0" w:rsidRDefault="008B7E19" w:rsidP="008B7E19">
            <w:pPr>
              <w:pStyle w:val="08-Tabelageral"/>
              <w:rPr>
                <w:rFonts w:cs="Arial"/>
                <w:szCs w:val="14"/>
              </w:rPr>
            </w:pPr>
            <w:r>
              <w:rPr>
                <w:rFonts w:cs="Arial"/>
                <w:color w:val="000000"/>
                <w:szCs w:val="14"/>
              </w:rPr>
              <w:t>(439)</w:t>
            </w:r>
          </w:p>
        </w:tc>
      </w:tr>
      <w:tr w:rsidR="008B7E19" w:rsidRPr="004078D0" w14:paraId="377DB183" w14:textId="77777777" w:rsidTr="008B7E19">
        <w:trPr>
          <w:trHeight w:val="238"/>
          <w:jc w:val="center"/>
        </w:trPr>
        <w:tc>
          <w:tcPr>
            <w:tcW w:w="2986" w:type="dxa"/>
            <w:gridSpan w:val="2"/>
            <w:tcBorders>
              <w:top w:val="nil"/>
            </w:tcBorders>
            <w:shd w:val="clear" w:color="auto" w:fill="auto"/>
          </w:tcPr>
          <w:p w14:paraId="236673B3" w14:textId="77777777" w:rsidR="008B7E19" w:rsidRPr="00CB7397" w:rsidRDefault="008B7E19" w:rsidP="008B7E19">
            <w:pPr>
              <w:pStyle w:val="08-Tabelageral"/>
              <w:jc w:val="left"/>
            </w:pPr>
            <w:r w:rsidRPr="00F213A2">
              <w:t>Other</w:t>
            </w:r>
          </w:p>
        </w:tc>
        <w:tc>
          <w:tcPr>
            <w:tcW w:w="417" w:type="dxa"/>
            <w:tcBorders>
              <w:top w:val="nil"/>
            </w:tcBorders>
            <w:shd w:val="clear" w:color="auto" w:fill="auto"/>
            <w:vAlign w:val="center"/>
          </w:tcPr>
          <w:p w14:paraId="2C717045" w14:textId="77777777" w:rsidR="008B7E19" w:rsidRPr="006468C2" w:rsidRDefault="008B7E19" w:rsidP="008B7E19">
            <w:pPr>
              <w:pStyle w:val="08-Tabelageral"/>
              <w:rPr>
                <w:rFonts w:cs="Arial"/>
                <w:szCs w:val="14"/>
              </w:rPr>
            </w:pPr>
          </w:p>
        </w:tc>
        <w:tc>
          <w:tcPr>
            <w:tcW w:w="1598" w:type="dxa"/>
            <w:gridSpan w:val="2"/>
            <w:tcBorders>
              <w:top w:val="nil"/>
            </w:tcBorders>
            <w:shd w:val="clear" w:color="auto" w:fill="auto"/>
          </w:tcPr>
          <w:p w14:paraId="16ECE388" w14:textId="77777777" w:rsidR="008B7E19" w:rsidRPr="006468C2" w:rsidRDefault="008B7E19" w:rsidP="008B7E19">
            <w:pPr>
              <w:pStyle w:val="08-Tabelageral"/>
              <w:rPr>
                <w:rFonts w:cs="Arial"/>
                <w:szCs w:val="14"/>
              </w:rPr>
            </w:pPr>
            <w:r>
              <w:rPr>
                <w:rFonts w:cs="Arial"/>
                <w:szCs w:val="14"/>
              </w:rPr>
              <w:t>(82)</w:t>
            </w:r>
          </w:p>
        </w:tc>
        <w:tc>
          <w:tcPr>
            <w:tcW w:w="1412" w:type="dxa"/>
            <w:tcBorders>
              <w:top w:val="nil"/>
            </w:tcBorders>
            <w:shd w:val="clear" w:color="auto" w:fill="auto"/>
          </w:tcPr>
          <w:p w14:paraId="18E1916E" w14:textId="77777777" w:rsidR="008B7E19" w:rsidRPr="006468C2" w:rsidRDefault="008B7E19" w:rsidP="008B7E19">
            <w:pPr>
              <w:pStyle w:val="08-Tabelageral"/>
            </w:pPr>
            <w:r>
              <w:rPr>
                <w:rFonts w:cs="Arial"/>
                <w:szCs w:val="14"/>
              </w:rPr>
              <w:t>(92)</w:t>
            </w:r>
          </w:p>
        </w:tc>
        <w:tc>
          <w:tcPr>
            <w:tcW w:w="251" w:type="dxa"/>
            <w:tcBorders>
              <w:top w:val="nil"/>
            </w:tcBorders>
            <w:shd w:val="clear" w:color="auto" w:fill="auto"/>
            <w:vAlign w:val="center"/>
          </w:tcPr>
          <w:p w14:paraId="2094E535" w14:textId="77777777" w:rsidR="008B7E19" w:rsidRPr="006468C2" w:rsidRDefault="008B7E19" w:rsidP="008B7E19">
            <w:pPr>
              <w:pStyle w:val="08-Tabelageral"/>
              <w:rPr>
                <w:rFonts w:cs="Arial"/>
                <w:szCs w:val="14"/>
              </w:rPr>
            </w:pPr>
          </w:p>
        </w:tc>
        <w:tc>
          <w:tcPr>
            <w:tcW w:w="1449" w:type="dxa"/>
            <w:gridSpan w:val="2"/>
            <w:tcBorders>
              <w:top w:val="nil"/>
            </w:tcBorders>
            <w:shd w:val="clear" w:color="auto" w:fill="auto"/>
          </w:tcPr>
          <w:p w14:paraId="0B29D73B" w14:textId="77777777" w:rsidR="008B7E19" w:rsidRPr="006468C2" w:rsidRDefault="008B7E19" w:rsidP="008B7E19">
            <w:pPr>
              <w:pStyle w:val="08-Tabelageral"/>
              <w:rPr>
                <w:rFonts w:cs="Arial"/>
                <w:szCs w:val="14"/>
              </w:rPr>
            </w:pPr>
            <w:r>
              <w:rPr>
                <w:rFonts w:cs="Arial"/>
                <w:szCs w:val="14"/>
              </w:rPr>
              <w:t>(1,048)</w:t>
            </w:r>
          </w:p>
        </w:tc>
        <w:tc>
          <w:tcPr>
            <w:tcW w:w="1526" w:type="dxa"/>
            <w:tcBorders>
              <w:top w:val="nil"/>
            </w:tcBorders>
            <w:shd w:val="clear" w:color="auto" w:fill="auto"/>
          </w:tcPr>
          <w:p w14:paraId="5F32B604" w14:textId="77777777" w:rsidR="008B7E19" w:rsidRPr="004078D0" w:rsidRDefault="008B7E19" w:rsidP="008B7E19">
            <w:pPr>
              <w:pStyle w:val="08-Tabelageral"/>
              <w:rPr>
                <w:rFonts w:cs="Arial"/>
                <w:szCs w:val="14"/>
              </w:rPr>
            </w:pPr>
            <w:r>
              <w:rPr>
                <w:rFonts w:cs="Arial"/>
                <w:szCs w:val="14"/>
              </w:rPr>
              <w:t>(490)</w:t>
            </w:r>
          </w:p>
        </w:tc>
      </w:tr>
      <w:tr w:rsidR="008B7E19" w:rsidRPr="002C2608" w14:paraId="01641676" w14:textId="77777777" w:rsidTr="008B7E19">
        <w:trPr>
          <w:trHeight w:val="238"/>
          <w:jc w:val="center"/>
        </w:trPr>
        <w:tc>
          <w:tcPr>
            <w:tcW w:w="2986" w:type="dxa"/>
            <w:gridSpan w:val="2"/>
            <w:tcBorders>
              <w:top w:val="nil"/>
              <w:bottom w:val="single" w:sz="2" w:space="0" w:color="1F4E79" w:themeColor="accent1" w:themeShade="80"/>
            </w:tcBorders>
            <w:shd w:val="clear" w:color="auto" w:fill="auto"/>
          </w:tcPr>
          <w:p w14:paraId="6C0FC44E" w14:textId="77777777" w:rsidR="008B7E19" w:rsidRPr="002C2608" w:rsidRDefault="008B7E19" w:rsidP="008B7E19">
            <w:pPr>
              <w:pStyle w:val="08-Tabelageral"/>
              <w:jc w:val="left"/>
              <w:rPr>
                <w:b/>
              </w:rPr>
            </w:pPr>
            <w:r w:rsidRPr="004D2044">
              <w:rPr>
                <w:b/>
              </w:rPr>
              <w:t>Total</w:t>
            </w:r>
          </w:p>
        </w:tc>
        <w:tc>
          <w:tcPr>
            <w:tcW w:w="417" w:type="dxa"/>
            <w:tcBorders>
              <w:top w:val="nil"/>
              <w:bottom w:val="single" w:sz="2" w:space="0" w:color="1F4E79" w:themeColor="accent1" w:themeShade="80"/>
            </w:tcBorders>
            <w:shd w:val="clear" w:color="auto" w:fill="auto"/>
          </w:tcPr>
          <w:p w14:paraId="33EADCBF" w14:textId="77777777" w:rsidR="008B7E19" w:rsidRPr="002C2608" w:rsidRDefault="008B7E19" w:rsidP="008B7E19">
            <w:pPr>
              <w:pStyle w:val="08-Tabelageral"/>
              <w:rPr>
                <w:rFonts w:cs="Arial"/>
                <w:b/>
                <w:szCs w:val="14"/>
              </w:rPr>
            </w:pPr>
          </w:p>
        </w:tc>
        <w:tc>
          <w:tcPr>
            <w:tcW w:w="1598" w:type="dxa"/>
            <w:gridSpan w:val="2"/>
            <w:tcBorders>
              <w:top w:val="nil"/>
              <w:bottom w:val="single" w:sz="2" w:space="0" w:color="1F4E79" w:themeColor="accent1" w:themeShade="80"/>
            </w:tcBorders>
            <w:shd w:val="clear" w:color="auto" w:fill="auto"/>
          </w:tcPr>
          <w:p w14:paraId="54236154" w14:textId="77777777" w:rsidR="008B7E19" w:rsidRPr="002C2608" w:rsidRDefault="008B7E19" w:rsidP="008B7E19">
            <w:pPr>
              <w:pStyle w:val="08-Tabelageral"/>
              <w:rPr>
                <w:rFonts w:cs="Arial"/>
                <w:b/>
                <w:szCs w:val="14"/>
              </w:rPr>
            </w:pPr>
            <w:r w:rsidRPr="004D3293">
              <w:rPr>
                <w:rFonts w:cs="Arial"/>
                <w:b/>
                <w:bCs/>
                <w:szCs w:val="14"/>
              </w:rPr>
              <w:t>(1</w:t>
            </w:r>
            <w:r>
              <w:rPr>
                <w:rFonts w:cs="Arial"/>
                <w:b/>
                <w:bCs/>
                <w:szCs w:val="14"/>
              </w:rPr>
              <w:t>,</w:t>
            </w:r>
            <w:r w:rsidRPr="004D3293">
              <w:rPr>
                <w:rFonts w:cs="Arial"/>
                <w:b/>
                <w:bCs/>
                <w:szCs w:val="14"/>
              </w:rPr>
              <w:t>163)</w:t>
            </w:r>
          </w:p>
        </w:tc>
        <w:tc>
          <w:tcPr>
            <w:tcW w:w="1412" w:type="dxa"/>
            <w:tcBorders>
              <w:top w:val="nil"/>
              <w:bottom w:val="single" w:sz="2" w:space="0" w:color="1F4E79" w:themeColor="accent1" w:themeShade="80"/>
            </w:tcBorders>
            <w:shd w:val="clear" w:color="auto" w:fill="auto"/>
          </w:tcPr>
          <w:p w14:paraId="6C59BA77" w14:textId="77777777" w:rsidR="008B7E19" w:rsidRPr="002C2608" w:rsidRDefault="008B7E19" w:rsidP="008B7E19">
            <w:pPr>
              <w:pStyle w:val="08-Tabelageral"/>
              <w:rPr>
                <w:rFonts w:cs="Arial"/>
                <w:b/>
                <w:szCs w:val="14"/>
              </w:rPr>
            </w:pPr>
            <w:r>
              <w:rPr>
                <w:rFonts w:cs="Arial"/>
                <w:b/>
                <w:bCs/>
                <w:szCs w:val="14"/>
              </w:rPr>
              <w:t>(1,506)</w:t>
            </w:r>
          </w:p>
        </w:tc>
        <w:tc>
          <w:tcPr>
            <w:tcW w:w="251" w:type="dxa"/>
            <w:tcBorders>
              <w:top w:val="nil"/>
              <w:bottom w:val="single" w:sz="2" w:space="0" w:color="1F4E79" w:themeColor="accent1" w:themeShade="80"/>
            </w:tcBorders>
            <w:shd w:val="clear" w:color="auto" w:fill="auto"/>
            <w:vAlign w:val="center"/>
          </w:tcPr>
          <w:p w14:paraId="49535719" w14:textId="77777777" w:rsidR="008B7E19" w:rsidRPr="002C2608" w:rsidRDefault="008B7E19" w:rsidP="008B7E19">
            <w:pPr>
              <w:pStyle w:val="08-Tabelageral"/>
              <w:rPr>
                <w:rFonts w:cs="Arial"/>
                <w:b/>
                <w:szCs w:val="14"/>
              </w:rPr>
            </w:pPr>
          </w:p>
        </w:tc>
        <w:tc>
          <w:tcPr>
            <w:tcW w:w="1449" w:type="dxa"/>
            <w:gridSpan w:val="2"/>
            <w:tcBorders>
              <w:top w:val="nil"/>
              <w:bottom w:val="single" w:sz="2" w:space="0" w:color="1F4E79" w:themeColor="accent1" w:themeShade="80"/>
            </w:tcBorders>
            <w:shd w:val="clear" w:color="auto" w:fill="auto"/>
          </w:tcPr>
          <w:p w14:paraId="1D413B44" w14:textId="77777777" w:rsidR="008B7E19" w:rsidRPr="002C2608" w:rsidRDefault="008B7E19" w:rsidP="008B7E19">
            <w:pPr>
              <w:pStyle w:val="08-Tabelageral"/>
              <w:rPr>
                <w:rFonts w:cs="Arial"/>
                <w:b/>
                <w:szCs w:val="14"/>
              </w:rPr>
            </w:pPr>
            <w:r>
              <w:rPr>
                <w:rFonts w:cs="Arial"/>
                <w:b/>
                <w:bCs/>
                <w:szCs w:val="14"/>
              </w:rPr>
              <w:t>(13,013)</w:t>
            </w:r>
          </w:p>
        </w:tc>
        <w:tc>
          <w:tcPr>
            <w:tcW w:w="1526" w:type="dxa"/>
            <w:tcBorders>
              <w:top w:val="nil"/>
              <w:bottom w:val="single" w:sz="2" w:space="0" w:color="1F4E79" w:themeColor="accent1" w:themeShade="80"/>
            </w:tcBorders>
            <w:shd w:val="clear" w:color="auto" w:fill="auto"/>
          </w:tcPr>
          <w:p w14:paraId="6A8B69BB" w14:textId="77777777" w:rsidR="008B7E19" w:rsidRPr="002C2608" w:rsidRDefault="008B7E19" w:rsidP="008B7E19">
            <w:pPr>
              <w:pStyle w:val="08-Tabelageral"/>
              <w:rPr>
                <w:rFonts w:cs="Arial"/>
                <w:b/>
                <w:szCs w:val="14"/>
              </w:rPr>
            </w:pPr>
            <w:r>
              <w:rPr>
                <w:rFonts w:cs="Arial"/>
                <w:b/>
                <w:bCs/>
                <w:szCs w:val="14"/>
              </w:rPr>
              <w:t>(7,622)</w:t>
            </w:r>
          </w:p>
        </w:tc>
      </w:tr>
    </w:tbl>
    <w:p w14:paraId="77BE5314" w14:textId="77777777" w:rsidR="008B7E19" w:rsidRDefault="008B7E19" w:rsidP="00882B41">
      <w:pPr>
        <w:pStyle w:val="PargrafodaLista"/>
        <w:numPr>
          <w:ilvl w:val="0"/>
          <w:numId w:val="22"/>
        </w:numPr>
        <w:spacing w:after="0" w:line="240" w:lineRule="auto"/>
        <w:ind w:left="284" w:hanging="284"/>
        <w:jc w:val="both"/>
        <w:rPr>
          <w:rStyle w:val="q4iawc"/>
          <w:rFonts w:ascii="Arial" w:hAnsi="Arial" w:cs="Arial"/>
          <w:sz w:val="14"/>
          <w:szCs w:val="14"/>
          <w:lang w:val="en"/>
        </w:rPr>
      </w:pPr>
      <w:r w:rsidRPr="003B51B0">
        <w:rPr>
          <w:rStyle w:val="q4iawc"/>
          <w:rFonts w:ascii="Arial" w:hAnsi="Arial" w:cs="Arial"/>
          <w:sz w:val="14"/>
          <w:szCs w:val="14"/>
          <w:lang w:val="en"/>
        </w:rPr>
        <w:t>Refers to expenses with partnerships signed with correspondents, in new channels, for the sale of insurance products, and sales incentive commercial campaigns.</w:t>
      </w:r>
    </w:p>
    <w:p w14:paraId="5B861888" w14:textId="77777777" w:rsidR="008B7E19" w:rsidRDefault="008B7E19" w:rsidP="008B7E19">
      <w:pPr>
        <w:spacing w:after="0" w:line="240" w:lineRule="auto"/>
        <w:jc w:val="both"/>
        <w:rPr>
          <w:rStyle w:val="q4iawc"/>
          <w:rFonts w:cs="Arial"/>
          <w:sz w:val="14"/>
          <w:szCs w:val="14"/>
          <w:lang w:val="en"/>
        </w:rPr>
      </w:pPr>
    </w:p>
    <w:p w14:paraId="4267FEEF" w14:textId="77777777" w:rsidR="008B7E19" w:rsidRPr="00FE2DBE" w:rsidRDefault="008B7E19" w:rsidP="008B7E19">
      <w:pPr>
        <w:spacing w:after="0" w:line="240" w:lineRule="auto"/>
        <w:jc w:val="right"/>
        <w:rPr>
          <w:rFonts w:cs="Arial"/>
          <w:b/>
          <w:color w:val="0D0D0D" w:themeColor="text1" w:themeTint="F2"/>
          <w:sz w:val="14"/>
          <w:szCs w:val="14"/>
        </w:rPr>
      </w:pPr>
      <w:r w:rsidRPr="00FE2DBE">
        <w:rPr>
          <w:rFonts w:cs="Arial"/>
          <w:b/>
          <w:color w:val="0D0D0D" w:themeColor="text1" w:themeTint="F2"/>
          <w:sz w:val="14"/>
          <w:szCs w:val="14"/>
        </w:rPr>
        <w:t>R$ thousand</w:t>
      </w:r>
    </w:p>
    <w:tbl>
      <w:tblPr>
        <w:tblW w:w="9639" w:type="dxa"/>
        <w:jc w:val="center"/>
        <w:tblBorders>
          <w:top w:val="single" w:sz="2" w:space="0" w:color="8EAADB" w:themeColor="accent5" w:themeTint="99"/>
          <w:bottom w:val="single" w:sz="2" w:space="0" w:color="8EAADB" w:themeColor="accent5" w:themeTint="99"/>
        </w:tblBorders>
        <w:tblLook w:val="04A0" w:firstRow="1" w:lastRow="0" w:firstColumn="1" w:lastColumn="0" w:noHBand="0" w:noVBand="1"/>
      </w:tblPr>
      <w:tblGrid>
        <w:gridCol w:w="742"/>
        <w:gridCol w:w="2244"/>
        <w:gridCol w:w="417"/>
        <w:gridCol w:w="187"/>
        <w:gridCol w:w="1411"/>
        <w:gridCol w:w="1412"/>
        <w:gridCol w:w="251"/>
        <w:gridCol w:w="32"/>
        <w:gridCol w:w="1417"/>
        <w:gridCol w:w="1526"/>
      </w:tblGrid>
      <w:tr w:rsidR="008B7E19" w:rsidRPr="004078D0" w14:paraId="31FD117F" w14:textId="77777777" w:rsidTr="008B7E19">
        <w:trPr>
          <w:trHeight w:val="238"/>
          <w:jc w:val="center"/>
        </w:trPr>
        <w:tc>
          <w:tcPr>
            <w:tcW w:w="742" w:type="dxa"/>
            <w:tcBorders>
              <w:top w:val="single" w:sz="2" w:space="0" w:color="1F4E79" w:themeColor="accent1" w:themeShade="80"/>
              <w:bottom w:val="nil"/>
            </w:tcBorders>
            <w:shd w:val="clear" w:color="auto" w:fill="auto"/>
          </w:tcPr>
          <w:p w14:paraId="2AABF563" w14:textId="77777777" w:rsidR="008B7E19" w:rsidRPr="004078D0" w:rsidRDefault="008B7E19" w:rsidP="008B7E19">
            <w:pPr>
              <w:keepNext/>
              <w:keepLines/>
              <w:spacing w:before="40" w:after="40"/>
              <w:jc w:val="center"/>
              <w:rPr>
                <w:rFonts w:cs="Arial"/>
                <w:b/>
                <w:bCs/>
                <w:spacing w:val="-2"/>
                <w:sz w:val="14"/>
                <w:szCs w:val="14"/>
              </w:rPr>
            </w:pPr>
          </w:p>
        </w:tc>
        <w:tc>
          <w:tcPr>
            <w:tcW w:w="2848" w:type="dxa"/>
            <w:gridSpan w:val="3"/>
            <w:tcBorders>
              <w:top w:val="single" w:sz="2" w:space="0" w:color="1F4E79" w:themeColor="accent1" w:themeShade="80"/>
              <w:bottom w:val="nil"/>
            </w:tcBorders>
            <w:shd w:val="clear" w:color="auto" w:fill="auto"/>
          </w:tcPr>
          <w:p w14:paraId="21F19349" w14:textId="77777777" w:rsidR="008B7E19" w:rsidRPr="004078D0" w:rsidRDefault="008B7E19" w:rsidP="008B7E19">
            <w:pPr>
              <w:keepNext/>
              <w:keepLines/>
              <w:spacing w:before="40" w:after="40"/>
              <w:jc w:val="center"/>
              <w:rPr>
                <w:rFonts w:cs="Arial"/>
                <w:b/>
                <w:spacing w:val="-2"/>
                <w:sz w:val="14"/>
                <w:szCs w:val="14"/>
              </w:rPr>
            </w:pPr>
          </w:p>
        </w:tc>
        <w:tc>
          <w:tcPr>
            <w:tcW w:w="2823" w:type="dxa"/>
            <w:gridSpan w:val="2"/>
            <w:tcBorders>
              <w:top w:val="single" w:sz="2" w:space="0" w:color="1F4E79" w:themeColor="accent1" w:themeShade="80"/>
              <w:bottom w:val="single" w:sz="4" w:space="0" w:color="1F4E79" w:themeColor="accent1" w:themeShade="80"/>
            </w:tcBorders>
            <w:shd w:val="clear" w:color="auto" w:fill="auto"/>
            <w:vAlign w:val="center"/>
          </w:tcPr>
          <w:p w14:paraId="4BAC1376" w14:textId="77777777" w:rsidR="008B7E19" w:rsidRPr="009D7709" w:rsidRDefault="008B7E19" w:rsidP="008B7E19">
            <w:pPr>
              <w:keepNext/>
              <w:keepLines/>
              <w:spacing w:before="40" w:after="40"/>
              <w:jc w:val="center"/>
              <w:rPr>
                <w:rFonts w:cs="Arial"/>
                <w:b/>
                <w:spacing w:val="-2"/>
                <w:sz w:val="14"/>
                <w:szCs w:val="14"/>
              </w:rPr>
            </w:pPr>
            <w:r w:rsidRPr="009D7709">
              <w:rPr>
                <w:rFonts w:cs="Arial"/>
                <w:b/>
                <w:sz w:val="14"/>
                <w:szCs w:val="14"/>
              </w:rPr>
              <w:t>Parent</w:t>
            </w:r>
          </w:p>
        </w:tc>
        <w:tc>
          <w:tcPr>
            <w:tcW w:w="283" w:type="dxa"/>
            <w:gridSpan w:val="2"/>
            <w:tcBorders>
              <w:top w:val="single" w:sz="2" w:space="0" w:color="1F4E79" w:themeColor="accent1" w:themeShade="80"/>
              <w:bottom w:val="nil"/>
            </w:tcBorders>
            <w:shd w:val="clear" w:color="auto" w:fill="auto"/>
            <w:vAlign w:val="center"/>
          </w:tcPr>
          <w:p w14:paraId="23737BB2" w14:textId="77777777" w:rsidR="008B7E19" w:rsidRPr="009D7709" w:rsidRDefault="008B7E19" w:rsidP="008B7E19">
            <w:pPr>
              <w:keepNext/>
              <w:keepLines/>
              <w:spacing w:before="40" w:after="40"/>
              <w:jc w:val="center"/>
              <w:rPr>
                <w:rFonts w:cs="Arial"/>
                <w:b/>
                <w:bCs/>
                <w:spacing w:val="-2"/>
                <w:sz w:val="14"/>
                <w:szCs w:val="14"/>
              </w:rPr>
            </w:pPr>
          </w:p>
        </w:tc>
        <w:tc>
          <w:tcPr>
            <w:tcW w:w="2943" w:type="dxa"/>
            <w:gridSpan w:val="2"/>
            <w:tcBorders>
              <w:top w:val="single" w:sz="2" w:space="0" w:color="1F4E79" w:themeColor="accent1" w:themeShade="80"/>
              <w:bottom w:val="single" w:sz="4" w:space="0" w:color="1F4E79" w:themeColor="accent1" w:themeShade="80"/>
            </w:tcBorders>
            <w:shd w:val="clear" w:color="auto" w:fill="auto"/>
            <w:vAlign w:val="center"/>
          </w:tcPr>
          <w:p w14:paraId="205D2FBC" w14:textId="77777777" w:rsidR="008B7E19" w:rsidRPr="009D7709" w:rsidRDefault="008B7E19" w:rsidP="008B7E19">
            <w:pPr>
              <w:keepNext/>
              <w:keepLines/>
              <w:spacing w:before="40" w:after="40"/>
              <w:jc w:val="center"/>
              <w:rPr>
                <w:rFonts w:cs="Arial"/>
                <w:b/>
                <w:spacing w:val="-2"/>
                <w:sz w:val="14"/>
                <w:szCs w:val="14"/>
              </w:rPr>
            </w:pPr>
            <w:r w:rsidRPr="009D7709">
              <w:rPr>
                <w:rFonts w:cs="Arial"/>
                <w:b/>
                <w:sz w:val="14"/>
                <w:szCs w:val="14"/>
              </w:rPr>
              <w:t>Consolidated</w:t>
            </w:r>
          </w:p>
        </w:tc>
      </w:tr>
      <w:tr w:rsidR="008B7E19" w:rsidRPr="004078D0" w14:paraId="3DD63ACC" w14:textId="77777777" w:rsidTr="008B7E19">
        <w:trPr>
          <w:trHeight w:val="238"/>
          <w:jc w:val="center"/>
        </w:trPr>
        <w:tc>
          <w:tcPr>
            <w:tcW w:w="2986" w:type="dxa"/>
            <w:gridSpan w:val="2"/>
            <w:tcBorders>
              <w:top w:val="nil"/>
              <w:bottom w:val="single" w:sz="2" w:space="0" w:color="1F4E79" w:themeColor="accent1" w:themeShade="80"/>
            </w:tcBorders>
            <w:shd w:val="clear" w:color="auto" w:fill="auto"/>
          </w:tcPr>
          <w:p w14:paraId="5494F294" w14:textId="77777777" w:rsidR="008B7E19" w:rsidRPr="004078D0" w:rsidRDefault="008B7E19" w:rsidP="008B7E19">
            <w:pPr>
              <w:keepNext/>
              <w:keepLines/>
              <w:spacing w:before="40" w:after="40"/>
              <w:rPr>
                <w:rFonts w:cs="Arial"/>
                <w:b/>
                <w:spacing w:val="-2"/>
                <w:sz w:val="14"/>
                <w:szCs w:val="14"/>
              </w:rPr>
            </w:pPr>
          </w:p>
        </w:tc>
        <w:tc>
          <w:tcPr>
            <w:tcW w:w="417" w:type="dxa"/>
            <w:tcBorders>
              <w:top w:val="nil"/>
              <w:bottom w:val="single" w:sz="2" w:space="0" w:color="1F4E79" w:themeColor="accent1" w:themeShade="80"/>
            </w:tcBorders>
            <w:shd w:val="clear" w:color="auto" w:fill="auto"/>
          </w:tcPr>
          <w:p w14:paraId="712AEF81" w14:textId="77777777" w:rsidR="008B7E19" w:rsidRPr="004078D0" w:rsidRDefault="008B7E19" w:rsidP="008B7E19">
            <w:pPr>
              <w:keepNext/>
              <w:keepLines/>
              <w:spacing w:before="40" w:after="40"/>
              <w:rPr>
                <w:rFonts w:cs="Arial"/>
                <w:b/>
                <w:spacing w:val="-2"/>
                <w:sz w:val="14"/>
                <w:szCs w:val="14"/>
              </w:rPr>
            </w:pPr>
          </w:p>
        </w:tc>
        <w:tc>
          <w:tcPr>
            <w:tcW w:w="1598" w:type="dxa"/>
            <w:gridSpan w:val="2"/>
            <w:tcBorders>
              <w:top w:val="single" w:sz="4" w:space="0" w:color="1F4E79" w:themeColor="accent1" w:themeShade="80"/>
              <w:bottom w:val="single" w:sz="2" w:space="0" w:color="1F4E79" w:themeColor="accent1" w:themeShade="80"/>
            </w:tcBorders>
            <w:shd w:val="clear" w:color="auto" w:fill="auto"/>
          </w:tcPr>
          <w:p w14:paraId="17331C9B" w14:textId="77777777" w:rsidR="008B7E19" w:rsidRPr="004078D0" w:rsidRDefault="008B7E19" w:rsidP="008B7E19">
            <w:pPr>
              <w:keepNext/>
              <w:keepLines/>
              <w:spacing w:before="40" w:after="40"/>
              <w:jc w:val="right"/>
              <w:rPr>
                <w:rFonts w:cs="Arial"/>
                <w:b/>
                <w:spacing w:val="-2"/>
                <w:sz w:val="14"/>
                <w:szCs w:val="18"/>
              </w:rPr>
            </w:pPr>
            <w:r w:rsidRPr="001821C3">
              <w:rPr>
                <w:rFonts w:cs="Arial"/>
                <w:b/>
                <w:sz w:val="14"/>
                <w:szCs w:val="14"/>
              </w:rPr>
              <w:t>1</w:t>
            </w:r>
            <w:r w:rsidRPr="001821C3">
              <w:rPr>
                <w:rFonts w:cs="Arial"/>
                <w:b/>
                <w:sz w:val="14"/>
                <w:szCs w:val="14"/>
                <w:vertAlign w:val="superscript"/>
              </w:rPr>
              <w:t>st</w:t>
            </w:r>
            <w:r w:rsidRPr="001821C3">
              <w:rPr>
                <w:rFonts w:cs="Arial"/>
                <w:b/>
                <w:sz w:val="14"/>
                <w:szCs w:val="14"/>
              </w:rPr>
              <w:t xml:space="preserve"> </w:t>
            </w:r>
            <w:r>
              <w:rPr>
                <w:rFonts w:cs="Arial"/>
                <w:b/>
                <w:sz w:val="14"/>
                <w:szCs w:val="14"/>
              </w:rPr>
              <w:t>Half</w:t>
            </w:r>
            <w:r w:rsidRPr="001821C3">
              <w:rPr>
                <w:rFonts w:cs="Arial"/>
                <w:b/>
                <w:sz w:val="14"/>
                <w:szCs w:val="14"/>
              </w:rPr>
              <w:t xml:space="preserve"> 202</w:t>
            </w:r>
            <w:r>
              <w:rPr>
                <w:rFonts w:cs="Arial"/>
                <w:b/>
                <w:sz w:val="14"/>
                <w:szCs w:val="14"/>
              </w:rPr>
              <w:t>3</w:t>
            </w:r>
          </w:p>
        </w:tc>
        <w:tc>
          <w:tcPr>
            <w:tcW w:w="1412" w:type="dxa"/>
            <w:tcBorders>
              <w:top w:val="single" w:sz="4" w:space="0" w:color="1F4E79" w:themeColor="accent1" w:themeShade="80"/>
              <w:bottom w:val="single" w:sz="2" w:space="0" w:color="1F4E79" w:themeColor="accent1" w:themeShade="80"/>
            </w:tcBorders>
            <w:shd w:val="clear" w:color="auto" w:fill="auto"/>
          </w:tcPr>
          <w:p w14:paraId="1EDD19C9" w14:textId="77777777" w:rsidR="008B7E19" w:rsidRPr="004078D0" w:rsidRDefault="008B7E19" w:rsidP="008B7E19">
            <w:pPr>
              <w:keepNext/>
              <w:keepLines/>
              <w:spacing w:before="40" w:after="40"/>
              <w:jc w:val="right"/>
              <w:rPr>
                <w:rFonts w:cs="Arial"/>
                <w:b/>
                <w:spacing w:val="-2"/>
                <w:sz w:val="14"/>
                <w:szCs w:val="18"/>
              </w:rPr>
            </w:pPr>
            <w:r w:rsidRPr="001821C3">
              <w:rPr>
                <w:rFonts w:cs="Arial"/>
                <w:b/>
                <w:sz w:val="14"/>
                <w:szCs w:val="14"/>
              </w:rPr>
              <w:t>1</w:t>
            </w:r>
            <w:r w:rsidRPr="001821C3">
              <w:rPr>
                <w:rFonts w:cs="Arial"/>
                <w:b/>
                <w:sz w:val="14"/>
                <w:szCs w:val="14"/>
                <w:vertAlign w:val="superscript"/>
              </w:rPr>
              <w:t>st</w:t>
            </w:r>
            <w:r w:rsidRPr="001821C3">
              <w:rPr>
                <w:rFonts w:cs="Arial"/>
                <w:b/>
                <w:sz w:val="14"/>
                <w:szCs w:val="14"/>
              </w:rPr>
              <w:t xml:space="preserve"> </w:t>
            </w:r>
            <w:r>
              <w:rPr>
                <w:rFonts w:cs="Arial"/>
                <w:b/>
                <w:sz w:val="14"/>
                <w:szCs w:val="14"/>
              </w:rPr>
              <w:t>Half</w:t>
            </w:r>
            <w:r w:rsidRPr="001821C3">
              <w:rPr>
                <w:rFonts w:cs="Arial"/>
                <w:b/>
                <w:sz w:val="14"/>
                <w:szCs w:val="14"/>
              </w:rPr>
              <w:t xml:space="preserve"> 202</w:t>
            </w:r>
            <w:r>
              <w:rPr>
                <w:rFonts w:cs="Arial"/>
                <w:b/>
                <w:sz w:val="14"/>
                <w:szCs w:val="14"/>
              </w:rPr>
              <w:t>2</w:t>
            </w:r>
          </w:p>
        </w:tc>
        <w:tc>
          <w:tcPr>
            <w:tcW w:w="251" w:type="dxa"/>
            <w:tcBorders>
              <w:top w:val="nil"/>
              <w:bottom w:val="single" w:sz="2" w:space="0" w:color="1F4E79" w:themeColor="accent1" w:themeShade="80"/>
            </w:tcBorders>
            <w:shd w:val="clear" w:color="auto" w:fill="auto"/>
            <w:vAlign w:val="center"/>
          </w:tcPr>
          <w:p w14:paraId="233305B2" w14:textId="77777777" w:rsidR="008B7E19" w:rsidRPr="004078D0" w:rsidRDefault="008B7E19" w:rsidP="008B7E19">
            <w:pPr>
              <w:keepNext/>
              <w:keepLines/>
              <w:spacing w:before="40" w:after="40"/>
              <w:jc w:val="right"/>
              <w:rPr>
                <w:rFonts w:cs="Arial"/>
                <w:b/>
                <w:spacing w:val="-2"/>
                <w:sz w:val="14"/>
                <w:szCs w:val="18"/>
              </w:rPr>
            </w:pPr>
          </w:p>
        </w:tc>
        <w:tc>
          <w:tcPr>
            <w:tcW w:w="1449" w:type="dxa"/>
            <w:gridSpan w:val="2"/>
            <w:tcBorders>
              <w:top w:val="single" w:sz="4" w:space="0" w:color="1F4E79" w:themeColor="accent1" w:themeShade="80"/>
              <w:bottom w:val="single" w:sz="2" w:space="0" w:color="1F4E79" w:themeColor="accent1" w:themeShade="80"/>
            </w:tcBorders>
            <w:shd w:val="clear" w:color="auto" w:fill="auto"/>
          </w:tcPr>
          <w:p w14:paraId="776E30B0" w14:textId="77777777" w:rsidR="008B7E19" w:rsidRPr="004078D0" w:rsidRDefault="008B7E19" w:rsidP="008B7E19">
            <w:pPr>
              <w:keepNext/>
              <w:keepLines/>
              <w:spacing w:before="40" w:after="40"/>
              <w:jc w:val="right"/>
              <w:rPr>
                <w:rFonts w:cs="Arial"/>
                <w:b/>
                <w:spacing w:val="-2"/>
                <w:sz w:val="14"/>
                <w:szCs w:val="18"/>
              </w:rPr>
            </w:pPr>
            <w:r w:rsidRPr="001821C3">
              <w:rPr>
                <w:rFonts w:cs="Arial"/>
                <w:b/>
                <w:sz w:val="14"/>
                <w:szCs w:val="14"/>
              </w:rPr>
              <w:t>1</w:t>
            </w:r>
            <w:r w:rsidRPr="001821C3">
              <w:rPr>
                <w:rFonts w:cs="Arial"/>
                <w:b/>
                <w:sz w:val="14"/>
                <w:szCs w:val="14"/>
                <w:vertAlign w:val="superscript"/>
              </w:rPr>
              <w:t>st</w:t>
            </w:r>
            <w:r w:rsidRPr="001821C3">
              <w:rPr>
                <w:rFonts w:cs="Arial"/>
                <w:b/>
                <w:sz w:val="14"/>
                <w:szCs w:val="14"/>
              </w:rPr>
              <w:t xml:space="preserve"> </w:t>
            </w:r>
            <w:r>
              <w:rPr>
                <w:rFonts w:cs="Arial"/>
                <w:b/>
                <w:sz w:val="14"/>
                <w:szCs w:val="14"/>
              </w:rPr>
              <w:t>Half</w:t>
            </w:r>
            <w:r w:rsidRPr="001821C3">
              <w:rPr>
                <w:rFonts w:cs="Arial"/>
                <w:b/>
                <w:sz w:val="14"/>
                <w:szCs w:val="14"/>
              </w:rPr>
              <w:t xml:space="preserve"> 202</w:t>
            </w:r>
            <w:r>
              <w:rPr>
                <w:rFonts w:cs="Arial"/>
                <w:b/>
                <w:sz w:val="14"/>
                <w:szCs w:val="14"/>
              </w:rPr>
              <w:t>3</w:t>
            </w:r>
          </w:p>
        </w:tc>
        <w:tc>
          <w:tcPr>
            <w:tcW w:w="1526" w:type="dxa"/>
            <w:tcBorders>
              <w:top w:val="single" w:sz="4" w:space="0" w:color="1F4E79" w:themeColor="accent1" w:themeShade="80"/>
              <w:bottom w:val="single" w:sz="2" w:space="0" w:color="1F4E79" w:themeColor="accent1" w:themeShade="80"/>
            </w:tcBorders>
            <w:shd w:val="clear" w:color="auto" w:fill="auto"/>
          </w:tcPr>
          <w:p w14:paraId="594EC486" w14:textId="77777777" w:rsidR="008B7E19" w:rsidRPr="004078D0" w:rsidRDefault="008B7E19" w:rsidP="008B7E19">
            <w:pPr>
              <w:keepNext/>
              <w:keepLines/>
              <w:spacing w:before="40" w:after="40"/>
              <w:jc w:val="right"/>
              <w:rPr>
                <w:rFonts w:cs="Arial"/>
                <w:b/>
                <w:spacing w:val="-2"/>
                <w:sz w:val="14"/>
                <w:szCs w:val="18"/>
              </w:rPr>
            </w:pPr>
            <w:r w:rsidRPr="001821C3">
              <w:rPr>
                <w:rFonts w:cs="Arial"/>
                <w:b/>
                <w:sz w:val="14"/>
                <w:szCs w:val="14"/>
              </w:rPr>
              <w:t>1</w:t>
            </w:r>
            <w:r w:rsidRPr="001821C3">
              <w:rPr>
                <w:rFonts w:cs="Arial"/>
                <w:b/>
                <w:sz w:val="14"/>
                <w:szCs w:val="14"/>
                <w:vertAlign w:val="superscript"/>
              </w:rPr>
              <w:t>st</w:t>
            </w:r>
            <w:r w:rsidRPr="001821C3">
              <w:rPr>
                <w:rFonts w:cs="Arial"/>
                <w:b/>
                <w:sz w:val="14"/>
                <w:szCs w:val="14"/>
              </w:rPr>
              <w:t xml:space="preserve"> </w:t>
            </w:r>
            <w:r>
              <w:rPr>
                <w:rFonts w:cs="Arial"/>
                <w:b/>
                <w:sz w:val="14"/>
                <w:szCs w:val="14"/>
              </w:rPr>
              <w:t>Half</w:t>
            </w:r>
            <w:r w:rsidRPr="001821C3">
              <w:rPr>
                <w:rFonts w:cs="Arial"/>
                <w:b/>
                <w:sz w:val="14"/>
                <w:szCs w:val="14"/>
              </w:rPr>
              <w:t xml:space="preserve"> 202</w:t>
            </w:r>
            <w:r>
              <w:rPr>
                <w:rFonts w:cs="Arial"/>
                <w:b/>
                <w:sz w:val="14"/>
                <w:szCs w:val="14"/>
              </w:rPr>
              <w:t>2</w:t>
            </w:r>
          </w:p>
        </w:tc>
      </w:tr>
      <w:tr w:rsidR="008B7E19" w:rsidRPr="004078D0" w14:paraId="6FA68890" w14:textId="77777777" w:rsidTr="008B7E19">
        <w:trPr>
          <w:trHeight w:val="238"/>
          <w:jc w:val="center"/>
        </w:trPr>
        <w:tc>
          <w:tcPr>
            <w:tcW w:w="2986" w:type="dxa"/>
            <w:gridSpan w:val="2"/>
            <w:tcBorders>
              <w:top w:val="nil"/>
            </w:tcBorders>
            <w:shd w:val="clear" w:color="auto" w:fill="auto"/>
          </w:tcPr>
          <w:p w14:paraId="5E9A7016" w14:textId="77777777" w:rsidR="008B7E19" w:rsidRPr="00CB7397" w:rsidRDefault="008B7E19" w:rsidP="008B7E19">
            <w:pPr>
              <w:pStyle w:val="08-Tabelageral"/>
              <w:jc w:val="left"/>
            </w:pPr>
            <w:r w:rsidRPr="00FE2DBE">
              <w:t>Selling expenses</w:t>
            </w:r>
            <w:r>
              <w:t xml:space="preserve"> </w:t>
            </w:r>
            <w:r w:rsidRPr="00323ECF">
              <w:rPr>
                <w:vertAlign w:val="superscript"/>
              </w:rPr>
              <w:t>(</w:t>
            </w:r>
            <w:r>
              <w:rPr>
                <w:vertAlign w:val="superscript"/>
              </w:rPr>
              <w:t>1</w:t>
            </w:r>
            <w:r w:rsidRPr="00323ECF">
              <w:rPr>
                <w:vertAlign w:val="superscript"/>
              </w:rPr>
              <w:t>)</w:t>
            </w:r>
          </w:p>
        </w:tc>
        <w:tc>
          <w:tcPr>
            <w:tcW w:w="417" w:type="dxa"/>
            <w:tcBorders>
              <w:top w:val="nil"/>
            </w:tcBorders>
            <w:shd w:val="clear" w:color="auto" w:fill="auto"/>
            <w:vAlign w:val="center"/>
          </w:tcPr>
          <w:p w14:paraId="65CADCDF" w14:textId="77777777" w:rsidR="008B7E19" w:rsidRPr="006468C2" w:rsidRDefault="008B7E19" w:rsidP="008B7E19">
            <w:pPr>
              <w:pStyle w:val="08-Tabelageral"/>
              <w:rPr>
                <w:rFonts w:cs="Arial"/>
                <w:szCs w:val="14"/>
              </w:rPr>
            </w:pPr>
          </w:p>
        </w:tc>
        <w:tc>
          <w:tcPr>
            <w:tcW w:w="1598" w:type="dxa"/>
            <w:gridSpan w:val="2"/>
            <w:tcBorders>
              <w:top w:val="nil"/>
            </w:tcBorders>
            <w:shd w:val="clear" w:color="auto" w:fill="auto"/>
          </w:tcPr>
          <w:p w14:paraId="328851E5" w14:textId="77777777" w:rsidR="008B7E19" w:rsidRPr="006468C2" w:rsidRDefault="008B7E19" w:rsidP="008B7E19">
            <w:pPr>
              <w:pStyle w:val="08-Tabelageral"/>
              <w:rPr>
                <w:rFonts w:cs="Arial"/>
                <w:szCs w:val="14"/>
              </w:rPr>
            </w:pPr>
            <w:r>
              <w:rPr>
                <w:rFonts w:cs="Arial"/>
                <w:szCs w:val="14"/>
              </w:rPr>
              <w:t>--</w:t>
            </w:r>
          </w:p>
        </w:tc>
        <w:tc>
          <w:tcPr>
            <w:tcW w:w="1412" w:type="dxa"/>
            <w:tcBorders>
              <w:top w:val="nil"/>
            </w:tcBorders>
            <w:shd w:val="clear" w:color="auto" w:fill="auto"/>
            <w:vAlign w:val="bottom"/>
          </w:tcPr>
          <w:p w14:paraId="32BA93D6" w14:textId="77777777" w:rsidR="008B7E19" w:rsidRPr="006468C2" w:rsidRDefault="008B7E19" w:rsidP="008B7E19">
            <w:pPr>
              <w:pStyle w:val="08-Tabelageral"/>
            </w:pPr>
            <w:r>
              <w:rPr>
                <w:rFonts w:cs="Arial"/>
                <w:color w:val="000000"/>
                <w:szCs w:val="14"/>
              </w:rPr>
              <w:t>--</w:t>
            </w:r>
          </w:p>
        </w:tc>
        <w:tc>
          <w:tcPr>
            <w:tcW w:w="251" w:type="dxa"/>
            <w:tcBorders>
              <w:top w:val="nil"/>
            </w:tcBorders>
            <w:shd w:val="clear" w:color="auto" w:fill="auto"/>
            <w:vAlign w:val="center"/>
          </w:tcPr>
          <w:p w14:paraId="3AC643D2" w14:textId="77777777" w:rsidR="008B7E19" w:rsidRPr="006468C2" w:rsidRDefault="008B7E19" w:rsidP="008B7E19">
            <w:pPr>
              <w:pStyle w:val="08-Tabelageral"/>
              <w:rPr>
                <w:rFonts w:cs="Arial"/>
                <w:szCs w:val="14"/>
              </w:rPr>
            </w:pPr>
          </w:p>
        </w:tc>
        <w:tc>
          <w:tcPr>
            <w:tcW w:w="1449" w:type="dxa"/>
            <w:gridSpan w:val="2"/>
            <w:tcBorders>
              <w:top w:val="nil"/>
            </w:tcBorders>
            <w:shd w:val="clear" w:color="auto" w:fill="auto"/>
          </w:tcPr>
          <w:p w14:paraId="6324A947" w14:textId="77777777" w:rsidR="008B7E19" w:rsidRPr="006468C2" w:rsidRDefault="008B7E19" w:rsidP="008B7E19">
            <w:pPr>
              <w:pStyle w:val="08-Tabelageral"/>
              <w:rPr>
                <w:rFonts w:cs="Arial"/>
                <w:szCs w:val="14"/>
              </w:rPr>
            </w:pPr>
            <w:r>
              <w:rPr>
                <w:rFonts w:cs="Arial"/>
                <w:szCs w:val="14"/>
              </w:rPr>
              <w:t>(</w:t>
            </w:r>
            <w:r w:rsidRPr="00BD78B1">
              <w:rPr>
                <w:rFonts w:cs="Arial"/>
                <w:szCs w:val="14"/>
              </w:rPr>
              <w:t>7</w:t>
            </w:r>
            <w:r>
              <w:rPr>
                <w:rFonts w:cs="Arial"/>
                <w:szCs w:val="14"/>
              </w:rPr>
              <w:t>,</w:t>
            </w:r>
            <w:r w:rsidRPr="00BD78B1">
              <w:rPr>
                <w:rFonts w:cs="Arial"/>
                <w:szCs w:val="14"/>
              </w:rPr>
              <w:t>546</w:t>
            </w:r>
            <w:r>
              <w:rPr>
                <w:rFonts w:cs="Arial"/>
                <w:szCs w:val="14"/>
              </w:rPr>
              <w:t>)</w:t>
            </w:r>
          </w:p>
        </w:tc>
        <w:tc>
          <w:tcPr>
            <w:tcW w:w="1526" w:type="dxa"/>
            <w:tcBorders>
              <w:top w:val="nil"/>
            </w:tcBorders>
            <w:shd w:val="clear" w:color="auto" w:fill="auto"/>
            <w:vAlign w:val="bottom"/>
          </w:tcPr>
          <w:p w14:paraId="107EE868" w14:textId="77777777" w:rsidR="008B7E19" w:rsidRPr="004078D0" w:rsidRDefault="008B7E19" w:rsidP="008B7E19">
            <w:pPr>
              <w:pStyle w:val="08-Tabelageral"/>
              <w:rPr>
                <w:rFonts w:cs="Arial"/>
                <w:szCs w:val="14"/>
              </w:rPr>
            </w:pPr>
            <w:r>
              <w:rPr>
                <w:rFonts w:cs="Arial"/>
                <w:color w:val="000000"/>
                <w:szCs w:val="14"/>
              </w:rPr>
              <w:t>(3,222)</w:t>
            </w:r>
          </w:p>
        </w:tc>
      </w:tr>
      <w:tr w:rsidR="008B7E19" w:rsidRPr="004078D0" w14:paraId="1DAB7EE6" w14:textId="77777777" w:rsidTr="008B7E19">
        <w:trPr>
          <w:trHeight w:val="238"/>
          <w:jc w:val="center"/>
        </w:trPr>
        <w:tc>
          <w:tcPr>
            <w:tcW w:w="2986" w:type="dxa"/>
            <w:gridSpan w:val="2"/>
            <w:tcBorders>
              <w:top w:val="nil"/>
            </w:tcBorders>
            <w:shd w:val="clear" w:color="auto" w:fill="auto"/>
          </w:tcPr>
          <w:p w14:paraId="62D1F1A6" w14:textId="77777777" w:rsidR="008B7E19" w:rsidRPr="00CB7397" w:rsidRDefault="008B7E19" w:rsidP="008B7E19">
            <w:pPr>
              <w:pStyle w:val="08-Tabelageral"/>
              <w:jc w:val="left"/>
            </w:pPr>
            <w:r w:rsidRPr="00CB7397">
              <w:t>Data processing</w:t>
            </w:r>
          </w:p>
        </w:tc>
        <w:tc>
          <w:tcPr>
            <w:tcW w:w="417" w:type="dxa"/>
            <w:tcBorders>
              <w:top w:val="nil"/>
            </w:tcBorders>
            <w:shd w:val="clear" w:color="auto" w:fill="auto"/>
            <w:vAlign w:val="center"/>
          </w:tcPr>
          <w:p w14:paraId="2B305887" w14:textId="77777777" w:rsidR="008B7E19" w:rsidRPr="006468C2" w:rsidRDefault="008B7E19" w:rsidP="008B7E19">
            <w:pPr>
              <w:pStyle w:val="08-Tabelageral"/>
              <w:rPr>
                <w:rFonts w:cs="Arial"/>
                <w:szCs w:val="14"/>
              </w:rPr>
            </w:pPr>
          </w:p>
        </w:tc>
        <w:tc>
          <w:tcPr>
            <w:tcW w:w="1598" w:type="dxa"/>
            <w:gridSpan w:val="2"/>
            <w:tcBorders>
              <w:top w:val="nil"/>
            </w:tcBorders>
            <w:shd w:val="clear" w:color="auto" w:fill="auto"/>
          </w:tcPr>
          <w:p w14:paraId="78C10A1B" w14:textId="77777777" w:rsidR="008B7E19" w:rsidRPr="006468C2" w:rsidRDefault="008B7E19" w:rsidP="008B7E19">
            <w:pPr>
              <w:pStyle w:val="08-Tabelageral"/>
              <w:rPr>
                <w:rFonts w:cs="Arial"/>
                <w:szCs w:val="14"/>
              </w:rPr>
            </w:pPr>
            <w:r w:rsidRPr="00BD78B1">
              <w:rPr>
                <w:rFonts w:cs="Arial"/>
                <w:szCs w:val="14"/>
              </w:rPr>
              <w:t>(342)</w:t>
            </w:r>
          </w:p>
        </w:tc>
        <w:tc>
          <w:tcPr>
            <w:tcW w:w="1412" w:type="dxa"/>
            <w:tcBorders>
              <w:top w:val="nil"/>
            </w:tcBorders>
            <w:shd w:val="clear" w:color="auto" w:fill="auto"/>
            <w:vAlign w:val="bottom"/>
          </w:tcPr>
          <w:p w14:paraId="20ADB090" w14:textId="77777777" w:rsidR="008B7E19" w:rsidRPr="006468C2" w:rsidRDefault="008B7E19" w:rsidP="008B7E19">
            <w:pPr>
              <w:pStyle w:val="08-Tabelageral"/>
            </w:pPr>
            <w:r>
              <w:rPr>
                <w:rFonts w:cs="Arial"/>
                <w:color w:val="000000"/>
                <w:szCs w:val="14"/>
              </w:rPr>
              <w:t>(313)</w:t>
            </w:r>
          </w:p>
        </w:tc>
        <w:tc>
          <w:tcPr>
            <w:tcW w:w="251" w:type="dxa"/>
            <w:tcBorders>
              <w:top w:val="nil"/>
            </w:tcBorders>
            <w:shd w:val="clear" w:color="auto" w:fill="auto"/>
            <w:vAlign w:val="center"/>
          </w:tcPr>
          <w:p w14:paraId="425B3671" w14:textId="77777777" w:rsidR="008B7E19" w:rsidRPr="006468C2" w:rsidRDefault="008B7E19" w:rsidP="008B7E19">
            <w:pPr>
              <w:pStyle w:val="08-Tabelageral"/>
              <w:rPr>
                <w:rFonts w:cs="Arial"/>
                <w:szCs w:val="14"/>
              </w:rPr>
            </w:pPr>
          </w:p>
        </w:tc>
        <w:tc>
          <w:tcPr>
            <w:tcW w:w="1449" w:type="dxa"/>
            <w:gridSpan w:val="2"/>
            <w:tcBorders>
              <w:top w:val="nil"/>
            </w:tcBorders>
            <w:shd w:val="clear" w:color="auto" w:fill="auto"/>
          </w:tcPr>
          <w:p w14:paraId="40445462" w14:textId="77777777" w:rsidR="008B7E19" w:rsidRPr="006468C2" w:rsidRDefault="008B7E19" w:rsidP="008B7E19">
            <w:pPr>
              <w:pStyle w:val="08-Tabelageral"/>
              <w:rPr>
                <w:rFonts w:cs="Arial"/>
                <w:szCs w:val="14"/>
              </w:rPr>
            </w:pPr>
            <w:r w:rsidRPr="00BD78B1">
              <w:rPr>
                <w:rFonts w:cs="Arial"/>
                <w:szCs w:val="14"/>
              </w:rPr>
              <w:t>(5</w:t>
            </w:r>
            <w:r>
              <w:rPr>
                <w:rFonts w:cs="Arial"/>
                <w:szCs w:val="14"/>
              </w:rPr>
              <w:t>,</w:t>
            </w:r>
            <w:r w:rsidRPr="00BD78B1">
              <w:rPr>
                <w:rFonts w:cs="Arial"/>
                <w:szCs w:val="14"/>
              </w:rPr>
              <w:t>463)</w:t>
            </w:r>
          </w:p>
        </w:tc>
        <w:tc>
          <w:tcPr>
            <w:tcW w:w="1526" w:type="dxa"/>
            <w:tcBorders>
              <w:top w:val="nil"/>
            </w:tcBorders>
            <w:shd w:val="clear" w:color="auto" w:fill="auto"/>
            <w:vAlign w:val="bottom"/>
          </w:tcPr>
          <w:p w14:paraId="18660A72" w14:textId="77777777" w:rsidR="008B7E19" w:rsidRPr="004078D0" w:rsidRDefault="008B7E19" w:rsidP="008B7E19">
            <w:pPr>
              <w:pStyle w:val="08-Tabelageral"/>
              <w:rPr>
                <w:rFonts w:cs="Arial"/>
                <w:szCs w:val="14"/>
              </w:rPr>
            </w:pPr>
            <w:r>
              <w:rPr>
                <w:rFonts w:cs="Arial"/>
                <w:color w:val="000000"/>
                <w:szCs w:val="14"/>
              </w:rPr>
              <w:t>(3,068)</w:t>
            </w:r>
          </w:p>
        </w:tc>
      </w:tr>
      <w:tr w:rsidR="008B7E19" w:rsidRPr="004078D0" w14:paraId="673109E8" w14:textId="77777777" w:rsidTr="008B7E19">
        <w:trPr>
          <w:trHeight w:val="238"/>
          <w:jc w:val="center"/>
        </w:trPr>
        <w:tc>
          <w:tcPr>
            <w:tcW w:w="2986" w:type="dxa"/>
            <w:gridSpan w:val="2"/>
            <w:tcBorders>
              <w:top w:val="nil"/>
            </w:tcBorders>
            <w:shd w:val="clear" w:color="auto" w:fill="auto"/>
          </w:tcPr>
          <w:p w14:paraId="572FFBF8" w14:textId="77777777" w:rsidR="008B7E19" w:rsidRPr="00CB7397" w:rsidRDefault="008B7E19" w:rsidP="008B7E19">
            <w:pPr>
              <w:pStyle w:val="08-Tabelageral"/>
              <w:jc w:val="left"/>
            </w:pPr>
            <w:r w:rsidRPr="00C009BA">
              <w:t>Rent expenses and condominium fee</w:t>
            </w:r>
          </w:p>
        </w:tc>
        <w:tc>
          <w:tcPr>
            <w:tcW w:w="417" w:type="dxa"/>
            <w:tcBorders>
              <w:top w:val="nil"/>
            </w:tcBorders>
            <w:shd w:val="clear" w:color="auto" w:fill="auto"/>
            <w:vAlign w:val="center"/>
          </w:tcPr>
          <w:p w14:paraId="66E23EB2" w14:textId="77777777" w:rsidR="008B7E19" w:rsidRPr="006468C2" w:rsidRDefault="008B7E19" w:rsidP="008B7E19">
            <w:pPr>
              <w:pStyle w:val="08-Tabelageral"/>
              <w:rPr>
                <w:rFonts w:cs="Arial"/>
                <w:szCs w:val="14"/>
              </w:rPr>
            </w:pPr>
          </w:p>
        </w:tc>
        <w:tc>
          <w:tcPr>
            <w:tcW w:w="1598" w:type="dxa"/>
            <w:gridSpan w:val="2"/>
            <w:tcBorders>
              <w:top w:val="nil"/>
            </w:tcBorders>
            <w:shd w:val="clear" w:color="auto" w:fill="auto"/>
          </w:tcPr>
          <w:p w14:paraId="108C1832" w14:textId="77777777" w:rsidR="008B7E19" w:rsidRPr="006468C2" w:rsidRDefault="008B7E19" w:rsidP="008B7E19">
            <w:pPr>
              <w:pStyle w:val="08-Tabelageral"/>
              <w:rPr>
                <w:rFonts w:cs="Arial"/>
                <w:szCs w:val="14"/>
              </w:rPr>
            </w:pPr>
            <w:r w:rsidRPr="00BD78B1">
              <w:rPr>
                <w:rFonts w:cs="Arial"/>
                <w:szCs w:val="14"/>
              </w:rPr>
              <w:t>(595)</w:t>
            </w:r>
          </w:p>
        </w:tc>
        <w:tc>
          <w:tcPr>
            <w:tcW w:w="1412" w:type="dxa"/>
            <w:tcBorders>
              <w:top w:val="nil"/>
            </w:tcBorders>
            <w:shd w:val="clear" w:color="auto" w:fill="auto"/>
            <w:vAlign w:val="bottom"/>
          </w:tcPr>
          <w:p w14:paraId="6988EE5C" w14:textId="77777777" w:rsidR="008B7E19" w:rsidRPr="006468C2" w:rsidRDefault="008B7E19" w:rsidP="008B7E19">
            <w:pPr>
              <w:pStyle w:val="08-Tabelageral"/>
            </w:pPr>
            <w:r>
              <w:rPr>
                <w:rFonts w:cs="Arial"/>
                <w:color w:val="000000"/>
                <w:szCs w:val="14"/>
              </w:rPr>
              <w:t>(627)</w:t>
            </w:r>
          </w:p>
        </w:tc>
        <w:tc>
          <w:tcPr>
            <w:tcW w:w="251" w:type="dxa"/>
            <w:tcBorders>
              <w:top w:val="nil"/>
            </w:tcBorders>
            <w:shd w:val="clear" w:color="auto" w:fill="auto"/>
            <w:vAlign w:val="center"/>
          </w:tcPr>
          <w:p w14:paraId="452D221A" w14:textId="77777777" w:rsidR="008B7E19" w:rsidRPr="006468C2" w:rsidRDefault="008B7E19" w:rsidP="008B7E19">
            <w:pPr>
              <w:pStyle w:val="08-Tabelageral"/>
              <w:rPr>
                <w:rFonts w:cs="Arial"/>
                <w:szCs w:val="14"/>
              </w:rPr>
            </w:pPr>
          </w:p>
        </w:tc>
        <w:tc>
          <w:tcPr>
            <w:tcW w:w="1449" w:type="dxa"/>
            <w:gridSpan w:val="2"/>
            <w:tcBorders>
              <w:top w:val="nil"/>
            </w:tcBorders>
            <w:shd w:val="clear" w:color="auto" w:fill="auto"/>
          </w:tcPr>
          <w:p w14:paraId="6F8221C0" w14:textId="77777777" w:rsidR="008B7E19" w:rsidRPr="006468C2" w:rsidRDefault="008B7E19" w:rsidP="008B7E19">
            <w:pPr>
              <w:pStyle w:val="08-Tabelageral"/>
              <w:rPr>
                <w:rFonts w:cs="Arial"/>
                <w:szCs w:val="14"/>
              </w:rPr>
            </w:pPr>
            <w:r w:rsidRPr="00BD78B1">
              <w:rPr>
                <w:rFonts w:cs="Arial"/>
                <w:szCs w:val="14"/>
              </w:rPr>
              <w:t>(2</w:t>
            </w:r>
            <w:r>
              <w:rPr>
                <w:rFonts w:cs="Arial"/>
                <w:szCs w:val="14"/>
              </w:rPr>
              <w:t>,</w:t>
            </w:r>
            <w:r w:rsidRPr="00BD78B1">
              <w:rPr>
                <w:rFonts w:cs="Arial"/>
                <w:szCs w:val="14"/>
              </w:rPr>
              <w:t>693)</w:t>
            </w:r>
          </w:p>
        </w:tc>
        <w:tc>
          <w:tcPr>
            <w:tcW w:w="1526" w:type="dxa"/>
            <w:tcBorders>
              <w:top w:val="nil"/>
            </w:tcBorders>
            <w:shd w:val="clear" w:color="auto" w:fill="auto"/>
            <w:vAlign w:val="bottom"/>
          </w:tcPr>
          <w:p w14:paraId="6E55A893" w14:textId="77777777" w:rsidR="008B7E19" w:rsidRPr="004078D0" w:rsidRDefault="008B7E19" w:rsidP="008B7E19">
            <w:pPr>
              <w:pStyle w:val="08-Tabelageral"/>
              <w:rPr>
                <w:rFonts w:cs="Arial"/>
                <w:szCs w:val="14"/>
              </w:rPr>
            </w:pPr>
            <w:r>
              <w:rPr>
                <w:rFonts w:cs="Arial"/>
                <w:color w:val="000000"/>
                <w:szCs w:val="14"/>
              </w:rPr>
              <w:t>(2,635)</w:t>
            </w:r>
          </w:p>
        </w:tc>
      </w:tr>
      <w:tr w:rsidR="008B7E19" w:rsidRPr="004078D0" w14:paraId="4B82B32B" w14:textId="77777777" w:rsidTr="008B7E19">
        <w:trPr>
          <w:trHeight w:val="238"/>
          <w:jc w:val="center"/>
        </w:trPr>
        <w:tc>
          <w:tcPr>
            <w:tcW w:w="2986" w:type="dxa"/>
            <w:gridSpan w:val="2"/>
            <w:tcBorders>
              <w:top w:val="nil"/>
            </w:tcBorders>
            <w:shd w:val="clear" w:color="auto" w:fill="auto"/>
          </w:tcPr>
          <w:p w14:paraId="5F5608E2" w14:textId="77777777" w:rsidR="008B7E19" w:rsidRPr="00CB7397" w:rsidRDefault="008B7E19" w:rsidP="008B7E19">
            <w:pPr>
              <w:pStyle w:val="08-Tabelageral"/>
              <w:jc w:val="left"/>
            </w:pPr>
            <w:r w:rsidRPr="003B51B0">
              <w:t>Specialized technical services</w:t>
            </w:r>
          </w:p>
        </w:tc>
        <w:tc>
          <w:tcPr>
            <w:tcW w:w="417" w:type="dxa"/>
            <w:tcBorders>
              <w:top w:val="nil"/>
            </w:tcBorders>
            <w:shd w:val="clear" w:color="auto" w:fill="auto"/>
            <w:vAlign w:val="center"/>
          </w:tcPr>
          <w:p w14:paraId="029FACC2" w14:textId="77777777" w:rsidR="008B7E19" w:rsidRPr="006468C2" w:rsidRDefault="008B7E19" w:rsidP="008B7E19">
            <w:pPr>
              <w:pStyle w:val="08-Tabelageral"/>
              <w:rPr>
                <w:rFonts w:cs="Arial"/>
                <w:szCs w:val="14"/>
              </w:rPr>
            </w:pPr>
          </w:p>
        </w:tc>
        <w:tc>
          <w:tcPr>
            <w:tcW w:w="1598" w:type="dxa"/>
            <w:gridSpan w:val="2"/>
            <w:tcBorders>
              <w:top w:val="nil"/>
            </w:tcBorders>
            <w:shd w:val="clear" w:color="auto" w:fill="auto"/>
          </w:tcPr>
          <w:p w14:paraId="42B33C1C" w14:textId="77777777" w:rsidR="008B7E19" w:rsidRPr="006468C2" w:rsidRDefault="008B7E19" w:rsidP="008B7E19">
            <w:pPr>
              <w:pStyle w:val="08-Tabelageral"/>
              <w:rPr>
                <w:rFonts w:cs="Arial"/>
                <w:szCs w:val="14"/>
              </w:rPr>
            </w:pPr>
            <w:r w:rsidRPr="00BD78B1">
              <w:rPr>
                <w:rFonts w:cs="Arial"/>
                <w:szCs w:val="14"/>
              </w:rPr>
              <w:t>(487)</w:t>
            </w:r>
          </w:p>
        </w:tc>
        <w:tc>
          <w:tcPr>
            <w:tcW w:w="1412" w:type="dxa"/>
            <w:tcBorders>
              <w:top w:val="nil"/>
            </w:tcBorders>
            <w:shd w:val="clear" w:color="auto" w:fill="auto"/>
            <w:vAlign w:val="bottom"/>
          </w:tcPr>
          <w:p w14:paraId="7115C966" w14:textId="77777777" w:rsidR="008B7E19" w:rsidRPr="006468C2" w:rsidRDefault="008B7E19" w:rsidP="008B7E19">
            <w:pPr>
              <w:pStyle w:val="08-Tabelageral"/>
            </w:pPr>
            <w:r>
              <w:rPr>
                <w:rFonts w:cs="Arial"/>
                <w:color w:val="000000"/>
                <w:szCs w:val="14"/>
              </w:rPr>
              <w:t>(350)</w:t>
            </w:r>
          </w:p>
        </w:tc>
        <w:tc>
          <w:tcPr>
            <w:tcW w:w="251" w:type="dxa"/>
            <w:tcBorders>
              <w:top w:val="nil"/>
            </w:tcBorders>
            <w:shd w:val="clear" w:color="auto" w:fill="auto"/>
            <w:vAlign w:val="center"/>
          </w:tcPr>
          <w:p w14:paraId="6BDC4CFB" w14:textId="77777777" w:rsidR="008B7E19" w:rsidRPr="006468C2" w:rsidRDefault="008B7E19" w:rsidP="008B7E19">
            <w:pPr>
              <w:pStyle w:val="08-Tabelageral"/>
              <w:rPr>
                <w:rFonts w:cs="Arial"/>
                <w:szCs w:val="14"/>
              </w:rPr>
            </w:pPr>
          </w:p>
        </w:tc>
        <w:tc>
          <w:tcPr>
            <w:tcW w:w="1449" w:type="dxa"/>
            <w:gridSpan w:val="2"/>
            <w:tcBorders>
              <w:top w:val="nil"/>
            </w:tcBorders>
            <w:shd w:val="clear" w:color="auto" w:fill="auto"/>
          </w:tcPr>
          <w:p w14:paraId="7D822DFE" w14:textId="77777777" w:rsidR="008B7E19" w:rsidRPr="006468C2" w:rsidRDefault="008B7E19" w:rsidP="008B7E19">
            <w:pPr>
              <w:pStyle w:val="08-Tabelageral"/>
              <w:rPr>
                <w:rFonts w:cs="Arial"/>
                <w:szCs w:val="14"/>
              </w:rPr>
            </w:pPr>
            <w:r w:rsidRPr="00BD78B1">
              <w:rPr>
                <w:rFonts w:cs="Arial"/>
                <w:szCs w:val="14"/>
              </w:rPr>
              <w:t>(2</w:t>
            </w:r>
            <w:r>
              <w:rPr>
                <w:rFonts w:cs="Arial"/>
                <w:szCs w:val="14"/>
              </w:rPr>
              <w:t>,</w:t>
            </w:r>
            <w:r w:rsidRPr="00BD78B1">
              <w:rPr>
                <w:rFonts w:cs="Arial"/>
                <w:szCs w:val="14"/>
              </w:rPr>
              <w:t>146)</w:t>
            </w:r>
          </w:p>
        </w:tc>
        <w:tc>
          <w:tcPr>
            <w:tcW w:w="1526" w:type="dxa"/>
            <w:tcBorders>
              <w:top w:val="nil"/>
            </w:tcBorders>
            <w:shd w:val="clear" w:color="auto" w:fill="auto"/>
            <w:vAlign w:val="bottom"/>
          </w:tcPr>
          <w:p w14:paraId="062B705F" w14:textId="77777777" w:rsidR="008B7E19" w:rsidRPr="004078D0" w:rsidRDefault="008B7E19" w:rsidP="008B7E19">
            <w:pPr>
              <w:pStyle w:val="08-Tabelageral"/>
              <w:rPr>
                <w:rFonts w:cs="Arial"/>
                <w:szCs w:val="14"/>
              </w:rPr>
            </w:pPr>
            <w:r>
              <w:rPr>
                <w:rFonts w:cs="Arial"/>
                <w:color w:val="000000"/>
                <w:szCs w:val="14"/>
              </w:rPr>
              <w:t>(1,629)</w:t>
            </w:r>
          </w:p>
        </w:tc>
      </w:tr>
      <w:tr w:rsidR="008B7E19" w:rsidRPr="004078D0" w14:paraId="097000B0" w14:textId="77777777" w:rsidTr="008B7E19">
        <w:trPr>
          <w:trHeight w:val="238"/>
          <w:jc w:val="center"/>
        </w:trPr>
        <w:tc>
          <w:tcPr>
            <w:tcW w:w="2986" w:type="dxa"/>
            <w:gridSpan w:val="2"/>
            <w:tcBorders>
              <w:top w:val="nil"/>
            </w:tcBorders>
            <w:shd w:val="clear" w:color="auto" w:fill="auto"/>
          </w:tcPr>
          <w:p w14:paraId="70205D79" w14:textId="77777777" w:rsidR="008B7E19" w:rsidRPr="00CB7397" w:rsidRDefault="008B7E19" w:rsidP="008B7E19">
            <w:pPr>
              <w:pStyle w:val="08-Tabelageral"/>
              <w:jc w:val="left"/>
            </w:pPr>
            <w:r w:rsidRPr="003B51B0">
              <w:t>Costs communicating</w:t>
            </w:r>
          </w:p>
        </w:tc>
        <w:tc>
          <w:tcPr>
            <w:tcW w:w="417" w:type="dxa"/>
            <w:tcBorders>
              <w:top w:val="nil"/>
            </w:tcBorders>
            <w:shd w:val="clear" w:color="auto" w:fill="auto"/>
            <w:vAlign w:val="center"/>
          </w:tcPr>
          <w:p w14:paraId="24AED788" w14:textId="77777777" w:rsidR="008B7E19" w:rsidRPr="006468C2" w:rsidRDefault="008B7E19" w:rsidP="008B7E19">
            <w:pPr>
              <w:pStyle w:val="08-Tabelageral"/>
              <w:rPr>
                <w:rFonts w:cs="Arial"/>
                <w:szCs w:val="14"/>
              </w:rPr>
            </w:pPr>
          </w:p>
        </w:tc>
        <w:tc>
          <w:tcPr>
            <w:tcW w:w="1598" w:type="dxa"/>
            <w:gridSpan w:val="2"/>
            <w:tcBorders>
              <w:top w:val="nil"/>
            </w:tcBorders>
            <w:shd w:val="clear" w:color="auto" w:fill="auto"/>
          </w:tcPr>
          <w:p w14:paraId="628F3786" w14:textId="77777777" w:rsidR="008B7E19" w:rsidRPr="006468C2" w:rsidRDefault="008B7E19" w:rsidP="008B7E19">
            <w:pPr>
              <w:pStyle w:val="08-Tabelageral"/>
              <w:rPr>
                <w:rFonts w:cs="Arial"/>
                <w:szCs w:val="14"/>
              </w:rPr>
            </w:pPr>
            <w:r w:rsidRPr="00BD78B1">
              <w:rPr>
                <w:rFonts w:cs="Arial"/>
                <w:szCs w:val="14"/>
              </w:rPr>
              <w:t>(31)</w:t>
            </w:r>
          </w:p>
        </w:tc>
        <w:tc>
          <w:tcPr>
            <w:tcW w:w="1412" w:type="dxa"/>
            <w:tcBorders>
              <w:top w:val="nil"/>
            </w:tcBorders>
            <w:shd w:val="clear" w:color="auto" w:fill="auto"/>
            <w:vAlign w:val="bottom"/>
          </w:tcPr>
          <w:p w14:paraId="2B51F595" w14:textId="77777777" w:rsidR="008B7E19" w:rsidRPr="006468C2" w:rsidRDefault="008B7E19" w:rsidP="008B7E19">
            <w:pPr>
              <w:pStyle w:val="08-Tabelageral"/>
            </w:pPr>
            <w:r>
              <w:rPr>
                <w:rFonts w:cs="Arial"/>
                <w:color w:val="000000"/>
                <w:szCs w:val="14"/>
              </w:rPr>
              <w:t>(549)</w:t>
            </w:r>
          </w:p>
        </w:tc>
        <w:tc>
          <w:tcPr>
            <w:tcW w:w="251" w:type="dxa"/>
            <w:tcBorders>
              <w:top w:val="nil"/>
            </w:tcBorders>
            <w:shd w:val="clear" w:color="auto" w:fill="auto"/>
            <w:vAlign w:val="center"/>
          </w:tcPr>
          <w:p w14:paraId="0247302C" w14:textId="77777777" w:rsidR="008B7E19" w:rsidRPr="006468C2" w:rsidRDefault="008B7E19" w:rsidP="008B7E19">
            <w:pPr>
              <w:pStyle w:val="08-Tabelageral"/>
              <w:rPr>
                <w:rFonts w:cs="Arial"/>
                <w:szCs w:val="14"/>
              </w:rPr>
            </w:pPr>
          </w:p>
        </w:tc>
        <w:tc>
          <w:tcPr>
            <w:tcW w:w="1449" w:type="dxa"/>
            <w:gridSpan w:val="2"/>
            <w:tcBorders>
              <w:top w:val="nil"/>
            </w:tcBorders>
            <w:shd w:val="clear" w:color="auto" w:fill="auto"/>
          </w:tcPr>
          <w:p w14:paraId="000FAFB3" w14:textId="77777777" w:rsidR="008B7E19" w:rsidRPr="006468C2" w:rsidRDefault="008B7E19" w:rsidP="008B7E19">
            <w:pPr>
              <w:pStyle w:val="08-Tabelageral"/>
              <w:rPr>
                <w:rFonts w:cs="Arial"/>
                <w:szCs w:val="14"/>
              </w:rPr>
            </w:pPr>
            <w:r w:rsidRPr="00BD78B1">
              <w:rPr>
                <w:rFonts w:cs="Arial"/>
                <w:szCs w:val="14"/>
              </w:rPr>
              <w:t>(183)</w:t>
            </w:r>
          </w:p>
        </w:tc>
        <w:tc>
          <w:tcPr>
            <w:tcW w:w="1526" w:type="dxa"/>
            <w:tcBorders>
              <w:top w:val="nil"/>
            </w:tcBorders>
            <w:shd w:val="clear" w:color="auto" w:fill="auto"/>
            <w:vAlign w:val="bottom"/>
          </w:tcPr>
          <w:p w14:paraId="74D423D8" w14:textId="77777777" w:rsidR="008B7E19" w:rsidRPr="004078D0" w:rsidRDefault="008B7E19" w:rsidP="008B7E19">
            <w:pPr>
              <w:pStyle w:val="08-Tabelageral"/>
              <w:rPr>
                <w:rFonts w:cs="Arial"/>
                <w:szCs w:val="14"/>
              </w:rPr>
            </w:pPr>
            <w:r>
              <w:rPr>
                <w:rFonts w:cs="Arial"/>
                <w:color w:val="000000"/>
                <w:szCs w:val="14"/>
              </w:rPr>
              <w:t>(696)</w:t>
            </w:r>
          </w:p>
        </w:tc>
      </w:tr>
      <w:tr w:rsidR="008B7E19" w:rsidRPr="004078D0" w14:paraId="1579FA5C" w14:textId="77777777" w:rsidTr="008B7E19">
        <w:trPr>
          <w:trHeight w:val="238"/>
          <w:jc w:val="center"/>
        </w:trPr>
        <w:tc>
          <w:tcPr>
            <w:tcW w:w="2986" w:type="dxa"/>
            <w:gridSpan w:val="2"/>
            <w:tcBorders>
              <w:top w:val="nil"/>
            </w:tcBorders>
            <w:shd w:val="clear" w:color="auto" w:fill="auto"/>
          </w:tcPr>
          <w:p w14:paraId="28D72626" w14:textId="77777777" w:rsidR="008B7E19" w:rsidRPr="00CB7397" w:rsidRDefault="008B7E19" w:rsidP="008B7E19">
            <w:pPr>
              <w:pStyle w:val="08-Tabelageral"/>
              <w:jc w:val="left"/>
            </w:pPr>
            <w:r>
              <w:t>P</w:t>
            </w:r>
            <w:r w:rsidRPr="00EF06D4">
              <w:t>ublications</w:t>
            </w:r>
          </w:p>
        </w:tc>
        <w:tc>
          <w:tcPr>
            <w:tcW w:w="417" w:type="dxa"/>
            <w:tcBorders>
              <w:top w:val="nil"/>
            </w:tcBorders>
            <w:shd w:val="clear" w:color="auto" w:fill="auto"/>
            <w:vAlign w:val="center"/>
          </w:tcPr>
          <w:p w14:paraId="60DF3AD9" w14:textId="77777777" w:rsidR="008B7E19" w:rsidRPr="006468C2" w:rsidRDefault="008B7E19" w:rsidP="008B7E19">
            <w:pPr>
              <w:pStyle w:val="08-Tabelageral"/>
              <w:rPr>
                <w:rFonts w:cs="Arial"/>
                <w:szCs w:val="14"/>
              </w:rPr>
            </w:pPr>
          </w:p>
        </w:tc>
        <w:tc>
          <w:tcPr>
            <w:tcW w:w="1598" w:type="dxa"/>
            <w:gridSpan w:val="2"/>
            <w:tcBorders>
              <w:top w:val="nil"/>
            </w:tcBorders>
            <w:shd w:val="clear" w:color="auto" w:fill="auto"/>
          </w:tcPr>
          <w:p w14:paraId="6EE175C3" w14:textId="77777777" w:rsidR="008B7E19" w:rsidRPr="006468C2" w:rsidRDefault="008B7E19" w:rsidP="008B7E19">
            <w:pPr>
              <w:pStyle w:val="08-Tabelageral"/>
              <w:rPr>
                <w:rFonts w:cs="Arial"/>
                <w:szCs w:val="14"/>
              </w:rPr>
            </w:pPr>
            <w:r w:rsidRPr="00BD78B1">
              <w:rPr>
                <w:rFonts w:cs="Arial"/>
                <w:szCs w:val="14"/>
              </w:rPr>
              <w:t>(61)</w:t>
            </w:r>
          </w:p>
        </w:tc>
        <w:tc>
          <w:tcPr>
            <w:tcW w:w="1412" w:type="dxa"/>
            <w:tcBorders>
              <w:top w:val="nil"/>
            </w:tcBorders>
            <w:shd w:val="clear" w:color="auto" w:fill="auto"/>
            <w:vAlign w:val="bottom"/>
          </w:tcPr>
          <w:p w14:paraId="5A6FBF5C" w14:textId="77777777" w:rsidR="008B7E19" w:rsidRPr="006468C2" w:rsidRDefault="008B7E19" w:rsidP="008B7E19">
            <w:pPr>
              <w:pStyle w:val="08-Tabelageral"/>
            </w:pPr>
            <w:r>
              <w:rPr>
                <w:rFonts w:cs="Arial"/>
                <w:color w:val="000000"/>
                <w:szCs w:val="14"/>
              </w:rPr>
              <w:t>(81)</w:t>
            </w:r>
          </w:p>
        </w:tc>
        <w:tc>
          <w:tcPr>
            <w:tcW w:w="251" w:type="dxa"/>
            <w:tcBorders>
              <w:top w:val="nil"/>
            </w:tcBorders>
            <w:shd w:val="clear" w:color="auto" w:fill="auto"/>
            <w:vAlign w:val="center"/>
          </w:tcPr>
          <w:p w14:paraId="0C0D20A4" w14:textId="77777777" w:rsidR="008B7E19" w:rsidRPr="006468C2" w:rsidRDefault="008B7E19" w:rsidP="008B7E19">
            <w:pPr>
              <w:pStyle w:val="08-Tabelageral"/>
              <w:rPr>
                <w:rFonts w:cs="Arial"/>
                <w:szCs w:val="14"/>
              </w:rPr>
            </w:pPr>
          </w:p>
        </w:tc>
        <w:tc>
          <w:tcPr>
            <w:tcW w:w="1449" w:type="dxa"/>
            <w:gridSpan w:val="2"/>
            <w:tcBorders>
              <w:top w:val="nil"/>
            </w:tcBorders>
            <w:shd w:val="clear" w:color="auto" w:fill="auto"/>
          </w:tcPr>
          <w:p w14:paraId="6EA9DC7D" w14:textId="77777777" w:rsidR="008B7E19" w:rsidRPr="006468C2" w:rsidRDefault="008B7E19" w:rsidP="008B7E19">
            <w:pPr>
              <w:pStyle w:val="08-Tabelageral"/>
              <w:rPr>
                <w:rFonts w:cs="Arial"/>
                <w:szCs w:val="14"/>
              </w:rPr>
            </w:pPr>
            <w:r w:rsidRPr="00BD78B1">
              <w:rPr>
                <w:rFonts w:cs="Arial"/>
                <w:szCs w:val="14"/>
              </w:rPr>
              <w:t>(474)</w:t>
            </w:r>
          </w:p>
        </w:tc>
        <w:tc>
          <w:tcPr>
            <w:tcW w:w="1526" w:type="dxa"/>
            <w:tcBorders>
              <w:top w:val="nil"/>
            </w:tcBorders>
            <w:shd w:val="clear" w:color="auto" w:fill="auto"/>
            <w:vAlign w:val="bottom"/>
          </w:tcPr>
          <w:p w14:paraId="057C87FF" w14:textId="77777777" w:rsidR="008B7E19" w:rsidRPr="004078D0" w:rsidRDefault="008B7E19" w:rsidP="008B7E19">
            <w:pPr>
              <w:pStyle w:val="08-Tabelageral"/>
              <w:rPr>
                <w:rFonts w:cs="Arial"/>
                <w:szCs w:val="14"/>
              </w:rPr>
            </w:pPr>
            <w:r>
              <w:rPr>
                <w:rFonts w:cs="Arial"/>
                <w:color w:val="000000"/>
                <w:szCs w:val="14"/>
              </w:rPr>
              <w:t>(665)</w:t>
            </w:r>
          </w:p>
        </w:tc>
      </w:tr>
      <w:tr w:rsidR="008B7E19" w:rsidRPr="004078D0" w14:paraId="3A0A39A9" w14:textId="77777777" w:rsidTr="008B7E19">
        <w:trPr>
          <w:trHeight w:val="238"/>
          <w:jc w:val="center"/>
        </w:trPr>
        <w:tc>
          <w:tcPr>
            <w:tcW w:w="2986" w:type="dxa"/>
            <w:gridSpan w:val="2"/>
            <w:tcBorders>
              <w:top w:val="nil"/>
            </w:tcBorders>
            <w:shd w:val="clear" w:color="auto" w:fill="auto"/>
          </w:tcPr>
          <w:p w14:paraId="03866228" w14:textId="77777777" w:rsidR="008B7E19" w:rsidRPr="00CB7397" w:rsidRDefault="008B7E19" w:rsidP="008B7E19">
            <w:pPr>
              <w:pStyle w:val="08-Tabelageral"/>
              <w:jc w:val="left"/>
            </w:pPr>
            <w:r>
              <w:t>P</w:t>
            </w:r>
            <w:r w:rsidRPr="001D577F">
              <w:t>romotions and public relations</w:t>
            </w:r>
          </w:p>
        </w:tc>
        <w:tc>
          <w:tcPr>
            <w:tcW w:w="417" w:type="dxa"/>
            <w:tcBorders>
              <w:top w:val="nil"/>
            </w:tcBorders>
            <w:shd w:val="clear" w:color="auto" w:fill="auto"/>
            <w:vAlign w:val="center"/>
          </w:tcPr>
          <w:p w14:paraId="55705DFD" w14:textId="77777777" w:rsidR="008B7E19" w:rsidRPr="006468C2" w:rsidRDefault="008B7E19" w:rsidP="008B7E19">
            <w:pPr>
              <w:pStyle w:val="08-Tabelageral"/>
              <w:rPr>
                <w:rFonts w:cs="Arial"/>
                <w:szCs w:val="14"/>
              </w:rPr>
            </w:pPr>
          </w:p>
        </w:tc>
        <w:tc>
          <w:tcPr>
            <w:tcW w:w="1598" w:type="dxa"/>
            <w:gridSpan w:val="2"/>
            <w:tcBorders>
              <w:top w:val="nil"/>
            </w:tcBorders>
            <w:shd w:val="clear" w:color="auto" w:fill="auto"/>
            <w:vAlign w:val="bottom"/>
          </w:tcPr>
          <w:p w14:paraId="52D29B5C" w14:textId="77777777" w:rsidR="008B7E19" w:rsidRPr="006468C2" w:rsidRDefault="008B7E19" w:rsidP="008B7E19">
            <w:pPr>
              <w:pStyle w:val="08-Tabelageral"/>
              <w:rPr>
                <w:rFonts w:cs="Arial"/>
                <w:szCs w:val="14"/>
              </w:rPr>
            </w:pPr>
            <w:r>
              <w:rPr>
                <w:rFonts w:cs="Arial"/>
                <w:color w:val="000000"/>
                <w:szCs w:val="14"/>
              </w:rPr>
              <w:t>(18)</w:t>
            </w:r>
          </w:p>
        </w:tc>
        <w:tc>
          <w:tcPr>
            <w:tcW w:w="1412" w:type="dxa"/>
            <w:tcBorders>
              <w:top w:val="nil"/>
            </w:tcBorders>
            <w:shd w:val="clear" w:color="auto" w:fill="auto"/>
            <w:vAlign w:val="bottom"/>
          </w:tcPr>
          <w:p w14:paraId="749EFA33" w14:textId="77777777" w:rsidR="008B7E19" w:rsidRPr="006468C2" w:rsidRDefault="008B7E19" w:rsidP="008B7E19">
            <w:pPr>
              <w:pStyle w:val="08-Tabelageral"/>
            </w:pPr>
            <w:r>
              <w:rPr>
                <w:rFonts w:cs="Arial"/>
                <w:color w:val="000000"/>
                <w:szCs w:val="14"/>
              </w:rPr>
              <w:t>(10)</w:t>
            </w:r>
          </w:p>
        </w:tc>
        <w:tc>
          <w:tcPr>
            <w:tcW w:w="251" w:type="dxa"/>
            <w:tcBorders>
              <w:top w:val="nil"/>
            </w:tcBorders>
            <w:shd w:val="clear" w:color="auto" w:fill="auto"/>
            <w:vAlign w:val="center"/>
          </w:tcPr>
          <w:p w14:paraId="11F1784E" w14:textId="77777777" w:rsidR="008B7E19" w:rsidRPr="006468C2" w:rsidRDefault="008B7E19" w:rsidP="008B7E19">
            <w:pPr>
              <w:pStyle w:val="08-Tabelageral"/>
              <w:rPr>
                <w:rFonts w:cs="Arial"/>
                <w:szCs w:val="14"/>
              </w:rPr>
            </w:pPr>
          </w:p>
        </w:tc>
        <w:tc>
          <w:tcPr>
            <w:tcW w:w="1449" w:type="dxa"/>
            <w:gridSpan w:val="2"/>
            <w:tcBorders>
              <w:top w:val="nil"/>
            </w:tcBorders>
            <w:shd w:val="clear" w:color="auto" w:fill="auto"/>
            <w:vAlign w:val="bottom"/>
          </w:tcPr>
          <w:p w14:paraId="77A112E3" w14:textId="77777777" w:rsidR="008B7E19" w:rsidRPr="006468C2" w:rsidRDefault="008B7E19" w:rsidP="008B7E19">
            <w:pPr>
              <w:pStyle w:val="08-Tabelageral"/>
              <w:rPr>
                <w:rFonts w:cs="Arial"/>
                <w:szCs w:val="14"/>
              </w:rPr>
            </w:pPr>
            <w:r>
              <w:rPr>
                <w:rFonts w:cs="Arial"/>
                <w:color w:val="000000"/>
                <w:szCs w:val="14"/>
              </w:rPr>
              <w:t>(753)</w:t>
            </w:r>
          </w:p>
        </w:tc>
        <w:tc>
          <w:tcPr>
            <w:tcW w:w="1526" w:type="dxa"/>
            <w:tcBorders>
              <w:top w:val="nil"/>
            </w:tcBorders>
            <w:shd w:val="clear" w:color="auto" w:fill="auto"/>
            <w:vAlign w:val="bottom"/>
          </w:tcPr>
          <w:p w14:paraId="795E8466" w14:textId="77777777" w:rsidR="008B7E19" w:rsidRPr="004078D0" w:rsidRDefault="008B7E19" w:rsidP="008B7E19">
            <w:pPr>
              <w:pStyle w:val="08-Tabelageral"/>
              <w:rPr>
                <w:rFonts w:cs="Arial"/>
                <w:szCs w:val="14"/>
              </w:rPr>
            </w:pPr>
            <w:r>
              <w:rPr>
                <w:rFonts w:cs="Arial"/>
                <w:color w:val="000000"/>
                <w:szCs w:val="14"/>
              </w:rPr>
              <w:t>(103)</w:t>
            </w:r>
          </w:p>
        </w:tc>
      </w:tr>
      <w:tr w:rsidR="008B7E19" w:rsidRPr="004078D0" w14:paraId="15C7514E" w14:textId="77777777" w:rsidTr="008B7E19">
        <w:trPr>
          <w:trHeight w:val="238"/>
          <w:jc w:val="center"/>
        </w:trPr>
        <w:tc>
          <w:tcPr>
            <w:tcW w:w="2986" w:type="dxa"/>
            <w:gridSpan w:val="2"/>
            <w:tcBorders>
              <w:top w:val="nil"/>
            </w:tcBorders>
            <w:shd w:val="clear" w:color="auto" w:fill="auto"/>
          </w:tcPr>
          <w:p w14:paraId="3552E4EF" w14:textId="77777777" w:rsidR="008B7E19" w:rsidRPr="00CB7397" w:rsidRDefault="008B7E19" w:rsidP="008B7E19">
            <w:pPr>
              <w:pStyle w:val="08-Tabelageral"/>
              <w:jc w:val="left"/>
            </w:pPr>
            <w:r w:rsidRPr="001D577F">
              <w:t>Service travel</w:t>
            </w:r>
          </w:p>
        </w:tc>
        <w:tc>
          <w:tcPr>
            <w:tcW w:w="417" w:type="dxa"/>
            <w:tcBorders>
              <w:top w:val="nil"/>
            </w:tcBorders>
            <w:shd w:val="clear" w:color="auto" w:fill="auto"/>
            <w:vAlign w:val="center"/>
          </w:tcPr>
          <w:p w14:paraId="482564D0" w14:textId="77777777" w:rsidR="008B7E19" w:rsidRPr="006468C2" w:rsidRDefault="008B7E19" w:rsidP="008B7E19">
            <w:pPr>
              <w:pStyle w:val="08-Tabelageral"/>
              <w:rPr>
                <w:rFonts w:cs="Arial"/>
                <w:szCs w:val="14"/>
              </w:rPr>
            </w:pPr>
          </w:p>
        </w:tc>
        <w:tc>
          <w:tcPr>
            <w:tcW w:w="1598" w:type="dxa"/>
            <w:gridSpan w:val="2"/>
            <w:tcBorders>
              <w:top w:val="nil"/>
            </w:tcBorders>
            <w:shd w:val="clear" w:color="auto" w:fill="auto"/>
          </w:tcPr>
          <w:p w14:paraId="5D995E0C" w14:textId="77777777" w:rsidR="008B7E19" w:rsidRPr="006468C2" w:rsidRDefault="008B7E19" w:rsidP="008B7E19">
            <w:pPr>
              <w:pStyle w:val="08-Tabelageral"/>
              <w:rPr>
                <w:rFonts w:cs="Arial"/>
                <w:szCs w:val="14"/>
              </w:rPr>
            </w:pPr>
            <w:r w:rsidRPr="00BD78B1">
              <w:rPr>
                <w:rFonts w:cs="Arial"/>
                <w:szCs w:val="14"/>
              </w:rPr>
              <w:t>(219)</w:t>
            </w:r>
          </w:p>
        </w:tc>
        <w:tc>
          <w:tcPr>
            <w:tcW w:w="1412" w:type="dxa"/>
            <w:tcBorders>
              <w:top w:val="nil"/>
            </w:tcBorders>
            <w:shd w:val="clear" w:color="auto" w:fill="auto"/>
            <w:vAlign w:val="bottom"/>
          </w:tcPr>
          <w:p w14:paraId="5FB9CE12" w14:textId="77777777" w:rsidR="008B7E19" w:rsidRPr="006468C2" w:rsidRDefault="008B7E19" w:rsidP="008B7E19">
            <w:pPr>
              <w:pStyle w:val="08-Tabelageral"/>
            </w:pPr>
            <w:r>
              <w:rPr>
                <w:rFonts w:cs="Arial"/>
                <w:color w:val="000000"/>
                <w:szCs w:val="14"/>
              </w:rPr>
              <w:t>(80)</w:t>
            </w:r>
          </w:p>
        </w:tc>
        <w:tc>
          <w:tcPr>
            <w:tcW w:w="251" w:type="dxa"/>
            <w:tcBorders>
              <w:top w:val="nil"/>
            </w:tcBorders>
            <w:shd w:val="clear" w:color="auto" w:fill="auto"/>
            <w:vAlign w:val="center"/>
          </w:tcPr>
          <w:p w14:paraId="76236EF7" w14:textId="77777777" w:rsidR="008B7E19" w:rsidRPr="006468C2" w:rsidRDefault="008B7E19" w:rsidP="008B7E19">
            <w:pPr>
              <w:pStyle w:val="08-Tabelageral"/>
              <w:rPr>
                <w:rFonts w:cs="Arial"/>
                <w:szCs w:val="14"/>
              </w:rPr>
            </w:pPr>
          </w:p>
        </w:tc>
        <w:tc>
          <w:tcPr>
            <w:tcW w:w="1449" w:type="dxa"/>
            <w:gridSpan w:val="2"/>
            <w:tcBorders>
              <w:top w:val="nil"/>
            </w:tcBorders>
            <w:shd w:val="clear" w:color="auto" w:fill="auto"/>
          </w:tcPr>
          <w:p w14:paraId="4864DF2F" w14:textId="77777777" w:rsidR="008B7E19" w:rsidRPr="006468C2" w:rsidRDefault="008B7E19" w:rsidP="008B7E19">
            <w:pPr>
              <w:pStyle w:val="08-Tabelageral"/>
              <w:rPr>
                <w:rFonts w:cs="Arial"/>
                <w:szCs w:val="14"/>
              </w:rPr>
            </w:pPr>
            <w:r w:rsidRPr="00BD78B1">
              <w:rPr>
                <w:rFonts w:cs="Arial"/>
                <w:szCs w:val="14"/>
              </w:rPr>
              <w:t>(862)</w:t>
            </w:r>
          </w:p>
        </w:tc>
        <w:tc>
          <w:tcPr>
            <w:tcW w:w="1526" w:type="dxa"/>
            <w:tcBorders>
              <w:top w:val="nil"/>
            </w:tcBorders>
            <w:shd w:val="clear" w:color="auto" w:fill="auto"/>
            <w:vAlign w:val="bottom"/>
          </w:tcPr>
          <w:p w14:paraId="60D2E5D0" w14:textId="77777777" w:rsidR="008B7E19" w:rsidRPr="004078D0" w:rsidRDefault="008B7E19" w:rsidP="008B7E19">
            <w:pPr>
              <w:pStyle w:val="08-Tabelageral"/>
              <w:rPr>
                <w:rFonts w:cs="Arial"/>
                <w:szCs w:val="14"/>
              </w:rPr>
            </w:pPr>
            <w:r>
              <w:rPr>
                <w:rFonts w:cs="Arial"/>
                <w:color w:val="000000"/>
                <w:szCs w:val="14"/>
              </w:rPr>
              <w:t>(640)</w:t>
            </w:r>
          </w:p>
        </w:tc>
      </w:tr>
      <w:tr w:rsidR="008B7E19" w:rsidRPr="004078D0" w14:paraId="46C57CCA" w14:textId="77777777" w:rsidTr="008B7E19">
        <w:trPr>
          <w:trHeight w:val="238"/>
          <w:jc w:val="center"/>
        </w:trPr>
        <w:tc>
          <w:tcPr>
            <w:tcW w:w="2986" w:type="dxa"/>
            <w:gridSpan w:val="2"/>
            <w:tcBorders>
              <w:top w:val="nil"/>
            </w:tcBorders>
            <w:shd w:val="clear" w:color="auto" w:fill="auto"/>
          </w:tcPr>
          <w:p w14:paraId="1A86D0AA" w14:textId="77777777" w:rsidR="008B7E19" w:rsidRPr="00CB7397" w:rsidRDefault="008B7E19" w:rsidP="008B7E19">
            <w:pPr>
              <w:pStyle w:val="08-Tabelageral"/>
              <w:jc w:val="left"/>
            </w:pPr>
            <w:r w:rsidRPr="001D577F">
              <w:t>Other</w:t>
            </w:r>
          </w:p>
        </w:tc>
        <w:tc>
          <w:tcPr>
            <w:tcW w:w="417" w:type="dxa"/>
            <w:tcBorders>
              <w:top w:val="nil"/>
            </w:tcBorders>
            <w:shd w:val="clear" w:color="auto" w:fill="auto"/>
            <w:vAlign w:val="center"/>
          </w:tcPr>
          <w:p w14:paraId="40FFCD7E" w14:textId="77777777" w:rsidR="008B7E19" w:rsidRPr="006468C2" w:rsidRDefault="008B7E19" w:rsidP="008B7E19">
            <w:pPr>
              <w:pStyle w:val="08-Tabelageral"/>
              <w:rPr>
                <w:rFonts w:cs="Arial"/>
                <w:szCs w:val="14"/>
              </w:rPr>
            </w:pPr>
          </w:p>
        </w:tc>
        <w:tc>
          <w:tcPr>
            <w:tcW w:w="1598" w:type="dxa"/>
            <w:gridSpan w:val="2"/>
            <w:tcBorders>
              <w:top w:val="nil"/>
            </w:tcBorders>
            <w:shd w:val="clear" w:color="auto" w:fill="auto"/>
          </w:tcPr>
          <w:p w14:paraId="307B3C68" w14:textId="77777777" w:rsidR="008B7E19" w:rsidRPr="006468C2" w:rsidRDefault="008B7E19" w:rsidP="008B7E19">
            <w:pPr>
              <w:pStyle w:val="08-Tabelageral"/>
              <w:rPr>
                <w:rFonts w:cs="Arial"/>
                <w:szCs w:val="14"/>
              </w:rPr>
            </w:pPr>
            <w:r>
              <w:rPr>
                <w:rFonts w:cs="Arial"/>
                <w:szCs w:val="14"/>
              </w:rPr>
              <w:t>(131)</w:t>
            </w:r>
          </w:p>
        </w:tc>
        <w:tc>
          <w:tcPr>
            <w:tcW w:w="1412" w:type="dxa"/>
            <w:tcBorders>
              <w:top w:val="nil"/>
            </w:tcBorders>
            <w:shd w:val="clear" w:color="auto" w:fill="auto"/>
          </w:tcPr>
          <w:p w14:paraId="02C92F43" w14:textId="77777777" w:rsidR="008B7E19" w:rsidRPr="006468C2" w:rsidRDefault="008B7E19" w:rsidP="008B7E19">
            <w:pPr>
              <w:pStyle w:val="08-Tabelageral"/>
            </w:pPr>
            <w:r>
              <w:rPr>
                <w:rFonts w:cs="Arial"/>
                <w:szCs w:val="14"/>
              </w:rPr>
              <w:t>(128)</w:t>
            </w:r>
          </w:p>
        </w:tc>
        <w:tc>
          <w:tcPr>
            <w:tcW w:w="251" w:type="dxa"/>
            <w:tcBorders>
              <w:top w:val="nil"/>
            </w:tcBorders>
            <w:shd w:val="clear" w:color="auto" w:fill="auto"/>
            <w:vAlign w:val="center"/>
          </w:tcPr>
          <w:p w14:paraId="7B26C9C5" w14:textId="77777777" w:rsidR="008B7E19" w:rsidRPr="006468C2" w:rsidRDefault="008B7E19" w:rsidP="008B7E19">
            <w:pPr>
              <w:pStyle w:val="08-Tabelageral"/>
              <w:rPr>
                <w:rFonts w:cs="Arial"/>
                <w:szCs w:val="14"/>
              </w:rPr>
            </w:pPr>
          </w:p>
        </w:tc>
        <w:tc>
          <w:tcPr>
            <w:tcW w:w="1449" w:type="dxa"/>
            <w:gridSpan w:val="2"/>
            <w:tcBorders>
              <w:top w:val="nil"/>
            </w:tcBorders>
            <w:shd w:val="clear" w:color="auto" w:fill="auto"/>
          </w:tcPr>
          <w:p w14:paraId="1A177FC2" w14:textId="77777777" w:rsidR="008B7E19" w:rsidRPr="006468C2" w:rsidRDefault="008B7E19" w:rsidP="008B7E19">
            <w:pPr>
              <w:pStyle w:val="08-Tabelageral"/>
              <w:rPr>
                <w:rFonts w:cs="Arial"/>
                <w:szCs w:val="14"/>
              </w:rPr>
            </w:pPr>
            <w:r>
              <w:rPr>
                <w:rFonts w:cs="Arial"/>
                <w:szCs w:val="14"/>
              </w:rPr>
              <w:t>(1,922)</w:t>
            </w:r>
          </w:p>
        </w:tc>
        <w:tc>
          <w:tcPr>
            <w:tcW w:w="1526" w:type="dxa"/>
            <w:tcBorders>
              <w:top w:val="nil"/>
            </w:tcBorders>
            <w:shd w:val="clear" w:color="auto" w:fill="auto"/>
          </w:tcPr>
          <w:p w14:paraId="128D0355" w14:textId="77777777" w:rsidR="008B7E19" w:rsidRPr="004078D0" w:rsidRDefault="008B7E19" w:rsidP="008B7E19">
            <w:pPr>
              <w:pStyle w:val="08-Tabelageral"/>
              <w:rPr>
                <w:rFonts w:cs="Arial"/>
                <w:szCs w:val="14"/>
              </w:rPr>
            </w:pPr>
            <w:r>
              <w:rPr>
                <w:rFonts w:cs="Arial"/>
                <w:szCs w:val="14"/>
              </w:rPr>
              <w:t>(842)</w:t>
            </w:r>
          </w:p>
        </w:tc>
      </w:tr>
      <w:tr w:rsidR="008B7E19" w:rsidRPr="002C2608" w14:paraId="42F21B29" w14:textId="77777777" w:rsidTr="008B7E19">
        <w:trPr>
          <w:trHeight w:val="238"/>
          <w:jc w:val="center"/>
        </w:trPr>
        <w:tc>
          <w:tcPr>
            <w:tcW w:w="2986" w:type="dxa"/>
            <w:gridSpan w:val="2"/>
            <w:tcBorders>
              <w:top w:val="nil"/>
              <w:bottom w:val="single" w:sz="2" w:space="0" w:color="1F4E79" w:themeColor="accent1" w:themeShade="80"/>
            </w:tcBorders>
            <w:shd w:val="clear" w:color="auto" w:fill="auto"/>
          </w:tcPr>
          <w:p w14:paraId="215131F8" w14:textId="77777777" w:rsidR="008B7E19" w:rsidRPr="002C2608" w:rsidRDefault="008B7E19" w:rsidP="008B7E19">
            <w:pPr>
              <w:pStyle w:val="08-Tabelageral"/>
              <w:jc w:val="left"/>
              <w:rPr>
                <w:b/>
              </w:rPr>
            </w:pPr>
            <w:r w:rsidRPr="004D2044">
              <w:rPr>
                <w:b/>
              </w:rPr>
              <w:t>Total</w:t>
            </w:r>
          </w:p>
        </w:tc>
        <w:tc>
          <w:tcPr>
            <w:tcW w:w="417" w:type="dxa"/>
            <w:tcBorders>
              <w:top w:val="nil"/>
              <w:bottom w:val="single" w:sz="2" w:space="0" w:color="1F4E79" w:themeColor="accent1" w:themeShade="80"/>
            </w:tcBorders>
            <w:shd w:val="clear" w:color="auto" w:fill="auto"/>
          </w:tcPr>
          <w:p w14:paraId="42F6AFBD" w14:textId="77777777" w:rsidR="008B7E19" w:rsidRPr="002C2608" w:rsidRDefault="008B7E19" w:rsidP="008B7E19">
            <w:pPr>
              <w:pStyle w:val="08-Tabelageral"/>
              <w:rPr>
                <w:rFonts w:cs="Arial"/>
                <w:b/>
                <w:szCs w:val="14"/>
              </w:rPr>
            </w:pPr>
          </w:p>
        </w:tc>
        <w:tc>
          <w:tcPr>
            <w:tcW w:w="1598" w:type="dxa"/>
            <w:gridSpan w:val="2"/>
            <w:tcBorders>
              <w:top w:val="nil"/>
              <w:bottom w:val="single" w:sz="2" w:space="0" w:color="1F4E79" w:themeColor="accent1" w:themeShade="80"/>
            </w:tcBorders>
            <w:shd w:val="clear" w:color="auto" w:fill="auto"/>
          </w:tcPr>
          <w:p w14:paraId="0CC0CBCA" w14:textId="77777777" w:rsidR="008B7E19" w:rsidRPr="002C2608" w:rsidRDefault="008B7E19" w:rsidP="008B7E19">
            <w:pPr>
              <w:pStyle w:val="08-Tabelageral"/>
              <w:rPr>
                <w:rFonts w:cs="Arial"/>
                <w:b/>
                <w:szCs w:val="14"/>
              </w:rPr>
            </w:pPr>
            <w:r w:rsidRPr="00BD78B1">
              <w:rPr>
                <w:rFonts w:cs="Arial"/>
                <w:b/>
                <w:bCs/>
                <w:szCs w:val="14"/>
              </w:rPr>
              <w:t>(1</w:t>
            </w:r>
            <w:r>
              <w:rPr>
                <w:rFonts w:cs="Arial"/>
                <w:b/>
                <w:bCs/>
                <w:szCs w:val="14"/>
              </w:rPr>
              <w:t>,</w:t>
            </w:r>
            <w:r w:rsidRPr="00BD78B1">
              <w:rPr>
                <w:rFonts w:cs="Arial"/>
                <w:b/>
                <w:bCs/>
                <w:szCs w:val="14"/>
              </w:rPr>
              <w:t>884)</w:t>
            </w:r>
          </w:p>
        </w:tc>
        <w:tc>
          <w:tcPr>
            <w:tcW w:w="1412" w:type="dxa"/>
            <w:tcBorders>
              <w:top w:val="nil"/>
              <w:bottom w:val="single" w:sz="2" w:space="0" w:color="1F4E79" w:themeColor="accent1" w:themeShade="80"/>
            </w:tcBorders>
            <w:shd w:val="clear" w:color="auto" w:fill="auto"/>
            <w:vAlign w:val="bottom"/>
          </w:tcPr>
          <w:p w14:paraId="5B56CDF6" w14:textId="77777777" w:rsidR="008B7E19" w:rsidRPr="002C2608" w:rsidRDefault="008B7E19" w:rsidP="008B7E19">
            <w:pPr>
              <w:pStyle w:val="08-Tabelageral"/>
              <w:rPr>
                <w:rFonts w:cs="Arial"/>
                <w:b/>
                <w:szCs w:val="14"/>
              </w:rPr>
            </w:pPr>
            <w:r>
              <w:rPr>
                <w:rFonts w:cs="Arial"/>
                <w:b/>
                <w:bCs/>
                <w:color w:val="000000"/>
                <w:szCs w:val="14"/>
              </w:rPr>
              <w:t>(2,138)</w:t>
            </w:r>
          </w:p>
        </w:tc>
        <w:tc>
          <w:tcPr>
            <w:tcW w:w="251" w:type="dxa"/>
            <w:tcBorders>
              <w:top w:val="nil"/>
              <w:bottom w:val="single" w:sz="2" w:space="0" w:color="1F4E79" w:themeColor="accent1" w:themeShade="80"/>
            </w:tcBorders>
            <w:shd w:val="clear" w:color="auto" w:fill="auto"/>
            <w:vAlign w:val="center"/>
          </w:tcPr>
          <w:p w14:paraId="2C283E72" w14:textId="77777777" w:rsidR="008B7E19" w:rsidRPr="002C2608" w:rsidRDefault="008B7E19" w:rsidP="008B7E19">
            <w:pPr>
              <w:pStyle w:val="08-Tabelageral"/>
              <w:rPr>
                <w:rFonts w:cs="Arial"/>
                <w:b/>
                <w:szCs w:val="14"/>
              </w:rPr>
            </w:pPr>
          </w:p>
        </w:tc>
        <w:tc>
          <w:tcPr>
            <w:tcW w:w="1449" w:type="dxa"/>
            <w:gridSpan w:val="2"/>
            <w:tcBorders>
              <w:top w:val="nil"/>
              <w:bottom w:val="single" w:sz="2" w:space="0" w:color="1F4E79" w:themeColor="accent1" w:themeShade="80"/>
            </w:tcBorders>
            <w:shd w:val="clear" w:color="auto" w:fill="auto"/>
          </w:tcPr>
          <w:p w14:paraId="1EF05A5B" w14:textId="77777777" w:rsidR="008B7E19" w:rsidRPr="002C2608" w:rsidRDefault="008B7E19" w:rsidP="008B7E19">
            <w:pPr>
              <w:pStyle w:val="08-Tabelageral"/>
              <w:rPr>
                <w:rFonts w:cs="Arial"/>
                <w:b/>
                <w:szCs w:val="14"/>
              </w:rPr>
            </w:pPr>
            <w:r>
              <w:rPr>
                <w:rFonts w:cs="Arial"/>
                <w:b/>
                <w:bCs/>
                <w:szCs w:val="14"/>
              </w:rPr>
              <w:t>(22,042)</w:t>
            </w:r>
          </w:p>
        </w:tc>
        <w:tc>
          <w:tcPr>
            <w:tcW w:w="1526" w:type="dxa"/>
            <w:tcBorders>
              <w:top w:val="nil"/>
              <w:bottom w:val="single" w:sz="2" w:space="0" w:color="1F4E79" w:themeColor="accent1" w:themeShade="80"/>
            </w:tcBorders>
            <w:shd w:val="clear" w:color="auto" w:fill="auto"/>
            <w:vAlign w:val="bottom"/>
          </w:tcPr>
          <w:p w14:paraId="05C71EB8" w14:textId="77777777" w:rsidR="008B7E19" w:rsidRPr="002C2608" w:rsidRDefault="008B7E19" w:rsidP="008B7E19">
            <w:pPr>
              <w:pStyle w:val="08-Tabelageral"/>
              <w:rPr>
                <w:rFonts w:cs="Arial"/>
                <w:b/>
                <w:szCs w:val="14"/>
              </w:rPr>
            </w:pPr>
            <w:r>
              <w:rPr>
                <w:rFonts w:cs="Arial"/>
                <w:b/>
                <w:bCs/>
                <w:color w:val="000000"/>
                <w:szCs w:val="14"/>
              </w:rPr>
              <w:t>(13,500)</w:t>
            </w:r>
          </w:p>
        </w:tc>
      </w:tr>
    </w:tbl>
    <w:p w14:paraId="5D08D513" w14:textId="77777777" w:rsidR="008B7E19" w:rsidRDefault="008B7E19" w:rsidP="00882B41">
      <w:pPr>
        <w:pStyle w:val="PargrafodaLista"/>
        <w:numPr>
          <w:ilvl w:val="0"/>
          <w:numId w:val="49"/>
        </w:numPr>
        <w:spacing w:after="0" w:line="240" w:lineRule="auto"/>
        <w:ind w:left="284" w:hanging="284"/>
        <w:jc w:val="both"/>
        <w:rPr>
          <w:rStyle w:val="q4iawc"/>
          <w:rFonts w:ascii="Arial" w:hAnsi="Arial" w:cs="Arial"/>
          <w:sz w:val="14"/>
          <w:szCs w:val="14"/>
          <w:lang w:val="en"/>
        </w:rPr>
      </w:pPr>
      <w:r w:rsidRPr="003B51B0">
        <w:rPr>
          <w:rStyle w:val="q4iawc"/>
          <w:rFonts w:ascii="Arial" w:hAnsi="Arial" w:cs="Arial"/>
          <w:sz w:val="14"/>
          <w:szCs w:val="14"/>
          <w:lang w:val="en"/>
        </w:rPr>
        <w:t>Refers to expenses with partnerships signed with correspondents, in new channels, for the sale of insurance products, and sales incentive commercial campaigns</w:t>
      </w:r>
      <w:r>
        <w:rPr>
          <w:rStyle w:val="q4iawc"/>
          <w:rFonts w:ascii="Arial" w:hAnsi="Arial" w:cs="Arial"/>
          <w:sz w:val="14"/>
          <w:szCs w:val="14"/>
          <w:lang w:val="en"/>
        </w:rPr>
        <w:t>,</w:t>
      </w:r>
    </w:p>
    <w:p w14:paraId="36E32A4C" w14:textId="77777777" w:rsidR="008B7E19" w:rsidRPr="00EF06D4" w:rsidRDefault="008B7E19" w:rsidP="008B7E19">
      <w:pPr>
        <w:spacing w:after="0" w:line="240" w:lineRule="auto"/>
        <w:jc w:val="both"/>
        <w:rPr>
          <w:rStyle w:val="q4iawc"/>
          <w:rFonts w:cs="Arial"/>
          <w:sz w:val="14"/>
          <w:szCs w:val="14"/>
          <w:lang w:val="en"/>
        </w:rPr>
      </w:pPr>
    </w:p>
    <w:p w14:paraId="559E5902" w14:textId="0AD0C987" w:rsidR="008B7E19" w:rsidRPr="008875E7" w:rsidRDefault="008B7E19" w:rsidP="008875E7">
      <w:pPr>
        <w:pStyle w:val="02-TtulodeNota"/>
        <w:rPr>
          <w:color w:val="1F4E79" w:themeColor="accent1" w:themeShade="80"/>
        </w:rPr>
      </w:pPr>
      <w:bookmarkStart w:id="38" w:name="OLE_LINK13"/>
      <w:bookmarkStart w:id="39" w:name="_Toc141966690"/>
      <w:r w:rsidRPr="008875E7">
        <w:rPr>
          <w:color w:val="1F4E79" w:themeColor="accent1" w:themeShade="80"/>
        </w:rPr>
        <w:t>12 – TAXES</w:t>
      </w:r>
      <w:bookmarkEnd w:id="39"/>
    </w:p>
    <w:p w14:paraId="36C97F3D" w14:textId="77777777" w:rsidR="008B7E19" w:rsidRPr="00F110A6" w:rsidRDefault="008B7E19" w:rsidP="008B7E19">
      <w:pPr>
        <w:spacing w:after="40"/>
        <w:rPr>
          <w:rFonts w:cs="Arial"/>
          <w:b/>
          <w:color w:val="1F4E79" w:themeColor="accent1" w:themeShade="80"/>
          <w:szCs w:val="18"/>
          <w:lang w:val="en-US"/>
        </w:rPr>
      </w:pPr>
      <w:r w:rsidRPr="00F110A6">
        <w:rPr>
          <w:rFonts w:cs="Arial"/>
          <w:b/>
          <w:color w:val="1F4E79" w:themeColor="accent1" w:themeShade="80"/>
          <w:szCs w:val="18"/>
          <w:lang w:val="en-US"/>
        </w:rPr>
        <w:t xml:space="preserve">a) </w:t>
      </w:r>
      <w:r w:rsidRPr="00662308">
        <w:rPr>
          <w:rFonts w:cs="Arial"/>
          <w:b/>
          <w:color w:val="1F4E79" w:themeColor="accent1" w:themeShade="80"/>
          <w:szCs w:val="18"/>
          <w:lang w:val="en-US"/>
        </w:rPr>
        <w:t>Breakdown of income tax (IR) and social contribution expenses (CSLL)</w:t>
      </w:r>
    </w:p>
    <w:p w14:paraId="6B231502" w14:textId="77777777" w:rsidR="008B7E19" w:rsidRPr="00FF3D4B" w:rsidRDefault="008B7E19" w:rsidP="008B7E19">
      <w:pPr>
        <w:spacing w:after="0" w:line="240" w:lineRule="auto"/>
        <w:jc w:val="right"/>
        <w:rPr>
          <w:rFonts w:cs="Arial"/>
          <w:b/>
          <w:sz w:val="14"/>
          <w:lang w:eastAsia="pt-BR"/>
        </w:rPr>
      </w:pPr>
      <w:r w:rsidRPr="00FF3D4B">
        <w:rPr>
          <w:rFonts w:cs="Arial"/>
          <w:b/>
          <w:sz w:val="14"/>
          <w:lang w:eastAsia="pt-BR"/>
        </w:rPr>
        <w:t xml:space="preserve">R$ </w:t>
      </w:r>
      <w:r w:rsidRPr="00044999">
        <w:rPr>
          <w:rFonts w:cs="Arial"/>
          <w:b/>
          <w:sz w:val="14"/>
          <w:lang w:eastAsia="pt-BR"/>
        </w:rPr>
        <w:t>thousand</w:t>
      </w:r>
    </w:p>
    <w:tbl>
      <w:tblPr>
        <w:tblW w:w="9639" w:type="dxa"/>
        <w:jc w:val="center"/>
        <w:tblBorders>
          <w:top w:val="single" w:sz="2" w:space="0" w:color="8EAADB" w:themeColor="accent5" w:themeTint="99"/>
          <w:bottom w:val="single" w:sz="2" w:space="0" w:color="8EAADB" w:themeColor="accent5" w:themeTint="99"/>
        </w:tblBorders>
        <w:tblLook w:val="04A0" w:firstRow="1" w:lastRow="0" w:firstColumn="1" w:lastColumn="0" w:noHBand="0" w:noVBand="1"/>
      </w:tblPr>
      <w:tblGrid>
        <w:gridCol w:w="3094"/>
        <w:gridCol w:w="604"/>
        <w:gridCol w:w="1411"/>
        <w:gridCol w:w="1412"/>
        <w:gridCol w:w="283"/>
        <w:gridCol w:w="1417"/>
        <w:gridCol w:w="1418"/>
      </w:tblGrid>
      <w:tr w:rsidR="008B7E19" w:rsidRPr="003F4B3F" w14:paraId="725AEE45" w14:textId="77777777" w:rsidTr="008875E7">
        <w:trPr>
          <w:trHeight w:val="238"/>
          <w:jc w:val="center"/>
        </w:trPr>
        <w:tc>
          <w:tcPr>
            <w:tcW w:w="3094" w:type="dxa"/>
            <w:tcBorders>
              <w:top w:val="single" w:sz="2" w:space="0" w:color="1F4E79" w:themeColor="accent1" w:themeShade="80"/>
              <w:bottom w:val="nil"/>
            </w:tcBorders>
            <w:shd w:val="clear" w:color="auto" w:fill="auto"/>
            <w:vAlign w:val="center"/>
          </w:tcPr>
          <w:p w14:paraId="3BE9E35D" w14:textId="77777777" w:rsidR="008B7E19" w:rsidRPr="003F4B3F" w:rsidRDefault="008B7E19" w:rsidP="008B7E19">
            <w:pPr>
              <w:spacing w:after="0"/>
              <w:jc w:val="center"/>
              <w:rPr>
                <w:rFonts w:cs="Arial"/>
                <w:b/>
                <w:szCs w:val="18"/>
              </w:rPr>
            </w:pPr>
          </w:p>
        </w:tc>
        <w:tc>
          <w:tcPr>
            <w:tcW w:w="604" w:type="dxa"/>
            <w:tcBorders>
              <w:top w:val="single" w:sz="2" w:space="0" w:color="1F4E79" w:themeColor="accent1" w:themeShade="80"/>
              <w:bottom w:val="nil"/>
            </w:tcBorders>
            <w:shd w:val="clear" w:color="auto" w:fill="auto"/>
            <w:vAlign w:val="center"/>
          </w:tcPr>
          <w:p w14:paraId="16C44785" w14:textId="77777777" w:rsidR="008B7E19" w:rsidRPr="003F4B3F" w:rsidRDefault="008B7E19" w:rsidP="008B7E19">
            <w:pPr>
              <w:spacing w:after="0"/>
              <w:jc w:val="center"/>
              <w:rPr>
                <w:rFonts w:cs="Arial"/>
                <w:b/>
                <w:szCs w:val="18"/>
              </w:rPr>
            </w:pPr>
          </w:p>
        </w:tc>
        <w:tc>
          <w:tcPr>
            <w:tcW w:w="2823" w:type="dxa"/>
            <w:gridSpan w:val="2"/>
            <w:tcBorders>
              <w:top w:val="single" w:sz="2" w:space="0" w:color="1F4E79" w:themeColor="accent1" w:themeShade="80"/>
              <w:bottom w:val="single" w:sz="2" w:space="0" w:color="1F4E79" w:themeColor="accent1" w:themeShade="80"/>
            </w:tcBorders>
            <w:shd w:val="clear" w:color="auto" w:fill="auto"/>
            <w:vAlign w:val="center"/>
          </w:tcPr>
          <w:p w14:paraId="02F87FE7" w14:textId="77777777" w:rsidR="008B7E19" w:rsidRPr="00EC4649" w:rsidRDefault="008B7E19" w:rsidP="008B7E19">
            <w:pPr>
              <w:spacing w:after="0"/>
              <w:jc w:val="center"/>
              <w:rPr>
                <w:rFonts w:cs="Arial"/>
                <w:b/>
                <w:sz w:val="14"/>
                <w:szCs w:val="18"/>
              </w:rPr>
            </w:pPr>
            <w:r w:rsidRPr="00EC4649">
              <w:rPr>
                <w:rFonts w:cs="Arial"/>
                <w:b/>
                <w:sz w:val="14"/>
                <w:szCs w:val="18"/>
              </w:rPr>
              <w:t>Parent</w:t>
            </w:r>
          </w:p>
        </w:tc>
        <w:tc>
          <w:tcPr>
            <w:tcW w:w="283" w:type="dxa"/>
            <w:tcBorders>
              <w:top w:val="single" w:sz="2" w:space="0" w:color="1F4E79" w:themeColor="accent1" w:themeShade="80"/>
              <w:bottom w:val="nil"/>
            </w:tcBorders>
            <w:shd w:val="clear" w:color="auto" w:fill="auto"/>
            <w:vAlign w:val="center"/>
          </w:tcPr>
          <w:p w14:paraId="124F7871" w14:textId="77777777" w:rsidR="008B7E19" w:rsidRPr="003F4B3F" w:rsidRDefault="008B7E19" w:rsidP="008B7E19">
            <w:pPr>
              <w:spacing w:after="0"/>
              <w:jc w:val="center"/>
              <w:rPr>
                <w:rFonts w:cs="Arial"/>
                <w:b/>
                <w:szCs w:val="18"/>
              </w:rPr>
            </w:pPr>
          </w:p>
        </w:tc>
        <w:tc>
          <w:tcPr>
            <w:tcW w:w="2835" w:type="dxa"/>
            <w:gridSpan w:val="2"/>
            <w:tcBorders>
              <w:top w:val="single" w:sz="2" w:space="0" w:color="1F4E79" w:themeColor="accent1" w:themeShade="80"/>
              <w:bottom w:val="single" w:sz="2" w:space="0" w:color="1F4E79" w:themeColor="accent1" w:themeShade="80"/>
            </w:tcBorders>
            <w:shd w:val="clear" w:color="auto" w:fill="auto"/>
            <w:vAlign w:val="center"/>
          </w:tcPr>
          <w:p w14:paraId="0DCC5163" w14:textId="77777777" w:rsidR="008B7E19" w:rsidRPr="00EC4649" w:rsidRDefault="008B7E19" w:rsidP="008B7E19">
            <w:pPr>
              <w:spacing w:after="0"/>
              <w:jc w:val="center"/>
              <w:rPr>
                <w:rFonts w:cs="Arial"/>
                <w:b/>
                <w:szCs w:val="18"/>
              </w:rPr>
            </w:pPr>
            <w:r w:rsidRPr="00EC4649">
              <w:rPr>
                <w:rFonts w:cs="Arial"/>
                <w:b/>
                <w:sz w:val="14"/>
                <w:szCs w:val="18"/>
              </w:rPr>
              <w:t>Consolidated</w:t>
            </w:r>
          </w:p>
        </w:tc>
      </w:tr>
      <w:tr w:rsidR="008B7E19" w:rsidRPr="003F4B3F" w14:paraId="10FF01AF" w14:textId="77777777" w:rsidTr="008875E7">
        <w:trPr>
          <w:trHeight w:val="238"/>
          <w:jc w:val="center"/>
        </w:trPr>
        <w:tc>
          <w:tcPr>
            <w:tcW w:w="3094" w:type="dxa"/>
            <w:tcBorders>
              <w:top w:val="nil"/>
              <w:bottom w:val="single" w:sz="2" w:space="0" w:color="1F4E79" w:themeColor="accent1" w:themeShade="80"/>
            </w:tcBorders>
            <w:shd w:val="clear" w:color="auto" w:fill="auto"/>
            <w:vAlign w:val="center"/>
          </w:tcPr>
          <w:p w14:paraId="2573CCD2" w14:textId="77777777" w:rsidR="008B7E19" w:rsidRPr="003F4B3F" w:rsidRDefault="008B7E19" w:rsidP="008B7E19">
            <w:pPr>
              <w:pStyle w:val="08-Tabelageral"/>
              <w:rPr>
                <w:rFonts w:cs="Arial"/>
                <w:b/>
              </w:rPr>
            </w:pPr>
          </w:p>
        </w:tc>
        <w:tc>
          <w:tcPr>
            <w:tcW w:w="604" w:type="dxa"/>
            <w:tcBorders>
              <w:top w:val="nil"/>
              <w:bottom w:val="single" w:sz="2" w:space="0" w:color="1F4E79" w:themeColor="accent1" w:themeShade="80"/>
            </w:tcBorders>
            <w:shd w:val="clear" w:color="auto" w:fill="auto"/>
            <w:vAlign w:val="center"/>
          </w:tcPr>
          <w:p w14:paraId="66856296" w14:textId="77777777" w:rsidR="008B7E19" w:rsidRPr="00874161" w:rsidRDefault="008B7E19" w:rsidP="008B7E19">
            <w:pPr>
              <w:pStyle w:val="08-Tabelageral"/>
              <w:rPr>
                <w:rFonts w:cs="Arial"/>
                <w:b/>
              </w:rPr>
            </w:pPr>
          </w:p>
        </w:tc>
        <w:tc>
          <w:tcPr>
            <w:tcW w:w="1411" w:type="dxa"/>
            <w:tcBorders>
              <w:top w:val="single" w:sz="2" w:space="0" w:color="1F4E79" w:themeColor="accent1" w:themeShade="80"/>
              <w:bottom w:val="single" w:sz="2" w:space="0" w:color="1F4E79" w:themeColor="accent1" w:themeShade="80"/>
            </w:tcBorders>
            <w:shd w:val="clear" w:color="auto" w:fill="auto"/>
          </w:tcPr>
          <w:p w14:paraId="26240D94" w14:textId="77777777" w:rsidR="008B7E19" w:rsidRPr="00181FA4" w:rsidRDefault="008B7E19" w:rsidP="008B7E19">
            <w:pPr>
              <w:pStyle w:val="08-Tabelageral"/>
              <w:rPr>
                <w:rFonts w:cs="Arial"/>
                <w:b/>
              </w:rPr>
            </w:pPr>
            <w:r>
              <w:rPr>
                <w:b/>
              </w:rPr>
              <w:t>2</w:t>
            </w:r>
            <w:r>
              <w:rPr>
                <w:b/>
                <w:vertAlign w:val="superscript"/>
              </w:rPr>
              <w:t xml:space="preserve">nd </w:t>
            </w:r>
            <w:r>
              <w:rPr>
                <w:b/>
              </w:rPr>
              <w:t>Quarter 2023</w:t>
            </w:r>
          </w:p>
        </w:tc>
        <w:tc>
          <w:tcPr>
            <w:tcW w:w="1412" w:type="dxa"/>
            <w:tcBorders>
              <w:top w:val="single" w:sz="2" w:space="0" w:color="1F4E79" w:themeColor="accent1" w:themeShade="80"/>
              <w:bottom w:val="single" w:sz="2" w:space="0" w:color="1F4E79" w:themeColor="accent1" w:themeShade="80"/>
            </w:tcBorders>
            <w:shd w:val="clear" w:color="auto" w:fill="auto"/>
          </w:tcPr>
          <w:p w14:paraId="5029AE9F" w14:textId="77777777" w:rsidR="008B7E19" w:rsidRPr="00874161" w:rsidRDefault="008B7E19" w:rsidP="008B7E19">
            <w:pPr>
              <w:pStyle w:val="08-Tabelageral"/>
              <w:rPr>
                <w:rFonts w:cs="Arial"/>
                <w:b/>
              </w:rPr>
            </w:pPr>
            <w:r>
              <w:rPr>
                <w:b/>
              </w:rPr>
              <w:t>2</w:t>
            </w:r>
            <w:r>
              <w:rPr>
                <w:b/>
                <w:vertAlign w:val="superscript"/>
              </w:rPr>
              <w:t xml:space="preserve">nd </w:t>
            </w:r>
            <w:r>
              <w:rPr>
                <w:b/>
              </w:rPr>
              <w:t>Quarter 2022</w:t>
            </w:r>
          </w:p>
        </w:tc>
        <w:tc>
          <w:tcPr>
            <w:tcW w:w="283" w:type="dxa"/>
            <w:tcBorders>
              <w:top w:val="nil"/>
              <w:bottom w:val="single" w:sz="2" w:space="0" w:color="1F4E79" w:themeColor="accent1" w:themeShade="80"/>
            </w:tcBorders>
            <w:shd w:val="clear" w:color="auto" w:fill="auto"/>
          </w:tcPr>
          <w:p w14:paraId="6A1CEB04" w14:textId="77777777" w:rsidR="008B7E19" w:rsidRPr="00874161" w:rsidRDefault="008B7E19" w:rsidP="008B7E19">
            <w:pPr>
              <w:pStyle w:val="08-Tabelageral"/>
              <w:rPr>
                <w:rFonts w:cs="Arial"/>
                <w:b/>
              </w:rPr>
            </w:pPr>
          </w:p>
        </w:tc>
        <w:tc>
          <w:tcPr>
            <w:tcW w:w="1417" w:type="dxa"/>
            <w:tcBorders>
              <w:top w:val="single" w:sz="2" w:space="0" w:color="1F4E79" w:themeColor="accent1" w:themeShade="80"/>
              <w:bottom w:val="single" w:sz="2" w:space="0" w:color="1F4E79" w:themeColor="accent1" w:themeShade="80"/>
            </w:tcBorders>
            <w:shd w:val="clear" w:color="auto" w:fill="auto"/>
          </w:tcPr>
          <w:p w14:paraId="7270EFD0" w14:textId="77777777" w:rsidR="008B7E19" w:rsidRPr="00874161" w:rsidRDefault="008B7E19" w:rsidP="008B7E19">
            <w:pPr>
              <w:pStyle w:val="08-Tabelageral"/>
              <w:rPr>
                <w:rFonts w:cs="Arial"/>
                <w:b/>
              </w:rPr>
            </w:pPr>
            <w:r>
              <w:rPr>
                <w:b/>
              </w:rPr>
              <w:t>2</w:t>
            </w:r>
            <w:r>
              <w:rPr>
                <w:b/>
                <w:vertAlign w:val="superscript"/>
              </w:rPr>
              <w:t xml:space="preserve">nd </w:t>
            </w:r>
            <w:r>
              <w:rPr>
                <w:b/>
              </w:rPr>
              <w:t>Quarter 2023</w:t>
            </w:r>
          </w:p>
        </w:tc>
        <w:tc>
          <w:tcPr>
            <w:tcW w:w="1418" w:type="dxa"/>
            <w:tcBorders>
              <w:top w:val="single" w:sz="2" w:space="0" w:color="1F4E79" w:themeColor="accent1" w:themeShade="80"/>
              <w:bottom w:val="single" w:sz="2" w:space="0" w:color="1F4E79" w:themeColor="accent1" w:themeShade="80"/>
            </w:tcBorders>
            <w:shd w:val="clear" w:color="auto" w:fill="auto"/>
          </w:tcPr>
          <w:p w14:paraId="71ACE5F6" w14:textId="77777777" w:rsidR="008B7E19" w:rsidRPr="00874161" w:rsidRDefault="008B7E19" w:rsidP="008B7E19">
            <w:pPr>
              <w:pStyle w:val="08-Tabelageral"/>
              <w:rPr>
                <w:rFonts w:cs="Arial"/>
                <w:b/>
              </w:rPr>
            </w:pPr>
            <w:r>
              <w:rPr>
                <w:b/>
              </w:rPr>
              <w:t>2</w:t>
            </w:r>
            <w:r>
              <w:rPr>
                <w:b/>
                <w:vertAlign w:val="superscript"/>
              </w:rPr>
              <w:t xml:space="preserve">nd </w:t>
            </w:r>
            <w:r>
              <w:rPr>
                <w:b/>
              </w:rPr>
              <w:t>Quarter 2022</w:t>
            </w:r>
          </w:p>
        </w:tc>
      </w:tr>
      <w:tr w:rsidR="008B7E19" w:rsidRPr="003F4B3F" w14:paraId="6C6BCFD4" w14:textId="77777777" w:rsidTr="008875E7">
        <w:trPr>
          <w:trHeight w:val="238"/>
          <w:jc w:val="center"/>
        </w:trPr>
        <w:tc>
          <w:tcPr>
            <w:tcW w:w="3094" w:type="dxa"/>
            <w:tcBorders>
              <w:top w:val="single" w:sz="2" w:space="0" w:color="1F4E79" w:themeColor="accent1" w:themeShade="80"/>
              <w:bottom w:val="nil"/>
            </w:tcBorders>
            <w:shd w:val="clear" w:color="auto" w:fill="auto"/>
          </w:tcPr>
          <w:p w14:paraId="21F05F08" w14:textId="77777777" w:rsidR="008B7E19" w:rsidRPr="003F4B3F" w:rsidRDefault="008B7E19" w:rsidP="008B7E19">
            <w:pPr>
              <w:pStyle w:val="08-Tabelageral"/>
              <w:jc w:val="left"/>
              <w:rPr>
                <w:rFonts w:cs="Arial"/>
                <w:b/>
                <w:bCs/>
                <w:szCs w:val="14"/>
              </w:rPr>
            </w:pPr>
            <w:r>
              <w:rPr>
                <w:rFonts w:cs="Arial"/>
                <w:b/>
                <w:szCs w:val="14"/>
              </w:rPr>
              <w:t>Current values</w:t>
            </w:r>
          </w:p>
        </w:tc>
        <w:tc>
          <w:tcPr>
            <w:tcW w:w="604" w:type="dxa"/>
            <w:tcBorders>
              <w:top w:val="single" w:sz="2" w:space="0" w:color="1F4E79" w:themeColor="accent1" w:themeShade="80"/>
              <w:bottom w:val="nil"/>
            </w:tcBorders>
            <w:shd w:val="clear" w:color="auto" w:fill="auto"/>
          </w:tcPr>
          <w:p w14:paraId="1D7A8230" w14:textId="77777777" w:rsidR="008B7E19" w:rsidRPr="003F4B3F" w:rsidRDefault="008B7E19" w:rsidP="008B7E19">
            <w:pPr>
              <w:pStyle w:val="08-Tabelageral"/>
              <w:jc w:val="center"/>
              <w:rPr>
                <w:rFonts w:cs="Arial"/>
                <w:b/>
                <w:szCs w:val="14"/>
              </w:rPr>
            </w:pPr>
          </w:p>
        </w:tc>
        <w:tc>
          <w:tcPr>
            <w:tcW w:w="1411" w:type="dxa"/>
            <w:tcBorders>
              <w:top w:val="single" w:sz="2" w:space="0" w:color="1F4E79" w:themeColor="accent1" w:themeShade="80"/>
              <w:bottom w:val="nil"/>
            </w:tcBorders>
            <w:shd w:val="clear" w:color="auto" w:fill="auto"/>
            <w:vAlign w:val="center"/>
          </w:tcPr>
          <w:p w14:paraId="7FE11B77" w14:textId="77777777" w:rsidR="008B7E19" w:rsidRPr="003F4B3F" w:rsidRDefault="008B7E19" w:rsidP="008B7E19">
            <w:pPr>
              <w:pStyle w:val="08-Tabelageral"/>
              <w:rPr>
                <w:rFonts w:cs="Arial"/>
                <w:b/>
                <w:szCs w:val="14"/>
              </w:rPr>
            </w:pPr>
            <w:r>
              <w:rPr>
                <w:rFonts w:cs="Arial"/>
                <w:b/>
                <w:szCs w:val="14"/>
              </w:rPr>
              <w:t>(253)</w:t>
            </w:r>
          </w:p>
        </w:tc>
        <w:tc>
          <w:tcPr>
            <w:tcW w:w="1412" w:type="dxa"/>
            <w:tcBorders>
              <w:top w:val="single" w:sz="2" w:space="0" w:color="1F4E79" w:themeColor="accent1" w:themeShade="80"/>
              <w:bottom w:val="nil"/>
            </w:tcBorders>
            <w:shd w:val="clear" w:color="auto" w:fill="auto"/>
            <w:vAlign w:val="center"/>
          </w:tcPr>
          <w:p w14:paraId="79E78EA0" w14:textId="77777777" w:rsidR="008B7E19" w:rsidRPr="003F4B3F" w:rsidRDefault="008B7E19" w:rsidP="008B7E19">
            <w:pPr>
              <w:pStyle w:val="08-Tabelageral"/>
              <w:rPr>
                <w:rFonts w:cs="Arial"/>
                <w:b/>
              </w:rPr>
            </w:pPr>
            <w:r w:rsidRPr="0051379D">
              <w:rPr>
                <w:rFonts w:cs="Arial"/>
                <w:b/>
              </w:rPr>
              <w:t>186</w:t>
            </w:r>
          </w:p>
        </w:tc>
        <w:tc>
          <w:tcPr>
            <w:tcW w:w="283" w:type="dxa"/>
            <w:tcBorders>
              <w:top w:val="single" w:sz="2" w:space="0" w:color="1F4E79" w:themeColor="accent1" w:themeShade="80"/>
              <w:bottom w:val="nil"/>
            </w:tcBorders>
            <w:shd w:val="clear" w:color="auto" w:fill="auto"/>
            <w:vAlign w:val="center"/>
          </w:tcPr>
          <w:p w14:paraId="43578DA1" w14:textId="77777777" w:rsidR="008B7E19" w:rsidRPr="003F4B3F" w:rsidRDefault="008B7E19" w:rsidP="008B7E19">
            <w:pPr>
              <w:pStyle w:val="08-Tabelageral"/>
              <w:rPr>
                <w:rFonts w:cs="Arial"/>
                <w:b/>
                <w:szCs w:val="14"/>
              </w:rPr>
            </w:pPr>
          </w:p>
        </w:tc>
        <w:tc>
          <w:tcPr>
            <w:tcW w:w="1417" w:type="dxa"/>
            <w:tcBorders>
              <w:top w:val="single" w:sz="2" w:space="0" w:color="1F4E79" w:themeColor="accent1" w:themeShade="80"/>
              <w:bottom w:val="nil"/>
            </w:tcBorders>
            <w:shd w:val="clear" w:color="auto" w:fill="auto"/>
            <w:vAlign w:val="center"/>
          </w:tcPr>
          <w:p w14:paraId="10E13CEC" w14:textId="77777777" w:rsidR="008B7E19" w:rsidRPr="003F4B3F" w:rsidRDefault="008B7E19" w:rsidP="008B7E19">
            <w:pPr>
              <w:pStyle w:val="08-Tabelageral"/>
              <w:rPr>
                <w:rFonts w:cs="Arial"/>
                <w:b/>
                <w:szCs w:val="14"/>
              </w:rPr>
            </w:pPr>
            <w:r>
              <w:rPr>
                <w:rFonts w:cs="Arial"/>
                <w:b/>
                <w:szCs w:val="14"/>
              </w:rPr>
              <w:t>(377,081)</w:t>
            </w:r>
          </w:p>
        </w:tc>
        <w:tc>
          <w:tcPr>
            <w:tcW w:w="1418" w:type="dxa"/>
            <w:tcBorders>
              <w:top w:val="single" w:sz="2" w:space="0" w:color="1F4E79" w:themeColor="accent1" w:themeShade="80"/>
              <w:bottom w:val="nil"/>
            </w:tcBorders>
            <w:shd w:val="clear" w:color="auto" w:fill="auto"/>
            <w:vAlign w:val="center"/>
          </w:tcPr>
          <w:p w14:paraId="2BEADEA3" w14:textId="77777777" w:rsidR="008B7E19" w:rsidRPr="003F4B3F" w:rsidRDefault="008B7E19" w:rsidP="008B7E19">
            <w:pPr>
              <w:pStyle w:val="08-Tabelageral"/>
              <w:rPr>
                <w:rFonts w:cs="Arial"/>
                <w:b/>
              </w:rPr>
            </w:pPr>
            <w:r>
              <w:rPr>
                <w:rFonts w:cs="Arial"/>
                <w:b/>
              </w:rPr>
              <w:t>(331,588)</w:t>
            </w:r>
          </w:p>
        </w:tc>
      </w:tr>
      <w:tr w:rsidR="008B7E19" w:rsidRPr="00E975F6" w14:paraId="62F341DF" w14:textId="77777777" w:rsidTr="008875E7">
        <w:trPr>
          <w:trHeight w:val="238"/>
          <w:jc w:val="center"/>
        </w:trPr>
        <w:tc>
          <w:tcPr>
            <w:tcW w:w="3094" w:type="dxa"/>
            <w:tcBorders>
              <w:top w:val="nil"/>
            </w:tcBorders>
            <w:shd w:val="clear" w:color="auto" w:fill="auto"/>
          </w:tcPr>
          <w:p w14:paraId="7F10F631" w14:textId="77777777" w:rsidR="008B7E19" w:rsidRPr="00F110A6" w:rsidRDefault="008B7E19" w:rsidP="008B7E19">
            <w:pPr>
              <w:pStyle w:val="08-Tabelageral"/>
              <w:ind w:left="113"/>
              <w:jc w:val="left"/>
              <w:rPr>
                <w:rFonts w:cs="Arial"/>
                <w:b/>
                <w:szCs w:val="14"/>
                <w:lang w:val="en-US"/>
              </w:rPr>
            </w:pPr>
            <w:r w:rsidRPr="003E2305">
              <w:rPr>
                <w:rFonts w:cs="Arial"/>
                <w:szCs w:val="14"/>
                <w:lang w:val="en-US"/>
              </w:rPr>
              <w:t>Domestic income tax and social contribution</w:t>
            </w:r>
          </w:p>
        </w:tc>
        <w:tc>
          <w:tcPr>
            <w:tcW w:w="604" w:type="dxa"/>
            <w:tcBorders>
              <w:top w:val="nil"/>
            </w:tcBorders>
            <w:shd w:val="clear" w:color="auto" w:fill="auto"/>
          </w:tcPr>
          <w:p w14:paraId="48C1B182" w14:textId="77777777" w:rsidR="008B7E19" w:rsidRPr="00F110A6" w:rsidRDefault="008B7E19" w:rsidP="008B7E19">
            <w:pPr>
              <w:pStyle w:val="08-Tabelageral"/>
              <w:ind w:left="113"/>
              <w:jc w:val="center"/>
              <w:rPr>
                <w:rFonts w:cs="Arial"/>
                <w:szCs w:val="14"/>
                <w:lang w:val="en-US"/>
              </w:rPr>
            </w:pPr>
          </w:p>
        </w:tc>
        <w:tc>
          <w:tcPr>
            <w:tcW w:w="1411" w:type="dxa"/>
            <w:tcBorders>
              <w:top w:val="nil"/>
            </w:tcBorders>
            <w:shd w:val="clear" w:color="auto" w:fill="auto"/>
            <w:vAlign w:val="center"/>
          </w:tcPr>
          <w:p w14:paraId="49C39DDF" w14:textId="77777777" w:rsidR="008B7E19" w:rsidRPr="00E975F6" w:rsidRDefault="008B7E19" w:rsidP="008B7E19">
            <w:pPr>
              <w:pStyle w:val="08-Tabelageral"/>
              <w:ind w:left="113"/>
              <w:rPr>
                <w:rFonts w:cs="Arial"/>
                <w:szCs w:val="14"/>
                <w:lang w:val="en-US"/>
              </w:rPr>
            </w:pPr>
            <w:r>
              <w:rPr>
                <w:rFonts w:cs="Arial"/>
                <w:szCs w:val="14"/>
              </w:rPr>
              <w:t>(253)</w:t>
            </w:r>
          </w:p>
        </w:tc>
        <w:tc>
          <w:tcPr>
            <w:tcW w:w="1412" w:type="dxa"/>
            <w:tcBorders>
              <w:top w:val="nil"/>
            </w:tcBorders>
            <w:shd w:val="clear" w:color="auto" w:fill="auto"/>
            <w:vAlign w:val="center"/>
          </w:tcPr>
          <w:p w14:paraId="708C3F16" w14:textId="77777777" w:rsidR="008B7E19" w:rsidRPr="00E975F6" w:rsidRDefault="008B7E19" w:rsidP="008B7E19">
            <w:pPr>
              <w:pStyle w:val="08-Tabelageral"/>
              <w:rPr>
                <w:rFonts w:cs="Arial"/>
                <w:lang w:val="en-US"/>
              </w:rPr>
            </w:pPr>
            <w:r w:rsidRPr="0051379D">
              <w:rPr>
                <w:rFonts w:cs="Arial"/>
              </w:rPr>
              <w:t>186</w:t>
            </w:r>
          </w:p>
        </w:tc>
        <w:tc>
          <w:tcPr>
            <w:tcW w:w="283" w:type="dxa"/>
            <w:tcBorders>
              <w:top w:val="nil"/>
            </w:tcBorders>
            <w:shd w:val="clear" w:color="auto" w:fill="auto"/>
            <w:vAlign w:val="center"/>
          </w:tcPr>
          <w:p w14:paraId="4F5D2F58" w14:textId="77777777" w:rsidR="008B7E19" w:rsidRPr="00E975F6" w:rsidRDefault="008B7E19" w:rsidP="008B7E19">
            <w:pPr>
              <w:pStyle w:val="08-Tabelageral"/>
              <w:ind w:left="113"/>
              <w:rPr>
                <w:rFonts w:cs="Arial"/>
                <w:szCs w:val="14"/>
                <w:lang w:val="en-US"/>
              </w:rPr>
            </w:pPr>
          </w:p>
        </w:tc>
        <w:tc>
          <w:tcPr>
            <w:tcW w:w="1417" w:type="dxa"/>
            <w:tcBorders>
              <w:top w:val="nil"/>
            </w:tcBorders>
            <w:shd w:val="clear" w:color="auto" w:fill="auto"/>
            <w:vAlign w:val="center"/>
          </w:tcPr>
          <w:p w14:paraId="44EE22A7" w14:textId="77777777" w:rsidR="008B7E19" w:rsidRPr="00E975F6" w:rsidRDefault="008B7E19" w:rsidP="008B7E19">
            <w:pPr>
              <w:pStyle w:val="08-Tabelageral"/>
              <w:ind w:left="113"/>
              <w:rPr>
                <w:rFonts w:cs="Arial"/>
                <w:szCs w:val="14"/>
                <w:lang w:val="en-US"/>
              </w:rPr>
            </w:pPr>
            <w:r>
              <w:rPr>
                <w:rFonts w:cs="Arial"/>
                <w:szCs w:val="14"/>
              </w:rPr>
              <w:t>(377,081)</w:t>
            </w:r>
          </w:p>
        </w:tc>
        <w:tc>
          <w:tcPr>
            <w:tcW w:w="1418" w:type="dxa"/>
            <w:tcBorders>
              <w:top w:val="nil"/>
            </w:tcBorders>
            <w:shd w:val="clear" w:color="auto" w:fill="auto"/>
            <w:vAlign w:val="center"/>
          </w:tcPr>
          <w:p w14:paraId="7EB438C8" w14:textId="77777777" w:rsidR="008B7E19" w:rsidRPr="00E975F6" w:rsidRDefault="008B7E19" w:rsidP="008B7E19">
            <w:pPr>
              <w:pStyle w:val="08-Tabelageral"/>
              <w:rPr>
                <w:rFonts w:cs="Arial"/>
                <w:lang w:val="en-US"/>
              </w:rPr>
            </w:pPr>
            <w:r>
              <w:rPr>
                <w:rFonts w:cs="Arial"/>
              </w:rPr>
              <w:t>(331,588)</w:t>
            </w:r>
          </w:p>
        </w:tc>
      </w:tr>
      <w:tr w:rsidR="008B7E19" w:rsidRPr="003F4B3F" w14:paraId="784823F4" w14:textId="77777777" w:rsidTr="008875E7">
        <w:trPr>
          <w:trHeight w:val="238"/>
          <w:jc w:val="center"/>
        </w:trPr>
        <w:tc>
          <w:tcPr>
            <w:tcW w:w="3094" w:type="dxa"/>
            <w:shd w:val="clear" w:color="auto" w:fill="auto"/>
          </w:tcPr>
          <w:p w14:paraId="2932F389" w14:textId="77777777" w:rsidR="008B7E19" w:rsidRPr="00425406" w:rsidRDefault="008B7E19" w:rsidP="008B7E19">
            <w:pPr>
              <w:pStyle w:val="08-Tabelageral"/>
              <w:jc w:val="left"/>
              <w:rPr>
                <w:rFonts w:cs="Arial"/>
                <w:b/>
                <w:szCs w:val="14"/>
              </w:rPr>
            </w:pPr>
            <w:r w:rsidRPr="00425406">
              <w:rPr>
                <w:rFonts w:cs="Arial"/>
                <w:b/>
                <w:szCs w:val="14"/>
              </w:rPr>
              <w:t>Deferred values</w:t>
            </w:r>
          </w:p>
        </w:tc>
        <w:tc>
          <w:tcPr>
            <w:tcW w:w="604" w:type="dxa"/>
            <w:shd w:val="clear" w:color="auto" w:fill="auto"/>
          </w:tcPr>
          <w:p w14:paraId="22B59B59" w14:textId="77777777" w:rsidR="008B7E19" w:rsidRPr="003F4B3F" w:rsidRDefault="008B7E19" w:rsidP="008B7E19">
            <w:pPr>
              <w:pStyle w:val="08-Tabelageral"/>
              <w:jc w:val="center"/>
              <w:rPr>
                <w:rFonts w:cs="Arial"/>
                <w:b/>
                <w:szCs w:val="14"/>
              </w:rPr>
            </w:pPr>
          </w:p>
        </w:tc>
        <w:tc>
          <w:tcPr>
            <w:tcW w:w="1411" w:type="dxa"/>
            <w:tcBorders>
              <w:bottom w:val="nil"/>
            </w:tcBorders>
            <w:shd w:val="clear" w:color="auto" w:fill="auto"/>
            <w:vAlign w:val="center"/>
          </w:tcPr>
          <w:p w14:paraId="2C15713C" w14:textId="77777777" w:rsidR="008B7E19" w:rsidRPr="003F4B3F" w:rsidRDefault="008B7E19" w:rsidP="008B7E19">
            <w:pPr>
              <w:pStyle w:val="08-Tabelageral"/>
              <w:rPr>
                <w:rFonts w:cs="Arial"/>
                <w:b/>
                <w:szCs w:val="14"/>
              </w:rPr>
            </w:pPr>
            <w:r>
              <w:rPr>
                <w:rFonts w:cs="Arial"/>
                <w:b/>
                <w:szCs w:val="14"/>
              </w:rPr>
              <w:t>20</w:t>
            </w:r>
          </w:p>
        </w:tc>
        <w:tc>
          <w:tcPr>
            <w:tcW w:w="1412" w:type="dxa"/>
            <w:tcBorders>
              <w:bottom w:val="nil"/>
            </w:tcBorders>
            <w:shd w:val="clear" w:color="auto" w:fill="auto"/>
            <w:vAlign w:val="center"/>
          </w:tcPr>
          <w:p w14:paraId="4DA5E4B6" w14:textId="77777777" w:rsidR="008B7E19" w:rsidRPr="003F4B3F" w:rsidRDefault="008B7E19" w:rsidP="008B7E19">
            <w:pPr>
              <w:pStyle w:val="08-Tabelageral"/>
              <w:rPr>
                <w:rFonts w:cs="Arial"/>
                <w:b/>
              </w:rPr>
            </w:pPr>
            <w:r>
              <w:rPr>
                <w:rFonts w:cs="Arial"/>
                <w:b/>
              </w:rPr>
              <w:t>--</w:t>
            </w:r>
          </w:p>
        </w:tc>
        <w:tc>
          <w:tcPr>
            <w:tcW w:w="283" w:type="dxa"/>
            <w:tcBorders>
              <w:bottom w:val="nil"/>
            </w:tcBorders>
            <w:shd w:val="clear" w:color="auto" w:fill="auto"/>
            <w:vAlign w:val="center"/>
          </w:tcPr>
          <w:p w14:paraId="7043F2C1" w14:textId="77777777" w:rsidR="008B7E19" w:rsidRPr="003F4B3F" w:rsidRDefault="008B7E19" w:rsidP="008B7E19">
            <w:pPr>
              <w:pStyle w:val="08-Tabelageral"/>
              <w:rPr>
                <w:rFonts w:cs="Arial"/>
                <w:b/>
                <w:szCs w:val="14"/>
              </w:rPr>
            </w:pPr>
          </w:p>
        </w:tc>
        <w:tc>
          <w:tcPr>
            <w:tcW w:w="1417" w:type="dxa"/>
            <w:tcBorders>
              <w:bottom w:val="nil"/>
            </w:tcBorders>
            <w:shd w:val="clear" w:color="auto" w:fill="auto"/>
            <w:vAlign w:val="center"/>
          </w:tcPr>
          <w:p w14:paraId="79C4D1BE" w14:textId="77777777" w:rsidR="008B7E19" w:rsidRPr="003F4B3F" w:rsidRDefault="008B7E19" w:rsidP="008B7E19">
            <w:pPr>
              <w:pStyle w:val="08-Tabelageral"/>
              <w:rPr>
                <w:rFonts w:cs="Arial"/>
                <w:b/>
                <w:szCs w:val="14"/>
              </w:rPr>
            </w:pPr>
            <w:r>
              <w:rPr>
                <w:rFonts w:cs="Arial"/>
                <w:b/>
                <w:szCs w:val="14"/>
              </w:rPr>
              <w:t>3,258</w:t>
            </w:r>
          </w:p>
        </w:tc>
        <w:tc>
          <w:tcPr>
            <w:tcW w:w="1418" w:type="dxa"/>
            <w:tcBorders>
              <w:bottom w:val="nil"/>
            </w:tcBorders>
            <w:shd w:val="clear" w:color="auto" w:fill="auto"/>
            <w:vAlign w:val="center"/>
          </w:tcPr>
          <w:p w14:paraId="0EAF5B24" w14:textId="77777777" w:rsidR="008B7E19" w:rsidRPr="003F4B3F" w:rsidRDefault="008B7E19" w:rsidP="008B7E19">
            <w:pPr>
              <w:pStyle w:val="08-Tabelageral"/>
              <w:rPr>
                <w:rFonts w:cs="Arial"/>
                <w:b/>
              </w:rPr>
            </w:pPr>
            <w:r>
              <w:rPr>
                <w:rFonts w:cs="Arial"/>
                <w:b/>
              </w:rPr>
              <w:t>3,289</w:t>
            </w:r>
          </w:p>
        </w:tc>
      </w:tr>
      <w:tr w:rsidR="008B7E19" w:rsidRPr="003F4B3F" w14:paraId="423C9D52" w14:textId="77777777" w:rsidTr="008875E7">
        <w:trPr>
          <w:trHeight w:val="238"/>
          <w:jc w:val="center"/>
        </w:trPr>
        <w:tc>
          <w:tcPr>
            <w:tcW w:w="3094" w:type="dxa"/>
            <w:shd w:val="clear" w:color="auto" w:fill="auto"/>
          </w:tcPr>
          <w:p w14:paraId="02984A78" w14:textId="77777777" w:rsidR="008B7E19" w:rsidRPr="003F4B3F" w:rsidRDefault="008B7E19" w:rsidP="008B7E19">
            <w:pPr>
              <w:pStyle w:val="08-Tabelageral"/>
              <w:jc w:val="left"/>
              <w:rPr>
                <w:rFonts w:cs="Arial"/>
                <w:b/>
                <w:szCs w:val="14"/>
              </w:rPr>
            </w:pPr>
            <w:r>
              <w:rPr>
                <w:b/>
                <w:lang w:val="en-US"/>
              </w:rPr>
              <w:t>Deferred t</w:t>
            </w:r>
            <w:r w:rsidRPr="00830A07">
              <w:rPr>
                <w:b/>
                <w:lang w:val="en-US"/>
              </w:rPr>
              <w:t xml:space="preserve">ax </w:t>
            </w:r>
            <w:r>
              <w:rPr>
                <w:b/>
                <w:lang w:val="en-US"/>
              </w:rPr>
              <w:t>a</w:t>
            </w:r>
            <w:r w:rsidRPr="00830A07">
              <w:rPr>
                <w:b/>
                <w:lang w:val="en-US"/>
              </w:rPr>
              <w:t>ssets</w:t>
            </w:r>
          </w:p>
        </w:tc>
        <w:tc>
          <w:tcPr>
            <w:tcW w:w="604" w:type="dxa"/>
            <w:shd w:val="clear" w:color="auto" w:fill="auto"/>
          </w:tcPr>
          <w:p w14:paraId="276D96C4" w14:textId="77777777" w:rsidR="008B7E19" w:rsidRPr="003F4B3F" w:rsidRDefault="008B7E19" w:rsidP="008B7E19">
            <w:pPr>
              <w:pStyle w:val="08-Tabelageral"/>
              <w:jc w:val="center"/>
              <w:rPr>
                <w:rFonts w:cs="Arial"/>
                <w:b/>
                <w:szCs w:val="14"/>
              </w:rPr>
            </w:pPr>
          </w:p>
        </w:tc>
        <w:tc>
          <w:tcPr>
            <w:tcW w:w="1411" w:type="dxa"/>
            <w:shd w:val="clear" w:color="auto" w:fill="auto"/>
            <w:vAlign w:val="center"/>
          </w:tcPr>
          <w:p w14:paraId="323DA763" w14:textId="77777777" w:rsidR="008B7E19" w:rsidRPr="003F4B3F" w:rsidRDefault="008B7E19" w:rsidP="008B7E19">
            <w:pPr>
              <w:pStyle w:val="08-Tabelageral"/>
              <w:rPr>
                <w:rFonts w:cs="Arial"/>
                <w:b/>
                <w:szCs w:val="14"/>
              </w:rPr>
            </w:pPr>
            <w:r>
              <w:rPr>
                <w:rFonts w:cs="Arial"/>
                <w:b/>
                <w:szCs w:val="14"/>
              </w:rPr>
              <w:t>20</w:t>
            </w:r>
          </w:p>
        </w:tc>
        <w:tc>
          <w:tcPr>
            <w:tcW w:w="1412" w:type="dxa"/>
            <w:shd w:val="clear" w:color="auto" w:fill="auto"/>
            <w:vAlign w:val="center"/>
          </w:tcPr>
          <w:p w14:paraId="024B44B4" w14:textId="77777777" w:rsidR="008B7E19" w:rsidRPr="003F4B3F" w:rsidRDefault="008B7E19" w:rsidP="008B7E19">
            <w:pPr>
              <w:pStyle w:val="08-Tabelageral"/>
              <w:rPr>
                <w:rFonts w:cs="Arial"/>
                <w:b/>
              </w:rPr>
            </w:pPr>
            <w:r>
              <w:rPr>
                <w:rFonts w:cs="Arial"/>
                <w:b/>
              </w:rPr>
              <w:t>--</w:t>
            </w:r>
          </w:p>
        </w:tc>
        <w:tc>
          <w:tcPr>
            <w:tcW w:w="283" w:type="dxa"/>
            <w:shd w:val="clear" w:color="auto" w:fill="auto"/>
            <w:vAlign w:val="center"/>
          </w:tcPr>
          <w:p w14:paraId="1C9768A9" w14:textId="77777777" w:rsidR="008B7E19" w:rsidRPr="003F4B3F" w:rsidRDefault="008B7E19" w:rsidP="008B7E19">
            <w:pPr>
              <w:pStyle w:val="08-Tabelageral"/>
              <w:rPr>
                <w:rFonts w:cs="Arial"/>
                <w:b/>
                <w:szCs w:val="14"/>
              </w:rPr>
            </w:pPr>
          </w:p>
        </w:tc>
        <w:tc>
          <w:tcPr>
            <w:tcW w:w="1417" w:type="dxa"/>
            <w:shd w:val="clear" w:color="auto" w:fill="auto"/>
            <w:vAlign w:val="center"/>
          </w:tcPr>
          <w:p w14:paraId="7796E8DF" w14:textId="77777777" w:rsidR="008B7E19" w:rsidRPr="003F4B3F" w:rsidRDefault="008B7E19" w:rsidP="008B7E19">
            <w:pPr>
              <w:pStyle w:val="08-Tabelageral"/>
              <w:rPr>
                <w:rFonts w:cs="Arial"/>
                <w:b/>
                <w:szCs w:val="14"/>
              </w:rPr>
            </w:pPr>
            <w:r>
              <w:rPr>
                <w:rFonts w:cs="Arial"/>
                <w:b/>
                <w:szCs w:val="14"/>
              </w:rPr>
              <w:t>3,258</w:t>
            </w:r>
          </w:p>
        </w:tc>
        <w:tc>
          <w:tcPr>
            <w:tcW w:w="1418" w:type="dxa"/>
            <w:shd w:val="clear" w:color="auto" w:fill="auto"/>
            <w:vAlign w:val="center"/>
          </w:tcPr>
          <w:p w14:paraId="73709CCF" w14:textId="77777777" w:rsidR="008B7E19" w:rsidRPr="003F4B3F" w:rsidRDefault="008B7E19" w:rsidP="008B7E19">
            <w:pPr>
              <w:pStyle w:val="08-Tabelageral"/>
              <w:rPr>
                <w:rFonts w:cs="Arial"/>
                <w:b/>
              </w:rPr>
            </w:pPr>
            <w:r>
              <w:rPr>
                <w:rFonts w:cs="Arial"/>
                <w:b/>
              </w:rPr>
              <w:t>3,289</w:t>
            </w:r>
          </w:p>
        </w:tc>
      </w:tr>
      <w:tr w:rsidR="008B7E19" w:rsidRPr="001D6BE8" w14:paraId="3B83594F" w14:textId="77777777" w:rsidTr="008875E7">
        <w:trPr>
          <w:trHeight w:val="238"/>
          <w:jc w:val="center"/>
        </w:trPr>
        <w:tc>
          <w:tcPr>
            <w:tcW w:w="3094" w:type="dxa"/>
            <w:tcBorders>
              <w:bottom w:val="nil"/>
            </w:tcBorders>
            <w:shd w:val="clear" w:color="auto" w:fill="auto"/>
          </w:tcPr>
          <w:p w14:paraId="2A6C30D3" w14:textId="77777777" w:rsidR="008B7E19" w:rsidRPr="00C806B0" w:rsidRDefault="008B7E19" w:rsidP="008B7E19">
            <w:pPr>
              <w:pStyle w:val="08-Tabelageral"/>
              <w:ind w:left="113"/>
              <w:jc w:val="left"/>
              <w:rPr>
                <w:rFonts w:cs="Arial"/>
                <w:b/>
                <w:szCs w:val="14"/>
              </w:rPr>
            </w:pPr>
            <w:r>
              <w:rPr>
                <w:rFonts w:ascii="ArialMT" w:hAnsi="ArialMT" w:cs="ArialMT"/>
                <w:szCs w:val="14"/>
              </w:rPr>
              <w:t>Temporary differences</w:t>
            </w:r>
          </w:p>
        </w:tc>
        <w:tc>
          <w:tcPr>
            <w:tcW w:w="604" w:type="dxa"/>
            <w:tcBorders>
              <w:bottom w:val="nil"/>
            </w:tcBorders>
            <w:shd w:val="clear" w:color="auto" w:fill="auto"/>
          </w:tcPr>
          <w:p w14:paraId="1399E6EC" w14:textId="77777777" w:rsidR="008B7E19" w:rsidRPr="00C806B0" w:rsidRDefault="008B7E19" w:rsidP="008B7E19">
            <w:pPr>
              <w:pStyle w:val="08-Tabelageral"/>
              <w:ind w:left="113"/>
              <w:jc w:val="center"/>
              <w:rPr>
                <w:rFonts w:cs="Arial"/>
                <w:szCs w:val="14"/>
              </w:rPr>
            </w:pPr>
          </w:p>
        </w:tc>
        <w:tc>
          <w:tcPr>
            <w:tcW w:w="1411" w:type="dxa"/>
            <w:tcBorders>
              <w:bottom w:val="nil"/>
            </w:tcBorders>
            <w:shd w:val="clear" w:color="auto" w:fill="auto"/>
            <w:vAlign w:val="center"/>
          </w:tcPr>
          <w:p w14:paraId="123C9E2A" w14:textId="77777777" w:rsidR="008B7E19" w:rsidRPr="00C806B0" w:rsidRDefault="008B7E19" w:rsidP="008B7E19">
            <w:pPr>
              <w:pStyle w:val="08-Tabelageral"/>
              <w:ind w:left="113"/>
              <w:rPr>
                <w:rFonts w:cs="Arial"/>
                <w:szCs w:val="14"/>
              </w:rPr>
            </w:pPr>
            <w:r>
              <w:rPr>
                <w:rFonts w:cs="Arial"/>
                <w:szCs w:val="14"/>
              </w:rPr>
              <w:t>20</w:t>
            </w:r>
          </w:p>
        </w:tc>
        <w:tc>
          <w:tcPr>
            <w:tcW w:w="1412" w:type="dxa"/>
            <w:tcBorders>
              <w:bottom w:val="nil"/>
            </w:tcBorders>
            <w:shd w:val="clear" w:color="auto" w:fill="auto"/>
            <w:vAlign w:val="center"/>
          </w:tcPr>
          <w:p w14:paraId="3A8C6E1A" w14:textId="77777777" w:rsidR="008B7E19" w:rsidRPr="00C806B0" w:rsidRDefault="008B7E19" w:rsidP="008B7E19">
            <w:pPr>
              <w:pStyle w:val="08-Tabelageral"/>
              <w:rPr>
                <w:rFonts w:cs="Arial"/>
              </w:rPr>
            </w:pPr>
            <w:r>
              <w:rPr>
                <w:rFonts w:cs="Arial"/>
              </w:rPr>
              <w:t>--</w:t>
            </w:r>
          </w:p>
        </w:tc>
        <w:tc>
          <w:tcPr>
            <w:tcW w:w="283" w:type="dxa"/>
            <w:tcBorders>
              <w:bottom w:val="nil"/>
            </w:tcBorders>
            <w:shd w:val="clear" w:color="auto" w:fill="auto"/>
            <w:vAlign w:val="center"/>
          </w:tcPr>
          <w:p w14:paraId="3868A1CE" w14:textId="77777777" w:rsidR="008B7E19" w:rsidRPr="00C806B0" w:rsidRDefault="008B7E19" w:rsidP="008B7E19">
            <w:pPr>
              <w:pStyle w:val="08-Tabelageral"/>
              <w:ind w:left="113"/>
              <w:rPr>
                <w:rFonts w:cs="Arial"/>
                <w:szCs w:val="14"/>
              </w:rPr>
            </w:pPr>
          </w:p>
        </w:tc>
        <w:tc>
          <w:tcPr>
            <w:tcW w:w="1417" w:type="dxa"/>
            <w:tcBorders>
              <w:bottom w:val="nil"/>
            </w:tcBorders>
            <w:shd w:val="clear" w:color="auto" w:fill="auto"/>
            <w:vAlign w:val="center"/>
          </w:tcPr>
          <w:p w14:paraId="211424D1" w14:textId="77777777" w:rsidR="008B7E19" w:rsidRPr="00C806B0" w:rsidRDefault="008B7E19" w:rsidP="008B7E19">
            <w:pPr>
              <w:pStyle w:val="08-Tabelageral"/>
              <w:ind w:left="113"/>
              <w:rPr>
                <w:rFonts w:cs="Arial"/>
                <w:szCs w:val="14"/>
              </w:rPr>
            </w:pPr>
            <w:r>
              <w:rPr>
                <w:rFonts w:cs="Arial"/>
                <w:szCs w:val="14"/>
              </w:rPr>
              <w:t>3,258</w:t>
            </w:r>
          </w:p>
        </w:tc>
        <w:tc>
          <w:tcPr>
            <w:tcW w:w="1418" w:type="dxa"/>
            <w:tcBorders>
              <w:bottom w:val="nil"/>
            </w:tcBorders>
            <w:shd w:val="clear" w:color="auto" w:fill="auto"/>
            <w:vAlign w:val="center"/>
          </w:tcPr>
          <w:p w14:paraId="1CD53C9F" w14:textId="77777777" w:rsidR="008B7E19" w:rsidRPr="00C806B0" w:rsidRDefault="008B7E19" w:rsidP="008B7E19">
            <w:pPr>
              <w:pStyle w:val="08-Tabelageral"/>
              <w:rPr>
                <w:rFonts w:cs="Arial"/>
              </w:rPr>
            </w:pPr>
            <w:r>
              <w:rPr>
                <w:rFonts w:cs="Arial"/>
              </w:rPr>
              <w:t>3,289</w:t>
            </w:r>
          </w:p>
        </w:tc>
      </w:tr>
      <w:tr w:rsidR="008B7E19" w:rsidRPr="003F4B3F" w14:paraId="32774B7D" w14:textId="77777777" w:rsidTr="008875E7">
        <w:trPr>
          <w:trHeight w:val="238"/>
          <w:jc w:val="center"/>
        </w:trPr>
        <w:tc>
          <w:tcPr>
            <w:tcW w:w="3094" w:type="dxa"/>
            <w:tcBorders>
              <w:top w:val="nil"/>
              <w:bottom w:val="single" w:sz="2" w:space="0" w:color="1F4E79" w:themeColor="accent1" w:themeShade="80"/>
            </w:tcBorders>
            <w:shd w:val="clear" w:color="auto" w:fill="auto"/>
          </w:tcPr>
          <w:p w14:paraId="3905F25B" w14:textId="77777777" w:rsidR="008B7E19" w:rsidRPr="003F4B3F" w:rsidRDefault="008B7E19" w:rsidP="008B7E19">
            <w:pPr>
              <w:pStyle w:val="08-Tabelageral"/>
              <w:jc w:val="left"/>
              <w:rPr>
                <w:rFonts w:cs="Arial"/>
                <w:b/>
                <w:szCs w:val="14"/>
              </w:rPr>
            </w:pPr>
            <w:r w:rsidRPr="003F4B3F">
              <w:rPr>
                <w:rFonts w:cs="Arial"/>
                <w:b/>
              </w:rPr>
              <w:t xml:space="preserve">Total </w:t>
            </w:r>
          </w:p>
        </w:tc>
        <w:tc>
          <w:tcPr>
            <w:tcW w:w="604" w:type="dxa"/>
            <w:tcBorders>
              <w:top w:val="nil"/>
              <w:bottom w:val="single" w:sz="2" w:space="0" w:color="1F4E79" w:themeColor="accent1" w:themeShade="80"/>
            </w:tcBorders>
            <w:shd w:val="clear" w:color="auto" w:fill="auto"/>
          </w:tcPr>
          <w:p w14:paraId="342F71EA" w14:textId="77777777" w:rsidR="008B7E19" w:rsidRPr="003F4B3F" w:rsidRDefault="008B7E19" w:rsidP="008B7E19">
            <w:pPr>
              <w:pStyle w:val="08-Tabelageral"/>
              <w:jc w:val="center"/>
              <w:rPr>
                <w:rFonts w:cs="Arial"/>
                <w:b/>
                <w:szCs w:val="14"/>
              </w:rPr>
            </w:pPr>
          </w:p>
        </w:tc>
        <w:tc>
          <w:tcPr>
            <w:tcW w:w="1411" w:type="dxa"/>
            <w:tcBorders>
              <w:top w:val="nil"/>
              <w:bottom w:val="single" w:sz="2" w:space="0" w:color="1F4E79" w:themeColor="accent1" w:themeShade="80"/>
            </w:tcBorders>
            <w:shd w:val="clear" w:color="auto" w:fill="auto"/>
            <w:vAlign w:val="center"/>
          </w:tcPr>
          <w:p w14:paraId="1B31E438" w14:textId="77777777" w:rsidR="008B7E19" w:rsidRPr="003F4B3F" w:rsidRDefault="008B7E19" w:rsidP="008B7E19">
            <w:pPr>
              <w:pStyle w:val="08-Tabelageral"/>
              <w:rPr>
                <w:rFonts w:cs="Arial"/>
                <w:b/>
                <w:szCs w:val="14"/>
              </w:rPr>
            </w:pPr>
            <w:r>
              <w:rPr>
                <w:rFonts w:cs="Arial"/>
                <w:b/>
                <w:szCs w:val="14"/>
              </w:rPr>
              <w:t>(233)</w:t>
            </w:r>
          </w:p>
        </w:tc>
        <w:tc>
          <w:tcPr>
            <w:tcW w:w="1412" w:type="dxa"/>
            <w:tcBorders>
              <w:top w:val="nil"/>
              <w:bottom w:val="single" w:sz="2" w:space="0" w:color="1F4E79" w:themeColor="accent1" w:themeShade="80"/>
            </w:tcBorders>
            <w:shd w:val="clear" w:color="auto" w:fill="auto"/>
            <w:vAlign w:val="center"/>
          </w:tcPr>
          <w:p w14:paraId="640CF363" w14:textId="77777777" w:rsidR="008B7E19" w:rsidRPr="003F4B3F" w:rsidRDefault="008B7E19" w:rsidP="008B7E19">
            <w:pPr>
              <w:pStyle w:val="08-Tabelageral"/>
              <w:rPr>
                <w:rFonts w:cs="Arial"/>
                <w:b/>
              </w:rPr>
            </w:pPr>
            <w:r w:rsidRPr="0051379D">
              <w:rPr>
                <w:rFonts w:cs="Arial"/>
                <w:b/>
              </w:rPr>
              <w:t>186</w:t>
            </w:r>
          </w:p>
        </w:tc>
        <w:tc>
          <w:tcPr>
            <w:tcW w:w="283" w:type="dxa"/>
            <w:tcBorders>
              <w:top w:val="nil"/>
              <w:bottom w:val="single" w:sz="2" w:space="0" w:color="1F4E79" w:themeColor="accent1" w:themeShade="80"/>
            </w:tcBorders>
            <w:shd w:val="clear" w:color="auto" w:fill="auto"/>
            <w:vAlign w:val="center"/>
          </w:tcPr>
          <w:p w14:paraId="5FE1FBE6" w14:textId="77777777" w:rsidR="008B7E19" w:rsidRPr="003F4B3F" w:rsidRDefault="008B7E19" w:rsidP="008B7E19">
            <w:pPr>
              <w:pStyle w:val="08-Tabelageral"/>
              <w:rPr>
                <w:rFonts w:cs="Arial"/>
                <w:b/>
                <w:szCs w:val="14"/>
              </w:rPr>
            </w:pPr>
          </w:p>
        </w:tc>
        <w:tc>
          <w:tcPr>
            <w:tcW w:w="1417" w:type="dxa"/>
            <w:tcBorders>
              <w:top w:val="nil"/>
              <w:bottom w:val="single" w:sz="2" w:space="0" w:color="1F4E79" w:themeColor="accent1" w:themeShade="80"/>
            </w:tcBorders>
            <w:shd w:val="clear" w:color="auto" w:fill="auto"/>
            <w:vAlign w:val="center"/>
          </w:tcPr>
          <w:p w14:paraId="7B8985B6" w14:textId="77777777" w:rsidR="008B7E19" w:rsidRPr="003F4B3F" w:rsidRDefault="008B7E19" w:rsidP="008B7E19">
            <w:pPr>
              <w:pStyle w:val="08-Tabelageral"/>
              <w:rPr>
                <w:rFonts w:cs="Arial"/>
                <w:b/>
                <w:szCs w:val="14"/>
              </w:rPr>
            </w:pPr>
            <w:r>
              <w:rPr>
                <w:rFonts w:cs="Arial"/>
                <w:b/>
                <w:szCs w:val="14"/>
              </w:rPr>
              <w:t>(373,823)</w:t>
            </w:r>
          </w:p>
        </w:tc>
        <w:tc>
          <w:tcPr>
            <w:tcW w:w="1418" w:type="dxa"/>
            <w:tcBorders>
              <w:top w:val="nil"/>
              <w:bottom w:val="single" w:sz="2" w:space="0" w:color="1F4E79" w:themeColor="accent1" w:themeShade="80"/>
            </w:tcBorders>
            <w:shd w:val="clear" w:color="auto" w:fill="auto"/>
            <w:vAlign w:val="center"/>
          </w:tcPr>
          <w:p w14:paraId="65DB8B2E" w14:textId="77777777" w:rsidR="008B7E19" w:rsidRPr="003F4B3F" w:rsidRDefault="008B7E19" w:rsidP="008B7E19">
            <w:pPr>
              <w:pStyle w:val="08-Tabelageral"/>
              <w:rPr>
                <w:rFonts w:cs="Arial"/>
                <w:b/>
              </w:rPr>
            </w:pPr>
            <w:r>
              <w:rPr>
                <w:rFonts w:cs="Arial"/>
                <w:b/>
              </w:rPr>
              <w:t>(328,299)</w:t>
            </w:r>
          </w:p>
        </w:tc>
      </w:tr>
    </w:tbl>
    <w:p w14:paraId="2597C3D8" w14:textId="77777777" w:rsidR="008B7E19" w:rsidRDefault="008B7E19" w:rsidP="008B7E19">
      <w:pPr>
        <w:spacing w:after="0"/>
        <w:jc w:val="right"/>
        <w:rPr>
          <w:rFonts w:cs="Arial"/>
          <w:b/>
          <w:sz w:val="14"/>
          <w:lang w:eastAsia="pt-BR"/>
        </w:rPr>
      </w:pPr>
    </w:p>
    <w:p w14:paraId="4A40E93E" w14:textId="77777777" w:rsidR="008B7E19" w:rsidRDefault="008B7E19" w:rsidP="008B7E19">
      <w:pPr>
        <w:spacing w:after="0"/>
        <w:jc w:val="right"/>
        <w:rPr>
          <w:rFonts w:cs="Arial"/>
          <w:b/>
          <w:sz w:val="14"/>
          <w:lang w:eastAsia="pt-BR"/>
        </w:rPr>
      </w:pPr>
    </w:p>
    <w:p w14:paraId="3740DD12" w14:textId="77777777" w:rsidR="008B7E19" w:rsidRDefault="008B7E19" w:rsidP="008B7E19">
      <w:pPr>
        <w:spacing w:after="0"/>
        <w:jc w:val="right"/>
        <w:rPr>
          <w:rFonts w:cs="Arial"/>
          <w:b/>
          <w:sz w:val="14"/>
          <w:lang w:eastAsia="pt-BR"/>
        </w:rPr>
      </w:pPr>
      <w:r w:rsidRPr="00E17E71">
        <w:rPr>
          <w:rFonts w:cs="Arial"/>
          <w:b/>
          <w:sz w:val="14"/>
          <w:lang w:eastAsia="pt-BR"/>
        </w:rPr>
        <w:t>R$ thousand</w:t>
      </w:r>
    </w:p>
    <w:tbl>
      <w:tblPr>
        <w:tblW w:w="9639" w:type="dxa"/>
        <w:jc w:val="center"/>
        <w:tblBorders>
          <w:top w:val="single" w:sz="2" w:space="0" w:color="8EAADB" w:themeColor="accent5" w:themeTint="99"/>
          <w:bottom w:val="single" w:sz="2" w:space="0" w:color="8EAADB" w:themeColor="accent5" w:themeTint="99"/>
        </w:tblBorders>
        <w:tblLook w:val="04A0" w:firstRow="1" w:lastRow="0" w:firstColumn="1" w:lastColumn="0" w:noHBand="0" w:noVBand="1"/>
      </w:tblPr>
      <w:tblGrid>
        <w:gridCol w:w="3094"/>
        <w:gridCol w:w="604"/>
        <w:gridCol w:w="1411"/>
        <w:gridCol w:w="1412"/>
        <w:gridCol w:w="283"/>
        <w:gridCol w:w="1417"/>
        <w:gridCol w:w="1418"/>
      </w:tblGrid>
      <w:tr w:rsidR="008B7E19" w:rsidRPr="003F4B3F" w14:paraId="6064AAF3" w14:textId="77777777" w:rsidTr="008875E7">
        <w:trPr>
          <w:trHeight w:val="238"/>
          <w:jc w:val="center"/>
        </w:trPr>
        <w:tc>
          <w:tcPr>
            <w:tcW w:w="3094" w:type="dxa"/>
            <w:tcBorders>
              <w:top w:val="single" w:sz="2" w:space="0" w:color="1F4E79" w:themeColor="accent1" w:themeShade="80"/>
              <w:bottom w:val="nil"/>
            </w:tcBorders>
            <w:shd w:val="clear" w:color="auto" w:fill="auto"/>
            <w:vAlign w:val="center"/>
          </w:tcPr>
          <w:p w14:paraId="4E6DC472" w14:textId="77777777" w:rsidR="008B7E19" w:rsidRPr="003F4B3F" w:rsidRDefault="008B7E19" w:rsidP="008B7E19">
            <w:pPr>
              <w:spacing w:after="0"/>
              <w:jc w:val="center"/>
              <w:rPr>
                <w:rFonts w:cs="Arial"/>
                <w:b/>
                <w:szCs w:val="18"/>
              </w:rPr>
            </w:pPr>
          </w:p>
        </w:tc>
        <w:tc>
          <w:tcPr>
            <w:tcW w:w="604" w:type="dxa"/>
            <w:tcBorders>
              <w:top w:val="single" w:sz="2" w:space="0" w:color="1F4E79" w:themeColor="accent1" w:themeShade="80"/>
              <w:bottom w:val="nil"/>
            </w:tcBorders>
            <w:shd w:val="clear" w:color="auto" w:fill="auto"/>
            <w:vAlign w:val="center"/>
          </w:tcPr>
          <w:p w14:paraId="64161923" w14:textId="77777777" w:rsidR="008B7E19" w:rsidRPr="003F4B3F" w:rsidRDefault="008B7E19" w:rsidP="008B7E19">
            <w:pPr>
              <w:spacing w:after="0"/>
              <w:jc w:val="center"/>
              <w:rPr>
                <w:rFonts w:cs="Arial"/>
                <w:b/>
                <w:szCs w:val="18"/>
              </w:rPr>
            </w:pPr>
          </w:p>
        </w:tc>
        <w:tc>
          <w:tcPr>
            <w:tcW w:w="2823" w:type="dxa"/>
            <w:gridSpan w:val="2"/>
            <w:tcBorders>
              <w:top w:val="single" w:sz="2" w:space="0" w:color="1F4E79" w:themeColor="accent1" w:themeShade="80"/>
              <w:bottom w:val="single" w:sz="2" w:space="0" w:color="1F4E79" w:themeColor="accent1" w:themeShade="80"/>
            </w:tcBorders>
            <w:shd w:val="clear" w:color="auto" w:fill="auto"/>
            <w:vAlign w:val="center"/>
          </w:tcPr>
          <w:p w14:paraId="3ECF37BF" w14:textId="77777777" w:rsidR="008B7E19" w:rsidRPr="00EC4649" w:rsidRDefault="008B7E19" w:rsidP="008B7E19">
            <w:pPr>
              <w:spacing w:after="0"/>
              <w:jc w:val="center"/>
              <w:rPr>
                <w:rFonts w:cs="Arial"/>
                <w:b/>
                <w:sz w:val="14"/>
                <w:szCs w:val="18"/>
              </w:rPr>
            </w:pPr>
            <w:r w:rsidRPr="00EC4649">
              <w:rPr>
                <w:rFonts w:cs="Arial"/>
                <w:b/>
                <w:sz w:val="14"/>
                <w:szCs w:val="18"/>
              </w:rPr>
              <w:t>Parent</w:t>
            </w:r>
          </w:p>
        </w:tc>
        <w:tc>
          <w:tcPr>
            <w:tcW w:w="283" w:type="dxa"/>
            <w:tcBorders>
              <w:top w:val="single" w:sz="2" w:space="0" w:color="1F4E79" w:themeColor="accent1" w:themeShade="80"/>
              <w:bottom w:val="nil"/>
            </w:tcBorders>
            <w:shd w:val="clear" w:color="auto" w:fill="auto"/>
            <w:vAlign w:val="center"/>
          </w:tcPr>
          <w:p w14:paraId="2E9A60AC" w14:textId="77777777" w:rsidR="008B7E19" w:rsidRPr="003F4B3F" w:rsidRDefault="008B7E19" w:rsidP="008B7E19">
            <w:pPr>
              <w:spacing w:after="0"/>
              <w:jc w:val="center"/>
              <w:rPr>
                <w:rFonts w:cs="Arial"/>
                <w:b/>
                <w:szCs w:val="18"/>
              </w:rPr>
            </w:pPr>
          </w:p>
        </w:tc>
        <w:tc>
          <w:tcPr>
            <w:tcW w:w="2835" w:type="dxa"/>
            <w:gridSpan w:val="2"/>
            <w:tcBorders>
              <w:top w:val="single" w:sz="2" w:space="0" w:color="1F4E79" w:themeColor="accent1" w:themeShade="80"/>
              <w:bottom w:val="single" w:sz="2" w:space="0" w:color="1F4E79" w:themeColor="accent1" w:themeShade="80"/>
            </w:tcBorders>
            <w:shd w:val="clear" w:color="auto" w:fill="auto"/>
            <w:vAlign w:val="center"/>
          </w:tcPr>
          <w:p w14:paraId="737B687E" w14:textId="77777777" w:rsidR="008B7E19" w:rsidRPr="00EC4649" w:rsidRDefault="008B7E19" w:rsidP="008B7E19">
            <w:pPr>
              <w:spacing w:after="0"/>
              <w:jc w:val="center"/>
              <w:rPr>
                <w:rFonts w:cs="Arial"/>
                <w:b/>
                <w:szCs w:val="18"/>
              </w:rPr>
            </w:pPr>
            <w:r w:rsidRPr="00EC4649">
              <w:rPr>
                <w:rFonts w:cs="Arial"/>
                <w:b/>
                <w:sz w:val="14"/>
                <w:szCs w:val="18"/>
              </w:rPr>
              <w:t>Consolidated</w:t>
            </w:r>
          </w:p>
        </w:tc>
      </w:tr>
      <w:tr w:rsidR="008B7E19" w:rsidRPr="003F4B3F" w14:paraId="17664607" w14:textId="77777777" w:rsidTr="008875E7">
        <w:trPr>
          <w:trHeight w:val="238"/>
          <w:jc w:val="center"/>
        </w:trPr>
        <w:tc>
          <w:tcPr>
            <w:tcW w:w="3094" w:type="dxa"/>
            <w:tcBorders>
              <w:top w:val="nil"/>
              <w:bottom w:val="single" w:sz="2" w:space="0" w:color="1F4E79" w:themeColor="accent1" w:themeShade="80"/>
            </w:tcBorders>
            <w:shd w:val="clear" w:color="auto" w:fill="auto"/>
            <w:vAlign w:val="center"/>
          </w:tcPr>
          <w:p w14:paraId="10FF0BD0" w14:textId="77777777" w:rsidR="008B7E19" w:rsidRPr="003F4B3F" w:rsidRDefault="008B7E19" w:rsidP="008B7E19">
            <w:pPr>
              <w:pStyle w:val="08-Tabelageral"/>
              <w:rPr>
                <w:rFonts w:cs="Arial"/>
                <w:b/>
              </w:rPr>
            </w:pPr>
          </w:p>
        </w:tc>
        <w:tc>
          <w:tcPr>
            <w:tcW w:w="604" w:type="dxa"/>
            <w:tcBorders>
              <w:top w:val="nil"/>
              <w:bottom w:val="single" w:sz="2" w:space="0" w:color="1F4E79" w:themeColor="accent1" w:themeShade="80"/>
            </w:tcBorders>
            <w:shd w:val="clear" w:color="auto" w:fill="auto"/>
            <w:vAlign w:val="center"/>
          </w:tcPr>
          <w:p w14:paraId="2374F4BE" w14:textId="77777777" w:rsidR="008B7E19" w:rsidRPr="00874161" w:rsidRDefault="008B7E19" w:rsidP="008B7E19">
            <w:pPr>
              <w:pStyle w:val="08-Tabelageral"/>
              <w:rPr>
                <w:rFonts w:cs="Arial"/>
                <w:b/>
              </w:rPr>
            </w:pPr>
          </w:p>
        </w:tc>
        <w:tc>
          <w:tcPr>
            <w:tcW w:w="1411" w:type="dxa"/>
            <w:tcBorders>
              <w:top w:val="single" w:sz="2" w:space="0" w:color="1F4E79" w:themeColor="accent1" w:themeShade="80"/>
              <w:bottom w:val="single" w:sz="2" w:space="0" w:color="1F4E79" w:themeColor="accent1" w:themeShade="80"/>
            </w:tcBorders>
            <w:shd w:val="clear" w:color="auto" w:fill="auto"/>
          </w:tcPr>
          <w:p w14:paraId="58DDF01E" w14:textId="77777777" w:rsidR="008B7E19" w:rsidRPr="00181FA4" w:rsidRDefault="008B7E19" w:rsidP="008B7E19">
            <w:pPr>
              <w:pStyle w:val="08-Tabelageral"/>
              <w:rPr>
                <w:rFonts w:cs="Arial"/>
                <w:b/>
              </w:rPr>
            </w:pPr>
            <w:r>
              <w:rPr>
                <w:b/>
              </w:rPr>
              <w:t>1</w:t>
            </w:r>
            <w:r>
              <w:rPr>
                <w:b/>
                <w:vertAlign w:val="superscript"/>
              </w:rPr>
              <w:t xml:space="preserve">st </w:t>
            </w:r>
            <w:r>
              <w:rPr>
                <w:b/>
              </w:rPr>
              <w:t>Half 2023</w:t>
            </w:r>
          </w:p>
        </w:tc>
        <w:tc>
          <w:tcPr>
            <w:tcW w:w="1412" w:type="dxa"/>
            <w:tcBorders>
              <w:top w:val="single" w:sz="2" w:space="0" w:color="1F4E79" w:themeColor="accent1" w:themeShade="80"/>
              <w:bottom w:val="single" w:sz="2" w:space="0" w:color="1F4E79" w:themeColor="accent1" w:themeShade="80"/>
            </w:tcBorders>
            <w:shd w:val="clear" w:color="auto" w:fill="auto"/>
          </w:tcPr>
          <w:p w14:paraId="55519998" w14:textId="77777777" w:rsidR="008B7E19" w:rsidRPr="00874161" w:rsidRDefault="008B7E19" w:rsidP="008B7E19">
            <w:pPr>
              <w:pStyle w:val="08-Tabelageral"/>
              <w:rPr>
                <w:rFonts w:cs="Arial"/>
                <w:b/>
              </w:rPr>
            </w:pPr>
            <w:r>
              <w:rPr>
                <w:b/>
              </w:rPr>
              <w:t>1</w:t>
            </w:r>
            <w:r>
              <w:rPr>
                <w:b/>
                <w:vertAlign w:val="superscript"/>
              </w:rPr>
              <w:t xml:space="preserve">st </w:t>
            </w:r>
            <w:r>
              <w:rPr>
                <w:b/>
              </w:rPr>
              <w:t>Half 2022</w:t>
            </w:r>
          </w:p>
        </w:tc>
        <w:tc>
          <w:tcPr>
            <w:tcW w:w="283" w:type="dxa"/>
            <w:tcBorders>
              <w:top w:val="nil"/>
              <w:bottom w:val="single" w:sz="2" w:space="0" w:color="1F4E79" w:themeColor="accent1" w:themeShade="80"/>
            </w:tcBorders>
            <w:shd w:val="clear" w:color="auto" w:fill="auto"/>
          </w:tcPr>
          <w:p w14:paraId="367E4F3C" w14:textId="77777777" w:rsidR="008B7E19" w:rsidRPr="00874161" w:rsidRDefault="008B7E19" w:rsidP="008B7E19">
            <w:pPr>
              <w:pStyle w:val="08-Tabelageral"/>
              <w:rPr>
                <w:rFonts w:cs="Arial"/>
                <w:b/>
              </w:rPr>
            </w:pPr>
          </w:p>
        </w:tc>
        <w:tc>
          <w:tcPr>
            <w:tcW w:w="1417" w:type="dxa"/>
            <w:tcBorders>
              <w:top w:val="single" w:sz="2" w:space="0" w:color="1F4E79" w:themeColor="accent1" w:themeShade="80"/>
              <w:bottom w:val="single" w:sz="2" w:space="0" w:color="1F4E79" w:themeColor="accent1" w:themeShade="80"/>
            </w:tcBorders>
            <w:shd w:val="clear" w:color="auto" w:fill="auto"/>
          </w:tcPr>
          <w:p w14:paraId="26B283AB" w14:textId="77777777" w:rsidR="008B7E19" w:rsidRPr="00874161" w:rsidRDefault="008B7E19" w:rsidP="008B7E19">
            <w:pPr>
              <w:pStyle w:val="08-Tabelageral"/>
              <w:rPr>
                <w:rFonts w:cs="Arial"/>
                <w:b/>
              </w:rPr>
            </w:pPr>
            <w:r>
              <w:rPr>
                <w:b/>
              </w:rPr>
              <w:t>1</w:t>
            </w:r>
            <w:r>
              <w:rPr>
                <w:b/>
                <w:vertAlign w:val="superscript"/>
              </w:rPr>
              <w:t xml:space="preserve">st </w:t>
            </w:r>
            <w:r>
              <w:rPr>
                <w:b/>
              </w:rPr>
              <w:t>Half 2023</w:t>
            </w:r>
          </w:p>
        </w:tc>
        <w:tc>
          <w:tcPr>
            <w:tcW w:w="1418" w:type="dxa"/>
            <w:tcBorders>
              <w:top w:val="single" w:sz="2" w:space="0" w:color="1F4E79" w:themeColor="accent1" w:themeShade="80"/>
              <w:bottom w:val="single" w:sz="2" w:space="0" w:color="1F4E79" w:themeColor="accent1" w:themeShade="80"/>
            </w:tcBorders>
            <w:shd w:val="clear" w:color="auto" w:fill="auto"/>
          </w:tcPr>
          <w:p w14:paraId="29720CEA" w14:textId="77777777" w:rsidR="008B7E19" w:rsidRPr="00874161" w:rsidRDefault="008B7E19" w:rsidP="008B7E19">
            <w:pPr>
              <w:pStyle w:val="08-Tabelageral"/>
              <w:rPr>
                <w:rFonts w:cs="Arial"/>
                <w:b/>
              </w:rPr>
            </w:pPr>
            <w:r>
              <w:rPr>
                <w:b/>
              </w:rPr>
              <w:t>1</w:t>
            </w:r>
            <w:r>
              <w:rPr>
                <w:b/>
                <w:vertAlign w:val="superscript"/>
              </w:rPr>
              <w:t xml:space="preserve">st </w:t>
            </w:r>
            <w:r>
              <w:rPr>
                <w:b/>
              </w:rPr>
              <w:t>Half 2022</w:t>
            </w:r>
          </w:p>
        </w:tc>
      </w:tr>
      <w:tr w:rsidR="008B7E19" w:rsidRPr="003F4B3F" w14:paraId="4D978B32" w14:textId="77777777" w:rsidTr="008875E7">
        <w:trPr>
          <w:trHeight w:val="238"/>
          <w:jc w:val="center"/>
        </w:trPr>
        <w:tc>
          <w:tcPr>
            <w:tcW w:w="3094" w:type="dxa"/>
            <w:tcBorders>
              <w:top w:val="single" w:sz="2" w:space="0" w:color="1F4E79" w:themeColor="accent1" w:themeShade="80"/>
              <w:bottom w:val="nil"/>
            </w:tcBorders>
            <w:shd w:val="clear" w:color="auto" w:fill="auto"/>
          </w:tcPr>
          <w:p w14:paraId="499925ED" w14:textId="77777777" w:rsidR="008B7E19" w:rsidRPr="003F4B3F" w:rsidRDefault="008B7E19" w:rsidP="008B7E19">
            <w:pPr>
              <w:pStyle w:val="08-Tabelageral"/>
              <w:jc w:val="left"/>
              <w:rPr>
                <w:rFonts w:cs="Arial"/>
                <w:b/>
                <w:bCs/>
                <w:szCs w:val="14"/>
              </w:rPr>
            </w:pPr>
            <w:r>
              <w:rPr>
                <w:rFonts w:cs="Arial"/>
                <w:b/>
                <w:szCs w:val="14"/>
              </w:rPr>
              <w:t>Current values</w:t>
            </w:r>
          </w:p>
        </w:tc>
        <w:tc>
          <w:tcPr>
            <w:tcW w:w="604" w:type="dxa"/>
            <w:tcBorders>
              <w:top w:val="single" w:sz="2" w:space="0" w:color="1F4E79" w:themeColor="accent1" w:themeShade="80"/>
              <w:bottom w:val="nil"/>
            </w:tcBorders>
            <w:shd w:val="clear" w:color="auto" w:fill="auto"/>
          </w:tcPr>
          <w:p w14:paraId="1350D575" w14:textId="77777777" w:rsidR="008B7E19" w:rsidRPr="003F4B3F" w:rsidRDefault="008B7E19" w:rsidP="008B7E19">
            <w:pPr>
              <w:pStyle w:val="08-Tabelageral"/>
              <w:jc w:val="center"/>
              <w:rPr>
                <w:rFonts w:cs="Arial"/>
                <w:b/>
                <w:szCs w:val="14"/>
              </w:rPr>
            </w:pPr>
          </w:p>
        </w:tc>
        <w:tc>
          <w:tcPr>
            <w:tcW w:w="1411" w:type="dxa"/>
            <w:tcBorders>
              <w:top w:val="single" w:sz="2" w:space="0" w:color="1F4E79" w:themeColor="accent1" w:themeShade="80"/>
              <w:bottom w:val="nil"/>
            </w:tcBorders>
            <w:shd w:val="clear" w:color="auto" w:fill="auto"/>
            <w:vAlign w:val="center"/>
          </w:tcPr>
          <w:p w14:paraId="1F19B39C" w14:textId="77777777" w:rsidR="008B7E19" w:rsidRPr="003F4B3F" w:rsidRDefault="008B7E19" w:rsidP="008B7E19">
            <w:pPr>
              <w:pStyle w:val="08-Tabelageral"/>
              <w:rPr>
                <w:rFonts w:cs="Arial"/>
                <w:b/>
                <w:szCs w:val="14"/>
              </w:rPr>
            </w:pPr>
            <w:r>
              <w:rPr>
                <w:rFonts w:cs="Arial"/>
                <w:b/>
                <w:szCs w:val="14"/>
              </w:rPr>
              <w:t>(253)</w:t>
            </w:r>
          </w:p>
        </w:tc>
        <w:tc>
          <w:tcPr>
            <w:tcW w:w="1412" w:type="dxa"/>
            <w:tcBorders>
              <w:top w:val="single" w:sz="2" w:space="0" w:color="1F4E79" w:themeColor="accent1" w:themeShade="80"/>
              <w:bottom w:val="nil"/>
            </w:tcBorders>
            <w:shd w:val="clear" w:color="auto" w:fill="auto"/>
            <w:vAlign w:val="center"/>
          </w:tcPr>
          <w:p w14:paraId="380C33CD" w14:textId="77777777" w:rsidR="008B7E19" w:rsidRPr="003F4B3F" w:rsidRDefault="008B7E19" w:rsidP="008B7E19">
            <w:pPr>
              <w:pStyle w:val="08-Tabelageral"/>
              <w:rPr>
                <w:rFonts w:cs="Arial"/>
                <w:b/>
              </w:rPr>
            </w:pPr>
            <w:r>
              <w:rPr>
                <w:rFonts w:cs="Arial"/>
                <w:b/>
                <w:szCs w:val="14"/>
              </w:rPr>
              <w:t>--</w:t>
            </w:r>
          </w:p>
        </w:tc>
        <w:tc>
          <w:tcPr>
            <w:tcW w:w="283" w:type="dxa"/>
            <w:tcBorders>
              <w:top w:val="single" w:sz="2" w:space="0" w:color="1F4E79" w:themeColor="accent1" w:themeShade="80"/>
              <w:bottom w:val="nil"/>
            </w:tcBorders>
            <w:shd w:val="clear" w:color="auto" w:fill="auto"/>
            <w:vAlign w:val="center"/>
          </w:tcPr>
          <w:p w14:paraId="472C07EE" w14:textId="77777777" w:rsidR="008B7E19" w:rsidRPr="003F4B3F" w:rsidRDefault="008B7E19" w:rsidP="008B7E19">
            <w:pPr>
              <w:pStyle w:val="08-Tabelageral"/>
              <w:rPr>
                <w:rFonts w:cs="Arial"/>
                <w:b/>
                <w:szCs w:val="14"/>
              </w:rPr>
            </w:pPr>
          </w:p>
        </w:tc>
        <w:tc>
          <w:tcPr>
            <w:tcW w:w="1417" w:type="dxa"/>
            <w:tcBorders>
              <w:top w:val="single" w:sz="2" w:space="0" w:color="1F4E79" w:themeColor="accent1" w:themeShade="80"/>
              <w:bottom w:val="nil"/>
            </w:tcBorders>
            <w:shd w:val="clear" w:color="auto" w:fill="auto"/>
            <w:vAlign w:val="center"/>
          </w:tcPr>
          <w:p w14:paraId="7F3901BC" w14:textId="77777777" w:rsidR="008B7E19" w:rsidRPr="003F4B3F" w:rsidRDefault="008B7E19" w:rsidP="008B7E19">
            <w:pPr>
              <w:pStyle w:val="08-Tabelageral"/>
              <w:rPr>
                <w:rFonts w:cs="Arial"/>
                <w:b/>
                <w:szCs w:val="14"/>
              </w:rPr>
            </w:pPr>
            <w:r>
              <w:rPr>
                <w:rFonts w:cs="Arial"/>
                <w:b/>
                <w:szCs w:val="14"/>
              </w:rPr>
              <w:t>(743,875)</w:t>
            </w:r>
          </w:p>
        </w:tc>
        <w:tc>
          <w:tcPr>
            <w:tcW w:w="1418" w:type="dxa"/>
            <w:tcBorders>
              <w:top w:val="single" w:sz="2" w:space="0" w:color="1F4E79" w:themeColor="accent1" w:themeShade="80"/>
              <w:bottom w:val="nil"/>
            </w:tcBorders>
            <w:shd w:val="clear" w:color="auto" w:fill="auto"/>
            <w:vAlign w:val="center"/>
          </w:tcPr>
          <w:p w14:paraId="4904860D" w14:textId="77777777" w:rsidR="008B7E19" w:rsidRPr="003F4B3F" w:rsidRDefault="008B7E19" w:rsidP="008B7E19">
            <w:pPr>
              <w:pStyle w:val="08-Tabelageral"/>
              <w:rPr>
                <w:rFonts w:cs="Arial"/>
                <w:b/>
              </w:rPr>
            </w:pPr>
            <w:r>
              <w:rPr>
                <w:rFonts w:cs="Arial"/>
                <w:b/>
                <w:szCs w:val="14"/>
              </w:rPr>
              <w:t>(632,738)</w:t>
            </w:r>
          </w:p>
        </w:tc>
      </w:tr>
      <w:tr w:rsidR="008B7E19" w:rsidRPr="00E975F6" w14:paraId="43994ED8" w14:textId="77777777" w:rsidTr="008875E7">
        <w:trPr>
          <w:trHeight w:val="238"/>
          <w:jc w:val="center"/>
        </w:trPr>
        <w:tc>
          <w:tcPr>
            <w:tcW w:w="3094" w:type="dxa"/>
            <w:tcBorders>
              <w:top w:val="nil"/>
            </w:tcBorders>
            <w:shd w:val="clear" w:color="auto" w:fill="auto"/>
          </w:tcPr>
          <w:p w14:paraId="49C3DB46" w14:textId="77777777" w:rsidR="008B7E19" w:rsidRPr="004953F3" w:rsidRDefault="008B7E19" w:rsidP="008B7E19">
            <w:pPr>
              <w:pStyle w:val="08-Tabelageral"/>
              <w:ind w:left="113"/>
              <w:jc w:val="left"/>
              <w:rPr>
                <w:rFonts w:cs="Arial"/>
                <w:b/>
                <w:szCs w:val="14"/>
                <w:lang w:val="en-US"/>
              </w:rPr>
            </w:pPr>
            <w:r w:rsidRPr="003E2305">
              <w:rPr>
                <w:rFonts w:cs="Arial"/>
                <w:szCs w:val="14"/>
                <w:lang w:val="en-US"/>
              </w:rPr>
              <w:t>Domestic income tax and social contribution</w:t>
            </w:r>
          </w:p>
        </w:tc>
        <w:tc>
          <w:tcPr>
            <w:tcW w:w="604" w:type="dxa"/>
            <w:tcBorders>
              <w:top w:val="nil"/>
            </w:tcBorders>
            <w:shd w:val="clear" w:color="auto" w:fill="auto"/>
          </w:tcPr>
          <w:p w14:paraId="79BFEBA9" w14:textId="77777777" w:rsidR="008B7E19" w:rsidRPr="004953F3" w:rsidRDefault="008B7E19" w:rsidP="008B7E19">
            <w:pPr>
              <w:pStyle w:val="08-Tabelageral"/>
              <w:ind w:left="113"/>
              <w:jc w:val="center"/>
              <w:rPr>
                <w:rFonts w:cs="Arial"/>
                <w:szCs w:val="14"/>
                <w:lang w:val="en-US"/>
              </w:rPr>
            </w:pPr>
          </w:p>
        </w:tc>
        <w:tc>
          <w:tcPr>
            <w:tcW w:w="1411" w:type="dxa"/>
            <w:tcBorders>
              <w:top w:val="nil"/>
            </w:tcBorders>
            <w:shd w:val="clear" w:color="auto" w:fill="auto"/>
            <w:vAlign w:val="center"/>
          </w:tcPr>
          <w:p w14:paraId="52C0AD6D" w14:textId="77777777" w:rsidR="008B7E19" w:rsidRPr="00A15DE6" w:rsidRDefault="008B7E19" w:rsidP="008B7E19">
            <w:pPr>
              <w:pStyle w:val="08-Tabelageral"/>
              <w:ind w:left="113"/>
              <w:rPr>
                <w:rFonts w:cs="Arial"/>
                <w:szCs w:val="14"/>
                <w:lang w:val="en-US"/>
              </w:rPr>
            </w:pPr>
            <w:r>
              <w:rPr>
                <w:rFonts w:cs="Arial"/>
                <w:szCs w:val="14"/>
              </w:rPr>
              <w:t>(253)</w:t>
            </w:r>
          </w:p>
        </w:tc>
        <w:tc>
          <w:tcPr>
            <w:tcW w:w="1412" w:type="dxa"/>
            <w:tcBorders>
              <w:top w:val="nil"/>
            </w:tcBorders>
            <w:shd w:val="clear" w:color="auto" w:fill="auto"/>
            <w:vAlign w:val="center"/>
          </w:tcPr>
          <w:p w14:paraId="44CA1254" w14:textId="77777777" w:rsidR="008B7E19" w:rsidRPr="00A15DE6" w:rsidRDefault="008B7E19" w:rsidP="008B7E19">
            <w:pPr>
              <w:pStyle w:val="08-Tabelageral"/>
              <w:rPr>
                <w:rFonts w:cs="Arial"/>
                <w:lang w:val="en-US"/>
              </w:rPr>
            </w:pPr>
            <w:r>
              <w:rPr>
                <w:rFonts w:cs="Arial"/>
                <w:szCs w:val="14"/>
              </w:rPr>
              <w:t>--</w:t>
            </w:r>
          </w:p>
        </w:tc>
        <w:tc>
          <w:tcPr>
            <w:tcW w:w="283" w:type="dxa"/>
            <w:tcBorders>
              <w:top w:val="nil"/>
            </w:tcBorders>
            <w:shd w:val="clear" w:color="auto" w:fill="auto"/>
            <w:vAlign w:val="center"/>
          </w:tcPr>
          <w:p w14:paraId="172DF14B" w14:textId="77777777" w:rsidR="008B7E19" w:rsidRPr="00A15DE6" w:rsidRDefault="008B7E19" w:rsidP="008B7E19">
            <w:pPr>
              <w:pStyle w:val="08-Tabelageral"/>
              <w:ind w:left="113"/>
              <w:rPr>
                <w:rFonts w:cs="Arial"/>
                <w:szCs w:val="14"/>
                <w:lang w:val="en-US"/>
              </w:rPr>
            </w:pPr>
          </w:p>
        </w:tc>
        <w:tc>
          <w:tcPr>
            <w:tcW w:w="1417" w:type="dxa"/>
            <w:tcBorders>
              <w:top w:val="nil"/>
            </w:tcBorders>
            <w:shd w:val="clear" w:color="auto" w:fill="auto"/>
            <w:vAlign w:val="center"/>
          </w:tcPr>
          <w:p w14:paraId="588E7661" w14:textId="77777777" w:rsidR="008B7E19" w:rsidRPr="00A15DE6" w:rsidRDefault="008B7E19" w:rsidP="008B7E19">
            <w:pPr>
              <w:pStyle w:val="08-Tabelageral"/>
              <w:ind w:left="113"/>
              <w:rPr>
                <w:rFonts w:cs="Arial"/>
                <w:szCs w:val="14"/>
                <w:lang w:val="en-US"/>
              </w:rPr>
            </w:pPr>
            <w:r>
              <w:rPr>
                <w:rFonts w:cs="Arial"/>
                <w:szCs w:val="14"/>
              </w:rPr>
              <w:t>(743,875)</w:t>
            </w:r>
          </w:p>
        </w:tc>
        <w:tc>
          <w:tcPr>
            <w:tcW w:w="1418" w:type="dxa"/>
            <w:tcBorders>
              <w:top w:val="nil"/>
            </w:tcBorders>
            <w:shd w:val="clear" w:color="auto" w:fill="auto"/>
            <w:vAlign w:val="center"/>
          </w:tcPr>
          <w:p w14:paraId="6C60408D" w14:textId="77777777" w:rsidR="008B7E19" w:rsidRPr="00A15DE6" w:rsidRDefault="008B7E19" w:rsidP="008B7E19">
            <w:pPr>
              <w:pStyle w:val="08-Tabelageral"/>
              <w:rPr>
                <w:rFonts w:cs="Arial"/>
                <w:lang w:val="en-US"/>
              </w:rPr>
            </w:pPr>
            <w:r>
              <w:rPr>
                <w:rFonts w:cs="Arial"/>
                <w:szCs w:val="14"/>
              </w:rPr>
              <w:t>(632,738)</w:t>
            </w:r>
          </w:p>
        </w:tc>
      </w:tr>
      <w:tr w:rsidR="008B7E19" w:rsidRPr="003F4B3F" w14:paraId="2F7796ED" w14:textId="77777777" w:rsidTr="008875E7">
        <w:trPr>
          <w:trHeight w:val="238"/>
          <w:jc w:val="center"/>
        </w:trPr>
        <w:tc>
          <w:tcPr>
            <w:tcW w:w="3094" w:type="dxa"/>
            <w:shd w:val="clear" w:color="auto" w:fill="auto"/>
          </w:tcPr>
          <w:p w14:paraId="6B72846A" w14:textId="77777777" w:rsidR="008B7E19" w:rsidRPr="00425406" w:rsidRDefault="008B7E19" w:rsidP="008B7E19">
            <w:pPr>
              <w:pStyle w:val="08-Tabelageral"/>
              <w:jc w:val="left"/>
              <w:rPr>
                <w:rFonts w:cs="Arial"/>
                <w:b/>
                <w:szCs w:val="14"/>
              </w:rPr>
            </w:pPr>
            <w:r w:rsidRPr="00425406">
              <w:rPr>
                <w:rFonts w:cs="Arial"/>
                <w:b/>
                <w:szCs w:val="14"/>
              </w:rPr>
              <w:t>Deferred values</w:t>
            </w:r>
          </w:p>
        </w:tc>
        <w:tc>
          <w:tcPr>
            <w:tcW w:w="604" w:type="dxa"/>
            <w:shd w:val="clear" w:color="auto" w:fill="auto"/>
          </w:tcPr>
          <w:p w14:paraId="234ECF72" w14:textId="77777777" w:rsidR="008B7E19" w:rsidRPr="003F4B3F" w:rsidRDefault="008B7E19" w:rsidP="008B7E19">
            <w:pPr>
              <w:pStyle w:val="08-Tabelageral"/>
              <w:jc w:val="center"/>
              <w:rPr>
                <w:rFonts w:cs="Arial"/>
                <w:b/>
                <w:szCs w:val="14"/>
              </w:rPr>
            </w:pPr>
          </w:p>
        </w:tc>
        <w:tc>
          <w:tcPr>
            <w:tcW w:w="1411" w:type="dxa"/>
            <w:tcBorders>
              <w:bottom w:val="nil"/>
            </w:tcBorders>
            <w:shd w:val="clear" w:color="auto" w:fill="auto"/>
            <w:vAlign w:val="center"/>
          </w:tcPr>
          <w:p w14:paraId="2179027C" w14:textId="77777777" w:rsidR="008B7E19" w:rsidRPr="003F4B3F" w:rsidRDefault="008B7E19" w:rsidP="008B7E19">
            <w:pPr>
              <w:pStyle w:val="08-Tabelageral"/>
              <w:rPr>
                <w:rFonts w:cs="Arial"/>
                <w:b/>
                <w:szCs w:val="14"/>
              </w:rPr>
            </w:pPr>
            <w:r>
              <w:rPr>
                <w:rFonts w:cs="Arial"/>
                <w:b/>
                <w:szCs w:val="14"/>
              </w:rPr>
              <w:t>20</w:t>
            </w:r>
          </w:p>
        </w:tc>
        <w:tc>
          <w:tcPr>
            <w:tcW w:w="1412" w:type="dxa"/>
            <w:tcBorders>
              <w:bottom w:val="nil"/>
            </w:tcBorders>
            <w:shd w:val="clear" w:color="auto" w:fill="auto"/>
            <w:vAlign w:val="center"/>
          </w:tcPr>
          <w:p w14:paraId="3A61201F" w14:textId="77777777" w:rsidR="008B7E19" w:rsidRPr="003F4B3F" w:rsidRDefault="008B7E19" w:rsidP="008B7E19">
            <w:pPr>
              <w:pStyle w:val="08-Tabelageral"/>
              <w:rPr>
                <w:rFonts w:cs="Arial"/>
                <w:b/>
              </w:rPr>
            </w:pPr>
            <w:r>
              <w:rPr>
                <w:rFonts w:cs="Arial"/>
                <w:b/>
                <w:szCs w:val="14"/>
              </w:rPr>
              <w:t>--</w:t>
            </w:r>
          </w:p>
        </w:tc>
        <w:tc>
          <w:tcPr>
            <w:tcW w:w="283" w:type="dxa"/>
            <w:tcBorders>
              <w:bottom w:val="nil"/>
            </w:tcBorders>
            <w:shd w:val="clear" w:color="auto" w:fill="auto"/>
            <w:vAlign w:val="center"/>
          </w:tcPr>
          <w:p w14:paraId="3B1A0D45" w14:textId="77777777" w:rsidR="008B7E19" w:rsidRPr="003F4B3F" w:rsidRDefault="008B7E19" w:rsidP="008B7E19">
            <w:pPr>
              <w:pStyle w:val="08-Tabelageral"/>
              <w:rPr>
                <w:rFonts w:cs="Arial"/>
                <w:b/>
                <w:szCs w:val="14"/>
              </w:rPr>
            </w:pPr>
          </w:p>
        </w:tc>
        <w:tc>
          <w:tcPr>
            <w:tcW w:w="1417" w:type="dxa"/>
            <w:tcBorders>
              <w:bottom w:val="nil"/>
            </w:tcBorders>
            <w:shd w:val="clear" w:color="auto" w:fill="auto"/>
            <w:vAlign w:val="center"/>
          </w:tcPr>
          <w:p w14:paraId="717BD8E5" w14:textId="77777777" w:rsidR="008B7E19" w:rsidRPr="003F4B3F" w:rsidRDefault="008B7E19" w:rsidP="008B7E19">
            <w:pPr>
              <w:pStyle w:val="08-Tabelageral"/>
              <w:rPr>
                <w:rFonts w:cs="Arial"/>
                <w:b/>
                <w:szCs w:val="14"/>
              </w:rPr>
            </w:pPr>
            <w:r>
              <w:rPr>
                <w:rFonts w:cs="Arial"/>
                <w:b/>
                <w:szCs w:val="14"/>
              </w:rPr>
              <w:t>3,751</w:t>
            </w:r>
          </w:p>
        </w:tc>
        <w:tc>
          <w:tcPr>
            <w:tcW w:w="1418" w:type="dxa"/>
            <w:tcBorders>
              <w:bottom w:val="nil"/>
            </w:tcBorders>
            <w:shd w:val="clear" w:color="auto" w:fill="auto"/>
            <w:vAlign w:val="center"/>
          </w:tcPr>
          <w:p w14:paraId="373CB850" w14:textId="77777777" w:rsidR="008B7E19" w:rsidRPr="003F4B3F" w:rsidRDefault="008B7E19" w:rsidP="008B7E19">
            <w:pPr>
              <w:pStyle w:val="08-Tabelageral"/>
              <w:rPr>
                <w:rFonts w:cs="Arial"/>
                <w:b/>
              </w:rPr>
            </w:pPr>
            <w:r>
              <w:rPr>
                <w:rFonts w:cs="Arial"/>
                <w:b/>
                <w:szCs w:val="14"/>
              </w:rPr>
              <w:t>5,119</w:t>
            </w:r>
          </w:p>
        </w:tc>
      </w:tr>
      <w:tr w:rsidR="008B7E19" w:rsidRPr="003F4B3F" w14:paraId="17126C66" w14:textId="77777777" w:rsidTr="008875E7">
        <w:trPr>
          <w:trHeight w:val="238"/>
          <w:jc w:val="center"/>
        </w:trPr>
        <w:tc>
          <w:tcPr>
            <w:tcW w:w="3094" w:type="dxa"/>
            <w:shd w:val="clear" w:color="auto" w:fill="auto"/>
          </w:tcPr>
          <w:p w14:paraId="19E5CEFA" w14:textId="77777777" w:rsidR="008B7E19" w:rsidRPr="003F4B3F" w:rsidRDefault="008B7E19" w:rsidP="008B7E19">
            <w:pPr>
              <w:pStyle w:val="08-Tabelageral"/>
              <w:jc w:val="left"/>
              <w:rPr>
                <w:rFonts w:cs="Arial"/>
                <w:b/>
                <w:szCs w:val="14"/>
              </w:rPr>
            </w:pPr>
            <w:r>
              <w:rPr>
                <w:b/>
                <w:lang w:val="en-US"/>
              </w:rPr>
              <w:t>Deferred t</w:t>
            </w:r>
            <w:r w:rsidRPr="00830A07">
              <w:rPr>
                <w:b/>
                <w:lang w:val="en-US"/>
              </w:rPr>
              <w:t xml:space="preserve">ax </w:t>
            </w:r>
            <w:r>
              <w:rPr>
                <w:b/>
                <w:lang w:val="en-US"/>
              </w:rPr>
              <w:t>a</w:t>
            </w:r>
            <w:r w:rsidRPr="00830A07">
              <w:rPr>
                <w:b/>
                <w:lang w:val="en-US"/>
              </w:rPr>
              <w:t>ssets</w:t>
            </w:r>
          </w:p>
        </w:tc>
        <w:tc>
          <w:tcPr>
            <w:tcW w:w="604" w:type="dxa"/>
            <w:shd w:val="clear" w:color="auto" w:fill="auto"/>
          </w:tcPr>
          <w:p w14:paraId="20420E3C" w14:textId="77777777" w:rsidR="008B7E19" w:rsidRPr="003F4B3F" w:rsidRDefault="008B7E19" w:rsidP="008B7E19">
            <w:pPr>
              <w:pStyle w:val="08-Tabelageral"/>
              <w:jc w:val="center"/>
              <w:rPr>
                <w:rFonts w:cs="Arial"/>
                <w:b/>
                <w:szCs w:val="14"/>
              </w:rPr>
            </w:pPr>
          </w:p>
        </w:tc>
        <w:tc>
          <w:tcPr>
            <w:tcW w:w="1411" w:type="dxa"/>
            <w:shd w:val="clear" w:color="auto" w:fill="auto"/>
            <w:vAlign w:val="center"/>
          </w:tcPr>
          <w:p w14:paraId="2128DD3B" w14:textId="77777777" w:rsidR="008B7E19" w:rsidRPr="003F4B3F" w:rsidRDefault="008B7E19" w:rsidP="008B7E19">
            <w:pPr>
              <w:pStyle w:val="08-Tabelageral"/>
              <w:rPr>
                <w:rFonts w:cs="Arial"/>
                <w:b/>
                <w:szCs w:val="14"/>
              </w:rPr>
            </w:pPr>
            <w:r>
              <w:rPr>
                <w:rFonts w:cs="Arial"/>
                <w:b/>
                <w:szCs w:val="14"/>
              </w:rPr>
              <w:t>20</w:t>
            </w:r>
          </w:p>
        </w:tc>
        <w:tc>
          <w:tcPr>
            <w:tcW w:w="1412" w:type="dxa"/>
            <w:shd w:val="clear" w:color="auto" w:fill="auto"/>
            <w:vAlign w:val="center"/>
          </w:tcPr>
          <w:p w14:paraId="37BBD436" w14:textId="77777777" w:rsidR="008B7E19" w:rsidRPr="003F4B3F" w:rsidRDefault="008B7E19" w:rsidP="008B7E19">
            <w:pPr>
              <w:pStyle w:val="08-Tabelageral"/>
              <w:rPr>
                <w:rFonts w:cs="Arial"/>
                <w:b/>
              </w:rPr>
            </w:pPr>
            <w:r>
              <w:rPr>
                <w:rFonts w:cs="Arial"/>
                <w:b/>
                <w:szCs w:val="14"/>
              </w:rPr>
              <w:t>--</w:t>
            </w:r>
          </w:p>
        </w:tc>
        <w:tc>
          <w:tcPr>
            <w:tcW w:w="283" w:type="dxa"/>
            <w:shd w:val="clear" w:color="auto" w:fill="auto"/>
            <w:vAlign w:val="center"/>
          </w:tcPr>
          <w:p w14:paraId="3BC8E2CD" w14:textId="77777777" w:rsidR="008B7E19" w:rsidRPr="003F4B3F" w:rsidRDefault="008B7E19" w:rsidP="008B7E19">
            <w:pPr>
              <w:pStyle w:val="08-Tabelageral"/>
              <w:rPr>
                <w:rFonts w:cs="Arial"/>
                <w:b/>
                <w:szCs w:val="14"/>
              </w:rPr>
            </w:pPr>
          </w:p>
        </w:tc>
        <w:tc>
          <w:tcPr>
            <w:tcW w:w="1417" w:type="dxa"/>
            <w:shd w:val="clear" w:color="auto" w:fill="auto"/>
            <w:vAlign w:val="center"/>
          </w:tcPr>
          <w:p w14:paraId="24B19B61" w14:textId="77777777" w:rsidR="008B7E19" w:rsidRPr="003F4B3F" w:rsidRDefault="008B7E19" w:rsidP="008B7E19">
            <w:pPr>
              <w:pStyle w:val="08-Tabelageral"/>
              <w:rPr>
                <w:rFonts w:cs="Arial"/>
                <w:b/>
                <w:szCs w:val="14"/>
              </w:rPr>
            </w:pPr>
            <w:r>
              <w:rPr>
                <w:rFonts w:cs="Arial"/>
                <w:b/>
                <w:szCs w:val="14"/>
              </w:rPr>
              <w:t>3,751</w:t>
            </w:r>
          </w:p>
        </w:tc>
        <w:tc>
          <w:tcPr>
            <w:tcW w:w="1418" w:type="dxa"/>
            <w:shd w:val="clear" w:color="auto" w:fill="auto"/>
            <w:vAlign w:val="center"/>
          </w:tcPr>
          <w:p w14:paraId="4CA2A7F6" w14:textId="77777777" w:rsidR="008B7E19" w:rsidRPr="003F4B3F" w:rsidRDefault="008B7E19" w:rsidP="008B7E19">
            <w:pPr>
              <w:pStyle w:val="08-Tabelageral"/>
              <w:rPr>
                <w:rFonts w:cs="Arial"/>
                <w:b/>
              </w:rPr>
            </w:pPr>
            <w:r>
              <w:rPr>
                <w:rFonts w:cs="Arial"/>
                <w:b/>
                <w:szCs w:val="14"/>
              </w:rPr>
              <w:t>5,119</w:t>
            </w:r>
          </w:p>
        </w:tc>
      </w:tr>
      <w:tr w:rsidR="008B7E19" w:rsidRPr="001D6BE8" w14:paraId="743E5442" w14:textId="77777777" w:rsidTr="008875E7">
        <w:trPr>
          <w:trHeight w:val="238"/>
          <w:jc w:val="center"/>
        </w:trPr>
        <w:tc>
          <w:tcPr>
            <w:tcW w:w="3094" w:type="dxa"/>
            <w:tcBorders>
              <w:bottom w:val="nil"/>
            </w:tcBorders>
            <w:shd w:val="clear" w:color="auto" w:fill="auto"/>
          </w:tcPr>
          <w:p w14:paraId="38D54B57" w14:textId="77777777" w:rsidR="008B7E19" w:rsidRPr="00C806B0" w:rsidRDefault="008B7E19" w:rsidP="008B7E19">
            <w:pPr>
              <w:pStyle w:val="08-Tabelageral"/>
              <w:ind w:left="113"/>
              <w:jc w:val="left"/>
              <w:rPr>
                <w:rFonts w:cs="Arial"/>
                <w:b/>
                <w:szCs w:val="14"/>
              </w:rPr>
            </w:pPr>
            <w:r>
              <w:rPr>
                <w:rFonts w:ascii="ArialMT" w:hAnsi="ArialMT" w:cs="ArialMT"/>
                <w:szCs w:val="14"/>
              </w:rPr>
              <w:t>Temporary differences</w:t>
            </w:r>
          </w:p>
        </w:tc>
        <w:tc>
          <w:tcPr>
            <w:tcW w:w="604" w:type="dxa"/>
            <w:tcBorders>
              <w:bottom w:val="nil"/>
            </w:tcBorders>
            <w:shd w:val="clear" w:color="auto" w:fill="auto"/>
          </w:tcPr>
          <w:p w14:paraId="69B80A9D" w14:textId="77777777" w:rsidR="008B7E19" w:rsidRPr="00C806B0" w:rsidRDefault="008B7E19" w:rsidP="008B7E19">
            <w:pPr>
              <w:pStyle w:val="08-Tabelageral"/>
              <w:ind w:left="113"/>
              <w:jc w:val="center"/>
              <w:rPr>
                <w:rFonts w:cs="Arial"/>
                <w:szCs w:val="14"/>
              </w:rPr>
            </w:pPr>
          </w:p>
        </w:tc>
        <w:tc>
          <w:tcPr>
            <w:tcW w:w="1411" w:type="dxa"/>
            <w:tcBorders>
              <w:bottom w:val="nil"/>
            </w:tcBorders>
            <w:shd w:val="clear" w:color="auto" w:fill="auto"/>
            <w:vAlign w:val="center"/>
          </w:tcPr>
          <w:p w14:paraId="547C2A36" w14:textId="77777777" w:rsidR="008B7E19" w:rsidRPr="00C806B0" w:rsidRDefault="008B7E19" w:rsidP="008B7E19">
            <w:pPr>
              <w:pStyle w:val="08-Tabelageral"/>
              <w:ind w:left="113"/>
              <w:rPr>
                <w:rFonts w:cs="Arial"/>
                <w:szCs w:val="14"/>
              </w:rPr>
            </w:pPr>
            <w:r>
              <w:rPr>
                <w:rFonts w:cs="Arial"/>
                <w:szCs w:val="14"/>
              </w:rPr>
              <w:t>20</w:t>
            </w:r>
          </w:p>
        </w:tc>
        <w:tc>
          <w:tcPr>
            <w:tcW w:w="1412" w:type="dxa"/>
            <w:tcBorders>
              <w:bottom w:val="nil"/>
            </w:tcBorders>
            <w:shd w:val="clear" w:color="auto" w:fill="auto"/>
            <w:vAlign w:val="center"/>
          </w:tcPr>
          <w:p w14:paraId="3A6C3927" w14:textId="77777777" w:rsidR="008B7E19" w:rsidRPr="00C806B0" w:rsidRDefault="008B7E19" w:rsidP="008B7E19">
            <w:pPr>
              <w:pStyle w:val="08-Tabelageral"/>
              <w:rPr>
                <w:rFonts w:cs="Arial"/>
              </w:rPr>
            </w:pPr>
            <w:r>
              <w:rPr>
                <w:rFonts w:cs="Arial"/>
                <w:szCs w:val="14"/>
              </w:rPr>
              <w:t>--</w:t>
            </w:r>
          </w:p>
        </w:tc>
        <w:tc>
          <w:tcPr>
            <w:tcW w:w="283" w:type="dxa"/>
            <w:tcBorders>
              <w:bottom w:val="nil"/>
            </w:tcBorders>
            <w:shd w:val="clear" w:color="auto" w:fill="auto"/>
            <w:vAlign w:val="center"/>
          </w:tcPr>
          <w:p w14:paraId="64D95758" w14:textId="77777777" w:rsidR="008B7E19" w:rsidRPr="00C806B0" w:rsidRDefault="008B7E19" w:rsidP="008B7E19">
            <w:pPr>
              <w:pStyle w:val="08-Tabelageral"/>
              <w:ind w:left="113"/>
              <w:rPr>
                <w:rFonts w:cs="Arial"/>
                <w:szCs w:val="14"/>
              </w:rPr>
            </w:pPr>
          </w:p>
        </w:tc>
        <w:tc>
          <w:tcPr>
            <w:tcW w:w="1417" w:type="dxa"/>
            <w:tcBorders>
              <w:bottom w:val="nil"/>
            </w:tcBorders>
            <w:shd w:val="clear" w:color="auto" w:fill="auto"/>
            <w:vAlign w:val="center"/>
          </w:tcPr>
          <w:p w14:paraId="00F8C46F" w14:textId="77777777" w:rsidR="008B7E19" w:rsidRPr="00C806B0" w:rsidRDefault="008B7E19" w:rsidP="008B7E19">
            <w:pPr>
              <w:pStyle w:val="08-Tabelageral"/>
              <w:ind w:left="113"/>
              <w:rPr>
                <w:rFonts w:cs="Arial"/>
                <w:szCs w:val="14"/>
              </w:rPr>
            </w:pPr>
            <w:r>
              <w:rPr>
                <w:rFonts w:cs="Arial"/>
                <w:szCs w:val="14"/>
              </w:rPr>
              <w:t>3,751</w:t>
            </w:r>
          </w:p>
        </w:tc>
        <w:tc>
          <w:tcPr>
            <w:tcW w:w="1418" w:type="dxa"/>
            <w:tcBorders>
              <w:bottom w:val="nil"/>
            </w:tcBorders>
            <w:shd w:val="clear" w:color="auto" w:fill="auto"/>
            <w:vAlign w:val="center"/>
          </w:tcPr>
          <w:p w14:paraId="6294744B" w14:textId="77777777" w:rsidR="008B7E19" w:rsidRPr="00C806B0" w:rsidRDefault="008B7E19" w:rsidP="008B7E19">
            <w:pPr>
              <w:pStyle w:val="08-Tabelageral"/>
              <w:rPr>
                <w:rFonts w:cs="Arial"/>
              </w:rPr>
            </w:pPr>
            <w:r>
              <w:rPr>
                <w:rFonts w:cs="Arial"/>
                <w:szCs w:val="14"/>
              </w:rPr>
              <w:t>5,119</w:t>
            </w:r>
          </w:p>
        </w:tc>
      </w:tr>
      <w:tr w:rsidR="008B7E19" w:rsidRPr="003F4B3F" w14:paraId="11121298" w14:textId="77777777" w:rsidTr="008875E7">
        <w:trPr>
          <w:trHeight w:val="238"/>
          <w:jc w:val="center"/>
        </w:trPr>
        <w:tc>
          <w:tcPr>
            <w:tcW w:w="3094" w:type="dxa"/>
            <w:tcBorders>
              <w:top w:val="nil"/>
              <w:bottom w:val="single" w:sz="2" w:space="0" w:color="1F4E79" w:themeColor="accent1" w:themeShade="80"/>
            </w:tcBorders>
            <w:shd w:val="clear" w:color="auto" w:fill="auto"/>
          </w:tcPr>
          <w:p w14:paraId="16336CAD" w14:textId="77777777" w:rsidR="008B7E19" w:rsidRPr="003F4B3F" w:rsidRDefault="008B7E19" w:rsidP="008B7E19">
            <w:pPr>
              <w:pStyle w:val="08-Tabelageral"/>
              <w:jc w:val="left"/>
              <w:rPr>
                <w:rFonts w:cs="Arial"/>
                <w:b/>
                <w:szCs w:val="14"/>
              </w:rPr>
            </w:pPr>
            <w:r w:rsidRPr="003F4B3F">
              <w:rPr>
                <w:rFonts w:cs="Arial"/>
                <w:b/>
              </w:rPr>
              <w:t xml:space="preserve">Total </w:t>
            </w:r>
          </w:p>
        </w:tc>
        <w:tc>
          <w:tcPr>
            <w:tcW w:w="604" w:type="dxa"/>
            <w:tcBorders>
              <w:top w:val="nil"/>
              <w:bottom w:val="single" w:sz="2" w:space="0" w:color="1F4E79" w:themeColor="accent1" w:themeShade="80"/>
            </w:tcBorders>
            <w:shd w:val="clear" w:color="auto" w:fill="auto"/>
          </w:tcPr>
          <w:p w14:paraId="4DDCF6B3" w14:textId="77777777" w:rsidR="008B7E19" w:rsidRPr="003F4B3F" w:rsidRDefault="008B7E19" w:rsidP="008B7E19">
            <w:pPr>
              <w:pStyle w:val="08-Tabelageral"/>
              <w:jc w:val="center"/>
              <w:rPr>
                <w:rFonts w:cs="Arial"/>
                <w:b/>
                <w:szCs w:val="14"/>
              </w:rPr>
            </w:pPr>
          </w:p>
        </w:tc>
        <w:tc>
          <w:tcPr>
            <w:tcW w:w="1411" w:type="dxa"/>
            <w:tcBorders>
              <w:top w:val="nil"/>
              <w:bottom w:val="single" w:sz="2" w:space="0" w:color="1F4E79" w:themeColor="accent1" w:themeShade="80"/>
            </w:tcBorders>
            <w:shd w:val="clear" w:color="auto" w:fill="auto"/>
            <w:vAlign w:val="center"/>
          </w:tcPr>
          <w:p w14:paraId="30F1004D" w14:textId="77777777" w:rsidR="008B7E19" w:rsidRPr="003F4B3F" w:rsidRDefault="008B7E19" w:rsidP="008B7E19">
            <w:pPr>
              <w:pStyle w:val="08-Tabelageral"/>
              <w:rPr>
                <w:rFonts w:cs="Arial"/>
                <w:b/>
                <w:szCs w:val="14"/>
              </w:rPr>
            </w:pPr>
            <w:r>
              <w:rPr>
                <w:rFonts w:cs="Arial"/>
                <w:b/>
                <w:szCs w:val="14"/>
              </w:rPr>
              <w:t>(233)</w:t>
            </w:r>
          </w:p>
        </w:tc>
        <w:tc>
          <w:tcPr>
            <w:tcW w:w="1412" w:type="dxa"/>
            <w:tcBorders>
              <w:top w:val="nil"/>
              <w:bottom w:val="single" w:sz="2" w:space="0" w:color="1F4E79" w:themeColor="accent1" w:themeShade="80"/>
            </w:tcBorders>
            <w:shd w:val="clear" w:color="auto" w:fill="auto"/>
            <w:vAlign w:val="center"/>
          </w:tcPr>
          <w:p w14:paraId="28A56A8F" w14:textId="77777777" w:rsidR="008B7E19" w:rsidRPr="003F4B3F" w:rsidRDefault="008B7E19" w:rsidP="008B7E19">
            <w:pPr>
              <w:pStyle w:val="08-Tabelageral"/>
              <w:rPr>
                <w:rFonts w:cs="Arial"/>
                <w:b/>
              </w:rPr>
            </w:pPr>
            <w:r>
              <w:rPr>
                <w:rFonts w:cs="Arial"/>
                <w:b/>
                <w:szCs w:val="14"/>
              </w:rPr>
              <w:t>--</w:t>
            </w:r>
          </w:p>
        </w:tc>
        <w:tc>
          <w:tcPr>
            <w:tcW w:w="283" w:type="dxa"/>
            <w:tcBorders>
              <w:top w:val="nil"/>
              <w:bottom w:val="single" w:sz="2" w:space="0" w:color="1F4E79" w:themeColor="accent1" w:themeShade="80"/>
            </w:tcBorders>
            <w:shd w:val="clear" w:color="auto" w:fill="auto"/>
            <w:vAlign w:val="center"/>
          </w:tcPr>
          <w:p w14:paraId="6CF5A898" w14:textId="77777777" w:rsidR="008B7E19" w:rsidRPr="003F4B3F" w:rsidRDefault="008B7E19" w:rsidP="008B7E19">
            <w:pPr>
              <w:pStyle w:val="08-Tabelageral"/>
              <w:rPr>
                <w:rFonts w:cs="Arial"/>
                <w:b/>
                <w:szCs w:val="14"/>
              </w:rPr>
            </w:pPr>
          </w:p>
        </w:tc>
        <w:tc>
          <w:tcPr>
            <w:tcW w:w="1417" w:type="dxa"/>
            <w:tcBorders>
              <w:top w:val="nil"/>
              <w:bottom w:val="single" w:sz="2" w:space="0" w:color="1F4E79" w:themeColor="accent1" w:themeShade="80"/>
            </w:tcBorders>
            <w:shd w:val="clear" w:color="auto" w:fill="auto"/>
            <w:vAlign w:val="center"/>
          </w:tcPr>
          <w:p w14:paraId="2751B559" w14:textId="77777777" w:rsidR="008B7E19" w:rsidRPr="003F4B3F" w:rsidRDefault="008B7E19" w:rsidP="008B7E19">
            <w:pPr>
              <w:pStyle w:val="08-Tabelageral"/>
              <w:rPr>
                <w:rFonts w:cs="Arial"/>
                <w:b/>
                <w:szCs w:val="14"/>
              </w:rPr>
            </w:pPr>
            <w:r>
              <w:rPr>
                <w:rFonts w:cs="Arial"/>
                <w:b/>
                <w:szCs w:val="14"/>
              </w:rPr>
              <w:t>(740,124)</w:t>
            </w:r>
          </w:p>
        </w:tc>
        <w:tc>
          <w:tcPr>
            <w:tcW w:w="1418" w:type="dxa"/>
            <w:tcBorders>
              <w:top w:val="nil"/>
              <w:bottom w:val="single" w:sz="2" w:space="0" w:color="1F4E79" w:themeColor="accent1" w:themeShade="80"/>
            </w:tcBorders>
            <w:shd w:val="clear" w:color="auto" w:fill="auto"/>
            <w:vAlign w:val="center"/>
          </w:tcPr>
          <w:p w14:paraId="04A6E0FE" w14:textId="77777777" w:rsidR="008B7E19" w:rsidRPr="003F4B3F" w:rsidRDefault="008B7E19" w:rsidP="008B7E19">
            <w:pPr>
              <w:pStyle w:val="08-Tabelageral"/>
              <w:rPr>
                <w:rFonts w:cs="Arial"/>
                <w:b/>
              </w:rPr>
            </w:pPr>
            <w:r>
              <w:rPr>
                <w:rFonts w:cs="Arial"/>
                <w:b/>
                <w:szCs w:val="14"/>
              </w:rPr>
              <w:t>(627,619)</w:t>
            </w:r>
          </w:p>
        </w:tc>
      </w:tr>
    </w:tbl>
    <w:p w14:paraId="7D600C09" w14:textId="77777777" w:rsidR="008B7E19" w:rsidRDefault="008B7E19" w:rsidP="008B7E19">
      <w:pPr>
        <w:spacing w:after="0"/>
        <w:jc w:val="right"/>
        <w:rPr>
          <w:rFonts w:cs="Arial"/>
          <w:b/>
          <w:sz w:val="14"/>
          <w:lang w:eastAsia="pt-BR"/>
        </w:rPr>
      </w:pPr>
    </w:p>
    <w:p w14:paraId="68BAA5A9" w14:textId="77777777" w:rsidR="008B7E19" w:rsidRDefault="008B7E19" w:rsidP="008B7E19">
      <w:pPr>
        <w:spacing w:after="0"/>
        <w:jc w:val="right"/>
        <w:rPr>
          <w:rFonts w:cs="Arial"/>
          <w:b/>
          <w:sz w:val="14"/>
          <w:lang w:eastAsia="pt-BR"/>
        </w:rPr>
      </w:pPr>
    </w:p>
    <w:p w14:paraId="5B722FEA" w14:textId="77777777" w:rsidR="008B7E19" w:rsidRDefault="008B7E19" w:rsidP="008B7E19">
      <w:pPr>
        <w:spacing w:after="0"/>
        <w:jc w:val="right"/>
        <w:rPr>
          <w:rFonts w:cs="Arial"/>
          <w:b/>
          <w:sz w:val="14"/>
          <w:lang w:eastAsia="pt-BR"/>
        </w:rPr>
      </w:pPr>
    </w:p>
    <w:p w14:paraId="46A516F3" w14:textId="77777777" w:rsidR="008B7E19" w:rsidRDefault="008B7E19" w:rsidP="008875E7">
      <w:pPr>
        <w:keepNext/>
        <w:keepLines/>
        <w:pageBreakBefore/>
        <w:spacing w:after="40"/>
        <w:rPr>
          <w:rFonts w:cs="Arial"/>
          <w:b/>
          <w:color w:val="1F4E79" w:themeColor="accent1" w:themeShade="80"/>
          <w:szCs w:val="18"/>
          <w:lang w:val="en-US"/>
        </w:rPr>
      </w:pPr>
      <w:r w:rsidRPr="00F110A6">
        <w:rPr>
          <w:rFonts w:cs="Arial"/>
          <w:b/>
          <w:color w:val="1F4E79" w:themeColor="accent1" w:themeShade="80"/>
          <w:szCs w:val="18"/>
          <w:lang w:val="en-US"/>
        </w:rPr>
        <w:t xml:space="preserve">b) </w:t>
      </w:r>
      <w:r w:rsidRPr="00662308">
        <w:rPr>
          <w:rFonts w:cs="Arial"/>
          <w:b/>
          <w:color w:val="1F4E79" w:themeColor="accent1" w:themeShade="80"/>
          <w:szCs w:val="18"/>
          <w:lang w:val="en-US"/>
        </w:rPr>
        <w:t>Reconciliation of Income Tax and Social Contribution Expenses</w:t>
      </w:r>
    </w:p>
    <w:p w14:paraId="466E342E" w14:textId="77777777" w:rsidR="008B7E19" w:rsidRDefault="008B7E19" w:rsidP="008B7E19">
      <w:pPr>
        <w:spacing w:after="0" w:line="240" w:lineRule="auto"/>
        <w:jc w:val="right"/>
        <w:rPr>
          <w:rFonts w:cs="Arial"/>
          <w:b/>
          <w:color w:val="1F4E79" w:themeColor="accent1" w:themeShade="80"/>
          <w:szCs w:val="18"/>
          <w:lang w:val="en-US"/>
        </w:rPr>
      </w:pPr>
      <w:r w:rsidRPr="00FF3D4B">
        <w:rPr>
          <w:rFonts w:cs="Arial"/>
          <w:b/>
          <w:sz w:val="14"/>
          <w:lang w:eastAsia="pt-BR"/>
        </w:rPr>
        <w:t>R$</w:t>
      </w:r>
      <w:r w:rsidRPr="000F7914">
        <w:rPr>
          <w:rFonts w:cs="Arial"/>
          <w:b/>
          <w:sz w:val="14"/>
          <w:lang w:eastAsia="pt-BR"/>
        </w:rPr>
        <w:t xml:space="preserve"> </w:t>
      </w:r>
      <w:r w:rsidRPr="00044999">
        <w:rPr>
          <w:rFonts w:cs="Arial"/>
          <w:b/>
          <w:sz w:val="14"/>
          <w:lang w:eastAsia="pt-BR"/>
        </w:rPr>
        <w:t>thousand</w:t>
      </w:r>
    </w:p>
    <w:tbl>
      <w:tblPr>
        <w:tblW w:w="9639" w:type="dxa"/>
        <w:jc w:val="center"/>
        <w:tblBorders>
          <w:top w:val="single" w:sz="2" w:space="0" w:color="8EAADB" w:themeColor="accent5" w:themeTint="99"/>
          <w:bottom w:val="single" w:sz="2" w:space="0" w:color="8EAADB" w:themeColor="accent5" w:themeTint="99"/>
        </w:tblBorders>
        <w:tblLook w:val="04A0" w:firstRow="1" w:lastRow="0" w:firstColumn="1" w:lastColumn="0" w:noHBand="0" w:noVBand="1"/>
      </w:tblPr>
      <w:tblGrid>
        <w:gridCol w:w="3402"/>
        <w:gridCol w:w="284"/>
        <w:gridCol w:w="1276"/>
        <w:gridCol w:w="1559"/>
        <w:gridCol w:w="283"/>
        <w:gridCol w:w="1276"/>
        <w:gridCol w:w="1559"/>
      </w:tblGrid>
      <w:tr w:rsidR="008B7E19" w:rsidRPr="0019344C" w14:paraId="76D24071" w14:textId="77777777" w:rsidTr="008875E7">
        <w:trPr>
          <w:trHeight w:val="238"/>
          <w:jc w:val="center"/>
        </w:trPr>
        <w:tc>
          <w:tcPr>
            <w:tcW w:w="3402" w:type="dxa"/>
            <w:tcBorders>
              <w:top w:val="single" w:sz="2" w:space="0" w:color="1F4E79" w:themeColor="accent1" w:themeShade="80"/>
              <w:bottom w:val="nil"/>
            </w:tcBorders>
            <w:shd w:val="clear" w:color="auto" w:fill="auto"/>
            <w:vAlign w:val="center"/>
          </w:tcPr>
          <w:p w14:paraId="0CD4A2A1" w14:textId="77777777" w:rsidR="008B7E19" w:rsidRPr="0019344C" w:rsidRDefault="008B7E19" w:rsidP="008B7E19">
            <w:pPr>
              <w:spacing w:after="0"/>
              <w:jc w:val="center"/>
              <w:rPr>
                <w:rFonts w:cs="Arial"/>
                <w:b/>
                <w:szCs w:val="18"/>
              </w:rPr>
            </w:pPr>
          </w:p>
        </w:tc>
        <w:tc>
          <w:tcPr>
            <w:tcW w:w="284" w:type="dxa"/>
            <w:tcBorders>
              <w:top w:val="single" w:sz="2" w:space="0" w:color="1F4E79" w:themeColor="accent1" w:themeShade="80"/>
              <w:bottom w:val="nil"/>
            </w:tcBorders>
            <w:shd w:val="clear" w:color="auto" w:fill="auto"/>
            <w:vAlign w:val="center"/>
          </w:tcPr>
          <w:p w14:paraId="546FACC4" w14:textId="77777777" w:rsidR="008B7E19" w:rsidRPr="0019344C" w:rsidRDefault="008B7E19" w:rsidP="008B7E19">
            <w:pPr>
              <w:spacing w:after="0"/>
              <w:jc w:val="center"/>
              <w:rPr>
                <w:rFonts w:cs="Arial"/>
                <w:b/>
                <w:szCs w:val="18"/>
              </w:rPr>
            </w:pPr>
          </w:p>
        </w:tc>
        <w:tc>
          <w:tcPr>
            <w:tcW w:w="2835" w:type="dxa"/>
            <w:gridSpan w:val="2"/>
            <w:tcBorders>
              <w:top w:val="single" w:sz="2" w:space="0" w:color="1F4E79" w:themeColor="accent1" w:themeShade="80"/>
              <w:bottom w:val="single" w:sz="2" w:space="0" w:color="1F4E79" w:themeColor="accent1" w:themeShade="80"/>
            </w:tcBorders>
            <w:shd w:val="clear" w:color="auto" w:fill="auto"/>
            <w:vAlign w:val="center"/>
          </w:tcPr>
          <w:p w14:paraId="5B43B078" w14:textId="77777777" w:rsidR="008B7E19" w:rsidRPr="0019344C" w:rsidRDefault="008B7E19" w:rsidP="008B7E19">
            <w:pPr>
              <w:spacing w:after="0"/>
              <w:jc w:val="center"/>
              <w:rPr>
                <w:rFonts w:cs="Arial"/>
                <w:b/>
                <w:sz w:val="14"/>
                <w:szCs w:val="18"/>
              </w:rPr>
            </w:pPr>
            <w:r w:rsidRPr="00EC4649">
              <w:rPr>
                <w:rFonts w:cs="Arial"/>
                <w:b/>
                <w:sz w:val="14"/>
                <w:szCs w:val="18"/>
              </w:rPr>
              <w:t>Parent</w:t>
            </w:r>
          </w:p>
        </w:tc>
        <w:tc>
          <w:tcPr>
            <w:tcW w:w="283" w:type="dxa"/>
            <w:tcBorders>
              <w:top w:val="single" w:sz="2" w:space="0" w:color="1F4E79" w:themeColor="accent1" w:themeShade="80"/>
              <w:bottom w:val="nil"/>
            </w:tcBorders>
            <w:shd w:val="clear" w:color="auto" w:fill="auto"/>
            <w:vAlign w:val="center"/>
          </w:tcPr>
          <w:p w14:paraId="4ED5E08E" w14:textId="77777777" w:rsidR="008B7E19" w:rsidRPr="0019344C" w:rsidRDefault="008B7E19" w:rsidP="008B7E19">
            <w:pPr>
              <w:spacing w:after="0"/>
              <w:jc w:val="center"/>
              <w:rPr>
                <w:rFonts w:cs="Arial"/>
                <w:b/>
                <w:szCs w:val="18"/>
              </w:rPr>
            </w:pPr>
          </w:p>
        </w:tc>
        <w:tc>
          <w:tcPr>
            <w:tcW w:w="2835" w:type="dxa"/>
            <w:gridSpan w:val="2"/>
            <w:tcBorders>
              <w:top w:val="single" w:sz="2" w:space="0" w:color="1F4E79" w:themeColor="accent1" w:themeShade="80"/>
              <w:bottom w:val="single" w:sz="2" w:space="0" w:color="1F4E79" w:themeColor="accent1" w:themeShade="80"/>
            </w:tcBorders>
            <w:shd w:val="clear" w:color="auto" w:fill="auto"/>
            <w:vAlign w:val="center"/>
          </w:tcPr>
          <w:p w14:paraId="7E14962D" w14:textId="77777777" w:rsidR="008B7E19" w:rsidRPr="0019344C" w:rsidRDefault="008B7E19" w:rsidP="008B7E19">
            <w:pPr>
              <w:spacing w:after="0"/>
              <w:jc w:val="center"/>
              <w:rPr>
                <w:rFonts w:cs="Arial"/>
                <w:b/>
                <w:szCs w:val="18"/>
              </w:rPr>
            </w:pPr>
            <w:r w:rsidRPr="00EC4649">
              <w:rPr>
                <w:rFonts w:cs="Arial"/>
                <w:b/>
                <w:sz w:val="14"/>
                <w:szCs w:val="18"/>
              </w:rPr>
              <w:t>Consolidated</w:t>
            </w:r>
          </w:p>
        </w:tc>
      </w:tr>
      <w:tr w:rsidR="008B7E19" w:rsidRPr="0019344C" w14:paraId="2CC82E93" w14:textId="77777777" w:rsidTr="008875E7">
        <w:trPr>
          <w:trHeight w:val="238"/>
          <w:jc w:val="center"/>
        </w:trPr>
        <w:tc>
          <w:tcPr>
            <w:tcW w:w="3402" w:type="dxa"/>
            <w:tcBorders>
              <w:top w:val="nil"/>
              <w:bottom w:val="nil"/>
            </w:tcBorders>
            <w:shd w:val="clear" w:color="auto" w:fill="auto"/>
            <w:vAlign w:val="center"/>
          </w:tcPr>
          <w:p w14:paraId="7AFF383E" w14:textId="77777777" w:rsidR="008B7E19" w:rsidRPr="0019344C" w:rsidRDefault="008B7E19" w:rsidP="008B7E19">
            <w:pPr>
              <w:pStyle w:val="08-Tabelageral"/>
              <w:rPr>
                <w:rFonts w:cs="Arial"/>
                <w:b/>
              </w:rPr>
            </w:pPr>
          </w:p>
        </w:tc>
        <w:tc>
          <w:tcPr>
            <w:tcW w:w="284" w:type="dxa"/>
            <w:tcBorders>
              <w:top w:val="nil"/>
              <w:bottom w:val="nil"/>
            </w:tcBorders>
            <w:shd w:val="clear" w:color="auto" w:fill="auto"/>
            <w:vAlign w:val="center"/>
          </w:tcPr>
          <w:p w14:paraId="2C1D92D8" w14:textId="77777777" w:rsidR="008B7E19" w:rsidRPr="0019344C" w:rsidRDefault="008B7E19" w:rsidP="008B7E19">
            <w:pPr>
              <w:pStyle w:val="08-Tabelageral"/>
              <w:rPr>
                <w:rFonts w:cs="Arial"/>
                <w:b/>
              </w:rPr>
            </w:pPr>
          </w:p>
        </w:tc>
        <w:tc>
          <w:tcPr>
            <w:tcW w:w="1276" w:type="dxa"/>
            <w:tcBorders>
              <w:top w:val="single" w:sz="2" w:space="0" w:color="1F4E79" w:themeColor="accent1" w:themeShade="80"/>
              <w:bottom w:val="nil"/>
            </w:tcBorders>
            <w:shd w:val="clear" w:color="auto" w:fill="auto"/>
          </w:tcPr>
          <w:p w14:paraId="059726BD" w14:textId="77777777" w:rsidR="008B7E19" w:rsidRPr="0019344C" w:rsidRDefault="008B7E19" w:rsidP="008B7E19">
            <w:pPr>
              <w:pStyle w:val="08-Tabelageral"/>
              <w:rPr>
                <w:rFonts w:cs="Arial"/>
                <w:b/>
              </w:rPr>
            </w:pPr>
            <w:r>
              <w:rPr>
                <w:b/>
              </w:rPr>
              <w:t>2</w:t>
            </w:r>
            <w:r>
              <w:rPr>
                <w:b/>
                <w:vertAlign w:val="superscript"/>
              </w:rPr>
              <w:t xml:space="preserve">nd </w:t>
            </w:r>
            <w:r>
              <w:rPr>
                <w:b/>
              </w:rPr>
              <w:t>Quarter 2023</w:t>
            </w:r>
          </w:p>
        </w:tc>
        <w:tc>
          <w:tcPr>
            <w:tcW w:w="1559" w:type="dxa"/>
            <w:tcBorders>
              <w:top w:val="single" w:sz="2" w:space="0" w:color="1F4E79" w:themeColor="accent1" w:themeShade="80"/>
              <w:bottom w:val="nil"/>
            </w:tcBorders>
            <w:shd w:val="clear" w:color="auto" w:fill="auto"/>
          </w:tcPr>
          <w:p w14:paraId="12B5D1F7" w14:textId="77777777" w:rsidR="008B7E19" w:rsidRPr="0019344C" w:rsidRDefault="008B7E19" w:rsidP="008B7E19">
            <w:pPr>
              <w:pStyle w:val="08-Tabelageral"/>
              <w:rPr>
                <w:rFonts w:cs="Arial"/>
                <w:b/>
              </w:rPr>
            </w:pPr>
            <w:r>
              <w:rPr>
                <w:b/>
              </w:rPr>
              <w:t>2</w:t>
            </w:r>
            <w:r>
              <w:rPr>
                <w:b/>
                <w:vertAlign w:val="superscript"/>
              </w:rPr>
              <w:t xml:space="preserve">nd </w:t>
            </w:r>
            <w:r>
              <w:rPr>
                <w:b/>
              </w:rPr>
              <w:t>Quarter 2022</w:t>
            </w:r>
          </w:p>
        </w:tc>
        <w:tc>
          <w:tcPr>
            <w:tcW w:w="283" w:type="dxa"/>
            <w:tcBorders>
              <w:top w:val="nil"/>
              <w:bottom w:val="nil"/>
            </w:tcBorders>
            <w:shd w:val="clear" w:color="auto" w:fill="auto"/>
          </w:tcPr>
          <w:p w14:paraId="6444B823" w14:textId="77777777" w:rsidR="008B7E19" w:rsidRPr="0019344C" w:rsidRDefault="008B7E19" w:rsidP="008B7E19">
            <w:pPr>
              <w:pStyle w:val="08-Tabelageral"/>
              <w:rPr>
                <w:rFonts w:cs="Arial"/>
                <w:b/>
              </w:rPr>
            </w:pPr>
          </w:p>
        </w:tc>
        <w:tc>
          <w:tcPr>
            <w:tcW w:w="1276" w:type="dxa"/>
            <w:tcBorders>
              <w:top w:val="single" w:sz="2" w:space="0" w:color="1F4E79" w:themeColor="accent1" w:themeShade="80"/>
              <w:bottom w:val="nil"/>
            </w:tcBorders>
            <w:shd w:val="clear" w:color="auto" w:fill="auto"/>
          </w:tcPr>
          <w:p w14:paraId="3B58F487" w14:textId="77777777" w:rsidR="008B7E19" w:rsidRPr="0019344C" w:rsidRDefault="008B7E19" w:rsidP="008B7E19">
            <w:pPr>
              <w:pStyle w:val="08-Tabelageral"/>
              <w:rPr>
                <w:rFonts w:cs="Arial"/>
                <w:b/>
              </w:rPr>
            </w:pPr>
            <w:r>
              <w:rPr>
                <w:b/>
              </w:rPr>
              <w:t>2</w:t>
            </w:r>
            <w:r>
              <w:rPr>
                <w:b/>
                <w:vertAlign w:val="superscript"/>
              </w:rPr>
              <w:t xml:space="preserve">nd </w:t>
            </w:r>
            <w:r>
              <w:rPr>
                <w:b/>
              </w:rPr>
              <w:t>Quarter 2023</w:t>
            </w:r>
          </w:p>
        </w:tc>
        <w:tc>
          <w:tcPr>
            <w:tcW w:w="1559" w:type="dxa"/>
            <w:tcBorders>
              <w:top w:val="single" w:sz="2" w:space="0" w:color="1F4E79" w:themeColor="accent1" w:themeShade="80"/>
              <w:bottom w:val="nil"/>
            </w:tcBorders>
            <w:shd w:val="clear" w:color="auto" w:fill="auto"/>
          </w:tcPr>
          <w:p w14:paraId="5EA9A267" w14:textId="77777777" w:rsidR="008B7E19" w:rsidRPr="0019344C" w:rsidRDefault="008B7E19" w:rsidP="008B7E19">
            <w:pPr>
              <w:pStyle w:val="08-Tabelageral"/>
              <w:rPr>
                <w:rFonts w:cs="Arial"/>
                <w:b/>
              </w:rPr>
            </w:pPr>
            <w:r>
              <w:rPr>
                <w:b/>
              </w:rPr>
              <w:t>2</w:t>
            </w:r>
            <w:r>
              <w:rPr>
                <w:b/>
                <w:vertAlign w:val="superscript"/>
              </w:rPr>
              <w:t xml:space="preserve">nd </w:t>
            </w:r>
            <w:r>
              <w:rPr>
                <w:b/>
              </w:rPr>
              <w:t>Quarter 2022</w:t>
            </w:r>
          </w:p>
        </w:tc>
      </w:tr>
      <w:tr w:rsidR="008B7E19" w:rsidRPr="0019344C" w14:paraId="14662C68" w14:textId="77777777" w:rsidTr="008875E7">
        <w:trPr>
          <w:trHeight w:val="238"/>
          <w:jc w:val="center"/>
        </w:trPr>
        <w:tc>
          <w:tcPr>
            <w:tcW w:w="3402" w:type="dxa"/>
            <w:tcBorders>
              <w:top w:val="nil"/>
              <w:bottom w:val="single" w:sz="2" w:space="0" w:color="1F4E79" w:themeColor="accent1" w:themeShade="80"/>
            </w:tcBorders>
            <w:shd w:val="clear" w:color="auto" w:fill="auto"/>
            <w:vAlign w:val="center"/>
          </w:tcPr>
          <w:p w14:paraId="16AF791F" w14:textId="77777777" w:rsidR="008B7E19" w:rsidRPr="0019344C" w:rsidRDefault="008B7E19" w:rsidP="008B7E19">
            <w:pPr>
              <w:pStyle w:val="08-Tabelageral"/>
              <w:rPr>
                <w:rFonts w:cs="Arial"/>
                <w:b/>
              </w:rPr>
            </w:pPr>
          </w:p>
        </w:tc>
        <w:tc>
          <w:tcPr>
            <w:tcW w:w="284" w:type="dxa"/>
            <w:tcBorders>
              <w:top w:val="nil"/>
              <w:bottom w:val="single" w:sz="2" w:space="0" w:color="1F4E79" w:themeColor="accent1" w:themeShade="80"/>
            </w:tcBorders>
            <w:shd w:val="clear" w:color="auto" w:fill="auto"/>
            <w:vAlign w:val="center"/>
          </w:tcPr>
          <w:p w14:paraId="64C66B2F" w14:textId="77777777" w:rsidR="008B7E19" w:rsidRPr="0019344C" w:rsidRDefault="008B7E19" w:rsidP="008B7E19">
            <w:pPr>
              <w:pStyle w:val="08-Tabelageral"/>
              <w:rPr>
                <w:rFonts w:cs="Arial"/>
                <w:b/>
              </w:rPr>
            </w:pPr>
          </w:p>
        </w:tc>
        <w:tc>
          <w:tcPr>
            <w:tcW w:w="1276" w:type="dxa"/>
            <w:tcBorders>
              <w:top w:val="nil"/>
              <w:bottom w:val="single" w:sz="2" w:space="0" w:color="1F4E79" w:themeColor="accent1" w:themeShade="80"/>
            </w:tcBorders>
            <w:shd w:val="clear" w:color="auto" w:fill="auto"/>
          </w:tcPr>
          <w:p w14:paraId="2B0ACA82" w14:textId="77777777" w:rsidR="008B7E19" w:rsidRDefault="008B7E19" w:rsidP="008B7E19">
            <w:pPr>
              <w:pStyle w:val="08-Tabelageral"/>
              <w:rPr>
                <w:b/>
              </w:rPr>
            </w:pPr>
          </w:p>
        </w:tc>
        <w:tc>
          <w:tcPr>
            <w:tcW w:w="1559" w:type="dxa"/>
            <w:tcBorders>
              <w:top w:val="nil"/>
              <w:bottom w:val="single" w:sz="2" w:space="0" w:color="1F4E79" w:themeColor="accent1" w:themeShade="80"/>
            </w:tcBorders>
            <w:shd w:val="clear" w:color="auto" w:fill="auto"/>
          </w:tcPr>
          <w:p w14:paraId="5807AE4C" w14:textId="77777777" w:rsidR="008B7E19" w:rsidRDefault="008B7E19" w:rsidP="008B7E19">
            <w:pPr>
              <w:pStyle w:val="08-Tabelageral"/>
              <w:rPr>
                <w:b/>
              </w:rPr>
            </w:pPr>
            <w:r>
              <w:rPr>
                <w:b/>
              </w:rPr>
              <w:t>(Restated balances)</w:t>
            </w:r>
          </w:p>
        </w:tc>
        <w:tc>
          <w:tcPr>
            <w:tcW w:w="283" w:type="dxa"/>
            <w:tcBorders>
              <w:top w:val="nil"/>
              <w:bottom w:val="single" w:sz="2" w:space="0" w:color="1F4E79" w:themeColor="accent1" w:themeShade="80"/>
            </w:tcBorders>
            <w:shd w:val="clear" w:color="auto" w:fill="auto"/>
          </w:tcPr>
          <w:p w14:paraId="39B687FB" w14:textId="77777777" w:rsidR="008B7E19" w:rsidRPr="0019344C" w:rsidRDefault="008B7E19" w:rsidP="008B7E19">
            <w:pPr>
              <w:pStyle w:val="08-Tabelageral"/>
              <w:rPr>
                <w:rFonts w:cs="Arial"/>
                <w:b/>
              </w:rPr>
            </w:pPr>
          </w:p>
        </w:tc>
        <w:tc>
          <w:tcPr>
            <w:tcW w:w="1276" w:type="dxa"/>
            <w:tcBorders>
              <w:top w:val="nil"/>
              <w:bottom w:val="single" w:sz="2" w:space="0" w:color="1F4E79" w:themeColor="accent1" w:themeShade="80"/>
            </w:tcBorders>
            <w:shd w:val="clear" w:color="auto" w:fill="auto"/>
          </w:tcPr>
          <w:p w14:paraId="2A8B7104" w14:textId="77777777" w:rsidR="008B7E19" w:rsidRDefault="008B7E19" w:rsidP="008B7E19">
            <w:pPr>
              <w:pStyle w:val="08-Tabelageral"/>
              <w:rPr>
                <w:b/>
              </w:rPr>
            </w:pPr>
          </w:p>
        </w:tc>
        <w:tc>
          <w:tcPr>
            <w:tcW w:w="1559" w:type="dxa"/>
            <w:tcBorders>
              <w:top w:val="nil"/>
              <w:bottom w:val="single" w:sz="2" w:space="0" w:color="1F4E79" w:themeColor="accent1" w:themeShade="80"/>
            </w:tcBorders>
            <w:shd w:val="clear" w:color="auto" w:fill="auto"/>
          </w:tcPr>
          <w:p w14:paraId="427B6F35" w14:textId="77777777" w:rsidR="008B7E19" w:rsidRDefault="008B7E19" w:rsidP="008B7E19">
            <w:pPr>
              <w:pStyle w:val="08-Tabelageral"/>
              <w:rPr>
                <w:b/>
              </w:rPr>
            </w:pPr>
            <w:r>
              <w:rPr>
                <w:b/>
              </w:rPr>
              <w:t>(Restated balances)</w:t>
            </w:r>
          </w:p>
        </w:tc>
      </w:tr>
      <w:tr w:rsidR="008B7E19" w:rsidRPr="00E975F6" w14:paraId="7DF03C45" w14:textId="77777777" w:rsidTr="008875E7">
        <w:trPr>
          <w:trHeight w:val="238"/>
          <w:jc w:val="center"/>
        </w:trPr>
        <w:tc>
          <w:tcPr>
            <w:tcW w:w="3402" w:type="dxa"/>
            <w:tcBorders>
              <w:top w:val="single" w:sz="2" w:space="0" w:color="1F4E79" w:themeColor="accent1" w:themeShade="80"/>
            </w:tcBorders>
            <w:shd w:val="clear" w:color="auto" w:fill="auto"/>
            <w:vAlign w:val="center"/>
          </w:tcPr>
          <w:p w14:paraId="2EC257B1" w14:textId="77777777" w:rsidR="008B7E19" w:rsidRPr="004953F3" w:rsidRDefault="008B7E19" w:rsidP="008B7E19">
            <w:pPr>
              <w:pStyle w:val="08-Tabelageral"/>
              <w:jc w:val="left"/>
              <w:rPr>
                <w:rFonts w:cs="Arial"/>
                <w:b/>
                <w:bCs/>
                <w:szCs w:val="14"/>
                <w:lang w:val="en-US"/>
              </w:rPr>
            </w:pPr>
            <w:r>
              <w:rPr>
                <w:rFonts w:cs="Arial"/>
                <w:b/>
                <w:lang w:val="en-US"/>
              </w:rPr>
              <w:t>Profit before income tax and social contribution</w:t>
            </w:r>
            <w:r w:rsidRPr="00F81A67">
              <w:rPr>
                <w:rFonts w:cs="Arial"/>
                <w:sz w:val="16"/>
                <w:szCs w:val="16"/>
                <w:lang w:val="en-US"/>
              </w:rPr>
              <w:t> </w:t>
            </w:r>
            <w:r w:rsidRPr="004953F3">
              <w:rPr>
                <w:rFonts w:cs="Arial"/>
                <w:b/>
                <w:szCs w:val="14"/>
                <w:lang w:val="en-US"/>
              </w:rPr>
              <w:t xml:space="preserve"> </w:t>
            </w:r>
          </w:p>
        </w:tc>
        <w:tc>
          <w:tcPr>
            <w:tcW w:w="284" w:type="dxa"/>
            <w:tcBorders>
              <w:top w:val="single" w:sz="2" w:space="0" w:color="1F4E79" w:themeColor="accent1" w:themeShade="80"/>
            </w:tcBorders>
            <w:shd w:val="clear" w:color="auto" w:fill="auto"/>
          </w:tcPr>
          <w:p w14:paraId="70AAE6D5" w14:textId="77777777" w:rsidR="008B7E19" w:rsidRPr="004953F3" w:rsidRDefault="008B7E19" w:rsidP="008B7E19">
            <w:pPr>
              <w:pStyle w:val="08-Tabelageral"/>
              <w:jc w:val="center"/>
              <w:rPr>
                <w:rFonts w:cs="Arial"/>
                <w:b/>
                <w:szCs w:val="14"/>
                <w:lang w:val="en-US"/>
              </w:rPr>
            </w:pPr>
          </w:p>
        </w:tc>
        <w:tc>
          <w:tcPr>
            <w:tcW w:w="1276" w:type="dxa"/>
            <w:tcBorders>
              <w:top w:val="single" w:sz="2" w:space="0" w:color="1F4E79" w:themeColor="accent1" w:themeShade="80"/>
            </w:tcBorders>
            <w:shd w:val="clear" w:color="auto" w:fill="auto"/>
            <w:vAlign w:val="center"/>
          </w:tcPr>
          <w:p w14:paraId="676668CC" w14:textId="77777777" w:rsidR="008B7E19" w:rsidRPr="00A15DE6" w:rsidRDefault="008B7E19" w:rsidP="008B7E19">
            <w:pPr>
              <w:pStyle w:val="08-Tabelageral"/>
              <w:rPr>
                <w:rFonts w:cs="Arial"/>
                <w:b/>
                <w:szCs w:val="14"/>
                <w:lang w:val="en-US"/>
              </w:rPr>
            </w:pPr>
            <w:r>
              <w:rPr>
                <w:rFonts w:cs="Arial"/>
                <w:b/>
                <w:szCs w:val="14"/>
              </w:rPr>
              <w:t>1,889,627</w:t>
            </w:r>
          </w:p>
        </w:tc>
        <w:tc>
          <w:tcPr>
            <w:tcW w:w="1559" w:type="dxa"/>
            <w:tcBorders>
              <w:top w:val="single" w:sz="2" w:space="0" w:color="1F4E79" w:themeColor="accent1" w:themeShade="80"/>
            </w:tcBorders>
            <w:shd w:val="clear" w:color="auto" w:fill="auto"/>
            <w:vAlign w:val="center"/>
          </w:tcPr>
          <w:p w14:paraId="5ECF37D8" w14:textId="77777777" w:rsidR="008B7E19" w:rsidRPr="00A15DE6" w:rsidRDefault="008B7E19" w:rsidP="008B7E19">
            <w:pPr>
              <w:pStyle w:val="08-Tabelageral"/>
              <w:rPr>
                <w:rFonts w:cs="Arial"/>
                <w:b/>
                <w:szCs w:val="14"/>
                <w:lang w:val="en-US"/>
              </w:rPr>
            </w:pPr>
            <w:r>
              <w:rPr>
                <w:rFonts w:cs="Arial"/>
                <w:b/>
                <w:szCs w:val="14"/>
              </w:rPr>
              <w:t>1,533,628</w:t>
            </w:r>
          </w:p>
        </w:tc>
        <w:tc>
          <w:tcPr>
            <w:tcW w:w="283" w:type="dxa"/>
            <w:tcBorders>
              <w:top w:val="single" w:sz="2" w:space="0" w:color="1F4E79" w:themeColor="accent1" w:themeShade="80"/>
            </w:tcBorders>
            <w:shd w:val="clear" w:color="auto" w:fill="auto"/>
            <w:vAlign w:val="center"/>
          </w:tcPr>
          <w:p w14:paraId="4E9E3C39" w14:textId="77777777" w:rsidR="008B7E19" w:rsidRPr="00A15DE6" w:rsidRDefault="008B7E19" w:rsidP="008B7E19">
            <w:pPr>
              <w:pStyle w:val="08-Tabelageral"/>
              <w:rPr>
                <w:rFonts w:cs="Arial"/>
                <w:b/>
                <w:szCs w:val="14"/>
                <w:lang w:val="en-US"/>
              </w:rPr>
            </w:pPr>
          </w:p>
        </w:tc>
        <w:tc>
          <w:tcPr>
            <w:tcW w:w="1276" w:type="dxa"/>
            <w:tcBorders>
              <w:top w:val="single" w:sz="2" w:space="0" w:color="1F4E79" w:themeColor="accent1" w:themeShade="80"/>
            </w:tcBorders>
            <w:shd w:val="clear" w:color="auto" w:fill="auto"/>
            <w:vAlign w:val="center"/>
          </w:tcPr>
          <w:p w14:paraId="27793FFC" w14:textId="77777777" w:rsidR="008B7E19" w:rsidRPr="00A15DE6" w:rsidRDefault="008B7E19" w:rsidP="008B7E19">
            <w:pPr>
              <w:pStyle w:val="08-Tabelageral"/>
              <w:rPr>
                <w:rFonts w:cs="Arial"/>
                <w:b/>
                <w:szCs w:val="14"/>
                <w:lang w:val="en-US"/>
              </w:rPr>
            </w:pPr>
            <w:r>
              <w:rPr>
                <w:rFonts w:cs="Arial"/>
                <w:b/>
                <w:szCs w:val="14"/>
              </w:rPr>
              <w:t>2,263,217</w:t>
            </w:r>
          </w:p>
        </w:tc>
        <w:tc>
          <w:tcPr>
            <w:tcW w:w="1559" w:type="dxa"/>
            <w:tcBorders>
              <w:top w:val="single" w:sz="2" w:space="0" w:color="1F4E79" w:themeColor="accent1" w:themeShade="80"/>
            </w:tcBorders>
            <w:shd w:val="clear" w:color="auto" w:fill="auto"/>
            <w:vAlign w:val="center"/>
          </w:tcPr>
          <w:p w14:paraId="719861E3" w14:textId="77777777" w:rsidR="008B7E19" w:rsidRPr="00A15DE6" w:rsidRDefault="008B7E19" w:rsidP="008B7E19">
            <w:pPr>
              <w:pStyle w:val="08-Tabelageral"/>
              <w:rPr>
                <w:rFonts w:cs="Arial"/>
                <w:b/>
                <w:lang w:val="en-US"/>
              </w:rPr>
            </w:pPr>
            <w:r>
              <w:rPr>
                <w:rFonts w:cs="Arial"/>
                <w:b/>
              </w:rPr>
              <w:t>1,862,113</w:t>
            </w:r>
          </w:p>
        </w:tc>
      </w:tr>
      <w:tr w:rsidR="008B7E19" w:rsidRPr="00E975F6" w14:paraId="4F03249A" w14:textId="77777777" w:rsidTr="008875E7">
        <w:trPr>
          <w:trHeight w:val="238"/>
          <w:jc w:val="center"/>
        </w:trPr>
        <w:tc>
          <w:tcPr>
            <w:tcW w:w="3402" w:type="dxa"/>
            <w:shd w:val="clear" w:color="auto" w:fill="auto"/>
            <w:vAlign w:val="center"/>
          </w:tcPr>
          <w:p w14:paraId="0445182F" w14:textId="77777777" w:rsidR="008B7E19" w:rsidRPr="004953F3" w:rsidRDefault="008B7E19" w:rsidP="008B7E19">
            <w:pPr>
              <w:pStyle w:val="08-Tabelageral"/>
              <w:ind w:left="113"/>
              <w:jc w:val="left"/>
              <w:rPr>
                <w:rFonts w:cs="Arial"/>
                <w:szCs w:val="14"/>
                <w:lang w:val="en-US"/>
              </w:rPr>
            </w:pPr>
            <w:r w:rsidRPr="004953F3">
              <w:rPr>
                <w:rFonts w:cs="Arial"/>
                <w:szCs w:val="14"/>
                <w:lang w:val="en-US"/>
              </w:rPr>
              <w:t xml:space="preserve">a) </w:t>
            </w:r>
            <w:r w:rsidRPr="006D1ED0">
              <w:rPr>
                <w:rFonts w:ascii="ArialMT" w:hAnsi="ArialMT" w:cs="ArialMT"/>
                <w:szCs w:val="14"/>
                <w:lang w:val="en-US"/>
              </w:rPr>
              <w:t>Total</w:t>
            </w:r>
            <w:r>
              <w:rPr>
                <w:rFonts w:ascii="ArialMT" w:hAnsi="ArialMT" w:cs="ArialMT"/>
                <w:szCs w:val="14"/>
                <w:lang w:val="en-US"/>
              </w:rPr>
              <w:t xml:space="preserve"> income tax (25%) and CSLL (9</w:t>
            </w:r>
            <w:r w:rsidRPr="006D1ED0">
              <w:rPr>
                <w:rFonts w:ascii="ArialMT" w:hAnsi="ArialMT" w:cs="ArialMT"/>
                <w:szCs w:val="14"/>
                <w:lang w:val="en-US"/>
              </w:rPr>
              <w:t>%)</w:t>
            </w:r>
            <w:r>
              <w:rPr>
                <w:rFonts w:ascii="ArialMT" w:hAnsi="ArialMT" w:cs="ArialMT"/>
                <w:szCs w:val="14"/>
                <w:lang w:val="en-US"/>
              </w:rPr>
              <w:t xml:space="preserve"> chages</w:t>
            </w:r>
            <w:r w:rsidRPr="00F81A67">
              <w:rPr>
                <w:rFonts w:cs="Arial"/>
                <w:sz w:val="16"/>
                <w:szCs w:val="16"/>
                <w:lang w:val="en-US"/>
              </w:rPr>
              <w:t> </w:t>
            </w:r>
          </w:p>
        </w:tc>
        <w:tc>
          <w:tcPr>
            <w:tcW w:w="284" w:type="dxa"/>
            <w:shd w:val="clear" w:color="auto" w:fill="auto"/>
          </w:tcPr>
          <w:p w14:paraId="69BD72F4" w14:textId="77777777" w:rsidR="008B7E19" w:rsidRPr="004953F3" w:rsidRDefault="008B7E19" w:rsidP="008B7E19">
            <w:pPr>
              <w:pStyle w:val="08-Tabelageral"/>
              <w:ind w:left="113"/>
              <w:jc w:val="center"/>
              <w:rPr>
                <w:rFonts w:cs="Arial"/>
                <w:szCs w:val="14"/>
                <w:lang w:val="en-US"/>
              </w:rPr>
            </w:pPr>
          </w:p>
        </w:tc>
        <w:tc>
          <w:tcPr>
            <w:tcW w:w="1276" w:type="dxa"/>
            <w:shd w:val="clear" w:color="auto" w:fill="auto"/>
            <w:vAlign w:val="center"/>
          </w:tcPr>
          <w:p w14:paraId="23EFD71B" w14:textId="77777777" w:rsidR="008B7E19" w:rsidRPr="00A15DE6" w:rsidRDefault="008B7E19" w:rsidP="008B7E19">
            <w:pPr>
              <w:pStyle w:val="08-Tabelageral"/>
              <w:ind w:left="113"/>
              <w:rPr>
                <w:rFonts w:cs="Arial"/>
                <w:szCs w:val="14"/>
                <w:lang w:val="en-US"/>
              </w:rPr>
            </w:pPr>
            <w:r>
              <w:rPr>
                <w:rFonts w:cs="Arial"/>
                <w:szCs w:val="14"/>
              </w:rPr>
              <w:t>(642,473)</w:t>
            </w:r>
          </w:p>
        </w:tc>
        <w:tc>
          <w:tcPr>
            <w:tcW w:w="1559" w:type="dxa"/>
            <w:shd w:val="clear" w:color="auto" w:fill="auto"/>
            <w:vAlign w:val="center"/>
          </w:tcPr>
          <w:p w14:paraId="431BDFD4" w14:textId="77777777" w:rsidR="008B7E19" w:rsidRPr="00A15DE6" w:rsidRDefault="008B7E19" w:rsidP="008B7E19">
            <w:pPr>
              <w:pStyle w:val="08-Tabelageral"/>
              <w:ind w:left="113"/>
              <w:rPr>
                <w:rFonts w:cs="Arial"/>
                <w:szCs w:val="14"/>
                <w:lang w:val="en-US"/>
              </w:rPr>
            </w:pPr>
            <w:r>
              <w:rPr>
                <w:rFonts w:cs="Arial"/>
                <w:szCs w:val="14"/>
              </w:rPr>
              <w:t>(521,434)</w:t>
            </w:r>
          </w:p>
        </w:tc>
        <w:tc>
          <w:tcPr>
            <w:tcW w:w="283" w:type="dxa"/>
            <w:shd w:val="clear" w:color="auto" w:fill="auto"/>
            <w:vAlign w:val="center"/>
          </w:tcPr>
          <w:p w14:paraId="1F66AAA0" w14:textId="77777777" w:rsidR="008B7E19" w:rsidRPr="00A15DE6" w:rsidRDefault="008B7E19" w:rsidP="008B7E19">
            <w:pPr>
              <w:pStyle w:val="08-Tabelageral"/>
              <w:ind w:left="113"/>
              <w:rPr>
                <w:rFonts w:cs="Arial"/>
                <w:szCs w:val="14"/>
                <w:lang w:val="en-US"/>
              </w:rPr>
            </w:pPr>
          </w:p>
        </w:tc>
        <w:tc>
          <w:tcPr>
            <w:tcW w:w="1276" w:type="dxa"/>
            <w:shd w:val="clear" w:color="auto" w:fill="auto"/>
            <w:vAlign w:val="center"/>
          </w:tcPr>
          <w:p w14:paraId="40AC7119" w14:textId="77777777" w:rsidR="008B7E19" w:rsidRPr="00A15DE6" w:rsidRDefault="008B7E19" w:rsidP="008B7E19">
            <w:pPr>
              <w:pStyle w:val="08-Tabelageral"/>
              <w:ind w:left="113"/>
              <w:rPr>
                <w:rFonts w:cs="Arial"/>
                <w:szCs w:val="14"/>
                <w:lang w:val="en-US"/>
              </w:rPr>
            </w:pPr>
            <w:r>
              <w:rPr>
                <w:rFonts w:cs="Arial"/>
                <w:szCs w:val="14"/>
              </w:rPr>
              <w:t>(769,494)</w:t>
            </w:r>
          </w:p>
        </w:tc>
        <w:tc>
          <w:tcPr>
            <w:tcW w:w="1559" w:type="dxa"/>
            <w:shd w:val="clear" w:color="auto" w:fill="auto"/>
            <w:vAlign w:val="center"/>
          </w:tcPr>
          <w:p w14:paraId="327BB608" w14:textId="77777777" w:rsidR="008B7E19" w:rsidRPr="00A15DE6" w:rsidRDefault="008B7E19" w:rsidP="008B7E19">
            <w:pPr>
              <w:pStyle w:val="08-Tabelageral"/>
              <w:rPr>
                <w:rFonts w:cs="Arial"/>
                <w:lang w:val="en-US"/>
              </w:rPr>
            </w:pPr>
            <w:r>
              <w:rPr>
                <w:rFonts w:cs="Arial"/>
              </w:rPr>
              <w:t>(633,118)</w:t>
            </w:r>
          </w:p>
        </w:tc>
      </w:tr>
      <w:tr w:rsidR="008B7E19" w:rsidRPr="006A56B2" w14:paraId="6F436172" w14:textId="77777777" w:rsidTr="008875E7">
        <w:trPr>
          <w:trHeight w:val="238"/>
          <w:jc w:val="center"/>
        </w:trPr>
        <w:tc>
          <w:tcPr>
            <w:tcW w:w="3402" w:type="dxa"/>
            <w:shd w:val="clear" w:color="auto" w:fill="auto"/>
            <w:vAlign w:val="center"/>
          </w:tcPr>
          <w:p w14:paraId="469FFDAA" w14:textId="77777777" w:rsidR="008B7E19" w:rsidRPr="004953F3" w:rsidRDefault="008B7E19" w:rsidP="008B7E19">
            <w:pPr>
              <w:pStyle w:val="08-Tabelageral"/>
              <w:jc w:val="left"/>
              <w:rPr>
                <w:rFonts w:cs="Arial"/>
                <w:b/>
                <w:szCs w:val="14"/>
                <w:lang w:val="en-US"/>
              </w:rPr>
            </w:pPr>
            <w:r w:rsidRPr="000F7914">
              <w:rPr>
                <w:rFonts w:cs="Arial"/>
                <w:b/>
                <w:szCs w:val="14"/>
                <w:lang w:val="en-US"/>
              </w:rPr>
              <w:t>Effect on the tax calculation:</w:t>
            </w:r>
          </w:p>
        </w:tc>
        <w:tc>
          <w:tcPr>
            <w:tcW w:w="284" w:type="dxa"/>
            <w:shd w:val="clear" w:color="auto" w:fill="auto"/>
          </w:tcPr>
          <w:p w14:paraId="02D334CF" w14:textId="77777777" w:rsidR="008B7E19" w:rsidRPr="004953F3" w:rsidRDefault="008B7E19" w:rsidP="008B7E19">
            <w:pPr>
              <w:pStyle w:val="08-Tabelageral"/>
              <w:jc w:val="center"/>
              <w:rPr>
                <w:rFonts w:cs="Arial"/>
                <w:b/>
                <w:szCs w:val="14"/>
                <w:lang w:val="en-US"/>
              </w:rPr>
            </w:pPr>
          </w:p>
        </w:tc>
        <w:tc>
          <w:tcPr>
            <w:tcW w:w="1276" w:type="dxa"/>
            <w:shd w:val="clear" w:color="auto" w:fill="auto"/>
            <w:vAlign w:val="center"/>
          </w:tcPr>
          <w:p w14:paraId="7B9D98B3" w14:textId="77777777" w:rsidR="008B7E19" w:rsidRPr="004953F3" w:rsidRDefault="008B7E19" w:rsidP="008B7E19">
            <w:pPr>
              <w:pStyle w:val="08-Tabelageral"/>
              <w:rPr>
                <w:rFonts w:cs="Arial"/>
                <w:b/>
                <w:szCs w:val="14"/>
                <w:lang w:val="en-US"/>
              </w:rPr>
            </w:pPr>
          </w:p>
        </w:tc>
        <w:tc>
          <w:tcPr>
            <w:tcW w:w="1559" w:type="dxa"/>
            <w:shd w:val="clear" w:color="auto" w:fill="auto"/>
            <w:vAlign w:val="center"/>
          </w:tcPr>
          <w:p w14:paraId="67F81160" w14:textId="77777777" w:rsidR="008B7E19" w:rsidRPr="004953F3" w:rsidRDefault="008B7E19" w:rsidP="008B7E19">
            <w:pPr>
              <w:pStyle w:val="08-Tabelageral"/>
              <w:rPr>
                <w:rFonts w:cs="Arial"/>
                <w:b/>
                <w:szCs w:val="14"/>
                <w:lang w:val="en-US"/>
              </w:rPr>
            </w:pPr>
          </w:p>
        </w:tc>
        <w:tc>
          <w:tcPr>
            <w:tcW w:w="283" w:type="dxa"/>
            <w:shd w:val="clear" w:color="auto" w:fill="auto"/>
            <w:vAlign w:val="center"/>
          </w:tcPr>
          <w:p w14:paraId="32BF7481" w14:textId="77777777" w:rsidR="008B7E19" w:rsidRPr="004953F3" w:rsidRDefault="008B7E19" w:rsidP="008B7E19">
            <w:pPr>
              <w:pStyle w:val="08-Tabelageral"/>
              <w:rPr>
                <w:rFonts w:cs="Arial"/>
                <w:b/>
                <w:szCs w:val="14"/>
                <w:lang w:val="en-US"/>
              </w:rPr>
            </w:pPr>
          </w:p>
        </w:tc>
        <w:tc>
          <w:tcPr>
            <w:tcW w:w="1276" w:type="dxa"/>
            <w:shd w:val="clear" w:color="auto" w:fill="auto"/>
            <w:vAlign w:val="center"/>
          </w:tcPr>
          <w:p w14:paraId="75E55087" w14:textId="77777777" w:rsidR="008B7E19" w:rsidRPr="004953F3" w:rsidRDefault="008B7E19" w:rsidP="008B7E19">
            <w:pPr>
              <w:pStyle w:val="08-Tabelageral"/>
              <w:rPr>
                <w:rFonts w:cs="Arial"/>
                <w:b/>
                <w:szCs w:val="14"/>
                <w:lang w:val="en-US"/>
              </w:rPr>
            </w:pPr>
          </w:p>
        </w:tc>
        <w:tc>
          <w:tcPr>
            <w:tcW w:w="1559" w:type="dxa"/>
            <w:shd w:val="clear" w:color="auto" w:fill="auto"/>
            <w:vAlign w:val="center"/>
          </w:tcPr>
          <w:p w14:paraId="794F38CF" w14:textId="77777777" w:rsidR="008B7E19" w:rsidRPr="004953F3" w:rsidRDefault="008B7E19" w:rsidP="008B7E19">
            <w:pPr>
              <w:pStyle w:val="08-Tabelageral"/>
              <w:rPr>
                <w:rFonts w:cs="Arial"/>
                <w:b/>
                <w:lang w:val="en-US"/>
              </w:rPr>
            </w:pPr>
          </w:p>
        </w:tc>
      </w:tr>
      <w:tr w:rsidR="008B7E19" w:rsidRPr="00E975F6" w14:paraId="76502424" w14:textId="77777777" w:rsidTr="008875E7">
        <w:trPr>
          <w:trHeight w:val="238"/>
          <w:jc w:val="center"/>
        </w:trPr>
        <w:tc>
          <w:tcPr>
            <w:tcW w:w="3402" w:type="dxa"/>
            <w:shd w:val="clear" w:color="auto" w:fill="auto"/>
            <w:vAlign w:val="center"/>
          </w:tcPr>
          <w:p w14:paraId="06FE432F" w14:textId="77777777" w:rsidR="008B7E19" w:rsidRPr="004953F3" w:rsidRDefault="008B7E19" w:rsidP="008B7E19">
            <w:pPr>
              <w:pStyle w:val="08-Tabelageral"/>
              <w:ind w:left="283" w:hanging="170"/>
              <w:jc w:val="left"/>
              <w:rPr>
                <w:rFonts w:cs="Arial"/>
                <w:szCs w:val="14"/>
                <w:lang w:val="en-US"/>
              </w:rPr>
            </w:pPr>
            <w:r w:rsidRPr="004953F3">
              <w:rPr>
                <w:rFonts w:cs="Arial"/>
                <w:szCs w:val="14"/>
                <w:lang w:val="en-US"/>
              </w:rPr>
              <w:t xml:space="preserve">b) </w:t>
            </w:r>
            <w:r w:rsidRPr="003E2305">
              <w:rPr>
                <w:rFonts w:cs="Arial"/>
                <w:szCs w:val="14"/>
                <w:lang w:val="en-US"/>
              </w:rPr>
              <w:t>Nontaxable income - share of profit (loss) of subsidiaries associates and joint ventures (34%)</w:t>
            </w:r>
          </w:p>
        </w:tc>
        <w:tc>
          <w:tcPr>
            <w:tcW w:w="284" w:type="dxa"/>
            <w:shd w:val="clear" w:color="auto" w:fill="auto"/>
          </w:tcPr>
          <w:p w14:paraId="636423C9" w14:textId="77777777" w:rsidR="008B7E19" w:rsidRPr="004953F3" w:rsidRDefault="008B7E19" w:rsidP="008B7E19">
            <w:pPr>
              <w:pStyle w:val="08-Tabelageral"/>
              <w:ind w:left="113"/>
              <w:jc w:val="center"/>
              <w:rPr>
                <w:rFonts w:cs="Arial"/>
                <w:szCs w:val="14"/>
                <w:lang w:val="en-US"/>
              </w:rPr>
            </w:pPr>
          </w:p>
        </w:tc>
        <w:tc>
          <w:tcPr>
            <w:tcW w:w="1276" w:type="dxa"/>
            <w:shd w:val="clear" w:color="auto" w:fill="auto"/>
            <w:vAlign w:val="center"/>
          </w:tcPr>
          <w:p w14:paraId="13BDBB53" w14:textId="77777777" w:rsidR="008B7E19" w:rsidRPr="00A15DE6" w:rsidRDefault="008B7E19" w:rsidP="008B7E19">
            <w:pPr>
              <w:pStyle w:val="08-Tabelageral"/>
              <w:ind w:left="113"/>
              <w:rPr>
                <w:rFonts w:cs="Arial"/>
                <w:szCs w:val="14"/>
                <w:lang w:val="en-US"/>
              </w:rPr>
            </w:pPr>
            <w:r>
              <w:rPr>
                <w:rFonts w:cs="Arial"/>
                <w:szCs w:val="14"/>
              </w:rPr>
              <w:t>640,594</w:t>
            </w:r>
          </w:p>
        </w:tc>
        <w:tc>
          <w:tcPr>
            <w:tcW w:w="1559" w:type="dxa"/>
            <w:shd w:val="clear" w:color="auto" w:fill="auto"/>
            <w:vAlign w:val="center"/>
          </w:tcPr>
          <w:p w14:paraId="70C828CE" w14:textId="77777777" w:rsidR="008B7E19" w:rsidRPr="00A15DE6" w:rsidRDefault="008B7E19" w:rsidP="008B7E19">
            <w:pPr>
              <w:pStyle w:val="08-Tabelageral"/>
              <w:ind w:left="113"/>
              <w:rPr>
                <w:rFonts w:cs="Arial"/>
                <w:szCs w:val="14"/>
                <w:lang w:val="en-US"/>
              </w:rPr>
            </w:pPr>
            <w:r>
              <w:rPr>
                <w:rFonts w:cs="Arial"/>
                <w:szCs w:val="14"/>
              </w:rPr>
              <w:t>521,843</w:t>
            </w:r>
          </w:p>
        </w:tc>
        <w:tc>
          <w:tcPr>
            <w:tcW w:w="283" w:type="dxa"/>
            <w:shd w:val="clear" w:color="auto" w:fill="auto"/>
            <w:vAlign w:val="center"/>
          </w:tcPr>
          <w:p w14:paraId="49D255E1" w14:textId="77777777" w:rsidR="008B7E19" w:rsidRPr="00A15DE6" w:rsidRDefault="008B7E19" w:rsidP="008B7E19">
            <w:pPr>
              <w:pStyle w:val="08-Tabelageral"/>
              <w:ind w:left="113"/>
              <w:rPr>
                <w:rFonts w:cs="Arial"/>
                <w:szCs w:val="14"/>
                <w:lang w:val="en-US"/>
              </w:rPr>
            </w:pPr>
          </w:p>
        </w:tc>
        <w:tc>
          <w:tcPr>
            <w:tcW w:w="1276" w:type="dxa"/>
            <w:shd w:val="clear" w:color="auto" w:fill="auto"/>
            <w:vAlign w:val="center"/>
          </w:tcPr>
          <w:p w14:paraId="25357A12" w14:textId="77777777" w:rsidR="008B7E19" w:rsidRPr="00A15DE6" w:rsidRDefault="008B7E19" w:rsidP="008B7E19">
            <w:pPr>
              <w:pStyle w:val="08-Tabelageral"/>
              <w:ind w:left="113"/>
              <w:rPr>
                <w:rFonts w:cs="Arial"/>
                <w:szCs w:val="14"/>
                <w:lang w:val="en-US"/>
              </w:rPr>
            </w:pPr>
            <w:r>
              <w:rPr>
                <w:rFonts w:cs="Arial"/>
                <w:szCs w:val="14"/>
              </w:rPr>
              <w:t>393,700</w:t>
            </w:r>
          </w:p>
        </w:tc>
        <w:tc>
          <w:tcPr>
            <w:tcW w:w="1559" w:type="dxa"/>
            <w:shd w:val="clear" w:color="auto" w:fill="auto"/>
            <w:vAlign w:val="center"/>
          </w:tcPr>
          <w:p w14:paraId="0F98DC82" w14:textId="77777777" w:rsidR="008B7E19" w:rsidRPr="00A15DE6" w:rsidRDefault="008B7E19" w:rsidP="008B7E19">
            <w:pPr>
              <w:pStyle w:val="08-Tabelageral"/>
              <w:rPr>
                <w:rFonts w:cs="Arial"/>
                <w:lang w:val="en-US"/>
              </w:rPr>
            </w:pPr>
            <w:r>
              <w:rPr>
                <w:rFonts w:cs="Arial"/>
              </w:rPr>
              <w:t>304,241</w:t>
            </w:r>
          </w:p>
        </w:tc>
      </w:tr>
      <w:tr w:rsidR="008B7E19" w:rsidRPr="00E975F6" w14:paraId="47A6CD0F" w14:textId="77777777" w:rsidTr="008875E7">
        <w:trPr>
          <w:trHeight w:val="238"/>
          <w:jc w:val="center"/>
        </w:trPr>
        <w:tc>
          <w:tcPr>
            <w:tcW w:w="3402" w:type="dxa"/>
            <w:tcBorders>
              <w:bottom w:val="nil"/>
            </w:tcBorders>
            <w:shd w:val="clear" w:color="auto" w:fill="auto"/>
            <w:vAlign w:val="center"/>
          </w:tcPr>
          <w:p w14:paraId="7B876CC4" w14:textId="77777777" w:rsidR="008B7E19" w:rsidRPr="004953F3" w:rsidRDefault="008B7E19" w:rsidP="008B7E19">
            <w:pPr>
              <w:pStyle w:val="08-Tabelageral"/>
              <w:ind w:left="283" w:hanging="170"/>
              <w:jc w:val="left"/>
              <w:rPr>
                <w:rFonts w:cs="Arial"/>
                <w:szCs w:val="14"/>
                <w:lang w:val="en-US"/>
              </w:rPr>
            </w:pPr>
            <w:r w:rsidRPr="004953F3">
              <w:rPr>
                <w:rFonts w:cs="Arial"/>
                <w:szCs w:val="14"/>
                <w:lang w:val="en-US"/>
              </w:rPr>
              <w:t xml:space="preserve">c) </w:t>
            </w:r>
            <w:r w:rsidRPr="003E2305">
              <w:rPr>
                <w:rFonts w:cs="Arial"/>
                <w:szCs w:val="14"/>
                <w:lang w:val="en-US"/>
              </w:rPr>
              <w:t>Non-deductible expenses, net of nontaxable income (34%)</w:t>
            </w:r>
          </w:p>
        </w:tc>
        <w:tc>
          <w:tcPr>
            <w:tcW w:w="284" w:type="dxa"/>
            <w:tcBorders>
              <w:bottom w:val="nil"/>
            </w:tcBorders>
            <w:shd w:val="clear" w:color="auto" w:fill="auto"/>
          </w:tcPr>
          <w:p w14:paraId="1564866E" w14:textId="77777777" w:rsidR="008B7E19" w:rsidRPr="004953F3" w:rsidRDefault="008B7E19" w:rsidP="008B7E19">
            <w:pPr>
              <w:pStyle w:val="08-Tabelageral"/>
              <w:jc w:val="center"/>
              <w:rPr>
                <w:rFonts w:cs="Arial"/>
                <w:szCs w:val="14"/>
                <w:lang w:val="en-US"/>
              </w:rPr>
            </w:pPr>
          </w:p>
        </w:tc>
        <w:tc>
          <w:tcPr>
            <w:tcW w:w="1276" w:type="dxa"/>
            <w:tcBorders>
              <w:bottom w:val="nil"/>
            </w:tcBorders>
            <w:shd w:val="clear" w:color="auto" w:fill="auto"/>
            <w:vAlign w:val="center"/>
          </w:tcPr>
          <w:p w14:paraId="4C85DABD" w14:textId="77777777" w:rsidR="008B7E19" w:rsidRPr="00A15DE6" w:rsidRDefault="008B7E19" w:rsidP="008B7E19">
            <w:pPr>
              <w:pStyle w:val="08-Tabelageral"/>
              <w:rPr>
                <w:rFonts w:cs="Arial"/>
                <w:szCs w:val="14"/>
                <w:lang w:val="en-US"/>
              </w:rPr>
            </w:pPr>
            <w:r>
              <w:rPr>
                <w:rFonts w:cs="Arial"/>
                <w:szCs w:val="14"/>
              </w:rPr>
              <w:t>1,626</w:t>
            </w:r>
          </w:p>
        </w:tc>
        <w:tc>
          <w:tcPr>
            <w:tcW w:w="1559" w:type="dxa"/>
            <w:tcBorders>
              <w:bottom w:val="nil"/>
            </w:tcBorders>
            <w:shd w:val="clear" w:color="auto" w:fill="auto"/>
            <w:vAlign w:val="center"/>
          </w:tcPr>
          <w:p w14:paraId="46256804" w14:textId="77777777" w:rsidR="008B7E19" w:rsidRPr="00A15DE6" w:rsidRDefault="008B7E19" w:rsidP="008B7E19">
            <w:pPr>
              <w:pStyle w:val="08-Tabelageral"/>
              <w:rPr>
                <w:rFonts w:cs="Arial"/>
                <w:szCs w:val="14"/>
                <w:lang w:val="en-US"/>
              </w:rPr>
            </w:pPr>
            <w:r>
              <w:rPr>
                <w:rFonts w:cs="Arial"/>
                <w:szCs w:val="14"/>
              </w:rPr>
              <w:t>(223)</w:t>
            </w:r>
          </w:p>
        </w:tc>
        <w:tc>
          <w:tcPr>
            <w:tcW w:w="283" w:type="dxa"/>
            <w:tcBorders>
              <w:bottom w:val="nil"/>
            </w:tcBorders>
            <w:shd w:val="clear" w:color="auto" w:fill="auto"/>
            <w:vAlign w:val="center"/>
          </w:tcPr>
          <w:p w14:paraId="241435C0" w14:textId="77777777" w:rsidR="008B7E19" w:rsidRPr="00A15DE6" w:rsidRDefault="008B7E19" w:rsidP="008B7E19">
            <w:pPr>
              <w:pStyle w:val="08-Tabelageral"/>
              <w:rPr>
                <w:rFonts w:cs="Arial"/>
                <w:szCs w:val="14"/>
                <w:lang w:val="en-US"/>
              </w:rPr>
            </w:pPr>
          </w:p>
        </w:tc>
        <w:tc>
          <w:tcPr>
            <w:tcW w:w="1276" w:type="dxa"/>
            <w:tcBorders>
              <w:bottom w:val="nil"/>
            </w:tcBorders>
            <w:shd w:val="clear" w:color="auto" w:fill="auto"/>
            <w:vAlign w:val="center"/>
          </w:tcPr>
          <w:p w14:paraId="365EC77D" w14:textId="77777777" w:rsidR="008B7E19" w:rsidRPr="00A15DE6" w:rsidRDefault="008B7E19" w:rsidP="008B7E19">
            <w:pPr>
              <w:pStyle w:val="08-Tabelageral"/>
              <w:rPr>
                <w:rFonts w:cs="Arial"/>
                <w:szCs w:val="14"/>
                <w:lang w:val="en-US"/>
              </w:rPr>
            </w:pPr>
            <w:r>
              <w:rPr>
                <w:rFonts w:cs="Arial"/>
                <w:szCs w:val="14"/>
              </w:rPr>
              <w:t>(1,287)</w:t>
            </w:r>
          </w:p>
        </w:tc>
        <w:tc>
          <w:tcPr>
            <w:tcW w:w="1559" w:type="dxa"/>
            <w:tcBorders>
              <w:bottom w:val="nil"/>
            </w:tcBorders>
            <w:shd w:val="clear" w:color="auto" w:fill="auto"/>
            <w:vAlign w:val="center"/>
          </w:tcPr>
          <w:p w14:paraId="6D17DDD9" w14:textId="77777777" w:rsidR="008B7E19" w:rsidRPr="00A15DE6" w:rsidRDefault="008B7E19" w:rsidP="008B7E19">
            <w:pPr>
              <w:pStyle w:val="08-Tabelageral"/>
              <w:rPr>
                <w:rFonts w:cs="Arial"/>
                <w:lang w:val="en-US"/>
              </w:rPr>
            </w:pPr>
            <w:r>
              <w:rPr>
                <w:rFonts w:cs="Arial"/>
              </w:rPr>
              <w:t>(2,711)</w:t>
            </w:r>
          </w:p>
        </w:tc>
      </w:tr>
      <w:tr w:rsidR="008B7E19" w:rsidRPr="00E975F6" w14:paraId="4D529E8F" w14:textId="77777777" w:rsidTr="008875E7">
        <w:trPr>
          <w:trHeight w:val="238"/>
          <w:jc w:val="center"/>
        </w:trPr>
        <w:tc>
          <w:tcPr>
            <w:tcW w:w="3402" w:type="dxa"/>
            <w:tcBorders>
              <w:top w:val="nil"/>
              <w:bottom w:val="single" w:sz="2" w:space="0" w:color="1F4E79" w:themeColor="accent1" w:themeShade="80"/>
            </w:tcBorders>
            <w:shd w:val="clear" w:color="auto" w:fill="auto"/>
            <w:vAlign w:val="center"/>
          </w:tcPr>
          <w:p w14:paraId="6515A2C5" w14:textId="77777777" w:rsidR="008B7E19" w:rsidRPr="004953F3" w:rsidRDefault="008B7E19" w:rsidP="008B7E19">
            <w:pPr>
              <w:pStyle w:val="08-Tabelageral"/>
              <w:jc w:val="left"/>
              <w:rPr>
                <w:rFonts w:cs="Arial"/>
                <w:b/>
                <w:szCs w:val="14"/>
                <w:lang w:val="en-US"/>
              </w:rPr>
            </w:pPr>
            <w:r w:rsidRPr="000F7914">
              <w:rPr>
                <w:rFonts w:cs="Arial"/>
                <w:b/>
                <w:lang w:val="en-US"/>
              </w:rPr>
              <w:t>Income tax and social contribution</w:t>
            </w:r>
            <w:r w:rsidRPr="003E2305">
              <w:rPr>
                <w:rFonts w:cs="Arial"/>
                <w:lang w:val="en-US"/>
              </w:rPr>
              <w:t xml:space="preserve"> </w:t>
            </w:r>
            <w:r w:rsidRPr="004953F3">
              <w:rPr>
                <w:rFonts w:cs="Arial"/>
                <w:b/>
                <w:lang w:val="en-US"/>
              </w:rPr>
              <w:t>(a+b+c)</w:t>
            </w:r>
          </w:p>
        </w:tc>
        <w:tc>
          <w:tcPr>
            <w:tcW w:w="284" w:type="dxa"/>
            <w:tcBorders>
              <w:top w:val="nil"/>
              <w:bottom w:val="single" w:sz="2" w:space="0" w:color="1F4E79" w:themeColor="accent1" w:themeShade="80"/>
            </w:tcBorders>
            <w:shd w:val="clear" w:color="auto" w:fill="auto"/>
          </w:tcPr>
          <w:p w14:paraId="0A12561B" w14:textId="77777777" w:rsidR="008B7E19" w:rsidRPr="004953F3" w:rsidRDefault="008B7E19" w:rsidP="008B7E19">
            <w:pPr>
              <w:pStyle w:val="08-Tabelageral"/>
              <w:rPr>
                <w:rFonts w:cs="Arial"/>
                <w:b/>
                <w:szCs w:val="14"/>
                <w:lang w:val="en-US"/>
              </w:rPr>
            </w:pPr>
          </w:p>
        </w:tc>
        <w:tc>
          <w:tcPr>
            <w:tcW w:w="1276" w:type="dxa"/>
            <w:tcBorders>
              <w:top w:val="nil"/>
              <w:bottom w:val="single" w:sz="2" w:space="0" w:color="1F4E79" w:themeColor="accent1" w:themeShade="80"/>
            </w:tcBorders>
            <w:shd w:val="clear" w:color="auto" w:fill="auto"/>
            <w:vAlign w:val="center"/>
          </w:tcPr>
          <w:p w14:paraId="7C7E0AEB" w14:textId="77777777" w:rsidR="008B7E19" w:rsidRPr="00A15DE6" w:rsidRDefault="008B7E19" w:rsidP="008B7E19">
            <w:pPr>
              <w:pStyle w:val="08-Tabelageral"/>
              <w:rPr>
                <w:rFonts w:cs="Arial"/>
                <w:b/>
                <w:szCs w:val="14"/>
                <w:lang w:val="en-US"/>
              </w:rPr>
            </w:pPr>
            <w:r>
              <w:rPr>
                <w:rFonts w:cs="Arial"/>
                <w:b/>
                <w:szCs w:val="14"/>
              </w:rPr>
              <w:t>(253)</w:t>
            </w:r>
          </w:p>
        </w:tc>
        <w:tc>
          <w:tcPr>
            <w:tcW w:w="1559" w:type="dxa"/>
            <w:tcBorders>
              <w:top w:val="nil"/>
              <w:bottom w:val="single" w:sz="2" w:space="0" w:color="1F4E79" w:themeColor="accent1" w:themeShade="80"/>
            </w:tcBorders>
            <w:shd w:val="clear" w:color="auto" w:fill="auto"/>
            <w:vAlign w:val="center"/>
          </w:tcPr>
          <w:p w14:paraId="0A75D3A8" w14:textId="77777777" w:rsidR="008B7E19" w:rsidRPr="00A15DE6" w:rsidRDefault="008B7E19" w:rsidP="008B7E19">
            <w:pPr>
              <w:pStyle w:val="08-Tabelageral"/>
              <w:rPr>
                <w:rFonts w:cs="Arial"/>
                <w:b/>
                <w:szCs w:val="14"/>
                <w:lang w:val="en-US"/>
              </w:rPr>
            </w:pPr>
            <w:r>
              <w:rPr>
                <w:rFonts w:cs="Arial"/>
                <w:b/>
                <w:szCs w:val="14"/>
              </w:rPr>
              <w:t>186</w:t>
            </w:r>
          </w:p>
        </w:tc>
        <w:tc>
          <w:tcPr>
            <w:tcW w:w="283" w:type="dxa"/>
            <w:tcBorders>
              <w:top w:val="nil"/>
              <w:bottom w:val="single" w:sz="2" w:space="0" w:color="1F4E79" w:themeColor="accent1" w:themeShade="80"/>
            </w:tcBorders>
            <w:shd w:val="clear" w:color="auto" w:fill="auto"/>
            <w:vAlign w:val="center"/>
          </w:tcPr>
          <w:p w14:paraId="6545984A" w14:textId="77777777" w:rsidR="008B7E19" w:rsidRPr="00A15DE6" w:rsidRDefault="008B7E19" w:rsidP="008B7E19">
            <w:pPr>
              <w:pStyle w:val="08-Tabelageral"/>
              <w:rPr>
                <w:rFonts w:cs="Arial"/>
                <w:b/>
                <w:szCs w:val="14"/>
                <w:lang w:val="en-US"/>
              </w:rPr>
            </w:pPr>
          </w:p>
        </w:tc>
        <w:tc>
          <w:tcPr>
            <w:tcW w:w="1276" w:type="dxa"/>
            <w:tcBorders>
              <w:top w:val="nil"/>
              <w:bottom w:val="single" w:sz="2" w:space="0" w:color="1F4E79" w:themeColor="accent1" w:themeShade="80"/>
            </w:tcBorders>
            <w:shd w:val="clear" w:color="auto" w:fill="auto"/>
            <w:vAlign w:val="center"/>
          </w:tcPr>
          <w:p w14:paraId="39F03AEE" w14:textId="77777777" w:rsidR="008B7E19" w:rsidRPr="00A15DE6" w:rsidRDefault="008B7E19" w:rsidP="008B7E19">
            <w:pPr>
              <w:pStyle w:val="08-Tabelageral"/>
              <w:rPr>
                <w:rFonts w:cs="Arial"/>
                <w:b/>
                <w:szCs w:val="14"/>
                <w:lang w:val="en-US"/>
              </w:rPr>
            </w:pPr>
            <w:r>
              <w:rPr>
                <w:rFonts w:cs="Arial"/>
                <w:b/>
                <w:szCs w:val="14"/>
              </w:rPr>
              <w:t>(377,081)</w:t>
            </w:r>
          </w:p>
        </w:tc>
        <w:tc>
          <w:tcPr>
            <w:tcW w:w="1559" w:type="dxa"/>
            <w:tcBorders>
              <w:top w:val="nil"/>
              <w:bottom w:val="single" w:sz="2" w:space="0" w:color="1F4E79" w:themeColor="accent1" w:themeShade="80"/>
            </w:tcBorders>
            <w:shd w:val="clear" w:color="auto" w:fill="auto"/>
            <w:vAlign w:val="center"/>
          </w:tcPr>
          <w:p w14:paraId="50119374" w14:textId="77777777" w:rsidR="008B7E19" w:rsidRPr="00A15DE6" w:rsidRDefault="008B7E19" w:rsidP="008B7E19">
            <w:pPr>
              <w:pStyle w:val="08-Tabelageral"/>
              <w:rPr>
                <w:rFonts w:cs="Arial"/>
                <w:b/>
                <w:lang w:val="en-US"/>
              </w:rPr>
            </w:pPr>
            <w:r>
              <w:rPr>
                <w:rFonts w:cs="Arial"/>
                <w:b/>
              </w:rPr>
              <w:t>(331,588)</w:t>
            </w:r>
          </w:p>
        </w:tc>
      </w:tr>
      <w:tr w:rsidR="008B7E19" w:rsidRPr="0019344C" w14:paraId="4A2D9C05" w14:textId="77777777" w:rsidTr="008875E7">
        <w:trPr>
          <w:trHeight w:val="238"/>
          <w:jc w:val="center"/>
        </w:trPr>
        <w:tc>
          <w:tcPr>
            <w:tcW w:w="3402" w:type="dxa"/>
            <w:tcBorders>
              <w:top w:val="single" w:sz="2" w:space="0" w:color="1F4E79" w:themeColor="accent1" w:themeShade="80"/>
              <w:bottom w:val="single" w:sz="2" w:space="0" w:color="1F4E79" w:themeColor="accent1" w:themeShade="80"/>
            </w:tcBorders>
            <w:shd w:val="clear" w:color="auto" w:fill="auto"/>
            <w:vAlign w:val="center"/>
          </w:tcPr>
          <w:p w14:paraId="7599B07C" w14:textId="77777777" w:rsidR="008B7E19" w:rsidRPr="00E76711" w:rsidRDefault="008B7E19" w:rsidP="008B7E19">
            <w:pPr>
              <w:pStyle w:val="08-Tabelageral"/>
              <w:jc w:val="left"/>
              <w:rPr>
                <w:rFonts w:cs="Arial"/>
                <w:b/>
                <w:szCs w:val="14"/>
              </w:rPr>
            </w:pPr>
            <w:r w:rsidRPr="00E76711">
              <w:rPr>
                <w:rFonts w:cs="Arial"/>
                <w:b/>
                <w:szCs w:val="14"/>
              </w:rPr>
              <w:t>Intertemporal Differences</w:t>
            </w:r>
          </w:p>
        </w:tc>
        <w:tc>
          <w:tcPr>
            <w:tcW w:w="284" w:type="dxa"/>
            <w:tcBorders>
              <w:top w:val="single" w:sz="2" w:space="0" w:color="1F4E79" w:themeColor="accent1" w:themeShade="80"/>
              <w:bottom w:val="single" w:sz="2" w:space="0" w:color="1F4E79" w:themeColor="accent1" w:themeShade="80"/>
            </w:tcBorders>
            <w:shd w:val="clear" w:color="auto" w:fill="auto"/>
          </w:tcPr>
          <w:p w14:paraId="24146B67" w14:textId="77777777" w:rsidR="008B7E19" w:rsidRPr="0019344C" w:rsidRDefault="008B7E19" w:rsidP="008B7E19">
            <w:pPr>
              <w:pStyle w:val="08-Tabelageral"/>
              <w:jc w:val="center"/>
              <w:rPr>
                <w:rFonts w:cs="Arial"/>
                <w:b/>
                <w:szCs w:val="14"/>
              </w:rPr>
            </w:pPr>
          </w:p>
        </w:tc>
        <w:tc>
          <w:tcPr>
            <w:tcW w:w="1276" w:type="dxa"/>
            <w:tcBorders>
              <w:top w:val="single" w:sz="2" w:space="0" w:color="1F4E79" w:themeColor="accent1" w:themeShade="80"/>
              <w:bottom w:val="single" w:sz="2" w:space="0" w:color="1F4E79" w:themeColor="accent1" w:themeShade="80"/>
            </w:tcBorders>
            <w:shd w:val="clear" w:color="auto" w:fill="auto"/>
            <w:vAlign w:val="center"/>
          </w:tcPr>
          <w:p w14:paraId="3E6906B1" w14:textId="77777777" w:rsidR="008B7E19" w:rsidRPr="0019344C" w:rsidRDefault="008B7E19" w:rsidP="008B7E19">
            <w:pPr>
              <w:pStyle w:val="08-Tabelageral"/>
              <w:rPr>
                <w:rFonts w:cs="Arial"/>
                <w:b/>
                <w:szCs w:val="14"/>
              </w:rPr>
            </w:pPr>
          </w:p>
        </w:tc>
        <w:tc>
          <w:tcPr>
            <w:tcW w:w="1559" w:type="dxa"/>
            <w:tcBorders>
              <w:top w:val="single" w:sz="2" w:space="0" w:color="1F4E79" w:themeColor="accent1" w:themeShade="80"/>
              <w:bottom w:val="single" w:sz="2" w:space="0" w:color="1F4E79" w:themeColor="accent1" w:themeShade="80"/>
            </w:tcBorders>
            <w:shd w:val="clear" w:color="auto" w:fill="auto"/>
            <w:vAlign w:val="center"/>
          </w:tcPr>
          <w:p w14:paraId="5E327796" w14:textId="77777777" w:rsidR="008B7E19" w:rsidRPr="00573127" w:rsidRDefault="008B7E19" w:rsidP="008B7E19">
            <w:pPr>
              <w:pStyle w:val="08-Tabelageral"/>
              <w:rPr>
                <w:rFonts w:cs="Arial"/>
                <w:b/>
                <w:szCs w:val="14"/>
              </w:rPr>
            </w:pPr>
          </w:p>
        </w:tc>
        <w:tc>
          <w:tcPr>
            <w:tcW w:w="283" w:type="dxa"/>
            <w:tcBorders>
              <w:top w:val="single" w:sz="2" w:space="0" w:color="1F4E79" w:themeColor="accent1" w:themeShade="80"/>
              <w:bottom w:val="single" w:sz="2" w:space="0" w:color="1F4E79" w:themeColor="accent1" w:themeShade="80"/>
            </w:tcBorders>
            <w:shd w:val="clear" w:color="auto" w:fill="auto"/>
            <w:vAlign w:val="center"/>
          </w:tcPr>
          <w:p w14:paraId="512293AD" w14:textId="77777777" w:rsidR="008B7E19" w:rsidRPr="0019344C" w:rsidRDefault="008B7E19" w:rsidP="008B7E19">
            <w:pPr>
              <w:pStyle w:val="08-Tabelageral"/>
              <w:rPr>
                <w:rFonts w:cs="Arial"/>
                <w:b/>
                <w:szCs w:val="14"/>
              </w:rPr>
            </w:pPr>
          </w:p>
        </w:tc>
        <w:tc>
          <w:tcPr>
            <w:tcW w:w="1276" w:type="dxa"/>
            <w:tcBorders>
              <w:top w:val="single" w:sz="2" w:space="0" w:color="1F4E79" w:themeColor="accent1" w:themeShade="80"/>
              <w:bottom w:val="single" w:sz="2" w:space="0" w:color="1F4E79" w:themeColor="accent1" w:themeShade="80"/>
            </w:tcBorders>
            <w:shd w:val="clear" w:color="auto" w:fill="auto"/>
            <w:vAlign w:val="center"/>
          </w:tcPr>
          <w:p w14:paraId="36883A0D" w14:textId="77777777" w:rsidR="008B7E19" w:rsidRPr="0019344C" w:rsidRDefault="008B7E19" w:rsidP="008B7E19">
            <w:pPr>
              <w:pStyle w:val="08-Tabelageral"/>
              <w:rPr>
                <w:rFonts w:cs="Arial"/>
                <w:b/>
                <w:szCs w:val="14"/>
              </w:rPr>
            </w:pPr>
          </w:p>
        </w:tc>
        <w:tc>
          <w:tcPr>
            <w:tcW w:w="1559" w:type="dxa"/>
            <w:tcBorders>
              <w:top w:val="single" w:sz="2" w:space="0" w:color="1F4E79" w:themeColor="accent1" w:themeShade="80"/>
              <w:bottom w:val="single" w:sz="2" w:space="0" w:color="1F4E79" w:themeColor="accent1" w:themeShade="80"/>
            </w:tcBorders>
            <w:shd w:val="clear" w:color="auto" w:fill="auto"/>
            <w:vAlign w:val="center"/>
          </w:tcPr>
          <w:p w14:paraId="2327D546" w14:textId="77777777" w:rsidR="008B7E19" w:rsidRPr="0019344C" w:rsidRDefault="008B7E19" w:rsidP="008B7E19">
            <w:pPr>
              <w:pStyle w:val="08-Tabelageral"/>
              <w:rPr>
                <w:rFonts w:cs="Arial"/>
                <w:b/>
              </w:rPr>
            </w:pPr>
          </w:p>
        </w:tc>
      </w:tr>
      <w:tr w:rsidR="008B7E19" w:rsidRPr="0019344C" w14:paraId="20BADFEE" w14:textId="77777777" w:rsidTr="008875E7">
        <w:trPr>
          <w:trHeight w:val="238"/>
          <w:jc w:val="center"/>
        </w:trPr>
        <w:tc>
          <w:tcPr>
            <w:tcW w:w="3402" w:type="dxa"/>
            <w:tcBorders>
              <w:top w:val="single" w:sz="2" w:space="0" w:color="1F4E79" w:themeColor="accent1" w:themeShade="80"/>
              <w:bottom w:val="nil"/>
            </w:tcBorders>
            <w:shd w:val="clear" w:color="auto" w:fill="auto"/>
            <w:vAlign w:val="center"/>
          </w:tcPr>
          <w:p w14:paraId="52C7517E" w14:textId="77777777" w:rsidR="008B7E19" w:rsidRPr="00E76711" w:rsidRDefault="008B7E19" w:rsidP="008B7E19">
            <w:pPr>
              <w:pStyle w:val="08-Tabelageral"/>
              <w:jc w:val="left"/>
              <w:rPr>
                <w:rFonts w:cs="Arial"/>
                <w:b/>
                <w:szCs w:val="14"/>
                <w:lang w:val="en-US"/>
              </w:rPr>
            </w:pPr>
            <w:r w:rsidRPr="00E76711">
              <w:rPr>
                <w:rFonts w:cs="Arial"/>
                <w:b/>
                <w:szCs w:val="14"/>
                <w:lang w:val="en-US"/>
              </w:rPr>
              <w:t>Constitution/(Reversal) of the Period:</w:t>
            </w:r>
          </w:p>
        </w:tc>
        <w:tc>
          <w:tcPr>
            <w:tcW w:w="284" w:type="dxa"/>
            <w:tcBorders>
              <w:top w:val="single" w:sz="2" w:space="0" w:color="1F4E79" w:themeColor="accent1" w:themeShade="80"/>
              <w:bottom w:val="nil"/>
            </w:tcBorders>
            <w:shd w:val="clear" w:color="auto" w:fill="auto"/>
          </w:tcPr>
          <w:p w14:paraId="438E3B45" w14:textId="77777777" w:rsidR="008B7E19" w:rsidRPr="006A56B2" w:rsidRDefault="008B7E19" w:rsidP="008B7E19">
            <w:pPr>
              <w:pStyle w:val="08-Tabelageral"/>
              <w:jc w:val="center"/>
              <w:rPr>
                <w:rFonts w:cs="Arial"/>
                <w:b/>
                <w:szCs w:val="14"/>
                <w:lang w:val="en-US"/>
              </w:rPr>
            </w:pPr>
          </w:p>
        </w:tc>
        <w:tc>
          <w:tcPr>
            <w:tcW w:w="1276" w:type="dxa"/>
            <w:tcBorders>
              <w:top w:val="single" w:sz="2" w:space="0" w:color="1F4E79" w:themeColor="accent1" w:themeShade="80"/>
              <w:bottom w:val="nil"/>
            </w:tcBorders>
            <w:shd w:val="clear" w:color="auto" w:fill="auto"/>
            <w:vAlign w:val="center"/>
          </w:tcPr>
          <w:p w14:paraId="4284A081" w14:textId="77777777" w:rsidR="008B7E19" w:rsidRPr="0019344C" w:rsidRDefault="008B7E19" w:rsidP="008B7E19">
            <w:pPr>
              <w:pStyle w:val="08-Tabelageral"/>
              <w:rPr>
                <w:rFonts w:cs="Arial"/>
                <w:b/>
                <w:szCs w:val="14"/>
              </w:rPr>
            </w:pPr>
            <w:r>
              <w:rPr>
                <w:rFonts w:cs="Arial"/>
                <w:b/>
                <w:szCs w:val="14"/>
              </w:rPr>
              <w:t>20</w:t>
            </w:r>
          </w:p>
        </w:tc>
        <w:tc>
          <w:tcPr>
            <w:tcW w:w="1559" w:type="dxa"/>
            <w:tcBorders>
              <w:top w:val="single" w:sz="2" w:space="0" w:color="1F4E79" w:themeColor="accent1" w:themeShade="80"/>
              <w:bottom w:val="nil"/>
            </w:tcBorders>
            <w:shd w:val="clear" w:color="auto" w:fill="auto"/>
            <w:vAlign w:val="center"/>
          </w:tcPr>
          <w:p w14:paraId="750E57EA" w14:textId="77777777" w:rsidR="008B7E19" w:rsidRPr="00573127" w:rsidRDefault="008B7E19" w:rsidP="008B7E19">
            <w:pPr>
              <w:pStyle w:val="08-Tabelageral"/>
              <w:rPr>
                <w:rFonts w:cs="Arial"/>
                <w:b/>
                <w:szCs w:val="14"/>
              </w:rPr>
            </w:pPr>
            <w:r>
              <w:rPr>
                <w:rFonts w:cs="Arial"/>
                <w:b/>
                <w:szCs w:val="14"/>
              </w:rPr>
              <w:t>--</w:t>
            </w:r>
          </w:p>
        </w:tc>
        <w:tc>
          <w:tcPr>
            <w:tcW w:w="283" w:type="dxa"/>
            <w:tcBorders>
              <w:top w:val="single" w:sz="2" w:space="0" w:color="1F4E79" w:themeColor="accent1" w:themeShade="80"/>
              <w:bottom w:val="nil"/>
            </w:tcBorders>
            <w:shd w:val="clear" w:color="auto" w:fill="auto"/>
            <w:vAlign w:val="center"/>
          </w:tcPr>
          <w:p w14:paraId="424FB128" w14:textId="77777777" w:rsidR="008B7E19" w:rsidRPr="0019344C" w:rsidRDefault="008B7E19" w:rsidP="008B7E19">
            <w:pPr>
              <w:pStyle w:val="08-Tabelageral"/>
              <w:rPr>
                <w:rFonts w:cs="Arial"/>
                <w:b/>
                <w:szCs w:val="14"/>
              </w:rPr>
            </w:pPr>
          </w:p>
        </w:tc>
        <w:tc>
          <w:tcPr>
            <w:tcW w:w="1276" w:type="dxa"/>
            <w:tcBorders>
              <w:top w:val="single" w:sz="2" w:space="0" w:color="1F4E79" w:themeColor="accent1" w:themeShade="80"/>
              <w:bottom w:val="nil"/>
            </w:tcBorders>
            <w:shd w:val="clear" w:color="auto" w:fill="auto"/>
            <w:vAlign w:val="center"/>
          </w:tcPr>
          <w:p w14:paraId="064C1CD5" w14:textId="77777777" w:rsidR="008B7E19" w:rsidRPr="0019344C" w:rsidRDefault="008B7E19" w:rsidP="008B7E19">
            <w:pPr>
              <w:pStyle w:val="08-Tabelageral"/>
              <w:rPr>
                <w:rFonts w:cs="Arial"/>
                <w:b/>
                <w:szCs w:val="14"/>
              </w:rPr>
            </w:pPr>
            <w:r>
              <w:rPr>
                <w:rFonts w:cs="Arial"/>
                <w:b/>
                <w:szCs w:val="14"/>
              </w:rPr>
              <w:t>3,258</w:t>
            </w:r>
          </w:p>
        </w:tc>
        <w:tc>
          <w:tcPr>
            <w:tcW w:w="1559" w:type="dxa"/>
            <w:tcBorders>
              <w:top w:val="single" w:sz="2" w:space="0" w:color="1F4E79" w:themeColor="accent1" w:themeShade="80"/>
              <w:bottom w:val="nil"/>
            </w:tcBorders>
            <w:shd w:val="clear" w:color="auto" w:fill="auto"/>
            <w:vAlign w:val="center"/>
          </w:tcPr>
          <w:p w14:paraId="30FACDEE" w14:textId="77777777" w:rsidR="008B7E19" w:rsidRPr="0019344C" w:rsidRDefault="008B7E19" w:rsidP="008B7E19">
            <w:pPr>
              <w:pStyle w:val="08-Tabelageral"/>
              <w:rPr>
                <w:rFonts w:cs="Arial"/>
                <w:b/>
              </w:rPr>
            </w:pPr>
            <w:r>
              <w:rPr>
                <w:rFonts w:cs="Arial"/>
                <w:b/>
              </w:rPr>
              <w:t>3,289</w:t>
            </w:r>
          </w:p>
        </w:tc>
      </w:tr>
      <w:tr w:rsidR="008B7E19" w:rsidRPr="0019344C" w14:paraId="3A6EFCE2" w14:textId="77777777" w:rsidTr="008875E7">
        <w:trPr>
          <w:trHeight w:val="238"/>
          <w:jc w:val="center"/>
        </w:trPr>
        <w:tc>
          <w:tcPr>
            <w:tcW w:w="3402" w:type="dxa"/>
            <w:tcBorders>
              <w:top w:val="nil"/>
              <w:bottom w:val="nil"/>
            </w:tcBorders>
            <w:shd w:val="clear" w:color="auto" w:fill="auto"/>
            <w:vAlign w:val="center"/>
          </w:tcPr>
          <w:p w14:paraId="3C2D7757" w14:textId="77777777" w:rsidR="008B7E19" w:rsidRPr="00B37DC2" w:rsidRDefault="008B7E19" w:rsidP="008B7E19">
            <w:pPr>
              <w:pStyle w:val="08-Tabelageral"/>
              <w:jc w:val="left"/>
              <w:rPr>
                <w:rFonts w:cs="Arial"/>
                <w:bCs/>
                <w:szCs w:val="14"/>
                <w:lang w:val="en-US"/>
              </w:rPr>
            </w:pPr>
            <w:r w:rsidRPr="00B37DC2">
              <w:rPr>
                <w:rFonts w:cs="Arial"/>
                <w:szCs w:val="14"/>
                <w:lang w:val="en-US"/>
              </w:rPr>
              <w:t xml:space="preserve">  d) (Expenses)/Deferred Tax Income</w:t>
            </w:r>
          </w:p>
        </w:tc>
        <w:tc>
          <w:tcPr>
            <w:tcW w:w="284" w:type="dxa"/>
            <w:tcBorders>
              <w:top w:val="nil"/>
              <w:bottom w:val="nil"/>
            </w:tcBorders>
            <w:shd w:val="clear" w:color="auto" w:fill="auto"/>
          </w:tcPr>
          <w:p w14:paraId="37482231" w14:textId="77777777" w:rsidR="008B7E19" w:rsidRPr="00B37DC2" w:rsidRDefault="008B7E19" w:rsidP="008B7E19">
            <w:pPr>
              <w:pStyle w:val="08-Tabelageral"/>
              <w:jc w:val="center"/>
              <w:rPr>
                <w:rFonts w:cs="Arial"/>
                <w:b/>
                <w:szCs w:val="14"/>
                <w:lang w:val="en-US"/>
              </w:rPr>
            </w:pPr>
          </w:p>
        </w:tc>
        <w:tc>
          <w:tcPr>
            <w:tcW w:w="1276" w:type="dxa"/>
            <w:tcBorders>
              <w:top w:val="nil"/>
              <w:bottom w:val="nil"/>
            </w:tcBorders>
            <w:shd w:val="clear" w:color="auto" w:fill="auto"/>
            <w:vAlign w:val="center"/>
          </w:tcPr>
          <w:p w14:paraId="6554869E" w14:textId="77777777" w:rsidR="008B7E19" w:rsidRPr="00AB42B5" w:rsidRDefault="008B7E19" w:rsidP="008B7E19">
            <w:pPr>
              <w:pStyle w:val="08-Tabelageral"/>
              <w:rPr>
                <w:rFonts w:cs="Arial"/>
                <w:bCs/>
                <w:szCs w:val="14"/>
              </w:rPr>
            </w:pPr>
            <w:r w:rsidRPr="00AB42B5">
              <w:rPr>
                <w:rFonts w:cs="Arial"/>
                <w:bCs/>
                <w:szCs w:val="14"/>
              </w:rPr>
              <w:t>20</w:t>
            </w:r>
          </w:p>
        </w:tc>
        <w:tc>
          <w:tcPr>
            <w:tcW w:w="1559" w:type="dxa"/>
            <w:tcBorders>
              <w:top w:val="nil"/>
              <w:bottom w:val="nil"/>
            </w:tcBorders>
            <w:shd w:val="clear" w:color="auto" w:fill="auto"/>
            <w:vAlign w:val="center"/>
          </w:tcPr>
          <w:p w14:paraId="76BD4CE9" w14:textId="77777777" w:rsidR="008B7E19" w:rsidRPr="00AB42B5" w:rsidRDefault="008B7E19" w:rsidP="008B7E19">
            <w:pPr>
              <w:pStyle w:val="08-Tabelageral"/>
              <w:rPr>
                <w:rFonts w:cs="Arial"/>
                <w:bCs/>
                <w:szCs w:val="14"/>
              </w:rPr>
            </w:pPr>
            <w:r w:rsidRPr="00AB42B5">
              <w:rPr>
                <w:rFonts w:cs="Arial"/>
                <w:bCs/>
                <w:szCs w:val="14"/>
              </w:rPr>
              <w:t>--</w:t>
            </w:r>
          </w:p>
        </w:tc>
        <w:tc>
          <w:tcPr>
            <w:tcW w:w="283" w:type="dxa"/>
            <w:tcBorders>
              <w:top w:val="nil"/>
              <w:bottom w:val="nil"/>
            </w:tcBorders>
            <w:shd w:val="clear" w:color="auto" w:fill="auto"/>
            <w:vAlign w:val="center"/>
          </w:tcPr>
          <w:p w14:paraId="573C8DF7" w14:textId="77777777" w:rsidR="008B7E19" w:rsidRPr="00AB42B5" w:rsidRDefault="008B7E19" w:rsidP="008B7E19">
            <w:pPr>
              <w:pStyle w:val="08-Tabelageral"/>
              <w:rPr>
                <w:rFonts w:cs="Arial"/>
                <w:bCs/>
                <w:szCs w:val="14"/>
              </w:rPr>
            </w:pPr>
          </w:p>
        </w:tc>
        <w:tc>
          <w:tcPr>
            <w:tcW w:w="1276" w:type="dxa"/>
            <w:tcBorders>
              <w:top w:val="nil"/>
              <w:bottom w:val="nil"/>
            </w:tcBorders>
            <w:shd w:val="clear" w:color="auto" w:fill="auto"/>
            <w:vAlign w:val="center"/>
          </w:tcPr>
          <w:p w14:paraId="491F185E" w14:textId="77777777" w:rsidR="008B7E19" w:rsidRPr="00AB42B5" w:rsidRDefault="008B7E19" w:rsidP="008B7E19">
            <w:pPr>
              <w:pStyle w:val="08-Tabelageral"/>
              <w:rPr>
                <w:rFonts w:cs="Arial"/>
                <w:bCs/>
                <w:szCs w:val="14"/>
              </w:rPr>
            </w:pPr>
            <w:r w:rsidRPr="00AB42B5">
              <w:rPr>
                <w:rFonts w:cs="Arial"/>
                <w:bCs/>
                <w:szCs w:val="14"/>
              </w:rPr>
              <w:t>3</w:t>
            </w:r>
            <w:r>
              <w:rPr>
                <w:rFonts w:cs="Arial"/>
                <w:bCs/>
                <w:szCs w:val="14"/>
              </w:rPr>
              <w:t>,</w:t>
            </w:r>
            <w:r w:rsidRPr="00AB42B5">
              <w:rPr>
                <w:rFonts w:cs="Arial"/>
                <w:bCs/>
                <w:szCs w:val="14"/>
              </w:rPr>
              <w:t>258</w:t>
            </w:r>
          </w:p>
        </w:tc>
        <w:tc>
          <w:tcPr>
            <w:tcW w:w="1559" w:type="dxa"/>
            <w:tcBorders>
              <w:top w:val="nil"/>
              <w:bottom w:val="nil"/>
            </w:tcBorders>
            <w:shd w:val="clear" w:color="auto" w:fill="auto"/>
            <w:vAlign w:val="center"/>
          </w:tcPr>
          <w:p w14:paraId="48F6AD9B" w14:textId="77777777" w:rsidR="008B7E19" w:rsidRPr="00AB42B5" w:rsidRDefault="008B7E19" w:rsidP="008B7E19">
            <w:pPr>
              <w:pStyle w:val="08-Tabelageral"/>
              <w:rPr>
                <w:rFonts w:cs="Arial"/>
                <w:bCs/>
              </w:rPr>
            </w:pPr>
            <w:r>
              <w:rPr>
                <w:rFonts w:cs="Arial"/>
                <w:bCs/>
              </w:rPr>
              <w:t>3,289</w:t>
            </w:r>
          </w:p>
        </w:tc>
      </w:tr>
      <w:tr w:rsidR="008B7E19" w:rsidRPr="0019344C" w14:paraId="4E507B04" w14:textId="77777777" w:rsidTr="008875E7">
        <w:trPr>
          <w:trHeight w:val="238"/>
          <w:jc w:val="center"/>
        </w:trPr>
        <w:tc>
          <w:tcPr>
            <w:tcW w:w="3402" w:type="dxa"/>
            <w:tcBorders>
              <w:top w:val="nil"/>
              <w:bottom w:val="single" w:sz="2" w:space="0" w:color="1F4E79" w:themeColor="accent1" w:themeShade="80"/>
            </w:tcBorders>
            <w:shd w:val="clear" w:color="auto" w:fill="auto"/>
            <w:vAlign w:val="center"/>
          </w:tcPr>
          <w:p w14:paraId="4EE84151" w14:textId="77777777" w:rsidR="008B7E19" w:rsidRPr="00E76711" w:rsidRDefault="008B7E19" w:rsidP="008B7E19">
            <w:pPr>
              <w:pStyle w:val="08-Tabelageral"/>
              <w:jc w:val="left"/>
              <w:rPr>
                <w:rFonts w:cs="Arial"/>
                <w:b/>
                <w:szCs w:val="14"/>
              </w:rPr>
            </w:pPr>
            <w:r w:rsidRPr="00E76711">
              <w:rPr>
                <w:rFonts w:cs="Arial"/>
                <w:b/>
                <w:szCs w:val="14"/>
              </w:rPr>
              <w:t>Total IR and CS (a+b+c+d)</w:t>
            </w:r>
          </w:p>
        </w:tc>
        <w:tc>
          <w:tcPr>
            <w:tcW w:w="284" w:type="dxa"/>
            <w:tcBorders>
              <w:top w:val="nil"/>
              <w:bottom w:val="single" w:sz="2" w:space="0" w:color="1F4E79" w:themeColor="accent1" w:themeShade="80"/>
            </w:tcBorders>
            <w:shd w:val="clear" w:color="auto" w:fill="auto"/>
          </w:tcPr>
          <w:p w14:paraId="3F1EAAC0" w14:textId="77777777" w:rsidR="008B7E19" w:rsidRPr="0019344C" w:rsidRDefault="008B7E19" w:rsidP="008B7E19">
            <w:pPr>
              <w:pStyle w:val="08-Tabelageral"/>
              <w:jc w:val="center"/>
              <w:rPr>
                <w:rFonts w:cs="Arial"/>
                <w:b/>
                <w:szCs w:val="14"/>
              </w:rPr>
            </w:pPr>
          </w:p>
        </w:tc>
        <w:tc>
          <w:tcPr>
            <w:tcW w:w="1276" w:type="dxa"/>
            <w:tcBorders>
              <w:top w:val="nil"/>
              <w:bottom w:val="single" w:sz="2" w:space="0" w:color="1F4E79" w:themeColor="accent1" w:themeShade="80"/>
            </w:tcBorders>
            <w:shd w:val="clear" w:color="auto" w:fill="auto"/>
            <w:vAlign w:val="center"/>
          </w:tcPr>
          <w:p w14:paraId="168957ED" w14:textId="77777777" w:rsidR="008B7E19" w:rsidRPr="0019344C" w:rsidRDefault="008B7E19" w:rsidP="008B7E19">
            <w:pPr>
              <w:pStyle w:val="08-Tabelageral"/>
              <w:rPr>
                <w:rFonts w:cs="Arial"/>
                <w:b/>
                <w:szCs w:val="14"/>
              </w:rPr>
            </w:pPr>
            <w:r>
              <w:rPr>
                <w:rFonts w:cs="Arial"/>
                <w:b/>
                <w:szCs w:val="14"/>
              </w:rPr>
              <w:t>(233)</w:t>
            </w:r>
          </w:p>
        </w:tc>
        <w:tc>
          <w:tcPr>
            <w:tcW w:w="1559" w:type="dxa"/>
            <w:tcBorders>
              <w:top w:val="nil"/>
              <w:bottom w:val="single" w:sz="2" w:space="0" w:color="1F4E79" w:themeColor="accent1" w:themeShade="80"/>
            </w:tcBorders>
            <w:shd w:val="clear" w:color="auto" w:fill="auto"/>
            <w:vAlign w:val="center"/>
          </w:tcPr>
          <w:p w14:paraId="2DFEE036" w14:textId="77777777" w:rsidR="008B7E19" w:rsidRPr="00573127" w:rsidRDefault="008B7E19" w:rsidP="008B7E19">
            <w:pPr>
              <w:pStyle w:val="08-Tabelageral"/>
              <w:rPr>
                <w:rFonts w:cs="Arial"/>
                <w:b/>
                <w:szCs w:val="14"/>
              </w:rPr>
            </w:pPr>
            <w:r>
              <w:rPr>
                <w:rFonts w:cs="Arial"/>
                <w:b/>
                <w:szCs w:val="14"/>
              </w:rPr>
              <w:t>--</w:t>
            </w:r>
          </w:p>
        </w:tc>
        <w:tc>
          <w:tcPr>
            <w:tcW w:w="283" w:type="dxa"/>
            <w:tcBorders>
              <w:top w:val="nil"/>
              <w:bottom w:val="single" w:sz="2" w:space="0" w:color="1F4E79" w:themeColor="accent1" w:themeShade="80"/>
            </w:tcBorders>
            <w:shd w:val="clear" w:color="auto" w:fill="auto"/>
            <w:vAlign w:val="center"/>
          </w:tcPr>
          <w:p w14:paraId="25EC4B8A" w14:textId="77777777" w:rsidR="008B7E19" w:rsidRPr="0019344C" w:rsidRDefault="008B7E19" w:rsidP="008B7E19">
            <w:pPr>
              <w:pStyle w:val="08-Tabelageral"/>
              <w:rPr>
                <w:rFonts w:cs="Arial"/>
                <w:b/>
                <w:szCs w:val="14"/>
              </w:rPr>
            </w:pPr>
          </w:p>
        </w:tc>
        <w:tc>
          <w:tcPr>
            <w:tcW w:w="1276" w:type="dxa"/>
            <w:tcBorders>
              <w:top w:val="nil"/>
              <w:bottom w:val="single" w:sz="2" w:space="0" w:color="1F4E79" w:themeColor="accent1" w:themeShade="80"/>
            </w:tcBorders>
            <w:shd w:val="clear" w:color="auto" w:fill="auto"/>
            <w:vAlign w:val="center"/>
          </w:tcPr>
          <w:p w14:paraId="751AB164" w14:textId="77777777" w:rsidR="008B7E19" w:rsidRPr="0019344C" w:rsidRDefault="008B7E19" w:rsidP="008B7E19">
            <w:pPr>
              <w:pStyle w:val="08-Tabelageral"/>
              <w:rPr>
                <w:rFonts w:cs="Arial"/>
                <w:b/>
                <w:szCs w:val="14"/>
              </w:rPr>
            </w:pPr>
            <w:r>
              <w:rPr>
                <w:rFonts w:cs="Arial"/>
                <w:b/>
                <w:szCs w:val="14"/>
              </w:rPr>
              <w:t>(373,823)</w:t>
            </w:r>
          </w:p>
        </w:tc>
        <w:tc>
          <w:tcPr>
            <w:tcW w:w="1559" w:type="dxa"/>
            <w:tcBorders>
              <w:top w:val="nil"/>
              <w:bottom w:val="single" w:sz="2" w:space="0" w:color="1F4E79" w:themeColor="accent1" w:themeShade="80"/>
            </w:tcBorders>
            <w:shd w:val="clear" w:color="auto" w:fill="auto"/>
            <w:vAlign w:val="center"/>
          </w:tcPr>
          <w:p w14:paraId="1C143561" w14:textId="77777777" w:rsidR="008B7E19" w:rsidRPr="0019344C" w:rsidRDefault="008B7E19" w:rsidP="008B7E19">
            <w:pPr>
              <w:pStyle w:val="08-Tabelageral"/>
              <w:rPr>
                <w:rFonts w:cs="Arial"/>
                <w:b/>
              </w:rPr>
            </w:pPr>
            <w:r>
              <w:rPr>
                <w:rFonts w:cs="Arial"/>
                <w:b/>
              </w:rPr>
              <w:t>(328,299)</w:t>
            </w:r>
          </w:p>
        </w:tc>
      </w:tr>
    </w:tbl>
    <w:p w14:paraId="7B1060DF" w14:textId="77777777" w:rsidR="008B7E19" w:rsidRDefault="008B7E19" w:rsidP="008B7E19">
      <w:pPr>
        <w:spacing w:after="40"/>
        <w:rPr>
          <w:rFonts w:cs="Arial"/>
          <w:b/>
          <w:color w:val="1F4E79" w:themeColor="accent1" w:themeShade="80"/>
          <w:szCs w:val="18"/>
          <w:lang w:val="en-US"/>
        </w:rPr>
      </w:pPr>
    </w:p>
    <w:p w14:paraId="3E615451" w14:textId="77777777" w:rsidR="008B7E19" w:rsidRPr="00FF3D4B" w:rsidRDefault="008B7E19" w:rsidP="008B7E19">
      <w:pPr>
        <w:spacing w:after="0" w:line="240" w:lineRule="auto"/>
        <w:jc w:val="right"/>
        <w:rPr>
          <w:rFonts w:cs="Arial"/>
          <w:b/>
          <w:sz w:val="14"/>
          <w:lang w:eastAsia="pt-BR"/>
        </w:rPr>
      </w:pPr>
      <w:r w:rsidRPr="00FF3D4B">
        <w:rPr>
          <w:rFonts w:cs="Arial"/>
          <w:b/>
          <w:sz w:val="14"/>
          <w:lang w:eastAsia="pt-BR"/>
        </w:rPr>
        <w:t>R$</w:t>
      </w:r>
      <w:r w:rsidRPr="000F7914">
        <w:rPr>
          <w:rFonts w:cs="Arial"/>
          <w:b/>
          <w:sz w:val="14"/>
          <w:lang w:eastAsia="pt-BR"/>
        </w:rPr>
        <w:t xml:space="preserve"> </w:t>
      </w:r>
      <w:r w:rsidRPr="00044999">
        <w:rPr>
          <w:rFonts w:cs="Arial"/>
          <w:b/>
          <w:sz w:val="14"/>
          <w:lang w:eastAsia="pt-BR"/>
        </w:rPr>
        <w:t>thousand</w:t>
      </w:r>
    </w:p>
    <w:tbl>
      <w:tblPr>
        <w:tblW w:w="9639" w:type="dxa"/>
        <w:jc w:val="center"/>
        <w:tblBorders>
          <w:top w:val="single" w:sz="2" w:space="0" w:color="8EAADB" w:themeColor="accent5" w:themeTint="99"/>
          <w:bottom w:val="single" w:sz="2" w:space="0" w:color="8EAADB" w:themeColor="accent5" w:themeTint="99"/>
        </w:tblBorders>
        <w:tblLook w:val="04A0" w:firstRow="1" w:lastRow="0" w:firstColumn="1" w:lastColumn="0" w:noHBand="0" w:noVBand="1"/>
      </w:tblPr>
      <w:tblGrid>
        <w:gridCol w:w="3402"/>
        <w:gridCol w:w="284"/>
        <w:gridCol w:w="1276"/>
        <w:gridCol w:w="1559"/>
        <w:gridCol w:w="283"/>
        <w:gridCol w:w="1276"/>
        <w:gridCol w:w="1559"/>
      </w:tblGrid>
      <w:tr w:rsidR="008B7E19" w:rsidRPr="0019344C" w14:paraId="0EF5A7BF" w14:textId="77777777" w:rsidTr="008875E7">
        <w:trPr>
          <w:trHeight w:val="238"/>
          <w:jc w:val="center"/>
        </w:trPr>
        <w:tc>
          <w:tcPr>
            <w:tcW w:w="3402" w:type="dxa"/>
            <w:tcBorders>
              <w:top w:val="single" w:sz="2" w:space="0" w:color="1F4E79" w:themeColor="accent1" w:themeShade="80"/>
              <w:bottom w:val="nil"/>
            </w:tcBorders>
            <w:shd w:val="clear" w:color="auto" w:fill="auto"/>
            <w:vAlign w:val="center"/>
          </w:tcPr>
          <w:p w14:paraId="36EC8F0D" w14:textId="77777777" w:rsidR="008B7E19" w:rsidRPr="0019344C" w:rsidRDefault="008B7E19" w:rsidP="008B7E19">
            <w:pPr>
              <w:spacing w:after="0"/>
              <w:jc w:val="center"/>
              <w:rPr>
                <w:rFonts w:cs="Arial"/>
                <w:b/>
                <w:szCs w:val="18"/>
              </w:rPr>
            </w:pPr>
          </w:p>
        </w:tc>
        <w:tc>
          <w:tcPr>
            <w:tcW w:w="284" w:type="dxa"/>
            <w:tcBorders>
              <w:top w:val="single" w:sz="2" w:space="0" w:color="1F4E79" w:themeColor="accent1" w:themeShade="80"/>
              <w:bottom w:val="nil"/>
            </w:tcBorders>
            <w:shd w:val="clear" w:color="auto" w:fill="auto"/>
            <w:vAlign w:val="center"/>
          </w:tcPr>
          <w:p w14:paraId="2C38C795" w14:textId="77777777" w:rsidR="008B7E19" w:rsidRPr="0019344C" w:rsidRDefault="008B7E19" w:rsidP="008B7E19">
            <w:pPr>
              <w:spacing w:after="0"/>
              <w:jc w:val="center"/>
              <w:rPr>
                <w:rFonts w:cs="Arial"/>
                <w:b/>
                <w:szCs w:val="18"/>
              </w:rPr>
            </w:pPr>
          </w:p>
        </w:tc>
        <w:tc>
          <w:tcPr>
            <w:tcW w:w="2835" w:type="dxa"/>
            <w:gridSpan w:val="2"/>
            <w:tcBorders>
              <w:top w:val="single" w:sz="2" w:space="0" w:color="1F4E79" w:themeColor="accent1" w:themeShade="80"/>
              <w:bottom w:val="single" w:sz="2" w:space="0" w:color="1F4E79" w:themeColor="accent1" w:themeShade="80"/>
            </w:tcBorders>
            <w:shd w:val="clear" w:color="auto" w:fill="auto"/>
            <w:vAlign w:val="center"/>
          </w:tcPr>
          <w:p w14:paraId="194D5B26" w14:textId="77777777" w:rsidR="008B7E19" w:rsidRPr="0019344C" w:rsidRDefault="008B7E19" w:rsidP="008B7E19">
            <w:pPr>
              <w:spacing w:after="0"/>
              <w:jc w:val="center"/>
              <w:rPr>
                <w:rFonts w:cs="Arial"/>
                <w:b/>
                <w:sz w:val="14"/>
                <w:szCs w:val="18"/>
              </w:rPr>
            </w:pPr>
            <w:r w:rsidRPr="00EC4649">
              <w:rPr>
                <w:rFonts w:cs="Arial"/>
                <w:b/>
                <w:sz w:val="14"/>
                <w:szCs w:val="18"/>
              </w:rPr>
              <w:t>Parent</w:t>
            </w:r>
          </w:p>
        </w:tc>
        <w:tc>
          <w:tcPr>
            <w:tcW w:w="283" w:type="dxa"/>
            <w:tcBorders>
              <w:top w:val="single" w:sz="2" w:space="0" w:color="1F4E79" w:themeColor="accent1" w:themeShade="80"/>
              <w:bottom w:val="nil"/>
            </w:tcBorders>
            <w:shd w:val="clear" w:color="auto" w:fill="auto"/>
            <w:vAlign w:val="center"/>
          </w:tcPr>
          <w:p w14:paraId="47AE873D" w14:textId="77777777" w:rsidR="008B7E19" w:rsidRPr="0019344C" w:rsidRDefault="008B7E19" w:rsidP="008B7E19">
            <w:pPr>
              <w:spacing w:after="0"/>
              <w:jc w:val="center"/>
              <w:rPr>
                <w:rFonts w:cs="Arial"/>
                <w:b/>
                <w:szCs w:val="18"/>
              </w:rPr>
            </w:pPr>
          </w:p>
        </w:tc>
        <w:tc>
          <w:tcPr>
            <w:tcW w:w="2835" w:type="dxa"/>
            <w:gridSpan w:val="2"/>
            <w:tcBorders>
              <w:top w:val="single" w:sz="2" w:space="0" w:color="1F4E79" w:themeColor="accent1" w:themeShade="80"/>
              <w:bottom w:val="single" w:sz="2" w:space="0" w:color="1F4E79" w:themeColor="accent1" w:themeShade="80"/>
            </w:tcBorders>
            <w:shd w:val="clear" w:color="auto" w:fill="auto"/>
            <w:vAlign w:val="center"/>
          </w:tcPr>
          <w:p w14:paraId="0D86FF1D" w14:textId="77777777" w:rsidR="008B7E19" w:rsidRPr="0019344C" w:rsidRDefault="008B7E19" w:rsidP="008B7E19">
            <w:pPr>
              <w:spacing w:after="0"/>
              <w:jc w:val="center"/>
              <w:rPr>
                <w:rFonts w:cs="Arial"/>
                <w:b/>
                <w:szCs w:val="18"/>
              </w:rPr>
            </w:pPr>
            <w:r w:rsidRPr="00EC4649">
              <w:rPr>
                <w:rFonts w:cs="Arial"/>
                <w:b/>
                <w:sz w:val="14"/>
                <w:szCs w:val="18"/>
              </w:rPr>
              <w:t>Consolidated</w:t>
            </w:r>
          </w:p>
        </w:tc>
      </w:tr>
      <w:tr w:rsidR="008B7E19" w:rsidRPr="0019344C" w14:paraId="1233E240" w14:textId="77777777" w:rsidTr="008875E7">
        <w:trPr>
          <w:trHeight w:val="238"/>
          <w:jc w:val="center"/>
        </w:trPr>
        <w:tc>
          <w:tcPr>
            <w:tcW w:w="3402" w:type="dxa"/>
            <w:tcBorders>
              <w:top w:val="nil"/>
              <w:bottom w:val="nil"/>
            </w:tcBorders>
            <w:shd w:val="clear" w:color="auto" w:fill="auto"/>
            <w:vAlign w:val="center"/>
          </w:tcPr>
          <w:p w14:paraId="0131044F" w14:textId="77777777" w:rsidR="008B7E19" w:rsidRPr="0019344C" w:rsidRDefault="008B7E19" w:rsidP="008B7E19">
            <w:pPr>
              <w:pStyle w:val="08-Tabelageral"/>
              <w:rPr>
                <w:rFonts w:cs="Arial"/>
                <w:b/>
              </w:rPr>
            </w:pPr>
          </w:p>
        </w:tc>
        <w:tc>
          <w:tcPr>
            <w:tcW w:w="284" w:type="dxa"/>
            <w:tcBorders>
              <w:top w:val="nil"/>
              <w:bottom w:val="nil"/>
            </w:tcBorders>
            <w:shd w:val="clear" w:color="auto" w:fill="auto"/>
            <w:vAlign w:val="center"/>
          </w:tcPr>
          <w:p w14:paraId="507F0DD6" w14:textId="77777777" w:rsidR="008B7E19" w:rsidRPr="0019344C" w:rsidRDefault="008B7E19" w:rsidP="008B7E19">
            <w:pPr>
              <w:pStyle w:val="08-Tabelageral"/>
              <w:rPr>
                <w:rFonts w:cs="Arial"/>
                <w:b/>
              </w:rPr>
            </w:pPr>
          </w:p>
        </w:tc>
        <w:tc>
          <w:tcPr>
            <w:tcW w:w="1276" w:type="dxa"/>
            <w:tcBorders>
              <w:top w:val="single" w:sz="2" w:space="0" w:color="1F4E79" w:themeColor="accent1" w:themeShade="80"/>
              <w:bottom w:val="nil"/>
            </w:tcBorders>
            <w:shd w:val="clear" w:color="auto" w:fill="auto"/>
          </w:tcPr>
          <w:p w14:paraId="35429AFE" w14:textId="77777777" w:rsidR="008B7E19" w:rsidRPr="0019344C" w:rsidRDefault="008B7E19" w:rsidP="008B7E19">
            <w:pPr>
              <w:pStyle w:val="08-Tabelageral"/>
              <w:rPr>
                <w:rFonts w:cs="Arial"/>
                <w:b/>
              </w:rPr>
            </w:pPr>
            <w:r>
              <w:rPr>
                <w:b/>
              </w:rPr>
              <w:t>1</w:t>
            </w:r>
            <w:r>
              <w:rPr>
                <w:b/>
                <w:vertAlign w:val="superscript"/>
              </w:rPr>
              <w:t xml:space="preserve">st </w:t>
            </w:r>
            <w:r>
              <w:rPr>
                <w:b/>
              </w:rPr>
              <w:t>Half 2023</w:t>
            </w:r>
          </w:p>
        </w:tc>
        <w:tc>
          <w:tcPr>
            <w:tcW w:w="1559" w:type="dxa"/>
            <w:tcBorders>
              <w:top w:val="single" w:sz="2" w:space="0" w:color="1F4E79" w:themeColor="accent1" w:themeShade="80"/>
              <w:bottom w:val="nil"/>
            </w:tcBorders>
            <w:shd w:val="clear" w:color="auto" w:fill="auto"/>
          </w:tcPr>
          <w:p w14:paraId="5740D5D1" w14:textId="77777777" w:rsidR="008B7E19" w:rsidRPr="0019344C" w:rsidRDefault="008B7E19" w:rsidP="008B7E19">
            <w:pPr>
              <w:pStyle w:val="08-Tabelageral"/>
              <w:rPr>
                <w:rFonts w:cs="Arial"/>
                <w:b/>
              </w:rPr>
            </w:pPr>
            <w:r>
              <w:rPr>
                <w:b/>
              </w:rPr>
              <w:t>1</w:t>
            </w:r>
            <w:r>
              <w:rPr>
                <w:b/>
                <w:vertAlign w:val="superscript"/>
              </w:rPr>
              <w:t xml:space="preserve">st </w:t>
            </w:r>
            <w:r>
              <w:rPr>
                <w:b/>
              </w:rPr>
              <w:t>Half 2022</w:t>
            </w:r>
          </w:p>
        </w:tc>
        <w:tc>
          <w:tcPr>
            <w:tcW w:w="283" w:type="dxa"/>
            <w:tcBorders>
              <w:top w:val="nil"/>
              <w:bottom w:val="nil"/>
            </w:tcBorders>
            <w:shd w:val="clear" w:color="auto" w:fill="auto"/>
          </w:tcPr>
          <w:p w14:paraId="6D57A111" w14:textId="77777777" w:rsidR="008B7E19" w:rsidRPr="0019344C" w:rsidRDefault="008B7E19" w:rsidP="008B7E19">
            <w:pPr>
              <w:pStyle w:val="08-Tabelageral"/>
              <w:rPr>
                <w:rFonts w:cs="Arial"/>
                <w:b/>
              </w:rPr>
            </w:pPr>
          </w:p>
        </w:tc>
        <w:tc>
          <w:tcPr>
            <w:tcW w:w="1276" w:type="dxa"/>
            <w:tcBorders>
              <w:top w:val="single" w:sz="2" w:space="0" w:color="1F4E79" w:themeColor="accent1" w:themeShade="80"/>
              <w:bottom w:val="nil"/>
            </w:tcBorders>
            <w:shd w:val="clear" w:color="auto" w:fill="auto"/>
          </w:tcPr>
          <w:p w14:paraId="55CB09D4" w14:textId="77777777" w:rsidR="008B7E19" w:rsidRPr="0019344C" w:rsidRDefault="008B7E19" w:rsidP="008B7E19">
            <w:pPr>
              <w:pStyle w:val="08-Tabelageral"/>
              <w:rPr>
                <w:rFonts w:cs="Arial"/>
                <w:b/>
              </w:rPr>
            </w:pPr>
            <w:r>
              <w:rPr>
                <w:b/>
              </w:rPr>
              <w:t>1</w:t>
            </w:r>
            <w:r>
              <w:rPr>
                <w:b/>
                <w:vertAlign w:val="superscript"/>
              </w:rPr>
              <w:t xml:space="preserve">st </w:t>
            </w:r>
            <w:r>
              <w:rPr>
                <w:b/>
              </w:rPr>
              <w:t>Half 2023</w:t>
            </w:r>
          </w:p>
        </w:tc>
        <w:tc>
          <w:tcPr>
            <w:tcW w:w="1559" w:type="dxa"/>
            <w:tcBorders>
              <w:top w:val="single" w:sz="2" w:space="0" w:color="1F4E79" w:themeColor="accent1" w:themeShade="80"/>
              <w:bottom w:val="nil"/>
            </w:tcBorders>
            <w:shd w:val="clear" w:color="auto" w:fill="auto"/>
          </w:tcPr>
          <w:p w14:paraId="6944DF35" w14:textId="77777777" w:rsidR="008B7E19" w:rsidRPr="0019344C" w:rsidRDefault="008B7E19" w:rsidP="008B7E19">
            <w:pPr>
              <w:pStyle w:val="08-Tabelageral"/>
              <w:rPr>
                <w:rFonts w:cs="Arial"/>
                <w:b/>
              </w:rPr>
            </w:pPr>
            <w:r>
              <w:rPr>
                <w:b/>
              </w:rPr>
              <w:t>1</w:t>
            </w:r>
            <w:r>
              <w:rPr>
                <w:b/>
                <w:vertAlign w:val="superscript"/>
              </w:rPr>
              <w:t xml:space="preserve">st </w:t>
            </w:r>
            <w:r>
              <w:rPr>
                <w:b/>
              </w:rPr>
              <w:t>Half 2022</w:t>
            </w:r>
          </w:p>
        </w:tc>
      </w:tr>
      <w:tr w:rsidR="008B7E19" w:rsidRPr="0019344C" w14:paraId="55E67651" w14:textId="77777777" w:rsidTr="008875E7">
        <w:trPr>
          <w:trHeight w:val="238"/>
          <w:jc w:val="center"/>
        </w:trPr>
        <w:tc>
          <w:tcPr>
            <w:tcW w:w="3402" w:type="dxa"/>
            <w:tcBorders>
              <w:top w:val="nil"/>
              <w:bottom w:val="single" w:sz="2" w:space="0" w:color="1F4E79" w:themeColor="accent1" w:themeShade="80"/>
            </w:tcBorders>
            <w:shd w:val="clear" w:color="auto" w:fill="auto"/>
            <w:vAlign w:val="center"/>
          </w:tcPr>
          <w:p w14:paraId="6B7B7D99" w14:textId="77777777" w:rsidR="008B7E19" w:rsidRPr="0019344C" w:rsidRDefault="008B7E19" w:rsidP="008B7E19">
            <w:pPr>
              <w:pStyle w:val="08-Tabelageral"/>
              <w:rPr>
                <w:rFonts w:cs="Arial"/>
                <w:b/>
              </w:rPr>
            </w:pPr>
          </w:p>
        </w:tc>
        <w:tc>
          <w:tcPr>
            <w:tcW w:w="284" w:type="dxa"/>
            <w:tcBorders>
              <w:top w:val="nil"/>
              <w:bottom w:val="single" w:sz="2" w:space="0" w:color="1F4E79" w:themeColor="accent1" w:themeShade="80"/>
            </w:tcBorders>
            <w:shd w:val="clear" w:color="auto" w:fill="auto"/>
            <w:vAlign w:val="center"/>
          </w:tcPr>
          <w:p w14:paraId="7B8E5A4D" w14:textId="77777777" w:rsidR="008B7E19" w:rsidRPr="0019344C" w:rsidRDefault="008B7E19" w:rsidP="008B7E19">
            <w:pPr>
              <w:pStyle w:val="08-Tabelageral"/>
              <w:rPr>
                <w:rFonts w:cs="Arial"/>
                <w:b/>
              </w:rPr>
            </w:pPr>
          </w:p>
        </w:tc>
        <w:tc>
          <w:tcPr>
            <w:tcW w:w="1276" w:type="dxa"/>
            <w:tcBorders>
              <w:top w:val="nil"/>
              <w:bottom w:val="single" w:sz="2" w:space="0" w:color="1F4E79" w:themeColor="accent1" w:themeShade="80"/>
            </w:tcBorders>
            <w:shd w:val="clear" w:color="auto" w:fill="auto"/>
          </w:tcPr>
          <w:p w14:paraId="1F2B48C4" w14:textId="77777777" w:rsidR="008B7E19" w:rsidRDefault="008B7E19" w:rsidP="008B7E19">
            <w:pPr>
              <w:pStyle w:val="08-Tabelageral"/>
              <w:rPr>
                <w:b/>
              </w:rPr>
            </w:pPr>
          </w:p>
        </w:tc>
        <w:tc>
          <w:tcPr>
            <w:tcW w:w="1559" w:type="dxa"/>
            <w:tcBorders>
              <w:top w:val="nil"/>
              <w:bottom w:val="single" w:sz="2" w:space="0" w:color="1F4E79" w:themeColor="accent1" w:themeShade="80"/>
            </w:tcBorders>
            <w:shd w:val="clear" w:color="auto" w:fill="auto"/>
          </w:tcPr>
          <w:p w14:paraId="5A93465E" w14:textId="77777777" w:rsidR="008B7E19" w:rsidRDefault="008B7E19" w:rsidP="008B7E19">
            <w:pPr>
              <w:pStyle w:val="08-Tabelageral"/>
              <w:rPr>
                <w:b/>
              </w:rPr>
            </w:pPr>
            <w:r>
              <w:rPr>
                <w:b/>
              </w:rPr>
              <w:t>(Restated balances)</w:t>
            </w:r>
          </w:p>
        </w:tc>
        <w:tc>
          <w:tcPr>
            <w:tcW w:w="283" w:type="dxa"/>
            <w:tcBorders>
              <w:top w:val="nil"/>
              <w:bottom w:val="single" w:sz="2" w:space="0" w:color="1F4E79" w:themeColor="accent1" w:themeShade="80"/>
            </w:tcBorders>
            <w:shd w:val="clear" w:color="auto" w:fill="auto"/>
          </w:tcPr>
          <w:p w14:paraId="5EFF62B5" w14:textId="77777777" w:rsidR="008B7E19" w:rsidRPr="0019344C" w:rsidRDefault="008B7E19" w:rsidP="008B7E19">
            <w:pPr>
              <w:pStyle w:val="08-Tabelageral"/>
              <w:rPr>
                <w:rFonts w:cs="Arial"/>
                <w:b/>
              </w:rPr>
            </w:pPr>
          </w:p>
        </w:tc>
        <w:tc>
          <w:tcPr>
            <w:tcW w:w="1276" w:type="dxa"/>
            <w:tcBorders>
              <w:top w:val="nil"/>
              <w:bottom w:val="single" w:sz="2" w:space="0" w:color="1F4E79" w:themeColor="accent1" w:themeShade="80"/>
            </w:tcBorders>
            <w:shd w:val="clear" w:color="auto" w:fill="auto"/>
          </w:tcPr>
          <w:p w14:paraId="067A9C70" w14:textId="77777777" w:rsidR="008B7E19" w:rsidRDefault="008B7E19" w:rsidP="008B7E19">
            <w:pPr>
              <w:pStyle w:val="08-Tabelageral"/>
              <w:rPr>
                <w:b/>
              </w:rPr>
            </w:pPr>
          </w:p>
        </w:tc>
        <w:tc>
          <w:tcPr>
            <w:tcW w:w="1559" w:type="dxa"/>
            <w:tcBorders>
              <w:top w:val="nil"/>
              <w:bottom w:val="single" w:sz="2" w:space="0" w:color="1F4E79" w:themeColor="accent1" w:themeShade="80"/>
            </w:tcBorders>
            <w:shd w:val="clear" w:color="auto" w:fill="auto"/>
          </w:tcPr>
          <w:p w14:paraId="28D030A2" w14:textId="77777777" w:rsidR="008B7E19" w:rsidRDefault="008B7E19" w:rsidP="008B7E19">
            <w:pPr>
              <w:pStyle w:val="08-Tabelageral"/>
              <w:rPr>
                <w:b/>
              </w:rPr>
            </w:pPr>
            <w:r>
              <w:rPr>
                <w:b/>
              </w:rPr>
              <w:t>(Restated balances)</w:t>
            </w:r>
          </w:p>
        </w:tc>
      </w:tr>
      <w:tr w:rsidR="008B7E19" w:rsidRPr="00E975F6" w14:paraId="177DD68F" w14:textId="77777777" w:rsidTr="008875E7">
        <w:trPr>
          <w:trHeight w:val="238"/>
          <w:jc w:val="center"/>
        </w:trPr>
        <w:tc>
          <w:tcPr>
            <w:tcW w:w="3402" w:type="dxa"/>
            <w:tcBorders>
              <w:top w:val="single" w:sz="2" w:space="0" w:color="1F4E79" w:themeColor="accent1" w:themeShade="80"/>
            </w:tcBorders>
            <w:shd w:val="clear" w:color="auto" w:fill="auto"/>
            <w:vAlign w:val="center"/>
          </w:tcPr>
          <w:p w14:paraId="0555D580" w14:textId="77777777" w:rsidR="008B7E19" w:rsidRPr="00F110A6" w:rsidRDefault="008B7E19" w:rsidP="008B7E19">
            <w:pPr>
              <w:pStyle w:val="08-Tabelageral"/>
              <w:jc w:val="left"/>
              <w:rPr>
                <w:rFonts w:cs="Arial"/>
                <w:b/>
                <w:bCs/>
                <w:szCs w:val="14"/>
                <w:lang w:val="en-US"/>
              </w:rPr>
            </w:pPr>
            <w:r>
              <w:rPr>
                <w:rFonts w:cs="Arial"/>
                <w:b/>
                <w:lang w:val="en-US"/>
              </w:rPr>
              <w:t>Profit before income tax and social contribution</w:t>
            </w:r>
            <w:r w:rsidRPr="00F81A67">
              <w:rPr>
                <w:rFonts w:cs="Arial"/>
                <w:sz w:val="16"/>
                <w:szCs w:val="16"/>
                <w:lang w:val="en-US"/>
              </w:rPr>
              <w:t> </w:t>
            </w:r>
            <w:r w:rsidRPr="00F110A6">
              <w:rPr>
                <w:rFonts w:cs="Arial"/>
                <w:b/>
                <w:szCs w:val="14"/>
                <w:lang w:val="en-US"/>
              </w:rPr>
              <w:t xml:space="preserve"> </w:t>
            </w:r>
          </w:p>
        </w:tc>
        <w:tc>
          <w:tcPr>
            <w:tcW w:w="284" w:type="dxa"/>
            <w:tcBorders>
              <w:top w:val="single" w:sz="2" w:space="0" w:color="1F4E79" w:themeColor="accent1" w:themeShade="80"/>
            </w:tcBorders>
            <w:shd w:val="clear" w:color="auto" w:fill="auto"/>
          </w:tcPr>
          <w:p w14:paraId="48EC3B55" w14:textId="77777777" w:rsidR="008B7E19" w:rsidRPr="00F110A6" w:rsidRDefault="008B7E19" w:rsidP="008B7E19">
            <w:pPr>
              <w:pStyle w:val="08-Tabelageral"/>
              <w:jc w:val="center"/>
              <w:rPr>
                <w:rFonts w:cs="Arial"/>
                <w:b/>
                <w:szCs w:val="14"/>
                <w:lang w:val="en-US"/>
              </w:rPr>
            </w:pPr>
          </w:p>
        </w:tc>
        <w:tc>
          <w:tcPr>
            <w:tcW w:w="1276" w:type="dxa"/>
            <w:tcBorders>
              <w:top w:val="single" w:sz="2" w:space="0" w:color="1F4E79" w:themeColor="accent1" w:themeShade="80"/>
            </w:tcBorders>
            <w:shd w:val="clear" w:color="auto" w:fill="auto"/>
            <w:vAlign w:val="center"/>
          </w:tcPr>
          <w:p w14:paraId="29AD0FAF" w14:textId="77777777" w:rsidR="008B7E19" w:rsidRPr="00E975F6" w:rsidRDefault="008B7E19" w:rsidP="008B7E19">
            <w:pPr>
              <w:pStyle w:val="08-Tabelageral"/>
              <w:rPr>
                <w:rFonts w:cs="Arial"/>
                <w:b/>
                <w:szCs w:val="14"/>
                <w:lang w:val="en-US"/>
              </w:rPr>
            </w:pPr>
            <w:r>
              <w:rPr>
                <w:rFonts w:cs="Arial"/>
                <w:b/>
                <w:szCs w:val="14"/>
              </w:rPr>
              <w:t>3,725,365</w:t>
            </w:r>
          </w:p>
        </w:tc>
        <w:tc>
          <w:tcPr>
            <w:tcW w:w="1559" w:type="dxa"/>
            <w:tcBorders>
              <w:top w:val="single" w:sz="2" w:space="0" w:color="1F4E79" w:themeColor="accent1" w:themeShade="80"/>
            </w:tcBorders>
            <w:shd w:val="clear" w:color="auto" w:fill="auto"/>
            <w:vAlign w:val="center"/>
          </w:tcPr>
          <w:p w14:paraId="6F3F8450" w14:textId="77777777" w:rsidR="008B7E19" w:rsidRPr="00E975F6" w:rsidRDefault="008B7E19" w:rsidP="008B7E19">
            <w:pPr>
              <w:pStyle w:val="08-Tabelageral"/>
              <w:rPr>
                <w:rFonts w:cs="Arial"/>
                <w:b/>
                <w:szCs w:val="14"/>
                <w:lang w:val="en-US"/>
              </w:rPr>
            </w:pPr>
            <w:r>
              <w:rPr>
                <w:rFonts w:cs="Arial"/>
                <w:b/>
                <w:szCs w:val="14"/>
              </w:rPr>
              <w:t>2,713,245</w:t>
            </w:r>
          </w:p>
        </w:tc>
        <w:tc>
          <w:tcPr>
            <w:tcW w:w="283" w:type="dxa"/>
            <w:tcBorders>
              <w:top w:val="single" w:sz="2" w:space="0" w:color="1F4E79" w:themeColor="accent1" w:themeShade="80"/>
            </w:tcBorders>
            <w:shd w:val="clear" w:color="auto" w:fill="auto"/>
            <w:vAlign w:val="center"/>
          </w:tcPr>
          <w:p w14:paraId="72C3E5CC" w14:textId="77777777" w:rsidR="008B7E19" w:rsidRPr="00E975F6" w:rsidRDefault="008B7E19" w:rsidP="008B7E19">
            <w:pPr>
              <w:pStyle w:val="08-Tabelageral"/>
              <w:rPr>
                <w:rFonts w:cs="Arial"/>
                <w:b/>
                <w:szCs w:val="14"/>
                <w:lang w:val="en-US"/>
              </w:rPr>
            </w:pPr>
          </w:p>
        </w:tc>
        <w:tc>
          <w:tcPr>
            <w:tcW w:w="1276" w:type="dxa"/>
            <w:tcBorders>
              <w:top w:val="single" w:sz="2" w:space="0" w:color="1F4E79" w:themeColor="accent1" w:themeShade="80"/>
            </w:tcBorders>
            <w:shd w:val="clear" w:color="auto" w:fill="auto"/>
            <w:vAlign w:val="center"/>
          </w:tcPr>
          <w:p w14:paraId="6053C34F" w14:textId="77777777" w:rsidR="008B7E19" w:rsidRPr="00E975F6" w:rsidRDefault="008B7E19" w:rsidP="008B7E19">
            <w:pPr>
              <w:pStyle w:val="08-Tabelageral"/>
              <w:rPr>
                <w:rFonts w:cs="Arial"/>
                <w:b/>
                <w:szCs w:val="14"/>
                <w:lang w:val="en-US"/>
              </w:rPr>
            </w:pPr>
            <w:r>
              <w:rPr>
                <w:rFonts w:cs="Arial"/>
                <w:b/>
                <w:szCs w:val="14"/>
              </w:rPr>
              <w:t>4,465,256</w:t>
            </w:r>
          </w:p>
        </w:tc>
        <w:tc>
          <w:tcPr>
            <w:tcW w:w="1559" w:type="dxa"/>
            <w:tcBorders>
              <w:top w:val="single" w:sz="2" w:space="0" w:color="1F4E79" w:themeColor="accent1" w:themeShade="80"/>
            </w:tcBorders>
            <w:shd w:val="clear" w:color="auto" w:fill="auto"/>
            <w:vAlign w:val="center"/>
          </w:tcPr>
          <w:p w14:paraId="0878A5D0" w14:textId="77777777" w:rsidR="008B7E19" w:rsidRPr="00E975F6" w:rsidRDefault="008B7E19" w:rsidP="008B7E19">
            <w:pPr>
              <w:pStyle w:val="08-Tabelageral"/>
              <w:rPr>
                <w:rFonts w:cs="Arial"/>
                <w:b/>
                <w:lang w:val="en-US"/>
              </w:rPr>
            </w:pPr>
            <w:r>
              <w:rPr>
                <w:rFonts w:cs="Arial"/>
                <w:b/>
              </w:rPr>
              <w:t>3,340,864</w:t>
            </w:r>
          </w:p>
        </w:tc>
      </w:tr>
      <w:tr w:rsidR="008B7E19" w:rsidRPr="00E975F6" w14:paraId="2CBF2320" w14:textId="77777777" w:rsidTr="008875E7">
        <w:trPr>
          <w:trHeight w:val="238"/>
          <w:jc w:val="center"/>
        </w:trPr>
        <w:tc>
          <w:tcPr>
            <w:tcW w:w="3402" w:type="dxa"/>
            <w:shd w:val="clear" w:color="auto" w:fill="auto"/>
            <w:vAlign w:val="center"/>
          </w:tcPr>
          <w:p w14:paraId="519CF60D" w14:textId="77777777" w:rsidR="008B7E19" w:rsidRPr="00F110A6" w:rsidRDefault="008B7E19" w:rsidP="008B7E19">
            <w:pPr>
              <w:pStyle w:val="08-Tabelageral"/>
              <w:ind w:left="113"/>
              <w:jc w:val="left"/>
              <w:rPr>
                <w:rFonts w:cs="Arial"/>
                <w:szCs w:val="14"/>
                <w:lang w:val="en-US"/>
              </w:rPr>
            </w:pPr>
            <w:r w:rsidRPr="00F110A6">
              <w:rPr>
                <w:rFonts w:cs="Arial"/>
                <w:szCs w:val="14"/>
                <w:lang w:val="en-US"/>
              </w:rPr>
              <w:t xml:space="preserve">a) </w:t>
            </w:r>
            <w:r w:rsidRPr="006D1ED0">
              <w:rPr>
                <w:rFonts w:ascii="ArialMT" w:hAnsi="ArialMT" w:cs="ArialMT"/>
                <w:szCs w:val="14"/>
                <w:lang w:val="en-US"/>
              </w:rPr>
              <w:t>Total</w:t>
            </w:r>
            <w:r>
              <w:rPr>
                <w:rFonts w:ascii="ArialMT" w:hAnsi="ArialMT" w:cs="ArialMT"/>
                <w:szCs w:val="14"/>
                <w:lang w:val="en-US"/>
              </w:rPr>
              <w:t xml:space="preserve"> income tax (25%) and CSLL (9</w:t>
            </w:r>
            <w:r w:rsidRPr="006D1ED0">
              <w:rPr>
                <w:rFonts w:ascii="ArialMT" w:hAnsi="ArialMT" w:cs="ArialMT"/>
                <w:szCs w:val="14"/>
                <w:lang w:val="en-US"/>
              </w:rPr>
              <w:t>%)</w:t>
            </w:r>
            <w:r>
              <w:rPr>
                <w:rFonts w:ascii="ArialMT" w:hAnsi="ArialMT" w:cs="ArialMT"/>
                <w:szCs w:val="14"/>
                <w:lang w:val="en-US"/>
              </w:rPr>
              <w:t xml:space="preserve"> chages</w:t>
            </w:r>
            <w:r w:rsidRPr="00F81A67">
              <w:rPr>
                <w:rFonts w:cs="Arial"/>
                <w:sz w:val="16"/>
                <w:szCs w:val="16"/>
                <w:lang w:val="en-US"/>
              </w:rPr>
              <w:t> </w:t>
            </w:r>
          </w:p>
        </w:tc>
        <w:tc>
          <w:tcPr>
            <w:tcW w:w="284" w:type="dxa"/>
            <w:shd w:val="clear" w:color="auto" w:fill="auto"/>
          </w:tcPr>
          <w:p w14:paraId="0D984337" w14:textId="77777777" w:rsidR="008B7E19" w:rsidRPr="00F110A6" w:rsidRDefault="008B7E19" w:rsidP="008B7E19">
            <w:pPr>
              <w:pStyle w:val="08-Tabelageral"/>
              <w:ind w:left="113"/>
              <w:jc w:val="center"/>
              <w:rPr>
                <w:rFonts w:cs="Arial"/>
                <w:szCs w:val="14"/>
                <w:lang w:val="en-US"/>
              </w:rPr>
            </w:pPr>
          </w:p>
        </w:tc>
        <w:tc>
          <w:tcPr>
            <w:tcW w:w="1276" w:type="dxa"/>
            <w:shd w:val="clear" w:color="auto" w:fill="auto"/>
            <w:vAlign w:val="center"/>
          </w:tcPr>
          <w:p w14:paraId="25575D70" w14:textId="77777777" w:rsidR="008B7E19" w:rsidRPr="00E975F6" w:rsidRDefault="008B7E19" w:rsidP="008B7E19">
            <w:pPr>
              <w:pStyle w:val="08-Tabelageral"/>
              <w:ind w:left="113"/>
              <w:rPr>
                <w:rFonts w:cs="Arial"/>
                <w:szCs w:val="14"/>
                <w:lang w:val="en-US"/>
              </w:rPr>
            </w:pPr>
            <w:r>
              <w:rPr>
                <w:rFonts w:cs="Arial"/>
                <w:szCs w:val="14"/>
              </w:rPr>
              <w:t>(1,266,624)</w:t>
            </w:r>
          </w:p>
        </w:tc>
        <w:tc>
          <w:tcPr>
            <w:tcW w:w="1559" w:type="dxa"/>
            <w:shd w:val="clear" w:color="auto" w:fill="auto"/>
            <w:vAlign w:val="center"/>
          </w:tcPr>
          <w:p w14:paraId="23A85DF7" w14:textId="77777777" w:rsidR="008B7E19" w:rsidRPr="00E975F6" w:rsidRDefault="008B7E19" w:rsidP="008B7E19">
            <w:pPr>
              <w:pStyle w:val="08-Tabelageral"/>
              <w:ind w:left="113"/>
              <w:rPr>
                <w:rFonts w:cs="Arial"/>
                <w:szCs w:val="14"/>
                <w:lang w:val="en-US"/>
              </w:rPr>
            </w:pPr>
            <w:r>
              <w:rPr>
                <w:rFonts w:cs="Arial"/>
                <w:szCs w:val="14"/>
              </w:rPr>
              <w:t>(922,503)</w:t>
            </w:r>
          </w:p>
        </w:tc>
        <w:tc>
          <w:tcPr>
            <w:tcW w:w="283" w:type="dxa"/>
            <w:shd w:val="clear" w:color="auto" w:fill="auto"/>
            <w:vAlign w:val="center"/>
          </w:tcPr>
          <w:p w14:paraId="0D29A320" w14:textId="77777777" w:rsidR="008B7E19" w:rsidRPr="00E975F6" w:rsidRDefault="008B7E19" w:rsidP="008B7E19">
            <w:pPr>
              <w:pStyle w:val="08-Tabelageral"/>
              <w:ind w:left="113"/>
              <w:rPr>
                <w:rFonts w:cs="Arial"/>
                <w:szCs w:val="14"/>
                <w:lang w:val="en-US"/>
              </w:rPr>
            </w:pPr>
          </w:p>
        </w:tc>
        <w:tc>
          <w:tcPr>
            <w:tcW w:w="1276" w:type="dxa"/>
            <w:shd w:val="clear" w:color="auto" w:fill="auto"/>
            <w:vAlign w:val="center"/>
          </w:tcPr>
          <w:p w14:paraId="1163C6AA" w14:textId="77777777" w:rsidR="008B7E19" w:rsidRPr="00E975F6" w:rsidRDefault="008B7E19" w:rsidP="008B7E19">
            <w:pPr>
              <w:pStyle w:val="08-Tabelageral"/>
              <w:ind w:left="113"/>
              <w:rPr>
                <w:rFonts w:cs="Arial"/>
                <w:szCs w:val="14"/>
                <w:lang w:val="en-US"/>
              </w:rPr>
            </w:pPr>
            <w:r>
              <w:rPr>
                <w:rFonts w:cs="Arial"/>
                <w:szCs w:val="14"/>
              </w:rPr>
              <w:t>(1,518,187)</w:t>
            </w:r>
          </w:p>
        </w:tc>
        <w:tc>
          <w:tcPr>
            <w:tcW w:w="1559" w:type="dxa"/>
            <w:shd w:val="clear" w:color="auto" w:fill="auto"/>
            <w:vAlign w:val="center"/>
          </w:tcPr>
          <w:p w14:paraId="3BC91889" w14:textId="77777777" w:rsidR="008B7E19" w:rsidRPr="00E975F6" w:rsidRDefault="008B7E19" w:rsidP="008B7E19">
            <w:pPr>
              <w:pStyle w:val="08-Tabelageral"/>
              <w:rPr>
                <w:rFonts w:cs="Arial"/>
                <w:lang w:val="en-US"/>
              </w:rPr>
            </w:pPr>
            <w:r>
              <w:rPr>
                <w:rFonts w:cs="Arial"/>
              </w:rPr>
              <w:t>(1,135,894)</w:t>
            </w:r>
          </w:p>
        </w:tc>
      </w:tr>
      <w:tr w:rsidR="008B7E19" w:rsidRPr="006A56B2" w14:paraId="1F6DE9C0" w14:textId="77777777" w:rsidTr="008875E7">
        <w:trPr>
          <w:trHeight w:val="238"/>
          <w:jc w:val="center"/>
        </w:trPr>
        <w:tc>
          <w:tcPr>
            <w:tcW w:w="3402" w:type="dxa"/>
            <w:shd w:val="clear" w:color="auto" w:fill="auto"/>
            <w:vAlign w:val="center"/>
          </w:tcPr>
          <w:p w14:paraId="3BB356EB" w14:textId="77777777" w:rsidR="008B7E19" w:rsidRPr="00F110A6" w:rsidRDefault="008B7E19" w:rsidP="008B7E19">
            <w:pPr>
              <w:pStyle w:val="08-Tabelageral"/>
              <w:jc w:val="left"/>
              <w:rPr>
                <w:rFonts w:cs="Arial"/>
                <w:b/>
                <w:szCs w:val="14"/>
                <w:lang w:val="en-US"/>
              </w:rPr>
            </w:pPr>
            <w:r w:rsidRPr="000F7914">
              <w:rPr>
                <w:rFonts w:cs="Arial"/>
                <w:b/>
                <w:szCs w:val="14"/>
                <w:lang w:val="en-US"/>
              </w:rPr>
              <w:t>Effect on the tax calculation:</w:t>
            </w:r>
          </w:p>
        </w:tc>
        <w:tc>
          <w:tcPr>
            <w:tcW w:w="284" w:type="dxa"/>
            <w:shd w:val="clear" w:color="auto" w:fill="auto"/>
          </w:tcPr>
          <w:p w14:paraId="6A1A5C78" w14:textId="77777777" w:rsidR="008B7E19" w:rsidRPr="00F110A6" w:rsidRDefault="008B7E19" w:rsidP="008B7E19">
            <w:pPr>
              <w:pStyle w:val="08-Tabelageral"/>
              <w:jc w:val="center"/>
              <w:rPr>
                <w:rFonts w:cs="Arial"/>
                <w:b/>
                <w:szCs w:val="14"/>
                <w:lang w:val="en-US"/>
              </w:rPr>
            </w:pPr>
          </w:p>
        </w:tc>
        <w:tc>
          <w:tcPr>
            <w:tcW w:w="1276" w:type="dxa"/>
            <w:shd w:val="clear" w:color="auto" w:fill="auto"/>
            <w:vAlign w:val="center"/>
          </w:tcPr>
          <w:p w14:paraId="105A6567" w14:textId="77777777" w:rsidR="008B7E19" w:rsidRPr="00F110A6" w:rsidRDefault="008B7E19" w:rsidP="008B7E19">
            <w:pPr>
              <w:pStyle w:val="08-Tabelageral"/>
              <w:rPr>
                <w:rFonts w:cs="Arial"/>
                <w:b/>
                <w:szCs w:val="14"/>
                <w:lang w:val="en-US"/>
              </w:rPr>
            </w:pPr>
          </w:p>
        </w:tc>
        <w:tc>
          <w:tcPr>
            <w:tcW w:w="1559" w:type="dxa"/>
            <w:shd w:val="clear" w:color="auto" w:fill="auto"/>
            <w:vAlign w:val="center"/>
          </w:tcPr>
          <w:p w14:paraId="76F0D2EB" w14:textId="77777777" w:rsidR="008B7E19" w:rsidRPr="00F110A6" w:rsidRDefault="008B7E19" w:rsidP="008B7E19">
            <w:pPr>
              <w:pStyle w:val="08-Tabelageral"/>
              <w:rPr>
                <w:rFonts w:cs="Arial"/>
                <w:b/>
                <w:szCs w:val="14"/>
                <w:lang w:val="en-US"/>
              </w:rPr>
            </w:pPr>
          </w:p>
        </w:tc>
        <w:tc>
          <w:tcPr>
            <w:tcW w:w="283" w:type="dxa"/>
            <w:shd w:val="clear" w:color="auto" w:fill="auto"/>
            <w:vAlign w:val="center"/>
          </w:tcPr>
          <w:p w14:paraId="0FD86B8C" w14:textId="77777777" w:rsidR="008B7E19" w:rsidRPr="00F110A6" w:rsidRDefault="008B7E19" w:rsidP="008B7E19">
            <w:pPr>
              <w:pStyle w:val="08-Tabelageral"/>
              <w:rPr>
                <w:rFonts w:cs="Arial"/>
                <w:b/>
                <w:szCs w:val="14"/>
                <w:lang w:val="en-US"/>
              </w:rPr>
            </w:pPr>
          </w:p>
        </w:tc>
        <w:tc>
          <w:tcPr>
            <w:tcW w:w="1276" w:type="dxa"/>
            <w:shd w:val="clear" w:color="auto" w:fill="auto"/>
            <w:vAlign w:val="center"/>
          </w:tcPr>
          <w:p w14:paraId="7CA29C2B" w14:textId="77777777" w:rsidR="008B7E19" w:rsidRPr="00F110A6" w:rsidRDefault="008B7E19" w:rsidP="008B7E19">
            <w:pPr>
              <w:pStyle w:val="08-Tabelageral"/>
              <w:rPr>
                <w:rFonts w:cs="Arial"/>
                <w:b/>
                <w:szCs w:val="14"/>
                <w:lang w:val="en-US"/>
              </w:rPr>
            </w:pPr>
          </w:p>
        </w:tc>
        <w:tc>
          <w:tcPr>
            <w:tcW w:w="1559" w:type="dxa"/>
            <w:shd w:val="clear" w:color="auto" w:fill="auto"/>
            <w:vAlign w:val="center"/>
          </w:tcPr>
          <w:p w14:paraId="054E1450" w14:textId="77777777" w:rsidR="008B7E19" w:rsidRPr="00F110A6" w:rsidRDefault="008B7E19" w:rsidP="008B7E19">
            <w:pPr>
              <w:pStyle w:val="08-Tabelageral"/>
              <w:rPr>
                <w:rFonts w:cs="Arial"/>
                <w:b/>
                <w:lang w:val="en-US"/>
              </w:rPr>
            </w:pPr>
          </w:p>
        </w:tc>
      </w:tr>
      <w:tr w:rsidR="008B7E19" w:rsidRPr="00E975F6" w14:paraId="7E3EBC53" w14:textId="77777777" w:rsidTr="008875E7">
        <w:trPr>
          <w:trHeight w:val="238"/>
          <w:jc w:val="center"/>
        </w:trPr>
        <w:tc>
          <w:tcPr>
            <w:tcW w:w="3402" w:type="dxa"/>
            <w:shd w:val="clear" w:color="auto" w:fill="auto"/>
            <w:vAlign w:val="center"/>
          </w:tcPr>
          <w:p w14:paraId="56AD366D" w14:textId="77777777" w:rsidR="008B7E19" w:rsidRPr="00F110A6" w:rsidRDefault="008B7E19" w:rsidP="008B7E19">
            <w:pPr>
              <w:pStyle w:val="08-Tabelageral"/>
              <w:ind w:left="283" w:hanging="170"/>
              <w:jc w:val="left"/>
              <w:rPr>
                <w:rFonts w:cs="Arial"/>
                <w:szCs w:val="14"/>
                <w:lang w:val="en-US"/>
              </w:rPr>
            </w:pPr>
            <w:r w:rsidRPr="00F110A6">
              <w:rPr>
                <w:rFonts w:cs="Arial"/>
                <w:szCs w:val="14"/>
                <w:lang w:val="en-US"/>
              </w:rPr>
              <w:t xml:space="preserve">b) </w:t>
            </w:r>
            <w:r w:rsidRPr="003E2305">
              <w:rPr>
                <w:rFonts w:cs="Arial"/>
                <w:szCs w:val="14"/>
                <w:lang w:val="en-US"/>
              </w:rPr>
              <w:t>Nontaxable income - share of profit (loss) of subsidiaries associates and joint ventures (34%)</w:t>
            </w:r>
          </w:p>
        </w:tc>
        <w:tc>
          <w:tcPr>
            <w:tcW w:w="284" w:type="dxa"/>
            <w:shd w:val="clear" w:color="auto" w:fill="auto"/>
          </w:tcPr>
          <w:p w14:paraId="4E0DDEF8" w14:textId="77777777" w:rsidR="008B7E19" w:rsidRPr="00F110A6" w:rsidRDefault="008B7E19" w:rsidP="008B7E19">
            <w:pPr>
              <w:pStyle w:val="08-Tabelageral"/>
              <w:ind w:left="113"/>
              <w:jc w:val="center"/>
              <w:rPr>
                <w:rFonts w:cs="Arial"/>
                <w:szCs w:val="14"/>
                <w:lang w:val="en-US"/>
              </w:rPr>
            </w:pPr>
          </w:p>
        </w:tc>
        <w:tc>
          <w:tcPr>
            <w:tcW w:w="1276" w:type="dxa"/>
            <w:shd w:val="clear" w:color="auto" w:fill="auto"/>
            <w:vAlign w:val="center"/>
          </w:tcPr>
          <w:p w14:paraId="052FB51A" w14:textId="77777777" w:rsidR="008B7E19" w:rsidRPr="00E975F6" w:rsidRDefault="008B7E19" w:rsidP="008B7E19">
            <w:pPr>
              <w:pStyle w:val="08-Tabelageral"/>
              <w:ind w:left="113"/>
              <w:rPr>
                <w:rFonts w:cs="Arial"/>
                <w:szCs w:val="14"/>
                <w:lang w:val="en-US"/>
              </w:rPr>
            </w:pPr>
            <w:r>
              <w:rPr>
                <w:rFonts w:cs="Arial"/>
                <w:szCs w:val="14"/>
              </w:rPr>
              <w:t>1,265,816</w:t>
            </w:r>
          </w:p>
        </w:tc>
        <w:tc>
          <w:tcPr>
            <w:tcW w:w="1559" w:type="dxa"/>
            <w:shd w:val="clear" w:color="auto" w:fill="auto"/>
            <w:vAlign w:val="center"/>
          </w:tcPr>
          <w:p w14:paraId="1243543B" w14:textId="77777777" w:rsidR="008B7E19" w:rsidRPr="00E975F6" w:rsidRDefault="008B7E19" w:rsidP="008B7E19">
            <w:pPr>
              <w:pStyle w:val="08-Tabelageral"/>
              <w:ind w:left="113"/>
              <w:rPr>
                <w:rFonts w:cs="Arial"/>
                <w:szCs w:val="14"/>
                <w:lang w:val="en-US"/>
              </w:rPr>
            </w:pPr>
            <w:r>
              <w:rPr>
                <w:rFonts w:cs="Arial"/>
                <w:szCs w:val="14"/>
              </w:rPr>
              <w:t>922,731</w:t>
            </w:r>
          </w:p>
        </w:tc>
        <w:tc>
          <w:tcPr>
            <w:tcW w:w="283" w:type="dxa"/>
            <w:shd w:val="clear" w:color="auto" w:fill="auto"/>
            <w:vAlign w:val="center"/>
          </w:tcPr>
          <w:p w14:paraId="3C030E3C" w14:textId="77777777" w:rsidR="008B7E19" w:rsidRPr="00E975F6" w:rsidRDefault="008B7E19" w:rsidP="008B7E19">
            <w:pPr>
              <w:pStyle w:val="08-Tabelageral"/>
              <w:ind w:left="113"/>
              <w:rPr>
                <w:rFonts w:cs="Arial"/>
                <w:szCs w:val="14"/>
                <w:lang w:val="en-US"/>
              </w:rPr>
            </w:pPr>
          </w:p>
        </w:tc>
        <w:tc>
          <w:tcPr>
            <w:tcW w:w="1276" w:type="dxa"/>
            <w:shd w:val="clear" w:color="auto" w:fill="auto"/>
            <w:vAlign w:val="center"/>
          </w:tcPr>
          <w:p w14:paraId="5C45F37B" w14:textId="77777777" w:rsidR="008B7E19" w:rsidRPr="00E975F6" w:rsidRDefault="008B7E19" w:rsidP="008B7E19">
            <w:pPr>
              <w:pStyle w:val="08-Tabelageral"/>
              <w:ind w:left="113"/>
              <w:rPr>
                <w:rFonts w:cs="Arial"/>
                <w:szCs w:val="14"/>
                <w:lang w:val="en-US"/>
              </w:rPr>
            </w:pPr>
            <w:r>
              <w:rPr>
                <w:rFonts w:cs="Arial"/>
                <w:szCs w:val="14"/>
              </w:rPr>
              <w:t>777,155</w:t>
            </w:r>
          </w:p>
        </w:tc>
        <w:tc>
          <w:tcPr>
            <w:tcW w:w="1559" w:type="dxa"/>
            <w:shd w:val="clear" w:color="auto" w:fill="auto"/>
            <w:vAlign w:val="center"/>
          </w:tcPr>
          <w:p w14:paraId="029A8DCE" w14:textId="77777777" w:rsidR="008B7E19" w:rsidRPr="00E975F6" w:rsidRDefault="008B7E19" w:rsidP="008B7E19">
            <w:pPr>
              <w:pStyle w:val="08-Tabelageral"/>
              <w:rPr>
                <w:rFonts w:cs="Arial"/>
                <w:lang w:val="en-US"/>
              </w:rPr>
            </w:pPr>
            <w:r>
              <w:rPr>
                <w:rFonts w:cs="Arial"/>
              </w:rPr>
              <w:t>510,037</w:t>
            </w:r>
          </w:p>
        </w:tc>
      </w:tr>
      <w:tr w:rsidR="008B7E19" w:rsidRPr="00E975F6" w14:paraId="3A47C9BF" w14:textId="77777777" w:rsidTr="008875E7">
        <w:trPr>
          <w:trHeight w:val="238"/>
          <w:jc w:val="center"/>
        </w:trPr>
        <w:tc>
          <w:tcPr>
            <w:tcW w:w="3402" w:type="dxa"/>
            <w:tcBorders>
              <w:bottom w:val="nil"/>
            </w:tcBorders>
            <w:shd w:val="clear" w:color="auto" w:fill="auto"/>
            <w:vAlign w:val="center"/>
          </w:tcPr>
          <w:p w14:paraId="47CBA79A" w14:textId="77777777" w:rsidR="008B7E19" w:rsidRPr="00F110A6" w:rsidRDefault="008B7E19" w:rsidP="008B7E19">
            <w:pPr>
              <w:pStyle w:val="08-Tabelageral"/>
              <w:ind w:left="283" w:hanging="170"/>
              <w:jc w:val="left"/>
              <w:rPr>
                <w:rFonts w:cs="Arial"/>
                <w:szCs w:val="14"/>
                <w:lang w:val="en-US"/>
              </w:rPr>
            </w:pPr>
            <w:r w:rsidRPr="00F110A6">
              <w:rPr>
                <w:rFonts w:cs="Arial"/>
                <w:szCs w:val="14"/>
                <w:lang w:val="en-US"/>
              </w:rPr>
              <w:t xml:space="preserve">c) </w:t>
            </w:r>
            <w:r w:rsidRPr="003E2305">
              <w:rPr>
                <w:rFonts w:cs="Arial"/>
                <w:szCs w:val="14"/>
                <w:lang w:val="en-US"/>
              </w:rPr>
              <w:t>Non-deductible expenses, net of nontaxable income (34%)</w:t>
            </w:r>
          </w:p>
        </w:tc>
        <w:tc>
          <w:tcPr>
            <w:tcW w:w="284" w:type="dxa"/>
            <w:tcBorders>
              <w:bottom w:val="nil"/>
            </w:tcBorders>
            <w:shd w:val="clear" w:color="auto" w:fill="auto"/>
          </w:tcPr>
          <w:p w14:paraId="6AE99BA1" w14:textId="77777777" w:rsidR="008B7E19" w:rsidRPr="00F110A6" w:rsidRDefault="008B7E19" w:rsidP="008B7E19">
            <w:pPr>
              <w:pStyle w:val="08-Tabelageral"/>
              <w:jc w:val="center"/>
              <w:rPr>
                <w:rFonts w:cs="Arial"/>
                <w:szCs w:val="14"/>
                <w:lang w:val="en-US"/>
              </w:rPr>
            </w:pPr>
          </w:p>
        </w:tc>
        <w:tc>
          <w:tcPr>
            <w:tcW w:w="1276" w:type="dxa"/>
            <w:tcBorders>
              <w:bottom w:val="nil"/>
            </w:tcBorders>
            <w:shd w:val="clear" w:color="auto" w:fill="auto"/>
            <w:vAlign w:val="center"/>
          </w:tcPr>
          <w:p w14:paraId="1F0463C8" w14:textId="77777777" w:rsidR="008B7E19" w:rsidRPr="00E975F6" w:rsidRDefault="008B7E19" w:rsidP="008B7E19">
            <w:pPr>
              <w:pStyle w:val="08-Tabelageral"/>
              <w:rPr>
                <w:rFonts w:cs="Arial"/>
                <w:szCs w:val="14"/>
                <w:lang w:val="en-US"/>
              </w:rPr>
            </w:pPr>
            <w:r>
              <w:rPr>
                <w:rFonts w:cs="Arial"/>
                <w:szCs w:val="14"/>
              </w:rPr>
              <w:t>555</w:t>
            </w:r>
          </w:p>
        </w:tc>
        <w:tc>
          <w:tcPr>
            <w:tcW w:w="1559" w:type="dxa"/>
            <w:tcBorders>
              <w:bottom w:val="nil"/>
            </w:tcBorders>
            <w:shd w:val="clear" w:color="auto" w:fill="auto"/>
            <w:vAlign w:val="center"/>
          </w:tcPr>
          <w:p w14:paraId="06749F8A" w14:textId="77777777" w:rsidR="008B7E19" w:rsidRPr="00E975F6" w:rsidRDefault="008B7E19" w:rsidP="008B7E19">
            <w:pPr>
              <w:pStyle w:val="08-Tabelageral"/>
              <w:rPr>
                <w:rFonts w:cs="Arial"/>
                <w:szCs w:val="14"/>
                <w:lang w:val="en-US"/>
              </w:rPr>
            </w:pPr>
            <w:r>
              <w:rPr>
                <w:rFonts w:cs="Arial"/>
                <w:szCs w:val="14"/>
              </w:rPr>
              <w:t>(228)</w:t>
            </w:r>
          </w:p>
        </w:tc>
        <w:tc>
          <w:tcPr>
            <w:tcW w:w="283" w:type="dxa"/>
            <w:tcBorders>
              <w:bottom w:val="nil"/>
            </w:tcBorders>
            <w:shd w:val="clear" w:color="auto" w:fill="auto"/>
            <w:vAlign w:val="center"/>
          </w:tcPr>
          <w:p w14:paraId="4319273B" w14:textId="77777777" w:rsidR="008B7E19" w:rsidRPr="00E975F6" w:rsidRDefault="008B7E19" w:rsidP="008B7E19">
            <w:pPr>
              <w:pStyle w:val="08-Tabelageral"/>
              <w:rPr>
                <w:rFonts w:cs="Arial"/>
                <w:szCs w:val="14"/>
                <w:lang w:val="en-US"/>
              </w:rPr>
            </w:pPr>
          </w:p>
        </w:tc>
        <w:tc>
          <w:tcPr>
            <w:tcW w:w="1276" w:type="dxa"/>
            <w:tcBorders>
              <w:bottom w:val="nil"/>
            </w:tcBorders>
            <w:shd w:val="clear" w:color="auto" w:fill="auto"/>
            <w:vAlign w:val="center"/>
          </w:tcPr>
          <w:p w14:paraId="3702E1D1" w14:textId="77777777" w:rsidR="008B7E19" w:rsidRPr="00E975F6" w:rsidRDefault="008B7E19" w:rsidP="008B7E19">
            <w:pPr>
              <w:pStyle w:val="08-Tabelageral"/>
              <w:rPr>
                <w:rFonts w:cs="Arial"/>
                <w:szCs w:val="14"/>
                <w:lang w:val="en-US"/>
              </w:rPr>
            </w:pPr>
            <w:r>
              <w:rPr>
                <w:rFonts w:cs="Arial"/>
                <w:szCs w:val="14"/>
              </w:rPr>
              <w:t>(2,843)</w:t>
            </w:r>
          </w:p>
        </w:tc>
        <w:tc>
          <w:tcPr>
            <w:tcW w:w="1559" w:type="dxa"/>
            <w:tcBorders>
              <w:bottom w:val="nil"/>
            </w:tcBorders>
            <w:shd w:val="clear" w:color="auto" w:fill="auto"/>
            <w:vAlign w:val="center"/>
          </w:tcPr>
          <w:p w14:paraId="049DF189" w14:textId="77777777" w:rsidR="008B7E19" w:rsidRPr="00E975F6" w:rsidRDefault="008B7E19" w:rsidP="008B7E19">
            <w:pPr>
              <w:pStyle w:val="08-Tabelageral"/>
              <w:rPr>
                <w:rFonts w:cs="Arial"/>
                <w:lang w:val="en-US"/>
              </w:rPr>
            </w:pPr>
            <w:r>
              <w:rPr>
                <w:rFonts w:cs="Arial"/>
              </w:rPr>
              <w:t>(6,881)</w:t>
            </w:r>
          </w:p>
        </w:tc>
      </w:tr>
      <w:tr w:rsidR="008B7E19" w:rsidRPr="00E975F6" w14:paraId="14B412E9" w14:textId="77777777" w:rsidTr="008875E7">
        <w:trPr>
          <w:trHeight w:val="238"/>
          <w:jc w:val="center"/>
        </w:trPr>
        <w:tc>
          <w:tcPr>
            <w:tcW w:w="3402" w:type="dxa"/>
            <w:tcBorders>
              <w:top w:val="nil"/>
              <w:bottom w:val="single" w:sz="2" w:space="0" w:color="1F4E79" w:themeColor="accent1" w:themeShade="80"/>
            </w:tcBorders>
            <w:shd w:val="clear" w:color="auto" w:fill="auto"/>
            <w:vAlign w:val="center"/>
          </w:tcPr>
          <w:p w14:paraId="6F1367F8" w14:textId="77777777" w:rsidR="008B7E19" w:rsidRPr="00F110A6" w:rsidRDefault="008B7E19" w:rsidP="008B7E19">
            <w:pPr>
              <w:pStyle w:val="08-Tabelageral"/>
              <w:jc w:val="left"/>
              <w:rPr>
                <w:rFonts w:cs="Arial"/>
                <w:b/>
                <w:szCs w:val="14"/>
                <w:lang w:val="en-US"/>
              </w:rPr>
            </w:pPr>
            <w:r w:rsidRPr="000F7914">
              <w:rPr>
                <w:rFonts w:cs="Arial"/>
                <w:b/>
                <w:lang w:val="en-US"/>
              </w:rPr>
              <w:t>Income tax and social contribution</w:t>
            </w:r>
            <w:r w:rsidRPr="003E2305">
              <w:rPr>
                <w:rFonts w:cs="Arial"/>
                <w:lang w:val="en-US"/>
              </w:rPr>
              <w:t xml:space="preserve"> </w:t>
            </w:r>
            <w:r w:rsidRPr="00F110A6">
              <w:rPr>
                <w:rFonts w:cs="Arial"/>
                <w:b/>
                <w:lang w:val="en-US"/>
              </w:rPr>
              <w:t>(a+b+c)</w:t>
            </w:r>
          </w:p>
        </w:tc>
        <w:tc>
          <w:tcPr>
            <w:tcW w:w="284" w:type="dxa"/>
            <w:tcBorders>
              <w:top w:val="nil"/>
              <w:bottom w:val="single" w:sz="2" w:space="0" w:color="1F4E79" w:themeColor="accent1" w:themeShade="80"/>
            </w:tcBorders>
            <w:shd w:val="clear" w:color="auto" w:fill="auto"/>
          </w:tcPr>
          <w:p w14:paraId="56888F27" w14:textId="77777777" w:rsidR="008B7E19" w:rsidRPr="00F110A6" w:rsidRDefault="008B7E19" w:rsidP="008B7E19">
            <w:pPr>
              <w:pStyle w:val="08-Tabelageral"/>
              <w:rPr>
                <w:rFonts w:cs="Arial"/>
                <w:b/>
                <w:szCs w:val="14"/>
                <w:lang w:val="en-US"/>
              </w:rPr>
            </w:pPr>
          </w:p>
        </w:tc>
        <w:tc>
          <w:tcPr>
            <w:tcW w:w="1276" w:type="dxa"/>
            <w:tcBorders>
              <w:top w:val="nil"/>
              <w:bottom w:val="single" w:sz="2" w:space="0" w:color="1F4E79" w:themeColor="accent1" w:themeShade="80"/>
            </w:tcBorders>
            <w:shd w:val="clear" w:color="auto" w:fill="auto"/>
            <w:vAlign w:val="center"/>
          </w:tcPr>
          <w:p w14:paraId="4FE8A0F6" w14:textId="77777777" w:rsidR="008B7E19" w:rsidRPr="00E975F6" w:rsidRDefault="008B7E19" w:rsidP="008B7E19">
            <w:pPr>
              <w:pStyle w:val="08-Tabelageral"/>
              <w:rPr>
                <w:rFonts w:cs="Arial"/>
                <w:b/>
                <w:szCs w:val="14"/>
                <w:lang w:val="en-US"/>
              </w:rPr>
            </w:pPr>
            <w:r>
              <w:rPr>
                <w:rFonts w:cs="Arial"/>
                <w:b/>
                <w:szCs w:val="14"/>
              </w:rPr>
              <w:t>(253)</w:t>
            </w:r>
          </w:p>
        </w:tc>
        <w:tc>
          <w:tcPr>
            <w:tcW w:w="1559" w:type="dxa"/>
            <w:tcBorders>
              <w:top w:val="nil"/>
              <w:bottom w:val="single" w:sz="2" w:space="0" w:color="1F4E79" w:themeColor="accent1" w:themeShade="80"/>
            </w:tcBorders>
            <w:shd w:val="clear" w:color="auto" w:fill="auto"/>
            <w:vAlign w:val="center"/>
          </w:tcPr>
          <w:p w14:paraId="2A73D662" w14:textId="77777777" w:rsidR="008B7E19" w:rsidRPr="00E975F6" w:rsidRDefault="008B7E19" w:rsidP="008B7E19">
            <w:pPr>
              <w:pStyle w:val="08-Tabelageral"/>
              <w:rPr>
                <w:rFonts w:cs="Arial"/>
                <w:b/>
                <w:szCs w:val="14"/>
                <w:lang w:val="en-US"/>
              </w:rPr>
            </w:pPr>
            <w:r>
              <w:rPr>
                <w:rFonts w:cs="Arial"/>
                <w:b/>
                <w:szCs w:val="14"/>
              </w:rPr>
              <w:t>--</w:t>
            </w:r>
          </w:p>
        </w:tc>
        <w:tc>
          <w:tcPr>
            <w:tcW w:w="283" w:type="dxa"/>
            <w:tcBorders>
              <w:top w:val="nil"/>
              <w:bottom w:val="single" w:sz="2" w:space="0" w:color="1F4E79" w:themeColor="accent1" w:themeShade="80"/>
            </w:tcBorders>
            <w:shd w:val="clear" w:color="auto" w:fill="auto"/>
            <w:vAlign w:val="center"/>
          </w:tcPr>
          <w:p w14:paraId="38F43F59" w14:textId="77777777" w:rsidR="008B7E19" w:rsidRPr="00E975F6" w:rsidRDefault="008B7E19" w:rsidP="008B7E19">
            <w:pPr>
              <w:pStyle w:val="08-Tabelageral"/>
              <w:rPr>
                <w:rFonts w:cs="Arial"/>
                <w:b/>
                <w:szCs w:val="14"/>
                <w:lang w:val="en-US"/>
              </w:rPr>
            </w:pPr>
          </w:p>
        </w:tc>
        <w:tc>
          <w:tcPr>
            <w:tcW w:w="1276" w:type="dxa"/>
            <w:tcBorders>
              <w:top w:val="nil"/>
              <w:bottom w:val="single" w:sz="2" w:space="0" w:color="1F4E79" w:themeColor="accent1" w:themeShade="80"/>
            </w:tcBorders>
            <w:shd w:val="clear" w:color="auto" w:fill="auto"/>
            <w:vAlign w:val="center"/>
          </w:tcPr>
          <w:p w14:paraId="0D2F19B1" w14:textId="77777777" w:rsidR="008B7E19" w:rsidRPr="00E975F6" w:rsidRDefault="008B7E19" w:rsidP="008B7E19">
            <w:pPr>
              <w:pStyle w:val="08-Tabelageral"/>
              <w:rPr>
                <w:rFonts w:cs="Arial"/>
                <w:b/>
                <w:szCs w:val="14"/>
                <w:lang w:val="en-US"/>
              </w:rPr>
            </w:pPr>
            <w:r>
              <w:rPr>
                <w:rFonts w:cs="Arial"/>
                <w:b/>
                <w:szCs w:val="14"/>
              </w:rPr>
              <w:t>(743,875)</w:t>
            </w:r>
          </w:p>
        </w:tc>
        <w:tc>
          <w:tcPr>
            <w:tcW w:w="1559" w:type="dxa"/>
            <w:tcBorders>
              <w:top w:val="nil"/>
              <w:bottom w:val="single" w:sz="2" w:space="0" w:color="1F4E79" w:themeColor="accent1" w:themeShade="80"/>
            </w:tcBorders>
            <w:shd w:val="clear" w:color="auto" w:fill="auto"/>
            <w:vAlign w:val="center"/>
          </w:tcPr>
          <w:p w14:paraId="62F96567" w14:textId="77777777" w:rsidR="008B7E19" w:rsidRPr="00E975F6" w:rsidRDefault="008B7E19" w:rsidP="008B7E19">
            <w:pPr>
              <w:pStyle w:val="08-Tabelageral"/>
              <w:rPr>
                <w:rFonts w:cs="Arial"/>
                <w:b/>
                <w:lang w:val="en-US"/>
              </w:rPr>
            </w:pPr>
            <w:r>
              <w:rPr>
                <w:rFonts w:cs="Arial"/>
                <w:b/>
              </w:rPr>
              <w:t>(632,738)</w:t>
            </w:r>
          </w:p>
        </w:tc>
      </w:tr>
      <w:tr w:rsidR="008B7E19" w:rsidRPr="0019344C" w14:paraId="1CB82B6C" w14:textId="77777777" w:rsidTr="008875E7">
        <w:trPr>
          <w:trHeight w:val="238"/>
          <w:jc w:val="center"/>
        </w:trPr>
        <w:tc>
          <w:tcPr>
            <w:tcW w:w="3402" w:type="dxa"/>
            <w:tcBorders>
              <w:top w:val="single" w:sz="2" w:space="0" w:color="1F4E79" w:themeColor="accent1" w:themeShade="80"/>
              <w:bottom w:val="single" w:sz="2" w:space="0" w:color="1F4E79" w:themeColor="accent1" w:themeShade="80"/>
            </w:tcBorders>
            <w:shd w:val="clear" w:color="auto" w:fill="auto"/>
            <w:vAlign w:val="center"/>
          </w:tcPr>
          <w:p w14:paraId="5B463D19" w14:textId="77777777" w:rsidR="008B7E19" w:rsidRPr="00C9266E" w:rsidRDefault="008B7E19" w:rsidP="008B7E19">
            <w:pPr>
              <w:pStyle w:val="08-Tabelageral"/>
              <w:jc w:val="left"/>
              <w:rPr>
                <w:rFonts w:cs="Arial"/>
                <w:b/>
                <w:szCs w:val="14"/>
                <w:highlight w:val="yellow"/>
              </w:rPr>
            </w:pPr>
            <w:r w:rsidRPr="00E76711">
              <w:rPr>
                <w:rFonts w:cs="Arial"/>
                <w:b/>
                <w:szCs w:val="14"/>
              </w:rPr>
              <w:t>Intertemporal Differences</w:t>
            </w:r>
          </w:p>
        </w:tc>
        <w:tc>
          <w:tcPr>
            <w:tcW w:w="284" w:type="dxa"/>
            <w:tcBorders>
              <w:top w:val="single" w:sz="2" w:space="0" w:color="1F4E79" w:themeColor="accent1" w:themeShade="80"/>
              <w:bottom w:val="single" w:sz="2" w:space="0" w:color="1F4E79" w:themeColor="accent1" w:themeShade="80"/>
            </w:tcBorders>
            <w:shd w:val="clear" w:color="auto" w:fill="auto"/>
          </w:tcPr>
          <w:p w14:paraId="30A2DAB9" w14:textId="77777777" w:rsidR="008B7E19" w:rsidRPr="0019344C" w:rsidRDefault="008B7E19" w:rsidP="008B7E19">
            <w:pPr>
              <w:pStyle w:val="08-Tabelageral"/>
              <w:jc w:val="center"/>
              <w:rPr>
                <w:rFonts w:cs="Arial"/>
                <w:b/>
                <w:szCs w:val="14"/>
              </w:rPr>
            </w:pPr>
          </w:p>
        </w:tc>
        <w:tc>
          <w:tcPr>
            <w:tcW w:w="1276" w:type="dxa"/>
            <w:tcBorders>
              <w:top w:val="single" w:sz="2" w:space="0" w:color="1F4E79" w:themeColor="accent1" w:themeShade="80"/>
              <w:bottom w:val="single" w:sz="2" w:space="0" w:color="1F4E79" w:themeColor="accent1" w:themeShade="80"/>
            </w:tcBorders>
            <w:shd w:val="clear" w:color="auto" w:fill="auto"/>
            <w:vAlign w:val="center"/>
          </w:tcPr>
          <w:p w14:paraId="72ADC199" w14:textId="77777777" w:rsidR="008B7E19" w:rsidRPr="0019344C" w:rsidRDefault="008B7E19" w:rsidP="008B7E19">
            <w:pPr>
              <w:pStyle w:val="08-Tabelageral"/>
              <w:rPr>
                <w:rFonts w:cs="Arial"/>
                <w:b/>
                <w:szCs w:val="14"/>
              </w:rPr>
            </w:pPr>
          </w:p>
        </w:tc>
        <w:tc>
          <w:tcPr>
            <w:tcW w:w="1559" w:type="dxa"/>
            <w:tcBorders>
              <w:top w:val="single" w:sz="2" w:space="0" w:color="1F4E79" w:themeColor="accent1" w:themeShade="80"/>
              <w:bottom w:val="single" w:sz="2" w:space="0" w:color="1F4E79" w:themeColor="accent1" w:themeShade="80"/>
            </w:tcBorders>
            <w:shd w:val="clear" w:color="auto" w:fill="auto"/>
            <w:vAlign w:val="center"/>
          </w:tcPr>
          <w:p w14:paraId="0EE8F4FC" w14:textId="77777777" w:rsidR="008B7E19" w:rsidRPr="00573127" w:rsidRDefault="008B7E19" w:rsidP="008B7E19">
            <w:pPr>
              <w:pStyle w:val="08-Tabelageral"/>
              <w:rPr>
                <w:rFonts w:cs="Arial"/>
                <w:b/>
                <w:szCs w:val="14"/>
              </w:rPr>
            </w:pPr>
          </w:p>
        </w:tc>
        <w:tc>
          <w:tcPr>
            <w:tcW w:w="283" w:type="dxa"/>
            <w:tcBorders>
              <w:top w:val="single" w:sz="2" w:space="0" w:color="1F4E79" w:themeColor="accent1" w:themeShade="80"/>
              <w:bottom w:val="single" w:sz="2" w:space="0" w:color="1F4E79" w:themeColor="accent1" w:themeShade="80"/>
            </w:tcBorders>
            <w:shd w:val="clear" w:color="auto" w:fill="auto"/>
            <w:vAlign w:val="center"/>
          </w:tcPr>
          <w:p w14:paraId="1A0B1854" w14:textId="77777777" w:rsidR="008B7E19" w:rsidRPr="0019344C" w:rsidRDefault="008B7E19" w:rsidP="008B7E19">
            <w:pPr>
              <w:pStyle w:val="08-Tabelageral"/>
              <w:rPr>
                <w:rFonts w:cs="Arial"/>
                <w:b/>
                <w:szCs w:val="14"/>
              </w:rPr>
            </w:pPr>
          </w:p>
        </w:tc>
        <w:tc>
          <w:tcPr>
            <w:tcW w:w="1276" w:type="dxa"/>
            <w:tcBorders>
              <w:top w:val="single" w:sz="2" w:space="0" w:color="1F4E79" w:themeColor="accent1" w:themeShade="80"/>
              <w:bottom w:val="single" w:sz="2" w:space="0" w:color="1F4E79" w:themeColor="accent1" w:themeShade="80"/>
            </w:tcBorders>
            <w:shd w:val="clear" w:color="auto" w:fill="auto"/>
            <w:vAlign w:val="center"/>
          </w:tcPr>
          <w:p w14:paraId="36B10B82" w14:textId="77777777" w:rsidR="008B7E19" w:rsidRPr="0019344C" w:rsidRDefault="008B7E19" w:rsidP="008B7E19">
            <w:pPr>
              <w:pStyle w:val="08-Tabelageral"/>
              <w:rPr>
                <w:rFonts w:cs="Arial"/>
                <w:b/>
                <w:szCs w:val="14"/>
              </w:rPr>
            </w:pPr>
          </w:p>
        </w:tc>
        <w:tc>
          <w:tcPr>
            <w:tcW w:w="1559" w:type="dxa"/>
            <w:tcBorders>
              <w:top w:val="single" w:sz="2" w:space="0" w:color="1F4E79" w:themeColor="accent1" w:themeShade="80"/>
              <w:bottom w:val="single" w:sz="2" w:space="0" w:color="1F4E79" w:themeColor="accent1" w:themeShade="80"/>
            </w:tcBorders>
            <w:shd w:val="clear" w:color="auto" w:fill="auto"/>
            <w:vAlign w:val="center"/>
          </w:tcPr>
          <w:p w14:paraId="41134E85" w14:textId="77777777" w:rsidR="008B7E19" w:rsidRPr="0019344C" w:rsidRDefault="008B7E19" w:rsidP="008B7E19">
            <w:pPr>
              <w:pStyle w:val="08-Tabelageral"/>
              <w:rPr>
                <w:rFonts w:cs="Arial"/>
                <w:b/>
              </w:rPr>
            </w:pPr>
          </w:p>
        </w:tc>
      </w:tr>
      <w:tr w:rsidR="008B7E19" w:rsidRPr="0019344C" w14:paraId="036A5DCD" w14:textId="77777777" w:rsidTr="008875E7">
        <w:trPr>
          <w:trHeight w:val="238"/>
          <w:jc w:val="center"/>
        </w:trPr>
        <w:tc>
          <w:tcPr>
            <w:tcW w:w="3402" w:type="dxa"/>
            <w:tcBorders>
              <w:top w:val="single" w:sz="2" w:space="0" w:color="1F4E79" w:themeColor="accent1" w:themeShade="80"/>
              <w:bottom w:val="nil"/>
            </w:tcBorders>
            <w:shd w:val="clear" w:color="auto" w:fill="auto"/>
            <w:vAlign w:val="center"/>
          </w:tcPr>
          <w:p w14:paraId="60667F50" w14:textId="77777777" w:rsidR="008B7E19" w:rsidRPr="007B333A" w:rsidRDefault="008B7E19" w:rsidP="008B7E19">
            <w:pPr>
              <w:pStyle w:val="08-Tabelageral"/>
              <w:jc w:val="left"/>
              <w:rPr>
                <w:rFonts w:cs="Arial"/>
                <w:b/>
                <w:szCs w:val="14"/>
                <w:highlight w:val="yellow"/>
                <w:lang w:val="en-US"/>
              </w:rPr>
            </w:pPr>
            <w:r w:rsidRPr="00E76711">
              <w:rPr>
                <w:rFonts w:cs="Arial"/>
                <w:b/>
                <w:szCs w:val="14"/>
                <w:lang w:val="en-US"/>
              </w:rPr>
              <w:t>Constitution/(Reversal) of the Period:</w:t>
            </w:r>
          </w:p>
        </w:tc>
        <w:tc>
          <w:tcPr>
            <w:tcW w:w="284" w:type="dxa"/>
            <w:tcBorders>
              <w:top w:val="single" w:sz="2" w:space="0" w:color="1F4E79" w:themeColor="accent1" w:themeShade="80"/>
              <w:bottom w:val="nil"/>
            </w:tcBorders>
            <w:shd w:val="clear" w:color="auto" w:fill="auto"/>
          </w:tcPr>
          <w:p w14:paraId="572EF8ED" w14:textId="77777777" w:rsidR="008B7E19" w:rsidRPr="007B333A" w:rsidRDefault="008B7E19" w:rsidP="008B7E19">
            <w:pPr>
              <w:pStyle w:val="08-Tabelageral"/>
              <w:jc w:val="center"/>
              <w:rPr>
                <w:rFonts w:cs="Arial"/>
                <w:b/>
                <w:szCs w:val="14"/>
                <w:lang w:val="en-US"/>
              </w:rPr>
            </w:pPr>
          </w:p>
        </w:tc>
        <w:tc>
          <w:tcPr>
            <w:tcW w:w="1276" w:type="dxa"/>
            <w:tcBorders>
              <w:top w:val="single" w:sz="2" w:space="0" w:color="1F4E79" w:themeColor="accent1" w:themeShade="80"/>
              <w:bottom w:val="nil"/>
            </w:tcBorders>
            <w:shd w:val="clear" w:color="auto" w:fill="auto"/>
            <w:vAlign w:val="center"/>
          </w:tcPr>
          <w:p w14:paraId="40108645" w14:textId="77777777" w:rsidR="008B7E19" w:rsidRPr="0019344C" w:rsidRDefault="008B7E19" w:rsidP="008B7E19">
            <w:pPr>
              <w:pStyle w:val="08-Tabelageral"/>
              <w:rPr>
                <w:rFonts w:cs="Arial"/>
                <w:b/>
                <w:szCs w:val="14"/>
              </w:rPr>
            </w:pPr>
            <w:r>
              <w:rPr>
                <w:rFonts w:cs="Arial"/>
                <w:b/>
                <w:szCs w:val="14"/>
              </w:rPr>
              <w:t>20</w:t>
            </w:r>
          </w:p>
        </w:tc>
        <w:tc>
          <w:tcPr>
            <w:tcW w:w="1559" w:type="dxa"/>
            <w:tcBorders>
              <w:top w:val="single" w:sz="2" w:space="0" w:color="1F4E79" w:themeColor="accent1" w:themeShade="80"/>
              <w:bottom w:val="nil"/>
            </w:tcBorders>
            <w:shd w:val="clear" w:color="auto" w:fill="auto"/>
            <w:vAlign w:val="center"/>
          </w:tcPr>
          <w:p w14:paraId="54FBEDAA" w14:textId="77777777" w:rsidR="008B7E19" w:rsidRPr="00573127" w:rsidRDefault="008B7E19" w:rsidP="008B7E19">
            <w:pPr>
              <w:pStyle w:val="08-Tabelageral"/>
              <w:rPr>
                <w:rFonts w:cs="Arial"/>
                <w:b/>
                <w:szCs w:val="14"/>
              </w:rPr>
            </w:pPr>
            <w:r>
              <w:rPr>
                <w:rFonts w:cs="Arial"/>
                <w:b/>
                <w:szCs w:val="14"/>
              </w:rPr>
              <w:t>--</w:t>
            </w:r>
          </w:p>
        </w:tc>
        <w:tc>
          <w:tcPr>
            <w:tcW w:w="283" w:type="dxa"/>
            <w:tcBorders>
              <w:top w:val="single" w:sz="2" w:space="0" w:color="1F4E79" w:themeColor="accent1" w:themeShade="80"/>
              <w:bottom w:val="nil"/>
            </w:tcBorders>
            <w:shd w:val="clear" w:color="auto" w:fill="auto"/>
            <w:vAlign w:val="center"/>
          </w:tcPr>
          <w:p w14:paraId="5FD98279" w14:textId="77777777" w:rsidR="008B7E19" w:rsidRPr="0019344C" w:rsidRDefault="008B7E19" w:rsidP="008B7E19">
            <w:pPr>
              <w:pStyle w:val="08-Tabelageral"/>
              <w:rPr>
                <w:rFonts w:cs="Arial"/>
                <w:b/>
                <w:szCs w:val="14"/>
              </w:rPr>
            </w:pPr>
          </w:p>
        </w:tc>
        <w:tc>
          <w:tcPr>
            <w:tcW w:w="1276" w:type="dxa"/>
            <w:tcBorders>
              <w:top w:val="single" w:sz="2" w:space="0" w:color="1F4E79" w:themeColor="accent1" w:themeShade="80"/>
              <w:bottom w:val="nil"/>
            </w:tcBorders>
            <w:shd w:val="clear" w:color="auto" w:fill="auto"/>
            <w:vAlign w:val="center"/>
          </w:tcPr>
          <w:p w14:paraId="366F557E" w14:textId="77777777" w:rsidR="008B7E19" w:rsidRPr="0019344C" w:rsidRDefault="008B7E19" w:rsidP="008B7E19">
            <w:pPr>
              <w:pStyle w:val="08-Tabelageral"/>
              <w:rPr>
                <w:rFonts w:cs="Arial"/>
                <w:b/>
                <w:szCs w:val="14"/>
              </w:rPr>
            </w:pPr>
            <w:r>
              <w:rPr>
                <w:rFonts w:cs="Arial"/>
                <w:b/>
                <w:szCs w:val="14"/>
              </w:rPr>
              <w:t>3,751</w:t>
            </w:r>
          </w:p>
        </w:tc>
        <w:tc>
          <w:tcPr>
            <w:tcW w:w="1559" w:type="dxa"/>
            <w:tcBorders>
              <w:top w:val="single" w:sz="2" w:space="0" w:color="1F4E79" w:themeColor="accent1" w:themeShade="80"/>
              <w:bottom w:val="nil"/>
            </w:tcBorders>
            <w:shd w:val="clear" w:color="auto" w:fill="auto"/>
            <w:vAlign w:val="center"/>
          </w:tcPr>
          <w:p w14:paraId="682F8E13" w14:textId="77777777" w:rsidR="008B7E19" w:rsidRPr="0019344C" w:rsidRDefault="008B7E19" w:rsidP="008B7E19">
            <w:pPr>
              <w:pStyle w:val="08-Tabelageral"/>
              <w:rPr>
                <w:rFonts w:cs="Arial"/>
                <w:b/>
              </w:rPr>
            </w:pPr>
            <w:r>
              <w:rPr>
                <w:rFonts w:cs="Arial"/>
                <w:b/>
              </w:rPr>
              <w:t>5,119</w:t>
            </w:r>
          </w:p>
        </w:tc>
      </w:tr>
      <w:tr w:rsidR="008B7E19" w:rsidRPr="0019344C" w14:paraId="43198F8F" w14:textId="77777777" w:rsidTr="008875E7">
        <w:trPr>
          <w:trHeight w:val="238"/>
          <w:jc w:val="center"/>
        </w:trPr>
        <w:tc>
          <w:tcPr>
            <w:tcW w:w="3402" w:type="dxa"/>
            <w:tcBorders>
              <w:top w:val="nil"/>
              <w:bottom w:val="nil"/>
            </w:tcBorders>
            <w:shd w:val="clear" w:color="auto" w:fill="auto"/>
            <w:vAlign w:val="center"/>
          </w:tcPr>
          <w:p w14:paraId="229D2E5B" w14:textId="77777777" w:rsidR="008B7E19" w:rsidRPr="007B333A" w:rsidRDefault="008B7E19" w:rsidP="008B7E19">
            <w:pPr>
              <w:pStyle w:val="08-Tabelageral"/>
              <w:jc w:val="left"/>
              <w:rPr>
                <w:rFonts w:cs="Arial"/>
                <w:bCs/>
                <w:szCs w:val="14"/>
                <w:highlight w:val="yellow"/>
                <w:lang w:val="en-US"/>
              </w:rPr>
            </w:pPr>
            <w:r w:rsidRPr="00B37DC2">
              <w:rPr>
                <w:rFonts w:cs="Arial"/>
                <w:szCs w:val="14"/>
                <w:lang w:val="en-US"/>
              </w:rPr>
              <w:t xml:space="preserve">  d) (Expenses)/Deferred Tax Income</w:t>
            </w:r>
          </w:p>
        </w:tc>
        <w:tc>
          <w:tcPr>
            <w:tcW w:w="284" w:type="dxa"/>
            <w:tcBorders>
              <w:top w:val="nil"/>
              <w:bottom w:val="nil"/>
            </w:tcBorders>
            <w:shd w:val="clear" w:color="auto" w:fill="auto"/>
          </w:tcPr>
          <w:p w14:paraId="03082B55" w14:textId="77777777" w:rsidR="008B7E19" w:rsidRPr="007B333A" w:rsidRDefault="008B7E19" w:rsidP="008B7E19">
            <w:pPr>
              <w:pStyle w:val="08-Tabelageral"/>
              <w:jc w:val="center"/>
              <w:rPr>
                <w:rFonts w:cs="Arial"/>
                <w:b/>
                <w:szCs w:val="14"/>
                <w:lang w:val="en-US"/>
              </w:rPr>
            </w:pPr>
          </w:p>
        </w:tc>
        <w:tc>
          <w:tcPr>
            <w:tcW w:w="1276" w:type="dxa"/>
            <w:tcBorders>
              <w:top w:val="nil"/>
              <w:bottom w:val="nil"/>
            </w:tcBorders>
            <w:shd w:val="clear" w:color="auto" w:fill="auto"/>
            <w:vAlign w:val="center"/>
          </w:tcPr>
          <w:p w14:paraId="6B732049" w14:textId="77777777" w:rsidR="008B7E19" w:rsidRPr="00AB42B5" w:rsidRDefault="008B7E19" w:rsidP="008B7E19">
            <w:pPr>
              <w:pStyle w:val="08-Tabelageral"/>
              <w:rPr>
                <w:rFonts w:cs="Arial"/>
                <w:bCs/>
                <w:szCs w:val="14"/>
              </w:rPr>
            </w:pPr>
            <w:r w:rsidRPr="00232BC9">
              <w:rPr>
                <w:rFonts w:cs="Arial"/>
                <w:bCs/>
                <w:szCs w:val="14"/>
              </w:rPr>
              <w:t>20</w:t>
            </w:r>
          </w:p>
        </w:tc>
        <w:tc>
          <w:tcPr>
            <w:tcW w:w="1559" w:type="dxa"/>
            <w:tcBorders>
              <w:top w:val="nil"/>
              <w:bottom w:val="nil"/>
            </w:tcBorders>
            <w:shd w:val="clear" w:color="auto" w:fill="auto"/>
            <w:vAlign w:val="center"/>
          </w:tcPr>
          <w:p w14:paraId="3AAA8A81" w14:textId="77777777" w:rsidR="008B7E19" w:rsidRPr="00AB42B5" w:rsidRDefault="008B7E19" w:rsidP="008B7E19">
            <w:pPr>
              <w:pStyle w:val="08-Tabelageral"/>
              <w:rPr>
                <w:rFonts w:cs="Arial"/>
                <w:bCs/>
                <w:szCs w:val="14"/>
              </w:rPr>
            </w:pPr>
            <w:r w:rsidRPr="00232BC9">
              <w:rPr>
                <w:rFonts w:cs="Arial"/>
                <w:bCs/>
                <w:szCs w:val="14"/>
              </w:rPr>
              <w:t>--</w:t>
            </w:r>
          </w:p>
        </w:tc>
        <w:tc>
          <w:tcPr>
            <w:tcW w:w="283" w:type="dxa"/>
            <w:tcBorders>
              <w:top w:val="nil"/>
              <w:bottom w:val="nil"/>
            </w:tcBorders>
            <w:shd w:val="clear" w:color="auto" w:fill="auto"/>
            <w:vAlign w:val="center"/>
          </w:tcPr>
          <w:p w14:paraId="3B905CB1" w14:textId="77777777" w:rsidR="008B7E19" w:rsidRPr="00AB42B5" w:rsidRDefault="008B7E19" w:rsidP="008B7E19">
            <w:pPr>
              <w:pStyle w:val="08-Tabelageral"/>
              <w:rPr>
                <w:rFonts w:cs="Arial"/>
                <w:bCs/>
                <w:szCs w:val="14"/>
              </w:rPr>
            </w:pPr>
          </w:p>
        </w:tc>
        <w:tc>
          <w:tcPr>
            <w:tcW w:w="1276" w:type="dxa"/>
            <w:tcBorders>
              <w:top w:val="nil"/>
              <w:bottom w:val="nil"/>
            </w:tcBorders>
            <w:shd w:val="clear" w:color="auto" w:fill="auto"/>
            <w:vAlign w:val="center"/>
          </w:tcPr>
          <w:p w14:paraId="2C40C65F" w14:textId="77777777" w:rsidR="008B7E19" w:rsidRPr="00AB42B5" w:rsidRDefault="008B7E19" w:rsidP="008B7E19">
            <w:pPr>
              <w:pStyle w:val="08-Tabelageral"/>
              <w:rPr>
                <w:rFonts w:cs="Arial"/>
                <w:bCs/>
                <w:szCs w:val="14"/>
              </w:rPr>
            </w:pPr>
            <w:r w:rsidRPr="00232BC9">
              <w:rPr>
                <w:rFonts w:cs="Arial"/>
                <w:bCs/>
                <w:szCs w:val="14"/>
              </w:rPr>
              <w:t>3</w:t>
            </w:r>
            <w:r>
              <w:rPr>
                <w:rFonts w:cs="Arial"/>
                <w:bCs/>
                <w:szCs w:val="14"/>
              </w:rPr>
              <w:t>,</w:t>
            </w:r>
            <w:r w:rsidRPr="00232BC9">
              <w:rPr>
                <w:rFonts w:cs="Arial"/>
                <w:bCs/>
                <w:szCs w:val="14"/>
              </w:rPr>
              <w:t>751</w:t>
            </w:r>
          </w:p>
        </w:tc>
        <w:tc>
          <w:tcPr>
            <w:tcW w:w="1559" w:type="dxa"/>
            <w:tcBorders>
              <w:top w:val="nil"/>
              <w:bottom w:val="nil"/>
            </w:tcBorders>
            <w:shd w:val="clear" w:color="auto" w:fill="auto"/>
            <w:vAlign w:val="center"/>
          </w:tcPr>
          <w:p w14:paraId="4C06FCB5" w14:textId="77777777" w:rsidR="008B7E19" w:rsidRPr="00AB42B5" w:rsidRDefault="008B7E19" w:rsidP="008B7E19">
            <w:pPr>
              <w:pStyle w:val="08-Tabelageral"/>
              <w:rPr>
                <w:rFonts w:cs="Arial"/>
                <w:bCs/>
              </w:rPr>
            </w:pPr>
            <w:r>
              <w:rPr>
                <w:rFonts w:cs="Arial"/>
                <w:bCs/>
              </w:rPr>
              <w:t>5,119</w:t>
            </w:r>
          </w:p>
        </w:tc>
      </w:tr>
      <w:tr w:rsidR="008B7E19" w:rsidRPr="0019344C" w14:paraId="2BEB6C35" w14:textId="77777777" w:rsidTr="008875E7">
        <w:trPr>
          <w:trHeight w:val="238"/>
          <w:jc w:val="center"/>
        </w:trPr>
        <w:tc>
          <w:tcPr>
            <w:tcW w:w="3402" w:type="dxa"/>
            <w:tcBorders>
              <w:top w:val="nil"/>
              <w:bottom w:val="single" w:sz="2" w:space="0" w:color="1F4E79" w:themeColor="accent1" w:themeShade="80"/>
            </w:tcBorders>
            <w:shd w:val="clear" w:color="auto" w:fill="auto"/>
            <w:vAlign w:val="center"/>
          </w:tcPr>
          <w:p w14:paraId="46A538B1" w14:textId="77777777" w:rsidR="008B7E19" w:rsidRPr="00C9266E" w:rsidRDefault="008B7E19" w:rsidP="008B7E19">
            <w:pPr>
              <w:pStyle w:val="08-Tabelageral"/>
              <w:jc w:val="left"/>
              <w:rPr>
                <w:rFonts w:cs="Arial"/>
                <w:b/>
                <w:szCs w:val="14"/>
                <w:highlight w:val="yellow"/>
              </w:rPr>
            </w:pPr>
            <w:r w:rsidRPr="00E76711">
              <w:rPr>
                <w:rFonts w:cs="Arial"/>
                <w:b/>
                <w:szCs w:val="14"/>
              </w:rPr>
              <w:t>Total IR and CS (a+b+c+d)</w:t>
            </w:r>
          </w:p>
        </w:tc>
        <w:tc>
          <w:tcPr>
            <w:tcW w:w="284" w:type="dxa"/>
            <w:tcBorders>
              <w:top w:val="nil"/>
              <w:bottom w:val="single" w:sz="2" w:space="0" w:color="1F4E79" w:themeColor="accent1" w:themeShade="80"/>
            </w:tcBorders>
            <w:shd w:val="clear" w:color="auto" w:fill="auto"/>
          </w:tcPr>
          <w:p w14:paraId="4B7CACAD" w14:textId="77777777" w:rsidR="008B7E19" w:rsidRPr="0019344C" w:rsidRDefault="008B7E19" w:rsidP="008B7E19">
            <w:pPr>
              <w:pStyle w:val="08-Tabelageral"/>
              <w:jc w:val="center"/>
              <w:rPr>
                <w:rFonts w:cs="Arial"/>
                <w:b/>
                <w:szCs w:val="14"/>
              </w:rPr>
            </w:pPr>
          </w:p>
        </w:tc>
        <w:tc>
          <w:tcPr>
            <w:tcW w:w="1276" w:type="dxa"/>
            <w:tcBorders>
              <w:top w:val="nil"/>
              <w:bottom w:val="single" w:sz="2" w:space="0" w:color="1F4E79" w:themeColor="accent1" w:themeShade="80"/>
            </w:tcBorders>
            <w:shd w:val="clear" w:color="auto" w:fill="auto"/>
            <w:vAlign w:val="center"/>
          </w:tcPr>
          <w:p w14:paraId="08F9428A" w14:textId="77777777" w:rsidR="008B7E19" w:rsidRPr="0019344C" w:rsidRDefault="008B7E19" w:rsidP="008B7E19">
            <w:pPr>
              <w:pStyle w:val="08-Tabelageral"/>
              <w:rPr>
                <w:rFonts w:cs="Arial"/>
                <w:b/>
                <w:szCs w:val="14"/>
              </w:rPr>
            </w:pPr>
            <w:r>
              <w:rPr>
                <w:rFonts w:cs="Arial"/>
                <w:b/>
                <w:szCs w:val="14"/>
              </w:rPr>
              <w:t>(233)</w:t>
            </w:r>
          </w:p>
        </w:tc>
        <w:tc>
          <w:tcPr>
            <w:tcW w:w="1559" w:type="dxa"/>
            <w:tcBorders>
              <w:top w:val="nil"/>
              <w:bottom w:val="single" w:sz="2" w:space="0" w:color="1F4E79" w:themeColor="accent1" w:themeShade="80"/>
            </w:tcBorders>
            <w:shd w:val="clear" w:color="auto" w:fill="auto"/>
            <w:vAlign w:val="center"/>
          </w:tcPr>
          <w:p w14:paraId="5D7A6BDE" w14:textId="77777777" w:rsidR="008B7E19" w:rsidRPr="00573127" w:rsidRDefault="008B7E19" w:rsidP="008B7E19">
            <w:pPr>
              <w:pStyle w:val="08-Tabelageral"/>
              <w:rPr>
                <w:rFonts w:cs="Arial"/>
                <w:b/>
                <w:szCs w:val="14"/>
              </w:rPr>
            </w:pPr>
            <w:r>
              <w:rPr>
                <w:rFonts w:cs="Arial"/>
                <w:b/>
                <w:szCs w:val="14"/>
              </w:rPr>
              <w:t>--</w:t>
            </w:r>
          </w:p>
        </w:tc>
        <w:tc>
          <w:tcPr>
            <w:tcW w:w="283" w:type="dxa"/>
            <w:tcBorders>
              <w:top w:val="nil"/>
              <w:bottom w:val="single" w:sz="2" w:space="0" w:color="1F4E79" w:themeColor="accent1" w:themeShade="80"/>
            </w:tcBorders>
            <w:shd w:val="clear" w:color="auto" w:fill="auto"/>
            <w:vAlign w:val="center"/>
          </w:tcPr>
          <w:p w14:paraId="3C890548" w14:textId="77777777" w:rsidR="008B7E19" w:rsidRPr="0019344C" w:rsidRDefault="008B7E19" w:rsidP="008B7E19">
            <w:pPr>
              <w:pStyle w:val="08-Tabelageral"/>
              <w:rPr>
                <w:rFonts w:cs="Arial"/>
                <w:b/>
                <w:szCs w:val="14"/>
              </w:rPr>
            </w:pPr>
          </w:p>
        </w:tc>
        <w:tc>
          <w:tcPr>
            <w:tcW w:w="1276" w:type="dxa"/>
            <w:tcBorders>
              <w:top w:val="nil"/>
              <w:bottom w:val="single" w:sz="2" w:space="0" w:color="1F4E79" w:themeColor="accent1" w:themeShade="80"/>
            </w:tcBorders>
            <w:shd w:val="clear" w:color="auto" w:fill="auto"/>
            <w:vAlign w:val="center"/>
          </w:tcPr>
          <w:p w14:paraId="6F9C68A1" w14:textId="77777777" w:rsidR="008B7E19" w:rsidRPr="0019344C" w:rsidRDefault="008B7E19" w:rsidP="008B7E19">
            <w:pPr>
              <w:pStyle w:val="08-Tabelageral"/>
              <w:rPr>
                <w:rFonts w:cs="Arial"/>
                <w:b/>
                <w:szCs w:val="14"/>
              </w:rPr>
            </w:pPr>
            <w:r>
              <w:rPr>
                <w:rFonts w:cs="Arial"/>
                <w:b/>
                <w:szCs w:val="14"/>
              </w:rPr>
              <w:t>(740,124)</w:t>
            </w:r>
          </w:p>
        </w:tc>
        <w:tc>
          <w:tcPr>
            <w:tcW w:w="1559" w:type="dxa"/>
            <w:tcBorders>
              <w:top w:val="nil"/>
              <w:bottom w:val="single" w:sz="2" w:space="0" w:color="1F4E79" w:themeColor="accent1" w:themeShade="80"/>
            </w:tcBorders>
            <w:shd w:val="clear" w:color="auto" w:fill="auto"/>
            <w:vAlign w:val="center"/>
          </w:tcPr>
          <w:p w14:paraId="5E66E1A5" w14:textId="77777777" w:rsidR="008B7E19" w:rsidRPr="0019344C" w:rsidRDefault="008B7E19" w:rsidP="008B7E19">
            <w:pPr>
              <w:pStyle w:val="08-Tabelageral"/>
              <w:rPr>
                <w:rFonts w:cs="Arial"/>
                <w:b/>
              </w:rPr>
            </w:pPr>
            <w:r>
              <w:rPr>
                <w:rFonts w:cs="Arial"/>
                <w:b/>
              </w:rPr>
              <w:t>(627,619)</w:t>
            </w:r>
          </w:p>
        </w:tc>
      </w:tr>
    </w:tbl>
    <w:p w14:paraId="01A2EB00" w14:textId="77777777" w:rsidR="008B7E19" w:rsidRPr="00E975F6" w:rsidRDefault="008B7E19" w:rsidP="008B7E19">
      <w:pPr>
        <w:spacing w:after="0"/>
        <w:jc w:val="right"/>
        <w:rPr>
          <w:rFonts w:cs="Arial"/>
          <w:b/>
          <w:sz w:val="14"/>
          <w:lang w:val="en-US" w:eastAsia="pt-BR"/>
        </w:rPr>
      </w:pPr>
    </w:p>
    <w:p w14:paraId="621E05E3" w14:textId="77777777" w:rsidR="008B7E19" w:rsidRPr="00E975F6" w:rsidRDefault="008B7E19" w:rsidP="008B7E19">
      <w:pPr>
        <w:spacing w:after="0"/>
        <w:jc w:val="right"/>
        <w:rPr>
          <w:rFonts w:cs="Arial"/>
          <w:b/>
          <w:sz w:val="14"/>
          <w:lang w:val="en-US" w:eastAsia="pt-BR"/>
        </w:rPr>
      </w:pPr>
    </w:p>
    <w:p w14:paraId="34D4B9B9" w14:textId="77777777" w:rsidR="008B7E19" w:rsidRPr="00662308" w:rsidRDefault="008B7E19" w:rsidP="008B7E19">
      <w:pPr>
        <w:keepNext/>
        <w:keepLines/>
        <w:spacing w:after="40"/>
        <w:rPr>
          <w:rFonts w:cs="Arial"/>
          <w:b/>
          <w:color w:val="1F4E79" w:themeColor="accent1" w:themeShade="80"/>
          <w:szCs w:val="18"/>
        </w:rPr>
      </w:pPr>
      <w:r w:rsidRPr="00662308">
        <w:rPr>
          <w:rFonts w:cs="Arial"/>
          <w:b/>
          <w:color w:val="1F4E79" w:themeColor="accent1" w:themeShade="80"/>
          <w:szCs w:val="18"/>
        </w:rPr>
        <w:t>c) Tax Expenses</w:t>
      </w:r>
    </w:p>
    <w:p w14:paraId="5FE5AE7E" w14:textId="77777777" w:rsidR="008B7E19" w:rsidRPr="00FF3D4B" w:rsidRDefault="008B7E19" w:rsidP="008B7E19">
      <w:pPr>
        <w:keepNext/>
        <w:keepLines/>
        <w:spacing w:after="0" w:line="240" w:lineRule="auto"/>
        <w:jc w:val="right"/>
        <w:rPr>
          <w:rFonts w:cs="Arial"/>
          <w:b/>
          <w:sz w:val="14"/>
          <w:lang w:eastAsia="pt-BR"/>
        </w:rPr>
      </w:pPr>
      <w:r w:rsidRPr="00FF3D4B">
        <w:rPr>
          <w:rFonts w:cs="Arial"/>
          <w:b/>
          <w:sz w:val="14"/>
          <w:lang w:eastAsia="pt-BR"/>
        </w:rPr>
        <w:t xml:space="preserve">R$ </w:t>
      </w:r>
      <w:r w:rsidRPr="00044999">
        <w:rPr>
          <w:rFonts w:cs="Arial"/>
          <w:b/>
          <w:sz w:val="14"/>
          <w:lang w:eastAsia="pt-BR"/>
        </w:rPr>
        <w:t>thousand</w:t>
      </w:r>
    </w:p>
    <w:tbl>
      <w:tblPr>
        <w:tblW w:w="9639" w:type="dxa"/>
        <w:jc w:val="center"/>
        <w:tblBorders>
          <w:top w:val="single" w:sz="2" w:space="0" w:color="8EAADB" w:themeColor="accent5" w:themeTint="99"/>
          <w:bottom w:val="single" w:sz="2" w:space="0" w:color="8EAADB" w:themeColor="accent5" w:themeTint="99"/>
        </w:tblBorders>
        <w:tblLook w:val="04A0" w:firstRow="1" w:lastRow="0" w:firstColumn="1" w:lastColumn="0" w:noHBand="0" w:noVBand="1"/>
      </w:tblPr>
      <w:tblGrid>
        <w:gridCol w:w="3094"/>
        <w:gridCol w:w="604"/>
        <w:gridCol w:w="1411"/>
        <w:gridCol w:w="1412"/>
        <w:gridCol w:w="283"/>
        <w:gridCol w:w="1417"/>
        <w:gridCol w:w="1418"/>
      </w:tblGrid>
      <w:tr w:rsidR="008B7E19" w:rsidRPr="0019344C" w14:paraId="47655CBF" w14:textId="77777777" w:rsidTr="008875E7">
        <w:trPr>
          <w:trHeight w:val="238"/>
          <w:jc w:val="center"/>
        </w:trPr>
        <w:tc>
          <w:tcPr>
            <w:tcW w:w="3094" w:type="dxa"/>
            <w:tcBorders>
              <w:top w:val="single" w:sz="2" w:space="0" w:color="1F4E79" w:themeColor="accent1" w:themeShade="80"/>
              <w:bottom w:val="nil"/>
            </w:tcBorders>
            <w:shd w:val="clear" w:color="auto" w:fill="auto"/>
            <w:vAlign w:val="center"/>
          </w:tcPr>
          <w:p w14:paraId="09641223" w14:textId="77777777" w:rsidR="008B7E19" w:rsidRPr="0019344C" w:rsidRDefault="008B7E19" w:rsidP="008B7E19">
            <w:pPr>
              <w:keepNext/>
              <w:keepLines/>
              <w:spacing w:after="0"/>
              <w:jc w:val="center"/>
              <w:rPr>
                <w:rFonts w:cs="Arial"/>
                <w:b/>
                <w:szCs w:val="18"/>
              </w:rPr>
            </w:pPr>
          </w:p>
        </w:tc>
        <w:tc>
          <w:tcPr>
            <w:tcW w:w="604" w:type="dxa"/>
            <w:tcBorders>
              <w:top w:val="single" w:sz="2" w:space="0" w:color="1F4E79" w:themeColor="accent1" w:themeShade="80"/>
              <w:bottom w:val="nil"/>
            </w:tcBorders>
            <w:shd w:val="clear" w:color="auto" w:fill="auto"/>
            <w:vAlign w:val="center"/>
          </w:tcPr>
          <w:p w14:paraId="5F186D94" w14:textId="77777777" w:rsidR="008B7E19" w:rsidRPr="0019344C" w:rsidRDefault="008B7E19" w:rsidP="008B7E19">
            <w:pPr>
              <w:keepNext/>
              <w:keepLines/>
              <w:spacing w:after="0"/>
              <w:jc w:val="center"/>
              <w:rPr>
                <w:rFonts w:cs="Arial"/>
                <w:b/>
                <w:szCs w:val="18"/>
              </w:rPr>
            </w:pPr>
          </w:p>
        </w:tc>
        <w:tc>
          <w:tcPr>
            <w:tcW w:w="2823" w:type="dxa"/>
            <w:gridSpan w:val="2"/>
            <w:tcBorders>
              <w:top w:val="single" w:sz="2" w:space="0" w:color="1F4E79" w:themeColor="accent1" w:themeShade="80"/>
              <w:bottom w:val="single" w:sz="2" w:space="0" w:color="1F4E79" w:themeColor="accent1" w:themeShade="80"/>
            </w:tcBorders>
            <w:shd w:val="clear" w:color="auto" w:fill="auto"/>
            <w:vAlign w:val="center"/>
          </w:tcPr>
          <w:p w14:paraId="4730AEB1" w14:textId="77777777" w:rsidR="008B7E19" w:rsidRPr="0019344C" w:rsidRDefault="008B7E19" w:rsidP="008B7E19">
            <w:pPr>
              <w:keepNext/>
              <w:keepLines/>
              <w:spacing w:after="0"/>
              <w:jc w:val="center"/>
              <w:rPr>
                <w:rFonts w:cs="Arial"/>
                <w:b/>
                <w:sz w:val="14"/>
                <w:szCs w:val="18"/>
              </w:rPr>
            </w:pPr>
            <w:r w:rsidRPr="00EC4649">
              <w:rPr>
                <w:rFonts w:cs="Arial"/>
                <w:b/>
                <w:sz w:val="14"/>
                <w:szCs w:val="18"/>
              </w:rPr>
              <w:t>Parent</w:t>
            </w:r>
          </w:p>
        </w:tc>
        <w:tc>
          <w:tcPr>
            <w:tcW w:w="283" w:type="dxa"/>
            <w:tcBorders>
              <w:top w:val="single" w:sz="2" w:space="0" w:color="1F4E79" w:themeColor="accent1" w:themeShade="80"/>
              <w:bottom w:val="nil"/>
            </w:tcBorders>
            <w:shd w:val="clear" w:color="auto" w:fill="auto"/>
            <w:vAlign w:val="center"/>
          </w:tcPr>
          <w:p w14:paraId="31AA93AB" w14:textId="77777777" w:rsidR="008B7E19" w:rsidRPr="0019344C" w:rsidRDefault="008B7E19" w:rsidP="008B7E19">
            <w:pPr>
              <w:keepNext/>
              <w:keepLines/>
              <w:spacing w:after="0"/>
              <w:jc w:val="center"/>
              <w:rPr>
                <w:rFonts w:cs="Arial"/>
                <w:b/>
                <w:szCs w:val="18"/>
              </w:rPr>
            </w:pPr>
          </w:p>
        </w:tc>
        <w:tc>
          <w:tcPr>
            <w:tcW w:w="2835" w:type="dxa"/>
            <w:gridSpan w:val="2"/>
            <w:tcBorders>
              <w:top w:val="single" w:sz="2" w:space="0" w:color="1F4E79" w:themeColor="accent1" w:themeShade="80"/>
              <w:bottom w:val="single" w:sz="2" w:space="0" w:color="1F4E79" w:themeColor="accent1" w:themeShade="80"/>
            </w:tcBorders>
            <w:shd w:val="clear" w:color="auto" w:fill="auto"/>
            <w:vAlign w:val="center"/>
          </w:tcPr>
          <w:p w14:paraId="77EFD904" w14:textId="77777777" w:rsidR="008B7E19" w:rsidRPr="0019344C" w:rsidRDefault="008B7E19" w:rsidP="008B7E19">
            <w:pPr>
              <w:keepNext/>
              <w:keepLines/>
              <w:spacing w:after="0"/>
              <w:jc w:val="center"/>
              <w:rPr>
                <w:rFonts w:cs="Arial"/>
                <w:b/>
                <w:szCs w:val="18"/>
              </w:rPr>
            </w:pPr>
            <w:r w:rsidRPr="00EC4649">
              <w:rPr>
                <w:rFonts w:cs="Arial"/>
                <w:b/>
                <w:sz w:val="14"/>
                <w:szCs w:val="18"/>
              </w:rPr>
              <w:t>Consolidated</w:t>
            </w:r>
          </w:p>
        </w:tc>
      </w:tr>
      <w:tr w:rsidR="008B7E19" w:rsidRPr="0019344C" w14:paraId="6A26FC4A" w14:textId="77777777" w:rsidTr="008875E7">
        <w:trPr>
          <w:trHeight w:val="238"/>
          <w:jc w:val="center"/>
        </w:trPr>
        <w:tc>
          <w:tcPr>
            <w:tcW w:w="3094" w:type="dxa"/>
            <w:tcBorders>
              <w:top w:val="nil"/>
              <w:bottom w:val="single" w:sz="2" w:space="0" w:color="1F4E79" w:themeColor="accent1" w:themeShade="80"/>
            </w:tcBorders>
            <w:shd w:val="clear" w:color="auto" w:fill="auto"/>
            <w:vAlign w:val="center"/>
          </w:tcPr>
          <w:p w14:paraId="16A3F39D" w14:textId="77777777" w:rsidR="008B7E19" w:rsidRPr="0019344C" w:rsidRDefault="008B7E19" w:rsidP="008B7E19">
            <w:pPr>
              <w:pStyle w:val="08-Tabelageral"/>
              <w:jc w:val="center"/>
              <w:rPr>
                <w:rFonts w:cs="Arial"/>
                <w:b/>
              </w:rPr>
            </w:pPr>
          </w:p>
        </w:tc>
        <w:tc>
          <w:tcPr>
            <w:tcW w:w="604" w:type="dxa"/>
            <w:tcBorders>
              <w:top w:val="nil"/>
              <w:bottom w:val="single" w:sz="2" w:space="0" w:color="1F4E79" w:themeColor="accent1" w:themeShade="80"/>
            </w:tcBorders>
            <w:shd w:val="clear" w:color="auto" w:fill="auto"/>
            <w:vAlign w:val="center"/>
          </w:tcPr>
          <w:p w14:paraId="2AC59AEA" w14:textId="77777777" w:rsidR="008B7E19" w:rsidRPr="0019344C" w:rsidRDefault="008B7E19" w:rsidP="008B7E19">
            <w:pPr>
              <w:pStyle w:val="08-Tabelageral"/>
              <w:jc w:val="center"/>
              <w:rPr>
                <w:rFonts w:cs="Arial"/>
                <w:b/>
              </w:rPr>
            </w:pPr>
          </w:p>
        </w:tc>
        <w:tc>
          <w:tcPr>
            <w:tcW w:w="1411" w:type="dxa"/>
            <w:tcBorders>
              <w:top w:val="single" w:sz="2" w:space="0" w:color="1F4E79" w:themeColor="accent1" w:themeShade="80"/>
              <w:bottom w:val="single" w:sz="2" w:space="0" w:color="1F4E79" w:themeColor="accent1" w:themeShade="80"/>
            </w:tcBorders>
            <w:shd w:val="clear" w:color="auto" w:fill="auto"/>
          </w:tcPr>
          <w:p w14:paraId="79D4C46B" w14:textId="77777777" w:rsidR="008B7E19" w:rsidRPr="0019344C" w:rsidRDefault="008B7E19" w:rsidP="008B7E19">
            <w:pPr>
              <w:pStyle w:val="08-Tabelageral"/>
              <w:rPr>
                <w:rFonts w:cs="Arial"/>
                <w:b/>
              </w:rPr>
            </w:pPr>
            <w:r>
              <w:rPr>
                <w:b/>
              </w:rPr>
              <w:t>2</w:t>
            </w:r>
            <w:r>
              <w:rPr>
                <w:b/>
                <w:vertAlign w:val="superscript"/>
              </w:rPr>
              <w:t xml:space="preserve">st </w:t>
            </w:r>
            <w:r>
              <w:rPr>
                <w:b/>
              </w:rPr>
              <w:t>Quarter 2023</w:t>
            </w:r>
          </w:p>
        </w:tc>
        <w:tc>
          <w:tcPr>
            <w:tcW w:w="1412" w:type="dxa"/>
            <w:tcBorders>
              <w:top w:val="single" w:sz="2" w:space="0" w:color="1F4E79" w:themeColor="accent1" w:themeShade="80"/>
              <w:bottom w:val="single" w:sz="2" w:space="0" w:color="1F4E79" w:themeColor="accent1" w:themeShade="80"/>
            </w:tcBorders>
            <w:shd w:val="clear" w:color="auto" w:fill="auto"/>
          </w:tcPr>
          <w:p w14:paraId="72802CA9" w14:textId="77777777" w:rsidR="008B7E19" w:rsidRPr="0019344C" w:rsidRDefault="008B7E19" w:rsidP="008B7E19">
            <w:pPr>
              <w:pStyle w:val="08-Tabelageral"/>
              <w:rPr>
                <w:rFonts w:cs="Arial"/>
                <w:b/>
              </w:rPr>
            </w:pPr>
            <w:r>
              <w:rPr>
                <w:b/>
              </w:rPr>
              <w:t>2</w:t>
            </w:r>
            <w:r>
              <w:rPr>
                <w:b/>
                <w:vertAlign w:val="superscript"/>
              </w:rPr>
              <w:t xml:space="preserve">st </w:t>
            </w:r>
            <w:r>
              <w:rPr>
                <w:b/>
              </w:rPr>
              <w:t>Quarter 2022</w:t>
            </w:r>
          </w:p>
        </w:tc>
        <w:tc>
          <w:tcPr>
            <w:tcW w:w="283" w:type="dxa"/>
            <w:tcBorders>
              <w:top w:val="nil"/>
              <w:bottom w:val="single" w:sz="2" w:space="0" w:color="1F4E79" w:themeColor="accent1" w:themeShade="80"/>
            </w:tcBorders>
            <w:shd w:val="clear" w:color="auto" w:fill="auto"/>
          </w:tcPr>
          <w:p w14:paraId="3A3E4FE6" w14:textId="77777777" w:rsidR="008B7E19" w:rsidRPr="0019344C" w:rsidRDefault="008B7E19" w:rsidP="008B7E19">
            <w:pPr>
              <w:pStyle w:val="08-Tabelageral"/>
              <w:rPr>
                <w:rFonts w:cs="Arial"/>
                <w:b/>
              </w:rPr>
            </w:pPr>
          </w:p>
        </w:tc>
        <w:tc>
          <w:tcPr>
            <w:tcW w:w="1417" w:type="dxa"/>
            <w:tcBorders>
              <w:top w:val="single" w:sz="2" w:space="0" w:color="1F4E79" w:themeColor="accent1" w:themeShade="80"/>
              <w:bottom w:val="single" w:sz="2" w:space="0" w:color="1F4E79" w:themeColor="accent1" w:themeShade="80"/>
            </w:tcBorders>
            <w:shd w:val="clear" w:color="auto" w:fill="auto"/>
          </w:tcPr>
          <w:p w14:paraId="038BF1D1" w14:textId="77777777" w:rsidR="008B7E19" w:rsidRPr="0019344C" w:rsidRDefault="008B7E19" w:rsidP="008B7E19">
            <w:pPr>
              <w:pStyle w:val="08-Tabelageral"/>
              <w:rPr>
                <w:rFonts w:cs="Arial"/>
                <w:b/>
              </w:rPr>
            </w:pPr>
            <w:r>
              <w:rPr>
                <w:b/>
              </w:rPr>
              <w:t>2</w:t>
            </w:r>
            <w:r>
              <w:rPr>
                <w:b/>
                <w:vertAlign w:val="superscript"/>
              </w:rPr>
              <w:t xml:space="preserve">st </w:t>
            </w:r>
            <w:r>
              <w:rPr>
                <w:b/>
              </w:rPr>
              <w:t>Quarter 2023</w:t>
            </w:r>
          </w:p>
        </w:tc>
        <w:tc>
          <w:tcPr>
            <w:tcW w:w="1418" w:type="dxa"/>
            <w:tcBorders>
              <w:top w:val="single" w:sz="2" w:space="0" w:color="1F4E79" w:themeColor="accent1" w:themeShade="80"/>
              <w:bottom w:val="single" w:sz="2" w:space="0" w:color="1F4E79" w:themeColor="accent1" w:themeShade="80"/>
            </w:tcBorders>
            <w:shd w:val="clear" w:color="auto" w:fill="auto"/>
          </w:tcPr>
          <w:p w14:paraId="2AC88870" w14:textId="77777777" w:rsidR="008B7E19" w:rsidRPr="0019344C" w:rsidRDefault="008B7E19" w:rsidP="008B7E19">
            <w:pPr>
              <w:pStyle w:val="08-Tabelageral"/>
              <w:rPr>
                <w:rFonts w:cs="Arial"/>
                <w:b/>
              </w:rPr>
            </w:pPr>
            <w:r>
              <w:rPr>
                <w:b/>
              </w:rPr>
              <w:t>2</w:t>
            </w:r>
            <w:r>
              <w:rPr>
                <w:b/>
                <w:vertAlign w:val="superscript"/>
              </w:rPr>
              <w:t xml:space="preserve">st </w:t>
            </w:r>
            <w:r>
              <w:rPr>
                <w:b/>
              </w:rPr>
              <w:t>Quarter 2022</w:t>
            </w:r>
          </w:p>
        </w:tc>
      </w:tr>
      <w:tr w:rsidR="008B7E19" w:rsidRPr="006A56B2" w14:paraId="5D7B60DE" w14:textId="77777777" w:rsidTr="008875E7">
        <w:trPr>
          <w:trHeight w:val="238"/>
          <w:jc w:val="center"/>
        </w:trPr>
        <w:tc>
          <w:tcPr>
            <w:tcW w:w="3094" w:type="dxa"/>
            <w:tcBorders>
              <w:top w:val="single" w:sz="2" w:space="0" w:color="1F4E79" w:themeColor="accent1" w:themeShade="80"/>
            </w:tcBorders>
            <w:shd w:val="clear" w:color="auto" w:fill="auto"/>
            <w:vAlign w:val="center"/>
          </w:tcPr>
          <w:p w14:paraId="74A98749" w14:textId="77777777" w:rsidR="008B7E19" w:rsidRPr="00F110A6" w:rsidRDefault="008B7E19" w:rsidP="008B7E19">
            <w:pPr>
              <w:pStyle w:val="08-Tabelageral"/>
              <w:jc w:val="left"/>
              <w:rPr>
                <w:rFonts w:cs="Arial"/>
                <w:b/>
                <w:bCs/>
                <w:szCs w:val="14"/>
                <w:lang w:val="en-US"/>
              </w:rPr>
            </w:pPr>
            <w:r w:rsidRPr="00837F1F">
              <w:rPr>
                <w:rFonts w:cs="Arial"/>
                <w:b/>
                <w:szCs w:val="14"/>
                <w:lang w:val="en-US"/>
              </w:rPr>
              <w:t>On financial income and other</w:t>
            </w:r>
          </w:p>
        </w:tc>
        <w:tc>
          <w:tcPr>
            <w:tcW w:w="604" w:type="dxa"/>
            <w:tcBorders>
              <w:top w:val="single" w:sz="2" w:space="0" w:color="1F4E79" w:themeColor="accent1" w:themeShade="80"/>
            </w:tcBorders>
            <w:shd w:val="clear" w:color="auto" w:fill="auto"/>
            <w:vAlign w:val="center"/>
          </w:tcPr>
          <w:p w14:paraId="26B7E4A5" w14:textId="77777777" w:rsidR="008B7E19" w:rsidRPr="00F110A6" w:rsidRDefault="008B7E19" w:rsidP="008B7E19">
            <w:pPr>
              <w:pStyle w:val="08-Tabelageral"/>
              <w:jc w:val="center"/>
              <w:rPr>
                <w:rFonts w:cs="Arial"/>
                <w:b/>
                <w:szCs w:val="14"/>
                <w:lang w:val="en-US"/>
              </w:rPr>
            </w:pPr>
          </w:p>
        </w:tc>
        <w:tc>
          <w:tcPr>
            <w:tcW w:w="1411" w:type="dxa"/>
            <w:tcBorders>
              <w:top w:val="single" w:sz="2" w:space="0" w:color="1F4E79" w:themeColor="accent1" w:themeShade="80"/>
            </w:tcBorders>
            <w:shd w:val="clear" w:color="auto" w:fill="auto"/>
            <w:vAlign w:val="center"/>
          </w:tcPr>
          <w:p w14:paraId="77CB61C8" w14:textId="77777777" w:rsidR="008B7E19" w:rsidRPr="00F110A6" w:rsidRDefault="008B7E19" w:rsidP="008B7E19">
            <w:pPr>
              <w:pStyle w:val="08-Tabelageral"/>
              <w:rPr>
                <w:rFonts w:cs="Arial"/>
                <w:b/>
                <w:szCs w:val="14"/>
                <w:lang w:val="en-US"/>
              </w:rPr>
            </w:pPr>
          </w:p>
        </w:tc>
        <w:tc>
          <w:tcPr>
            <w:tcW w:w="1412" w:type="dxa"/>
            <w:tcBorders>
              <w:top w:val="single" w:sz="2" w:space="0" w:color="1F4E79" w:themeColor="accent1" w:themeShade="80"/>
            </w:tcBorders>
            <w:shd w:val="clear" w:color="auto" w:fill="auto"/>
            <w:vAlign w:val="center"/>
          </w:tcPr>
          <w:p w14:paraId="50733FAC" w14:textId="77777777" w:rsidR="008B7E19" w:rsidRPr="00F110A6" w:rsidRDefault="008B7E19" w:rsidP="008B7E19">
            <w:pPr>
              <w:pStyle w:val="08-Tabelageral"/>
              <w:rPr>
                <w:rFonts w:cs="Arial"/>
                <w:b/>
                <w:lang w:val="en-US"/>
              </w:rPr>
            </w:pPr>
          </w:p>
        </w:tc>
        <w:tc>
          <w:tcPr>
            <w:tcW w:w="283" w:type="dxa"/>
            <w:tcBorders>
              <w:top w:val="single" w:sz="2" w:space="0" w:color="1F4E79" w:themeColor="accent1" w:themeShade="80"/>
            </w:tcBorders>
            <w:shd w:val="clear" w:color="auto" w:fill="auto"/>
            <w:vAlign w:val="center"/>
          </w:tcPr>
          <w:p w14:paraId="705E99CD" w14:textId="77777777" w:rsidR="008B7E19" w:rsidRPr="00F110A6" w:rsidRDefault="008B7E19" w:rsidP="008B7E19">
            <w:pPr>
              <w:pStyle w:val="08-Tabelageral"/>
              <w:rPr>
                <w:rFonts w:cs="Arial"/>
                <w:b/>
                <w:szCs w:val="14"/>
                <w:lang w:val="en-US"/>
              </w:rPr>
            </w:pPr>
          </w:p>
        </w:tc>
        <w:tc>
          <w:tcPr>
            <w:tcW w:w="1417" w:type="dxa"/>
            <w:tcBorders>
              <w:top w:val="single" w:sz="2" w:space="0" w:color="1F4E79" w:themeColor="accent1" w:themeShade="80"/>
            </w:tcBorders>
            <w:shd w:val="clear" w:color="auto" w:fill="auto"/>
            <w:vAlign w:val="center"/>
          </w:tcPr>
          <w:p w14:paraId="783F3206" w14:textId="77777777" w:rsidR="008B7E19" w:rsidRPr="00F110A6" w:rsidRDefault="008B7E19" w:rsidP="008B7E19">
            <w:pPr>
              <w:pStyle w:val="08-Tabelageral"/>
              <w:rPr>
                <w:rFonts w:cs="Arial"/>
                <w:b/>
                <w:szCs w:val="14"/>
                <w:lang w:val="en-US"/>
              </w:rPr>
            </w:pPr>
          </w:p>
        </w:tc>
        <w:tc>
          <w:tcPr>
            <w:tcW w:w="1418" w:type="dxa"/>
            <w:tcBorders>
              <w:top w:val="single" w:sz="2" w:space="0" w:color="1F4E79" w:themeColor="accent1" w:themeShade="80"/>
            </w:tcBorders>
            <w:shd w:val="clear" w:color="auto" w:fill="auto"/>
            <w:vAlign w:val="center"/>
          </w:tcPr>
          <w:p w14:paraId="2B6F0764" w14:textId="77777777" w:rsidR="008B7E19" w:rsidRPr="00F110A6" w:rsidRDefault="008B7E19" w:rsidP="008B7E19">
            <w:pPr>
              <w:pStyle w:val="08-Tabelageral"/>
              <w:rPr>
                <w:rFonts w:cs="Arial"/>
                <w:b/>
                <w:lang w:val="en-US"/>
              </w:rPr>
            </w:pPr>
          </w:p>
        </w:tc>
      </w:tr>
      <w:tr w:rsidR="008B7E19" w:rsidRPr="0019344C" w14:paraId="6E1E9146" w14:textId="77777777" w:rsidTr="008875E7">
        <w:trPr>
          <w:trHeight w:val="238"/>
          <w:jc w:val="center"/>
        </w:trPr>
        <w:tc>
          <w:tcPr>
            <w:tcW w:w="3094" w:type="dxa"/>
            <w:shd w:val="clear" w:color="auto" w:fill="auto"/>
            <w:vAlign w:val="center"/>
          </w:tcPr>
          <w:p w14:paraId="614000CF" w14:textId="77777777" w:rsidR="008B7E19" w:rsidRPr="0019344C" w:rsidRDefault="008B7E19" w:rsidP="008B7E19">
            <w:pPr>
              <w:pStyle w:val="08-Tabelageral"/>
              <w:ind w:left="113"/>
              <w:jc w:val="left"/>
              <w:rPr>
                <w:rFonts w:cs="Arial"/>
                <w:szCs w:val="14"/>
              </w:rPr>
            </w:pPr>
            <w:r w:rsidRPr="0019344C">
              <w:rPr>
                <w:rFonts w:cs="Arial"/>
                <w:szCs w:val="14"/>
              </w:rPr>
              <w:t>Cofins</w:t>
            </w:r>
          </w:p>
        </w:tc>
        <w:tc>
          <w:tcPr>
            <w:tcW w:w="604" w:type="dxa"/>
            <w:shd w:val="clear" w:color="auto" w:fill="auto"/>
            <w:vAlign w:val="center"/>
          </w:tcPr>
          <w:p w14:paraId="6F6BEF12" w14:textId="77777777" w:rsidR="008B7E19" w:rsidRPr="0019344C" w:rsidRDefault="008B7E19" w:rsidP="008B7E19">
            <w:pPr>
              <w:pStyle w:val="08-Tabelageral"/>
              <w:ind w:left="113"/>
              <w:jc w:val="center"/>
              <w:rPr>
                <w:rFonts w:cs="Arial"/>
                <w:szCs w:val="14"/>
              </w:rPr>
            </w:pPr>
          </w:p>
        </w:tc>
        <w:tc>
          <w:tcPr>
            <w:tcW w:w="1411" w:type="dxa"/>
            <w:tcBorders>
              <w:top w:val="nil"/>
            </w:tcBorders>
            <w:shd w:val="clear" w:color="auto" w:fill="auto"/>
            <w:vAlign w:val="center"/>
          </w:tcPr>
          <w:p w14:paraId="1ABF78A2" w14:textId="77777777" w:rsidR="008B7E19" w:rsidRPr="0019344C" w:rsidRDefault="008B7E19" w:rsidP="008B7E19">
            <w:pPr>
              <w:pStyle w:val="08-Tabelageral"/>
              <w:ind w:left="113"/>
              <w:rPr>
                <w:rFonts w:cs="Arial"/>
                <w:szCs w:val="14"/>
              </w:rPr>
            </w:pPr>
            <w:r>
              <w:rPr>
                <w:rFonts w:cs="Arial"/>
                <w:szCs w:val="14"/>
              </w:rPr>
              <w:t>(459)</w:t>
            </w:r>
          </w:p>
        </w:tc>
        <w:tc>
          <w:tcPr>
            <w:tcW w:w="1412" w:type="dxa"/>
            <w:tcBorders>
              <w:top w:val="nil"/>
            </w:tcBorders>
            <w:shd w:val="clear" w:color="auto" w:fill="auto"/>
            <w:vAlign w:val="center"/>
          </w:tcPr>
          <w:p w14:paraId="3E839254" w14:textId="77777777" w:rsidR="008B7E19" w:rsidRPr="0019344C" w:rsidRDefault="008B7E19" w:rsidP="008B7E19">
            <w:pPr>
              <w:pStyle w:val="08-Tabelageral"/>
              <w:ind w:left="113"/>
              <w:rPr>
                <w:rFonts w:cs="Arial"/>
              </w:rPr>
            </w:pPr>
            <w:r>
              <w:rPr>
                <w:rFonts w:cs="Arial"/>
                <w:szCs w:val="14"/>
              </w:rPr>
              <w:t>(184)</w:t>
            </w:r>
          </w:p>
        </w:tc>
        <w:tc>
          <w:tcPr>
            <w:tcW w:w="283" w:type="dxa"/>
            <w:tcBorders>
              <w:top w:val="nil"/>
            </w:tcBorders>
            <w:shd w:val="clear" w:color="auto" w:fill="auto"/>
            <w:vAlign w:val="center"/>
          </w:tcPr>
          <w:p w14:paraId="58917230" w14:textId="77777777" w:rsidR="008B7E19" w:rsidRPr="0019344C" w:rsidRDefault="008B7E19" w:rsidP="008B7E19">
            <w:pPr>
              <w:pStyle w:val="08-Tabelageral"/>
              <w:ind w:left="113"/>
              <w:rPr>
                <w:rFonts w:cs="Arial"/>
                <w:szCs w:val="14"/>
              </w:rPr>
            </w:pPr>
          </w:p>
        </w:tc>
        <w:tc>
          <w:tcPr>
            <w:tcW w:w="1417" w:type="dxa"/>
            <w:tcBorders>
              <w:top w:val="nil"/>
            </w:tcBorders>
            <w:shd w:val="clear" w:color="auto" w:fill="auto"/>
            <w:vAlign w:val="center"/>
          </w:tcPr>
          <w:p w14:paraId="5ED674D3" w14:textId="77777777" w:rsidR="008B7E19" w:rsidRPr="0019344C" w:rsidRDefault="008B7E19" w:rsidP="008B7E19">
            <w:pPr>
              <w:pStyle w:val="08-Tabelageral"/>
              <w:ind w:left="113"/>
              <w:rPr>
                <w:rFonts w:cs="Arial"/>
                <w:szCs w:val="14"/>
              </w:rPr>
            </w:pPr>
            <w:r>
              <w:rPr>
                <w:rFonts w:cs="Arial"/>
                <w:szCs w:val="14"/>
              </w:rPr>
              <w:t>(6,048)</w:t>
            </w:r>
          </w:p>
        </w:tc>
        <w:tc>
          <w:tcPr>
            <w:tcW w:w="1418" w:type="dxa"/>
            <w:tcBorders>
              <w:top w:val="nil"/>
            </w:tcBorders>
            <w:shd w:val="clear" w:color="auto" w:fill="auto"/>
            <w:vAlign w:val="center"/>
          </w:tcPr>
          <w:p w14:paraId="644CB73D" w14:textId="77777777" w:rsidR="008B7E19" w:rsidRPr="0019344C" w:rsidRDefault="008B7E19" w:rsidP="008B7E19">
            <w:pPr>
              <w:pStyle w:val="08-Tabelageral"/>
              <w:ind w:left="113"/>
              <w:rPr>
                <w:rFonts w:cs="Arial"/>
              </w:rPr>
            </w:pPr>
            <w:r>
              <w:rPr>
                <w:rFonts w:cs="Arial"/>
                <w:szCs w:val="14"/>
              </w:rPr>
              <w:t>(4,715)</w:t>
            </w:r>
          </w:p>
        </w:tc>
      </w:tr>
      <w:tr w:rsidR="008B7E19" w:rsidRPr="0019344C" w14:paraId="4209343B" w14:textId="77777777" w:rsidTr="008875E7">
        <w:trPr>
          <w:trHeight w:val="238"/>
          <w:jc w:val="center"/>
        </w:trPr>
        <w:tc>
          <w:tcPr>
            <w:tcW w:w="3094" w:type="dxa"/>
            <w:shd w:val="clear" w:color="auto" w:fill="auto"/>
            <w:vAlign w:val="center"/>
          </w:tcPr>
          <w:p w14:paraId="25B81CC6" w14:textId="77777777" w:rsidR="008B7E19" w:rsidRPr="0019344C" w:rsidRDefault="008B7E19" w:rsidP="008B7E19">
            <w:pPr>
              <w:pStyle w:val="08-Tabelageral"/>
              <w:ind w:left="113"/>
              <w:jc w:val="left"/>
              <w:rPr>
                <w:rFonts w:cs="Arial"/>
                <w:szCs w:val="14"/>
              </w:rPr>
            </w:pPr>
            <w:r w:rsidRPr="0019344C">
              <w:rPr>
                <w:rFonts w:cs="Arial"/>
                <w:szCs w:val="14"/>
              </w:rPr>
              <w:t>PIS/Pasep</w:t>
            </w:r>
          </w:p>
        </w:tc>
        <w:tc>
          <w:tcPr>
            <w:tcW w:w="604" w:type="dxa"/>
            <w:shd w:val="clear" w:color="auto" w:fill="auto"/>
            <w:vAlign w:val="center"/>
          </w:tcPr>
          <w:p w14:paraId="2334929A" w14:textId="77777777" w:rsidR="008B7E19" w:rsidRPr="0019344C" w:rsidRDefault="008B7E19" w:rsidP="008B7E19">
            <w:pPr>
              <w:pStyle w:val="08-Tabelageral"/>
              <w:ind w:left="113"/>
              <w:jc w:val="center"/>
              <w:rPr>
                <w:rFonts w:cs="Arial"/>
                <w:szCs w:val="14"/>
              </w:rPr>
            </w:pPr>
          </w:p>
        </w:tc>
        <w:tc>
          <w:tcPr>
            <w:tcW w:w="1411" w:type="dxa"/>
            <w:shd w:val="clear" w:color="auto" w:fill="auto"/>
            <w:vAlign w:val="center"/>
          </w:tcPr>
          <w:p w14:paraId="32E8DA0A" w14:textId="77777777" w:rsidR="008B7E19" w:rsidRPr="0019344C" w:rsidRDefault="008B7E19" w:rsidP="008B7E19">
            <w:pPr>
              <w:pStyle w:val="08-Tabelageral"/>
              <w:ind w:left="113"/>
              <w:rPr>
                <w:rFonts w:cs="Arial"/>
                <w:szCs w:val="14"/>
              </w:rPr>
            </w:pPr>
            <w:r>
              <w:rPr>
                <w:rFonts w:cs="Arial"/>
                <w:szCs w:val="14"/>
              </w:rPr>
              <w:t>(75)</w:t>
            </w:r>
          </w:p>
        </w:tc>
        <w:tc>
          <w:tcPr>
            <w:tcW w:w="1412" w:type="dxa"/>
            <w:shd w:val="clear" w:color="auto" w:fill="auto"/>
            <w:vAlign w:val="center"/>
          </w:tcPr>
          <w:p w14:paraId="2A017F09" w14:textId="77777777" w:rsidR="008B7E19" w:rsidRPr="0019344C" w:rsidRDefault="008B7E19" w:rsidP="008B7E19">
            <w:pPr>
              <w:pStyle w:val="08-Tabelageral"/>
              <w:rPr>
                <w:rFonts w:cs="Arial"/>
              </w:rPr>
            </w:pPr>
            <w:r>
              <w:rPr>
                <w:rFonts w:cs="Arial"/>
                <w:szCs w:val="14"/>
              </w:rPr>
              <w:t>(29)</w:t>
            </w:r>
          </w:p>
        </w:tc>
        <w:tc>
          <w:tcPr>
            <w:tcW w:w="283" w:type="dxa"/>
            <w:shd w:val="clear" w:color="auto" w:fill="auto"/>
            <w:vAlign w:val="center"/>
          </w:tcPr>
          <w:p w14:paraId="1673481A" w14:textId="77777777" w:rsidR="008B7E19" w:rsidRPr="0019344C" w:rsidRDefault="008B7E19" w:rsidP="008B7E19">
            <w:pPr>
              <w:pStyle w:val="08-Tabelageral"/>
              <w:ind w:left="113"/>
              <w:rPr>
                <w:rFonts w:cs="Arial"/>
                <w:szCs w:val="14"/>
              </w:rPr>
            </w:pPr>
          </w:p>
        </w:tc>
        <w:tc>
          <w:tcPr>
            <w:tcW w:w="1417" w:type="dxa"/>
            <w:shd w:val="clear" w:color="auto" w:fill="auto"/>
            <w:vAlign w:val="center"/>
          </w:tcPr>
          <w:p w14:paraId="5FA1BA07" w14:textId="77777777" w:rsidR="008B7E19" w:rsidRPr="0019344C" w:rsidRDefault="008B7E19" w:rsidP="008B7E19">
            <w:pPr>
              <w:pStyle w:val="08-Tabelageral"/>
              <w:ind w:left="113"/>
              <w:rPr>
                <w:rFonts w:cs="Arial"/>
                <w:szCs w:val="14"/>
              </w:rPr>
            </w:pPr>
            <w:r>
              <w:rPr>
                <w:rFonts w:cs="Arial"/>
                <w:szCs w:val="14"/>
              </w:rPr>
              <w:t>(982)</w:t>
            </w:r>
          </w:p>
        </w:tc>
        <w:tc>
          <w:tcPr>
            <w:tcW w:w="1418" w:type="dxa"/>
            <w:shd w:val="clear" w:color="auto" w:fill="auto"/>
            <w:vAlign w:val="center"/>
          </w:tcPr>
          <w:p w14:paraId="5A6A7B4E" w14:textId="77777777" w:rsidR="008B7E19" w:rsidRPr="0019344C" w:rsidRDefault="008B7E19" w:rsidP="008B7E19">
            <w:pPr>
              <w:pStyle w:val="08-Tabelageral"/>
              <w:rPr>
                <w:rFonts w:cs="Arial"/>
              </w:rPr>
            </w:pPr>
            <w:r>
              <w:rPr>
                <w:rFonts w:cs="Arial"/>
                <w:szCs w:val="14"/>
              </w:rPr>
              <w:t>(764)</w:t>
            </w:r>
          </w:p>
        </w:tc>
      </w:tr>
      <w:tr w:rsidR="008B7E19" w:rsidRPr="0019344C" w14:paraId="00741FDF" w14:textId="77777777" w:rsidTr="008875E7">
        <w:trPr>
          <w:trHeight w:val="238"/>
          <w:jc w:val="center"/>
        </w:trPr>
        <w:tc>
          <w:tcPr>
            <w:tcW w:w="3094" w:type="dxa"/>
            <w:shd w:val="clear" w:color="auto" w:fill="auto"/>
            <w:vAlign w:val="center"/>
          </w:tcPr>
          <w:p w14:paraId="76258D8D" w14:textId="77777777" w:rsidR="008B7E19" w:rsidRPr="0019344C" w:rsidRDefault="008B7E19" w:rsidP="008B7E19">
            <w:pPr>
              <w:pStyle w:val="08-Tabelageral"/>
              <w:ind w:left="113"/>
              <w:jc w:val="left"/>
              <w:rPr>
                <w:rFonts w:cs="Arial"/>
                <w:szCs w:val="14"/>
              </w:rPr>
            </w:pPr>
            <w:r w:rsidRPr="0019344C">
              <w:rPr>
                <w:rFonts w:cs="Arial"/>
                <w:szCs w:val="14"/>
              </w:rPr>
              <w:t>IOF</w:t>
            </w:r>
          </w:p>
        </w:tc>
        <w:tc>
          <w:tcPr>
            <w:tcW w:w="604" w:type="dxa"/>
            <w:shd w:val="clear" w:color="auto" w:fill="auto"/>
            <w:vAlign w:val="center"/>
          </w:tcPr>
          <w:p w14:paraId="19B45D6D" w14:textId="77777777" w:rsidR="008B7E19" w:rsidRPr="0019344C" w:rsidRDefault="008B7E19" w:rsidP="008B7E19">
            <w:pPr>
              <w:pStyle w:val="08-Tabelageral"/>
              <w:jc w:val="center"/>
              <w:rPr>
                <w:rFonts w:cs="Arial"/>
                <w:szCs w:val="14"/>
              </w:rPr>
            </w:pPr>
          </w:p>
        </w:tc>
        <w:tc>
          <w:tcPr>
            <w:tcW w:w="1411" w:type="dxa"/>
            <w:shd w:val="clear" w:color="auto" w:fill="auto"/>
            <w:vAlign w:val="center"/>
          </w:tcPr>
          <w:p w14:paraId="3770D42C" w14:textId="77777777" w:rsidR="008B7E19" w:rsidRPr="0019344C" w:rsidRDefault="008B7E19" w:rsidP="008B7E19">
            <w:pPr>
              <w:pStyle w:val="08-Tabelageral"/>
              <w:rPr>
                <w:rFonts w:cs="Arial"/>
                <w:szCs w:val="14"/>
              </w:rPr>
            </w:pPr>
            <w:r>
              <w:rPr>
                <w:rFonts w:cs="Arial"/>
                <w:szCs w:val="14"/>
              </w:rPr>
              <w:t>(1)</w:t>
            </w:r>
          </w:p>
        </w:tc>
        <w:tc>
          <w:tcPr>
            <w:tcW w:w="1412" w:type="dxa"/>
            <w:shd w:val="clear" w:color="auto" w:fill="auto"/>
            <w:vAlign w:val="center"/>
          </w:tcPr>
          <w:p w14:paraId="7E8870F3" w14:textId="77777777" w:rsidR="008B7E19" w:rsidRPr="0019344C" w:rsidRDefault="008B7E19" w:rsidP="008B7E19">
            <w:pPr>
              <w:pStyle w:val="08-Tabelageral"/>
              <w:rPr>
                <w:rFonts w:cs="Arial"/>
              </w:rPr>
            </w:pPr>
            <w:r>
              <w:rPr>
                <w:rFonts w:cs="Arial"/>
                <w:szCs w:val="14"/>
              </w:rPr>
              <w:t>(2)</w:t>
            </w:r>
          </w:p>
        </w:tc>
        <w:tc>
          <w:tcPr>
            <w:tcW w:w="283" w:type="dxa"/>
            <w:shd w:val="clear" w:color="auto" w:fill="auto"/>
            <w:vAlign w:val="center"/>
          </w:tcPr>
          <w:p w14:paraId="536219BB" w14:textId="77777777" w:rsidR="008B7E19" w:rsidRPr="0019344C" w:rsidRDefault="008B7E19" w:rsidP="008B7E19">
            <w:pPr>
              <w:pStyle w:val="08-Tabelageral"/>
              <w:rPr>
                <w:rFonts w:cs="Arial"/>
                <w:szCs w:val="14"/>
              </w:rPr>
            </w:pPr>
          </w:p>
        </w:tc>
        <w:tc>
          <w:tcPr>
            <w:tcW w:w="1417" w:type="dxa"/>
            <w:shd w:val="clear" w:color="auto" w:fill="auto"/>
            <w:vAlign w:val="center"/>
          </w:tcPr>
          <w:p w14:paraId="7581F3B8" w14:textId="77777777" w:rsidR="008B7E19" w:rsidRPr="0019344C" w:rsidRDefault="008B7E19" w:rsidP="008B7E19">
            <w:pPr>
              <w:pStyle w:val="08-Tabelageral"/>
              <w:rPr>
                <w:rFonts w:cs="Arial"/>
                <w:szCs w:val="14"/>
              </w:rPr>
            </w:pPr>
            <w:r>
              <w:rPr>
                <w:rFonts w:cs="Arial"/>
                <w:szCs w:val="14"/>
              </w:rPr>
              <w:t>(1)</w:t>
            </w:r>
          </w:p>
        </w:tc>
        <w:tc>
          <w:tcPr>
            <w:tcW w:w="1418" w:type="dxa"/>
            <w:shd w:val="clear" w:color="auto" w:fill="auto"/>
            <w:vAlign w:val="center"/>
          </w:tcPr>
          <w:p w14:paraId="156FE36A" w14:textId="77777777" w:rsidR="008B7E19" w:rsidRPr="0019344C" w:rsidRDefault="008B7E19" w:rsidP="008B7E19">
            <w:pPr>
              <w:pStyle w:val="08-Tabelageral"/>
              <w:rPr>
                <w:rFonts w:cs="Arial"/>
              </w:rPr>
            </w:pPr>
            <w:r>
              <w:rPr>
                <w:rFonts w:cs="Arial"/>
                <w:szCs w:val="14"/>
              </w:rPr>
              <w:t>(2)</w:t>
            </w:r>
          </w:p>
        </w:tc>
      </w:tr>
      <w:tr w:rsidR="008B7E19" w:rsidRPr="0019344C" w14:paraId="2BE32CB7" w14:textId="77777777" w:rsidTr="008875E7">
        <w:trPr>
          <w:trHeight w:val="238"/>
          <w:jc w:val="center"/>
        </w:trPr>
        <w:tc>
          <w:tcPr>
            <w:tcW w:w="3094" w:type="dxa"/>
            <w:tcBorders>
              <w:bottom w:val="nil"/>
            </w:tcBorders>
            <w:shd w:val="clear" w:color="auto" w:fill="auto"/>
            <w:vAlign w:val="center"/>
          </w:tcPr>
          <w:p w14:paraId="01F750A2" w14:textId="77777777" w:rsidR="008B7E19" w:rsidRPr="0019344C" w:rsidRDefault="008B7E19" w:rsidP="008B7E19">
            <w:pPr>
              <w:pStyle w:val="08-Tabelageral"/>
              <w:ind w:left="113"/>
              <w:jc w:val="left"/>
              <w:rPr>
                <w:rFonts w:cs="Arial"/>
                <w:szCs w:val="14"/>
              </w:rPr>
            </w:pPr>
            <w:r>
              <w:rPr>
                <w:rFonts w:cs="Arial"/>
                <w:szCs w:val="14"/>
              </w:rPr>
              <w:t>Other</w:t>
            </w:r>
          </w:p>
        </w:tc>
        <w:tc>
          <w:tcPr>
            <w:tcW w:w="604" w:type="dxa"/>
            <w:tcBorders>
              <w:bottom w:val="nil"/>
            </w:tcBorders>
            <w:shd w:val="clear" w:color="auto" w:fill="auto"/>
            <w:vAlign w:val="center"/>
          </w:tcPr>
          <w:p w14:paraId="07DD072F" w14:textId="77777777" w:rsidR="008B7E19" w:rsidRPr="0019344C" w:rsidRDefault="008B7E19" w:rsidP="008B7E19">
            <w:pPr>
              <w:pStyle w:val="08-Tabelageral"/>
              <w:jc w:val="center"/>
              <w:rPr>
                <w:rFonts w:cs="Arial"/>
                <w:szCs w:val="14"/>
              </w:rPr>
            </w:pPr>
          </w:p>
        </w:tc>
        <w:tc>
          <w:tcPr>
            <w:tcW w:w="1411" w:type="dxa"/>
            <w:tcBorders>
              <w:bottom w:val="nil"/>
            </w:tcBorders>
            <w:shd w:val="clear" w:color="auto" w:fill="auto"/>
            <w:vAlign w:val="center"/>
          </w:tcPr>
          <w:p w14:paraId="45695B1E" w14:textId="77777777" w:rsidR="008B7E19" w:rsidRPr="0019344C" w:rsidRDefault="008B7E19" w:rsidP="008B7E19">
            <w:pPr>
              <w:pStyle w:val="08-Tabelageral"/>
              <w:rPr>
                <w:rFonts w:cs="Arial"/>
                <w:szCs w:val="14"/>
              </w:rPr>
            </w:pPr>
            <w:r>
              <w:rPr>
                <w:rFonts w:cs="Arial"/>
                <w:szCs w:val="14"/>
              </w:rPr>
              <w:t>(90)</w:t>
            </w:r>
          </w:p>
        </w:tc>
        <w:tc>
          <w:tcPr>
            <w:tcW w:w="1412" w:type="dxa"/>
            <w:tcBorders>
              <w:bottom w:val="nil"/>
            </w:tcBorders>
            <w:shd w:val="clear" w:color="auto" w:fill="auto"/>
            <w:vAlign w:val="center"/>
          </w:tcPr>
          <w:p w14:paraId="75D97292" w14:textId="77777777" w:rsidR="008B7E19" w:rsidRPr="0019344C" w:rsidRDefault="008B7E19" w:rsidP="008B7E19">
            <w:pPr>
              <w:pStyle w:val="08-Tabelageral"/>
              <w:rPr>
                <w:rFonts w:cs="Arial"/>
              </w:rPr>
            </w:pPr>
            <w:r>
              <w:rPr>
                <w:rFonts w:cs="Arial"/>
                <w:szCs w:val="14"/>
              </w:rPr>
              <w:t>(86)</w:t>
            </w:r>
          </w:p>
        </w:tc>
        <w:tc>
          <w:tcPr>
            <w:tcW w:w="283" w:type="dxa"/>
            <w:tcBorders>
              <w:bottom w:val="nil"/>
            </w:tcBorders>
            <w:shd w:val="clear" w:color="auto" w:fill="auto"/>
            <w:vAlign w:val="center"/>
          </w:tcPr>
          <w:p w14:paraId="320D489F" w14:textId="77777777" w:rsidR="008B7E19" w:rsidRPr="0019344C" w:rsidRDefault="008B7E19" w:rsidP="008B7E19">
            <w:pPr>
              <w:pStyle w:val="08-Tabelageral"/>
              <w:rPr>
                <w:rFonts w:cs="Arial"/>
                <w:szCs w:val="14"/>
              </w:rPr>
            </w:pPr>
          </w:p>
        </w:tc>
        <w:tc>
          <w:tcPr>
            <w:tcW w:w="1417" w:type="dxa"/>
            <w:tcBorders>
              <w:bottom w:val="nil"/>
            </w:tcBorders>
            <w:shd w:val="clear" w:color="auto" w:fill="auto"/>
            <w:vAlign w:val="center"/>
          </w:tcPr>
          <w:p w14:paraId="42A7BFB9" w14:textId="77777777" w:rsidR="008B7E19" w:rsidRPr="0019344C" w:rsidRDefault="008B7E19" w:rsidP="008B7E19">
            <w:pPr>
              <w:pStyle w:val="08-Tabelageral"/>
              <w:rPr>
                <w:rFonts w:cs="Arial"/>
                <w:szCs w:val="14"/>
              </w:rPr>
            </w:pPr>
            <w:r>
              <w:rPr>
                <w:rFonts w:cs="Arial"/>
                <w:szCs w:val="14"/>
              </w:rPr>
              <w:t>(132)</w:t>
            </w:r>
          </w:p>
        </w:tc>
        <w:tc>
          <w:tcPr>
            <w:tcW w:w="1418" w:type="dxa"/>
            <w:tcBorders>
              <w:bottom w:val="nil"/>
            </w:tcBorders>
            <w:shd w:val="clear" w:color="auto" w:fill="auto"/>
            <w:vAlign w:val="center"/>
          </w:tcPr>
          <w:p w14:paraId="3872EC62" w14:textId="77777777" w:rsidR="008B7E19" w:rsidRPr="0019344C" w:rsidRDefault="008B7E19" w:rsidP="008B7E19">
            <w:pPr>
              <w:pStyle w:val="08-Tabelageral"/>
              <w:rPr>
                <w:rFonts w:cs="Arial"/>
              </w:rPr>
            </w:pPr>
            <w:r>
              <w:rPr>
                <w:rFonts w:cs="Arial"/>
                <w:szCs w:val="14"/>
              </w:rPr>
              <w:t>(89)</w:t>
            </w:r>
          </w:p>
        </w:tc>
      </w:tr>
      <w:tr w:rsidR="008B7E19" w:rsidRPr="0019344C" w14:paraId="435E1DE4" w14:textId="77777777" w:rsidTr="008875E7">
        <w:trPr>
          <w:trHeight w:val="238"/>
          <w:jc w:val="center"/>
        </w:trPr>
        <w:tc>
          <w:tcPr>
            <w:tcW w:w="3094" w:type="dxa"/>
            <w:tcBorders>
              <w:top w:val="nil"/>
              <w:bottom w:val="single" w:sz="2" w:space="0" w:color="1F4E79" w:themeColor="accent1" w:themeShade="80"/>
            </w:tcBorders>
            <w:shd w:val="clear" w:color="auto" w:fill="auto"/>
            <w:vAlign w:val="center"/>
          </w:tcPr>
          <w:p w14:paraId="45373C66" w14:textId="77777777" w:rsidR="008B7E19" w:rsidRPr="0019344C" w:rsidRDefault="008B7E19" w:rsidP="008B7E19">
            <w:pPr>
              <w:pStyle w:val="08-Tabelageral"/>
              <w:jc w:val="left"/>
              <w:rPr>
                <w:rFonts w:cs="Arial"/>
                <w:b/>
                <w:szCs w:val="14"/>
              </w:rPr>
            </w:pPr>
            <w:r w:rsidRPr="0019344C">
              <w:rPr>
                <w:rFonts w:cs="Arial"/>
                <w:b/>
              </w:rPr>
              <w:t>Total</w:t>
            </w:r>
          </w:p>
        </w:tc>
        <w:tc>
          <w:tcPr>
            <w:tcW w:w="604" w:type="dxa"/>
            <w:tcBorders>
              <w:top w:val="nil"/>
              <w:bottom w:val="single" w:sz="2" w:space="0" w:color="1F4E79" w:themeColor="accent1" w:themeShade="80"/>
            </w:tcBorders>
            <w:shd w:val="clear" w:color="auto" w:fill="auto"/>
            <w:vAlign w:val="center"/>
          </w:tcPr>
          <w:p w14:paraId="7314FFAD" w14:textId="77777777" w:rsidR="008B7E19" w:rsidRPr="0019344C" w:rsidRDefault="008B7E19" w:rsidP="008B7E19">
            <w:pPr>
              <w:pStyle w:val="08-Tabelageral"/>
              <w:jc w:val="center"/>
              <w:rPr>
                <w:rFonts w:cs="Arial"/>
                <w:b/>
                <w:szCs w:val="14"/>
              </w:rPr>
            </w:pPr>
          </w:p>
        </w:tc>
        <w:tc>
          <w:tcPr>
            <w:tcW w:w="1411" w:type="dxa"/>
            <w:tcBorders>
              <w:top w:val="nil"/>
              <w:bottom w:val="single" w:sz="2" w:space="0" w:color="1F4E79" w:themeColor="accent1" w:themeShade="80"/>
            </w:tcBorders>
            <w:shd w:val="clear" w:color="auto" w:fill="auto"/>
            <w:vAlign w:val="center"/>
          </w:tcPr>
          <w:p w14:paraId="07A17BE6" w14:textId="77777777" w:rsidR="008B7E19" w:rsidRPr="0019344C" w:rsidRDefault="008B7E19" w:rsidP="008B7E19">
            <w:pPr>
              <w:pStyle w:val="08-Tabelageral"/>
              <w:rPr>
                <w:rFonts w:cs="Arial"/>
                <w:b/>
                <w:szCs w:val="14"/>
              </w:rPr>
            </w:pPr>
            <w:r>
              <w:rPr>
                <w:rFonts w:cs="Arial"/>
                <w:b/>
                <w:szCs w:val="14"/>
              </w:rPr>
              <w:t>(625)</w:t>
            </w:r>
          </w:p>
        </w:tc>
        <w:tc>
          <w:tcPr>
            <w:tcW w:w="1412" w:type="dxa"/>
            <w:tcBorders>
              <w:top w:val="nil"/>
              <w:bottom w:val="single" w:sz="2" w:space="0" w:color="1F4E79" w:themeColor="accent1" w:themeShade="80"/>
            </w:tcBorders>
            <w:shd w:val="clear" w:color="auto" w:fill="auto"/>
            <w:vAlign w:val="center"/>
          </w:tcPr>
          <w:p w14:paraId="591AD755" w14:textId="77777777" w:rsidR="008B7E19" w:rsidRPr="0019344C" w:rsidRDefault="008B7E19" w:rsidP="008B7E19">
            <w:pPr>
              <w:pStyle w:val="08-Tabelageral"/>
              <w:rPr>
                <w:rFonts w:cs="Arial"/>
                <w:b/>
              </w:rPr>
            </w:pPr>
            <w:r>
              <w:rPr>
                <w:rFonts w:cs="Arial"/>
                <w:b/>
                <w:szCs w:val="14"/>
              </w:rPr>
              <w:t>(301)</w:t>
            </w:r>
          </w:p>
        </w:tc>
        <w:tc>
          <w:tcPr>
            <w:tcW w:w="283" w:type="dxa"/>
            <w:tcBorders>
              <w:top w:val="nil"/>
              <w:bottom w:val="single" w:sz="2" w:space="0" w:color="1F4E79" w:themeColor="accent1" w:themeShade="80"/>
            </w:tcBorders>
            <w:shd w:val="clear" w:color="auto" w:fill="auto"/>
            <w:vAlign w:val="center"/>
          </w:tcPr>
          <w:p w14:paraId="75C3BB3B" w14:textId="77777777" w:rsidR="008B7E19" w:rsidRPr="0019344C" w:rsidRDefault="008B7E19" w:rsidP="008B7E19">
            <w:pPr>
              <w:pStyle w:val="08-Tabelageral"/>
              <w:rPr>
                <w:rFonts w:cs="Arial"/>
                <w:b/>
                <w:szCs w:val="14"/>
              </w:rPr>
            </w:pPr>
          </w:p>
        </w:tc>
        <w:tc>
          <w:tcPr>
            <w:tcW w:w="1417" w:type="dxa"/>
            <w:tcBorders>
              <w:top w:val="nil"/>
              <w:bottom w:val="single" w:sz="2" w:space="0" w:color="1F4E79" w:themeColor="accent1" w:themeShade="80"/>
            </w:tcBorders>
            <w:shd w:val="clear" w:color="auto" w:fill="auto"/>
            <w:vAlign w:val="center"/>
          </w:tcPr>
          <w:p w14:paraId="70F2C117" w14:textId="77777777" w:rsidR="008B7E19" w:rsidRPr="0019344C" w:rsidRDefault="008B7E19" w:rsidP="008B7E19">
            <w:pPr>
              <w:pStyle w:val="08-Tabelageral"/>
              <w:rPr>
                <w:rFonts w:cs="Arial"/>
                <w:b/>
                <w:szCs w:val="14"/>
              </w:rPr>
            </w:pPr>
            <w:r>
              <w:rPr>
                <w:rFonts w:cs="Arial"/>
                <w:b/>
                <w:szCs w:val="14"/>
              </w:rPr>
              <w:t>(7,163)</w:t>
            </w:r>
          </w:p>
        </w:tc>
        <w:tc>
          <w:tcPr>
            <w:tcW w:w="1418" w:type="dxa"/>
            <w:tcBorders>
              <w:top w:val="nil"/>
              <w:bottom w:val="single" w:sz="2" w:space="0" w:color="1F4E79" w:themeColor="accent1" w:themeShade="80"/>
            </w:tcBorders>
            <w:shd w:val="clear" w:color="auto" w:fill="auto"/>
            <w:vAlign w:val="center"/>
          </w:tcPr>
          <w:p w14:paraId="2BE67689" w14:textId="77777777" w:rsidR="008B7E19" w:rsidRPr="0019344C" w:rsidRDefault="008B7E19" w:rsidP="008B7E19">
            <w:pPr>
              <w:pStyle w:val="08-Tabelageral"/>
              <w:rPr>
                <w:rFonts w:cs="Arial"/>
                <w:b/>
              </w:rPr>
            </w:pPr>
            <w:r>
              <w:rPr>
                <w:rFonts w:cs="Arial"/>
                <w:b/>
                <w:szCs w:val="14"/>
              </w:rPr>
              <w:t>(5,570)</w:t>
            </w:r>
          </w:p>
        </w:tc>
      </w:tr>
    </w:tbl>
    <w:p w14:paraId="0CAD8F8B" w14:textId="77777777" w:rsidR="008B7E19" w:rsidRDefault="008B7E19" w:rsidP="008B7E19">
      <w:pPr>
        <w:keepNext/>
        <w:keepLines/>
        <w:spacing w:after="0" w:line="240" w:lineRule="auto"/>
        <w:jc w:val="right"/>
        <w:rPr>
          <w:rFonts w:cs="Arial"/>
          <w:b/>
          <w:sz w:val="14"/>
          <w:lang w:eastAsia="pt-BR"/>
        </w:rPr>
      </w:pPr>
    </w:p>
    <w:p w14:paraId="7968878E" w14:textId="77777777" w:rsidR="008B7E19" w:rsidRPr="00FF3D4B" w:rsidRDefault="008B7E19" w:rsidP="008B7E19">
      <w:pPr>
        <w:keepNext/>
        <w:keepLines/>
        <w:spacing w:after="0" w:line="240" w:lineRule="auto"/>
        <w:jc w:val="right"/>
        <w:rPr>
          <w:rFonts w:cs="Arial"/>
          <w:b/>
          <w:sz w:val="14"/>
          <w:lang w:eastAsia="pt-BR"/>
        </w:rPr>
      </w:pPr>
      <w:r w:rsidRPr="00FF3D4B">
        <w:rPr>
          <w:rFonts w:cs="Arial"/>
          <w:b/>
          <w:sz w:val="14"/>
          <w:lang w:eastAsia="pt-BR"/>
        </w:rPr>
        <w:t xml:space="preserve">R$ </w:t>
      </w:r>
      <w:r w:rsidRPr="00044999">
        <w:rPr>
          <w:rFonts w:cs="Arial"/>
          <w:b/>
          <w:sz w:val="14"/>
          <w:lang w:eastAsia="pt-BR"/>
        </w:rPr>
        <w:t>thousand</w:t>
      </w:r>
    </w:p>
    <w:tbl>
      <w:tblPr>
        <w:tblW w:w="9639" w:type="dxa"/>
        <w:jc w:val="center"/>
        <w:tblBorders>
          <w:top w:val="single" w:sz="2" w:space="0" w:color="8EAADB" w:themeColor="accent5" w:themeTint="99"/>
          <w:bottom w:val="single" w:sz="2" w:space="0" w:color="8EAADB" w:themeColor="accent5" w:themeTint="99"/>
        </w:tblBorders>
        <w:tblLook w:val="04A0" w:firstRow="1" w:lastRow="0" w:firstColumn="1" w:lastColumn="0" w:noHBand="0" w:noVBand="1"/>
      </w:tblPr>
      <w:tblGrid>
        <w:gridCol w:w="3094"/>
        <w:gridCol w:w="604"/>
        <w:gridCol w:w="1411"/>
        <w:gridCol w:w="1412"/>
        <w:gridCol w:w="283"/>
        <w:gridCol w:w="1417"/>
        <w:gridCol w:w="1418"/>
      </w:tblGrid>
      <w:tr w:rsidR="008B7E19" w:rsidRPr="0019344C" w14:paraId="0D2E2341" w14:textId="77777777" w:rsidTr="008875E7">
        <w:trPr>
          <w:trHeight w:val="238"/>
          <w:jc w:val="center"/>
        </w:trPr>
        <w:tc>
          <w:tcPr>
            <w:tcW w:w="3094" w:type="dxa"/>
            <w:tcBorders>
              <w:top w:val="single" w:sz="2" w:space="0" w:color="1F4E79" w:themeColor="accent1" w:themeShade="80"/>
              <w:bottom w:val="nil"/>
            </w:tcBorders>
            <w:shd w:val="clear" w:color="auto" w:fill="auto"/>
            <w:vAlign w:val="center"/>
          </w:tcPr>
          <w:p w14:paraId="3A255E67" w14:textId="77777777" w:rsidR="008B7E19" w:rsidRPr="0019344C" w:rsidRDefault="008B7E19" w:rsidP="008B7E19">
            <w:pPr>
              <w:keepNext/>
              <w:keepLines/>
              <w:spacing w:after="0"/>
              <w:jc w:val="center"/>
              <w:rPr>
                <w:rFonts w:cs="Arial"/>
                <w:b/>
                <w:szCs w:val="18"/>
              </w:rPr>
            </w:pPr>
          </w:p>
        </w:tc>
        <w:tc>
          <w:tcPr>
            <w:tcW w:w="604" w:type="dxa"/>
            <w:tcBorders>
              <w:top w:val="single" w:sz="2" w:space="0" w:color="1F4E79" w:themeColor="accent1" w:themeShade="80"/>
              <w:bottom w:val="nil"/>
            </w:tcBorders>
            <w:shd w:val="clear" w:color="auto" w:fill="auto"/>
            <w:vAlign w:val="center"/>
          </w:tcPr>
          <w:p w14:paraId="46A36D29" w14:textId="77777777" w:rsidR="008B7E19" w:rsidRPr="0019344C" w:rsidRDefault="008B7E19" w:rsidP="008B7E19">
            <w:pPr>
              <w:keepNext/>
              <w:keepLines/>
              <w:spacing w:after="0"/>
              <w:jc w:val="center"/>
              <w:rPr>
                <w:rFonts w:cs="Arial"/>
                <w:b/>
                <w:szCs w:val="18"/>
              </w:rPr>
            </w:pPr>
          </w:p>
        </w:tc>
        <w:tc>
          <w:tcPr>
            <w:tcW w:w="2823" w:type="dxa"/>
            <w:gridSpan w:val="2"/>
            <w:tcBorders>
              <w:top w:val="single" w:sz="2" w:space="0" w:color="1F4E79" w:themeColor="accent1" w:themeShade="80"/>
              <w:bottom w:val="single" w:sz="2" w:space="0" w:color="1F4E79" w:themeColor="accent1" w:themeShade="80"/>
            </w:tcBorders>
            <w:shd w:val="clear" w:color="auto" w:fill="auto"/>
            <w:vAlign w:val="center"/>
          </w:tcPr>
          <w:p w14:paraId="069F8C46" w14:textId="77777777" w:rsidR="008B7E19" w:rsidRPr="0019344C" w:rsidRDefault="008B7E19" w:rsidP="008B7E19">
            <w:pPr>
              <w:keepNext/>
              <w:keepLines/>
              <w:spacing w:after="0"/>
              <w:jc w:val="center"/>
              <w:rPr>
                <w:rFonts w:cs="Arial"/>
                <w:b/>
                <w:sz w:val="14"/>
                <w:szCs w:val="18"/>
              </w:rPr>
            </w:pPr>
            <w:r w:rsidRPr="00EC4649">
              <w:rPr>
                <w:rFonts w:cs="Arial"/>
                <w:b/>
                <w:sz w:val="14"/>
                <w:szCs w:val="18"/>
              </w:rPr>
              <w:t>Parent</w:t>
            </w:r>
          </w:p>
        </w:tc>
        <w:tc>
          <w:tcPr>
            <w:tcW w:w="283" w:type="dxa"/>
            <w:tcBorders>
              <w:top w:val="single" w:sz="2" w:space="0" w:color="1F4E79" w:themeColor="accent1" w:themeShade="80"/>
              <w:bottom w:val="nil"/>
            </w:tcBorders>
            <w:shd w:val="clear" w:color="auto" w:fill="auto"/>
            <w:vAlign w:val="center"/>
          </w:tcPr>
          <w:p w14:paraId="31D50CC2" w14:textId="77777777" w:rsidR="008B7E19" w:rsidRPr="0019344C" w:rsidRDefault="008B7E19" w:rsidP="008B7E19">
            <w:pPr>
              <w:keepNext/>
              <w:keepLines/>
              <w:spacing w:after="0"/>
              <w:jc w:val="center"/>
              <w:rPr>
                <w:rFonts w:cs="Arial"/>
                <w:b/>
                <w:szCs w:val="18"/>
              </w:rPr>
            </w:pPr>
          </w:p>
        </w:tc>
        <w:tc>
          <w:tcPr>
            <w:tcW w:w="2835" w:type="dxa"/>
            <w:gridSpan w:val="2"/>
            <w:tcBorders>
              <w:top w:val="single" w:sz="2" w:space="0" w:color="1F4E79" w:themeColor="accent1" w:themeShade="80"/>
              <w:bottom w:val="single" w:sz="2" w:space="0" w:color="1F4E79" w:themeColor="accent1" w:themeShade="80"/>
            </w:tcBorders>
            <w:shd w:val="clear" w:color="auto" w:fill="auto"/>
            <w:vAlign w:val="center"/>
          </w:tcPr>
          <w:p w14:paraId="55573236" w14:textId="77777777" w:rsidR="008B7E19" w:rsidRPr="0019344C" w:rsidRDefault="008B7E19" w:rsidP="008B7E19">
            <w:pPr>
              <w:keepNext/>
              <w:keepLines/>
              <w:spacing w:after="0"/>
              <w:jc w:val="center"/>
              <w:rPr>
                <w:rFonts w:cs="Arial"/>
                <w:b/>
                <w:szCs w:val="18"/>
              </w:rPr>
            </w:pPr>
            <w:r w:rsidRPr="00EC4649">
              <w:rPr>
                <w:rFonts w:cs="Arial"/>
                <w:b/>
                <w:sz w:val="14"/>
                <w:szCs w:val="18"/>
              </w:rPr>
              <w:t>Consolidated</w:t>
            </w:r>
          </w:p>
        </w:tc>
      </w:tr>
      <w:tr w:rsidR="008B7E19" w:rsidRPr="0019344C" w14:paraId="3B9F1BFB" w14:textId="77777777" w:rsidTr="008875E7">
        <w:trPr>
          <w:trHeight w:val="238"/>
          <w:jc w:val="center"/>
        </w:trPr>
        <w:tc>
          <w:tcPr>
            <w:tcW w:w="3094" w:type="dxa"/>
            <w:tcBorders>
              <w:top w:val="nil"/>
              <w:bottom w:val="single" w:sz="2" w:space="0" w:color="1F4E79" w:themeColor="accent1" w:themeShade="80"/>
            </w:tcBorders>
            <w:shd w:val="clear" w:color="auto" w:fill="auto"/>
            <w:vAlign w:val="center"/>
          </w:tcPr>
          <w:p w14:paraId="3E0B1BBA" w14:textId="77777777" w:rsidR="008B7E19" w:rsidRPr="0019344C" w:rsidRDefault="008B7E19" w:rsidP="008B7E19">
            <w:pPr>
              <w:pStyle w:val="08-Tabelageral"/>
              <w:jc w:val="center"/>
              <w:rPr>
                <w:rFonts w:cs="Arial"/>
                <w:b/>
              </w:rPr>
            </w:pPr>
          </w:p>
        </w:tc>
        <w:tc>
          <w:tcPr>
            <w:tcW w:w="604" w:type="dxa"/>
            <w:tcBorders>
              <w:top w:val="nil"/>
              <w:bottom w:val="single" w:sz="2" w:space="0" w:color="1F4E79" w:themeColor="accent1" w:themeShade="80"/>
            </w:tcBorders>
            <w:shd w:val="clear" w:color="auto" w:fill="auto"/>
            <w:vAlign w:val="center"/>
          </w:tcPr>
          <w:p w14:paraId="4B33815E" w14:textId="77777777" w:rsidR="008B7E19" w:rsidRPr="0019344C" w:rsidRDefault="008B7E19" w:rsidP="008B7E19">
            <w:pPr>
              <w:pStyle w:val="08-Tabelageral"/>
              <w:jc w:val="center"/>
              <w:rPr>
                <w:rFonts w:cs="Arial"/>
                <w:b/>
              </w:rPr>
            </w:pPr>
          </w:p>
        </w:tc>
        <w:tc>
          <w:tcPr>
            <w:tcW w:w="1411" w:type="dxa"/>
            <w:tcBorders>
              <w:top w:val="single" w:sz="2" w:space="0" w:color="1F4E79" w:themeColor="accent1" w:themeShade="80"/>
              <w:bottom w:val="single" w:sz="2" w:space="0" w:color="1F4E79" w:themeColor="accent1" w:themeShade="80"/>
            </w:tcBorders>
            <w:shd w:val="clear" w:color="auto" w:fill="auto"/>
          </w:tcPr>
          <w:p w14:paraId="11F6C1FA" w14:textId="77777777" w:rsidR="008B7E19" w:rsidRPr="0019344C" w:rsidRDefault="008B7E19" w:rsidP="008B7E19">
            <w:pPr>
              <w:pStyle w:val="08-Tabelageral"/>
              <w:rPr>
                <w:rFonts w:cs="Arial"/>
                <w:b/>
              </w:rPr>
            </w:pPr>
            <w:r>
              <w:rPr>
                <w:b/>
              </w:rPr>
              <w:t>1</w:t>
            </w:r>
            <w:r>
              <w:rPr>
                <w:b/>
                <w:vertAlign w:val="superscript"/>
              </w:rPr>
              <w:t xml:space="preserve">st </w:t>
            </w:r>
            <w:r>
              <w:rPr>
                <w:b/>
              </w:rPr>
              <w:t>Half 2023</w:t>
            </w:r>
          </w:p>
        </w:tc>
        <w:tc>
          <w:tcPr>
            <w:tcW w:w="1412" w:type="dxa"/>
            <w:tcBorders>
              <w:top w:val="single" w:sz="2" w:space="0" w:color="1F4E79" w:themeColor="accent1" w:themeShade="80"/>
              <w:bottom w:val="single" w:sz="2" w:space="0" w:color="1F4E79" w:themeColor="accent1" w:themeShade="80"/>
            </w:tcBorders>
            <w:shd w:val="clear" w:color="auto" w:fill="auto"/>
          </w:tcPr>
          <w:p w14:paraId="427C4A98" w14:textId="77777777" w:rsidR="008B7E19" w:rsidRPr="0019344C" w:rsidRDefault="008B7E19" w:rsidP="008B7E19">
            <w:pPr>
              <w:pStyle w:val="08-Tabelageral"/>
              <w:rPr>
                <w:rFonts w:cs="Arial"/>
                <w:b/>
              </w:rPr>
            </w:pPr>
            <w:r>
              <w:rPr>
                <w:b/>
              </w:rPr>
              <w:t>1</w:t>
            </w:r>
            <w:r>
              <w:rPr>
                <w:b/>
                <w:vertAlign w:val="superscript"/>
              </w:rPr>
              <w:t xml:space="preserve">st </w:t>
            </w:r>
            <w:r>
              <w:rPr>
                <w:b/>
              </w:rPr>
              <w:t>Half 2022</w:t>
            </w:r>
          </w:p>
        </w:tc>
        <w:tc>
          <w:tcPr>
            <w:tcW w:w="283" w:type="dxa"/>
            <w:tcBorders>
              <w:top w:val="nil"/>
              <w:bottom w:val="single" w:sz="2" w:space="0" w:color="1F4E79" w:themeColor="accent1" w:themeShade="80"/>
            </w:tcBorders>
            <w:shd w:val="clear" w:color="auto" w:fill="auto"/>
          </w:tcPr>
          <w:p w14:paraId="35467A98" w14:textId="77777777" w:rsidR="008B7E19" w:rsidRPr="0019344C" w:rsidRDefault="008B7E19" w:rsidP="008B7E19">
            <w:pPr>
              <w:pStyle w:val="08-Tabelageral"/>
              <w:rPr>
                <w:rFonts w:cs="Arial"/>
                <w:b/>
              </w:rPr>
            </w:pPr>
          </w:p>
        </w:tc>
        <w:tc>
          <w:tcPr>
            <w:tcW w:w="1417" w:type="dxa"/>
            <w:tcBorders>
              <w:top w:val="single" w:sz="2" w:space="0" w:color="1F4E79" w:themeColor="accent1" w:themeShade="80"/>
              <w:bottom w:val="single" w:sz="2" w:space="0" w:color="1F4E79" w:themeColor="accent1" w:themeShade="80"/>
            </w:tcBorders>
            <w:shd w:val="clear" w:color="auto" w:fill="auto"/>
          </w:tcPr>
          <w:p w14:paraId="6BD9D6BC" w14:textId="77777777" w:rsidR="008B7E19" w:rsidRPr="0019344C" w:rsidRDefault="008B7E19" w:rsidP="008B7E19">
            <w:pPr>
              <w:pStyle w:val="08-Tabelageral"/>
              <w:rPr>
                <w:rFonts w:cs="Arial"/>
                <w:b/>
              </w:rPr>
            </w:pPr>
            <w:r>
              <w:rPr>
                <w:b/>
              </w:rPr>
              <w:t>1</w:t>
            </w:r>
            <w:r>
              <w:rPr>
                <w:b/>
                <w:vertAlign w:val="superscript"/>
              </w:rPr>
              <w:t xml:space="preserve">st </w:t>
            </w:r>
            <w:r>
              <w:rPr>
                <w:b/>
              </w:rPr>
              <w:t>Half 2023</w:t>
            </w:r>
          </w:p>
        </w:tc>
        <w:tc>
          <w:tcPr>
            <w:tcW w:w="1418" w:type="dxa"/>
            <w:tcBorders>
              <w:top w:val="single" w:sz="2" w:space="0" w:color="1F4E79" w:themeColor="accent1" w:themeShade="80"/>
              <w:bottom w:val="single" w:sz="2" w:space="0" w:color="1F4E79" w:themeColor="accent1" w:themeShade="80"/>
            </w:tcBorders>
            <w:shd w:val="clear" w:color="auto" w:fill="auto"/>
          </w:tcPr>
          <w:p w14:paraId="1F0FC902" w14:textId="77777777" w:rsidR="008B7E19" w:rsidRPr="0019344C" w:rsidRDefault="008B7E19" w:rsidP="008B7E19">
            <w:pPr>
              <w:pStyle w:val="08-Tabelageral"/>
              <w:rPr>
                <w:rFonts w:cs="Arial"/>
                <w:b/>
              </w:rPr>
            </w:pPr>
            <w:r>
              <w:rPr>
                <w:b/>
              </w:rPr>
              <w:t>1</w:t>
            </w:r>
            <w:r>
              <w:rPr>
                <w:b/>
                <w:vertAlign w:val="superscript"/>
              </w:rPr>
              <w:t xml:space="preserve">st </w:t>
            </w:r>
            <w:r>
              <w:rPr>
                <w:b/>
              </w:rPr>
              <w:t>Half 2022</w:t>
            </w:r>
          </w:p>
        </w:tc>
      </w:tr>
      <w:tr w:rsidR="008B7E19" w:rsidRPr="006A56B2" w14:paraId="22D5CCAB" w14:textId="77777777" w:rsidTr="008875E7">
        <w:trPr>
          <w:trHeight w:val="238"/>
          <w:jc w:val="center"/>
        </w:trPr>
        <w:tc>
          <w:tcPr>
            <w:tcW w:w="3094" w:type="dxa"/>
            <w:tcBorders>
              <w:top w:val="single" w:sz="2" w:space="0" w:color="1F4E79" w:themeColor="accent1" w:themeShade="80"/>
            </w:tcBorders>
            <w:shd w:val="clear" w:color="auto" w:fill="auto"/>
            <w:vAlign w:val="center"/>
          </w:tcPr>
          <w:p w14:paraId="6201463F" w14:textId="77777777" w:rsidR="008B7E19" w:rsidRPr="004953F3" w:rsidRDefault="008B7E19" w:rsidP="008B7E19">
            <w:pPr>
              <w:pStyle w:val="08-Tabelageral"/>
              <w:jc w:val="left"/>
              <w:rPr>
                <w:rFonts w:cs="Arial"/>
                <w:b/>
                <w:bCs/>
                <w:szCs w:val="14"/>
                <w:lang w:val="en-US"/>
              </w:rPr>
            </w:pPr>
            <w:r w:rsidRPr="00837F1F">
              <w:rPr>
                <w:rFonts w:cs="Arial"/>
                <w:b/>
                <w:szCs w:val="14"/>
                <w:lang w:val="en-US"/>
              </w:rPr>
              <w:t>On financial income and other</w:t>
            </w:r>
          </w:p>
        </w:tc>
        <w:tc>
          <w:tcPr>
            <w:tcW w:w="604" w:type="dxa"/>
            <w:tcBorders>
              <w:top w:val="single" w:sz="2" w:space="0" w:color="1F4E79" w:themeColor="accent1" w:themeShade="80"/>
            </w:tcBorders>
            <w:shd w:val="clear" w:color="auto" w:fill="auto"/>
            <w:vAlign w:val="center"/>
          </w:tcPr>
          <w:p w14:paraId="65F0C576" w14:textId="77777777" w:rsidR="008B7E19" w:rsidRPr="004953F3" w:rsidRDefault="008B7E19" w:rsidP="008B7E19">
            <w:pPr>
              <w:pStyle w:val="08-Tabelageral"/>
              <w:jc w:val="center"/>
              <w:rPr>
                <w:rFonts w:cs="Arial"/>
                <w:b/>
                <w:szCs w:val="14"/>
                <w:lang w:val="en-US"/>
              </w:rPr>
            </w:pPr>
          </w:p>
        </w:tc>
        <w:tc>
          <w:tcPr>
            <w:tcW w:w="1411" w:type="dxa"/>
            <w:tcBorders>
              <w:top w:val="single" w:sz="2" w:space="0" w:color="1F4E79" w:themeColor="accent1" w:themeShade="80"/>
            </w:tcBorders>
            <w:shd w:val="clear" w:color="auto" w:fill="auto"/>
            <w:vAlign w:val="center"/>
          </w:tcPr>
          <w:p w14:paraId="60D43341" w14:textId="77777777" w:rsidR="008B7E19" w:rsidRPr="004953F3" w:rsidRDefault="008B7E19" w:rsidP="008B7E19">
            <w:pPr>
              <w:pStyle w:val="08-Tabelageral"/>
              <w:rPr>
                <w:rFonts w:cs="Arial"/>
                <w:b/>
                <w:szCs w:val="14"/>
                <w:lang w:val="en-US"/>
              </w:rPr>
            </w:pPr>
          </w:p>
        </w:tc>
        <w:tc>
          <w:tcPr>
            <w:tcW w:w="1412" w:type="dxa"/>
            <w:tcBorders>
              <w:top w:val="single" w:sz="2" w:space="0" w:color="1F4E79" w:themeColor="accent1" w:themeShade="80"/>
            </w:tcBorders>
            <w:shd w:val="clear" w:color="auto" w:fill="auto"/>
            <w:vAlign w:val="center"/>
          </w:tcPr>
          <w:p w14:paraId="47BF3A53" w14:textId="77777777" w:rsidR="008B7E19" w:rsidRPr="004953F3" w:rsidRDefault="008B7E19" w:rsidP="008B7E19">
            <w:pPr>
              <w:pStyle w:val="08-Tabelageral"/>
              <w:rPr>
                <w:rFonts w:cs="Arial"/>
                <w:b/>
                <w:lang w:val="en-US"/>
              </w:rPr>
            </w:pPr>
          </w:p>
        </w:tc>
        <w:tc>
          <w:tcPr>
            <w:tcW w:w="283" w:type="dxa"/>
            <w:tcBorders>
              <w:top w:val="single" w:sz="2" w:space="0" w:color="1F4E79" w:themeColor="accent1" w:themeShade="80"/>
            </w:tcBorders>
            <w:shd w:val="clear" w:color="auto" w:fill="auto"/>
            <w:vAlign w:val="center"/>
          </w:tcPr>
          <w:p w14:paraId="0E2D69B5" w14:textId="77777777" w:rsidR="008B7E19" w:rsidRPr="004953F3" w:rsidRDefault="008B7E19" w:rsidP="008B7E19">
            <w:pPr>
              <w:pStyle w:val="08-Tabelageral"/>
              <w:rPr>
                <w:rFonts w:cs="Arial"/>
                <w:b/>
                <w:szCs w:val="14"/>
                <w:lang w:val="en-US"/>
              </w:rPr>
            </w:pPr>
          </w:p>
        </w:tc>
        <w:tc>
          <w:tcPr>
            <w:tcW w:w="1417" w:type="dxa"/>
            <w:tcBorders>
              <w:top w:val="single" w:sz="2" w:space="0" w:color="1F4E79" w:themeColor="accent1" w:themeShade="80"/>
            </w:tcBorders>
            <w:shd w:val="clear" w:color="auto" w:fill="auto"/>
            <w:vAlign w:val="center"/>
          </w:tcPr>
          <w:p w14:paraId="7F3CF946" w14:textId="77777777" w:rsidR="008B7E19" w:rsidRPr="004953F3" w:rsidRDefault="008B7E19" w:rsidP="008B7E19">
            <w:pPr>
              <w:pStyle w:val="08-Tabelageral"/>
              <w:rPr>
                <w:rFonts w:cs="Arial"/>
                <w:b/>
                <w:szCs w:val="14"/>
                <w:lang w:val="en-US"/>
              </w:rPr>
            </w:pPr>
          </w:p>
        </w:tc>
        <w:tc>
          <w:tcPr>
            <w:tcW w:w="1418" w:type="dxa"/>
            <w:tcBorders>
              <w:top w:val="single" w:sz="2" w:space="0" w:color="1F4E79" w:themeColor="accent1" w:themeShade="80"/>
            </w:tcBorders>
            <w:shd w:val="clear" w:color="auto" w:fill="auto"/>
            <w:vAlign w:val="center"/>
          </w:tcPr>
          <w:p w14:paraId="6133FF4B" w14:textId="77777777" w:rsidR="008B7E19" w:rsidRPr="004953F3" w:rsidRDefault="008B7E19" w:rsidP="008B7E19">
            <w:pPr>
              <w:pStyle w:val="08-Tabelageral"/>
              <w:rPr>
                <w:rFonts w:cs="Arial"/>
                <w:b/>
                <w:lang w:val="en-US"/>
              </w:rPr>
            </w:pPr>
          </w:p>
        </w:tc>
      </w:tr>
      <w:tr w:rsidR="008B7E19" w:rsidRPr="0019344C" w14:paraId="69823D07" w14:textId="77777777" w:rsidTr="008875E7">
        <w:trPr>
          <w:trHeight w:val="238"/>
          <w:jc w:val="center"/>
        </w:trPr>
        <w:tc>
          <w:tcPr>
            <w:tcW w:w="3094" w:type="dxa"/>
            <w:shd w:val="clear" w:color="auto" w:fill="auto"/>
            <w:vAlign w:val="center"/>
          </w:tcPr>
          <w:p w14:paraId="7F198F96" w14:textId="77777777" w:rsidR="008B7E19" w:rsidRPr="0019344C" w:rsidRDefault="008B7E19" w:rsidP="008B7E19">
            <w:pPr>
              <w:pStyle w:val="08-Tabelageral"/>
              <w:ind w:left="113"/>
              <w:jc w:val="left"/>
              <w:rPr>
                <w:rFonts w:cs="Arial"/>
                <w:szCs w:val="14"/>
              </w:rPr>
            </w:pPr>
            <w:r w:rsidRPr="0019344C">
              <w:rPr>
                <w:rFonts w:cs="Arial"/>
                <w:szCs w:val="14"/>
              </w:rPr>
              <w:t>Cofins</w:t>
            </w:r>
          </w:p>
        </w:tc>
        <w:tc>
          <w:tcPr>
            <w:tcW w:w="604" w:type="dxa"/>
            <w:shd w:val="clear" w:color="auto" w:fill="auto"/>
            <w:vAlign w:val="center"/>
          </w:tcPr>
          <w:p w14:paraId="12A67B09" w14:textId="77777777" w:rsidR="008B7E19" w:rsidRPr="0019344C" w:rsidRDefault="008B7E19" w:rsidP="008B7E19">
            <w:pPr>
              <w:pStyle w:val="08-Tabelageral"/>
              <w:ind w:left="113"/>
              <w:jc w:val="center"/>
              <w:rPr>
                <w:rFonts w:cs="Arial"/>
                <w:szCs w:val="14"/>
              </w:rPr>
            </w:pPr>
          </w:p>
        </w:tc>
        <w:tc>
          <w:tcPr>
            <w:tcW w:w="1411" w:type="dxa"/>
            <w:tcBorders>
              <w:top w:val="nil"/>
            </w:tcBorders>
            <w:shd w:val="clear" w:color="auto" w:fill="auto"/>
            <w:vAlign w:val="center"/>
          </w:tcPr>
          <w:p w14:paraId="17CAC065" w14:textId="77777777" w:rsidR="008B7E19" w:rsidRPr="0019344C" w:rsidRDefault="008B7E19" w:rsidP="008B7E19">
            <w:pPr>
              <w:pStyle w:val="08-Tabelageral"/>
              <w:ind w:left="113"/>
              <w:rPr>
                <w:rFonts w:cs="Arial"/>
                <w:szCs w:val="14"/>
              </w:rPr>
            </w:pPr>
            <w:r>
              <w:rPr>
                <w:rFonts w:cs="Arial"/>
                <w:szCs w:val="14"/>
              </w:rPr>
              <w:t>(3,945)</w:t>
            </w:r>
          </w:p>
        </w:tc>
        <w:tc>
          <w:tcPr>
            <w:tcW w:w="1412" w:type="dxa"/>
            <w:tcBorders>
              <w:top w:val="nil"/>
            </w:tcBorders>
            <w:shd w:val="clear" w:color="auto" w:fill="auto"/>
            <w:vAlign w:val="center"/>
          </w:tcPr>
          <w:p w14:paraId="5843980A" w14:textId="77777777" w:rsidR="008B7E19" w:rsidRPr="0019344C" w:rsidRDefault="008B7E19" w:rsidP="008B7E19">
            <w:pPr>
              <w:pStyle w:val="08-Tabelageral"/>
              <w:ind w:left="113"/>
              <w:rPr>
                <w:rFonts w:cs="Arial"/>
              </w:rPr>
            </w:pPr>
            <w:r>
              <w:rPr>
                <w:rFonts w:cs="Arial"/>
                <w:szCs w:val="14"/>
              </w:rPr>
              <w:t>(1,572)</w:t>
            </w:r>
          </w:p>
        </w:tc>
        <w:tc>
          <w:tcPr>
            <w:tcW w:w="283" w:type="dxa"/>
            <w:tcBorders>
              <w:top w:val="nil"/>
            </w:tcBorders>
            <w:shd w:val="clear" w:color="auto" w:fill="auto"/>
            <w:vAlign w:val="center"/>
          </w:tcPr>
          <w:p w14:paraId="342C9E10" w14:textId="77777777" w:rsidR="008B7E19" w:rsidRPr="0019344C" w:rsidRDefault="008B7E19" w:rsidP="008B7E19">
            <w:pPr>
              <w:pStyle w:val="08-Tabelageral"/>
              <w:ind w:left="113"/>
              <w:rPr>
                <w:rFonts w:cs="Arial"/>
                <w:szCs w:val="14"/>
              </w:rPr>
            </w:pPr>
          </w:p>
        </w:tc>
        <w:tc>
          <w:tcPr>
            <w:tcW w:w="1417" w:type="dxa"/>
            <w:tcBorders>
              <w:top w:val="nil"/>
            </w:tcBorders>
            <w:shd w:val="clear" w:color="auto" w:fill="auto"/>
            <w:vAlign w:val="center"/>
          </w:tcPr>
          <w:p w14:paraId="2EB88AE7" w14:textId="77777777" w:rsidR="008B7E19" w:rsidRPr="0019344C" w:rsidRDefault="008B7E19" w:rsidP="008B7E19">
            <w:pPr>
              <w:pStyle w:val="08-Tabelageral"/>
              <w:ind w:left="113"/>
              <w:rPr>
                <w:rFonts w:cs="Arial"/>
                <w:szCs w:val="14"/>
              </w:rPr>
            </w:pPr>
            <w:r>
              <w:rPr>
                <w:rFonts w:cs="Arial"/>
                <w:szCs w:val="14"/>
              </w:rPr>
              <w:t>(16,380)</w:t>
            </w:r>
          </w:p>
        </w:tc>
        <w:tc>
          <w:tcPr>
            <w:tcW w:w="1418" w:type="dxa"/>
            <w:tcBorders>
              <w:top w:val="nil"/>
            </w:tcBorders>
            <w:shd w:val="clear" w:color="auto" w:fill="auto"/>
            <w:vAlign w:val="center"/>
          </w:tcPr>
          <w:p w14:paraId="78B59782" w14:textId="77777777" w:rsidR="008B7E19" w:rsidRPr="0019344C" w:rsidRDefault="008B7E19" w:rsidP="008B7E19">
            <w:pPr>
              <w:pStyle w:val="08-Tabelageral"/>
              <w:ind w:left="113"/>
              <w:rPr>
                <w:rFonts w:cs="Arial"/>
              </w:rPr>
            </w:pPr>
            <w:r>
              <w:rPr>
                <w:rFonts w:cs="Arial"/>
                <w:szCs w:val="14"/>
              </w:rPr>
              <w:t>(9,204)</w:t>
            </w:r>
          </w:p>
        </w:tc>
      </w:tr>
      <w:tr w:rsidR="008B7E19" w:rsidRPr="0019344C" w14:paraId="51ADD063" w14:textId="77777777" w:rsidTr="008875E7">
        <w:trPr>
          <w:trHeight w:val="238"/>
          <w:jc w:val="center"/>
        </w:trPr>
        <w:tc>
          <w:tcPr>
            <w:tcW w:w="3094" w:type="dxa"/>
            <w:shd w:val="clear" w:color="auto" w:fill="auto"/>
            <w:vAlign w:val="center"/>
          </w:tcPr>
          <w:p w14:paraId="446C1779" w14:textId="77777777" w:rsidR="008B7E19" w:rsidRPr="0019344C" w:rsidRDefault="008B7E19" w:rsidP="008B7E19">
            <w:pPr>
              <w:pStyle w:val="08-Tabelageral"/>
              <w:ind w:left="113"/>
              <w:jc w:val="left"/>
              <w:rPr>
                <w:rFonts w:cs="Arial"/>
                <w:szCs w:val="14"/>
              </w:rPr>
            </w:pPr>
            <w:r w:rsidRPr="0019344C">
              <w:rPr>
                <w:rFonts w:cs="Arial"/>
                <w:szCs w:val="14"/>
              </w:rPr>
              <w:t>PIS/Pasep</w:t>
            </w:r>
          </w:p>
        </w:tc>
        <w:tc>
          <w:tcPr>
            <w:tcW w:w="604" w:type="dxa"/>
            <w:shd w:val="clear" w:color="auto" w:fill="auto"/>
            <w:vAlign w:val="center"/>
          </w:tcPr>
          <w:p w14:paraId="01CD664F" w14:textId="77777777" w:rsidR="008B7E19" w:rsidRPr="0019344C" w:rsidRDefault="008B7E19" w:rsidP="008B7E19">
            <w:pPr>
              <w:pStyle w:val="08-Tabelageral"/>
              <w:ind w:left="113"/>
              <w:jc w:val="center"/>
              <w:rPr>
                <w:rFonts w:cs="Arial"/>
                <w:szCs w:val="14"/>
              </w:rPr>
            </w:pPr>
          </w:p>
        </w:tc>
        <w:tc>
          <w:tcPr>
            <w:tcW w:w="1411" w:type="dxa"/>
            <w:shd w:val="clear" w:color="auto" w:fill="auto"/>
            <w:vAlign w:val="center"/>
          </w:tcPr>
          <w:p w14:paraId="3FDAA703" w14:textId="77777777" w:rsidR="008B7E19" w:rsidRPr="0019344C" w:rsidRDefault="008B7E19" w:rsidP="008B7E19">
            <w:pPr>
              <w:pStyle w:val="08-Tabelageral"/>
              <w:ind w:left="113"/>
              <w:rPr>
                <w:rFonts w:cs="Arial"/>
                <w:szCs w:val="14"/>
              </w:rPr>
            </w:pPr>
            <w:r>
              <w:rPr>
                <w:rFonts w:cs="Arial"/>
                <w:szCs w:val="14"/>
              </w:rPr>
              <w:t>(653)</w:t>
            </w:r>
          </w:p>
        </w:tc>
        <w:tc>
          <w:tcPr>
            <w:tcW w:w="1412" w:type="dxa"/>
            <w:shd w:val="clear" w:color="auto" w:fill="auto"/>
            <w:vAlign w:val="center"/>
          </w:tcPr>
          <w:p w14:paraId="4245EE6A" w14:textId="77777777" w:rsidR="008B7E19" w:rsidRPr="0019344C" w:rsidRDefault="008B7E19" w:rsidP="008B7E19">
            <w:pPr>
              <w:pStyle w:val="08-Tabelageral"/>
              <w:rPr>
                <w:rFonts w:cs="Arial"/>
              </w:rPr>
            </w:pPr>
            <w:r>
              <w:rPr>
                <w:rFonts w:cs="Arial"/>
                <w:szCs w:val="14"/>
              </w:rPr>
              <w:t>(264)</w:t>
            </w:r>
          </w:p>
        </w:tc>
        <w:tc>
          <w:tcPr>
            <w:tcW w:w="283" w:type="dxa"/>
            <w:shd w:val="clear" w:color="auto" w:fill="auto"/>
            <w:vAlign w:val="center"/>
          </w:tcPr>
          <w:p w14:paraId="0FD83E90" w14:textId="77777777" w:rsidR="008B7E19" w:rsidRPr="0019344C" w:rsidRDefault="008B7E19" w:rsidP="008B7E19">
            <w:pPr>
              <w:pStyle w:val="08-Tabelageral"/>
              <w:ind w:left="113"/>
              <w:rPr>
                <w:rFonts w:cs="Arial"/>
                <w:szCs w:val="14"/>
              </w:rPr>
            </w:pPr>
          </w:p>
        </w:tc>
        <w:tc>
          <w:tcPr>
            <w:tcW w:w="1417" w:type="dxa"/>
            <w:shd w:val="clear" w:color="auto" w:fill="auto"/>
            <w:vAlign w:val="center"/>
          </w:tcPr>
          <w:p w14:paraId="75E4DCEC" w14:textId="77777777" w:rsidR="008B7E19" w:rsidRPr="0019344C" w:rsidRDefault="008B7E19" w:rsidP="008B7E19">
            <w:pPr>
              <w:pStyle w:val="08-Tabelageral"/>
              <w:ind w:left="113"/>
              <w:rPr>
                <w:rFonts w:cs="Arial"/>
                <w:szCs w:val="14"/>
              </w:rPr>
            </w:pPr>
            <w:r>
              <w:rPr>
                <w:rFonts w:cs="Arial"/>
                <w:szCs w:val="14"/>
              </w:rPr>
              <w:t>(2,672)</w:t>
            </w:r>
          </w:p>
        </w:tc>
        <w:tc>
          <w:tcPr>
            <w:tcW w:w="1418" w:type="dxa"/>
            <w:shd w:val="clear" w:color="auto" w:fill="auto"/>
            <w:vAlign w:val="center"/>
          </w:tcPr>
          <w:p w14:paraId="67FC35EE" w14:textId="77777777" w:rsidR="008B7E19" w:rsidRPr="0019344C" w:rsidRDefault="008B7E19" w:rsidP="008B7E19">
            <w:pPr>
              <w:pStyle w:val="08-Tabelageral"/>
              <w:rPr>
                <w:rFonts w:cs="Arial"/>
              </w:rPr>
            </w:pPr>
            <w:r>
              <w:rPr>
                <w:rFonts w:cs="Arial"/>
                <w:szCs w:val="14"/>
              </w:rPr>
              <w:t>(1,503)</w:t>
            </w:r>
          </w:p>
        </w:tc>
      </w:tr>
      <w:tr w:rsidR="008B7E19" w:rsidRPr="0019344C" w14:paraId="6B46ABED" w14:textId="77777777" w:rsidTr="008875E7">
        <w:trPr>
          <w:trHeight w:val="238"/>
          <w:jc w:val="center"/>
        </w:trPr>
        <w:tc>
          <w:tcPr>
            <w:tcW w:w="3094" w:type="dxa"/>
            <w:shd w:val="clear" w:color="auto" w:fill="auto"/>
            <w:vAlign w:val="center"/>
          </w:tcPr>
          <w:p w14:paraId="14205982" w14:textId="77777777" w:rsidR="008B7E19" w:rsidRPr="0019344C" w:rsidRDefault="008B7E19" w:rsidP="008B7E19">
            <w:pPr>
              <w:pStyle w:val="08-Tabelageral"/>
              <w:ind w:left="113"/>
              <w:jc w:val="left"/>
              <w:rPr>
                <w:rFonts w:cs="Arial"/>
                <w:szCs w:val="14"/>
              </w:rPr>
            </w:pPr>
            <w:r w:rsidRPr="0019344C">
              <w:rPr>
                <w:rFonts w:cs="Arial"/>
                <w:szCs w:val="14"/>
              </w:rPr>
              <w:t>IOF</w:t>
            </w:r>
          </w:p>
        </w:tc>
        <w:tc>
          <w:tcPr>
            <w:tcW w:w="604" w:type="dxa"/>
            <w:shd w:val="clear" w:color="auto" w:fill="auto"/>
            <w:vAlign w:val="center"/>
          </w:tcPr>
          <w:p w14:paraId="38168726" w14:textId="77777777" w:rsidR="008B7E19" w:rsidRPr="0019344C" w:rsidRDefault="008B7E19" w:rsidP="008B7E19">
            <w:pPr>
              <w:pStyle w:val="08-Tabelageral"/>
              <w:jc w:val="center"/>
              <w:rPr>
                <w:rFonts w:cs="Arial"/>
                <w:szCs w:val="14"/>
              </w:rPr>
            </w:pPr>
          </w:p>
        </w:tc>
        <w:tc>
          <w:tcPr>
            <w:tcW w:w="1411" w:type="dxa"/>
            <w:shd w:val="clear" w:color="auto" w:fill="auto"/>
            <w:vAlign w:val="center"/>
          </w:tcPr>
          <w:p w14:paraId="534B9C1D" w14:textId="77777777" w:rsidR="008B7E19" w:rsidRPr="0019344C" w:rsidRDefault="008B7E19" w:rsidP="008B7E19">
            <w:pPr>
              <w:pStyle w:val="08-Tabelageral"/>
              <w:rPr>
                <w:rFonts w:cs="Arial"/>
                <w:szCs w:val="14"/>
              </w:rPr>
            </w:pPr>
            <w:r>
              <w:rPr>
                <w:rFonts w:cs="Arial"/>
                <w:szCs w:val="14"/>
              </w:rPr>
              <w:t>(3)</w:t>
            </w:r>
          </w:p>
        </w:tc>
        <w:tc>
          <w:tcPr>
            <w:tcW w:w="1412" w:type="dxa"/>
            <w:shd w:val="clear" w:color="auto" w:fill="auto"/>
            <w:vAlign w:val="center"/>
          </w:tcPr>
          <w:p w14:paraId="16B0E02D" w14:textId="77777777" w:rsidR="008B7E19" w:rsidRPr="0019344C" w:rsidRDefault="008B7E19" w:rsidP="008B7E19">
            <w:pPr>
              <w:pStyle w:val="08-Tabelageral"/>
              <w:rPr>
                <w:rFonts w:cs="Arial"/>
              </w:rPr>
            </w:pPr>
            <w:r>
              <w:rPr>
                <w:rFonts w:cs="Arial"/>
                <w:szCs w:val="14"/>
              </w:rPr>
              <w:t>(6)</w:t>
            </w:r>
          </w:p>
        </w:tc>
        <w:tc>
          <w:tcPr>
            <w:tcW w:w="283" w:type="dxa"/>
            <w:shd w:val="clear" w:color="auto" w:fill="auto"/>
            <w:vAlign w:val="center"/>
          </w:tcPr>
          <w:p w14:paraId="1A94D772" w14:textId="77777777" w:rsidR="008B7E19" w:rsidRPr="0019344C" w:rsidRDefault="008B7E19" w:rsidP="008B7E19">
            <w:pPr>
              <w:pStyle w:val="08-Tabelageral"/>
              <w:rPr>
                <w:rFonts w:cs="Arial"/>
                <w:szCs w:val="14"/>
              </w:rPr>
            </w:pPr>
          </w:p>
        </w:tc>
        <w:tc>
          <w:tcPr>
            <w:tcW w:w="1417" w:type="dxa"/>
            <w:shd w:val="clear" w:color="auto" w:fill="auto"/>
            <w:vAlign w:val="center"/>
          </w:tcPr>
          <w:p w14:paraId="5B19F3A0" w14:textId="77777777" w:rsidR="008B7E19" w:rsidRPr="0019344C" w:rsidRDefault="008B7E19" w:rsidP="008B7E19">
            <w:pPr>
              <w:pStyle w:val="08-Tabelageral"/>
              <w:rPr>
                <w:rFonts w:cs="Arial"/>
                <w:szCs w:val="14"/>
              </w:rPr>
            </w:pPr>
            <w:r>
              <w:rPr>
                <w:rFonts w:cs="Arial"/>
                <w:szCs w:val="14"/>
              </w:rPr>
              <w:t>(3)</w:t>
            </w:r>
          </w:p>
        </w:tc>
        <w:tc>
          <w:tcPr>
            <w:tcW w:w="1418" w:type="dxa"/>
            <w:shd w:val="clear" w:color="auto" w:fill="auto"/>
            <w:vAlign w:val="center"/>
          </w:tcPr>
          <w:p w14:paraId="0DA41858" w14:textId="77777777" w:rsidR="008B7E19" w:rsidRPr="0019344C" w:rsidRDefault="008B7E19" w:rsidP="008B7E19">
            <w:pPr>
              <w:pStyle w:val="08-Tabelageral"/>
              <w:rPr>
                <w:rFonts w:cs="Arial"/>
              </w:rPr>
            </w:pPr>
            <w:r>
              <w:rPr>
                <w:rFonts w:cs="Arial"/>
                <w:szCs w:val="14"/>
              </w:rPr>
              <w:t>(6)</w:t>
            </w:r>
          </w:p>
        </w:tc>
      </w:tr>
      <w:tr w:rsidR="008B7E19" w:rsidRPr="0019344C" w14:paraId="373BB31A" w14:textId="77777777" w:rsidTr="008875E7">
        <w:trPr>
          <w:trHeight w:val="238"/>
          <w:jc w:val="center"/>
        </w:trPr>
        <w:tc>
          <w:tcPr>
            <w:tcW w:w="3094" w:type="dxa"/>
            <w:tcBorders>
              <w:bottom w:val="nil"/>
            </w:tcBorders>
            <w:shd w:val="clear" w:color="auto" w:fill="auto"/>
            <w:vAlign w:val="center"/>
          </w:tcPr>
          <w:p w14:paraId="113E99A3" w14:textId="77777777" w:rsidR="008B7E19" w:rsidRPr="0019344C" w:rsidRDefault="008B7E19" w:rsidP="008B7E19">
            <w:pPr>
              <w:pStyle w:val="08-Tabelageral"/>
              <w:ind w:left="113"/>
              <w:jc w:val="left"/>
              <w:rPr>
                <w:rFonts w:cs="Arial"/>
                <w:szCs w:val="14"/>
              </w:rPr>
            </w:pPr>
            <w:r>
              <w:rPr>
                <w:rFonts w:cs="Arial"/>
                <w:szCs w:val="14"/>
              </w:rPr>
              <w:t>Other</w:t>
            </w:r>
          </w:p>
        </w:tc>
        <w:tc>
          <w:tcPr>
            <w:tcW w:w="604" w:type="dxa"/>
            <w:tcBorders>
              <w:bottom w:val="nil"/>
            </w:tcBorders>
            <w:shd w:val="clear" w:color="auto" w:fill="auto"/>
            <w:vAlign w:val="center"/>
          </w:tcPr>
          <w:p w14:paraId="2998C37B" w14:textId="77777777" w:rsidR="008B7E19" w:rsidRPr="0019344C" w:rsidRDefault="008B7E19" w:rsidP="008B7E19">
            <w:pPr>
              <w:pStyle w:val="08-Tabelageral"/>
              <w:jc w:val="center"/>
              <w:rPr>
                <w:rFonts w:cs="Arial"/>
                <w:szCs w:val="14"/>
              </w:rPr>
            </w:pPr>
          </w:p>
        </w:tc>
        <w:tc>
          <w:tcPr>
            <w:tcW w:w="1411" w:type="dxa"/>
            <w:tcBorders>
              <w:bottom w:val="nil"/>
            </w:tcBorders>
            <w:shd w:val="clear" w:color="auto" w:fill="auto"/>
            <w:vAlign w:val="center"/>
          </w:tcPr>
          <w:p w14:paraId="6490012D" w14:textId="77777777" w:rsidR="008B7E19" w:rsidRPr="0019344C" w:rsidRDefault="008B7E19" w:rsidP="008B7E19">
            <w:pPr>
              <w:pStyle w:val="08-Tabelageral"/>
              <w:rPr>
                <w:rFonts w:cs="Arial"/>
                <w:szCs w:val="14"/>
              </w:rPr>
            </w:pPr>
            <w:r>
              <w:rPr>
                <w:rFonts w:cs="Arial"/>
                <w:szCs w:val="14"/>
              </w:rPr>
              <w:t>(104)</w:t>
            </w:r>
          </w:p>
        </w:tc>
        <w:tc>
          <w:tcPr>
            <w:tcW w:w="1412" w:type="dxa"/>
            <w:tcBorders>
              <w:bottom w:val="nil"/>
            </w:tcBorders>
            <w:shd w:val="clear" w:color="auto" w:fill="auto"/>
            <w:vAlign w:val="center"/>
          </w:tcPr>
          <w:p w14:paraId="0389FDBC" w14:textId="77777777" w:rsidR="008B7E19" w:rsidRPr="0019344C" w:rsidRDefault="008B7E19" w:rsidP="008B7E19">
            <w:pPr>
              <w:pStyle w:val="08-Tabelageral"/>
              <w:rPr>
                <w:rFonts w:cs="Arial"/>
              </w:rPr>
            </w:pPr>
            <w:r>
              <w:rPr>
                <w:rFonts w:cs="Arial"/>
                <w:szCs w:val="14"/>
              </w:rPr>
              <w:t>(89)</w:t>
            </w:r>
          </w:p>
        </w:tc>
        <w:tc>
          <w:tcPr>
            <w:tcW w:w="283" w:type="dxa"/>
            <w:tcBorders>
              <w:bottom w:val="nil"/>
            </w:tcBorders>
            <w:shd w:val="clear" w:color="auto" w:fill="auto"/>
            <w:vAlign w:val="center"/>
          </w:tcPr>
          <w:p w14:paraId="5FD7B55D" w14:textId="77777777" w:rsidR="008B7E19" w:rsidRPr="0019344C" w:rsidRDefault="008B7E19" w:rsidP="008B7E19">
            <w:pPr>
              <w:pStyle w:val="08-Tabelageral"/>
              <w:rPr>
                <w:rFonts w:cs="Arial"/>
                <w:szCs w:val="14"/>
              </w:rPr>
            </w:pPr>
          </w:p>
        </w:tc>
        <w:tc>
          <w:tcPr>
            <w:tcW w:w="1417" w:type="dxa"/>
            <w:tcBorders>
              <w:bottom w:val="nil"/>
            </w:tcBorders>
            <w:shd w:val="clear" w:color="auto" w:fill="auto"/>
            <w:vAlign w:val="center"/>
          </w:tcPr>
          <w:p w14:paraId="7155A718" w14:textId="77777777" w:rsidR="008B7E19" w:rsidRPr="0019344C" w:rsidRDefault="008B7E19" w:rsidP="008B7E19">
            <w:pPr>
              <w:pStyle w:val="08-Tabelageral"/>
              <w:rPr>
                <w:rFonts w:cs="Arial"/>
                <w:szCs w:val="14"/>
              </w:rPr>
            </w:pPr>
            <w:r>
              <w:rPr>
                <w:rFonts w:cs="Arial"/>
                <w:szCs w:val="14"/>
              </w:rPr>
              <w:t>(214)</w:t>
            </w:r>
          </w:p>
        </w:tc>
        <w:tc>
          <w:tcPr>
            <w:tcW w:w="1418" w:type="dxa"/>
            <w:tcBorders>
              <w:bottom w:val="nil"/>
            </w:tcBorders>
            <w:shd w:val="clear" w:color="auto" w:fill="auto"/>
            <w:vAlign w:val="center"/>
          </w:tcPr>
          <w:p w14:paraId="7DF83CA6" w14:textId="77777777" w:rsidR="008B7E19" w:rsidRPr="0019344C" w:rsidRDefault="008B7E19" w:rsidP="008B7E19">
            <w:pPr>
              <w:pStyle w:val="08-Tabelageral"/>
              <w:rPr>
                <w:rFonts w:cs="Arial"/>
              </w:rPr>
            </w:pPr>
            <w:r>
              <w:rPr>
                <w:rFonts w:cs="Arial"/>
                <w:szCs w:val="14"/>
              </w:rPr>
              <w:t>(174)</w:t>
            </w:r>
          </w:p>
        </w:tc>
      </w:tr>
      <w:tr w:rsidR="008B7E19" w:rsidRPr="0019344C" w14:paraId="66565D0E" w14:textId="77777777" w:rsidTr="008875E7">
        <w:trPr>
          <w:trHeight w:val="238"/>
          <w:jc w:val="center"/>
        </w:trPr>
        <w:tc>
          <w:tcPr>
            <w:tcW w:w="3094" w:type="dxa"/>
            <w:tcBorders>
              <w:top w:val="nil"/>
              <w:bottom w:val="single" w:sz="2" w:space="0" w:color="1F4E79" w:themeColor="accent1" w:themeShade="80"/>
            </w:tcBorders>
            <w:shd w:val="clear" w:color="auto" w:fill="auto"/>
            <w:vAlign w:val="center"/>
          </w:tcPr>
          <w:p w14:paraId="0852BD99" w14:textId="77777777" w:rsidR="008B7E19" w:rsidRPr="0019344C" w:rsidRDefault="008B7E19" w:rsidP="008B7E19">
            <w:pPr>
              <w:pStyle w:val="08-Tabelageral"/>
              <w:jc w:val="left"/>
              <w:rPr>
                <w:rFonts w:cs="Arial"/>
                <w:b/>
                <w:szCs w:val="14"/>
              </w:rPr>
            </w:pPr>
            <w:r w:rsidRPr="0019344C">
              <w:rPr>
                <w:rFonts w:cs="Arial"/>
                <w:b/>
              </w:rPr>
              <w:t>Total</w:t>
            </w:r>
          </w:p>
        </w:tc>
        <w:tc>
          <w:tcPr>
            <w:tcW w:w="604" w:type="dxa"/>
            <w:tcBorders>
              <w:top w:val="nil"/>
              <w:bottom w:val="single" w:sz="2" w:space="0" w:color="1F4E79" w:themeColor="accent1" w:themeShade="80"/>
            </w:tcBorders>
            <w:shd w:val="clear" w:color="auto" w:fill="auto"/>
            <w:vAlign w:val="center"/>
          </w:tcPr>
          <w:p w14:paraId="69403F31" w14:textId="77777777" w:rsidR="008B7E19" w:rsidRPr="0019344C" w:rsidRDefault="008B7E19" w:rsidP="008B7E19">
            <w:pPr>
              <w:pStyle w:val="08-Tabelageral"/>
              <w:jc w:val="center"/>
              <w:rPr>
                <w:rFonts w:cs="Arial"/>
                <w:b/>
                <w:szCs w:val="14"/>
              </w:rPr>
            </w:pPr>
          </w:p>
        </w:tc>
        <w:tc>
          <w:tcPr>
            <w:tcW w:w="1411" w:type="dxa"/>
            <w:tcBorders>
              <w:top w:val="nil"/>
              <w:bottom w:val="single" w:sz="2" w:space="0" w:color="1F4E79" w:themeColor="accent1" w:themeShade="80"/>
            </w:tcBorders>
            <w:shd w:val="clear" w:color="auto" w:fill="auto"/>
            <w:vAlign w:val="center"/>
          </w:tcPr>
          <w:p w14:paraId="60C525DF" w14:textId="77777777" w:rsidR="008B7E19" w:rsidRPr="0019344C" w:rsidRDefault="008B7E19" w:rsidP="008B7E19">
            <w:pPr>
              <w:pStyle w:val="08-Tabelageral"/>
              <w:rPr>
                <w:rFonts w:cs="Arial"/>
                <w:b/>
                <w:szCs w:val="14"/>
              </w:rPr>
            </w:pPr>
            <w:r>
              <w:rPr>
                <w:rFonts w:cs="Arial"/>
                <w:b/>
                <w:szCs w:val="14"/>
              </w:rPr>
              <w:t>(4,705)</w:t>
            </w:r>
          </w:p>
        </w:tc>
        <w:tc>
          <w:tcPr>
            <w:tcW w:w="1412" w:type="dxa"/>
            <w:tcBorders>
              <w:top w:val="nil"/>
              <w:bottom w:val="single" w:sz="2" w:space="0" w:color="1F4E79" w:themeColor="accent1" w:themeShade="80"/>
            </w:tcBorders>
            <w:shd w:val="clear" w:color="auto" w:fill="auto"/>
            <w:vAlign w:val="center"/>
          </w:tcPr>
          <w:p w14:paraId="064ACB82" w14:textId="77777777" w:rsidR="008B7E19" w:rsidRPr="0019344C" w:rsidRDefault="008B7E19" w:rsidP="008B7E19">
            <w:pPr>
              <w:pStyle w:val="08-Tabelageral"/>
              <w:rPr>
                <w:rFonts w:cs="Arial"/>
                <w:b/>
              </w:rPr>
            </w:pPr>
            <w:r>
              <w:rPr>
                <w:rFonts w:cs="Arial"/>
                <w:b/>
                <w:szCs w:val="14"/>
              </w:rPr>
              <w:t>(1,931)</w:t>
            </w:r>
          </w:p>
        </w:tc>
        <w:tc>
          <w:tcPr>
            <w:tcW w:w="283" w:type="dxa"/>
            <w:tcBorders>
              <w:top w:val="nil"/>
              <w:bottom w:val="single" w:sz="2" w:space="0" w:color="1F4E79" w:themeColor="accent1" w:themeShade="80"/>
            </w:tcBorders>
            <w:shd w:val="clear" w:color="auto" w:fill="auto"/>
            <w:vAlign w:val="center"/>
          </w:tcPr>
          <w:p w14:paraId="7E6DF87D" w14:textId="77777777" w:rsidR="008B7E19" w:rsidRPr="0019344C" w:rsidRDefault="008B7E19" w:rsidP="008B7E19">
            <w:pPr>
              <w:pStyle w:val="08-Tabelageral"/>
              <w:rPr>
                <w:rFonts w:cs="Arial"/>
                <w:b/>
                <w:szCs w:val="14"/>
              </w:rPr>
            </w:pPr>
          </w:p>
        </w:tc>
        <w:tc>
          <w:tcPr>
            <w:tcW w:w="1417" w:type="dxa"/>
            <w:tcBorders>
              <w:top w:val="nil"/>
              <w:bottom w:val="single" w:sz="2" w:space="0" w:color="1F4E79" w:themeColor="accent1" w:themeShade="80"/>
            </w:tcBorders>
            <w:shd w:val="clear" w:color="auto" w:fill="auto"/>
            <w:vAlign w:val="center"/>
          </w:tcPr>
          <w:p w14:paraId="5BE2D170" w14:textId="77777777" w:rsidR="008B7E19" w:rsidRPr="0019344C" w:rsidRDefault="008B7E19" w:rsidP="008B7E19">
            <w:pPr>
              <w:pStyle w:val="08-Tabelageral"/>
              <w:rPr>
                <w:rFonts w:cs="Arial"/>
                <w:b/>
                <w:szCs w:val="14"/>
              </w:rPr>
            </w:pPr>
            <w:r>
              <w:rPr>
                <w:rFonts w:cs="Arial"/>
                <w:b/>
                <w:szCs w:val="14"/>
              </w:rPr>
              <w:t>(19,269)</w:t>
            </w:r>
          </w:p>
        </w:tc>
        <w:tc>
          <w:tcPr>
            <w:tcW w:w="1418" w:type="dxa"/>
            <w:tcBorders>
              <w:top w:val="nil"/>
              <w:bottom w:val="single" w:sz="2" w:space="0" w:color="1F4E79" w:themeColor="accent1" w:themeShade="80"/>
            </w:tcBorders>
            <w:shd w:val="clear" w:color="auto" w:fill="auto"/>
            <w:vAlign w:val="center"/>
          </w:tcPr>
          <w:p w14:paraId="2789A39C" w14:textId="77777777" w:rsidR="008B7E19" w:rsidRPr="0019344C" w:rsidRDefault="008B7E19" w:rsidP="008B7E19">
            <w:pPr>
              <w:pStyle w:val="08-Tabelageral"/>
              <w:rPr>
                <w:rFonts w:cs="Arial"/>
                <w:b/>
              </w:rPr>
            </w:pPr>
            <w:r>
              <w:rPr>
                <w:rFonts w:cs="Arial"/>
                <w:b/>
                <w:szCs w:val="14"/>
              </w:rPr>
              <w:t>(10,887)</w:t>
            </w:r>
          </w:p>
        </w:tc>
      </w:tr>
    </w:tbl>
    <w:p w14:paraId="1A3CC392" w14:textId="77777777" w:rsidR="008B7E19" w:rsidRDefault="008B7E19">
      <w:pPr>
        <w:rPr>
          <w:rFonts w:cs="Arial"/>
          <w:b/>
          <w:color w:val="1F4E79" w:themeColor="accent1" w:themeShade="80"/>
          <w:szCs w:val="18"/>
        </w:rPr>
      </w:pPr>
    </w:p>
    <w:p w14:paraId="28277794" w14:textId="77777777" w:rsidR="008B7E19" w:rsidRPr="00662308" w:rsidRDefault="008B7E19" w:rsidP="008875E7">
      <w:pPr>
        <w:keepNext/>
        <w:keepLines/>
        <w:pageBreakBefore/>
        <w:spacing w:after="40"/>
        <w:rPr>
          <w:rFonts w:cs="Arial"/>
          <w:b/>
          <w:color w:val="1F4E79" w:themeColor="accent1" w:themeShade="80"/>
          <w:szCs w:val="18"/>
        </w:rPr>
      </w:pPr>
      <w:r w:rsidRPr="00662308">
        <w:rPr>
          <w:rFonts w:cs="Arial"/>
          <w:b/>
          <w:color w:val="1F4E79" w:themeColor="accent1" w:themeShade="80"/>
          <w:szCs w:val="18"/>
        </w:rPr>
        <w:t>d) Current tax assets</w:t>
      </w:r>
    </w:p>
    <w:p w14:paraId="0D2343CF" w14:textId="77777777" w:rsidR="008B7E19" w:rsidRPr="00FF3D4B" w:rsidRDefault="008B7E19" w:rsidP="008B7E19">
      <w:pPr>
        <w:spacing w:after="0" w:line="240" w:lineRule="auto"/>
        <w:jc w:val="right"/>
        <w:rPr>
          <w:rFonts w:cs="Arial"/>
          <w:b/>
          <w:sz w:val="14"/>
          <w:lang w:eastAsia="pt-BR"/>
        </w:rPr>
      </w:pPr>
      <w:r w:rsidRPr="00FF3D4B">
        <w:rPr>
          <w:rFonts w:cs="Arial"/>
          <w:b/>
          <w:sz w:val="14"/>
          <w:lang w:eastAsia="pt-BR"/>
        </w:rPr>
        <w:t xml:space="preserve">R$ </w:t>
      </w:r>
      <w:r w:rsidRPr="00044999">
        <w:rPr>
          <w:rFonts w:cs="Arial"/>
          <w:b/>
          <w:sz w:val="14"/>
          <w:lang w:eastAsia="pt-BR"/>
        </w:rPr>
        <w:t>thousand</w:t>
      </w:r>
      <w:r w:rsidRPr="00FF3D4B">
        <w:rPr>
          <w:rFonts w:cs="Arial"/>
          <w:b/>
          <w:sz w:val="14"/>
          <w:lang w:eastAsia="pt-BR"/>
        </w:rPr>
        <w:t xml:space="preserve"> </w:t>
      </w:r>
    </w:p>
    <w:tbl>
      <w:tblPr>
        <w:tblW w:w="9639" w:type="dxa"/>
        <w:jc w:val="center"/>
        <w:tblBorders>
          <w:top w:val="single" w:sz="2" w:space="0" w:color="8EAADB" w:themeColor="accent5" w:themeTint="99"/>
          <w:bottom w:val="single" w:sz="2" w:space="0" w:color="8EAADB" w:themeColor="accent5" w:themeTint="99"/>
        </w:tblBorders>
        <w:tblLook w:val="04A0" w:firstRow="1" w:lastRow="0" w:firstColumn="1" w:lastColumn="0" w:noHBand="0" w:noVBand="1"/>
      </w:tblPr>
      <w:tblGrid>
        <w:gridCol w:w="3261"/>
        <w:gridCol w:w="437"/>
        <w:gridCol w:w="1411"/>
        <w:gridCol w:w="1412"/>
        <w:gridCol w:w="283"/>
        <w:gridCol w:w="1417"/>
        <w:gridCol w:w="1418"/>
      </w:tblGrid>
      <w:tr w:rsidR="008B7E19" w:rsidRPr="00BC7DA5" w14:paraId="6A3592DB" w14:textId="77777777" w:rsidTr="008875E7">
        <w:trPr>
          <w:trHeight w:val="238"/>
          <w:jc w:val="center"/>
        </w:trPr>
        <w:tc>
          <w:tcPr>
            <w:tcW w:w="3261" w:type="dxa"/>
            <w:tcBorders>
              <w:top w:val="single" w:sz="2" w:space="0" w:color="1F4E79" w:themeColor="accent1" w:themeShade="80"/>
              <w:bottom w:val="nil"/>
            </w:tcBorders>
            <w:shd w:val="clear" w:color="auto" w:fill="auto"/>
          </w:tcPr>
          <w:p w14:paraId="1CED03EA" w14:textId="77777777" w:rsidR="008B7E19" w:rsidRPr="00BC7DA5" w:rsidRDefault="008B7E19" w:rsidP="008B7E19">
            <w:pPr>
              <w:spacing w:after="0"/>
              <w:jc w:val="center"/>
              <w:rPr>
                <w:rFonts w:cs="Arial"/>
                <w:b/>
                <w:szCs w:val="18"/>
              </w:rPr>
            </w:pPr>
          </w:p>
        </w:tc>
        <w:tc>
          <w:tcPr>
            <w:tcW w:w="437" w:type="dxa"/>
            <w:tcBorders>
              <w:top w:val="single" w:sz="2" w:space="0" w:color="1F4E79" w:themeColor="accent1" w:themeShade="80"/>
              <w:bottom w:val="nil"/>
            </w:tcBorders>
            <w:shd w:val="clear" w:color="auto" w:fill="auto"/>
          </w:tcPr>
          <w:p w14:paraId="4BBBE5D3" w14:textId="77777777" w:rsidR="008B7E19" w:rsidRPr="00BC7DA5" w:rsidRDefault="008B7E19" w:rsidP="008B7E19">
            <w:pPr>
              <w:spacing w:after="0"/>
              <w:jc w:val="center"/>
              <w:rPr>
                <w:rFonts w:cs="Arial"/>
                <w:b/>
                <w:szCs w:val="18"/>
              </w:rPr>
            </w:pPr>
          </w:p>
        </w:tc>
        <w:tc>
          <w:tcPr>
            <w:tcW w:w="2823" w:type="dxa"/>
            <w:gridSpan w:val="2"/>
            <w:tcBorders>
              <w:top w:val="single" w:sz="2" w:space="0" w:color="1F4E79" w:themeColor="accent1" w:themeShade="80"/>
              <w:bottom w:val="single" w:sz="2" w:space="0" w:color="1F4E79" w:themeColor="accent1" w:themeShade="80"/>
            </w:tcBorders>
            <w:shd w:val="clear" w:color="auto" w:fill="auto"/>
            <w:vAlign w:val="center"/>
          </w:tcPr>
          <w:p w14:paraId="026CA3E0" w14:textId="77777777" w:rsidR="008B7E19" w:rsidRPr="00BC7DA5" w:rsidRDefault="008B7E19" w:rsidP="008B7E19">
            <w:pPr>
              <w:spacing w:after="0"/>
              <w:jc w:val="center"/>
              <w:rPr>
                <w:rFonts w:cs="Arial"/>
                <w:b/>
                <w:sz w:val="14"/>
                <w:szCs w:val="18"/>
              </w:rPr>
            </w:pPr>
            <w:r w:rsidRPr="00EC4649">
              <w:rPr>
                <w:rFonts w:cs="Arial"/>
                <w:b/>
                <w:sz w:val="14"/>
                <w:szCs w:val="18"/>
              </w:rPr>
              <w:t>Parent</w:t>
            </w:r>
          </w:p>
        </w:tc>
        <w:tc>
          <w:tcPr>
            <w:tcW w:w="283" w:type="dxa"/>
            <w:tcBorders>
              <w:top w:val="single" w:sz="2" w:space="0" w:color="1F4E79" w:themeColor="accent1" w:themeShade="80"/>
              <w:bottom w:val="nil"/>
            </w:tcBorders>
            <w:shd w:val="clear" w:color="auto" w:fill="auto"/>
            <w:vAlign w:val="center"/>
          </w:tcPr>
          <w:p w14:paraId="1CD78226" w14:textId="77777777" w:rsidR="008B7E19" w:rsidRPr="00BC7DA5" w:rsidRDefault="008B7E19" w:rsidP="008B7E19">
            <w:pPr>
              <w:spacing w:after="0"/>
              <w:jc w:val="center"/>
              <w:rPr>
                <w:rFonts w:cs="Arial"/>
                <w:b/>
                <w:szCs w:val="18"/>
              </w:rPr>
            </w:pPr>
          </w:p>
        </w:tc>
        <w:tc>
          <w:tcPr>
            <w:tcW w:w="2835" w:type="dxa"/>
            <w:gridSpan w:val="2"/>
            <w:tcBorders>
              <w:top w:val="single" w:sz="2" w:space="0" w:color="1F4E79" w:themeColor="accent1" w:themeShade="80"/>
              <w:bottom w:val="single" w:sz="2" w:space="0" w:color="1F4E79" w:themeColor="accent1" w:themeShade="80"/>
            </w:tcBorders>
            <w:shd w:val="clear" w:color="auto" w:fill="auto"/>
            <w:vAlign w:val="center"/>
          </w:tcPr>
          <w:p w14:paraId="12A8A102" w14:textId="77777777" w:rsidR="008B7E19" w:rsidRPr="00BC7DA5" w:rsidRDefault="008B7E19" w:rsidP="008B7E19">
            <w:pPr>
              <w:spacing w:after="0"/>
              <w:jc w:val="center"/>
              <w:rPr>
                <w:rFonts w:cs="Arial"/>
                <w:b/>
                <w:szCs w:val="18"/>
              </w:rPr>
            </w:pPr>
            <w:r w:rsidRPr="00EC4649">
              <w:rPr>
                <w:rFonts w:cs="Arial"/>
                <w:b/>
                <w:sz w:val="14"/>
                <w:szCs w:val="18"/>
              </w:rPr>
              <w:t>Consolidated</w:t>
            </w:r>
          </w:p>
        </w:tc>
      </w:tr>
      <w:tr w:rsidR="008B7E19" w:rsidRPr="00BC7DA5" w14:paraId="1D8C4322" w14:textId="77777777" w:rsidTr="008875E7">
        <w:trPr>
          <w:trHeight w:val="238"/>
          <w:jc w:val="center"/>
        </w:trPr>
        <w:tc>
          <w:tcPr>
            <w:tcW w:w="3261" w:type="dxa"/>
            <w:tcBorders>
              <w:top w:val="nil"/>
              <w:bottom w:val="single" w:sz="2" w:space="0" w:color="1F4E79" w:themeColor="accent1" w:themeShade="80"/>
            </w:tcBorders>
            <w:shd w:val="clear" w:color="auto" w:fill="auto"/>
          </w:tcPr>
          <w:p w14:paraId="244FC030" w14:textId="77777777" w:rsidR="008B7E19" w:rsidRPr="00BC7DA5" w:rsidRDefault="008B7E19" w:rsidP="008B7E19">
            <w:pPr>
              <w:pStyle w:val="08-Tabelageral"/>
              <w:rPr>
                <w:rFonts w:cs="Arial"/>
                <w:b/>
              </w:rPr>
            </w:pPr>
          </w:p>
        </w:tc>
        <w:tc>
          <w:tcPr>
            <w:tcW w:w="437" w:type="dxa"/>
            <w:tcBorders>
              <w:top w:val="nil"/>
              <w:bottom w:val="single" w:sz="2" w:space="0" w:color="1F4E79" w:themeColor="accent1" w:themeShade="80"/>
            </w:tcBorders>
            <w:shd w:val="clear" w:color="auto" w:fill="auto"/>
          </w:tcPr>
          <w:p w14:paraId="228CC91B" w14:textId="77777777" w:rsidR="008B7E19" w:rsidRPr="00BC7DA5" w:rsidRDefault="008B7E19" w:rsidP="008B7E19">
            <w:pPr>
              <w:pStyle w:val="08-Tabelageral"/>
              <w:rPr>
                <w:rFonts w:cs="Arial"/>
                <w:b/>
              </w:rPr>
            </w:pPr>
          </w:p>
        </w:tc>
        <w:tc>
          <w:tcPr>
            <w:tcW w:w="1411" w:type="dxa"/>
            <w:tcBorders>
              <w:top w:val="single" w:sz="2" w:space="0" w:color="1F4E79" w:themeColor="accent1" w:themeShade="80"/>
              <w:bottom w:val="single" w:sz="2" w:space="0" w:color="1F4E79" w:themeColor="accent1" w:themeShade="80"/>
            </w:tcBorders>
            <w:shd w:val="clear" w:color="auto" w:fill="auto"/>
          </w:tcPr>
          <w:p w14:paraId="0E0BD838" w14:textId="77777777" w:rsidR="008B7E19" w:rsidRPr="00976A92" w:rsidRDefault="008B7E19" w:rsidP="008B7E19">
            <w:pPr>
              <w:pStyle w:val="08-Tabelageral"/>
              <w:rPr>
                <w:rFonts w:cs="Arial"/>
                <w:b/>
              </w:rPr>
            </w:pPr>
            <w:r>
              <w:rPr>
                <w:b/>
              </w:rPr>
              <w:t>June</w:t>
            </w:r>
            <w:r w:rsidRPr="00976A92">
              <w:rPr>
                <w:b/>
              </w:rPr>
              <w:t xml:space="preserve"> 3</w:t>
            </w:r>
            <w:r>
              <w:rPr>
                <w:b/>
              </w:rPr>
              <w:t>0</w:t>
            </w:r>
            <w:r w:rsidRPr="00976A92">
              <w:rPr>
                <w:b/>
              </w:rPr>
              <w:t>, 202</w:t>
            </w:r>
            <w:r>
              <w:rPr>
                <w:b/>
              </w:rPr>
              <w:t>3</w:t>
            </w:r>
          </w:p>
        </w:tc>
        <w:tc>
          <w:tcPr>
            <w:tcW w:w="1412" w:type="dxa"/>
            <w:tcBorders>
              <w:top w:val="single" w:sz="2" w:space="0" w:color="1F4E79" w:themeColor="accent1" w:themeShade="80"/>
              <w:bottom w:val="single" w:sz="2" w:space="0" w:color="1F4E79" w:themeColor="accent1" w:themeShade="80"/>
            </w:tcBorders>
            <w:shd w:val="clear" w:color="auto" w:fill="auto"/>
          </w:tcPr>
          <w:p w14:paraId="777293CA" w14:textId="77777777" w:rsidR="008B7E19" w:rsidRPr="00976A92" w:rsidRDefault="008B7E19" w:rsidP="008B7E19">
            <w:pPr>
              <w:pStyle w:val="08-Tabelageral"/>
              <w:rPr>
                <w:rFonts w:cs="Arial"/>
                <w:b/>
              </w:rPr>
            </w:pPr>
            <w:r w:rsidRPr="00976A92">
              <w:rPr>
                <w:b/>
              </w:rPr>
              <w:t>Dec 31, 20</w:t>
            </w:r>
            <w:r>
              <w:rPr>
                <w:b/>
              </w:rPr>
              <w:t>22</w:t>
            </w:r>
          </w:p>
        </w:tc>
        <w:tc>
          <w:tcPr>
            <w:tcW w:w="283" w:type="dxa"/>
            <w:tcBorders>
              <w:top w:val="nil"/>
              <w:bottom w:val="single" w:sz="2" w:space="0" w:color="1F4E79" w:themeColor="accent1" w:themeShade="80"/>
            </w:tcBorders>
            <w:shd w:val="clear" w:color="auto" w:fill="auto"/>
          </w:tcPr>
          <w:p w14:paraId="019C961C" w14:textId="77777777" w:rsidR="008B7E19" w:rsidRPr="00976A92" w:rsidRDefault="008B7E19" w:rsidP="008B7E19">
            <w:pPr>
              <w:pStyle w:val="08-Tabelageral"/>
              <w:rPr>
                <w:rFonts w:cs="Arial"/>
                <w:b/>
              </w:rPr>
            </w:pPr>
          </w:p>
        </w:tc>
        <w:tc>
          <w:tcPr>
            <w:tcW w:w="1417" w:type="dxa"/>
            <w:tcBorders>
              <w:top w:val="single" w:sz="2" w:space="0" w:color="1F4E79" w:themeColor="accent1" w:themeShade="80"/>
              <w:bottom w:val="single" w:sz="2" w:space="0" w:color="1F4E79" w:themeColor="accent1" w:themeShade="80"/>
            </w:tcBorders>
            <w:shd w:val="clear" w:color="auto" w:fill="auto"/>
          </w:tcPr>
          <w:p w14:paraId="6F376F09" w14:textId="77777777" w:rsidR="008B7E19" w:rsidRPr="00976A92" w:rsidRDefault="008B7E19" w:rsidP="008B7E19">
            <w:pPr>
              <w:pStyle w:val="08-Tabelageral"/>
              <w:rPr>
                <w:rFonts w:cs="Arial"/>
                <w:b/>
                <w:vertAlign w:val="superscript"/>
              </w:rPr>
            </w:pPr>
            <w:r>
              <w:rPr>
                <w:b/>
              </w:rPr>
              <w:t>June</w:t>
            </w:r>
            <w:r w:rsidRPr="00976A92">
              <w:rPr>
                <w:b/>
              </w:rPr>
              <w:t xml:space="preserve"> 3</w:t>
            </w:r>
            <w:r>
              <w:rPr>
                <w:b/>
              </w:rPr>
              <w:t>0</w:t>
            </w:r>
            <w:r w:rsidRPr="00976A92">
              <w:rPr>
                <w:b/>
              </w:rPr>
              <w:t>, 202</w:t>
            </w:r>
            <w:r>
              <w:rPr>
                <w:b/>
              </w:rPr>
              <w:t>3</w:t>
            </w:r>
          </w:p>
        </w:tc>
        <w:tc>
          <w:tcPr>
            <w:tcW w:w="1418" w:type="dxa"/>
            <w:tcBorders>
              <w:top w:val="single" w:sz="2" w:space="0" w:color="1F4E79" w:themeColor="accent1" w:themeShade="80"/>
              <w:bottom w:val="single" w:sz="2" w:space="0" w:color="1F4E79" w:themeColor="accent1" w:themeShade="80"/>
            </w:tcBorders>
            <w:shd w:val="clear" w:color="auto" w:fill="auto"/>
          </w:tcPr>
          <w:p w14:paraId="3CAB9552" w14:textId="77777777" w:rsidR="008B7E19" w:rsidRPr="00976A92" w:rsidRDefault="008B7E19" w:rsidP="008B7E19">
            <w:pPr>
              <w:pStyle w:val="08-Tabelageral"/>
              <w:rPr>
                <w:rFonts w:cs="Arial"/>
                <w:b/>
                <w:vertAlign w:val="superscript"/>
              </w:rPr>
            </w:pPr>
            <w:r w:rsidRPr="00976A92">
              <w:rPr>
                <w:b/>
              </w:rPr>
              <w:t>Dec 31, 20</w:t>
            </w:r>
            <w:r>
              <w:rPr>
                <w:b/>
              </w:rPr>
              <w:t>22</w:t>
            </w:r>
          </w:p>
        </w:tc>
      </w:tr>
      <w:tr w:rsidR="008B7E19" w:rsidRPr="00BC7DA5" w14:paraId="50E0D1B9" w14:textId="77777777" w:rsidTr="008875E7">
        <w:trPr>
          <w:trHeight w:val="238"/>
          <w:jc w:val="center"/>
        </w:trPr>
        <w:tc>
          <w:tcPr>
            <w:tcW w:w="3261" w:type="dxa"/>
            <w:tcBorders>
              <w:top w:val="single" w:sz="2" w:space="0" w:color="1F4E79" w:themeColor="accent1" w:themeShade="80"/>
              <w:bottom w:val="nil"/>
            </w:tcBorders>
            <w:shd w:val="clear" w:color="auto" w:fill="auto"/>
          </w:tcPr>
          <w:p w14:paraId="28F828C0" w14:textId="77777777" w:rsidR="008B7E19" w:rsidRPr="00BC7DA5" w:rsidRDefault="008B7E19" w:rsidP="008B7E19">
            <w:pPr>
              <w:pStyle w:val="08-Tabelageral"/>
              <w:jc w:val="left"/>
              <w:rPr>
                <w:rFonts w:cs="Arial"/>
                <w:b/>
              </w:rPr>
            </w:pPr>
            <w:r w:rsidRPr="00D1582F">
              <w:rPr>
                <w:rFonts w:cs="Arial"/>
                <w:b/>
                <w:lang w:val="en-US"/>
              </w:rPr>
              <w:t>Current Assets</w:t>
            </w:r>
          </w:p>
        </w:tc>
        <w:tc>
          <w:tcPr>
            <w:tcW w:w="437" w:type="dxa"/>
            <w:tcBorders>
              <w:top w:val="single" w:sz="2" w:space="0" w:color="1F4E79" w:themeColor="accent1" w:themeShade="80"/>
              <w:bottom w:val="nil"/>
            </w:tcBorders>
            <w:shd w:val="clear" w:color="auto" w:fill="auto"/>
          </w:tcPr>
          <w:p w14:paraId="53400678" w14:textId="77777777" w:rsidR="008B7E19" w:rsidRPr="00BC7DA5" w:rsidRDefault="008B7E19" w:rsidP="008B7E19">
            <w:pPr>
              <w:pStyle w:val="08-Tabelageral"/>
              <w:rPr>
                <w:rFonts w:cs="Arial"/>
                <w:b/>
              </w:rPr>
            </w:pPr>
          </w:p>
        </w:tc>
        <w:tc>
          <w:tcPr>
            <w:tcW w:w="1411" w:type="dxa"/>
            <w:tcBorders>
              <w:top w:val="single" w:sz="2" w:space="0" w:color="1F4E79" w:themeColor="accent1" w:themeShade="80"/>
              <w:bottom w:val="nil"/>
            </w:tcBorders>
            <w:shd w:val="clear" w:color="auto" w:fill="auto"/>
            <w:vAlign w:val="center"/>
          </w:tcPr>
          <w:p w14:paraId="5A4516B0" w14:textId="77777777" w:rsidR="008B7E19" w:rsidRDefault="008B7E19" w:rsidP="008B7E19">
            <w:pPr>
              <w:pStyle w:val="08-Tabelageral"/>
              <w:rPr>
                <w:b/>
              </w:rPr>
            </w:pPr>
            <w:r>
              <w:rPr>
                <w:rFonts w:cs="Arial"/>
                <w:b/>
              </w:rPr>
              <w:t>17,908</w:t>
            </w:r>
          </w:p>
        </w:tc>
        <w:tc>
          <w:tcPr>
            <w:tcW w:w="1412" w:type="dxa"/>
            <w:tcBorders>
              <w:top w:val="single" w:sz="2" w:space="0" w:color="1F4E79" w:themeColor="accent1" w:themeShade="80"/>
              <w:bottom w:val="nil"/>
            </w:tcBorders>
            <w:shd w:val="clear" w:color="auto" w:fill="auto"/>
            <w:vAlign w:val="center"/>
          </w:tcPr>
          <w:p w14:paraId="278449C3" w14:textId="77777777" w:rsidR="008B7E19" w:rsidRPr="00976A92" w:rsidRDefault="008B7E19" w:rsidP="008B7E19">
            <w:pPr>
              <w:pStyle w:val="08-Tabelageral"/>
              <w:rPr>
                <w:b/>
              </w:rPr>
            </w:pPr>
            <w:r>
              <w:rPr>
                <w:rFonts w:cs="Arial"/>
                <w:b/>
              </w:rPr>
              <w:t>16,131</w:t>
            </w:r>
          </w:p>
        </w:tc>
        <w:tc>
          <w:tcPr>
            <w:tcW w:w="283" w:type="dxa"/>
            <w:tcBorders>
              <w:top w:val="single" w:sz="2" w:space="0" w:color="1F4E79" w:themeColor="accent1" w:themeShade="80"/>
              <w:bottom w:val="nil"/>
            </w:tcBorders>
            <w:shd w:val="clear" w:color="auto" w:fill="auto"/>
            <w:vAlign w:val="center"/>
          </w:tcPr>
          <w:p w14:paraId="190E7FEE" w14:textId="77777777" w:rsidR="008B7E19" w:rsidRPr="00976A92" w:rsidRDefault="008B7E19" w:rsidP="008B7E19">
            <w:pPr>
              <w:pStyle w:val="08-Tabelageral"/>
              <w:rPr>
                <w:rFonts w:cs="Arial"/>
                <w:b/>
              </w:rPr>
            </w:pPr>
          </w:p>
        </w:tc>
        <w:tc>
          <w:tcPr>
            <w:tcW w:w="1417" w:type="dxa"/>
            <w:tcBorders>
              <w:top w:val="single" w:sz="2" w:space="0" w:color="1F4E79" w:themeColor="accent1" w:themeShade="80"/>
              <w:bottom w:val="nil"/>
            </w:tcBorders>
            <w:shd w:val="clear" w:color="auto" w:fill="auto"/>
            <w:vAlign w:val="center"/>
          </w:tcPr>
          <w:p w14:paraId="5C4E88E1" w14:textId="77777777" w:rsidR="008B7E19" w:rsidRDefault="008B7E19" w:rsidP="008B7E19">
            <w:pPr>
              <w:pStyle w:val="08-Tabelageral"/>
              <w:rPr>
                <w:b/>
              </w:rPr>
            </w:pPr>
            <w:r>
              <w:rPr>
                <w:rFonts w:cs="Arial"/>
                <w:b/>
              </w:rPr>
              <w:t>39,875</w:t>
            </w:r>
          </w:p>
        </w:tc>
        <w:tc>
          <w:tcPr>
            <w:tcW w:w="1418" w:type="dxa"/>
            <w:tcBorders>
              <w:top w:val="single" w:sz="2" w:space="0" w:color="1F4E79" w:themeColor="accent1" w:themeShade="80"/>
              <w:bottom w:val="nil"/>
            </w:tcBorders>
            <w:shd w:val="clear" w:color="auto" w:fill="auto"/>
            <w:vAlign w:val="center"/>
          </w:tcPr>
          <w:p w14:paraId="4BE5FB27" w14:textId="77777777" w:rsidR="008B7E19" w:rsidRPr="00976A92" w:rsidRDefault="008B7E19" w:rsidP="008B7E19">
            <w:pPr>
              <w:pStyle w:val="08-Tabelageral"/>
              <w:rPr>
                <w:b/>
              </w:rPr>
            </w:pPr>
            <w:r w:rsidRPr="00D21604">
              <w:rPr>
                <w:rFonts w:cs="Arial"/>
                <w:b/>
              </w:rPr>
              <w:t>16</w:t>
            </w:r>
            <w:r>
              <w:rPr>
                <w:rFonts w:cs="Arial"/>
                <w:b/>
              </w:rPr>
              <w:t>,</w:t>
            </w:r>
            <w:r w:rsidRPr="00D21604">
              <w:rPr>
                <w:rFonts w:cs="Arial"/>
                <w:b/>
              </w:rPr>
              <w:t>131</w:t>
            </w:r>
          </w:p>
        </w:tc>
      </w:tr>
      <w:tr w:rsidR="008B7E19" w:rsidRPr="00BC7DA5" w14:paraId="16FCD7EE" w14:textId="77777777" w:rsidTr="008875E7">
        <w:trPr>
          <w:trHeight w:val="238"/>
          <w:jc w:val="center"/>
        </w:trPr>
        <w:tc>
          <w:tcPr>
            <w:tcW w:w="3261" w:type="dxa"/>
            <w:tcBorders>
              <w:top w:val="nil"/>
              <w:bottom w:val="nil"/>
            </w:tcBorders>
            <w:shd w:val="clear" w:color="auto" w:fill="auto"/>
          </w:tcPr>
          <w:p w14:paraId="5BDA75C8" w14:textId="77777777" w:rsidR="008B7E19" w:rsidRPr="00BC7DA5" w:rsidRDefault="008B7E19" w:rsidP="008B7E19">
            <w:pPr>
              <w:pStyle w:val="08-Tabelageral"/>
              <w:ind w:left="113"/>
              <w:jc w:val="left"/>
              <w:rPr>
                <w:rFonts w:cs="Arial"/>
                <w:szCs w:val="14"/>
              </w:rPr>
            </w:pPr>
            <w:r>
              <w:rPr>
                <w:rFonts w:cs="Arial"/>
                <w:szCs w:val="14"/>
              </w:rPr>
              <w:t>Antecipation of IR e CS</w:t>
            </w:r>
          </w:p>
        </w:tc>
        <w:tc>
          <w:tcPr>
            <w:tcW w:w="437" w:type="dxa"/>
            <w:tcBorders>
              <w:top w:val="nil"/>
              <w:bottom w:val="nil"/>
            </w:tcBorders>
            <w:shd w:val="clear" w:color="auto" w:fill="auto"/>
          </w:tcPr>
          <w:p w14:paraId="66E54FBF" w14:textId="77777777" w:rsidR="008B7E19" w:rsidRPr="00BC7DA5" w:rsidRDefault="008B7E19" w:rsidP="008B7E19">
            <w:pPr>
              <w:pStyle w:val="08-Tabelageral"/>
              <w:jc w:val="center"/>
              <w:rPr>
                <w:rFonts w:cs="Arial"/>
                <w:szCs w:val="14"/>
              </w:rPr>
            </w:pPr>
          </w:p>
        </w:tc>
        <w:tc>
          <w:tcPr>
            <w:tcW w:w="1411" w:type="dxa"/>
            <w:tcBorders>
              <w:top w:val="nil"/>
              <w:bottom w:val="nil"/>
            </w:tcBorders>
            <w:shd w:val="clear" w:color="auto" w:fill="auto"/>
            <w:vAlign w:val="center"/>
          </w:tcPr>
          <w:p w14:paraId="06314747" w14:textId="77777777" w:rsidR="008B7E19" w:rsidRPr="00BC7DA5" w:rsidRDefault="008B7E19" w:rsidP="008B7E19">
            <w:pPr>
              <w:pStyle w:val="08-Tabelageral"/>
              <w:rPr>
                <w:rFonts w:cs="Arial"/>
                <w:szCs w:val="14"/>
              </w:rPr>
            </w:pPr>
            <w:r>
              <w:rPr>
                <w:rFonts w:cs="Arial"/>
                <w:bCs/>
              </w:rPr>
              <w:t>--</w:t>
            </w:r>
          </w:p>
        </w:tc>
        <w:tc>
          <w:tcPr>
            <w:tcW w:w="1412" w:type="dxa"/>
            <w:tcBorders>
              <w:top w:val="nil"/>
              <w:bottom w:val="nil"/>
            </w:tcBorders>
            <w:shd w:val="clear" w:color="auto" w:fill="auto"/>
            <w:vAlign w:val="center"/>
          </w:tcPr>
          <w:p w14:paraId="2B88300F" w14:textId="77777777" w:rsidR="008B7E19" w:rsidRPr="00BC7DA5" w:rsidRDefault="008B7E19" w:rsidP="008B7E19">
            <w:pPr>
              <w:pStyle w:val="08-Tabelageral"/>
              <w:rPr>
                <w:rFonts w:cs="Arial"/>
                <w:szCs w:val="14"/>
              </w:rPr>
            </w:pPr>
            <w:r>
              <w:rPr>
                <w:rFonts w:cs="Arial"/>
                <w:bCs/>
              </w:rPr>
              <w:t>--</w:t>
            </w:r>
          </w:p>
        </w:tc>
        <w:tc>
          <w:tcPr>
            <w:tcW w:w="283" w:type="dxa"/>
            <w:tcBorders>
              <w:top w:val="nil"/>
              <w:bottom w:val="nil"/>
            </w:tcBorders>
            <w:shd w:val="clear" w:color="auto" w:fill="auto"/>
            <w:vAlign w:val="center"/>
          </w:tcPr>
          <w:p w14:paraId="22A86AF2" w14:textId="77777777" w:rsidR="008B7E19" w:rsidRPr="00BC7DA5" w:rsidRDefault="008B7E19" w:rsidP="008B7E19">
            <w:pPr>
              <w:pStyle w:val="08-Tabelageral"/>
              <w:rPr>
                <w:rFonts w:cs="Arial"/>
                <w:szCs w:val="14"/>
              </w:rPr>
            </w:pPr>
          </w:p>
        </w:tc>
        <w:tc>
          <w:tcPr>
            <w:tcW w:w="1417" w:type="dxa"/>
            <w:tcBorders>
              <w:top w:val="nil"/>
              <w:bottom w:val="nil"/>
            </w:tcBorders>
            <w:shd w:val="clear" w:color="auto" w:fill="auto"/>
            <w:vAlign w:val="center"/>
          </w:tcPr>
          <w:p w14:paraId="321B81EF" w14:textId="77777777" w:rsidR="008B7E19" w:rsidRPr="00BC7DA5" w:rsidRDefault="008B7E19" w:rsidP="008B7E19">
            <w:pPr>
              <w:pStyle w:val="08-Tabelageral"/>
              <w:rPr>
                <w:rFonts w:cs="Arial"/>
                <w:szCs w:val="14"/>
              </w:rPr>
            </w:pPr>
            <w:r>
              <w:rPr>
                <w:rFonts w:cs="Arial"/>
                <w:bCs/>
              </w:rPr>
              <w:t>244,660</w:t>
            </w:r>
          </w:p>
        </w:tc>
        <w:tc>
          <w:tcPr>
            <w:tcW w:w="1418" w:type="dxa"/>
            <w:tcBorders>
              <w:top w:val="nil"/>
              <w:bottom w:val="nil"/>
            </w:tcBorders>
            <w:shd w:val="clear" w:color="auto" w:fill="auto"/>
            <w:vAlign w:val="center"/>
          </w:tcPr>
          <w:p w14:paraId="64547441" w14:textId="77777777" w:rsidR="008B7E19" w:rsidRPr="00BC7DA5" w:rsidRDefault="008B7E19" w:rsidP="008B7E19">
            <w:pPr>
              <w:pStyle w:val="08-Tabelageral"/>
              <w:rPr>
                <w:rFonts w:cs="Arial"/>
                <w:szCs w:val="14"/>
              </w:rPr>
            </w:pPr>
            <w:r>
              <w:rPr>
                <w:rFonts w:cs="Arial"/>
                <w:bCs/>
              </w:rPr>
              <w:t>--</w:t>
            </w:r>
          </w:p>
        </w:tc>
      </w:tr>
      <w:tr w:rsidR="008B7E19" w:rsidRPr="00BC7DA5" w14:paraId="390C675A" w14:textId="77777777" w:rsidTr="008875E7">
        <w:trPr>
          <w:trHeight w:val="238"/>
          <w:jc w:val="center"/>
        </w:trPr>
        <w:tc>
          <w:tcPr>
            <w:tcW w:w="3261" w:type="dxa"/>
            <w:tcBorders>
              <w:top w:val="nil"/>
              <w:bottom w:val="nil"/>
            </w:tcBorders>
            <w:shd w:val="clear" w:color="auto" w:fill="auto"/>
          </w:tcPr>
          <w:p w14:paraId="7CF471AA" w14:textId="77777777" w:rsidR="008B7E19" w:rsidRPr="00BC7DA5" w:rsidRDefault="008B7E19" w:rsidP="008B7E19">
            <w:pPr>
              <w:pStyle w:val="08-Tabelageral"/>
              <w:ind w:left="113"/>
              <w:jc w:val="left"/>
              <w:rPr>
                <w:rFonts w:cs="Arial"/>
                <w:szCs w:val="14"/>
              </w:rPr>
            </w:pPr>
            <w:r w:rsidRPr="00BC7DA5">
              <w:rPr>
                <w:rFonts w:cs="Arial"/>
                <w:szCs w:val="14"/>
              </w:rPr>
              <w:t>IRRF</w:t>
            </w:r>
          </w:p>
        </w:tc>
        <w:tc>
          <w:tcPr>
            <w:tcW w:w="437" w:type="dxa"/>
            <w:tcBorders>
              <w:top w:val="nil"/>
              <w:bottom w:val="nil"/>
            </w:tcBorders>
            <w:shd w:val="clear" w:color="auto" w:fill="auto"/>
          </w:tcPr>
          <w:p w14:paraId="48B98D67" w14:textId="77777777" w:rsidR="008B7E19" w:rsidRPr="00BC7DA5" w:rsidRDefault="008B7E19" w:rsidP="008B7E19">
            <w:pPr>
              <w:pStyle w:val="08-Tabelageral"/>
              <w:jc w:val="center"/>
              <w:rPr>
                <w:rFonts w:cs="Arial"/>
                <w:szCs w:val="14"/>
              </w:rPr>
            </w:pPr>
          </w:p>
        </w:tc>
        <w:tc>
          <w:tcPr>
            <w:tcW w:w="1411" w:type="dxa"/>
            <w:tcBorders>
              <w:top w:val="nil"/>
              <w:bottom w:val="nil"/>
            </w:tcBorders>
            <w:shd w:val="clear" w:color="auto" w:fill="auto"/>
            <w:vAlign w:val="center"/>
          </w:tcPr>
          <w:p w14:paraId="117291FF" w14:textId="77777777" w:rsidR="008B7E19" w:rsidRPr="00BC7DA5" w:rsidRDefault="008B7E19" w:rsidP="008B7E19">
            <w:pPr>
              <w:pStyle w:val="08-Tabelageral"/>
              <w:rPr>
                <w:rFonts w:cs="Arial"/>
                <w:szCs w:val="14"/>
              </w:rPr>
            </w:pPr>
            <w:r>
              <w:rPr>
                <w:rFonts w:cs="Arial"/>
                <w:szCs w:val="14"/>
              </w:rPr>
              <w:t>18,161</w:t>
            </w:r>
          </w:p>
        </w:tc>
        <w:tc>
          <w:tcPr>
            <w:tcW w:w="1412" w:type="dxa"/>
            <w:tcBorders>
              <w:top w:val="nil"/>
              <w:bottom w:val="nil"/>
            </w:tcBorders>
            <w:shd w:val="clear" w:color="auto" w:fill="auto"/>
            <w:vAlign w:val="center"/>
          </w:tcPr>
          <w:p w14:paraId="7357947D" w14:textId="77777777" w:rsidR="008B7E19" w:rsidRPr="00BC7DA5" w:rsidRDefault="008B7E19" w:rsidP="008B7E19">
            <w:pPr>
              <w:pStyle w:val="08-Tabelageral"/>
              <w:rPr>
                <w:rFonts w:cs="Arial"/>
                <w:szCs w:val="14"/>
              </w:rPr>
            </w:pPr>
            <w:r>
              <w:rPr>
                <w:rFonts w:cs="Arial"/>
                <w:szCs w:val="14"/>
              </w:rPr>
              <w:t>16,131</w:t>
            </w:r>
          </w:p>
        </w:tc>
        <w:tc>
          <w:tcPr>
            <w:tcW w:w="283" w:type="dxa"/>
            <w:tcBorders>
              <w:top w:val="nil"/>
              <w:bottom w:val="nil"/>
            </w:tcBorders>
            <w:shd w:val="clear" w:color="auto" w:fill="auto"/>
            <w:vAlign w:val="center"/>
          </w:tcPr>
          <w:p w14:paraId="01E869BD" w14:textId="77777777" w:rsidR="008B7E19" w:rsidRPr="00BC7DA5" w:rsidRDefault="008B7E19" w:rsidP="008B7E19">
            <w:pPr>
              <w:pStyle w:val="08-Tabelageral"/>
              <w:rPr>
                <w:rFonts w:cs="Arial"/>
                <w:szCs w:val="14"/>
              </w:rPr>
            </w:pPr>
          </w:p>
        </w:tc>
        <w:tc>
          <w:tcPr>
            <w:tcW w:w="1417" w:type="dxa"/>
            <w:tcBorders>
              <w:top w:val="nil"/>
              <w:bottom w:val="nil"/>
            </w:tcBorders>
            <w:shd w:val="clear" w:color="auto" w:fill="auto"/>
            <w:vAlign w:val="center"/>
          </w:tcPr>
          <w:p w14:paraId="4C2D218B" w14:textId="77777777" w:rsidR="008B7E19" w:rsidRPr="00BC7DA5" w:rsidRDefault="008B7E19" w:rsidP="008B7E19">
            <w:pPr>
              <w:pStyle w:val="08-Tabelageral"/>
              <w:rPr>
                <w:rFonts w:cs="Arial"/>
                <w:szCs w:val="14"/>
              </w:rPr>
            </w:pPr>
            <w:r>
              <w:rPr>
                <w:rFonts w:cs="Arial"/>
                <w:szCs w:val="14"/>
              </w:rPr>
              <w:t>107,550</w:t>
            </w:r>
          </w:p>
        </w:tc>
        <w:tc>
          <w:tcPr>
            <w:tcW w:w="1418" w:type="dxa"/>
            <w:tcBorders>
              <w:top w:val="nil"/>
              <w:bottom w:val="nil"/>
            </w:tcBorders>
            <w:shd w:val="clear" w:color="auto" w:fill="auto"/>
            <w:vAlign w:val="center"/>
          </w:tcPr>
          <w:p w14:paraId="7A6CBFF1" w14:textId="77777777" w:rsidR="008B7E19" w:rsidRPr="00BC7DA5" w:rsidRDefault="008B7E19" w:rsidP="008B7E19">
            <w:pPr>
              <w:pStyle w:val="08-Tabelageral"/>
              <w:rPr>
                <w:rFonts w:cs="Arial"/>
                <w:szCs w:val="14"/>
              </w:rPr>
            </w:pPr>
            <w:r>
              <w:rPr>
                <w:rFonts w:cs="Arial"/>
                <w:szCs w:val="14"/>
              </w:rPr>
              <w:t>89,867</w:t>
            </w:r>
          </w:p>
        </w:tc>
      </w:tr>
      <w:tr w:rsidR="008B7E19" w:rsidRPr="00BC7DA5" w14:paraId="3A9F53D7" w14:textId="77777777" w:rsidTr="008875E7">
        <w:trPr>
          <w:trHeight w:val="238"/>
          <w:jc w:val="center"/>
        </w:trPr>
        <w:tc>
          <w:tcPr>
            <w:tcW w:w="3261" w:type="dxa"/>
            <w:tcBorders>
              <w:top w:val="nil"/>
              <w:bottom w:val="nil"/>
            </w:tcBorders>
            <w:shd w:val="clear" w:color="auto" w:fill="auto"/>
          </w:tcPr>
          <w:p w14:paraId="2BE5C9A1" w14:textId="77777777" w:rsidR="008B7E19" w:rsidRPr="00BC7DA5" w:rsidRDefault="008B7E19" w:rsidP="008B7E19">
            <w:pPr>
              <w:pStyle w:val="08-Tabelageral"/>
              <w:ind w:left="283" w:hanging="170"/>
              <w:jc w:val="left"/>
              <w:rPr>
                <w:rFonts w:cs="Arial"/>
                <w:szCs w:val="14"/>
              </w:rPr>
            </w:pPr>
            <w:r w:rsidRPr="00BC7DA5">
              <w:rPr>
                <w:rFonts w:cs="Arial"/>
                <w:szCs w:val="14"/>
              </w:rPr>
              <w:t>(-)</w:t>
            </w:r>
            <w:r>
              <w:rPr>
                <w:rFonts w:cs="Arial"/>
                <w:szCs w:val="14"/>
              </w:rPr>
              <w:t xml:space="preserve"> Current taxes deducted/offset</w:t>
            </w:r>
          </w:p>
        </w:tc>
        <w:tc>
          <w:tcPr>
            <w:tcW w:w="437" w:type="dxa"/>
            <w:tcBorders>
              <w:top w:val="nil"/>
              <w:bottom w:val="nil"/>
            </w:tcBorders>
            <w:shd w:val="clear" w:color="auto" w:fill="auto"/>
          </w:tcPr>
          <w:p w14:paraId="2974E87A" w14:textId="77777777" w:rsidR="008B7E19" w:rsidRPr="00BC7DA5" w:rsidRDefault="008B7E19" w:rsidP="008B7E19">
            <w:pPr>
              <w:pStyle w:val="08-Tabelageral"/>
              <w:jc w:val="center"/>
              <w:rPr>
                <w:rFonts w:cs="Arial"/>
                <w:szCs w:val="14"/>
              </w:rPr>
            </w:pPr>
          </w:p>
        </w:tc>
        <w:tc>
          <w:tcPr>
            <w:tcW w:w="1411" w:type="dxa"/>
            <w:tcBorders>
              <w:top w:val="nil"/>
              <w:bottom w:val="nil"/>
            </w:tcBorders>
            <w:shd w:val="clear" w:color="auto" w:fill="auto"/>
            <w:vAlign w:val="center"/>
          </w:tcPr>
          <w:p w14:paraId="050752A3" w14:textId="77777777" w:rsidR="008B7E19" w:rsidRPr="00BC7DA5" w:rsidRDefault="008B7E19" w:rsidP="008B7E19">
            <w:pPr>
              <w:pStyle w:val="08-Tabelageral"/>
              <w:rPr>
                <w:rFonts w:cs="Arial"/>
                <w:szCs w:val="14"/>
              </w:rPr>
            </w:pPr>
            <w:r>
              <w:rPr>
                <w:rFonts w:cs="Arial"/>
                <w:szCs w:val="14"/>
              </w:rPr>
              <w:t>(253)</w:t>
            </w:r>
          </w:p>
        </w:tc>
        <w:tc>
          <w:tcPr>
            <w:tcW w:w="1412" w:type="dxa"/>
            <w:tcBorders>
              <w:top w:val="nil"/>
              <w:bottom w:val="nil"/>
            </w:tcBorders>
            <w:shd w:val="clear" w:color="auto" w:fill="auto"/>
            <w:vAlign w:val="center"/>
          </w:tcPr>
          <w:p w14:paraId="04F9E12E" w14:textId="77777777" w:rsidR="008B7E19" w:rsidRPr="00BC7DA5" w:rsidRDefault="008B7E19" w:rsidP="008B7E19">
            <w:pPr>
              <w:pStyle w:val="08-Tabelageral"/>
              <w:rPr>
                <w:rFonts w:cs="Arial"/>
                <w:szCs w:val="14"/>
              </w:rPr>
            </w:pPr>
            <w:r>
              <w:rPr>
                <w:rFonts w:cs="Arial"/>
                <w:szCs w:val="14"/>
              </w:rPr>
              <w:t>--</w:t>
            </w:r>
          </w:p>
        </w:tc>
        <w:tc>
          <w:tcPr>
            <w:tcW w:w="283" w:type="dxa"/>
            <w:tcBorders>
              <w:top w:val="nil"/>
              <w:bottom w:val="nil"/>
            </w:tcBorders>
            <w:shd w:val="clear" w:color="auto" w:fill="auto"/>
            <w:vAlign w:val="center"/>
          </w:tcPr>
          <w:p w14:paraId="01404A67" w14:textId="77777777" w:rsidR="008B7E19" w:rsidRPr="00BC7DA5" w:rsidRDefault="008B7E19" w:rsidP="008B7E19">
            <w:pPr>
              <w:pStyle w:val="08-Tabelageral"/>
              <w:rPr>
                <w:rFonts w:cs="Arial"/>
                <w:szCs w:val="14"/>
              </w:rPr>
            </w:pPr>
          </w:p>
        </w:tc>
        <w:tc>
          <w:tcPr>
            <w:tcW w:w="1417" w:type="dxa"/>
            <w:tcBorders>
              <w:top w:val="nil"/>
              <w:bottom w:val="nil"/>
            </w:tcBorders>
            <w:shd w:val="clear" w:color="auto" w:fill="auto"/>
            <w:vAlign w:val="center"/>
          </w:tcPr>
          <w:p w14:paraId="1A72F6BC" w14:textId="77777777" w:rsidR="008B7E19" w:rsidRPr="00BC7DA5" w:rsidRDefault="008B7E19" w:rsidP="008B7E19">
            <w:pPr>
              <w:pStyle w:val="08-Tabelageral"/>
              <w:rPr>
                <w:rFonts w:cs="Arial"/>
                <w:szCs w:val="14"/>
              </w:rPr>
            </w:pPr>
            <w:r>
              <w:rPr>
                <w:rFonts w:cs="Arial"/>
                <w:szCs w:val="14"/>
              </w:rPr>
              <w:t>(312,335)</w:t>
            </w:r>
          </w:p>
        </w:tc>
        <w:tc>
          <w:tcPr>
            <w:tcW w:w="1418" w:type="dxa"/>
            <w:tcBorders>
              <w:top w:val="nil"/>
              <w:bottom w:val="nil"/>
            </w:tcBorders>
            <w:shd w:val="clear" w:color="auto" w:fill="auto"/>
            <w:vAlign w:val="center"/>
          </w:tcPr>
          <w:p w14:paraId="47704F4F" w14:textId="77777777" w:rsidR="008B7E19" w:rsidRPr="00BC7DA5" w:rsidRDefault="008B7E19" w:rsidP="008B7E19">
            <w:pPr>
              <w:pStyle w:val="08-Tabelageral"/>
              <w:rPr>
                <w:rFonts w:cs="Arial"/>
                <w:szCs w:val="14"/>
              </w:rPr>
            </w:pPr>
            <w:r w:rsidRPr="00D21604">
              <w:rPr>
                <w:rFonts w:cs="Arial"/>
                <w:szCs w:val="14"/>
              </w:rPr>
              <w:t>(</w:t>
            </w:r>
            <w:r>
              <w:rPr>
                <w:rFonts w:cs="Arial"/>
                <w:szCs w:val="14"/>
              </w:rPr>
              <w:t>73,736</w:t>
            </w:r>
            <w:r w:rsidRPr="00D21604">
              <w:rPr>
                <w:rFonts w:cs="Arial"/>
                <w:szCs w:val="14"/>
              </w:rPr>
              <w:t>)</w:t>
            </w:r>
          </w:p>
        </w:tc>
      </w:tr>
      <w:tr w:rsidR="008B7E19" w:rsidRPr="00C46DD7" w14:paraId="43B0E91B" w14:textId="77777777" w:rsidTr="008875E7">
        <w:trPr>
          <w:trHeight w:val="238"/>
          <w:jc w:val="center"/>
        </w:trPr>
        <w:tc>
          <w:tcPr>
            <w:tcW w:w="3261" w:type="dxa"/>
            <w:tcBorders>
              <w:top w:val="nil"/>
              <w:bottom w:val="nil"/>
            </w:tcBorders>
            <w:shd w:val="clear" w:color="auto" w:fill="auto"/>
          </w:tcPr>
          <w:p w14:paraId="0D6041DD" w14:textId="77777777" w:rsidR="008B7E19" w:rsidRPr="00C46DD7" w:rsidRDefault="008B7E19" w:rsidP="008B7E19">
            <w:pPr>
              <w:pStyle w:val="08-Tabelageral"/>
              <w:ind w:left="177" w:hanging="170"/>
              <w:jc w:val="left"/>
              <w:rPr>
                <w:rFonts w:cs="Arial"/>
                <w:b/>
                <w:szCs w:val="14"/>
              </w:rPr>
            </w:pPr>
            <w:r w:rsidRPr="00C46DD7">
              <w:rPr>
                <w:rFonts w:cs="Arial"/>
                <w:b/>
                <w:lang w:val="en-US"/>
              </w:rPr>
              <w:t>Non-Current Assets</w:t>
            </w:r>
          </w:p>
        </w:tc>
        <w:tc>
          <w:tcPr>
            <w:tcW w:w="437" w:type="dxa"/>
            <w:tcBorders>
              <w:top w:val="nil"/>
              <w:bottom w:val="nil"/>
            </w:tcBorders>
            <w:shd w:val="clear" w:color="auto" w:fill="auto"/>
          </w:tcPr>
          <w:p w14:paraId="40CB7E32" w14:textId="77777777" w:rsidR="008B7E19" w:rsidRPr="00C46DD7" w:rsidRDefault="008B7E19" w:rsidP="008B7E19">
            <w:pPr>
              <w:pStyle w:val="08-Tabelageral"/>
              <w:jc w:val="center"/>
              <w:rPr>
                <w:rFonts w:cs="Arial"/>
                <w:b/>
                <w:szCs w:val="14"/>
              </w:rPr>
            </w:pPr>
          </w:p>
        </w:tc>
        <w:tc>
          <w:tcPr>
            <w:tcW w:w="1411" w:type="dxa"/>
            <w:tcBorders>
              <w:top w:val="nil"/>
              <w:bottom w:val="nil"/>
            </w:tcBorders>
            <w:shd w:val="clear" w:color="auto" w:fill="auto"/>
            <w:vAlign w:val="center"/>
          </w:tcPr>
          <w:p w14:paraId="59B525DF" w14:textId="77777777" w:rsidR="008B7E19" w:rsidRPr="00C46DD7" w:rsidRDefault="008B7E19" w:rsidP="008B7E19">
            <w:pPr>
              <w:pStyle w:val="08-Tabelageral"/>
              <w:rPr>
                <w:rFonts w:cs="Arial"/>
                <w:b/>
                <w:szCs w:val="14"/>
              </w:rPr>
            </w:pPr>
            <w:r>
              <w:rPr>
                <w:rFonts w:cs="Arial"/>
                <w:b/>
                <w:szCs w:val="14"/>
              </w:rPr>
              <w:t>91,322</w:t>
            </w:r>
          </w:p>
        </w:tc>
        <w:tc>
          <w:tcPr>
            <w:tcW w:w="1412" w:type="dxa"/>
            <w:tcBorders>
              <w:top w:val="nil"/>
              <w:bottom w:val="nil"/>
            </w:tcBorders>
            <w:shd w:val="clear" w:color="auto" w:fill="auto"/>
            <w:vAlign w:val="center"/>
          </w:tcPr>
          <w:p w14:paraId="157AB075" w14:textId="77777777" w:rsidR="008B7E19" w:rsidRPr="00C46DD7" w:rsidRDefault="008B7E19" w:rsidP="008B7E19">
            <w:pPr>
              <w:pStyle w:val="08-Tabelageral"/>
              <w:rPr>
                <w:rFonts w:cs="Arial"/>
                <w:b/>
                <w:szCs w:val="14"/>
              </w:rPr>
            </w:pPr>
            <w:r>
              <w:rPr>
                <w:rFonts w:cs="Arial"/>
                <w:b/>
                <w:szCs w:val="14"/>
              </w:rPr>
              <w:t>75,177</w:t>
            </w:r>
          </w:p>
        </w:tc>
        <w:tc>
          <w:tcPr>
            <w:tcW w:w="283" w:type="dxa"/>
            <w:tcBorders>
              <w:top w:val="nil"/>
              <w:bottom w:val="nil"/>
            </w:tcBorders>
            <w:shd w:val="clear" w:color="auto" w:fill="auto"/>
            <w:vAlign w:val="center"/>
          </w:tcPr>
          <w:p w14:paraId="1ED0472E" w14:textId="77777777" w:rsidR="008B7E19" w:rsidRPr="00C46DD7" w:rsidRDefault="008B7E19" w:rsidP="008B7E19">
            <w:pPr>
              <w:pStyle w:val="08-Tabelageral"/>
              <w:rPr>
                <w:rFonts w:cs="Arial"/>
                <w:b/>
                <w:szCs w:val="14"/>
              </w:rPr>
            </w:pPr>
          </w:p>
        </w:tc>
        <w:tc>
          <w:tcPr>
            <w:tcW w:w="1417" w:type="dxa"/>
            <w:tcBorders>
              <w:top w:val="nil"/>
              <w:bottom w:val="nil"/>
            </w:tcBorders>
            <w:shd w:val="clear" w:color="auto" w:fill="auto"/>
            <w:vAlign w:val="center"/>
          </w:tcPr>
          <w:p w14:paraId="37477EE9" w14:textId="77777777" w:rsidR="008B7E19" w:rsidRPr="00C46DD7" w:rsidRDefault="008B7E19" w:rsidP="008B7E19">
            <w:pPr>
              <w:pStyle w:val="08-Tabelageral"/>
              <w:rPr>
                <w:rFonts w:cs="Arial"/>
                <w:b/>
                <w:szCs w:val="14"/>
              </w:rPr>
            </w:pPr>
            <w:r>
              <w:rPr>
                <w:rFonts w:cs="Arial"/>
                <w:b/>
                <w:szCs w:val="14"/>
              </w:rPr>
              <w:t>98,648</w:t>
            </w:r>
          </w:p>
        </w:tc>
        <w:tc>
          <w:tcPr>
            <w:tcW w:w="1418" w:type="dxa"/>
            <w:tcBorders>
              <w:top w:val="nil"/>
              <w:bottom w:val="nil"/>
            </w:tcBorders>
            <w:shd w:val="clear" w:color="auto" w:fill="auto"/>
            <w:vAlign w:val="center"/>
          </w:tcPr>
          <w:p w14:paraId="4CDC8A42" w14:textId="77777777" w:rsidR="008B7E19" w:rsidRPr="00C46DD7" w:rsidRDefault="008B7E19" w:rsidP="008B7E19">
            <w:pPr>
              <w:pStyle w:val="08-Tabelageral"/>
              <w:rPr>
                <w:rFonts w:cs="Arial"/>
                <w:b/>
                <w:szCs w:val="14"/>
              </w:rPr>
            </w:pPr>
            <w:r w:rsidRPr="00D21604">
              <w:rPr>
                <w:rFonts w:cs="Arial"/>
                <w:b/>
                <w:szCs w:val="14"/>
              </w:rPr>
              <w:t>8</w:t>
            </w:r>
            <w:r>
              <w:rPr>
                <w:rFonts w:cs="Arial"/>
                <w:b/>
                <w:szCs w:val="14"/>
              </w:rPr>
              <w:t>0,977</w:t>
            </w:r>
          </w:p>
        </w:tc>
      </w:tr>
      <w:tr w:rsidR="008B7E19" w:rsidRPr="00BC7DA5" w14:paraId="712E70C6" w14:textId="77777777" w:rsidTr="008875E7">
        <w:trPr>
          <w:trHeight w:val="238"/>
          <w:jc w:val="center"/>
        </w:trPr>
        <w:tc>
          <w:tcPr>
            <w:tcW w:w="3261" w:type="dxa"/>
            <w:tcBorders>
              <w:top w:val="nil"/>
              <w:bottom w:val="nil"/>
            </w:tcBorders>
            <w:shd w:val="clear" w:color="auto" w:fill="auto"/>
          </w:tcPr>
          <w:p w14:paraId="74EB968F" w14:textId="77777777" w:rsidR="008B7E19" w:rsidRPr="00BC7DA5" w:rsidRDefault="008B7E19" w:rsidP="008B7E19">
            <w:pPr>
              <w:pStyle w:val="08-Tabelageral"/>
              <w:ind w:left="283" w:hanging="170"/>
              <w:jc w:val="left"/>
              <w:rPr>
                <w:rFonts w:cs="Arial"/>
                <w:szCs w:val="14"/>
              </w:rPr>
            </w:pPr>
            <w:r w:rsidRPr="00E1219D">
              <w:rPr>
                <w:rFonts w:cs="Arial"/>
                <w:szCs w:val="14"/>
              </w:rPr>
              <w:t>Taxes to compensate</w:t>
            </w:r>
          </w:p>
        </w:tc>
        <w:tc>
          <w:tcPr>
            <w:tcW w:w="437" w:type="dxa"/>
            <w:tcBorders>
              <w:top w:val="nil"/>
              <w:bottom w:val="nil"/>
            </w:tcBorders>
            <w:shd w:val="clear" w:color="auto" w:fill="auto"/>
          </w:tcPr>
          <w:p w14:paraId="0CFBDF6B" w14:textId="77777777" w:rsidR="008B7E19" w:rsidRPr="00BC7DA5" w:rsidRDefault="008B7E19" w:rsidP="008B7E19">
            <w:pPr>
              <w:pStyle w:val="08-Tabelageral"/>
              <w:jc w:val="center"/>
              <w:rPr>
                <w:rFonts w:cs="Arial"/>
                <w:szCs w:val="14"/>
              </w:rPr>
            </w:pPr>
          </w:p>
        </w:tc>
        <w:tc>
          <w:tcPr>
            <w:tcW w:w="1411" w:type="dxa"/>
            <w:tcBorders>
              <w:top w:val="nil"/>
              <w:bottom w:val="nil"/>
            </w:tcBorders>
            <w:shd w:val="clear" w:color="auto" w:fill="auto"/>
            <w:vAlign w:val="center"/>
          </w:tcPr>
          <w:p w14:paraId="35B6BBE7" w14:textId="77777777" w:rsidR="008B7E19" w:rsidRPr="00BC7DA5" w:rsidRDefault="008B7E19" w:rsidP="008B7E19">
            <w:pPr>
              <w:pStyle w:val="08-Tabelageral"/>
              <w:rPr>
                <w:rFonts w:cs="Arial"/>
                <w:szCs w:val="14"/>
              </w:rPr>
            </w:pPr>
            <w:r>
              <w:rPr>
                <w:rFonts w:cs="Arial"/>
                <w:szCs w:val="14"/>
              </w:rPr>
              <w:t>91,746</w:t>
            </w:r>
          </w:p>
        </w:tc>
        <w:tc>
          <w:tcPr>
            <w:tcW w:w="1412" w:type="dxa"/>
            <w:tcBorders>
              <w:top w:val="nil"/>
              <w:bottom w:val="nil"/>
            </w:tcBorders>
            <w:shd w:val="clear" w:color="auto" w:fill="auto"/>
            <w:vAlign w:val="center"/>
          </w:tcPr>
          <w:p w14:paraId="3E5350F4" w14:textId="77777777" w:rsidR="008B7E19" w:rsidRPr="00BC7DA5" w:rsidRDefault="008B7E19" w:rsidP="008B7E19">
            <w:pPr>
              <w:pStyle w:val="08-Tabelageral"/>
              <w:rPr>
                <w:rFonts w:cs="Arial"/>
                <w:szCs w:val="14"/>
              </w:rPr>
            </w:pPr>
            <w:r>
              <w:rPr>
                <w:rFonts w:cs="Arial"/>
                <w:szCs w:val="14"/>
              </w:rPr>
              <w:t>75,237</w:t>
            </w:r>
          </w:p>
        </w:tc>
        <w:tc>
          <w:tcPr>
            <w:tcW w:w="283" w:type="dxa"/>
            <w:tcBorders>
              <w:top w:val="nil"/>
              <w:bottom w:val="nil"/>
            </w:tcBorders>
            <w:shd w:val="clear" w:color="auto" w:fill="auto"/>
            <w:vAlign w:val="center"/>
          </w:tcPr>
          <w:p w14:paraId="1D5577C9" w14:textId="77777777" w:rsidR="008B7E19" w:rsidRPr="00BC7DA5" w:rsidRDefault="008B7E19" w:rsidP="008B7E19">
            <w:pPr>
              <w:pStyle w:val="08-Tabelageral"/>
              <w:rPr>
                <w:rFonts w:cs="Arial"/>
                <w:szCs w:val="14"/>
              </w:rPr>
            </w:pPr>
          </w:p>
        </w:tc>
        <w:tc>
          <w:tcPr>
            <w:tcW w:w="1417" w:type="dxa"/>
            <w:tcBorders>
              <w:top w:val="nil"/>
              <w:bottom w:val="nil"/>
            </w:tcBorders>
            <w:shd w:val="clear" w:color="auto" w:fill="auto"/>
            <w:vAlign w:val="center"/>
          </w:tcPr>
          <w:p w14:paraId="72E11702" w14:textId="77777777" w:rsidR="008B7E19" w:rsidRPr="00BC7DA5" w:rsidRDefault="008B7E19" w:rsidP="008B7E19">
            <w:pPr>
              <w:pStyle w:val="08-Tabelageral"/>
              <w:rPr>
                <w:rFonts w:cs="Arial"/>
                <w:szCs w:val="14"/>
              </w:rPr>
            </w:pPr>
            <w:r>
              <w:rPr>
                <w:rFonts w:cs="Arial"/>
                <w:szCs w:val="14"/>
              </w:rPr>
              <w:t>99,072</w:t>
            </w:r>
          </w:p>
        </w:tc>
        <w:tc>
          <w:tcPr>
            <w:tcW w:w="1418" w:type="dxa"/>
            <w:tcBorders>
              <w:top w:val="nil"/>
              <w:bottom w:val="nil"/>
            </w:tcBorders>
            <w:shd w:val="clear" w:color="auto" w:fill="auto"/>
            <w:vAlign w:val="center"/>
          </w:tcPr>
          <w:p w14:paraId="403CA262" w14:textId="77777777" w:rsidR="008B7E19" w:rsidRPr="00BC7DA5" w:rsidRDefault="008B7E19" w:rsidP="008B7E19">
            <w:pPr>
              <w:pStyle w:val="08-Tabelageral"/>
              <w:rPr>
                <w:rFonts w:cs="Arial"/>
                <w:szCs w:val="14"/>
              </w:rPr>
            </w:pPr>
            <w:r>
              <w:rPr>
                <w:rFonts w:cs="Arial"/>
                <w:szCs w:val="14"/>
              </w:rPr>
              <w:t>82,482</w:t>
            </w:r>
          </w:p>
        </w:tc>
      </w:tr>
      <w:tr w:rsidR="008B7E19" w:rsidRPr="00BC7DA5" w14:paraId="71FF6E80" w14:textId="77777777" w:rsidTr="008875E7">
        <w:trPr>
          <w:trHeight w:val="238"/>
          <w:jc w:val="center"/>
        </w:trPr>
        <w:tc>
          <w:tcPr>
            <w:tcW w:w="3261" w:type="dxa"/>
            <w:tcBorders>
              <w:top w:val="nil"/>
              <w:bottom w:val="nil"/>
            </w:tcBorders>
            <w:shd w:val="clear" w:color="auto" w:fill="auto"/>
          </w:tcPr>
          <w:p w14:paraId="1DA960B4" w14:textId="77777777" w:rsidR="008B7E19" w:rsidRPr="00E1219D" w:rsidRDefault="008B7E19" w:rsidP="008B7E19">
            <w:pPr>
              <w:pStyle w:val="08-Tabelageral"/>
              <w:ind w:left="283" w:hanging="170"/>
              <w:jc w:val="left"/>
              <w:rPr>
                <w:rFonts w:cs="Arial"/>
                <w:szCs w:val="14"/>
              </w:rPr>
            </w:pPr>
            <w:r w:rsidRPr="00BC7DA5">
              <w:rPr>
                <w:rFonts w:cs="Arial"/>
                <w:szCs w:val="14"/>
              </w:rPr>
              <w:t>(-)</w:t>
            </w:r>
            <w:r>
              <w:rPr>
                <w:rFonts w:cs="Arial"/>
                <w:szCs w:val="14"/>
              </w:rPr>
              <w:t xml:space="preserve"> Current taxes deducted/offset</w:t>
            </w:r>
          </w:p>
        </w:tc>
        <w:tc>
          <w:tcPr>
            <w:tcW w:w="437" w:type="dxa"/>
            <w:tcBorders>
              <w:top w:val="nil"/>
              <w:bottom w:val="nil"/>
            </w:tcBorders>
            <w:shd w:val="clear" w:color="auto" w:fill="auto"/>
          </w:tcPr>
          <w:p w14:paraId="05EFAE23" w14:textId="77777777" w:rsidR="008B7E19" w:rsidRPr="00BC7DA5" w:rsidRDefault="008B7E19" w:rsidP="008B7E19">
            <w:pPr>
              <w:pStyle w:val="08-Tabelageral"/>
              <w:jc w:val="center"/>
              <w:rPr>
                <w:rFonts w:cs="Arial"/>
                <w:szCs w:val="14"/>
              </w:rPr>
            </w:pPr>
          </w:p>
        </w:tc>
        <w:tc>
          <w:tcPr>
            <w:tcW w:w="1411" w:type="dxa"/>
            <w:tcBorders>
              <w:top w:val="nil"/>
              <w:bottom w:val="nil"/>
            </w:tcBorders>
            <w:shd w:val="clear" w:color="auto" w:fill="auto"/>
            <w:vAlign w:val="center"/>
          </w:tcPr>
          <w:p w14:paraId="56F838E6" w14:textId="77777777" w:rsidR="008B7E19" w:rsidRDefault="008B7E19" w:rsidP="008B7E19">
            <w:pPr>
              <w:pStyle w:val="08-Tabelageral"/>
              <w:rPr>
                <w:rFonts w:cs="Arial"/>
                <w:szCs w:val="14"/>
              </w:rPr>
            </w:pPr>
            <w:r>
              <w:rPr>
                <w:rFonts w:cs="Arial"/>
                <w:szCs w:val="14"/>
              </w:rPr>
              <w:t>(424)</w:t>
            </w:r>
          </w:p>
        </w:tc>
        <w:tc>
          <w:tcPr>
            <w:tcW w:w="1412" w:type="dxa"/>
            <w:tcBorders>
              <w:top w:val="nil"/>
              <w:bottom w:val="nil"/>
            </w:tcBorders>
            <w:shd w:val="clear" w:color="auto" w:fill="auto"/>
            <w:vAlign w:val="center"/>
          </w:tcPr>
          <w:p w14:paraId="0BABB4A3" w14:textId="77777777" w:rsidR="008B7E19" w:rsidRDefault="008B7E19" w:rsidP="008B7E19">
            <w:pPr>
              <w:pStyle w:val="08-Tabelageral"/>
              <w:rPr>
                <w:rFonts w:cs="Arial"/>
                <w:szCs w:val="14"/>
              </w:rPr>
            </w:pPr>
            <w:r>
              <w:rPr>
                <w:rFonts w:cs="Arial"/>
                <w:szCs w:val="14"/>
              </w:rPr>
              <w:t>(60)</w:t>
            </w:r>
          </w:p>
        </w:tc>
        <w:tc>
          <w:tcPr>
            <w:tcW w:w="283" w:type="dxa"/>
            <w:tcBorders>
              <w:top w:val="nil"/>
              <w:bottom w:val="nil"/>
            </w:tcBorders>
            <w:shd w:val="clear" w:color="auto" w:fill="auto"/>
            <w:vAlign w:val="center"/>
          </w:tcPr>
          <w:p w14:paraId="553D85F7" w14:textId="77777777" w:rsidR="008B7E19" w:rsidRPr="00BC7DA5" w:rsidRDefault="008B7E19" w:rsidP="008B7E19">
            <w:pPr>
              <w:pStyle w:val="08-Tabelageral"/>
              <w:rPr>
                <w:rFonts w:cs="Arial"/>
                <w:szCs w:val="14"/>
              </w:rPr>
            </w:pPr>
          </w:p>
        </w:tc>
        <w:tc>
          <w:tcPr>
            <w:tcW w:w="1417" w:type="dxa"/>
            <w:tcBorders>
              <w:top w:val="nil"/>
              <w:bottom w:val="nil"/>
            </w:tcBorders>
            <w:shd w:val="clear" w:color="auto" w:fill="auto"/>
            <w:vAlign w:val="center"/>
          </w:tcPr>
          <w:p w14:paraId="344929C6" w14:textId="77777777" w:rsidR="008B7E19" w:rsidRDefault="008B7E19" w:rsidP="008B7E19">
            <w:pPr>
              <w:pStyle w:val="08-Tabelageral"/>
              <w:rPr>
                <w:rFonts w:cs="Arial"/>
                <w:szCs w:val="14"/>
              </w:rPr>
            </w:pPr>
            <w:r>
              <w:rPr>
                <w:rFonts w:cs="Arial"/>
                <w:szCs w:val="14"/>
              </w:rPr>
              <w:t>(424)</w:t>
            </w:r>
          </w:p>
        </w:tc>
        <w:tc>
          <w:tcPr>
            <w:tcW w:w="1418" w:type="dxa"/>
            <w:tcBorders>
              <w:top w:val="nil"/>
              <w:bottom w:val="nil"/>
            </w:tcBorders>
            <w:shd w:val="clear" w:color="auto" w:fill="auto"/>
            <w:vAlign w:val="center"/>
          </w:tcPr>
          <w:p w14:paraId="75D470FC" w14:textId="77777777" w:rsidR="008B7E19" w:rsidRDefault="008B7E19" w:rsidP="008B7E19">
            <w:pPr>
              <w:pStyle w:val="08-Tabelageral"/>
              <w:rPr>
                <w:rFonts w:cs="Arial"/>
                <w:szCs w:val="14"/>
              </w:rPr>
            </w:pPr>
            <w:r w:rsidRPr="00D21604">
              <w:rPr>
                <w:rFonts w:cs="Arial"/>
                <w:szCs w:val="14"/>
              </w:rPr>
              <w:t>(</w:t>
            </w:r>
            <w:r>
              <w:rPr>
                <w:rFonts w:cs="Arial"/>
                <w:szCs w:val="14"/>
              </w:rPr>
              <w:t>1,505</w:t>
            </w:r>
            <w:r w:rsidRPr="00D21604">
              <w:rPr>
                <w:rFonts w:cs="Arial"/>
                <w:szCs w:val="14"/>
              </w:rPr>
              <w:t>)</w:t>
            </w:r>
          </w:p>
        </w:tc>
      </w:tr>
      <w:tr w:rsidR="008B7E19" w:rsidRPr="00BC7DA5" w14:paraId="7A86D433" w14:textId="77777777" w:rsidTr="008875E7">
        <w:trPr>
          <w:trHeight w:val="238"/>
          <w:jc w:val="center"/>
        </w:trPr>
        <w:tc>
          <w:tcPr>
            <w:tcW w:w="3261" w:type="dxa"/>
            <w:tcBorders>
              <w:top w:val="nil"/>
              <w:bottom w:val="single" w:sz="2" w:space="0" w:color="1F4E79" w:themeColor="accent1" w:themeShade="80"/>
            </w:tcBorders>
            <w:shd w:val="clear" w:color="auto" w:fill="auto"/>
          </w:tcPr>
          <w:p w14:paraId="6F3F278C" w14:textId="77777777" w:rsidR="008B7E19" w:rsidRPr="00BC7DA5" w:rsidRDefault="008B7E19" w:rsidP="008B7E19">
            <w:pPr>
              <w:pStyle w:val="08-Tabelageral"/>
              <w:jc w:val="left"/>
              <w:rPr>
                <w:rFonts w:cs="Arial"/>
                <w:b/>
                <w:szCs w:val="14"/>
              </w:rPr>
            </w:pPr>
            <w:r w:rsidRPr="00BC7DA5">
              <w:rPr>
                <w:rFonts w:cs="Arial"/>
                <w:b/>
              </w:rPr>
              <w:t>Total</w:t>
            </w:r>
            <w:r>
              <w:rPr>
                <w:rFonts w:cs="Arial"/>
                <w:b/>
              </w:rPr>
              <w:t xml:space="preserve"> </w:t>
            </w:r>
            <w:r w:rsidRPr="00BC7DA5">
              <w:rPr>
                <w:rFonts w:cs="Arial"/>
                <w:b/>
                <w:vertAlign w:val="superscript"/>
              </w:rPr>
              <w:t>(</w:t>
            </w:r>
            <w:r>
              <w:rPr>
                <w:rFonts w:cs="Arial"/>
                <w:b/>
                <w:vertAlign w:val="superscript"/>
              </w:rPr>
              <w:t>1</w:t>
            </w:r>
            <w:r w:rsidRPr="00BC7DA5">
              <w:rPr>
                <w:rFonts w:cs="Arial"/>
                <w:b/>
                <w:vertAlign w:val="superscript"/>
              </w:rPr>
              <w:t>)</w:t>
            </w:r>
          </w:p>
        </w:tc>
        <w:tc>
          <w:tcPr>
            <w:tcW w:w="437" w:type="dxa"/>
            <w:tcBorders>
              <w:top w:val="nil"/>
              <w:bottom w:val="single" w:sz="2" w:space="0" w:color="1F4E79" w:themeColor="accent1" w:themeShade="80"/>
            </w:tcBorders>
            <w:shd w:val="clear" w:color="auto" w:fill="auto"/>
          </w:tcPr>
          <w:p w14:paraId="64DD1A39" w14:textId="77777777" w:rsidR="008B7E19" w:rsidRPr="00BC7DA5" w:rsidRDefault="008B7E19" w:rsidP="008B7E19">
            <w:pPr>
              <w:pStyle w:val="08-Tabelageral"/>
              <w:jc w:val="center"/>
              <w:rPr>
                <w:rFonts w:cs="Arial"/>
                <w:b/>
                <w:szCs w:val="14"/>
              </w:rPr>
            </w:pPr>
          </w:p>
        </w:tc>
        <w:tc>
          <w:tcPr>
            <w:tcW w:w="1411" w:type="dxa"/>
            <w:tcBorders>
              <w:top w:val="nil"/>
              <w:bottom w:val="single" w:sz="2" w:space="0" w:color="1F4E79" w:themeColor="accent1" w:themeShade="80"/>
            </w:tcBorders>
            <w:shd w:val="clear" w:color="auto" w:fill="auto"/>
            <w:vAlign w:val="center"/>
          </w:tcPr>
          <w:p w14:paraId="1143D9FF" w14:textId="77777777" w:rsidR="008B7E19" w:rsidRPr="00BC7DA5" w:rsidRDefault="008B7E19" w:rsidP="008B7E19">
            <w:pPr>
              <w:pStyle w:val="08-Tabelageral"/>
              <w:rPr>
                <w:rFonts w:cs="Arial"/>
                <w:b/>
                <w:szCs w:val="14"/>
              </w:rPr>
            </w:pPr>
            <w:r>
              <w:rPr>
                <w:rFonts w:cs="Arial"/>
                <w:b/>
                <w:szCs w:val="14"/>
              </w:rPr>
              <w:t>109,230</w:t>
            </w:r>
          </w:p>
        </w:tc>
        <w:tc>
          <w:tcPr>
            <w:tcW w:w="1412" w:type="dxa"/>
            <w:tcBorders>
              <w:top w:val="nil"/>
              <w:bottom w:val="single" w:sz="2" w:space="0" w:color="1F4E79" w:themeColor="accent1" w:themeShade="80"/>
            </w:tcBorders>
            <w:shd w:val="clear" w:color="auto" w:fill="auto"/>
            <w:vAlign w:val="center"/>
          </w:tcPr>
          <w:p w14:paraId="730EC494" w14:textId="77777777" w:rsidR="008B7E19" w:rsidRPr="00BC7DA5" w:rsidRDefault="008B7E19" w:rsidP="008B7E19">
            <w:pPr>
              <w:pStyle w:val="08-Tabelageral"/>
              <w:rPr>
                <w:rFonts w:cs="Arial"/>
                <w:b/>
                <w:szCs w:val="14"/>
              </w:rPr>
            </w:pPr>
            <w:r>
              <w:rPr>
                <w:rFonts w:cs="Arial"/>
                <w:b/>
                <w:szCs w:val="14"/>
              </w:rPr>
              <w:t>91,308</w:t>
            </w:r>
          </w:p>
        </w:tc>
        <w:tc>
          <w:tcPr>
            <w:tcW w:w="283" w:type="dxa"/>
            <w:tcBorders>
              <w:top w:val="nil"/>
              <w:bottom w:val="single" w:sz="2" w:space="0" w:color="1F4E79" w:themeColor="accent1" w:themeShade="80"/>
            </w:tcBorders>
            <w:shd w:val="clear" w:color="auto" w:fill="auto"/>
            <w:vAlign w:val="center"/>
          </w:tcPr>
          <w:p w14:paraId="189863C5" w14:textId="77777777" w:rsidR="008B7E19" w:rsidRPr="00BC7DA5" w:rsidRDefault="008B7E19" w:rsidP="008B7E19">
            <w:pPr>
              <w:pStyle w:val="08-Tabelageral"/>
              <w:rPr>
                <w:rFonts w:cs="Arial"/>
                <w:b/>
                <w:szCs w:val="14"/>
              </w:rPr>
            </w:pPr>
          </w:p>
        </w:tc>
        <w:tc>
          <w:tcPr>
            <w:tcW w:w="1417" w:type="dxa"/>
            <w:tcBorders>
              <w:top w:val="nil"/>
              <w:bottom w:val="single" w:sz="2" w:space="0" w:color="1F4E79" w:themeColor="accent1" w:themeShade="80"/>
            </w:tcBorders>
            <w:shd w:val="clear" w:color="auto" w:fill="auto"/>
            <w:vAlign w:val="center"/>
          </w:tcPr>
          <w:p w14:paraId="293835BD" w14:textId="77777777" w:rsidR="008B7E19" w:rsidRPr="00BC7DA5" w:rsidRDefault="008B7E19" w:rsidP="008B7E19">
            <w:pPr>
              <w:pStyle w:val="08-Tabelageral"/>
              <w:rPr>
                <w:rFonts w:cs="Arial"/>
                <w:b/>
                <w:szCs w:val="14"/>
              </w:rPr>
            </w:pPr>
            <w:r>
              <w:rPr>
                <w:rFonts w:cs="Arial"/>
                <w:b/>
                <w:szCs w:val="14"/>
              </w:rPr>
              <w:t>138,523</w:t>
            </w:r>
          </w:p>
        </w:tc>
        <w:tc>
          <w:tcPr>
            <w:tcW w:w="1418" w:type="dxa"/>
            <w:tcBorders>
              <w:top w:val="nil"/>
              <w:bottom w:val="single" w:sz="2" w:space="0" w:color="1F4E79" w:themeColor="accent1" w:themeShade="80"/>
            </w:tcBorders>
            <w:shd w:val="clear" w:color="auto" w:fill="auto"/>
            <w:vAlign w:val="center"/>
          </w:tcPr>
          <w:p w14:paraId="6C725DD6" w14:textId="77777777" w:rsidR="008B7E19" w:rsidRPr="00BC7DA5" w:rsidRDefault="008B7E19" w:rsidP="008B7E19">
            <w:pPr>
              <w:pStyle w:val="08-Tabelageral"/>
              <w:rPr>
                <w:rFonts w:cs="Arial"/>
                <w:b/>
                <w:szCs w:val="14"/>
              </w:rPr>
            </w:pPr>
            <w:r>
              <w:rPr>
                <w:rFonts w:cs="Arial"/>
                <w:b/>
                <w:szCs w:val="14"/>
              </w:rPr>
              <w:t>97,108</w:t>
            </w:r>
          </w:p>
        </w:tc>
      </w:tr>
    </w:tbl>
    <w:p w14:paraId="2187934D" w14:textId="77777777" w:rsidR="008B7E19" w:rsidRPr="00F110A6" w:rsidRDefault="008B7E19" w:rsidP="008B7E19">
      <w:pPr>
        <w:pStyle w:val="PargrafodaLista"/>
        <w:numPr>
          <w:ilvl w:val="0"/>
          <w:numId w:val="9"/>
        </w:numPr>
        <w:spacing w:after="40" w:line="240" w:lineRule="auto"/>
        <w:ind w:left="284" w:hanging="284"/>
        <w:jc w:val="both"/>
        <w:rPr>
          <w:rFonts w:ascii="Arial" w:hAnsi="Arial" w:cs="Arial"/>
          <w:sz w:val="14"/>
          <w:szCs w:val="14"/>
          <w:lang w:val="en-US"/>
        </w:rPr>
      </w:pPr>
      <w:r>
        <w:rPr>
          <w:rFonts w:ascii="Arial" w:eastAsia="Times New Roman" w:hAnsi="Arial" w:cs="Arial"/>
          <w:sz w:val="14"/>
          <w:szCs w:val="14"/>
          <w:lang w:val="en" w:eastAsia="pt-BR"/>
        </w:rPr>
        <w:t>T</w:t>
      </w:r>
      <w:r w:rsidRPr="00647373">
        <w:rPr>
          <w:rFonts w:ascii="Arial" w:eastAsia="Times New Roman" w:hAnsi="Arial" w:cs="Arial"/>
          <w:sz w:val="14"/>
          <w:szCs w:val="14"/>
          <w:lang w:val="en" w:eastAsia="pt-BR"/>
        </w:rPr>
        <w:t xml:space="preserve">he balances on </w:t>
      </w:r>
      <w:r>
        <w:rPr>
          <w:rFonts w:ascii="Arial" w:eastAsia="Times New Roman" w:hAnsi="Arial" w:cs="Arial"/>
          <w:sz w:val="14"/>
          <w:szCs w:val="14"/>
          <w:lang w:val="en" w:eastAsia="pt-BR"/>
        </w:rPr>
        <w:t>March</w:t>
      </w:r>
      <w:r w:rsidRPr="00647373">
        <w:rPr>
          <w:rFonts w:ascii="Arial" w:eastAsia="Times New Roman" w:hAnsi="Arial" w:cs="Arial"/>
          <w:sz w:val="14"/>
          <w:szCs w:val="14"/>
          <w:lang w:val="en" w:eastAsia="pt-BR"/>
        </w:rPr>
        <w:t xml:space="preserve"> 3</w:t>
      </w:r>
      <w:r>
        <w:rPr>
          <w:rFonts w:ascii="Arial" w:eastAsia="Times New Roman" w:hAnsi="Arial" w:cs="Arial"/>
          <w:sz w:val="14"/>
          <w:szCs w:val="14"/>
          <w:lang w:val="en" w:eastAsia="pt-BR"/>
        </w:rPr>
        <w:t>1</w:t>
      </w:r>
      <w:r w:rsidRPr="00647373">
        <w:rPr>
          <w:rFonts w:ascii="Arial" w:eastAsia="Times New Roman" w:hAnsi="Arial" w:cs="Arial"/>
          <w:sz w:val="14"/>
          <w:szCs w:val="14"/>
          <w:lang w:val="en" w:eastAsia="pt-BR"/>
        </w:rPr>
        <w:t>,202</w:t>
      </w:r>
      <w:r>
        <w:rPr>
          <w:rFonts w:ascii="Arial" w:eastAsia="Times New Roman" w:hAnsi="Arial" w:cs="Arial"/>
          <w:sz w:val="14"/>
          <w:szCs w:val="14"/>
          <w:lang w:val="en" w:eastAsia="pt-BR"/>
        </w:rPr>
        <w:t>3</w:t>
      </w:r>
      <w:r w:rsidRPr="00647373">
        <w:rPr>
          <w:rFonts w:ascii="Arial" w:eastAsia="Times New Roman" w:hAnsi="Arial" w:cs="Arial"/>
          <w:sz w:val="14"/>
          <w:szCs w:val="14"/>
          <w:lang w:val="en" w:eastAsia="pt-BR"/>
        </w:rPr>
        <w:t xml:space="preserve"> and December 31,20</w:t>
      </w:r>
      <w:r>
        <w:rPr>
          <w:rFonts w:ascii="Arial" w:eastAsia="Times New Roman" w:hAnsi="Arial" w:cs="Arial"/>
          <w:sz w:val="14"/>
          <w:szCs w:val="14"/>
          <w:lang w:val="en" w:eastAsia="pt-BR"/>
        </w:rPr>
        <w:t>22</w:t>
      </w:r>
      <w:r w:rsidRPr="00647373">
        <w:rPr>
          <w:rFonts w:ascii="Arial" w:eastAsia="Times New Roman" w:hAnsi="Arial" w:cs="Arial"/>
          <w:sz w:val="14"/>
          <w:szCs w:val="14"/>
          <w:lang w:val="en" w:eastAsia="pt-BR"/>
        </w:rPr>
        <w:t xml:space="preserve"> (parent company and consolidated) refer mainly to the IRRF of previous years uncompensated/deducted</w:t>
      </w:r>
      <w:r w:rsidRPr="00F110A6">
        <w:rPr>
          <w:rFonts w:ascii="Arial" w:hAnsi="Arial" w:cs="Arial"/>
          <w:sz w:val="14"/>
          <w:szCs w:val="14"/>
          <w:lang w:val="en-US"/>
        </w:rPr>
        <w:t>.</w:t>
      </w:r>
    </w:p>
    <w:p w14:paraId="692AC4AA" w14:textId="77777777" w:rsidR="008B7E19" w:rsidRPr="00662308" w:rsidRDefault="008B7E19" w:rsidP="008B7E19">
      <w:pPr>
        <w:keepNext/>
        <w:keepLines/>
        <w:spacing w:after="40" w:line="240" w:lineRule="auto"/>
        <w:ind w:left="284" w:hanging="284"/>
        <w:rPr>
          <w:rFonts w:cs="Arial"/>
          <w:b/>
          <w:color w:val="1F4E79" w:themeColor="accent1" w:themeShade="80"/>
          <w:szCs w:val="18"/>
        </w:rPr>
      </w:pPr>
      <w:r w:rsidRPr="00662308">
        <w:rPr>
          <w:rFonts w:cs="Arial"/>
          <w:b/>
          <w:color w:val="1F4E79" w:themeColor="accent1" w:themeShade="80"/>
          <w:szCs w:val="18"/>
        </w:rPr>
        <w:t>e) Deferred Tax Assets</w:t>
      </w:r>
    </w:p>
    <w:p w14:paraId="28C7A9D7" w14:textId="77777777" w:rsidR="008B7E19" w:rsidRDefault="008B7E19" w:rsidP="008B7E19">
      <w:pPr>
        <w:keepNext/>
        <w:keepLines/>
        <w:spacing w:after="40" w:line="240" w:lineRule="auto"/>
        <w:ind w:left="284" w:hanging="284"/>
        <w:rPr>
          <w:rFonts w:cs="Arial"/>
          <w:b/>
          <w:color w:val="1F4E79" w:themeColor="accent1" w:themeShade="80"/>
          <w:sz w:val="20"/>
          <w:szCs w:val="20"/>
        </w:rPr>
      </w:pPr>
    </w:p>
    <w:p w14:paraId="0ECB6F28" w14:textId="77777777" w:rsidR="008B7E19" w:rsidRPr="00FF3D4B" w:rsidRDefault="008B7E19" w:rsidP="008B7E19">
      <w:pPr>
        <w:keepNext/>
        <w:spacing w:after="0" w:line="240" w:lineRule="auto"/>
        <w:jc w:val="right"/>
        <w:rPr>
          <w:rFonts w:cs="Arial"/>
          <w:b/>
          <w:sz w:val="14"/>
          <w:lang w:eastAsia="pt-BR"/>
        </w:rPr>
      </w:pPr>
      <w:r w:rsidRPr="00FF3D4B">
        <w:rPr>
          <w:rFonts w:cs="Arial"/>
          <w:b/>
          <w:sz w:val="14"/>
          <w:lang w:eastAsia="pt-BR"/>
        </w:rPr>
        <w:t xml:space="preserve">R$ </w:t>
      </w:r>
      <w:r w:rsidRPr="00044999">
        <w:rPr>
          <w:rFonts w:cs="Arial"/>
          <w:b/>
          <w:sz w:val="14"/>
          <w:lang w:eastAsia="pt-BR"/>
        </w:rPr>
        <w:t>thousand</w:t>
      </w:r>
    </w:p>
    <w:tbl>
      <w:tblPr>
        <w:tblW w:w="9639" w:type="dxa"/>
        <w:jc w:val="center"/>
        <w:tblBorders>
          <w:top w:val="single" w:sz="2" w:space="0" w:color="8EAADB" w:themeColor="accent5" w:themeTint="99"/>
          <w:bottom w:val="single" w:sz="2" w:space="0" w:color="8EAADB" w:themeColor="accent5" w:themeTint="99"/>
        </w:tblBorders>
        <w:tblLook w:val="04A0" w:firstRow="1" w:lastRow="0" w:firstColumn="1" w:lastColumn="0" w:noHBand="0" w:noVBand="1"/>
      </w:tblPr>
      <w:tblGrid>
        <w:gridCol w:w="3094"/>
        <w:gridCol w:w="604"/>
        <w:gridCol w:w="1411"/>
        <w:gridCol w:w="1412"/>
        <w:gridCol w:w="283"/>
        <w:gridCol w:w="1417"/>
        <w:gridCol w:w="1418"/>
      </w:tblGrid>
      <w:tr w:rsidR="008B7E19" w:rsidRPr="00BC7DA5" w14:paraId="673449E4" w14:textId="77777777" w:rsidTr="008875E7">
        <w:trPr>
          <w:trHeight w:val="238"/>
          <w:jc w:val="center"/>
        </w:trPr>
        <w:tc>
          <w:tcPr>
            <w:tcW w:w="3094" w:type="dxa"/>
            <w:tcBorders>
              <w:top w:val="single" w:sz="2" w:space="0" w:color="1F4E79" w:themeColor="accent1" w:themeShade="80"/>
              <w:bottom w:val="nil"/>
            </w:tcBorders>
            <w:shd w:val="clear" w:color="auto" w:fill="auto"/>
            <w:vAlign w:val="center"/>
          </w:tcPr>
          <w:p w14:paraId="2D74010A" w14:textId="77777777" w:rsidR="008B7E19" w:rsidRPr="00BC7DA5" w:rsidRDefault="008B7E19" w:rsidP="008B7E19">
            <w:pPr>
              <w:keepNext/>
              <w:keepLines/>
              <w:spacing w:after="0"/>
              <w:jc w:val="center"/>
              <w:rPr>
                <w:rFonts w:cs="Arial"/>
                <w:b/>
                <w:szCs w:val="18"/>
              </w:rPr>
            </w:pPr>
          </w:p>
        </w:tc>
        <w:tc>
          <w:tcPr>
            <w:tcW w:w="604" w:type="dxa"/>
            <w:tcBorders>
              <w:top w:val="single" w:sz="2" w:space="0" w:color="1F4E79" w:themeColor="accent1" w:themeShade="80"/>
              <w:bottom w:val="nil"/>
            </w:tcBorders>
            <w:shd w:val="clear" w:color="auto" w:fill="auto"/>
            <w:vAlign w:val="center"/>
          </w:tcPr>
          <w:p w14:paraId="56589640" w14:textId="77777777" w:rsidR="008B7E19" w:rsidRPr="00BC7DA5" w:rsidRDefault="008B7E19" w:rsidP="008B7E19">
            <w:pPr>
              <w:keepNext/>
              <w:keepLines/>
              <w:spacing w:after="0"/>
              <w:jc w:val="center"/>
              <w:rPr>
                <w:rFonts w:cs="Arial"/>
                <w:b/>
                <w:szCs w:val="18"/>
              </w:rPr>
            </w:pPr>
          </w:p>
        </w:tc>
        <w:tc>
          <w:tcPr>
            <w:tcW w:w="5941" w:type="dxa"/>
            <w:gridSpan w:val="5"/>
            <w:tcBorders>
              <w:top w:val="single" w:sz="2" w:space="0" w:color="1F4E79" w:themeColor="accent1" w:themeShade="80"/>
              <w:bottom w:val="single" w:sz="2" w:space="0" w:color="1F4E79" w:themeColor="accent1" w:themeShade="80"/>
            </w:tcBorders>
            <w:shd w:val="clear" w:color="auto" w:fill="auto"/>
            <w:vAlign w:val="center"/>
          </w:tcPr>
          <w:p w14:paraId="1F89093E" w14:textId="77777777" w:rsidR="008B7E19" w:rsidRPr="00BC266E" w:rsidRDefault="008B7E19" w:rsidP="008B7E19">
            <w:pPr>
              <w:keepNext/>
              <w:keepLines/>
              <w:spacing w:after="0"/>
              <w:jc w:val="center"/>
              <w:rPr>
                <w:rFonts w:cs="Arial"/>
                <w:b/>
                <w:sz w:val="14"/>
                <w:szCs w:val="14"/>
              </w:rPr>
            </w:pPr>
            <w:r w:rsidRPr="00BC266E">
              <w:rPr>
                <w:rFonts w:cs="Arial"/>
                <w:b/>
                <w:sz w:val="14"/>
                <w:szCs w:val="14"/>
              </w:rPr>
              <w:t>Parent</w:t>
            </w:r>
          </w:p>
        </w:tc>
      </w:tr>
      <w:tr w:rsidR="008B7E19" w:rsidRPr="00BC7DA5" w14:paraId="7AD37CD2" w14:textId="77777777" w:rsidTr="008875E7">
        <w:trPr>
          <w:trHeight w:val="238"/>
          <w:jc w:val="center"/>
        </w:trPr>
        <w:tc>
          <w:tcPr>
            <w:tcW w:w="3094" w:type="dxa"/>
            <w:tcBorders>
              <w:top w:val="nil"/>
              <w:bottom w:val="single" w:sz="2" w:space="0" w:color="1F4E79" w:themeColor="accent1" w:themeShade="80"/>
            </w:tcBorders>
            <w:shd w:val="clear" w:color="auto" w:fill="auto"/>
            <w:vAlign w:val="center"/>
          </w:tcPr>
          <w:p w14:paraId="5C039CC6" w14:textId="77777777" w:rsidR="008B7E19" w:rsidRPr="00BC7DA5" w:rsidRDefault="008B7E19" w:rsidP="008B7E19">
            <w:pPr>
              <w:pStyle w:val="08-Tabelageral"/>
              <w:jc w:val="center"/>
              <w:rPr>
                <w:rFonts w:cs="Arial"/>
                <w:b/>
              </w:rPr>
            </w:pPr>
          </w:p>
        </w:tc>
        <w:tc>
          <w:tcPr>
            <w:tcW w:w="604" w:type="dxa"/>
            <w:tcBorders>
              <w:top w:val="nil"/>
              <w:bottom w:val="single" w:sz="2" w:space="0" w:color="1F4E79" w:themeColor="accent1" w:themeShade="80"/>
            </w:tcBorders>
            <w:shd w:val="clear" w:color="auto" w:fill="auto"/>
            <w:vAlign w:val="center"/>
          </w:tcPr>
          <w:p w14:paraId="11A235D1" w14:textId="77777777" w:rsidR="008B7E19" w:rsidRPr="00BC7DA5" w:rsidRDefault="008B7E19" w:rsidP="008B7E19">
            <w:pPr>
              <w:pStyle w:val="08-Tabelageral"/>
              <w:jc w:val="center"/>
              <w:rPr>
                <w:rFonts w:cs="Arial"/>
                <w:b/>
              </w:rPr>
            </w:pPr>
          </w:p>
        </w:tc>
        <w:tc>
          <w:tcPr>
            <w:tcW w:w="1411" w:type="dxa"/>
            <w:tcBorders>
              <w:top w:val="single" w:sz="2" w:space="0" w:color="1F4E79" w:themeColor="accent1" w:themeShade="80"/>
              <w:bottom w:val="single" w:sz="2" w:space="0" w:color="1F4E79" w:themeColor="accent1" w:themeShade="80"/>
            </w:tcBorders>
            <w:shd w:val="clear" w:color="auto" w:fill="auto"/>
            <w:vAlign w:val="center"/>
          </w:tcPr>
          <w:p w14:paraId="16F75D42" w14:textId="77777777" w:rsidR="008B7E19" w:rsidRPr="00BC7DA5" w:rsidRDefault="008B7E19" w:rsidP="008B7E19">
            <w:pPr>
              <w:pStyle w:val="08-Tabelageral"/>
              <w:rPr>
                <w:rFonts w:cs="Arial"/>
                <w:b/>
              </w:rPr>
            </w:pPr>
            <w:r>
              <w:rPr>
                <w:rFonts w:cs="Arial"/>
                <w:b/>
              </w:rPr>
              <w:t xml:space="preserve">Dec </w:t>
            </w:r>
            <w:r w:rsidRPr="00BC7DA5">
              <w:rPr>
                <w:rFonts w:cs="Arial"/>
                <w:b/>
              </w:rPr>
              <w:t>3</w:t>
            </w:r>
            <w:r>
              <w:rPr>
                <w:rFonts w:cs="Arial"/>
                <w:b/>
              </w:rPr>
              <w:t xml:space="preserve">1, </w:t>
            </w:r>
            <w:r w:rsidRPr="00BC7DA5">
              <w:rPr>
                <w:rFonts w:cs="Arial"/>
                <w:b/>
              </w:rPr>
              <w:t>202</w:t>
            </w:r>
            <w:r>
              <w:rPr>
                <w:rFonts w:cs="Arial"/>
                <w:b/>
              </w:rPr>
              <w:t>2</w:t>
            </w:r>
          </w:p>
        </w:tc>
        <w:tc>
          <w:tcPr>
            <w:tcW w:w="1412" w:type="dxa"/>
            <w:tcBorders>
              <w:top w:val="single" w:sz="2" w:space="0" w:color="1F4E79" w:themeColor="accent1" w:themeShade="80"/>
              <w:bottom w:val="single" w:sz="2" w:space="0" w:color="1F4E79" w:themeColor="accent1" w:themeShade="80"/>
            </w:tcBorders>
            <w:shd w:val="clear" w:color="auto" w:fill="auto"/>
            <w:vAlign w:val="center"/>
          </w:tcPr>
          <w:p w14:paraId="2AC167A6" w14:textId="77777777" w:rsidR="008B7E19" w:rsidRPr="00BC7DA5" w:rsidRDefault="008B7E19" w:rsidP="008B7E19">
            <w:pPr>
              <w:pStyle w:val="08-Tabelageral"/>
              <w:rPr>
                <w:rFonts w:cs="Arial"/>
                <w:b/>
              </w:rPr>
            </w:pPr>
            <w:r>
              <w:rPr>
                <w:rFonts w:cs="Arial"/>
                <w:b/>
              </w:rPr>
              <w:t>Addition</w:t>
            </w:r>
          </w:p>
        </w:tc>
        <w:tc>
          <w:tcPr>
            <w:tcW w:w="283" w:type="dxa"/>
            <w:tcBorders>
              <w:top w:val="single" w:sz="2" w:space="0" w:color="1F4E79" w:themeColor="accent1" w:themeShade="80"/>
              <w:bottom w:val="single" w:sz="2" w:space="0" w:color="1F4E79" w:themeColor="accent1" w:themeShade="80"/>
            </w:tcBorders>
            <w:shd w:val="clear" w:color="auto" w:fill="auto"/>
            <w:vAlign w:val="center"/>
          </w:tcPr>
          <w:p w14:paraId="58B20765" w14:textId="77777777" w:rsidR="008B7E19" w:rsidRPr="00BC7DA5" w:rsidRDefault="008B7E19" w:rsidP="008B7E19">
            <w:pPr>
              <w:pStyle w:val="08-Tabelageral"/>
              <w:rPr>
                <w:rFonts w:cs="Arial"/>
                <w:b/>
              </w:rPr>
            </w:pPr>
          </w:p>
        </w:tc>
        <w:tc>
          <w:tcPr>
            <w:tcW w:w="1417" w:type="dxa"/>
            <w:tcBorders>
              <w:top w:val="single" w:sz="2" w:space="0" w:color="1F4E79" w:themeColor="accent1" w:themeShade="80"/>
              <w:bottom w:val="single" w:sz="2" w:space="0" w:color="1F4E79" w:themeColor="accent1" w:themeShade="80"/>
            </w:tcBorders>
            <w:shd w:val="clear" w:color="auto" w:fill="auto"/>
            <w:vAlign w:val="center"/>
          </w:tcPr>
          <w:p w14:paraId="40D2A175" w14:textId="77777777" w:rsidR="008B7E19" w:rsidRPr="00BC7DA5" w:rsidRDefault="008B7E19" w:rsidP="008B7E19">
            <w:pPr>
              <w:pStyle w:val="08-Tabelageral"/>
              <w:rPr>
                <w:rFonts w:cs="Arial"/>
                <w:b/>
              </w:rPr>
            </w:pPr>
            <w:r>
              <w:rPr>
                <w:rFonts w:cs="Arial"/>
                <w:b/>
              </w:rPr>
              <w:t>Derecognition</w:t>
            </w:r>
          </w:p>
        </w:tc>
        <w:tc>
          <w:tcPr>
            <w:tcW w:w="1418" w:type="dxa"/>
            <w:tcBorders>
              <w:top w:val="single" w:sz="2" w:space="0" w:color="1F4E79" w:themeColor="accent1" w:themeShade="80"/>
              <w:bottom w:val="single" w:sz="2" w:space="0" w:color="1F4E79" w:themeColor="accent1" w:themeShade="80"/>
            </w:tcBorders>
            <w:shd w:val="clear" w:color="auto" w:fill="auto"/>
            <w:vAlign w:val="center"/>
          </w:tcPr>
          <w:p w14:paraId="6B88D154" w14:textId="77777777" w:rsidR="008B7E19" w:rsidRPr="00BC7DA5" w:rsidRDefault="008B7E19" w:rsidP="008B7E19">
            <w:pPr>
              <w:pStyle w:val="08-Tabelageral"/>
              <w:rPr>
                <w:rFonts w:cs="Arial"/>
                <w:b/>
              </w:rPr>
            </w:pPr>
            <w:r>
              <w:rPr>
                <w:rFonts w:cs="Arial"/>
                <w:b/>
              </w:rPr>
              <w:t>June 30, 2023</w:t>
            </w:r>
          </w:p>
        </w:tc>
      </w:tr>
      <w:tr w:rsidR="008B7E19" w:rsidRPr="00BC7DA5" w14:paraId="3BEDB2D2" w14:textId="77777777" w:rsidTr="008875E7">
        <w:trPr>
          <w:trHeight w:val="238"/>
          <w:jc w:val="center"/>
        </w:trPr>
        <w:tc>
          <w:tcPr>
            <w:tcW w:w="3094" w:type="dxa"/>
            <w:tcBorders>
              <w:top w:val="single" w:sz="2" w:space="0" w:color="1F4E79" w:themeColor="accent1" w:themeShade="80"/>
              <w:bottom w:val="nil"/>
            </w:tcBorders>
            <w:shd w:val="clear" w:color="auto" w:fill="auto"/>
          </w:tcPr>
          <w:p w14:paraId="1E68877E" w14:textId="77777777" w:rsidR="008B7E19" w:rsidRPr="003B22A9" w:rsidRDefault="008B7E19" w:rsidP="008B7E19">
            <w:pPr>
              <w:pStyle w:val="08-Tabelageral"/>
              <w:jc w:val="left"/>
              <w:rPr>
                <w:rFonts w:cs="Arial"/>
                <w:b/>
                <w:bCs/>
                <w:szCs w:val="14"/>
              </w:rPr>
            </w:pPr>
            <w:r w:rsidRPr="003B22A9">
              <w:rPr>
                <w:rFonts w:cs="Arial"/>
                <w:b/>
                <w:szCs w:val="14"/>
              </w:rPr>
              <w:t>Temporary differences</w:t>
            </w:r>
          </w:p>
        </w:tc>
        <w:tc>
          <w:tcPr>
            <w:tcW w:w="604" w:type="dxa"/>
            <w:tcBorders>
              <w:top w:val="single" w:sz="2" w:space="0" w:color="1F4E79" w:themeColor="accent1" w:themeShade="80"/>
              <w:bottom w:val="nil"/>
            </w:tcBorders>
            <w:shd w:val="clear" w:color="auto" w:fill="auto"/>
          </w:tcPr>
          <w:p w14:paraId="2B22A259" w14:textId="77777777" w:rsidR="008B7E19" w:rsidRPr="00BC7DA5" w:rsidRDefault="008B7E19" w:rsidP="008B7E19">
            <w:pPr>
              <w:pStyle w:val="08-Tabelageral"/>
              <w:jc w:val="left"/>
              <w:rPr>
                <w:rFonts w:cs="Arial"/>
                <w:b/>
                <w:bCs/>
                <w:szCs w:val="14"/>
              </w:rPr>
            </w:pPr>
          </w:p>
        </w:tc>
        <w:tc>
          <w:tcPr>
            <w:tcW w:w="1411" w:type="dxa"/>
            <w:tcBorders>
              <w:top w:val="single" w:sz="2" w:space="0" w:color="1F4E79" w:themeColor="accent1" w:themeShade="80"/>
            </w:tcBorders>
            <w:shd w:val="clear" w:color="auto" w:fill="auto"/>
          </w:tcPr>
          <w:p w14:paraId="6ABB054C" w14:textId="77777777" w:rsidR="008B7E19" w:rsidRPr="00BC7DA5" w:rsidRDefault="008B7E19" w:rsidP="008B7E19">
            <w:pPr>
              <w:pStyle w:val="08-Tabelageral"/>
              <w:rPr>
                <w:rFonts w:cs="Arial"/>
                <w:b/>
                <w:bCs/>
                <w:szCs w:val="14"/>
              </w:rPr>
            </w:pPr>
          </w:p>
        </w:tc>
        <w:tc>
          <w:tcPr>
            <w:tcW w:w="1412" w:type="dxa"/>
            <w:tcBorders>
              <w:top w:val="single" w:sz="2" w:space="0" w:color="1F4E79" w:themeColor="accent1" w:themeShade="80"/>
            </w:tcBorders>
            <w:shd w:val="clear" w:color="auto" w:fill="auto"/>
          </w:tcPr>
          <w:p w14:paraId="23C73410" w14:textId="77777777" w:rsidR="008B7E19" w:rsidRPr="00BC7DA5" w:rsidRDefault="008B7E19" w:rsidP="008B7E19">
            <w:pPr>
              <w:pStyle w:val="08-Tabelageral"/>
              <w:rPr>
                <w:rFonts w:cs="Arial"/>
                <w:b/>
                <w:bCs/>
                <w:szCs w:val="14"/>
              </w:rPr>
            </w:pPr>
          </w:p>
        </w:tc>
        <w:tc>
          <w:tcPr>
            <w:tcW w:w="283" w:type="dxa"/>
            <w:tcBorders>
              <w:top w:val="single" w:sz="2" w:space="0" w:color="1F4E79" w:themeColor="accent1" w:themeShade="80"/>
            </w:tcBorders>
            <w:shd w:val="clear" w:color="auto" w:fill="auto"/>
          </w:tcPr>
          <w:p w14:paraId="2C252287" w14:textId="77777777" w:rsidR="008B7E19" w:rsidRPr="00BC7DA5" w:rsidRDefault="008B7E19" w:rsidP="008B7E19">
            <w:pPr>
              <w:pStyle w:val="08-Tabelageral"/>
              <w:jc w:val="left"/>
              <w:rPr>
                <w:rFonts w:cs="Arial"/>
                <w:b/>
                <w:bCs/>
                <w:szCs w:val="14"/>
              </w:rPr>
            </w:pPr>
          </w:p>
        </w:tc>
        <w:tc>
          <w:tcPr>
            <w:tcW w:w="1417" w:type="dxa"/>
            <w:tcBorders>
              <w:top w:val="single" w:sz="2" w:space="0" w:color="1F4E79" w:themeColor="accent1" w:themeShade="80"/>
            </w:tcBorders>
            <w:shd w:val="clear" w:color="auto" w:fill="auto"/>
          </w:tcPr>
          <w:p w14:paraId="27AA7148" w14:textId="77777777" w:rsidR="008B7E19" w:rsidRPr="00BC7DA5" w:rsidRDefault="008B7E19" w:rsidP="008B7E19">
            <w:pPr>
              <w:pStyle w:val="08-Tabelageral"/>
              <w:rPr>
                <w:rFonts w:cs="Arial"/>
                <w:b/>
                <w:bCs/>
                <w:szCs w:val="14"/>
              </w:rPr>
            </w:pPr>
          </w:p>
        </w:tc>
        <w:tc>
          <w:tcPr>
            <w:tcW w:w="1418" w:type="dxa"/>
            <w:tcBorders>
              <w:top w:val="single" w:sz="2" w:space="0" w:color="1F4E79" w:themeColor="accent1" w:themeShade="80"/>
            </w:tcBorders>
            <w:shd w:val="clear" w:color="auto" w:fill="auto"/>
          </w:tcPr>
          <w:p w14:paraId="50C8A1A2" w14:textId="77777777" w:rsidR="008B7E19" w:rsidRPr="00BC7DA5" w:rsidRDefault="008B7E19" w:rsidP="008B7E19">
            <w:pPr>
              <w:pStyle w:val="08-Tabelageral"/>
              <w:rPr>
                <w:rFonts w:cs="Arial"/>
                <w:b/>
                <w:bCs/>
                <w:szCs w:val="14"/>
              </w:rPr>
            </w:pPr>
          </w:p>
        </w:tc>
      </w:tr>
      <w:tr w:rsidR="008B7E19" w:rsidRPr="00BC7DA5" w14:paraId="33666BBB" w14:textId="77777777" w:rsidTr="008875E7">
        <w:trPr>
          <w:trHeight w:val="238"/>
          <w:jc w:val="center"/>
        </w:trPr>
        <w:tc>
          <w:tcPr>
            <w:tcW w:w="3094" w:type="dxa"/>
            <w:shd w:val="clear" w:color="auto" w:fill="auto"/>
          </w:tcPr>
          <w:p w14:paraId="28F1FC81" w14:textId="77777777" w:rsidR="008B7E19" w:rsidRPr="00BC7DA5" w:rsidRDefault="008B7E19" w:rsidP="008B7E19">
            <w:pPr>
              <w:pStyle w:val="08-Tabelageral"/>
              <w:ind w:left="113"/>
              <w:jc w:val="left"/>
              <w:rPr>
                <w:rFonts w:cs="Arial"/>
                <w:szCs w:val="14"/>
              </w:rPr>
            </w:pPr>
            <w:r>
              <w:rPr>
                <w:rFonts w:cs="Arial"/>
                <w:szCs w:val="14"/>
              </w:rPr>
              <w:t>Liabilities provision</w:t>
            </w:r>
          </w:p>
        </w:tc>
        <w:tc>
          <w:tcPr>
            <w:tcW w:w="604" w:type="dxa"/>
            <w:shd w:val="clear" w:color="auto" w:fill="auto"/>
          </w:tcPr>
          <w:p w14:paraId="6670AF03" w14:textId="77777777" w:rsidR="008B7E19" w:rsidRPr="00BC7DA5" w:rsidRDefault="008B7E19" w:rsidP="008B7E19">
            <w:pPr>
              <w:pStyle w:val="08-Tabelageral"/>
              <w:jc w:val="center"/>
              <w:rPr>
                <w:rFonts w:cs="Arial"/>
                <w:szCs w:val="14"/>
              </w:rPr>
            </w:pPr>
          </w:p>
        </w:tc>
        <w:tc>
          <w:tcPr>
            <w:tcW w:w="1411" w:type="dxa"/>
            <w:shd w:val="clear" w:color="auto" w:fill="auto"/>
          </w:tcPr>
          <w:p w14:paraId="0BF6F13E" w14:textId="77777777" w:rsidR="008B7E19" w:rsidRPr="00BC7DA5" w:rsidRDefault="008B7E19" w:rsidP="008B7E19">
            <w:pPr>
              <w:pStyle w:val="08-Tabelageral"/>
              <w:rPr>
                <w:rFonts w:cs="Arial"/>
                <w:szCs w:val="14"/>
              </w:rPr>
            </w:pPr>
            <w:r>
              <w:rPr>
                <w:rFonts w:cs="Arial"/>
                <w:szCs w:val="14"/>
              </w:rPr>
              <w:t>28</w:t>
            </w:r>
          </w:p>
        </w:tc>
        <w:tc>
          <w:tcPr>
            <w:tcW w:w="1412" w:type="dxa"/>
            <w:shd w:val="clear" w:color="auto" w:fill="auto"/>
          </w:tcPr>
          <w:p w14:paraId="1B918143" w14:textId="77777777" w:rsidR="008B7E19" w:rsidRPr="00BC7DA5" w:rsidRDefault="008B7E19" w:rsidP="008B7E19">
            <w:pPr>
              <w:pStyle w:val="08-Tabelageral"/>
              <w:rPr>
                <w:rFonts w:cs="Arial"/>
              </w:rPr>
            </w:pPr>
            <w:r>
              <w:rPr>
                <w:rFonts w:cs="Arial"/>
              </w:rPr>
              <w:t>49</w:t>
            </w:r>
          </w:p>
        </w:tc>
        <w:tc>
          <w:tcPr>
            <w:tcW w:w="283" w:type="dxa"/>
            <w:shd w:val="clear" w:color="auto" w:fill="auto"/>
          </w:tcPr>
          <w:p w14:paraId="3818A17C" w14:textId="77777777" w:rsidR="008B7E19" w:rsidRPr="00BC7DA5" w:rsidRDefault="008B7E19" w:rsidP="008B7E19">
            <w:pPr>
              <w:pStyle w:val="08-Tabelageral"/>
              <w:rPr>
                <w:rFonts w:cs="Arial"/>
                <w:szCs w:val="14"/>
              </w:rPr>
            </w:pPr>
          </w:p>
        </w:tc>
        <w:tc>
          <w:tcPr>
            <w:tcW w:w="1417" w:type="dxa"/>
            <w:shd w:val="clear" w:color="auto" w:fill="auto"/>
          </w:tcPr>
          <w:p w14:paraId="23F7EA17" w14:textId="77777777" w:rsidR="008B7E19" w:rsidRPr="00BC7DA5" w:rsidRDefault="008B7E19" w:rsidP="008B7E19">
            <w:pPr>
              <w:pStyle w:val="08-Tabelageral"/>
              <w:rPr>
                <w:rFonts w:cs="Arial"/>
                <w:szCs w:val="14"/>
              </w:rPr>
            </w:pPr>
            <w:r>
              <w:rPr>
                <w:rFonts w:cs="Arial"/>
                <w:szCs w:val="14"/>
              </w:rPr>
              <w:t>(29)</w:t>
            </w:r>
          </w:p>
        </w:tc>
        <w:tc>
          <w:tcPr>
            <w:tcW w:w="1418" w:type="dxa"/>
            <w:shd w:val="clear" w:color="auto" w:fill="auto"/>
          </w:tcPr>
          <w:p w14:paraId="78DC383D" w14:textId="77777777" w:rsidR="008B7E19" w:rsidRPr="00BC7DA5" w:rsidRDefault="008B7E19" w:rsidP="008B7E19">
            <w:pPr>
              <w:pStyle w:val="08-Tabelageral"/>
              <w:rPr>
                <w:rFonts w:cs="Arial"/>
                <w:szCs w:val="14"/>
              </w:rPr>
            </w:pPr>
            <w:r>
              <w:rPr>
                <w:rFonts w:cs="Arial"/>
                <w:szCs w:val="14"/>
              </w:rPr>
              <w:t>48</w:t>
            </w:r>
          </w:p>
        </w:tc>
      </w:tr>
      <w:tr w:rsidR="008B7E19" w:rsidRPr="00BC7DA5" w14:paraId="6442D8B7" w14:textId="77777777" w:rsidTr="008875E7">
        <w:trPr>
          <w:trHeight w:val="238"/>
          <w:jc w:val="center"/>
        </w:trPr>
        <w:tc>
          <w:tcPr>
            <w:tcW w:w="3094" w:type="dxa"/>
            <w:shd w:val="clear" w:color="auto" w:fill="auto"/>
          </w:tcPr>
          <w:p w14:paraId="7B3FAA3D" w14:textId="77777777" w:rsidR="008B7E19" w:rsidRPr="003B22A9" w:rsidRDefault="008B7E19" w:rsidP="008B7E19">
            <w:pPr>
              <w:keepNext/>
              <w:keepLines/>
              <w:spacing w:before="40" w:after="40" w:line="240" w:lineRule="auto"/>
              <w:rPr>
                <w:rFonts w:cs="Arial"/>
                <w:b/>
              </w:rPr>
            </w:pPr>
            <w:r w:rsidRPr="003B22A9">
              <w:rPr>
                <w:rFonts w:eastAsia="Times New Roman" w:cs="Arial"/>
                <w:b/>
                <w:spacing w:val="-2"/>
                <w:sz w:val="14"/>
                <w:szCs w:val="18"/>
                <w:lang w:eastAsia="pt-BR"/>
              </w:rPr>
              <w:t>Total deferred tax assets</w:t>
            </w:r>
          </w:p>
        </w:tc>
        <w:tc>
          <w:tcPr>
            <w:tcW w:w="604" w:type="dxa"/>
            <w:shd w:val="clear" w:color="auto" w:fill="auto"/>
          </w:tcPr>
          <w:p w14:paraId="5472E709" w14:textId="77777777" w:rsidR="008B7E19" w:rsidRPr="00BC7DA5" w:rsidRDefault="008B7E19" w:rsidP="008B7E19">
            <w:pPr>
              <w:pStyle w:val="08-Tabelageral"/>
              <w:jc w:val="center"/>
              <w:rPr>
                <w:rFonts w:cs="Arial"/>
                <w:b/>
                <w:szCs w:val="14"/>
              </w:rPr>
            </w:pPr>
          </w:p>
        </w:tc>
        <w:tc>
          <w:tcPr>
            <w:tcW w:w="1411" w:type="dxa"/>
            <w:shd w:val="clear" w:color="auto" w:fill="auto"/>
          </w:tcPr>
          <w:p w14:paraId="57162E4B" w14:textId="77777777" w:rsidR="008B7E19" w:rsidRPr="00BC7DA5" w:rsidRDefault="008B7E19" w:rsidP="008B7E19">
            <w:pPr>
              <w:pStyle w:val="08-Tabelageral"/>
              <w:rPr>
                <w:rFonts w:cs="Arial"/>
                <w:b/>
                <w:szCs w:val="14"/>
              </w:rPr>
            </w:pPr>
            <w:r>
              <w:rPr>
                <w:rFonts w:cs="Arial"/>
                <w:b/>
                <w:szCs w:val="14"/>
              </w:rPr>
              <w:t>28</w:t>
            </w:r>
          </w:p>
        </w:tc>
        <w:tc>
          <w:tcPr>
            <w:tcW w:w="1412" w:type="dxa"/>
            <w:shd w:val="clear" w:color="auto" w:fill="auto"/>
          </w:tcPr>
          <w:p w14:paraId="08FACDEA" w14:textId="77777777" w:rsidR="008B7E19" w:rsidRPr="00BC7DA5" w:rsidRDefault="008B7E19" w:rsidP="008B7E19">
            <w:pPr>
              <w:pStyle w:val="08-Tabelageral"/>
              <w:rPr>
                <w:rFonts w:cs="Arial"/>
                <w:b/>
              </w:rPr>
            </w:pPr>
            <w:r>
              <w:rPr>
                <w:rFonts w:cs="Arial"/>
                <w:b/>
              </w:rPr>
              <w:t>49</w:t>
            </w:r>
          </w:p>
        </w:tc>
        <w:tc>
          <w:tcPr>
            <w:tcW w:w="283" w:type="dxa"/>
            <w:shd w:val="clear" w:color="auto" w:fill="auto"/>
          </w:tcPr>
          <w:p w14:paraId="18BA353F" w14:textId="77777777" w:rsidR="008B7E19" w:rsidRPr="00BC7DA5" w:rsidRDefault="008B7E19" w:rsidP="008B7E19">
            <w:pPr>
              <w:pStyle w:val="08-Tabelageral"/>
              <w:rPr>
                <w:rFonts w:cs="Arial"/>
                <w:b/>
                <w:szCs w:val="14"/>
              </w:rPr>
            </w:pPr>
          </w:p>
        </w:tc>
        <w:tc>
          <w:tcPr>
            <w:tcW w:w="1417" w:type="dxa"/>
            <w:shd w:val="clear" w:color="auto" w:fill="auto"/>
          </w:tcPr>
          <w:p w14:paraId="3A995DF2" w14:textId="77777777" w:rsidR="008B7E19" w:rsidRPr="00BC7DA5" w:rsidRDefault="008B7E19" w:rsidP="008B7E19">
            <w:pPr>
              <w:pStyle w:val="08-Tabelageral"/>
              <w:rPr>
                <w:rFonts w:cs="Arial"/>
                <w:b/>
                <w:szCs w:val="14"/>
              </w:rPr>
            </w:pPr>
            <w:r>
              <w:rPr>
                <w:rFonts w:cs="Arial"/>
                <w:b/>
                <w:szCs w:val="14"/>
              </w:rPr>
              <w:t>(29)</w:t>
            </w:r>
          </w:p>
        </w:tc>
        <w:tc>
          <w:tcPr>
            <w:tcW w:w="1418" w:type="dxa"/>
            <w:shd w:val="clear" w:color="auto" w:fill="auto"/>
          </w:tcPr>
          <w:p w14:paraId="28B5DF43" w14:textId="77777777" w:rsidR="008B7E19" w:rsidRPr="00BC7DA5" w:rsidRDefault="008B7E19" w:rsidP="008B7E19">
            <w:pPr>
              <w:pStyle w:val="08-Tabelageral"/>
              <w:rPr>
                <w:rFonts w:cs="Arial"/>
                <w:b/>
                <w:szCs w:val="14"/>
              </w:rPr>
            </w:pPr>
            <w:r>
              <w:rPr>
                <w:rFonts w:cs="Arial"/>
                <w:b/>
                <w:szCs w:val="14"/>
              </w:rPr>
              <w:t>48</w:t>
            </w:r>
          </w:p>
        </w:tc>
      </w:tr>
      <w:tr w:rsidR="008B7E19" w:rsidRPr="00BC7DA5" w14:paraId="0221B961" w14:textId="77777777" w:rsidTr="008875E7">
        <w:trPr>
          <w:trHeight w:val="238"/>
          <w:jc w:val="center"/>
        </w:trPr>
        <w:tc>
          <w:tcPr>
            <w:tcW w:w="3094" w:type="dxa"/>
            <w:tcBorders>
              <w:bottom w:val="nil"/>
            </w:tcBorders>
            <w:shd w:val="clear" w:color="auto" w:fill="auto"/>
          </w:tcPr>
          <w:p w14:paraId="7380DA57" w14:textId="77777777" w:rsidR="008B7E19" w:rsidRPr="00BC7DA5" w:rsidRDefault="008B7E19" w:rsidP="008B7E19">
            <w:pPr>
              <w:pStyle w:val="08-Tabelageral"/>
              <w:ind w:left="113"/>
              <w:jc w:val="left"/>
              <w:rPr>
                <w:rFonts w:cs="Arial"/>
              </w:rPr>
            </w:pPr>
            <w:r w:rsidRPr="00910E47">
              <w:rPr>
                <w:rFonts w:cs="Arial"/>
              </w:rPr>
              <w:t>I</w:t>
            </w:r>
            <w:r>
              <w:rPr>
                <w:rFonts w:cs="Arial"/>
              </w:rPr>
              <w:t>ncone tax</w:t>
            </w:r>
          </w:p>
        </w:tc>
        <w:tc>
          <w:tcPr>
            <w:tcW w:w="604" w:type="dxa"/>
            <w:tcBorders>
              <w:bottom w:val="nil"/>
            </w:tcBorders>
            <w:shd w:val="clear" w:color="auto" w:fill="auto"/>
          </w:tcPr>
          <w:p w14:paraId="31453118" w14:textId="77777777" w:rsidR="008B7E19" w:rsidRPr="00BC7DA5" w:rsidRDefault="008B7E19" w:rsidP="008B7E19">
            <w:pPr>
              <w:pStyle w:val="08-Tabelageral"/>
              <w:jc w:val="center"/>
              <w:rPr>
                <w:rFonts w:cs="Arial"/>
                <w:szCs w:val="14"/>
              </w:rPr>
            </w:pPr>
          </w:p>
        </w:tc>
        <w:tc>
          <w:tcPr>
            <w:tcW w:w="1411" w:type="dxa"/>
            <w:tcBorders>
              <w:bottom w:val="nil"/>
            </w:tcBorders>
            <w:shd w:val="clear" w:color="auto" w:fill="auto"/>
          </w:tcPr>
          <w:p w14:paraId="4679385D" w14:textId="77777777" w:rsidR="008B7E19" w:rsidRPr="00BC7DA5" w:rsidRDefault="008B7E19" w:rsidP="008B7E19">
            <w:pPr>
              <w:pStyle w:val="08-Tabelageral"/>
              <w:rPr>
                <w:rFonts w:cs="Arial"/>
                <w:szCs w:val="14"/>
              </w:rPr>
            </w:pPr>
            <w:r>
              <w:rPr>
                <w:rFonts w:cs="Arial"/>
                <w:szCs w:val="14"/>
              </w:rPr>
              <w:t>20</w:t>
            </w:r>
          </w:p>
        </w:tc>
        <w:tc>
          <w:tcPr>
            <w:tcW w:w="1412" w:type="dxa"/>
            <w:tcBorders>
              <w:bottom w:val="nil"/>
            </w:tcBorders>
            <w:shd w:val="clear" w:color="auto" w:fill="auto"/>
          </w:tcPr>
          <w:p w14:paraId="33742F0A" w14:textId="77777777" w:rsidR="008B7E19" w:rsidRPr="00BC7DA5" w:rsidRDefault="008B7E19" w:rsidP="008B7E19">
            <w:pPr>
              <w:pStyle w:val="08-Tabelageral"/>
              <w:rPr>
                <w:rFonts w:cs="Arial"/>
              </w:rPr>
            </w:pPr>
            <w:r>
              <w:rPr>
                <w:rFonts w:cs="Arial"/>
              </w:rPr>
              <w:t>36</w:t>
            </w:r>
          </w:p>
        </w:tc>
        <w:tc>
          <w:tcPr>
            <w:tcW w:w="283" w:type="dxa"/>
            <w:tcBorders>
              <w:bottom w:val="nil"/>
            </w:tcBorders>
            <w:shd w:val="clear" w:color="auto" w:fill="auto"/>
          </w:tcPr>
          <w:p w14:paraId="0B3D51A7" w14:textId="77777777" w:rsidR="008B7E19" w:rsidRPr="00BC7DA5" w:rsidRDefault="008B7E19" w:rsidP="008B7E19">
            <w:pPr>
              <w:pStyle w:val="08-Tabelageral"/>
              <w:rPr>
                <w:rFonts w:cs="Arial"/>
                <w:szCs w:val="14"/>
              </w:rPr>
            </w:pPr>
          </w:p>
        </w:tc>
        <w:tc>
          <w:tcPr>
            <w:tcW w:w="1417" w:type="dxa"/>
            <w:tcBorders>
              <w:bottom w:val="nil"/>
            </w:tcBorders>
            <w:shd w:val="clear" w:color="auto" w:fill="auto"/>
          </w:tcPr>
          <w:p w14:paraId="4A721DED" w14:textId="77777777" w:rsidR="008B7E19" w:rsidRPr="00BC7DA5" w:rsidRDefault="008B7E19" w:rsidP="008B7E19">
            <w:pPr>
              <w:pStyle w:val="08-Tabelageral"/>
              <w:rPr>
                <w:rFonts w:cs="Arial"/>
                <w:szCs w:val="14"/>
              </w:rPr>
            </w:pPr>
            <w:r>
              <w:rPr>
                <w:rFonts w:cs="Arial"/>
                <w:szCs w:val="14"/>
              </w:rPr>
              <w:t>(21)</w:t>
            </w:r>
          </w:p>
        </w:tc>
        <w:tc>
          <w:tcPr>
            <w:tcW w:w="1418" w:type="dxa"/>
            <w:tcBorders>
              <w:bottom w:val="nil"/>
            </w:tcBorders>
            <w:shd w:val="clear" w:color="auto" w:fill="auto"/>
          </w:tcPr>
          <w:p w14:paraId="16F2F806" w14:textId="77777777" w:rsidR="008B7E19" w:rsidRPr="00BC7DA5" w:rsidRDefault="008B7E19" w:rsidP="008B7E19">
            <w:pPr>
              <w:pStyle w:val="08-Tabelageral"/>
              <w:rPr>
                <w:rFonts w:cs="Arial"/>
                <w:szCs w:val="14"/>
              </w:rPr>
            </w:pPr>
            <w:r>
              <w:rPr>
                <w:rFonts w:cs="Arial"/>
                <w:szCs w:val="14"/>
              </w:rPr>
              <w:t>35</w:t>
            </w:r>
          </w:p>
        </w:tc>
      </w:tr>
      <w:tr w:rsidR="008B7E19" w:rsidRPr="00BC7DA5" w14:paraId="6E8BF088" w14:textId="77777777" w:rsidTr="008875E7">
        <w:trPr>
          <w:trHeight w:val="238"/>
          <w:jc w:val="center"/>
        </w:trPr>
        <w:tc>
          <w:tcPr>
            <w:tcW w:w="3094" w:type="dxa"/>
            <w:tcBorders>
              <w:top w:val="nil"/>
              <w:bottom w:val="single" w:sz="2" w:space="0" w:color="1F4E79" w:themeColor="accent1" w:themeShade="80"/>
            </w:tcBorders>
            <w:shd w:val="clear" w:color="auto" w:fill="auto"/>
          </w:tcPr>
          <w:p w14:paraId="62D15E61" w14:textId="77777777" w:rsidR="008B7E19" w:rsidRPr="00BC7DA5" w:rsidRDefault="008B7E19" w:rsidP="008B7E19">
            <w:pPr>
              <w:pStyle w:val="08-Tabelageral"/>
              <w:ind w:left="113"/>
              <w:jc w:val="left"/>
              <w:rPr>
                <w:rFonts w:cs="Arial"/>
              </w:rPr>
            </w:pPr>
            <w:r>
              <w:rPr>
                <w:rFonts w:cs="Arial"/>
              </w:rPr>
              <w:t>Social contribution</w:t>
            </w:r>
          </w:p>
        </w:tc>
        <w:tc>
          <w:tcPr>
            <w:tcW w:w="604" w:type="dxa"/>
            <w:tcBorders>
              <w:top w:val="nil"/>
              <w:bottom w:val="single" w:sz="2" w:space="0" w:color="1F4E79" w:themeColor="accent1" w:themeShade="80"/>
            </w:tcBorders>
            <w:shd w:val="clear" w:color="auto" w:fill="auto"/>
          </w:tcPr>
          <w:p w14:paraId="151EAC86" w14:textId="77777777" w:rsidR="008B7E19" w:rsidRPr="00BC7DA5" w:rsidRDefault="008B7E19" w:rsidP="008B7E19">
            <w:pPr>
              <w:pStyle w:val="08-Tabelageral"/>
              <w:jc w:val="center"/>
              <w:rPr>
                <w:rFonts w:cs="Arial"/>
                <w:szCs w:val="14"/>
              </w:rPr>
            </w:pPr>
          </w:p>
        </w:tc>
        <w:tc>
          <w:tcPr>
            <w:tcW w:w="1411" w:type="dxa"/>
            <w:tcBorders>
              <w:top w:val="nil"/>
              <w:bottom w:val="single" w:sz="2" w:space="0" w:color="1F4E79" w:themeColor="accent1" w:themeShade="80"/>
            </w:tcBorders>
            <w:shd w:val="clear" w:color="auto" w:fill="auto"/>
          </w:tcPr>
          <w:p w14:paraId="54CD4FC5" w14:textId="77777777" w:rsidR="008B7E19" w:rsidRPr="00BC7DA5" w:rsidRDefault="008B7E19" w:rsidP="008B7E19">
            <w:pPr>
              <w:pStyle w:val="08-Tabelageral"/>
              <w:rPr>
                <w:rFonts w:cs="Arial"/>
                <w:szCs w:val="14"/>
              </w:rPr>
            </w:pPr>
            <w:r>
              <w:rPr>
                <w:rFonts w:cs="Arial"/>
                <w:szCs w:val="14"/>
              </w:rPr>
              <w:t>8</w:t>
            </w:r>
          </w:p>
        </w:tc>
        <w:tc>
          <w:tcPr>
            <w:tcW w:w="1412" w:type="dxa"/>
            <w:tcBorders>
              <w:top w:val="nil"/>
              <w:bottom w:val="single" w:sz="2" w:space="0" w:color="1F4E79" w:themeColor="accent1" w:themeShade="80"/>
            </w:tcBorders>
            <w:shd w:val="clear" w:color="auto" w:fill="auto"/>
          </w:tcPr>
          <w:p w14:paraId="637A1028" w14:textId="77777777" w:rsidR="008B7E19" w:rsidRPr="00BC7DA5" w:rsidRDefault="008B7E19" w:rsidP="008B7E19">
            <w:pPr>
              <w:pStyle w:val="08-Tabelageral"/>
              <w:rPr>
                <w:rFonts w:cs="Arial"/>
              </w:rPr>
            </w:pPr>
            <w:r>
              <w:rPr>
                <w:rFonts w:cs="Arial"/>
              </w:rPr>
              <w:t>13</w:t>
            </w:r>
          </w:p>
        </w:tc>
        <w:tc>
          <w:tcPr>
            <w:tcW w:w="283" w:type="dxa"/>
            <w:tcBorders>
              <w:top w:val="nil"/>
              <w:bottom w:val="single" w:sz="2" w:space="0" w:color="1F4E79" w:themeColor="accent1" w:themeShade="80"/>
            </w:tcBorders>
            <w:shd w:val="clear" w:color="auto" w:fill="auto"/>
          </w:tcPr>
          <w:p w14:paraId="5CCAB555" w14:textId="77777777" w:rsidR="008B7E19" w:rsidRPr="00BC7DA5" w:rsidRDefault="008B7E19" w:rsidP="008B7E19">
            <w:pPr>
              <w:pStyle w:val="08-Tabelageral"/>
              <w:rPr>
                <w:rFonts w:cs="Arial"/>
                <w:szCs w:val="14"/>
              </w:rPr>
            </w:pPr>
          </w:p>
        </w:tc>
        <w:tc>
          <w:tcPr>
            <w:tcW w:w="1417" w:type="dxa"/>
            <w:tcBorders>
              <w:top w:val="nil"/>
              <w:bottom w:val="single" w:sz="2" w:space="0" w:color="1F4E79" w:themeColor="accent1" w:themeShade="80"/>
            </w:tcBorders>
            <w:shd w:val="clear" w:color="auto" w:fill="auto"/>
          </w:tcPr>
          <w:p w14:paraId="679B5FCF" w14:textId="77777777" w:rsidR="008B7E19" w:rsidRPr="00BC7DA5" w:rsidRDefault="008B7E19" w:rsidP="008B7E19">
            <w:pPr>
              <w:pStyle w:val="08-Tabelageral"/>
              <w:rPr>
                <w:rFonts w:cs="Arial"/>
                <w:szCs w:val="14"/>
              </w:rPr>
            </w:pPr>
            <w:r>
              <w:rPr>
                <w:rFonts w:cs="Arial"/>
                <w:szCs w:val="14"/>
              </w:rPr>
              <w:t>(8)</w:t>
            </w:r>
          </w:p>
        </w:tc>
        <w:tc>
          <w:tcPr>
            <w:tcW w:w="1418" w:type="dxa"/>
            <w:tcBorders>
              <w:top w:val="nil"/>
              <w:bottom w:val="single" w:sz="2" w:space="0" w:color="1F4E79" w:themeColor="accent1" w:themeShade="80"/>
            </w:tcBorders>
            <w:shd w:val="clear" w:color="auto" w:fill="auto"/>
          </w:tcPr>
          <w:p w14:paraId="4EB7718C" w14:textId="77777777" w:rsidR="008B7E19" w:rsidRPr="00BC7DA5" w:rsidRDefault="008B7E19" w:rsidP="008B7E19">
            <w:pPr>
              <w:pStyle w:val="08-Tabelageral"/>
              <w:rPr>
                <w:rFonts w:cs="Arial"/>
                <w:szCs w:val="14"/>
              </w:rPr>
            </w:pPr>
            <w:r>
              <w:rPr>
                <w:rFonts w:cs="Arial"/>
                <w:szCs w:val="14"/>
              </w:rPr>
              <w:t>13</w:t>
            </w:r>
          </w:p>
        </w:tc>
      </w:tr>
    </w:tbl>
    <w:p w14:paraId="09978819" w14:textId="77777777" w:rsidR="008B7E19" w:rsidRDefault="008B7E19">
      <w:pPr>
        <w:rPr>
          <w:rFonts w:cs="Arial"/>
          <w:b/>
          <w:color w:val="1F4E79" w:themeColor="accent1" w:themeShade="80"/>
          <w:szCs w:val="18"/>
        </w:rPr>
      </w:pPr>
    </w:p>
    <w:p w14:paraId="154CCFC5" w14:textId="77777777" w:rsidR="008B7E19" w:rsidRPr="00FF3D4B" w:rsidRDefault="008B7E19" w:rsidP="008B7E19">
      <w:pPr>
        <w:spacing w:after="0" w:line="240" w:lineRule="auto"/>
        <w:jc w:val="right"/>
        <w:rPr>
          <w:rFonts w:cs="Arial"/>
          <w:b/>
          <w:sz w:val="14"/>
          <w:lang w:eastAsia="pt-BR"/>
        </w:rPr>
      </w:pPr>
      <w:r w:rsidRPr="00FF3D4B">
        <w:rPr>
          <w:rFonts w:cs="Arial"/>
          <w:b/>
          <w:sz w:val="14"/>
          <w:lang w:eastAsia="pt-BR"/>
        </w:rPr>
        <w:t xml:space="preserve">R$ </w:t>
      </w:r>
      <w:r w:rsidRPr="00044999">
        <w:rPr>
          <w:rFonts w:cs="Arial"/>
          <w:b/>
          <w:sz w:val="14"/>
          <w:lang w:eastAsia="pt-BR"/>
        </w:rPr>
        <w:t>thousand</w:t>
      </w:r>
    </w:p>
    <w:tbl>
      <w:tblPr>
        <w:tblW w:w="9639" w:type="dxa"/>
        <w:jc w:val="center"/>
        <w:tblBorders>
          <w:top w:val="single" w:sz="2" w:space="0" w:color="8EAADB" w:themeColor="accent5" w:themeTint="99"/>
          <w:bottom w:val="single" w:sz="2" w:space="0" w:color="8EAADB" w:themeColor="accent5" w:themeTint="99"/>
        </w:tblBorders>
        <w:tblLook w:val="04A0" w:firstRow="1" w:lastRow="0" w:firstColumn="1" w:lastColumn="0" w:noHBand="0" w:noVBand="1"/>
      </w:tblPr>
      <w:tblGrid>
        <w:gridCol w:w="3094"/>
        <w:gridCol w:w="604"/>
        <w:gridCol w:w="1411"/>
        <w:gridCol w:w="1412"/>
        <w:gridCol w:w="283"/>
        <w:gridCol w:w="1417"/>
        <w:gridCol w:w="1418"/>
      </w:tblGrid>
      <w:tr w:rsidR="008B7E19" w:rsidRPr="00BC7DA5" w14:paraId="36E9214F" w14:textId="77777777" w:rsidTr="008875E7">
        <w:trPr>
          <w:trHeight w:val="238"/>
          <w:jc w:val="center"/>
        </w:trPr>
        <w:tc>
          <w:tcPr>
            <w:tcW w:w="3094" w:type="dxa"/>
            <w:tcBorders>
              <w:top w:val="single" w:sz="2" w:space="0" w:color="1F4E79" w:themeColor="accent1" w:themeShade="80"/>
              <w:bottom w:val="nil"/>
            </w:tcBorders>
            <w:shd w:val="clear" w:color="auto" w:fill="auto"/>
          </w:tcPr>
          <w:p w14:paraId="3ECB843F" w14:textId="77777777" w:rsidR="008B7E19" w:rsidRPr="00BC7DA5" w:rsidRDefault="008B7E19" w:rsidP="008B7E19">
            <w:pPr>
              <w:spacing w:after="0"/>
              <w:jc w:val="center"/>
              <w:rPr>
                <w:rFonts w:cs="Arial"/>
                <w:b/>
                <w:szCs w:val="18"/>
              </w:rPr>
            </w:pPr>
          </w:p>
        </w:tc>
        <w:tc>
          <w:tcPr>
            <w:tcW w:w="604" w:type="dxa"/>
            <w:tcBorders>
              <w:top w:val="single" w:sz="2" w:space="0" w:color="1F4E79" w:themeColor="accent1" w:themeShade="80"/>
              <w:bottom w:val="nil"/>
            </w:tcBorders>
            <w:shd w:val="clear" w:color="auto" w:fill="auto"/>
          </w:tcPr>
          <w:p w14:paraId="209D29E6" w14:textId="77777777" w:rsidR="008B7E19" w:rsidRPr="00BC7DA5" w:rsidRDefault="008B7E19" w:rsidP="008B7E19">
            <w:pPr>
              <w:spacing w:after="0"/>
              <w:jc w:val="center"/>
              <w:rPr>
                <w:rFonts w:cs="Arial"/>
                <w:b/>
                <w:szCs w:val="18"/>
              </w:rPr>
            </w:pPr>
          </w:p>
        </w:tc>
        <w:tc>
          <w:tcPr>
            <w:tcW w:w="5941" w:type="dxa"/>
            <w:gridSpan w:val="5"/>
            <w:tcBorders>
              <w:top w:val="single" w:sz="2" w:space="0" w:color="1F4E79" w:themeColor="accent1" w:themeShade="80"/>
              <w:bottom w:val="single" w:sz="2" w:space="0" w:color="1F4E79" w:themeColor="accent1" w:themeShade="80"/>
            </w:tcBorders>
            <w:shd w:val="clear" w:color="auto" w:fill="auto"/>
            <w:vAlign w:val="center"/>
          </w:tcPr>
          <w:p w14:paraId="485D1B32" w14:textId="77777777" w:rsidR="008B7E19" w:rsidRPr="00BC7DA5" w:rsidRDefault="008B7E19" w:rsidP="008B7E19">
            <w:pPr>
              <w:spacing w:after="0"/>
              <w:jc w:val="center"/>
              <w:rPr>
                <w:rFonts w:cs="Arial"/>
                <w:b/>
                <w:sz w:val="14"/>
                <w:szCs w:val="14"/>
              </w:rPr>
            </w:pPr>
            <w:r>
              <w:rPr>
                <w:rFonts w:cs="Arial"/>
                <w:b/>
                <w:sz w:val="14"/>
                <w:szCs w:val="14"/>
              </w:rPr>
              <w:t>Consolidated</w:t>
            </w:r>
          </w:p>
        </w:tc>
      </w:tr>
      <w:tr w:rsidR="008B7E19" w:rsidRPr="00BC7DA5" w14:paraId="2259EB6C" w14:textId="77777777" w:rsidTr="008875E7">
        <w:trPr>
          <w:trHeight w:val="238"/>
          <w:jc w:val="center"/>
        </w:trPr>
        <w:tc>
          <w:tcPr>
            <w:tcW w:w="3094" w:type="dxa"/>
            <w:tcBorders>
              <w:top w:val="nil"/>
              <w:bottom w:val="single" w:sz="2" w:space="0" w:color="1F4E79" w:themeColor="accent1" w:themeShade="80"/>
            </w:tcBorders>
            <w:shd w:val="clear" w:color="auto" w:fill="auto"/>
          </w:tcPr>
          <w:p w14:paraId="28AFACDE" w14:textId="77777777" w:rsidR="008B7E19" w:rsidRPr="00BC7DA5" w:rsidRDefault="008B7E19" w:rsidP="008B7E19">
            <w:pPr>
              <w:pStyle w:val="08-Tabelageral"/>
              <w:rPr>
                <w:rFonts w:cs="Arial"/>
                <w:b/>
              </w:rPr>
            </w:pPr>
          </w:p>
        </w:tc>
        <w:tc>
          <w:tcPr>
            <w:tcW w:w="604" w:type="dxa"/>
            <w:tcBorders>
              <w:top w:val="nil"/>
              <w:bottom w:val="single" w:sz="2" w:space="0" w:color="1F4E79" w:themeColor="accent1" w:themeShade="80"/>
            </w:tcBorders>
            <w:shd w:val="clear" w:color="auto" w:fill="auto"/>
          </w:tcPr>
          <w:p w14:paraId="768779F7" w14:textId="77777777" w:rsidR="008B7E19" w:rsidRPr="00BC7DA5" w:rsidRDefault="008B7E19" w:rsidP="008B7E19">
            <w:pPr>
              <w:pStyle w:val="08-Tabelageral"/>
              <w:rPr>
                <w:rFonts w:cs="Arial"/>
                <w:b/>
              </w:rPr>
            </w:pPr>
          </w:p>
        </w:tc>
        <w:tc>
          <w:tcPr>
            <w:tcW w:w="1411" w:type="dxa"/>
            <w:tcBorders>
              <w:top w:val="single" w:sz="2" w:space="0" w:color="1F4E79" w:themeColor="accent1" w:themeShade="80"/>
              <w:bottom w:val="single" w:sz="2" w:space="0" w:color="1F4E79" w:themeColor="accent1" w:themeShade="80"/>
            </w:tcBorders>
            <w:shd w:val="clear" w:color="auto" w:fill="auto"/>
          </w:tcPr>
          <w:p w14:paraId="465EF736" w14:textId="77777777" w:rsidR="008B7E19" w:rsidRPr="00504124" w:rsidRDefault="008B7E19" w:rsidP="008B7E19">
            <w:pPr>
              <w:pStyle w:val="08-Tabelageral"/>
              <w:rPr>
                <w:rFonts w:cs="Arial"/>
                <w:b/>
              </w:rPr>
            </w:pPr>
            <w:r w:rsidRPr="00504124">
              <w:rPr>
                <w:b/>
              </w:rPr>
              <w:t>Dec 31, 202</w:t>
            </w:r>
            <w:r>
              <w:rPr>
                <w:b/>
              </w:rPr>
              <w:t>2</w:t>
            </w:r>
          </w:p>
        </w:tc>
        <w:tc>
          <w:tcPr>
            <w:tcW w:w="1412" w:type="dxa"/>
            <w:tcBorders>
              <w:top w:val="single" w:sz="2" w:space="0" w:color="1F4E79" w:themeColor="accent1" w:themeShade="80"/>
              <w:bottom w:val="single" w:sz="2" w:space="0" w:color="1F4E79" w:themeColor="accent1" w:themeShade="80"/>
            </w:tcBorders>
            <w:shd w:val="clear" w:color="auto" w:fill="auto"/>
          </w:tcPr>
          <w:p w14:paraId="443E9D78" w14:textId="77777777" w:rsidR="008B7E19" w:rsidRPr="00504124" w:rsidRDefault="008B7E19" w:rsidP="008B7E19">
            <w:pPr>
              <w:pStyle w:val="08-Tabelageral"/>
              <w:rPr>
                <w:rFonts w:cs="Arial"/>
                <w:b/>
              </w:rPr>
            </w:pPr>
            <w:r w:rsidRPr="00504124">
              <w:rPr>
                <w:b/>
              </w:rPr>
              <w:t>Addition</w:t>
            </w:r>
          </w:p>
        </w:tc>
        <w:tc>
          <w:tcPr>
            <w:tcW w:w="283" w:type="dxa"/>
            <w:tcBorders>
              <w:top w:val="single" w:sz="2" w:space="0" w:color="1F4E79" w:themeColor="accent1" w:themeShade="80"/>
              <w:bottom w:val="single" w:sz="2" w:space="0" w:color="1F4E79" w:themeColor="accent1" w:themeShade="80"/>
            </w:tcBorders>
            <w:shd w:val="clear" w:color="auto" w:fill="auto"/>
          </w:tcPr>
          <w:p w14:paraId="312BF00B" w14:textId="77777777" w:rsidR="008B7E19" w:rsidRPr="00504124" w:rsidRDefault="008B7E19" w:rsidP="008B7E19">
            <w:pPr>
              <w:pStyle w:val="08-Tabelageral"/>
              <w:rPr>
                <w:rFonts w:cs="Arial"/>
                <w:b/>
              </w:rPr>
            </w:pPr>
          </w:p>
        </w:tc>
        <w:tc>
          <w:tcPr>
            <w:tcW w:w="1417" w:type="dxa"/>
            <w:tcBorders>
              <w:top w:val="single" w:sz="2" w:space="0" w:color="1F4E79" w:themeColor="accent1" w:themeShade="80"/>
              <w:bottom w:val="single" w:sz="2" w:space="0" w:color="1F4E79" w:themeColor="accent1" w:themeShade="80"/>
            </w:tcBorders>
            <w:shd w:val="clear" w:color="auto" w:fill="auto"/>
          </w:tcPr>
          <w:p w14:paraId="7DA49B9A" w14:textId="77777777" w:rsidR="008B7E19" w:rsidRPr="00504124" w:rsidRDefault="008B7E19" w:rsidP="008B7E19">
            <w:pPr>
              <w:pStyle w:val="08-Tabelageral"/>
              <w:rPr>
                <w:rFonts w:cs="Arial"/>
                <w:b/>
              </w:rPr>
            </w:pPr>
            <w:r w:rsidRPr="00504124">
              <w:rPr>
                <w:b/>
              </w:rPr>
              <w:t>Derecognition</w:t>
            </w:r>
          </w:p>
        </w:tc>
        <w:tc>
          <w:tcPr>
            <w:tcW w:w="1418" w:type="dxa"/>
            <w:tcBorders>
              <w:top w:val="single" w:sz="2" w:space="0" w:color="1F4E79" w:themeColor="accent1" w:themeShade="80"/>
              <w:bottom w:val="single" w:sz="2" w:space="0" w:color="1F4E79" w:themeColor="accent1" w:themeShade="80"/>
            </w:tcBorders>
            <w:shd w:val="clear" w:color="auto" w:fill="auto"/>
          </w:tcPr>
          <w:p w14:paraId="2EF25955" w14:textId="77777777" w:rsidR="008B7E19" w:rsidRPr="00504124" w:rsidRDefault="008B7E19" w:rsidP="008B7E19">
            <w:pPr>
              <w:pStyle w:val="08-Tabelageral"/>
              <w:rPr>
                <w:rFonts w:cs="Arial"/>
                <w:b/>
              </w:rPr>
            </w:pPr>
            <w:r>
              <w:rPr>
                <w:b/>
              </w:rPr>
              <w:t>June</w:t>
            </w:r>
            <w:r w:rsidRPr="00504124">
              <w:rPr>
                <w:b/>
              </w:rPr>
              <w:t xml:space="preserve"> 3</w:t>
            </w:r>
            <w:r>
              <w:rPr>
                <w:b/>
              </w:rPr>
              <w:t>0</w:t>
            </w:r>
            <w:r w:rsidRPr="00504124">
              <w:rPr>
                <w:b/>
              </w:rPr>
              <w:t>, 202</w:t>
            </w:r>
            <w:r>
              <w:rPr>
                <w:b/>
              </w:rPr>
              <w:t>3</w:t>
            </w:r>
          </w:p>
        </w:tc>
      </w:tr>
      <w:tr w:rsidR="008B7E19" w:rsidRPr="00BC7DA5" w14:paraId="1009A61A" w14:textId="77777777" w:rsidTr="008875E7">
        <w:trPr>
          <w:trHeight w:val="238"/>
          <w:jc w:val="center"/>
        </w:trPr>
        <w:tc>
          <w:tcPr>
            <w:tcW w:w="3094" w:type="dxa"/>
            <w:tcBorders>
              <w:top w:val="single" w:sz="2" w:space="0" w:color="1F4E79" w:themeColor="accent1" w:themeShade="80"/>
            </w:tcBorders>
            <w:shd w:val="clear" w:color="auto" w:fill="auto"/>
          </w:tcPr>
          <w:p w14:paraId="6EA94408" w14:textId="77777777" w:rsidR="008B7E19" w:rsidRPr="00BC7DA5" w:rsidRDefault="008B7E19" w:rsidP="008B7E19">
            <w:pPr>
              <w:pStyle w:val="08-Tabelageral"/>
              <w:jc w:val="left"/>
              <w:rPr>
                <w:rFonts w:cs="Arial"/>
                <w:b/>
                <w:bCs/>
                <w:szCs w:val="14"/>
              </w:rPr>
            </w:pPr>
            <w:r w:rsidRPr="003B22A9">
              <w:rPr>
                <w:rFonts w:cs="Arial"/>
                <w:b/>
                <w:szCs w:val="14"/>
              </w:rPr>
              <w:t>Temporary differences</w:t>
            </w:r>
          </w:p>
        </w:tc>
        <w:tc>
          <w:tcPr>
            <w:tcW w:w="604" w:type="dxa"/>
            <w:tcBorders>
              <w:top w:val="single" w:sz="2" w:space="0" w:color="1F4E79" w:themeColor="accent1" w:themeShade="80"/>
            </w:tcBorders>
            <w:shd w:val="clear" w:color="auto" w:fill="auto"/>
          </w:tcPr>
          <w:p w14:paraId="6EA3D0C7" w14:textId="77777777" w:rsidR="008B7E19" w:rsidRPr="00BC7DA5" w:rsidRDefault="008B7E19" w:rsidP="008B7E19">
            <w:pPr>
              <w:pStyle w:val="08-Tabelageral"/>
              <w:jc w:val="left"/>
              <w:rPr>
                <w:rFonts w:cs="Arial"/>
                <w:b/>
                <w:bCs/>
                <w:szCs w:val="14"/>
              </w:rPr>
            </w:pPr>
          </w:p>
        </w:tc>
        <w:tc>
          <w:tcPr>
            <w:tcW w:w="1411" w:type="dxa"/>
            <w:tcBorders>
              <w:top w:val="single" w:sz="2" w:space="0" w:color="1F4E79" w:themeColor="accent1" w:themeShade="80"/>
            </w:tcBorders>
            <w:shd w:val="clear" w:color="auto" w:fill="auto"/>
          </w:tcPr>
          <w:p w14:paraId="1D8D5576" w14:textId="77777777" w:rsidR="008B7E19" w:rsidRPr="00BC7DA5" w:rsidRDefault="008B7E19" w:rsidP="008B7E19">
            <w:pPr>
              <w:pStyle w:val="08-Tabelageral"/>
              <w:rPr>
                <w:rFonts w:cs="Arial"/>
                <w:b/>
                <w:bCs/>
                <w:szCs w:val="14"/>
              </w:rPr>
            </w:pPr>
          </w:p>
        </w:tc>
        <w:tc>
          <w:tcPr>
            <w:tcW w:w="1412" w:type="dxa"/>
            <w:tcBorders>
              <w:top w:val="single" w:sz="2" w:space="0" w:color="1F4E79" w:themeColor="accent1" w:themeShade="80"/>
            </w:tcBorders>
            <w:shd w:val="clear" w:color="auto" w:fill="auto"/>
          </w:tcPr>
          <w:p w14:paraId="52144A63" w14:textId="77777777" w:rsidR="008B7E19" w:rsidRPr="00BC7DA5" w:rsidRDefault="008B7E19" w:rsidP="008B7E19">
            <w:pPr>
              <w:pStyle w:val="08-Tabelageral"/>
              <w:rPr>
                <w:rFonts w:cs="Arial"/>
                <w:b/>
                <w:bCs/>
                <w:szCs w:val="14"/>
              </w:rPr>
            </w:pPr>
          </w:p>
        </w:tc>
        <w:tc>
          <w:tcPr>
            <w:tcW w:w="283" w:type="dxa"/>
            <w:tcBorders>
              <w:top w:val="single" w:sz="2" w:space="0" w:color="1F4E79" w:themeColor="accent1" w:themeShade="80"/>
            </w:tcBorders>
            <w:shd w:val="clear" w:color="auto" w:fill="auto"/>
          </w:tcPr>
          <w:p w14:paraId="6F768C7B" w14:textId="77777777" w:rsidR="008B7E19" w:rsidRPr="00BC7DA5" w:rsidRDefault="008B7E19" w:rsidP="008B7E19">
            <w:pPr>
              <w:pStyle w:val="08-Tabelageral"/>
              <w:jc w:val="left"/>
              <w:rPr>
                <w:rFonts w:cs="Arial"/>
                <w:b/>
                <w:bCs/>
                <w:szCs w:val="14"/>
              </w:rPr>
            </w:pPr>
          </w:p>
        </w:tc>
        <w:tc>
          <w:tcPr>
            <w:tcW w:w="1417" w:type="dxa"/>
            <w:tcBorders>
              <w:top w:val="single" w:sz="2" w:space="0" w:color="1F4E79" w:themeColor="accent1" w:themeShade="80"/>
            </w:tcBorders>
            <w:shd w:val="clear" w:color="auto" w:fill="auto"/>
          </w:tcPr>
          <w:p w14:paraId="31F846B1" w14:textId="77777777" w:rsidR="008B7E19" w:rsidRPr="00BC7DA5" w:rsidRDefault="008B7E19" w:rsidP="008B7E19">
            <w:pPr>
              <w:pStyle w:val="08-Tabelageral"/>
              <w:jc w:val="left"/>
              <w:rPr>
                <w:rFonts w:cs="Arial"/>
                <w:b/>
                <w:bCs/>
                <w:szCs w:val="14"/>
              </w:rPr>
            </w:pPr>
          </w:p>
        </w:tc>
        <w:tc>
          <w:tcPr>
            <w:tcW w:w="1418" w:type="dxa"/>
            <w:tcBorders>
              <w:top w:val="single" w:sz="2" w:space="0" w:color="1F4E79" w:themeColor="accent1" w:themeShade="80"/>
            </w:tcBorders>
            <w:shd w:val="clear" w:color="auto" w:fill="auto"/>
          </w:tcPr>
          <w:p w14:paraId="1CBCBF75" w14:textId="77777777" w:rsidR="008B7E19" w:rsidRPr="00BC7DA5" w:rsidRDefault="008B7E19" w:rsidP="008B7E19">
            <w:pPr>
              <w:pStyle w:val="08-Tabelageral"/>
              <w:rPr>
                <w:rFonts w:cs="Arial"/>
                <w:b/>
                <w:bCs/>
                <w:szCs w:val="14"/>
              </w:rPr>
            </w:pPr>
          </w:p>
        </w:tc>
      </w:tr>
      <w:tr w:rsidR="008B7E19" w:rsidRPr="00BC7DA5" w14:paraId="3A285A18" w14:textId="77777777" w:rsidTr="008875E7">
        <w:trPr>
          <w:trHeight w:val="238"/>
          <w:jc w:val="center"/>
        </w:trPr>
        <w:tc>
          <w:tcPr>
            <w:tcW w:w="3094" w:type="dxa"/>
            <w:shd w:val="clear" w:color="auto" w:fill="auto"/>
          </w:tcPr>
          <w:p w14:paraId="5D35E891" w14:textId="77777777" w:rsidR="008B7E19" w:rsidRPr="00BC7DA5" w:rsidRDefault="008B7E19" w:rsidP="008B7E19">
            <w:pPr>
              <w:pStyle w:val="08-Tabelageral"/>
              <w:ind w:left="113"/>
              <w:jc w:val="left"/>
              <w:rPr>
                <w:rFonts w:cs="Arial"/>
                <w:szCs w:val="14"/>
              </w:rPr>
            </w:pPr>
            <w:r>
              <w:rPr>
                <w:rFonts w:cs="Arial"/>
                <w:szCs w:val="14"/>
              </w:rPr>
              <w:t>Liabilities provision</w:t>
            </w:r>
          </w:p>
        </w:tc>
        <w:tc>
          <w:tcPr>
            <w:tcW w:w="604" w:type="dxa"/>
            <w:shd w:val="clear" w:color="auto" w:fill="auto"/>
          </w:tcPr>
          <w:p w14:paraId="7827FA8F" w14:textId="77777777" w:rsidR="008B7E19" w:rsidRPr="00BC7DA5" w:rsidRDefault="008B7E19" w:rsidP="008B7E19">
            <w:pPr>
              <w:pStyle w:val="08-Tabelageral"/>
              <w:ind w:left="113"/>
              <w:jc w:val="center"/>
              <w:rPr>
                <w:rFonts w:cs="Arial"/>
                <w:szCs w:val="14"/>
              </w:rPr>
            </w:pPr>
          </w:p>
        </w:tc>
        <w:tc>
          <w:tcPr>
            <w:tcW w:w="1411" w:type="dxa"/>
            <w:shd w:val="clear" w:color="auto" w:fill="auto"/>
          </w:tcPr>
          <w:p w14:paraId="30C431C4" w14:textId="77777777" w:rsidR="008B7E19" w:rsidRPr="00BC7DA5" w:rsidRDefault="008B7E19" w:rsidP="008B7E19">
            <w:pPr>
              <w:pStyle w:val="08-Tabelageral"/>
              <w:ind w:left="113"/>
              <w:rPr>
                <w:rFonts w:cs="Arial"/>
                <w:szCs w:val="14"/>
              </w:rPr>
            </w:pPr>
            <w:r>
              <w:rPr>
                <w:rFonts w:cs="Arial"/>
                <w:szCs w:val="14"/>
              </w:rPr>
              <w:t>4,720</w:t>
            </w:r>
          </w:p>
        </w:tc>
        <w:tc>
          <w:tcPr>
            <w:tcW w:w="1412" w:type="dxa"/>
            <w:shd w:val="clear" w:color="auto" w:fill="auto"/>
          </w:tcPr>
          <w:p w14:paraId="71B602BE" w14:textId="77777777" w:rsidR="008B7E19" w:rsidRPr="00BC7DA5" w:rsidRDefault="008B7E19" w:rsidP="008B7E19">
            <w:pPr>
              <w:pStyle w:val="08-Tabelageral"/>
              <w:ind w:left="113"/>
              <w:rPr>
                <w:rFonts w:cs="Arial"/>
              </w:rPr>
            </w:pPr>
            <w:r>
              <w:rPr>
                <w:rFonts w:cs="Arial"/>
              </w:rPr>
              <w:t>4,893</w:t>
            </w:r>
          </w:p>
        </w:tc>
        <w:tc>
          <w:tcPr>
            <w:tcW w:w="283" w:type="dxa"/>
            <w:shd w:val="clear" w:color="auto" w:fill="auto"/>
          </w:tcPr>
          <w:p w14:paraId="6E942B5B" w14:textId="77777777" w:rsidR="008B7E19" w:rsidRPr="00BC7DA5" w:rsidRDefault="008B7E19" w:rsidP="008B7E19">
            <w:pPr>
              <w:pStyle w:val="08-Tabelageral"/>
              <w:ind w:left="113"/>
              <w:rPr>
                <w:rFonts w:cs="Arial"/>
                <w:szCs w:val="14"/>
              </w:rPr>
            </w:pPr>
          </w:p>
        </w:tc>
        <w:tc>
          <w:tcPr>
            <w:tcW w:w="1417" w:type="dxa"/>
            <w:shd w:val="clear" w:color="auto" w:fill="auto"/>
          </w:tcPr>
          <w:p w14:paraId="45503779" w14:textId="77777777" w:rsidR="008B7E19" w:rsidRPr="00BC7DA5" w:rsidRDefault="008B7E19" w:rsidP="008B7E19">
            <w:pPr>
              <w:pStyle w:val="08-Tabelageral"/>
              <w:ind w:left="113"/>
              <w:rPr>
                <w:rFonts w:cs="Arial"/>
                <w:szCs w:val="14"/>
              </w:rPr>
            </w:pPr>
            <w:r>
              <w:rPr>
                <w:rFonts w:cs="Arial"/>
                <w:szCs w:val="14"/>
              </w:rPr>
              <w:t>(1,140)</w:t>
            </w:r>
          </w:p>
        </w:tc>
        <w:tc>
          <w:tcPr>
            <w:tcW w:w="1418" w:type="dxa"/>
            <w:shd w:val="clear" w:color="auto" w:fill="auto"/>
          </w:tcPr>
          <w:p w14:paraId="316CE8B6" w14:textId="77777777" w:rsidR="008B7E19" w:rsidRPr="00BC7DA5" w:rsidRDefault="008B7E19" w:rsidP="008B7E19">
            <w:pPr>
              <w:pStyle w:val="08-Tabelageral"/>
              <w:ind w:left="113"/>
              <w:rPr>
                <w:rFonts w:cs="Arial"/>
                <w:szCs w:val="14"/>
              </w:rPr>
            </w:pPr>
            <w:r>
              <w:rPr>
                <w:rFonts w:cs="Arial"/>
                <w:szCs w:val="14"/>
              </w:rPr>
              <w:t>8,473</w:t>
            </w:r>
          </w:p>
        </w:tc>
      </w:tr>
      <w:tr w:rsidR="008B7E19" w:rsidRPr="00BC7DA5" w14:paraId="53D98426" w14:textId="77777777" w:rsidTr="008875E7">
        <w:trPr>
          <w:trHeight w:val="238"/>
          <w:jc w:val="center"/>
        </w:trPr>
        <w:tc>
          <w:tcPr>
            <w:tcW w:w="3094" w:type="dxa"/>
            <w:shd w:val="clear" w:color="auto" w:fill="auto"/>
          </w:tcPr>
          <w:p w14:paraId="39152B9A" w14:textId="77777777" w:rsidR="008B7E19" w:rsidRPr="00BC7DA5" w:rsidRDefault="008B7E19" w:rsidP="008B7E19">
            <w:pPr>
              <w:pStyle w:val="08-Tabelageral"/>
              <w:ind w:left="113"/>
              <w:jc w:val="left"/>
              <w:rPr>
                <w:rFonts w:cs="Arial"/>
                <w:szCs w:val="14"/>
              </w:rPr>
            </w:pPr>
            <w:r w:rsidRPr="00EB1176">
              <w:rPr>
                <w:rFonts w:cs="Arial"/>
                <w:szCs w:val="14"/>
              </w:rPr>
              <w:t>Amortization of goodwill</w:t>
            </w:r>
          </w:p>
        </w:tc>
        <w:tc>
          <w:tcPr>
            <w:tcW w:w="604" w:type="dxa"/>
            <w:shd w:val="clear" w:color="auto" w:fill="auto"/>
          </w:tcPr>
          <w:p w14:paraId="7C368776" w14:textId="77777777" w:rsidR="008B7E19" w:rsidRPr="00BC7DA5" w:rsidRDefault="008B7E19" w:rsidP="008B7E19">
            <w:pPr>
              <w:pStyle w:val="08-Tabelageral"/>
              <w:ind w:left="113"/>
              <w:jc w:val="center"/>
              <w:rPr>
                <w:rFonts w:cs="Arial"/>
                <w:szCs w:val="14"/>
              </w:rPr>
            </w:pPr>
          </w:p>
        </w:tc>
        <w:tc>
          <w:tcPr>
            <w:tcW w:w="1411" w:type="dxa"/>
            <w:shd w:val="clear" w:color="auto" w:fill="auto"/>
          </w:tcPr>
          <w:p w14:paraId="52F7B5DF" w14:textId="77777777" w:rsidR="008B7E19" w:rsidRPr="00BC7DA5" w:rsidRDefault="008B7E19" w:rsidP="008B7E19">
            <w:pPr>
              <w:pStyle w:val="08-Tabelageral"/>
              <w:ind w:left="113"/>
              <w:rPr>
                <w:rFonts w:cs="Arial"/>
                <w:szCs w:val="14"/>
              </w:rPr>
            </w:pPr>
            <w:r>
              <w:rPr>
                <w:rFonts w:cs="Arial"/>
                <w:szCs w:val="14"/>
              </w:rPr>
              <w:t>3,053</w:t>
            </w:r>
          </w:p>
        </w:tc>
        <w:tc>
          <w:tcPr>
            <w:tcW w:w="1412" w:type="dxa"/>
            <w:shd w:val="clear" w:color="auto" w:fill="auto"/>
          </w:tcPr>
          <w:p w14:paraId="04091D88" w14:textId="77777777" w:rsidR="008B7E19" w:rsidRPr="00BC7DA5" w:rsidRDefault="008B7E19" w:rsidP="008B7E19">
            <w:pPr>
              <w:pStyle w:val="08-Tabelageral"/>
              <w:ind w:left="113"/>
              <w:rPr>
                <w:rFonts w:cs="Arial"/>
              </w:rPr>
            </w:pPr>
            <w:r>
              <w:rPr>
                <w:rFonts w:cs="Arial"/>
              </w:rPr>
              <w:t>--</w:t>
            </w:r>
          </w:p>
        </w:tc>
        <w:tc>
          <w:tcPr>
            <w:tcW w:w="283" w:type="dxa"/>
            <w:shd w:val="clear" w:color="auto" w:fill="auto"/>
          </w:tcPr>
          <w:p w14:paraId="6CBEA4FF" w14:textId="77777777" w:rsidR="008B7E19" w:rsidRPr="00BC7DA5" w:rsidRDefault="008B7E19" w:rsidP="008B7E19">
            <w:pPr>
              <w:pStyle w:val="08-Tabelageral"/>
              <w:ind w:left="113"/>
              <w:rPr>
                <w:rFonts w:cs="Arial"/>
                <w:szCs w:val="14"/>
              </w:rPr>
            </w:pPr>
          </w:p>
        </w:tc>
        <w:tc>
          <w:tcPr>
            <w:tcW w:w="1417" w:type="dxa"/>
            <w:shd w:val="clear" w:color="auto" w:fill="auto"/>
          </w:tcPr>
          <w:p w14:paraId="68CCCC7C" w14:textId="77777777" w:rsidR="008B7E19" w:rsidRPr="00BC7DA5" w:rsidRDefault="008B7E19" w:rsidP="008B7E19">
            <w:pPr>
              <w:pStyle w:val="08-Tabelageral"/>
              <w:ind w:left="113"/>
              <w:rPr>
                <w:rFonts w:cs="Arial"/>
                <w:szCs w:val="14"/>
              </w:rPr>
            </w:pPr>
            <w:r>
              <w:rPr>
                <w:rFonts w:cs="Arial"/>
                <w:szCs w:val="14"/>
              </w:rPr>
              <w:t>--</w:t>
            </w:r>
          </w:p>
        </w:tc>
        <w:tc>
          <w:tcPr>
            <w:tcW w:w="1418" w:type="dxa"/>
            <w:shd w:val="clear" w:color="auto" w:fill="auto"/>
          </w:tcPr>
          <w:p w14:paraId="13CDA903" w14:textId="77777777" w:rsidR="008B7E19" w:rsidRPr="00BC7DA5" w:rsidRDefault="008B7E19" w:rsidP="008B7E19">
            <w:pPr>
              <w:pStyle w:val="08-Tabelageral"/>
              <w:ind w:left="113"/>
              <w:rPr>
                <w:rFonts w:cs="Arial"/>
                <w:szCs w:val="14"/>
              </w:rPr>
            </w:pPr>
            <w:r>
              <w:rPr>
                <w:rFonts w:cs="Arial"/>
                <w:szCs w:val="14"/>
              </w:rPr>
              <w:t>3,053</w:t>
            </w:r>
          </w:p>
        </w:tc>
      </w:tr>
      <w:tr w:rsidR="008B7E19" w:rsidRPr="00BC7DA5" w14:paraId="601FC45F" w14:textId="77777777" w:rsidTr="008875E7">
        <w:trPr>
          <w:trHeight w:val="238"/>
          <w:jc w:val="center"/>
        </w:trPr>
        <w:tc>
          <w:tcPr>
            <w:tcW w:w="3094" w:type="dxa"/>
            <w:shd w:val="clear" w:color="auto" w:fill="auto"/>
          </w:tcPr>
          <w:p w14:paraId="5AAF7826" w14:textId="77777777" w:rsidR="008B7E19" w:rsidRPr="00BC7DA5" w:rsidRDefault="008B7E19" w:rsidP="008B7E19">
            <w:pPr>
              <w:pStyle w:val="08-Tabelageral"/>
              <w:jc w:val="left"/>
              <w:rPr>
                <w:rFonts w:cs="Arial"/>
                <w:b/>
              </w:rPr>
            </w:pPr>
            <w:r w:rsidRPr="003B22A9">
              <w:rPr>
                <w:rFonts w:cs="Arial"/>
                <w:b/>
              </w:rPr>
              <w:t>Total deferred tax assets</w:t>
            </w:r>
          </w:p>
        </w:tc>
        <w:tc>
          <w:tcPr>
            <w:tcW w:w="604" w:type="dxa"/>
            <w:shd w:val="clear" w:color="auto" w:fill="auto"/>
          </w:tcPr>
          <w:p w14:paraId="18A13B8C" w14:textId="77777777" w:rsidR="008B7E19" w:rsidRPr="00BC7DA5" w:rsidRDefault="008B7E19" w:rsidP="008B7E19">
            <w:pPr>
              <w:pStyle w:val="08-Tabelageral"/>
              <w:jc w:val="center"/>
              <w:rPr>
                <w:rFonts w:cs="Arial"/>
                <w:b/>
                <w:szCs w:val="14"/>
              </w:rPr>
            </w:pPr>
          </w:p>
        </w:tc>
        <w:tc>
          <w:tcPr>
            <w:tcW w:w="1411" w:type="dxa"/>
            <w:shd w:val="clear" w:color="auto" w:fill="auto"/>
          </w:tcPr>
          <w:p w14:paraId="7C76395B" w14:textId="77777777" w:rsidR="008B7E19" w:rsidRPr="00BC7DA5" w:rsidRDefault="008B7E19" w:rsidP="008B7E19">
            <w:pPr>
              <w:pStyle w:val="08-Tabelageral"/>
              <w:rPr>
                <w:rFonts w:cs="Arial"/>
                <w:b/>
                <w:szCs w:val="14"/>
              </w:rPr>
            </w:pPr>
            <w:r>
              <w:rPr>
                <w:rFonts w:cs="Arial"/>
                <w:b/>
                <w:szCs w:val="14"/>
              </w:rPr>
              <w:t>7,773</w:t>
            </w:r>
          </w:p>
        </w:tc>
        <w:tc>
          <w:tcPr>
            <w:tcW w:w="1412" w:type="dxa"/>
            <w:shd w:val="clear" w:color="auto" w:fill="auto"/>
          </w:tcPr>
          <w:p w14:paraId="5E834D8B" w14:textId="77777777" w:rsidR="008B7E19" w:rsidRPr="00BC7DA5" w:rsidRDefault="008B7E19" w:rsidP="008B7E19">
            <w:pPr>
              <w:pStyle w:val="08-Tabelageral"/>
              <w:rPr>
                <w:rFonts w:cs="Arial"/>
                <w:b/>
              </w:rPr>
            </w:pPr>
            <w:r>
              <w:rPr>
                <w:rFonts w:cs="Arial"/>
                <w:b/>
              </w:rPr>
              <w:t>4,893</w:t>
            </w:r>
          </w:p>
        </w:tc>
        <w:tc>
          <w:tcPr>
            <w:tcW w:w="283" w:type="dxa"/>
            <w:shd w:val="clear" w:color="auto" w:fill="auto"/>
          </w:tcPr>
          <w:p w14:paraId="6E42C681" w14:textId="77777777" w:rsidR="008B7E19" w:rsidRPr="00BC7DA5" w:rsidRDefault="008B7E19" w:rsidP="008B7E19">
            <w:pPr>
              <w:pStyle w:val="08-Tabelageral"/>
              <w:rPr>
                <w:rFonts w:cs="Arial"/>
                <w:b/>
                <w:szCs w:val="14"/>
              </w:rPr>
            </w:pPr>
          </w:p>
        </w:tc>
        <w:tc>
          <w:tcPr>
            <w:tcW w:w="1417" w:type="dxa"/>
            <w:shd w:val="clear" w:color="auto" w:fill="auto"/>
          </w:tcPr>
          <w:p w14:paraId="12C62A1E" w14:textId="77777777" w:rsidR="008B7E19" w:rsidRPr="00BC7DA5" w:rsidRDefault="008B7E19" w:rsidP="008B7E19">
            <w:pPr>
              <w:pStyle w:val="08-Tabelageral"/>
              <w:rPr>
                <w:rFonts w:cs="Arial"/>
                <w:b/>
                <w:szCs w:val="14"/>
              </w:rPr>
            </w:pPr>
            <w:r>
              <w:rPr>
                <w:rFonts w:cs="Arial"/>
                <w:b/>
                <w:szCs w:val="14"/>
              </w:rPr>
              <w:t>(1,140)</w:t>
            </w:r>
          </w:p>
        </w:tc>
        <w:tc>
          <w:tcPr>
            <w:tcW w:w="1418" w:type="dxa"/>
            <w:shd w:val="clear" w:color="auto" w:fill="auto"/>
          </w:tcPr>
          <w:p w14:paraId="574A8010" w14:textId="77777777" w:rsidR="008B7E19" w:rsidRPr="00BC7DA5" w:rsidRDefault="008B7E19" w:rsidP="008B7E19">
            <w:pPr>
              <w:pStyle w:val="08-Tabelageral"/>
              <w:rPr>
                <w:rFonts w:cs="Arial"/>
                <w:b/>
                <w:szCs w:val="14"/>
              </w:rPr>
            </w:pPr>
            <w:r>
              <w:rPr>
                <w:rFonts w:cs="Arial"/>
                <w:b/>
                <w:szCs w:val="14"/>
              </w:rPr>
              <w:t>11,526</w:t>
            </w:r>
          </w:p>
        </w:tc>
      </w:tr>
      <w:tr w:rsidR="008B7E19" w:rsidRPr="00BC7DA5" w14:paraId="72E92B9A" w14:textId="77777777" w:rsidTr="008875E7">
        <w:trPr>
          <w:trHeight w:val="238"/>
          <w:jc w:val="center"/>
        </w:trPr>
        <w:tc>
          <w:tcPr>
            <w:tcW w:w="3094" w:type="dxa"/>
            <w:tcBorders>
              <w:bottom w:val="nil"/>
            </w:tcBorders>
            <w:shd w:val="clear" w:color="auto" w:fill="auto"/>
          </w:tcPr>
          <w:p w14:paraId="3DBD5331" w14:textId="77777777" w:rsidR="008B7E19" w:rsidRPr="00BC7DA5" w:rsidRDefault="008B7E19" w:rsidP="008B7E19">
            <w:pPr>
              <w:pStyle w:val="08-Tabelageral"/>
              <w:ind w:left="113"/>
              <w:jc w:val="left"/>
              <w:rPr>
                <w:rFonts w:cs="Arial"/>
              </w:rPr>
            </w:pPr>
            <w:r w:rsidRPr="00910E47">
              <w:rPr>
                <w:rFonts w:cs="Arial"/>
              </w:rPr>
              <w:t>I</w:t>
            </w:r>
            <w:r>
              <w:rPr>
                <w:rFonts w:cs="Arial"/>
              </w:rPr>
              <w:t>ncone tax</w:t>
            </w:r>
          </w:p>
        </w:tc>
        <w:tc>
          <w:tcPr>
            <w:tcW w:w="604" w:type="dxa"/>
            <w:tcBorders>
              <w:bottom w:val="nil"/>
            </w:tcBorders>
            <w:shd w:val="clear" w:color="auto" w:fill="auto"/>
          </w:tcPr>
          <w:p w14:paraId="232D611C" w14:textId="77777777" w:rsidR="008B7E19" w:rsidRPr="00BC7DA5" w:rsidRDefault="008B7E19" w:rsidP="008B7E19">
            <w:pPr>
              <w:pStyle w:val="08-Tabelageral"/>
              <w:jc w:val="center"/>
              <w:rPr>
                <w:rFonts w:cs="Arial"/>
                <w:szCs w:val="14"/>
              </w:rPr>
            </w:pPr>
          </w:p>
        </w:tc>
        <w:tc>
          <w:tcPr>
            <w:tcW w:w="1411" w:type="dxa"/>
            <w:tcBorders>
              <w:bottom w:val="nil"/>
            </w:tcBorders>
            <w:shd w:val="clear" w:color="auto" w:fill="auto"/>
          </w:tcPr>
          <w:p w14:paraId="1EF32EA3" w14:textId="77777777" w:rsidR="008B7E19" w:rsidRPr="00BC7DA5" w:rsidRDefault="008B7E19" w:rsidP="008B7E19">
            <w:pPr>
              <w:pStyle w:val="08-Tabelageral"/>
              <w:rPr>
                <w:rFonts w:cs="Arial"/>
                <w:szCs w:val="14"/>
              </w:rPr>
            </w:pPr>
            <w:r>
              <w:rPr>
                <w:rFonts w:cs="Arial"/>
                <w:szCs w:val="14"/>
              </w:rPr>
              <w:t>6,521</w:t>
            </w:r>
          </w:p>
        </w:tc>
        <w:tc>
          <w:tcPr>
            <w:tcW w:w="1412" w:type="dxa"/>
            <w:tcBorders>
              <w:bottom w:val="nil"/>
            </w:tcBorders>
            <w:shd w:val="clear" w:color="auto" w:fill="auto"/>
          </w:tcPr>
          <w:p w14:paraId="7250F748" w14:textId="77777777" w:rsidR="008B7E19" w:rsidRPr="00BC7DA5" w:rsidRDefault="008B7E19" w:rsidP="008B7E19">
            <w:pPr>
              <w:pStyle w:val="08-Tabelageral"/>
              <w:rPr>
                <w:rFonts w:cs="Arial"/>
              </w:rPr>
            </w:pPr>
            <w:r>
              <w:rPr>
                <w:rFonts w:cs="Arial"/>
              </w:rPr>
              <w:t>3,598</w:t>
            </w:r>
          </w:p>
        </w:tc>
        <w:tc>
          <w:tcPr>
            <w:tcW w:w="283" w:type="dxa"/>
            <w:tcBorders>
              <w:bottom w:val="nil"/>
            </w:tcBorders>
            <w:shd w:val="clear" w:color="auto" w:fill="auto"/>
          </w:tcPr>
          <w:p w14:paraId="272B7DB8" w14:textId="77777777" w:rsidR="008B7E19" w:rsidRPr="00BC7DA5" w:rsidRDefault="008B7E19" w:rsidP="008B7E19">
            <w:pPr>
              <w:pStyle w:val="08-Tabelageral"/>
              <w:rPr>
                <w:rFonts w:cs="Arial"/>
                <w:szCs w:val="14"/>
              </w:rPr>
            </w:pPr>
          </w:p>
        </w:tc>
        <w:tc>
          <w:tcPr>
            <w:tcW w:w="1417" w:type="dxa"/>
            <w:tcBorders>
              <w:bottom w:val="nil"/>
            </w:tcBorders>
            <w:shd w:val="clear" w:color="auto" w:fill="auto"/>
          </w:tcPr>
          <w:p w14:paraId="4A82B95C" w14:textId="77777777" w:rsidR="008B7E19" w:rsidRPr="00BC7DA5" w:rsidRDefault="008B7E19" w:rsidP="008B7E19">
            <w:pPr>
              <w:pStyle w:val="08-Tabelageral"/>
              <w:rPr>
                <w:rFonts w:cs="Arial"/>
                <w:szCs w:val="14"/>
              </w:rPr>
            </w:pPr>
            <w:r>
              <w:rPr>
                <w:rFonts w:cs="Arial"/>
                <w:szCs w:val="14"/>
              </w:rPr>
              <w:t>(839)</w:t>
            </w:r>
          </w:p>
        </w:tc>
        <w:tc>
          <w:tcPr>
            <w:tcW w:w="1418" w:type="dxa"/>
            <w:tcBorders>
              <w:bottom w:val="nil"/>
            </w:tcBorders>
            <w:shd w:val="clear" w:color="auto" w:fill="auto"/>
          </w:tcPr>
          <w:p w14:paraId="140DDD22" w14:textId="77777777" w:rsidR="008B7E19" w:rsidRPr="00BC7DA5" w:rsidRDefault="008B7E19" w:rsidP="008B7E19">
            <w:pPr>
              <w:pStyle w:val="08-Tabelageral"/>
              <w:rPr>
                <w:rFonts w:cs="Arial"/>
                <w:szCs w:val="14"/>
              </w:rPr>
            </w:pPr>
            <w:r>
              <w:rPr>
                <w:rFonts w:cs="Arial"/>
                <w:szCs w:val="14"/>
              </w:rPr>
              <w:t>9,280</w:t>
            </w:r>
          </w:p>
        </w:tc>
      </w:tr>
      <w:tr w:rsidR="008B7E19" w:rsidRPr="00BC7DA5" w14:paraId="72C86381" w14:textId="77777777" w:rsidTr="008875E7">
        <w:trPr>
          <w:trHeight w:val="238"/>
          <w:jc w:val="center"/>
        </w:trPr>
        <w:tc>
          <w:tcPr>
            <w:tcW w:w="3094" w:type="dxa"/>
            <w:tcBorders>
              <w:top w:val="nil"/>
              <w:bottom w:val="single" w:sz="2" w:space="0" w:color="1F4E79" w:themeColor="accent1" w:themeShade="80"/>
            </w:tcBorders>
            <w:shd w:val="clear" w:color="auto" w:fill="auto"/>
          </w:tcPr>
          <w:p w14:paraId="763AB35F" w14:textId="77777777" w:rsidR="008B7E19" w:rsidRPr="00BC7DA5" w:rsidRDefault="008B7E19" w:rsidP="008B7E19">
            <w:pPr>
              <w:pStyle w:val="08-Tabelageral"/>
              <w:ind w:left="113"/>
              <w:jc w:val="left"/>
              <w:rPr>
                <w:rFonts w:cs="Arial"/>
              </w:rPr>
            </w:pPr>
            <w:r>
              <w:rPr>
                <w:rFonts w:cs="Arial"/>
              </w:rPr>
              <w:t>Social contribution</w:t>
            </w:r>
          </w:p>
        </w:tc>
        <w:tc>
          <w:tcPr>
            <w:tcW w:w="604" w:type="dxa"/>
            <w:tcBorders>
              <w:top w:val="nil"/>
              <w:bottom w:val="single" w:sz="2" w:space="0" w:color="1F4E79" w:themeColor="accent1" w:themeShade="80"/>
            </w:tcBorders>
            <w:shd w:val="clear" w:color="auto" w:fill="auto"/>
          </w:tcPr>
          <w:p w14:paraId="45002A3D" w14:textId="77777777" w:rsidR="008B7E19" w:rsidRPr="00BC7DA5" w:rsidRDefault="008B7E19" w:rsidP="008B7E19">
            <w:pPr>
              <w:pStyle w:val="08-Tabelageral"/>
              <w:jc w:val="center"/>
              <w:rPr>
                <w:rFonts w:cs="Arial"/>
                <w:szCs w:val="14"/>
              </w:rPr>
            </w:pPr>
          </w:p>
        </w:tc>
        <w:tc>
          <w:tcPr>
            <w:tcW w:w="1411" w:type="dxa"/>
            <w:tcBorders>
              <w:top w:val="nil"/>
              <w:bottom w:val="single" w:sz="2" w:space="0" w:color="1F4E79" w:themeColor="accent1" w:themeShade="80"/>
            </w:tcBorders>
            <w:shd w:val="clear" w:color="auto" w:fill="auto"/>
          </w:tcPr>
          <w:p w14:paraId="32614133" w14:textId="77777777" w:rsidR="008B7E19" w:rsidRPr="00BC7DA5" w:rsidRDefault="008B7E19" w:rsidP="008B7E19">
            <w:pPr>
              <w:pStyle w:val="08-Tabelageral"/>
              <w:rPr>
                <w:rFonts w:cs="Arial"/>
                <w:szCs w:val="14"/>
              </w:rPr>
            </w:pPr>
            <w:r>
              <w:rPr>
                <w:rFonts w:cs="Arial"/>
                <w:szCs w:val="14"/>
              </w:rPr>
              <w:t>1,252</w:t>
            </w:r>
          </w:p>
        </w:tc>
        <w:tc>
          <w:tcPr>
            <w:tcW w:w="1412" w:type="dxa"/>
            <w:tcBorders>
              <w:top w:val="nil"/>
              <w:bottom w:val="single" w:sz="2" w:space="0" w:color="1F4E79" w:themeColor="accent1" w:themeShade="80"/>
            </w:tcBorders>
            <w:shd w:val="clear" w:color="auto" w:fill="auto"/>
          </w:tcPr>
          <w:p w14:paraId="580F0F9A" w14:textId="77777777" w:rsidR="008B7E19" w:rsidRPr="00BC7DA5" w:rsidRDefault="008B7E19" w:rsidP="008B7E19">
            <w:pPr>
              <w:pStyle w:val="08-Tabelageral"/>
              <w:rPr>
                <w:rFonts w:cs="Arial"/>
              </w:rPr>
            </w:pPr>
            <w:r>
              <w:rPr>
                <w:rFonts w:cs="Arial"/>
              </w:rPr>
              <w:t>1,295</w:t>
            </w:r>
          </w:p>
        </w:tc>
        <w:tc>
          <w:tcPr>
            <w:tcW w:w="283" w:type="dxa"/>
            <w:tcBorders>
              <w:top w:val="nil"/>
              <w:bottom w:val="single" w:sz="2" w:space="0" w:color="1F4E79" w:themeColor="accent1" w:themeShade="80"/>
            </w:tcBorders>
            <w:shd w:val="clear" w:color="auto" w:fill="auto"/>
          </w:tcPr>
          <w:p w14:paraId="54D66B20" w14:textId="77777777" w:rsidR="008B7E19" w:rsidRPr="00BC7DA5" w:rsidRDefault="008B7E19" w:rsidP="008B7E19">
            <w:pPr>
              <w:pStyle w:val="08-Tabelageral"/>
              <w:rPr>
                <w:rFonts w:cs="Arial"/>
                <w:szCs w:val="14"/>
              </w:rPr>
            </w:pPr>
          </w:p>
        </w:tc>
        <w:tc>
          <w:tcPr>
            <w:tcW w:w="1417" w:type="dxa"/>
            <w:tcBorders>
              <w:top w:val="nil"/>
              <w:bottom w:val="single" w:sz="2" w:space="0" w:color="1F4E79" w:themeColor="accent1" w:themeShade="80"/>
            </w:tcBorders>
            <w:shd w:val="clear" w:color="auto" w:fill="auto"/>
          </w:tcPr>
          <w:p w14:paraId="40D87ED8" w14:textId="77777777" w:rsidR="008B7E19" w:rsidRPr="00BC7DA5" w:rsidRDefault="008B7E19" w:rsidP="008B7E19">
            <w:pPr>
              <w:pStyle w:val="08-Tabelageral"/>
              <w:rPr>
                <w:rFonts w:cs="Arial"/>
                <w:szCs w:val="14"/>
              </w:rPr>
            </w:pPr>
            <w:r>
              <w:rPr>
                <w:rFonts w:cs="Arial"/>
                <w:szCs w:val="14"/>
              </w:rPr>
              <w:t>(301)</w:t>
            </w:r>
          </w:p>
        </w:tc>
        <w:tc>
          <w:tcPr>
            <w:tcW w:w="1418" w:type="dxa"/>
            <w:tcBorders>
              <w:top w:val="nil"/>
              <w:bottom w:val="single" w:sz="2" w:space="0" w:color="1F4E79" w:themeColor="accent1" w:themeShade="80"/>
            </w:tcBorders>
            <w:shd w:val="clear" w:color="auto" w:fill="auto"/>
          </w:tcPr>
          <w:p w14:paraId="4C87049A" w14:textId="77777777" w:rsidR="008B7E19" w:rsidRPr="00BC7DA5" w:rsidRDefault="008B7E19" w:rsidP="008B7E19">
            <w:pPr>
              <w:pStyle w:val="08-Tabelageral"/>
              <w:rPr>
                <w:rFonts w:cs="Arial"/>
                <w:szCs w:val="14"/>
              </w:rPr>
            </w:pPr>
            <w:r>
              <w:rPr>
                <w:rFonts w:cs="Arial"/>
                <w:szCs w:val="14"/>
              </w:rPr>
              <w:t>2,246</w:t>
            </w:r>
          </w:p>
        </w:tc>
      </w:tr>
    </w:tbl>
    <w:p w14:paraId="0C9E4AB8" w14:textId="77777777" w:rsidR="008B7E19" w:rsidRDefault="008B7E19">
      <w:pPr>
        <w:rPr>
          <w:rFonts w:cs="Arial"/>
          <w:b/>
          <w:color w:val="1F4E79" w:themeColor="accent1" w:themeShade="80"/>
          <w:szCs w:val="18"/>
        </w:rPr>
      </w:pPr>
    </w:p>
    <w:p w14:paraId="2FA53C40" w14:textId="77777777" w:rsidR="008B7E19" w:rsidRPr="00662308" w:rsidRDefault="008B7E19" w:rsidP="008B7E19">
      <w:pPr>
        <w:keepNext/>
        <w:keepLines/>
        <w:spacing w:after="40"/>
        <w:rPr>
          <w:rFonts w:cs="Arial"/>
          <w:b/>
          <w:color w:val="1F4E79" w:themeColor="accent1" w:themeShade="80"/>
          <w:szCs w:val="18"/>
        </w:rPr>
      </w:pPr>
      <w:r w:rsidRPr="00662308">
        <w:rPr>
          <w:rFonts w:cs="Arial"/>
          <w:b/>
          <w:color w:val="1F4E79" w:themeColor="accent1" w:themeShade="80"/>
          <w:szCs w:val="18"/>
        </w:rPr>
        <w:t>f) Expected Realization</w:t>
      </w:r>
    </w:p>
    <w:p w14:paraId="7105410F" w14:textId="77777777" w:rsidR="008B7E19" w:rsidRPr="00FF3D4B" w:rsidRDefault="008B7E19" w:rsidP="008B7E19">
      <w:pPr>
        <w:keepNext/>
        <w:keepLines/>
        <w:spacing w:after="0" w:line="240" w:lineRule="auto"/>
        <w:jc w:val="right"/>
        <w:rPr>
          <w:rFonts w:cs="Arial"/>
          <w:b/>
          <w:sz w:val="14"/>
          <w:lang w:eastAsia="pt-BR"/>
        </w:rPr>
      </w:pPr>
      <w:r w:rsidRPr="00FF3D4B">
        <w:rPr>
          <w:rFonts w:cs="Arial"/>
          <w:b/>
          <w:sz w:val="14"/>
          <w:lang w:eastAsia="pt-BR"/>
        </w:rPr>
        <w:t xml:space="preserve">R$ </w:t>
      </w:r>
      <w:r w:rsidRPr="00044999">
        <w:rPr>
          <w:rFonts w:cs="Arial"/>
          <w:b/>
          <w:sz w:val="14"/>
          <w:lang w:eastAsia="pt-BR"/>
        </w:rPr>
        <w:t>thousand</w:t>
      </w:r>
    </w:p>
    <w:tbl>
      <w:tblPr>
        <w:tblW w:w="9639" w:type="dxa"/>
        <w:jc w:val="center"/>
        <w:tblBorders>
          <w:top w:val="single" w:sz="2" w:space="0" w:color="8EAADB" w:themeColor="accent5" w:themeTint="99"/>
          <w:bottom w:val="single" w:sz="2" w:space="0" w:color="8EAADB" w:themeColor="accent5" w:themeTint="99"/>
        </w:tblBorders>
        <w:tblLook w:val="04A0" w:firstRow="1" w:lastRow="0" w:firstColumn="1" w:lastColumn="0" w:noHBand="0" w:noVBand="1"/>
      </w:tblPr>
      <w:tblGrid>
        <w:gridCol w:w="3094"/>
        <w:gridCol w:w="604"/>
        <w:gridCol w:w="1411"/>
        <w:gridCol w:w="1412"/>
        <w:gridCol w:w="283"/>
        <w:gridCol w:w="1417"/>
        <w:gridCol w:w="1418"/>
      </w:tblGrid>
      <w:tr w:rsidR="008B7E19" w:rsidRPr="00786B75" w14:paraId="0D249F41" w14:textId="77777777" w:rsidTr="008875E7">
        <w:trPr>
          <w:trHeight w:val="238"/>
          <w:jc w:val="center"/>
        </w:trPr>
        <w:tc>
          <w:tcPr>
            <w:tcW w:w="3094" w:type="dxa"/>
            <w:tcBorders>
              <w:top w:val="single" w:sz="2" w:space="0" w:color="1F4E79" w:themeColor="accent1" w:themeShade="80"/>
              <w:bottom w:val="nil"/>
            </w:tcBorders>
            <w:shd w:val="clear" w:color="auto" w:fill="auto"/>
          </w:tcPr>
          <w:p w14:paraId="719DC62C" w14:textId="77777777" w:rsidR="008B7E19" w:rsidRPr="00786B75" w:rsidRDefault="008B7E19" w:rsidP="008B7E19">
            <w:pPr>
              <w:keepNext/>
              <w:keepLines/>
              <w:spacing w:after="0"/>
              <w:jc w:val="center"/>
              <w:rPr>
                <w:rFonts w:cs="Arial"/>
                <w:b/>
                <w:szCs w:val="18"/>
              </w:rPr>
            </w:pPr>
          </w:p>
        </w:tc>
        <w:tc>
          <w:tcPr>
            <w:tcW w:w="604" w:type="dxa"/>
            <w:tcBorders>
              <w:top w:val="single" w:sz="2" w:space="0" w:color="1F4E79" w:themeColor="accent1" w:themeShade="80"/>
              <w:bottom w:val="nil"/>
            </w:tcBorders>
            <w:shd w:val="clear" w:color="auto" w:fill="auto"/>
          </w:tcPr>
          <w:p w14:paraId="4CC86B36" w14:textId="77777777" w:rsidR="008B7E19" w:rsidRPr="00786B75" w:rsidRDefault="008B7E19" w:rsidP="008B7E19">
            <w:pPr>
              <w:keepNext/>
              <w:keepLines/>
              <w:spacing w:after="0"/>
              <w:jc w:val="center"/>
              <w:rPr>
                <w:rFonts w:cs="Arial"/>
                <w:b/>
                <w:szCs w:val="18"/>
              </w:rPr>
            </w:pPr>
          </w:p>
        </w:tc>
        <w:tc>
          <w:tcPr>
            <w:tcW w:w="2823" w:type="dxa"/>
            <w:gridSpan w:val="2"/>
            <w:tcBorders>
              <w:top w:val="single" w:sz="2" w:space="0" w:color="1F4E79" w:themeColor="accent1" w:themeShade="80"/>
              <w:bottom w:val="single" w:sz="2" w:space="0" w:color="1F4E79" w:themeColor="accent1" w:themeShade="80"/>
            </w:tcBorders>
            <w:shd w:val="clear" w:color="auto" w:fill="auto"/>
            <w:vAlign w:val="center"/>
          </w:tcPr>
          <w:p w14:paraId="3FC5DFBE" w14:textId="77777777" w:rsidR="008B7E19" w:rsidRPr="00775513" w:rsidRDefault="008B7E19" w:rsidP="008B7E19">
            <w:pPr>
              <w:keepNext/>
              <w:keepLines/>
              <w:spacing w:after="0"/>
              <w:jc w:val="center"/>
              <w:rPr>
                <w:rFonts w:cs="Arial"/>
                <w:b/>
                <w:sz w:val="14"/>
                <w:szCs w:val="18"/>
              </w:rPr>
            </w:pPr>
            <w:r w:rsidRPr="00775513">
              <w:rPr>
                <w:rFonts w:cs="Arial"/>
                <w:b/>
                <w:sz w:val="14"/>
                <w:szCs w:val="18"/>
              </w:rPr>
              <w:t>Parent</w:t>
            </w:r>
          </w:p>
        </w:tc>
        <w:tc>
          <w:tcPr>
            <w:tcW w:w="283" w:type="dxa"/>
            <w:tcBorders>
              <w:top w:val="single" w:sz="2" w:space="0" w:color="1F4E79" w:themeColor="accent1" w:themeShade="80"/>
              <w:bottom w:val="nil"/>
            </w:tcBorders>
            <w:shd w:val="clear" w:color="auto" w:fill="auto"/>
          </w:tcPr>
          <w:p w14:paraId="25254FCC" w14:textId="77777777" w:rsidR="008B7E19" w:rsidRPr="00775513" w:rsidRDefault="008B7E19" w:rsidP="008B7E19">
            <w:pPr>
              <w:keepNext/>
              <w:keepLines/>
              <w:spacing w:after="0"/>
              <w:jc w:val="center"/>
              <w:rPr>
                <w:rFonts w:cs="Arial"/>
                <w:b/>
                <w:szCs w:val="18"/>
              </w:rPr>
            </w:pPr>
          </w:p>
        </w:tc>
        <w:tc>
          <w:tcPr>
            <w:tcW w:w="2835" w:type="dxa"/>
            <w:gridSpan w:val="2"/>
            <w:tcBorders>
              <w:top w:val="single" w:sz="2" w:space="0" w:color="1F4E79" w:themeColor="accent1" w:themeShade="80"/>
              <w:bottom w:val="single" w:sz="2" w:space="0" w:color="8EAADB" w:themeColor="accent5" w:themeTint="99"/>
            </w:tcBorders>
            <w:shd w:val="clear" w:color="auto" w:fill="auto"/>
            <w:vAlign w:val="center"/>
          </w:tcPr>
          <w:p w14:paraId="2372FB6F" w14:textId="77777777" w:rsidR="008B7E19" w:rsidRPr="00775513" w:rsidRDefault="008B7E19" w:rsidP="008B7E19">
            <w:pPr>
              <w:keepNext/>
              <w:keepLines/>
              <w:spacing w:after="0"/>
              <w:jc w:val="center"/>
              <w:rPr>
                <w:rFonts w:cs="Arial"/>
                <w:b/>
                <w:szCs w:val="18"/>
              </w:rPr>
            </w:pPr>
            <w:r w:rsidRPr="00775513">
              <w:rPr>
                <w:rFonts w:cs="Arial"/>
                <w:b/>
                <w:sz w:val="14"/>
                <w:szCs w:val="18"/>
              </w:rPr>
              <w:t>Consolidated</w:t>
            </w:r>
          </w:p>
        </w:tc>
      </w:tr>
      <w:tr w:rsidR="008B7E19" w:rsidRPr="00786B75" w14:paraId="1872DFBA" w14:textId="77777777" w:rsidTr="008875E7">
        <w:trPr>
          <w:trHeight w:val="238"/>
          <w:jc w:val="center"/>
        </w:trPr>
        <w:tc>
          <w:tcPr>
            <w:tcW w:w="3094" w:type="dxa"/>
            <w:tcBorders>
              <w:top w:val="nil"/>
              <w:bottom w:val="single" w:sz="2" w:space="0" w:color="1F4E79" w:themeColor="accent1" w:themeShade="80"/>
            </w:tcBorders>
            <w:shd w:val="clear" w:color="auto" w:fill="auto"/>
          </w:tcPr>
          <w:p w14:paraId="50FE307E" w14:textId="77777777" w:rsidR="008B7E19" w:rsidRPr="00786B75" w:rsidRDefault="008B7E19" w:rsidP="008B7E19">
            <w:pPr>
              <w:pStyle w:val="08-Tabelageral"/>
              <w:rPr>
                <w:rFonts w:cs="Arial"/>
                <w:b/>
              </w:rPr>
            </w:pPr>
          </w:p>
        </w:tc>
        <w:tc>
          <w:tcPr>
            <w:tcW w:w="604" w:type="dxa"/>
            <w:tcBorders>
              <w:top w:val="nil"/>
              <w:bottom w:val="single" w:sz="2" w:space="0" w:color="1F4E79" w:themeColor="accent1" w:themeShade="80"/>
            </w:tcBorders>
            <w:shd w:val="clear" w:color="auto" w:fill="auto"/>
          </w:tcPr>
          <w:p w14:paraId="42972E3C" w14:textId="77777777" w:rsidR="008B7E19" w:rsidRPr="00786B75" w:rsidRDefault="008B7E19" w:rsidP="008B7E19">
            <w:pPr>
              <w:pStyle w:val="08-Tabelageral"/>
              <w:rPr>
                <w:rFonts w:cs="Arial"/>
                <w:b/>
              </w:rPr>
            </w:pPr>
          </w:p>
        </w:tc>
        <w:tc>
          <w:tcPr>
            <w:tcW w:w="1411" w:type="dxa"/>
            <w:tcBorders>
              <w:top w:val="single" w:sz="2" w:space="0" w:color="1F4E79" w:themeColor="accent1" w:themeShade="80"/>
              <w:bottom w:val="single" w:sz="2" w:space="0" w:color="1F4E79" w:themeColor="accent1" w:themeShade="80"/>
            </w:tcBorders>
            <w:shd w:val="clear" w:color="auto" w:fill="auto"/>
          </w:tcPr>
          <w:p w14:paraId="3CD5932E" w14:textId="77777777" w:rsidR="008B7E19" w:rsidRPr="00786B75" w:rsidRDefault="008B7E19" w:rsidP="008B7E19">
            <w:pPr>
              <w:pStyle w:val="08-Tabelageral"/>
              <w:rPr>
                <w:rFonts w:cs="Arial"/>
                <w:b/>
              </w:rPr>
            </w:pPr>
            <w:r>
              <w:rPr>
                <w:rFonts w:cs="Arial"/>
                <w:b/>
              </w:rPr>
              <w:t>Non Value</w:t>
            </w:r>
          </w:p>
        </w:tc>
        <w:tc>
          <w:tcPr>
            <w:tcW w:w="1412" w:type="dxa"/>
            <w:tcBorders>
              <w:top w:val="single" w:sz="2" w:space="0" w:color="1F4E79" w:themeColor="accent1" w:themeShade="80"/>
              <w:bottom w:val="single" w:sz="2" w:space="0" w:color="1F4E79" w:themeColor="accent1" w:themeShade="80"/>
            </w:tcBorders>
            <w:shd w:val="clear" w:color="auto" w:fill="auto"/>
          </w:tcPr>
          <w:p w14:paraId="687C2E50" w14:textId="77777777" w:rsidR="008B7E19" w:rsidRPr="00786B75" w:rsidRDefault="008B7E19" w:rsidP="008B7E19">
            <w:pPr>
              <w:pStyle w:val="08-Tabelageral"/>
              <w:rPr>
                <w:rFonts w:cs="Arial"/>
                <w:b/>
              </w:rPr>
            </w:pPr>
            <w:r>
              <w:rPr>
                <w:rFonts w:cs="Arial"/>
                <w:b/>
              </w:rPr>
              <w:t>Present Value</w:t>
            </w:r>
          </w:p>
        </w:tc>
        <w:tc>
          <w:tcPr>
            <w:tcW w:w="283" w:type="dxa"/>
            <w:tcBorders>
              <w:top w:val="nil"/>
              <w:bottom w:val="single" w:sz="2" w:space="0" w:color="1F4E79" w:themeColor="accent1" w:themeShade="80"/>
            </w:tcBorders>
            <w:shd w:val="clear" w:color="auto" w:fill="auto"/>
          </w:tcPr>
          <w:p w14:paraId="7F09B4C3" w14:textId="77777777" w:rsidR="008B7E19" w:rsidRPr="00786B75" w:rsidRDefault="008B7E19" w:rsidP="008B7E19">
            <w:pPr>
              <w:pStyle w:val="08-Tabelageral"/>
              <w:rPr>
                <w:rFonts w:cs="Arial"/>
                <w:b/>
              </w:rPr>
            </w:pPr>
          </w:p>
        </w:tc>
        <w:tc>
          <w:tcPr>
            <w:tcW w:w="1417" w:type="dxa"/>
            <w:tcBorders>
              <w:top w:val="single" w:sz="2" w:space="0" w:color="8EAADB" w:themeColor="accent5" w:themeTint="99"/>
              <w:bottom w:val="single" w:sz="2" w:space="0" w:color="1F4E79" w:themeColor="accent1" w:themeShade="80"/>
            </w:tcBorders>
            <w:shd w:val="clear" w:color="auto" w:fill="auto"/>
          </w:tcPr>
          <w:p w14:paraId="326886CA" w14:textId="77777777" w:rsidR="008B7E19" w:rsidRPr="00786B75" w:rsidRDefault="008B7E19" w:rsidP="008B7E19">
            <w:pPr>
              <w:pStyle w:val="08-Tabelageral"/>
              <w:rPr>
                <w:rFonts w:cs="Arial"/>
                <w:b/>
              </w:rPr>
            </w:pPr>
            <w:r w:rsidRPr="00786B75">
              <w:rPr>
                <w:rFonts w:cs="Arial"/>
                <w:b/>
              </w:rPr>
              <w:t>Valor Nominal</w:t>
            </w:r>
          </w:p>
        </w:tc>
        <w:tc>
          <w:tcPr>
            <w:tcW w:w="1418" w:type="dxa"/>
            <w:tcBorders>
              <w:top w:val="single" w:sz="2" w:space="0" w:color="8EAADB" w:themeColor="accent5" w:themeTint="99"/>
              <w:bottom w:val="single" w:sz="2" w:space="0" w:color="1F4E79" w:themeColor="accent1" w:themeShade="80"/>
            </w:tcBorders>
            <w:shd w:val="clear" w:color="auto" w:fill="auto"/>
          </w:tcPr>
          <w:p w14:paraId="6F07C73A" w14:textId="77777777" w:rsidR="008B7E19" w:rsidRPr="00786B75" w:rsidRDefault="008B7E19" w:rsidP="008B7E19">
            <w:pPr>
              <w:pStyle w:val="08-Tabelageral"/>
              <w:rPr>
                <w:rFonts w:cs="Arial"/>
                <w:b/>
              </w:rPr>
            </w:pPr>
            <w:r w:rsidRPr="00786B75">
              <w:rPr>
                <w:rFonts w:cs="Arial"/>
                <w:b/>
              </w:rPr>
              <w:t>Valor Presente</w:t>
            </w:r>
          </w:p>
        </w:tc>
      </w:tr>
      <w:tr w:rsidR="008B7E19" w:rsidRPr="00786B75" w14:paraId="556F9510" w14:textId="77777777" w:rsidTr="008875E7">
        <w:trPr>
          <w:trHeight w:val="238"/>
          <w:jc w:val="center"/>
        </w:trPr>
        <w:tc>
          <w:tcPr>
            <w:tcW w:w="3094" w:type="dxa"/>
            <w:tcBorders>
              <w:top w:val="single" w:sz="2" w:space="0" w:color="1F4E79" w:themeColor="accent1" w:themeShade="80"/>
            </w:tcBorders>
            <w:shd w:val="clear" w:color="auto" w:fill="auto"/>
          </w:tcPr>
          <w:p w14:paraId="09FDAC87" w14:textId="77777777" w:rsidR="008B7E19" w:rsidRPr="00786B75" w:rsidRDefault="008B7E19" w:rsidP="008B7E19">
            <w:pPr>
              <w:pStyle w:val="08-Tabelageral"/>
              <w:ind w:left="113"/>
              <w:jc w:val="left"/>
              <w:rPr>
                <w:rFonts w:cs="Arial"/>
                <w:szCs w:val="14"/>
              </w:rPr>
            </w:pPr>
            <w:r>
              <w:rPr>
                <w:rFonts w:cs="Arial"/>
                <w:szCs w:val="14"/>
              </w:rPr>
              <w:t>In</w:t>
            </w:r>
            <w:r w:rsidRPr="00786B75">
              <w:rPr>
                <w:rFonts w:cs="Arial"/>
                <w:szCs w:val="14"/>
              </w:rPr>
              <w:t xml:space="preserve"> 202</w:t>
            </w:r>
            <w:r>
              <w:rPr>
                <w:rFonts w:cs="Arial"/>
                <w:szCs w:val="14"/>
              </w:rPr>
              <w:t>3</w:t>
            </w:r>
          </w:p>
        </w:tc>
        <w:tc>
          <w:tcPr>
            <w:tcW w:w="604" w:type="dxa"/>
            <w:tcBorders>
              <w:top w:val="single" w:sz="2" w:space="0" w:color="1F4E79" w:themeColor="accent1" w:themeShade="80"/>
            </w:tcBorders>
            <w:shd w:val="clear" w:color="auto" w:fill="auto"/>
          </w:tcPr>
          <w:p w14:paraId="63D0753B" w14:textId="77777777" w:rsidR="008B7E19" w:rsidRPr="00786B75" w:rsidRDefault="008B7E19" w:rsidP="008B7E19">
            <w:pPr>
              <w:pStyle w:val="08-Tabelageral"/>
              <w:ind w:left="113"/>
              <w:jc w:val="center"/>
              <w:rPr>
                <w:rFonts w:cs="Arial"/>
                <w:szCs w:val="14"/>
              </w:rPr>
            </w:pPr>
          </w:p>
        </w:tc>
        <w:tc>
          <w:tcPr>
            <w:tcW w:w="1411" w:type="dxa"/>
            <w:tcBorders>
              <w:top w:val="single" w:sz="2" w:space="0" w:color="1F4E79" w:themeColor="accent1" w:themeShade="80"/>
            </w:tcBorders>
            <w:shd w:val="clear" w:color="auto" w:fill="auto"/>
          </w:tcPr>
          <w:p w14:paraId="4F2E4F7E" w14:textId="77777777" w:rsidR="008B7E19" w:rsidRPr="00786B75" w:rsidRDefault="008B7E19" w:rsidP="008B7E19">
            <w:pPr>
              <w:pStyle w:val="08-Tabelageral"/>
              <w:ind w:left="113"/>
              <w:rPr>
                <w:rFonts w:cs="Arial"/>
                <w:szCs w:val="14"/>
              </w:rPr>
            </w:pPr>
            <w:r>
              <w:rPr>
                <w:rFonts w:cs="Arial"/>
                <w:szCs w:val="14"/>
              </w:rPr>
              <w:t>--</w:t>
            </w:r>
          </w:p>
        </w:tc>
        <w:tc>
          <w:tcPr>
            <w:tcW w:w="1412" w:type="dxa"/>
            <w:tcBorders>
              <w:top w:val="single" w:sz="2" w:space="0" w:color="1F4E79" w:themeColor="accent1" w:themeShade="80"/>
            </w:tcBorders>
            <w:shd w:val="clear" w:color="auto" w:fill="auto"/>
          </w:tcPr>
          <w:p w14:paraId="3EAC86AA" w14:textId="77777777" w:rsidR="008B7E19" w:rsidRPr="00786B75" w:rsidRDefault="008B7E19" w:rsidP="008B7E19">
            <w:pPr>
              <w:pStyle w:val="08-Tabelageral"/>
              <w:rPr>
                <w:rFonts w:cs="Arial"/>
              </w:rPr>
            </w:pPr>
            <w:r>
              <w:rPr>
                <w:rFonts w:cs="Arial"/>
              </w:rPr>
              <w:t>--</w:t>
            </w:r>
          </w:p>
        </w:tc>
        <w:tc>
          <w:tcPr>
            <w:tcW w:w="283" w:type="dxa"/>
            <w:tcBorders>
              <w:top w:val="single" w:sz="2" w:space="0" w:color="1F4E79" w:themeColor="accent1" w:themeShade="80"/>
            </w:tcBorders>
            <w:shd w:val="clear" w:color="auto" w:fill="auto"/>
          </w:tcPr>
          <w:p w14:paraId="7BB70531" w14:textId="77777777" w:rsidR="008B7E19" w:rsidRPr="00786B75" w:rsidRDefault="008B7E19" w:rsidP="008B7E19">
            <w:pPr>
              <w:pStyle w:val="08-Tabelageral"/>
              <w:ind w:left="113"/>
              <w:rPr>
                <w:rFonts w:cs="Arial"/>
                <w:szCs w:val="14"/>
              </w:rPr>
            </w:pPr>
          </w:p>
        </w:tc>
        <w:tc>
          <w:tcPr>
            <w:tcW w:w="1417" w:type="dxa"/>
            <w:tcBorders>
              <w:top w:val="single" w:sz="2" w:space="0" w:color="1F4E79" w:themeColor="accent1" w:themeShade="80"/>
            </w:tcBorders>
            <w:shd w:val="clear" w:color="auto" w:fill="auto"/>
          </w:tcPr>
          <w:p w14:paraId="374F160C" w14:textId="77777777" w:rsidR="008B7E19" w:rsidRPr="00786B75" w:rsidRDefault="008B7E19" w:rsidP="008B7E19">
            <w:pPr>
              <w:pStyle w:val="08-Tabelageral"/>
              <w:ind w:left="113"/>
              <w:rPr>
                <w:rFonts w:cs="Arial"/>
                <w:szCs w:val="14"/>
              </w:rPr>
            </w:pPr>
            <w:r>
              <w:rPr>
                <w:rFonts w:cs="Arial"/>
                <w:szCs w:val="14"/>
              </w:rPr>
              <w:t>7,745</w:t>
            </w:r>
          </w:p>
        </w:tc>
        <w:tc>
          <w:tcPr>
            <w:tcW w:w="1418" w:type="dxa"/>
            <w:tcBorders>
              <w:top w:val="single" w:sz="2" w:space="0" w:color="1F4E79" w:themeColor="accent1" w:themeShade="80"/>
            </w:tcBorders>
            <w:shd w:val="clear" w:color="auto" w:fill="auto"/>
          </w:tcPr>
          <w:p w14:paraId="700D9DE7" w14:textId="77777777" w:rsidR="008B7E19" w:rsidRPr="00786B75" w:rsidRDefault="008B7E19" w:rsidP="008B7E19">
            <w:pPr>
              <w:pStyle w:val="08-Tabelageral"/>
              <w:rPr>
                <w:rFonts w:cs="Arial"/>
              </w:rPr>
            </w:pPr>
            <w:r>
              <w:rPr>
                <w:rFonts w:cs="Arial"/>
              </w:rPr>
              <w:t>6,724</w:t>
            </w:r>
          </w:p>
        </w:tc>
      </w:tr>
      <w:tr w:rsidR="008B7E19" w:rsidRPr="00786B75" w14:paraId="4DFD7588" w14:textId="77777777" w:rsidTr="008875E7">
        <w:trPr>
          <w:trHeight w:val="238"/>
          <w:jc w:val="center"/>
        </w:trPr>
        <w:tc>
          <w:tcPr>
            <w:tcW w:w="3094" w:type="dxa"/>
            <w:shd w:val="clear" w:color="auto" w:fill="auto"/>
          </w:tcPr>
          <w:p w14:paraId="34B66141" w14:textId="77777777" w:rsidR="008B7E19" w:rsidRPr="00786B75" w:rsidRDefault="008B7E19" w:rsidP="008B7E19">
            <w:pPr>
              <w:pStyle w:val="08-Tabelageral"/>
              <w:ind w:left="113"/>
              <w:jc w:val="left"/>
              <w:rPr>
                <w:rFonts w:cs="Arial"/>
                <w:szCs w:val="14"/>
              </w:rPr>
            </w:pPr>
            <w:r>
              <w:rPr>
                <w:rFonts w:cs="Arial"/>
                <w:szCs w:val="14"/>
              </w:rPr>
              <w:t>In</w:t>
            </w:r>
            <w:r w:rsidRPr="00786B75">
              <w:rPr>
                <w:rFonts w:cs="Arial"/>
                <w:szCs w:val="14"/>
              </w:rPr>
              <w:t xml:space="preserve"> 202</w:t>
            </w:r>
            <w:r>
              <w:rPr>
                <w:rFonts w:cs="Arial"/>
                <w:szCs w:val="14"/>
              </w:rPr>
              <w:t>4</w:t>
            </w:r>
          </w:p>
        </w:tc>
        <w:tc>
          <w:tcPr>
            <w:tcW w:w="604" w:type="dxa"/>
            <w:shd w:val="clear" w:color="auto" w:fill="auto"/>
          </w:tcPr>
          <w:p w14:paraId="53BDB74E" w14:textId="77777777" w:rsidR="008B7E19" w:rsidRPr="00786B75" w:rsidRDefault="008B7E19" w:rsidP="008B7E19">
            <w:pPr>
              <w:pStyle w:val="08-Tabelageral"/>
              <w:ind w:left="113"/>
              <w:jc w:val="center"/>
              <w:rPr>
                <w:rFonts w:cs="Arial"/>
                <w:szCs w:val="14"/>
              </w:rPr>
            </w:pPr>
          </w:p>
        </w:tc>
        <w:tc>
          <w:tcPr>
            <w:tcW w:w="1411" w:type="dxa"/>
            <w:shd w:val="clear" w:color="auto" w:fill="auto"/>
          </w:tcPr>
          <w:p w14:paraId="302E0A1F" w14:textId="77777777" w:rsidR="008B7E19" w:rsidRPr="00786B75" w:rsidRDefault="008B7E19" w:rsidP="008B7E19">
            <w:pPr>
              <w:pStyle w:val="08-Tabelageral"/>
              <w:ind w:left="113"/>
              <w:rPr>
                <w:rFonts w:cs="Arial"/>
                <w:szCs w:val="14"/>
              </w:rPr>
            </w:pPr>
            <w:r>
              <w:rPr>
                <w:rFonts w:cs="Arial"/>
                <w:szCs w:val="14"/>
              </w:rPr>
              <w:t>28</w:t>
            </w:r>
          </w:p>
        </w:tc>
        <w:tc>
          <w:tcPr>
            <w:tcW w:w="1412" w:type="dxa"/>
            <w:shd w:val="clear" w:color="auto" w:fill="auto"/>
          </w:tcPr>
          <w:p w14:paraId="7147187B" w14:textId="77777777" w:rsidR="008B7E19" w:rsidRPr="00786B75" w:rsidRDefault="008B7E19" w:rsidP="008B7E19">
            <w:pPr>
              <w:pStyle w:val="08-Tabelageral"/>
              <w:rPr>
                <w:rFonts w:cs="Arial"/>
              </w:rPr>
            </w:pPr>
            <w:r>
              <w:rPr>
                <w:rFonts w:cs="Arial"/>
              </w:rPr>
              <w:t>21</w:t>
            </w:r>
          </w:p>
        </w:tc>
        <w:tc>
          <w:tcPr>
            <w:tcW w:w="283" w:type="dxa"/>
            <w:shd w:val="clear" w:color="auto" w:fill="auto"/>
          </w:tcPr>
          <w:p w14:paraId="4F8322FD" w14:textId="77777777" w:rsidR="008B7E19" w:rsidRPr="00786B75" w:rsidRDefault="008B7E19" w:rsidP="008B7E19">
            <w:pPr>
              <w:pStyle w:val="08-Tabelageral"/>
              <w:ind w:left="113"/>
              <w:rPr>
                <w:rFonts w:cs="Arial"/>
                <w:szCs w:val="14"/>
              </w:rPr>
            </w:pPr>
          </w:p>
        </w:tc>
        <w:tc>
          <w:tcPr>
            <w:tcW w:w="1417" w:type="dxa"/>
            <w:shd w:val="clear" w:color="auto" w:fill="auto"/>
          </w:tcPr>
          <w:p w14:paraId="74E22AEF" w14:textId="77777777" w:rsidR="008B7E19" w:rsidRPr="00786B75" w:rsidRDefault="008B7E19" w:rsidP="008B7E19">
            <w:pPr>
              <w:pStyle w:val="08-Tabelageral"/>
              <w:ind w:left="113"/>
              <w:rPr>
                <w:rFonts w:cs="Arial"/>
                <w:szCs w:val="14"/>
              </w:rPr>
            </w:pPr>
            <w:r>
              <w:rPr>
                <w:rFonts w:cs="Arial"/>
                <w:szCs w:val="14"/>
              </w:rPr>
              <w:t>28</w:t>
            </w:r>
          </w:p>
        </w:tc>
        <w:tc>
          <w:tcPr>
            <w:tcW w:w="1418" w:type="dxa"/>
            <w:shd w:val="clear" w:color="auto" w:fill="auto"/>
          </w:tcPr>
          <w:p w14:paraId="239609AA" w14:textId="77777777" w:rsidR="008B7E19" w:rsidRPr="00786B75" w:rsidRDefault="008B7E19" w:rsidP="008B7E19">
            <w:pPr>
              <w:pStyle w:val="08-Tabelageral"/>
              <w:rPr>
                <w:rFonts w:cs="Arial"/>
              </w:rPr>
            </w:pPr>
            <w:r>
              <w:rPr>
                <w:rFonts w:cs="Arial"/>
              </w:rPr>
              <w:t>21</w:t>
            </w:r>
          </w:p>
        </w:tc>
      </w:tr>
      <w:tr w:rsidR="008B7E19" w:rsidRPr="00786B75" w14:paraId="5A32A609" w14:textId="77777777" w:rsidTr="008875E7">
        <w:trPr>
          <w:trHeight w:val="238"/>
          <w:jc w:val="center"/>
        </w:trPr>
        <w:tc>
          <w:tcPr>
            <w:tcW w:w="3094" w:type="dxa"/>
            <w:shd w:val="clear" w:color="auto" w:fill="auto"/>
          </w:tcPr>
          <w:p w14:paraId="0F92B3C8" w14:textId="77777777" w:rsidR="008B7E19" w:rsidRPr="00786B75" w:rsidRDefault="008B7E19" w:rsidP="008B7E19">
            <w:pPr>
              <w:pStyle w:val="08-Tabelageral"/>
              <w:ind w:left="113"/>
              <w:jc w:val="left"/>
              <w:rPr>
                <w:rFonts w:cs="Arial"/>
                <w:szCs w:val="14"/>
              </w:rPr>
            </w:pPr>
            <w:r>
              <w:rPr>
                <w:rFonts w:cs="Arial"/>
                <w:szCs w:val="14"/>
              </w:rPr>
              <w:t>In</w:t>
            </w:r>
            <w:r w:rsidRPr="00786B75">
              <w:rPr>
                <w:rFonts w:cs="Arial"/>
                <w:szCs w:val="14"/>
              </w:rPr>
              <w:t xml:space="preserve"> 202</w:t>
            </w:r>
            <w:r>
              <w:rPr>
                <w:rFonts w:cs="Arial"/>
                <w:szCs w:val="14"/>
              </w:rPr>
              <w:t>5</w:t>
            </w:r>
          </w:p>
        </w:tc>
        <w:tc>
          <w:tcPr>
            <w:tcW w:w="604" w:type="dxa"/>
            <w:shd w:val="clear" w:color="auto" w:fill="auto"/>
          </w:tcPr>
          <w:p w14:paraId="0A07BD2D" w14:textId="77777777" w:rsidR="008B7E19" w:rsidRPr="00786B75" w:rsidRDefault="008B7E19" w:rsidP="008B7E19">
            <w:pPr>
              <w:pStyle w:val="08-Tabelageral"/>
              <w:ind w:left="113"/>
              <w:jc w:val="center"/>
              <w:rPr>
                <w:rFonts w:cs="Arial"/>
                <w:szCs w:val="14"/>
              </w:rPr>
            </w:pPr>
          </w:p>
        </w:tc>
        <w:tc>
          <w:tcPr>
            <w:tcW w:w="1411" w:type="dxa"/>
            <w:shd w:val="clear" w:color="auto" w:fill="auto"/>
          </w:tcPr>
          <w:p w14:paraId="65F11FB1" w14:textId="77777777" w:rsidR="008B7E19" w:rsidRPr="00786B75" w:rsidRDefault="008B7E19" w:rsidP="008B7E19">
            <w:pPr>
              <w:pStyle w:val="08-Tabelageral"/>
              <w:ind w:left="113"/>
              <w:rPr>
                <w:rFonts w:cs="Arial"/>
                <w:szCs w:val="14"/>
              </w:rPr>
            </w:pPr>
            <w:r>
              <w:rPr>
                <w:rFonts w:cs="Arial"/>
                <w:szCs w:val="14"/>
              </w:rPr>
              <w:t>--</w:t>
            </w:r>
          </w:p>
        </w:tc>
        <w:tc>
          <w:tcPr>
            <w:tcW w:w="1412" w:type="dxa"/>
            <w:shd w:val="clear" w:color="auto" w:fill="auto"/>
          </w:tcPr>
          <w:p w14:paraId="6E59B9EA" w14:textId="77777777" w:rsidR="008B7E19" w:rsidRPr="00786B75" w:rsidRDefault="008B7E19" w:rsidP="008B7E19">
            <w:pPr>
              <w:pStyle w:val="08-Tabelageral"/>
              <w:rPr>
                <w:rFonts w:cs="Arial"/>
              </w:rPr>
            </w:pPr>
            <w:r>
              <w:rPr>
                <w:rFonts w:cs="Arial"/>
              </w:rPr>
              <w:t>--</w:t>
            </w:r>
          </w:p>
        </w:tc>
        <w:tc>
          <w:tcPr>
            <w:tcW w:w="283" w:type="dxa"/>
            <w:shd w:val="clear" w:color="auto" w:fill="auto"/>
          </w:tcPr>
          <w:p w14:paraId="033E4670" w14:textId="77777777" w:rsidR="008B7E19" w:rsidRPr="00786B75" w:rsidRDefault="008B7E19" w:rsidP="008B7E19">
            <w:pPr>
              <w:pStyle w:val="08-Tabelageral"/>
              <w:ind w:left="113"/>
              <w:rPr>
                <w:rFonts w:cs="Arial"/>
                <w:szCs w:val="14"/>
              </w:rPr>
            </w:pPr>
          </w:p>
        </w:tc>
        <w:tc>
          <w:tcPr>
            <w:tcW w:w="1417" w:type="dxa"/>
            <w:shd w:val="clear" w:color="auto" w:fill="auto"/>
          </w:tcPr>
          <w:p w14:paraId="0720F70E" w14:textId="77777777" w:rsidR="008B7E19" w:rsidRPr="00786B75" w:rsidRDefault="008B7E19" w:rsidP="008B7E19">
            <w:pPr>
              <w:pStyle w:val="08-Tabelageral"/>
              <w:ind w:left="113"/>
              <w:rPr>
                <w:rFonts w:cs="Arial"/>
                <w:szCs w:val="14"/>
              </w:rPr>
            </w:pPr>
            <w:r>
              <w:rPr>
                <w:rFonts w:cs="Arial"/>
                <w:szCs w:val="14"/>
              </w:rPr>
              <w:t>--</w:t>
            </w:r>
          </w:p>
        </w:tc>
        <w:tc>
          <w:tcPr>
            <w:tcW w:w="1418" w:type="dxa"/>
            <w:shd w:val="clear" w:color="auto" w:fill="auto"/>
          </w:tcPr>
          <w:p w14:paraId="16B288B1" w14:textId="77777777" w:rsidR="008B7E19" w:rsidRPr="00786B75" w:rsidRDefault="008B7E19" w:rsidP="008B7E19">
            <w:pPr>
              <w:pStyle w:val="08-Tabelageral"/>
              <w:rPr>
                <w:rFonts w:cs="Arial"/>
              </w:rPr>
            </w:pPr>
            <w:r>
              <w:rPr>
                <w:rFonts w:cs="Arial"/>
              </w:rPr>
              <w:t>--</w:t>
            </w:r>
          </w:p>
        </w:tc>
      </w:tr>
      <w:tr w:rsidR="008B7E19" w:rsidRPr="00786B75" w14:paraId="3D0C8DF1" w14:textId="77777777" w:rsidTr="008875E7">
        <w:trPr>
          <w:trHeight w:val="238"/>
          <w:jc w:val="center"/>
        </w:trPr>
        <w:tc>
          <w:tcPr>
            <w:tcW w:w="3094" w:type="dxa"/>
            <w:shd w:val="clear" w:color="auto" w:fill="auto"/>
          </w:tcPr>
          <w:p w14:paraId="64189D9E" w14:textId="77777777" w:rsidR="008B7E19" w:rsidRPr="00786B75" w:rsidRDefault="008B7E19" w:rsidP="008B7E19">
            <w:pPr>
              <w:pStyle w:val="08-Tabelageral"/>
              <w:ind w:left="113"/>
              <w:jc w:val="left"/>
              <w:rPr>
                <w:rFonts w:cs="Arial"/>
                <w:szCs w:val="14"/>
              </w:rPr>
            </w:pPr>
            <w:r>
              <w:rPr>
                <w:rFonts w:cs="Arial"/>
                <w:szCs w:val="14"/>
              </w:rPr>
              <w:t>In</w:t>
            </w:r>
            <w:r w:rsidRPr="00786B75">
              <w:rPr>
                <w:rFonts w:cs="Arial"/>
                <w:szCs w:val="14"/>
              </w:rPr>
              <w:t xml:space="preserve"> 202</w:t>
            </w:r>
            <w:r>
              <w:rPr>
                <w:rFonts w:cs="Arial"/>
                <w:szCs w:val="14"/>
              </w:rPr>
              <w:t>6</w:t>
            </w:r>
          </w:p>
        </w:tc>
        <w:tc>
          <w:tcPr>
            <w:tcW w:w="604" w:type="dxa"/>
            <w:shd w:val="clear" w:color="auto" w:fill="auto"/>
          </w:tcPr>
          <w:p w14:paraId="1F639F9A" w14:textId="77777777" w:rsidR="008B7E19" w:rsidRPr="00786B75" w:rsidRDefault="008B7E19" w:rsidP="008B7E19">
            <w:pPr>
              <w:pStyle w:val="08-Tabelageral"/>
              <w:ind w:left="113"/>
              <w:jc w:val="center"/>
              <w:rPr>
                <w:rFonts w:cs="Arial"/>
                <w:szCs w:val="14"/>
              </w:rPr>
            </w:pPr>
          </w:p>
        </w:tc>
        <w:tc>
          <w:tcPr>
            <w:tcW w:w="1411" w:type="dxa"/>
            <w:shd w:val="clear" w:color="auto" w:fill="auto"/>
          </w:tcPr>
          <w:p w14:paraId="4BEE8B52" w14:textId="77777777" w:rsidR="008B7E19" w:rsidRPr="00786B75" w:rsidRDefault="008B7E19" w:rsidP="008B7E19">
            <w:pPr>
              <w:pStyle w:val="08-Tabelageral"/>
              <w:ind w:left="113"/>
              <w:rPr>
                <w:rFonts w:cs="Arial"/>
                <w:szCs w:val="14"/>
              </w:rPr>
            </w:pPr>
            <w:r>
              <w:rPr>
                <w:rFonts w:cs="Arial"/>
                <w:szCs w:val="14"/>
              </w:rPr>
              <w:t>--</w:t>
            </w:r>
          </w:p>
        </w:tc>
        <w:tc>
          <w:tcPr>
            <w:tcW w:w="1412" w:type="dxa"/>
            <w:shd w:val="clear" w:color="auto" w:fill="auto"/>
          </w:tcPr>
          <w:p w14:paraId="1963A15B" w14:textId="77777777" w:rsidR="008B7E19" w:rsidRPr="00786B75" w:rsidRDefault="008B7E19" w:rsidP="008B7E19">
            <w:pPr>
              <w:pStyle w:val="08-Tabelageral"/>
              <w:rPr>
                <w:rFonts w:cs="Arial"/>
              </w:rPr>
            </w:pPr>
            <w:r>
              <w:rPr>
                <w:rFonts w:cs="Arial"/>
              </w:rPr>
              <w:t>--</w:t>
            </w:r>
          </w:p>
        </w:tc>
        <w:tc>
          <w:tcPr>
            <w:tcW w:w="283" w:type="dxa"/>
            <w:shd w:val="clear" w:color="auto" w:fill="auto"/>
          </w:tcPr>
          <w:p w14:paraId="1E31EE5C" w14:textId="77777777" w:rsidR="008B7E19" w:rsidRPr="00786B75" w:rsidRDefault="008B7E19" w:rsidP="008B7E19">
            <w:pPr>
              <w:pStyle w:val="08-Tabelageral"/>
              <w:ind w:left="113"/>
              <w:rPr>
                <w:rFonts w:cs="Arial"/>
                <w:szCs w:val="14"/>
              </w:rPr>
            </w:pPr>
          </w:p>
        </w:tc>
        <w:tc>
          <w:tcPr>
            <w:tcW w:w="1417" w:type="dxa"/>
            <w:shd w:val="clear" w:color="auto" w:fill="auto"/>
          </w:tcPr>
          <w:p w14:paraId="7C921224" w14:textId="77777777" w:rsidR="008B7E19" w:rsidRPr="00786B75" w:rsidRDefault="008B7E19" w:rsidP="008B7E19">
            <w:pPr>
              <w:pStyle w:val="08-Tabelageral"/>
              <w:ind w:left="113"/>
              <w:rPr>
                <w:rFonts w:cs="Arial"/>
                <w:szCs w:val="14"/>
              </w:rPr>
            </w:pPr>
            <w:r>
              <w:rPr>
                <w:rFonts w:cs="Arial"/>
                <w:szCs w:val="14"/>
              </w:rPr>
              <w:t>--</w:t>
            </w:r>
          </w:p>
        </w:tc>
        <w:tc>
          <w:tcPr>
            <w:tcW w:w="1418" w:type="dxa"/>
            <w:shd w:val="clear" w:color="auto" w:fill="auto"/>
          </w:tcPr>
          <w:p w14:paraId="0ACEDD4D" w14:textId="77777777" w:rsidR="008B7E19" w:rsidRPr="00786B75" w:rsidRDefault="008B7E19" w:rsidP="008B7E19">
            <w:pPr>
              <w:pStyle w:val="08-Tabelageral"/>
              <w:rPr>
                <w:rFonts w:cs="Arial"/>
              </w:rPr>
            </w:pPr>
            <w:r>
              <w:rPr>
                <w:rFonts w:cs="Arial"/>
              </w:rPr>
              <w:t>--</w:t>
            </w:r>
          </w:p>
        </w:tc>
      </w:tr>
      <w:tr w:rsidR="008B7E19" w:rsidRPr="00786B75" w14:paraId="13A3FE68" w14:textId="77777777" w:rsidTr="008875E7">
        <w:trPr>
          <w:trHeight w:val="238"/>
          <w:jc w:val="center"/>
        </w:trPr>
        <w:tc>
          <w:tcPr>
            <w:tcW w:w="3094" w:type="dxa"/>
            <w:shd w:val="clear" w:color="auto" w:fill="auto"/>
          </w:tcPr>
          <w:p w14:paraId="25AE2E85" w14:textId="77777777" w:rsidR="008B7E19" w:rsidRPr="00786B75" w:rsidRDefault="008B7E19" w:rsidP="008B7E19">
            <w:pPr>
              <w:pStyle w:val="08-Tabelageral"/>
              <w:ind w:left="113"/>
              <w:jc w:val="left"/>
              <w:rPr>
                <w:rFonts w:cs="Arial"/>
                <w:szCs w:val="14"/>
              </w:rPr>
            </w:pPr>
            <w:r>
              <w:rPr>
                <w:rFonts w:cs="Arial"/>
                <w:szCs w:val="14"/>
              </w:rPr>
              <w:t>In</w:t>
            </w:r>
            <w:r w:rsidRPr="00786B75">
              <w:rPr>
                <w:rFonts w:cs="Arial"/>
                <w:szCs w:val="14"/>
              </w:rPr>
              <w:t xml:space="preserve"> 202</w:t>
            </w:r>
            <w:r>
              <w:rPr>
                <w:rFonts w:cs="Arial"/>
                <w:szCs w:val="14"/>
              </w:rPr>
              <w:t>7</w:t>
            </w:r>
          </w:p>
        </w:tc>
        <w:tc>
          <w:tcPr>
            <w:tcW w:w="604" w:type="dxa"/>
            <w:shd w:val="clear" w:color="auto" w:fill="auto"/>
          </w:tcPr>
          <w:p w14:paraId="263B613C" w14:textId="77777777" w:rsidR="008B7E19" w:rsidRPr="00786B75" w:rsidRDefault="008B7E19" w:rsidP="008B7E19">
            <w:pPr>
              <w:pStyle w:val="08-Tabelageral"/>
              <w:ind w:left="113"/>
              <w:jc w:val="center"/>
              <w:rPr>
                <w:rFonts w:cs="Arial"/>
                <w:szCs w:val="14"/>
              </w:rPr>
            </w:pPr>
          </w:p>
        </w:tc>
        <w:tc>
          <w:tcPr>
            <w:tcW w:w="1411" w:type="dxa"/>
            <w:shd w:val="clear" w:color="auto" w:fill="auto"/>
          </w:tcPr>
          <w:p w14:paraId="4F0E081F" w14:textId="77777777" w:rsidR="008B7E19" w:rsidRPr="00786B75" w:rsidRDefault="008B7E19" w:rsidP="008B7E19">
            <w:pPr>
              <w:pStyle w:val="08-Tabelageral"/>
              <w:ind w:left="113"/>
              <w:rPr>
                <w:rFonts w:cs="Arial"/>
                <w:szCs w:val="14"/>
              </w:rPr>
            </w:pPr>
            <w:r>
              <w:rPr>
                <w:rFonts w:cs="Arial"/>
                <w:szCs w:val="14"/>
              </w:rPr>
              <w:t>--</w:t>
            </w:r>
          </w:p>
        </w:tc>
        <w:tc>
          <w:tcPr>
            <w:tcW w:w="1412" w:type="dxa"/>
            <w:shd w:val="clear" w:color="auto" w:fill="auto"/>
          </w:tcPr>
          <w:p w14:paraId="685A787B" w14:textId="77777777" w:rsidR="008B7E19" w:rsidRPr="00786B75" w:rsidRDefault="008B7E19" w:rsidP="008B7E19">
            <w:pPr>
              <w:pStyle w:val="08-Tabelageral"/>
              <w:rPr>
                <w:rFonts w:cs="Arial"/>
              </w:rPr>
            </w:pPr>
            <w:r>
              <w:rPr>
                <w:rFonts w:cs="Arial"/>
              </w:rPr>
              <w:t>--</w:t>
            </w:r>
          </w:p>
        </w:tc>
        <w:tc>
          <w:tcPr>
            <w:tcW w:w="283" w:type="dxa"/>
            <w:shd w:val="clear" w:color="auto" w:fill="auto"/>
          </w:tcPr>
          <w:p w14:paraId="71CD041C" w14:textId="77777777" w:rsidR="008B7E19" w:rsidRPr="00786B75" w:rsidRDefault="008B7E19" w:rsidP="008B7E19">
            <w:pPr>
              <w:pStyle w:val="08-Tabelageral"/>
              <w:ind w:left="113"/>
              <w:rPr>
                <w:rFonts w:cs="Arial"/>
                <w:szCs w:val="14"/>
              </w:rPr>
            </w:pPr>
          </w:p>
        </w:tc>
        <w:tc>
          <w:tcPr>
            <w:tcW w:w="1417" w:type="dxa"/>
            <w:shd w:val="clear" w:color="auto" w:fill="auto"/>
          </w:tcPr>
          <w:p w14:paraId="6123A8EC" w14:textId="77777777" w:rsidR="008B7E19" w:rsidRPr="00786B75" w:rsidRDefault="008B7E19" w:rsidP="008B7E19">
            <w:pPr>
              <w:pStyle w:val="08-Tabelageral"/>
              <w:ind w:left="113"/>
              <w:rPr>
                <w:rFonts w:cs="Arial"/>
                <w:szCs w:val="14"/>
              </w:rPr>
            </w:pPr>
            <w:r>
              <w:rPr>
                <w:rFonts w:cs="Arial"/>
                <w:szCs w:val="14"/>
              </w:rPr>
              <w:t>--</w:t>
            </w:r>
          </w:p>
        </w:tc>
        <w:tc>
          <w:tcPr>
            <w:tcW w:w="1418" w:type="dxa"/>
            <w:shd w:val="clear" w:color="auto" w:fill="auto"/>
          </w:tcPr>
          <w:p w14:paraId="30143E3A" w14:textId="77777777" w:rsidR="008B7E19" w:rsidRPr="00786B75" w:rsidRDefault="008B7E19" w:rsidP="008B7E19">
            <w:pPr>
              <w:pStyle w:val="08-Tabelageral"/>
              <w:rPr>
                <w:rFonts w:cs="Arial"/>
              </w:rPr>
            </w:pPr>
            <w:r>
              <w:rPr>
                <w:rFonts w:cs="Arial"/>
              </w:rPr>
              <w:t>--</w:t>
            </w:r>
          </w:p>
        </w:tc>
      </w:tr>
      <w:tr w:rsidR="008B7E19" w:rsidRPr="00786B75" w14:paraId="4CDD46E5" w14:textId="77777777" w:rsidTr="008875E7">
        <w:trPr>
          <w:trHeight w:val="238"/>
          <w:jc w:val="center"/>
        </w:trPr>
        <w:tc>
          <w:tcPr>
            <w:tcW w:w="3094" w:type="dxa"/>
            <w:tcBorders>
              <w:bottom w:val="nil"/>
            </w:tcBorders>
            <w:shd w:val="clear" w:color="auto" w:fill="auto"/>
          </w:tcPr>
          <w:p w14:paraId="15638C43" w14:textId="77777777" w:rsidR="008B7E19" w:rsidRPr="00786B75" w:rsidRDefault="008B7E19" w:rsidP="008B7E19">
            <w:pPr>
              <w:pStyle w:val="08-Tabelageral"/>
              <w:ind w:left="113"/>
              <w:jc w:val="left"/>
              <w:rPr>
                <w:rFonts w:cs="Arial"/>
                <w:szCs w:val="14"/>
              </w:rPr>
            </w:pPr>
            <w:r w:rsidRPr="00786B75">
              <w:rPr>
                <w:rFonts w:cs="Arial"/>
                <w:szCs w:val="14"/>
              </w:rPr>
              <w:t>A</w:t>
            </w:r>
            <w:r>
              <w:rPr>
                <w:rFonts w:cs="Arial"/>
                <w:szCs w:val="14"/>
              </w:rPr>
              <w:t>fther</w:t>
            </w:r>
            <w:r w:rsidRPr="00786B75">
              <w:rPr>
                <w:rFonts w:cs="Arial"/>
                <w:szCs w:val="14"/>
              </w:rPr>
              <w:t xml:space="preserve"> 202</w:t>
            </w:r>
            <w:r>
              <w:rPr>
                <w:rFonts w:cs="Arial"/>
                <w:szCs w:val="14"/>
              </w:rPr>
              <w:t>7</w:t>
            </w:r>
          </w:p>
        </w:tc>
        <w:tc>
          <w:tcPr>
            <w:tcW w:w="604" w:type="dxa"/>
            <w:tcBorders>
              <w:bottom w:val="nil"/>
            </w:tcBorders>
            <w:shd w:val="clear" w:color="auto" w:fill="auto"/>
          </w:tcPr>
          <w:p w14:paraId="2708ADD3" w14:textId="77777777" w:rsidR="008B7E19" w:rsidRPr="00786B75" w:rsidRDefault="008B7E19" w:rsidP="008B7E19">
            <w:pPr>
              <w:pStyle w:val="08-Tabelageral"/>
              <w:jc w:val="center"/>
              <w:rPr>
                <w:rFonts w:cs="Arial"/>
                <w:szCs w:val="14"/>
              </w:rPr>
            </w:pPr>
          </w:p>
        </w:tc>
        <w:tc>
          <w:tcPr>
            <w:tcW w:w="1411" w:type="dxa"/>
            <w:tcBorders>
              <w:bottom w:val="nil"/>
            </w:tcBorders>
            <w:shd w:val="clear" w:color="auto" w:fill="auto"/>
          </w:tcPr>
          <w:p w14:paraId="13013612" w14:textId="77777777" w:rsidR="008B7E19" w:rsidRPr="00786B75" w:rsidRDefault="008B7E19" w:rsidP="008B7E19">
            <w:pPr>
              <w:pStyle w:val="08-Tabelageral"/>
              <w:rPr>
                <w:rFonts w:cs="Arial"/>
                <w:szCs w:val="14"/>
              </w:rPr>
            </w:pPr>
            <w:r>
              <w:rPr>
                <w:rFonts w:cs="Arial"/>
                <w:szCs w:val="14"/>
              </w:rPr>
              <w:t>--</w:t>
            </w:r>
          </w:p>
        </w:tc>
        <w:tc>
          <w:tcPr>
            <w:tcW w:w="1412" w:type="dxa"/>
            <w:tcBorders>
              <w:bottom w:val="nil"/>
            </w:tcBorders>
            <w:shd w:val="clear" w:color="auto" w:fill="auto"/>
          </w:tcPr>
          <w:p w14:paraId="30840FC8" w14:textId="77777777" w:rsidR="008B7E19" w:rsidRPr="00786B75" w:rsidRDefault="008B7E19" w:rsidP="008B7E19">
            <w:pPr>
              <w:pStyle w:val="08-Tabelageral"/>
              <w:rPr>
                <w:rFonts w:cs="Arial"/>
              </w:rPr>
            </w:pPr>
            <w:r>
              <w:rPr>
                <w:rFonts w:cs="Arial"/>
              </w:rPr>
              <w:t>--</w:t>
            </w:r>
          </w:p>
        </w:tc>
        <w:tc>
          <w:tcPr>
            <w:tcW w:w="283" w:type="dxa"/>
            <w:tcBorders>
              <w:bottom w:val="nil"/>
            </w:tcBorders>
            <w:shd w:val="clear" w:color="auto" w:fill="auto"/>
          </w:tcPr>
          <w:p w14:paraId="555E2AD2" w14:textId="77777777" w:rsidR="008B7E19" w:rsidRPr="00786B75" w:rsidRDefault="008B7E19" w:rsidP="008B7E19">
            <w:pPr>
              <w:pStyle w:val="08-Tabelageral"/>
              <w:rPr>
                <w:rFonts w:cs="Arial"/>
                <w:szCs w:val="14"/>
              </w:rPr>
            </w:pPr>
          </w:p>
        </w:tc>
        <w:tc>
          <w:tcPr>
            <w:tcW w:w="1417" w:type="dxa"/>
            <w:tcBorders>
              <w:bottom w:val="nil"/>
            </w:tcBorders>
            <w:shd w:val="clear" w:color="auto" w:fill="auto"/>
          </w:tcPr>
          <w:p w14:paraId="189D98DA" w14:textId="77777777" w:rsidR="008B7E19" w:rsidRPr="00786B75" w:rsidRDefault="008B7E19" w:rsidP="008B7E19">
            <w:pPr>
              <w:pStyle w:val="08-Tabelageral"/>
              <w:rPr>
                <w:rFonts w:cs="Arial"/>
                <w:szCs w:val="14"/>
              </w:rPr>
            </w:pPr>
            <w:r>
              <w:rPr>
                <w:rFonts w:cs="Arial"/>
                <w:szCs w:val="14"/>
              </w:rPr>
              <w:t>--</w:t>
            </w:r>
          </w:p>
        </w:tc>
        <w:tc>
          <w:tcPr>
            <w:tcW w:w="1418" w:type="dxa"/>
            <w:tcBorders>
              <w:bottom w:val="nil"/>
            </w:tcBorders>
            <w:shd w:val="clear" w:color="auto" w:fill="auto"/>
          </w:tcPr>
          <w:p w14:paraId="70FD9F83" w14:textId="77777777" w:rsidR="008B7E19" w:rsidRPr="00786B75" w:rsidRDefault="008B7E19" w:rsidP="008B7E19">
            <w:pPr>
              <w:pStyle w:val="08-Tabelageral"/>
              <w:rPr>
                <w:rFonts w:cs="Arial"/>
              </w:rPr>
            </w:pPr>
            <w:r>
              <w:rPr>
                <w:rFonts w:cs="Arial"/>
              </w:rPr>
              <w:t>--</w:t>
            </w:r>
          </w:p>
        </w:tc>
      </w:tr>
      <w:tr w:rsidR="008B7E19" w:rsidRPr="00786B75" w14:paraId="3FBC1E21" w14:textId="77777777" w:rsidTr="008875E7">
        <w:trPr>
          <w:trHeight w:val="238"/>
          <w:jc w:val="center"/>
        </w:trPr>
        <w:tc>
          <w:tcPr>
            <w:tcW w:w="3094" w:type="dxa"/>
            <w:tcBorders>
              <w:top w:val="nil"/>
              <w:bottom w:val="single" w:sz="2" w:space="0" w:color="1F4E79" w:themeColor="accent1" w:themeShade="80"/>
            </w:tcBorders>
            <w:shd w:val="clear" w:color="auto" w:fill="auto"/>
          </w:tcPr>
          <w:p w14:paraId="5FF5A504" w14:textId="77777777" w:rsidR="008B7E19" w:rsidRPr="00786B75" w:rsidRDefault="008B7E19" w:rsidP="008B7E19">
            <w:pPr>
              <w:pStyle w:val="08-Tabelageral"/>
              <w:jc w:val="left"/>
              <w:rPr>
                <w:rFonts w:cs="Arial"/>
                <w:b/>
              </w:rPr>
            </w:pPr>
            <w:r w:rsidRPr="00786B75">
              <w:rPr>
                <w:rFonts w:cs="Arial"/>
                <w:b/>
              </w:rPr>
              <w:t>Total</w:t>
            </w:r>
          </w:p>
        </w:tc>
        <w:tc>
          <w:tcPr>
            <w:tcW w:w="604" w:type="dxa"/>
            <w:tcBorders>
              <w:top w:val="nil"/>
              <w:bottom w:val="single" w:sz="2" w:space="0" w:color="1F4E79" w:themeColor="accent1" w:themeShade="80"/>
            </w:tcBorders>
            <w:shd w:val="clear" w:color="auto" w:fill="auto"/>
          </w:tcPr>
          <w:p w14:paraId="6DC884E2" w14:textId="77777777" w:rsidR="008B7E19" w:rsidRPr="00786B75" w:rsidRDefault="008B7E19" w:rsidP="008B7E19">
            <w:pPr>
              <w:pStyle w:val="08-Tabelageral"/>
              <w:jc w:val="center"/>
              <w:rPr>
                <w:rFonts w:cs="Arial"/>
                <w:b/>
                <w:szCs w:val="14"/>
              </w:rPr>
            </w:pPr>
          </w:p>
        </w:tc>
        <w:tc>
          <w:tcPr>
            <w:tcW w:w="1411" w:type="dxa"/>
            <w:tcBorders>
              <w:top w:val="nil"/>
              <w:bottom w:val="single" w:sz="2" w:space="0" w:color="1F4E79" w:themeColor="accent1" w:themeShade="80"/>
            </w:tcBorders>
            <w:shd w:val="clear" w:color="auto" w:fill="auto"/>
          </w:tcPr>
          <w:p w14:paraId="409ECAA9" w14:textId="77777777" w:rsidR="008B7E19" w:rsidRPr="00786B75" w:rsidRDefault="008B7E19" w:rsidP="008B7E19">
            <w:pPr>
              <w:pStyle w:val="08-Tabelageral"/>
              <w:rPr>
                <w:rFonts w:cs="Arial"/>
                <w:b/>
                <w:szCs w:val="14"/>
              </w:rPr>
            </w:pPr>
            <w:r>
              <w:rPr>
                <w:rFonts w:cs="Arial"/>
                <w:b/>
                <w:szCs w:val="14"/>
              </w:rPr>
              <w:t>28</w:t>
            </w:r>
          </w:p>
        </w:tc>
        <w:tc>
          <w:tcPr>
            <w:tcW w:w="1412" w:type="dxa"/>
            <w:tcBorders>
              <w:top w:val="nil"/>
              <w:bottom w:val="single" w:sz="2" w:space="0" w:color="1F4E79" w:themeColor="accent1" w:themeShade="80"/>
            </w:tcBorders>
            <w:shd w:val="clear" w:color="auto" w:fill="auto"/>
          </w:tcPr>
          <w:p w14:paraId="26D19947" w14:textId="77777777" w:rsidR="008B7E19" w:rsidRPr="00786B75" w:rsidRDefault="008B7E19" w:rsidP="008B7E19">
            <w:pPr>
              <w:pStyle w:val="08-Tabelageral"/>
              <w:rPr>
                <w:rFonts w:cs="Arial"/>
                <w:b/>
              </w:rPr>
            </w:pPr>
            <w:r>
              <w:rPr>
                <w:rFonts w:cs="Arial"/>
                <w:b/>
              </w:rPr>
              <w:t>21</w:t>
            </w:r>
          </w:p>
        </w:tc>
        <w:tc>
          <w:tcPr>
            <w:tcW w:w="283" w:type="dxa"/>
            <w:tcBorders>
              <w:top w:val="nil"/>
              <w:bottom w:val="single" w:sz="2" w:space="0" w:color="1F4E79" w:themeColor="accent1" w:themeShade="80"/>
            </w:tcBorders>
            <w:shd w:val="clear" w:color="auto" w:fill="auto"/>
          </w:tcPr>
          <w:p w14:paraId="51F1F123" w14:textId="77777777" w:rsidR="008B7E19" w:rsidRPr="00786B75" w:rsidRDefault="008B7E19" w:rsidP="008B7E19">
            <w:pPr>
              <w:pStyle w:val="08-Tabelageral"/>
              <w:rPr>
                <w:rFonts w:cs="Arial"/>
                <w:b/>
                <w:szCs w:val="14"/>
              </w:rPr>
            </w:pPr>
          </w:p>
        </w:tc>
        <w:tc>
          <w:tcPr>
            <w:tcW w:w="1417" w:type="dxa"/>
            <w:tcBorders>
              <w:top w:val="nil"/>
              <w:bottom w:val="single" w:sz="2" w:space="0" w:color="1F4E79" w:themeColor="accent1" w:themeShade="80"/>
            </w:tcBorders>
            <w:shd w:val="clear" w:color="auto" w:fill="auto"/>
          </w:tcPr>
          <w:p w14:paraId="49BCBC55" w14:textId="77777777" w:rsidR="008B7E19" w:rsidRPr="00786B75" w:rsidRDefault="008B7E19" w:rsidP="008B7E19">
            <w:pPr>
              <w:pStyle w:val="08-Tabelageral"/>
              <w:rPr>
                <w:rFonts w:cs="Arial"/>
                <w:b/>
                <w:szCs w:val="14"/>
              </w:rPr>
            </w:pPr>
            <w:r>
              <w:rPr>
                <w:rFonts w:cs="Arial"/>
                <w:b/>
                <w:szCs w:val="14"/>
              </w:rPr>
              <w:t>7,773</w:t>
            </w:r>
          </w:p>
        </w:tc>
        <w:tc>
          <w:tcPr>
            <w:tcW w:w="1418" w:type="dxa"/>
            <w:tcBorders>
              <w:top w:val="nil"/>
              <w:bottom w:val="single" w:sz="2" w:space="0" w:color="1F4E79" w:themeColor="accent1" w:themeShade="80"/>
            </w:tcBorders>
            <w:shd w:val="clear" w:color="auto" w:fill="auto"/>
          </w:tcPr>
          <w:p w14:paraId="6891E2F1" w14:textId="77777777" w:rsidR="008B7E19" w:rsidRPr="00786B75" w:rsidRDefault="008B7E19" w:rsidP="008B7E19">
            <w:pPr>
              <w:pStyle w:val="08-Tabelageral"/>
              <w:rPr>
                <w:rFonts w:cs="Arial"/>
                <w:b/>
              </w:rPr>
            </w:pPr>
            <w:r>
              <w:rPr>
                <w:rFonts w:cs="Arial"/>
                <w:b/>
              </w:rPr>
              <w:t>6,745</w:t>
            </w:r>
          </w:p>
        </w:tc>
      </w:tr>
    </w:tbl>
    <w:p w14:paraId="2EDCA504" w14:textId="77777777" w:rsidR="008B7E19" w:rsidRDefault="008B7E19" w:rsidP="008B7E19">
      <w:pPr>
        <w:keepNext/>
        <w:keepLines/>
        <w:rPr>
          <w:rFonts w:cs="Arial"/>
          <w:b/>
          <w:color w:val="1F4E79" w:themeColor="accent1" w:themeShade="80"/>
          <w:szCs w:val="18"/>
        </w:rPr>
      </w:pPr>
    </w:p>
    <w:p w14:paraId="61B359CD" w14:textId="77777777" w:rsidR="008B7E19" w:rsidRDefault="008B7E19" w:rsidP="008B7E19">
      <w:pPr>
        <w:pStyle w:val="05-Textonormal"/>
        <w:keepNext/>
        <w:keepLines/>
        <w:rPr>
          <w:lang w:val="en-US"/>
        </w:rPr>
      </w:pPr>
      <w:r w:rsidRPr="003E2305">
        <w:rPr>
          <w:lang w:val="en-US"/>
        </w:rPr>
        <w:t xml:space="preserve">The expected realization of deferred tax assets (tax credits) is supported by a technical study prepared </w:t>
      </w:r>
      <w:r>
        <w:rPr>
          <w:lang w:val="en-US"/>
        </w:rPr>
        <w:t>for de base date of</w:t>
      </w:r>
      <w:r w:rsidRPr="003E2305">
        <w:rPr>
          <w:lang w:val="en-US"/>
        </w:rPr>
        <w:t xml:space="preserve"> Dec 31, 20</w:t>
      </w:r>
      <w:r>
        <w:rPr>
          <w:lang w:val="en-US"/>
        </w:rPr>
        <w:t>22</w:t>
      </w:r>
      <w:r w:rsidRPr="003E2305">
        <w:rPr>
          <w:lang w:val="en-US"/>
        </w:rPr>
        <w:t>, and is calculated based on the discounted present value of the average Selic rate (TMS) projected for each reporting period</w:t>
      </w:r>
      <w:r>
        <w:rPr>
          <w:lang w:val="en-US"/>
        </w:rPr>
        <w:t>.</w:t>
      </w:r>
    </w:p>
    <w:p w14:paraId="3888F506" w14:textId="77777777" w:rsidR="008B7E19" w:rsidRDefault="008B7E19" w:rsidP="008B7E19">
      <w:pPr>
        <w:pStyle w:val="05-Textonormal"/>
        <w:rPr>
          <w:lang w:val="en-US"/>
        </w:rPr>
      </w:pPr>
      <w:r w:rsidRPr="001A1479">
        <w:rPr>
          <w:lang w:val="en-US"/>
        </w:rPr>
        <w:t xml:space="preserve">During the first </w:t>
      </w:r>
      <w:r>
        <w:rPr>
          <w:lang w:val="en-US"/>
        </w:rPr>
        <w:t>half</w:t>
      </w:r>
      <w:r w:rsidRPr="001A1479">
        <w:rPr>
          <w:lang w:val="en-US"/>
        </w:rPr>
        <w:t xml:space="preserve"> of 2023, tax credits were realized in the amount of R$ </w:t>
      </w:r>
      <w:r>
        <w:rPr>
          <w:lang w:val="en-US"/>
        </w:rPr>
        <w:t>29</w:t>
      </w:r>
      <w:r w:rsidRPr="001A1479">
        <w:rPr>
          <w:lang w:val="en-US"/>
        </w:rPr>
        <w:t xml:space="preserve"> thousand in the parent company and R$ </w:t>
      </w:r>
      <w:r>
        <w:rPr>
          <w:lang w:val="en-US"/>
        </w:rPr>
        <w:t>1,140</w:t>
      </w:r>
      <w:r w:rsidRPr="001A1479">
        <w:rPr>
          <w:lang w:val="en-US"/>
        </w:rPr>
        <w:t xml:space="preserve"> thousand in the consolidated.</w:t>
      </w:r>
    </w:p>
    <w:p w14:paraId="792CC211" w14:textId="77777777" w:rsidR="008B7E19" w:rsidRPr="003E2305" w:rsidRDefault="008B7E19" w:rsidP="008B7E19">
      <w:pPr>
        <w:pStyle w:val="05-Textonormal"/>
        <w:rPr>
          <w:lang w:val="en-US"/>
        </w:rPr>
      </w:pPr>
    </w:p>
    <w:p w14:paraId="451DECAD" w14:textId="77777777" w:rsidR="008B7E19" w:rsidRPr="00F110A6" w:rsidRDefault="008B7E19" w:rsidP="008875E7">
      <w:pPr>
        <w:pStyle w:val="05-Textonormal"/>
        <w:keepNext/>
        <w:keepLines/>
        <w:pageBreakBefore/>
        <w:rPr>
          <w:rFonts w:cs="Arial"/>
          <w:b/>
          <w:color w:val="1F4E79" w:themeColor="accent1" w:themeShade="80"/>
          <w:lang w:val="en-US"/>
        </w:rPr>
      </w:pPr>
      <w:r w:rsidRPr="00F110A6">
        <w:rPr>
          <w:rFonts w:cs="Arial"/>
          <w:b/>
          <w:color w:val="1F4E79" w:themeColor="accent1" w:themeShade="80"/>
          <w:lang w:val="en-US"/>
        </w:rPr>
        <w:t xml:space="preserve">g) </w:t>
      </w:r>
      <w:r w:rsidRPr="00662308">
        <w:rPr>
          <w:rFonts w:cs="Arial"/>
          <w:b/>
          <w:color w:val="1F4E79" w:themeColor="accent1" w:themeShade="80"/>
          <w:lang w:val="en-US"/>
        </w:rPr>
        <w:t>Current tax liabilities</w:t>
      </w:r>
    </w:p>
    <w:p w14:paraId="280D9545" w14:textId="77777777" w:rsidR="008B7E19" w:rsidRPr="00F110A6" w:rsidRDefault="008B7E19" w:rsidP="008B7E19">
      <w:pPr>
        <w:spacing w:after="0" w:line="240" w:lineRule="auto"/>
        <w:jc w:val="right"/>
        <w:rPr>
          <w:rFonts w:cs="Arial"/>
          <w:b/>
          <w:sz w:val="14"/>
          <w:lang w:val="en-US" w:eastAsia="pt-BR"/>
        </w:rPr>
      </w:pPr>
      <w:r w:rsidRPr="00F110A6">
        <w:rPr>
          <w:rFonts w:cs="Arial"/>
          <w:b/>
          <w:sz w:val="14"/>
          <w:lang w:val="en-US" w:eastAsia="pt-BR"/>
        </w:rPr>
        <w:t>R$ thousand</w:t>
      </w:r>
    </w:p>
    <w:tbl>
      <w:tblPr>
        <w:tblW w:w="9639" w:type="dxa"/>
        <w:jc w:val="center"/>
        <w:tblBorders>
          <w:top w:val="single" w:sz="2" w:space="0" w:color="8EAADB" w:themeColor="accent5" w:themeTint="99"/>
          <w:bottom w:val="single" w:sz="2" w:space="0" w:color="8EAADB" w:themeColor="accent5" w:themeTint="99"/>
        </w:tblBorders>
        <w:tblLook w:val="04A0" w:firstRow="1" w:lastRow="0" w:firstColumn="1" w:lastColumn="0" w:noHBand="0" w:noVBand="1"/>
      </w:tblPr>
      <w:tblGrid>
        <w:gridCol w:w="3402"/>
        <w:gridCol w:w="296"/>
        <w:gridCol w:w="1411"/>
        <w:gridCol w:w="1412"/>
        <w:gridCol w:w="283"/>
        <w:gridCol w:w="1417"/>
        <w:gridCol w:w="1418"/>
      </w:tblGrid>
      <w:tr w:rsidR="008B7E19" w:rsidRPr="00E16069" w14:paraId="70DDF1BC" w14:textId="77777777" w:rsidTr="008875E7">
        <w:trPr>
          <w:trHeight w:val="238"/>
          <w:jc w:val="center"/>
        </w:trPr>
        <w:tc>
          <w:tcPr>
            <w:tcW w:w="3402" w:type="dxa"/>
            <w:tcBorders>
              <w:top w:val="single" w:sz="2" w:space="0" w:color="1F4E79" w:themeColor="accent1" w:themeShade="80"/>
              <w:bottom w:val="nil"/>
            </w:tcBorders>
            <w:shd w:val="clear" w:color="auto" w:fill="auto"/>
          </w:tcPr>
          <w:p w14:paraId="2C244B8A" w14:textId="77777777" w:rsidR="008B7E19" w:rsidRPr="00F110A6" w:rsidRDefault="008B7E19" w:rsidP="008B7E19">
            <w:pPr>
              <w:spacing w:after="0"/>
              <w:jc w:val="center"/>
              <w:rPr>
                <w:rFonts w:cs="Arial"/>
                <w:b/>
                <w:szCs w:val="18"/>
                <w:lang w:val="en-US"/>
              </w:rPr>
            </w:pPr>
          </w:p>
        </w:tc>
        <w:tc>
          <w:tcPr>
            <w:tcW w:w="296" w:type="dxa"/>
            <w:tcBorders>
              <w:top w:val="single" w:sz="2" w:space="0" w:color="1F4E79" w:themeColor="accent1" w:themeShade="80"/>
              <w:bottom w:val="nil"/>
            </w:tcBorders>
            <w:shd w:val="clear" w:color="auto" w:fill="auto"/>
          </w:tcPr>
          <w:p w14:paraId="0772ADF3" w14:textId="77777777" w:rsidR="008B7E19" w:rsidRPr="00F110A6" w:rsidRDefault="008B7E19" w:rsidP="008B7E19">
            <w:pPr>
              <w:spacing w:after="0"/>
              <w:jc w:val="center"/>
              <w:rPr>
                <w:rFonts w:cs="Arial"/>
                <w:b/>
                <w:szCs w:val="18"/>
                <w:lang w:val="en-US"/>
              </w:rPr>
            </w:pPr>
          </w:p>
        </w:tc>
        <w:tc>
          <w:tcPr>
            <w:tcW w:w="2823" w:type="dxa"/>
            <w:gridSpan w:val="2"/>
            <w:tcBorders>
              <w:top w:val="single" w:sz="2" w:space="0" w:color="1F4E79" w:themeColor="accent1" w:themeShade="80"/>
              <w:bottom w:val="single" w:sz="2" w:space="0" w:color="1F4E79" w:themeColor="accent1" w:themeShade="80"/>
            </w:tcBorders>
            <w:shd w:val="clear" w:color="auto" w:fill="auto"/>
            <w:vAlign w:val="center"/>
          </w:tcPr>
          <w:p w14:paraId="5587FB53" w14:textId="77777777" w:rsidR="008B7E19" w:rsidRPr="00E16069" w:rsidRDefault="008B7E19" w:rsidP="008B7E19">
            <w:pPr>
              <w:spacing w:after="0"/>
              <w:jc w:val="center"/>
              <w:rPr>
                <w:rFonts w:cs="Arial"/>
                <w:b/>
                <w:sz w:val="14"/>
                <w:szCs w:val="18"/>
              </w:rPr>
            </w:pPr>
            <w:r w:rsidRPr="00775513">
              <w:rPr>
                <w:rFonts w:cs="Arial"/>
                <w:b/>
                <w:sz w:val="14"/>
                <w:szCs w:val="18"/>
              </w:rPr>
              <w:t>Parent</w:t>
            </w:r>
          </w:p>
        </w:tc>
        <w:tc>
          <w:tcPr>
            <w:tcW w:w="283" w:type="dxa"/>
            <w:tcBorders>
              <w:top w:val="single" w:sz="2" w:space="0" w:color="1F4E79" w:themeColor="accent1" w:themeShade="80"/>
              <w:bottom w:val="nil"/>
            </w:tcBorders>
            <w:shd w:val="clear" w:color="auto" w:fill="auto"/>
            <w:vAlign w:val="center"/>
          </w:tcPr>
          <w:p w14:paraId="5CC173E5" w14:textId="77777777" w:rsidR="008B7E19" w:rsidRPr="00E16069" w:rsidRDefault="008B7E19" w:rsidP="008B7E19">
            <w:pPr>
              <w:spacing w:after="0"/>
              <w:jc w:val="center"/>
              <w:rPr>
                <w:rFonts w:cs="Arial"/>
                <w:b/>
                <w:szCs w:val="18"/>
              </w:rPr>
            </w:pPr>
          </w:p>
        </w:tc>
        <w:tc>
          <w:tcPr>
            <w:tcW w:w="2835" w:type="dxa"/>
            <w:gridSpan w:val="2"/>
            <w:tcBorders>
              <w:top w:val="single" w:sz="2" w:space="0" w:color="1F4E79" w:themeColor="accent1" w:themeShade="80"/>
              <w:bottom w:val="single" w:sz="2" w:space="0" w:color="1F4E79" w:themeColor="accent1" w:themeShade="80"/>
            </w:tcBorders>
            <w:shd w:val="clear" w:color="auto" w:fill="auto"/>
            <w:vAlign w:val="center"/>
          </w:tcPr>
          <w:p w14:paraId="048802BE" w14:textId="77777777" w:rsidR="008B7E19" w:rsidRPr="00E16069" w:rsidRDefault="008B7E19" w:rsidP="008B7E19">
            <w:pPr>
              <w:spacing w:after="0"/>
              <w:jc w:val="center"/>
              <w:rPr>
                <w:rFonts w:cs="Arial"/>
                <w:b/>
                <w:szCs w:val="18"/>
                <w:vertAlign w:val="superscript"/>
              </w:rPr>
            </w:pPr>
            <w:r w:rsidRPr="00775513">
              <w:rPr>
                <w:rFonts w:cs="Arial"/>
                <w:b/>
                <w:sz w:val="14"/>
                <w:szCs w:val="18"/>
              </w:rPr>
              <w:t>Consolidated</w:t>
            </w:r>
          </w:p>
        </w:tc>
      </w:tr>
      <w:tr w:rsidR="008B7E19" w:rsidRPr="00E16069" w14:paraId="0D03609A" w14:textId="77777777" w:rsidTr="008875E7">
        <w:trPr>
          <w:trHeight w:val="238"/>
          <w:jc w:val="center"/>
        </w:trPr>
        <w:tc>
          <w:tcPr>
            <w:tcW w:w="3402" w:type="dxa"/>
            <w:tcBorders>
              <w:top w:val="nil"/>
              <w:bottom w:val="single" w:sz="2" w:space="0" w:color="1F4E79" w:themeColor="accent1" w:themeShade="80"/>
            </w:tcBorders>
            <w:shd w:val="clear" w:color="auto" w:fill="auto"/>
          </w:tcPr>
          <w:p w14:paraId="0D8FBAC7" w14:textId="77777777" w:rsidR="008B7E19" w:rsidRPr="00E16069" w:rsidRDefault="008B7E19" w:rsidP="008B7E19">
            <w:pPr>
              <w:pStyle w:val="08-Tabelageral"/>
              <w:rPr>
                <w:rFonts w:cs="Arial"/>
                <w:b/>
              </w:rPr>
            </w:pPr>
          </w:p>
        </w:tc>
        <w:tc>
          <w:tcPr>
            <w:tcW w:w="296" w:type="dxa"/>
            <w:tcBorders>
              <w:top w:val="nil"/>
              <w:bottom w:val="single" w:sz="2" w:space="0" w:color="1F4E79" w:themeColor="accent1" w:themeShade="80"/>
            </w:tcBorders>
            <w:shd w:val="clear" w:color="auto" w:fill="auto"/>
          </w:tcPr>
          <w:p w14:paraId="5DFD12F9" w14:textId="77777777" w:rsidR="008B7E19" w:rsidRPr="00E16069" w:rsidRDefault="008B7E19" w:rsidP="008B7E19">
            <w:pPr>
              <w:pStyle w:val="08-Tabelageral"/>
              <w:rPr>
                <w:rFonts w:cs="Arial"/>
                <w:b/>
              </w:rPr>
            </w:pPr>
          </w:p>
        </w:tc>
        <w:tc>
          <w:tcPr>
            <w:tcW w:w="1411" w:type="dxa"/>
            <w:tcBorders>
              <w:top w:val="single" w:sz="2" w:space="0" w:color="1F4E79" w:themeColor="accent1" w:themeShade="80"/>
              <w:bottom w:val="single" w:sz="2" w:space="0" w:color="1F4E79" w:themeColor="accent1" w:themeShade="80"/>
            </w:tcBorders>
            <w:shd w:val="clear" w:color="auto" w:fill="auto"/>
          </w:tcPr>
          <w:p w14:paraId="50CDBA84" w14:textId="77777777" w:rsidR="008B7E19" w:rsidRPr="00C057A8" w:rsidRDefault="008B7E19" w:rsidP="008B7E19">
            <w:pPr>
              <w:pStyle w:val="08-Tabelageral"/>
              <w:rPr>
                <w:rFonts w:cs="Arial"/>
                <w:b/>
                <w:vertAlign w:val="superscript"/>
              </w:rPr>
            </w:pPr>
            <w:r>
              <w:rPr>
                <w:b/>
              </w:rPr>
              <w:t>June</w:t>
            </w:r>
            <w:r w:rsidRPr="00C057A8">
              <w:rPr>
                <w:b/>
              </w:rPr>
              <w:t xml:space="preserve"> 3</w:t>
            </w:r>
            <w:r>
              <w:rPr>
                <w:b/>
              </w:rPr>
              <w:t>0</w:t>
            </w:r>
            <w:r w:rsidRPr="00C057A8">
              <w:rPr>
                <w:b/>
              </w:rPr>
              <w:t>, 202</w:t>
            </w:r>
            <w:r>
              <w:rPr>
                <w:b/>
              </w:rPr>
              <w:t>3</w:t>
            </w:r>
          </w:p>
        </w:tc>
        <w:tc>
          <w:tcPr>
            <w:tcW w:w="1412" w:type="dxa"/>
            <w:tcBorders>
              <w:top w:val="single" w:sz="2" w:space="0" w:color="1F4E79" w:themeColor="accent1" w:themeShade="80"/>
              <w:bottom w:val="single" w:sz="2" w:space="0" w:color="1F4E79" w:themeColor="accent1" w:themeShade="80"/>
            </w:tcBorders>
            <w:shd w:val="clear" w:color="auto" w:fill="auto"/>
          </w:tcPr>
          <w:p w14:paraId="7F792E8B" w14:textId="77777777" w:rsidR="008B7E19" w:rsidRPr="00C057A8" w:rsidRDefault="008B7E19" w:rsidP="008B7E19">
            <w:pPr>
              <w:pStyle w:val="08-Tabelageral"/>
              <w:rPr>
                <w:rFonts w:cs="Arial"/>
                <w:b/>
                <w:vertAlign w:val="superscript"/>
              </w:rPr>
            </w:pPr>
            <w:r w:rsidRPr="00C057A8">
              <w:rPr>
                <w:b/>
              </w:rPr>
              <w:t>Dec 31, 20</w:t>
            </w:r>
            <w:r>
              <w:rPr>
                <w:b/>
              </w:rPr>
              <w:t>22</w:t>
            </w:r>
          </w:p>
        </w:tc>
        <w:tc>
          <w:tcPr>
            <w:tcW w:w="283" w:type="dxa"/>
            <w:tcBorders>
              <w:top w:val="nil"/>
              <w:bottom w:val="single" w:sz="2" w:space="0" w:color="1F4E79" w:themeColor="accent1" w:themeShade="80"/>
            </w:tcBorders>
            <w:shd w:val="clear" w:color="auto" w:fill="auto"/>
          </w:tcPr>
          <w:p w14:paraId="66FB8D78" w14:textId="77777777" w:rsidR="008B7E19" w:rsidRPr="00C057A8" w:rsidRDefault="008B7E19" w:rsidP="008B7E19">
            <w:pPr>
              <w:pStyle w:val="08-Tabelageral"/>
              <w:rPr>
                <w:rFonts w:cs="Arial"/>
                <w:b/>
              </w:rPr>
            </w:pPr>
          </w:p>
        </w:tc>
        <w:tc>
          <w:tcPr>
            <w:tcW w:w="1417" w:type="dxa"/>
            <w:tcBorders>
              <w:top w:val="single" w:sz="2" w:space="0" w:color="1F4E79" w:themeColor="accent1" w:themeShade="80"/>
              <w:bottom w:val="single" w:sz="2" w:space="0" w:color="1F4E79" w:themeColor="accent1" w:themeShade="80"/>
            </w:tcBorders>
            <w:shd w:val="clear" w:color="auto" w:fill="auto"/>
          </w:tcPr>
          <w:p w14:paraId="5B6F21EA" w14:textId="77777777" w:rsidR="008B7E19" w:rsidRPr="00C057A8" w:rsidRDefault="008B7E19" w:rsidP="008B7E19">
            <w:pPr>
              <w:pStyle w:val="08-Tabelageral"/>
              <w:rPr>
                <w:rFonts w:cs="Arial"/>
                <w:b/>
              </w:rPr>
            </w:pPr>
            <w:r>
              <w:rPr>
                <w:b/>
              </w:rPr>
              <w:t>June</w:t>
            </w:r>
            <w:r w:rsidRPr="00C057A8">
              <w:rPr>
                <w:b/>
              </w:rPr>
              <w:t xml:space="preserve"> 3</w:t>
            </w:r>
            <w:r>
              <w:rPr>
                <w:b/>
              </w:rPr>
              <w:t>0</w:t>
            </w:r>
            <w:r w:rsidRPr="00C057A8">
              <w:rPr>
                <w:b/>
              </w:rPr>
              <w:t>, 202</w:t>
            </w:r>
            <w:r>
              <w:rPr>
                <w:b/>
              </w:rPr>
              <w:t>3</w:t>
            </w:r>
          </w:p>
        </w:tc>
        <w:tc>
          <w:tcPr>
            <w:tcW w:w="1418" w:type="dxa"/>
            <w:tcBorders>
              <w:top w:val="single" w:sz="2" w:space="0" w:color="1F4E79" w:themeColor="accent1" w:themeShade="80"/>
              <w:bottom w:val="single" w:sz="2" w:space="0" w:color="1F4E79" w:themeColor="accent1" w:themeShade="80"/>
            </w:tcBorders>
            <w:shd w:val="clear" w:color="auto" w:fill="auto"/>
          </w:tcPr>
          <w:p w14:paraId="5174E85F" w14:textId="77777777" w:rsidR="008B7E19" w:rsidRPr="00C057A8" w:rsidRDefault="008B7E19" w:rsidP="008B7E19">
            <w:pPr>
              <w:pStyle w:val="08-Tabelageral"/>
              <w:rPr>
                <w:rFonts w:cs="Arial"/>
                <w:b/>
              </w:rPr>
            </w:pPr>
            <w:r w:rsidRPr="00C057A8">
              <w:rPr>
                <w:b/>
              </w:rPr>
              <w:t>Dec 31, 20</w:t>
            </w:r>
            <w:r>
              <w:rPr>
                <w:b/>
              </w:rPr>
              <w:t>22</w:t>
            </w:r>
          </w:p>
        </w:tc>
      </w:tr>
      <w:tr w:rsidR="008B7E19" w:rsidRPr="00E16069" w14:paraId="02F1F8F7" w14:textId="77777777" w:rsidTr="008875E7">
        <w:trPr>
          <w:trHeight w:val="238"/>
          <w:jc w:val="center"/>
        </w:trPr>
        <w:tc>
          <w:tcPr>
            <w:tcW w:w="3402" w:type="dxa"/>
            <w:tcBorders>
              <w:top w:val="single" w:sz="2" w:space="0" w:color="1F4E79" w:themeColor="accent1" w:themeShade="80"/>
              <w:bottom w:val="nil"/>
            </w:tcBorders>
            <w:shd w:val="clear" w:color="auto" w:fill="auto"/>
          </w:tcPr>
          <w:p w14:paraId="559DB07D" w14:textId="77777777" w:rsidR="008B7E19" w:rsidRPr="00E16069" w:rsidRDefault="008B7E19" w:rsidP="008B7E19">
            <w:pPr>
              <w:pStyle w:val="08-Tabelageral"/>
              <w:ind w:left="113"/>
              <w:jc w:val="left"/>
              <w:rPr>
                <w:rFonts w:cs="Arial"/>
                <w:szCs w:val="14"/>
              </w:rPr>
            </w:pPr>
            <w:r>
              <w:rPr>
                <w:rFonts w:cs="Arial"/>
                <w:szCs w:val="14"/>
              </w:rPr>
              <w:t>Icome tax</w:t>
            </w:r>
          </w:p>
        </w:tc>
        <w:tc>
          <w:tcPr>
            <w:tcW w:w="296" w:type="dxa"/>
            <w:tcBorders>
              <w:top w:val="single" w:sz="2" w:space="0" w:color="1F4E79" w:themeColor="accent1" w:themeShade="80"/>
            </w:tcBorders>
            <w:shd w:val="clear" w:color="auto" w:fill="auto"/>
          </w:tcPr>
          <w:p w14:paraId="1D887C43" w14:textId="77777777" w:rsidR="008B7E19" w:rsidRPr="00E16069" w:rsidRDefault="008B7E19" w:rsidP="008B7E19">
            <w:pPr>
              <w:pStyle w:val="08-Tabelageral"/>
              <w:ind w:left="113"/>
              <w:jc w:val="center"/>
              <w:rPr>
                <w:rFonts w:cs="Arial"/>
                <w:szCs w:val="14"/>
              </w:rPr>
            </w:pPr>
          </w:p>
        </w:tc>
        <w:tc>
          <w:tcPr>
            <w:tcW w:w="1411" w:type="dxa"/>
            <w:tcBorders>
              <w:top w:val="single" w:sz="2" w:space="0" w:color="1F4E79" w:themeColor="accent1" w:themeShade="80"/>
            </w:tcBorders>
            <w:shd w:val="clear" w:color="auto" w:fill="auto"/>
            <w:vAlign w:val="center"/>
          </w:tcPr>
          <w:p w14:paraId="1813C972" w14:textId="77777777" w:rsidR="008B7E19" w:rsidRPr="00E16069" w:rsidRDefault="008B7E19" w:rsidP="008B7E19">
            <w:pPr>
              <w:pStyle w:val="08-Tabelageral"/>
              <w:ind w:left="113"/>
              <w:rPr>
                <w:rFonts w:cs="Arial"/>
                <w:szCs w:val="14"/>
              </w:rPr>
            </w:pPr>
            <w:r>
              <w:rPr>
                <w:rFonts w:cs="Arial"/>
                <w:szCs w:val="14"/>
              </w:rPr>
              <w:t>253</w:t>
            </w:r>
          </w:p>
        </w:tc>
        <w:tc>
          <w:tcPr>
            <w:tcW w:w="1412" w:type="dxa"/>
            <w:tcBorders>
              <w:top w:val="single" w:sz="2" w:space="0" w:color="1F4E79" w:themeColor="accent1" w:themeShade="80"/>
            </w:tcBorders>
            <w:shd w:val="clear" w:color="auto" w:fill="auto"/>
            <w:vAlign w:val="center"/>
          </w:tcPr>
          <w:p w14:paraId="4A23C93E" w14:textId="77777777" w:rsidR="008B7E19" w:rsidRPr="00E16069" w:rsidRDefault="008B7E19" w:rsidP="008B7E19">
            <w:pPr>
              <w:pStyle w:val="08-Tabelageral"/>
              <w:ind w:left="113"/>
              <w:rPr>
                <w:rFonts w:cs="Arial"/>
                <w:szCs w:val="14"/>
              </w:rPr>
            </w:pPr>
            <w:r>
              <w:rPr>
                <w:rFonts w:cs="Arial"/>
                <w:szCs w:val="14"/>
              </w:rPr>
              <w:t>--</w:t>
            </w:r>
          </w:p>
        </w:tc>
        <w:tc>
          <w:tcPr>
            <w:tcW w:w="283" w:type="dxa"/>
            <w:tcBorders>
              <w:top w:val="single" w:sz="2" w:space="0" w:color="1F4E79" w:themeColor="accent1" w:themeShade="80"/>
            </w:tcBorders>
            <w:shd w:val="clear" w:color="auto" w:fill="auto"/>
            <w:vAlign w:val="center"/>
          </w:tcPr>
          <w:p w14:paraId="59EC3D84" w14:textId="77777777" w:rsidR="008B7E19" w:rsidRPr="00E16069" w:rsidRDefault="008B7E19" w:rsidP="008B7E19">
            <w:pPr>
              <w:pStyle w:val="08-Tabelageral"/>
              <w:ind w:left="113"/>
              <w:rPr>
                <w:rFonts w:cs="Arial"/>
                <w:szCs w:val="14"/>
              </w:rPr>
            </w:pPr>
          </w:p>
        </w:tc>
        <w:tc>
          <w:tcPr>
            <w:tcW w:w="1417" w:type="dxa"/>
            <w:tcBorders>
              <w:top w:val="single" w:sz="2" w:space="0" w:color="1F4E79" w:themeColor="accent1" w:themeShade="80"/>
            </w:tcBorders>
            <w:shd w:val="clear" w:color="auto" w:fill="auto"/>
            <w:vAlign w:val="center"/>
          </w:tcPr>
          <w:p w14:paraId="5700E3AB" w14:textId="77777777" w:rsidR="008B7E19" w:rsidRPr="00E16069" w:rsidRDefault="008B7E19" w:rsidP="008B7E19">
            <w:pPr>
              <w:pStyle w:val="08-Tabelageral"/>
              <w:ind w:left="113"/>
              <w:rPr>
                <w:rFonts w:cs="Arial"/>
                <w:szCs w:val="14"/>
              </w:rPr>
            </w:pPr>
            <w:r>
              <w:rPr>
                <w:rFonts w:cs="Arial"/>
                <w:szCs w:val="14"/>
              </w:rPr>
              <w:t>547,027</w:t>
            </w:r>
          </w:p>
        </w:tc>
        <w:tc>
          <w:tcPr>
            <w:tcW w:w="1418" w:type="dxa"/>
            <w:tcBorders>
              <w:top w:val="single" w:sz="2" w:space="0" w:color="1F4E79" w:themeColor="accent1" w:themeShade="80"/>
            </w:tcBorders>
            <w:shd w:val="clear" w:color="auto" w:fill="auto"/>
            <w:vAlign w:val="center"/>
          </w:tcPr>
          <w:p w14:paraId="582AF47B" w14:textId="77777777" w:rsidR="008B7E19" w:rsidRPr="00E16069" w:rsidRDefault="008B7E19" w:rsidP="008B7E19">
            <w:pPr>
              <w:pStyle w:val="08-Tabelageral"/>
              <w:ind w:left="113"/>
              <w:rPr>
                <w:rFonts w:cs="Arial"/>
                <w:szCs w:val="14"/>
              </w:rPr>
            </w:pPr>
            <w:r>
              <w:rPr>
                <w:rFonts w:cs="Arial"/>
                <w:szCs w:val="14"/>
              </w:rPr>
              <w:t>720,405</w:t>
            </w:r>
          </w:p>
        </w:tc>
      </w:tr>
      <w:tr w:rsidR="008B7E19" w:rsidRPr="00E16069" w14:paraId="7B36D37C" w14:textId="77777777" w:rsidTr="008875E7">
        <w:trPr>
          <w:trHeight w:val="238"/>
          <w:jc w:val="center"/>
        </w:trPr>
        <w:tc>
          <w:tcPr>
            <w:tcW w:w="3402" w:type="dxa"/>
            <w:shd w:val="clear" w:color="auto" w:fill="auto"/>
          </w:tcPr>
          <w:p w14:paraId="17E8CCE3" w14:textId="77777777" w:rsidR="008B7E19" w:rsidRPr="00E16069" w:rsidRDefault="008B7E19" w:rsidP="008B7E19">
            <w:pPr>
              <w:pStyle w:val="08-Tabelageral"/>
              <w:tabs>
                <w:tab w:val="right" w:pos="2878"/>
              </w:tabs>
              <w:ind w:left="113"/>
              <w:jc w:val="left"/>
              <w:rPr>
                <w:rFonts w:cs="Arial"/>
                <w:szCs w:val="14"/>
              </w:rPr>
            </w:pPr>
            <w:r>
              <w:rPr>
                <w:rFonts w:cs="Arial"/>
                <w:szCs w:val="14"/>
              </w:rPr>
              <w:t>Social contribution</w:t>
            </w:r>
            <w:r w:rsidRPr="00E16069">
              <w:rPr>
                <w:rFonts w:cs="Arial"/>
                <w:szCs w:val="14"/>
              </w:rPr>
              <w:tab/>
            </w:r>
          </w:p>
        </w:tc>
        <w:tc>
          <w:tcPr>
            <w:tcW w:w="296" w:type="dxa"/>
            <w:shd w:val="clear" w:color="auto" w:fill="auto"/>
          </w:tcPr>
          <w:p w14:paraId="5908D9F0" w14:textId="77777777" w:rsidR="008B7E19" w:rsidRPr="00E16069" w:rsidRDefault="008B7E19" w:rsidP="008B7E19">
            <w:pPr>
              <w:pStyle w:val="08-Tabelageral"/>
              <w:ind w:left="113"/>
              <w:jc w:val="center"/>
              <w:rPr>
                <w:rFonts w:cs="Arial"/>
                <w:szCs w:val="14"/>
              </w:rPr>
            </w:pPr>
          </w:p>
        </w:tc>
        <w:tc>
          <w:tcPr>
            <w:tcW w:w="1411" w:type="dxa"/>
            <w:shd w:val="clear" w:color="auto" w:fill="auto"/>
            <w:vAlign w:val="center"/>
          </w:tcPr>
          <w:p w14:paraId="439DA2E1" w14:textId="77777777" w:rsidR="008B7E19" w:rsidRPr="00E16069" w:rsidRDefault="008B7E19" w:rsidP="008B7E19">
            <w:pPr>
              <w:pStyle w:val="08-Tabelageral"/>
              <w:ind w:left="113"/>
              <w:rPr>
                <w:rFonts w:cs="Arial"/>
                <w:szCs w:val="14"/>
              </w:rPr>
            </w:pPr>
            <w:r>
              <w:rPr>
                <w:rFonts w:cs="Arial"/>
                <w:szCs w:val="14"/>
              </w:rPr>
              <w:t>--</w:t>
            </w:r>
          </w:p>
        </w:tc>
        <w:tc>
          <w:tcPr>
            <w:tcW w:w="1412" w:type="dxa"/>
            <w:shd w:val="clear" w:color="auto" w:fill="auto"/>
            <w:vAlign w:val="center"/>
          </w:tcPr>
          <w:p w14:paraId="117E71A6" w14:textId="77777777" w:rsidR="008B7E19" w:rsidRPr="00E16069" w:rsidRDefault="008B7E19" w:rsidP="008B7E19">
            <w:pPr>
              <w:pStyle w:val="08-Tabelageral"/>
              <w:ind w:left="113"/>
              <w:rPr>
                <w:rFonts w:cs="Arial"/>
                <w:szCs w:val="14"/>
              </w:rPr>
            </w:pPr>
            <w:r>
              <w:rPr>
                <w:rFonts w:cs="Arial"/>
                <w:szCs w:val="14"/>
              </w:rPr>
              <w:t>--</w:t>
            </w:r>
          </w:p>
        </w:tc>
        <w:tc>
          <w:tcPr>
            <w:tcW w:w="283" w:type="dxa"/>
            <w:shd w:val="clear" w:color="auto" w:fill="auto"/>
            <w:vAlign w:val="center"/>
          </w:tcPr>
          <w:p w14:paraId="3ADAB3F6" w14:textId="77777777" w:rsidR="008B7E19" w:rsidRPr="00E16069" w:rsidRDefault="008B7E19" w:rsidP="008B7E19">
            <w:pPr>
              <w:pStyle w:val="08-Tabelageral"/>
              <w:ind w:left="113"/>
              <w:rPr>
                <w:rFonts w:cs="Arial"/>
                <w:szCs w:val="14"/>
              </w:rPr>
            </w:pPr>
          </w:p>
        </w:tc>
        <w:tc>
          <w:tcPr>
            <w:tcW w:w="1417" w:type="dxa"/>
            <w:shd w:val="clear" w:color="auto" w:fill="auto"/>
            <w:vAlign w:val="center"/>
          </w:tcPr>
          <w:p w14:paraId="7336C938" w14:textId="77777777" w:rsidR="008B7E19" w:rsidRPr="00E16069" w:rsidRDefault="008B7E19" w:rsidP="008B7E19">
            <w:pPr>
              <w:pStyle w:val="08-Tabelageral"/>
              <w:ind w:left="113"/>
              <w:rPr>
                <w:rFonts w:cs="Arial"/>
                <w:szCs w:val="14"/>
              </w:rPr>
            </w:pPr>
            <w:r>
              <w:rPr>
                <w:rFonts w:cs="Arial"/>
                <w:szCs w:val="14"/>
              </w:rPr>
              <w:t>196,847</w:t>
            </w:r>
          </w:p>
        </w:tc>
        <w:tc>
          <w:tcPr>
            <w:tcW w:w="1418" w:type="dxa"/>
            <w:shd w:val="clear" w:color="auto" w:fill="auto"/>
            <w:vAlign w:val="center"/>
          </w:tcPr>
          <w:p w14:paraId="17D255EB" w14:textId="77777777" w:rsidR="008B7E19" w:rsidRPr="00E16069" w:rsidRDefault="008B7E19" w:rsidP="008B7E19">
            <w:pPr>
              <w:pStyle w:val="08-Tabelageral"/>
              <w:ind w:left="113"/>
              <w:rPr>
                <w:rFonts w:cs="Arial"/>
                <w:szCs w:val="14"/>
              </w:rPr>
            </w:pPr>
            <w:r>
              <w:rPr>
                <w:rFonts w:cs="Arial"/>
                <w:szCs w:val="14"/>
              </w:rPr>
              <w:t>235,655</w:t>
            </w:r>
          </w:p>
        </w:tc>
      </w:tr>
      <w:tr w:rsidR="008B7E19" w:rsidRPr="00E16069" w14:paraId="781556CE" w14:textId="77777777" w:rsidTr="008875E7">
        <w:trPr>
          <w:trHeight w:val="238"/>
          <w:jc w:val="center"/>
        </w:trPr>
        <w:tc>
          <w:tcPr>
            <w:tcW w:w="3402" w:type="dxa"/>
            <w:shd w:val="clear" w:color="auto" w:fill="auto"/>
          </w:tcPr>
          <w:p w14:paraId="015C4851" w14:textId="77777777" w:rsidR="008B7E19" w:rsidRPr="00E16069" w:rsidRDefault="008B7E19" w:rsidP="008B7E19">
            <w:pPr>
              <w:pStyle w:val="08-Tabelageral"/>
              <w:ind w:left="113"/>
              <w:jc w:val="left"/>
              <w:rPr>
                <w:rFonts w:cs="Arial"/>
                <w:szCs w:val="14"/>
              </w:rPr>
            </w:pPr>
            <w:r w:rsidRPr="00E16069">
              <w:rPr>
                <w:rFonts w:cs="Arial"/>
                <w:szCs w:val="14"/>
              </w:rPr>
              <w:t>Cofins</w:t>
            </w:r>
          </w:p>
        </w:tc>
        <w:tc>
          <w:tcPr>
            <w:tcW w:w="296" w:type="dxa"/>
            <w:shd w:val="clear" w:color="auto" w:fill="auto"/>
          </w:tcPr>
          <w:p w14:paraId="4C4F001A" w14:textId="77777777" w:rsidR="008B7E19" w:rsidRPr="00E16069" w:rsidRDefault="008B7E19" w:rsidP="008B7E19">
            <w:pPr>
              <w:pStyle w:val="08-Tabelageral"/>
              <w:ind w:left="113"/>
              <w:jc w:val="center"/>
              <w:rPr>
                <w:rFonts w:cs="Arial"/>
                <w:szCs w:val="14"/>
              </w:rPr>
            </w:pPr>
          </w:p>
        </w:tc>
        <w:tc>
          <w:tcPr>
            <w:tcW w:w="1411" w:type="dxa"/>
            <w:shd w:val="clear" w:color="auto" w:fill="auto"/>
            <w:vAlign w:val="center"/>
          </w:tcPr>
          <w:p w14:paraId="0DC3B386" w14:textId="77777777" w:rsidR="008B7E19" w:rsidRPr="00E16069" w:rsidRDefault="008B7E19" w:rsidP="008B7E19">
            <w:pPr>
              <w:pStyle w:val="08-Tabelageral"/>
              <w:ind w:left="113"/>
              <w:rPr>
                <w:rFonts w:cs="Arial"/>
                <w:szCs w:val="14"/>
              </w:rPr>
            </w:pPr>
            <w:r>
              <w:rPr>
                <w:rFonts w:cs="Arial"/>
                <w:szCs w:val="14"/>
              </w:rPr>
              <w:t>364</w:t>
            </w:r>
          </w:p>
        </w:tc>
        <w:tc>
          <w:tcPr>
            <w:tcW w:w="1412" w:type="dxa"/>
            <w:shd w:val="clear" w:color="auto" w:fill="auto"/>
            <w:vAlign w:val="center"/>
          </w:tcPr>
          <w:p w14:paraId="27CAE4F6" w14:textId="77777777" w:rsidR="008B7E19" w:rsidRPr="00E16069" w:rsidRDefault="008B7E19" w:rsidP="008B7E19">
            <w:pPr>
              <w:pStyle w:val="08-Tabelageral"/>
              <w:ind w:left="113"/>
              <w:rPr>
                <w:rFonts w:cs="Arial"/>
                <w:szCs w:val="14"/>
              </w:rPr>
            </w:pPr>
            <w:r>
              <w:rPr>
                <w:rFonts w:cs="Arial"/>
                <w:szCs w:val="14"/>
              </w:rPr>
              <w:t>52</w:t>
            </w:r>
          </w:p>
        </w:tc>
        <w:tc>
          <w:tcPr>
            <w:tcW w:w="283" w:type="dxa"/>
            <w:shd w:val="clear" w:color="auto" w:fill="auto"/>
            <w:vAlign w:val="center"/>
          </w:tcPr>
          <w:p w14:paraId="2DBE7D92" w14:textId="77777777" w:rsidR="008B7E19" w:rsidRPr="00E16069" w:rsidRDefault="008B7E19" w:rsidP="008B7E19">
            <w:pPr>
              <w:pStyle w:val="08-Tabelageral"/>
              <w:ind w:left="113"/>
              <w:rPr>
                <w:rFonts w:cs="Arial"/>
                <w:szCs w:val="14"/>
              </w:rPr>
            </w:pPr>
          </w:p>
        </w:tc>
        <w:tc>
          <w:tcPr>
            <w:tcW w:w="1417" w:type="dxa"/>
            <w:shd w:val="clear" w:color="auto" w:fill="auto"/>
            <w:vAlign w:val="center"/>
          </w:tcPr>
          <w:p w14:paraId="7FE41976" w14:textId="77777777" w:rsidR="008B7E19" w:rsidRPr="00E16069" w:rsidRDefault="008B7E19" w:rsidP="008B7E19">
            <w:pPr>
              <w:pStyle w:val="08-Tabelageral"/>
              <w:ind w:left="113"/>
              <w:rPr>
                <w:rFonts w:cs="Arial"/>
                <w:szCs w:val="14"/>
              </w:rPr>
            </w:pPr>
            <w:r>
              <w:rPr>
                <w:rFonts w:cs="Arial"/>
                <w:szCs w:val="14"/>
              </w:rPr>
              <w:t>32,827</w:t>
            </w:r>
          </w:p>
        </w:tc>
        <w:tc>
          <w:tcPr>
            <w:tcW w:w="1418" w:type="dxa"/>
            <w:shd w:val="clear" w:color="auto" w:fill="auto"/>
            <w:vAlign w:val="center"/>
          </w:tcPr>
          <w:p w14:paraId="6CB1B262" w14:textId="77777777" w:rsidR="008B7E19" w:rsidRPr="00E16069" w:rsidRDefault="008B7E19" w:rsidP="008B7E19">
            <w:pPr>
              <w:pStyle w:val="08-Tabelageral"/>
              <w:ind w:left="113"/>
              <w:rPr>
                <w:rFonts w:cs="Arial"/>
                <w:szCs w:val="14"/>
              </w:rPr>
            </w:pPr>
            <w:r>
              <w:rPr>
                <w:rFonts w:cs="Arial"/>
                <w:szCs w:val="14"/>
              </w:rPr>
              <w:t>56,710</w:t>
            </w:r>
          </w:p>
        </w:tc>
      </w:tr>
      <w:tr w:rsidR="008B7E19" w:rsidRPr="00E16069" w14:paraId="1CC8E459" w14:textId="77777777" w:rsidTr="008875E7">
        <w:trPr>
          <w:trHeight w:val="238"/>
          <w:jc w:val="center"/>
        </w:trPr>
        <w:tc>
          <w:tcPr>
            <w:tcW w:w="3402" w:type="dxa"/>
            <w:shd w:val="clear" w:color="auto" w:fill="auto"/>
          </w:tcPr>
          <w:p w14:paraId="65B00AC1" w14:textId="77777777" w:rsidR="008B7E19" w:rsidRPr="00E16069" w:rsidRDefault="008B7E19" w:rsidP="008B7E19">
            <w:pPr>
              <w:pStyle w:val="08-Tabelageral"/>
              <w:ind w:left="113"/>
              <w:jc w:val="left"/>
              <w:rPr>
                <w:rFonts w:cs="Arial"/>
                <w:szCs w:val="14"/>
              </w:rPr>
            </w:pPr>
            <w:r w:rsidRPr="00E16069">
              <w:rPr>
                <w:rFonts w:cs="Arial"/>
                <w:szCs w:val="14"/>
              </w:rPr>
              <w:t>ISS</w:t>
            </w:r>
          </w:p>
        </w:tc>
        <w:tc>
          <w:tcPr>
            <w:tcW w:w="296" w:type="dxa"/>
            <w:shd w:val="clear" w:color="auto" w:fill="auto"/>
          </w:tcPr>
          <w:p w14:paraId="2D9979F0" w14:textId="77777777" w:rsidR="008B7E19" w:rsidRPr="00E16069" w:rsidRDefault="008B7E19" w:rsidP="008B7E19">
            <w:pPr>
              <w:pStyle w:val="08-Tabelageral"/>
              <w:ind w:left="113"/>
              <w:jc w:val="center"/>
              <w:rPr>
                <w:rFonts w:cs="Arial"/>
                <w:szCs w:val="14"/>
              </w:rPr>
            </w:pPr>
          </w:p>
        </w:tc>
        <w:tc>
          <w:tcPr>
            <w:tcW w:w="1411" w:type="dxa"/>
            <w:shd w:val="clear" w:color="auto" w:fill="auto"/>
            <w:vAlign w:val="center"/>
          </w:tcPr>
          <w:p w14:paraId="73E7AE45" w14:textId="77777777" w:rsidR="008B7E19" w:rsidRPr="00E16069" w:rsidRDefault="008B7E19" w:rsidP="008B7E19">
            <w:pPr>
              <w:pStyle w:val="08-Tabelageral"/>
              <w:ind w:left="113"/>
              <w:rPr>
                <w:rFonts w:cs="Arial"/>
                <w:szCs w:val="14"/>
              </w:rPr>
            </w:pPr>
            <w:r>
              <w:rPr>
                <w:rFonts w:cs="Arial"/>
                <w:szCs w:val="14"/>
              </w:rPr>
              <w:t>--</w:t>
            </w:r>
          </w:p>
        </w:tc>
        <w:tc>
          <w:tcPr>
            <w:tcW w:w="1412" w:type="dxa"/>
            <w:shd w:val="clear" w:color="auto" w:fill="auto"/>
            <w:vAlign w:val="center"/>
          </w:tcPr>
          <w:p w14:paraId="1A159537" w14:textId="77777777" w:rsidR="008B7E19" w:rsidRPr="00E16069" w:rsidRDefault="008B7E19" w:rsidP="008B7E19">
            <w:pPr>
              <w:pStyle w:val="08-Tabelageral"/>
              <w:ind w:left="113"/>
              <w:rPr>
                <w:rFonts w:cs="Arial"/>
                <w:szCs w:val="14"/>
              </w:rPr>
            </w:pPr>
            <w:r>
              <w:rPr>
                <w:rFonts w:cs="Arial"/>
                <w:szCs w:val="14"/>
              </w:rPr>
              <w:t>--</w:t>
            </w:r>
          </w:p>
        </w:tc>
        <w:tc>
          <w:tcPr>
            <w:tcW w:w="283" w:type="dxa"/>
            <w:shd w:val="clear" w:color="auto" w:fill="auto"/>
            <w:vAlign w:val="center"/>
          </w:tcPr>
          <w:p w14:paraId="490A141B" w14:textId="77777777" w:rsidR="008B7E19" w:rsidRPr="00E16069" w:rsidRDefault="008B7E19" w:rsidP="008B7E19">
            <w:pPr>
              <w:pStyle w:val="08-Tabelageral"/>
              <w:ind w:left="113"/>
              <w:rPr>
                <w:rFonts w:cs="Arial"/>
                <w:szCs w:val="14"/>
              </w:rPr>
            </w:pPr>
          </w:p>
        </w:tc>
        <w:tc>
          <w:tcPr>
            <w:tcW w:w="1417" w:type="dxa"/>
            <w:shd w:val="clear" w:color="auto" w:fill="auto"/>
            <w:vAlign w:val="center"/>
          </w:tcPr>
          <w:p w14:paraId="22B22155" w14:textId="77777777" w:rsidR="008B7E19" w:rsidRPr="00E16069" w:rsidRDefault="008B7E19" w:rsidP="008B7E19">
            <w:pPr>
              <w:pStyle w:val="08-Tabelageral"/>
              <w:ind w:left="113"/>
              <w:rPr>
                <w:rFonts w:cs="Arial"/>
                <w:szCs w:val="14"/>
              </w:rPr>
            </w:pPr>
            <w:r>
              <w:rPr>
                <w:rFonts w:cs="Arial"/>
                <w:szCs w:val="14"/>
              </w:rPr>
              <w:t>9,438</w:t>
            </w:r>
          </w:p>
        </w:tc>
        <w:tc>
          <w:tcPr>
            <w:tcW w:w="1418" w:type="dxa"/>
            <w:shd w:val="clear" w:color="auto" w:fill="auto"/>
            <w:vAlign w:val="center"/>
          </w:tcPr>
          <w:p w14:paraId="26B58555" w14:textId="77777777" w:rsidR="008B7E19" w:rsidRPr="00E16069" w:rsidRDefault="008B7E19" w:rsidP="008B7E19">
            <w:pPr>
              <w:pStyle w:val="08-Tabelageral"/>
              <w:ind w:left="113"/>
              <w:rPr>
                <w:rFonts w:cs="Arial"/>
                <w:szCs w:val="14"/>
              </w:rPr>
            </w:pPr>
            <w:r>
              <w:rPr>
                <w:rFonts w:cs="Arial"/>
                <w:szCs w:val="14"/>
              </w:rPr>
              <w:t>14,121</w:t>
            </w:r>
          </w:p>
        </w:tc>
      </w:tr>
      <w:tr w:rsidR="008B7E19" w:rsidRPr="00E16069" w14:paraId="1A8B5A3E" w14:textId="77777777" w:rsidTr="008875E7">
        <w:trPr>
          <w:trHeight w:val="238"/>
          <w:jc w:val="center"/>
        </w:trPr>
        <w:tc>
          <w:tcPr>
            <w:tcW w:w="3402" w:type="dxa"/>
            <w:shd w:val="clear" w:color="auto" w:fill="auto"/>
          </w:tcPr>
          <w:p w14:paraId="61ECF555" w14:textId="77777777" w:rsidR="008B7E19" w:rsidRPr="00E16069" w:rsidRDefault="008B7E19" w:rsidP="008B7E19">
            <w:pPr>
              <w:pStyle w:val="08-Tabelageral"/>
              <w:ind w:left="113"/>
              <w:jc w:val="left"/>
              <w:rPr>
                <w:rFonts w:cs="Arial"/>
                <w:szCs w:val="14"/>
              </w:rPr>
            </w:pPr>
            <w:r w:rsidRPr="00E16069">
              <w:rPr>
                <w:rFonts w:cs="Arial"/>
                <w:szCs w:val="14"/>
              </w:rPr>
              <w:t>Pasep</w:t>
            </w:r>
          </w:p>
        </w:tc>
        <w:tc>
          <w:tcPr>
            <w:tcW w:w="296" w:type="dxa"/>
            <w:shd w:val="clear" w:color="auto" w:fill="auto"/>
          </w:tcPr>
          <w:p w14:paraId="5A8CB743" w14:textId="77777777" w:rsidR="008B7E19" w:rsidRPr="00E16069" w:rsidRDefault="008B7E19" w:rsidP="008B7E19">
            <w:pPr>
              <w:pStyle w:val="08-Tabelageral"/>
              <w:ind w:left="113"/>
              <w:jc w:val="center"/>
              <w:rPr>
                <w:rFonts w:cs="Arial"/>
                <w:szCs w:val="14"/>
              </w:rPr>
            </w:pPr>
          </w:p>
        </w:tc>
        <w:tc>
          <w:tcPr>
            <w:tcW w:w="1411" w:type="dxa"/>
            <w:shd w:val="clear" w:color="auto" w:fill="auto"/>
            <w:vAlign w:val="center"/>
          </w:tcPr>
          <w:p w14:paraId="635F6911" w14:textId="77777777" w:rsidR="008B7E19" w:rsidRPr="00E16069" w:rsidRDefault="008B7E19" w:rsidP="008B7E19">
            <w:pPr>
              <w:pStyle w:val="08-Tabelageral"/>
              <w:ind w:left="113"/>
              <w:rPr>
                <w:rFonts w:cs="Arial"/>
                <w:szCs w:val="14"/>
              </w:rPr>
            </w:pPr>
            <w:r>
              <w:rPr>
                <w:rFonts w:cs="Arial"/>
                <w:szCs w:val="14"/>
              </w:rPr>
              <w:t>60</w:t>
            </w:r>
          </w:p>
        </w:tc>
        <w:tc>
          <w:tcPr>
            <w:tcW w:w="1412" w:type="dxa"/>
            <w:shd w:val="clear" w:color="auto" w:fill="auto"/>
            <w:vAlign w:val="center"/>
          </w:tcPr>
          <w:p w14:paraId="5E4EA84F" w14:textId="77777777" w:rsidR="008B7E19" w:rsidRPr="00E16069" w:rsidRDefault="008B7E19" w:rsidP="008B7E19">
            <w:pPr>
              <w:pStyle w:val="08-Tabelageral"/>
              <w:ind w:left="113"/>
              <w:rPr>
                <w:rFonts w:cs="Arial"/>
                <w:szCs w:val="14"/>
              </w:rPr>
            </w:pPr>
            <w:r>
              <w:rPr>
                <w:rFonts w:cs="Arial"/>
                <w:szCs w:val="14"/>
              </w:rPr>
              <w:t>8</w:t>
            </w:r>
          </w:p>
        </w:tc>
        <w:tc>
          <w:tcPr>
            <w:tcW w:w="283" w:type="dxa"/>
            <w:shd w:val="clear" w:color="auto" w:fill="auto"/>
            <w:vAlign w:val="center"/>
          </w:tcPr>
          <w:p w14:paraId="0A9BD790" w14:textId="77777777" w:rsidR="008B7E19" w:rsidRPr="00E16069" w:rsidRDefault="008B7E19" w:rsidP="008B7E19">
            <w:pPr>
              <w:pStyle w:val="08-Tabelageral"/>
              <w:ind w:left="113"/>
              <w:rPr>
                <w:rFonts w:cs="Arial"/>
                <w:szCs w:val="14"/>
              </w:rPr>
            </w:pPr>
          </w:p>
        </w:tc>
        <w:tc>
          <w:tcPr>
            <w:tcW w:w="1417" w:type="dxa"/>
            <w:shd w:val="clear" w:color="auto" w:fill="auto"/>
            <w:vAlign w:val="center"/>
          </w:tcPr>
          <w:p w14:paraId="17A96244" w14:textId="77777777" w:rsidR="008B7E19" w:rsidRPr="00E16069" w:rsidRDefault="008B7E19" w:rsidP="008B7E19">
            <w:pPr>
              <w:pStyle w:val="08-Tabelageral"/>
              <w:ind w:left="113"/>
              <w:rPr>
                <w:rFonts w:cs="Arial"/>
                <w:szCs w:val="14"/>
              </w:rPr>
            </w:pPr>
            <w:r>
              <w:rPr>
                <w:rFonts w:cs="Arial"/>
                <w:szCs w:val="14"/>
              </w:rPr>
              <w:t>6,999</w:t>
            </w:r>
          </w:p>
        </w:tc>
        <w:tc>
          <w:tcPr>
            <w:tcW w:w="1418" w:type="dxa"/>
            <w:shd w:val="clear" w:color="auto" w:fill="auto"/>
            <w:vAlign w:val="center"/>
          </w:tcPr>
          <w:p w14:paraId="582B91F5" w14:textId="77777777" w:rsidR="008B7E19" w:rsidRPr="00E16069" w:rsidRDefault="008B7E19" w:rsidP="008B7E19">
            <w:pPr>
              <w:pStyle w:val="08-Tabelageral"/>
              <w:ind w:left="113"/>
              <w:rPr>
                <w:rFonts w:cs="Arial"/>
                <w:szCs w:val="14"/>
              </w:rPr>
            </w:pPr>
            <w:r>
              <w:rPr>
                <w:rFonts w:cs="Arial"/>
                <w:szCs w:val="14"/>
              </w:rPr>
              <w:t>12,162</w:t>
            </w:r>
          </w:p>
        </w:tc>
      </w:tr>
      <w:tr w:rsidR="008B7E19" w:rsidRPr="00E16069" w14:paraId="556B1EA5" w14:textId="77777777" w:rsidTr="008875E7">
        <w:trPr>
          <w:trHeight w:val="238"/>
          <w:jc w:val="center"/>
        </w:trPr>
        <w:tc>
          <w:tcPr>
            <w:tcW w:w="3402" w:type="dxa"/>
            <w:shd w:val="clear" w:color="auto" w:fill="auto"/>
          </w:tcPr>
          <w:p w14:paraId="6F11C820" w14:textId="77777777" w:rsidR="008B7E19" w:rsidRPr="00E16069" w:rsidRDefault="008B7E19" w:rsidP="008B7E19">
            <w:pPr>
              <w:pStyle w:val="08-Tabelageral"/>
              <w:ind w:left="113"/>
              <w:jc w:val="left"/>
              <w:rPr>
                <w:rFonts w:cs="Arial"/>
                <w:szCs w:val="14"/>
              </w:rPr>
            </w:pPr>
            <w:r>
              <w:rPr>
                <w:rFonts w:cs="Arial"/>
                <w:szCs w:val="14"/>
              </w:rPr>
              <w:t>Other</w:t>
            </w:r>
          </w:p>
        </w:tc>
        <w:tc>
          <w:tcPr>
            <w:tcW w:w="296" w:type="dxa"/>
            <w:shd w:val="clear" w:color="auto" w:fill="auto"/>
          </w:tcPr>
          <w:p w14:paraId="18375808" w14:textId="77777777" w:rsidR="008B7E19" w:rsidRPr="00E16069" w:rsidRDefault="008B7E19" w:rsidP="008B7E19">
            <w:pPr>
              <w:pStyle w:val="08-Tabelageral"/>
              <w:jc w:val="center"/>
              <w:rPr>
                <w:rFonts w:cs="Arial"/>
                <w:szCs w:val="14"/>
              </w:rPr>
            </w:pPr>
          </w:p>
        </w:tc>
        <w:tc>
          <w:tcPr>
            <w:tcW w:w="1411" w:type="dxa"/>
            <w:shd w:val="clear" w:color="auto" w:fill="auto"/>
            <w:vAlign w:val="center"/>
          </w:tcPr>
          <w:p w14:paraId="1E38EDAB" w14:textId="77777777" w:rsidR="008B7E19" w:rsidRPr="00E16069" w:rsidRDefault="008B7E19" w:rsidP="008B7E19">
            <w:pPr>
              <w:pStyle w:val="08-Tabelageral"/>
              <w:rPr>
                <w:rFonts w:cs="Arial"/>
                <w:szCs w:val="14"/>
              </w:rPr>
            </w:pPr>
            <w:r>
              <w:rPr>
                <w:rFonts w:cs="Arial"/>
                <w:szCs w:val="14"/>
              </w:rPr>
              <w:t>37</w:t>
            </w:r>
          </w:p>
        </w:tc>
        <w:tc>
          <w:tcPr>
            <w:tcW w:w="1412" w:type="dxa"/>
            <w:shd w:val="clear" w:color="auto" w:fill="auto"/>
            <w:vAlign w:val="center"/>
          </w:tcPr>
          <w:p w14:paraId="09028CE5" w14:textId="77777777" w:rsidR="008B7E19" w:rsidRPr="00E16069" w:rsidRDefault="008B7E19" w:rsidP="008B7E19">
            <w:pPr>
              <w:pStyle w:val="08-Tabelageral"/>
              <w:rPr>
                <w:rFonts w:cs="Arial"/>
                <w:szCs w:val="14"/>
              </w:rPr>
            </w:pPr>
            <w:r>
              <w:rPr>
                <w:rFonts w:cs="Arial"/>
                <w:szCs w:val="14"/>
              </w:rPr>
              <w:t>31</w:t>
            </w:r>
          </w:p>
        </w:tc>
        <w:tc>
          <w:tcPr>
            <w:tcW w:w="283" w:type="dxa"/>
            <w:shd w:val="clear" w:color="auto" w:fill="auto"/>
            <w:vAlign w:val="center"/>
          </w:tcPr>
          <w:p w14:paraId="41E3E384" w14:textId="77777777" w:rsidR="008B7E19" w:rsidRPr="00E16069" w:rsidRDefault="008B7E19" w:rsidP="008B7E19">
            <w:pPr>
              <w:pStyle w:val="08-Tabelageral"/>
              <w:rPr>
                <w:rFonts w:cs="Arial"/>
                <w:szCs w:val="14"/>
              </w:rPr>
            </w:pPr>
          </w:p>
        </w:tc>
        <w:tc>
          <w:tcPr>
            <w:tcW w:w="1417" w:type="dxa"/>
            <w:shd w:val="clear" w:color="auto" w:fill="auto"/>
            <w:vAlign w:val="center"/>
          </w:tcPr>
          <w:p w14:paraId="5E9C0CE1" w14:textId="77777777" w:rsidR="008B7E19" w:rsidRPr="00E16069" w:rsidRDefault="008B7E19" w:rsidP="008B7E19">
            <w:pPr>
              <w:pStyle w:val="08-Tabelageral"/>
              <w:rPr>
                <w:rFonts w:cs="Arial"/>
                <w:szCs w:val="14"/>
              </w:rPr>
            </w:pPr>
            <w:r>
              <w:rPr>
                <w:rFonts w:cs="Arial"/>
                <w:szCs w:val="14"/>
              </w:rPr>
              <w:t>51</w:t>
            </w:r>
          </w:p>
        </w:tc>
        <w:tc>
          <w:tcPr>
            <w:tcW w:w="1418" w:type="dxa"/>
            <w:shd w:val="clear" w:color="auto" w:fill="auto"/>
            <w:vAlign w:val="center"/>
          </w:tcPr>
          <w:p w14:paraId="23A6E9FC" w14:textId="77777777" w:rsidR="008B7E19" w:rsidRPr="00E16069" w:rsidRDefault="008B7E19" w:rsidP="008B7E19">
            <w:pPr>
              <w:pStyle w:val="08-Tabelageral"/>
              <w:rPr>
                <w:rFonts w:cs="Arial"/>
                <w:szCs w:val="14"/>
              </w:rPr>
            </w:pPr>
            <w:r>
              <w:rPr>
                <w:rFonts w:cs="Arial"/>
                <w:szCs w:val="14"/>
              </w:rPr>
              <w:t>62</w:t>
            </w:r>
          </w:p>
        </w:tc>
      </w:tr>
      <w:tr w:rsidR="008B7E19" w:rsidRPr="00E16069" w14:paraId="411C4903" w14:textId="77777777" w:rsidTr="008875E7">
        <w:trPr>
          <w:trHeight w:val="238"/>
          <w:jc w:val="center"/>
        </w:trPr>
        <w:tc>
          <w:tcPr>
            <w:tcW w:w="3402" w:type="dxa"/>
            <w:tcBorders>
              <w:bottom w:val="nil"/>
            </w:tcBorders>
            <w:shd w:val="clear" w:color="auto" w:fill="auto"/>
          </w:tcPr>
          <w:p w14:paraId="09837F54" w14:textId="77777777" w:rsidR="008B7E19" w:rsidRPr="00E16069" w:rsidRDefault="008B7E19" w:rsidP="008B7E19">
            <w:pPr>
              <w:pStyle w:val="08-Tabelageral"/>
              <w:ind w:left="113"/>
              <w:jc w:val="left"/>
              <w:rPr>
                <w:rFonts w:cs="Arial"/>
                <w:szCs w:val="14"/>
              </w:rPr>
            </w:pPr>
            <w:r w:rsidRPr="00E16069">
              <w:rPr>
                <w:rFonts w:cs="Arial"/>
                <w:szCs w:val="14"/>
              </w:rPr>
              <w:t>(-)</w:t>
            </w:r>
            <w:r>
              <w:rPr>
                <w:rFonts w:cs="Arial"/>
                <w:szCs w:val="14"/>
              </w:rPr>
              <w:t xml:space="preserve"> Current taxes deducted/offset</w:t>
            </w:r>
          </w:p>
        </w:tc>
        <w:tc>
          <w:tcPr>
            <w:tcW w:w="296" w:type="dxa"/>
            <w:tcBorders>
              <w:bottom w:val="nil"/>
            </w:tcBorders>
            <w:shd w:val="clear" w:color="auto" w:fill="auto"/>
          </w:tcPr>
          <w:p w14:paraId="14B875C3" w14:textId="77777777" w:rsidR="008B7E19" w:rsidRPr="00E16069" w:rsidRDefault="008B7E19" w:rsidP="008B7E19">
            <w:pPr>
              <w:pStyle w:val="08-Tabelageral"/>
              <w:ind w:left="113"/>
              <w:jc w:val="center"/>
              <w:rPr>
                <w:rFonts w:cs="Arial"/>
                <w:szCs w:val="14"/>
              </w:rPr>
            </w:pPr>
          </w:p>
        </w:tc>
        <w:tc>
          <w:tcPr>
            <w:tcW w:w="1411" w:type="dxa"/>
            <w:tcBorders>
              <w:bottom w:val="nil"/>
            </w:tcBorders>
            <w:shd w:val="clear" w:color="auto" w:fill="auto"/>
            <w:vAlign w:val="center"/>
          </w:tcPr>
          <w:p w14:paraId="038A6ED1" w14:textId="77777777" w:rsidR="008B7E19" w:rsidRPr="00E16069" w:rsidRDefault="008B7E19" w:rsidP="008B7E19">
            <w:pPr>
              <w:pStyle w:val="08-Tabelageral"/>
              <w:ind w:left="113"/>
              <w:rPr>
                <w:rFonts w:cs="Arial"/>
                <w:szCs w:val="14"/>
              </w:rPr>
            </w:pPr>
            <w:r>
              <w:rPr>
                <w:rFonts w:cs="Arial"/>
                <w:szCs w:val="14"/>
              </w:rPr>
              <w:t>(677)</w:t>
            </w:r>
          </w:p>
        </w:tc>
        <w:tc>
          <w:tcPr>
            <w:tcW w:w="1412" w:type="dxa"/>
            <w:tcBorders>
              <w:bottom w:val="nil"/>
            </w:tcBorders>
            <w:shd w:val="clear" w:color="auto" w:fill="auto"/>
            <w:vAlign w:val="center"/>
          </w:tcPr>
          <w:p w14:paraId="70CA0B82" w14:textId="77777777" w:rsidR="008B7E19" w:rsidRPr="00E16069" w:rsidRDefault="008B7E19" w:rsidP="008B7E19">
            <w:pPr>
              <w:pStyle w:val="08-Tabelageral"/>
              <w:ind w:left="113"/>
              <w:rPr>
                <w:rFonts w:cs="Arial"/>
                <w:szCs w:val="14"/>
              </w:rPr>
            </w:pPr>
            <w:r>
              <w:rPr>
                <w:rFonts w:cs="Arial"/>
                <w:szCs w:val="14"/>
              </w:rPr>
              <w:t>(60)</w:t>
            </w:r>
          </w:p>
        </w:tc>
        <w:tc>
          <w:tcPr>
            <w:tcW w:w="283" w:type="dxa"/>
            <w:tcBorders>
              <w:bottom w:val="nil"/>
            </w:tcBorders>
            <w:shd w:val="clear" w:color="auto" w:fill="auto"/>
            <w:vAlign w:val="center"/>
          </w:tcPr>
          <w:p w14:paraId="1228744A" w14:textId="77777777" w:rsidR="008B7E19" w:rsidRPr="00E16069" w:rsidRDefault="008B7E19" w:rsidP="008B7E19">
            <w:pPr>
              <w:pStyle w:val="08-Tabelageral"/>
              <w:ind w:left="113"/>
              <w:rPr>
                <w:rFonts w:cs="Arial"/>
                <w:szCs w:val="14"/>
              </w:rPr>
            </w:pPr>
          </w:p>
        </w:tc>
        <w:tc>
          <w:tcPr>
            <w:tcW w:w="1417" w:type="dxa"/>
            <w:tcBorders>
              <w:bottom w:val="nil"/>
            </w:tcBorders>
            <w:shd w:val="clear" w:color="auto" w:fill="auto"/>
            <w:vAlign w:val="center"/>
          </w:tcPr>
          <w:p w14:paraId="3501EA50" w14:textId="77777777" w:rsidR="008B7E19" w:rsidRPr="00E16069" w:rsidRDefault="008B7E19" w:rsidP="008B7E19">
            <w:pPr>
              <w:pStyle w:val="08-Tabelageral"/>
              <w:ind w:left="113"/>
              <w:rPr>
                <w:rFonts w:cs="Arial"/>
                <w:szCs w:val="14"/>
              </w:rPr>
            </w:pPr>
            <w:r>
              <w:rPr>
                <w:rFonts w:cs="Arial"/>
                <w:szCs w:val="14"/>
              </w:rPr>
              <w:t>(312,759)</w:t>
            </w:r>
          </w:p>
        </w:tc>
        <w:tc>
          <w:tcPr>
            <w:tcW w:w="1418" w:type="dxa"/>
            <w:tcBorders>
              <w:bottom w:val="nil"/>
            </w:tcBorders>
            <w:shd w:val="clear" w:color="auto" w:fill="auto"/>
            <w:vAlign w:val="center"/>
          </w:tcPr>
          <w:p w14:paraId="2586D814" w14:textId="77777777" w:rsidR="008B7E19" w:rsidRPr="00E16069" w:rsidRDefault="008B7E19" w:rsidP="008B7E19">
            <w:pPr>
              <w:pStyle w:val="08-Tabelageral"/>
              <w:ind w:left="113"/>
              <w:rPr>
                <w:rFonts w:cs="Arial"/>
                <w:szCs w:val="14"/>
              </w:rPr>
            </w:pPr>
            <w:r>
              <w:rPr>
                <w:rFonts w:cs="Arial"/>
                <w:szCs w:val="14"/>
              </w:rPr>
              <w:t>(75,241)</w:t>
            </w:r>
          </w:p>
        </w:tc>
      </w:tr>
      <w:tr w:rsidR="008B7E19" w:rsidRPr="00E16069" w14:paraId="3DE0DF25" w14:textId="77777777" w:rsidTr="008875E7">
        <w:trPr>
          <w:trHeight w:val="238"/>
          <w:jc w:val="center"/>
        </w:trPr>
        <w:tc>
          <w:tcPr>
            <w:tcW w:w="3402" w:type="dxa"/>
            <w:tcBorders>
              <w:top w:val="nil"/>
              <w:bottom w:val="single" w:sz="2" w:space="0" w:color="1F4E79" w:themeColor="accent1" w:themeShade="80"/>
            </w:tcBorders>
            <w:shd w:val="clear" w:color="auto" w:fill="auto"/>
          </w:tcPr>
          <w:p w14:paraId="7529D872" w14:textId="77777777" w:rsidR="008B7E19" w:rsidRPr="00E16069" w:rsidRDefault="008B7E19" w:rsidP="008B7E19">
            <w:pPr>
              <w:pStyle w:val="08-Tabelageral"/>
              <w:jc w:val="left"/>
              <w:rPr>
                <w:rFonts w:cs="Arial"/>
                <w:b/>
                <w:vertAlign w:val="superscript"/>
              </w:rPr>
            </w:pPr>
            <w:r w:rsidRPr="00E16069">
              <w:rPr>
                <w:rFonts w:cs="Arial"/>
                <w:b/>
              </w:rPr>
              <w:t>Total</w:t>
            </w:r>
          </w:p>
        </w:tc>
        <w:tc>
          <w:tcPr>
            <w:tcW w:w="296" w:type="dxa"/>
            <w:tcBorders>
              <w:top w:val="nil"/>
              <w:bottom w:val="single" w:sz="2" w:space="0" w:color="1F4E79" w:themeColor="accent1" w:themeShade="80"/>
            </w:tcBorders>
            <w:shd w:val="clear" w:color="auto" w:fill="auto"/>
          </w:tcPr>
          <w:p w14:paraId="61617DE1" w14:textId="77777777" w:rsidR="008B7E19" w:rsidRPr="00E16069" w:rsidRDefault="008B7E19" w:rsidP="008B7E19">
            <w:pPr>
              <w:pStyle w:val="08-Tabelageral"/>
              <w:jc w:val="center"/>
              <w:rPr>
                <w:rFonts w:cs="Arial"/>
                <w:b/>
                <w:szCs w:val="14"/>
              </w:rPr>
            </w:pPr>
          </w:p>
        </w:tc>
        <w:tc>
          <w:tcPr>
            <w:tcW w:w="1411" w:type="dxa"/>
            <w:tcBorders>
              <w:top w:val="nil"/>
              <w:bottom w:val="single" w:sz="2" w:space="0" w:color="1F4E79" w:themeColor="accent1" w:themeShade="80"/>
            </w:tcBorders>
            <w:shd w:val="clear" w:color="auto" w:fill="auto"/>
            <w:vAlign w:val="center"/>
          </w:tcPr>
          <w:p w14:paraId="7427134D" w14:textId="77777777" w:rsidR="008B7E19" w:rsidRPr="00E16069" w:rsidRDefault="008B7E19" w:rsidP="008B7E19">
            <w:pPr>
              <w:pStyle w:val="08-Tabelageral"/>
              <w:rPr>
                <w:rFonts w:cs="Arial"/>
                <w:b/>
                <w:szCs w:val="14"/>
              </w:rPr>
            </w:pPr>
            <w:r>
              <w:rPr>
                <w:rFonts w:cs="Arial"/>
                <w:b/>
                <w:szCs w:val="14"/>
              </w:rPr>
              <w:t>37</w:t>
            </w:r>
          </w:p>
        </w:tc>
        <w:tc>
          <w:tcPr>
            <w:tcW w:w="1412" w:type="dxa"/>
            <w:tcBorders>
              <w:top w:val="nil"/>
              <w:bottom w:val="single" w:sz="2" w:space="0" w:color="1F4E79" w:themeColor="accent1" w:themeShade="80"/>
            </w:tcBorders>
            <w:shd w:val="clear" w:color="auto" w:fill="auto"/>
            <w:vAlign w:val="center"/>
          </w:tcPr>
          <w:p w14:paraId="1A1C66C3" w14:textId="77777777" w:rsidR="008B7E19" w:rsidRPr="00E16069" w:rsidRDefault="008B7E19" w:rsidP="008B7E19">
            <w:pPr>
              <w:pStyle w:val="08-Tabelageral"/>
              <w:rPr>
                <w:rFonts w:cs="Arial"/>
                <w:b/>
                <w:szCs w:val="14"/>
              </w:rPr>
            </w:pPr>
            <w:r>
              <w:rPr>
                <w:rFonts w:cs="Arial"/>
                <w:b/>
                <w:szCs w:val="14"/>
              </w:rPr>
              <w:t>31</w:t>
            </w:r>
          </w:p>
        </w:tc>
        <w:tc>
          <w:tcPr>
            <w:tcW w:w="283" w:type="dxa"/>
            <w:tcBorders>
              <w:top w:val="nil"/>
              <w:bottom w:val="single" w:sz="2" w:space="0" w:color="1F4E79" w:themeColor="accent1" w:themeShade="80"/>
            </w:tcBorders>
            <w:shd w:val="clear" w:color="auto" w:fill="auto"/>
            <w:vAlign w:val="center"/>
          </w:tcPr>
          <w:p w14:paraId="4E9F0EFF" w14:textId="77777777" w:rsidR="008B7E19" w:rsidRPr="00E16069" w:rsidRDefault="008B7E19" w:rsidP="008B7E19">
            <w:pPr>
              <w:pStyle w:val="08-Tabelageral"/>
              <w:rPr>
                <w:rFonts w:cs="Arial"/>
                <w:b/>
                <w:szCs w:val="14"/>
              </w:rPr>
            </w:pPr>
          </w:p>
        </w:tc>
        <w:tc>
          <w:tcPr>
            <w:tcW w:w="1417" w:type="dxa"/>
            <w:tcBorders>
              <w:top w:val="nil"/>
              <w:bottom w:val="single" w:sz="2" w:space="0" w:color="1F4E79" w:themeColor="accent1" w:themeShade="80"/>
            </w:tcBorders>
            <w:shd w:val="clear" w:color="auto" w:fill="auto"/>
            <w:vAlign w:val="center"/>
          </w:tcPr>
          <w:p w14:paraId="470F2367" w14:textId="77777777" w:rsidR="008B7E19" w:rsidRPr="00E16069" w:rsidRDefault="008B7E19" w:rsidP="008B7E19">
            <w:pPr>
              <w:pStyle w:val="08-Tabelageral"/>
              <w:rPr>
                <w:rFonts w:cs="Arial"/>
                <w:b/>
                <w:szCs w:val="14"/>
              </w:rPr>
            </w:pPr>
            <w:r>
              <w:rPr>
                <w:rFonts w:cs="Arial"/>
                <w:b/>
                <w:szCs w:val="14"/>
              </w:rPr>
              <w:t>480,430</w:t>
            </w:r>
          </w:p>
        </w:tc>
        <w:tc>
          <w:tcPr>
            <w:tcW w:w="1418" w:type="dxa"/>
            <w:tcBorders>
              <w:top w:val="nil"/>
              <w:bottom w:val="single" w:sz="2" w:space="0" w:color="1F4E79" w:themeColor="accent1" w:themeShade="80"/>
            </w:tcBorders>
            <w:shd w:val="clear" w:color="auto" w:fill="auto"/>
            <w:vAlign w:val="center"/>
          </w:tcPr>
          <w:p w14:paraId="2ACE0D4C" w14:textId="77777777" w:rsidR="008B7E19" w:rsidRPr="00E16069" w:rsidRDefault="008B7E19" w:rsidP="008B7E19">
            <w:pPr>
              <w:pStyle w:val="08-Tabelageral"/>
              <w:rPr>
                <w:rFonts w:cs="Arial"/>
                <w:b/>
                <w:szCs w:val="14"/>
              </w:rPr>
            </w:pPr>
            <w:r>
              <w:rPr>
                <w:rFonts w:cs="Arial"/>
                <w:b/>
                <w:szCs w:val="14"/>
              </w:rPr>
              <w:t>963,874</w:t>
            </w:r>
          </w:p>
        </w:tc>
      </w:tr>
    </w:tbl>
    <w:p w14:paraId="76DD73AB" w14:textId="77777777" w:rsidR="008B7E19" w:rsidRPr="00F110A6" w:rsidRDefault="008B7E19" w:rsidP="008B7E19">
      <w:pPr>
        <w:jc w:val="both"/>
        <w:rPr>
          <w:rFonts w:cs="Arial"/>
          <w:sz w:val="14"/>
          <w:szCs w:val="14"/>
          <w:lang w:val="en-US"/>
        </w:rPr>
      </w:pPr>
      <w:r w:rsidRPr="00F110A6">
        <w:rPr>
          <w:rFonts w:cs="Arial"/>
          <w:sz w:val="14"/>
          <w:szCs w:val="14"/>
          <w:lang w:val="en-US"/>
        </w:rPr>
        <w:t xml:space="preserve">(1) </w:t>
      </w:r>
      <w:r>
        <w:rPr>
          <w:rFonts w:cs="Arial"/>
          <w:sz w:val="14"/>
          <w:szCs w:val="14"/>
          <w:lang w:val="en-US"/>
        </w:rPr>
        <w:t>Refer to tax credits (withholding tax) deducted or offset against tax debts.</w:t>
      </w:r>
    </w:p>
    <w:p w14:paraId="28AB502C" w14:textId="77777777" w:rsidR="008B7E19" w:rsidRPr="00F110A6" w:rsidRDefault="008B7E19" w:rsidP="008B7E19">
      <w:pPr>
        <w:keepNext/>
        <w:spacing w:after="40"/>
        <w:rPr>
          <w:rFonts w:cs="Arial"/>
          <w:b/>
          <w:color w:val="1F4E79" w:themeColor="accent1" w:themeShade="80"/>
          <w:szCs w:val="18"/>
          <w:lang w:val="en-US"/>
        </w:rPr>
      </w:pPr>
      <w:r w:rsidRPr="00F110A6">
        <w:rPr>
          <w:rFonts w:cs="Arial"/>
          <w:b/>
          <w:color w:val="1F4E79" w:themeColor="accent1" w:themeShade="80"/>
          <w:szCs w:val="18"/>
          <w:lang w:val="en-US"/>
        </w:rPr>
        <w:t xml:space="preserve">h) </w:t>
      </w:r>
      <w:r w:rsidRPr="00662308">
        <w:rPr>
          <w:rFonts w:cs="Arial"/>
          <w:b/>
          <w:color w:val="1F4E79" w:themeColor="accent1" w:themeShade="80"/>
          <w:szCs w:val="18"/>
          <w:lang w:val="en-US"/>
        </w:rPr>
        <w:t>Deferred Tax Liabilities</w:t>
      </w:r>
    </w:p>
    <w:p w14:paraId="4F2F74EF" w14:textId="77777777" w:rsidR="008B7E19" w:rsidRPr="00F110A6" w:rsidRDefault="008B7E19" w:rsidP="008B7E19">
      <w:pPr>
        <w:keepNext/>
        <w:spacing w:after="0" w:line="240" w:lineRule="auto"/>
        <w:jc w:val="right"/>
        <w:rPr>
          <w:rFonts w:cs="Arial"/>
          <w:b/>
          <w:sz w:val="14"/>
          <w:lang w:val="en-US" w:eastAsia="pt-BR"/>
        </w:rPr>
      </w:pPr>
      <w:r w:rsidRPr="00F110A6">
        <w:rPr>
          <w:rFonts w:cs="Arial"/>
          <w:b/>
          <w:sz w:val="14"/>
          <w:lang w:val="en-US" w:eastAsia="pt-BR"/>
        </w:rPr>
        <w:t>R$ thousand</w:t>
      </w:r>
    </w:p>
    <w:tbl>
      <w:tblPr>
        <w:tblW w:w="9639" w:type="dxa"/>
        <w:jc w:val="center"/>
        <w:tblBorders>
          <w:top w:val="single" w:sz="2" w:space="0" w:color="8EAADB" w:themeColor="accent5" w:themeTint="99"/>
          <w:bottom w:val="single" w:sz="2" w:space="0" w:color="8EAADB" w:themeColor="accent5" w:themeTint="99"/>
        </w:tblBorders>
        <w:tblLook w:val="04A0" w:firstRow="1" w:lastRow="0" w:firstColumn="1" w:lastColumn="0" w:noHBand="0" w:noVBand="1"/>
      </w:tblPr>
      <w:tblGrid>
        <w:gridCol w:w="5030"/>
        <w:gridCol w:w="2304"/>
        <w:gridCol w:w="2305"/>
      </w:tblGrid>
      <w:tr w:rsidR="008B7E19" w:rsidRPr="00BC6379" w14:paraId="2D2AB9D9" w14:textId="77777777" w:rsidTr="008875E7">
        <w:trPr>
          <w:trHeight w:val="238"/>
          <w:jc w:val="center"/>
        </w:trPr>
        <w:tc>
          <w:tcPr>
            <w:tcW w:w="5030" w:type="dxa"/>
            <w:tcBorders>
              <w:top w:val="single" w:sz="2" w:space="0" w:color="1F4E79" w:themeColor="accent1" w:themeShade="80"/>
              <w:bottom w:val="nil"/>
            </w:tcBorders>
            <w:shd w:val="clear" w:color="auto" w:fill="auto"/>
          </w:tcPr>
          <w:p w14:paraId="6AA5E391" w14:textId="77777777" w:rsidR="008B7E19" w:rsidRPr="00F110A6" w:rsidRDefault="008B7E19" w:rsidP="008B7E19">
            <w:pPr>
              <w:keepNext/>
              <w:spacing w:after="0"/>
              <w:jc w:val="center"/>
              <w:rPr>
                <w:rFonts w:cs="Arial"/>
                <w:b/>
                <w:szCs w:val="18"/>
                <w:lang w:val="en-US"/>
              </w:rPr>
            </w:pPr>
          </w:p>
        </w:tc>
        <w:tc>
          <w:tcPr>
            <w:tcW w:w="4609" w:type="dxa"/>
            <w:gridSpan w:val="2"/>
            <w:tcBorders>
              <w:top w:val="single" w:sz="2" w:space="0" w:color="1F4E79" w:themeColor="accent1" w:themeShade="80"/>
              <w:bottom w:val="single" w:sz="2" w:space="0" w:color="1F4E79" w:themeColor="accent1" w:themeShade="80"/>
            </w:tcBorders>
            <w:shd w:val="clear" w:color="auto" w:fill="auto"/>
            <w:vAlign w:val="center"/>
          </w:tcPr>
          <w:p w14:paraId="79181D58" w14:textId="77777777" w:rsidR="008B7E19" w:rsidRPr="003D3118" w:rsidRDefault="008B7E19" w:rsidP="008B7E19">
            <w:pPr>
              <w:keepNext/>
              <w:spacing w:after="0"/>
              <w:jc w:val="center"/>
              <w:rPr>
                <w:rFonts w:cs="Arial"/>
                <w:b/>
                <w:szCs w:val="18"/>
              </w:rPr>
            </w:pPr>
            <w:r w:rsidRPr="003D3118">
              <w:rPr>
                <w:rFonts w:cs="Arial"/>
                <w:b/>
                <w:sz w:val="14"/>
                <w:szCs w:val="18"/>
              </w:rPr>
              <w:t>Consolidated</w:t>
            </w:r>
          </w:p>
        </w:tc>
      </w:tr>
      <w:tr w:rsidR="008B7E19" w:rsidRPr="00BC6379" w14:paraId="47DDC1F1" w14:textId="77777777" w:rsidTr="008875E7">
        <w:trPr>
          <w:trHeight w:val="238"/>
          <w:jc w:val="center"/>
        </w:trPr>
        <w:tc>
          <w:tcPr>
            <w:tcW w:w="5030" w:type="dxa"/>
            <w:tcBorders>
              <w:top w:val="nil"/>
              <w:bottom w:val="single" w:sz="2" w:space="0" w:color="1F4E79" w:themeColor="accent1" w:themeShade="80"/>
            </w:tcBorders>
            <w:shd w:val="clear" w:color="auto" w:fill="auto"/>
          </w:tcPr>
          <w:p w14:paraId="5B287D7E" w14:textId="77777777" w:rsidR="008B7E19" w:rsidRPr="00BC6379" w:rsidRDefault="008B7E19" w:rsidP="008B7E19">
            <w:pPr>
              <w:pStyle w:val="08-Tabelageral"/>
              <w:rPr>
                <w:rFonts w:cs="Arial"/>
                <w:b/>
              </w:rPr>
            </w:pPr>
          </w:p>
        </w:tc>
        <w:tc>
          <w:tcPr>
            <w:tcW w:w="2304" w:type="dxa"/>
            <w:tcBorders>
              <w:top w:val="single" w:sz="2" w:space="0" w:color="1F4E79" w:themeColor="accent1" w:themeShade="80"/>
              <w:bottom w:val="single" w:sz="2" w:space="0" w:color="1F4E79" w:themeColor="accent1" w:themeShade="80"/>
            </w:tcBorders>
            <w:shd w:val="clear" w:color="auto" w:fill="auto"/>
            <w:vAlign w:val="center"/>
          </w:tcPr>
          <w:p w14:paraId="3B632570" w14:textId="77777777" w:rsidR="008B7E19" w:rsidRPr="00BC6379" w:rsidRDefault="008B7E19" w:rsidP="008B7E19">
            <w:pPr>
              <w:pStyle w:val="08-Tabelageral"/>
              <w:rPr>
                <w:rFonts w:cs="Arial"/>
                <w:b/>
              </w:rPr>
            </w:pPr>
            <w:r>
              <w:rPr>
                <w:rFonts w:cs="Arial"/>
                <w:b/>
              </w:rPr>
              <w:t>June 30, 2023</w:t>
            </w:r>
          </w:p>
        </w:tc>
        <w:tc>
          <w:tcPr>
            <w:tcW w:w="2305" w:type="dxa"/>
            <w:tcBorders>
              <w:top w:val="single" w:sz="2" w:space="0" w:color="1F4E79" w:themeColor="accent1" w:themeShade="80"/>
              <w:bottom w:val="single" w:sz="2" w:space="0" w:color="1F4E79" w:themeColor="accent1" w:themeShade="80"/>
            </w:tcBorders>
            <w:shd w:val="clear" w:color="auto" w:fill="auto"/>
            <w:vAlign w:val="center"/>
          </w:tcPr>
          <w:p w14:paraId="65A00B48" w14:textId="77777777" w:rsidR="008B7E19" w:rsidRPr="00BC6379" w:rsidRDefault="008B7E19" w:rsidP="008B7E19">
            <w:pPr>
              <w:pStyle w:val="08-Tabelageral"/>
              <w:rPr>
                <w:rFonts w:cs="Arial"/>
                <w:b/>
              </w:rPr>
            </w:pPr>
            <w:r>
              <w:rPr>
                <w:rFonts w:cs="Arial"/>
                <w:b/>
              </w:rPr>
              <w:t>Dec 31, 2022</w:t>
            </w:r>
          </w:p>
        </w:tc>
      </w:tr>
      <w:tr w:rsidR="008B7E19" w:rsidRPr="00BC6379" w14:paraId="71B66D46" w14:textId="77777777" w:rsidTr="008875E7">
        <w:trPr>
          <w:trHeight w:val="238"/>
          <w:jc w:val="center"/>
        </w:trPr>
        <w:tc>
          <w:tcPr>
            <w:tcW w:w="5030" w:type="dxa"/>
            <w:tcBorders>
              <w:top w:val="single" w:sz="2" w:space="0" w:color="1F4E79" w:themeColor="accent1" w:themeShade="80"/>
            </w:tcBorders>
            <w:shd w:val="clear" w:color="auto" w:fill="auto"/>
          </w:tcPr>
          <w:p w14:paraId="21660CE6" w14:textId="77777777" w:rsidR="008B7E19" w:rsidRPr="00F110A6" w:rsidRDefault="008B7E19" w:rsidP="008B7E19">
            <w:pPr>
              <w:pStyle w:val="08-Tabelageral"/>
              <w:ind w:left="113"/>
              <w:jc w:val="left"/>
              <w:rPr>
                <w:rFonts w:cs="Arial"/>
                <w:szCs w:val="14"/>
                <w:vertAlign w:val="superscript"/>
                <w:lang w:val="en-US"/>
              </w:rPr>
            </w:pPr>
            <w:r w:rsidRPr="00737F7C">
              <w:rPr>
                <w:rFonts w:cs="Arial"/>
                <w:szCs w:val="14"/>
                <w:lang w:val="en-US"/>
              </w:rPr>
              <w:t>Arising from partnership with M</w:t>
            </w:r>
            <w:r>
              <w:rPr>
                <w:rFonts w:cs="Arial"/>
                <w:szCs w:val="14"/>
                <w:lang w:val="en-US"/>
              </w:rPr>
              <w:t xml:space="preserve">apfre </w:t>
            </w:r>
            <w:r w:rsidRPr="00F110A6">
              <w:rPr>
                <w:vertAlign w:val="superscript"/>
                <w:lang w:val="en-US"/>
              </w:rPr>
              <w:t>(1)</w:t>
            </w:r>
          </w:p>
        </w:tc>
        <w:tc>
          <w:tcPr>
            <w:tcW w:w="2304" w:type="dxa"/>
            <w:tcBorders>
              <w:top w:val="single" w:sz="2" w:space="0" w:color="1F4E79" w:themeColor="accent1" w:themeShade="80"/>
            </w:tcBorders>
            <w:shd w:val="clear" w:color="auto" w:fill="auto"/>
            <w:vAlign w:val="center"/>
          </w:tcPr>
          <w:p w14:paraId="63099EEE" w14:textId="77777777" w:rsidR="008B7E19" w:rsidRPr="00BC6379" w:rsidRDefault="008B7E19" w:rsidP="008B7E19">
            <w:pPr>
              <w:pStyle w:val="08-Tabelageral"/>
              <w:ind w:left="113"/>
              <w:rPr>
                <w:rFonts w:cs="Arial"/>
                <w:szCs w:val="14"/>
              </w:rPr>
            </w:pPr>
            <w:r>
              <w:rPr>
                <w:rFonts w:cs="Arial"/>
                <w:szCs w:val="14"/>
              </w:rPr>
              <w:t>223,387</w:t>
            </w:r>
          </w:p>
        </w:tc>
        <w:tc>
          <w:tcPr>
            <w:tcW w:w="2305" w:type="dxa"/>
            <w:tcBorders>
              <w:top w:val="single" w:sz="2" w:space="0" w:color="1F4E79" w:themeColor="accent1" w:themeShade="80"/>
            </w:tcBorders>
            <w:shd w:val="clear" w:color="auto" w:fill="auto"/>
            <w:vAlign w:val="center"/>
          </w:tcPr>
          <w:p w14:paraId="03230654" w14:textId="77777777" w:rsidR="008B7E19" w:rsidRPr="00BC6379" w:rsidRDefault="008B7E19" w:rsidP="008B7E19">
            <w:pPr>
              <w:pStyle w:val="08-Tabelageral"/>
              <w:ind w:left="113"/>
              <w:rPr>
                <w:rFonts w:cs="Arial"/>
                <w:szCs w:val="14"/>
              </w:rPr>
            </w:pPr>
            <w:r>
              <w:rPr>
                <w:rFonts w:cs="Arial"/>
                <w:szCs w:val="14"/>
              </w:rPr>
              <w:t>223,387</w:t>
            </w:r>
          </w:p>
        </w:tc>
      </w:tr>
      <w:tr w:rsidR="008B7E19" w:rsidRPr="00BC6379" w14:paraId="39EF059B" w14:textId="77777777" w:rsidTr="008875E7">
        <w:trPr>
          <w:trHeight w:val="238"/>
          <w:jc w:val="center"/>
        </w:trPr>
        <w:tc>
          <w:tcPr>
            <w:tcW w:w="5030" w:type="dxa"/>
            <w:shd w:val="clear" w:color="auto" w:fill="auto"/>
          </w:tcPr>
          <w:p w14:paraId="7E8B0F70" w14:textId="77777777" w:rsidR="008B7E19" w:rsidRPr="00F110A6" w:rsidRDefault="008B7E19" w:rsidP="008B7E19">
            <w:pPr>
              <w:pStyle w:val="08-Tabelageral"/>
              <w:ind w:left="113"/>
              <w:jc w:val="left"/>
              <w:rPr>
                <w:rFonts w:cs="Arial"/>
                <w:szCs w:val="14"/>
                <w:lang w:val="en-US"/>
              </w:rPr>
            </w:pPr>
            <w:r w:rsidRPr="00BD2C9C">
              <w:rPr>
                <w:rFonts w:cs="Arial"/>
                <w:szCs w:val="14"/>
                <w:lang w:val="en-US"/>
              </w:rPr>
              <w:t>Arising from amortization of Brasilcap’s goodwill</w:t>
            </w:r>
          </w:p>
        </w:tc>
        <w:tc>
          <w:tcPr>
            <w:tcW w:w="2304" w:type="dxa"/>
            <w:shd w:val="clear" w:color="auto" w:fill="auto"/>
            <w:vAlign w:val="center"/>
          </w:tcPr>
          <w:p w14:paraId="37DC39F1" w14:textId="77777777" w:rsidR="008B7E19" w:rsidRPr="00BC6379" w:rsidRDefault="008B7E19" w:rsidP="008B7E19">
            <w:pPr>
              <w:pStyle w:val="08-Tabelageral"/>
              <w:ind w:left="113"/>
              <w:rPr>
                <w:rFonts w:cs="Arial"/>
                <w:szCs w:val="14"/>
              </w:rPr>
            </w:pPr>
            <w:r>
              <w:rPr>
                <w:rFonts w:cs="Arial"/>
                <w:szCs w:val="14"/>
              </w:rPr>
              <w:t>4,647</w:t>
            </w:r>
          </w:p>
        </w:tc>
        <w:tc>
          <w:tcPr>
            <w:tcW w:w="2305" w:type="dxa"/>
            <w:shd w:val="clear" w:color="auto" w:fill="auto"/>
            <w:vAlign w:val="center"/>
          </w:tcPr>
          <w:p w14:paraId="16A7AEF1" w14:textId="77777777" w:rsidR="008B7E19" w:rsidRPr="00BC6379" w:rsidRDefault="008B7E19" w:rsidP="008B7E19">
            <w:pPr>
              <w:pStyle w:val="08-Tabelageral"/>
              <w:ind w:left="113"/>
              <w:rPr>
                <w:rFonts w:cs="Arial"/>
                <w:szCs w:val="14"/>
              </w:rPr>
            </w:pPr>
            <w:r>
              <w:rPr>
                <w:rFonts w:cs="Arial"/>
                <w:szCs w:val="14"/>
              </w:rPr>
              <w:t>4,647</w:t>
            </w:r>
          </w:p>
        </w:tc>
      </w:tr>
      <w:tr w:rsidR="008B7E19" w:rsidRPr="00BC6379" w14:paraId="26BCE07B" w14:textId="77777777" w:rsidTr="008875E7">
        <w:trPr>
          <w:trHeight w:val="238"/>
          <w:jc w:val="center"/>
        </w:trPr>
        <w:tc>
          <w:tcPr>
            <w:tcW w:w="5030" w:type="dxa"/>
            <w:tcBorders>
              <w:bottom w:val="nil"/>
            </w:tcBorders>
            <w:shd w:val="clear" w:color="auto" w:fill="auto"/>
          </w:tcPr>
          <w:p w14:paraId="21B6CBAD" w14:textId="77777777" w:rsidR="008B7E19" w:rsidRPr="00BD2C9C" w:rsidRDefault="008B7E19" w:rsidP="008B7E19">
            <w:pPr>
              <w:pStyle w:val="08-Tabelageral"/>
              <w:ind w:left="113"/>
              <w:jc w:val="left"/>
              <w:rPr>
                <w:rFonts w:cs="Arial"/>
                <w:szCs w:val="14"/>
              </w:rPr>
            </w:pPr>
            <w:r w:rsidRPr="00BD2C9C">
              <w:rPr>
                <w:rFonts w:cs="Arial"/>
                <w:szCs w:val="14"/>
              </w:rPr>
              <w:t>Other temporay differences</w:t>
            </w:r>
          </w:p>
        </w:tc>
        <w:tc>
          <w:tcPr>
            <w:tcW w:w="2304" w:type="dxa"/>
            <w:tcBorders>
              <w:bottom w:val="nil"/>
            </w:tcBorders>
            <w:shd w:val="clear" w:color="auto" w:fill="auto"/>
            <w:vAlign w:val="center"/>
          </w:tcPr>
          <w:p w14:paraId="7CB06072" w14:textId="77777777" w:rsidR="008B7E19" w:rsidRPr="00BC6379" w:rsidRDefault="008B7E19" w:rsidP="008B7E19">
            <w:pPr>
              <w:pStyle w:val="08-Tabelageral"/>
              <w:ind w:left="113"/>
              <w:rPr>
                <w:rFonts w:cs="Arial"/>
                <w:szCs w:val="14"/>
              </w:rPr>
            </w:pPr>
            <w:r>
              <w:rPr>
                <w:rFonts w:cs="Arial"/>
                <w:szCs w:val="14"/>
              </w:rPr>
              <w:t>531</w:t>
            </w:r>
          </w:p>
        </w:tc>
        <w:tc>
          <w:tcPr>
            <w:tcW w:w="2305" w:type="dxa"/>
            <w:tcBorders>
              <w:bottom w:val="nil"/>
            </w:tcBorders>
            <w:shd w:val="clear" w:color="auto" w:fill="auto"/>
            <w:vAlign w:val="center"/>
          </w:tcPr>
          <w:p w14:paraId="1570E2E3" w14:textId="77777777" w:rsidR="008B7E19" w:rsidRPr="00BC6379" w:rsidRDefault="008B7E19" w:rsidP="008B7E19">
            <w:pPr>
              <w:pStyle w:val="08-Tabelageral"/>
              <w:ind w:left="113"/>
              <w:rPr>
                <w:rFonts w:cs="Arial"/>
                <w:szCs w:val="14"/>
              </w:rPr>
            </w:pPr>
            <w:r>
              <w:rPr>
                <w:rFonts w:cs="Arial"/>
                <w:szCs w:val="14"/>
              </w:rPr>
              <w:t>531</w:t>
            </w:r>
          </w:p>
        </w:tc>
      </w:tr>
      <w:tr w:rsidR="008B7E19" w:rsidRPr="00BC6379" w14:paraId="0D76E10A" w14:textId="77777777" w:rsidTr="008875E7">
        <w:trPr>
          <w:trHeight w:val="238"/>
          <w:jc w:val="center"/>
        </w:trPr>
        <w:tc>
          <w:tcPr>
            <w:tcW w:w="5030" w:type="dxa"/>
            <w:tcBorders>
              <w:top w:val="nil"/>
              <w:bottom w:val="single" w:sz="2" w:space="0" w:color="1F4E79" w:themeColor="accent1" w:themeShade="80"/>
            </w:tcBorders>
            <w:shd w:val="clear" w:color="auto" w:fill="auto"/>
          </w:tcPr>
          <w:p w14:paraId="36FC8322" w14:textId="77777777" w:rsidR="008B7E19" w:rsidRPr="00BC6379" w:rsidRDefault="008B7E19" w:rsidP="008B7E19">
            <w:pPr>
              <w:pStyle w:val="08-Tabelageral"/>
              <w:jc w:val="left"/>
              <w:rPr>
                <w:rFonts w:cs="Arial"/>
                <w:b/>
                <w:szCs w:val="14"/>
              </w:rPr>
            </w:pPr>
            <w:r w:rsidRPr="00BC6379">
              <w:rPr>
                <w:rFonts w:cs="Arial"/>
                <w:b/>
              </w:rPr>
              <w:t xml:space="preserve">Total </w:t>
            </w:r>
          </w:p>
        </w:tc>
        <w:tc>
          <w:tcPr>
            <w:tcW w:w="2304" w:type="dxa"/>
            <w:tcBorders>
              <w:top w:val="nil"/>
              <w:bottom w:val="single" w:sz="2" w:space="0" w:color="1F4E79" w:themeColor="accent1" w:themeShade="80"/>
            </w:tcBorders>
            <w:shd w:val="clear" w:color="auto" w:fill="auto"/>
            <w:vAlign w:val="center"/>
          </w:tcPr>
          <w:p w14:paraId="103F8EE3" w14:textId="77777777" w:rsidR="008B7E19" w:rsidRPr="00BC6379" w:rsidRDefault="008B7E19" w:rsidP="008B7E19">
            <w:pPr>
              <w:pStyle w:val="08-Tabelageral"/>
              <w:rPr>
                <w:rFonts w:cs="Arial"/>
                <w:b/>
                <w:szCs w:val="14"/>
              </w:rPr>
            </w:pPr>
            <w:r>
              <w:rPr>
                <w:rFonts w:cs="Arial"/>
                <w:b/>
                <w:szCs w:val="14"/>
              </w:rPr>
              <w:t>228,565</w:t>
            </w:r>
          </w:p>
        </w:tc>
        <w:tc>
          <w:tcPr>
            <w:tcW w:w="2305" w:type="dxa"/>
            <w:tcBorders>
              <w:top w:val="nil"/>
              <w:bottom w:val="single" w:sz="2" w:space="0" w:color="1F4E79" w:themeColor="accent1" w:themeShade="80"/>
            </w:tcBorders>
            <w:shd w:val="clear" w:color="auto" w:fill="auto"/>
            <w:vAlign w:val="center"/>
          </w:tcPr>
          <w:p w14:paraId="715964A4" w14:textId="77777777" w:rsidR="008B7E19" w:rsidRPr="00BC6379" w:rsidRDefault="008B7E19" w:rsidP="008B7E19">
            <w:pPr>
              <w:pStyle w:val="08-Tabelageral"/>
              <w:rPr>
                <w:rFonts w:cs="Arial"/>
                <w:b/>
                <w:szCs w:val="14"/>
              </w:rPr>
            </w:pPr>
            <w:r>
              <w:rPr>
                <w:rFonts w:cs="Arial"/>
                <w:b/>
                <w:szCs w:val="14"/>
              </w:rPr>
              <w:t>228,565</w:t>
            </w:r>
          </w:p>
        </w:tc>
      </w:tr>
    </w:tbl>
    <w:p w14:paraId="24A4010B" w14:textId="77777777" w:rsidR="008B7E19" w:rsidRPr="00F110A6" w:rsidRDefault="008B7E19" w:rsidP="008B7E19">
      <w:pPr>
        <w:pStyle w:val="07-Legenda"/>
        <w:numPr>
          <w:ilvl w:val="0"/>
          <w:numId w:val="16"/>
        </w:numPr>
        <w:ind w:left="284" w:hanging="284"/>
        <w:rPr>
          <w:rFonts w:cs="Arial"/>
          <w:szCs w:val="14"/>
          <w:lang w:val="en-US"/>
        </w:rPr>
      </w:pPr>
      <w:r w:rsidRPr="00F110A6">
        <w:rPr>
          <w:rFonts w:cs="Arial"/>
          <w:spacing w:val="0"/>
          <w:szCs w:val="14"/>
          <w:lang w:val="en-US"/>
        </w:rPr>
        <w:t>Refers to the provision for deferred taxes arising from intangibles in the investment in BB M</w:t>
      </w:r>
      <w:r>
        <w:rPr>
          <w:rFonts w:cs="Arial"/>
          <w:spacing w:val="0"/>
          <w:szCs w:val="14"/>
          <w:lang w:val="en-US"/>
        </w:rPr>
        <w:t>APFRE.</w:t>
      </w:r>
    </w:p>
    <w:p w14:paraId="42C8D69E" w14:textId="77777777" w:rsidR="008B7E19" w:rsidRPr="00F110A6" w:rsidRDefault="008B7E19" w:rsidP="008B7E19">
      <w:pPr>
        <w:spacing w:after="0"/>
        <w:jc w:val="right"/>
        <w:rPr>
          <w:rFonts w:cs="Arial"/>
          <w:b/>
          <w:sz w:val="14"/>
          <w:lang w:val="en-US" w:eastAsia="pt-BR"/>
        </w:rPr>
      </w:pPr>
    </w:p>
    <w:bookmarkEnd w:id="38"/>
    <w:p w14:paraId="2DDE3A26" w14:textId="77777777" w:rsidR="008B7E19" w:rsidRDefault="008B7E19" w:rsidP="008B7E19">
      <w:pPr>
        <w:pStyle w:val="05-Textonormal"/>
        <w:rPr>
          <w:spacing w:val="0"/>
          <w:szCs w:val="20"/>
          <w:lang w:val="en-US"/>
        </w:rPr>
      </w:pPr>
      <w:r w:rsidRPr="003E2305">
        <w:rPr>
          <w:spacing w:val="0"/>
          <w:szCs w:val="20"/>
          <w:lang w:val="en-US"/>
        </w:rPr>
        <w:t>There is no balance of deferred tax liabilities in the Controller</w:t>
      </w:r>
      <w:r>
        <w:rPr>
          <w:spacing w:val="0"/>
          <w:szCs w:val="20"/>
          <w:lang w:val="en-US"/>
        </w:rPr>
        <w:t>.</w:t>
      </w:r>
    </w:p>
    <w:p w14:paraId="0B44BAF4" w14:textId="77777777" w:rsidR="008B7E19" w:rsidRDefault="008B7E19" w:rsidP="008B7E19">
      <w:pPr>
        <w:pStyle w:val="05-Textonormal"/>
        <w:rPr>
          <w:spacing w:val="0"/>
          <w:szCs w:val="20"/>
          <w:lang w:val="en-US"/>
        </w:rPr>
      </w:pPr>
    </w:p>
    <w:p w14:paraId="17AC8FA7" w14:textId="105295BE" w:rsidR="008B7E19" w:rsidRPr="008875E7" w:rsidRDefault="008B7E19" w:rsidP="008875E7">
      <w:pPr>
        <w:pStyle w:val="02-TtulodeNota"/>
        <w:rPr>
          <w:bCs/>
          <w:color w:val="1F4E79" w:themeColor="accent1" w:themeShade="80"/>
        </w:rPr>
      </w:pPr>
      <w:bookmarkStart w:id="40" w:name="_Toc141966691"/>
      <w:r w:rsidRPr="008875E7">
        <w:rPr>
          <w:color w:val="1F4E79" w:themeColor="accent1" w:themeShade="80"/>
        </w:rPr>
        <w:t>13 – OTHER INCOME AND EXPENSE</w:t>
      </w:r>
      <w:bookmarkEnd w:id="40"/>
    </w:p>
    <w:p w14:paraId="520FAAF8" w14:textId="77777777" w:rsidR="008B7E19" w:rsidRPr="00F74BE3" w:rsidRDefault="008B7E19" w:rsidP="008B7E19">
      <w:pPr>
        <w:spacing w:after="0" w:line="240" w:lineRule="auto"/>
        <w:jc w:val="right"/>
        <w:rPr>
          <w:rFonts w:cs="Arial"/>
          <w:b/>
          <w:sz w:val="14"/>
          <w:szCs w:val="14"/>
        </w:rPr>
      </w:pPr>
      <w:r w:rsidRPr="00F74BE3">
        <w:rPr>
          <w:rFonts w:cs="Arial"/>
          <w:b/>
          <w:sz w:val="14"/>
          <w:szCs w:val="14"/>
        </w:rPr>
        <w:t>R$ thousand</w:t>
      </w:r>
    </w:p>
    <w:tbl>
      <w:tblPr>
        <w:tblW w:w="9648" w:type="dxa"/>
        <w:jc w:val="center"/>
        <w:tblBorders>
          <w:top w:val="single" w:sz="2" w:space="0" w:color="8EAADB" w:themeColor="accent5" w:themeTint="99"/>
          <w:bottom w:val="single" w:sz="2" w:space="0" w:color="8EAADB" w:themeColor="accent5" w:themeTint="99"/>
        </w:tblBorders>
        <w:tblLayout w:type="fixed"/>
        <w:tblLook w:val="04A0" w:firstRow="1" w:lastRow="0" w:firstColumn="1" w:lastColumn="0" w:noHBand="0" w:noVBand="1"/>
      </w:tblPr>
      <w:tblGrid>
        <w:gridCol w:w="3000"/>
        <w:gridCol w:w="936"/>
        <w:gridCol w:w="160"/>
        <w:gridCol w:w="1199"/>
        <w:gridCol w:w="76"/>
        <w:gridCol w:w="1283"/>
        <w:gridCol w:w="39"/>
        <w:gridCol w:w="96"/>
        <w:gridCol w:w="101"/>
        <w:gridCol w:w="82"/>
        <w:gridCol w:w="53"/>
        <w:gridCol w:w="1272"/>
        <w:gridCol w:w="1345"/>
        <w:gridCol w:w="6"/>
      </w:tblGrid>
      <w:tr w:rsidR="008B7E19" w:rsidRPr="005171F7" w14:paraId="3996D7F9" w14:textId="77777777" w:rsidTr="008B7E19">
        <w:trPr>
          <w:trHeight w:val="20"/>
          <w:jc w:val="center"/>
        </w:trPr>
        <w:tc>
          <w:tcPr>
            <w:tcW w:w="3936" w:type="dxa"/>
            <w:gridSpan w:val="2"/>
            <w:tcBorders>
              <w:top w:val="single" w:sz="2" w:space="0" w:color="8EAADB" w:themeColor="accent5" w:themeTint="99"/>
              <w:bottom w:val="nil"/>
            </w:tcBorders>
            <w:shd w:val="clear" w:color="auto" w:fill="auto"/>
          </w:tcPr>
          <w:p w14:paraId="3E1ED9DD" w14:textId="77777777" w:rsidR="008B7E19" w:rsidRPr="005171F7" w:rsidRDefault="008B7E19" w:rsidP="008B7E19">
            <w:pPr>
              <w:keepNext/>
              <w:keepLines/>
              <w:spacing w:before="40" w:after="40"/>
              <w:jc w:val="center"/>
              <w:rPr>
                <w:rFonts w:cs="Arial"/>
                <w:b/>
                <w:bCs/>
                <w:spacing w:val="-2"/>
                <w:sz w:val="14"/>
                <w:szCs w:val="14"/>
              </w:rPr>
            </w:pPr>
          </w:p>
        </w:tc>
        <w:tc>
          <w:tcPr>
            <w:tcW w:w="2757" w:type="dxa"/>
            <w:gridSpan w:val="5"/>
            <w:tcBorders>
              <w:top w:val="single" w:sz="2" w:space="0" w:color="8EAADB" w:themeColor="accent5" w:themeTint="99"/>
              <w:bottom w:val="single" w:sz="2" w:space="0" w:color="8EAADB" w:themeColor="accent5" w:themeTint="99"/>
            </w:tcBorders>
            <w:shd w:val="clear" w:color="auto" w:fill="auto"/>
            <w:vAlign w:val="center"/>
          </w:tcPr>
          <w:p w14:paraId="4098D118" w14:textId="77777777" w:rsidR="008B7E19" w:rsidRPr="005171F7" w:rsidRDefault="008B7E19" w:rsidP="008B7E19">
            <w:pPr>
              <w:keepNext/>
              <w:keepLines/>
              <w:spacing w:before="40" w:after="40"/>
              <w:jc w:val="center"/>
              <w:rPr>
                <w:rFonts w:cs="Arial"/>
                <w:b/>
                <w:spacing w:val="-2"/>
                <w:sz w:val="14"/>
                <w:szCs w:val="14"/>
              </w:rPr>
            </w:pPr>
            <w:r>
              <w:rPr>
                <w:rFonts w:cs="Arial"/>
                <w:b/>
                <w:spacing w:val="-2"/>
                <w:sz w:val="14"/>
                <w:szCs w:val="14"/>
              </w:rPr>
              <w:t>Parent</w:t>
            </w:r>
          </w:p>
        </w:tc>
        <w:tc>
          <w:tcPr>
            <w:tcW w:w="279" w:type="dxa"/>
            <w:gridSpan w:val="3"/>
            <w:tcBorders>
              <w:top w:val="single" w:sz="2" w:space="0" w:color="8EAADB" w:themeColor="accent5" w:themeTint="99"/>
              <w:bottom w:val="nil"/>
            </w:tcBorders>
            <w:shd w:val="clear" w:color="auto" w:fill="auto"/>
            <w:vAlign w:val="center"/>
          </w:tcPr>
          <w:p w14:paraId="419A6F71" w14:textId="77777777" w:rsidR="008B7E19" w:rsidRPr="005171F7" w:rsidRDefault="008B7E19" w:rsidP="008B7E19">
            <w:pPr>
              <w:keepNext/>
              <w:keepLines/>
              <w:spacing w:before="40" w:after="40"/>
              <w:jc w:val="center"/>
              <w:rPr>
                <w:rFonts w:cs="Arial"/>
                <w:b/>
                <w:bCs/>
                <w:spacing w:val="-2"/>
                <w:sz w:val="14"/>
                <w:szCs w:val="14"/>
              </w:rPr>
            </w:pPr>
          </w:p>
        </w:tc>
        <w:tc>
          <w:tcPr>
            <w:tcW w:w="2676" w:type="dxa"/>
            <w:gridSpan w:val="4"/>
            <w:tcBorders>
              <w:top w:val="single" w:sz="2" w:space="0" w:color="8EAADB" w:themeColor="accent5" w:themeTint="99"/>
              <w:bottom w:val="single" w:sz="2" w:space="0" w:color="8EAADB" w:themeColor="accent5" w:themeTint="99"/>
            </w:tcBorders>
            <w:shd w:val="clear" w:color="auto" w:fill="auto"/>
            <w:vAlign w:val="center"/>
          </w:tcPr>
          <w:p w14:paraId="5CB22734" w14:textId="77777777" w:rsidR="008B7E19" w:rsidRPr="005171F7" w:rsidRDefault="008B7E19" w:rsidP="008B7E19">
            <w:pPr>
              <w:keepNext/>
              <w:keepLines/>
              <w:spacing w:before="40" w:after="40"/>
              <w:jc w:val="center"/>
              <w:rPr>
                <w:rFonts w:cs="Arial"/>
                <w:b/>
                <w:spacing w:val="-2"/>
                <w:sz w:val="14"/>
                <w:szCs w:val="14"/>
              </w:rPr>
            </w:pPr>
            <w:r>
              <w:rPr>
                <w:rFonts w:cs="Arial"/>
                <w:b/>
                <w:spacing w:val="-2"/>
                <w:sz w:val="14"/>
                <w:szCs w:val="14"/>
              </w:rPr>
              <w:t>Consolidated</w:t>
            </w:r>
          </w:p>
        </w:tc>
      </w:tr>
      <w:tr w:rsidR="008B7E19" w:rsidRPr="00EB1911" w14:paraId="027D31B4" w14:textId="77777777" w:rsidTr="008B7E19">
        <w:trPr>
          <w:gridAfter w:val="1"/>
          <w:wAfter w:w="6" w:type="dxa"/>
          <w:trHeight w:val="20"/>
          <w:jc w:val="center"/>
        </w:trPr>
        <w:tc>
          <w:tcPr>
            <w:tcW w:w="3000" w:type="dxa"/>
            <w:tcBorders>
              <w:top w:val="nil"/>
              <w:bottom w:val="single" w:sz="2" w:space="0" w:color="8EAADB" w:themeColor="accent5" w:themeTint="99"/>
            </w:tcBorders>
            <w:shd w:val="clear" w:color="auto" w:fill="auto"/>
            <w:vAlign w:val="center"/>
          </w:tcPr>
          <w:p w14:paraId="6AE83C61" w14:textId="77777777" w:rsidR="008B7E19" w:rsidRPr="00EB1911" w:rsidRDefault="008B7E19" w:rsidP="008B7E19">
            <w:pPr>
              <w:keepNext/>
              <w:keepLines/>
              <w:spacing w:before="40" w:after="40"/>
              <w:jc w:val="right"/>
              <w:rPr>
                <w:rFonts w:cs="Arial"/>
                <w:b/>
                <w:spacing w:val="-2"/>
                <w:sz w:val="14"/>
                <w:szCs w:val="14"/>
              </w:rPr>
            </w:pPr>
          </w:p>
        </w:tc>
        <w:tc>
          <w:tcPr>
            <w:tcW w:w="1096" w:type="dxa"/>
            <w:gridSpan w:val="2"/>
            <w:tcBorders>
              <w:top w:val="nil"/>
              <w:bottom w:val="single" w:sz="2" w:space="0" w:color="8EAADB" w:themeColor="accent5" w:themeTint="99"/>
            </w:tcBorders>
            <w:shd w:val="clear" w:color="auto" w:fill="auto"/>
            <w:vAlign w:val="center"/>
          </w:tcPr>
          <w:p w14:paraId="6A6135AB" w14:textId="77777777" w:rsidR="008B7E19" w:rsidRPr="00EB1911" w:rsidRDefault="008B7E19" w:rsidP="008B7E19">
            <w:pPr>
              <w:keepNext/>
              <w:keepLines/>
              <w:spacing w:before="40" w:after="40"/>
              <w:jc w:val="right"/>
              <w:rPr>
                <w:rFonts w:cs="Arial"/>
                <w:b/>
                <w:spacing w:val="-2"/>
                <w:sz w:val="14"/>
                <w:szCs w:val="14"/>
              </w:rPr>
            </w:pPr>
          </w:p>
        </w:tc>
        <w:tc>
          <w:tcPr>
            <w:tcW w:w="1275" w:type="dxa"/>
            <w:gridSpan w:val="2"/>
            <w:tcBorders>
              <w:top w:val="single" w:sz="4" w:space="0" w:color="1F4E79" w:themeColor="accent1" w:themeShade="80"/>
              <w:bottom w:val="single" w:sz="2" w:space="0" w:color="1F4E79" w:themeColor="accent1" w:themeShade="80"/>
            </w:tcBorders>
            <w:shd w:val="clear" w:color="auto" w:fill="auto"/>
          </w:tcPr>
          <w:p w14:paraId="2E54D8A2" w14:textId="77777777" w:rsidR="008B7E19" w:rsidRPr="00EB1911" w:rsidRDefault="008B7E19" w:rsidP="008B7E19">
            <w:pPr>
              <w:pStyle w:val="08-Tabelageral"/>
              <w:rPr>
                <w:rFonts w:cs="Arial"/>
                <w:b/>
                <w:szCs w:val="14"/>
              </w:rPr>
            </w:pPr>
            <w:r w:rsidRPr="003E6939">
              <w:rPr>
                <w:rFonts w:cs="Arial"/>
                <w:b/>
                <w:szCs w:val="14"/>
              </w:rPr>
              <w:t>2</w:t>
            </w:r>
            <w:r w:rsidRPr="003E6939">
              <w:rPr>
                <w:rFonts w:cs="Arial"/>
                <w:b/>
                <w:szCs w:val="14"/>
                <w:vertAlign w:val="superscript"/>
              </w:rPr>
              <w:t>nd</w:t>
            </w:r>
            <w:r w:rsidRPr="003E6939">
              <w:rPr>
                <w:rFonts w:cs="Arial"/>
                <w:b/>
                <w:szCs w:val="14"/>
              </w:rPr>
              <w:t xml:space="preserve"> Quarter 202</w:t>
            </w:r>
            <w:r>
              <w:rPr>
                <w:rFonts w:cs="Arial"/>
                <w:b/>
                <w:szCs w:val="14"/>
              </w:rPr>
              <w:t>3</w:t>
            </w:r>
          </w:p>
        </w:tc>
        <w:tc>
          <w:tcPr>
            <w:tcW w:w="1418" w:type="dxa"/>
            <w:gridSpan w:val="3"/>
            <w:tcBorders>
              <w:top w:val="single" w:sz="4" w:space="0" w:color="1F4E79" w:themeColor="accent1" w:themeShade="80"/>
              <w:bottom w:val="single" w:sz="2" w:space="0" w:color="1F4E79" w:themeColor="accent1" w:themeShade="80"/>
            </w:tcBorders>
            <w:shd w:val="clear" w:color="auto" w:fill="auto"/>
          </w:tcPr>
          <w:p w14:paraId="08078DD4" w14:textId="77777777" w:rsidR="008B7E19" w:rsidRPr="00EB1911" w:rsidRDefault="008B7E19" w:rsidP="008B7E19">
            <w:pPr>
              <w:pStyle w:val="08-Tabelageral"/>
              <w:rPr>
                <w:rFonts w:cs="Arial"/>
                <w:b/>
                <w:szCs w:val="14"/>
              </w:rPr>
            </w:pPr>
            <w:r w:rsidRPr="003E6939">
              <w:rPr>
                <w:rFonts w:cs="Arial"/>
                <w:b/>
                <w:szCs w:val="14"/>
              </w:rPr>
              <w:t>2</w:t>
            </w:r>
            <w:r w:rsidRPr="003E6939">
              <w:rPr>
                <w:rFonts w:cs="Arial"/>
                <w:b/>
                <w:szCs w:val="14"/>
                <w:vertAlign w:val="superscript"/>
              </w:rPr>
              <w:t>nd</w:t>
            </w:r>
            <w:r w:rsidRPr="003E6939">
              <w:rPr>
                <w:rFonts w:cs="Arial"/>
                <w:b/>
                <w:szCs w:val="14"/>
              </w:rPr>
              <w:t xml:space="preserve"> Quarter 202</w:t>
            </w:r>
            <w:r>
              <w:rPr>
                <w:rFonts w:cs="Arial"/>
                <w:b/>
                <w:szCs w:val="14"/>
              </w:rPr>
              <w:t>2</w:t>
            </w:r>
          </w:p>
        </w:tc>
        <w:tc>
          <w:tcPr>
            <w:tcW w:w="236" w:type="dxa"/>
            <w:gridSpan w:val="3"/>
            <w:tcBorders>
              <w:top w:val="nil"/>
              <w:left w:val="nil"/>
              <w:bottom w:val="single" w:sz="2" w:space="0" w:color="1F4E79" w:themeColor="accent1" w:themeShade="80"/>
              <w:right w:val="nil"/>
            </w:tcBorders>
            <w:shd w:val="clear" w:color="auto" w:fill="auto"/>
            <w:vAlign w:val="center"/>
          </w:tcPr>
          <w:p w14:paraId="24D8C2BA" w14:textId="77777777" w:rsidR="008B7E19" w:rsidRPr="00EB1911" w:rsidRDefault="008B7E19" w:rsidP="008B7E19">
            <w:pPr>
              <w:pStyle w:val="08-Tabelageral"/>
              <w:rPr>
                <w:rFonts w:cs="Arial"/>
                <w:b/>
                <w:szCs w:val="14"/>
              </w:rPr>
            </w:pPr>
          </w:p>
        </w:tc>
        <w:tc>
          <w:tcPr>
            <w:tcW w:w="1272" w:type="dxa"/>
            <w:tcBorders>
              <w:top w:val="single" w:sz="4" w:space="0" w:color="1F4E79" w:themeColor="accent1" w:themeShade="80"/>
              <w:bottom w:val="single" w:sz="2" w:space="0" w:color="1F4E79" w:themeColor="accent1" w:themeShade="80"/>
            </w:tcBorders>
            <w:shd w:val="clear" w:color="auto" w:fill="auto"/>
          </w:tcPr>
          <w:p w14:paraId="2AB322B4" w14:textId="77777777" w:rsidR="008B7E19" w:rsidRPr="00EB1911" w:rsidRDefault="008B7E19" w:rsidP="008B7E19">
            <w:pPr>
              <w:pStyle w:val="08-Tabelageral"/>
              <w:rPr>
                <w:rFonts w:cs="Arial"/>
                <w:b/>
                <w:szCs w:val="14"/>
              </w:rPr>
            </w:pPr>
            <w:r w:rsidRPr="003E6939">
              <w:rPr>
                <w:rFonts w:cs="Arial"/>
                <w:b/>
                <w:szCs w:val="14"/>
              </w:rPr>
              <w:t>2</w:t>
            </w:r>
            <w:r w:rsidRPr="003E6939">
              <w:rPr>
                <w:rFonts w:cs="Arial"/>
                <w:b/>
                <w:szCs w:val="14"/>
                <w:vertAlign w:val="superscript"/>
              </w:rPr>
              <w:t>nd</w:t>
            </w:r>
            <w:r w:rsidRPr="003E6939">
              <w:rPr>
                <w:rFonts w:cs="Arial"/>
                <w:b/>
                <w:szCs w:val="14"/>
              </w:rPr>
              <w:t xml:space="preserve"> Quarter 202</w:t>
            </w:r>
            <w:r>
              <w:rPr>
                <w:rFonts w:cs="Arial"/>
                <w:b/>
                <w:szCs w:val="14"/>
              </w:rPr>
              <w:t>3</w:t>
            </w:r>
          </w:p>
        </w:tc>
        <w:tc>
          <w:tcPr>
            <w:tcW w:w="1345" w:type="dxa"/>
            <w:tcBorders>
              <w:top w:val="single" w:sz="4" w:space="0" w:color="1F4E79" w:themeColor="accent1" w:themeShade="80"/>
              <w:bottom w:val="single" w:sz="2" w:space="0" w:color="1F4E79" w:themeColor="accent1" w:themeShade="80"/>
            </w:tcBorders>
            <w:shd w:val="clear" w:color="auto" w:fill="auto"/>
          </w:tcPr>
          <w:p w14:paraId="354711A8" w14:textId="77777777" w:rsidR="008B7E19" w:rsidRPr="00EB1911" w:rsidRDefault="008B7E19" w:rsidP="008B7E19">
            <w:pPr>
              <w:pStyle w:val="08-Tabelageral"/>
              <w:rPr>
                <w:b/>
              </w:rPr>
            </w:pPr>
            <w:r w:rsidRPr="003E6939">
              <w:rPr>
                <w:rFonts w:cs="Arial"/>
                <w:b/>
                <w:szCs w:val="14"/>
              </w:rPr>
              <w:t>2</w:t>
            </w:r>
            <w:r w:rsidRPr="003E6939">
              <w:rPr>
                <w:rFonts w:cs="Arial"/>
                <w:b/>
                <w:szCs w:val="14"/>
                <w:vertAlign w:val="superscript"/>
              </w:rPr>
              <w:t>nd</w:t>
            </w:r>
            <w:r w:rsidRPr="003E6939">
              <w:rPr>
                <w:rFonts w:cs="Arial"/>
                <w:b/>
                <w:szCs w:val="14"/>
              </w:rPr>
              <w:t xml:space="preserve"> Quarter 202</w:t>
            </w:r>
            <w:r>
              <w:rPr>
                <w:rFonts w:cs="Arial"/>
                <w:b/>
                <w:szCs w:val="14"/>
              </w:rPr>
              <w:t>2</w:t>
            </w:r>
          </w:p>
        </w:tc>
      </w:tr>
      <w:tr w:rsidR="008B7E19" w:rsidRPr="005171F7" w14:paraId="49D2EF36" w14:textId="77777777" w:rsidTr="008B7E19">
        <w:trPr>
          <w:trHeight w:val="20"/>
          <w:jc w:val="center"/>
        </w:trPr>
        <w:tc>
          <w:tcPr>
            <w:tcW w:w="3936" w:type="dxa"/>
            <w:gridSpan w:val="2"/>
            <w:shd w:val="clear" w:color="auto" w:fill="auto"/>
            <w:vAlign w:val="center"/>
          </w:tcPr>
          <w:p w14:paraId="17E86770" w14:textId="77777777" w:rsidR="008B7E19" w:rsidRPr="005171F7" w:rsidRDefault="008B7E19" w:rsidP="008B7E19">
            <w:pPr>
              <w:pStyle w:val="08-Tabelageral"/>
              <w:ind w:left="113"/>
              <w:jc w:val="left"/>
              <w:rPr>
                <w:rFonts w:cs="Arial"/>
                <w:szCs w:val="14"/>
              </w:rPr>
            </w:pPr>
            <w:r w:rsidRPr="00A2009E">
              <w:rPr>
                <w:rFonts w:cs="Arial"/>
                <w:szCs w:val="14"/>
              </w:rPr>
              <w:t>Income of ADR</w:t>
            </w:r>
            <w:r w:rsidRPr="005171F7">
              <w:rPr>
                <w:rFonts w:cs="Arial"/>
                <w:szCs w:val="14"/>
              </w:rPr>
              <w:t xml:space="preserve"> </w:t>
            </w:r>
            <w:r w:rsidRPr="005171F7">
              <w:rPr>
                <w:rFonts w:cs="Arial"/>
                <w:szCs w:val="14"/>
                <w:vertAlign w:val="superscript"/>
              </w:rPr>
              <w:t>(</w:t>
            </w:r>
            <w:r>
              <w:rPr>
                <w:rFonts w:cs="Arial"/>
                <w:szCs w:val="14"/>
                <w:vertAlign w:val="superscript"/>
              </w:rPr>
              <w:t>1</w:t>
            </w:r>
            <w:r w:rsidRPr="005171F7">
              <w:rPr>
                <w:rFonts w:cs="Arial"/>
                <w:szCs w:val="14"/>
                <w:vertAlign w:val="superscript"/>
              </w:rPr>
              <w:t>)</w:t>
            </w:r>
          </w:p>
        </w:tc>
        <w:tc>
          <w:tcPr>
            <w:tcW w:w="1359" w:type="dxa"/>
            <w:gridSpan w:val="2"/>
            <w:tcBorders>
              <w:top w:val="single" w:sz="2" w:space="0" w:color="1F4E79" w:themeColor="accent1" w:themeShade="80"/>
              <w:left w:val="nil"/>
              <w:bottom w:val="nil"/>
              <w:right w:val="nil"/>
            </w:tcBorders>
            <w:shd w:val="clear" w:color="auto" w:fill="auto"/>
            <w:vAlign w:val="center"/>
          </w:tcPr>
          <w:p w14:paraId="49D4EB23" w14:textId="77777777" w:rsidR="008B7E19" w:rsidRPr="00AE31F4" w:rsidRDefault="008B7E19" w:rsidP="008B7E19">
            <w:pPr>
              <w:pStyle w:val="08-Tabelageral"/>
            </w:pPr>
            <w:r>
              <w:t>228</w:t>
            </w:r>
          </w:p>
        </w:tc>
        <w:tc>
          <w:tcPr>
            <w:tcW w:w="1359" w:type="dxa"/>
            <w:gridSpan w:val="2"/>
            <w:tcBorders>
              <w:top w:val="single" w:sz="2" w:space="0" w:color="1F4E79" w:themeColor="accent1" w:themeShade="80"/>
              <w:left w:val="nil"/>
              <w:bottom w:val="nil"/>
              <w:right w:val="nil"/>
            </w:tcBorders>
            <w:shd w:val="clear" w:color="auto" w:fill="auto"/>
            <w:vAlign w:val="center"/>
          </w:tcPr>
          <w:p w14:paraId="084D7815" w14:textId="77777777" w:rsidR="008B7E19" w:rsidRPr="00AE31F4" w:rsidRDefault="008B7E19" w:rsidP="008B7E19">
            <w:pPr>
              <w:pStyle w:val="08-Tabelageral"/>
            </w:pPr>
            <w:r w:rsidRPr="0016027D">
              <w:t>60</w:t>
            </w:r>
          </w:p>
        </w:tc>
        <w:tc>
          <w:tcPr>
            <w:tcW w:w="236" w:type="dxa"/>
            <w:gridSpan w:val="3"/>
            <w:tcBorders>
              <w:top w:val="single" w:sz="2" w:space="0" w:color="1F4E79" w:themeColor="accent1" w:themeShade="80"/>
              <w:left w:val="nil"/>
              <w:bottom w:val="nil"/>
              <w:right w:val="nil"/>
            </w:tcBorders>
            <w:shd w:val="clear" w:color="auto" w:fill="auto"/>
            <w:vAlign w:val="center"/>
          </w:tcPr>
          <w:p w14:paraId="1F04735B" w14:textId="77777777" w:rsidR="008B7E19" w:rsidRPr="00AE31F4" w:rsidRDefault="008B7E19" w:rsidP="008B7E19">
            <w:pPr>
              <w:pStyle w:val="08-Tabelageral"/>
            </w:pPr>
          </w:p>
        </w:tc>
        <w:tc>
          <w:tcPr>
            <w:tcW w:w="1407" w:type="dxa"/>
            <w:gridSpan w:val="3"/>
            <w:tcBorders>
              <w:top w:val="single" w:sz="2" w:space="0" w:color="1F4E79" w:themeColor="accent1" w:themeShade="80"/>
              <w:left w:val="nil"/>
              <w:bottom w:val="nil"/>
              <w:right w:val="nil"/>
            </w:tcBorders>
            <w:shd w:val="clear" w:color="auto" w:fill="auto"/>
            <w:vAlign w:val="center"/>
          </w:tcPr>
          <w:p w14:paraId="08CA269B" w14:textId="77777777" w:rsidR="008B7E19" w:rsidRPr="00AE31F4" w:rsidRDefault="008B7E19" w:rsidP="008B7E19">
            <w:pPr>
              <w:pStyle w:val="08-Tabelageral"/>
            </w:pPr>
            <w:r>
              <w:t>228</w:t>
            </w:r>
          </w:p>
        </w:tc>
        <w:tc>
          <w:tcPr>
            <w:tcW w:w="1351" w:type="dxa"/>
            <w:gridSpan w:val="2"/>
            <w:tcBorders>
              <w:top w:val="single" w:sz="2" w:space="0" w:color="1F4E79" w:themeColor="accent1" w:themeShade="80"/>
              <w:left w:val="nil"/>
              <w:bottom w:val="nil"/>
              <w:right w:val="nil"/>
            </w:tcBorders>
            <w:shd w:val="clear" w:color="auto" w:fill="auto"/>
            <w:vAlign w:val="center"/>
          </w:tcPr>
          <w:p w14:paraId="4E37B2CB" w14:textId="77777777" w:rsidR="008B7E19" w:rsidRPr="00AE31F4" w:rsidRDefault="008B7E19" w:rsidP="008B7E19">
            <w:pPr>
              <w:pStyle w:val="08-Tabelageral"/>
            </w:pPr>
            <w:r w:rsidRPr="0016027D">
              <w:t>60</w:t>
            </w:r>
          </w:p>
        </w:tc>
      </w:tr>
      <w:tr w:rsidR="008B7E19" w:rsidRPr="005171F7" w14:paraId="5D513664" w14:textId="77777777" w:rsidTr="008B7E19">
        <w:trPr>
          <w:trHeight w:val="20"/>
          <w:jc w:val="center"/>
        </w:trPr>
        <w:tc>
          <w:tcPr>
            <w:tcW w:w="3936" w:type="dxa"/>
            <w:gridSpan w:val="2"/>
            <w:shd w:val="clear" w:color="auto" w:fill="auto"/>
            <w:vAlign w:val="center"/>
          </w:tcPr>
          <w:p w14:paraId="3C2FBFD0" w14:textId="77777777" w:rsidR="008B7E19" w:rsidRPr="005171F7" w:rsidRDefault="008B7E19" w:rsidP="008B7E19">
            <w:pPr>
              <w:pStyle w:val="08-Tabelageral"/>
              <w:ind w:left="113"/>
              <w:jc w:val="left"/>
              <w:rPr>
                <w:rFonts w:cs="Arial"/>
                <w:szCs w:val="14"/>
              </w:rPr>
            </w:pPr>
            <w:r w:rsidRPr="00A2009E">
              <w:rPr>
                <w:rFonts w:cs="Arial"/>
                <w:szCs w:val="14"/>
              </w:rPr>
              <w:t>(Addition)/Reversal of provisions for labor, tax and civil lawsuits</w:t>
            </w:r>
            <w:r>
              <w:rPr>
                <w:rFonts w:cs="Arial"/>
                <w:szCs w:val="14"/>
              </w:rPr>
              <w:t xml:space="preserve"> </w:t>
            </w:r>
            <w:r w:rsidRPr="00B12CC6">
              <w:rPr>
                <w:rFonts w:cs="Arial"/>
                <w:szCs w:val="14"/>
                <w:vertAlign w:val="superscript"/>
              </w:rPr>
              <w:t>(2)</w:t>
            </w:r>
          </w:p>
        </w:tc>
        <w:tc>
          <w:tcPr>
            <w:tcW w:w="1359" w:type="dxa"/>
            <w:gridSpan w:val="2"/>
            <w:tcBorders>
              <w:top w:val="nil"/>
            </w:tcBorders>
            <w:shd w:val="clear" w:color="auto" w:fill="auto"/>
            <w:vAlign w:val="center"/>
          </w:tcPr>
          <w:p w14:paraId="0EDE5633" w14:textId="77777777" w:rsidR="008B7E19" w:rsidRPr="00AE31F4" w:rsidRDefault="008B7E19" w:rsidP="008B7E19">
            <w:pPr>
              <w:pStyle w:val="08-Tabelageral"/>
            </w:pPr>
            <w:r>
              <w:t>(60)</w:t>
            </w:r>
          </w:p>
        </w:tc>
        <w:tc>
          <w:tcPr>
            <w:tcW w:w="1359" w:type="dxa"/>
            <w:gridSpan w:val="2"/>
            <w:tcBorders>
              <w:top w:val="nil"/>
            </w:tcBorders>
            <w:shd w:val="clear" w:color="auto" w:fill="auto"/>
            <w:vAlign w:val="center"/>
          </w:tcPr>
          <w:p w14:paraId="029D8885" w14:textId="77777777" w:rsidR="008B7E19" w:rsidRPr="00AE31F4" w:rsidRDefault="008B7E19" w:rsidP="008B7E19">
            <w:pPr>
              <w:pStyle w:val="08-Tabelageral"/>
            </w:pPr>
            <w:r>
              <w:t>--</w:t>
            </w:r>
          </w:p>
        </w:tc>
        <w:tc>
          <w:tcPr>
            <w:tcW w:w="236" w:type="dxa"/>
            <w:gridSpan w:val="3"/>
            <w:tcBorders>
              <w:top w:val="nil"/>
            </w:tcBorders>
            <w:shd w:val="clear" w:color="auto" w:fill="auto"/>
            <w:vAlign w:val="center"/>
          </w:tcPr>
          <w:p w14:paraId="708B0D50" w14:textId="77777777" w:rsidR="008B7E19" w:rsidRPr="00AE31F4" w:rsidRDefault="008B7E19" w:rsidP="008B7E19">
            <w:pPr>
              <w:pStyle w:val="08-Tabelageral"/>
            </w:pPr>
          </w:p>
        </w:tc>
        <w:tc>
          <w:tcPr>
            <w:tcW w:w="1407" w:type="dxa"/>
            <w:gridSpan w:val="3"/>
            <w:tcBorders>
              <w:top w:val="nil"/>
            </w:tcBorders>
            <w:shd w:val="clear" w:color="auto" w:fill="auto"/>
            <w:vAlign w:val="center"/>
          </w:tcPr>
          <w:p w14:paraId="218A9C58" w14:textId="77777777" w:rsidR="008B7E19" w:rsidRPr="00AE31F4" w:rsidRDefault="008B7E19" w:rsidP="008B7E19">
            <w:pPr>
              <w:pStyle w:val="08-Tabelageral"/>
            </w:pPr>
            <w:r>
              <w:t>(9,581)</w:t>
            </w:r>
          </w:p>
        </w:tc>
        <w:tc>
          <w:tcPr>
            <w:tcW w:w="1351" w:type="dxa"/>
            <w:gridSpan w:val="2"/>
            <w:tcBorders>
              <w:top w:val="nil"/>
            </w:tcBorders>
            <w:shd w:val="clear" w:color="auto" w:fill="auto"/>
            <w:vAlign w:val="center"/>
          </w:tcPr>
          <w:p w14:paraId="5D9CA420" w14:textId="77777777" w:rsidR="008B7E19" w:rsidRPr="00AE31F4" w:rsidRDefault="008B7E19" w:rsidP="008B7E19">
            <w:pPr>
              <w:pStyle w:val="08-Tabelageral"/>
            </w:pPr>
            <w:r>
              <w:t>150</w:t>
            </w:r>
          </w:p>
        </w:tc>
      </w:tr>
      <w:tr w:rsidR="008B7E19" w:rsidRPr="005171F7" w14:paraId="5752F9B0" w14:textId="77777777" w:rsidTr="008B7E19">
        <w:trPr>
          <w:trHeight w:val="20"/>
          <w:jc w:val="center"/>
        </w:trPr>
        <w:tc>
          <w:tcPr>
            <w:tcW w:w="3936" w:type="dxa"/>
            <w:gridSpan w:val="2"/>
            <w:shd w:val="clear" w:color="auto" w:fill="auto"/>
            <w:vAlign w:val="center"/>
          </w:tcPr>
          <w:p w14:paraId="0FA08135" w14:textId="77777777" w:rsidR="008B7E19" w:rsidRPr="005171F7" w:rsidRDefault="008B7E19" w:rsidP="008B7E19">
            <w:pPr>
              <w:pStyle w:val="08-Tabelageral"/>
              <w:ind w:left="113"/>
              <w:jc w:val="left"/>
              <w:rPr>
                <w:rFonts w:cs="Arial"/>
                <w:szCs w:val="14"/>
              </w:rPr>
            </w:pPr>
            <w:r w:rsidRPr="00A2009E">
              <w:rPr>
                <w:rFonts w:cs="Arial"/>
                <w:szCs w:val="14"/>
              </w:rPr>
              <w:t>Depreciation/amortization expense</w:t>
            </w:r>
          </w:p>
        </w:tc>
        <w:tc>
          <w:tcPr>
            <w:tcW w:w="1359" w:type="dxa"/>
            <w:gridSpan w:val="2"/>
            <w:shd w:val="clear" w:color="auto" w:fill="auto"/>
            <w:vAlign w:val="center"/>
          </w:tcPr>
          <w:p w14:paraId="1B8990CB" w14:textId="77777777" w:rsidR="008B7E19" w:rsidRPr="00AE31F4" w:rsidRDefault="008B7E19" w:rsidP="008B7E19">
            <w:pPr>
              <w:pStyle w:val="08-Tabelageral"/>
            </w:pPr>
            <w:r>
              <w:t>(42)</w:t>
            </w:r>
          </w:p>
        </w:tc>
        <w:tc>
          <w:tcPr>
            <w:tcW w:w="1359" w:type="dxa"/>
            <w:gridSpan w:val="2"/>
            <w:shd w:val="clear" w:color="auto" w:fill="auto"/>
            <w:vAlign w:val="center"/>
          </w:tcPr>
          <w:p w14:paraId="07847A9D" w14:textId="77777777" w:rsidR="008B7E19" w:rsidRPr="00AE31F4" w:rsidRDefault="008B7E19" w:rsidP="008B7E19">
            <w:pPr>
              <w:pStyle w:val="08-Tabelageral"/>
            </w:pPr>
            <w:r>
              <w:t>(38)</w:t>
            </w:r>
          </w:p>
        </w:tc>
        <w:tc>
          <w:tcPr>
            <w:tcW w:w="236" w:type="dxa"/>
            <w:gridSpan w:val="3"/>
            <w:shd w:val="clear" w:color="auto" w:fill="auto"/>
            <w:vAlign w:val="center"/>
          </w:tcPr>
          <w:p w14:paraId="00609BBA" w14:textId="77777777" w:rsidR="008B7E19" w:rsidRPr="00AE31F4" w:rsidRDefault="008B7E19" w:rsidP="008B7E19">
            <w:pPr>
              <w:pStyle w:val="08-Tabelageral"/>
            </w:pPr>
          </w:p>
        </w:tc>
        <w:tc>
          <w:tcPr>
            <w:tcW w:w="1407" w:type="dxa"/>
            <w:gridSpan w:val="3"/>
            <w:shd w:val="clear" w:color="auto" w:fill="auto"/>
            <w:vAlign w:val="center"/>
          </w:tcPr>
          <w:p w14:paraId="1542D503" w14:textId="77777777" w:rsidR="008B7E19" w:rsidRPr="00AE31F4" w:rsidRDefault="008B7E19" w:rsidP="008B7E19">
            <w:pPr>
              <w:pStyle w:val="08-Tabelageral"/>
            </w:pPr>
            <w:r>
              <w:t>(325)</w:t>
            </w:r>
          </w:p>
        </w:tc>
        <w:tc>
          <w:tcPr>
            <w:tcW w:w="1351" w:type="dxa"/>
            <w:gridSpan w:val="2"/>
            <w:shd w:val="clear" w:color="auto" w:fill="auto"/>
            <w:vAlign w:val="center"/>
          </w:tcPr>
          <w:p w14:paraId="3FF28E89" w14:textId="77777777" w:rsidR="008B7E19" w:rsidRPr="00AE31F4" w:rsidRDefault="008B7E19" w:rsidP="008B7E19">
            <w:pPr>
              <w:pStyle w:val="08-Tabelageral"/>
            </w:pPr>
            <w:r>
              <w:t>(314)</w:t>
            </w:r>
          </w:p>
        </w:tc>
      </w:tr>
      <w:tr w:rsidR="008B7E19" w:rsidRPr="005171F7" w14:paraId="49DFCFDB" w14:textId="77777777" w:rsidTr="008B7E19">
        <w:trPr>
          <w:trHeight w:val="20"/>
          <w:jc w:val="center"/>
        </w:trPr>
        <w:tc>
          <w:tcPr>
            <w:tcW w:w="3936" w:type="dxa"/>
            <w:gridSpan w:val="2"/>
            <w:shd w:val="clear" w:color="auto" w:fill="auto"/>
            <w:vAlign w:val="center"/>
          </w:tcPr>
          <w:p w14:paraId="2541B1C7" w14:textId="77777777" w:rsidR="008B7E19" w:rsidRPr="005171F7" w:rsidRDefault="008B7E19" w:rsidP="008B7E19">
            <w:pPr>
              <w:pStyle w:val="08-Tabelageral"/>
              <w:ind w:left="113"/>
              <w:jc w:val="left"/>
              <w:rPr>
                <w:rFonts w:cs="Arial"/>
                <w:szCs w:val="14"/>
              </w:rPr>
            </w:pPr>
            <w:r w:rsidRPr="00A2009E">
              <w:rPr>
                <w:rFonts w:cs="Arial"/>
                <w:szCs w:val="14"/>
              </w:rPr>
              <w:t>Income/(expense) earn in earn out</w:t>
            </w:r>
            <w:r w:rsidRPr="005171F7">
              <w:rPr>
                <w:rFonts w:cs="Arial"/>
                <w:szCs w:val="14"/>
              </w:rPr>
              <w:t xml:space="preserve"> </w:t>
            </w:r>
            <w:r w:rsidRPr="005171F7">
              <w:rPr>
                <w:rFonts w:cs="Arial"/>
                <w:szCs w:val="14"/>
                <w:vertAlign w:val="superscript"/>
              </w:rPr>
              <w:t>(</w:t>
            </w:r>
            <w:r>
              <w:rPr>
                <w:rFonts w:cs="Arial"/>
                <w:szCs w:val="14"/>
                <w:vertAlign w:val="superscript"/>
              </w:rPr>
              <w:t>3</w:t>
            </w:r>
            <w:r w:rsidRPr="005171F7">
              <w:rPr>
                <w:rFonts w:cs="Arial"/>
                <w:szCs w:val="14"/>
                <w:vertAlign w:val="superscript"/>
              </w:rPr>
              <w:t>)</w:t>
            </w:r>
          </w:p>
        </w:tc>
        <w:tc>
          <w:tcPr>
            <w:tcW w:w="1359" w:type="dxa"/>
            <w:gridSpan w:val="2"/>
            <w:shd w:val="clear" w:color="auto" w:fill="auto"/>
            <w:vAlign w:val="center"/>
          </w:tcPr>
          <w:p w14:paraId="644DD4CA" w14:textId="77777777" w:rsidR="008B7E19" w:rsidRPr="00AE31F4" w:rsidRDefault="008B7E19" w:rsidP="008B7E19">
            <w:pPr>
              <w:pStyle w:val="08-Tabelageral"/>
            </w:pPr>
            <w:r>
              <w:t>--</w:t>
            </w:r>
          </w:p>
        </w:tc>
        <w:tc>
          <w:tcPr>
            <w:tcW w:w="1359" w:type="dxa"/>
            <w:gridSpan w:val="2"/>
            <w:shd w:val="clear" w:color="auto" w:fill="auto"/>
            <w:vAlign w:val="center"/>
          </w:tcPr>
          <w:p w14:paraId="18E93DC0" w14:textId="77777777" w:rsidR="008B7E19" w:rsidRPr="00AE31F4" w:rsidRDefault="008B7E19" w:rsidP="008B7E19">
            <w:pPr>
              <w:pStyle w:val="08-Tabelageral"/>
            </w:pPr>
            <w:r>
              <w:t>--</w:t>
            </w:r>
          </w:p>
        </w:tc>
        <w:tc>
          <w:tcPr>
            <w:tcW w:w="236" w:type="dxa"/>
            <w:gridSpan w:val="3"/>
            <w:shd w:val="clear" w:color="auto" w:fill="auto"/>
            <w:vAlign w:val="center"/>
          </w:tcPr>
          <w:p w14:paraId="46F2A599" w14:textId="77777777" w:rsidR="008B7E19" w:rsidRPr="00AE31F4" w:rsidRDefault="008B7E19" w:rsidP="008B7E19">
            <w:pPr>
              <w:pStyle w:val="08-Tabelageral"/>
            </w:pPr>
          </w:p>
        </w:tc>
        <w:tc>
          <w:tcPr>
            <w:tcW w:w="1407" w:type="dxa"/>
            <w:gridSpan w:val="3"/>
            <w:shd w:val="clear" w:color="auto" w:fill="auto"/>
            <w:vAlign w:val="center"/>
          </w:tcPr>
          <w:p w14:paraId="65C7B6EC" w14:textId="77777777" w:rsidR="008B7E19" w:rsidRPr="00AE31F4" w:rsidRDefault="008B7E19" w:rsidP="008B7E19">
            <w:pPr>
              <w:pStyle w:val="08-Tabelageral"/>
            </w:pPr>
            <w:r>
              <w:t>--</w:t>
            </w:r>
          </w:p>
        </w:tc>
        <w:tc>
          <w:tcPr>
            <w:tcW w:w="1351" w:type="dxa"/>
            <w:gridSpan w:val="2"/>
            <w:shd w:val="clear" w:color="auto" w:fill="auto"/>
            <w:vAlign w:val="center"/>
          </w:tcPr>
          <w:p w14:paraId="39C15B7E" w14:textId="77777777" w:rsidR="008B7E19" w:rsidRPr="00AE31F4" w:rsidRDefault="008B7E19" w:rsidP="008B7E19">
            <w:pPr>
              <w:pStyle w:val="08-Tabelageral"/>
            </w:pPr>
            <w:r>
              <w:t>(5,331)</w:t>
            </w:r>
          </w:p>
        </w:tc>
      </w:tr>
      <w:tr w:rsidR="008B7E19" w:rsidRPr="005171F7" w14:paraId="79342861" w14:textId="77777777" w:rsidTr="008B7E19">
        <w:trPr>
          <w:trHeight w:val="20"/>
          <w:jc w:val="center"/>
        </w:trPr>
        <w:tc>
          <w:tcPr>
            <w:tcW w:w="3936" w:type="dxa"/>
            <w:gridSpan w:val="2"/>
            <w:shd w:val="clear" w:color="auto" w:fill="auto"/>
            <w:vAlign w:val="center"/>
          </w:tcPr>
          <w:p w14:paraId="2A35F1A8" w14:textId="77777777" w:rsidR="008B7E19" w:rsidRDefault="008B7E19" w:rsidP="008B7E19">
            <w:pPr>
              <w:pStyle w:val="08-Tabelageral"/>
              <w:ind w:left="113"/>
              <w:jc w:val="left"/>
              <w:rPr>
                <w:rFonts w:cs="Arial"/>
                <w:szCs w:val="14"/>
              </w:rPr>
            </w:pPr>
            <w:r w:rsidRPr="00763E89">
              <w:rPr>
                <w:rFonts w:cs="Arial"/>
                <w:szCs w:val="14"/>
              </w:rPr>
              <w:t xml:space="preserve">Provision for brokerage to returned </w:t>
            </w:r>
            <w:r w:rsidRPr="00763E89">
              <w:rPr>
                <w:rFonts w:cs="Arial"/>
                <w:szCs w:val="14"/>
                <w:vertAlign w:val="superscript"/>
              </w:rPr>
              <w:t>(</w:t>
            </w:r>
            <w:r>
              <w:rPr>
                <w:rFonts w:cs="Arial"/>
                <w:szCs w:val="14"/>
                <w:vertAlign w:val="superscript"/>
              </w:rPr>
              <w:t>4</w:t>
            </w:r>
            <w:r w:rsidRPr="00763E89">
              <w:rPr>
                <w:rFonts w:cs="Arial"/>
                <w:szCs w:val="14"/>
                <w:vertAlign w:val="superscript"/>
              </w:rPr>
              <w:t>)</w:t>
            </w:r>
          </w:p>
        </w:tc>
        <w:tc>
          <w:tcPr>
            <w:tcW w:w="1359" w:type="dxa"/>
            <w:gridSpan w:val="2"/>
            <w:tcBorders>
              <w:bottom w:val="nil"/>
            </w:tcBorders>
            <w:shd w:val="clear" w:color="auto" w:fill="auto"/>
            <w:vAlign w:val="center"/>
          </w:tcPr>
          <w:p w14:paraId="72847F7D" w14:textId="77777777" w:rsidR="008B7E19" w:rsidRDefault="008B7E19" w:rsidP="008B7E19">
            <w:pPr>
              <w:pStyle w:val="08-Tabelageral"/>
            </w:pPr>
            <w:r>
              <w:t>--</w:t>
            </w:r>
          </w:p>
        </w:tc>
        <w:tc>
          <w:tcPr>
            <w:tcW w:w="1359" w:type="dxa"/>
            <w:gridSpan w:val="2"/>
            <w:tcBorders>
              <w:bottom w:val="nil"/>
            </w:tcBorders>
            <w:shd w:val="clear" w:color="auto" w:fill="auto"/>
            <w:vAlign w:val="center"/>
          </w:tcPr>
          <w:p w14:paraId="601BC6DC" w14:textId="77777777" w:rsidR="008B7E19" w:rsidRDefault="008B7E19" w:rsidP="008B7E19">
            <w:pPr>
              <w:pStyle w:val="08-Tabelageral"/>
            </w:pPr>
            <w:r>
              <w:t>--</w:t>
            </w:r>
          </w:p>
        </w:tc>
        <w:tc>
          <w:tcPr>
            <w:tcW w:w="236" w:type="dxa"/>
            <w:gridSpan w:val="3"/>
            <w:tcBorders>
              <w:bottom w:val="nil"/>
            </w:tcBorders>
            <w:shd w:val="clear" w:color="auto" w:fill="auto"/>
            <w:vAlign w:val="center"/>
          </w:tcPr>
          <w:p w14:paraId="24A8C7DB" w14:textId="77777777" w:rsidR="008B7E19" w:rsidRPr="00AE31F4" w:rsidRDefault="008B7E19" w:rsidP="008B7E19">
            <w:pPr>
              <w:pStyle w:val="08-Tabelageral"/>
            </w:pPr>
          </w:p>
        </w:tc>
        <w:tc>
          <w:tcPr>
            <w:tcW w:w="1407" w:type="dxa"/>
            <w:gridSpan w:val="3"/>
            <w:tcBorders>
              <w:bottom w:val="nil"/>
            </w:tcBorders>
            <w:shd w:val="clear" w:color="auto" w:fill="auto"/>
            <w:vAlign w:val="center"/>
          </w:tcPr>
          <w:p w14:paraId="7A07DF8B" w14:textId="77777777" w:rsidR="008B7E19" w:rsidRDefault="008B7E19" w:rsidP="008B7E19">
            <w:pPr>
              <w:pStyle w:val="08-Tabelageral"/>
            </w:pPr>
            <w:r>
              <w:t>--</w:t>
            </w:r>
          </w:p>
        </w:tc>
        <w:tc>
          <w:tcPr>
            <w:tcW w:w="1351" w:type="dxa"/>
            <w:gridSpan w:val="2"/>
            <w:tcBorders>
              <w:bottom w:val="nil"/>
            </w:tcBorders>
            <w:shd w:val="clear" w:color="auto" w:fill="auto"/>
            <w:vAlign w:val="center"/>
          </w:tcPr>
          <w:p w14:paraId="1B17C02C" w14:textId="77777777" w:rsidR="008B7E19" w:rsidRDefault="008B7E19" w:rsidP="008B7E19">
            <w:pPr>
              <w:pStyle w:val="08-Tabelageral"/>
            </w:pPr>
            <w:r>
              <w:t>(9,824)</w:t>
            </w:r>
          </w:p>
        </w:tc>
      </w:tr>
      <w:tr w:rsidR="008B7E19" w:rsidRPr="005171F7" w14:paraId="29614468" w14:textId="77777777" w:rsidTr="008B7E19">
        <w:trPr>
          <w:trHeight w:val="20"/>
          <w:jc w:val="center"/>
        </w:trPr>
        <w:tc>
          <w:tcPr>
            <w:tcW w:w="3936" w:type="dxa"/>
            <w:gridSpan w:val="2"/>
            <w:shd w:val="clear" w:color="auto" w:fill="auto"/>
            <w:vAlign w:val="center"/>
          </w:tcPr>
          <w:p w14:paraId="60FE0D9E" w14:textId="77777777" w:rsidR="008B7E19" w:rsidRPr="005171F7" w:rsidRDefault="008B7E19" w:rsidP="008B7E19">
            <w:pPr>
              <w:pStyle w:val="08-Tabelageral"/>
              <w:ind w:left="113"/>
              <w:jc w:val="left"/>
              <w:rPr>
                <w:rFonts w:cs="Arial"/>
                <w:szCs w:val="14"/>
              </w:rPr>
            </w:pPr>
            <w:r>
              <w:rPr>
                <w:rFonts w:cs="Arial"/>
                <w:szCs w:val="14"/>
              </w:rPr>
              <w:t>Other</w:t>
            </w:r>
            <w:r w:rsidRPr="005171F7">
              <w:rPr>
                <w:rFonts w:cs="Arial"/>
                <w:szCs w:val="14"/>
              </w:rPr>
              <w:t xml:space="preserve"> </w:t>
            </w:r>
            <w:r w:rsidRPr="005171F7">
              <w:rPr>
                <w:rFonts w:cs="Arial"/>
                <w:szCs w:val="14"/>
                <w:vertAlign w:val="superscript"/>
              </w:rPr>
              <w:t>(</w:t>
            </w:r>
            <w:r>
              <w:rPr>
                <w:rFonts w:cs="Arial"/>
                <w:szCs w:val="14"/>
                <w:vertAlign w:val="superscript"/>
              </w:rPr>
              <w:t>3</w:t>
            </w:r>
            <w:r w:rsidRPr="005171F7">
              <w:rPr>
                <w:rFonts w:cs="Arial"/>
                <w:szCs w:val="14"/>
                <w:vertAlign w:val="superscript"/>
              </w:rPr>
              <w:t>)</w:t>
            </w:r>
          </w:p>
        </w:tc>
        <w:tc>
          <w:tcPr>
            <w:tcW w:w="1359" w:type="dxa"/>
            <w:gridSpan w:val="2"/>
            <w:tcBorders>
              <w:bottom w:val="nil"/>
            </w:tcBorders>
            <w:shd w:val="clear" w:color="auto" w:fill="auto"/>
            <w:vAlign w:val="center"/>
          </w:tcPr>
          <w:p w14:paraId="0D5D5452" w14:textId="77777777" w:rsidR="008B7E19" w:rsidRPr="00AE31F4" w:rsidRDefault="008B7E19" w:rsidP="008B7E19">
            <w:pPr>
              <w:pStyle w:val="08-Tabelageral"/>
            </w:pPr>
            <w:r>
              <w:t>(5)</w:t>
            </w:r>
          </w:p>
        </w:tc>
        <w:tc>
          <w:tcPr>
            <w:tcW w:w="1359" w:type="dxa"/>
            <w:gridSpan w:val="2"/>
            <w:tcBorders>
              <w:bottom w:val="nil"/>
            </w:tcBorders>
            <w:shd w:val="clear" w:color="auto" w:fill="auto"/>
            <w:vAlign w:val="center"/>
          </w:tcPr>
          <w:p w14:paraId="5078932C" w14:textId="77777777" w:rsidR="008B7E19" w:rsidRPr="00AE31F4" w:rsidRDefault="008B7E19" w:rsidP="008B7E19">
            <w:pPr>
              <w:pStyle w:val="08-Tabelageral"/>
            </w:pPr>
            <w:r>
              <w:t>(3)</w:t>
            </w:r>
          </w:p>
        </w:tc>
        <w:tc>
          <w:tcPr>
            <w:tcW w:w="236" w:type="dxa"/>
            <w:gridSpan w:val="3"/>
            <w:tcBorders>
              <w:bottom w:val="nil"/>
            </w:tcBorders>
            <w:shd w:val="clear" w:color="auto" w:fill="auto"/>
            <w:vAlign w:val="center"/>
          </w:tcPr>
          <w:p w14:paraId="3CB2E077" w14:textId="77777777" w:rsidR="008B7E19" w:rsidRPr="00AE31F4" w:rsidRDefault="008B7E19" w:rsidP="008B7E19">
            <w:pPr>
              <w:pStyle w:val="08-Tabelageral"/>
            </w:pPr>
          </w:p>
        </w:tc>
        <w:tc>
          <w:tcPr>
            <w:tcW w:w="1407" w:type="dxa"/>
            <w:gridSpan w:val="3"/>
            <w:tcBorders>
              <w:bottom w:val="nil"/>
            </w:tcBorders>
            <w:shd w:val="clear" w:color="auto" w:fill="auto"/>
            <w:vAlign w:val="center"/>
          </w:tcPr>
          <w:p w14:paraId="355A1B22" w14:textId="77777777" w:rsidR="008B7E19" w:rsidRPr="00AE31F4" w:rsidRDefault="008B7E19" w:rsidP="008B7E19">
            <w:pPr>
              <w:pStyle w:val="08-Tabelageral"/>
            </w:pPr>
            <w:r>
              <w:t>1,398</w:t>
            </w:r>
          </w:p>
        </w:tc>
        <w:tc>
          <w:tcPr>
            <w:tcW w:w="1351" w:type="dxa"/>
            <w:gridSpan w:val="2"/>
            <w:tcBorders>
              <w:bottom w:val="nil"/>
            </w:tcBorders>
            <w:shd w:val="clear" w:color="auto" w:fill="auto"/>
            <w:vAlign w:val="center"/>
          </w:tcPr>
          <w:p w14:paraId="5CCFC263" w14:textId="77777777" w:rsidR="008B7E19" w:rsidRPr="00AE31F4" w:rsidRDefault="008B7E19" w:rsidP="008B7E19">
            <w:pPr>
              <w:pStyle w:val="08-Tabelageral"/>
            </w:pPr>
            <w:r>
              <w:t>(8)</w:t>
            </w:r>
          </w:p>
        </w:tc>
      </w:tr>
      <w:tr w:rsidR="008B7E19" w:rsidRPr="007D1ACC" w14:paraId="368BF902" w14:textId="77777777" w:rsidTr="008B7E19">
        <w:trPr>
          <w:trHeight w:val="20"/>
          <w:jc w:val="center"/>
        </w:trPr>
        <w:tc>
          <w:tcPr>
            <w:tcW w:w="3936" w:type="dxa"/>
            <w:gridSpan w:val="2"/>
            <w:shd w:val="clear" w:color="auto" w:fill="auto"/>
          </w:tcPr>
          <w:p w14:paraId="138A079A" w14:textId="77777777" w:rsidR="008B7E19" w:rsidRPr="007D1ACC" w:rsidRDefault="008B7E19" w:rsidP="008B7E19">
            <w:pPr>
              <w:pStyle w:val="08-Tabelageral"/>
              <w:ind w:left="113"/>
              <w:jc w:val="left"/>
              <w:rPr>
                <w:rFonts w:cs="Arial"/>
                <w:b/>
                <w:szCs w:val="14"/>
              </w:rPr>
            </w:pPr>
            <w:r w:rsidRPr="007D1ACC">
              <w:rPr>
                <w:rFonts w:cs="Arial"/>
                <w:b/>
                <w:szCs w:val="14"/>
              </w:rPr>
              <w:t>Total</w:t>
            </w:r>
          </w:p>
        </w:tc>
        <w:tc>
          <w:tcPr>
            <w:tcW w:w="1359" w:type="dxa"/>
            <w:gridSpan w:val="2"/>
            <w:tcBorders>
              <w:top w:val="nil"/>
              <w:bottom w:val="single" w:sz="2" w:space="0" w:color="1F4E79" w:themeColor="accent1" w:themeShade="80"/>
            </w:tcBorders>
            <w:shd w:val="clear" w:color="auto" w:fill="auto"/>
            <w:vAlign w:val="center"/>
          </w:tcPr>
          <w:p w14:paraId="31524CCD" w14:textId="77777777" w:rsidR="008B7E19" w:rsidRPr="007D1ACC" w:rsidRDefault="008B7E19" w:rsidP="008B7E19">
            <w:pPr>
              <w:pStyle w:val="08-Tabelageral"/>
              <w:ind w:left="113"/>
              <w:rPr>
                <w:rFonts w:cs="Arial"/>
                <w:b/>
                <w:szCs w:val="14"/>
              </w:rPr>
            </w:pPr>
            <w:r>
              <w:rPr>
                <w:b/>
              </w:rPr>
              <w:t>121</w:t>
            </w:r>
          </w:p>
        </w:tc>
        <w:tc>
          <w:tcPr>
            <w:tcW w:w="1359" w:type="dxa"/>
            <w:gridSpan w:val="2"/>
            <w:tcBorders>
              <w:top w:val="nil"/>
              <w:bottom w:val="single" w:sz="2" w:space="0" w:color="1F4E79" w:themeColor="accent1" w:themeShade="80"/>
            </w:tcBorders>
            <w:shd w:val="clear" w:color="auto" w:fill="auto"/>
            <w:vAlign w:val="center"/>
          </w:tcPr>
          <w:p w14:paraId="3D59349B" w14:textId="77777777" w:rsidR="008B7E19" w:rsidRPr="007D1ACC" w:rsidRDefault="008B7E19" w:rsidP="008B7E19">
            <w:pPr>
              <w:pStyle w:val="08-Tabelageral"/>
              <w:ind w:left="113"/>
              <w:rPr>
                <w:rFonts w:cs="Arial"/>
                <w:b/>
                <w:szCs w:val="14"/>
              </w:rPr>
            </w:pPr>
            <w:r>
              <w:rPr>
                <w:b/>
              </w:rPr>
              <w:t>19</w:t>
            </w:r>
          </w:p>
        </w:tc>
        <w:tc>
          <w:tcPr>
            <w:tcW w:w="236" w:type="dxa"/>
            <w:gridSpan w:val="3"/>
            <w:tcBorders>
              <w:top w:val="nil"/>
              <w:bottom w:val="single" w:sz="2" w:space="0" w:color="1F4E79" w:themeColor="accent1" w:themeShade="80"/>
            </w:tcBorders>
            <w:shd w:val="clear" w:color="auto" w:fill="auto"/>
            <w:vAlign w:val="center"/>
          </w:tcPr>
          <w:p w14:paraId="2243F9E0" w14:textId="77777777" w:rsidR="008B7E19" w:rsidRPr="007D1ACC" w:rsidRDefault="008B7E19" w:rsidP="008B7E19">
            <w:pPr>
              <w:pStyle w:val="08-Tabelageral"/>
              <w:ind w:left="113"/>
              <w:rPr>
                <w:rFonts w:cs="Arial"/>
                <w:b/>
                <w:szCs w:val="14"/>
              </w:rPr>
            </w:pPr>
          </w:p>
        </w:tc>
        <w:tc>
          <w:tcPr>
            <w:tcW w:w="1407" w:type="dxa"/>
            <w:gridSpan w:val="3"/>
            <w:tcBorders>
              <w:top w:val="nil"/>
              <w:bottom w:val="single" w:sz="2" w:space="0" w:color="1F4E79" w:themeColor="accent1" w:themeShade="80"/>
            </w:tcBorders>
            <w:shd w:val="clear" w:color="auto" w:fill="auto"/>
            <w:vAlign w:val="center"/>
          </w:tcPr>
          <w:p w14:paraId="24D5B881" w14:textId="77777777" w:rsidR="008B7E19" w:rsidRPr="007D1ACC" w:rsidRDefault="008B7E19" w:rsidP="008B7E19">
            <w:pPr>
              <w:pStyle w:val="08-Tabelageral"/>
              <w:ind w:left="113"/>
              <w:rPr>
                <w:rFonts w:cs="Arial"/>
                <w:b/>
                <w:szCs w:val="14"/>
              </w:rPr>
            </w:pPr>
            <w:r>
              <w:rPr>
                <w:b/>
              </w:rPr>
              <w:t>(8,280)</w:t>
            </w:r>
          </w:p>
        </w:tc>
        <w:tc>
          <w:tcPr>
            <w:tcW w:w="1351" w:type="dxa"/>
            <w:gridSpan w:val="2"/>
            <w:tcBorders>
              <w:top w:val="nil"/>
              <w:bottom w:val="single" w:sz="2" w:space="0" w:color="1F4E79" w:themeColor="accent1" w:themeShade="80"/>
            </w:tcBorders>
            <w:shd w:val="clear" w:color="auto" w:fill="auto"/>
            <w:vAlign w:val="center"/>
          </w:tcPr>
          <w:p w14:paraId="3613F432" w14:textId="77777777" w:rsidR="008B7E19" w:rsidRPr="007D1ACC" w:rsidRDefault="008B7E19" w:rsidP="008B7E19">
            <w:pPr>
              <w:pStyle w:val="08-Tabelageral"/>
              <w:ind w:left="113"/>
              <w:rPr>
                <w:rFonts w:cs="Arial"/>
                <w:b/>
                <w:szCs w:val="14"/>
              </w:rPr>
            </w:pPr>
            <w:r>
              <w:rPr>
                <w:b/>
              </w:rPr>
              <w:t>(15,267)</w:t>
            </w:r>
          </w:p>
        </w:tc>
      </w:tr>
    </w:tbl>
    <w:p w14:paraId="32DC8936" w14:textId="77777777" w:rsidR="008B7E19" w:rsidRDefault="008B7E19" w:rsidP="00882B41">
      <w:pPr>
        <w:pStyle w:val="07-Legenda"/>
        <w:numPr>
          <w:ilvl w:val="0"/>
          <w:numId w:val="21"/>
        </w:numPr>
        <w:tabs>
          <w:tab w:val="clear" w:pos="284"/>
        </w:tabs>
        <w:ind w:left="284"/>
        <w:rPr>
          <w:rStyle w:val="tlid-translation"/>
          <w:lang w:val="en"/>
        </w:rPr>
      </w:pPr>
      <w:r>
        <w:rPr>
          <w:rStyle w:val="tlid-translation"/>
          <w:lang w:val="en"/>
        </w:rPr>
        <w:t>R</w:t>
      </w:r>
      <w:r w:rsidRPr="00F26745">
        <w:rPr>
          <w:rStyle w:val="tlid-translation"/>
          <w:lang w:val="en"/>
        </w:rPr>
        <w:t>efers to the sharing, by the depositary bank of the ADR Level I program, of the income from issuance fees, cancellation and processing of dividends charged to investors holding ADRs (American Depositary Receipts) of BB Seguridade, with the purpose of defray Program expenses.</w:t>
      </w:r>
    </w:p>
    <w:p w14:paraId="51889B08" w14:textId="77777777" w:rsidR="008B7E19" w:rsidRPr="00F26745" w:rsidRDefault="008B7E19" w:rsidP="00882B41">
      <w:pPr>
        <w:pStyle w:val="07-Legenda"/>
        <w:numPr>
          <w:ilvl w:val="0"/>
          <w:numId w:val="21"/>
        </w:numPr>
        <w:tabs>
          <w:tab w:val="clear" w:pos="284"/>
        </w:tabs>
        <w:ind w:left="284"/>
        <w:rPr>
          <w:rStyle w:val="tlid-translation"/>
          <w:lang w:val="en"/>
        </w:rPr>
      </w:pPr>
      <w:bookmarkStart w:id="41" w:name="_Hlk141895974"/>
      <w:r w:rsidRPr="002365C9">
        <w:rPr>
          <w:rStyle w:val="tlid-translation"/>
          <w:lang w:val="en"/>
        </w:rPr>
        <w:t xml:space="preserve">There was, in addition to an increase in the volume of civil claims, a review of the classification of existing lawsuits, with an increase in the likelihood of loss. In the period, the increase in the total number of these processes was 7.9%. The proportion of these lawsuits classified as a probable loss, in relation to the total number of lawsuits, is approximately 57.8% (26.9% on </w:t>
      </w:r>
      <w:r>
        <w:rPr>
          <w:rStyle w:val="tlid-translation"/>
          <w:lang w:val="en"/>
        </w:rPr>
        <w:t xml:space="preserve">December 31, </w:t>
      </w:r>
      <w:r w:rsidRPr="002365C9">
        <w:rPr>
          <w:rStyle w:val="tlid-translation"/>
          <w:lang w:val="en"/>
        </w:rPr>
        <w:t>2022).</w:t>
      </w:r>
    </w:p>
    <w:bookmarkEnd w:id="41"/>
    <w:p w14:paraId="00B06783" w14:textId="77777777" w:rsidR="008B7E19" w:rsidRPr="00CB6A4B" w:rsidRDefault="008B7E19" w:rsidP="00882B41">
      <w:pPr>
        <w:pStyle w:val="07-Legenda"/>
        <w:numPr>
          <w:ilvl w:val="0"/>
          <w:numId w:val="21"/>
        </w:numPr>
        <w:tabs>
          <w:tab w:val="clear" w:pos="284"/>
        </w:tabs>
        <w:ind w:left="284"/>
        <w:rPr>
          <w:rStyle w:val="tlid-translation"/>
          <w:lang w:val="en"/>
        </w:rPr>
      </w:pPr>
      <w:r w:rsidRPr="00CB6A4B">
        <w:rPr>
          <w:rStyle w:val="tlid-translation"/>
          <w:lang w:val="en"/>
        </w:rPr>
        <w:t>Refers to the price adjustment mechanism of the assets</w:t>
      </w:r>
      <w:r>
        <w:rPr>
          <w:rStyle w:val="tlid-translation"/>
          <w:lang w:val="en"/>
        </w:rPr>
        <w:t xml:space="preserve"> of the Brasilveiculos (current Mapfre Seguros Gerais) asset sold to Mapfre Brasil on 11.30.2018, with calculation, monthly provisions, and annual payment, made based on the fulfilment of goals in the sales of auto insurance. </w:t>
      </w:r>
      <w:r w:rsidRPr="00027448">
        <w:rPr>
          <w:rStyle w:val="tlid-translation"/>
          <w:lang w:val="en"/>
        </w:rPr>
        <w:t>The mechanism provides for the possibility of earn in or earn out, that is, payment from MAPFRE Brasil to BB Seguros or from BB Seguros to MAPFRE Brasil</w:t>
      </w:r>
      <w:r>
        <w:rPr>
          <w:rStyle w:val="tlid-translation"/>
          <w:lang w:val="en"/>
        </w:rPr>
        <w:t xml:space="preserve"> and </w:t>
      </w:r>
      <w:r w:rsidRPr="00F05BF8">
        <w:rPr>
          <w:rStyle w:val="tlid-translation"/>
          <w:lang w:val="en"/>
        </w:rPr>
        <w:t>will be calculated for each financial year until 2031</w:t>
      </w:r>
      <w:r>
        <w:rPr>
          <w:rStyle w:val="tlid-translation"/>
          <w:lang w:val="en"/>
        </w:rPr>
        <w:t xml:space="preserve">. </w:t>
      </w:r>
      <w:r w:rsidRPr="00675883">
        <w:rPr>
          <w:rStyle w:val="tlid-translation"/>
          <w:lang w:val="en"/>
        </w:rPr>
        <w:t>On December 29, 2022, the 1st Amendment to the Partnership Restructuring Agreement was signed, providing for the elimination of the price adjustment mechanism, effective for three years, renewable successively, starting in 2023.</w:t>
      </w:r>
    </w:p>
    <w:p w14:paraId="0A7FCBC2" w14:textId="77777777" w:rsidR="008B7E19" w:rsidRDefault="008B7E19" w:rsidP="00882B41">
      <w:pPr>
        <w:pStyle w:val="07-Legenda"/>
        <w:numPr>
          <w:ilvl w:val="0"/>
          <w:numId w:val="21"/>
        </w:numPr>
        <w:tabs>
          <w:tab w:val="clear" w:pos="284"/>
        </w:tabs>
        <w:ind w:left="284"/>
        <w:rPr>
          <w:rStyle w:val="tlid-translation"/>
          <w:lang w:val="en"/>
        </w:rPr>
      </w:pPr>
      <w:r w:rsidRPr="00681310">
        <w:rPr>
          <w:rStyle w:val="tlid-translation"/>
          <w:lang w:val="en"/>
        </w:rPr>
        <w:t xml:space="preserve">Refers to the recognition of the brokerage provision to be returned to Brasilprev. </w:t>
      </w:r>
      <w:r>
        <w:rPr>
          <w:rStyle w:val="tlid-translation"/>
          <w:lang w:val="en"/>
        </w:rPr>
        <w:t>In</w:t>
      </w:r>
      <w:r w:rsidRPr="00681310">
        <w:rPr>
          <w:rStyle w:val="tlid-translation"/>
          <w:lang w:val="en"/>
        </w:rPr>
        <w:t xml:space="preserve"> December 2022, brokerage returns are processed automatically, recognized in operating commission income (commission income net of returns), and there is no longer any need to recognize the provision from that date.</w:t>
      </w:r>
    </w:p>
    <w:p w14:paraId="63B889AC" w14:textId="77777777" w:rsidR="008B7E19" w:rsidRPr="00F74BE3" w:rsidRDefault="008B7E19" w:rsidP="008875E7">
      <w:pPr>
        <w:keepNext/>
        <w:keepLines/>
        <w:pageBreakBefore/>
        <w:spacing w:after="0" w:line="240" w:lineRule="auto"/>
        <w:jc w:val="right"/>
        <w:rPr>
          <w:rFonts w:cs="Arial"/>
          <w:b/>
          <w:sz w:val="14"/>
          <w:szCs w:val="14"/>
        </w:rPr>
      </w:pPr>
      <w:r w:rsidRPr="00F74BE3">
        <w:rPr>
          <w:rFonts w:cs="Arial"/>
          <w:b/>
          <w:sz w:val="14"/>
          <w:szCs w:val="14"/>
        </w:rPr>
        <w:t>R$ thousand</w:t>
      </w:r>
    </w:p>
    <w:tbl>
      <w:tblPr>
        <w:tblW w:w="9648" w:type="dxa"/>
        <w:jc w:val="center"/>
        <w:tblBorders>
          <w:top w:val="single" w:sz="2" w:space="0" w:color="8EAADB" w:themeColor="accent5" w:themeTint="99"/>
          <w:bottom w:val="single" w:sz="2" w:space="0" w:color="8EAADB" w:themeColor="accent5" w:themeTint="99"/>
        </w:tblBorders>
        <w:tblLayout w:type="fixed"/>
        <w:tblLook w:val="04A0" w:firstRow="1" w:lastRow="0" w:firstColumn="1" w:lastColumn="0" w:noHBand="0" w:noVBand="1"/>
      </w:tblPr>
      <w:tblGrid>
        <w:gridCol w:w="3000"/>
        <w:gridCol w:w="936"/>
        <w:gridCol w:w="160"/>
        <w:gridCol w:w="1199"/>
        <w:gridCol w:w="76"/>
        <w:gridCol w:w="1283"/>
        <w:gridCol w:w="39"/>
        <w:gridCol w:w="96"/>
        <w:gridCol w:w="101"/>
        <w:gridCol w:w="82"/>
        <w:gridCol w:w="53"/>
        <w:gridCol w:w="1272"/>
        <w:gridCol w:w="1345"/>
        <w:gridCol w:w="6"/>
      </w:tblGrid>
      <w:tr w:rsidR="008B7E19" w:rsidRPr="005171F7" w14:paraId="0EEEDD1E" w14:textId="77777777" w:rsidTr="008B7E19">
        <w:trPr>
          <w:trHeight w:val="20"/>
          <w:jc w:val="center"/>
        </w:trPr>
        <w:tc>
          <w:tcPr>
            <w:tcW w:w="3936" w:type="dxa"/>
            <w:gridSpan w:val="2"/>
            <w:tcBorders>
              <w:top w:val="single" w:sz="2" w:space="0" w:color="8EAADB" w:themeColor="accent5" w:themeTint="99"/>
              <w:bottom w:val="nil"/>
            </w:tcBorders>
            <w:shd w:val="clear" w:color="auto" w:fill="auto"/>
          </w:tcPr>
          <w:p w14:paraId="398679AB" w14:textId="77777777" w:rsidR="008B7E19" w:rsidRPr="005171F7" w:rsidRDefault="008B7E19" w:rsidP="008B7E19">
            <w:pPr>
              <w:keepNext/>
              <w:keepLines/>
              <w:spacing w:before="40" w:after="40"/>
              <w:jc w:val="center"/>
              <w:rPr>
                <w:rFonts w:cs="Arial"/>
                <w:b/>
                <w:bCs/>
                <w:spacing w:val="-2"/>
                <w:sz w:val="14"/>
                <w:szCs w:val="14"/>
              </w:rPr>
            </w:pPr>
          </w:p>
        </w:tc>
        <w:tc>
          <w:tcPr>
            <w:tcW w:w="2757" w:type="dxa"/>
            <w:gridSpan w:val="5"/>
            <w:tcBorders>
              <w:top w:val="single" w:sz="2" w:space="0" w:color="8EAADB" w:themeColor="accent5" w:themeTint="99"/>
              <w:bottom w:val="single" w:sz="2" w:space="0" w:color="8EAADB" w:themeColor="accent5" w:themeTint="99"/>
            </w:tcBorders>
            <w:shd w:val="clear" w:color="auto" w:fill="auto"/>
            <w:vAlign w:val="center"/>
          </w:tcPr>
          <w:p w14:paraId="76F65FBF" w14:textId="77777777" w:rsidR="008B7E19" w:rsidRPr="005171F7" w:rsidRDefault="008B7E19" w:rsidP="008B7E19">
            <w:pPr>
              <w:keepNext/>
              <w:keepLines/>
              <w:spacing w:before="40" w:after="40"/>
              <w:jc w:val="center"/>
              <w:rPr>
                <w:rFonts w:cs="Arial"/>
                <w:b/>
                <w:spacing w:val="-2"/>
                <w:sz w:val="14"/>
                <w:szCs w:val="14"/>
              </w:rPr>
            </w:pPr>
            <w:r>
              <w:rPr>
                <w:rFonts w:cs="Arial"/>
                <w:b/>
                <w:spacing w:val="-2"/>
                <w:sz w:val="14"/>
                <w:szCs w:val="14"/>
              </w:rPr>
              <w:t>Parent</w:t>
            </w:r>
          </w:p>
        </w:tc>
        <w:tc>
          <w:tcPr>
            <w:tcW w:w="279" w:type="dxa"/>
            <w:gridSpan w:val="3"/>
            <w:tcBorders>
              <w:top w:val="single" w:sz="2" w:space="0" w:color="8EAADB" w:themeColor="accent5" w:themeTint="99"/>
              <w:bottom w:val="nil"/>
            </w:tcBorders>
            <w:shd w:val="clear" w:color="auto" w:fill="auto"/>
            <w:vAlign w:val="center"/>
          </w:tcPr>
          <w:p w14:paraId="64C41F4A" w14:textId="77777777" w:rsidR="008B7E19" w:rsidRPr="005171F7" w:rsidRDefault="008B7E19" w:rsidP="008B7E19">
            <w:pPr>
              <w:keepNext/>
              <w:keepLines/>
              <w:spacing w:before="40" w:after="40"/>
              <w:jc w:val="center"/>
              <w:rPr>
                <w:rFonts w:cs="Arial"/>
                <w:b/>
                <w:bCs/>
                <w:spacing w:val="-2"/>
                <w:sz w:val="14"/>
                <w:szCs w:val="14"/>
              </w:rPr>
            </w:pPr>
          </w:p>
        </w:tc>
        <w:tc>
          <w:tcPr>
            <w:tcW w:w="2676" w:type="dxa"/>
            <w:gridSpan w:val="4"/>
            <w:tcBorders>
              <w:top w:val="single" w:sz="2" w:space="0" w:color="8EAADB" w:themeColor="accent5" w:themeTint="99"/>
              <w:bottom w:val="single" w:sz="2" w:space="0" w:color="8EAADB" w:themeColor="accent5" w:themeTint="99"/>
            </w:tcBorders>
            <w:shd w:val="clear" w:color="auto" w:fill="auto"/>
            <w:vAlign w:val="center"/>
          </w:tcPr>
          <w:p w14:paraId="52F1524B" w14:textId="77777777" w:rsidR="008B7E19" w:rsidRPr="005171F7" w:rsidRDefault="008B7E19" w:rsidP="008B7E19">
            <w:pPr>
              <w:keepNext/>
              <w:keepLines/>
              <w:spacing w:before="40" w:after="40"/>
              <w:jc w:val="center"/>
              <w:rPr>
                <w:rFonts w:cs="Arial"/>
                <w:b/>
                <w:spacing w:val="-2"/>
                <w:sz w:val="14"/>
                <w:szCs w:val="14"/>
              </w:rPr>
            </w:pPr>
            <w:r>
              <w:rPr>
                <w:rFonts w:cs="Arial"/>
                <w:b/>
                <w:spacing w:val="-2"/>
                <w:sz w:val="14"/>
                <w:szCs w:val="14"/>
              </w:rPr>
              <w:t>Consolidated</w:t>
            </w:r>
          </w:p>
        </w:tc>
      </w:tr>
      <w:tr w:rsidR="008B7E19" w:rsidRPr="00EB1911" w14:paraId="463C2758" w14:textId="77777777" w:rsidTr="008B7E19">
        <w:trPr>
          <w:gridAfter w:val="1"/>
          <w:wAfter w:w="6" w:type="dxa"/>
          <w:trHeight w:val="20"/>
          <w:jc w:val="center"/>
        </w:trPr>
        <w:tc>
          <w:tcPr>
            <w:tcW w:w="3000" w:type="dxa"/>
            <w:tcBorders>
              <w:top w:val="nil"/>
              <w:bottom w:val="single" w:sz="2" w:space="0" w:color="8EAADB" w:themeColor="accent5" w:themeTint="99"/>
            </w:tcBorders>
            <w:shd w:val="clear" w:color="auto" w:fill="auto"/>
            <w:vAlign w:val="center"/>
          </w:tcPr>
          <w:p w14:paraId="7CA58184" w14:textId="77777777" w:rsidR="008B7E19" w:rsidRPr="00EB1911" w:rsidRDefault="008B7E19" w:rsidP="008B7E19">
            <w:pPr>
              <w:keepNext/>
              <w:keepLines/>
              <w:spacing w:before="40" w:after="40"/>
              <w:jc w:val="right"/>
              <w:rPr>
                <w:rFonts w:cs="Arial"/>
                <w:b/>
                <w:spacing w:val="-2"/>
                <w:sz w:val="14"/>
                <w:szCs w:val="14"/>
              </w:rPr>
            </w:pPr>
          </w:p>
        </w:tc>
        <w:tc>
          <w:tcPr>
            <w:tcW w:w="1096" w:type="dxa"/>
            <w:gridSpan w:val="2"/>
            <w:tcBorders>
              <w:top w:val="nil"/>
              <w:bottom w:val="single" w:sz="2" w:space="0" w:color="8EAADB" w:themeColor="accent5" w:themeTint="99"/>
            </w:tcBorders>
            <w:shd w:val="clear" w:color="auto" w:fill="auto"/>
            <w:vAlign w:val="center"/>
          </w:tcPr>
          <w:p w14:paraId="746698F0" w14:textId="77777777" w:rsidR="008B7E19" w:rsidRPr="00EB1911" w:rsidRDefault="008B7E19" w:rsidP="008B7E19">
            <w:pPr>
              <w:keepNext/>
              <w:keepLines/>
              <w:spacing w:before="40" w:after="40"/>
              <w:jc w:val="right"/>
              <w:rPr>
                <w:rFonts w:cs="Arial"/>
                <w:b/>
                <w:spacing w:val="-2"/>
                <w:sz w:val="14"/>
                <w:szCs w:val="14"/>
              </w:rPr>
            </w:pPr>
          </w:p>
        </w:tc>
        <w:tc>
          <w:tcPr>
            <w:tcW w:w="1275" w:type="dxa"/>
            <w:gridSpan w:val="2"/>
            <w:tcBorders>
              <w:top w:val="single" w:sz="4" w:space="0" w:color="1F4E79" w:themeColor="accent1" w:themeShade="80"/>
              <w:bottom w:val="single" w:sz="2" w:space="0" w:color="1F4E79" w:themeColor="accent1" w:themeShade="80"/>
            </w:tcBorders>
            <w:shd w:val="clear" w:color="auto" w:fill="auto"/>
          </w:tcPr>
          <w:p w14:paraId="1F063649" w14:textId="77777777" w:rsidR="008B7E19" w:rsidRPr="00EB1911" w:rsidRDefault="008B7E19" w:rsidP="008B7E19">
            <w:pPr>
              <w:pStyle w:val="08-Tabelageral"/>
              <w:rPr>
                <w:rFonts w:cs="Arial"/>
                <w:b/>
                <w:szCs w:val="14"/>
              </w:rPr>
            </w:pPr>
            <w:r w:rsidRPr="001821C3">
              <w:rPr>
                <w:rFonts w:cs="Arial"/>
                <w:b/>
                <w:szCs w:val="14"/>
              </w:rPr>
              <w:t>1</w:t>
            </w:r>
            <w:r w:rsidRPr="001821C3">
              <w:rPr>
                <w:rFonts w:cs="Arial"/>
                <w:b/>
                <w:szCs w:val="14"/>
                <w:vertAlign w:val="superscript"/>
              </w:rPr>
              <w:t>st</w:t>
            </w:r>
            <w:r w:rsidRPr="001821C3">
              <w:rPr>
                <w:rFonts w:cs="Arial"/>
                <w:b/>
                <w:szCs w:val="14"/>
              </w:rPr>
              <w:t xml:space="preserve"> </w:t>
            </w:r>
            <w:r>
              <w:rPr>
                <w:rFonts w:cs="Arial"/>
                <w:b/>
                <w:szCs w:val="14"/>
              </w:rPr>
              <w:t>Half</w:t>
            </w:r>
            <w:r w:rsidRPr="001821C3">
              <w:rPr>
                <w:rFonts w:cs="Arial"/>
                <w:b/>
                <w:szCs w:val="14"/>
              </w:rPr>
              <w:t xml:space="preserve"> 202</w:t>
            </w:r>
            <w:r>
              <w:rPr>
                <w:rFonts w:cs="Arial"/>
                <w:b/>
                <w:szCs w:val="14"/>
              </w:rPr>
              <w:t>3</w:t>
            </w:r>
          </w:p>
        </w:tc>
        <w:tc>
          <w:tcPr>
            <w:tcW w:w="1418" w:type="dxa"/>
            <w:gridSpan w:val="3"/>
            <w:tcBorders>
              <w:top w:val="single" w:sz="4" w:space="0" w:color="1F4E79" w:themeColor="accent1" w:themeShade="80"/>
              <w:bottom w:val="single" w:sz="2" w:space="0" w:color="1F4E79" w:themeColor="accent1" w:themeShade="80"/>
            </w:tcBorders>
            <w:shd w:val="clear" w:color="auto" w:fill="auto"/>
          </w:tcPr>
          <w:p w14:paraId="4C5D552D" w14:textId="77777777" w:rsidR="008B7E19" w:rsidRPr="00EB1911" w:rsidRDefault="008B7E19" w:rsidP="008B7E19">
            <w:pPr>
              <w:pStyle w:val="08-Tabelageral"/>
              <w:rPr>
                <w:rFonts w:cs="Arial"/>
                <w:b/>
                <w:szCs w:val="14"/>
              </w:rPr>
            </w:pPr>
            <w:r w:rsidRPr="001821C3">
              <w:rPr>
                <w:rFonts w:cs="Arial"/>
                <w:b/>
                <w:szCs w:val="14"/>
              </w:rPr>
              <w:t>1</w:t>
            </w:r>
            <w:r w:rsidRPr="001821C3">
              <w:rPr>
                <w:rFonts w:cs="Arial"/>
                <w:b/>
                <w:szCs w:val="14"/>
                <w:vertAlign w:val="superscript"/>
              </w:rPr>
              <w:t>st</w:t>
            </w:r>
            <w:r w:rsidRPr="001821C3">
              <w:rPr>
                <w:rFonts w:cs="Arial"/>
                <w:b/>
                <w:szCs w:val="14"/>
              </w:rPr>
              <w:t xml:space="preserve"> </w:t>
            </w:r>
            <w:r>
              <w:rPr>
                <w:rFonts w:cs="Arial"/>
                <w:b/>
                <w:szCs w:val="14"/>
              </w:rPr>
              <w:t>Half</w:t>
            </w:r>
            <w:r w:rsidRPr="001821C3">
              <w:rPr>
                <w:rFonts w:cs="Arial"/>
                <w:b/>
                <w:szCs w:val="14"/>
              </w:rPr>
              <w:t xml:space="preserve"> 202</w:t>
            </w:r>
            <w:r>
              <w:rPr>
                <w:rFonts w:cs="Arial"/>
                <w:b/>
                <w:szCs w:val="14"/>
              </w:rPr>
              <w:t>2</w:t>
            </w:r>
          </w:p>
        </w:tc>
        <w:tc>
          <w:tcPr>
            <w:tcW w:w="236" w:type="dxa"/>
            <w:gridSpan w:val="3"/>
            <w:tcBorders>
              <w:top w:val="nil"/>
              <w:left w:val="nil"/>
              <w:bottom w:val="single" w:sz="2" w:space="0" w:color="1F4E79" w:themeColor="accent1" w:themeShade="80"/>
              <w:right w:val="nil"/>
            </w:tcBorders>
            <w:shd w:val="clear" w:color="auto" w:fill="auto"/>
            <w:vAlign w:val="center"/>
          </w:tcPr>
          <w:p w14:paraId="33998434" w14:textId="77777777" w:rsidR="008B7E19" w:rsidRPr="00EB1911" w:rsidRDefault="008B7E19" w:rsidP="008B7E19">
            <w:pPr>
              <w:pStyle w:val="08-Tabelageral"/>
              <w:rPr>
                <w:rFonts w:cs="Arial"/>
                <w:b/>
                <w:szCs w:val="14"/>
              </w:rPr>
            </w:pPr>
          </w:p>
        </w:tc>
        <w:tc>
          <w:tcPr>
            <w:tcW w:w="1272" w:type="dxa"/>
            <w:tcBorders>
              <w:top w:val="single" w:sz="4" w:space="0" w:color="1F4E79" w:themeColor="accent1" w:themeShade="80"/>
              <w:bottom w:val="single" w:sz="2" w:space="0" w:color="1F4E79" w:themeColor="accent1" w:themeShade="80"/>
            </w:tcBorders>
            <w:shd w:val="clear" w:color="auto" w:fill="auto"/>
          </w:tcPr>
          <w:p w14:paraId="2371851A" w14:textId="77777777" w:rsidR="008B7E19" w:rsidRPr="00EB1911" w:rsidRDefault="008B7E19" w:rsidP="008B7E19">
            <w:pPr>
              <w:pStyle w:val="08-Tabelageral"/>
              <w:rPr>
                <w:rFonts w:cs="Arial"/>
                <w:b/>
                <w:szCs w:val="14"/>
              </w:rPr>
            </w:pPr>
            <w:r w:rsidRPr="001821C3">
              <w:rPr>
                <w:rFonts w:cs="Arial"/>
                <w:b/>
                <w:szCs w:val="14"/>
              </w:rPr>
              <w:t>1</w:t>
            </w:r>
            <w:r w:rsidRPr="001821C3">
              <w:rPr>
                <w:rFonts w:cs="Arial"/>
                <w:b/>
                <w:szCs w:val="14"/>
                <w:vertAlign w:val="superscript"/>
              </w:rPr>
              <w:t>st</w:t>
            </w:r>
            <w:r w:rsidRPr="001821C3">
              <w:rPr>
                <w:rFonts w:cs="Arial"/>
                <w:b/>
                <w:szCs w:val="14"/>
              </w:rPr>
              <w:t xml:space="preserve"> </w:t>
            </w:r>
            <w:r>
              <w:rPr>
                <w:rFonts w:cs="Arial"/>
                <w:b/>
                <w:szCs w:val="14"/>
              </w:rPr>
              <w:t>Half</w:t>
            </w:r>
            <w:r w:rsidRPr="001821C3">
              <w:rPr>
                <w:rFonts w:cs="Arial"/>
                <w:b/>
                <w:szCs w:val="14"/>
              </w:rPr>
              <w:t xml:space="preserve"> 202</w:t>
            </w:r>
            <w:r>
              <w:rPr>
                <w:rFonts w:cs="Arial"/>
                <w:b/>
                <w:szCs w:val="14"/>
              </w:rPr>
              <w:t>3</w:t>
            </w:r>
          </w:p>
        </w:tc>
        <w:tc>
          <w:tcPr>
            <w:tcW w:w="1345" w:type="dxa"/>
            <w:tcBorders>
              <w:top w:val="single" w:sz="4" w:space="0" w:color="1F4E79" w:themeColor="accent1" w:themeShade="80"/>
              <w:bottom w:val="single" w:sz="2" w:space="0" w:color="1F4E79" w:themeColor="accent1" w:themeShade="80"/>
            </w:tcBorders>
            <w:shd w:val="clear" w:color="auto" w:fill="auto"/>
          </w:tcPr>
          <w:p w14:paraId="550BF17D" w14:textId="77777777" w:rsidR="008B7E19" w:rsidRPr="00EB1911" w:rsidRDefault="008B7E19" w:rsidP="008B7E19">
            <w:pPr>
              <w:pStyle w:val="08-Tabelageral"/>
              <w:rPr>
                <w:b/>
              </w:rPr>
            </w:pPr>
            <w:r w:rsidRPr="001821C3">
              <w:rPr>
                <w:rFonts w:cs="Arial"/>
                <w:b/>
                <w:szCs w:val="14"/>
              </w:rPr>
              <w:t>1</w:t>
            </w:r>
            <w:r w:rsidRPr="001821C3">
              <w:rPr>
                <w:rFonts w:cs="Arial"/>
                <w:b/>
                <w:szCs w:val="14"/>
                <w:vertAlign w:val="superscript"/>
              </w:rPr>
              <w:t>st</w:t>
            </w:r>
            <w:r w:rsidRPr="001821C3">
              <w:rPr>
                <w:rFonts w:cs="Arial"/>
                <w:b/>
                <w:szCs w:val="14"/>
              </w:rPr>
              <w:t xml:space="preserve"> </w:t>
            </w:r>
            <w:r>
              <w:rPr>
                <w:rFonts w:cs="Arial"/>
                <w:b/>
                <w:szCs w:val="14"/>
              </w:rPr>
              <w:t>Half</w:t>
            </w:r>
            <w:r w:rsidRPr="001821C3">
              <w:rPr>
                <w:rFonts w:cs="Arial"/>
                <w:b/>
                <w:szCs w:val="14"/>
              </w:rPr>
              <w:t xml:space="preserve"> 202</w:t>
            </w:r>
            <w:r>
              <w:rPr>
                <w:rFonts w:cs="Arial"/>
                <w:b/>
                <w:szCs w:val="14"/>
              </w:rPr>
              <w:t>2</w:t>
            </w:r>
          </w:p>
        </w:tc>
      </w:tr>
      <w:tr w:rsidR="008B7E19" w:rsidRPr="005171F7" w14:paraId="7B9AAB6C" w14:textId="77777777" w:rsidTr="008B7E19">
        <w:trPr>
          <w:trHeight w:val="20"/>
          <w:jc w:val="center"/>
        </w:trPr>
        <w:tc>
          <w:tcPr>
            <w:tcW w:w="3936" w:type="dxa"/>
            <w:gridSpan w:val="2"/>
            <w:shd w:val="clear" w:color="auto" w:fill="auto"/>
            <w:vAlign w:val="center"/>
          </w:tcPr>
          <w:p w14:paraId="0CBE3A22" w14:textId="77777777" w:rsidR="008B7E19" w:rsidRPr="005171F7" w:rsidRDefault="008B7E19" w:rsidP="008B7E19">
            <w:pPr>
              <w:pStyle w:val="08-Tabelageral"/>
              <w:ind w:left="113"/>
              <w:jc w:val="left"/>
              <w:rPr>
                <w:rFonts w:cs="Arial"/>
                <w:szCs w:val="14"/>
              </w:rPr>
            </w:pPr>
            <w:r w:rsidRPr="00A2009E">
              <w:rPr>
                <w:rFonts w:cs="Arial"/>
                <w:szCs w:val="14"/>
              </w:rPr>
              <w:t>Income of ADR</w:t>
            </w:r>
            <w:r w:rsidRPr="005171F7">
              <w:rPr>
                <w:rFonts w:cs="Arial"/>
                <w:szCs w:val="14"/>
              </w:rPr>
              <w:t xml:space="preserve"> </w:t>
            </w:r>
            <w:r w:rsidRPr="005171F7">
              <w:rPr>
                <w:rFonts w:cs="Arial"/>
                <w:szCs w:val="14"/>
                <w:vertAlign w:val="superscript"/>
              </w:rPr>
              <w:t>(</w:t>
            </w:r>
            <w:r>
              <w:rPr>
                <w:rFonts w:cs="Arial"/>
                <w:szCs w:val="14"/>
                <w:vertAlign w:val="superscript"/>
              </w:rPr>
              <w:t>1</w:t>
            </w:r>
            <w:r w:rsidRPr="005171F7">
              <w:rPr>
                <w:rFonts w:cs="Arial"/>
                <w:szCs w:val="14"/>
                <w:vertAlign w:val="superscript"/>
              </w:rPr>
              <w:t>)</w:t>
            </w:r>
          </w:p>
        </w:tc>
        <w:tc>
          <w:tcPr>
            <w:tcW w:w="1359" w:type="dxa"/>
            <w:gridSpan w:val="2"/>
            <w:tcBorders>
              <w:top w:val="single" w:sz="2" w:space="0" w:color="1F4E79" w:themeColor="accent1" w:themeShade="80"/>
              <w:left w:val="nil"/>
              <w:bottom w:val="nil"/>
              <w:right w:val="nil"/>
            </w:tcBorders>
            <w:shd w:val="clear" w:color="auto" w:fill="auto"/>
            <w:vAlign w:val="center"/>
          </w:tcPr>
          <w:p w14:paraId="78C8D1B0" w14:textId="77777777" w:rsidR="008B7E19" w:rsidRPr="00AE31F4" w:rsidRDefault="008B7E19" w:rsidP="008B7E19">
            <w:pPr>
              <w:pStyle w:val="08-Tabelageral"/>
            </w:pPr>
            <w:r>
              <w:t>3,246</w:t>
            </w:r>
          </w:p>
        </w:tc>
        <w:tc>
          <w:tcPr>
            <w:tcW w:w="1359" w:type="dxa"/>
            <w:gridSpan w:val="2"/>
            <w:tcBorders>
              <w:top w:val="single" w:sz="2" w:space="0" w:color="1F4E79" w:themeColor="accent1" w:themeShade="80"/>
              <w:left w:val="nil"/>
              <w:bottom w:val="nil"/>
              <w:right w:val="nil"/>
            </w:tcBorders>
            <w:shd w:val="clear" w:color="auto" w:fill="auto"/>
            <w:vAlign w:val="center"/>
          </w:tcPr>
          <w:p w14:paraId="4B2134A3" w14:textId="77777777" w:rsidR="008B7E19" w:rsidRPr="00AE31F4" w:rsidRDefault="008B7E19" w:rsidP="008B7E19">
            <w:pPr>
              <w:pStyle w:val="08-Tabelageral"/>
            </w:pPr>
            <w:r>
              <w:t>2,627</w:t>
            </w:r>
          </w:p>
        </w:tc>
        <w:tc>
          <w:tcPr>
            <w:tcW w:w="236" w:type="dxa"/>
            <w:gridSpan w:val="3"/>
            <w:tcBorders>
              <w:top w:val="single" w:sz="2" w:space="0" w:color="1F4E79" w:themeColor="accent1" w:themeShade="80"/>
              <w:left w:val="nil"/>
              <w:bottom w:val="nil"/>
              <w:right w:val="nil"/>
            </w:tcBorders>
            <w:shd w:val="clear" w:color="auto" w:fill="auto"/>
            <w:vAlign w:val="center"/>
          </w:tcPr>
          <w:p w14:paraId="53ED3A0A" w14:textId="77777777" w:rsidR="008B7E19" w:rsidRPr="00AE31F4" w:rsidRDefault="008B7E19" w:rsidP="008B7E19">
            <w:pPr>
              <w:pStyle w:val="08-Tabelageral"/>
            </w:pPr>
          </w:p>
        </w:tc>
        <w:tc>
          <w:tcPr>
            <w:tcW w:w="1407" w:type="dxa"/>
            <w:gridSpan w:val="3"/>
            <w:tcBorders>
              <w:top w:val="single" w:sz="2" w:space="0" w:color="1F4E79" w:themeColor="accent1" w:themeShade="80"/>
              <w:left w:val="nil"/>
              <w:bottom w:val="nil"/>
              <w:right w:val="nil"/>
            </w:tcBorders>
            <w:shd w:val="clear" w:color="auto" w:fill="auto"/>
            <w:vAlign w:val="center"/>
          </w:tcPr>
          <w:p w14:paraId="4ED86FE4" w14:textId="77777777" w:rsidR="008B7E19" w:rsidRPr="00AE31F4" w:rsidRDefault="008B7E19" w:rsidP="008B7E19">
            <w:pPr>
              <w:pStyle w:val="08-Tabelageral"/>
            </w:pPr>
            <w:r>
              <w:t>3,246</w:t>
            </w:r>
          </w:p>
        </w:tc>
        <w:tc>
          <w:tcPr>
            <w:tcW w:w="1351" w:type="dxa"/>
            <w:gridSpan w:val="2"/>
            <w:tcBorders>
              <w:top w:val="single" w:sz="2" w:space="0" w:color="1F4E79" w:themeColor="accent1" w:themeShade="80"/>
              <w:left w:val="nil"/>
              <w:bottom w:val="nil"/>
              <w:right w:val="nil"/>
            </w:tcBorders>
            <w:shd w:val="clear" w:color="auto" w:fill="auto"/>
            <w:vAlign w:val="center"/>
          </w:tcPr>
          <w:p w14:paraId="60496AFF" w14:textId="77777777" w:rsidR="008B7E19" w:rsidRPr="00AE31F4" w:rsidRDefault="008B7E19" w:rsidP="008B7E19">
            <w:pPr>
              <w:pStyle w:val="08-Tabelageral"/>
            </w:pPr>
            <w:r>
              <w:t>2,627</w:t>
            </w:r>
          </w:p>
        </w:tc>
      </w:tr>
      <w:tr w:rsidR="008B7E19" w:rsidRPr="005171F7" w14:paraId="6A3CE115" w14:textId="77777777" w:rsidTr="008B7E19">
        <w:trPr>
          <w:trHeight w:val="20"/>
          <w:jc w:val="center"/>
        </w:trPr>
        <w:tc>
          <w:tcPr>
            <w:tcW w:w="3936" w:type="dxa"/>
            <w:gridSpan w:val="2"/>
            <w:shd w:val="clear" w:color="auto" w:fill="auto"/>
            <w:vAlign w:val="center"/>
          </w:tcPr>
          <w:p w14:paraId="77AF58EC" w14:textId="77777777" w:rsidR="008B7E19" w:rsidRPr="005171F7" w:rsidRDefault="008B7E19" w:rsidP="008B7E19">
            <w:pPr>
              <w:pStyle w:val="08-Tabelageral"/>
              <w:ind w:left="113"/>
              <w:jc w:val="left"/>
              <w:rPr>
                <w:rFonts w:cs="Arial"/>
                <w:szCs w:val="14"/>
              </w:rPr>
            </w:pPr>
            <w:r w:rsidRPr="00A2009E">
              <w:rPr>
                <w:rFonts w:cs="Arial"/>
                <w:szCs w:val="14"/>
              </w:rPr>
              <w:t>(Addition)/Reversal of provisions for labor, tax and civil lawsuits</w:t>
            </w:r>
          </w:p>
        </w:tc>
        <w:tc>
          <w:tcPr>
            <w:tcW w:w="1359" w:type="dxa"/>
            <w:gridSpan w:val="2"/>
            <w:tcBorders>
              <w:top w:val="nil"/>
            </w:tcBorders>
            <w:shd w:val="clear" w:color="auto" w:fill="auto"/>
            <w:vAlign w:val="center"/>
          </w:tcPr>
          <w:p w14:paraId="1CF35E55" w14:textId="77777777" w:rsidR="008B7E19" w:rsidRPr="00AE31F4" w:rsidRDefault="008B7E19" w:rsidP="008B7E19">
            <w:pPr>
              <w:pStyle w:val="08-Tabelageral"/>
            </w:pPr>
            <w:r>
              <w:t>(61)</w:t>
            </w:r>
          </w:p>
        </w:tc>
        <w:tc>
          <w:tcPr>
            <w:tcW w:w="1359" w:type="dxa"/>
            <w:gridSpan w:val="2"/>
            <w:tcBorders>
              <w:top w:val="nil"/>
            </w:tcBorders>
            <w:shd w:val="clear" w:color="auto" w:fill="auto"/>
            <w:vAlign w:val="center"/>
          </w:tcPr>
          <w:p w14:paraId="3F769B73" w14:textId="77777777" w:rsidR="008B7E19" w:rsidRPr="00AE31F4" w:rsidRDefault="008B7E19" w:rsidP="008B7E19">
            <w:pPr>
              <w:pStyle w:val="08-Tabelageral"/>
            </w:pPr>
            <w:r>
              <w:t>--</w:t>
            </w:r>
          </w:p>
        </w:tc>
        <w:tc>
          <w:tcPr>
            <w:tcW w:w="236" w:type="dxa"/>
            <w:gridSpan w:val="3"/>
            <w:tcBorders>
              <w:top w:val="nil"/>
            </w:tcBorders>
            <w:shd w:val="clear" w:color="auto" w:fill="auto"/>
            <w:vAlign w:val="center"/>
          </w:tcPr>
          <w:p w14:paraId="443669F0" w14:textId="77777777" w:rsidR="008B7E19" w:rsidRPr="00AE31F4" w:rsidRDefault="008B7E19" w:rsidP="008B7E19">
            <w:pPr>
              <w:pStyle w:val="08-Tabelageral"/>
            </w:pPr>
          </w:p>
        </w:tc>
        <w:tc>
          <w:tcPr>
            <w:tcW w:w="1407" w:type="dxa"/>
            <w:gridSpan w:val="3"/>
            <w:tcBorders>
              <w:top w:val="nil"/>
            </w:tcBorders>
            <w:shd w:val="clear" w:color="auto" w:fill="auto"/>
            <w:vAlign w:val="center"/>
          </w:tcPr>
          <w:p w14:paraId="768AE9E3" w14:textId="77777777" w:rsidR="008B7E19" w:rsidRPr="00AE31F4" w:rsidRDefault="008B7E19" w:rsidP="008B7E19">
            <w:pPr>
              <w:pStyle w:val="08-Tabelageral"/>
            </w:pPr>
            <w:r>
              <w:t>(11,036)</w:t>
            </w:r>
          </w:p>
        </w:tc>
        <w:tc>
          <w:tcPr>
            <w:tcW w:w="1351" w:type="dxa"/>
            <w:gridSpan w:val="2"/>
            <w:tcBorders>
              <w:top w:val="nil"/>
            </w:tcBorders>
            <w:shd w:val="clear" w:color="auto" w:fill="auto"/>
            <w:vAlign w:val="center"/>
          </w:tcPr>
          <w:p w14:paraId="4A3B912A" w14:textId="77777777" w:rsidR="008B7E19" w:rsidRPr="00AE31F4" w:rsidRDefault="008B7E19" w:rsidP="008B7E19">
            <w:pPr>
              <w:pStyle w:val="08-Tabelageral"/>
            </w:pPr>
            <w:r>
              <w:t>43</w:t>
            </w:r>
          </w:p>
        </w:tc>
      </w:tr>
      <w:tr w:rsidR="008B7E19" w:rsidRPr="005171F7" w14:paraId="07823915" w14:textId="77777777" w:rsidTr="008B7E19">
        <w:trPr>
          <w:trHeight w:val="20"/>
          <w:jc w:val="center"/>
        </w:trPr>
        <w:tc>
          <w:tcPr>
            <w:tcW w:w="3936" w:type="dxa"/>
            <w:gridSpan w:val="2"/>
            <w:shd w:val="clear" w:color="auto" w:fill="auto"/>
            <w:vAlign w:val="center"/>
          </w:tcPr>
          <w:p w14:paraId="3C93C0E4" w14:textId="77777777" w:rsidR="008B7E19" w:rsidRPr="005171F7" w:rsidRDefault="008B7E19" w:rsidP="008B7E19">
            <w:pPr>
              <w:pStyle w:val="08-Tabelageral"/>
              <w:ind w:left="113"/>
              <w:jc w:val="left"/>
              <w:rPr>
                <w:rFonts w:cs="Arial"/>
                <w:szCs w:val="14"/>
              </w:rPr>
            </w:pPr>
            <w:r w:rsidRPr="00A2009E">
              <w:rPr>
                <w:rFonts w:cs="Arial"/>
                <w:szCs w:val="14"/>
              </w:rPr>
              <w:t>Depreciation/amortization expense</w:t>
            </w:r>
          </w:p>
        </w:tc>
        <w:tc>
          <w:tcPr>
            <w:tcW w:w="1359" w:type="dxa"/>
            <w:gridSpan w:val="2"/>
            <w:shd w:val="clear" w:color="auto" w:fill="auto"/>
            <w:vAlign w:val="center"/>
          </w:tcPr>
          <w:p w14:paraId="0B5BB1A4" w14:textId="77777777" w:rsidR="008B7E19" w:rsidRPr="00AE31F4" w:rsidRDefault="008B7E19" w:rsidP="008B7E19">
            <w:pPr>
              <w:pStyle w:val="08-Tabelageral"/>
            </w:pPr>
            <w:r>
              <w:t>(82)</w:t>
            </w:r>
          </w:p>
        </w:tc>
        <w:tc>
          <w:tcPr>
            <w:tcW w:w="1359" w:type="dxa"/>
            <w:gridSpan w:val="2"/>
            <w:shd w:val="clear" w:color="auto" w:fill="auto"/>
            <w:vAlign w:val="center"/>
          </w:tcPr>
          <w:p w14:paraId="57BA86A4" w14:textId="77777777" w:rsidR="008B7E19" w:rsidRPr="00AE31F4" w:rsidRDefault="008B7E19" w:rsidP="008B7E19">
            <w:pPr>
              <w:pStyle w:val="08-Tabelageral"/>
            </w:pPr>
            <w:r>
              <w:t>(73)</w:t>
            </w:r>
          </w:p>
        </w:tc>
        <w:tc>
          <w:tcPr>
            <w:tcW w:w="236" w:type="dxa"/>
            <w:gridSpan w:val="3"/>
            <w:shd w:val="clear" w:color="auto" w:fill="auto"/>
            <w:vAlign w:val="center"/>
          </w:tcPr>
          <w:p w14:paraId="29CC25E9" w14:textId="77777777" w:rsidR="008B7E19" w:rsidRPr="00AE31F4" w:rsidRDefault="008B7E19" w:rsidP="008B7E19">
            <w:pPr>
              <w:pStyle w:val="08-Tabelageral"/>
            </w:pPr>
          </w:p>
        </w:tc>
        <w:tc>
          <w:tcPr>
            <w:tcW w:w="1407" w:type="dxa"/>
            <w:gridSpan w:val="3"/>
            <w:shd w:val="clear" w:color="auto" w:fill="auto"/>
            <w:vAlign w:val="center"/>
          </w:tcPr>
          <w:p w14:paraId="17D71771" w14:textId="77777777" w:rsidR="008B7E19" w:rsidRPr="00AE31F4" w:rsidRDefault="008B7E19" w:rsidP="008B7E19">
            <w:pPr>
              <w:pStyle w:val="08-Tabelageral"/>
            </w:pPr>
            <w:r>
              <w:t>(645)</w:t>
            </w:r>
          </w:p>
        </w:tc>
        <w:tc>
          <w:tcPr>
            <w:tcW w:w="1351" w:type="dxa"/>
            <w:gridSpan w:val="2"/>
            <w:shd w:val="clear" w:color="auto" w:fill="auto"/>
            <w:vAlign w:val="center"/>
          </w:tcPr>
          <w:p w14:paraId="31AAFB94" w14:textId="77777777" w:rsidR="008B7E19" w:rsidRPr="00AE31F4" w:rsidRDefault="008B7E19" w:rsidP="008B7E19">
            <w:pPr>
              <w:pStyle w:val="08-Tabelageral"/>
            </w:pPr>
            <w:r>
              <w:t>(613)</w:t>
            </w:r>
          </w:p>
        </w:tc>
      </w:tr>
      <w:tr w:rsidR="008B7E19" w:rsidRPr="005171F7" w14:paraId="73FDC795" w14:textId="77777777" w:rsidTr="008B7E19">
        <w:trPr>
          <w:trHeight w:val="20"/>
          <w:jc w:val="center"/>
        </w:trPr>
        <w:tc>
          <w:tcPr>
            <w:tcW w:w="3936" w:type="dxa"/>
            <w:gridSpan w:val="2"/>
            <w:shd w:val="clear" w:color="auto" w:fill="auto"/>
            <w:vAlign w:val="center"/>
          </w:tcPr>
          <w:p w14:paraId="29D485B7" w14:textId="77777777" w:rsidR="008B7E19" w:rsidRPr="005171F7" w:rsidRDefault="008B7E19" w:rsidP="008B7E19">
            <w:pPr>
              <w:pStyle w:val="08-Tabelageral"/>
              <w:ind w:left="113"/>
              <w:jc w:val="left"/>
              <w:rPr>
                <w:rFonts w:cs="Arial"/>
                <w:szCs w:val="14"/>
              </w:rPr>
            </w:pPr>
            <w:r w:rsidRPr="00A2009E">
              <w:rPr>
                <w:rFonts w:cs="Arial"/>
                <w:szCs w:val="14"/>
              </w:rPr>
              <w:t>Income/(expense) earn in earn out</w:t>
            </w:r>
            <w:r w:rsidRPr="005171F7">
              <w:rPr>
                <w:rFonts w:cs="Arial"/>
                <w:szCs w:val="14"/>
              </w:rPr>
              <w:t xml:space="preserve"> </w:t>
            </w:r>
            <w:r w:rsidRPr="005171F7">
              <w:rPr>
                <w:rFonts w:cs="Arial"/>
                <w:szCs w:val="14"/>
                <w:vertAlign w:val="superscript"/>
              </w:rPr>
              <w:t>(</w:t>
            </w:r>
            <w:r>
              <w:rPr>
                <w:rFonts w:cs="Arial"/>
                <w:szCs w:val="14"/>
                <w:vertAlign w:val="superscript"/>
              </w:rPr>
              <w:t>2</w:t>
            </w:r>
            <w:r w:rsidRPr="005171F7">
              <w:rPr>
                <w:rFonts w:cs="Arial"/>
                <w:szCs w:val="14"/>
                <w:vertAlign w:val="superscript"/>
              </w:rPr>
              <w:t>)</w:t>
            </w:r>
          </w:p>
        </w:tc>
        <w:tc>
          <w:tcPr>
            <w:tcW w:w="1359" w:type="dxa"/>
            <w:gridSpan w:val="2"/>
            <w:shd w:val="clear" w:color="auto" w:fill="auto"/>
            <w:vAlign w:val="center"/>
          </w:tcPr>
          <w:p w14:paraId="591A81F7" w14:textId="77777777" w:rsidR="008B7E19" w:rsidRPr="00AE31F4" w:rsidRDefault="008B7E19" w:rsidP="008B7E19">
            <w:pPr>
              <w:pStyle w:val="08-Tabelageral"/>
            </w:pPr>
            <w:r>
              <w:t>--</w:t>
            </w:r>
          </w:p>
        </w:tc>
        <w:tc>
          <w:tcPr>
            <w:tcW w:w="1359" w:type="dxa"/>
            <w:gridSpan w:val="2"/>
            <w:shd w:val="clear" w:color="auto" w:fill="auto"/>
            <w:vAlign w:val="center"/>
          </w:tcPr>
          <w:p w14:paraId="68F8BB51" w14:textId="77777777" w:rsidR="008B7E19" w:rsidRPr="00AE31F4" w:rsidRDefault="008B7E19" w:rsidP="008B7E19">
            <w:pPr>
              <w:pStyle w:val="08-Tabelageral"/>
            </w:pPr>
            <w:r>
              <w:t>--</w:t>
            </w:r>
          </w:p>
        </w:tc>
        <w:tc>
          <w:tcPr>
            <w:tcW w:w="236" w:type="dxa"/>
            <w:gridSpan w:val="3"/>
            <w:shd w:val="clear" w:color="auto" w:fill="auto"/>
            <w:vAlign w:val="center"/>
          </w:tcPr>
          <w:p w14:paraId="2937036B" w14:textId="77777777" w:rsidR="008B7E19" w:rsidRPr="00AE31F4" w:rsidRDefault="008B7E19" w:rsidP="008B7E19">
            <w:pPr>
              <w:pStyle w:val="08-Tabelageral"/>
            </w:pPr>
          </w:p>
        </w:tc>
        <w:tc>
          <w:tcPr>
            <w:tcW w:w="1407" w:type="dxa"/>
            <w:gridSpan w:val="3"/>
            <w:shd w:val="clear" w:color="auto" w:fill="auto"/>
            <w:vAlign w:val="center"/>
          </w:tcPr>
          <w:p w14:paraId="3E8AF66A" w14:textId="77777777" w:rsidR="008B7E19" w:rsidRPr="00AE31F4" w:rsidRDefault="008B7E19" w:rsidP="008B7E19">
            <w:pPr>
              <w:pStyle w:val="08-Tabelageral"/>
            </w:pPr>
            <w:r>
              <w:t>--</w:t>
            </w:r>
          </w:p>
        </w:tc>
        <w:tc>
          <w:tcPr>
            <w:tcW w:w="1351" w:type="dxa"/>
            <w:gridSpan w:val="2"/>
            <w:shd w:val="clear" w:color="auto" w:fill="auto"/>
            <w:vAlign w:val="center"/>
          </w:tcPr>
          <w:p w14:paraId="741C127A" w14:textId="77777777" w:rsidR="008B7E19" w:rsidRPr="00AE31F4" w:rsidRDefault="008B7E19" w:rsidP="008B7E19">
            <w:pPr>
              <w:pStyle w:val="08-Tabelageral"/>
            </w:pPr>
            <w:r>
              <w:t>(12,667)</w:t>
            </w:r>
          </w:p>
        </w:tc>
      </w:tr>
      <w:tr w:rsidR="008B7E19" w:rsidRPr="005171F7" w14:paraId="5F4430B0" w14:textId="77777777" w:rsidTr="008B7E19">
        <w:trPr>
          <w:trHeight w:val="20"/>
          <w:jc w:val="center"/>
        </w:trPr>
        <w:tc>
          <w:tcPr>
            <w:tcW w:w="3936" w:type="dxa"/>
            <w:gridSpan w:val="2"/>
            <w:shd w:val="clear" w:color="auto" w:fill="auto"/>
            <w:vAlign w:val="center"/>
          </w:tcPr>
          <w:p w14:paraId="69DE834E" w14:textId="77777777" w:rsidR="008B7E19" w:rsidRDefault="008B7E19" w:rsidP="008B7E19">
            <w:pPr>
              <w:pStyle w:val="08-Tabelageral"/>
              <w:ind w:left="113"/>
              <w:jc w:val="left"/>
              <w:rPr>
                <w:rFonts w:cs="Arial"/>
                <w:szCs w:val="14"/>
              </w:rPr>
            </w:pPr>
            <w:r w:rsidRPr="00763E89">
              <w:rPr>
                <w:rFonts w:cs="Arial"/>
                <w:szCs w:val="14"/>
              </w:rPr>
              <w:t xml:space="preserve">Provision for brokerage to returned </w:t>
            </w:r>
            <w:r w:rsidRPr="00763E89">
              <w:rPr>
                <w:rFonts w:cs="Arial"/>
                <w:szCs w:val="14"/>
                <w:vertAlign w:val="superscript"/>
              </w:rPr>
              <w:t>(3)</w:t>
            </w:r>
          </w:p>
        </w:tc>
        <w:tc>
          <w:tcPr>
            <w:tcW w:w="1359" w:type="dxa"/>
            <w:gridSpan w:val="2"/>
            <w:tcBorders>
              <w:bottom w:val="nil"/>
            </w:tcBorders>
            <w:shd w:val="clear" w:color="auto" w:fill="auto"/>
            <w:vAlign w:val="center"/>
          </w:tcPr>
          <w:p w14:paraId="186041FF" w14:textId="77777777" w:rsidR="008B7E19" w:rsidRDefault="008B7E19" w:rsidP="008B7E19">
            <w:pPr>
              <w:pStyle w:val="08-Tabelageral"/>
            </w:pPr>
            <w:r>
              <w:t>--</w:t>
            </w:r>
          </w:p>
        </w:tc>
        <w:tc>
          <w:tcPr>
            <w:tcW w:w="1359" w:type="dxa"/>
            <w:gridSpan w:val="2"/>
            <w:tcBorders>
              <w:bottom w:val="nil"/>
            </w:tcBorders>
            <w:shd w:val="clear" w:color="auto" w:fill="auto"/>
            <w:vAlign w:val="center"/>
          </w:tcPr>
          <w:p w14:paraId="3FD09460" w14:textId="77777777" w:rsidR="008B7E19" w:rsidRDefault="008B7E19" w:rsidP="008B7E19">
            <w:pPr>
              <w:pStyle w:val="08-Tabelageral"/>
            </w:pPr>
            <w:r>
              <w:t>--</w:t>
            </w:r>
          </w:p>
        </w:tc>
        <w:tc>
          <w:tcPr>
            <w:tcW w:w="236" w:type="dxa"/>
            <w:gridSpan w:val="3"/>
            <w:tcBorders>
              <w:bottom w:val="nil"/>
            </w:tcBorders>
            <w:shd w:val="clear" w:color="auto" w:fill="auto"/>
            <w:vAlign w:val="center"/>
          </w:tcPr>
          <w:p w14:paraId="3FD8FE51" w14:textId="77777777" w:rsidR="008B7E19" w:rsidRPr="00AE31F4" w:rsidRDefault="008B7E19" w:rsidP="008B7E19">
            <w:pPr>
              <w:pStyle w:val="08-Tabelageral"/>
            </w:pPr>
          </w:p>
        </w:tc>
        <w:tc>
          <w:tcPr>
            <w:tcW w:w="1407" w:type="dxa"/>
            <w:gridSpan w:val="3"/>
            <w:tcBorders>
              <w:bottom w:val="nil"/>
            </w:tcBorders>
            <w:shd w:val="clear" w:color="auto" w:fill="auto"/>
            <w:vAlign w:val="center"/>
          </w:tcPr>
          <w:p w14:paraId="02A1424B" w14:textId="77777777" w:rsidR="008B7E19" w:rsidRDefault="008B7E19" w:rsidP="008B7E19">
            <w:pPr>
              <w:pStyle w:val="08-Tabelageral"/>
            </w:pPr>
            <w:r>
              <w:t>--</w:t>
            </w:r>
          </w:p>
        </w:tc>
        <w:tc>
          <w:tcPr>
            <w:tcW w:w="1351" w:type="dxa"/>
            <w:gridSpan w:val="2"/>
            <w:tcBorders>
              <w:bottom w:val="nil"/>
            </w:tcBorders>
            <w:shd w:val="clear" w:color="auto" w:fill="auto"/>
            <w:vAlign w:val="center"/>
          </w:tcPr>
          <w:p w14:paraId="7F78FB0D" w14:textId="77777777" w:rsidR="008B7E19" w:rsidRDefault="008B7E19" w:rsidP="008B7E19">
            <w:pPr>
              <w:pStyle w:val="08-Tabelageral"/>
            </w:pPr>
            <w:r>
              <w:t>(19,648)</w:t>
            </w:r>
          </w:p>
        </w:tc>
      </w:tr>
      <w:tr w:rsidR="008B7E19" w:rsidRPr="005171F7" w14:paraId="74865A45" w14:textId="77777777" w:rsidTr="008B7E19">
        <w:trPr>
          <w:trHeight w:val="20"/>
          <w:jc w:val="center"/>
        </w:trPr>
        <w:tc>
          <w:tcPr>
            <w:tcW w:w="3936" w:type="dxa"/>
            <w:gridSpan w:val="2"/>
            <w:shd w:val="clear" w:color="auto" w:fill="auto"/>
            <w:vAlign w:val="center"/>
          </w:tcPr>
          <w:p w14:paraId="560CB05F" w14:textId="77777777" w:rsidR="008B7E19" w:rsidRPr="005171F7" w:rsidRDefault="008B7E19" w:rsidP="008B7E19">
            <w:pPr>
              <w:pStyle w:val="08-Tabelageral"/>
              <w:ind w:left="113"/>
              <w:jc w:val="left"/>
              <w:rPr>
                <w:rFonts w:cs="Arial"/>
                <w:szCs w:val="14"/>
              </w:rPr>
            </w:pPr>
            <w:r>
              <w:rPr>
                <w:rFonts w:cs="Arial"/>
                <w:szCs w:val="14"/>
              </w:rPr>
              <w:t>Other</w:t>
            </w:r>
            <w:r w:rsidRPr="005171F7">
              <w:rPr>
                <w:rFonts w:cs="Arial"/>
                <w:szCs w:val="14"/>
              </w:rPr>
              <w:t xml:space="preserve"> </w:t>
            </w:r>
            <w:r w:rsidRPr="005171F7">
              <w:rPr>
                <w:rFonts w:cs="Arial"/>
                <w:szCs w:val="14"/>
                <w:vertAlign w:val="superscript"/>
              </w:rPr>
              <w:t>(</w:t>
            </w:r>
            <w:r>
              <w:rPr>
                <w:rFonts w:cs="Arial"/>
                <w:szCs w:val="14"/>
                <w:vertAlign w:val="superscript"/>
              </w:rPr>
              <w:t>3</w:t>
            </w:r>
            <w:r w:rsidRPr="005171F7">
              <w:rPr>
                <w:rFonts w:cs="Arial"/>
                <w:szCs w:val="14"/>
                <w:vertAlign w:val="superscript"/>
              </w:rPr>
              <w:t>)</w:t>
            </w:r>
          </w:p>
        </w:tc>
        <w:tc>
          <w:tcPr>
            <w:tcW w:w="1359" w:type="dxa"/>
            <w:gridSpan w:val="2"/>
            <w:tcBorders>
              <w:bottom w:val="nil"/>
            </w:tcBorders>
            <w:shd w:val="clear" w:color="auto" w:fill="auto"/>
            <w:vAlign w:val="center"/>
          </w:tcPr>
          <w:p w14:paraId="3FD6FD96" w14:textId="77777777" w:rsidR="008B7E19" w:rsidRPr="00AE31F4" w:rsidRDefault="008B7E19" w:rsidP="008B7E19">
            <w:pPr>
              <w:pStyle w:val="08-Tabelageral"/>
            </w:pPr>
            <w:r>
              <w:t>(5)</w:t>
            </w:r>
          </w:p>
        </w:tc>
        <w:tc>
          <w:tcPr>
            <w:tcW w:w="1359" w:type="dxa"/>
            <w:gridSpan w:val="2"/>
            <w:tcBorders>
              <w:bottom w:val="nil"/>
            </w:tcBorders>
            <w:shd w:val="clear" w:color="auto" w:fill="auto"/>
            <w:vAlign w:val="center"/>
          </w:tcPr>
          <w:p w14:paraId="35CB2B80" w14:textId="77777777" w:rsidR="008B7E19" w:rsidRPr="00AE31F4" w:rsidRDefault="008B7E19" w:rsidP="008B7E19">
            <w:pPr>
              <w:pStyle w:val="08-Tabelageral"/>
            </w:pPr>
            <w:r>
              <w:t>(76)</w:t>
            </w:r>
          </w:p>
        </w:tc>
        <w:tc>
          <w:tcPr>
            <w:tcW w:w="236" w:type="dxa"/>
            <w:gridSpan w:val="3"/>
            <w:tcBorders>
              <w:bottom w:val="nil"/>
            </w:tcBorders>
            <w:shd w:val="clear" w:color="auto" w:fill="auto"/>
            <w:vAlign w:val="center"/>
          </w:tcPr>
          <w:p w14:paraId="4E509654" w14:textId="77777777" w:rsidR="008B7E19" w:rsidRPr="00AE31F4" w:rsidRDefault="008B7E19" w:rsidP="008B7E19">
            <w:pPr>
              <w:pStyle w:val="08-Tabelageral"/>
            </w:pPr>
          </w:p>
        </w:tc>
        <w:tc>
          <w:tcPr>
            <w:tcW w:w="1407" w:type="dxa"/>
            <w:gridSpan w:val="3"/>
            <w:tcBorders>
              <w:bottom w:val="nil"/>
            </w:tcBorders>
            <w:shd w:val="clear" w:color="auto" w:fill="auto"/>
            <w:vAlign w:val="center"/>
          </w:tcPr>
          <w:p w14:paraId="04A403A3" w14:textId="77777777" w:rsidR="008B7E19" w:rsidRPr="00AE31F4" w:rsidRDefault="008B7E19" w:rsidP="008B7E19">
            <w:pPr>
              <w:pStyle w:val="08-Tabelageral"/>
            </w:pPr>
            <w:r>
              <w:t>1,338</w:t>
            </w:r>
          </w:p>
        </w:tc>
        <w:tc>
          <w:tcPr>
            <w:tcW w:w="1351" w:type="dxa"/>
            <w:gridSpan w:val="2"/>
            <w:tcBorders>
              <w:bottom w:val="nil"/>
            </w:tcBorders>
            <w:shd w:val="clear" w:color="auto" w:fill="auto"/>
            <w:vAlign w:val="center"/>
          </w:tcPr>
          <w:p w14:paraId="232C4601" w14:textId="77777777" w:rsidR="008B7E19" w:rsidRPr="00AE31F4" w:rsidRDefault="008B7E19" w:rsidP="008B7E19">
            <w:pPr>
              <w:pStyle w:val="08-Tabelageral"/>
            </w:pPr>
            <w:r>
              <w:t>(86)</w:t>
            </w:r>
          </w:p>
        </w:tc>
      </w:tr>
      <w:tr w:rsidR="008B7E19" w:rsidRPr="007D1ACC" w14:paraId="42F60004" w14:textId="77777777" w:rsidTr="008B7E19">
        <w:trPr>
          <w:trHeight w:val="20"/>
          <w:jc w:val="center"/>
        </w:trPr>
        <w:tc>
          <w:tcPr>
            <w:tcW w:w="3936" w:type="dxa"/>
            <w:gridSpan w:val="2"/>
            <w:shd w:val="clear" w:color="auto" w:fill="auto"/>
          </w:tcPr>
          <w:p w14:paraId="6141F4F6" w14:textId="77777777" w:rsidR="008B7E19" w:rsidRPr="007D1ACC" w:rsidRDefault="008B7E19" w:rsidP="008B7E19">
            <w:pPr>
              <w:pStyle w:val="08-Tabelageral"/>
              <w:ind w:left="113"/>
              <w:jc w:val="left"/>
              <w:rPr>
                <w:rFonts w:cs="Arial"/>
                <w:b/>
                <w:szCs w:val="14"/>
              </w:rPr>
            </w:pPr>
            <w:r w:rsidRPr="007D1ACC">
              <w:rPr>
                <w:rFonts w:cs="Arial"/>
                <w:b/>
                <w:szCs w:val="14"/>
              </w:rPr>
              <w:t>Total</w:t>
            </w:r>
          </w:p>
        </w:tc>
        <w:tc>
          <w:tcPr>
            <w:tcW w:w="1359" w:type="dxa"/>
            <w:gridSpan w:val="2"/>
            <w:tcBorders>
              <w:top w:val="nil"/>
              <w:bottom w:val="single" w:sz="2" w:space="0" w:color="1F4E79" w:themeColor="accent1" w:themeShade="80"/>
            </w:tcBorders>
            <w:shd w:val="clear" w:color="auto" w:fill="auto"/>
            <w:vAlign w:val="center"/>
          </w:tcPr>
          <w:p w14:paraId="3A5F70C9" w14:textId="77777777" w:rsidR="008B7E19" w:rsidRPr="007D1ACC" w:rsidRDefault="008B7E19" w:rsidP="008B7E19">
            <w:pPr>
              <w:pStyle w:val="08-Tabelageral"/>
              <w:ind w:left="113"/>
              <w:rPr>
                <w:rFonts w:cs="Arial"/>
                <w:b/>
                <w:szCs w:val="14"/>
              </w:rPr>
            </w:pPr>
            <w:r>
              <w:rPr>
                <w:b/>
              </w:rPr>
              <w:t>3,098</w:t>
            </w:r>
          </w:p>
        </w:tc>
        <w:tc>
          <w:tcPr>
            <w:tcW w:w="1359" w:type="dxa"/>
            <w:gridSpan w:val="2"/>
            <w:tcBorders>
              <w:top w:val="nil"/>
              <w:bottom w:val="single" w:sz="2" w:space="0" w:color="1F4E79" w:themeColor="accent1" w:themeShade="80"/>
            </w:tcBorders>
            <w:shd w:val="clear" w:color="auto" w:fill="auto"/>
            <w:vAlign w:val="center"/>
          </w:tcPr>
          <w:p w14:paraId="7A76ACAD" w14:textId="77777777" w:rsidR="008B7E19" w:rsidRPr="007D1ACC" w:rsidRDefault="008B7E19" w:rsidP="008B7E19">
            <w:pPr>
              <w:pStyle w:val="08-Tabelageral"/>
              <w:ind w:left="113"/>
              <w:rPr>
                <w:rFonts w:cs="Arial"/>
                <w:b/>
                <w:szCs w:val="14"/>
              </w:rPr>
            </w:pPr>
            <w:r>
              <w:rPr>
                <w:b/>
              </w:rPr>
              <w:t>2,478</w:t>
            </w:r>
          </w:p>
        </w:tc>
        <w:tc>
          <w:tcPr>
            <w:tcW w:w="236" w:type="dxa"/>
            <w:gridSpan w:val="3"/>
            <w:tcBorders>
              <w:top w:val="nil"/>
              <w:bottom w:val="single" w:sz="2" w:space="0" w:color="1F4E79" w:themeColor="accent1" w:themeShade="80"/>
            </w:tcBorders>
            <w:shd w:val="clear" w:color="auto" w:fill="auto"/>
            <w:vAlign w:val="center"/>
          </w:tcPr>
          <w:p w14:paraId="35CB6B00" w14:textId="77777777" w:rsidR="008B7E19" w:rsidRPr="007D1ACC" w:rsidRDefault="008B7E19" w:rsidP="008B7E19">
            <w:pPr>
              <w:pStyle w:val="08-Tabelageral"/>
              <w:ind w:left="113"/>
              <w:rPr>
                <w:rFonts w:cs="Arial"/>
                <w:b/>
                <w:szCs w:val="14"/>
              </w:rPr>
            </w:pPr>
          </w:p>
        </w:tc>
        <w:tc>
          <w:tcPr>
            <w:tcW w:w="1407" w:type="dxa"/>
            <w:gridSpan w:val="3"/>
            <w:tcBorders>
              <w:top w:val="nil"/>
              <w:bottom w:val="single" w:sz="2" w:space="0" w:color="1F4E79" w:themeColor="accent1" w:themeShade="80"/>
            </w:tcBorders>
            <w:shd w:val="clear" w:color="auto" w:fill="auto"/>
            <w:vAlign w:val="center"/>
          </w:tcPr>
          <w:p w14:paraId="57D4A61B" w14:textId="77777777" w:rsidR="008B7E19" w:rsidRPr="007D1ACC" w:rsidRDefault="008B7E19" w:rsidP="008B7E19">
            <w:pPr>
              <w:pStyle w:val="08-Tabelageral"/>
              <w:ind w:left="113"/>
              <w:rPr>
                <w:rFonts w:cs="Arial"/>
                <w:b/>
                <w:szCs w:val="14"/>
              </w:rPr>
            </w:pPr>
            <w:r>
              <w:rPr>
                <w:b/>
              </w:rPr>
              <w:t>(7,097)</w:t>
            </w:r>
          </w:p>
        </w:tc>
        <w:tc>
          <w:tcPr>
            <w:tcW w:w="1351" w:type="dxa"/>
            <w:gridSpan w:val="2"/>
            <w:tcBorders>
              <w:top w:val="nil"/>
              <w:bottom w:val="single" w:sz="2" w:space="0" w:color="1F4E79" w:themeColor="accent1" w:themeShade="80"/>
            </w:tcBorders>
            <w:shd w:val="clear" w:color="auto" w:fill="auto"/>
            <w:vAlign w:val="center"/>
          </w:tcPr>
          <w:p w14:paraId="13F5421D" w14:textId="77777777" w:rsidR="008B7E19" w:rsidRPr="007D1ACC" w:rsidRDefault="008B7E19" w:rsidP="008B7E19">
            <w:pPr>
              <w:pStyle w:val="08-Tabelageral"/>
              <w:ind w:left="113"/>
              <w:rPr>
                <w:rFonts w:cs="Arial"/>
                <w:b/>
                <w:szCs w:val="14"/>
              </w:rPr>
            </w:pPr>
            <w:r>
              <w:rPr>
                <w:b/>
              </w:rPr>
              <w:t>(30,344)</w:t>
            </w:r>
          </w:p>
        </w:tc>
      </w:tr>
    </w:tbl>
    <w:p w14:paraId="726B7D1B" w14:textId="77777777" w:rsidR="008B7E19" w:rsidRDefault="008B7E19" w:rsidP="00882B41">
      <w:pPr>
        <w:pStyle w:val="07-Legenda"/>
        <w:numPr>
          <w:ilvl w:val="0"/>
          <w:numId w:val="35"/>
        </w:numPr>
        <w:tabs>
          <w:tab w:val="clear" w:pos="284"/>
        </w:tabs>
        <w:ind w:left="284" w:hanging="284"/>
        <w:rPr>
          <w:rStyle w:val="tlid-translation"/>
          <w:lang w:val="en"/>
        </w:rPr>
      </w:pPr>
      <w:r>
        <w:rPr>
          <w:rStyle w:val="tlid-translation"/>
          <w:lang w:val="en"/>
        </w:rPr>
        <w:t>R</w:t>
      </w:r>
      <w:r w:rsidRPr="00F26745">
        <w:rPr>
          <w:rStyle w:val="tlid-translation"/>
          <w:lang w:val="en"/>
        </w:rPr>
        <w:t>efers to the sharing, by the depositary bank of the ADR Level I program, of the income from issuance fees, cancellation and processing of dividends charged to investors holding ADRs (American Depositary Receipts) of BB Seguridade, with the purpose of defray Program expenses.</w:t>
      </w:r>
    </w:p>
    <w:p w14:paraId="20AB64FA" w14:textId="77777777" w:rsidR="008B7E19" w:rsidRPr="00681310" w:rsidRDefault="008B7E19" w:rsidP="00882B41">
      <w:pPr>
        <w:pStyle w:val="07-Legenda"/>
        <w:numPr>
          <w:ilvl w:val="0"/>
          <w:numId w:val="35"/>
        </w:numPr>
        <w:tabs>
          <w:tab w:val="clear" w:pos="284"/>
        </w:tabs>
        <w:ind w:left="284" w:hanging="284"/>
        <w:rPr>
          <w:rStyle w:val="tlid-translation"/>
          <w:lang w:val="en"/>
        </w:rPr>
      </w:pPr>
      <w:r w:rsidRPr="00681310">
        <w:rPr>
          <w:rStyle w:val="tlid-translation"/>
          <w:lang w:val="en"/>
        </w:rPr>
        <w:t>There was, in addition to an increase in the volume of civil claims, a review of the classification of existing lawsuits, with an increase in the likelihood of loss. In the period, the increase in the total number of these processes was 7.9%. The proportion of these lawsuits classified as a probable loss, in relation to the total number of lawsuits, is approximately 57.8% (26.9% on December 31, 2022).</w:t>
      </w:r>
    </w:p>
    <w:p w14:paraId="6A4DA183" w14:textId="77777777" w:rsidR="008B7E19" w:rsidRPr="00CB6A4B" w:rsidRDefault="008B7E19" w:rsidP="00882B41">
      <w:pPr>
        <w:pStyle w:val="07-Legenda"/>
        <w:numPr>
          <w:ilvl w:val="0"/>
          <w:numId w:val="35"/>
        </w:numPr>
        <w:tabs>
          <w:tab w:val="clear" w:pos="284"/>
        </w:tabs>
        <w:ind w:left="284" w:hanging="284"/>
        <w:rPr>
          <w:rStyle w:val="tlid-translation"/>
          <w:lang w:val="en"/>
        </w:rPr>
      </w:pPr>
      <w:r w:rsidRPr="00CB6A4B">
        <w:rPr>
          <w:rStyle w:val="tlid-translation"/>
          <w:lang w:val="en"/>
        </w:rPr>
        <w:t>Refers to the price adjustment mechanism of the assets</w:t>
      </w:r>
      <w:r>
        <w:rPr>
          <w:rStyle w:val="tlid-translation"/>
          <w:lang w:val="en"/>
        </w:rPr>
        <w:t xml:space="preserve"> of the Brasilveiculos (current Mapfre Seguros Gerais) asset sold to Mapfre Brasil on 11.30.2018, with calculation, monthly provisions, and annual payment, made based on the fulfilment of goals in the sales of auto insurance. </w:t>
      </w:r>
      <w:r w:rsidRPr="00027448">
        <w:rPr>
          <w:rStyle w:val="tlid-translation"/>
          <w:lang w:val="en"/>
        </w:rPr>
        <w:t>The mechanism provides for the possibility of earn in or earn out, that is, payment from MAPFRE Brasil to BB Seguros or from BB Seguros to MAPFRE Brasil</w:t>
      </w:r>
      <w:r>
        <w:rPr>
          <w:rStyle w:val="tlid-translation"/>
          <w:lang w:val="en"/>
        </w:rPr>
        <w:t xml:space="preserve"> and </w:t>
      </w:r>
      <w:r w:rsidRPr="00F05BF8">
        <w:rPr>
          <w:rStyle w:val="tlid-translation"/>
          <w:lang w:val="en"/>
        </w:rPr>
        <w:t>will be calculated for each financial year until 2031</w:t>
      </w:r>
      <w:r>
        <w:rPr>
          <w:rStyle w:val="tlid-translation"/>
          <w:lang w:val="en"/>
        </w:rPr>
        <w:t xml:space="preserve">. </w:t>
      </w:r>
      <w:r w:rsidRPr="00675883">
        <w:rPr>
          <w:rStyle w:val="tlid-translation"/>
          <w:lang w:val="en"/>
        </w:rPr>
        <w:t>On December 29, 2022, the 1st Amendment to the Partnership Restructuring Agreement was signed, providing for the elimination of the price adjustment mechanism, effective for three years, renewable successively, starting in 2023.</w:t>
      </w:r>
    </w:p>
    <w:p w14:paraId="3F39FE80" w14:textId="77777777" w:rsidR="008B7E19" w:rsidRPr="00681310" w:rsidRDefault="008B7E19" w:rsidP="00882B41">
      <w:pPr>
        <w:pStyle w:val="07-Legenda"/>
        <w:numPr>
          <w:ilvl w:val="0"/>
          <w:numId w:val="35"/>
        </w:numPr>
        <w:tabs>
          <w:tab w:val="clear" w:pos="284"/>
        </w:tabs>
        <w:ind w:left="284" w:hanging="284"/>
        <w:rPr>
          <w:rStyle w:val="tlid-translation"/>
          <w:lang w:val="en"/>
        </w:rPr>
      </w:pPr>
      <w:r w:rsidRPr="00681310">
        <w:rPr>
          <w:rStyle w:val="tlid-translation"/>
          <w:lang w:val="en"/>
        </w:rPr>
        <w:t xml:space="preserve">Refers to the recognition of the brokerage provision to be returned to Brasilprev. </w:t>
      </w:r>
      <w:r>
        <w:rPr>
          <w:rStyle w:val="tlid-translation"/>
          <w:lang w:val="en"/>
        </w:rPr>
        <w:t>In</w:t>
      </w:r>
      <w:r w:rsidRPr="00681310">
        <w:rPr>
          <w:rStyle w:val="tlid-translation"/>
          <w:lang w:val="en"/>
        </w:rPr>
        <w:t xml:space="preserve"> December</w:t>
      </w:r>
      <w:r>
        <w:rPr>
          <w:rStyle w:val="tlid-translation"/>
          <w:lang w:val="en"/>
        </w:rPr>
        <w:t>,</w:t>
      </w:r>
      <w:r w:rsidRPr="00681310">
        <w:rPr>
          <w:rStyle w:val="tlid-translation"/>
          <w:lang w:val="en"/>
        </w:rPr>
        <w:t xml:space="preserve"> 2022, brokerage returns are processed automatically, recognized in operating commission income (commission income net of returns), and there is no longer any need to recognize the provision from that date</w:t>
      </w:r>
      <w:r>
        <w:rPr>
          <w:rStyle w:val="tlid-translation"/>
          <w:lang w:val="en"/>
        </w:rPr>
        <w:t>.</w:t>
      </w:r>
    </w:p>
    <w:p w14:paraId="2EE53B29" w14:textId="77777777" w:rsidR="008B7E19" w:rsidRDefault="008B7E19" w:rsidP="008B7E19">
      <w:pPr>
        <w:pStyle w:val="07-Legenda"/>
        <w:tabs>
          <w:tab w:val="clear" w:pos="284"/>
        </w:tabs>
        <w:rPr>
          <w:rStyle w:val="tlid-translation"/>
          <w:lang w:val="en"/>
        </w:rPr>
      </w:pPr>
    </w:p>
    <w:p w14:paraId="02B6F663" w14:textId="52846FEE" w:rsidR="008B7E19" w:rsidRPr="00882B41" w:rsidRDefault="008B7E19" w:rsidP="00882B41">
      <w:pPr>
        <w:pStyle w:val="02-TtulodeNota"/>
        <w:rPr>
          <w:color w:val="1F4E79" w:themeColor="accent1" w:themeShade="80"/>
        </w:rPr>
      </w:pPr>
      <w:bookmarkStart w:id="42" w:name="_Toc28866213"/>
      <w:bookmarkStart w:id="43" w:name="OLE_LINK21"/>
      <w:bookmarkStart w:id="44" w:name="_Toc141966692"/>
      <w:r w:rsidRPr="00882B41">
        <w:rPr>
          <w:color w:val="1F4E79" w:themeColor="accent1" w:themeShade="80"/>
        </w:rPr>
        <w:t>14 – FINANCIAL RESULT</w:t>
      </w:r>
      <w:bookmarkEnd w:id="44"/>
    </w:p>
    <w:p w14:paraId="4016EC50" w14:textId="77777777" w:rsidR="008B7E19" w:rsidRPr="00D318B6" w:rsidRDefault="008B7E19" w:rsidP="008B7E19">
      <w:pPr>
        <w:pStyle w:val="06-Rmil"/>
        <w:rPr>
          <w:rFonts w:cs="Arial"/>
        </w:rPr>
      </w:pPr>
      <w:r w:rsidRPr="00FF3418">
        <w:rPr>
          <w:rFonts w:cs="Arial"/>
        </w:rPr>
        <w:t>R$ thousand</w:t>
      </w:r>
    </w:p>
    <w:tbl>
      <w:tblPr>
        <w:tblW w:w="9639" w:type="dxa"/>
        <w:jc w:val="center"/>
        <w:tblBorders>
          <w:top w:val="single" w:sz="2" w:space="0" w:color="8EAADB" w:themeColor="accent5" w:themeTint="99"/>
          <w:bottom w:val="single" w:sz="2" w:space="0" w:color="8EAADB" w:themeColor="accent5" w:themeTint="99"/>
        </w:tblBorders>
        <w:tblLook w:val="04A0" w:firstRow="1" w:lastRow="0" w:firstColumn="1" w:lastColumn="0" w:noHBand="0" w:noVBand="1"/>
      </w:tblPr>
      <w:tblGrid>
        <w:gridCol w:w="3095"/>
        <w:gridCol w:w="603"/>
        <w:gridCol w:w="1411"/>
        <w:gridCol w:w="1411"/>
        <w:gridCol w:w="283"/>
        <w:gridCol w:w="1417"/>
        <w:gridCol w:w="1419"/>
      </w:tblGrid>
      <w:tr w:rsidR="008B7E19" w:rsidRPr="00DB06CF" w14:paraId="06F7829B" w14:textId="77777777" w:rsidTr="008875E7">
        <w:trPr>
          <w:trHeight w:val="238"/>
          <w:jc w:val="center"/>
        </w:trPr>
        <w:tc>
          <w:tcPr>
            <w:tcW w:w="1605" w:type="pct"/>
            <w:tcBorders>
              <w:top w:val="single" w:sz="2" w:space="0" w:color="1F4E79" w:themeColor="accent1" w:themeShade="80"/>
              <w:bottom w:val="nil"/>
            </w:tcBorders>
            <w:shd w:val="clear" w:color="auto" w:fill="auto"/>
          </w:tcPr>
          <w:p w14:paraId="4A748352" w14:textId="77777777" w:rsidR="008B7E19" w:rsidRPr="00DB06CF" w:rsidRDefault="008B7E19" w:rsidP="008B7E19">
            <w:pPr>
              <w:spacing w:after="0"/>
              <w:jc w:val="center"/>
              <w:rPr>
                <w:rFonts w:cs="Arial"/>
                <w:b/>
                <w:szCs w:val="18"/>
              </w:rPr>
            </w:pPr>
          </w:p>
        </w:tc>
        <w:tc>
          <w:tcPr>
            <w:tcW w:w="313" w:type="pct"/>
            <w:tcBorders>
              <w:top w:val="single" w:sz="2" w:space="0" w:color="1F4E79" w:themeColor="accent1" w:themeShade="80"/>
              <w:bottom w:val="nil"/>
            </w:tcBorders>
            <w:shd w:val="clear" w:color="auto" w:fill="auto"/>
          </w:tcPr>
          <w:p w14:paraId="72DEAB7D" w14:textId="77777777" w:rsidR="008B7E19" w:rsidRPr="00DB06CF" w:rsidRDefault="008B7E19" w:rsidP="008B7E19">
            <w:pPr>
              <w:spacing w:after="0"/>
              <w:jc w:val="center"/>
              <w:rPr>
                <w:rFonts w:cs="Arial"/>
                <w:b/>
                <w:szCs w:val="18"/>
              </w:rPr>
            </w:pPr>
          </w:p>
        </w:tc>
        <w:tc>
          <w:tcPr>
            <w:tcW w:w="1464" w:type="pct"/>
            <w:gridSpan w:val="2"/>
            <w:tcBorders>
              <w:top w:val="single" w:sz="2" w:space="0" w:color="1F4E79" w:themeColor="accent1" w:themeShade="80"/>
              <w:bottom w:val="single" w:sz="2" w:space="0" w:color="1F4E79" w:themeColor="accent1" w:themeShade="80"/>
            </w:tcBorders>
            <w:shd w:val="clear" w:color="auto" w:fill="auto"/>
            <w:vAlign w:val="center"/>
          </w:tcPr>
          <w:p w14:paraId="6365DE48" w14:textId="77777777" w:rsidR="008B7E19" w:rsidRPr="00DB06CF" w:rsidRDefault="008B7E19" w:rsidP="008B7E19">
            <w:pPr>
              <w:spacing w:after="0"/>
              <w:jc w:val="center"/>
              <w:rPr>
                <w:rFonts w:cs="Arial"/>
                <w:b/>
                <w:sz w:val="14"/>
                <w:szCs w:val="18"/>
              </w:rPr>
            </w:pPr>
            <w:r w:rsidRPr="00FF3418">
              <w:rPr>
                <w:rFonts w:cs="Arial"/>
                <w:b/>
                <w:sz w:val="14"/>
                <w:szCs w:val="18"/>
              </w:rPr>
              <w:t>Parent</w:t>
            </w:r>
          </w:p>
        </w:tc>
        <w:tc>
          <w:tcPr>
            <w:tcW w:w="147" w:type="pct"/>
            <w:tcBorders>
              <w:top w:val="single" w:sz="2" w:space="0" w:color="1F4E79" w:themeColor="accent1" w:themeShade="80"/>
              <w:bottom w:val="nil"/>
            </w:tcBorders>
            <w:shd w:val="clear" w:color="auto" w:fill="auto"/>
            <w:vAlign w:val="center"/>
          </w:tcPr>
          <w:p w14:paraId="560D645E" w14:textId="77777777" w:rsidR="008B7E19" w:rsidRPr="00DB06CF" w:rsidRDefault="008B7E19" w:rsidP="008B7E19">
            <w:pPr>
              <w:spacing w:after="0"/>
              <w:jc w:val="center"/>
              <w:rPr>
                <w:rFonts w:cs="Arial"/>
                <w:b/>
                <w:szCs w:val="18"/>
              </w:rPr>
            </w:pPr>
          </w:p>
        </w:tc>
        <w:tc>
          <w:tcPr>
            <w:tcW w:w="1471" w:type="pct"/>
            <w:gridSpan w:val="2"/>
            <w:tcBorders>
              <w:top w:val="single" w:sz="2" w:space="0" w:color="1F4E79" w:themeColor="accent1" w:themeShade="80"/>
              <w:bottom w:val="single" w:sz="2" w:space="0" w:color="1F4E79" w:themeColor="accent1" w:themeShade="80"/>
            </w:tcBorders>
            <w:shd w:val="clear" w:color="auto" w:fill="auto"/>
            <w:vAlign w:val="center"/>
          </w:tcPr>
          <w:p w14:paraId="5AD05FC9" w14:textId="77777777" w:rsidR="008B7E19" w:rsidRPr="00DB06CF" w:rsidRDefault="008B7E19" w:rsidP="008B7E19">
            <w:pPr>
              <w:spacing w:after="0"/>
              <w:jc w:val="center"/>
              <w:rPr>
                <w:rFonts w:cs="Arial"/>
                <w:b/>
                <w:szCs w:val="18"/>
              </w:rPr>
            </w:pPr>
            <w:r w:rsidRPr="00FF3418">
              <w:rPr>
                <w:rFonts w:cs="Arial"/>
                <w:b/>
                <w:sz w:val="14"/>
                <w:szCs w:val="18"/>
              </w:rPr>
              <w:t>Consolidated</w:t>
            </w:r>
          </w:p>
        </w:tc>
      </w:tr>
      <w:tr w:rsidR="008B7E19" w:rsidRPr="00DB06CF" w14:paraId="7197C253" w14:textId="77777777" w:rsidTr="008875E7">
        <w:trPr>
          <w:trHeight w:val="238"/>
          <w:jc w:val="center"/>
        </w:trPr>
        <w:tc>
          <w:tcPr>
            <w:tcW w:w="1605" w:type="pct"/>
            <w:tcBorders>
              <w:top w:val="nil"/>
              <w:bottom w:val="single" w:sz="2" w:space="0" w:color="1F4E79" w:themeColor="accent1" w:themeShade="80"/>
            </w:tcBorders>
            <w:shd w:val="clear" w:color="auto" w:fill="auto"/>
          </w:tcPr>
          <w:p w14:paraId="605A2CF4" w14:textId="77777777" w:rsidR="008B7E19" w:rsidRPr="00DB06CF" w:rsidRDefault="008B7E19" w:rsidP="008B7E19">
            <w:pPr>
              <w:pStyle w:val="08-Tabelageral"/>
              <w:rPr>
                <w:rFonts w:cs="Arial"/>
                <w:b/>
              </w:rPr>
            </w:pPr>
          </w:p>
        </w:tc>
        <w:tc>
          <w:tcPr>
            <w:tcW w:w="313" w:type="pct"/>
            <w:tcBorders>
              <w:top w:val="nil"/>
              <w:bottom w:val="single" w:sz="2" w:space="0" w:color="1F4E79" w:themeColor="accent1" w:themeShade="80"/>
            </w:tcBorders>
            <w:shd w:val="clear" w:color="auto" w:fill="auto"/>
          </w:tcPr>
          <w:p w14:paraId="7E7B72C4" w14:textId="77777777" w:rsidR="008B7E19" w:rsidRPr="00DB06CF" w:rsidRDefault="008B7E19" w:rsidP="008B7E19">
            <w:pPr>
              <w:pStyle w:val="08-Tabelageral"/>
              <w:rPr>
                <w:rFonts w:cs="Arial"/>
                <w:b/>
              </w:rPr>
            </w:pPr>
          </w:p>
        </w:tc>
        <w:tc>
          <w:tcPr>
            <w:tcW w:w="732" w:type="pct"/>
            <w:tcBorders>
              <w:top w:val="single" w:sz="2" w:space="0" w:color="1F4E79" w:themeColor="accent1" w:themeShade="80"/>
              <w:bottom w:val="single" w:sz="2" w:space="0" w:color="1F4E79" w:themeColor="accent1" w:themeShade="80"/>
            </w:tcBorders>
            <w:shd w:val="clear" w:color="auto" w:fill="auto"/>
          </w:tcPr>
          <w:p w14:paraId="60EEB925" w14:textId="77777777" w:rsidR="008B7E19" w:rsidRPr="00DB06CF" w:rsidRDefault="008B7E19" w:rsidP="008B7E19">
            <w:pPr>
              <w:pStyle w:val="08-Tabelageral"/>
              <w:rPr>
                <w:rFonts w:cs="Arial"/>
                <w:b/>
              </w:rPr>
            </w:pPr>
            <w:r>
              <w:rPr>
                <w:rFonts w:cs="Arial"/>
                <w:b/>
                <w:bCs/>
                <w:szCs w:val="14"/>
              </w:rPr>
              <w:t>2</w:t>
            </w:r>
            <w:r w:rsidRPr="00A65DBA">
              <w:rPr>
                <w:rFonts w:cs="Arial"/>
                <w:b/>
                <w:bCs/>
                <w:szCs w:val="14"/>
                <w:vertAlign w:val="superscript"/>
              </w:rPr>
              <w:t>nd</w:t>
            </w:r>
            <w:r w:rsidRPr="00D43605">
              <w:rPr>
                <w:rFonts w:cs="Arial"/>
                <w:b/>
                <w:bCs/>
                <w:szCs w:val="14"/>
              </w:rPr>
              <w:t xml:space="preserve"> Quarter</w:t>
            </w:r>
            <w:r>
              <w:rPr>
                <w:rFonts w:cs="Arial"/>
                <w:b/>
                <w:bCs/>
                <w:szCs w:val="14"/>
              </w:rPr>
              <w:t xml:space="preserve"> 2</w:t>
            </w:r>
            <w:r w:rsidRPr="00D43605">
              <w:rPr>
                <w:rFonts w:cs="Arial"/>
                <w:b/>
                <w:bCs/>
                <w:szCs w:val="14"/>
              </w:rPr>
              <w:t>02</w:t>
            </w:r>
            <w:r>
              <w:rPr>
                <w:rFonts w:cs="Arial"/>
                <w:b/>
                <w:bCs/>
                <w:szCs w:val="14"/>
              </w:rPr>
              <w:t>3</w:t>
            </w:r>
          </w:p>
        </w:tc>
        <w:tc>
          <w:tcPr>
            <w:tcW w:w="732" w:type="pct"/>
            <w:tcBorders>
              <w:top w:val="single" w:sz="2" w:space="0" w:color="1F4E79" w:themeColor="accent1" w:themeShade="80"/>
              <w:bottom w:val="single" w:sz="2" w:space="0" w:color="1F4E79" w:themeColor="accent1" w:themeShade="80"/>
            </w:tcBorders>
            <w:shd w:val="clear" w:color="auto" w:fill="auto"/>
          </w:tcPr>
          <w:p w14:paraId="4141A8AB" w14:textId="77777777" w:rsidR="008B7E19" w:rsidRPr="00DB06CF" w:rsidRDefault="008B7E19" w:rsidP="008B7E19">
            <w:pPr>
              <w:pStyle w:val="08-Tabelageral"/>
              <w:rPr>
                <w:rFonts w:cs="Arial"/>
                <w:b/>
              </w:rPr>
            </w:pPr>
            <w:r>
              <w:rPr>
                <w:rFonts w:cs="Arial"/>
                <w:b/>
                <w:bCs/>
                <w:szCs w:val="14"/>
              </w:rPr>
              <w:t>2</w:t>
            </w:r>
            <w:r w:rsidRPr="00A65DBA">
              <w:rPr>
                <w:rFonts w:cs="Arial"/>
                <w:b/>
                <w:bCs/>
                <w:szCs w:val="14"/>
                <w:vertAlign w:val="superscript"/>
              </w:rPr>
              <w:t>nd</w:t>
            </w:r>
            <w:r w:rsidRPr="00D43605">
              <w:rPr>
                <w:rFonts w:cs="Arial"/>
                <w:b/>
                <w:szCs w:val="14"/>
              </w:rPr>
              <w:t xml:space="preserve"> Quarter 202</w:t>
            </w:r>
            <w:r>
              <w:rPr>
                <w:rFonts w:cs="Arial"/>
                <w:b/>
                <w:szCs w:val="14"/>
              </w:rPr>
              <w:t>2</w:t>
            </w:r>
          </w:p>
        </w:tc>
        <w:tc>
          <w:tcPr>
            <w:tcW w:w="147" w:type="pct"/>
            <w:tcBorders>
              <w:top w:val="nil"/>
              <w:bottom w:val="single" w:sz="2" w:space="0" w:color="1F4E79" w:themeColor="accent1" w:themeShade="80"/>
            </w:tcBorders>
            <w:shd w:val="clear" w:color="auto" w:fill="auto"/>
            <w:vAlign w:val="center"/>
          </w:tcPr>
          <w:p w14:paraId="0EF07500" w14:textId="77777777" w:rsidR="008B7E19" w:rsidRPr="00DB06CF" w:rsidRDefault="008B7E19" w:rsidP="008B7E19">
            <w:pPr>
              <w:pStyle w:val="08-Tabelageral"/>
              <w:rPr>
                <w:rFonts w:cs="Arial"/>
                <w:b/>
              </w:rPr>
            </w:pPr>
          </w:p>
        </w:tc>
        <w:tc>
          <w:tcPr>
            <w:tcW w:w="735" w:type="pct"/>
            <w:tcBorders>
              <w:top w:val="single" w:sz="2" w:space="0" w:color="1F4E79" w:themeColor="accent1" w:themeShade="80"/>
              <w:bottom w:val="single" w:sz="2" w:space="0" w:color="1F4E79" w:themeColor="accent1" w:themeShade="80"/>
            </w:tcBorders>
            <w:shd w:val="clear" w:color="auto" w:fill="auto"/>
          </w:tcPr>
          <w:p w14:paraId="39C5426A" w14:textId="77777777" w:rsidR="008B7E19" w:rsidRPr="00DB06CF" w:rsidRDefault="008B7E19" w:rsidP="008B7E19">
            <w:pPr>
              <w:pStyle w:val="08-Tabelageral"/>
              <w:rPr>
                <w:rFonts w:cs="Arial"/>
                <w:b/>
              </w:rPr>
            </w:pPr>
            <w:r>
              <w:rPr>
                <w:rFonts w:cs="Arial"/>
                <w:b/>
                <w:bCs/>
                <w:szCs w:val="14"/>
              </w:rPr>
              <w:t>2</w:t>
            </w:r>
            <w:r w:rsidRPr="00A65DBA">
              <w:rPr>
                <w:rFonts w:cs="Arial"/>
                <w:b/>
                <w:bCs/>
                <w:szCs w:val="14"/>
                <w:vertAlign w:val="superscript"/>
              </w:rPr>
              <w:t>nd</w:t>
            </w:r>
            <w:r w:rsidRPr="00D43605">
              <w:rPr>
                <w:rFonts w:cs="Arial"/>
                <w:b/>
                <w:bCs/>
                <w:szCs w:val="14"/>
              </w:rPr>
              <w:t xml:space="preserve"> Quarter</w:t>
            </w:r>
            <w:r>
              <w:rPr>
                <w:rFonts w:cs="Arial"/>
                <w:b/>
                <w:bCs/>
                <w:szCs w:val="14"/>
              </w:rPr>
              <w:t xml:space="preserve"> 2</w:t>
            </w:r>
            <w:r w:rsidRPr="00D43605">
              <w:rPr>
                <w:rFonts w:cs="Arial"/>
                <w:b/>
                <w:bCs/>
                <w:szCs w:val="14"/>
              </w:rPr>
              <w:t>02</w:t>
            </w:r>
            <w:r>
              <w:rPr>
                <w:rFonts w:cs="Arial"/>
                <w:b/>
                <w:bCs/>
                <w:szCs w:val="14"/>
              </w:rPr>
              <w:t>3</w:t>
            </w:r>
          </w:p>
        </w:tc>
        <w:tc>
          <w:tcPr>
            <w:tcW w:w="736" w:type="pct"/>
            <w:tcBorders>
              <w:top w:val="single" w:sz="2" w:space="0" w:color="1F4E79" w:themeColor="accent1" w:themeShade="80"/>
              <w:bottom w:val="single" w:sz="2" w:space="0" w:color="1F4E79" w:themeColor="accent1" w:themeShade="80"/>
            </w:tcBorders>
            <w:shd w:val="clear" w:color="auto" w:fill="auto"/>
          </w:tcPr>
          <w:p w14:paraId="5F91A5F0" w14:textId="77777777" w:rsidR="008B7E19" w:rsidRPr="00DB06CF" w:rsidRDefault="008B7E19" w:rsidP="008B7E19">
            <w:pPr>
              <w:pStyle w:val="08-Tabelageral"/>
              <w:rPr>
                <w:rFonts w:cs="Arial"/>
                <w:b/>
              </w:rPr>
            </w:pPr>
            <w:r>
              <w:rPr>
                <w:rFonts w:cs="Arial"/>
                <w:b/>
                <w:bCs/>
                <w:szCs w:val="14"/>
              </w:rPr>
              <w:t>2</w:t>
            </w:r>
            <w:r w:rsidRPr="00A65DBA">
              <w:rPr>
                <w:rFonts w:cs="Arial"/>
                <w:b/>
                <w:bCs/>
                <w:szCs w:val="14"/>
                <w:vertAlign w:val="superscript"/>
              </w:rPr>
              <w:t>nd</w:t>
            </w:r>
            <w:r w:rsidRPr="00D43605">
              <w:rPr>
                <w:rFonts w:cs="Arial"/>
                <w:b/>
                <w:szCs w:val="14"/>
              </w:rPr>
              <w:t xml:space="preserve"> Quarter 202</w:t>
            </w:r>
            <w:r>
              <w:rPr>
                <w:rFonts w:cs="Arial"/>
                <w:b/>
                <w:szCs w:val="14"/>
              </w:rPr>
              <w:t>2</w:t>
            </w:r>
          </w:p>
        </w:tc>
      </w:tr>
      <w:tr w:rsidR="008B7E19" w:rsidRPr="00C44E2E" w14:paraId="0F3DCA7B" w14:textId="77777777" w:rsidTr="008875E7">
        <w:trPr>
          <w:trHeight w:val="238"/>
          <w:jc w:val="center"/>
        </w:trPr>
        <w:tc>
          <w:tcPr>
            <w:tcW w:w="1605" w:type="pct"/>
            <w:tcBorders>
              <w:top w:val="single" w:sz="2" w:space="0" w:color="1F4E79" w:themeColor="accent1" w:themeShade="80"/>
            </w:tcBorders>
            <w:shd w:val="clear" w:color="auto" w:fill="auto"/>
            <w:vAlign w:val="center"/>
          </w:tcPr>
          <w:p w14:paraId="6606D7B2" w14:textId="77777777" w:rsidR="008B7E19" w:rsidRPr="00C44E2E" w:rsidRDefault="008B7E19" w:rsidP="008B7E19">
            <w:pPr>
              <w:pStyle w:val="08-Tabelageral"/>
              <w:jc w:val="left"/>
              <w:rPr>
                <w:b/>
              </w:rPr>
            </w:pPr>
            <w:r w:rsidRPr="00C44E2E">
              <w:rPr>
                <w:b/>
              </w:rPr>
              <w:t>Financial Income</w:t>
            </w:r>
          </w:p>
        </w:tc>
        <w:tc>
          <w:tcPr>
            <w:tcW w:w="313" w:type="pct"/>
            <w:tcBorders>
              <w:top w:val="single" w:sz="2" w:space="0" w:color="1F4E79" w:themeColor="accent1" w:themeShade="80"/>
            </w:tcBorders>
            <w:shd w:val="clear" w:color="auto" w:fill="auto"/>
          </w:tcPr>
          <w:p w14:paraId="2F8DB715" w14:textId="77777777" w:rsidR="008B7E19" w:rsidRPr="00C44E2E" w:rsidRDefault="008B7E19" w:rsidP="008B7E19">
            <w:pPr>
              <w:pStyle w:val="08-Tabelageral"/>
              <w:jc w:val="center"/>
              <w:rPr>
                <w:rFonts w:cs="Arial"/>
                <w:b/>
                <w:szCs w:val="14"/>
              </w:rPr>
            </w:pPr>
          </w:p>
        </w:tc>
        <w:tc>
          <w:tcPr>
            <w:tcW w:w="732" w:type="pct"/>
            <w:tcBorders>
              <w:top w:val="single" w:sz="2" w:space="0" w:color="1F4E79" w:themeColor="accent1" w:themeShade="80"/>
            </w:tcBorders>
            <w:shd w:val="clear" w:color="auto" w:fill="auto"/>
          </w:tcPr>
          <w:p w14:paraId="6AB57E49" w14:textId="77777777" w:rsidR="008B7E19" w:rsidRPr="00C44E2E" w:rsidRDefault="008B7E19" w:rsidP="008B7E19">
            <w:pPr>
              <w:pStyle w:val="08-Tabelageral"/>
              <w:rPr>
                <w:b/>
              </w:rPr>
            </w:pPr>
            <w:r w:rsidRPr="00C44E2E">
              <w:rPr>
                <w:b/>
              </w:rPr>
              <w:t>11,438</w:t>
            </w:r>
          </w:p>
        </w:tc>
        <w:tc>
          <w:tcPr>
            <w:tcW w:w="732" w:type="pct"/>
            <w:tcBorders>
              <w:top w:val="single" w:sz="2" w:space="0" w:color="1F4E79" w:themeColor="accent1" w:themeShade="80"/>
            </w:tcBorders>
            <w:shd w:val="clear" w:color="auto" w:fill="auto"/>
          </w:tcPr>
          <w:p w14:paraId="4FBAB8AB" w14:textId="77777777" w:rsidR="008B7E19" w:rsidRPr="00C44E2E" w:rsidRDefault="008B7E19" w:rsidP="008B7E19">
            <w:pPr>
              <w:pStyle w:val="08-Tabelageral"/>
              <w:rPr>
                <w:b/>
              </w:rPr>
            </w:pPr>
            <w:r w:rsidRPr="00C44E2E">
              <w:rPr>
                <w:b/>
              </w:rPr>
              <w:t>4,968</w:t>
            </w:r>
          </w:p>
        </w:tc>
        <w:tc>
          <w:tcPr>
            <w:tcW w:w="147" w:type="pct"/>
            <w:tcBorders>
              <w:top w:val="single" w:sz="2" w:space="0" w:color="1F4E79" w:themeColor="accent1" w:themeShade="80"/>
            </w:tcBorders>
            <w:shd w:val="clear" w:color="auto" w:fill="auto"/>
            <w:vAlign w:val="center"/>
          </w:tcPr>
          <w:p w14:paraId="494B6584" w14:textId="77777777" w:rsidR="008B7E19" w:rsidRPr="00C44E2E" w:rsidRDefault="008B7E19" w:rsidP="008B7E19">
            <w:pPr>
              <w:pStyle w:val="08-Tabelageral"/>
              <w:rPr>
                <w:b/>
              </w:rPr>
            </w:pPr>
          </w:p>
        </w:tc>
        <w:tc>
          <w:tcPr>
            <w:tcW w:w="735" w:type="pct"/>
            <w:tcBorders>
              <w:top w:val="single" w:sz="2" w:space="0" w:color="1F4E79" w:themeColor="accent1" w:themeShade="80"/>
            </w:tcBorders>
            <w:shd w:val="clear" w:color="auto" w:fill="auto"/>
          </w:tcPr>
          <w:p w14:paraId="6C825A48" w14:textId="77777777" w:rsidR="008B7E19" w:rsidRPr="00C44E2E" w:rsidRDefault="008B7E19" w:rsidP="008B7E19">
            <w:pPr>
              <w:pStyle w:val="08-Tabelageral"/>
              <w:rPr>
                <w:b/>
              </w:rPr>
            </w:pPr>
            <w:r w:rsidRPr="00C44E2E">
              <w:rPr>
                <w:b/>
              </w:rPr>
              <w:t>151,435</w:t>
            </w:r>
          </w:p>
        </w:tc>
        <w:tc>
          <w:tcPr>
            <w:tcW w:w="736" w:type="pct"/>
            <w:tcBorders>
              <w:top w:val="single" w:sz="2" w:space="0" w:color="1F4E79" w:themeColor="accent1" w:themeShade="80"/>
            </w:tcBorders>
            <w:shd w:val="clear" w:color="auto" w:fill="auto"/>
          </w:tcPr>
          <w:p w14:paraId="5FCE7A7C" w14:textId="77777777" w:rsidR="008B7E19" w:rsidRPr="00C44E2E" w:rsidRDefault="008B7E19" w:rsidP="008B7E19">
            <w:pPr>
              <w:pStyle w:val="08-Tabelageral"/>
              <w:rPr>
                <w:b/>
              </w:rPr>
            </w:pPr>
            <w:r w:rsidRPr="00C44E2E">
              <w:rPr>
                <w:b/>
              </w:rPr>
              <w:t>118,605</w:t>
            </w:r>
          </w:p>
        </w:tc>
      </w:tr>
      <w:tr w:rsidR="008B7E19" w:rsidRPr="00DB06CF" w14:paraId="58FE814F" w14:textId="77777777" w:rsidTr="008875E7">
        <w:trPr>
          <w:trHeight w:val="238"/>
          <w:jc w:val="center"/>
        </w:trPr>
        <w:tc>
          <w:tcPr>
            <w:tcW w:w="1605" w:type="pct"/>
            <w:shd w:val="clear" w:color="auto" w:fill="auto"/>
            <w:vAlign w:val="center"/>
          </w:tcPr>
          <w:p w14:paraId="508D8595" w14:textId="77777777" w:rsidR="008B7E19" w:rsidRPr="00DB06CF" w:rsidRDefault="008B7E19" w:rsidP="008B7E19">
            <w:pPr>
              <w:pStyle w:val="08-Tabelageral"/>
              <w:ind w:left="113"/>
              <w:jc w:val="left"/>
            </w:pPr>
            <w:r w:rsidRPr="00FA2ABC">
              <w:t>Yield from financial investments</w:t>
            </w:r>
          </w:p>
        </w:tc>
        <w:tc>
          <w:tcPr>
            <w:tcW w:w="313" w:type="pct"/>
            <w:shd w:val="clear" w:color="auto" w:fill="auto"/>
          </w:tcPr>
          <w:p w14:paraId="604A881C" w14:textId="77777777" w:rsidR="008B7E19" w:rsidRPr="00DB06CF" w:rsidRDefault="008B7E19" w:rsidP="008B7E19">
            <w:pPr>
              <w:pStyle w:val="08-Tabelageral"/>
              <w:ind w:left="113"/>
              <w:jc w:val="center"/>
              <w:rPr>
                <w:rFonts w:cs="Arial"/>
                <w:szCs w:val="14"/>
              </w:rPr>
            </w:pPr>
          </w:p>
        </w:tc>
        <w:tc>
          <w:tcPr>
            <w:tcW w:w="732" w:type="pct"/>
            <w:shd w:val="clear" w:color="auto" w:fill="auto"/>
          </w:tcPr>
          <w:p w14:paraId="265471FD" w14:textId="77777777" w:rsidR="008B7E19" w:rsidRPr="00DB06CF" w:rsidRDefault="008B7E19" w:rsidP="008B7E19">
            <w:pPr>
              <w:pStyle w:val="08-Tabelageral"/>
            </w:pPr>
            <w:r w:rsidRPr="00321EAF">
              <w:t>9</w:t>
            </w:r>
            <w:r>
              <w:t>,</w:t>
            </w:r>
            <w:r w:rsidRPr="00321EAF">
              <w:t>149</w:t>
            </w:r>
          </w:p>
        </w:tc>
        <w:tc>
          <w:tcPr>
            <w:tcW w:w="732" w:type="pct"/>
            <w:shd w:val="clear" w:color="auto" w:fill="auto"/>
          </w:tcPr>
          <w:p w14:paraId="10A5CC42" w14:textId="77777777" w:rsidR="008B7E19" w:rsidRPr="00DB06CF" w:rsidRDefault="008B7E19" w:rsidP="008B7E19">
            <w:pPr>
              <w:pStyle w:val="08-Tabelageral"/>
            </w:pPr>
            <w:r w:rsidRPr="00321EAF">
              <w:t>3</w:t>
            </w:r>
            <w:r>
              <w:t>,</w:t>
            </w:r>
            <w:r w:rsidRPr="00321EAF">
              <w:t>229</w:t>
            </w:r>
          </w:p>
        </w:tc>
        <w:tc>
          <w:tcPr>
            <w:tcW w:w="147" w:type="pct"/>
            <w:shd w:val="clear" w:color="auto" w:fill="auto"/>
            <w:vAlign w:val="center"/>
          </w:tcPr>
          <w:p w14:paraId="4399AF2E" w14:textId="77777777" w:rsidR="008B7E19" w:rsidRPr="00DB06CF" w:rsidRDefault="008B7E19" w:rsidP="008B7E19">
            <w:pPr>
              <w:pStyle w:val="08-Tabelageral"/>
            </w:pPr>
          </w:p>
        </w:tc>
        <w:tc>
          <w:tcPr>
            <w:tcW w:w="735" w:type="pct"/>
            <w:shd w:val="clear" w:color="auto" w:fill="auto"/>
          </w:tcPr>
          <w:p w14:paraId="79E2622E" w14:textId="77777777" w:rsidR="008B7E19" w:rsidRPr="00DB06CF" w:rsidRDefault="008B7E19" w:rsidP="008B7E19">
            <w:pPr>
              <w:pStyle w:val="08-Tabelageral"/>
            </w:pPr>
            <w:r w:rsidRPr="00EF5BA7">
              <w:t>145</w:t>
            </w:r>
            <w:r>
              <w:t>,</w:t>
            </w:r>
            <w:r w:rsidRPr="00EF5BA7">
              <w:t>692</w:t>
            </w:r>
          </w:p>
        </w:tc>
        <w:tc>
          <w:tcPr>
            <w:tcW w:w="736" w:type="pct"/>
            <w:shd w:val="clear" w:color="auto" w:fill="auto"/>
          </w:tcPr>
          <w:p w14:paraId="7CDD832E" w14:textId="77777777" w:rsidR="008B7E19" w:rsidRPr="00DB06CF" w:rsidRDefault="008B7E19" w:rsidP="008B7E19">
            <w:pPr>
              <w:pStyle w:val="08-Tabelageral"/>
            </w:pPr>
            <w:r w:rsidRPr="00EF5BA7">
              <w:t>102</w:t>
            </w:r>
            <w:r>
              <w:t>,</w:t>
            </w:r>
            <w:r w:rsidRPr="00EF5BA7">
              <w:t>652</w:t>
            </w:r>
          </w:p>
        </w:tc>
      </w:tr>
      <w:tr w:rsidR="008B7E19" w:rsidRPr="00DB06CF" w14:paraId="1C74DAD9" w14:textId="77777777" w:rsidTr="008875E7">
        <w:trPr>
          <w:trHeight w:val="238"/>
          <w:jc w:val="center"/>
        </w:trPr>
        <w:tc>
          <w:tcPr>
            <w:tcW w:w="1605" w:type="pct"/>
            <w:shd w:val="clear" w:color="auto" w:fill="auto"/>
            <w:vAlign w:val="center"/>
          </w:tcPr>
          <w:p w14:paraId="36B38872" w14:textId="77777777" w:rsidR="008B7E19" w:rsidRPr="00DB06CF" w:rsidRDefault="008B7E19" w:rsidP="008B7E19">
            <w:pPr>
              <w:pStyle w:val="08-Tabelageral"/>
              <w:ind w:left="113"/>
              <w:jc w:val="left"/>
            </w:pPr>
            <w:r w:rsidRPr="00FA2ABC">
              <w:t>Monetary adjustment of judicial deposits</w:t>
            </w:r>
          </w:p>
        </w:tc>
        <w:tc>
          <w:tcPr>
            <w:tcW w:w="313" w:type="pct"/>
            <w:shd w:val="clear" w:color="auto" w:fill="auto"/>
          </w:tcPr>
          <w:p w14:paraId="2086419A" w14:textId="77777777" w:rsidR="008B7E19" w:rsidRPr="00DB06CF" w:rsidRDefault="008B7E19" w:rsidP="008B7E19">
            <w:pPr>
              <w:pStyle w:val="08-Tabelageral"/>
              <w:ind w:left="113"/>
              <w:jc w:val="left"/>
            </w:pPr>
          </w:p>
        </w:tc>
        <w:tc>
          <w:tcPr>
            <w:tcW w:w="732" w:type="pct"/>
            <w:shd w:val="clear" w:color="auto" w:fill="auto"/>
          </w:tcPr>
          <w:p w14:paraId="598F6FA9" w14:textId="77777777" w:rsidR="008B7E19" w:rsidRPr="00DB06CF" w:rsidRDefault="008B7E19" w:rsidP="008B7E19">
            <w:pPr>
              <w:pStyle w:val="08-Tabelageral"/>
            </w:pPr>
            <w:r w:rsidRPr="00321EAF">
              <w:t>--</w:t>
            </w:r>
          </w:p>
        </w:tc>
        <w:tc>
          <w:tcPr>
            <w:tcW w:w="732" w:type="pct"/>
            <w:shd w:val="clear" w:color="auto" w:fill="auto"/>
          </w:tcPr>
          <w:p w14:paraId="6EBB8181" w14:textId="77777777" w:rsidR="008B7E19" w:rsidRPr="00DB06CF" w:rsidRDefault="008B7E19" w:rsidP="008B7E19">
            <w:pPr>
              <w:pStyle w:val="08-Tabelageral"/>
            </w:pPr>
            <w:r w:rsidRPr="00321EAF">
              <w:t>--</w:t>
            </w:r>
          </w:p>
        </w:tc>
        <w:tc>
          <w:tcPr>
            <w:tcW w:w="147" w:type="pct"/>
            <w:shd w:val="clear" w:color="auto" w:fill="auto"/>
            <w:vAlign w:val="center"/>
          </w:tcPr>
          <w:p w14:paraId="2A642D46" w14:textId="77777777" w:rsidR="008B7E19" w:rsidRPr="00DB06CF" w:rsidRDefault="008B7E19" w:rsidP="008B7E19">
            <w:pPr>
              <w:pStyle w:val="08-Tabelageral"/>
            </w:pPr>
          </w:p>
        </w:tc>
        <w:tc>
          <w:tcPr>
            <w:tcW w:w="735" w:type="pct"/>
            <w:shd w:val="clear" w:color="auto" w:fill="auto"/>
          </w:tcPr>
          <w:p w14:paraId="60299033" w14:textId="77777777" w:rsidR="008B7E19" w:rsidRPr="00DB06CF" w:rsidRDefault="008B7E19" w:rsidP="008B7E19">
            <w:pPr>
              <w:pStyle w:val="08-Tabelageral"/>
            </w:pPr>
            <w:r w:rsidRPr="00EF5BA7">
              <w:t>3</w:t>
            </w:r>
            <w:r>
              <w:t>,</w:t>
            </w:r>
            <w:r w:rsidRPr="00EF5BA7">
              <w:t>413</w:t>
            </w:r>
          </w:p>
        </w:tc>
        <w:tc>
          <w:tcPr>
            <w:tcW w:w="736" w:type="pct"/>
            <w:shd w:val="clear" w:color="auto" w:fill="auto"/>
          </w:tcPr>
          <w:p w14:paraId="358DD017" w14:textId="77777777" w:rsidR="008B7E19" w:rsidRPr="00DB06CF" w:rsidRDefault="008B7E19" w:rsidP="008B7E19">
            <w:pPr>
              <w:pStyle w:val="08-Tabelageral"/>
            </w:pPr>
            <w:r w:rsidRPr="00EF5BA7">
              <w:t>2</w:t>
            </w:r>
            <w:r>
              <w:t>,</w:t>
            </w:r>
            <w:r w:rsidRPr="00EF5BA7">
              <w:t>944</w:t>
            </w:r>
          </w:p>
        </w:tc>
      </w:tr>
      <w:tr w:rsidR="008B7E19" w:rsidRPr="00DB06CF" w14:paraId="5F6EF63F" w14:textId="77777777" w:rsidTr="008875E7">
        <w:trPr>
          <w:trHeight w:val="238"/>
          <w:jc w:val="center"/>
        </w:trPr>
        <w:tc>
          <w:tcPr>
            <w:tcW w:w="1605" w:type="pct"/>
            <w:shd w:val="clear" w:color="auto" w:fill="auto"/>
            <w:vAlign w:val="center"/>
          </w:tcPr>
          <w:p w14:paraId="49FC7E2A" w14:textId="77777777" w:rsidR="008B7E19" w:rsidRPr="00DB06CF" w:rsidRDefault="008B7E19" w:rsidP="008B7E19">
            <w:pPr>
              <w:pStyle w:val="08-Tabelageral"/>
              <w:ind w:left="113"/>
              <w:jc w:val="left"/>
            </w:pPr>
            <w:r w:rsidRPr="00FA2ABC">
              <w:t>Monetary adjustment of taxes</w:t>
            </w:r>
          </w:p>
        </w:tc>
        <w:tc>
          <w:tcPr>
            <w:tcW w:w="313" w:type="pct"/>
            <w:shd w:val="clear" w:color="auto" w:fill="auto"/>
          </w:tcPr>
          <w:p w14:paraId="7680E819" w14:textId="77777777" w:rsidR="008B7E19" w:rsidRPr="00DB06CF" w:rsidRDefault="008B7E19" w:rsidP="008B7E19">
            <w:pPr>
              <w:pStyle w:val="08-Tabelageral"/>
              <w:ind w:left="113"/>
              <w:jc w:val="center"/>
              <w:rPr>
                <w:rFonts w:cs="Arial"/>
                <w:szCs w:val="14"/>
              </w:rPr>
            </w:pPr>
          </w:p>
        </w:tc>
        <w:tc>
          <w:tcPr>
            <w:tcW w:w="732" w:type="pct"/>
            <w:shd w:val="clear" w:color="auto" w:fill="auto"/>
          </w:tcPr>
          <w:p w14:paraId="4A54F4ED" w14:textId="77777777" w:rsidR="008B7E19" w:rsidRPr="00DB06CF" w:rsidRDefault="008B7E19" w:rsidP="008B7E19">
            <w:pPr>
              <w:pStyle w:val="08-Tabelageral"/>
            </w:pPr>
            <w:r w:rsidRPr="00321EAF">
              <w:t>2</w:t>
            </w:r>
            <w:r>
              <w:t>,</w:t>
            </w:r>
            <w:r w:rsidRPr="00321EAF">
              <w:t>289</w:t>
            </w:r>
          </w:p>
        </w:tc>
        <w:tc>
          <w:tcPr>
            <w:tcW w:w="732" w:type="pct"/>
            <w:shd w:val="clear" w:color="auto" w:fill="auto"/>
          </w:tcPr>
          <w:p w14:paraId="38450D07" w14:textId="77777777" w:rsidR="008B7E19" w:rsidRPr="00DB06CF" w:rsidRDefault="008B7E19" w:rsidP="008B7E19">
            <w:pPr>
              <w:pStyle w:val="08-Tabelageral"/>
            </w:pPr>
            <w:r w:rsidRPr="00321EAF">
              <w:t>1</w:t>
            </w:r>
            <w:r>
              <w:t>,</w:t>
            </w:r>
            <w:r w:rsidRPr="00321EAF">
              <w:t>739</w:t>
            </w:r>
          </w:p>
        </w:tc>
        <w:tc>
          <w:tcPr>
            <w:tcW w:w="147" w:type="pct"/>
            <w:shd w:val="clear" w:color="auto" w:fill="auto"/>
            <w:vAlign w:val="center"/>
          </w:tcPr>
          <w:p w14:paraId="4C1192B8" w14:textId="77777777" w:rsidR="008B7E19" w:rsidRPr="00DB06CF" w:rsidRDefault="008B7E19" w:rsidP="008B7E19">
            <w:pPr>
              <w:pStyle w:val="08-Tabelageral"/>
            </w:pPr>
          </w:p>
        </w:tc>
        <w:tc>
          <w:tcPr>
            <w:tcW w:w="735" w:type="pct"/>
            <w:shd w:val="clear" w:color="auto" w:fill="auto"/>
          </w:tcPr>
          <w:p w14:paraId="59367A21" w14:textId="77777777" w:rsidR="008B7E19" w:rsidRPr="00DB06CF" w:rsidRDefault="008B7E19" w:rsidP="008B7E19">
            <w:pPr>
              <w:pStyle w:val="08-Tabelageral"/>
            </w:pPr>
            <w:r w:rsidRPr="00EF5BA7">
              <w:t>2</w:t>
            </w:r>
            <w:r>
              <w:t>,</w:t>
            </w:r>
            <w:r w:rsidRPr="00EF5BA7">
              <w:t>330</w:t>
            </w:r>
          </w:p>
        </w:tc>
        <w:tc>
          <w:tcPr>
            <w:tcW w:w="736" w:type="pct"/>
            <w:shd w:val="clear" w:color="auto" w:fill="auto"/>
          </w:tcPr>
          <w:p w14:paraId="19F8234D" w14:textId="77777777" w:rsidR="008B7E19" w:rsidRPr="00DB06CF" w:rsidRDefault="008B7E19" w:rsidP="008B7E19">
            <w:pPr>
              <w:pStyle w:val="08-Tabelageral"/>
            </w:pPr>
            <w:r w:rsidRPr="00EF5BA7">
              <w:t>13</w:t>
            </w:r>
            <w:r>
              <w:t>,</w:t>
            </w:r>
            <w:r w:rsidRPr="00EF5BA7">
              <w:t>009</w:t>
            </w:r>
          </w:p>
        </w:tc>
      </w:tr>
      <w:tr w:rsidR="008B7E19" w:rsidRPr="00C44E2E" w14:paraId="42C413E6" w14:textId="77777777" w:rsidTr="008875E7">
        <w:trPr>
          <w:trHeight w:val="238"/>
          <w:jc w:val="center"/>
        </w:trPr>
        <w:tc>
          <w:tcPr>
            <w:tcW w:w="1605" w:type="pct"/>
            <w:shd w:val="clear" w:color="auto" w:fill="auto"/>
            <w:vAlign w:val="center"/>
          </w:tcPr>
          <w:p w14:paraId="3EE9AE59" w14:textId="77777777" w:rsidR="008B7E19" w:rsidRPr="00C44E2E" w:rsidRDefault="008B7E19" w:rsidP="008B7E19">
            <w:pPr>
              <w:pStyle w:val="08-Tabelageral"/>
              <w:jc w:val="left"/>
              <w:rPr>
                <w:b/>
              </w:rPr>
            </w:pPr>
            <w:r w:rsidRPr="00C44E2E">
              <w:rPr>
                <w:b/>
              </w:rPr>
              <w:t>Financial Expenses</w:t>
            </w:r>
          </w:p>
        </w:tc>
        <w:tc>
          <w:tcPr>
            <w:tcW w:w="313" w:type="pct"/>
            <w:shd w:val="clear" w:color="auto" w:fill="auto"/>
          </w:tcPr>
          <w:p w14:paraId="25D24F8B" w14:textId="77777777" w:rsidR="008B7E19" w:rsidRPr="00C44E2E" w:rsidRDefault="008B7E19" w:rsidP="008B7E19">
            <w:pPr>
              <w:pStyle w:val="08-Tabelageral"/>
              <w:jc w:val="center"/>
              <w:rPr>
                <w:rFonts w:cs="Arial"/>
                <w:b/>
                <w:szCs w:val="14"/>
              </w:rPr>
            </w:pPr>
          </w:p>
        </w:tc>
        <w:tc>
          <w:tcPr>
            <w:tcW w:w="732" w:type="pct"/>
            <w:shd w:val="clear" w:color="auto" w:fill="auto"/>
          </w:tcPr>
          <w:p w14:paraId="10425EB7" w14:textId="77777777" w:rsidR="008B7E19" w:rsidRPr="00C44E2E" w:rsidRDefault="008B7E19" w:rsidP="008B7E19">
            <w:pPr>
              <w:pStyle w:val="08-Tabelageral"/>
              <w:rPr>
                <w:b/>
              </w:rPr>
            </w:pPr>
            <w:r w:rsidRPr="00C44E2E">
              <w:rPr>
                <w:b/>
              </w:rPr>
              <w:t>(1,036)</w:t>
            </w:r>
          </w:p>
        </w:tc>
        <w:tc>
          <w:tcPr>
            <w:tcW w:w="732" w:type="pct"/>
            <w:shd w:val="clear" w:color="auto" w:fill="auto"/>
          </w:tcPr>
          <w:p w14:paraId="5D385670" w14:textId="77777777" w:rsidR="008B7E19" w:rsidRPr="00C44E2E" w:rsidRDefault="008B7E19" w:rsidP="008B7E19">
            <w:pPr>
              <w:pStyle w:val="08-Tabelageral"/>
              <w:rPr>
                <w:b/>
              </w:rPr>
            </w:pPr>
            <w:r w:rsidRPr="00C44E2E">
              <w:rPr>
                <w:b/>
              </w:rPr>
              <w:t>(772)</w:t>
            </w:r>
          </w:p>
        </w:tc>
        <w:tc>
          <w:tcPr>
            <w:tcW w:w="147" w:type="pct"/>
            <w:shd w:val="clear" w:color="auto" w:fill="auto"/>
            <w:vAlign w:val="center"/>
          </w:tcPr>
          <w:p w14:paraId="5558FD39" w14:textId="77777777" w:rsidR="008B7E19" w:rsidRPr="00C44E2E" w:rsidRDefault="008B7E19" w:rsidP="008B7E19">
            <w:pPr>
              <w:pStyle w:val="08-Tabelageral"/>
              <w:rPr>
                <w:b/>
              </w:rPr>
            </w:pPr>
          </w:p>
        </w:tc>
        <w:tc>
          <w:tcPr>
            <w:tcW w:w="735" w:type="pct"/>
            <w:shd w:val="clear" w:color="auto" w:fill="auto"/>
          </w:tcPr>
          <w:p w14:paraId="51F75B2F" w14:textId="77777777" w:rsidR="008B7E19" w:rsidRPr="00C44E2E" w:rsidRDefault="008B7E19" w:rsidP="008B7E19">
            <w:pPr>
              <w:pStyle w:val="08-Tabelageral"/>
              <w:rPr>
                <w:b/>
              </w:rPr>
            </w:pPr>
            <w:r w:rsidRPr="00C44E2E">
              <w:rPr>
                <w:b/>
              </w:rPr>
              <w:t>(1,131)</w:t>
            </w:r>
          </w:p>
        </w:tc>
        <w:tc>
          <w:tcPr>
            <w:tcW w:w="736" w:type="pct"/>
            <w:shd w:val="clear" w:color="auto" w:fill="auto"/>
          </w:tcPr>
          <w:p w14:paraId="1971EDFF" w14:textId="77777777" w:rsidR="008B7E19" w:rsidRPr="00C44E2E" w:rsidRDefault="008B7E19" w:rsidP="008B7E19">
            <w:pPr>
              <w:pStyle w:val="08-Tabelageral"/>
              <w:rPr>
                <w:b/>
              </w:rPr>
            </w:pPr>
            <w:r w:rsidRPr="00C44E2E">
              <w:rPr>
                <w:b/>
              </w:rPr>
              <w:t>(830)</w:t>
            </w:r>
          </w:p>
        </w:tc>
      </w:tr>
      <w:tr w:rsidR="008B7E19" w:rsidRPr="00DB06CF" w14:paraId="6DFBF12C" w14:textId="77777777" w:rsidTr="008875E7">
        <w:trPr>
          <w:trHeight w:val="238"/>
          <w:jc w:val="center"/>
        </w:trPr>
        <w:tc>
          <w:tcPr>
            <w:tcW w:w="1605" w:type="pct"/>
            <w:shd w:val="clear" w:color="auto" w:fill="auto"/>
            <w:vAlign w:val="center"/>
          </w:tcPr>
          <w:p w14:paraId="773C243C" w14:textId="77777777" w:rsidR="008B7E19" w:rsidRPr="007801BA" w:rsidRDefault="008B7E19" w:rsidP="008B7E19">
            <w:pPr>
              <w:pStyle w:val="08-Tabelageral"/>
              <w:ind w:left="113"/>
              <w:jc w:val="left"/>
            </w:pPr>
            <w:r w:rsidRPr="00006F1F">
              <w:t>Financial system services</w:t>
            </w:r>
          </w:p>
        </w:tc>
        <w:tc>
          <w:tcPr>
            <w:tcW w:w="313" w:type="pct"/>
            <w:shd w:val="clear" w:color="auto" w:fill="auto"/>
          </w:tcPr>
          <w:p w14:paraId="59470F27" w14:textId="77777777" w:rsidR="008B7E19" w:rsidRPr="00DB06CF" w:rsidRDefault="008B7E19" w:rsidP="008B7E19">
            <w:pPr>
              <w:pStyle w:val="08-Tabelageral"/>
              <w:ind w:left="113"/>
              <w:jc w:val="center"/>
              <w:rPr>
                <w:rFonts w:cs="Arial"/>
                <w:szCs w:val="14"/>
              </w:rPr>
            </w:pPr>
          </w:p>
        </w:tc>
        <w:tc>
          <w:tcPr>
            <w:tcW w:w="732" w:type="pct"/>
            <w:shd w:val="clear" w:color="auto" w:fill="auto"/>
          </w:tcPr>
          <w:p w14:paraId="161D20AA" w14:textId="77777777" w:rsidR="008B7E19" w:rsidRDefault="008B7E19" w:rsidP="008B7E19">
            <w:pPr>
              <w:pStyle w:val="08-Tabelageral"/>
            </w:pPr>
            <w:r w:rsidRPr="00321EAF">
              <w:t>(490)</w:t>
            </w:r>
          </w:p>
        </w:tc>
        <w:tc>
          <w:tcPr>
            <w:tcW w:w="732" w:type="pct"/>
            <w:shd w:val="clear" w:color="auto" w:fill="auto"/>
          </w:tcPr>
          <w:p w14:paraId="767AD6E5" w14:textId="77777777" w:rsidR="008B7E19" w:rsidRPr="00914F92" w:rsidRDefault="008B7E19" w:rsidP="008B7E19">
            <w:pPr>
              <w:pStyle w:val="08-Tabelageral"/>
            </w:pPr>
            <w:r w:rsidRPr="00321EAF">
              <w:t>(441)</w:t>
            </w:r>
          </w:p>
        </w:tc>
        <w:tc>
          <w:tcPr>
            <w:tcW w:w="147" w:type="pct"/>
            <w:shd w:val="clear" w:color="auto" w:fill="auto"/>
            <w:vAlign w:val="center"/>
          </w:tcPr>
          <w:p w14:paraId="619317C9" w14:textId="77777777" w:rsidR="008B7E19" w:rsidRPr="00DB06CF" w:rsidRDefault="008B7E19" w:rsidP="008B7E19">
            <w:pPr>
              <w:pStyle w:val="08-Tabelageral"/>
            </w:pPr>
          </w:p>
        </w:tc>
        <w:tc>
          <w:tcPr>
            <w:tcW w:w="735" w:type="pct"/>
            <w:shd w:val="clear" w:color="auto" w:fill="auto"/>
          </w:tcPr>
          <w:p w14:paraId="630458F4" w14:textId="77777777" w:rsidR="008B7E19" w:rsidRDefault="008B7E19" w:rsidP="008B7E19">
            <w:pPr>
              <w:pStyle w:val="08-Tabelageral"/>
            </w:pPr>
            <w:r w:rsidRPr="00EF5BA7">
              <w:t>(586)</w:t>
            </w:r>
          </w:p>
        </w:tc>
        <w:tc>
          <w:tcPr>
            <w:tcW w:w="736" w:type="pct"/>
            <w:shd w:val="clear" w:color="auto" w:fill="auto"/>
          </w:tcPr>
          <w:p w14:paraId="38D567CD" w14:textId="77777777" w:rsidR="008B7E19" w:rsidRPr="00914F92" w:rsidRDefault="008B7E19" w:rsidP="008B7E19">
            <w:pPr>
              <w:pStyle w:val="08-Tabelageral"/>
            </w:pPr>
            <w:r w:rsidRPr="00EF5BA7">
              <w:t>(498)</w:t>
            </w:r>
          </w:p>
        </w:tc>
      </w:tr>
      <w:tr w:rsidR="008B7E19" w:rsidRPr="00DB06CF" w14:paraId="2AD62E34" w14:textId="77777777" w:rsidTr="008875E7">
        <w:trPr>
          <w:trHeight w:val="238"/>
          <w:jc w:val="center"/>
        </w:trPr>
        <w:tc>
          <w:tcPr>
            <w:tcW w:w="1605" w:type="pct"/>
            <w:shd w:val="clear" w:color="auto" w:fill="auto"/>
            <w:vAlign w:val="center"/>
          </w:tcPr>
          <w:p w14:paraId="75600CAF" w14:textId="77777777" w:rsidR="008B7E19" w:rsidRPr="00D85798" w:rsidRDefault="008B7E19" w:rsidP="008B7E19">
            <w:pPr>
              <w:pStyle w:val="08-Tabelageral"/>
              <w:ind w:left="113"/>
              <w:jc w:val="left"/>
            </w:pPr>
            <w:r w:rsidRPr="007801BA">
              <w:t>Loss on financial investments</w:t>
            </w:r>
          </w:p>
        </w:tc>
        <w:tc>
          <w:tcPr>
            <w:tcW w:w="313" w:type="pct"/>
            <w:shd w:val="clear" w:color="auto" w:fill="auto"/>
          </w:tcPr>
          <w:p w14:paraId="00D37E67" w14:textId="77777777" w:rsidR="008B7E19" w:rsidRPr="00DB06CF" w:rsidRDefault="008B7E19" w:rsidP="008B7E19">
            <w:pPr>
              <w:pStyle w:val="08-Tabelageral"/>
              <w:ind w:left="113"/>
              <w:jc w:val="center"/>
              <w:rPr>
                <w:rFonts w:cs="Arial"/>
                <w:szCs w:val="14"/>
              </w:rPr>
            </w:pPr>
          </w:p>
        </w:tc>
        <w:tc>
          <w:tcPr>
            <w:tcW w:w="732" w:type="pct"/>
            <w:shd w:val="clear" w:color="auto" w:fill="auto"/>
          </w:tcPr>
          <w:p w14:paraId="4CA4ED64" w14:textId="77777777" w:rsidR="008B7E19" w:rsidRPr="00D41026" w:rsidRDefault="008B7E19" w:rsidP="008B7E19">
            <w:pPr>
              <w:pStyle w:val="08-Tabelageral"/>
            </w:pPr>
            <w:r w:rsidRPr="00321EAF">
              <w:t>(546)</w:t>
            </w:r>
          </w:p>
        </w:tc>
        <w:tc>
          <w:tcPr>
            <w:tcW w:w="732" w:type="pct"/>
            <w:shd w:val="clear" w:color="auto" w:fill="auto"/>
          </w:tcPr>
          <w:p w14:paraId="6E33E31A" w14:textId="77777777" w:rsidR="008B7E19" w:rsidRPr="00914F92" w:rsidRDefault="008B7E19" w:rsidP="008B7E19">
            <w:pPr>
              <w:pStyle w:val="08-Tabelageral"/>
            </w:pPr>
            <w:r w:rsidRPr="00321EAF">
              <w:t>(331)</w:t>
            </w:r>
          </w:p>
        </w:tc>
        <w:tc>
          <w:tcPr>
            <w:tcW w:w="147" w:type="pct"/>
            <w:shd w:val="clear" w:color="auto" w:fill="auto"/>
            <w:vAlign w:val="center"/>
          </w:tcPr>
          <w:p w14:paraId="579C5694" w14:textId="77777777" w:rsidR="008B7E19" w:rsidRPr="00DB06CF" w:rsidRDefault="008B7E19" w:rsidP="008B7E19">
            <w:pPr>
              <w:pStyle w:val="08-Tabelageral"/>
            </w:pPr>
          </w:p>
        </w:tc>
        <w:tc>
          <w:tcPr>
            <w:tcW w:w="735" w:type="pct"/>
            <w:shd w:val="clear" w:color="auto" w:fill="auto"/>
          </w:tcPr>
          <w:p w14:paraId="23B2489B" w14:textId="77777777" w:rsidR="008B7E19" w:rsidRPr="00A54EF7" w:rsidRDefault="008B7E19" w:rsidP="008B7E19">
            <w:pPr>
              <w:pStyle w:val="08-Tabelageral"/>
            </w:pPr>
            <w:r w:rsidRPr="00EF5BA7">
              <w:t>(545)</w:t>
            </w:r>
          </w:p>
        </w:tc>
        <w:tc>
          <w:tcPr>
            <w:tcW w:w="736" w:type="pct"/>
            <w:shd w:val="clear" w:color="auto" w:fill="auto"/>
          </w:tcPr>
          <w:p w14:paraId="099817D0" w14:textId="77777777" w:rsidR="008B7E19" w:rsidRPr="00914F92" w:rsidRDefault="008B7E19" w:rsidP="008B7E19">
            <w:pPr>
              <w:pStyle w:val="08-Tabelageral"/>
            </w:pPr>
            <w:r w:rsidRPr="00EF5BA7">
              <w:t>(331)</w:t>
            </w:r>
          </w:p>
        </w:tc>
      </w:tr>
      <w:tr w:rsidR="008B7E19" w:rsidRPr="00DB06CF" w14:paraId="42482390" w14:textId="77777777" w:rsidTr="008875E7">
        <w:trPr>
          <w:trHeight w:val="238"/>
          <w:jc w:val="center"/>
        </w:trPr>
        <w:tc>
          <w:tcPr>
            <w:tcW w:w="1605" w:type="pct"/>
            <w:shd w:val="clear" w:color="auto" w:fill="auto"/>
            <w:vAlign w:val="center"/>
          </w:tcPr>
          <w:p w14:paraId="75B737BC" w14:textId="77777777" w:rsidR="008B7E19" w:rsidRPr="007801BA" w:rsidRDefault="008B7E19" w:rsidP="008B7E19">
            <w:pPr>
              <w:pStyle w:val="08-Tabelageral"/>
              <w:ind w:left="113"/>
              <w:jc w:val="left"/>
            </w:pPr>
            <w:r w:rsidRPr="005B0A3D">
              <w:t>Other</w:t>
            </w:r>
          </w:p>
        </w:tc>
        <w:tc>
          <w:tcPr>
            <w:tcW w:w="313" w:type="pct"/>
            <w:shd w:val="clear" w:color="auto" w:fill="auto"/>
          </w:tcPr>
          <w:p w14:paraId="10E22601" w14:textId="77777777" w:rsidR="008B7E19" w:rsidRPr="00DB06CF" w:rsidRDefault="008B7E19" w:rsidP="008B7E19">
            <w:pPr>
              <w:pStyle w:val="08-Tabelageral"/>
              <w:ind w:left="113"/>
              <w:jc w:val="center"/>
              <w:rPr>
                <w:rFonts w:cs="Arial"/>
                <w:szCs w:val="14"/>
              </w:rPr>
            </w:pPr>
          </w:p>
        </w:tc>
        <w:tc>
          <w:tcPr>
            <w:tcW w:w="732" w:type="pct"/>
            <w:shd w:val="clear" w:color="auto" w:fill="auto"/>
          </w:tcPr>
          <w:p w14:paraId="4ED8ADD5" w14:textId="77777777" w:rsidR="008B7E19" w:rsidRDefault="008B7E19" w:rsidP="008B7E19">
            <w:pPr>
              <w:pStyle w:val="08-Tabelageral"/>
            </w:pPr>
            <w:r w:rsidRPr="00321EAF">
              <w:t>--</w:t>
            </w:r>
          </w:p>
        </w:tc>
        <w:tc>
          <w:tcPr>
            <w:tcW w:w="732" w:type="pct"/>
            <w:shd w:val="clear" w:color="auto" w:fill="auto"/>
          </w:tcPr>
          <w:p w14:paraId="6991AA6E" w14:textId="77777777" w:rsidR="008B7E19" w:rsidRDefault="008B7E19" w:rsidP="008B7E19">
            <w:pPr>
              <w:pStyle w:val="08-Tabelageral"/>
            </w:pPr>
            <w:r w:rsidRPr="00321EAF">
              <w:t>--</w:t>
            </w:r>
          </w:p>
        </w:tc>
        <w:tc>
          <w:tcPr>
            <w:tcW w:w="147" w:type="pct"/>
            <w:shd w:val="clear" w:color="auto" w:fill="auto"/>
            <w:vAlign w:val="center"/>
          </w:tcPr>
          <w:p w14:paraId="144426F0" w14:textId="77777777" w:rsidR="008B7E19" w:rsidRPr="00DB06CF" w:rsidRDefault="008B7E19" w:rsidP="008B7E19">
            <w:pPr>
              <w:pStyle w:val="08-Tabelageral"/>
            </w:pPr>
          </w:p>
        </w:tc>
        <w:tc>
          <w:tcPr>
            <w:tcW w:w="735" w:type="pct"/>
            <w:shd w:val="clear" w:color="auto" w:fill="auto"/>
          </w:tcPr>
          <w:p w14:paraId="15968B06" w14:textId="77777777" w:rsidR="008B7E19" w:rsidRDefault="008B7E19" w:rsidP="008B7E19">
            <w:pPr>
              <w:pStyle w:val="08-Tabelageral"/>
            </w:pPr>
            <w:r w:rsidRPr="00EF5BA7">
              <w:t>--</w:t>
            </w:r>
          </w:p>
        </w:tc>
        <w:tc>
          <w:tcPr>
            <w:tcW w:w="736" w:type="pct"/>
            <w:shd w:val="clear" w:color="auto" w:fill="auto"/>
          </w:tcPr>
          <w:p w14:paraId="4B6023BF" w14:textId="77777777" w:rsidR="008B7E19" w:rsidRDefault="008B7E19" w:rsidP="008B7E19">
            <w:pPr>
              <w:pStyle w:val="08-Tabelageral"/>
            </w:pPr>
            <w:r w:rsidRPr="00EF5BA7">
              <w:t>(1)</w:t>
            </w:r>
          </w:p>
        </w:tc>
      </w:tr>
      <w:tr w:rsidR="008B7E19" w:rsidRPr="00C44E2E" w14:paraId="1E28E017" w14:textId="77777777" w:rsidTr="008875E7">
        <w:trPr>
          <w:trHeight w:val="238"/>
          <w:jc w:val="center"/>
        </w:trPr>
        <w:tc>
          <w:tcPr>
            <w:tcW w:w="1605" w:type="pct"/>
            <w:tcBorders>
              <w:bottom w:val="single" w:sz="2" w:space="0" w:color="1F4E79" w:themeColor="accent1" w:themeShade="80"/>
            </w:tcBorders>
            <w:shd w:val="clear" w:color="auto" w:fill="auto"/>
            <w:vAlign w:val="center"/>
          </w:tcPr>
          <w:p w14:paraId="64892899" w14:textId="77777777" w:rsidR="008B7E19" w:rsidRPr="00C44E2E" w:rsidRDefault="008B7E19" w:rsidP="008B7E19">
            <w:pPr>
              <w:pStyle w:val="08-Tabelageral"/>
              <w:jc w:val="left"/>
              <w:rPr>
                <w:b/>
              </w:rPr>
            </w:pPr>
            <w:r w:rsidRPr="00C44E2E">
              <w:rPr>
                <w:b/>
              </w:rPr>
              <w:t>Financial Result</w:t>
            </w:r>
          </w:p>
        </w:tc>
        <w:tc>
          <w:tcPr>
            <w:tcW w:w="313" w:type="pct"/>
            <w:tcBorders>
              <w:bottom w:val="single" w:sz="2" w:space="0" w:color="1F4E79" w:themeColor="accent1" w:themeShade="80"/>
            </w:tcBorders>
            <w:shd w:val="clear" w:color="auto" w:fill="auto"/>
          </w:tcPr>
          <w:p w14:paraId="7CE754E3" w14:textId="77777777" w:rsidR="008B7E19" w:rsidRPr="00C44E2E" w:rsidRDefault="008B7E19" w:rsidP="008B7E19">
            <w:pPr>
              <w:pStyle w:val="08-Tabelageral"/>
              <w:jc w:val="center"/>
              <w:rPr>
                <w:rFonts w:cs="Arial"/>
                <w:b/>
                <w:szCs w:val="14"/>
              </w:rPr>
            </w:pPr>
          </w:p>
        </w:tc>
        <w:tc>
          <w:tcPr>
            <w:tcW w:w="732" w:type="pct"/>
            <w:tcBorders>
              <w:bottom w:val="single" w:sz="2" w:space="0" w:color="1F4E79" w:themeColor="accent1" w:themeShade="80"/>
            </w:tcBorders>
            <w:shd w:val="clear" w:color="auto" w:fill="auto"/>
          </w:tcPr>
          <w:p w14:paraId="51B08A77" w14:textId="77777777" w:rsidR="008B7E19" w:rsidRPr="00C44E2E" w:rsidRDefault="008B7E19" w:rsidP="008B7E19">
            <w:pPr>
              <w:pStyle w:val="08-Tabelageral"/>
              <w:rPr>
                <w:b/>
              </w:rPr>
            </w:pPr>
            <w:r w:rsidRPr="00C44E2E">
              <w:rPr>
                <w:b/>
              </w:rPr>
              <w:t>10,402</w:t>
            </w:r>
          </w:p>
        </w:tc>
        <w:tc>
          <w:tcPr>
            <w:tcW w:w="732" w:type="pct"/>
            <w:tcBorders>
              <w:bottom w:val="single" w:sz="2" w:space="0" w:color="1F4E79" w:themeColor="accent1" w:themeShade="80"/>
            </w:tcBorders>
            <w:shd w:val="clear" w:color="auto" w:fill="auto"/>
          </w:tcPr>
          <w:p w14:paraId="7CBCD6C3" w14:textId="77777777" w:rsidR="008B7E19" w:rsidRPr="00C44E2E" w:rsidRDefault="008B7E19" w:rsidP="008B7E19">
            <w:pPr>
              <w:pStyle w:val="08-Tabelageral"/>
              <w:rPr>
                <w:b/>
              </w:rPr>
            </w:pPr>
            <w:r w:rsidRPr="00C44E2E">
              <w:rPr>
                <w:b/>
              </w:rPr>
              <w:t>4,196</w:t>
            </w:r>
          </w:p>
        </w:tc>
        <w:tc>
          <w:tcPr>
            <w:tcW w:w="147" w:type="pct"/>
            <w:tcBorders>
              <w:bottom w:val="single" w:sz="2" w:space="0" w:color="1F4E79" w:themeColor="accent1" w:themeShade="80"/>
            </w:tcBorders>
            <w:shd w:val="clear" w:color="auto" w:fill="auto"/>
            <w:vAlign w:val="center"/>
          </w:tcPr>
          <w:p w14:paraId="7387E761" w14:textId="77777777" w:rsidR="008B7E19" w:rsidRPr="00C44E2E" w:rsidRDefault="008B7E19" w:rsidP="008B7E19">
            <w:pPr>
              <w:pStyle w:val="08-Tabelageral"/>
              <w:rPr>
                <w:b/>
              </w:rPr>
            </w:pPr>
          </w:p>
        </w:tc>
        <w:tc>
          <w:tcPr>
            <w:tcW w:w="735" w:type="pct"/>
            <w:tcBorders>
              <w:bottom w:val="single" w:sz="2" w:space="0" w:color="1F4E79" w:themeColor="accent1" w:themeShade="80"/>
            </w:tcBorders>
            <w:shd w:val="clear" w:color="auto" w:fill="auto"/>
          </w:tcPr>
          <w:p w14:paraId="3FC46DD9" w14:textId="77777777" w:rsidR="008B7E19" w:rsidRPr="00C44E2E" w:rsidRDefault="008B7E19" w:rsidP="008B7E19">
            <w:pPr>
              <w:pStyle w:val="08-Tabelageral"/>
              <w:rPr>
                <w:b/>
              </w:rPr>
            </w:pPr>
            <w:r w:rsidRPr="00C44E2E">
              <w:rPr>
                <w:b/>
              </w:rPr>
              <w:t>150,304</w:t>
            </w:r>
          </w:p>
        </w:tc>
        <w:tc>
          <w:tcPr>
            <w:tcW w:w="736" w:type="pct"/>
            <w:tcBorders>
              <w:bottom w:val="single" w:sz="2" w:space="0" w:color="1F4E79" w:themeColor="accent1" w:themeShade="80"/>
            </w:tcBorders>
            <w:shd w:val="clear" w:color="auto" w:fill="auto"/>
          </w:tcPr>
          <w:p w14:paraId="6DB6F02D" w14:textId="77777777" w:rsidR="008B7E19" w:rsidRPr="00C44E2E" w:rsidRDefault="008B7E19" w:rsidP="008B7E19">
            <w:pPr>
              <w:pStyle w:val="08-Tabelageral"/>
              <w:rPr>
                <w:b/>
              </w:rPr>
            </w:pPr>
            <w:r w:rsidRPr="00C44E2E">
              <w:rPr>
                <w:b/>
              </w:rPr>
              <w:t>117,775</w:t>
            </w:r>
          </w:p>
        </w:tc>
      </w:tr>
      <w:bookmarkEnd w:id="42"/>
    </w:tbl>
    <w:p w14:paraId="2129A202" w14:textId="77777777" w:rsidR="008B7E19" w:rsidRDefault="008B7E19" w:rsidP="008B7E19">
      <w:pPr>
        <w:pStyle w:val="05-Textonormal"/>
      </w:pPr>
    </w:p>
    <w:p w14:paraId="5538DD6C" w14:textId="77777777" w:rsidR="008B7E19" w:rsidRPr="00D318B6" w:rsidRDefault="008B7E19" w:rsidP="008B7E19">
      <w:pPr>
        <w:pStyle w:val="06-Rmil"/>
        <w:rPr>
          <w:rFonts w:cs="Arial"/>
        </w:rPr>
      </w:pPr>
      <w:r w:rsidRPr="00FF3418">
        <w:rPr>
          <w:rFonts w:cs="Arial"/>
        </w:rPr>
        <w:t>R$ thousand</w:t>
      </w:r>
    </w:p>
    <w:tbl>
      <w:tblPr>
        <w:tblW w:w="9639" w:type="dxa"/>
        <w:jc w:val="center"/>
        <w:tblBorders>
          <w:top w:val="single" w:sz="2" w:space="0" w:color="8EAADB" w:themeColor="accent5" w:themeTint="99"/>
          <w:bottom w:val="single" w:sz="2" w:space="0" w:color="8EAADB" w:themeColor="accent5" w:themeTint="99"/>
        </w:tblBorders>
        <w:tblLook w:val="04A0" w:firstRow="1" w:lastRow="0" w:firstColumn="1" w:lastColumn="0" w:noHBand="0" w:noVBand="1"/>
      </w:tblPr>
      <w:tblGrid>
        <w:gridCol w:w="3095"/>
        <w:gridCol w:w="603"/>
        <w:gridCol w:w="1411"/>
        <w:gridCol w:w="1411"/>
        <w:gridCol w:w="283"/>
        <w:gridCol w:w="1417"/>
        <w:gridCol w:w="1419"/>
      </w:tblGrid>
      <w:tr w:rsidR="008B7E19" w:rsidRPr="00DB06CF" w14:paraId="4861EC3F" w14:textId="77777777" w:rsidTr="005B5353">
        <w:trPr>
          <w:trHeight w:val="238"/>
          <w:jc w:val="center"/>
        </w:trPr>
        <w:tc>
          <w:tcPr>
            <w:tcW w:w="1605" w:type="pct"/>
            <w:tcBorders>
              <w:top w:val="single" w:sz="2" w:space="0" w:color="1F4E79" w:themeColor="accent1" w:themeShade="80"/>
              <w:bottom w:val="nil"/>
            </w:tcBorders>
            <w:shd w:val="clear" w:color="auto" w:fill="auto"/>
          </w:tcPr>
          <w:p w14:paraId="01936901" w14:textId="77777777" w:rsidR="008B7E19" w:rsidRPr="00DB06CF" w:rsidRDefault="008B7E19" w:rsidP="008B7E19">
            <w:pPr>
              <w:spacing w:after="0"/>
              <w:jc w:val="center"/>
              <w:rPr>
                <w:rFonts w:cs="Arial"/>
                <w:b/>
                <w:szCs w:val="18"/>
              </w:rPr>
            </w:pPr>
          </w:p>
        </w:tc>
        <w:tc>
          <w:tcPr>
            <w:tcW w:w="313" w:type="pct"/>
            <w:tcBorders>
              <w:top w:val="single" w:sz="2" w:space="0" w:color="1F4E79" w:themeColor="accent1" w:themeShade="80"/>
              <w:bottom w:val="nil"/>
            </w:tcBorders>
            <w:shd w:val="clear" w:color="auto" w:fill="auto"/>
          </w:tcPr>
          <w:p w14:paraId="0F300D01" w14:textId="77777777" w:rsidR="008B7E19" w:rsidRPr="00DB06CF" w:rsidRDefault="008B7E19" w:rsidP="008B7E19">
            <w:pPr>
              <w:spacing w:after="0"/>
              <w:jc w:val="center"/>
              <w:rPr>
                <w:rFonts w:cs="Arial"/>
                <w:b/>
                <w:szCs w:val="18"/>
              </w:rPr>
            </w:pPr>
          </w:p>
        </w:tc>
        <w:tc>
          <w:tcPr>
            <w:tcW w:w="1464" w:type="pct"/>
            <w:gridSpan w:val="2"/>
            <w:tcBorders>
              <w:top w:val="single" w:sz="2" w:space="0" w:color="1F4E79" w:themeColor="accent1" w:themeShade="80"/>
              <w:bottom w:val="single" w:sz="2" w:space="0" w:color="1F4E79" w:themeColor="accent1" w:themeShade="80"/>
            </w:tcBorders>
            <w:shd w:val="clear" w:color="auto" w:fill="auto"/>
            <w:vAlign w:val="center"/>
          </w:tcPr>
          <w:p w14:paraId="416F9756" w14:textId="77777777" w:rsidR="008B7E19" w:rsidRPr="00DB06CF" w:rsidRDefault="008B7E19" w:rsidP="008B7E19">
            <w:pPr>
              <w:spacing w:after="0"/>
              <w:jc w:val="center"/>
              <w:rPr>
                <w:rFonts w:cs="Arial"/>
                <w:b/>
                <w:sz w:val="14"/>
                <w:szCs w:val="18"/>
              </w:rPr>
            </w:pPr>
            <w:r w:rsidRPr="00FF3418">
              <w:rPr>
                <w:rFonts w:cs="Arial"/>
                <w:b/>
                <w:sz w:val="14"/>
                <w:szCs w:val="18"/>
              </w:rPr>
              <w:t>Parent</w:t>
            </w:r>
          </w:p>
        </w:tc>
        <w:tc>
          <w:tcPr>
            <w:tcW w:w="147" w:type="pct"/>
            <w:tcBorders>
              <w:top w:val="single" w:sz="2" w:space="0" w:color="1F4E79" w:themeColor="accent1" w:themeShade="80"/>
              <w:bottom w:val="nil"/>
            </w:tcBorders>
            <w:shd w:val="clear" w:color="auto" w:fill="auto"/>
            <w:vAlign w:val="center"/>
          </w:tcPr>
          <w:p w14:paraId="710D9784" w14:textId="77777777" w:rsidR="008B7E19" w:rsidRPr="00DB06CF" w:rsidRDefault="008B7E19" w:rsidP="008B7E19">
            <w:pPr>
              <w:spacing w:after="0"/>
              <w:jc w:val="center"/>
              <w:rPr>
                <w:rFonts w:cs="Arial"/>
                <w:b/>
                <w:szCs w:val="18"/>
              </w:rPr>
            </w:pPr>
          </w:p>
        </w:tc>
        <w:tc>
          <w:tcPr>
            <w:tcW w:w="1471" w:type="pct"/>
            <w:gridSpan w:val="2"/>
            <w:tcBorders>
              <w:top w:val="single" w:sz="2" w:space="0" w:color="1F4E79" w:themeColor="accent1" w:themeShade="80"/>
              <w:bottom w:val="single" w:sz="2" w:space="0" w:color="1F4E79" w:themeColor="accent1" w:themeShade="80"/>
            </w:tcBorders>
            <w:shd w:val="clear" w:color="auto" w:fill="auto"/>
            <w:vAlign w:val="center"/>
          </w:tcPr>
          <w:p w14:paraId="317AA03C" w14:textId="77777777" w:rsidR="008B7E19" w:rsidRPr="00DB06CF" w:rsidRDefault="008B7E19" w:rsidP="008B7E19">
            <w:pPr>
              <w:spacing w:after="0"/>
              <w:jc w:val="center"/>
              <w:rPr>
                <w:rFonts w:cs="Arial"/>
                <w:b/>
                <w:szCs w:val="18"/>
              </w:rPr>
            </w:pPr>
            <w:r w:rsidRPr="00FF3418">
              <w:rPr>
                <w:rFonts w:cs="Arial"/>
                <w:b/>
                <w:sz w:val="14"/>
                <w:szCs w:val="18"/>
              </w:rPr>
              <w:t>Consolidated</w:t>
            </w:r>
          </w:p>
        </w:tc>
      </w:tr>
      <w:tr w:rsidR="008B7E19" w:rsidRPr="00DB06CF" w14:paraId="492592D0" w14:textId="77777777" w:rsidTr="005B5353">
        <w:trPr>
          <w:trHeight w:val="238"/>
          <w:jc w:val="center"/>
        </w:trPr>
        <w:tc>
          <w:tcPr>
            <w:tcW w:w="1605" w:type="pct"/>
            <w:tcBorders>
              <w:top w:val="nil"/>
              <w:bottom w:val="single" w:sz="2" w:space="0" w:color="1F4E79" w:themeColor="accent1" w:themeShade="80"/>
            </w:tcBorders>
            <w:shd w:val="clear" w:color="auto" w:fill="auto"/>
          </w:tcPr>
          <w:p w14:paraId="6FB10D8B" w14:textId="77777777" w:rsidR="008B7E19" w:rsidRPr="00DB06CF" w:rsidRDefault="008B7E19" w:rsidP="008B7E19">
            <w:pPr>
              <w:pStyle w:val="08-Tabelageral"/>
              <w:rPr>
                <w:rFonts w:cs="Arial"/>
                <w:b/>
              </w:rPr>
            </w:pPr>
          </w:p>
        </w:tc>
        <w:tc>
          <w:tcPr>
            <w:tcW w:w="313" w:type="pct"/>
            <w:tcBorders>
              <w:top w:val="nil"/>
              <w:bottom w:val="single" w:sz="2" w:space="0" w:color="1F4E79" w:themeColor="accent1" w:themeShade="80"/>
            </w:tcBorders>
            <w:shd w:val="clear" w:color="auto" w:fill="auto"/>
          </w:tcPr>
          <w:p w14:paraId="76617378" w14:textId="77777777" w:rsidR="008B7E19" w:rsidRPr="00DB06CF" w:rsidRDefault="008B7E19" w:rsidP="008B7E19">
            <w:pPr>
              <w:pStyle w:val="08-Tabelageral"/>
              <w:rPr>
                <w:rFonts w:cs="Arial"/>
                <w:b/>
              </w:rPr>
            </w:pPr>
          </w:p>
        </w:tc>
        <w:tc>
          <w:tcPr>
            <w:tcW w:w="732" w:type="pct"/>
            <w:tcBorders>
              <w:top w:val="single" w:sz="2" w:space="0" w:color="1F4E79" w:themeColor="accent1" w:themeShade="80"/>
              <w:bottom w:val="single" w:sz="2" w:space="0" w:color="1F4E79" w:themeColor="accent1" w:themeShade="80"/>
            </w:tcBorders>
            <w:shd w:val="clear" w:color="auto" w:fill="auto"/>
          </w:tcPr>
          <w:p w14:paraId="1397CB0B" w14:textId="77777777" w:rsidR="008B7E19" w:rsidRPr="00DB06CF" w:rsidRDefault="008B7E19" w:rsidP="008B7E19">
            <w:pPr>
              <w:pStyle w:val="08-Tabelageral"/>
              <w:rPr>
                <w:rFonts w:cs="Arial"/>
                <w:b/>
              </w:rPr>
            </w:pPr>
            <w:r w:rsidRPr="001821C3">
              <w:rPr>
                <w:rFonts w:cs="Arial"/>
                <w:b/>
                <w:szCs w:val="14"/>
              </w:rPr>
              <w:t>1</w:t>
            </w:r>
            <w:r w:rsidRPr="001821C3">
              <w:rPr>
                <w:rFonts w:cs="Arial"/>
                <w:b/>
                <w:szCs w:val="14"/>
                <w:vertAlign w:val="superscript"/>
              </w:rPr>
              <w:t>st</w:t>
            </w:r>
            <w:r w:rsidRPr="001821C3">
              <w:rPr>
                <w:rFonts w:cs="Arial"/>
                <w:b/>
                <w:szCs w:val="14"/>
              </w:rPr>
              <w:t xml:space="preserve"> </w:t>
            </w:r>
            <w:r>
              <w:rPr>
                <w:rFonts w:cs="Arial"/>
                <w:b/>
                <w:szCs w:val="14"/>
              </w:rPr>
              <w:t>Half</w:t>
            </w:r>
            <w:r w:rsidRPr="001821C3">
              <w:rPr>
                <w:rFonts w:cs="Arial"/>
                <w:b/>
                <w:szCs w:val="14"/>
              </w:rPr>
              <w:t xml:space="preserve"> </w:t>
            </w:r>
            <w:r>
              <w:rPr>
                <w:rFonts w:cs="Arial"/>
                <w:b/>
                <w:bCs/>
                <w:szCs w:val="14"/>
              </w:rPr>
              <w:t>2</w:t>
            </w:r>
            <w:r w:rsidRPr="00D43605">
              <w:rPr>
                <w:rFonts w:cs="Arial"/>
                <w:b/>
                <w:bCs/>
                <w:szCs w:val="14"/>
              </w:rPr>
              <w:t>02</w:t>
            </w:r>
            <w:r>
              <w:rPr>
                <w:rFonts w:cs="Arial"/>
                <w:b/>
                <w:bCs/>
                <w:szCs w:val="14"/>
              </w:rPr>
              <w:t>3</w:t>
            </w:r>
          </w:p>
        </w:tc>
        <w:tc>
          <w:tcPr>
            <w:tcW w:w="732" w:type="pct"/>
            <w:tcBorders>
              <w:top w:val="single" w:sz="2" w:space="0" w:color="1F4E79" w:themeColor="accent1" w:themeShade="80"/>
              <w:bottom w:val="single" w:sz="2" w:space="0" w:color="1F4E79" w:themeColor="accent1" w:themeShade="80"/>
            </w:tcBorders>
            <w:shd w:val="clear" w:color="auto" w:fill="auto"/>
          </w:tcPr>
          <w:p w14:paraId="41550FA1" w14:textId="77777777" w:rsidR="008B7E19" w:rsidRPr="00DB06CF" w:rsidRDefault="008B7E19" w:rsidP="008B7E19">
            <w:pPr>
              <w:pStyle w:val="08-Tabelageral"/>
              <w:rPr>
                <w:rFonts w:cs="Arial"/>
                <w:b/>
              </w:rPr>
            </w:pPr>
            <w:r w:rsidRPr="001821C3">
              <w:rPr>
                <w:rFonts w:cs="Arial"/>
                <w:b/>
                <w:szCs w:val="14"/>
              </w:rPr>
              <w:t>1</w:t>
            </w:r>
            <w:r w:rsidRPr="001821C3">
              <w:rPr>
                <w:rFonts w:cs="Arial"/>
                <w:b/>
                <w:szCs w:val="14"/>
                <w:vertAlign w:val="superscript"/>
              </w:rPr>
              <w:t>st</w:t>
            </w:r>
            <w:r w:rsidRPr="001821C3">
              <w:rPr>
                <w:rFonts w:cs="Arial"/>
                <w:b/>
                <w:szCs w:val="14"/>
              </w:rPr>
              <w:t xml:space="preserve"> </w:t>
            </w:r>
            <w:r>
              <w:rPr>
                <w:rFonts w:cs="Arial"/>
                <w:b/>
                <w:szCs w:val="14"/>
              </w:rPr>
              <w:t>Half</w:t>
            </w:r>
            <w:r w:rsidRPr="001821C3">
              <w:rPr>
                <w:rFonts w:cs="Arial"/>
                <w:b/>
                <w:szCs w:val="14"/>
              </w:rPr>
              <w:t xml:space="preserve"> </w:t>
            </w:r>
            <w:r w:rsidRPr="00D43605">
              <w:rPr>
                <w:rFonts w:cs="Arial"/>
                <w:b/>
                <w:szCs w:val="14"/>
              </w:rPr>
              <w:t>202</w:t>
            </w:r>
            <w:r>
              <w:rPr>
                <w:rFonts w:cs="Arial"/>
                <w:b/>
                <w:szCs w:val="14"/>
              </w:rPr>
              <w:t>2</w:t>
            </w:r>
          </w:p>
        </w:tc>
        <w:tc>
          <w:tcPr>
            <w:tcW w:w="147" w:type="pct"/>
            <w:tcBorders>
              <w:top w:val="nil"/>
              <w:bottom w:val="single" w:sz="2" w:space="0" w:color="1F4E79" w:themeColor="accent1" w:themeShade="80"/>
            </w:tcBorders>
            <w:shd w:val="clear" w:color="auto" w:fill="auto"/>
            <w:vAlign w:val="center"/>
          </w:tcPr>
          <w:p w14:paraId="77457AE3" w14:textId="77777777" w:rsidR="008B7E19" w:rsidRPr="00DB06CF" w:rsidRDefault="008B7E19" w:rsidP="008B7E19">
            <w:pPr>
              <w:pStyle w:val="08-Tabelageral"/>
              <w:rPr>
                <w:rFonts w:cs="Arial"/>
                <w:b/>
              </w:rPr>
            </w:pPr>
          </w:p>
        </w:tc>
        <w:tc>
          <w:tcPr>
            <w:tcW w:w="735" w:type="pct"/>
            <w:tcBorders>
              <w:top w:val="single" w:sz="2" w:space="0" w:color="1F4E79" w:themeColor="accent1" w:themeShade="80"/>
              <w:bottom w:val="single" w:sz="2" w:space="0" w:color="1F4E79" w:themeColor="accent1" w:themeShade="80"/>
            </w:tcBorders>
            <w:shd w:val="clear" w:color="auto" w:fill="auto"/>
          </w:tcPr>
          <w:p w14:paraId="3F8849C8" w14:textId="77777777" w:rsidR="008B7E19" w:rsidRPr="00DB06CF" w:rsidRDefault="008B7E19" w:rsidP="008B7E19">
            <w:pPr>
              <w:pStyle w:val="08-Tabelageral"/>
              <w:rPr>
                <w:rFonts w:cs="Arial"/>
                <w:b/>
              </w:rPr>
            </w:pPr>
            <w:r w:rsidRPr="001821C3">
              <w:rPr>
                <w:rFonts w:cs="Arial"/>
                <w:b/>
                <w:szCs w:val="14"/>
              </w:rPr>
              <w:t>1</w:t>
            </w:r>
            <w:r w:rsidRPr="001821C3">
              <w:rPr>
                <w:rFonts w:cs="Arial"/>
                <w:b/>
                <w:szCs w:val="14"/>
                <w:vertAlign w:val="superscript"/>
              </w:rPr>
              <w:t>st</w:t>
            </w:r>
            <w:r w:rsidRPr="001821C3">
              <w:rPr>
                <w:rFonts w:cs="Arial"/>
                <w:b/>
                <w:szCs w:val="14"/>
              </w:rPr>
              <w:t xml:space="preserve"> </w:t>
            </w:r>
            <w:r>
              <w:rPr>
                <w:rFonts w:cs="Arial"/>
                <w:b/>
                <w:szCs w:val="14"/>
              </w:rPr>
              <w:t>Half</w:t>
            </w:r>
            <w:r w:rsidRPr="001821C3">
              <w:rPr>
                <w:rFonts w:cs="Arial"/>
                <w:b/>
                <w:szCs w:val="14"/>
              </w:rPr>
              <w:t xml:space="preserve"> </w:t>
            </w:r>
            <w:r>
              <w:rPr>
                <w:rFonts w:cs="Arial"/>
                <w:b/>
                <w:bCs/>
                <w:szCs w:val="14"/>
              </w:rPr>
              <w:t>2</w:t>
            </w:r>
            <w:r w:rsidRPr="00D43605">
              <w:rPr>
                <w:rFonts w:cs="Arial"/>
                <w:b/>
                <w:bCs/>
                <w:szCs w:val="14"/>
              </w:rPr>
              <w:t>02</w:t>
            </w:r>
            <w:r>
              <w:rPr>
                <w:rFonts w:cs="Arial"/>
                <w:b/>
                <w:bCs/>
                <w:szCs w:val="14"/>
              </w:rPr>
              <w:t>3</w:t>
            </w:r>
          </w:p>
        </w:tc>
        <w:tc>
          <w:tcPr>
            <w:tcW w:w="736" w:type="pct"/>
            <w:tcBorders>
              <w:top w:val="single" w:sz="2" w:space="0" w:color="1F4E79" w:themeColor="accent1" w:themeShade="80"/>
              <w:bottom w:val="single" w:sz="2" w:space="0" w:color="1F4E79" w:themeColor="accent1" w:themeShade="80"/>
            </w:tcBorders>
            <w:shd w:val="clear" w:color="auto" w:fill="auto"/>
          </w:tcPr>
          <w:p w14:paraId="6A83461C" w14:textId="77777777" w:rsidR="008B7E19" w:rsidRPr="00DB06CF" w:rsidRDefault="008B7E19" w:rsidP="008B7E19">
            <w:pPr>
              <w:pStyle w:val="08-Tabelageral"/>
              <w:rPr>
                <w:rFonts w:cs="Arial"/>
                <w:b/>
              </w:rPr>
            </w:pPr>
            <w:r w:rsidRPr="001821C3">
              <w:rPr>
                <w:rFonts w:cs="Arial"/>
                <w:b/>
                <w:szCs w:val="14"/>
              </w:rPr>
              <w:t>1</w:t>
            </w:r>
            <w:r w:rsidRPr="001821C3">
              <w:rPr>
                <w:rFonts w:cs="Arial"/>
                <w:b/>
                <w:szCs w:val="14"/>
                <w:vertAlign w:val="superscript"/>
              </w:rPr>
              <w:t>st</w:t>
            </w:r>
            <w:r w:rsidRPr="001821C3">
              <w:rPr>
                <w:rFonts w:cs="Arial"/>
                <w:b/>
                <w:szCs w:val="14"/>
              </w:rPr>
              <w:t xml:space="preserve"> </w:t>
            </w:r>
            <w:r>
              <w:rPr>
                <w:rFonts w:cs="Arial"/>
                <w:b/>
                <w:szCs w:val="14"/>
              </w:rPr>
              <w:t>Half</w:t>
            </w:r>
            <w:r w:rsidRPr="001821C3">
              <w:rPr>
                <w:rFonts w:cs="Arial"/>
                <w:b/>
                <w:szCs w:val="14"/>
              </w:rPr>
              <w:t xml:space="preserve"> </w:t>
            </w:r>
            <w:r w:rsidRPr="00D43605">
              <w:rPr>
                <w:rFonts w:cs="Arial"/>
                <w:b/>
                <w:szCs w:val="14"/>
              </w:rPr>
              <w:t>202</w:t>
            </w:r>
            <w:r>
              <w:rPr>
                <w:rFonts w:cs="Arial"/>
                <w:b/>
                <w:szCs w:val="14"/>
              </w:rPr>
              <w:t>2</w:t>
            </w:r>
          </w:p>
        </w:tc>
      </w:tr>
      <w:tr w:rsidR="008B7E19" w:rsidRPr="00C44E2E" w14:paraId="55B72764" w14:textId="77777777" w:rsidTr="005B5353">
        <w:trPr>
          <w:trHeight w:val="238"/>
          <w:jc w:val="center"/>
        </w:trPr>
        <w:tc>
          <w:tcPr>
            <w:tcW w:w="1605" w:type="pct"/>
            <w:tcBorders>
              <w:top w:val="single" w:sz="2" w:space="0" w:color="1F4E79" w:themeColor="accent1" w:themeShade="80"/>
            </w:tcBorders>
            <w:shd w:val="clear" w:color="auto" w:fill="auto"/>
            <w:vAlign w:val="center"/>
          </w:tcPr>
          <w:p w14:paraId="417E0BF4" w14:textId="77777777" w:rsidR="008B7E19" w:rsidRPr="00C44E2E" w:rsidRDefault="008B7E19" w:rsidP="008B7E19">
            <w:pPr>
              <w:pStyle w:val="08-Tabelageral"/>
              <w:jc w:val="left"/>
              <w:rPr>
                <w:b/>
              </w:rPr>
            </w:pPr>
            <w:r w:rsidRPr="00C44E2E">
              <w:rPr>
                <w:b/>
              </w:rPr>
              <w:t>Financial Income</w:t>
            </w:r>
          </w:p>
        </w:tc>
        <w:tc>
          <w:tcPr>
            <w:tcW w:w="313" w:type="pct"/>
            <w:tcBorders>
              <w:top w:val="single" w:sz="2" w:space="0" w:color="1F4E79" w:themeColor="accent1" w:themeShade="80"/>
            </w:tcBorders>
            <w:shd w:val="clear" w:color="auto" w:fill="auto"/>
            <w:vAlign w:val="center"/>
          </w:tcPr>
          <w:p w14:paraId="1B9D7A0B" w14:textId="77777777" w:rsidR="008B7E19" w:rsidRPr="00C44E2E" w:rsidRDefault="008B7E19" w:rsidP="008B7E19">
            <w:pPr>
              <w:pStyle w:val="08-Tabelageral"/>
              <w:rPr>
                <w:rFonts w:cs="Arial"/>
                <w:b/>
                <w:szCs w:val="14"/>
              </w:rPr>
            </w:pPr>
          </w:p>
        </w:tc>
        <w:tc>
          <w:tcPr>
            <w:tcW w:w="732" w:type="pct"/>
            <w:tcBorders>
              <w:top w:val="single" w:sz="2" w:space="0" w:color="1F4E79" w:themeColor="accent1" w:themeShade="80"/>
            </w:tcBorders>
            <w:shd w:val="clear" w:color="auto" w:fill="auto"/>
            <w:vAlign w:val="center"/>
          </w:tcPr>
          <w:p w14:paraId="035FA8C7" w14:textId="77777777" w:rsidR="008B7E19" w:rsidRPr="00C44E2E" w:rsidRDefault="008B7E19" w:rsidP="008B7E19">
            <w:pPr>
              <w:pStyle w:val="08-Tabelageral"/>
              <w:rPr>
                <w:b/>
              </w:rPr>
            </w:pPr>
            <w:r w:rsidRPr="00C44E2E">
              <w:rPr>
                <w:b/>
              </w:rPr>
              <w:t>93,261</w:t>
            </w:r>
          </w:p>
        </w:tc>
        <w:tc>
          <w:tcPr>
            <w:tcW w:w="732" w:type="pct"/>
            <w:tcBorders>
              <w:top w:val="single" w:sz="2" w:space="0" w:color="1F4E79" w:themeColor="accent1" w:themeShade="80"/>
            </w:tcBorders>
            <w:shd w:val="clear" w:color="auto" w:fill="auto"/>
            <w:vAlign w:val="center"/>
          </w:tcPr>
          <w:p w14:paraId="07DA974A" w14:textId="77777777" w:rsidR="008B7E19" w:rsidRPr="00C44E2E" w:rsidRDefault="008B7E19" w:rsidP="008B7E19">
            <w:pPr>
              <w:pStyle w:val="08-Tabelageral"/>
              <w:rPr>
                <w:b/>
              </w:rPr>
            </w:pPr>
            <w:r w:rsidRPr="00C44E2E">
              <w:rPr>
                <w:b/>
              </w:rPr>
              <w:t>35,195</w:t>
            </w:r>
          </w:p>
        </w:tc>
        <w:tc>
          <w:tcPr>
            <w:tcW w:w="147" w:type="pct"/>
            <w:tcBorders>
              <w:top w:val="single" w:sz="2" w:space="0" w:color="1F4E79" w:themeColor="accent1" w:themeShade="80"/>
            </w:tcBorders>
            <w:shd w:val="clear" w:color="auto" w:fill="auto"/>
            <w:vAlign w:val="center"/>
          </w:tcPr>
          <w:p w14:paraId="67EA9FD0" w14:textId="77777777" w:rsidR="008B7E19" w:rsidRPr="00C44E2E" w:rsidRDefault="008B7E19" w:rsidP="008B7E19">
            <w:pPr>
              <w:pStyle w:val="08-Tabelageral"/>
              <w:rPr>
                <w:b/>
              </w:rPr>
            </w:pPr>
          </w:p>
        </w:tc>
        <w:tc>
          <w:tcPr>
            <w:tcW w:w="735" w:type="pct"/>
            <w:tcBorders>
              <w:top w:val="single" w:sz="2" w:space="0" w:color="1F4E79" w:themeColor="accent1" w:themeShade="80"/>
            </w:tcBorders>
            <w:shd w:val="clear" w:color="auto" w:fill="auto"/>
            <w:vAlign w:val="center"/>
          </w:tcPr>
          <w:p w14:paraId="2F01D5AA" w14:textId="77777777" w:rsidR="008B7E19" w:rsidRPr="00C44E2E" w:rsidRDefault="008B7E19" w:rsidP="008B7E19">
            <w:pPr>
              <w:pStyle w:val="08-Tabelageral"/>
              <w:rPr>
                <w:b/>
              </w:rPr>
            </w:pPr>
            <w:r w:rsidRPr="00C44E2E">
              <w:rPr>
                <w:b/>
              </w:rPr>
              <w:t>327,230</w:t>
            </w:r>
          </w:p>
        </w:tc>
        <w:tc>
          <w:tcPr>
            <w:tcW w:w="736" w:type="pct"/>
            <w:tcBorders>
              <w:top w:val="single" w:sz="2" w:space="0" w:color="1F4E79" w:themeColor="accent1" w:themeShade="80"/>
            </w:tcBorders>
            <w:shd w:val="clear" w:color="auto" w:fill="auto"/>
            <w:vAlign w:val="center"/>
          </w:tcPr>
          <w:p w14:paraId="746EB232" w14:textId="77777777" w:rsidR="008B7E19" w:rsidRPr="00C44E2E" w:rsidRDefault="008B7E19" w:rsidP="008B7E19">
            <w:pPr>
              <w:pStyle w:val="08-Tabelageral"/>
              <w:rPr>
                <w:b/>
              </w:rPr>
            </w:pPr>
            <w:r w:rsidRPr="00C44E2E">
              <w:rPr>
                <w:b/>
              </w:rPr>
              <w:t>204,555</w:t>
            </w:r>
          </w:p>
        </w:tc>
      </w:tr>
      <w:tr w:rsidR="008B7E19" w:rsidRPr="00DB06CF" w14:paraId="3BC54C3C" w14:textId="77777777" w:rsidTr="005B5353">
        <w:trPr>
          <w:trHeight w:val="238"/>
          <w:jc w:val="center"/>
        </w:trPr>
        <w:tc>
          <w:tcPr>
            <w:tcW w:w="1605" w:type="pct"/>
            <w:shd w:val="clear" w:color="auto" w:fill="auto"/>
            <w:vAlign w:val="center"/>
          </w:tcPr>
          <w:p w14:paraId="6E6F11A6" w14:textId="77777777" w:rsidR="008B7E19" w:rsidRPr="00DB06CF" w:rsidRDefault="008B7E19" w:rsidP="008B7E19">
            <w:pPr>
              <w:pStyle w:val="08-Tabelageral"/>
              <w:ind w:left="113"/>
              <w:jc w:val="left"/>
            </w:pPr>
            <w:r w:rsidRPr="00FA2ABC">
              <w:t>Yield from financial investments</w:t>
            </w:r>
          </w:p>
        </w:tc>
        <w:tc>
          <w:tcPr>
            <w:tcW w:w="313" w:type="pct"/>
            <w:shd w:val="clear" w:color="auto" w:fill="auto"/>
            <w:vAlign w:val="center"/>
          </w:tcPr>
          <w:p w14:paraId="360503D8" w14:textId="77777777" w:rsidR="008B7E19" w:rsidRPr="00DB06CF" w:rsidRDefault="008B7E19" w:rsidP="008B7E19">
            <w:pPr>
              <w:pStyle w:val="08-Tabelageral"/>
              <w:ind w:left="113"/>
              <w:rPr>
                <w:rFonts w:cs="Arial"/>
                <w:szCs w:val="14"/>
              </w:rPr>
            </w:pPr>
          </w:p>
        </w:tc>
        <w:tc>
          <w:tcPr>
            <w:tcW w:w="732" w:type="pct"/>
            <w:shd w:val="clear" w:color="auto" w:fill="auto"/>
            <w:vAlign w:val="center"/>
          </w:tcPr>
          <w:p w14:paraId="797136BA" w14:textId="77777777" w:rsidR="008B7E19" w:rsidRPr="00DB06CF" w:rsidRDefault="008B7E19" w:rsidP="008B7E19">
            <w:pPr>
              <w:pStyle w:val="08-Tabelageral"/>
            </w:pPr>
            <w:r w:rsidRPr="003478A6">
              <w:t>11</w:t>
            </w:r>
            <w:r>
              <w:t>,</w:t>
            </w:r>
            <w:r w:rsidRPr="003478A6">
              <w:t>155</w:t>
            </w:r>
          </w:p>
        </w:tc>
        <w:tc>
          <w:tcPr>
            <w:tcW w:w="732" w:type="pct"/>
            <w:shd w:val="clear" w:color="auto" w:fill="auto"/>
            <w:vAlign w:val="center"/>
          </w:tcPr>
          <w:p w14:paraId="074D85CB" w14:textId="77777777" w:rsidR="008B7E19" w:rsidRPr="00DB06CF" w:rsidRDefault="008B7E19" w:rsidP="008B7E19">
            <w:pPr>
              <w:pStyle w:val="08-Tabelageral"/>
            </w:pPr>
            <w:r w:rsidRPr="003478A6">
              <w:t>9</w:t>
            </w:r>
            <w:r>
              <w:t>,</w:t>
            </w:r>
            <w:r w:rsidRPr="003478A6">
              <w:t>892</w:t>
            </w:r>
          </w:p>
        </w:tc>
        <w:tc>
          <w:tcPr>
            <w:tcW w:w="147" w:type="pct"/>
            <w:shd w:val="clear" w:color="auto" w:fill="auto"/>
            <w:vAlign w:val="center"/>
          </w:tcPr>
          <w:p w14:paraId="441278EA" w14:textId="77777777" w:rsidR="008B7E19" w:rsidRPr="00DB06CF" w:rsidRDefault="008B7E19" w:rsidP="008B7E19">
            <w:pPr>
              <w:pStyle w:val="08-Tabelageral"/>
            </w:pPr>
          </w:p>
        </w:tc>
        <w:tc>
          <w:tcPr>
            <w:tcW w:w="735" w:type="pct"/>
            <w:shd w:val="clear" w:color="auto" w:fill="auto"/>
            <w:vAlign w:val="center"/>
          </w:tcPr>
          <w:p w14:paraId="13B57D61" w14:textId="77777777" w:rsidR="008B7E19" w:rsidRPr="00DB06CF" w:rsidRDefault="008B7E19" w:rsidP="008B7E19">
            <w:pPr>
              <w:pStyle w:val="08-Tabelageral"/>
            </w:pPr>
            <w:r w:rsidRPr="00AD5D89">
              <w:t>315</w:t>
            </w:r>
            <w:r>
              <w:t>,</w:t>
            </w:r>
            <w:r w:rsidRPr="00AD5D89">
              <w:t>582</w:t>
            </w:r>
          </w:p>
        </w:tc>
        <w:tc>
          <w:tcPr>
            <w:tcW w:w="736" w:type="pct"/>
            <w:shd w:val="clear" w:color="auto" w:fill="auto"/>
            <w:vAlign w:val="center"/>
          </w:tcPr>
          <w:p w14:paraId="3497B9F2" w14:textId="77777777" w:rsidR="008B7E19" w:rsidRPr="00DB06CF" w:rsidRDefault="008B7E19" w:rsidP="008B7E19">
            <w:pPr>
              <w:pStyle w:val="08-Tabelageral"/>
            </w:pPr>
            <w:r w:rsidRPr="00AD5D89">
              <w:t>186</w:t>
            </w:r>
            <w:r>
              <w:t>,</w:t>
            </w:r>
            <w:r w:rsidRPr="00AD5D89">
              <w:t>776</w:t>
            </w:r>
          </w:p>
        </w:tc>
      </w:tr>
      <w:tr w:rsidR="008B7E19" w:rsidRPr="00DB06CF" w14:paraId="661E66C2" w14:textId="77777777" w:rsidTr="005B5353">
        <w:trPr>
          <w:trHeight w:val="238"/>
          <w:jc w:val="center"/>
        </w:trPr>
        <w:tc>
          <w:tcPr>
            <w:tcW w:w="1605" w:type="pct"/>
            <w:shd w:val="clear" w:color="auto" w:fill="auto"/>
            <w:vAlign w:val="center"/>
          </w:tcPr>
          <w:p w14:paraId="1B0A730A" w14:textId="77777777" w:rsidR="008B7E19" w:rsidRPr="00DB06CF" w:rsidRDefault="008B7E19" w:rsidP="008B7E19">
            <w:pPr>
              <w:pStyle w:val="08-Tabelageral"/>
              <w:ind w:left="113"/>
              <w:jc w:val="left"/>
            </w:pPr>
            <w:r w:rsidRPr="00FA2ABC">
              <w:t>Monetary adjustment of judicial deposits</w:t>
            </w:r>
          </w:p>
        </w:tc>
        <w:tc>
          <w:tcPr>
            <w:tcW w:w="313" w:type="pct"/>
            <w:shd w:val="clear" w:color="auto" w:fill="auto"/>
            <w:vAlign w:val="center"/>
          </w:tcPr>
          <w:p w14:paraId="7AEC06EB" w14:textId="77777777" w:rsidR="008B7E19" w:rsidRPr="00DB06CF" w:rsidRDefault="008B7E19" w:rsidP="008B7E19">
            <w:pPr>
              <w:pStyle w:val="08-Tabelageral"/>
              <w:ind w:left="113"/>
            </w:pPr>
          </w:p>
        </w:tc>
        <w:tc>
          <w:tcPr>
            <w:tcW w:w="732" w:type="pct"/>
            <w:shd w:val="clear" w:color="auto" w:fill="auto"/>
            <w:vAlign w:val="center"/>
          </w:tcPr>
          <w:p w14:paraId="4BD25FBB" w14:textId="77777777" w:rsidR="008B7E19" w:rsidRPr="00DB06CF" w:rsidRDefault="008B7E19" w:rsidP="008B7E19">
            <w:pPr>
              <w:pStyle w:val="08-Tabelageral"/>
            </w:pPr>
            <w:r w:rsidRPr="003478A6">
              <w:t>--</w:t>
            </w:r>
          </w:p>
        </w:tc>
        <w:tc>
          <w:tcPr>
            <w:tcW w:w="732" w:type="pct"/>
            <w:shd w:val="clear" w:color="auto" w:fill="auto"/>
            <w:vAlign w:val="center"/>
          </w:tcPr>
          <w:p w14:paraId="60AF543C" w14:textId="77777777" w:rsidR="008B7E19" w:rsidRPr="00DB06CF" w:rsidRDefault="008B7E19" w:rsidP="008B7E19">
            <w:pPr>
              <w:pStyle w:val="08-Tabelageral"/>
            </w:pPr>
            <w:r w:rsidRPr="003478A6">
              <w:t>--</w:t>
            </w:r>
          </w:p>
        </w:tc>
        <w:tc>
          <w:tcPr>
            <w:tcW w:w="147" w:type="pct"/>
            <w:shd w:val="clear" w:color="auto" w:fill="auto"/>
            <w:vAlign w:val="center"/>
          </w:tcPr>
          <w:p w14:paraId="413F70B1" w14:textId="77777777" w:rsidR="008B7E19" w:rsidRPr="00DB06CF" w:rsidRDefault="008B7E19" w:rsidP="008B7E19">
            <w:pPr>
              <w:pStyle w:val="08-Tabelageral"/>
            </w:pPr>
          </w:p>
        </w:tc>
        <w:tc>
          <w:tcPr>
            <w:tcW w:w="735" w:type="pct"/>
            <w:shd w:val="clear" w:color="auto" w:fill="auto"/>
            <w:vAlign w:val="center"/>
          </w:tcPr>
          <w:p w14:paraId="39D3098C" w14:textId="77777777" w:rsidR="008B7E19" w:rsidRPr="00DB06CF" w:rsidRDefault="008B7E19" w:rsidP="008B7E19">
            <w:pPr>
              <w:pStyle w:val="08-Tabelageral"/>
            </w:pPr>
            <w:r w:rsidRPr="00AD5D89">
              <w:t>6</w:t>
            </w:r>
            <w:r>
              <w:t>,</w:t>
            </w:r>
            <w:r w:rsidRPr="00AD5D89">
              <w:t>944</w:t>
            </w:r>
          </w:p>
        </w:tc>
        <w:tc>
          <w:tcPr>
            <w:tcW w:w="736" w:type="pct"/>
            <w:shd w:val="clear" w:color="auto" w:fill="auto"/>
            <w:vAlign w:val="center"/>
          </w:tcPr>
          <w:p w14:paraId="70221221" w14:textId="77777777" w:rsidR="008B7E19" w:rsidRPr="00DB06CF" w:rsidRDefault="008B7E19" w:rsidP="008B7E19">
            <w:pPr>
              <w:pStyle w:val="08-Tabelageral"/>
            </w:pPr>
            <w:r w:rsidRPr="00AD5D89">
              <w:t>2</w:t>
            </w:r>
            <w:r>
              <w:t>,</w:t>
            </w:r>
            <w:r w:rsidRPr="00AD5D89">
              <w:t>961</w:t>
            </w:r>
          </w:p>
        </w:tc>
      </w:tr>
      <w:tr w:rsidR="008B7E19" w:rsidRPr="00DB06CF" w14:paraId="15F1015B" w14:textId="77777777" w:rsidTr="005B5353">
        <w:trPr>
          <w:trHeight w:val="238"/>
          <w:jc w:val="center"/>
        </w:trPr>
        <w:tc>
          <w:tcPr>
            <w:tcW w:w="1605" w:type="pct"/>
            <w:shd w:val="clear" w:color="auto" w:fill="auto"/>
            <w:vAlign w:val="center"/>
          </w:tcPr>
          <w:p w14:paraId="37591A89" w14:textId="77777777" w:rsidR="008B7E19" w:rsidRPr="00DB06CF" w:rsidRDefault="008B7E19" w:rsidP="008B7E19">
            <w:pPr>
              <w:pStyle w:val="08-Tabelageral"/>
              <w:ind w:left="113"/>
              <w:jc w:val="left"/>
            </w:pPr>
            <w:r w:rsidRPr="00FA2ABC">
              <w:t>Monetary adjustment of taxes</w:t>
            </w:r>
          </w:p>
        </w:tc>
        <w:tc>
          <w:tcPr>
            <w:tcW w:w="313" w:type="pct"/>
            <w:shd w:val="clear" w:color="auto" w:fill="auto"/>
            <w:vAlign w:val="center"/>
          </w:tcPr>
          <w:p w14:paraId="705BCF7C" w14:textId="77777777" w:rsidR="008B7E19" w:rsidRPr="00DB06CF" w:rsidRDefault="008B7E19" w:rsidP="008B7E19">
            <w:pPr>
              <w:pStyle w:val="08-Tabelageral"/>
              <w:ind w:left="113"/>
              <w:rPr>
                <w:rFonts w:cs="Arial"/>
                <w:szCs w:val="14"/>
              </w:rPr>
            </w:pPr>
          </w:p>
        </w:tc>
        <w:tc>
          <w:tcPr>
            <w:tcW w:w="732" w:type="pct"/>
            <w:shd w:val="clear" w:color="auto" w:fill="auto"/>
            <w:vAlign w:val="center"/>
          </w:tcPr>
          <w:p w14:paraId="0D33C076" w14:textId="77777777" w:rsidR="008B7E19" w:rsidRPr="00DB06CF" w:rsidRDefault="008B7E19" w:rsidP="008B7E19">
            <w:pPr>
              <w:pStyle w:val="08-Tabelageral"/>
            </w:pPr>
            <w:r w:rsidRPr="003478A6">
              <w:t>4</w:t>
            </w:r>
            <w:r>
              <w:t>,</w:t>
            </w:r>
            <w:r w:rsidRPr="003478A6">
              <w:t>615</w:t>
            </w:r>
          </w:p>
        </w:tc>
        <w:tc>
          <w:tcPr>
            <w:tcW w:w="732" w:type="pct"/>
            <w:shd w:val="clear" w:color="auto" w:fill="auto"/>
            <w:vAlign w:val="center"/>
          </w:tcPr>
          <w:p w14:paraId="156B1E73" w14:textId="77777777" w:rsidR="008B7E19" w:rsidRPr="00DB06CF" w:rsidRDefault="008B7E19" w:rsidP="008B7E19">
            <w:pPr>
              <w:pStyle w:val="08-Tabelageral"/>
            </w:pPr>
            <w:r w:rsidRPr="003478A6">
              <w:t>3</w:t>
            </w:r>
            <w:r>
              <w:t>,</w:t>
            </w:r>
            <w:r w:rsidRPr="003478A6">
              <w:t>193</w:t>
            </w:r>
          </w:p>
        </w:tc>
        <w:tc>
          <w:tcPr>
            <w:tcW w:w="147" w:type="pct"/>
            <w:shd w:val="clear" w:color="auto" w:fill="auto"/>
            <w:vAlign w:val="center"/>
          </w:tcPr>
          <w:p w14:paraId="497BE25E" w14:textId="77777777" w:rsidR="008B7E19" w:rsidRPr="00DB06CF" w:rsidRDefault="008B7E19" w:rsidP="008B7E19">
            <w:pPr>
              <w:pStyle w:val="08-Tabelageral"/>
            </w:pPr>
          </w:p>
        </w:tc>
        <w:tc>
          <w:tcPr>
            <w:tcW w:w="735" w:type="pct"/>
            <w:shd w:val="clear" w:color="auto" w:fill="auto"/>
            <w:vAlign w:val="center"/>
          </w:tcPr>
          <w:p w14:paraId="30A7F9A8" w14:textId="77777777" w:rsidR="008B7E19" w:rsidRPr="00DB06CF" w:rsidRDefault="008B7E19" w:rsidP="008B7E19">
            <w:pPr>
              <w:pStyle w:val="08-Tabelageral"/>
            </w:pPr>
            <w:r w:rsidRPr="00AD5D89">
              <w:t>4</w:t>
            </w:r>
            <w:r>
              <w:t>,</w:t>
            </w:r>
            <w:r w:rsidRPr="00AD5D89">
              <w:t>696</w:t>
            </w:r>
          </w:p>
        </w:tc>
        <w:tc>
          <w:tcPr>
            <w:tcW w:w="736" w:type="pct"/>
            <w:shd w:val="clear" w:color="auto" w:fill="auto"/>
            <w:vAlign w:val="center"/>
          </w:tcPr>
          <w:p w14:paraId="37215CC7" w14:textId="77777777" w:rsidR="008B7E19" w:rsidRPr="00DB06CF" w:rsidRDefault="008B7E19" w:rsidP="008B7E19">
            <w:pPr>
              <w:pStyle w:val="08-Tabelageral"/>
            </w:pPr>
            <w:r w:rsidRPr="00AD5D89">
              <w:t>14</w:t>
            </w:r>
            <w:r>
              <w:t>,</w:t>
            </w:r>
            <w:r w:rsidRPr="00AD5D89">
              <w:t>814</w:t>
            </w:r>
          </w:p>
        </w:tc>
      </w:tr>
      <w:tr w:rsidR="008B7E19" w:rsidRPr="00DB06CF" w14:paraId="1715930D" w14:textId="77777777" w:rsidTr="005B5353">
        <w:trPr>
          <w:trHeight w:val="238"/>
          <w:jc w:val="center"/>
        </w:trPr>
        <w:tc>
          <w:tcPr>
            <w:tcW w:w="1605" w:type="pct"/>
            <w:shd w:val="clear" w:color="auto" w:fill="auto"/>
            <w:vAlign w:val="center"/>
          </w:tcPr>
          <w:p w14:paraId="59CDC956" w14:textId="77777777" w:rsidR="008B7E19" w:rsidRPr="00FA2ABC" w:rsidRDefault="008B7E19" w:rsidP="008B7E19">
            <w:pPr>
              <w:pStyle w:val="08-Tabelageral"/>
              <w:ind w:left="113"/>
              <w:jc w:val="left"/>
            </w:pPr>
            <w:r w:rsidRPr="00FA2ABC">
              <w:t>Monetary adjustment of dividends and interest on equity capital</w:t>
            </w:r>
          </w:p>
        </w:tc>
        <w:tc>
          <w:tcPr>
            <w:tcW w:w="313" w:type="pct"/>
            <w:shd w:val="clear" w:color="auto" w:fill="auto"/>
            <w:vAlign w:val="center"/>
          </w:tcPr>
          <w:p w14:paraId="46B1DACF" w14:textId="77777777" w:rsidR="008B7E19" w:rsidRPr="00DB06CF" w:rsidRDefault="008B7E19" w:rsidP="008B7E19">
            <w:pPr>
              <w:pStyle w:val="08-Tabelageral"/>
              <w:ind w:left="113"/>
              <w:rPr>
                <w:rFonts w:cs="Arial"/>
                <w:szCs w:val="14"/>
              </w:rPr>
            </w:pPr>
          </w:p>
        </w:tc>
        <w:tc>
          <w:tcPr>
            <w:tcW w:w="732" w:type="pct"/>
            <w:shd w:val="clear" w:color="auto" w:fill="auto"/>
            <w:vAlign w:val="center"/>
          </w:tcPr>
          <w:p w14:paraId="302406A0" w14:textId="77777777" w:rsidR="008B7E19" w:rsidRPr="00FC0F2D" w:rsidRDefault="008B7E19" w:rsidP="008B7E19">
            <w:pPr>
              <w:pStyle w:val="08-Tabelageral"/>
            </w:pPr>
            <w:r w:rsidRPr="003478A6">
              <w:t>77</w:t>
            </w:r>
            <w:r>
              <w:t>,</w:t>
            </w:r>
            <w:r w:rsidRPr="003478A6">
              <w:t>483</w:t>
            </w:r>
          </w:p>
        </w:tc>
        <w:tc>
          <w:tcPr>
            <w:tcW w:w="732" w:type="pct"/>
            <w:shd w:val="clear" w:color="auto" w:fill="auto"/>
            <w:vAlign w:val="center"/>
          </w:tcPr>
          <w:p w14:paraId="711EF047" w14:textId="77777777" w:rsidR="008B7E19" w:rsidRPr="00087BA7" w:rsidRDefault="008B7E19" w:rsidP="008B7E19">
            <w:pPr>
              <w:pStyle w:val="08-Tabelageral"/>
            </w:pPr>
            <w:r w:rsidRPr="003478A6">
              <w:t>22</w:t>
            </w:r>
            <w:r>
              <w:t>,</w:t>
            </w:r>
            <w:r w:rsidRPr="003478A6">
              <w:t>106</w:t>
            </w:r>
          </w:p>
        </w:tc>
        <w:tc>
          <w:tcPr>
            <w:tcW w:w="147" w:type="pct"/>
            <w:shd w:val="clear" w:color="auto" w:fill="auto"/>
            <w:vAlign w:val="center"/>
          </w:tcPr>
          <w:p w14:paraId="4AF4D0EC" w14:textId="77777777" w:rsidR="008B7E19" w:rsidRPr="00DB06CF" w:rsidRDefault="008B7E19" w:rsidP="008B7E19">
            <w:pPr>
              <w:pStyle w:val="08-Tabelageral"/>
            </w:pPr>
          </w:p>
        </w:tc>
        <w:tc>
          <w:tcPr>
            <w:tcW w:w="735" w:type="pct"/>
            <w:shd w:val="clear" w:color="auto" w:fill="auto"/>
            <w:vAlign w:val="center"/>
          </w:tcPr>
          <w:p w14:paraId="2CFFD4C3" w14:textId="77777777" w:rsidR="008B7E19" w:rsidRPr="00C30479" w:rsidRDefault="008B7E19" w:rsidP="008B7E19">
            <w:pPr>
              <w:pStyle w:val="08-Tabelageral"/>
            </w:pPr>
            <w:r w:rsidRPr="00AD5D89">
              <w:t>--</w:t>
            </w:r>
          </w:p>
        </w:tc>
        <w:tc>
          <w:tcPr>
            <w:tcW w:w="736" w:type="pct"/>
            <w:shd w:val="clear" w:color="auto" w:fill="auto"/>
            <w:vAlign w:val="center"/>
          </w:tcPr>
          <w:p w14:paraId="6D920D4F" w14:textId="77777777" w:rsidR="008B7E19" w:rsidRPr="00C30479" w:rsidRDefault="008B7E19" w:rsidP="008B7E19">
            <w:pPr>
              <w:pStyle w:val="08-Tabelageral"/>
            </w:pPr>
            <w:r w:rsidRPr="00AD5D89">
              <w:t>--</w:t>
            </w:r>
          </w:p>
        </w:tc>
      </w:tr>
      <w:tr w:rsidR="008B7E19" w:rsidRPr="00DB06CF" w14:paraId="6EA18D22" w14:textId="77777777" w:rsidTr="005B5353">
        <w:trPr>
          <w:trHeight w:val="238"/>
          <w:jc w:val="center"/>
        </w:trPr>
        <w:tc>
          <w:tcPr>
            <w:tcW w:w="1605" w:type="pct"/>
            <w:shd w:val="clear" w:color="auto" w:fill="auto"/>
            <w:vAlign w:val="center"/>
          </w:tcPr>
          <w:p w14:paraId="31B71D3C" w14:textId="77777777" w:rsidR="008B7E19" w:rsidRPr="00FA2ABC" w:rsidRDefault="008B7E19" w:rsidP="008B7E19">
            <w:pPr>
              <w:pStyle w:val="08-Tabelageral"/>
              <w:ind w:left="113"/>
              <w:jc w:val="left"/>
            </w:pPr>
            <w:r>
              <w:t>Other</w:t>
            </w:r>
          </w:p>
        </w:tc>
        <w:tc>
          <w:tcPr>
            <w:tcW w:w="313" w:type="pct"/>
            <w:shd w:val="clear" w:color="auto" w:fill="auto"/>
            <w:vAlign w:val="center"/>
          </w:tcPr>
          <w:p w14:paraId="58E95386" w14:textId="77777777" w:rsidR="008B7E19" w:rsidRPr="00DB06CF" w:rsidRDefault="008B7E19" w:rsidP="008B7E19">
            <w:pPr>
              <w:pStyle w:val="08-Tabelageral"/>
              <w:ind w:left="113"/>
              <w:rPr>
                <w:rFonts w:cs="Arial"/>
                <w:szCs w:val="14"/>
              </w:rPr>
            </w:pPr>
          </w:p>
        </w:tc>
        <w:tc>
          <w:tcPr>
            <w:tcW w:w="732" w:type="pct"/>
            <w:shd w:val="clear" w:color="auto" w:fill="auto"/>
            <w:vAlign w:val="center"/>
          </w:tcPr>
          <w:p w14:paraId="0A361586" w14:textId="77777777" w:rsidR="008B7E19" w:rsidRDefault="008B7E19" w:rsidP="008B7E19">
            <w:pPr>
              <w:pStyle w:val="08-Tabelageral"/>
            </w:pPr>
            <w:r w:rsidRPr="003478A6">
              <w:t>8</w:t>
            </w:r>
          </w:p>
        </w:tc>
        <w:tc>
          <w:tcPr>
            <w:tcW w:w="732" w:type="pct"/>
            <w:shd w:val="clear" w:color="auto" w:fill="auto"/>
            <w:vAlign w:val="center"/>
          </w:tcPr>
          <w:p w14:paraId="57E460FD" w14:textId="77777777" w:rsidR="008B7E19" w:rsidRPr="00914F92" w:rsidRDefault="008B7E19" w:rsidP="008B7E19">
            <w:pPr>
              <w:pStyle w:val="08-Tabelageral"/>
            </w:pPr>
            <w:r w:rsidRPr="003478A6">
              <w:t>4</w:t>
            </w:r>
          </w:p>
        </w:tc>
        <w:tc>
          <w:tcPr>
            <w:tcW w:w="147" w:type="pct"/>
            <w:shd w:val="clear" w:color="auto" w:fill="auto"/>
            <w:vAlign w:val="center"/>
          </w:tcPr>
          <w:p w14:paraId="6F69A34C" w14:textId="77777777" w:rsidR="008B7E19" w:rsidRPr="00DB06CF" w:rsidRDefault="008B7E19" w:rsidP="008B7E19">
            <w:pPr>
              <w:pStyle w:val="08-Tabelageral"/>
            </w:pPr>
          </w:p>
        </w:tc>
        <w:tc>
          <w:tcPr>
            <w:tcW w:w="735" w:type="pct"/>
            <w:shd w:val="clear" w:color="auto" w:fill="auto"/>
            <w:vAlign w:val="center"/>
          </w:tcPr>
          <w:p w14:paraId="42AA8F33" w14:textId="77777777" w:rsidR="008B7E19" w:rsidRDefault="008B7E19" w:rsidP="008B7E19">
            <w:pPr>
              <w:pStyle w:val="08-Tabelageral"/>
            </w:pPr>
            <w:r w:rsidRPr="00AD5D89">
              <w:t>8</w:t>
            </w:r>
          </w:p>
        </w:tc>
        <w:tc>
          <w:tcPr>
            <w:tcW w:w="736" w:type="pct"/>
            <w:shd w:val="clear" w:color="auto" w:fill="auto"/>
            <w:vAlign w:val="center"/>
          </w:tcPr>
          <w:p w14:paraId="24446348" w14:textId="77777777" w:rsidR="008B7E19" w:rsidRDefault="008B7E19" w:rsidP="008B7E19">
            <w:pPr>
              <w:pStyle w:val="08-Tabelageral"/>
            </w:pPr>
            <w:r w:rsidRPr="00AD5D89">
              <w:t>4</w:t>
            </w:r>
          </w:p>
        </w:tc>
      </w:tr>
      <w:tr w:rsidR="008B7E19" w:rsidRPr="00C44E2E" w14:paraId="000E165B" w14:textId="77777777" w:rsidTr="005B5353">
        <w:trPr>
          <w:trHeight w:val="238"/>
          <w:jc w:val="center"/>
        </w:trPr>
        <w:tc>
          <w:tcPr>
            <w:tcW w:w="1605" w:type="pct"/>
            <w:shd w:val="clear" w:color="auto" w:fill="auto"/>
            <w:vAlign w:val="center"/>
          </w:tcPr>
          <w:p w14:paraId="46B0323C" w14:textId="77777777" w:rsidR="008B7E19" w:rsidRPr="00C44E2E" w:rsidRDefault="008B7E19" w:rsidP="008B7E19">
            <w:pPr>
              <w:pStyle w:val="08-Tabelageral"/>
              <w:jc w:val="left"/>
              <w:rPr>
                <w:b/>
              </w:rPr>
            </w:pPr>
            <w:r w:rsidRPr="00C44E2E">
              <w:rPr>
                <w:b/>
              </w:rPr>
              <w:t>Financial Expenses</w:t>
            </w:r>
          </w:p>
        </w:tc>
        <w:tc>
          <w:tcPr>
            <w:tcW w:w="313" w:type="pct"/>
            <w:shd w:val="clear" w:color="auto" w:fill="auto"/>
            <w:vAlign w:val="center"/>
          </w:tcPr>
          <w:p w14:paraId="7083FC63" w14:textId="77777777" w:rsidR="008B7E19" w:rsidRPr="00C44E2E" w:rsidRDefault="008B7E19" w:rsidP="008B7E19">
            <w:pPr>
              <w:pStyle w:val="08-Tabelageral"/>
              <w:rPr>
                <w:rFonts w:cs="Arial"/>
                <w:b/>
                <w:szCs w:val="14"/>
              </w:rPr>
            </w:pPr>
          </w:p>
        </w:tc>
        <w:tc>
          <w:tcPr>
            <w:tcW w:w="732" w:type="pct"/>
            <w:shd w:val="clear" w:color="auto" w:fill="auto"/>
            <w:vAlign w:val="center"/>
          </w:tcPr>
          <w:p w14:paraId="127664F1" w14:textId="77777777" w:rsidR="008B7E19" w:rsidRPr="00C44E2E" w:rsidRDefault="008B7E19" w:rsidP="008B7E19">
            <w:pPr>
              <w:pStyle w:val="08-Tabelageral"/>
              <w:rPr>
                <w:b/>
              </w:rPr>
            </w:pPr>
            <w:r w:rsidRPr="00C44E2E">
              <w:rPr>
                <w:b/>
              </w:rPr>
              <w:t>(80,547)</w:t>
            </w:r>
          </w:p>
        </w:tc>
        <w:tc>
          <w:tcPr>
            <w:tcW w:w="732" w:type="pct"/>
            <w:shd w:val="clear" w:color="auto" w:fill="auto"/>
            <w:vAlign w:val="center"/>
          </w:tcPr>
          <w:p w14:paraId="630B3882" w14:textId="77777777" w:rsidR="008B7E19" w:rsidRPr="00C44E2E" w:rsidRDefault="008B7E19" w:rsidP="008B7E19">
            <w:pPr>
              <w:pStyle w:val="08-Tabelageral"/>
              <w:rPr>
                <w:b/>
              </w:rPr>
            </w:pPr>
            <w:r w:rsidRPr="00C44E2E">
              <w:rPr>
                <w:b/>
              </w:rPr>
              <w:t>(27,357)</w:t>
            </w:r>
          </w:p>
        </w:tc>
        <w:tc>
          <w:tcPr>
            <w:tcW w:w="147" w:type="pct"/>
            <w:shd w:val="clear" w:color="auto" w:fill="auto"/>
            <w:vAlign w:val="center"/>
          </w:tcPr>
          <w:p w14:paraId="4083AD97" w14:textId="77777777" w:rsidR="008B7E19" w:rsidRPr="00C44E2E" w:rsidRDefault="008B7E19" w:rsidP="008B7E19">
            <w:pPr>
              <w:pStyle w:val="08-Tabelageral"/>
              <w:rPr>
                <w:b/>
              </w:rPr>
            </w:pPr>
          </w:p>
        </w:tc>
        <w:tc>
          <w:tcPr>
            <w:tcW w:w="735" w:type="pct"/>
            <w:shd w:val="clear" w:color="auto" w:fill="auto"/>
            <w:vAlign w:val="center"/>
          </w:tcPr>
          <w:p w14:paraId="16A755F2" w14:textId="77777777" w:rsidR="008B7E19" w:rsidRPr="00C44E2E" w:rsidRDefault="008B7E19" w:rsidP="008B7E19">
            <w:pPr>
              <w:pStyle w:val="08-Tabelageral"/>
              <w:rPr>
                <w:b/>
              </w:rPr>
            </w:pPr>
            <w:r w:rsidRPr="00C44E2E">
              <w:rPr>
                <w:b/>
              </w:rPr>
              <w:t>(80,728)</w:t>
            </w:r>
          </w:p>
        </w:tc>
        <w:tc>
          <w:tcPr>
            <w:tcW w:w="736" w:type="pct"/>
            <w:shd w:val="clear" w:color="auto" w:fill="auto"/>
            <w:vAlign w:val="center"/>
          </w:tcPr>
          <w:p w14:paraId="2C98E175" w14:textId="77777777" w:rsidR="008B7E19" w:rsidRPr="00C44E2E" w:rsidRDefault="008B7E19" w:rsidP="008B7E19">
            <w:pPr>
              <w:pStyle w:val="08-Tabelageral"/>
              <w:rPr>
                <w:b/>
              </w:rPr>
            </w:pPr>
            <w:r w:rsidRPr="00C44E2E">
              <w:rPr>
                <w:b/>
              </w:rPr>
              <w:t>(28,638)</w:t>
            </w:r>
          </w:p>
        </w:tc>
      </w:tr>
      <w:tr w:rsidR="008B7E19" w:rsidRPr="00DB06CF" w14:paraId="7C1E93FF" w14:textId="77777777" w:rsidTr="005B5353">
        <w:trPr>
          <w:trHeight w:val="238"/>
          <w:jc w:val="center"/>
        </w:trPr>
        <w:tc>
          <w:tcPr>
            <w:tcW w:w="1605" w:type="pct"/>
            <w:shd w:val="clear" w:color="auto" w:fill="auto"/>
            <w:vAlign w:val="center"/>
          </w:tcPr>
          <w:p w14:paraId="377C5429" w14:textId="77777777" w:rsidR="008B7E19" w:rsidRPr="00DB06CF" w:rsidRDefault="008B7E19" w:rsidP="008B7E19">
            <w:pPr>
              <w:pStyle w:val="08-Tabelageral"/>
              <w:ind w:left="113"/>
              <w:jc w:val="left"/>
            </w:pPr>
            <w:r w:rsidRPr="007801BA">
              <w:t>Monetary adjustment of dividends and interest on equity capital</w:t>
            </w:r>
          </w:p>
        </w:tc>
        <w:tc>
          <w:tcPr>
            <w:tcW w:w="313" w:type="pct"/>
            <w:shd w:val="clear" w:color="auto" w:fill="auto"/>
            <w:vAlign w:val="center"/>
          </w:tcPr>
          <w:p w14:paraId="37B57E17" w14:textId="77777777" w:rsidR="008B7E19" w:rsidRPr="00DB06CF" w:rsidRDefault="008B7E19" w:rsidP="008B7E19">
            <w:pPr>
              <w:pStyle w:val="08-Tabelageral"/>
              <w:ind w:left="113"/>
              <w:rPr>
                <w:rFonts w:cs="Arial"/>
                <w:szCs w:val="14"/>
              </w:rPr>
            </w:pPr>
          </w:p>
        </w:tc>
        <w:tc>
          <w:tcPr>
            <w:tcW w:w="732" w:type="pct"/>
            <w:shd w:val="clear" w:color="auto" w:fill="auto"/>
            <w:vAlign w:val="center"/>
          </w:tcPr>
          <w:p w14:paraId="48B30DA0" w14:textId="77777777" w:rsidR="008B7E19" w:rsidRPr="00DB06CF" w:rsidRDefault="008B7E19" w:rsidP="008B7E19">
            <w:pPr>
              <w:pStyle w:val="08-Tabelageral"/>
            </w:pPr>
            <w:r w:rsidRPr="003478A6">
              <w:t>(77</w:t>
            </w:r>
            <w:r>
              <w:t>,</w:t>
            </w:r>
            <w:r w:rsidRPr="003478A6">
              <w:t>280)</w:t>
            </w:r>
          </w:p>
        </w:tc>
        <w:tc>
          <w:tcPr>
            <w:tcW w:w="732" w:type="pct"/>
            <w:shd w:val="clear" w:color="auto" w:fill="auto"/>
            <w:vAlign w:val="center"/>
          </w:tcPr>
          <w:p w14:paraId="181E81BA" w14:textId="77777777" w:rsidR="008B7E19" w:rsidRPr="00DB06CF" w:rsidRDefault="008B7E19" w:rsidP="008B7E19">
            <w:pPr>
              <w:pStyle w:val="08-Tabelageral"/>
            </w:pPr>
            <w:r w:rsidRPr="003478A6">
              <w:t>(25</w:t>
            </w:r>
            <w:r>
              <w:t>,</w:t>
            </w:r>
            <w:r w:rsidRPr="003478A6">
              <w:t>745)</w:t>
            </w:r>
          </w:p>
        </w:tc>
        <w:tc>
          <w:tcPr>
            <w:tcW w:w="147" w:type="pct"/>
            <w:shd w:val="clear" w:color="auto" w:fill="auto"/>
            <w:vAlign w:val="center"/>
          </w:tcPr>
          <w:p w14:paraId="656384CD" w14:textId="77777777" w:rsidR="008B7E19" w:rsidRPr="00DB06CF" w:rsidRDefault="008B7E19" w:rsidP="008B7E19">
            <w:pPr>
              <w:pStyle w:val="08-Tabelageral"/>
            </w:pPr>
          </w:p>
        </w:tc>
        <w:tc>
          <w:tcPr>
            <w:tcW w:w="735" w:type="pct"/>
            <w:shd w:val="clear" w:color="auto" w:fill="auto"/>
            <w:vAlign w:val="center"/>
          </w:tcPr>
          <w:p w14:paraId="35EA8A35" w14:textId="77777777" w:rsidR="008B7E19" w:rsidRPr="00DB06CF" w:rsidRDefault="008B7E19" w:rsidP="008B7E19">
            <w:pPr>
              <w:pStyle w:val="08-Tabelageral"/>
            </w:pPr>
            <w:r w:rsidRPr="00AD5D89">
              <w:t>(77</w:t>
            </w:r>
            <w:r>
              <w:t>,</w:t>
            </w:r>
            <w:r w:rsidRPr="00AD5D89">
              <w:t>280)</w:t>
            </w:r>
          </w:p>
        </w:tc>
        <w:tc>
          <w:tcPr>
            <w:tcW w:w="736" w:type="pct"/>
            <w:shd w:val="clear" w:color="auto" w:fill="auto"/>
            <w:vAlign w:val="center"/>
          </w:tcPr>
          <w:p w14:paraId="01C4F603" w14:textId="77777777" w:rsidR="008B7E19" w:rsidRPr="00DB06CF" w:rsidRDefault="008B7E19" w:rsidP="008B7E19">
            <w:pPr>
              <w:pStyle w:val="08-Tabelageral"/>
            </w:pPr>
            <w:r w:rsidRPr="00AD5D89">
              <w:t>(25</w:t>
            </w:r>
            <w:r>
              <w:t>,</w:t>
            </w:r>
            <w:r w:rsidRPr="00AD5D89">
              <w:t>745)</w:t>
            </w:r>
          </w:p>
        </w:tc>
      </w:tr>
      <w:tr w:rsidR="008B7E19" w:rsidRPr="00DB06CF" w14:paraId="1237958B" w14:textId="77777777" w:rsidTr="005B5353">
        <w:trPr>
          <w:trHeight w:val="238"/>
          <w:jc w:val="center"/>
        </w:trPr>
        <w:tc>
          <w:tcPr>
            <w:tcW w:w="1605" w:type="pct"/>
            <w:shd w:val="clear" w:color="auto" w:fill="auto"/>
            <w:vAlign w:val="center"/>
          </w:tcPr>
          <w:p w14:paraId="3C20A5B6" w14:textId="77777777" w:rsidR="008B7E19" w:rsidRPr="00DB06CF" w:rsidRDefault="008B7E19" w:rsidP="008B7E19">
            <w:pPr>
              <w:pStyle w:val="08-Tabelageral"/>
              <w:ind w:left="113"/>
              <w:jc w:val="left"/>
            </w:pPr>
            <w:r>
              <w:t>Reversal of m</w:t>
            </w:r>
            <w:r w:rsidRPr="00006F1F">
              <w:t>onetary adjustment of judicial deposits</w:t>
            </w:r>
            <w:r>
              <w:t xml:space="preserve"> </w:t>
            </w:r>
            <w:r w:rsidRPr="00CE17BB">
              <w:rPr>
                <w:vertAlign w:val="superscript"/>
              </w:rPr>
              <w:t>(1)</w:t>
            </w:r>
          </w:p>
        </w:tc>
        <w:tc>
          <w:tcPr>
            <w:tcW w:w="313" w:type="pct"/>
            <w:shd w:val="clear" w:color="auto" w:fill="auto"/>
            <w:vAlign w:val="center"/>
          </w:tcPr>
          <w:p w14:paraId="4B81FC47" w14:textId="77777777" w:rsidR="008B7E19" w:rsidRPr="00DB06CF" w:rsidRDefault="008B7E19" w:rsidP="008B7E19">
            <w:pPr>
              <w:pStyle w:val="08-Tabelageral"/>
              <w:ind w:left="113"/>
              <w:rPr>
                <w:rFonts w:cs="Arial"/>
                <w:szCs w:val="14"/>
              </w:rPr>
            </w:pPr>
          </w:p>
        </w:tc>
        <w:tc>
          <w:tcPr>
            <w:tcW w:w="732" w:type="pct"/>
            <w:shd w:val="clear" w:color="auto" w:fill="auto"/>
            <w:vAlign w:val="center"/>
          </w:tcPr>
          <w:p w14:paraId="54B7FC5E" w14:textId="77777777" w:rsidR="008B7E19" w:rsidRPr="00DB06CF" w:rsidRDefault="008B7E19" w:rsidP="008B7E19">
            <w:pPr>
              <w:pStyle w:val="08-Tabelageral"/>
            </w:pPr>
            <w:r w:rsidRPr="003478A6">
              <w:t>--</w:t>
            </w:r>
          </w:p>
        </w:tc>
        <w:tc>
          <w:tcPr>
            <w:tcW w:w="732" w:type="pct"/>
            <w:shd w:val="clear" w:color="auto" w:fill="auto"/>
            <w:vAlign w:val="center"/>
          </w:tcPr>
          <w:p w14:paraId="3159946A" w14:textId="77777777" w:rsidR="008B7E19" w:rsidRPr="00DB06CF" w:rsidRDefault="008B7E19" w:rsidP="008B7E19">
            <w:pPr>
              <w:pStyle w:val="08-Tabelageral"/>
            </w:pPr>
            <w:r w:rsidRPr="003478A6">
              <w:t>--</w:t>
            </w:r>
          </w:p>
        </w:tc>
        <w:tc>
          <w:tcPr>
            <w:tcW w:w="147" w:type="pct"/>
            <w:shd w:val="clear" w:color="auto" w:fill="auto"/>
            <w:vAlign w:val="center"/>
          </w:tcPr>
          <w:p w14:paraId="549F806C" w14:textId="77777777" w:rsidR="008B7E19" w:rsidRPr="00DB06CF" w:rsidRDefault="008B7E19" w:rsidP="008B7E19">
            <w:pPr>
              <w:pStyle w:val="08-Tabelageral"/>
            </w:pPr>
          </w:p>
        </w:tc>
        <w:tc>
          <w:tcPr>
            <w:tcW w:w="735" w:type="pct"/>
            <w:shd w:val="clear" w:color="auto" w:fill="auto"/>
            <w:vAlign w:val="center"/>
          </w:tcPr>
          <w:p w14:paraId="060E87E1" w14:textId="77777777" w:rsidR="008B7E19" w:rsidRPr="00DB06CF" w:rsidRDefault="008B7E19" w:rsidP="008B7E19">
            <w:pPr>
              <w:pStyle w:val="08-Tabelageral"/>
            </w:pPr>
            <w:r w:rsidRPr="00AD5D89">
              <w:t>--</w:t>
            </w:r>
          </w:p>
        </w:tc>
        <w:tc>
          <w:tcPr>
            <w:tcW w:w="736" w:type="pct"/>
            <w:shd w:val="clear" w:color="auto" w:fill="auto"/>
            <w:vAlign w:val="center"/>
          </w:tcPr>
          <w:p w14:paraId="767F71A4" w14:textId="77777777" w:rsidR="008B7E19" w:rsidRPr="00DB06CF" w:rsidRDefault="008B7E19" w:rsidP="008B7E19">
            <w:pPr>
              <w:pStyle w:val="08-Tabelageral"/>
            </w:pPr>
            <w:r w:rsidRPr="00AD5D89">
              <w:t>(1</w:t>
            </w:r>
            <w:r>
              <w:t>,</w:t>
            </w:r>
            <w:r w:rsidRPr="00AD5D89">
              <w:t>167)</w:t>
            </w:r>
          </w:p>
        </w:tc>
      </w:tr>
      <w:tr w:rsidR="008B7E19" w:rsidRPr="00DB06CF" w14:paraId="7B7980D2" w14:textId="77777777" w:rsidTr="005B5353">
        <w:trPr>
          <w:trHeight w:val="238"/>
          <w:jc w:val="center"/>
        </w:trPr>
        <w:tc>
          <w:tcPr>
            <w:tcW w:w="1605" w:type="pct"/>
            <w:shd w:val="clear" w:color="auto" w:fill="auto"/>
            <w:vAlign w:val="center"/>
          </w:tcPr>
          <w:p w14:paraId="7970BDCC" w14:textId="77777777" w:rsidR="008B7E19" w:rsidRPr="007801BA" w:rsidRDefault="008B7E19" w:rsidP="008B7E19">
            <w:pPr>
              <w:pStyle w:val="08-Tabelageral"/>
              <w:ind w:left="113"/>
              <w:jc w:val="left"/>
            </w:pPr>
            <w:r w:rsidRPr="00006F1F">
              <w:t>Financial system services</w:t>
            </w:r>
          </w:p>
        </w:tc>
        <w:tc>
          <w:tcPr>
            <w:tcW w:w="313" w:type="pct"/>
            <w:shd w:val="clear" w:color="auto" w:fill="auto"/>
            <w:vAlign w:val="center"/>
          </w:tcPr>
          <w:p w14:paraId="752E462C" w14:textId="77777777" w:rsidR="008B7E19" w:rsidRPr="00DB06CF" w:rsidRDefault="008B7E19" w:rsidP="008B7E19">
            <w:pPr>
              <w:pStyle w:val="08-Tabelageral"/>
              <w:ind w:left="113"/>
              <w:rPr>
                <w:rFonts w:cs="Arial"/>
                <w:szCs w:val="14"/>
              </w:rPr>
            </w:pPr>
          </w:p>
        </w:tc>
        <w:tc>
          <w:tcPr>
            <w:tcW w:w="732" w:type="pct"/>
            <w:shd w:val="clear" w:color="auto" w:fill="auto"/>
            <w:vAlign w:val="center"/>
          </w:tcPr>
          <w:p w14:paraId="0B470AFC" w14:textId="77777777" w:rsidR="008B7E19" w:rsidRDefault="008B7E19" w:rsidP="008B7E19">
            <w:pPr>
              <w:pStyle w:val="08-Tabelageral"/>
            </w:pPr>
            <w:r w:rsidRPr="003478A6">
              <w:t>(952)</w:t>
            </w:r>
          </w:p>
        </w:tc>
        <w:tc>
          <w:tcPr>
            <w:tcW w:w="732" w:type="pct"/>
            <w:shd w:val="clear" w:color="auto" w:fill="auto"/>
            <w:vAlign w:val="center"/>
          </w:tcPr>
          <w:p w14:paraId="3F7D28E8" w14:textId="77777777" w:rsidR="008B7E19" w:rsidRPr="00914F92" w:rsidRDefault="008B7E19" w:rsidP="008B7E19">
            <w:pPr>
              <w:pStyle w:val="08-Tabelageral"/>
            </w:pPr>
            <w:r w:rsidRPr="003478A6">
              <w:t>(756)</w:t>
            </w:r>
          </w:p>
        </w:tc>
        <w:tc>
          <w:tcPr>
            <w:tcW w:w="147" w:type="pct"/>
            <w:shd w:val="clear" w:color="auto" w:fill="auto"/>
            <w:vAlign w:val="center"/>
          </w:tcPr>
          <w:p w14:paraId="3F97316F" w14:textId="77777777" w:rsidR="008B7E19" w:rsidRPr="00DB06CF" w:rsidRDefault="008B7E19" w:rsidP="008B7E19">
            <w:pPr>
              <w:pStyle w:val="08-Tabelageral"/>
            </w:pPr>
          </w:p>
        </w:tc>
        <w:tc>
          <w:tcPr>
            <w:tcW w:w="735" w:type="pct"/>
            <w:shd w:val="clear" w:color="auto" w:fill="auto"/>
            <w:vAlign w:val="center"/>
          </w:tcPr>
          <w:p w14:paraId="26505168" w14:textId="77777777" w:rsidR="008B7E19" w:rsidRDefault="008B7E19" w:rsidP="008B7E19">
            <w:pPr>
              <w:pStyle w:val="08-Tabelageral"/>
            </w:pPr>
            <w:r w:rsidRPr="00AD5D89">
              <w:t>(1</w:t>
            </w:r>
            <w:r>
              <w:t>,</w:t>
            </w:r>
            <w:r w:rsidRPr="00AD5D89">
              <w:t>132)</w:t>
            </w:r>
          </w:p>
        </w:tc>
        <w:tc>
          <w:tcPr>
            <w:tcW w:w="736" w:type="pct"/>
            <w:shd w:val="clear" w:color="auto" w:fill="auto"/>
            <w:vAlign w:val="center"/>
          </w:tcPr>
          <w:p w14:paraId="724FD3B3" w14:textId="77777777" w:rsidR="008B7E19" w:rsidRPr="00914F92" w:rsidRDefault="008B7E19" w:rsidP="008B7E19">
            <w:pPr>
              <w:pStyle w:val="08-Tabelageral"/>
            </w:pPr>
            <w:r w:rsidRPr="00AD5D89">
              <w:t>(869)</w:t>
            </w:r>
          </w:p>
        </w:tc>
      </w:tr>
      <w:tr w:rsidR="008B7E19" w:rsidRPr="00DB06CF" w14:paraId="14D5839E" w14:textId="77777777" w:rsidTr="005B5353">
        <w:trPr>
          <w:trHeight w:val="238"/>
          <w:jc w:val="center"/>
        </w:trPr>
        <w:tc>
          <w:tcPr>
            <w:tcW w:w="1605" w:type="pct"/>
            <w:shd w:val="clear" w:color="auto" w:fill="auto"/>
            <w:vAlign w:val="center"/>
          </w:tcPr>
          <w:p w14:paraId="7F4FEFCC" w14:textId="77777777" w:rsidR="008B7E19" w:rsidRPr="00D85798" w:rsidRDefault="008B7E19" w:rsidP="008B7E19">
            <w:pPr>
              <w:pStyle w:val="08-Tabelageral"/>
              <w:ind w:left="113"/>
              <w:jc w:val="left"/>
            </w:pPr>
            <w:r w:rsidRPr="007801BA">
              <w:t>Loss on financial investments</w:t>
            </w:r>
          </w:p>
        </w:tc>
        <w:tc>
          <w:tcPr>
            <w:tcW w:w="313" w:type="pct"/>
            <w:shd w:val="clear" w:color="auto" w:fill="auto"/>
            <w:vAlign w:val="center"/>
          </w:tcPr>
          <w:p w14:paraId="38AF5A86" w14:textId="77777777" w:rsidR="008B7E19" w:rsidRPr="00DB06CF" w:rsidRDefault="008B7E19" w:rsidP="008B7E19">
            <w:pPr>
              <w:pStyle w:val="08-Tabelageral"/>
              <w:ind w:left="113"/>
              <w:rPr>
                <w:rFonts w:cs="Arial"/>
                <w:szCs w:val="14"/>
              </w:rPr>
            </w:pPr>
          </w:p>
        </w:tc>
        <w:tc>
          <w:tcPr>
            <w:tcW w:w="732" w:type="pct"/>
            <w:shd w:val="clear" w:color="auto" w:fill="auto"/>
            <w:vAlign w:val="center"/>
          </w:tcPr>
          <w:p w14:paraId="3A30926F" w14:textId="77777777" w:rsidR="008B7E19" w:rsidRPr="00D41026" w:rsidRDefault="008B7E19" w:rsidP="008B7E19">
            <w:pPr>
              <w:pStyle w:val="08-Tabelageral"/>
            </w:pPr>
            <w:r w:rsidRPr="003478A6">
              <w:t>(2</w:t>
            </w:r>
            <w:r>
              <w:t>,</w:t>
            </w:r>
            <w:r w:rsidRPr="003478A6">
              <w:t>315)</w:t>
            </w:r>
          </w:p>
        </w:tc>
        <w:tc>
          <w:tcPr>
            <w:tcW w:w="732" w:type="pct"/>
            <w:shd w:val="clear" w:color="auto" w:fill="auto"/>
            <w:vAlign w:val="center"/>
          </w:tcPr>
          <w:p w14:paraId="746E784C" w14:textId="77777777" w:rsidR="008B7E19" w:rsidRPr="00914F92" w:rsidRDefault="008B7E19" w:rsidP="008B7E19">
            <w:pPr>
              <w:pStyle w:val="08-Tabelageral"/>
            </w:pPr>
            <w:r w:rsidRPr="003478A6">
              <w:t>(856)</w:t>
            </w:r>
          </w:p>
        </w:tc>
        <w:tc>
          <w:tcPr>
            <w:tcW w:w="147" w:type="pct"/>
            <w:shd w:val="clear" w:color="auto" w:fill="auto"/>
            <w:vAlign w:val="center"/>
          </w:tcPr>
          <w:p w14:paraId="4D0A02DB" w14:textId="77777777" w:rsidR="008B7E19" w:rsidRPr="00DB06CF" w:rsidRDefault="008B7E19" w:rsidP="008B7E19">
            <w:pPr>
              <w:pStyle w:val="08-Tabelageral"/>
            </w:pPr>
          </w:p>
        </w:tc>
        <w:tc>
          <w:tcPr>
            <w:tcW w:w="735" w:type="pct"/>
            <w:shd w:val="clear" w:color="auto" w:fill="auto"/>
            <w:vAlign w:val="center"/>
          </w:tcPr>
          <w:p w14:paraId="141C6028" w14:textId="77777777" w:rsidR="008B7E19" w:rsidRPr="00A54EF7" w:rsidRDefault="008B7E19" w:rsidP="008B7E19">
            <w:pPr>
              <w:pStyle w:val="08-Tabelageral"/>
            </w:pPr>
            <w:r w:rsidRPr="00AD5D89">
              <w:t>(2</w:t>
            </w:r>
            <w:r>
              <w:t>,</w:t>
            </w:r>
            <w:r w:rsidRPr="00AD5D89">
              <w:t>316)</w:t>
            </w:r>
          </w:p>
        </w:tc>
        <w:tc>
          <w:tcPr>
            <w:tcW w:w="736" w:type="pct"/>
            <w:shd w:val="clear" w:color="auto" w:fill="auto"/>
            <w:vAlign w:val="center"/>
          </w:tcPr>
          <w:p w14:paraId="1FA194C8" w14:textId="77777777" w:rsidR="008B7E19" w:rsidRPr="00914F92" w:rsidRDefault="008B7E19" w:rsidP="008B7E19">
            <w:pPr>
              <w:pStyle w:val="08-Tabelageral"/>
            </w:pPr>
            <w:r w:rsidRPr="00AD5D89">
              <w:t>(856)</w:t>
            </w:r>
          </w:p>
        </w:tc>
      </w:tr>
      <w:tr w:rsidR="008B7E19" w:rsidRPr="00DB06CF" w14:paraId="7A80D59C" w14:textId="77777777" w:rsidTr="005B5353">
        <w:trPr>
          <w:trHeight w:val="238"/>
          <w:jc w:val="center"/>
        </w:trPr>
        <w:tc>
          <w:tcPr>
            <w:tcW w:w="1605" w:type="pct"/>
            <w:shd w:val="clear" w:color="auto" w:fill="auto"/>
            <w:vAlign w:val="center"/>
          </w:tcPr>
          <w:p w14:paraId="5E26F866" w14:textId="77777777" w:rsidR="008B7E19" w:rsidRPr="007801BA" w:rsidRDefault="008B7E19" w:rsidP="008B7E19">
            <w:pPr>
              <w:pStyle w:val="08-Tabelageral"/>
              <w:ind w:left="113"/>
              <w:jc w:val="left"/>
            </w:pPr>
            <w:r w:rsidRPr="00426F93">
              <w:t>Other</w:t>
            </w:r>
          </w:p>
        </w:tc>
        <w:tc>
          <w:tcPr>
            <w:tcW w:w="313" w:type="pct"/>
            <w:shd w:val="clear" w:color="auto" w:fill="auto"/>
            <w:vAlign w:val="center"/>
          </w:tcPr>
          <w:p w14:paraId="18143D25" w14:textId="77777777" w:rsidR="008B7E19" w:rsidRPr="00DB06CF" w:rsidRDefault="008B7E19" w:rsidP="008B7E19">
            <w:pPr>
              <w:pStyle w:val="08-Tabelageral"/>
              <w:ind w:left="113"/>
              <w:rPr>
                <w:rFonts w:cs="Arial"/>
                <w:szCs w:val="14"/>
              </w:rPr>
            </w:pPr>
          </w:p>
        </w:tc>
        <w:tc>
          <w:tcPr>
            <w:tcW w:w="732" w:type="pct"/>
            <w:shd w:val="clear" w:color="auto" w:fill="auto"/>
            <w:vAlign w:val="center"/>
          </w:tcPr>
          <w:p w14:paraId="5B7A70FB" w14:textId="77777777" w:rsidR="008B7E19" w:rsidRDefault="008B7E19" w:rsidP="008B7E19">
            <w:pPr>
              <w:pStyle w:val="08-Tabelageral"/>
            </w:pPr>
            <w:r w:rsidRPr="003478A6">
              <w:t>--</w:t>
            </w:r>
          </w:p>
        </w:tc>
        <w:tc>
          <w:tcPr>
            <w:tcW w:w="732" w:type="pct"/>
            <w:shd w:val="clear" w:color="auto" w:fill="auto"/>
            <w:vAlign w:val="center"/>
          </w:tcPr>
          <w:p w14:paraId="034D4466" w14:textId="77777777" w:rsidR="008B7E19" w:rsidRDefault="008B7E19" w:rsidP="008B7E19">
            <w:pPr>
              <w:pStyle w:val="08-Tabelageral"/>
            </w:pPr>
            <w:r w:rsidRPr="003478A6">
              <w:t>--</w:t>
            </w:r>
          </w:p>
        </w:tc>
        <w:tc>
          <w:tcPr>
            <w:tcW w:w="147" w:type="pct"/>
            <w:shd w:val="clear" w:color="auto" w:fill="auto"/>
            <w:vAlign w:val="center"/>
          </w:tcPr>
          <w:p w14:paraId="4645B028" w14:textId="77777777" w:rsidR="008B7E19" w:rsidRPr="00DB06CF" w:rsidRDefault="008B7E19" w:rsidP="008B7E19">
            <w:pPr>
              <w:pStyle w:val="08-Tabelageral"/>
            </w:pPr>
          </w:p>
        </w:tc>
        <w:tc>
          <w:tcPr>
            <w:tcW w:w="735" w:type="pct"/>
            <w:shd w:val="clear" w:color="auto" w:fill="auto"/>
            <w:vAlign w:val="center"/>
          </w:tcPr>
          <w:p w14:paraId="7A83C3B9" w14:textId="77777777" w:rsidR="008B7E19" w:rsidRDefault="008B7E19" w:rsidP="008B7E19">
            <w:pPr>
              <w:pStyle w:val="08-Tabelageral"/>
            </w:pPr>
            <w:r w:rsidRPr="00AD5D89">
              <w:t>--</w:t>
            </w:r>
          </w:p>
        </w:tc>
        <w:tc>
          <w:tcPr>
            <w:tcW w:w="736" w:type="pct"/>
            <w:shd w:val="clear" w:color="auto" w:fill="auto"/>
            <w:vAlign w:val="center"/>
          </w:tcPr>
          <w:p w14:paraId="2BF89535" w14:textId="77777777" w:rsidR="008B7E19" w:rsidRDefault="008B7E19" w:rsidP="008B7E19">
            <w:pPr>
              <w:pStyle w:val="08-Tabelageral"/>
            </w:pPr>
            <w:r w:rsidRPr="00AD5D89">
              <w:t>(1)</w:t>
            </w:r>
          </w:p>
        </w:tc>
      </w:tr>
      <w:tr w:rsidR="008B7E19" w:rsidRPr="00C44E2E" w14:paraId="25F7B4A1" w14:textId="77777777" w:rsidTr="005B5353">
        <w:trPr>
          <w:trHeight w:val="238"/>
          <w:jc w:val="center"/>
        </w:trPr>
        <w:tc>
          <w:tcPr>
            <w:tcW w:w="1605" w:type="pct"/>
            <w:tcBorders>
              <w:bottom w:val="single" w:sz="2" w:space="0" w:color="1F4E79" w:themeColor="accent1" w:themeShade="80"/>
            </w:tcBorders>
            <w:shd w:val="clear" w:color="auto" w:fill="auto"/>
            <w:vAlign w:val="center"/>
          </w:tcPr>
          <w:p w14:paraId="3B8FCD30" w14:textId="77777777" w:rsidR="008B7E19" w:rsidRPr="00C44E2E" w:rsidRDefault="008B7E19" w:rsidP="008B7E19">
            <w:pPr>
              <w:pStyle w:val="08-Tabelageral"/>
              <w:jc w:val="left"/>
              <w:rPr>
                <w:b/>
              </w:rPr>
            </w:pPr>
            <w:r w:rsidRPr="00C44E2E">
              <w:rPr>
                <w:b/>
              </w:rPr>
              <w:t>Financial Result</w:t>
            </w:r>
          </w:p>
        </w:tc>
        <w:tc>
          <w:tcPr>
            <w:tcW w:w="313" w:type="pct"/>
            <w:tcBorders>
              <w:bottom w:val="single" w:sz="2" w:space="0" w:color="1F4E79" w:themeColor="accent1" w:themeShade="80"/>
            </w:tcBorders>
            <w:shd w:val="clear" w:color="auto" w:fill="auto"/>
            <w:vAlign w:val="center"/>
          </w:tcPr>
          <w:p w14:paraId="16BF8CAC" w14:textId="77777777" w:rsidR="008B7E19" w:rsidRPr="00C44E2E" w:rsidRDefault="008B7E19" w:rsidP="008B7E19">
            <w:pPr>
              <w:pStyle w:val="08-Tabelageral"/>
              <w:rPr>
                <w:rFonts w:cs="Arial"/>
                <w:b/>
                <w:szCs w:val="14"/>
              </w:rPr>
            </w:pPr>
          </w:p>
        </w:tc>
        <w:tc>
          <w:tcPr>
            <w:tcW w:w="732" w:type="pct"/>
            <w:tcBorders>
              <w:bottom w:val="single" w:sz="2" w:space="0" w:color="1F4E79" w:themeColor="accent1" w:themeShade="80"/>
            </w:tcBorders>
            <w:shd w:val="clear" w:color="auto" w:fill="auto"/>
            <w:vAlign w:val="center"/>
          </w:tcPr>
          <w:p w14:paraId="4D845AFB" w14:textId="77777777" w:rsidR="008B7E19" w:rsidRPr="00C44E2E" w:rsidRDefault="008B7E19" w:rsidP="008B7E19">
            <w:pPr>
              <w:pStyle w:val="08-Tabelageral"/>
              <w:rPr>
                <w:b/>
              </w:rPr>
            </w:pPr>
            <w:r w:rsidRPr="00C44E2E">
              <w:rPr>
                <w:b/>
              </w:rPr>
              <w:t>12,714</w:t>
            </w:r>
          </w:p>
        </w:tc>
        <w:tc>
          <w:tcPr>
            <w:tcW w:w="732" w:type="pct"/>
            <w:tcBorders>
              <w:bottom w:val="single" w:sz="2" w:space="0" w:color="1F4E79" w:themeColor="accent1" w:themeShade="80"/>
            </w:tcBorders>
            <w:shd w:val="clear" w:color="auto" w:fill="auto"/>
            <w:vAlign w:val="center"/>
          </w:tcPr>
          <w:p w14:paraId="69A3275F" w14:textId="77777777" w:rsidR="008B7E19" w:rsidRPr="00C44E2E" w:rsidRDefault="008B7E19" w:rsidP="008B7E19">
            <w:pPr>
              <w:pStyle w:val="08-Tabelageral"/>
              <w:rPr>
                <w:b/>
              </w:rPr>
            </w:pPr>
            <w:r w:rsidRPr="00C44E2E">
              <w:rPr>
                <w:b/>
              </w:rPr>
              <w:t>7,838</w:t>
            </w:r>
          </w:p>
        </w:tc>
        <w:tc>
          <w:tcPr>
            <w:tcW w:w="147" w:type="pct"/>
            <w:tcBorders>
              <w:bottom w:val="single" w:sz="2" w:space="0" w:color="1F4E79" w:themeColor="accent1" w:themeShade="80"/>
            </w:tcBorders>
            <w:shd w:val="clear" w:color="auto" w:fill="auto"/>
            <w:vAlign w:val="center"/>
          </w:tcPr>
          <w:p w14:paraId="332A5FB3" w14:textId="77777777" w:rsidR="008B7E19" w:rsidRPr="00C44E2E" w:rsidRDefault="008B7E19" w:rsidP="008B7E19">
            <w:pPr>
              <w:pStyle w:val="08-Tabelageral"/>
              <w:rPr>
                <w:b/>
              </w:rPr>
            </w:pPr>
          </w:p>
        </w:tc>
        <w:tc>
          <w:tcPr>
            <w:tcW w:w="735" w:type="pct"/>
            <w:tcBorders>
              <w:bottom w:val="single" w:sz="2" w:space="0" w:color="1F4E79" w:themeColor="accent1" w:themeShade="80"/>
            </w:tcBorders>
            <w:shd w:val="clear" w:color="auto" w:fill="auto"/>
            <w:vAlign w:val="center"/>
          </w:tcPr>
          <w:p w14:paraId="7BA616FD" w14:textId="77777777" w:rsidR="008B7E19" w:rsidRPr="00C44E2E" w:rsidRDefault="008B7E19" w:rsidP="008B7E19">
            <w:pPr>
              <w:pStyle w:val="08-Tabelageral"/>
              <w:rPr>
                <w:b/>
              </w:rPr>
            </w:pPr>
            <w:r w:rsidRPr="00C44E2E">
              <w:rPr>
                <w:b/>
              </w:rPr>
              <w:t>246,502</w:t>
            </w:r>
          </w:p>
        </w:tc>
        <w:tc>
          <w:tcPr>
            <w:tcW w:w="736" w:type="pct"/>
            <w:tcBorders>
              <w:bottom w:val="single" w:sz="2" w:space="0" w:color="1F4E79" w:themeColor="accent1" w:themeShade="80"/>
            </w:tcBorders>
            <w:shd w:val="clear" w:color="auto" w:fill="auto"/>
            <w:vAlign w:val="center"/>
          </w:tcPr>
          <w:p w14:paraId="2DCCD442" w14:textId="77777777" w:rsidR="008B7E19" w:rsidRPr="00C44E2E" w:rsidRDefault="008B7E19" w:rsidP="008B7E19">
            <w:pPr>
              <w:pStyle w:val="08-Tabelageral"/>
              <w:rPr>
                <w:b/>
              </w:rPr>
            </w:pPr>
            <w:r w:rsidRPr="00C44E2E">
              <w:rPr>
                <w:b/>
              </w:rPr>
              <w:t>175,917</w:t>
            </w:r>
          </w:p>
        </w:tc>
      </w:tr>
    </w:tbl>
    <w:bookmarkEnd w:id="43"/>
    <w:p w14:paraId="2AD9575C" w14:textId="77777777" w:rsidR="008B7E19" w:rsidRPr="00A65DBA" w:rsidRDefault="008B7E19" w:rsidP="008B7E19">
      <w:pPr>
        <w:pStyle w:val="07-Legenda"/>
        <w:numPr>
          <w:ilvl w:val="0"/>
          <w:numId w:val="10"/>
        </w:numPr>
        <w:spacing w:line="276" w:lineRule="auto"/>
        <w:ind w:left="284" w:hanging="284"/>
        <w:rPr>
          <w:szCs w:val="14"/>
          <w:lang w:val="en-US"/>
        </w:rPr>
      </w:pPr>
      <w:r w:rsidRPr="00A65DBA">
        <w:rPr>
          <w:szCs w:val="14"/>
          <w:lang w:val="en-US"/>
        </w:rPr>
        <w:t>In the first quarter of 2022</w:t>
      </w:r>
      <w:r>
        <w:rPr>
          <w:szCs w:val="14"/>
          <w:lang w:val="en-US"/>
        </w:rPr>
        <w:t>,</w:t>
      </w:r>
      <w:r w:rsidRPr="00A65DBA">
        <w:rPr>
          <w:szCs w:val="14"/>
          <w:lang w:val="en-US"/>
        </w:rPr>
        <w:t xml:space="preserve"> there was an adjustment in the amounts of deposits recognized, in the amount of R$ 1,167 thousand, due to the undue use of monetary restatement indexes.</w:t>
      </w:r>
    </w:p>
    <w:p w14:paraId="6EF93A36" w14:textId="77777777" w:rsidR="008B7E19" w:rsidRDefault="008B7E19" w:rsidP="008B7E19">
      <w:pPr>
        <w:pStyle w:val="05-Textonormal"/>
      </w:pPr>
    </w:p>
    <w:p w14:paraId="0B451D6B" w14:textId="74DEBE6F" w:rsidR="008B7E19" w:rsidRDefault="008B7E19" w:rsidP="008B7E19">
      <w:pPr>
        <w:pStyle w:val="Ttulo1"/>
        <w:rPr>
          <w:b w:val="0"/>
          <w:bCs w:val="0"/>
        </w:rPr>
      </w:pPr>
    </w:p>
    <w:p w14:paraId="758651A2" w14:textId="77777777" w:rsidR="008B7E19" w:rsidRPr="00882B41" w:rsidRDefault="008B7E19" w:rsidP="00882B41">
      <w:pPr>
        <w:pStyle w:val="02-TtulodeNota"/>
        <w:rPr>
          <w:bCs/>
          <w:color w:val="1F4E79" w:themeColor="accent1" w:themeShade="80"/>
        </w:rPr>
      </w:pPr>
      <w:bookmarkStart w:id="45" w:name="_Toc141966693"/>
      <w:r w:rsidRPr="00882B41">
        <w:rPr>
          <w:color w:val="1F4E79" w:themeColor="accent1" w:themeShade="80"/>
        </w:rPr>
        <w:t>15 – CASH AND CASH EQUIVALENTS</w:t>
      </w:r>
      <w:bookmarkEnd w:id="45"/>
    </w:p>
    <w:p w14:paraId="3CF6A3CC" w14:textId="77777777" w:rsidR="008B7E19" w:rsidRPr="00396B61" w:rsidRDefault="008B7E19" w:rsidP="008B7E19">
      <w:pPr>
        <w:spacing w:after="0"/>
        <w:jc w:val="right"/>
        <w:rPr>
          <w:rFonts w:cs="Arial"/>
          <w:b/>
          <w:sz w:val="14"/>
          <w:szCs w:val="14"/>
          <w:lang w:val="en-US" w:eastAsia="pt-BR"/>
        </w:rPr>
      </w:pPr>
      <w:r w:rsidRPr="00396B61">
        <w:rPr>
          <w:rFonts w:cs="Arial"/>
          <w:b/>
          <w:sz w:val="14"/>
          <w:szCs w:val="14"/>
          <w:lang w:val="en-US" w:eastAsia="pt-BR"/>
        </w:rPr>
        <w:t>R$ thousand</w:t>
      </w:r>
    </w:p>
    <w:tbl>
      <w:tblPr>
        <w:tblW w:w="9639" w:type="dxa"/>
        <w:jc w:val="center"/>
        <w:tblBorders>
          <w:top w:val="single" w:sz="2" w:space="0" w:color="8EAADB" w:themeColor="accent5" w:themeTint="99"/>
          <w:bottom w:val="single" w:sz="2" w:space="0" w:color="8EAADB" w:themeColor="accent5" w:themeTint="99"/>
        </w:tblBorders>
        <w:tblLook w:val="04A0" w:firstRow="1" w:lastRow="0" w:firstColumn="1" w:lastColumn="0" w:noHBand="0" w:noVBand="1"/>
      </w:tblPr>
      <w:tblGrid>
        <w:gridCol w:w="3261"/>
        <w:gridCol w:w="437"/>
        <w:gridCol w:w="1411"/>
        <w:gridCol w:w="1412"/>
        <w:gridCol w:w="283"/>
        <w:gridCol w:w="1417"/>
        <w:gridCol w:w="1418"/>
      </w:tblGrid>
      <w:tr w:rsidR="008B7E19" w:rsidRPr="00BC7DA5" w14:paraId="6FF80BCC" w14:textId="77777777" w:rsidTr="00882B41">
        <w:trPr>
          <w:trHeight w:val="238"/>
          <w:jc w:val="center"/>
        </w:trPr>
        <w:tc>
          <w:tcPr>
            <w:tcW w:w="3261" w:type="dxa"/>
            <w:tcBorders>
              <w:top w:val="single" w:sz="2" w:space="0" w:color="1F4E79" w:themeColor="accent1" w:themeShade="80"/>
              <w:bottom w:val="nil"/>
            </w:tcBorders>
            <w:shd w:val="clear" w:color="auto" w:fill="auto"/>
          </w:tcPr>
          <w:p w14:paraId="5CF68AF8" w14:textId="77777777" w:rsidR="008B7E19" w:rsidRPr="00396B61" w:rsidRDefault="008B7E19" w:rsidP="008B7E19">
            <w:pPr>
              <w:keepNext/>
              <w:keepLines/>
              <w:spacing w:after="0"/>
              <w:jc w:val="center"/>
              <w:rPr>
                <w:rFonts w:cs="Arial"/>
                <w:b/>
                <w:szCs w:val="18"/>
                <w:lang w:val="en-US"/>
              </w:rPr>
            </w:pPr>
          </w:p>
        </w:tc>
        <w:tc>
          <w:tcPr>
            <w:tcW w:w="437" w:type="dxa"/>
            <w:tcBorders>
              <w:top w:val="single" w:sz="2" w:space="0" w:color="1F4E79" w:themeColor="accent1" w:themeShade="80"/>
              <w:bottom w:val="single" w:sz="2" w:space="0" w:color="1F4E79" w:themeColor="accent1" w:themeShade="80"/>
            </w:tcBorders>
            <w:shd w:val="clear" w:color="auto" w:fill="auto"/>
          </w:tcPr>
          <w:p w14:paraId="793E3F55" w14:textId="77777777" w:rsidR="008B7E19" w:rsidRPr="00396B61" w:rsidRDefault="008B7E19" w:rsidP="008B7E19">
            <w:pPr>
              <w:keepNext/>
              <w:keepLines/>
              <w:spacing w:after="0"/>
              <w:jc w:val="center"/>
              <w:rPr>
                <w:rFonts w:cs="Arial"/>
                <w:b/>
                <w:szCs w:val="18"/>
                <w:lang w:val="en-US"/>
              </w:rPr>
            </w:pPr>
          </w:p>
        </w:tc>
        <w:tc>
          <w:tcPr>
            <w:tcW w:w="2823" w:type="dxa"/>
            <w:gridSpan w:val="2"/>
            <w:tcBorders>
              <w:top w:val="single" w:sz="2" w:space="0" w:color="1F4E79" w:themeColor="accent1" w:themeShade="80"/>
              <w:bottom w:val="single" w:sz="2" w:space="0" w:color="1F4E79" w:themeColor="accent1" w:themeShade="80"/>
            </w:tcBorders>
            <w:shd w:val="clear" w:color="auto" w:fill="auto"/>
            <w:vAlign w:val="center"/>
          </w:tcPr>
          <w:p w14:paraId="641087A7" w14:textId="77777777" w:rsidR="008B7E19" w:rsidRPr="00BC7DA5" w:rsidRDefault="008B7E19" w:rsidP="008B7E19">
            <w:pPr>
              <w:keepNext/>
              <w:keepLines/>
              <w:spacing w:after="0"/>
              <w:jc w:val="center"/>
              <w:rPr>
                <w:rFonts w:cs="Arial"/>
                <w:b/>
                <w:sz w:val="14"/>
                <w:szCs w:val="18"/>
              </w:rPr>
            </w:pPr>
            <w:r w:rsidRPr="00617D47">
              <w:rPr>
                <w:rFonts w:cs="Arial"/>
                <w:b/>
                <w:sz w:val="14"/>
                <w:szCs w:val="18"/>
              </w:rPr>
              <w:t>Parent</w:t>
            </w:r>
          </w:p>
        </w:tc>
        <w:tc>
          <w:tcPr>
            <w:tcW w:w="283" w:type="dxa"/>
            <w:tcBorders>
              <w:top w:val="single" w:sz="2" w:space="0" w:color="1F4E79" w:themeColor="accent1" w:themeShade="80"/>
              <w:bottom w:val="nil"/>
            </w:tcBorders>
            <w:shd w:val="clear" w:color="auto" w:fill="auto"/>
            <w:vAlign w:val="center"/>
          </w:tcPr>
          <w:p w14:paraId="69310189" w14:textId="77777777" w:rsidR="008B7E19" w:rsidRPr="00BC7DA5" w:rsidRDefault="008B7E19" w:rsidP="008B7E19">
            <w:pPr>
              <w:keepNext/>
              <w:keepLines/>
              <w:spacing w:after="0"/>
              <w:jc w:val="center"/>
              <w:rPr>
                <w:rFonts w:cs="Arial"/>
                <w:b/>
                <w:szCs w:val="18"/>
              </w:rPr>
            </w:pPr>
          </w:p>
        </w:tc>
        <w:tc>
          <w:tcPr>
            <w:tcW w:w="2835" w:type="dxa"/>
            <w:gridSpan w:val="2"/>
            <w:tcBorders>
              <w:top w:val="single" w:sz="2" w:space="0" w:color="1F4E79" w:themeColor="accent1" w:themeShade="80"/>
              <w:bottom w:val="single" w:sz="2" w:space="0" w:color="1F4E79" w:themeColor="accent1" w:themeShade="80"/>
            </w:tcBorders>
            <w:shd w:val="clear" w:color="auto" w:fill="auto"/>
            <w:vAlign w:val="center"/>
          </w:tcPr>
          <w:p w14:paraId="1814C5E1" w14:textId="77777777" w:rsidR="008B7E19" w:rsidRPr="00BC7DA5" w:rsidRDefault="008B7E19" w:rsidP="008B7E19">
            <w:pPr>
              <w:keepNext/>
              <w:keepLines/>
              <w:spacing w:after="0"/>
              <w:jc w:val="center"/>
              <w:rPr>
                <w:rFonts w:cs="Arial"/>
                <w:b/>
                <w:szCs w:val="18"/>
              </w:rPr>
            </w:pPr>
            <w:r w:rsidRPr="00617D47">
              <w:rPr>
                <w:rFonts w:cs="Arial"/>
                <w:b/>
                <w:sz w:val="14"/>
                <w:szCs w:val="18"/>
              </w:rPr>
              <w:t>Consolidated</w:t>
            </w:r>
          </w:p>
        </w:tc>
      </w:tr>
      <w:tr w:rsidR="008B7E19" w:rsidRPr="00BC7DA5" w14:paraId="2F920146" w14:textId="77777777" w:rsidTr="00882B41">
        <w:trPr>
          <w:trHeight w:val="238"/>
          <w:jc w:val="center"/>
        </w:trPr>
        <w:tc>
          <w:tcPr>
            <w:tcW w:w="3261" w:type="dxa"/>
            <w:tcBorders>
              <w:top w:val="nil"/>
              <w:bottom w:val="single" w:sz="2" w:space="0" w:color="1F4E79" w:themeColor="accent1" w:themeShade="80"/>
            </w:tcBorders>
            <w:shd w:val="clear" w:color="auto" w:fill="auto"/>
          </w:tcPr>
          <w:p w14:paraId="19E980C1" w14:textId="77777777" w:rsidR="008B7E19" w:rsidRPr="00BC7DA5" w:rsidRDefault="008B7E19" w:rsidP="008B7E19">
            <w:pPr>
              <w:pStyle w:val="08-Tabelageral"/>
              <w:rPr>
                <w:rFonts w:cs="Arial"/>
                <w:b/>
              </w:rPr>
            </w:pPr>
          </w:p>
        </w:tc>
        <w:tc>
          <w:tcPr>
            <w:tcW w:w="437" w:type="dxa"/>
            <w:tcBorders>
              <w:top w:val="single" w:sz="2" w:space="0" w:color="1F4E79" w:themeColor="accent1" w:themeShade="80"/>
              <w:bottom w:val="single" w:sz="2" w:space="0" w:color="1F4E79" w:themeColor="accent1" w:themeShade="80"/>
            </w:tcBorders>
            <w:shd w:val="clear" w:color="auto" w:fill="auto"/>
          </w:tcPr>
          <w:p w14:paraId="2DFD3877" w14:textId="77777777" w:rsidR="008B7E19" w:rsidRPr="00BC7DA5" w:rsidRDefault="008B7E19" w:rsidP="008B7E19">
            <w:pPr>
              <w:pStyle w:val="08-Tabelageral"/>
              <w:rPr>
                <w:rFonts w:cs="Arial"/>
                <w:b/>
              </w:rPr>
            </w:pPr>
          </w:p>
        </w:tc>
        <w:tc>
          <w:tcPr>
            <w:tcW w:w="1411" w:type="dxa"/>
            <w:tcBorders>
              <w:top w:val="single" w:sz="2" w:space="0" w:color="1F4E79" w:themeColor="accent1" w:themeShade="80"/>
              <w:bottom w:val="single" w:sz="2" w:space="0" w:color="1F4E79" w:themeColor="accent1" w:themeShade="80"/>
            </w:tcBorders>
            <w:shd w:val="clear" w:color="auto" w:fill="auto"/>
            <w:vAlign w:val="center"/>
          </w:tcPr>
          <w:p w14:paraId="666C0A97" w14:textId="77777777" w:rsidR="008B7E19" w:rsidRPr="00BC7DA5" w:rsidRDefault="008B7E19" w:rsidP="008B7E19">
            <w:pPr>
              <w:pStyle w:val="08-Tabelageral"/>
              <w:rPr>
                <w:rFonts w:cs="Arial"/>
                <w:b/>
              </w:rPr>
            </w:pPr>
            <w:r>
              <w:rPr>
                <w:rFonts w:cs="Arial"/>
                <w:b/>
              </w:rPr>
              <w:t>June</w:t>
            </w:r>
            <w:r w:rsidRPr="00617D47">
              <w:rPr>
                <w:rFonts w:cs="Arial"/>
                <w:b/>
              </w:rPr>
              <w:t xml:space="preserve"> 3</w:t>
            </w:r>
            <w:r>
              <w:rPr>
                <w:rFonts w:cs="Arial"/>
                <w:b/>
              </w:rPr>
              <w:t>0</w:t>
            </w:r>
            <w:r w:rsidRPr="00617D47">
              <w:rPr>
                <w:rFonts w:cs="Arial"/>
                <w:b/>
              </w:rPr>
              <w:t>, 202</w:t>
            </w:r>
            <w:r>
              <w:rPr>
                <w:rFonts w:cs="Arial"/>
                <w:b/>
              </w:rPr>
              <w:t>3</w:t>
            </w:r>
          </w:p>
        </w:tc>
        <w:tc>
          <w:tcPr>
            <w:tcW w:w="1412" w:type="dxa"/>
            <w:tcBorders>
              <w:top w:val="single" w:sz="2" w:space="0" w:color="1F4E79" w:themeColor="accent1" w:themeShade="80"/>
              <w:bottom w:val="single" w:sz="2" w:space="0" w:color="1F4E79" w:themeColor="accent1" w:themeShade="80"/>
            </w:tcBorders>
            <w:shd w:val="clear" w:color="auto" w:fill="auto"/>
            <w:vAlign w:val="center"/>
          </w:tcPr>
          <w:p w14:paraId="59DF2922" w14:textId="77777777" w:rsidR="008B7E19" w:rsidRPr="00BC7DA5" w:rsidRDefault="008B7E19" w:rsidP="008B7E19">
            <w:pPr>
              <w:pStyle w:val="08-Tabelageral"/>
              <w:rPr>
                <w:rFonts w:cs="Arial"/>
                <w:b/>
              </w:rPr>
            </w:pPr>
            <w:r w:rsidRPr="00617D47">
              <w:rPr>
                <w:rFonts w:cs="Arial"/>
                <w:b/>
              </w:rPr>
              <w:t>Dec 31, 202</w:t>
            </w:r>
            <w:r>
              <w:rPr>
                <w:rFonts w:cs="Arial"/>
                <w:b/>
              </w:rPr>
              <w:t>2</w:t>
            </w:r>
          </w:p>
        </w:tc>
        <w:tc>
          <w:tcPr>
            <w:tcW w:w="283" w:type="dxa"/>
            <w:tcBorders>
              <w:top w:val="nil"/>
              <w:bottom w:val="single" w:sz="2" w:space="0" w:color="1F4E79" w:themeColor="accent1" w:themeShade="80"/>
            </w:tcBorders>
            <w:shd w:val="clear" w:color="auto" w:fill="auto"/>
            <w:vAlign w:val="center"/>
          </w:tcPr>
          <w:p w14:paraId="6139D4DE" w14:textId="77777777" w:rsidR="008B7E19" w:rsidRPr="00BC7DA5" w:rsidRDefault="008B7E19" w:rsidP="008B7E19">
            <w:pPr>
              <w:pStyle w:val="08-Tabelageral"/>
              <w:rPr>
                <w:rFonts w:cs="Arial"/>
                <w:b/>
              </w:rPr>
            </w:pPr>
          </w:p>
        </w:tc>
        <w:tc>
          <w:tcPr>
            <w:tcW w:w="1417" w:type="dxa"/>
            <w:tcBorders>
              <w:top w:val="single" w:sz="2" w:space="0" w:color="1F4E79" w:themeColor="accent1" w:themeShade="80"/>
              <w:bottom w:val="single" w:sz="2" w:space="0" w:color="1F4E79" w:themeColor="accent1" w:themeShade="80"/>
            </w:tcBorders>
            <w:shd w:val="clear" w:color="auto" w:fill="auto"/>
            <w:vAlign w:val="center"/>
          </w:tcPr>
          <w:p w14:paraId="02A8287C" w14:textId="77777777" w:rsidR="008B7E19" w:rsidRPr="00BC7DA5" w:rsidRDefault="008B7E19" w:rsidP="008B7E19">
            <w:pPr>
              <w:pStyle w:val="08-Tabelageral"/>
              <w:rPr>
                <w:rFonts w:cs="Arial"/>
                <w:b/>
                <w:vertAlign w:val="superscript"/>
              </w:rPr>
            </w:pPr>
            <w:r>
              <w:rPr>
                <w:rFonts w:cs="Arial"/>
                <w:b/>
              </w:rPr>
              <w:t>June</w:t>
            </w:r>
            <w:r w:rsidRPr="00617D47">
              <w:rPr>
                <w:rFonts w:cs="Arial"/>
                <w:b/>
              </w:rPr>
              <w:t xml:space="preserve"> 3</w:t>
            </w:r>
            <w:r>
              <w:rPr>
                <w:rFonts w:cs="Arial"/>
                <w:b/>
              </w:rPr>
              <w:t>0</w:t>
            </w:r>
            <w:r w:rsidRPr="00617D47">
              <w:rPr>
                <w:rFonts w:cs="Arial"/>
                <w:b/>
              </w:rPr>
              <w:t>, 202</w:t>
            </w:r>
            <w:r>
              <w:rPr>
                <w:rFonts w:cs="Arial"/>
                <w:b/>
              </w:rPr>
              <w:t>3</w:t>
            </w:r>
          </w:p>
        </w:tc>
        <w:tc>
          <w:tcPr>
            <w:tcW w:w="1418" w:type="dxa"/>
            <w:tcBorders>
              <w:top w:val="single" w:sz="2" w:space="0" w:color="1F4E79" w:themeColor="accent1" w:themeShade="80"/>
              <w:bottom w:val="single" w:sz="2" w:space="0" w:color="1F4E79" w:themeColor="accent1" w:themeShade="80"/>
            </w:tcBorders>
            <w:shd w:val="clear" w:color="auto" w:fill="auto"/>
            <w:vAlign w:val="center"/>
          </w:tcPr>
          <w:p w14:paraId="0825DCBD" w14:textId="77777777" w:rsidR="008B7E19" w:rsidRPr="00BC7DA5" w:rsidRDefault="008B7E19" w:rsidP="008B7E19">
            <w:pPr>
              <w:pStyle w:val="08-Tabelageral"/>
              <w:rPr>
                <w:rFonts w:cs="Arial"/>
                <w:b/>
                <w:vertAlign w:val="superscript"/>
              </w:rPr>
            </w:pPr>
            <w:r w:rsidRPr="00617D47">
              <w:rPr>
                <w:rFonts w:cs="Arial"/>
                <w:b/>
              </w:rPr>
              <w:t>Dec 31, 202</w:t>
            </w:r>
            <w:r>
              <w:rPr>
                <w:rFonts w:cs="Arial"/>
                <w:b/>
              </w:rPr>
              <w:t>2</w:t>
            </w:r>
          </w:p>
        </w:tc>
      </w:tr>
      <w:tr w:rsidR="008B7E19" w:rsidRPr="009D0C3F" w14:paraId="78167DB5" w14:textId="77777777" w:rsidTr="00882B41">
        <w:trPr>
          <w:trHeight w:val="238"/>
          <w:jc w:val="center"/>
        </w:trPr>
        <w:tc>
          <w:tcPr>
            <w:tcW w:w="3261" w:type="dxa"/>
            <w:tcBorders>
              <w:top w:val="single" w:sz="2" w:space="0" w:color="1F4E79" w:themeColor="accent1" w:themeShade="80"/>
            </w:tcBorders>
            <w:shd w:val="clear" w:color="auto" w:fill="auto"/>
          </w:tcPr>
          <w:p w14:paraId="0F47B743" w14:textId="77777777" w:rsidR="008B7E19" w:rsidRPr="00DB20DC" w:rsidRDefault="008B7E19" w:rsidP="008B7E19">
            <w:pPr>
              <w:pStyle w:val="08-Tabelageral"/>
              <w:ind w:left="113"/>
              <w:jc w:val="left"/>
              <w:rPr>
                <w:b/>
              </w:rPr>
            </w:pPr>
            <w:r w:rsidRPr="00617D47">
              <w:t>Cash</w:t>
            </w:r>
          </w:p>
        </w:tc>
        <w:tc>
          <w:tcPr>
            <w:tcW w:w="437" w:type="dxa"/>
            <w:tcBorders>
              <w:top w:val="single" w:sz="2" w:space="0" w:color="1F4E79" w:themeColor="accent1" w:themeShade="80"/>
              <w:bottom w:val="nil"/>
            </w:tcBorders>
            <w:shd w:val="clear" w:color="auto" w:fill="auto"/>
          </w:tcPr>
          <w:p w14:paraId="4D4E2B97" w14:textId="77777777" w:rsidR="008B7E19" w:rsidRPr="009D0C3F" w:rsidRDefault="008B7E19" w:rsidP="008B7E19">
            <w:pPr>
              <w:pStyle w:val="08-Tabelageral"/>
              <w:rPr>
                <w:rFonts w:cs="Arial"/>
                <w:b/>
              </w:rPr>
            </w:pPr>
          </w:p>
        </w:tc>
        <w:tc>
          <w:tcPr>
            <w:tcW w:w="1411" w:type="dxa"/>
            <w:tcBorders>
              <w:top w:val="single" w:sz="2" w:space="0" w:color="8EAADB" w:themeColor="accent5" w:themeTint="99"/>
              <w:bottom w:val="nil"/>
            </w:tcBorders>
          </w:tcPr>
          <w:p w14:paraId="4AEB226C" w14:textId="77777777" w:rsidR="008B7E19" w:rsidRPr="00A02918" w:rsidRDefault="008B7E19" w:rsidP="008B7E19">
            <w:pPr>
              <w:pStyle w:val="08-Tabelageral"/>
            </w:pPr>
            <w:r>
              <w:t>456</w:t>
            </w:r>
          </w:p>
        </w:tc>
        <w:tc>
          <w:tcPr>
            <w:tcW w:w="1412" w:type="dxa"/>
            <w:tcBorders>
              <w:top w:val="single" w:sz="2" w:space="0" w:color="8EAADB" w:themeColor="accent5" w:themeTint="99"/>
              <w:bottom w:val="nil"/>
            </w:tcBorders>
          </w:tcPr>
          <w:p w14:paraId="3994743C" w14:textId="77777777" w:rsidR="008B7E19" w:rsidRPr="00A02918" w:rsidRDefault="008B7E19" w:rsidP="008B7E19">
            <w:pPr>
              <w:pStyle w:val="08-Tabelageral"/>
            </w:pPr>
            <w:r w:rsidRPr="00ED38A0">
              <w:t>427</w:t>
            </w:r>
          </w:p>
        </w:tc>
        <w:tc>
          <w:tcPr>
            <w:tcW w:w="283" w:type="dxa"/>
            <w:tcBorders>
              <w:top w:val="single" w:sz="2" w:space="0" w:color="1F4E79" w:themeColor="accent1" w:themeShade="80"/>
              <w:bottom w:val="nil"/>
            </w:tcBorders>
            <w:shd w:val="clear" w:color="auto" w:fill="auto"/>
            <w:vAlign w:val="center"/>
          </w:tcPr>
          <w:p w14:paraId="0F3BE3F6" w14:textId="77777777" w:rsidR="008B7E19" w:rsidRPr="009D0C3F" w:rsidRDefault="008B7E19" w:rsidP="008B7E19">
            <w:pPr>
              <w:pStyle w:val="08-Tabelageral"/>
              <w:rPr>
                <w:rFonts w:cs="Arial"/>
                <w:b/>
              </w:rPr>
            </w:pPr>
          </w:p>
        </w:tc>
        <w:tc>
          <w:tcPr>
            <w:tcW w:w="1417" w:type="dxa"/>
            <w:tcBorders>
              <w:top w:val="single" w:sz="2" w:space="0" w:color="8EAADB" w:themeColor="accent5" w:themeTint="99"/>
              <w:bottom w:val="nil"/>
            </w:tcBorders>
          </w:tcPr>
          <w:p w14:paraId="07A516C2" w14:textId="77777777" w:rsidR="008B7E19" w:rsidRPr="0057573E" w:rsidRDefault="008B7E19" w:rsidP="008B7E19">
            <w:pPr>
              <w:pStyle w:val="08-Tabelageral"/>
            </w:pPr>
            <w:r>
              <w:t>3,527</w:t>
            </w:r>
          </w:p>
        </w:tc>
        <w:tc>
          <w:tcPr>
            <w:tcW w:w="1418" w:type="dxa"/>
            <w:tcBorders>
              <w:top w:val="single" w:sz="2" w:space="0" w:color="8EAADB" w:themeColor="accent5" w:themeTint="99"/>
              <w:bottom w:val="nil"/>
            </w:tcBorders>
          </w:tcPr>
          <w:p w14:paraId="6366C167" w14:textId="77777777" w:rsidR="008B7E19" w:rsidRPr="0057573E" w:rsidRDefault="008B7E19" w:rsidP="008B7E19">
            <w:pPr>
              <w:pStyle w:val="08-Tabelageral"/>
            </w:pPr>
            <w:r w:rsidRPr="001A7BE6">
              <w:t>3</w:t>
            </w:r>
            <w:r>
              <w:t>,</w:t>
            </w:r>
            <w:r w:rsidRPr="001A7BE6">
              <w:t>567</w:t>
            </w:r>
          </w:p>
        </w:tc>
      </w:tr>
      <w:tr w:rsidR="008B7E19" w:rsidRPr="00BC7DA5" w14:paraId="2A047ACF" w14:textId="77777777" w:rsidTr="00882B41">
        <w:trPr>
          <w:trHeight w:val="238"/>
          <w:jc w:val="center"/>
        </w:trPr>
        <w:tc>
          <w:tcPr>
            <w:tcW w:w="3261" w:type="dxa"/>
            <w:tcBorders>
              <w:bottom w:val="nil"/>
            </w:tcBorders>
            <w:shd w:val="clear" w:color="auto" w:fill="auto"/>
          </w:tcPr>
          <w:p w14:paraId="11E17B2C" w14:textId="77777777" w:rsidR="008B7E19" w:rsidRPr="00DB20DC" w:rsidRDefault="008B7E19" w:rsidP="008B7E19">
            <w:pPr>
              <w:pStyle w:val="08-Tabelageral"/>
              <w:ind w:left="113"/>
              <w:jc w:val="left"/>
              <w:rPr>
                <w:b/>
              </w:rPr>
            </w:pPr>
            <w:r w:rsidRPr="00617D47">
              <w:t xml:space="preserve">Repurchase agreements </w:t>
            </w:r>
            <w:r w:rsidRPr="000704E7">
              <w:rPr>
                <w:vertAlign w:val="superscript"/>
              </w:rPr>
              <w:t>(1)</w:t>
            </w:r>
          </w:p>
        </w:tc>
        <w:tc>
          <w:tcPr>
            <w:tcW w:w="437" w:type="dxa"/>
            <w:tcBorders>
              <w:top w:val="nil"/>
              <w:bottom w:val="nil"/>
            </w:tcBorders>
            <w:shd w:val="clear" w:color="auto" w:fill="auto"/>
          </w:tcPr>
          <w:p w14:paraId="123F088D" w14:textId="77777777" w:rsidR="008B7E19" w:rsidRPr="00BC7DA5" w:rsidRDefault="008B7E19" w:rsidP="008B7E19">
            <w:pPr>
              <w:pStyle w:val="08-Tabelageral"/>
              <w:jc w:val="center"/>
              <w:rPr>
                <w:rFonts w:cs="Arial"/>
                <w:szCs w:val="14"/>
              </w:rPr>
            </w:pPr>
          </w:p>
        </w:tc>
        <w:tc>
          <w:tcPr>
            <w:tcW w:w="1411" w:type="dxa"/>
            <w:tcBorders>
              <w:top w:val="nil"/>
              <w:bottom w:val="nil"/>
            </w:tcBorders>
          </w:tcPr>
          <w:p w14:paraId="1737BA3B" w14:textId="77777777" w:rsidR="008B7E19" w:rsidRPr="00666448" w:rsidRDefault="008B7E19" w:rsidP="008B7E19">
            <w:pPr>
              <w:pStyle w:val="08-Tabelageral"/>
            </w:pPr>
            <w:r>
              <w:t>1,050,347</w:t>
            </w:r>
          </w:p>
        </w:tc>
        <w:tc>
          <w:tcPr>
            <w:tcW w:w="1412" w:type="dxa"/>
            <w:tcBorders>
              <w:top w:val="nil"/>
              <w:bottom w:val="nil"/>
            </w:tcBorders>
          </w:tcPr>
          <w:p w14:paraId="4FF014F7" w14:textId="77777777" w:rsidR="008B7E19" w:rsidRPr="00666448" w:rsidRDefault="008B7E19" w:rsidP="008B7E19">
            <w:pPr>
              <w:pStyle w:val="08-Tabelageral"/>
            </w:pPr>
            <w:r w:rsidRPr="00ED38A0">
              <w:t>58</w:t>
            </w:r>
            <w:r>
              <w:t>,</w:t>
            </w:r>
            <w:r w:rsidRPr="00ED38A0">
              <w:t>57</w:t>
            </w:r>
            <w:r>
              <w:t>6</w:t>
            </w:r>
          </w:p>
        </w:tc>
        <w:tc>
          <w:tcPr>
            <w:tcW w:w="283" w:type="dxa"/>
            <w:tcBorders>
              <w:top w:val="nil"/>
              <w:bottom w:val="nil"/>
            </w:tcBorders>
            <w:shd w:val="clear" w:color="auto" w:fill="auto"/>
            <w:vAlign w:val="center"/>
          </w:tcPr>
          <w:p w14:paraId="48613606" w14:textId="77777777" w:rsidR="008B7E19" w:rsidRPr="00BC7DA5" w:rsidRDefault="008B7E19" w:rsidP="008B7E19">
            <w:pPr>
              <w:pStyle w:val="08-Tabelageral"/>
              <w:rPr>
                <w:rFonts w:cs="Arial"/>
                <w:szCs w:val="14"/>
              </w:rPr>
            </w:pPr>
          </w:p>
        </w:tc>
        <w:tc>
          <w:tcPr>
            <w:tcW w:w="1417" w:type="dxa"/>
            <w:tcBorders>
              <w:top w:val="nil"/>
              <w:bottom w:val="nil"/>
            </w:tcBorders>
          </w:tcPr>
          <w:p w14:paraId="54626C67" w14:textId="77777777" w:rsidR="008B7E19" w:rsidRPr="0057573E" w:rsidRDefault="008B7E19" w:rsidP="008B7E19">
            <w:pPr>
              <w:pStyle w:val="08-Tabelageral"/>
            </w:pPr>
            <w:r>
              <w:t>4,353,880</w:t>
            </w:r>
          </w:p>
        </w:tc>
        <w:tc>
          <w:tcPr>
            <w:tcW w:w="1418" w:type="dxa"/>
            <w:tcBorders>
              <w:top w:val="nil"/>
              <w:bottom w:val="nil"/>
            </w:tcBorders>
          </w:tcPr>
          <w:p w14:paraId="5EE59EA8" w14:textId="77777777" w:rsidR="008B7E19" w:rsidRPr="0057573E" w:rsidRDefault="008B7E19" w:rsidP="008B7E19">
            <w:pPr>
              <w:pStyle w:val="08-Tabelageral"/>
            </w:pPr>
            <w:r w:rsidRPr="001A7BE6">
              <w:t>6</w:t>
            </w:r>
            <w:r>
              <w:t>,</w:t>
            </w:r>
            <w:r w:rsidRPr="001A7BE6">
              <w:t>073</w:t>
            </w:r>
            <w:r>
              <w:t>,</w:t>
            </w:r>
            <w:r w:rsidRPr="001A7BE6">
              <w:t>051</w:t>
            </w:r>
          </w:p>
        </w:tc>
      </w:tr>
      <w:tr w:rsidR="008B7E19" w:rsidRPr="00BC7DA5" w14:paraId="24B55B12" w14:textId="77777777" w:rsidTr="00882B41">
        <w:trPr>
          <w:trHeight w:val="238"/>
          <w:jc w:val="center"/>
        </w:trPr>
        <w:tc>
          <w:tcPr>
            <w:tcW w:w="3261" w:type="dxa"/>
            <w:tcBorders>
              <w:top w:val="nil"/>
              <w:bottom w:val="single" w:sz="4" w:space="0" w:color="1F4E79" w:themeColor="accent1" w:themeShade="80"/>
            </w:tcBorders>
            <w:shd w:val="clear" w:color="auto" w:fill="auto"/>
          </w:tcPr>
          <w:p w14:paraId="08E820A2" w14:textId="77777777" w:rsidR="008B7E19" w:rsidRPr="0091717A" w:rsidRDefault="008B7E19" w:rsidP="008B7E19">
            <w:pPr>
              <w:pStyle w:val="08-Tabelageral"/>
              <w:jc w:val="left"/>
              <w:rPr>
                <w:b/>
              </w:rPr>
            </w:pPr>
            <w:r w:rsidRPr="0091717A">
              <w:rPr>
                <w:b/>
              </w:rPr>
              <w:t xml:space="preserve">Total </w:t>
            </w:r>
          </w:p>
        </w:tc>
        <w:tc>
          <w:tcPr>
            <w:tcW w:w="437" w:type="dxa"/>
            <w:tcBorders>
              <w:top w:val="nil"/>
              <w:bottom w:val="single" w:sz="4" w:space="0" w:color="1F4E79" w:themeColor="accent1" w:themeShade="80"/>
            </w:tcBorders>
            <w:shd w:val="clear" w:color="auto" w:fill="auto"/>
          </w:tcPr>
          <w:p w14:paraId="4C389AA0" w14:textId="77777777" w:rsidR="008B7E19" w:rsidRPr="00BC7DA5" w:rsidRDefault="008B7E19" w:rsidP="008B7E19">
            <w:pPr>
              <w:pStyle w:val="08-Tabelageral"/>
              <w:jc w:val="center"/>
              <w:rPr>
                <w:rFonts w:cs="Arial"/>
                <w:szCs w:val="14"/>
              </w:rPr>
            </w:pPr>
          </w:p>
        </w:tc>
        <w:tc>
          <w:tcPr>
            <w:tcW w:w="1411" w:type="dxa"/>
            <w:tcBorders>
              <w:top w:val="nil"/>
              <w:bottom w:val="single" w:sz="4" w:space="0" w:color="1F4E79" w:themeColor="accent1" w:themeShade="80"/>
            </w:tcBorders>
          </w:tcPr>
          <w:p w14:paraId="3290D9AC" w14:textId="77777777" w:rsidR="008B7E19" w:rsidRPr="002D2193" w:rsidRDefault="008B7E19" w:rsidP="008B7E19">
            <w:pPr>
              <w:pStyle w:val="08-Tabelageral"/>
              <w:rPr>
                <w:b/>
              </w:rPr>
            </w:pPr>
            <w:r>
              <w:rPr>
                <w:b/>
              </w:rPr>
              <w:t>1,050,803</w:t>
            </w:r>
          </w:p>
        </w:tc>
        <w:tc>
          <w:tcPr>
            <w:tcW w:w="1412" w:type="dxa"/>
            <w:tcBorders>
              <w:top w:val="nil"/>
              <w:bottom w:val="single" w:sz="4" w:space="0" w:color="1F4E79" w:themeColor="accent1" w:themeShade="80"/>
            </w:tcBorders>
          </w:tcPr>
          <w:p w14:paraId="79FB6463" w14:textId="77777777" w:rsidR="008B7E19" w:rsidRPr="0091717A" w:rsidRDefault="008B7E19" w:rsidP="008B7E19">
            <w:pPr>
              <w:pStyle w:val="08-Tabelageral"/>
              <w:rPr>
                <w:b/>
              </w:rPr>
            </w:pPr>
            <w:r w:rsidRPr="00ED38A0">
              <w:rPr>
                <w:b/>
                <w:bCs/>
              </w:rPr>
              <w:t>59</w:t>
            </w:r>
            <w:r>
              <w:rPr>
                <w:b/>
                <w:bCs/>
              </w:rPr>
              <w:t>,</w:t>
            </w:r>
            <w:r w:rsidRPr="00ED38A0">
              <w:rPr>
                <w:b/>
                <w:bCs/>
              </w:rPr>
              <w:t>00</w:t>
            </w:r>
            <w:r>
              <w:rPr>
                <w:b/>
                <w:bCs/>
              </w:rPr>
              <w:t>3</w:t>
            </w:r>
          </w:p>
        </w:tc>
        <w:tc>
          <w:tcPr>
            <w:tcW w:w="283" w:type="dxa"/>
            <w:tcBorders>
              <w:top w:val="nil"/>
              <w:bottom w:val="single" w:sz="4" w:space="0" w:color="1F4E79" w:themeColor="accent1" w:themeShade="80"/>
            </w:tcBorders>
            <w:shd w:val="clear" w:color="auto" w:fill="auto"/>
            <w:vAlign w:val="center"/>
          </w:tcPr>
          <w:p w14:paraId="3C47200D" w14:textId="77777777" w:rsidR="008B7E19" w:rsidRPr="00BC7DA5" w:rsidRDefault="008B7E19" w:rsidP="008B7E19">
            <w:pPr>
              <w:pStyle w:val="08-Tabelageral"/>
              <w:rPr>
                <w:rFonts w:cs="Arial"/>
                <w:szCs w:val="14"/>
              </w:rPr>
            </w:pPr>
          </w:p>
        </w:tc>
        <w:tc>
          <w:tcPr>
            <w:tcW w:w="1417" w:type="dxa"/>
            <w:tcBorders>
              <w:top w:val="nil"/>
              <w:bottom w:val="single" w:sz="4" w:space="0" w:color="1F4E79" w:themeColor="accent1" w:themeShade="80"/>
            </w:tcBorders>
          </w:tcPr>
          <w:p w14:paraId="0FA576C1" w14:textId="77777777" w:rsidR="008B7E19" w:rsidRPr="002D2193" w:rsidRDefault="008B7E19" w:rsidP="008B7E19">
            <w:pPr>
              <w:pStyle w:val="08-Tabelageral"/>
              <w:rPr>
                <w:b/>
              </w:rPr>
            </w:pPr>
            <w:r>
              <w:rPr>
                <w:b/>
              </w:rPr>
              <w:t>4,357,407</w:t>
            </w:r>
          </w:p>
        </w:tc>
        <w:tc>
          <w:tcPr>
            <w:tcW w:w="1418" w:type="dxa"/>
            <w:tcBorders>
              <w:top w:val="nil"/>
              <w:bottom w:val="single" w:sz="4" w:space="0" w:color="1F4E79" w:themeColor="accent1" w:themeShade="80"/>
            </w:tcBorders>
          </w:tcPr>
          <w:p w14:paraId="59C99065" w14:textId="77777777" w:rsidR="008B7E19" w:rsidRPr="0091717A" w:rsidRDefault="008B7E19" w:rsidP="008B7E19">
            <w:pPr>
              <w:pStyle w:val="08-Tabelageral"/>
              <w:rPr>
                <w:b/>
              </w:rPr>
            </w:pPr>
            <w:r w:rsidRPr="00ED38A0">
              <w:rPr>
                <w:b/>
                <w:bCs/>
              </w:rPr>
              <w:t>6</w:t>
            </w:r>
            <w:r>
              <w:rPr>
                <w:b/>
                <w:bCs/>
              </w:rPr>
              <w:t>,</w:t>
            </w:r>
            <w:r w:rsidRPr="00ED38A0">
              <w:rPr>
                <w:b/>
                <w:bCs/>
              </w:rPr>
              <w:t>076</w:t>
            </w:r>
            <w:r>
              <w:rPr>
                <w:b/>
                <w:bCs/>
              </w:rPr>
              <w:t>,</w:t>
            </w:r>
            <w:r w:rsidRPr="00ED38A0">
              <w:rPr>
                <w:b/>
                <w:bCs/>
              </w:rPr>
              <w:t>618</w:t>
            </w:r>
          </w:p>
        </w:tc>
      </w:tr>
    </w:tbl>
    <w:p w14:paraId="5C7375FD" w14:textId="77777777" w:rsidR="008B7E19" w:rsidRPr="00396B61" w:rsidRDefault="008B7E19" w:rsidP="008B7E19">
      <w:pPr>
        <w:pStyle w:val="07-Legenda"/>
        <w:numPr>
          <w:ilvl w:val="0"/>
          <w:numId w:val="6"/>
        </w:numPr>
        <w:tabs>
          <w:tab w:val="left" w:pos="0"/>
        </w:tabs>
        <w:ind w:left="284" w:hanging="284"/>
        <w:rPr>
          <w:rFonts w:cs="Arial"/>
          <w:snapToGrid w:val="0"/>
          <w:lang w:val="en-US"/>
        </w:rPr>
      </w:pPr>
      <w:r w:rsidRPr="00396B61">
        <w:rPr>
          <w:rFonts w:cs="Arial"/>
          <w:snapToGrid w:val="0"/>
          <w:lang w:val="en-US"/>
        </w:rPr>
        <w:t xml:space="preserve">Refers to investments in repurchase agréments with Banco do Brasil S.A., backed by federal govermment securities with daily liquidity and insignificante risk of change in fair value. </w:t>
      </w:r>
    </w:p>
    <w:p w14:paraId="54824A71" w14:textId="28BDF5DF" w:rsidR="008B7E19" w:rsidRDefault="008B7E19" w:rsidP="008B7E19">
      <w:pPr>
        <w:pStyle w:val="05-Textonormal"/>
        <w:rPr>
          <w:lang w:val="en-US"/>
        </w:rPr>
      </w:pPr>
      <w:r w:rsidRPr="00F65F9C">
        <w:rPr>
          <w:lang w:val="en-US"/>
        </w:rPr>
        <w:t>The financial investments in repurchase agreements are categorized as financial assets at fair value through profit or loss and level 1 in the fair value hierarchy.</w:t>
      </w:r>
    </w:p>
    <w:p w14:paraId="1A8E3D29" w14:textId="77777777" w:rsidR="005B5353" w:rsidRDefault="005B5353" w:rsidP="008B7E19">
      <w:pPr>
        <w:pStyle w:val="05-Textonormal"/>
        <w:rPr>
          <w:lang w:val="en-US"/>
        </w:rPr>
      </w:pPr>
    </w:p>
    <w:p w14:paraId="6DD44945" w14:textId="75579281" w:rsidR="008B7E19" w:rsidRPr="005B5353" w:rsidRDefault="008B7E19" w:rsidP="005B5353">
      <w:pPr>
        <w:pStyle w:val="02-TtulodeNota"/>
        <w:rPr>
          <w:color w:val="1F4E79" w:themeColor="accent1" w:themeShade="80"/>
        </w:rPr>
      </w:pPr>
      <w:bookmarkStart w:id="46" w:name="OLE_LINK9"/>
      <w:bookmarkStart w:id="47" w:name="_Toc141966694"/>
      <w:r w:rsidRPr="005B5353">
        <w:rPr>
          <w:color w:val="1F4E79" w:themeColor="accent1" w:themeShade="80"/>
        </w:rPr>
        <w:t>16 – FINANCIAL INSTRUMENTS</w:t>
      </w:r>
      <w:bookmarkEnd w:id="47"/>
      <w:r w:rsidRPr="005B5353">
        <w:rPr>
          <w:color w:val="1F4E79" w:themeColor="accent1" w:themeShade="80"/>
        </w:rPr>
        <w:t xml:space="preserve"> </w:t>
      </w:r>
    </w:p>
    <w:p w14:paraId="040BCC63" w14:textId="77777777" w:rsidR="008B7E19" w:rsidRPr="00D5372A" w:rsidRDefault="008B7E19" w:rsidP="008B7E19">
      <w:pPr>
        <w:pStyle w:val="05-Textonormal"/>
        <w:numPr>
          <w:ilvl w:val="0"/>
          <w:numId w:val="7"/>
        </w:numPr>
        <w:rPr>
          <w:b/>
          <w:color w:val="1F4E79" w:themeColor="accent1" w:themeShade="80"/>
          <w:lang w:val="en-US"/>
        </w:rPr>
      </w:pPr>
      <w:r w:rsidRPr="00D5372A">
        <w:rPr>
          <w:b/>
          <w:color w:val="1F4E79" w:themeColor="accent1" w:themeShade="80"/>
          <w:lang w:val="en-US"/>
        </w:rPr>
        <w:t xml:space="preserve">Financial Assests at Fair Value through Profit or Loss </w:t>
      </w:r>
    </w:p>
    <w:p w14:paraId="53ACB03B" w14:textId="77777777" w:rsidR="008B7E19" w:rsidRDefault="008B7E19" w:rsidP="008B7E19">
      <w:pPr>
        <w:pStyle w:val="08-Tabelageral"/>
        <w:spacing w:before="0" w:after="0"/>
        <w:rPr>
          <w:rFonts w:cs="Arial"/>
        </w:rPr>
      </w:pPr>
      <w:r w:rsidRPr="00ED0236">
        <w:rPr>
          <w:rFonts w:cs="Arial"/>
          <w:b/>
          <w:szCs w:val="14"/>
        </w:rPr>
        <w:t xml:space="preserve">R$ </w:t>
      </w:r>
      <w:r>
        <w:rPr>
          <w:rFonts w:cs="Arial"/>
          <w:b/>
          <w:szCs w:val="14"/>
        </w:rPr>
        <w:t>thousand</w:t>
      </w:r>
    </w:p>
    <w:tbl>
      <w:tblPr>
        <w:tblW w:w="9639" w:type="dxa"/>
        <w:jc w:val="center"/>
        <w:tblLayout w:type="fixed"/>
        <w:tblLook w:val="04A0" w:firstRow="1" w:lastRow="0" w:firstColumn="1" w:lastColumn="0" w:noHBand="0" w:noVBand="1"/>
      </w:tblPr>
      <w:tblGrid>
        <w:gridCol w:w="2268"/>
        <w:gridCol w:w="993"/>
        <w:gridCol w:w="992"/>
        <w:gridCol w:w="1134"/>
        <w:gridCol w:w="1134"/>
        <w:gridCol w:w="1134"/>
        <w:gridCol w:w="992"/>
        <w:gridCol w:w="992"/>
      </w:tblGrid>
      <w:tr w:rsidR="008B7E19" w:rsidRPr="00F80522" w14:paraId="5CDCDC01" w14:textId="77777777" w:rsidTr="005B5353">
        <w:trPr>
          <w:trHeight w:val="238"/>
          <w:jc w:val="center"/>
        </w:trPr>
        <w:tc>
          <w:tcPr>
            <w:tcW w:w="2268" w:type="dxa"/>
            <w:tcBorders>
              <w:top w:val="single" w:sz="2" w:space="0" w:color="1F4E79" w:themeColor="accent1" w:themeShade="80"/>
            </w:tcBorders>
            <w:shd w:val="clear" w:color="auto" w:fill="auto"/>
          </w:tcPr>
          <w:p w14:paraId="22F19F1A" w14:textId="77777777" w:rsidR="008B7E19" w:rsidRPr="00F80522" w:rsidRDefault="008B7E19" w:rsidP="008B7E19">
            <w:pPr>
              <w:spacing w:after="0"/>
              <w:jc w:val="center"/>
              <w:rPr>
                <w:rFonts w:cs="Arial"/>
                <w:b/>
                <w:sz w:val="14"/>
                <w:szCs w:val="14"/>
              </w:rPr>
            </w:pPr>
          </w:p>
        </w:tc>
        <w:tc>
          <w:tcPr>
            <w:tcW w:w="7371" w:type="dxa"/>
            <w:gridSpan w:val="7"/>
            <w:tcBorders>
              <w:top w:val="single" w:sz="2" w:space="0" w:color="1F4E79" w:themeColor="accent1" w:themeShade="80"/>
              <w:bottom w:val="single" w:sz="2" w:space="0" w:color="1F4E79" w:themeColor="accent1" w:themeShade="80"/>
            </w:tcBorders>
            <w:shd w:val="clear" w:color="auto" w:fill="auto"/>
            <w:vAlign w:val="center"/>
          </w:tcPr>
          <w:p w14:paraId="2A716FDB" w14:textId="77777777" w:rsidR="008B7E19" w:rsidRPr="00F80522" w:rsidRDefault="008B7E19" w:rsidP="008B7E19">
            <w:pPr>
              <w:pStyle w:val="08-Tabelageral"/>
              <w:jc w:val="center"/>
              <w:rPr>
                <w:rFonts w:cs="Arial"/>
                <w:b/>
                <w:szCs w:val="14"/>
              </w:rPr>
            </w:pPr>
            <w:r>
              <w:rPr>
                <w:rFonts w:cs="Arial"/>
                <w:b/>
                <w:szCs w:val="14"/>
              </w:rPr>
              <w:t>Parent</w:t>
            </w:r>
          </w:p>
        </w:tc>
      </w:tr>
      <w:tr w:rsidR="008B7E19" w:rsidRPr="00F80522" w14:paraId="21C3CA46" w14:textId="77777777" w:rsidTr="005B5353">
        <w:trPr>
          <w:trHeight w:val="238"/>
          <w:jc w:val="center"/>
        </w:trPr>
        <w:tc>
          <w:tcPr>
            <w:tcW w:w="2268" w:type="dxa"/>
            <w:shd w:val="clear" w:color="auto" w:fill="auto"/>
          </w:tcPr>
          <w:p w14:paraId="1FF0FC17" w14:textId="77777777" w:rsidR="008B7E19" w:rsidRPr="00F80522" w:rsidRDefault="008B7E19" w:rsidP="008B7E19">
            <w:pPr>
              <w:spacing w:after="0"/>
              <w:jc w:val="center"/>
              <w:rPr>
                <w:rFonts w:cs="Arial"/>
                <w:b/>
                <w:sz w:val="14"/>
                <w:szCs w:val="14"/>
              </w:rPr>
            </w:pPr>
          </w:p>
        </w:tc>
        <w:tc>
          <w:tcPr>
            <w:tcW w:w="1985" w:type="dxa"/>
            <w:gridSpan w:val="2"/>
            <w:tcBorders>
              <w:top w:val="single" w:sz="2" w:space="0" w:color="1F4E79" w:themeColor="accent1" w:themeShade="80"/>
              <w:bottom w:val="single" w:sz="2" w:space="0" w:color="1F4E79" w:themeColor="accent1" w:themeShade="80"/>
            </w:tcBorders>
            <w:shd w:val="clear" w:color="auto" w:fill="auto"/>
            <w:vAlign w:val="center"/>
          </w:tcPr>
          <w:p w14:paraId="7B03BD24" w14:textId="77777777" w:rsidR="008B7E19" w:rsidRPr="00F80522" w:rsidRDefault="008B7E19" w:rsidP="008B7E19">
            <w:pPr>
              <w:spacing w:after="0"/>
              <w:jc w:val="center"/>
              <w:rPr>
                <w:rFonts w:cs="Arial"/>
                <w:b/>
                <w:sz w:val="14"/>
                <w:szCs w:val="14"/>
              </w:rPr>
            </w:pPr>
            <w:r>
              <w:rPr>
                <w:rFonts w:cs="Arial"/>
                <w:b/>
                <w:sz w:val="14"/>
                <w:szCs w:val="14"/>
              </w:rPr>
              <w:t xml:space="preserve">Dec 31, </w:t>
            </w:r>
            <w:r w:rsidRPr="00F80522">
              <w:rPr>
                <w:rFonts w:cs="Arial"/>
                <w:b/>
                <w:sz w:val="14"/>
                <w:szCs w:val="14"/>
              </w:rPr>
              <w:t>20</w:t>
            </w:r>
            <w:r>
              <w:rPr>
                <w:rFonts w:cs="Arial"/>
                <w:b/>
                <w:sz w:val="14"/>
                <w:szCs w:val="14"/>
              </w:rPr>
              <w:t>22</w:t>
            </w:r>
          </w:p>
        </w:tc>
        <w:tc>
          <w:tcPr>
            <w:tcW w:w="1134" w:type="dxa"/>
            <w:tcBorders>
              <w:top w:val="single" w:sz="2" w:space="0" w:color="1F4E79" w:themeColor="accent1" w:themeShade="80"/>
              <w:bottom w:val="single" w:sz="2" w:space="0" w:color="1F4E79" w:themeColor="accent1" w:themeShade="80"/>
            </w:tcBorders>
            <w:shd w:val="clear" w:color="auto" w:fill="auto"/>
            <w:vAlign w:val="center"/>
          </w:tcPr>
          <w:p w14:paraId="597C1685" w14:textId="77777777" w:rsidR="008B7E19" w:rsidRPr="00F80522" w:rsidRDefault="008B7E19" w:rsidP="008B7E19">
            <w:pPr>
              <w:spacing w:after="0"/>
              <w:jc w:val="center"/>
              <w:rPr>
                <w:rFonts w:cs="Arial"/>
                <w:b/>
                <w:sz w:val="14"/>
                <w:szCs w:val="14"/>
              </w:rPr>
            </w:pPr>
          </w:p>
        </w:tc>
        <w:tc>
          <w:tcPr>
            <w:tcW w:w="1134" w:type="dxa"/>
            <w:tcBorders>
              <w:top w:val="single" w:sz="2" w:space="0" w:color="1F4E79" w:themeColor="accent1" w:themeShade="80"/>
              <w:bottom w:val="single" w:sz="2" w:space="0" w:color="1F4E79" w:themeColor="accent1" w:themeShade="80"/>
            </w:tcBorders>
            <w:shd w:val="clear" w:color="auto" w:fill="auto"/>
            <w:vAlign w:val="center"/>
          </w:tcPr>
          <w:p w14:paraId="0878E3AE" w14:textId="77777777" w:rsidR="008B7E19" w:rsidRPr="00F80522" w:rsidRDefault="008B7E19" w:rsidP="008B7E19">
            <w:pPr>
              <w:spacing w:after="0"/>
              <w:jc w:val="center"/>
              <w:rPr>
                <w:rFonts w:cs="Arial"/>
                <w:b/>
                <w:sz w:val="14"/>
                <w:szCs w:val="14"/>
              </w:rPr>
            </w:pPr>
          </w:p>
        </w:tc>
        <w:tc>
          <w:tcPr>
            <w:tcW w:w="1134" w:type="dxa"/>
            <w:tcBorders>
              <w:top w:val="single" w:sz="2" w:space="0" w:color="1F4E79" w:themeColor="accent1" w:themeShade="80"/>
              <w:bottom w:val="single" w:sz="2" w:space="0" w:color="1F4E79" w:themeColor="accent1" w:themeShade="80"/>
            </w:tcBorders>
            <w:shd w:val="clear" w:color="auto" w:fill="auto"/>
            <w:vAlign w:val="center"/>
          </w:tcPr>
          <w:p w14:paraId="20C34B40" w14:textId="77777777" w:rsidR="008B7E19" w:rsidRPr="00F80522" w:rsidRDefault="008B7E19" w:rsidP="008B7E19">
            <w:pPr>
              <w:spacing w:after="0"/>
              <w:jc w:val="center"/>
              <w:rPr>
                <w:rFonts w:cs="Arial"/>
                <w:b/>
                <w:sz w:val="14"/>
                <w:szCs w:val="14"/>
              </w:rPr>
            </w:pPr>
          </w:p>
        </w:tc>
        <w:tc>
          <w:tcPr>
            <w:tcW w:w="1984" w:type="dxa"/>
            <w:gridSpan w:val="2"/>
            <w:tcBorders>
              <w:top w:val="single" w:sz="2" w:space="0" w:color="1F4E79" w:themeColor="accent1" w:themeShade="80"/>
              <w:bottom w:val="single" w:sz="2" w:space="0" w:color="1F4E79" w:themeColor="accent1" w:themeShade="80"/>
            </w:tcBorders>
            <w:shd w:val="clear" w:color="auto" w:fill="auto"/>
            <w:vAlign w:val="center"/>
          </w:tcPr>
          <w:p w14:paraId="7F2AA333" w14:textId="77777777" w:rsidR="008B7E19" w:rsidRPr="00F80522" w:rsidRDefault="008B7E19" w:rsidP="008B7E19">
            <w:pPr>
              <w:spacing w:after="0"/>
              <w:jc w:val="center"/>
              <w:rPr>
                <w:rFonts w:cs="Arial"/>
                <w:b/>
                <w:sz w:val="14"/>
                <w:szCs w:val="14"/>
              </w:rPr>
            </w:pPr>
            <w:r>
              <w:rPr>
                <w:rFonts w:cs="Arial"/>
                <w:b/>
                <w:sz w:val="14"/>
                <w:szCs w:val="14"/>
              </w:rPr>
              <w:t xml:space="preserve">June </w:t>
            </w:r>
            <w:r w:rsidRPr="00F80522">
              <w:rPr>
                <w:rFonts w:cs="Arial"/>
                <w:b/>
                <w:sz w:val="14"/>
                <w:szCs w:val="14"/>
              </w:rPr>
              <w:t>3</w:t>
            </w:r>
            <w:r>
              <w:rPr>
                <w:rFonts w:cs="Arial"/>
                <w:b/>
                <w:sz w:val="14"/>
                <w:szCs w:val="14"/>
              </w:rPr>
              <w:t xml:space="preserve">0, </w:t>
            </w:r>
            <w:r w:rsidRPr="00F80522">
              <w:rPr>
                <w:rFonts w:cs="Arial"/>
                <w:b/>
                <w:sz w:val="14"/>
                <w:szCs w:val="14"/>
              </w:rPr>
              <w:t>202</w:t>
            </w:r>
            <w:r>
              <w:rPr>
                <w:rFonts w:cs="Arial"/>
                <w:b/>
                <w:sz w:val="14"/>
                <w:szCs w:val="14"/>
              </w:rPr>
              <w:t>3</w:t>
            </w:r>
          </w:p>
        </w:tc>
      </w:tr>
      <w:tr w:rsidR="008B7E19" w:rsidRPr="00F80522" w14:paraId="5956D81E" w14:textId="77777777" w:rsidTr="005B5353">
        <w:trPr>
          <w:trHeight w:val="238"/>
          <w:jc w:val="center"/>
        </w:trPr>
        <w:tc>
          <w:tcPr>
            <w:tcW w:w="2268" w:type="dxa"/>
            <w:tcBorders>
              <w:bottom w:val="single" w:sz="2" w:space="0" w:color="1F4E79" w:themeColor="accent1" w:themeShade="80"/>
            </w:tcBorders>
            <w:shd w:val="clear" w:color="auto" w:fill="auto"/>
          </w:tcPr>
          <w:p w14:paraId="6F33A4E3" w14:textId="77777777" w:rsidR="008B7E19" w:rsidRPr="00F80522" w:rsidRDefault="008B7E19" w:rsidP="008B7E19">
            <w:pPr>
              <w:spacing w:after="0"/>
              <w:jc w:val="center"/>
              <w:rPr>
                <w:rFonts w:cs="Arial"/>
                <w:b/>
                <w:sz w:val="14"/>
                <w:szCs w:val="14"/>
              </w:rPr>
            </w:pPr>
          </w:p>
        </w:tc>
        <w:tc>
          <w:tcPr>
            <w:tcW w:w="993" w:type="dxa"/>
            <w:tcBorders>
              <w:top w:val="single" w:sz="2" w:space="0" w:color="1F4E79" w:themeColor="accent1" w:themeShade="80"/>
              <w:bottom w:val="single" w:sz="2" w:space="0" w:color="1F4E79" w:themeColor="accent1" w:themeShade="80"/>
            </w:tcBorders>
            <w:shd w:val="clear" w:color="auto" w:fill="auto"/>
            <w:vAlign w:val="center"/>
          </w:tcPr>
          <w:p w14:paraId="2B4980EB" w14:textId="77777777" w:rsidR="008B7E19" w:rsidRPr="00F80522" w:rsidRDefault="008B7E19" w:rsidP="008B7E19">
            <w:pPr>
              <w:spacing w:after="0"/>
              <w:jc w:val="center"/>
              <w:rPr>
                <w:rFonts w:cs="Arial"/>
                <w:b/>
                <w:sz w:val="14"/>
                <w:szCs w:val="14"/>
              </w:rPr>
            </w:pPr>
            <w:r>
              <w:rPr>
                <w:rFonts w:cs="Arial"/>
                <w:b/>
                <w:sz w:val="14"/>
                <w:szCs w:val="14"/>
              </w:rPr>
              <w:t>Cost Value</w:t>
            </w:r>
          </w:p>
        </w:tc>
        <w:tc>
          <w:tcPr>
            <w:tcW w:w="992" w:type="dxa"/>
            <w:tcBorders>
              <w:top w:val="single" w:sz="2" w:space="0" w:color="1F4E79" w:themeColor="accent1" w:themeShade="80"/>
              <w:bottom w:val="single" w:sz="2" w:space="0" w:color="1F4E79" w:themeColor="accent1" w:themeShade="80"/>
            </w:tcBorders>
            <w:shd w:val="clear" w:color="auto" w:fill="auto"/>
            <w:vAlign w:val="center"/>
          </w:tcPr>
          <w:p w14:paraId="3DE372F1" w14:textId="77777777" w:rsidR="008B7E19" w:rsidRPr="00F80522" w:rsidRDefault="008B7E19" w:rsidP="008B7E19">
            <w:pPr>
              <w:spacing w:after="0"/>
              <w:jc w:val="center"/>
              <w:rPr>
                <w:rFonts w:cs="Arial"/>
                <w:b/>
                <w:sz w:val="14"/>
                <w:szCs w:val="14"/>
              </w:rPr>
            </w:pPr>
            <w:r>
              <w:rPr>
                <w:rFonts w:cs="Arial"/>
                <w:b/>
                <w:sz w:val="14"/>
                <w:szCs w:val="14"/>
              </w:rPr>
              <w:t>Market Value</w:t>
            </w:r>
          </w:p>
        </w:tc>
        <w:tc>
          <w:tcPr>
            <w:tcW w:w="1134" w:type="dxa"/>
            <w:tcBorders>
              <w:top w:val="single" w:sz="2" w:space="0" w:color="1F4E79" w:themeColor="accent1" w:themeShade="80"/>
              <w:bottom w:val="single" w:sz="2" w:space="0" w:color="1F4E79" w:themeColor="accent1" w:themeShade="80"/>
            </w:tcBorders>
            <w:shd w:val="clear" w:color="auto" w:fill="auto"/>
            <w:vAlign w:val="center"/>
          </w:tcPr>
          <w:p w14:paraId="59BD4A89" w14:textId="77777777" w:rsidR="008B7E19" w:rsidRPr="00F80522" w:rsidRDefault="008B7E19" w:rsidP="008B7E19">
            <w:pPr>
              <w:pStyle w:val="08-Tabelageral"/>
              <w:jc w:val="center"/>
              <w:rPr>
                <w:rFonts w:cs="Arial"/>
                <w:b/>
              </w:rPr>
            </w:pPr>
            <w:r w:rsidRPr="00E12B62">
              <w:rPr>
                <w:rFonts w:cs="Arial"/>
                <w:b/>
              </w:rPr>
              <w:t>Applications</w:t>
            </w:r>
          </w:p>
        </w:tc>
        <w:tc>
          <w:tcPr>
            <w:tcW w:w="1134" w:type="dxa"/>
            <w:tcBorders>
              <w:top w:val="single" w:sz="2" w:space="0" w:color="1F4E79" w:themeColor="accent1" w:themeShade="80"/>
              <w:bottom w:val="single" w:sz="2" w:space="0" w:color="1F4E79" w:themeColor="accent1" w:themeShade="80"/>
            </w:tcBorders>
            <w:shd w:val="clear" w:color="auto" w:fill="auto"/>
            <w:vAlign w:val="center"/>
          </w:tcPr>
          <w:p w14:paraId="4DE15272" w14:textId="77777777" w:rsidR="008B7E19" w:rsidRPr="00F80522" w:rsidRDefault="008B7E19" w:rsidP="008B7E19">
            <w:pPr>
              <w:pStyle w:val="08-Tabelageral"/>
              <w:jc w:val="center"/>
              <w:rPr>
                <w:rFonts w:cs="Arial"/>
                <w:b/>
              </w:rPr>
            </w:pPr>
            <w:r w:rsidRPr="004071D8">
              <w:rPr>
                <w:rFonts w:cs="Arial"/>
                <w:b/>
              </w:rPr>
              <w:t>Redemptions</w:t>
            </w:r>
          </w:p>
        </w:tc>
        <w:tc>
          <w:tcPr>
            <w:tcW w:w="1134" w:type="dxa"/>
            <w:tcBorders>
              <w:top w:val="single" w:sz="2" w:space="0" w:color="1F4E79" w:themeColor="accent1" w:themeShade="80"/>
              <w:bottom w:val="single" w:sz="2" w:space="0" w:color="1F4E79" w:themeColor="accent1" w:themeShade="80"/>
            </w:tcBorders>
            <w:shd w:val="clear" w:color="auto" w:fill="auto"/>
            <w:vAlign w:val="center"/>
          </w:tcPr>
          <w:p w14:paraId="5824AFBC" w14:textId="77777777" w:rsidR="008B7E19" w:rsidRPr="00F80522" w:rsidRDefault="008B7E19" w:rsidP="008B7E19">
            <w:pPr>
              <w:pStyle w:val="08-Tabelageral"/>
              <w:rPr>
                <w:rFonts w:cs="Arial"/>
                <w:b/>
              </w:rPr>
            </w:pPr>
            <w:r>
              <w:rPr>
                <w:rFonts w:cs="Arial"/>
                <w:b/>
              </w:rPr>
              <w:t>Yield</w:t>
            </w:r>
          </w:p>
        </w:tc>
        <w:tc>
          <w:tcPr>
            <w:tcW w:w="992" w:type="dxa"/>
            <w:tcBorders>
              <w:top w:val="single" w:sz="2" w:space="0" w:color="1F4E79" w:themeColor="accent1" w:themeShade="80"/>
              <w:bottom w:val="single" w:sz="2" w:space="0" w:color="1F4E79" w:themeColor="accent1" w:themeShade="80"/>
            </w:tcBorders>
            <w:shd w:val="clear" w:color="auto" w:fill="auto"/>
            <w:vAlign w:val="center"/>
          </w:tcPr>
          <w:p w14:paraId="1276B4B6" w14:textId="77777777" w:rsidR="008B7E19" w:rsidRPr="00F80522" w:rsidRDefault="008B7E19" w:rsidP="008B7E19">
            <w:pPr>
              <w:pStyle w:val="08-Tabelageral"/>
              <w:jc w:val="center"/>
              <w:rPr>
                <w:rFonts w:cs="Arial"/>
                <w:b/>
              </w:rPr>
            </w:pPr>
            <w:r>
              <w:rPr>
                <w:rFonts w:cs="Arial"/>
                <w:b/>
              </w:rPr>
              <w:t>Cost Value</w:t>
            </w:r>
          </w:p>
        </w:tc>
        <w:tc>
          <w:tcPr>
            <w:tcW w:w="992" w:type="dxa"/>
            <w:tcBorders>
              <w:top w:val="single" w:sz="2" w:space="0" w:color="1F4E79" w:themeColor="accent1" w:themeShade="80"/>
              <w:bottom w:val="single" w:sz="2" w:space="0" w:color="1F4E79" w:themeColor="accent1" w:themeShade="80"/>
            </w:tcBorders>
            <w:shd w:val="clear" w:color="auto" w:fill="auto"/>
            <w:vAlign w:val="center"/>
          </w:tcPr>
          <w:p w14:paraId="6EFF75CB" w14:textId="77777777" w:rsidR="008B7E19" w:rsidRPr="00F80522" w:rsidRDefault="008B7E19" w:rsidP="008B7E19">
            <w:pPr>
              <w:pStyle w:val="08-Tabelageral"/>
              <w:jc w:val="center"/>
              <w:rPr>
                <w:rFonts w:cs="Arial"/>
                <w:b/>
              </w:rPr>
            </w:pPr>
            <w:r w:rsidRPr="004071D8">
              <w:rPr>
                <w:rFonts w:cs="Arial"/>
                <w:b/>
              </w:rPr>
              <w:t>Market Value</w:t>
            </w:r>
          </w:p>
        </w:tc>
      </w:tr>
      <w:tr w:rsidR="008B7E19" w:rsidRPr="00F80522" w14:paraId="5A046BDE" w14:textId="77777777" w:rsidTr="005B5353">
        <w:trPr>
          <w:trHeight w:val="238"/>
          <w:jc w:val="center"/>
        </w:trPr>
        <w:tc>
          <w:tcPr>
            <w:tcW w:w="2268" w:type="dxa"/>
            <w:tcBorders>
              <w:top w:val="single" w:sz="2" w:space="0" w:color="1F4E79" w:themeColor="accent1" w:themeShade="80"/>
            </w:tcBorders>
            <w:shd w:val="clear" w:color="auto" w:fill="auto"/>
          </w:tcPr>
          <w:p w14:paraId="73ADDBF9" w14:textId="77777777" w:rsidR="008B7E19" w:rsidRPr="00F80522" w:rsidRDefault="008B7E19" w:rsidP="008B7E19">
            <w:pPr>
              <w:pStyle w:val="08-Tabelageral"/>
              <w:ind w:left="113"/>
              <w:jc w:val="left"/>
              <w:rPr>
                <w:szCs w:val="14"/>
              </w:rPr>
            </w:pPr>
            <w:r w:rsidRPr="004071D8">
              <w:rPr>
                <w:szCs w:val="14"/>
              </w:rPr>
              <w:t>Long-term fund</w:t>
            </w:r>
            <w:r w:rsidRPr="00F80522">
              <w:rPr>
                <w:szCs w:val="14"/>
              </w:rPr>
              <w:t xml:space="preserve"> </w:t>
            </w:r>
          </w:p>
        </w:tc>
        <w:tc>
          <w:tcPr>
            <w:tcW w:w="993" w:type="dxa"/>
            <w:tcBorders>
              <w:top w:val="single" w:sz="2" w:space="0" w:color="1F4E79" w:themeColor="accent1" w:themeShade="80"/>
              <w:left w:val="nil"/>
              <w:bottom w:val="nil"/>
              <w:right w:val="nil"/>
            </w:tcBorders>
            <w:shd w:val="clear" w:color="auto" w:fill="auto"/>
            <w:vAlign w:val="bottom"/>
          </w:tcPr>
          <w:p w14:paraId="6FDCE0EE" w14:textId="77777777" w:rsidR="008B7E19" w:rsidRPr="00F80522" w:rsidRDefault="008B7E19" w:rsidP="008B7E19">
            <w:pPr>
              <w:pStyle w:val="08-Tabelageral"/>
              <w:rPr>
                <w:szCs w:val="14"/>
              </w:rPr>
            </w:pPr>
            <w:r w:rsidRPr="00B3478F">
              <w:rPr>
                <w:rFonts w:cs="Arial"/>
                <w:color w:val="000000"/>
              </w:rPr>
              <w:t>10</w:t>
            </w:r>
            <w:r>
              <w:rPr>
                <w:rFonts w:cs="Arial"/>
                <w:color w:val="000000"/>
              </w:rPr>
              <w:t>,</w:t>
            </w:r>
            <w:r w:rsidRPr="00B3478F">
              <w:rPr>
                <w:rFonts w:cs="Arial"/>
                <w:color w:val="000000"/>
              </w:rPr>
              <w:t>572</w:t>
            </w:r>
          </w:p>
        </w:tc>
        <w:tc>
          <w:tcPr>
            <w:tcW w:w="992" w:type="dxa"/>
            <w:tcBorders>
              <w:top w:val="single" w:sz="2" w:space="0" w:color="1F4E79" w:themeColor="accent1" w:themeShade="80"/>
              <w:left w:val="nil"/>
              <w:bottom w:val="nil"/>
              <w:right w:val="nil"/>
            </w:tcBorders>
            <w:shd w:val="clear" w:color="auto" w:fill="auto"/>
            <w:vAlign w:val="bottom"/>
          </w:tcPr>
          <w:p w14:paraId="07AE05DF" w14:textId="77777777" w:rsidR="008B7E19" w:rsidRPr="00F80522" w:rsidRDefault="008B7E19" w:rsidP="008B7E19">
            <w:pPr>
              <w:pStyle w:val="08-Tabelageral"/>
              <w:rPr>
                <w:szCs w:val="14"/>
              </w:rPr>
            </w:pPr>
            <w:r w:rsidRPr="002A2F48">
              <w:rPr>
                <w:rFonts w:cs="Arial"/>
              </w:rPr>
              <w:t>18</w:t>
            </w:r>
            <w:r>
              <w:rPr>
                <w:rFonts w:cs="Arial"/>
              </w:rPr>
              <w:t>,</w:t>
            </w:r>
            <w:r w:rsidRPr="002A2F48">
              <w:rPr>
                <w:rFonts w:cs="Arial"/>
              </w:rPr>
              <w:t>064</w:t>
            </w:r>
          </w:p>
        </w:tc>
        <w:tc>
          <w:tcPr>
            <w:tcW w:w="1134" w:type="dxa"/>
            <w:tcBorders>
              <w:top w:val="single" w:sz="2" w:space="0" w:color="1F4E79" w:themeColor="accent1" w:themeShade="80"/>
              <w:left w:val="nil"/>
              <w:bottom w:val="nil"/>
              <w:right w:val="nil"/>
            </w:tcBorders>
            <w:shd w:val="clear" w:color="auto" w:fill="auto"/>
            <w:vAlign w:val="bottom"/>
          </w:tcPr>
          <w:p w14:paraId="3A23F5C8" w14:textId="77777777" w:rsidR="008B7E19" w:rsidRPr="00F80522" w:rsidRDefault="008B7E19" w:rsidP="008B7E19">
            <w:pPr>
              <w:pStyle w:val="08-Tabelageral"/>
              <w:rPr>
                <w:szCs w:val="14"/>
              </w:rPr>
            </w:pPr>
            <w:r>
              <w:rPr>
                <w:rFonts w:cs="Arial"/>
              </w:rPr>
              <w:t>1,532</w:t>
            </w:r>
          </w:p>
        </w:tc>
        <w:tc>
          <w:tcPr>
            <w:tcW w:w="1134" w:type="dxa"/>
            <w:tcBorders>
              <w:top w:val="single" w:sz="2" w:space="0" w:color="1F4E79" w:themeColor="accent1" w:themeShade="80"/>
              <w:left w:val="nil"/>
              <w:bottom w:val="nil"/>
              <w:right w:val="nil"/>
            </w:tcBorders>
            <w:shd w:val="clear" w:color="auto" w:fill="auto"/>
          </w:tcPr>
          <w:p w14:paraId="1098D539" w14:textId="77777777" w:rsidR="008B7E19" w:rsidRPr="00F80522" w:rsidRDefault="008B7E19" w:rsidP="008B7E19">
            <w:pPr>
              <w:pStyle w:val="08-Tabelageral"/>
              <w:rPr>
                <w:szCs w:val="14"/>
              </w:rPr>
            </w:pPr>
            <w:r>
              <w:rPr>
                <w:rFonts w:cs="Arial"/>
              </w:rPr>
              <w:t>--</w:t>
            </w:r>
          </w:p>
        </w:tc>
        <w:tc>
          <w:tcPr>
            <w:tcW w:w="1134" w:type="dxa"/>
            <w:tcBorders>
              <w:top w:val="single" w:sz="2" w:space="0" w:color="1F4E79" w:themeColor="accent1" w:themeShade="80"/>
              <w:left w:val="nil"/>
              <w:bottom w:val="nil"/>
              <w:right w:val="nil"/>
            </w:tcBorders>
            <w:shd w:val="clear" w:color="auto" w:fill="auto"/>
            <w:vAlign w:val="bottom"/>
          </w:tcPr>
          <w:p w14:paraId="52389DD5" w14:textId="77777777" w:rsidR="008B7E19" w:rsidRPr="00F80522" w:rsidRDefault="008B7E19" w:rsidP="008B7E19">
            <w:pPr>
              <w:pStyle w:val="08-Tabelageral"/>
              <w:rPr>
                <w:rFonts w:cs="Arial"/>
                <w:szCs w:val="14"/>
              </w:rPr>
            </w:pPr>
            <w:r>
              <w:rPr>
                <w:rFonts w:cs="Arial"/>
              </w:rPr>
              <w:t>(1,864)</w:t>
            </w:r>
          </w:p>
        </w:tc>
        <w:tc>
          <w:tcPr>
            <w:tcW w:w="992" w:type="dxa"/>
            <w:tcBorders>
              <w:top w:val="single" w:sz="2" w:space="0" w:color="1F4E79" w:themeColor="accent1" w:themeShade="80"/>
              <w:left w:val="nil"/>
              <w:bottom w:val="nil"/>
              <w:right w:val="nil"/>
            </w:tcBorders>
            <w:shd w:val="clear" w:color="auto" w:fill="auto"/>
            <w:vAlign w:val="bottom"/>
          </w:tcPr>
          <w:p w14:paraId="610BE212" w14:textId="77777777" w:rsidR="008B7E19" w:rsidRPr="00F80522" w:rsidRDefault="008B7E19" w:rsidP="008B7E19">
            <w:pPr>
              <w:pStyle w:val="08-Tabelageral"/>
              <w:rPr>
                <w:szCs w:val="14"/>
              </w:rPr>
            </w:pPr>
            <w:r>
              <w:rPr>
                <w:rFonts w:cs="Arial"/>
              </w:rPr>
              <w:t>12,104</w:t>
            </w:r>
          </w:p>
        </w:tc>
        <w:tc>
          <w:tcPr>
            <w:tcW w:w="992" w:type="dxa"/>
            <w:tcBorders>
              <w:top w:val="single" w:sz="2" w:space="0" w:color="1F4E79" w:themeColor="accent1" w:themeShade="80"/>
              <w:left w:val="nil"/>
              <w:bottom w:val="nil"/>
              <w:right w:val="nil"/>
            </w:tcBorders>
            <w:shd w:val="clear" w:color="auto" w:fill="auto"/>
            <w:vAlign w:val="bottom"/>
          </w:tcPr>
          <w:p w14:paraId="1FECC9BF" w14:textId="77777777" w:rsidR="008B7E19" w:rsidRPr="00F80522" w:rsidRDefault="008B7E19" w:rsidP="008B7E19">
            <w:pPr>
              <w:pStyle w:val="08-Tabelageral"/>
              <w:rPr>
                <w:szCs w:val="14"/>
              </w:rPr>
            </w:pPr>
            <w:r>
              <w:rPr>
                <w:rFonts w:cs="Arial"/>
              </w:rPr>
              <w:t>17,732</w:t>
            </w:r>
          </w:p>
        </w:tc>
      </w:tr>
      <w:tr w:rsidR="008B7E19" w:rsidRPr="00F80522" w14:paraId="7DE5B684" w14:textId="77777777" w:rsidTr="005B5353">
        <w:trPr>
          <w:trHeight w:val="238"/>
          <w:jc w:val="center"/>
        </w:trPr>
        <w:tc>
          <w:tcPr>
            <w:tcW w:w="2268" w:type="dxa"/>
            <w:tcBorders>
              <w:bottom w:val="single" w:sz="2" w:space="0" w:color="1F4E79" w:themeColor="accent1" w:themeShade="80"/>
            </w:tcBorders>
            <w:shd w:val="clear" w:color="auto" w:fill="auto"/>
          </w:tcPr>
          <w:p w14:paraId="76AB086D" w14:textId="77777777" w:rsidR="008B7E19" w:rsidRPr="00F80522" w:rsidRDefault="008B7E19" w:rsidP="008B7E19">
            <w:pPr>
              <w:pStyle w:val="08-Tabelageral"/>
              <w:jc w:val="left"/>
              <w:rPr>
                <w:b/>
                <w:szCs w:val="14"/>
              </w:rPr>
            </w:pPr>
            <w:r w:rsidRPr="00F80522">
              <w:rPr>
                <w:b/>
                <w:szCs w:val="14"/>
              </w:rPr>
              <w:t xml:space="preserve">Total </w:t>
            </w:r>
          </w:p>
        </w:tc>
        <w:tc>
          <w:tcPr>
            <w:tcW w:w="993" w:type="dxa"/>
            <w:tcBorders>
              <w:top w:val="nil"/>
              <w:left w:val="nil"/>
              <w:bottom w:val="single" w:sz="2" w:space="0" w:color="1F4E79" w:themeColor="accent1" w:themeShade="80"/>
              <w:right w:val="nil"/>
            </w:tcBorders>
            <w:shd w:val="clear" w:color="auto" w:fill="auto"/>
            <w:vAlign w:val="bottom"/>
          </w:tcPr>
          <w:p w14:paraId="1A6F2334" w14:textId="77777777" w:rsidR="008B7E19" w:rsidRPr="00F80522" w:rsidRDefault="008B7E19" w:rsidP="008B7E19">
            <w:pPr>
              <w:pStyle w:val="08-Tabelageral"/>
              <w:rPr>
                <w:b/>
                <w:szCs w:val="14"/>
              </w:rPr>
            </w:pPr>
            <w:r w:rsidRPr="00B3478F">
              <w:rPr>
                <w:rFonts w:cs="Arial"/>
                <w:b/>
                <w:bCs/>
                <w:color w:val="000000"/>
              </w:rPr>
              <w:t>10</w:t>
            </w:r>
            <w:r>
              <w:rPr>
                <w:rFonts w:cs="Arial"/>
                <w:b/>
                <w:bCs/>
                <w:color w:val="000000"/>
              </w:rPr>
              <w:t>,</w:t>
            </w:r>
            <w:r w:rsidRPr="00B3478F">
              <w:rPr>
                <w:rFonts w:cs="Arial"/>
                <w:b/>
                <w:bCs/>
                <w:color w:val="000000"/>
              </w:rPr>
              <w:t>572</w:t>
            </w:r>
          </w:p>
        </w:tc>
        <w:tc>
          <w:tcPr>
            <w:tcW w:w="992" w:type="dxa"/>
            <w:tcBorders>
              <w:top w:val="nil"/>
              <w:left w:val="nil"/>
              <w:bottom w:val="single" w:sz="2" w:space="0" w:color="1F4E79" w:themeColor="accent1" w:themeShade="80"/>
              <w:right w:val="nil"/>
            </w:tcBorders>
            <w:shd w:val="clear" w:color="auto" w:fill="auto"/>
            <w:vAlign w:val="bottom"/>
          </w:tcPr>
          <w:p w14:paraId="34A6410E" w14:textId="77777777" w:rsidR="008B7E19" w:rsidRPr="00F80522" w:rsidRDefault="008B7E19" w:rsidP="008B7E19">
            <w:pPr>
              <w:pStyle w:val="08-Tabelageral"/>
              <w:rPr>
                <w:b/>
                <w:szCs w:val="14"/>
              </w:rPr>
            </w:pPr>
            <w:r w:rsidRPr="002A2F48">
              <w:rPr>
                <w:rFonts w:cs="Arial"/>
                <w:b/>
                <w:bCs/>
                <w:color w:val="000000"/>
              </w:rPr>
              <w:t>18</w:t>
            </w:r>
            <w:r>
              <w:rPr>
                <w:rFonts w:cs="Arial"/>
                <w:b/>
                <w:bCs/>
                <w:color w:val="000000"/>
              </w:rPr>
              <w:t>,</w:t>
            </w:r>
            <w:r w:rsidRPr="002A2F48">
              <w:rPr>
                <w:rFonts w:cs="Arial"/>
                <w:b/>
                <w:bCs/>
                <w:color w:val="000000"/>
              </w:rPr>
              <w:t>064</w:t>
            </w:r>
          </w:p>
        </w:tc>
        <w:tc>
          <w:tcPr>
            <w:tcW w:w="1134" w:type="dxa"/>
            <w:tcBorders>
              <w:top w:val="nil"/>
              <w:left w:val="nil"/>
              <w:bottom w:val="single" w:sz="2" w:space="0" w:color="1F4E79" w:themeColor="accent1" w:themeShade="80"/>
              <w:right w:val="nil"/>
            </w:tcBorders>
            <w:shd w:val="clear" w:color="auto" w:fill="auto"/>
            <w:vAlign w:val="bottom"/>
          </w:tcPr>
          <w:p w14:paraId="691A94A5" w14:textId="77777777" w:rsidR="008B7E19" w:rsidRPr="00F80522" w:rsidRDefault="008B7E19" w:rsidP="008B7E19">
            <w:pPr>
              <w:pStyle w:val="08-Tabelageral"/>
              <w:rPr>
                <w:b/>
                <w:szCs w:val="14"/>
              </w:rPr>
            </w:pPr>
            <w:r>
              <w:rPr>
                <w:rFonts w:cs="Arial"/>
                <w:b/>
              </w:rPr>
              <w:t>1,532</w:t>
            </w:r>
          </w:p>
        </w:tc>
        <w:tc>
          <w:tcPr>
            <w:tcW w:w="1134" w:type="dxa"/>
            <w:tcBorders>
              <w:top w:val="nil"/>
              <w:left w:val="nil"/>
              <w:bottom w:val="single" w:sz="2" w:space="0" w:color="1F4E79" w:themeColor="accent1" w:themeShade="80"/>
              <w:right w:val="nil"/>
            </w:tcBorders>
            <w:shd w:val="clear" w:color="auto" w:fill="auto"/>
          </w:tcPr>
          <w:p w14:paraId="3BC5609F" w14:textId="77777777" w:rsidR="008B7E19" w:rsidRPr="00F80522" w:rsidRDefault="008B7E19" w:rsidP="008B7E19">
            <w:pPr>
              <w:pStyle w:val="08-Tabelageral"/>
              <w:rPr>
                <w:b/>
                <w:szCs w:val="14"/>
              </w:rPr>
            </w:pPr>
            <w:r>
              <w:rPr>
                <w:rFonts w:cs="Arial"/>
                <w:b/>
              </w:rPr>
              <w:t>--</w:t>
            </w:r>
          </w:p>
        </w:tc>
        <w:tc>
          <w:tcPr>
            <w:tcW w:w="1134" w:type="dxa"/>
            <w:tcBorders>
              <w:top w:val="nil"/>
              <w:left w:val="nil"/>
              <w:bottom w:val="single" w:sz="2" w:space="0" w:color="1F4E79" w:themeColor="accent1" w:themeShade="80"/>
              <w:right w:val="nil"/>
            </w:tcBorders>
            <w:shd w:val="clear" w:color="auto" w:fill="auto"/>
            <w:vAlign w:val="bottom"/>
          </w:tcPr>
          <w:p w14:paraId="1E189612" w14:textId="77777777" w:rsidR="008B7E19" w:rsidRPr="00F80522" w:rsidRDefault="008B7E19" w:rsidP="008B7E19">
            <w:pPr>
              <w:pStyle w:val="08-Tabelageral"/>
              <w:rPr>
                <w:rFonts w:cs="Arial"/>
                <w:b/>
                <w:szCs w:val="14"/>
              </w:rPr>
            </w:pPr>
            <w:r>
              <w:rPr>
                <w:rFonts w:cs="Arial"/>
                <w:b/>
              </w:rPr>
              <w:t>(1,864)</w:t>
            </w:r>
          </w:p>
        </w:tc>
        <w:tc>
          <w:tcPr>
            <w:tcW w:w="992" w:type="dxa"/>
            <w:tcBorders>
              <w:top w:val="nil"/>
              <w:left w:val="nil"/>
              <w:bottom w:val="single" w:sz="2" w:space="0" w:color="1F4E79" w:themeColor="accent1" w:themeShade="80"/>
              <w:right w:val="nil"/>
            </w:tcBorders>
            <w:shd w:val="clear" w:color="auto" w:fill="auto"/>
            <w:vAlign w:val="bottom"/>
          </w:tcPr>
          <w:p w14:paraId="3041F001" w14:textId="77777777" w:rsidR="008B7E19" w:rsidRPr="00F80522" w:rsidRDefault="008B7E19" w:rsidP="008B7E19">
            <w:pPr>
              <w:pStyle w:val="08-Tabelageral"/>
              <w:rPr>
                <w:b/>
                <w:szCs w:val="14"/>
              </w:rPr>
            </w:pPr>
            <w:r>
              <w:rPr>
                <w:rFonts w:cs="Arial"/>
                <w:b/>
              </w:rPr>
              <w:t>12,104</w:t>
            </w:r>
          </w:p>
        </w:tc>
        <w:tc>
          <w:tcPr>
            <w:tcW w:w="992" w:type="dxa"/>
            <w:tcBorders>
              <w:top w:val="nil"/>
              <w:left w:val="nil"/>
              <w:bottom w:val="single" w:sz="2" w:space="0" w:color="1F4E79" w:themeColor="accent1" w:themeShade="80"/>
              <w:right w:val="nil"/>
            </w:tcBorders>
            <w:shd w:val="clear" w:color="auto" w:fill="auto"/>
            <w:vAlign w:val="bottom"/>
          </w:tcPr>
          <w:p w14:paraId="6CA12A6E" w14:textId="77777777" w:rsidR="008B7E19" w:rsidRPr="00F80522" w:rsidRDefault="008B7E19" w:rsidP="008B7E19">
            <w:pPr>
              <w:pStyle w:val="08-Tabelageral"/>
              <w:rPr>
                <w:b/>
                <w:szCs w:val="14"/>
              </w:rPr>
            </w:pPr>
            <w:r>
              <w:rPr>
                <w:rFonts w:cs="Arial"/>
                <w:b/>
              </w:rPr>
              <w:t>17,732</w:t>
            </w:r>
          </w:p>
        </w:tc>
      </w:tr>
    </w:tbl>
    <w:p w14:paraId="7097F031" w14:textId="77777777" w:rsidR="008B7E19" w:rsidRDefault="008B7E19" w:rsidP="008B7E19">
      <w:pPr>
        <w:pStyle w:val="08-Tabelageral"/>
        <w:rPr>
          <w:rFonts w:cs="Arial"/>
        </w:rPr>
      </w:pPr>
    </w:p>
    <w:p w14:paraId="0FE68CF4" w14:textId="77777777" w:rsidR="008B7E19" w:rsidRDefault="008B7E19" w:rsidP="008B7E19">
      <w:pPr>
        <w:pStyle w:val="08-Tabelageral"/>
        <w:spacing w:before="0" w:after="0"/>
        <w:rPr>
          <w:rFonts w:cs="Arial"/>
        </w:rPr>
      </w:pPr>
      <w:r w:rsidRPr="00ED0236">
        <w:rPr>
          <w:rFonts w:cs="Arial"/>
          <w:b/>
          <w:szCs w:val="14"/>
        </w:rPr>
        <w:t xml:space="preserve">R$ </w:t>
      </w:r>
      <w:r>
        <w:rPr>
          <w:rFonts w:cs="Arial"/>
          <w:b/>
          <w:szCs w:val="14"/>
        </w:rPr>
        <w:t>thousand</w:t>
      </w:r>
    </w:p>
    <w:tbl>
      <w:tblPr>
        <w:tblW w:w="9639" w:type="dxa"/>
        <w:jc w:val="center"/>
        <w:tblLayout w:type="fixed"/>
        <w:tblLook w:val="04A0" w:firstRow="1" w:lastRow="0" w:firstColumn="1" w:lastColumn="0" w:noHBand="0" w:noVBand="1"/>
      </w:tblPr>
      <w:tblGrid>
        <w:gridCol w:w="2268"/>
        <w:gridCol w:w="993"/>
        <w:gridCol w:w="992"/>
        <w:gridCol w:w="1134"/>
        <w:gridCol w:w="1134"/>
        <w:gridCol w:w="1134"/>
        <w:gridCol w:w="992"/>
        <w:gridCol w:w="992"/>
      </w:tblGrid>
      <w:tr w:rsidR="008B7E19" w:rsidRPr="00F80522" w14:paraId="2CB4C2E5" w14:textId="77777777" w:rsidTr="005B5353">
        <w:trPr>
          <w:trHeight w:val="238"/>
          <w:jc w:val="center"/>
        </w:trPr>
        <w:tc>
          <w:tcPr>
            <w:tcW w:w="2268" w:type="dxa"/>
            <w:tcBorders>
              <w:top w:val="single" w:sz="2" w:space="0" w:color="1F4E79" w:themeColor="accent1" w:themeShade="80"/>
            </w:tcBorders>
            <w:shd w:val="clear" w:color="auto" w:fill="auto"/>
          </w:tcPr>
          <w:p w14:paraId="1ABA1794" w14:textId="77777777" w:rsidR="008B7E19" w:rsidRPr="00F80522" w:rsidRDefault="008B7E19" w:rsidP="008B7E19">
            <w:pPr>
              <w:spacing w:after="0"/>
              <w:jc w:val="center"/>
              <w:rPr>
                <w:rFonts w:cs="Arial"/>
                <w:b/>
                <w:sz w:val="14"/>
                <w:szCs w:val="14"/>
              </w:rPr>
            </w:pPr>
          </w:p>
        </w:tc>
        <w:tc>
          <w:tcPr>
            <w:tcW w:w="7371" w:type="dxa"/>
            <w:gridSpan w:val="7"/>
            <w:tcBorders>
              <w:top w:val="single" w:sz="2" w:space="0" w:color="1F4E79" w:themeColor="accent1" w:themeShade="80"/>
              <w:bottom w:val="single" w:sz="2" w:space="0" w:color="1F4E79" w:themeColor="accent1" w:themeShade="80"/>
            </w:tcBorders>
            <w:shd w:val="clear" w:color="auto" w:fill="auto"/>
            <w:vAlign w:val="center"/>
          </w:tcPr>
          <w:p w14:paraId="70273F50" w14:textId="77777777" w:rsidR="008B7E19" w:rsidRPr="00F80522" w:rsidRDefault="008B7E19" w:rsidP="008B7E19">
            <w:pPr>
              <w:pStyle w:val="08-Tabelageral"/>
              <w:jc w:val="center"/>
              <w:rPr>
                <w:rFonts w:cs="Arial"/>
                <w:b/>
                <w:szCs w:val="14"/>
              </w:rPr>
            </w:pPr>
            <w:r>
              <w:rPr>
                <w:b/>
              </w:rPr>
              <w:t>Consolidated</w:t>
            </w:r>
          </w:p>
        </w:tc>
      </w:tr>
      <w:tr w:rsidR="008B7E19" w:rsidRPr="00F80522" w14:paraId="670F856E" w14:textId="77777777" w:rsidTr="005B5353">
        <w:trPr>
          <w:trHeight w:val="238"/>
          <w:jc w:val="center"/>
        </w:trPr>
        <w:tc>
          <w:tcPr>
            <w:tcW w:w="2268" w:type="dxa"/>
            <w:shd w:val="clear" w:color="auto" w:fill="auto"/>
          </w:tcPr>
          <w:p w14:paraId="2DA59526" w14:textId="77777777" w:rsidR="008B7E19" w:rsidRPr="00F80522" w:rsidRDefault="008B7E19" w:rsidP="008B7E19">
            <w:pPr>
              <w:spacing w:after="0"/>
              <w:jc w:val="center"/>
              <w:rPr>
                <w:rFonts w:cs="Arial"/>
                <w:b/>
                <w:sz w:val="14"/>
                <w:szCs w:val="14"/>
              </w:rPr>
            </w:pPr>
          </w:p>
        </w:tc>
        <w:tc>
          <w:tcPr>
            <w:tcW w:w="1985" w:type="dxa"/>
            <w:gridSpan w:val="2"/>
            <w:tcBorders>
              <w:top w:val="single" w:sz="2" w:space="0" w:color="1F4E79" w:themeColor="accent1" w:themeShade="80"/>
              <w:bottom w:val="single" w:sz="2" w:space="0" w:color="1F4E79" w:themeColor="accent1" w:themeShade="80"/>
            </w:tcBorders>
            <w:shd w:val="clear" w:color="auto" w:fill="auto"/>
            <w:vAlign w:val="center"/>
          </w:tcPr>
          <w:p w14:paraId="445790FF" w14:textId="77777777" w:rsidR="008B7E19" w:rsidRPr="00F80522" w:rsidRDefault="008B7E19" w:rsidP="008B7E19">
            <w:pPr>
              <w:spacing w:after="0"/>
              <w:jc w:val="center"/>
              <w:rPr>
                <w:rFonts w:cs="Arial"/>
                <w:b/>
                <w:sz w:val="14"/>
                <w:szCs w:val="14"/>
              </w:rPr>
            </w:pPr>
            <w:r>
              <w:rPr>
                <w:rFonts w:cs="Arial"/>
                <w:b/>
                <w:sz w:val="14"/>
                <w:szCs w:val="14"/>
              </w:rPr>
              <w:t xml:space="preserve">Dec 31, </w:t>
            </w:r>
            <w:r w:rsidRPr="00F80522">
              <w:rPr>
                <w:rFonts w:cs="Arial"/>
                <w:b/>
                <w:sz w:val="14"/>
                <w:szCs w:val="14"/>
              </w:rPr>
              <w:t>20</w:t>
            </w:r>
            <w:r>
              <w:rPr>
                <w:rFonts w:cs="Arial"/>
                <w:b/>
                <w:sz w:val="14"/>
                <w:szCs w:val="14"/>
              </w:rPr>
              <w:t>22</w:t>
            </w:r>
          </w:p>
        </w:tc>
        <w:tc>
          <w:tcPr>
            <w:tcW w:w="1134" w:type="dxa"/>
            <w:tcBorders>
              <w:top w:val="single" w:sz="2" w:space="0" w:color="1F4E79" w:themeColor="accent1" w:themeShade="80"/>
              <w:bottom w:val="single" w:sz="2" w:space="0" w:color="1F4E79" w:themeColor="accent1" w:themeShade="80"/>
            </w:tcBorders>
            <w:shd w:val="clear" w:color="auto" w:fill="auto"/>
            <w:vAlign w:val="center"/>
          </w:tcPr>
          <w:p w14:paraId="6E625755" w14:textId="77777777" w:rsidR="008B7E19" w:rsidRPr="00F80522" w:rsidRDefault="008B7E19" w:rsidP="008B7E19">
            <w:pPr>
              <w:spacing w:after="0"/>
              <w:jc w:val="center"/>
              <w:rPr>
                <w:rFonts w:cs="Arial"/>
                <w:b/>
                <w:sz w:val="14"/>
                <w:szCs w:val="14"/>
              </w:rPr>
            </w:pPr>
          </w:p>
        </w:tc>
        <w:tc>
          <w:tcPr>
            <w:tcW w:w="1134" w:type="dxa"/>
            <w:tcBorders>
              <w:top w:val="single" w:sz="2" w:space="0" w:color="1F4E79" w:themeColor="accent1" w:themeShade="80"/>
              <w:bottom w:val="single" w:sz="2" w:space="0" w:color="1F4E79" w:themeColor="accent1" w:themeShade="80"/>
            </w:tcBorders>
            <w:shd w:val="clear" w:color="auto" w:fill="auto"/>
            <w:vAlign w:val="center"/>
          </w:tcPr>
          <w:p w14:paraId="4DBD49C5" w14:textId="77777777" w:rsidR="008B7E19" w:rsidRPr="00F80522" w:rsidRDefault="008B7E19" w:rsidP="008B7E19">
            <w:pPr>
              <w:spacing w:after="0"/>
              <w:jc w:val="center"/>
              <w:rPr>
                <w:rFonts w:cs="Arial"/>
                <w:b/>
                <w:sz w:val="14"/>
                <w:szCs w:val="14"/>
              </w:rPr>
            </w:pPr>
          </w:p>
        </w:tc>
        <w:tc>
          <w:tcPr>
            <w:tcW w:w="1134" w:type="dxa"/>
            <w:tcBorders>
              <w:top w:val="single" w:sz="2" w:space="0" w:color="1F4E79" w:themeColor="accent1" w:themeShade="80"/>
              <w:bottom w:val="single" w:sz="2" w:space="0" w:color="1F4E79" w:themeColor="accent1" w:themeShade="80"/>
            </w:tcBorders>
            <w:shd w:val="clear" w:color="auto" w:fill="auto"/>
            <w:vAlign w:val="center"/>
          </w:tcPr>
          <w:p w14:paraId="71C3E800" w14:textId="77777777" w:rsidR="008B7E19" w:rsidRPr="00F80522" w:rsidRDefault="008B7E19" w:rsidP="008B7E19">
            <w:pPr>
              <w:spacing w:after="0"/>
              <w:jc w:val="center"/>
              <w:rPr>
                <w:rFonts w:cs="Arial"/>
                <w:b/>
                <w:sz w:val="14"/>
                <w:szCs w:val="14"/>
              </w:rPr>
            </w:pPr>
          </w:p>
        </w:tc>
        <w:tc>
          <w:tcPr>
            <w:tcW w:w="1984" w:type="dxa"/>
            <w:gridSpan w:val="2"/>
            <w:tcBorders>
              <w:top w:val="single" w:sz="2" w:space="0" w:color="1F4E79" w:themeColor="accent1" w:themeShade="80"/>
              <w:bottom w:val="single" w:sz="2" w:space="0" w:color="1F4E79" w:themeColor="accent1" w:themeShade="80"/>
            </w:tcBorders>
            <w:shd w:val="clear" w:color="auto" w:fill="auto"/>
            <w:vAlign w:val="center"/>
          </w:tcPr>
          <w:p w14:paraId="03A83540" w14:textId="77777777" w:rsidR="008B7E19" w:rsidRPr="00F80522" w:rsidRDefault="008B7E19" w:rsidP="008B7E19">
            <w:pPr>
              <w:spacing w:after="0"/>
              <w:jc w:val="center"/>
              <w:rPr>
                <w:rFonts w:cs="Arial"/>
                <w:b/>
                <w:sz w:val="14"/>
                <w:szCs w:val="14"/>
              </w:rPr>
            </w:pPr>
            <w:r>
              <w:rPr>
                <w:rFonts w:cs="Arial"/>
                <w:b/>
                <w:sz w:val="14"/>
                <w:szCs w:val="14"/>
              </w:rPr>
              <w:t xml:space="preserve">June </w:t>
            </w:r>
            <w:r w:rsidRPr="00F80522">
              <w:rPr>
                <w:rFonts w:cs="Arial"/>
                <w:b/>
                <w:sz w:val="14"/>
                <w:szCs w:val="14"/>
              </w:rPr>
              <w:t>3</w:t>
            </w:r>
            <w:r>
              <w:rPr>
                <w:rFonts w:cs="Arial"/>
                <w:b/>
                <w:sz w:val="14"/>
                <w:szCs w:val="14"/>
              </w:rPr>
              <w:t xml:space="preserve">0, </w:t>
            </w:r>
            <w:r w:rsidRPr="00F80522">
              <w:rPr>
                <w:rFonts w:cs="Arial"/>
                <w:b/>
                <w:sz w:val="14"/>
                <w:szCs w:val="14"/>
              </w:rPr>
              <w:t>202</w:t>
            </w:r>
            <w:r>
              <w:rPr>
                <w:rFonts w:cs="Arial"/>
                <w:b/>
                <w:sz w:val="14"/>
                <w:szCs w:val="14"/>
              </w:rPr>
              <w:t>3</w:t>
            </w:r>
          </w:p>
        </w:tc>
      </w:tr>
      <w:tr w:rsidR="008B7E19" w:rsidRPr="00F80522" w14:paraId="2E0AE690" w14:textId="77777777" w:rsidTr="005B5353">
        <w:trPr>
          <w:trHeight w:val="238"/>
          <w:jc w:val="center"/>
        </w:trPr>
        <w:tc>
          <w:tcPr>
            <w:tcW w:w="2268" w:type="dxa"/>
            <w:tcBorders>
              <w:bottom w:val="single" w:sz="2" w:space="0" w:color="1F4E79" w:themeColor="accent1" w:themeShade="80"/>
            </w:tcBorders>
            <w:shd w:val="clear" w:color="auto" w:fill="auto"/>
          </w:tcPr>
          <w:p w14:paraId="597EBB1B" w14:textId="77777777" w:rsidR="008B7E19" w:rsidRPr="00F80522" w:rsidRDefault="008B7E19" w:rsidP="008B7E19">
            <w:pPr>
              <w:spacing w:after="0"/>
              <w:jc w:val="center"/>
              <w:rPr>
                <w:rFonts w:cs="Arial"/>
                <w:b/>
                <w:sz w:val="14"/>
                <w:szCs w:val="14"/>
              </w:rPr>
            </w:pPr>
          </w:p>
        </w:tc>
        <w:tc>
          <w:tcPr>
            <w:tcW w:w="993" w:type="dxa"/>
            <w:tcBorders>
              <w:top w:val="single" w:sz="2" w:space="0" w:color="1F4E79" w:themeColor="accent1" w:themeShade="80"/>
              <w:bottom w:val="single" w:sz="2" w:space="0" w:color="1F4E79" w:themeColor="accent1" w:themeShade="80"/>
            </w:tcBorders>
            <w:shd w:val="clear" w:color="auto" w:fill="auto"/>
            <w:vAlign w:val="center"/>
          </w:tcPr>
          <w:p w14:paraId="6DDCD518" w14:textId="77777777" w:rsidR="008B7E19" w:rsidRPr="00F80522" w:rsidRDefault="008B7E19" w:rsidP="008B7E19">
            <w:pPr>
              <w:spacing w:after="0"/>
              <w:jc w:val="center"/>
              <w:rPr>
                <w:rFonts w:cs="Arial"/>
                <w:b/>
                <w:sz w:val="14"/>
                <w:szCs w:val="14"/>
              </w:rPr>
            </w:pPr>
            <w:r>
              <w:rPr>
                <w:rFonts w:cs="Arial"/>
                <w:b/>
                <w:sz w:val="14"/>
                <w:szCs w:val="14"/>
              </w:rPr>
              <w:t>Cost Value</w:t>
            </w:r>
          </w:p>
        </w:tc>
        <w:tc>
          <w:tcPr>
            <w:tcW w:w="992" w:type="dxa"/>
            <w:tcBorders>
              <w:top w:val="single" w:sz="2" w:space="0" w:color="1F4E79" w:themeColor="accent1" w:themeShade="80"/>
              <w:bottom w:val="single" w:sz="2" w:space="0" w:color="1F4E79" w:themeColor="accent1" w:themeShade="80"/>
            </w:tcBorders>
            <w:shd w:val="clear" w:color="auto" w:fill="auto"/>
            <w:vAlign w:val="center"/>
          </w:tcPr>
          <w:p w14:paraId="4BE7F533" w14:textId="77777777" w:rsidR="008B7E19" w:rsidRPr="00F80522" w:rsidRDefault="008B7E19" w:rsidP="008B7E19">
            <w:pPr>
              <w:spacing w:after="0"/>
              <w:jc w:val="center"/>
              <w:rPr>
                <w:rFonts w:cs="Arial"/>
                <w:b/>
                <w:sz w:val="14"/>
                <w:szCs w:val="14"/>
              </w:rPr>
            </w:pPr>
            <w:r w:rsidRPr="00E12B62">
              <w:rPr>
                <w:rFonts w:cs="Arial"/>
                <w:b/>
                <w:sz w:val="14"/>
                <w:szCs w:val="14"/>
              </w:rPr>
              <w:t>Market Value</w:t>
            </w:r>
          </w:p>
        </w:tc>
        <w:tc>
          <w:tcPr>
            <w:tcW w:w="1134" w:type="dxa"/>
            <w:tcBorders>
              <w:top w:val="single" w:sz="2" w:space="0" w:color="1F4E79" w:themeColor="accent1" w:themeShade="80"/>
              <w:bottom w:val="single" w:sz="2" w:space="0" w:color="1F4E79" w:themeColor="accent1" w:themeShade="80"/>
            </w:tcBorders>
            <w:shd w:val="clear" w:color="auto" w:fill="auto"/>
            <w:vAlign w:val="center"/>
          </w:tcPr>
          <w:p w14:paraId="1CB68C8E" w14:textId="77777777" w:rsidR="008B7E19" w:rsidRPr="00F80522" w:rsidRDefault="008B7E19" w:rsidP="008B7E19">
            <w:pPr>
              <w:pStyle w:val="08-Tabelageral"/>
              <w:jc w:val="center"/>
              <w:rPr>
                <w:rFonts w:cs="Arial"/>
                <w:b/>
              </w:rPr>
            </w:pPr>
            <w:r w:rsidRPr="00E12B62">
              <w:rPr>
                <w:rFonts w:cs="Arial"/>
                <w:b/>
              </w:rPr>
              <w:t>Applications</w:t>
            </w:r>
          </w:p>
        </w:tc>
        <w:tc>
          <w:tcPr>
            <w:tcW w:w="1134" w:type="dxa"/>
            <w:tcBorders>
              <w:top w:val="single" w:sz="2" w:space="0" w:color="1F4E79" w:themeColor="accent1" w:themeShade="80"/>
              <w:bottom w:val="single" w:sz="2" w:space="0" w:color="1F4E79" w:themeColor="accent1" w:themeShade="80"/>
            </w:tcBorders>
            <w:shd w:val="clear" w:color="auto" w:fill="auto"/>
            <w:vAlign w:val="center"/>
          </w:tcPr>
          <w:p w14:paraId="223AF410" w14:textId="77777777" w:rsidR="008B7E19" w:rsidRPr="00F80522" w:rsidRDefault="008B7E19" w:rsidP="008B7E19">
            <w:pPr>
              <w:pStyle w:val="08-Tabelageral"/>
              <w:jc w:val="center"/>
              <w:rPr>
                <w:rFonts w:cs="Arial"/>
                <w:b/>
              </w:rPr>
            </w:pPr>
            <w:r w:rsidRPr="004071D8">
              <w:rPr>
                <w:rFonts w:cs="Arial"/>
                <w:b/>
              </w:rPr>
              <w:t>Redemptions</w:t>
            </w:r>
          </w:p>
        </w:tc>
        <w:tc>
          <w:tcPr>
            <w:tcW w:w="1134" w:type="dxa"/>
            <w:tcBorders>
              <w:top w:val="single" w:sz="2" w:space="0" w:color="1F4E79" w:themeColor="accent1" w:themeShade="80"/>
              <w:bottom w:val="single" w:sz="2" w:space="0" w:color="1F4E79" w:themeColor="accent1" w:themeShade="80"/>
            </w:tcBorders>
            <w:shd w:val="clear" w:color="auto" w:fill="auto"/>
            <w:vAlign w:val="center"/>
          </w:tcPr>
          <w:p w14:paraId="4AB1C06F" w14:textId="77777777" w:rsidR="008B7E19" w:rsidRPr="00F80522" w:rsidRDefault="008B7E19" w:rsidP="008B7E19">
            <w:pPr>
              <w:pStyle w:val="08-Tabelageral"/>
              <w:rPr>
                <w:rFonts w:cs="Arial"/>
                <w:b/>
              </w:rPr>
            </w:pPr>
            <w:r>
              <w:rPr>
                <w:rFonts w:cs="Arial"/>
                <w:b/>
              </w:rPr>
              <w:t>Yield</w:t>
            </w:r>
          </w:p>
        </w:tc>
        <w:tc>
          <w:tcPr>
            <w:tcW w:w="992" w:type="dxa"/>
            <w:tcBorders>
              <w:top w:val="single" w:sz="2" w:space="0" w:color="1F4E79" w:themeColor="accent1" w:themeShade="80"/>
              <w:bottom w:val="single" w:sz="2" w:space="0" w:color="1F4E79" w:themeColor="accent1" w:themeShade="80"/>
            </w:tcBorders>
            <w:shd w:val="clear" w:color="auto" w:fill="auto"/>
            <w:vAlign w:val="center"/>
          </w:tcPr>
          <w:p w14:paraId="20304C20" w14:textId="77777777" w:rsidR="008B7E19" w:rsidRPr="00F80522" w:rsidRDefault="008B7E19" w:rsidP="008B7E19">
            <w:pPr>
              <w:pStyle w:val="08-Tabelageral"/>
              <w:jc w:val="center"/>
              <w:rPr>
                <w:rFonts w:cs="Arial"/>
                <w:b/>
              </w:rPr>
            </w:pPr>
            <w:r>
              <w:rPr>
                <w:rFonts w:cs="Arial"/>
                <w:b/>
              </w:rPr>
              <w:t>Cost Value</w:t>
            </w:r>
          </w:p>
        </w:tc>
        <w:tc>
          <w:tcPr>
            <w:tcW w:w="992" w:type="dxa"/>
            <w:tcBorders>
              <w:top w:val="single" w:sz="2" w:space="0" w:color="1F4E79" w:themeColor="accent1" w:themeShade="80"/>
              <w:bottom w:val="single" w:sz="2" w:space="0" w:color="1F4E79" w:themeColor="accent1" w:themeShade="80"/>
            </w:tcBorders>
            <w:shd w:val="clear" w:color="auto" w:fill="auto"/>
            <w:vAlign w:val="center"/>
          </w:tcPr>
          <w:p w14:paraId="77E52D61" w14:textId="77777777" w:rsidR="008B7E19" w:rsidRPr="00F80522" w:rsidRDefault="008B7E19" w:rsidP="008B7E19">
            <w:pPr>
              <w:pStyle w:val="08-Tabelageral"/>
              <w:jc w:val="center"/>
              <w:rPr>
                <w:rFonts w:cs="Arial"/>
                <w:b/>
              </w:rPr>
            </w:pPr>
            <w:r w:rsidRPr="004071D8">
              <w:rPr>
                <w:rFonts w:cs="Arial"/>
                <w:b/>
              </w:rPr>
              <w:t>Market Value</w:t>
            </w:r>
          </w:p>
        </w:tc>
      </w:tr>
      <w:tr w:rsidR="008B7E19" w:rsidRPr="00F80522" w14:paraId="3399380E" w14:textId="77777777" w:rsidTr="005B5353">
        <w:trPr>
          <w:trHeight w:val="238"/>
          <w:jc w:val="center"/>
        </w:trPr>
        <w:tc>
          <w:tcPr>
            <w:tcW w:w="2268" w:type="dxa"/>
            <w:shd w:val="clear" w:color="auto" w:fill="auto"/>
          </w:tcPr>
          <w:p w14:paraId="733BF3C2" w14:textId="77777777" w:rsidR="008B7E19" w:rsidRPr="00F80522" w:rsidRDefault="008B7E19" w:rsidP="008B7E19">
            <w:pPr>
              <w:pStyle w:val="08-Tabelageral"/>
              <w:ind w:left="113"/>
              <w:jc w:val="left"/>
              <w:rPr>
                <w:szCs w:val="14"/>
              </w:rPr>
            </w:pPr>
            <w:bookmarkStart w:id="48" w:name="_Hlk126155154"/>
            <w:r>
              <w:rPr>
                <w:szCs w:val="14"/>
              </w:rPr>
              <w:t>TPF</w:t>
            </w:r>
            <w:r w:rsidRPr="00F80522">
              <w:rPr>
                <w:szCs w:val="14"/>
              </w:rPr>
              <w:t xml:space="preserve"> </w:t>
            </w:r>
            <w:r w:rsidRPr="00F80522">
              <w:rPr>
                <w:szCs w:val="14"/>
                <w:vertAlign w:val="superscript"/>
              </w:rPr>
              <w:t>(</w:t>
            </w:r>
            <w:r>
              <w:rPr>
                <w:szCs w:val="14"/>
                <w:vertAlign w:val="superscript"/>
              </w:rPr>
              <w:t>1</w:t>
            </w:r>
            <w:r w:rsidRPr="00F80522">
              <w:rPr>
                <w:szCs w:val="14"/>
                <w:vertAlign w:val="superscript"/>
              </w:rPr>
              <w:t>)</w:t>
            </w:r>
          </w:p>
        </w:tc>
        <w:tc>
          <w:tcPr>
            <w:tcW w:w="993" w:type="dxa"/>
            <w:tcBorders>
              <w:top w:val="single" w:sz="2" w:space="0" w:color="1F4E79" w:themeColor="accent1" w:themeShade="80"/>
              <w:left w:val="nil"/>
              <w:bottom w:val="nil"/>
              <w:right w:val="nil"/>
            </w:tcBorders>
            <w:shd w:val="clear" w:color="auto" w:fill="auto"/>
          </w:tcPr>
          <w:p w14:paraId="5E034453" w14:textId="77777777" w:rsidR="008B7E19" w:rsidRPr="00F80522" w:rsidRDefault="008B7E19" w:rsidP="008B7E19">
            <w:pPr>
              <w:pStyle w:val="08-Tabelageral"/>
              <w:rPr>
                <w:szCs w:val="14"/>
              </w:rPr>
            </w:pPr>
            <w:r w:rsidRPr="005160FB">
              <w:t>347</w:t>
            </w:r>
            <w:r>
              <w:t>,</w:t>
            </w:r>
            <w:r w:rsidRPr="005160FB">
              <w:t>020</w:t>
            </w:r>
          </w:p>
        </w:tc>
        <w:tc>
          <w:tcPr>
            <w:tcW w:w="992" w:type="dxa"/>
            <w:tcBorders>
              <w:top w:val="single" w:sz="2" w:space="0" w:color="1F4E79" w:themeColor="accent1" w:themeShade="80"/>
              <w:left w:val="nil"/>
              <w:bottom w:val="nil"/>
              <w:right w:val="nil"/>
            </w:tcBorders>
            <w:shd w:val="clear" w:color="auto" w:fill="auto"/>
          </w:tcPr>
          <w:p w14:paraId="3E60FEE4" w14:textId="77777777" w:rsidR="008B7E19" w:rsidRPr="00F80522" w:rsidRDefault="008B7E19" w:rsidP="008B7E19">
            <w:pPr>
              <w:pStyle w:val="08-Tabelageral"/>
              <w:rPr>
                <w:szCs w:val="14"/>
              </w:rPr>
            </w:pPr>
            <w:r w:rsidRPr="005160FB">
              <w:t>350</w:t>
            </w:r>
            <w:r>
              <w:t>,</w:t>
            </w:r>
            <w:r w:rsidRPr="005160FB">
              <w:t>217</w:t>
            </w:r>
          </w:p>
        </w:tc>
        <w:tc>
          <w:tcPr>
            <w:tcW w:w="1134" w:type="dxa"/>
            <w:tcBorders>
              <w:top w:val="single" w:sz="2" w:space="0" w:color="1F4E79" w:themeColor="accent1" w:themeShade="80"/>
              <w:left w:val="nil"/>
              <w:bottom w:val="nil"/>
              <w:right w:val="nil"/>
            </w:tcBorders>
            <w:shd w:val="clear" w:color="auto" w:fill="auto"/>
          </w:tcPr>
          <w:p w14:paraId="2A1F4965" w14:textId="77777777" w:rsidR="008B7E19" w:rsidRPr="00F80522" w:rsidRDefault="008B7E19" w:rsidP="008B7E19">
            <w:pPr>
              <w:pStyle w:val="08-Tabelageral"/>
              <w:rPr>
                <w:szCs w:val="14"/>
              </w:rPr>
            </w:pPr>
            <w:r>
              <w:rPr>
                <w:rFonts w:cs="Arial"/>
              </w:rPr>
              <w:t>976,095</w:t>
            </w:r>
          </w:p>
        </w:tc>
        <w:tc>
          <w:tcPr>
            <w:tcW w:w="1134" w:type="dxa"/>
            <w:tcBorders>
              <w:top w:val="single" w:sz="2" w:space="0" w:color="1F4E79" w:themeColor="accent1" w:themeShade="80"/>
              <w:left w:val="nil"/>
              <w:bottom w:val="nil"/>
              <w:right w:val="nil"/>
            </w:tcBorders>
            <w:shd w:val="clear" w:color="auto" w:fill="auto"/>
          </w:tcPr>
          <w:p w14:paraId="0D4F75FF" w14:textId="77777777" w:rsidR="008B7E19" w:rsidRPr="00F80522" w:rsidRDefault="008B7E19" w:rsidP="008B7E19">
            <w:pPr>
              <w:pStyle w:val="08-Tabelageral"/>
              <w:rPr>
                <w:szCs w:val="14"/>
              </w:rPr>
            </w:pPr>
            <w:r>
              <w:rPr>
                <w:rFonts w:cs="Arial"/>
              </w:rPr>
              <w:t>--</w:t>
            </w:r>
          </w:p>
        </w:tc>
        <w:tc>
          <w:tcPr>
            <w:tcW w:w="1134" w:type="dxa"/>
            <w:tcBorders>
              <w:top w:val="single" w:sz="2" w:space="0" w:color="1F4E79" w:themeColor="accent1" w:themeShade="80"/>
              <w:left w:val="nil"/>
              <w:bottom w:val="nil"/>
              <w:right w:val="nil"/>
            </w:tcBorders>
            <w:shd w:val="clear" w:color="auto" w:fill="auto"/>
          </w:tcPr>
          <w:p w14:paraId="3C6E63FF" w14:textId="77777777" w:rsidR="008B7E19" w:rsidRPr="00F80522" w:rsidRDefault="008B7E19" w:rsidP="008B7E19">
            <w:pPr>
              <w:pStyle w:val="08-Tabelageral"/>
              <w:rPr>
                <w:rFonts w:cs="Arial"/>
                <w:szCs w:val="14"/>
              </w:rPr>
            </w:pPr>
            <w:r>
              <w:rPr>
                <w:rFonts w:cs="Arial"/>
              </w:rPr>
              <w:t>57,778</w:t>
            </w:r>
          </w:p>
        </w:tc>
        <w:tc>
          <w:tcPr>
            <w:tcW w:w="992" w:type="dxa"/>
            <w:tcBorders>
              <w:top w:val="single" w:sz="2" w:space="0" w:color="1F4E79" w:themeColor="accent1" w:themeShade="80"/>
              <w:left w:val="nil"/>
              <w:bottom w:val="nil"/>
              <w:right w:val="nil"/>
            </w:tcBorders>
            <w:shd w:val="clear" w:color="auto" w:fill="auto"/>
          </w:tcPr>
          <w:p w14:paraId="71FEF57D" w14:textId="77777777" w:rsidR="008B7E19" w:rsidRPr="00F80522" w:rsidRDefault="008B7E19" w:rsidP="008B7E19">
            <w:pPr>
              <w:pStyle w:val="08-Tabelageral"/>
              <w:rPr>
                <w:szCs w:val="14"/>
              </w:rPr>
            </w:pPr>
            <w:r>
              <w:rPr>
                <w:rFonts w:cs="Arial"/>
              </w:rPr>
              <w:t>1,323,115</w:t>
            </w:r>
          </w:p>
        </w:tc>
        <w:tc>
          <w:tcPr>
            <w:tcW w:w="992" w:type="dxa"/>
            <w:tcBorders>
              <w:top w:val="single" w:sz="2" w:space="0" w:color="1F4E79" w:themeColor="accent1" w:themeShade="80"/>
              <w:left w:val="nil"/>
              <w:bottom w:val="nil"/>
              <w:right w:val="nil"/>
            </w:tcBorders>
            <w:shd w:val="clear" w:color="auto" w:fill="auto"/>
          </w:tcPr>
          <w:p w14:paraId="5D1CC407" w14:textId="77777777" w:rsidR="008B7E19" w:rsidRPr="00F80522" w:rsidRDefault="008B7E19" w:rsidP="008B7E19">
            <w:pPr>
              <w:pStyle w:val="08-Tabelageral"/>
              <w:rPr>
                <w:szCs w:val="14"/>
              </w:rPr>
            </w:pPr>
            <w:r>
              <w:rPr>
                <w:rFonts w:cs="Arial"/>
              </w:rPr>
              <w:t>1,384,090</w:t>
            </w:r>
          </w:p>
        </w:tc>
      </w:tr>
      <w:tr w:rsidR="008B7E19" w:rsidRPr="00F80522" w14:paraId="7D40B2C9" w14:textId="77777777" w:rsidTr="005B5353">
        <w:trPr>
          <w:trHeight w:val="238"/>
          <w:jc w:val="center"/>
        </w:trPr>
        <w:tc>
          <w:tcPr>
            <w:tcW w:w="2268" w:type="dxa"/>
            <w:shd w:val="clear" w:color="auto" w:fill="auto"/>
          </w:tcPr>
          <w:p w14:paraId="18084010" w14:textId="77777777" w:rsidR="008B7E19" w:rsidRPr="00F80522" w:rsidRDefault="008B7E19" w:rsidP="008B7E19">
            <w:pPr>
              <w:pStyle w:val="08-Tabelageral"/>
              <w:ind w:left="113"/>
              <w:jc w:val="left"/>
              <w:rPr>
                <w:szCs w:val="14"/>
              </w:rPr>
            </w:pPr>
            <w:r w:rsidRPr="004071D8">
              <w:rPr>
                <w:szCs w:val="14"/>
              </w:rPr>
              <w:t>Long-term fund</w:t>
            </w:r>
            <w:r w:rsidRPr="00F80522">
              <w:rPr>
                <w:szCs w:val="14"/>
              </w:rPr>
              <w:t xml:space="preserve"> </w:t>
            </w:r>
            <w:r w:rsidRPr="00F80522">
              <w:rPr>
                <w:szCs w:val="14"/>
                <w:vertAlign w:val="superscript"/>
              </w:rPr>
              <w:t>(</w:t>
            </w:r>
            <w:r>
              <w:rPr>
                <w:szCs w:val="14"/>
                <w:vertAlign w:val="superscript"/>
              </w:rPr>
              <w:t>2</w:t>
            </w:r>
            <w:r w:rsidRPr="00F80522">
              <w:rPr>
                <w:szCs w:val="14"/>
                <w:vertAlign w:val="superscript"/>
              </w:rPr>
              <w:t>)</w:t>
            </w:r>
          </w:p>
        </w:tc>
        <w:tc>
          <w:tcPr>
            <w:tcW w:w="993" w:type="dxa"/>
            <w:tcBorders>
              <w:top w:val="nil"/>
              <w:left w:val="nil"/>
              <w:bottom w:val="nil"/>
              <w:right w:val="nil"/>
            </w:tcBorders>
            <w:shd w:val="clear" w:color="auto" w:fill="auto"/>
          </w:tcPr>
          <w:p w14:paraId="0F8E6A86" w14:textId="77777777" w:rsidR="008B7E19" w:rsidRPr="00F80522" w:rsidRDefault="008B7E19" w:rsidP="008B7E19">
            <w:pPr>
              <w:pStyle w:val="08-Tabelageral"/>
              <w:rPr>
                <w:szCs w:val="14"/>
              </w:rPr>
            </w:pPr>
            <w:r w:rsidRPr="005160FB">
              <w:t>10</w:t>
            </w:r>
            <w:r>
              <w:t>,</w:t>
            </w:r>
            <w:r w:rsidRPr="005160FB">
              <w:t>572</w:t>
            </w:r>
          </w:p>
        </w:tc>
        <w:tc>
          <w:tcPr>
            <w:tcW w:w="992" w:type="dxa"/>
            <w:tcBorders>
              <w:top w:val="nil"/>
              <w:left w:val="nil"/>
              <w:bottom w:val="nil"/>
              <w:right w:val="nil"/>
            </w:tcBorders>
            <w:shd w:val="clear" w:color="auto" w:fill="auto"/>
          </w:tcPr>
          <w:p w14:paraId="65995FCF" w14:textId="77777777" w:rsidR="008B7E19" w:rsidRPr="00F80522" w:rsidRDefault="008B7E19" w:rsidP="008B7E19">
            <w:pPr>
              <w:pStyle w:val="08-Tabelageral"/>
              <w:rPr>
                <w:szCs w:val="14"/>
              </w:rPr>
            </w:pPr>
            <w:r w:rsidRPr="005160FB">
              <w:t>18</w:t>
            </w:r>
            <w:r>
              <w:t>,</w:t>
            </w:r>
            <w:r w:rsidRPr="005160FB">
              <w:t>064</w:t>
            </w:r>
          </w:p>
        </w:tc>
        <w:tc>
          <w:tcPr>
            <w:tcW w:w="1134" w:type="dxa"/>
            <w:tcBorders>
              <w:top w:val="nil"/>
              <w:left w:val="nil"/>
              <w:bottom w:val="nil"/>
              <w:right w:val="nil"/>
            </w:tcBorders>
            <w:shd w:val="clear" w:color="auto" w:fill="auto"/>
          </w:tcPr>
          <w:p w14:paraId="47FD6CD4" w14:textId="77777777" w:rsidR="008B7E19" w:rsidRPr="00F80522" w:rsidRDefault="008B7E19" w:rsidP="008B7E19">
            <w:pPr>
              <w:pStyle w:val="08-Tabelageral"/>
              <w:rPr>
                <w:szCs w:val="14"/>
              </w:rPr>
            </w:pPr>
            <w:r>
              <w:rPr>
                <w:rFonts w:cs="Arial"/>
                <w:bCs/>
              </w:rPr>
              <w:t>1,532</w:t>
            </w:r>
          </w:p>
        </w:tc>
        <w:tc>
          <w:tcPr>
            <w:tcW w:w="1134" w:type="dxa"/>
            <w:tcBorders>
              <w:top w:val="nil"/>
              <w:left w:val="nil"/>
              <w:bottom w:val="nil"/>
              <w:right w:val="nil"/>
            </w:tcBorders>
            <w:shd w:val="clear" w:color="auto" w:fill="auto"/>
          </w:tcPr>
          <w:p w14:paraId="6044D8AE" w14:textId="77777777" w:rsidR="008B7E19" w:rsidRPr="00F80522" w:rsidRDefault="008B7E19" w:rsidP="008B7E19">
            <w:pPr>
              <w:pStyle w:val="08-Tabelageral"/>
              <w:rPr>
                <w:szCs w:val="14"/>
              </w:rPr>
            </w:pPr>
            <w:r>
              <w:rPr>
                <w:rFonts w:cs="Arial"/>
                <w:bCs/>
              </w:rPr>
              <w:t>--</w:t>
            </w:r>
          </w:p>
        </w:tc>
        <w:tc>
          <w:tcPr>
            <w:tcW w:w="1134" w:type="dxa"/>
            <w:tcBorders>
              <w:top w:val="nil"/>
              <w:left w:val="nil"/>
              <w:bottom w:val="nil"/>
              <w:right w:val="nil"/>
            </w:tcBorders>
            <w:shd w:val="clear" w:color="auto" w:fill="auto"/>
          </w:tcPr>
          <w:p w14:paraId="4C3978FB" w14:textId="77777777" w:rsidR="008B7E19" w:rsidRPr="00F80522" w:rsidRDefault="008B7E19" w:rsidP="008B7E19">
            <w:pPr>
              <w:pStyle w:val="08-Tabelageral"/>
              <w:rPr>
                <w:rFonts w:cs="Arial"/>
                <w:szCs w:val="14"/>
              </w:rPr>
            </w:pPr>
            <w:r>
              <w:rPr>
                <w:rFonts w:cs="Arial"/>
                <w:bCs/>
              </w:rPr>
              <w:t>(1,864)</w:t>
            </w:r>
          </w:p>
        </w:tc>
        <w:tc>
          <w:tcPr>
            <w:tcW w:w="992" w:type="dxa"/>
            <w:tcBorders>
              <w:top w:val="nil"/>
              <w:left w:val="nil"/>
              <w:bottom w:val="nil"/>
              <w:right w:val="nil"/>
            </w:tcBorders>
            <w:shd w:val="clear" w:color="auto" w:fill="auto"/>
          </w:tcPr>
          <w:p w14:paraId="53E312FE" w14:textId="77777777" w:rsidR="008B7E19" w:rsidRPr="00F80522" w:rsidRDefault="008B7E19" w:rsidP="008B7E19">
            <w:pPr>
              <w:pStyle w:val="08-Tabelageral"/>
              <w:rPr>
                <w:szCs w:val="14"/>
              </w:rPr>
            </w:pPr>
            <w:r>
              <w:rPr>
                <w:rFonts w:cs="Arial"/>
                <w:bCs/>
              </w:rPr>
              <w:t>12,104</w:t>
            </w:r>
          </w:p>
        </w:tc>
        <w:tc>
          <w:tcPr>
            <w:tcW w:w="992" w:type="dxa"/>
            <w:tcBorders>
              <w:top w:val="nil"/>
              <w:left w:val="nil"/>
              <w:bottom w:val="nil"/>
              <w:right w:val="nil"/>
            </w:tcBorders>
            <w:shd w:val="clear" w:color="auto" w:fill="auto"/>
          </w:tcPr>
          <w:p w14:paraId="495C83FF" w14:textId="77777777" w:rsidR="008B7E19" w:rsidRPr="00F80522" w:rsidRDefault="008B7E19" w:rsidP="008B7E19">
            <w:pPr>
              <w:pStyle w:val="08-Tabelageral"/>
              <w:rPr>
                <w:szCs w:val="14"/>
              </w:rPr>
            </w:pPr>
            <w:r>
              <w:rPr>
                <w:rFonts w:cs="Arial"/>
                <w:bCs/>
              </w:rPr>
              <w:t>17,732</w:t>
            </w:r>
          </w:p>
        </w:tc>
      </w:tr>
      <w:bookmarkEnd w:id="48"/>
      <w:tr w:rsidR="008B7E19" w:rsidRPr="00F80522" w14:paraId="2A34AB54" w14:textId="77777777" w:rsidTr="005B5353">
        <w:trPr>
          <w:trHeight w:val="238"/>
          <w:jc w:val="center"/>
        </w:trPr>
        <w:tc>
          <w:tcPr>
            <w:tcW w:w="2268" w:type="dxa"/>
            <w:tcBorders>
              <w:bottom w:val="single" w:sz="2" w:space="0" w:color="1F4E79" w:themeColor="accent1" w:themeShade="80"/>
            </w:tcBorders>
            <w:shd w:val="clear" w:color="auto" w:fill="auto"/>
          </w:tcPr>
          <w:p w14:paraId="3617D177" w14:textId="77777777" w:rsidR="008B7E19" w:rsidRPr="00F80522" w:rsidRDefault="008B7E19" w:rsidP="008B7E19">
            <w:pPr>
              <w:pStyle w:val="08-Tabelageral"/>
              <w:jc w:val="left"/>
              <w:rPr>
                <w:b/>
                <w:szCs w:val="14"/>
              </w:rPr>
            </w:pPr>
            <w:r w:rsidRPr="00F80522">
              <w:rPr>
                <w:b/>
                <w:szCs w:val="14"/>
              </w:rPr>
              <w:t xml:space="preserve">Total </w:t>
            </w:r>
          </w:p>
        </w:tc>
        <w:tc>
          <w:tcPr>
            <w:tcW w:w="993" w:type="dxa"/>
            <w:tcBorders>
              <w:top w:val="nil"/>
              <w:left w:val="nil"/>
              <w:bottom w:val="single" w:sz="2" w:space="0" w:color="1F4E79" w:themeColor="accent1" w:themeShade="80"/>
              <w:right w:val="nil"/>
            </w:tcBorders>
            <w:shd w:val="clear" w:color="auto" w:fill="auto"/>
          </w:tcPr>
          <w:p w14:paraId="4ACB933A" w14:textId="77777777" w:rsidR="008B7E19" w:rsidRPr="00F80522" w:rsidRDefault="008B7E19" w:rsidP="008B7E19">
            <w:pPr>
              <w:pStyle w:val="08-Tabelageral"/>
              <w:rPr>
                <w:b/>
                <w:szCs w:val="14"/>
              </w:rPr>
            </w:pPr>
            <w:r w:rsidRPr="009D1FB8">
              <w:rPr>
                <w:b/>
                <w:bCs/>
              </w:rPr>
              <w:t>357</w:t>
            </w:r>
            <w:r>
              <w:rPr>
                <w:b/>
                <w:bCs/>
              </w:rPr>
              <w:t>,</w:t>
            </w:r>
            <w:r w:rsidRPr="009D1FB8">
              <w:rPr>
                <w:b/>
                <w:bCs/>
              </w:rPr>
              <w:t>592</w:t>
            </w:r>
          </w:p>
        </w:tc>
        <w:tc>
          <w:tcPr>
            <w:tcW w:w="992" w:type="dxa"/>
            <w:tcBorders>
              <w:top w:val="nil"/>
              <w:left w:val="nil"/>
              <w:bottom w:val="single" w:sz="2" w:space="0" w:color="1F4E79" w:themeColor="accent1" w:themeShade="80"/>
              <w:right w:val="nil"/>
            </w:tcBorders>
            <w:shd w:val="clear" w:color="auto" w:fill="auto"/>
          </w:tcPr>
          <w:p w14:paraId="7EDBFF78" w14:textId="77777777" w:rsidR="008B7E19" w:rsidRPr="00F80522" w:rsidRDefault="008B7E19" w:rsidP="008B7E19">
            <w:pPr>
              <w:pStyle w:val="08-Tabelageral"/>
              <w:rPr>
                <w:b/>
                <w:szCs w:val="14"/>
              </w:rPr>
            </w:pPr>
            <w:r w:rsidRPr="009D1FB8">
              <w:rPr>
                <w:b/>
                <w:bCs/>
              </w:rPr>
              <w:t>368</w:t>
            </w:r>
            <w:r>
              <w:rPr>
                <w:b/>
                <w:bCs/>
              </w:rPr>
              <w:t>,</w:t>
            </w:r>
            <w:r w:rsidRPr="009D1FB8">
              <w:rPr>
                <w:b/>
                <w:bCs/>
              </w:rPr>
              <w:t>281</w:t>
            </w:r>
          </w:p>
        </w:tc>
        <w:tc>
          <w:tcPr>
            <w:tcW w:w="1134" w:type="dxa"/>
            <w:tcBorders>
              <w:top w:val="nil"/>
              <w:left w:val="nil"/>
              <w:bottom w:val="single" w:sz="2" w:space="0" w:color="1F4E79" w:themeColor="accent1" w:themeShade="80"/>
              <w:right w:val="nil"/>
            </w:tcBorders>
            <w:shd w:val="clear" w:color="auto" w:fill="auto"/>
          </w:tcPr>
          <w:p w14:paraId="58E491E8" w14:textId="77777777" w:rsidR="008B7E19" w:rsidRPr="00F80522" w:rsidRDefault="008B7E19" w:rsidP="008B7E19">
            <w:pPr>
              <w:pStyle w:val="08-Tabelageral"/>
              <w:rPr>
                <w:b/>
                <w:szCs w:val="14"/>
              </w:rPr>
            </w:pPr>
            <w:r>
              <w:rPr>
                <w:rFonts w:cs="Arial"/>
                <w:b/>
                <w:bCs/>
              </w:rPr>
              <w:t>977,927</w:t>
            </w:r>
          </w:p>
        </w:tc>
        <w:tc>
          <w:tcPr>
            <w:tcW w:w="1134" w:type="dxa"/>
            <w:tcBorders>
              <w:top w:val="nil"/>
              <w:left w:val="nil"/>
              <w:bottom w:val="single" w:sz="2" w:space="0" w:color="1F4E79" w:themeColor="accent1" w:themeShade="80"/>
              <w:right w:val="nil"/>
            </w:tcBorders>
            <w:shd w:val="clear" w:color="auto" w:fill="auto"/>
          </w:tcPr>
          <w:p w14:paraId="53BE6019" w14:textId="77777777" w:rsidR="008B7E19" w:rsidRPr="00F80522" w:rsidRDefault="008B7E19" w:rsidP="008B7E19">
            <w:pPr>
              <w:pStyle w:val="08-Tabelageral"/>
              <w:rPr>
                <w:b/>
                <w:szCs w:val="14"/>
              </w:rPr>
            </w:pPr>
            <w:r>
              <w:rPr>
                <w:rFonts w:cs="Arial"/>
                <w:b/>
                <w:bCs/>
              </w:rPr>
              <w:t>--</w:t>
            </w:r>
          </w:p>
        </w:tc>
        <w:tc>
          <w:tcPr>
            <w:tcW w:w="1134" w:type="dxa"/>
            <w:tcBorders>
              <w:top w:val="nil"/>
              <w:left w:val="nil"/>
              <w:bottom w:val="single" w:sz="2" w:space="0" w:color="1F4E79" w:themeColor="accent1" w:themeShade="80"/>
              <w:right w:val="nil"/>
            </w:tcBorders>
            <w:shd w:val="clear" w:color="auto" w:fill="auto"/>
          </w:tcPr>
          <w:p w14:paraId="497991B9" w14:textId="77777777" w:rsidR="008B7E19" w:rsidRPr="00F80522" w:rsidRDefault="008B7E19" w:rsidP="008B7E19">
            <w:pPr>
              <w:pStyle w:val="08-Tabelageral"/>
              <w:rPr>
                <w:rFonts w:cs="Arial"/>
                <w:b/>
                <w:szCs w:val="14"/>
              </w:rPr>
            </w:pPr>
            <w:r>
              <w:rPr>
                <w:rFonts w:cs="Arial"/>
                <w:b/>
                <w:bCs/>
              </w:rPr>
              <w:t>55,914</w:t>
            </w:r>
          </w:p>
        </w:tc>
        <w:tc>
          <w:tcPr>
            <w:tcW w:w="992" w:type="dxa"/>
            <w:tcBorders>
              <w:top w:val="nil"/>
              <w:left w:val="nil"/>
              <w:bottom w:val="single" w:sz="2" w:space="0" w:color="1F4E79" w:themeColor="accent1" w:themeShade="80"/>
              <w:right w:val="nil"/>
            </w:tcBorders>
            <w:shd w:val="clear" w:color="auto" w:fill="auto"/>
          </w:tcPr>
          <w:p w14:paraId="57D83C99" w14:textId="77777777" w:rsidR="008B7E19" w:rsidRPr="00F80522" w:rsidRDefault="008B7E19" w:rsidP="008B7E19">
            <w:pPr>
              <w:pStyle w:val="08-Tabelageral"/>
              <w:rPr>
                <w:b/>
                <w:szCs w:val="14"/>
              </w:rPr>
            </w:pPr>
            <w:r>
              <w:rPr>
                <w:rFonts w:cs="Arial"/>
                <w:b/>
                <w:bCs/>
              </w:rPr>
              <w:t>1,335,219</w:t>
            </w:r>
          </w:p>
        </w:tc>
        <w:tc>
          <w:tcPr>
            <w:tcW w:w="992" w:type="dxa"/>
            <w:tcBorders>
              <w:top w:val="nil"/>
              <w:left w:val="nil"/>
              <w:bottom w:val="single" w:sz="2" w:space="0" w:color="1F4E79" w:themeColor="accent1" w:themeShade="80"/>
              <w:right w:val="nil"/>
            </w:tcBorders>
            <w:shd w:val="clear" w:color="auto" w:fill="auto"/>
          </w:tcPr>
          <w:p w14:paraId="1D99A3FC" w14:textId="77777777" w:rsidR="008B7E19" w:rsidRPr="00F80522" w:rsidRDefault="008B7E19" w:rsidP="008B7E19">
            <w:pPr>
              <w:pStyle w:val="08-Tabelageral"/>
              <w:rPr>
                <w:b/>
                <w:szCs w:val="14"/>
              </w:rPr>
            </w:pPr>
            <w:r>
              <w:rPr>
                <w:rFonts w:cs="Arial"/>
                <w:b/>
                <w:bCs/>
              </w:rPr>
              <w:t>1,401,822</w:t>
            </w:r>
          </w:p>
        </w:tc>
      </w:tr>
    </w:tbl>
    <w:p w14:paraId="419D7282" w14:textId="77777777" w:rsidR="008B7E19" w:rsidRPr="000C2D31" w:rsidRDefault="008B7E19" w:rsidP="008B7E19">
      <w:pPr>
        <w:pStyle w:val="PargrafodaLista"/>
        <w:numPr>
          <w:ilvl w:val="0"/>
          <w:numId w:val="19"/>
        </w:numPr>
        <w:spacing w:after="0"/>
        <w:jc w:val="both"/>
        <w:rPr>
          <w:rFonts w:ascii="Arial" w:eastAsia="Times New Roman" w:hAnsi="Arial" w:cs="Times New Roman"/>
          <w:spacing w:val="-2"/>
          <w:sz w:val="14"/>
          <w:szCs w:val="18"/>
          <w:lang w:val="en-US" w:eastAsia="pt-BR"/>
        </w:rPr>
      </w:pPr>
      <w:r w:rsidRPr="000C2D31">
        <w:rPr>
          <w:rFonts w:ascii="Arial" w:eastAsia="Times New Roman" w:hAnsi="Arial" w:cs="Times New Roman"/>
          <w:spacing w:val="-2"/>
          <w:sz w:val="14"/>
          <w:szCs w:val="18"/>
          <w:lang w:val="en-US" w:eastAsia="pt-BR"/>
        </w:rPr>
        <w:t>Amounts invested in Federal Public Bonds, in their entirety LFTs maturing in 09.2025 and 03.2026.</w:t>
      </w:r>
    </w:p>
    <w:p w14:paraId="503EB985" w14:textId="77777777" w:rsidR="008B7E19" w:rsidRDefault="008B7E19" w:rsidP="008B7E19">
      <w:pPr>
        <w:pStyle w:val="07-Legenda"/>
        <w:numPr>
          <w:ilvl w:val="0"/>
          <w:numId w:val="19"/>
        </w:numPr>
        <w:spacing w:line="276" w:lineRule="auto"/>
        <w:rPr>
          <w:lang w:val="en-US"/>
        </w:rPr>
      </w:pPr>
      <w:r w:rsidRPr="000C2D31">
        <w:rPr>
          <w:lang w:val="en-US"/>
        </w:rPr>
        <w:t>Refers to investments in Private Equity Investment Funds (FIP) whose objective is to invest its Shareholders' Equity in the acquisition of shares, or financial instruments that present participation, in companies in the initial stage of operation.</w:t>
      </w:r>
    </w:p>
    <w:p w14:paraId="11600A6C" w14:textId="77777777" w:rsidR="008B7E19" w:rsidRPr="00050B4D" w:rsidRDefault="008B7E19" w:rsidP="008B7E19">
      <w:pPr>
        <w:pStyle w:val="05-Textonormal"/>
        <w:rPr>
          <w:lang w:val="en-US"/>
        </w:rPr>
      </w:pPr>
      <w:r w:rsidRPr="003F486A">
        <w:rPr>
          <w:lang w:val="en-US"/>
        </w:rPr>
        <w:t xml:space="preserve">As of the </w:t>
      </w:r>
      <w:r>
        <w:rPr>
          <w:lang w:val="en-US"/>
        </w:rPr>
        <w:t>fourth</w:t>
      </w:r>
      <w:r w:rsidRPr="003F486A">
        <w:rPr>
          <w:lang w:val="en-US"/>
        </w:rPr>
        <w:t xml:space="preserve"> quarter of 2022, the Company started to allocate resources in direct investments in Financial Treasury Bills (LFTs). This movement is in line with the Financial Investment Policy and the strategy of seeking greater profitability, considering the horizon of demandability of the Company's liabilities.</w:t>
      </w:r>
    </w:p>
    <w:p w14:paraId="2C7C8250" w14:textId="77777777" w:rsidR="008B7E19" w:rsidRPr="003F486A" w:rsidRDefault="008B7E19" w:rsidP="008B7E19">
      <w:pPr>
        <w:pStyle w:val="05-Textonormal"/>
        <w:numPr>
          <w:ilvl w:val="0"/>
          <w:numId w:val="7"/>
        </w:numPr>
        <w:rPr>
          <w:b/>
          <w:color w:val="1F4E79" w:themeColor="accent1" w:themeShade="80"/>
          <w:lang w:val="en-US"/>
        </w:rPr>
      </w:pPr>
      <w:r w:rsidRPr="003F486A">
        <w:rPr>
          <w:b/>
          <w:color w:val="1F4E79" w:themeColor="accent1" w:themeShade="80"/>
          <w:lang w:val="en-US"/>
        </w:rPr>
        <w:t>Fair Value Hierarchy</w:t>
      </w:r>
      <w:r w:rsidRPr="003F486A">
        <w:rPr>
          <w:b/>
          <w:color w:val="1F4E79" w:themeColor="accent1" w:themeShade="80"/>
          <w:lang w:val="en-US"/>
        </w:rPr>
        <w:tab/>
      </w:r>
    </w:p>
    <w:p w14:paraId="3FA00FEE" w14:textId="77777777" w:rsidR="008B7E19" w:rsidRPr="003F486A" w:rsidRDefault="008B7E19" w:rsidP="008B7E19">
      <w:pPr>
        <w:pStyle w:val="05-Textonormal"/>
        <w:rPr>
          <w:highlight w:val="yellow"/>
          <w:lang w:val="en-US"/>
        </w:rPr>
      </w:pPr>
      <w:r w:rsidRPr="00D5372A">
        <w:rPr>
          <w:lang w:val="en-US"/>
        </w:rPr>
        <w:t xml:space="preserve">The Company classifies financial instruments into three levels of subjectivity in determining fair value. </w:t>
      </w:r>
      <w:r w:rsidRPr="003F486A">
        <w:rPr>
          <w:lang w:val="en-US"/>
        </w:rPr>
        <w:t>The different levels are defined as follows:</w:t>
      </w:r>
    </w:p>
    <w:p w14:paraId="7A8FE145" w14:textId="77777777" w:rsidR="008B7E19" w:rsidRPr="00D5372A" w:rsidRDefault="008B7E19" w:rsidP="008B7E19">
      <w:pPr>
        <w:pStyle w:val="05-Textonormal"/>
        <w:numPr>
          <w:ilvl w:val="0"/>
          <w:numId w:val="1"/>
        </w:numPr>
        <w:rPr>
          <w:lang w:val="en-US"/>
        </w:rPr>
      </w:pPr>
      <w:r w:rsidRPr="00D5372A">
        <w:rPr>
          <w:lang w:val="en-US"/>
        </w:rPr>
        <w:t>Level 1: Quoted prices in active markets for identical assets or liabilities;</w:t>
      </w:r>
    </w:p>
    <w:p w14:paraId="7CC1FCAA" w14:textId="77777777" w:rsidR="008B7E19" w:rsidRPr="00D5372A" w:rsidRDefault="008B7E19" w:rsidP="008B7E19">
      <w:pPr>
        <w:pStyle w:val="05-Textonormal"/>
        <w:numPr>
          <w:ilvl w:val="0"/>
          <w:numId w:val="1"/>
        </w:numPr>
        <w:rPr>
          <w:b/>
          <w:color w:val="1F4E79" w:themeColor="accent1" w:themeShade="80"/>
          <w:lang w:val="en-US"/>
        </w:rPr>
      </w:pPr>
      <w:r w:rsidRPr="00D5372A">
        <w:rPr>
          <w:lang w:val="en-US"/>
        </w:rPr>
        <w:t xml:space="preserve">Level 2: Inputs other than quoted prices included within Level 1 that are observable for the asset or liability, either directly (prices) or indirectly (derived from prices); </w:t>
      </w:r>
    </w:p>
    <w:p w14:paraId="3906F57A" w14:textId="77777777" w:rsidR="008B7E19" w:rsidRPr="00D5372A" w:rsidRDefault="008B7E19" w:rsidP="008B7E19">
      <w:pPr>
        <w:pStyle w:val="05-Textonormal"/>
        <w:numPr>
          <w:ilvl w:val="0"/>
          <w:numId w:val="1"/>
        </w:numPr>
        <w:rPr>
          <w:b/>
          <w:color w:val="1F4E79" w:themeColor="accent1" w:themeShade="80"/>
          <w:lang w:val="en-US"/>
        </w:rPr>
      </w:pPr>
      <w:r w:rsidRPr="00D5372A">
        <w:rPr>
          <w:lang w:val="en-US"/>
        </w:rPr>
        <w:t>Level 3: Assumptions for the asset or liability that are not based on observable market data (unobservable inputs). There are no financial instruments classified in level 3 of the investment portfolio.</w:t>
      </w:r>
    </w:p>
    <w:p w14:paraId="5B041C90" w14:textId="77777777" w:rsidR="008B7E19" w:rsidRPr="000F0D18" w:rsidRDefault="008B7E19" w:rsidP="008B7E19">
      <w:pPr>
        <w:pStyle w:val="PargrafodaLista"/>
        <w:keepNext/>
        <w:spacing w:after="0" w:line="240" w:lineRule="auto"/>
        <w:ind w:left="357" w:right="-1"/>
        <w:jc w:val="right"/>
        <w:rPr>
          <w:rFonts w:ascii="Arial" w:hAnsi="Arial" w:cs="Arial"/>
          <w:b/>
          <w:sz w:val="14"/>
          <w:szCs w:val="14"/>
          <w:lang w:eastAsia="pt-BR"/>
        </w:rPr>
      </w:pPr>
      <w:r w:rsidRPr="000F0D18">
        <w:rPr>
          <w:rFonts w:ascii="Arial" w:hAnsi="Arial" w:cs="Arial"/>
          <w:b/>
          <w:sz w:val="14"/>
          <w:szCs w:val="14"/>
        </w:rPr>
        <w:t xml:space="preserve">R$ </w:t>
      </w:r>
      <w:r>
        <w:rPr>
          <w:rFonts w:ascii="Arial" w:hAnsi="Arial" w:cs="Arial"/>
          <w:b/>
          <w:sz w:val="14"/>
          <w:szCs w:val="14"/>
        </w:rPr>
        <w:t>thousand</w:t>
      </w:r>
    </w:p>
    <w:tbl>
      <w:tblPr>
        <w:tblW w:w="9639" w:type="dxa"/>
        <w:jc w:val="center"/>
        <w:tblLayout w:type="fixed"/>
        <w:tblLook w:val="04A0" w:firstRow="1" w:lastRow="0" w:firstColumn="1" w:lastColumn="0" w:noHBand="0" w:noVBand="1"/>
      </w:tblPr>
      <w:tblGrid>
        <w:gridCol w:w="2296"/>
        <w:gridCol w:w="1224"/>
        <w:gridCol w:w="1224"/>
        <w:gridCol w:w="1224"/>
        <w:gridCol w:w="1223"/>
        <w:gridCol w:w="1224"/>
        <w:gridCol w:w="1224"/>
      </w:tblGrid>
      <w:tr w:rsidR="008B7E19" w:rsidRPr="000F0D18" w14:paraId="1D49618F" w14:textId="77777777" w:rsidTr="008B7E19">
        <w:trPr>
          <w:trHeight w:val="238"/>
          <w:jc w:val="center"/>
        </w:trPr>
        <w:tc>
          <w:tcPr>
            <w:tcW w:w="2296" w:type="dxa"/>
            <w:tcBorders>
              <w:top w:val="single" w:sz="2" w:space="0" w:color="1F4E79" w:themeColor="accent1" w:themeShade="80"/>
            </w:tcBorders>
            <w:shd w:val="clear" w:color="auto" w:fill="auto"/>
            <w:noWrap/>
            <w:hideMark/>
          </w:tcPr>
          <w:p w14:paraId="47C8B8F2" w14:textId="77777777" w:rsidR="008B7E19" w:rsidRPr="000F0D18" w:rsidRDefault="008B7E19" w:rsidP="008B7E19">
            <w:pPr>
              <w:pStyle w:val="08-Tabelageral"/>
              <w:keepLines w:val="0"/>
              <w:jc w:val="center"/>
              <w:rPr>
                <w:rFonts w:cs="Arial"/>
                <w:b/>
              </w:rPr>
            </w:pPr>
          </w:p>
        </w:tc>
        <w:tc>
          <w:tcPr>
            <w:tcW w:w="7343" w:type="dxa"/>
            <w:gridSpan w:val="6"/>
            <w:tcBorders>
              <w:top w:val="single" w:sz="2" w:space="0" w:color="1F4E79" w:themeColor="accent1" w:themeShade="80"/>
              <w:bottom w:val="single" w:sz="2" w:space="0" w:color="1F4E79" w:themeColor="accent1" w:themeShade="80"/>
            </w:tcBorders>
            <w:shd w:val="clear" w:color="auto" w:fill="auto"/>
            <w:noWrap/>
            <w:vAlign w:val="center"/>
            <w:hideMark/>
          </w:tcPr>
          <w:p w14:paraId="7A6C06AF" w14:textId="77777777" w:rsidR="008B7E19" w:rsidRPr="000F0D18" w:rsidRDefault="008B7E19" w:rsidP="008B7E19">
            <w:pPr>
              <w:pStyle w:val="08-Tabelageral"/>
              <w:keepLines w:val="0"/>
              <w:jc w:val="center"/>
              <w:rPr>
                <w:rFonts w:cs="Arial"/>
                <w:b/>
              </w:rPr>
            </w:pPr>
            <w:r>
              <w:rPr>
                <w:rFonts w:cs="Arial"/>
                <w:b/>
              </w:rPr>
              <w:t>Parent</w:t>
            </w:r>
          </w:p>
        </w:tc>
      </w:tr>
      <w:tr w:rsidR="008B7E19" w:rsidRPr="000F0D18" w14:paraId="703D4589" w14:textId="77777777" w:rsidTr="008B7E19">
        <w:trPr>
          <w:trHeight w:val="238"/>
          <w:jc w:val="center"/>
        </w:trPr>
        <w:tc>
          <w:tcPr>
            <w:tcW w:w="2296" w:type="dxa"/>
            <w:shd w:val="clear" w:color="auto" w:fill="auto"/>
            <w:noWrap/>
            <w:hideMark/>
          </w:tcPr>
          <w:p w14:paraId="233079B3" w14:textId="77777777" w:rsidR="008B7E19" w:rsidRPr="000F0D18" w:rsidRDefault="008B7E19" w:rsidP="008B7E19">
            <w:pPr>
              <w:pStyle w:val="08-Tabelageral"/>
              <w:keepLines w:val="0"/>
              <w:jc w:val="center"/>
              <w:rPr>
                <w:rFonts w:cs="Arial"/>
                <w:b/>
              </w:rPr>
            </w:pPr>
          </w:p>
        </w:tc>
        <w:tc>
          <w:tcPr>
            <w:tcW w:w="3672" w:type="dxa"/>
            <w:gridSpan w:val="3"/>
            <w:tcBorders>
              <w:top w:val="single" w:sz="2" w:space="0" w:color="1F4E79" w:themeColor="accent1" w:themeShade="80"/>
              <w:bottom w:val="single" w:sz="2" w:space="0" w:color="1F4E79" w:themeColor="accent1" w:themeShade="80"/>
            </w:tcBorders>
            <w:shd w:val="clear" w:color="auto" w:fill="auto"/>
            <w:noWrap/>
            <w:vAlign w:val="center"/>
            <w:hideMark/>
          </w:tcPr>
          <w:p w14:paraId="15B99E33" w14:textId="77777777" w:rsidR="008B7E19" w:rsidRPr="000F0D18" w:rsidRDefault="008B7E19" w:rsidP="008B7E19">
            <w:pPr>
              <w:pStyle w:val="08-Tabelageral"/>
              <w:keepLines w:val="0"/>
              <w:jc w:val="center"/>
              <w:rPr>
                <w:rFonts w:cs="Arial"/>
                <w:b/>
              </w:rPr>
            </w:pPr>
            <w:r>
              <w:rPr>
                <w:rFonts w:cs="Arial"/>
                <w:b/>
              </w:rPr>
              <w:t xml:space="preserve">June </w:t>
            </w:r>
            <w:r w:rsidRPr="000F0D18">
              <w:rPr>
                <w:rFonts w:cs="Arial"/>
                <w:b/>
              </w:rPr>
              <w:t>3</w:t>
            </w:r>
            <w:r>
              <w:rPr>
                <w:rFonts w:cs="Arial"/>
                <w:b/>
              </w:rPr>
              <w:t xml:space="preserve">0, </w:t>
            </w:r>
            <w:r w:rsidRPr="000F0D18">
              <w:rPr>
                <w:rFonts w:cs="Arial"/>
                <w:b/>
              </w:rPr>
              <w:t>202</w:t>
            </w:r>
            <w:r>
              <w:rPr>
                <w:rFonts w:cs="Arial"/>
                <w:b/>
              </w:rPr>
              <w:t>3</w:t>
            </w:r>
          </w:p>
        </w:tc>
        <w:tc>
          <w:tcPr>
            <w:tcW w:w="3671" w:type="dxa"/>
            <w:gridSpan w:val="3"/>
            <w:tcBorders>
              <w:top w:val="single" w:sz="2" w:space="0" w:color="1F4E79" w:themeColor="accent1" w:themeShade="80"/>
              <w:bottom w:val="single" w:sz="2" w:space="0" w:color="1F4E79" w:themeColor="accent1" w:themeShade="80"/>
            </w:tcBorders>
            <w:shd w:val="clear" w:color="auto" w:fill="auto"/>
            <w:noWrap/>
            <w:vAlign w:val="center"/>
            <w:hideMark/>
          </w:tcPr>
          <w:p w14:paraId="0CF6B9A9" w14:textId="77777777" w:rsidR="008B7E19" w:rsidRPr="000F0D18" w:rsidRDefault="008B7E19" w:rsidP="008B7E19">
            <w:pPr>
              <w:pStyle w:val="08-Tabelageral"/>
              <w:keepLines w:val="0"/>
              <w:jc w:val="center"/>
              <w:rPr>
                <w:rFonts w:cs="Arial"/>
                <w:b/>
              </w:rPr>
            </w:pPr>
            <w:r>
              <w:rPr>
                <w:rFonts w:cs="Arial"/>
                <w:b/>
              </w:rPr>
              <w:t xml:space="preserve">Dec </w:t>
            </w:r>
            <w:r w:rsidRPr="000F0D18">
              <w:rPr>
                <w:rFonts w:cs="Arial"/>
                <w:b/>
              </w:rPr>
              <w:t>31</w:t>
            </w:r>
            <w:r>
              <w:rPr>
                <w:rFonts w:cs="Arial"/>
                <w:b/>
              </w:rPr>
              <w:t xml:space="preserve">, </w:t>
            </w:r>
            <w:r w:rsidRPr="000F0D18">
              <w:rPr>
                <w:rFonts w:cs="Arial"/>
                <w:b/>
              </w:rPr>
              <w:t>20</w:t>
            </w:r>
            <w:r>
              <w:rPr>
                <w:rFonts w:cs="Arial"/>
                <w:b/>
              </w:rPr>
              <w:t>22</w:t>
            </w:r>
          </w:p>
        </w:tc>
      </w:tr>
      <w:tr w:rsidR="008B7E19" w:rsidRPr="000F0D18" w14:paraId="792CAC69" w14:textId="77777777" w:rsidTr="008B7E19">
        <w:trPr>
          <w:trHeight w:val="238"/>
          <w:jc w:val="center"/>
        </w:trPr>
        <w:tc>
          <w:tcPr>
            <w:tcW w:w="2296" w:type="dxa"/>
            <w:tcBorders>
              <w:bottom w:val="single" w:sz="2" w:space="0" w:color="1F4E79" w:themeColor="accent1" w:themeShade="80"/>
            </w:tcBorders>
            <w:shd w:val="clear" w:color="auto" w:fill="auto"/>
            <w:noWrap/>
            <w:hideMark/>
          </w:tcPr>
          <w:p w14:paraId="79A17AFF" w14:textId="77777777" w:rsidR="008B7E19" w:rsidRPr="000F0D18" w:rsidRDefault="008B7E19" w:rsidP="008B7E19">
            <w:pPr>
              <w:pStyle w:val="08-Tabelageral"/>
              <w:keepLines w:val="0"/>
              <w:jc w:val="center"/>
              <w:rPr>
                <w:rFonts w:cs="Arial"/>
                <w:b/>
              </w:rPr>
            </w:pPr>
          </w:p>
        </w:tc>
        <w:tc>
          <w:tcPr>
            <w:tcW w:w="1224" w:type="dxa"/>
            <w:tcBorders>
              <w:top w:val="single" w:sz="2" w:space="0" w:color="1F4E79" w:themeColor="accent1" w:themeShade="80"/>
              <w:bottom w:val="single" w:sz="2" w:space="0" w:color="1F4E79" w:themeColor="accent1" w:themeShade="80"/>
            </w:tcBorders>
            <w:shd w:val="clear" w:color="auto" w:fill="auto"/>
            <w:vAlign w:val="center"/>
            <w:hideMark/>
          </w:tcPr>
          <w:p w14:paraId="42F88DEF" w14:textId="77777777" w:rsidR="008B7E19" w:rsidRPr="000F0D18" w:rsidRDefault="008B7E19" w:rsidP="008B7E19">
            <w:pPr>
              <w:pStyle w:val="08-Tabelageral"/>
              <w:keepLines w:val="0"/>
              <w:rPr>
                <w:rFonts w:cs="Arial"/>
                <w:b/>
              </w:rPr>
            </w:pPr>
            <w:r>
              <w:rPr>
                <w:rFonts w:cs="Arial"/>
                <w:b/>
              </w:rPr>
              <w:t>Leve</w:t>
            </w:r>
            <w:r w:rsidRPr="000F0D18">
              <w:rPr>
                <w:rFonts w:cs="Arial"/>
                <w:b/>
              </w:rPr>
              <w:t>l 1</w:t>
            </w:r>
          </w:p>
        </w:tc>
        <w:tc>
          <w:tcPr>
            <w:tcW w:w="1224" w:type="dxa"/>
            <w:tcBorders>
              <w:top w:val="single" w:sz="2" w:space="0" w:color="1F4E79" w:themeColor="accent1" w:themeShade="80"/>
              <w:bottom w:val="single" w:sz="2" w:space="0" w:color="1F4E79" w:themeColor="accent1" w:themeShade="80"/>
            </w:tcBorders>
            <w:shd w:val="clear" w:color="auto" w:fill="auto"/>
            <w:vAlign w:val="center"/>
            <w:hideMark/>
          </w:tcPr>
          <w:p w14:paraId="5469E90F" w14:textId="77777777" w:rsidR="008B7E19" w:rsidRPr="000F0D18" w:rsidRDefault="008B7E19" w:rsidP="008B7E19">
            <w:pPr>
              <w:pStyle w:val="08-Tabelageral"/>
              <w:keepLines w:val="0"/>
              <w:rPr>
                <w:rFonts w:cs="Arial"/>
                <w:b/>
              </w:rPr>
            </w:pPr>
            <w:r>
              <w:rPr>
                <w:rFonts w:cs="Arial"/>
                <w:b/>
              </w:rPr>
              <w:t>Level</w:t>
            </w:r>
            <w:r w:rsidRPr="000F0D18">
              <w:rPr>
                <w:rFonts w:cs="Arial"/>
                <w:b/>
              </w:rPr>
              <w:t xml:space="preserve"> 2</w:t>
            </w:r>
          </w:p>
        </w:tc>
        <w:tc>
          <w:tcPr>
            <w:tcW w:w="1224" w:type="dxa"/>
            <w:tcBorders>
              <w:top w:val="single" w:sz="2" w:space="0" w:color="1F4E79" w:themeColor="accent1" w:themeShade="80"/>
              <w:bottom w:val="single" w:sz="2" w:space="0" w:color="1F4E79" w:themeColor="accent1" w:themeShade="80"/>
            </w:tcBorders>
            <w:shd w:val="clear" w:color="auto" w:fill="auto"/>
            <w:vAlign w:val="center"/>
            <w:hideMark/>
          </w:tcPr>
          <w:p w14:paraId="7E1EB91D" w14:textId="77777777" w:rsidR="008B7E19" w:rsidRPr="000F0D18" w:rsidRDefault="008B7E19" w:rsidP="008B7E19">
            <w:pPr>
              <w:pStyle w:val="08-Tabelageral"/>
              <w:keepLines w:val="0"/>
              <w:rPr>
                <w:rFonts w:cs="Arial"/>
                <w:b/>
              </w:rPr>
            </w:pPr>
            <w:r w:rsidRPr="000F0D18">
              <w:rPr>
                <w:rFonts w:cs="Arial"/>
                <w:b/>
              </w:rPr>
              <w:t>Total</w:t>
            </w:r>
          </w:p>
        </w:tc>
        <w:tc>
          <w:tcPr>
            <w:tcW w:w="1223" w:type="dxa"/>
            <w:tcBorders>
              <w:top w:val="single" w:sz="2" w:space="0" w:color="1F4E79" w:themeColor="accent1" w:themeShade="80"/>
              <w:bottom w:val="single" w:sz="2" w:space="0" w:color="1F4E79" w:themeColor="accent1" w:themeShade="80"/>
            </w:tcBorders>
            <w:shd w:val="clear" w:color="auto" w:fill="auto"/>
            <w:vAlign w:val="center"/>
            <w:hideMark/>
          </w:tcPr>
          <w:p w14:paraId="7BB0977A" w14:textId="77777777" w:rsidR="008B7E19" w:rsidRPr="000F0D18" w:rsidRDefault="008B7E19" w:rsidP="008B7E19">
            <w:pPr>
              <w:pStyle w:val="08-Tabelageral"/>
              <w:keepLines w:val="0"/>
              <w:rPr>
                <w:rFonts w:cs="Arial"/>
                <w:b/>
              </w:rPr>
            </w:pPr>
            <w:r>
              <w:rPr>
                <w:rFonts w:cs="Arial"/>
                <w:b/>
              </w:rPr>
              <w:t>Level</w:t>
            </w:r>
            <w:r w:rsidRPr="000F0D18">
              <w:rPr>
                <w:rFonts w:cs="Arial"/>
                <w:b/>
              </w:rPr>
              <w:t xml:space="preserve"> 1</w:t>
            </w:r>
          </w:p>
        </w:tc>
        <w:tc>
          <w:tcPr>
            <w:tcW w:w="1224" w:type="dxa"/>
            <w:tcBorders>
              <w:top w:val="single" w:sz="2" w:space="0" w:color="1F4E79" w:themeColor="accent1" w:themeShade="80"/>
              <w:bottom w:val="single" w:sz="2" w:space="0" w:color="1F4E79" w:themeColor="accent1" w:themeShade="80"/>
            </w:tcBorders>
            <w:shd w:val="clear" w:color="auto" w:fill="auto"/>
            <w:vAlign w:val="center"/>
            <w:hideMark/>
          </w:tcPr>
          <w:p w14:paraId="40B00C98" w14:textId="77777777" w:rsidR="008B7E19" w:rsidRPr="000F0D18" w:rsidRDefault="008B7E19" w:rsidP="008B7E19">
            <w:pPr>
              <w:pStyle w:val="08-Tabelageral"/>
              <w:keepLines w:val="0"/>
              <w:rPr>
                <w:rFonts w:cs="Arial"/>
                <w:b/>
              </w:rPr>
            </w:pPr>
            <w:r>
              <w:rPr>
                <w:rFonts w:cs="Arial"/>
                <w:b/>
              </w:rPr>
              <w:t>Level</w:t>
            </w:r>
            <w:r w:rsidRPr="000F0D18">
              <w:rPr>
                <w:rFonts w:cs="Arial"/>
                <w:b/>
              </w:rPr>
              <w:t xml:space="preserve"> 2</w:t>
            </w:r>
          </w:p>
        </w:tc>
        <w:tc>
          <w:tcPr>
            <w:tcW w:w="1224" w:type="dxa"/>
            <w:tcBorders>
              <w:top w:val="single" w:sz="2" w:space="0" w:color="1F4E79" w:themeColor="accent1" w:themeShade="80"/>
              <w:bottom w:val="single" w:sz="2" w:space="0" w:color="1F4E79" w:themeColor="accent1" w:themeShade="80"/>
            </w:tcBorders>
            <w:shd w:val="clear" w:color="auto" w:fill="auto"/>
            <w:vAlign w:val="center"/>
            <w:hideMark/>
          </w:tcPr>
          <w:p w14:paraId="3CE00500" w14:textId="77777777" w:rsidR="008B7E19" w:rsidRPr="000F0D18" w:rsidRDefault="008B7E19" w:rsidP="008B7E19">
            <w:pPr>
              <w:pStyle w:val="08-Tabelageral"/>
              <w:keepLines w:val="0"/>
              <w:rPr>
                <w:rFonts w:cs="Arial"/>
                <w:b/>
              </w:rPr>
            </w:pPr>
            <w:r w:rsidRPr="000F0D18">
              <w:rPr>
                <w:rFonts w:cs="Arial"/>
                <w:b/>
              </w:rPr>
              <w:t>Total</w:t>
            </w:r>
          </w:p>
        </w:tc>
      </w:tr>
      <w:tr w:rsidR="008B7E19" w:rsidRPr="000F0D18" w14:paraId="3BBA4E8C" w14:textId="77777777" w:rsidTr="008B7E19">
        <w:trPr>
          <w:trHeight w:val="238"/>
          <w:jc w:val="center"/>
        </w:trPr>
        <w:tc>
          <w:tcPr>
            <w:tcW w:w="2296" w:type="dxa"/>
            <w:tcBorders>
              <w:top w:val="single" w:sz="2" w:space="0" w:color="1F4E79" w:themeColor="accent1" w:themeShade="80"/>
            </w:tcBorders>
            <w:shd w:val="clear" w:color="auto" w:fill="auto"/>
            <w:noWrap/>
            <w:hideMark/>
          </w:tcPr>
          <w:p w14:paraId="41DF2910" w14:textId="77777777" w:rsidR="008B7E19" w:rsidRPr="000F0D18" w:rsidRDefault="008B7E19" w:rsidP="008B7E19">
            <w:pPr>
              <w:pStyle w:val="08-Tabelageral"/>
              <w:keepLines w:val="0"/>
              <w:ind w:left="113"/>
              <w:jc w:val="left"/>
              <w:rPr>
                <w:rFonts w:cs="Arial"/>
              </w:rPr>
            </w:pPr>
            <w:r>
              <w:t>Long-term fund</w:t>
            </w:r>
          </w:p>
        </w:tc>
        <w:tc>
          <w:tcPr>
            <w:tcW w:w="1224" w:type="dxa"/>
            <w:tcBorders>
              <w:top w:val="single" w:sz="2" w:space="0" w:color="1F4E79" w:themeColor="accent1" w:themeShade="80"/>
              <w:left w:val="nil"/>
              <w:bottom w:val="nil"/>
              <w:right w:val="nil"/>
            </w:tcBorders>
            <w:shd w:val="clear" w:color="auto" w:fill="auto"/>
            <w:noWrap/>
            <w:vAlign w:val="bottom"/>
          </w:tcPr>
          <w:p w14:paraId="29371A77" w14:textId="77777777" w:rsidR="008B7E19" w:rsidRPr="00C24578" w:rsidRDefault="008B7E19" w:rsidP="008B7E19">
            <w:pPr>
              <w:pStyle w:val="08-Tabelageral"/>
            </w:pPr>
            <w:r>
              <w:t>--</w:t>
            </w:r>
          </w:p>
        </w:tc>
        <w:tc>
          <w:tcPr>
            <w:tcW w:w="1224" w:type="dxa"/>
            <w:tcBorders>
              <w:top w:val="single" w:sz="2" w:space="0" w:color="1F4E79" w:themeColor="accent1" w:themeShade="80"/>
              <w:left w:val="nil"/>
              <w:bottom w:val="nil"/>
              <w:right w:val="nil"/>
            </w:tcBorders>
            <w:shd w:val="clear" w:color="auto" w:fill="auto"/>
            <w:noWrap/>
            <w:vAlign w:val="bottom"/>
          </w:tcPr>
          <w:p w14:paraId="41FEFDEE" w14:textId="77777777" w:rsidR="008B7E19" w:rsidRPr="00C24578" w:rsidRDefault="008B7E19" w:rsidP="008B7E19">
            <w:pPr>
              <w:pStyle w:val="08-Tabelageral"/>
            </w:pPr>
            <w:r>
              <w:t>17,732</w:t>
            </w:r>
          </w:p>
        </w:tc>
        <w:tc>
          <w:tcPr>
            <w:tcW w:w="1224" w:type="dxa"/>
            <w:tcBorders>
              <w:top w:val="single" w:sz="2" w:space="0" w:color="1F4E79" w:themeColor="accent1" w:themeShade="80"/>
              <w:left w:val="nil"/>
              <w:bottom w:val="nil"/>
              <w:right w:val="nil"/>
            </w:tcBorders>
            <w:shd w:val="clear" w:color="auto" w:fill="auto"/>
            <w:noWrap/>
            <w:vAlign w:val="bottom"/>
          </w:tcPr>
          <w:p w14:paraId="6E605DDD" w14:textId="77777777" w:rsidR="008B7E19" w:rsidRPr="00C24578" w:rsidRDefault="008B7E19" w:rsidP="008B7E19">
            <w:pPr>
              <w:pStyle w:val="08-Tabelageral"/>
            </w:pPr>
            <w:r>
              <w:t>17,732</w:t>
            </w:r>
          </w:p>
        </w:tc>
        <w:tc>
          <w:tcPr>
            <w:tcW w:w="1223" w:type="dxa"/>
            <w:tcBorders>
              <w:top w:val="single" w:sz="2" w:space="0" w:color="1F4E79" w:themeColor="accent1" w:themeShade="80"/>
              <w:left w:val="nil"/>
              <w:bottom w:val="nil"/>
              <w:right w:val="nil"/>
            </w:tcBorders>
            <w:shd w:val="clear" w:color="auto" w:fill="auto"/>
            <w:noWrap/>
            <w:vAlign w:val="bottom"/>
          </w:tcPr>
          <w:p w14:paraId="01FDCF4A" w14:textId="77777777" w:rsidR="008B7E19" w:rsidRPr="00C24578" w:rsidRDefault="008B7E19" w:rsidP="008B7E19">
            <w:pPr>
              <w:pStyle w:val="08-Tabelageral"/>
              <w:keepLines w:val="0"/>
            </w:pPr>
            <w:r>
              <w:t>--</w:t>
            </w:r>
          </w:p>
        </w:tc>
        <w:tc>
          <w:tcPr>
            <w:tcW w:w="1224" w:type="dxa"/>
            <w:tcBorders>
              <w:top w:val="single" w:sz="2" w:space="0" w:color="1F4E79" w:themeColor="accent1" w:themeShade="80"/>
              <w:left w:val="nil"/>
              <w:bottom w:val="nil"/>
              <w:right w:val="nil"/>
            </w:tcBorders>
            <w:shd w:val="clear" w:color="auto" w:fill="auto"/>
            <w:noWrap/>
            <w:vAlign w:val="bottom"/>
          </w:tcPr>
          <w:p w14:paraId="010601DC" w14:textId="77777777" w:rsidR="008B7E19" w:rsidRPr="00C24578" w:rsidRDefault="008B7E19" w:rsidP="008B7E19">
            <w:pPr>
              <w:pStyle w:val="08-Tabelageral"/>
              <w:keepLines w:val="0"/>
            </w:pPr>
            <w:r>
              <w:t>18,064</w:t>
            </w:r>
          </w:p>
        </w:tc>
        <w:tc>
          <w:tcPr>
            <w:tcW w:w="1224" w:type="dxa"/>
            <w:tcBorders>
              <w:top w:val="single" w:sz="2" w:space="0" w:color="1F4E79" w:themeColor="accent1" w:themeShade="80"/>
              <w:left w:val="nil"/>
              <w:bottom w:val="nil"/>
              <w:right w:val="nil"/>
            </w:tcBorders>
            <w:shd w:val="clear" w:color="auto" w:fill="auto"/>
            <w:noWrap/>
            <w:vAlign w:val="bottom"/>
          </w:tcPr>
          <w:p w14:paraId="5E81FC56" w14:textId="77777777" w:rsidR="008B7E19" w:rsidRPr="00C24578" w:rsidRDefault="008B7E19" w:rsidP="008B7E19">
            <w:pPr>
              <w:pStyle w:val="08-Tabelageral"/>
              <w:keepLines w:val="0"/>
            </w:pPr>
            <w:r>
              <w:t>18,064</w:t>
            </w:r>
          </w:p>
        </w:tc>
      </w:tr>
      <w:tr w:rsidR="008B7E19" w:rsidRPr="000F0D18" w14:paraId="645C8EA6" w14:textId="77777777" w:rsidTr="008B7E19">
        <w:trPr>
          <w:trHeight w:val="238"/>
          <w:jc w:val="center"/>
        </w:trPr>
        <w:tc>
          <w:tcPr>
            <w:tcW w:w="2296" w:type="dxa"/>
            <w:shd w:val="clear" w:color="auto" w:fill="auto"/>
            <w:noWrap/>
            <w:hideMark/>
          </w:tcPr>
          <w:p w14:paraId="75641963" w14:textId="77777777" w:rsidR="008B7E19" w:rsidRPr="000F0D18" w:rsidRDefault="008B7E19" w:rsidP="008B7E19">
            <w:pPr>
              <w:pStyle w:val="08-Tabelageral"/>
              <w:keepLines w:val="0"/>
              <w:ind w:left="113"/>
              <w:jc w:val="left"/>
              <w:rPr>
                <w:rFonts w:cs="Arial"/>
              </w:rPr>
            </w:pPr>
            <w:r>
              <w:t>Cash and cash Equivalents</w:t>
            </w:r>
          </w:p>
        </w:tc>
        <w:tc>
          <w:tcPr>
            <w:tcW w:w="1224" w:type="dxa"/>
            <w:tcBorders>
              <w:top w:val="nil"/>
              <w:left w:val="nil"/>
              <w:right w:val="nil"/>
            </w:tcBorders>
            <w:shd w:val="clear" w:color="auto" w:fill="auto"/>
            <w:noWrap/>
            <w:vAlign w:val="bottom"/>
          </w:tcPr>
          <w:p w14:paraId="1C2EE493" w14:textId="77777777" w:rsidR="008B7E19" w:rsidRPr="00C24578" w:rsidRDefault="008B7E19" w:rsidP="008B7E19">
            <w:pPr>
              <w:pStyle w:val="08-Tabelageral"/>
            </w:pPr>
            <w:r>
              <w:t>1,050,803</w:t>
            </w:r>
          </w:p>
        </w:tc>
        <w:tc>
          <w:tcPr>
            <w:tcW w:w="1224" w:type="dxa"/>
            <w:tcBorders>
              <w:top w:val="nil"/>
              <w:left w:val="nil"/>
              <w:right w:val="nil"/>
            </w:tcBorders>
            <w:shd w:val="clear" w:color="auto" w:fill="auto"/>
            <w:noWrap/>
            <w:vAlign w:val="bottom"/>
          </w:tcPr>
          <w:p w14:paraId="4E03ADBF" w14:textId="77777777" w:rsidR="008B7E19" w:rsidRPr="00C24578" w:rsidRDefault="008B7E19" w:rsidP="008B7E19">
            <w:pPr>
              <w:pStyle w:val="08-Tabelageral"/>
            </w:pPr>
            <w:r>
              <w:t>--</w:t>
            </w:r>
          </w:p>
        </w:tc>
        <w:tc>
          <w:tcPr>
            <w:tcW w:w="1224" w:type="dxa"/>
            <w:tcBorders>
              <w:top w:val="nil"/>
              <w:left w:val="nil"/>
              <w:right w:val="nil"/>
            </w:tcBorders>
            <w:shd w:val="clear" w:color="auto" w:fill="auto"/>
            <w:noWrap/>
            <w:vAlign w:val="bottom"/>
          </w:tcPr>
          <w:p w14:paraId="7E2D6A20" w14:textId="77777777" w:rsidR="008B7E19" w:rsidRPr="00C24578" w:rsidRDefault="008B7E19" w:rsidP="008B7E19">
            <w:pPr>
              <w:pStyle w:val="08-Tabelageral"/>
            </w:pPr>
            <w:r>
              <w:t>1,050,803</w:t>
            </w:r>
          </w:p>
        </w:tc>
        <w:tc>
          <w:tcPr>
            <w:tcW w:w="1223" w:type="dxa"/>
            <w:tcBorders>
              <w:top w:val="nil"/>
              <w:left w:val="nil"/>
              <w:right w:val="nil"/>
            </w:tcBorders>
            <w:shd w:val="clear" w:color="auto" w:fill="auto"/>
            <w:noWrap/>
            <w:vAlign w:val="bottom"/>
          </w:tcPr>
          <w:p w14:paraId="2F4D437D" w14:textId="77777777" w:rsidR="008B7E19" w:rsidRPr="00C24578" w:rsidRDefault="008B7E19" w:rsidP="008B7E19">
            <w:pPr>
              <w:pStyle w:val="08-Tabelageral"/>
              <w:keepLines w:val="0"/>
            </w:pPr>
            <w:r>
              <w:t>59,002</w:t>
            </w:r>
          </w:p>
        </w:tc>
        <w:tc>
          <w:tcPr>
            <w:tcW w:w="1224" w:type="dxa"/>
            <w:tcBorders>
              <w:top w:val="nil"/>
              <w:left w:val="nil"/>
              <w:right w:val="nil"/>
            </w:tcBorders>
            <w:shd w:val="clear" w:color="auto" w:fill="auto"/>
            <w:noWrap/>
            <w:vAlign w:val="bottom"/>
          </w:tcPr>
          <w:p w14:paraId="4222E19C" w14:textId="77777777" w:rsidR="008B7E19" w:rsidRPr="00C24578" w:rsidRDefault="008B7E19" w:rsidP="008B7E19">
            <w:pPr>
              <w:pStyle w:val="08-Tabelageral"/>
              <w:keepLines w:val="0"/>
            </w:pPr>
            <w:r>
              <w:t>--</w:t>
            </w:r>
          </w:p>
        </w:tc>
        <w:tc>
          <w:tcPr>
            <w:tcW w:w="1224" w:type="dxa"/>
            <w:tcBorders>
              <w:top w:val="nil"/>
              <w:left w:val="nil"/>
              <w:right w:val="nil"/>
            </w:tcBorders>
            <w:shd w:val="clear" w:color="auto" w:fill="auto"/>
            <w:noWrap/>
            <w:vAlign w:val="bottom"/>
          </w:tcPr>
          <w:p w14:paraId="4F35F749" w14:textId="77777777" w:rsidR="008B7E19" w:rsidRPr="00C24578" w:rsidRDefault="008B7E19" w:rsidP="008B7E19">
            <w:pPr>
              <w:pStyle w:val="08-Tabelageral"/>
              <w:keepLines w:val="0"/>
            </w:pPr>
            <w:r>
              <w:t>59,002</w:t>
            </w:r>
          </w:p>
        </w:tc>
      </w:tr>
      <w:tr w:rsidR="008B7E19" w:rsidRPr="000F0D18" w14:paraId="474865FF" w14:textId="77777777" w:rsidTr="008B7E19">
        <w:trPr>
          <w:trHeight w:val="238"/>
          <w:jc w:val="center"/>
        </w:trPr>
        <w:tc>
          <w:tcPr>
            <w:tcW w:w="2296" w:type="dxa"/>
            <w:tcBorders>
              <w:bottom w:val="single" w:sz="2" w:space="0" w:color="1F4E79" w:themeColor="accent1" w:themeShade="80"/>
            </w:tcBorders>
            <w:shd w:val="clear" w:color="auto" w:fill="auto"/>
            <w:noWrap/>
            <w:hideMark/>
          </w:tcPr>
          <w:p w14:paraId="4DD95C0F" w14:textId="77777777" w:rsidR="008B7E19" w:rsidRPr="000F0D18" w:rsidRDefault="008B7E19" w:rsidP="008B7E19">
            <w:pPr>
              <w:pStyle w:val="08-Tabelageral"/>
              <w:keepLines w:val="0"/>
              <w:jc w:val="left"/>
              <w:rPr>
                <w:rFonts w:cs="Arial"/>
                <w:b/>
              </w:rPr>
            </w:pPr>
            <w:r w:rsidRPr="000F0D18">
              <w:rPr>
                <w:rFonts w:cs="Arial"/>
                <w:b/>
              </w:rPr>
              <w:t>Total</w:t>
            </w:r>
          </w:p>
        </w:tc>
        <w:tc>
          <w:tcPr>
            <w:tcW w:w="1224" w:type="dxa"/>
            <w:tcBorders>
              <w:top w:val="nil"/>
              <w:left w:val="nil"/>
              <w:bottom w:val="single" w:sz="2" w:space="0" w:color="1F4E79" w:themeColor="accent1" w:themeShade="80"/>
              <w:right w:val="nil"/>
            </w:tcBorders>
            <w:shd w:val="clear" w:color="auto" w:fill="auto"/>
            <w:noWrap/>
            <w:vAlign w:val="bottom"/>
          </w:tcPr>
          <w:p w14:paraId="26AD788D" w14:textId="77777777" w:rsidR="008B7E19" w:rsidRPr="00ED0236" w:rsidRDefault="008B7E19" w:rsidP="008B7E19">
            <w:pPr>
              <w:pStyle w:val="08-Tabelageral"/>
              <w:rPr>
                <w:rFonts w:cs="Arial"/>
                <w:b/>
              </w:rPr>
            </w:pPr>
            <w:r>
              <w:rPr>
                <w:rFonts w:cs="Arial"/>
                <w:b/>
              </w:rPr>
              <w:t>1,050,803</w:t>
            </w:r>
          </w:p>
        </w:tc>
        <w:tc>
          <w:tcPr>
            <w:tcW w:w="1224" w:type="dxa"/>
            <w:tcBorders>
              <w:top w:val="nil"/>
              <w:left w:val="nil"/>
              <w:bottom w:val="single" w:sz="2" w:space="0" w:color="1F4E79" w:themeColor="accent1" w:themeShade="80"/>
              <w:right w:val="nil"/>
            </w:tcBorders>
            <w:shd w:val="clear" w:color="auto" w:fill="auto"/>
            <w:noWrap/>
            <w:vAlign w:val="bottom"/>
          </w:tcPr>
          <w:p w14:paraId="67F68F8A" w14:textId="77777777" w:rsidR="008B7E19" w:rsidRPr="00ED0236" w:rsidRDefault="008B7E19" w:rsidP="008B7E19">
            <w:pPr>
              <w:pStyle w:val="08-Tabelageral"/>
              <w:rPr>
                <w:rFonts w:cs="Arial"/>
                <w:b/>
              </w:rPr>
            </w:pPr>
            <w:r>
              <w:rPr>
                <w:rFonts w:cs="Arial"/>
                <w:b/>
              </w:rPr>
              <w:t>17,732</w:t>
            </w:r>
          </w:p>
        </w:tc>
        <w:tc>
          <w:tcPr>
            <w:tcW w:w="1224" w:type="dxa"/>
            <w:tcBorders>
              <w:top w:val="nil"/>
              <w:left w:val="nil"/>
              <w:bottom w:val="single" w:sz="2" w:space="0" w:color="1F4E79" w:themeColor="accent1" w:themeShade="80"/>
              <w:right w:val="nil"/>
            </w:tcBorders>
            <w:shd w:val="clear" w:color="auto" w:fill="auto"/>
            <w:noWrap/>
            <w:vAlign w:val="bottom"/>
          </w:tcPr>
          <w:p w14:paraId="78ED848F" w14:textId="77777777" w:rsidR="008B7E19" w:rsidRPr="00ED0236" w:rsidRDefault="008B7E19" w:rsidP="008B7E19">
            <w:pPr>
              <w:pStyle w:val="08-Tabelageral"/>
              <w:rPr>
                <w:rFonts w:cs="Arial"/>
                <w:b/>
              </w:rPr>
            </w:pPr>
            <w:r>
              <w:rPr>
                <w:rFonts w:cs="Arial"/>
                <w:b/>
              </w:rPr>
              <w:t>1,068,535</w:t>
            </w:r>
          </w:p>
        </w:tc>
        <w:tc>
          <w:tcPr>
            <w:tcW w:w="1223" w:type="dxa"/>
            <w:tcBorders>
              <w:top w:val="nil"/>
              <w:left w:val="nil"/>
              <w:bottom w:val="single" w:sz="2" w:space="0" w:color="1F4E79" w:themeColor="accent1" w:themeShade="80"/>
              <w:right w:val="nil"/>
            </w:tcBorders>
            <w:shd w:val="clear" w:color="auto" w:fill="auto"/>
            <w:noWrap/>
            <w:vAlign w:val="bottom"/>
          </w:tcPr>
          <w:p w14:paraId="4B036393" w14:textId="77777777" w:rsidR="008B7E19" w:rsidRPr="00ED0236" w:rsidRDefault="008B7E19" w:rsidP="008B7E19">
            <w:pPr>
              <w:pStyle w:val="08-Tabelageral"/>
              <w:keepLines w:val="0"/>
              <w:rPr>
                <w:rFonts w:cs="Arial"/>
                <w:b/>
              </w:rPr>
            </w:pPr>
            <w:r>
              <w:rPr>
                <w:rFonts w:cs="Arial"/>
                <w:b/>
              </w:rPr>
              <w:t>59,002</w:t>
            </w:r>
          </w:p>
        </w:tc>
        <w:tc>
          <w:tcPr>
            <w:tcW w:w="1224" w:type="dxa"/>
            <w:tcBorders>
              <w:top w:val="nil"/>
              <w:left w:val="nil"/>
              <w:bottom w:val="single" w:sz="2" w:space="0" w:color="1F4E79" w:themeColor="accent1" w:themeShade="80"/>
              <w:right w:val="nil"/>
            </w:tcBorders>
            <w:shd w:val="clear" w:color="auto" w:fill="auto"/>
            <w:noWrap/>
            <w:vAlign w:val="bottom"/>
          </w:tcPr>
          <w:p w14:paraId="5C0FE188" w14:textId="77777777" w:rsidR="008B7E19" w:rsidRPr="00ED0236" w:rsidRDefault="008B7E19" w:rsidP="008B7E19">
            <w:pPr>
              <w:pStyle w:val="08-Tabelageral"/>
              <w:keepLines w:val="0"/>
              <w:rPr>
                <w:rFonts w:cs="Arial"/>
                <w:b/>
              </w:rPr>
            </w:pPr>
            <w:r>
              <w:rPr>
                <w:rFonts w:cs="Arial"/>
                <w:b/>
              </w:rPr>
              <w:t>18,064</w:t>
            </w:r>
          </w:p>
        </w:tc>
        <w:tc>
          <w:tcPr>
            <w:tcW w:w="1224" w:type="dxa"/>
            <w:tcBorders>
              <w:top w:val="nil"/>
              <w:left w:val="nil"/>
              <w:bottom w:val="single" w:sz="2" w:space="0" w:color="1F4E79" w:themeColor="accent1" w:themeShade="80"/>
              <w:right w:val="nil"/>
            </w:tcBorders>
            <w:shd w:val="clear" w:color="auto" w:fill="auto"/>
            <w:noWrap/>
            <w:vAlign w:val="bottom"/>
          </w:tcPr>
          <w:p w14:paraId="684C0428" w14:textId="77777777" w:rsidR="008B7E19" w:rsidRPr="00ED0236" w:rsidRDefault="008B7E19" w:rsidP="008B7E19">
            <w:pPr>
              <w:pStyle w:val="08-Tabelageral"/>
              <w:keepLines w:val="0"/>
              <w:rPr>
                <w:rFonts w:cs="Arial"/>
                <w:b/>
              </w:rPr>
            </w:pPr>
            <w:r>
              <w:rPr>
                <w:rFonts w:cs="Arial"/>
                <w:b/>
              </w:rPr>
              <w:t>77,066</w:t>
            </w:r>
          </w:p>
        </w:tc>
      </w:tr>
    </w:tbl>
    <w:p w14:paraId="3F7DBDF4" w14:textId="77777777" w:rsidR="008B7E19" w:rsidRPr="000F0D18" w:rsidRDefault="008B7E19" w:rsidP="008B7E19">
      <w:pPr>
        <w:keepNext/>
        <w:keepLines/>
        <w:spacing w:after="0" w:line="240" w:lineRule="auto"/>
        <w:ind w:right="-1"/>
        <w:rPr>
          <w:rFonts w:cs="Arial"/>
          <w:b/>
          <w:sz w:val="14"/>
          <w:szCs w:val="14"/>
        </w:rPr>
      </w:pPr>
    </w:p>
    <w:p w14:paraId="55ED1D12" w14:textId="77777777" w:rsidR="008B7E19" w:rsidRDefault="008B7E19" w:rsidP="008B7E19">
      <w:pPr>
        <w:pStyle w:val="PargrafodaLista"/>
        <w:keepNext/>
        <w:keepLines/>
        <w:spacing w:after="0" w:line="240" w:lineRule="auto"/>
        <w:ind w:left="357" w:right="-1"/>
        <w:jc w:val="right"/>
        <w:rPr>
          <w:rFonts w:ascii="Arial" w:hAnsi="Arial" w:cs="Arial"/>
          <w:b/>
          <w:sz w:val="14"/>
          <w:szCs w:val="14"/>
        </w:rPr>
      </w:pPr>
    </w:p>
    <w:p w14:paraId="048116CE" w14:textId="77777777" w:rsidR="008B7E19" w:rsidRPr="000F0D18" w:rsidRDefault="008B7E19" w:rsidP="008B7E19">
      <w:pPr>
        <w:pStyle w:val="PargrafodaLista"/>
        <w:keepNext/>
        <w:keepLines/>
        <w:spacing w:after="0" w:line="240" w:lineRule="auto"/>
        <w:ind w:left="357" w:right="-1"/>
        <w:jc w:val="right"/>
        <w:rPr>
          <w:rFonts w:ascii="Arial" w:hAnsi="Arial" w:cs="Arial"/>
          <w:b/>
          <w:sz w:val="14"/>
          <w:szCs w:val="14"/>
          <w:lang w:eastAsia="pt-BR"/>
        </w:rPr>
      </w:pPr>
      <w:r w:rsidRPr="000F0D18">
        <w:rPr>
          <w:rFonts w:ascii="Arial" w:hAnsi="Arial" w:cs="Arial"/>
          <w:b/>
          <w:sz w:val="14"/>
          <w:szCs w:val="14"/>
        </w:rPr>
        <w:t xml:space="preserve">R$ </w:t>
      </w:r>
      <w:r>
        <w:rPr>
          <w:rFonts w:ascii="Arial" w:hAnsi="Arial" w:cs="Arial"/>
          <w:b/>
          <w:sz w:val="14"/>
          <w:szCs w:val="14"/>
        </w:rPr>
        <w:t>thousand</w:t>
      </w:r>
      <w:r w:rsidRPr="000F0D18">
        <w:rPr>
          <w:rFonts w:ascii="Arial" w:hAnsi="Arial" w:cs="Arial"/>
          <w:b/>
          <w:sz w:val="14"/>
          <w:szCs w:val="14"/>
        </w:rPr>
        <w:t xml:space="preserve"> </w:t>
      </w:r>
    </w:p>
    <w:tbl>
      <w:tblPr>
        <w:tblW w:w="9639" w:type="dxa"/>
        <w:jc w:val="center"/>
        <w:tblLayout w:type="fixed"/>
        <w:tblLook w:val="04A0" w:firstRow="1" w:lastRow="0" w:firstColumn="1" w:lastColumn="0" w:noHBand="0" w:noVBand="1"/>
      </w:tblPr>
      <w:tblGrid>
        <w:gridCol w:w="2296"/>
        <w:gridCol w:w="1224"/>
        <w:gridCol w:w="1224"/>
        <w:gridCol w:w="1224"/>
        <w:gridCol w:w="1223"/>
        <w:gridCol w:w="1224"/>
        <w:gridCol w:w="1224"/>
      </w:tblGrid>
      <w:tr w:rsidR="008B7E19" w:rsidRPr="000F0D18" w14:paraId="2F036259" w14:textId="77777777" w:rsidTr="008B7E19">
        <w:trPr>
          <w:trHeight w:val="238"/>
          <w:jc w:val="center"/>
        </w:trPr>
        <w:tc>
          <w:tcPr>
            <w:tcW w:w="2296" w:type="dxa"/>
            <w:tcBorders>
              <w:top w:val="single" w:sz="2" w:space="0" w:color="1F4E79" w:themeColor="accent1" w:themeShade="80"/>
            </w:tcBorders>
            <w:shd w:val="clear" w:color="auto" w:fill="auto"/>
            <w:noWrap/>
            <w:hideMark/>
          </w:tcPr>
          <w:p w14:paraId="67549973" w14:textId="77777777" w:rsidR="008B7E19" w:rsidRPr="000F0D18" w:rsidRDefault="008B7E19" w:rsidP="008B7E19">
            <w:pPr>
              <w:pStyle w:val="08-Tabelageral"/>
              <w:jc w:val="center"/>
              <w:rPr>
                <w:rFonts w:cs="Arial"/>
                <w:b/>
              </w:rPr>
            </w:pPr>
          </w:p>
        </w:tc>
        <w:tc>
          <w:tcPr>
            <w:tcW w:w="7343" w:type="dxa"/>
            <w:gridSpan w:val="6"/>
            <w:tcBorders>
              <w:top w:val="single" w:sz="2" w:space="0" w:color="1F4E79" w:themeColor="accent1" w:themeShade="80"/>
              <w:bottom w:val="single" w:sz="2" w:space="0" w:color="1F4E79" w:themeColor="accent1" w:themeShade="80"/>
            </w:tcBorders>
            <w:shd w:val="clear" w:color="auto" w:fill="auto"/>
            <w:noWrap/>
            <w:vAlign w:val="center"/>
            <w:hideMark/>
          </w:tcPr>
          <w:p w14:paraId="338FCEF5" w14:textId="77777777" w:rsidR="008B7E19" w:rsidRPr="000F0D18" w:rsidRDefault="008B7E19" w:rsidP="008B7E19">
            <w:pPr>
              <w:pStyle w:val="08-Tabelageral"/>
              <w:jc w:val="center"/>
              <w:rPr>
                <w:rFonts w:cs="Arial"/>
                <w:b/>
              </w:rPr>
            </w:pPr>
            <w:r w:rsidRPr="000F0D18">
              <w:rPr>
                <w:rFonts w:cs="Arial"/>
                <w:b/>
              </w:rPr>
              <w:t>Consoli</w:t>
            </w:r>
            <w:r>
              <w:rPr>
                <w:rFonts w:cs="Arial"/>
                <w:b/>
              </w:rPr>
              <w:t>dated</w:t>
            </w:r>
          </w:p>
        </w:tc>
      </w:tr>
      <w:tr w:rsidR="008B7E19" w:rsidRPr="000F0D18" w14:paraId="59C9B2E7" w14:textId="77777777" w:rsidTr="008B7E19">
        <w:trPr>
          <w:trHeight w:val="238"/>
          <w:jc w:val="center"/>
        </w:trPr>
        <w:tc>
          <w:tcPr>
            <w:tcW w:w="2296" w:type="dxa"/>
            <w:shd w:val="clear" w:color="auto" w:fill="auto"/>
            <w:noWrap/>
            <w:hideMark/>
          </w:tcPr>
          <w:p w14:paraId="2FE0C5E7" w14:textId="77777777" w:rsidR="008B7E19" w:rsidRPr="000F0D18" w:rsidRDefault="008B7E19" w:rsidP="008B7E19">
            <w:pPr>
              <w:pStyle w:val="08-Tabelageral"/>
              <w:jc w:val="center"/>
              <w:rPr>
                <w:rFonts w:cs="Arial"/>
                <w:b/>
              </w:rPr>
            </w:pPr>
          </w:p>
        </w:tc>
        <w:tc>
          <w:tcPr>
            <w:tcW w:w="3672" w:type="dxa"/>
            <w:gridSpan w:val="3"/>
            <w:tcBorders>
              <w:top w:val="single" w:sz="2" w:space="0" w:color="1F4E79" w:themeColor="accent1" w:themeShade="80"/>
              <w:bottom w:val="single" w:sz="2" w:space="0" w:color="1F4E79" w:themeColor="accent1" w:themeShade="80"/>
            </w:tcBorders>
            <w:shd w:val="clear" w:color="auto" w:fill="auto"/>
            <w:noWrap/>
            <w:vAlign w:val="center"/>
            <w:hideMark/>
          </w:tcPr>
          <w:p w14:paraId="5D14F307" w14:textId="77777777" w:rsidR="008B7E19" w:rsidRPr="000F0D18" w:rsidRDefault="008B7E19" w:rsidP="008B7E19">
            <w:pPr>
              <w:pStyle w:val="08-Tabelageral"/>
              <w:jc w:val="center"/>
              <w:rPr>
                <w:rFonts w:cs="Arial"/>
                <w:b/>
              </w:rPr>
            </w:pPr>
            <w:r>
              <w:rPr>
                <w:rFonts w:cs="Arial"/>
                <w:b/>
              </w:rPr>
              <w:t>June</w:t>
            </w:r>
            <w:r w:rsidRPr="000D11E8">
              <w:rPr>
                <w:rFonts w:cs="Arial"/>
                <w:b/>
              </w:rPr>
              <w:t xml:space="preserve"> 3</w:t>
            </w:r>
            <w:r>
              <w:rPr>
                <w:rFonts w:cs="Arial"/>
                <w:b/>
              </w:rPr>
              <w:t>0</w:t>
            </w:r>
            <w:r w:rsidRPr="000D11E8">
              <w:rPr>
                <w:rFonts w:cs="Arial"/>
                <w:b/>
              </w:rPr>
              <w:t>, 202</w:t>
            </w:r>
            <w:r>
              <w:rPr>
                <w:rFonts w:cs="Arial"/>
                <w:b/>
              </w:rPr>
              <w:t>3</w:t>
            </w:r>
          </w:p>
        </w:tc>
        <w:tc>
          <w:tcPr>
            <w:tcW w:w="3671" w:type="dxa"/>
            <w:gridSpan w:val="3"/>
            <w:tcBorders>
              <w:top w:val="single" w:sz="2" w:space="0" w:color="1F4E79" w:themeColor="accent1" w:themeShade="80"/>
              <w:bottom w:val="single" w:sz="2" w:space="0" w:color="1F4E79" w:themeColor="accent1" w:themeShade="80"/>
            </w:tcBorders>
            <w:shd w:val="clear" w:color="auto" w:fill="auto"/>
            <w:noWrap/>
            <w:vAlign w:val="center"/>
            <w:hideMark/>
          </w:tcPr>
          <w:p w14:paraId="07BC31A8" w14:textId="77777777" w:rsidR="008B7E19" w:rsidRPr="000F0D18" w:rsidRDefault="008B7E19" w:rsidP="008B7E19">
            <w:pPr>
              <w:pStyle w:val="08-Tabelageral"/>
              <w:jc w:val="center"/>
              <w:rPr>
                <w:rFonts w:cs="Arial"/>
                <w:b/>
              </w:rPr>
            </w:pPr>
            <w:r w:rsidRPr="000D11E8">
              <w:rPr>
                <w:rFonts w:cs="Arial"/>
                <w:b/>
              </w:rPr>
              <w:t>Dec 31, 20</w:t>
            </w:r>
            <w:r>
              <w:rPr>
                <w:rFonts w:cs="Arial"/>
                <w:b/>
              </w:rPr>
              <w:t>22</w:t>
            </w:r>
          </w:p>
        </w:tc>
      </w:tr>
      <w:tr w:rsidR="008B7E19" w:rsidRPr="000F0D18" w14:paraId="7A99349F" w14:textId="77777777" w:rsidTr="008B7E19">
        <w:trPr>
          <w:trHeight w:val="238"/>
          <w:jc w:val="center"/>
        </w:trPr>
        <w:tc>
          <w:tcPr>
            <w:tcW w:w="2296" w:type="dxa"/>
            <w:tcBorders>
              <w:bottom w:val="single" w:sz="2" w:space="0" w:color="1F4E79" w:themeColor="accent1" w:themeShade="80"/>
            </w:tcBorders>
            <w:shd w:val="clear" w:color="auto" w:fill="auto"/>
            <w:noWrap/>
            <w:hideMark/>
          </w:tcPr>
          <w:p w14:paraId="29E11C97" w14:textId="77777777" w:rsidR="008B7E19" w:rsidRPr="000F0D18" w:rsidRDefault="008B7E19" w:rsidP="008B7E19">
            <w:pPr>
              <w:pStyle w:val="08-Tabelageral"/>
              <w:jc w:val="center"/>
              <w:rPr>
                <w:rFonts w:cs="Arial"/>
                <w:b/>
              </w:rPr>
            </w:pPr>
          </w:p>
        </w:tc>
        <w:tc>
          <w:tcPr>
            <w:tcW w:w="1224" w:type="dxa"/>
            <w:tcBorders>
              <w:top w:val="single" w:sz="2" w:space="0" w:color="1F4E79" w:themeColor="accent1" w:themeShade="80"/>
              <w:bottom w:val="single" w:sz="2" w:space="0" w:color="1F4E79" w:themeColor="accent1" w:themeShade="80"/>
            </w:tcBorders>
            <w:shd w:val="clear" w:color="auto" w:fill="auto"/>
            <w:vAlign w:val="center"/>
            <w:hideMark/>
          </w:tcPr>
          <w:p w14:paraId="3C128A13" w14:textId="77777777" w:rsidR="008B7E19" w:rsidRPr="000F0D18" w:rsidRDefault="008B7E19" w:rsidP="008B7E19">
            <w:pPr>
              <w:pStyle w:val="08-Tabelageral"/>
              <w:keepLines w:val="0"/>
              <w:rPr>
                <w:rFonts w:cs="Arial"/>
                <w:b/>
              </w:rPr>
            </w:pPr>
            <w:r>
              <w:rPr>
                <w:rFonts w:cs="Arial"/>
                <w:b/>
              </w:rPr>
              <w:t>Leve</w:t>
            </w:r>
            <w:r w:rsidRPr="000F0D18">
              <w:rPr>
                <w:rFonts w:cs="Arial"/>
                <w:b/>
              </w:rPr>
              <w:t>l 1</w:t>
            </w:r>
          </w:p>
        </w:tc>
        <w:tc>
          <w:tcPr>
            <w:tcW w:w="1224" w:type="dxa"/>
            <w:tcBorders>
              <w:top w:val="single" w:sz="2" w:space="0" w:color="1F4E79" w:themeColor="accent1" w:themeShade="80"/>
              <w:bottom w:val="single" w:sz="2" w:space="0" w:color="1F4E79" w:themeColor="accent1" w:themeShade="80"/>
            </w:tcBorders>
            <w:shd w:val="clear" w:color="auto" w:fill="auto"/>
            <w:vAlign w:val="center"/>
            <w:hideMark/>
          </w:tcPr>
          <w:p w14:paraId="2E47BDBD" w14:textId="77777777" w:rsidR="008B7E19" w:rsidRPr="000F0D18" w:rsidRDefault="008B7E19" w:rsidP="008B7E19">
            <w:pPr>
              <w:pStyle w:val="08-Tabelageral"/>
              <w:keepLines w:val="0"/>
              <w:rPr>
                <w:rFonts w:cs="Arial"/>
                <w:b/>
              </w:rPr>
            </w:pPr>
            <w:r>
              <w:rPr>
                <w:rFonts w:cs="Arial"/>
                <w:b/>
              </w:rPr>
              <w:t>Level</w:t>
            </w:r>
            <w:r w:rsidRPr="000F0D18">
              <w:rPr>
                <w:rFonts w:cs="Arial"/>
                <w:b/>
              </w:rPr>
              <w:t xml:space="preserve"> </w:t>
            </w:r>
            <w:r>
              <w:rPr>
                <w:rFonts w:cs="Arial"/>
                <w:b/>
              </w:rPr>
              <w:t>3</w:t>
            </w:r>
          </w:p>
        </w:tc>
        <w:tc>
          <w:tcPr>
            <w:tcW w:w="1224" w:type="dxa"/>
            <w:tcBorders>
              <w:top w:val="single" w:sz="2" w:space="0" w:color="1F4E79" w:themeColor="accent1" w:themeShade="80"/>
              <w:bottom w:val="single" w:sz="2" w:space="0" w:color="1F4E79" w:themeColor="accent1" w:themeShade="80"/>
            </w:tcBorders>
            <w:shd w:val="clear" w:color="auto" w:fill="auto"/>
            <w:vAlign w:val="center"/>
            <w:hideMark/>
          </w:tcPr>
          <w:p w14:paraId="1146D667" w14:textId="77777777" w:rsidR="008B7E19" w:rsidRPr="000F0D18" w:rsidRDefault="008B7E19" w:rsidP="008B7E19">
            <w:pPr>
              <w:pStyle w:val="08-Tabelageral"/>
              <w:keepLines w:val="0"/>
              <w:rPr>
                <w:rFonts w:cs="Arial"/>
                <w:b/>
              </w:rPr>
            </w:pPr>
            <w:r w:rsidRPr="000F0D18">
              <w:rPr>
                <w:rFonts w:cs="Arial"/>
                <w:b/>
              </w:rPr>
              <w:t>Total</w:t>
            </w:r>
          </w:p>
        </w:tc>
        <w:tc>
          <w:tcPr>
            <w:tcW w:w="1223" w:type="dxa"/>
            <w:tcBorders>
              <w:top w:val="single" w:sz="2" w:space="0" w:color="1F4E79" w:themeColor="accent1" w:themeShade="80"/>
              <w:bottom w:val="single" w:sz="2" w:space="0" w:color="1F4E79" w:themeColor="accent1" w:themeShade="80"/>
            </w:tcBorders>
            <w:shd w:val="clear" w:color="auto" w:fill="auto"/>
            <w:vAlign w:val="center"/>
            <w:hideMark/>
          </w:tcPr>
          <w:p w14:paraId="659BDF9E" w14:textId="77777777" w:rsidR="008B7E19" w:rsidRPr="000F0D18" w:rsidRDefault="008B7E19" w:rsidP="008B7E19">
            <w:pPr>
              <w:pStyle w:val="08-Tabelageral"/>
              <w:keepLines w:val="0"/>
              <w:rPr>
                <w:rFonts w:cs="Arial"/>
                <w:b/>
              </w:rPr>
            </w:pPr>
            <w:r>
              <w:rPr>
                <w:rFonts w:cs="Arial"/>
                <w:b/>
              </w:rPr>
              <w:t>Level</w:t>
            </w:r>
            <w:r w:rsidRPr="000F0D18">
              <w:rPr>
                <w:rFonts w:cs="Arial"/>
                <w:b/>
              </w:rPr>
              <w:t xml:space="preserve"> 1</w:t>
            </w:r>
          </w:p>
        </w:tc>
        <w:tc>
          <w:tcPr>
            <w:tcW w:w="1224" w:type="dxa"/>
            <w:tcBorders>
              <w:top w:val="single" w:sz="2" w:space="0" w:color="1F4E79" w:themeColor="accent1" w:themeShade="80"/>
              <w:bottom w:val="single" w:sz="2" w:space="0" w:color="1F4E79" w:themeColor="accent1" w:themeShade="80"/>
            </w:tcBorders>
            <w:shd w:val="clear" w:color="auto" w:fill="auto"/>
            <w:vAlign w:val="center"/>
            <w:hideMark/>
          </w:tcPr>
          <w:p w14:paraId="27DEA510" w14:textId="77777777" w:rsidR="008B7E19" w:rsidRPr="000F0D18" w:rsidRDefault="008B7E19" w:rsidP="008B7E19">
            <w:pPr>
              <w:pStyle w:val="08-Tabelageral"/>
              <w:keepLines w:val="0"/>
              <w:rPr>
                <w:rFonts w:cs="Arial"/>
                <w:b/>
              </w:rPr>
            </w:pPr>
            <w:r>
              <w:rPr>
                <w:rFonts w:cs="Arial"/>
                <w:b/>
              </w:rPr>
              <w:t>Level</w:t>
            </w:r>
            <w:r w:rsidRPr="000F0D18">
              <w:rPr>
                <w:rFonts w:cs="Arial"/>
                <w:b/>
              </w:rPr>
              <w:t xml:space="preserve"> </w:t>
            </w:r>
            <w:r>
              <w:rPr>
                <w:rFonts w:cs="Arial"/>
                <w:b/>
              </w:rPr>
              <w:t>3</w:t>
            </w:r>
          </w:p>
        </w:tc>
        <w:tc>
          <w:tcPr>
            <w:tcW w:w="1224" w:type="dxa"/>
            <w:tcBorders>
              <w:top w:val="single" w:sz="2" w:space="0" w:color="1F4E79" w:themeColor="accent1" w:themeShade="80"/>
              <w:bottom w:val="single" w:sz="2" w:space="0" w:color="1F4E79" w:themeColor="accent1" w:themeShade="80"/>
            </w:tcBorders>
            <w:shd w:val="clear" w:color="auto" w:fill="auto"/>
            <w:vAlign w:val="center"/>
            <w:hideMark/>
          </w:tcPr>
          <w:p w14:paraId="236F2989" w14:textId="77777777" w:rsidR="008B7E19" w:rsidRPr="000F0D18" w:rsidRDefault="008B7E19" w:rsidP="008B7E19">
            <w:pPr>
              <w:pStyle w:val="08-Tabelageral"/>
              <w:keepLines w:val="0"/>
              <w:rPr>
                <w:rFonts w:cs="Arial"/>
                <w:b/>
              </w:rPr>
            </w:pPr>
            <w:r w:rsidRPr="000F0D18">
              <w:rPr>
                <w:rFonts w:cs="Arial"/>
                <w:b/>
              </w:rPr>
              <w:t>Total</w:t>
            </w:r>
          </w:p>
        </w:tc>
      </w:tr>
      <w:tr w:rsidR="008B7E19" w:rsidRPr="000F0D18" w14:paraId="6B51DD5D" w14:textId="77777777" w:rsidTr="008B7E19">
        <w:trPr>
          <w:trHeight w:val="238"/>
          <w:jc w:val="center"/>
        </w:trPr>
        <w:tc>
          <w:tcPr>
            <w:tcW w:w="2296" w:type="dxa"/>
            <w:tcBorders>
              <w:top w:val="single" w:sz="2" w:space="0" w:color="1F4E79" w:themeColor="accent1" w:themeShade="80"/>
              <w:left w:val="nil"/>
              <w:bottom w:val="nil"/>
              <w:right w:val="nil"/>
            </w:tcBorders>
            <w:shd w:val="clear" w:color="auto" w:fill="auto"/>
            <w:noWrap/>
            <w:vAlign w:val="bottom"/>
            <w:hideMark/>
          </w:tcPr>
          <w:p w14:paraId="6284BF61" w14:textId="77777777" w:rsidR="008B7E19" w:rsidRPr="00CC6E14" w:rsidRDefault="008B7E19" w:rsidP="008B7E19">
            <w:pPr>
              <w:pStyle w:val="08-Tabelageral"/>
              <w:ind w:left="113"/>
              <w:jc w:val="left"/>
              <w:rPr>
                <w:vertAlign w:val="superscript"/>
              </w:rPr>
            </w:pPr>
            <w:r>
              <w:t xml:space="preserve">Long-term fund </w:t>
            </w:r>
          </w:p>
        </w:tc>
        <w:tc>
          <w:tcPr>
            <w:tcW w:w="1224" w:type="dxa"/>
            <w:tcBorders>
              <w:top w:val="single" w:sz="2" w:space="0" w:color="1F4E79" w:themeColor="accent1" w:themeShade="80"/>
              <w:left w:val="nil"/>
              <w:bottom w:val="nil"/>
              <w:right w:val="nil"/>
            </w:tcBorders>
            <w:shd w:val="clear" w:color="auto" w:fill="auto"/>
            <w:noWrap/>
            <w:vAlign w:val="bottom"/>
          </w:tcPr>
          <w:p w14:paraId="19AEE3C0" w14:textId="77777777" w:rsidR="008B7E19" w:rsidRPr="00C24578" w:rsidRDefault="008B7E19" w:rsidP="008B7E19">
            <w:pPr>
              <w:pStyle w:val="08-Tabelageral"/>
            </w:pPr>
            <w:r>
              <w:t>--</w:t>
            </w:r>
          </w:p>
        </w:tc>
        <w:tc>
          <w:tcPr>
            <w:tcW w:w="1224" w:type="dxa"/>
            <w:tcBorders>
              <w:top w:val="single" w:sz="2" w:space="0" w:color="1F4E79" w:themeColor="accent1" w:themeShade="80"/>
              <w:left w:val="nil"/>
              <w:bottom w:val="nil"/>
              <w:right w:val="nil"/>
            </w:tcBorders>
            <w:shd w:val="clear" w:color="auto" w:fill="auto"/>
            <w:noWrap/>
            <w:vAlign w:val="bottom"/>
          </w:tcPr>
          <w:p w14:paraId="65640BB9" w14:textId="77777777" w:rsidR="008B7E19" w:rsidRPr="00C24578" w:rsidRDefault="008B7E19" w:rsidP="008B7E19">
            <w:pPr>
              <w:pStyle w:val="08-Tabelageral"/>
            </w:pPr>
            <w:r>
              <w:t>17,732</w:t>
            </w:r>
          </w:p>
        </w:tc>
        <w:tc>
          <w:tcPr>
            <w:tcW w:w="1224" w:type="dxa"/>
            <w:tcBorders>
              <w:top w:val="single" w:sz="2" w:space="0" w:color="1F4E79" w:themeColor="accent1" w:themeShade="80"/>
              <w:left w:val="nil"/>
              <w:bottom w:val="nil"/>
              <w:right w:val="nil"/>
            </w:tcBorders>
            <w:shd w:val="clear" w:color="auto" w:fill="auto"/>
            <w:noWrap/>
            <w:vAlign w:val="bottom"/>
          </w:tcPr>
          <w:p w14:paraId="4A22A347" w14:textId="77777777" w:rsidR="008B7E19" w:rsidRPr="00C24578" w:rsidRDefault="008B7E19" w:rsidP="008B7E19">
            <w:pPr>
              <w:pStyle w:val="08-Tabelageral"/>
            </w:pPr>
            <w:r>
              <w:t>17,732</w:t>
            </w:r>
          </w:p>
        </w:tc>
        <w:tc>
          <w:tcPr>
            <w:tcW w:w="1223" w:type="dxa"/>
            <w:tcBorders>
              <w:top w:val="single" w:sz="2" w:space="0" w:color="1F4E79" w:themeColor="accent1" w:themeShade="80"/>
              <w:left w:val="nil"/>
              <w:bottom w:val="nil"/>
              <w:right w:val="nil"/>
            </w:tcBorders>
            <w:shd w:val="clear" w:color="auto" w:fill="auto"/>
            <w:noWrap/>
            <w:vAlign w:val="bottom"/>
          </w:tcPr>
          <w:p w14:paraId="2DDECA4A" w14:textId="77777777" w:rsidR="008B7E19" w:rsidRPr="00C24578" w:rsidRDefault="008B7E19" w:rsidP="008B7E19">
            <w:pPr>
              <w:pStyle w:val="08-Tabelageral"/>
            </w:pPr>
            <w:r>
              <w:t>--</w:t>
            </w:r>
          </w:p>
        </w:tc>
        <w:tc>
          <w:tcPr>
            <w:tcW w:w="1224" w:type="dxa"/>
            <w:tcBorders>
              <w:top w:val="single" w:sz="2" w:space="0" w:color="1F4E79" w:themeColor="accent1" w:themeShade="80"/>
              <w:left w:val="nil"/>
              <w:bottom w:val="nil"/>
              <w:right w:val="nil"/>
            </w:tcBorders>
            <w:shd w:val="clear" w:color="auto" w:fill="auto"/>
            <w:noWrap/>
            <w:vAlign w:val="bottom"/>
          </w:tcPr>
          <w:p w14:paraId="57033726" w14:textId="77777777" w:rsidR="008B7E19" w:rsidRPr="00C24578" w:rsidRDefault="008B7E19" w:rsidP="008B7E19">
            <w:pPr>
              <w:pStyle w:val="08-Tabelageral"/>
            </w:pPr>
            <w:r>
              <w:t>18,064</w:t>
            </w:r>
          </w:p>
        </w:tc>
        <w:tc>
          <w:tcPr>
            <w:tcW w:w="1224" w:type="dxa"/>
            <w:tcBorders>
              <w:top w:val="single" w:sz="2" w:space="0" w:color="1F4E79" w:themeColor="accent1" w:themeShade="80"/>
              <w:left w:val="nil"/>
              <w:bottom w:val="nil"/>
              <w:right w:val="nil"/>
            </w:tcBorders>
            <w:shd w:val="clear" w:color="auto" w:fill="auto"/>
            <w:noWrap/>
            <w:vAlign w:val="bottom"/>
          </w:tcPr>
          <w:p w14:paraId="31678479" w14:textId="77777777" w:rsidR="008B7E19" w:rsidRPr="00C24578" w:rsidRDefault="008B7E19" w:rsidP="008B7E19">
            <w:pPr>
              <w:pStyle w:val="08-Tabelageral"/>
            </w:pPr>
            <w:r>
              <w:t>18,064</w:t>
            </w:r>
          </w:p>
        </w:tc>
      </w:tr>
      <w:tr w:rsidR="008B7E19" w:rsidRPr="000F0D18" w14:paraId="3ADA31A9" w14:textId="77777777" w:rsidTr="008B7E19">
        <w:trPr>
          <w:trHeight w:val="238"/>
          <w:jc w:val="center"/>
        </w:trPr>
        <w:tc>
          <w:tcPr>
            <w:tcW w:w="2296" w:type="dxa"/>
            <w:tcBorders>
              <w:top w:val="nil"/>
              <w:left w:val="nil"/>
              <w:bottom w:val="nil"/>
              <w:right w:val="nil"/>
            </w:tcBorders>
            <w:shd w:val="clear" w:color="auto" w:fill="auto"/>
            <w:noWrap/>
            <w:vAlign w:val="bottom"/>
            <w:hideMark/>
          </w:tcPr>
          <w:p w14:paraId="3EA61699" w14:textId="77777777" w:rsidR="008B7E19" w:rsidRPr="00C24578" w:rsidRDefault="008B7E19" w:rsidP="008B7E19">
            <w:pPr>
              <w:pStyle w:val="08-Tabelageral"/>
              <w:ind w:left="113"/>
              <w:jc w:val="left"/>
            </w:pPr>
            <w:r>
              <w:t>TPF</w:t>
            </w:r>
          </w:p>
        </w:tc>
        <w:tc>
          <w:tcPr>
            <w:tcW w:w="1224" w:type="dxa"/>
            <w:tcBorders>
              <w:top w:val="nil"/>
              <w:left w:val="nil"/>
              <w:bottom w:val="nil"/>
              <w:right w:val="nil"/>
            </w:tcBorders>
            <w:shd w:val="clear" w:color="auto" w:fill="auto"/>
            <w:noWrap/>
            <w:vAlign w:val="bottom"/>
          </w:tcPr>
          <w:p w14:paraId="04BDAEF2" w14:textId="77777777" w:rsidR="008B7E19" w:rsidRPr="00C24578" w:rsidRDefault="008B7E19" w:rsidP="008B7E19">
            <w:pPr>
              <w:pStyle w:val="08-Tabelageral"/>
            </w:pPr>
            <w:r>
              <w:t>1,384,090</w:t>
            </w:r>
          </w:p>
        </w:tc>
        <w:tc>
          <w:tcPr>
            <w:tcW w:w="1224" w:type="dxa"/>
            <w:tcBorders>
              <w:top w:val="nil"/>
              <w:left w:val="nil"/>
              <w:bottom w:val="nil"/>
              <w:right w:val="nil"/>
            </w:tcBorders>
            <w:shd w:val="clear" w:color="auto" w:fill="auto"/>
            <w:noWrap/>
            <w:vAlign w:val="bottom"/>
          </w:tcPr>
          <w:p w14:paraId="7BED38B3" w14:textId="77777777" w:rsidR="008B7E19" w:rsidRPr="00C24578" w:rsidRDefault="008B7E19" w:rsidP="008B7E19">
            <w:pPr>
              <w:pStyle w:val="08-Tabelageral"/>
            </w:pPr>
            <w:r>
              <w:t>--</w:t>
            </w:r>
          </w:p>
        </w:tc>
        <w:tc>
          <w:tcPr>
            <w:tcW w:w="1224" w:type="dxa"/>
            <w:tcBorders>
              <w:top w:val="nil"/>
              <w:left w:val="nil"/>
              <w:bottom w:val="nil"/>
              <w:right w:val="nil"/>
            </w:tcBorders>
            <w:shd w:val="clear" w:color="auto" w:fill="auto"/>
            <w:noWrap/>
            <w:vAlign w:val="bottom"/>
          </w:tcPr>
          <w:p w14:paraId="56A53379" w14:textId="77777777" w:rsidR="008B7E19" w:rsidRPr="00C24578" w:rsidRDefault="008B7E19" w:rsidP="008B7E19">
            <w:pPr>
              <w:pStyle w:val="08-Tabelageral"/>
            </w:pPr>
            <w:r>
              <w:t>1,384,090</w:t>
            </w:r>
          </w:p>
        </w:tc>
        <w:tc>
          <w:tcPr>
            <w:tcW w:w="1223" w:type="dxa"/>
            <w:tcBorders>
              <w:top w:val="nil"/>
              <w:left w:val="nil"/>
              <w:bottom w:val="nil"/>
              <w:right w:val="nil"/>
            </w:tcBorders>
            <w:shd w:val="clear" w:color="auto" w:fill="auto"/>
            <w:noWrap/>
            <w:vAlign w:val="bottom"/>
          </w:tcPr>
          <w:p w14:paraId="1AB479F5" w14:textId="77777777" w:rsidR="008B7E19" w:rsidRPr="00C24578" w:rsidRDefault="008B7E19" w:rsidP="008B7E19">
            <w:pPr>
              <w:pStyle w:val="08-Tabelageral"/>
            </w:pPr>
            <w:r>
              <w:t>350,217</w:t>
            </w:r>
          </w:p>
        </w:tc>
        <w:tc>
          <w:tcPr>
            <w:tcW w:w="1224" w:type="dxa"/>
            <w:tcBorders>
              <w:top w:val="nil"/>
              <w:left w:val="nil"/>
              <w:bottom w:val="nil"/>
              <w:right w:val="nil"/>
            </w:tcBorders>
            <w:shd w:val="clear" w:color="auto" w:fill="auto"/>
            <w:noWrap/>
            <w:vAlign w:val="bottom"/>
          </w:tcPr>
          <w:p w14:paraId="18B76D0B" w14:textId="77777777" w:rsidR="008B7E19" w:rsidRPr="00C24578" w:rsidRDefault="008B7E19" w:rsidP="008B7E19">
            <w:pPr>
              <w:pStyle w:val="08-Tabelageral"/>
            </w:pPr>
            <w:r>
              <w:t>--</w:t>
            </w:r>
          </w:p>
        </w:tc>
        <w:tc>
          <w:tcPr>
            <w:tcW w:w="1224" w:type="dxa"/>
            <w:tcBorders>
              <w:top w:val="nil"/>
              <w:left w:val="nil"/>
              <w:bottom w:val="nil"/>
              <w:right w:val="nil"/>
            </w:tcBorders>
            <w:shd w:val="clear" w:color="auto" w:fill="auto"/>
            <w:noWrap/>
            <w:vAlign w:val="bottom"/>
          </w:tcPr>
          <w:p w14:paraId="4FDF0BF2" w14:textId="77777777" w:rsidR="008B7E19" w:rsidRPr="00C24578" w:rsidRDefault="008B7E19" w:rsidP="008B7E19">
            <w:pPr>
              <w:pStyle w:val="08-Tabelageral"/>
            </w:pPr>
            <w:r>
              <w:t>350,217</w:t>
            </w:r>
          </w:p>
        </w:tc>
      </w:tr>
      <w:tr w:rsidR="008B7E19" w:rsidRPr="000F0D18" w14:paraId="6B74DAB6" w14:textId="77777777" w:rsidTr="008B7E19">
        <w:trPr>
          <w:trHeight w:val="238"/>
          <w:jc w:val="center"/>
        </w:trPr>
        <w:tc>
          <w:tcPr>
            <w:tcW w:w="2296" w:type="dxa"/>
            <w:tcBorders>
              <w:top w:val="nil"/>
              <w:left w:val="nil"/>
              <w:right w:val="nil"/>
            </w:tcBorders>
            <w:shd w:val="clear" w:color="auto" w:fill="auto"/>
            <w:noWrap/>
            <w:vAlign w:val="bottom"/>
          </w:tcPr>
          <w:p w14:paraId="5FAFE5B4" w14:textId="77777777" w:rsidR="008B7E19" w:rsidRPr="00C24578" w:rsidRDefault="008B7E19" w:rsidP="008B7E19">
            <w:pPr>
              <w:pStyle w:val="08-Tabelageral"/>
              <w:ind w:left="113"/>
              <w:jc w:val="left"/>
            </w:pPr>
            <w:r w:rsidRPr="000E12F3">
              <w:t>Cash and cash Equivalents</w:t>
            </w:r>
          </w:p>
        </w:tc>
        <w:tc>
          <w:tcPr>
            <w:tcW w:w="1224" w:type="dxa"/>
            <w:tcBorders>
              <w:top w:val="nil"/>
              <w:left w:val="nil"/>
              <w:right w:val="nil"/>
            </w:tcBorders>
            <w:shd w:val="clear" w:color="auto" w:fill="auto"/>
            <w:noWrap/>
            <w:vAlign w:val="bottom"/>
          </w:tcPr>
          <w:p w14:paraId="7A0C04E7" w14:textId="77777777" w:rsidR="008B7E19" w:rsidRPr="00C24578" w:rsidRDefault="008B7E19" w:rsidP="008B7E19">
            <w:pPr>
              <w:pStyle w:val="08-Tabelageral"/>
            </w:pPr>
            <w:r>
              <w:t>4,357,407</w:t>
            </w:r>
          </w:p>
        </w:tc>
        <w:tc>
          <w:tcPr>
            <w:tcW w:w="1224" w:type="dxa"/>
            <w:tcBorders>
              <w:top w:val="nil"/>
              <w:left w:val="nil"/>
              <w:right w:val="nil"/>
            </w:tcBorders>
            <w:shd w:val="clear" w:color="auto" w:fill="auto"/>
            <w:noWrap/>
            <w:vAlign w:val="bottom"/>
          </w:tcPr>
          <w:p w14:paraId="3A24FBF1" w14:textId="77777777" w:rsidR="008B7E19" w:rsidRPr="00C24578" w:rsidRDefault="008B7E19" w:rsidP="008B7E19">
            <w:pPr>
              <w:pStyle w:val="08-Tabelageral"/>
            </w:pPr>
            <w:r>
              <w:t>--</w:t>
            </w:r>
          </w:p>
        </w:tc>
        <w:tc>
          <w:tcPr>
            <w:tcW w:w="1224" w:type="dxa"/>
            <w:tcBorders>
              <w:top w:val="nil"/>
              <w:left w:val="nil"/>
              <w:right w:val="nil"/>
            </w:tcBorders>
            <w:shd w:val="clear" w:color="auto" w:fill="auto"/>
            <w:noWrap/>
            <w:vAlign w:val="bottom"/>
          </w:tcPr>
          <w:p w14:paraId="37E2274A" w14:textId="77777777" w:rsidR="008B7E19" w:rsidRPr="00C24578" w:rsidRDefault="008B7E19" w:rsidP="008B7E19">
            <w:pPr>
              <w:pStyle w:val="08-Tabelageral"/>
            </w:pPr>
            <w:r>
              <w:t>4,357,407</w:t>
            </w:r>
          </w:p>
        </w:tc>
        <w:tc>
          <w:tcPr>
            <w:tcW w:w="1223" w:type="dxa"/>
            <w:tcBorders>
              <w:top w:val="nil"/>
              <w:left w:val="nil"/>
              <w:right w:val="nil"/>
            </w:tcBorders>
            <w:shd w:val="clear" w:color="auto" w:fill="auto"/>
            <w:noWrap/>
            <w:vAlign w:val="bottom"/>
          </w:tcPr>
          <w:p w14:paraId="7A0A1A72" w14:textId="77777777" w:rsidR="008B7E19" w:rsidRPr="00C24578" w:rsidRDefault="008B7E19" w:rsidP="008B7E19">
            <w:pPr>
              <w:pStyle w:val="08-Tabelageral"/>
            </w:pPr>
            <w:r>
              <w:t>6,076,618</w:t>
            </w:r>
          </w:p>
        </w:tc>
        <w:tc>
          <w:tcPr>
            <w:tcW w:w="1224" w:type="dxa"/>
            <w:tcBorders>
              <w:top w:val="nil"/>
              <w:left w:val="nil"/>
              <w:right w:val="nil"/>
            </w:tcBorders>
            <w:shd w:val="clear" w:color="auto" w:fill="auto"/>
            <w:noWrap/>
            <w:vAlign w:val="bottom"/>
          </w:tcPr>
          <w:p w14:paraId="70A57C13" w14:textId="77777777" w:rsidR="008B7E19" w:rsidRPr="00C24578" w:rsidRDefault="008B7E19" w:rsidP="008B7E19">
            <w:pPr>
              <w:pStyle w:val="08-Tabelageral"/>
            </w:pPr>
            <w:r>
              <w:t>--</w:t>
            </w:r>
          </w:p>
        </w:tc>
        <w:tc>
          <w:tcPr>
            <w:tcW w:w="1224" w:type="dxa"/>
            <w:tcBorders>
              <w:top w:val="nil"/>
              <w:left w:val="nil"/>
              <w:right w:val="nil"/>
            </w:tcBorders>
            <w:shd w:val="clear" w:color="auto" w:fill="auto"/>
            <w:noWrap/>
            <w:vAlign w:val="bottom"/>
          </w:tcPr>
          <w:p w14:paraId="1795DE10" w14:textId="77777777" w:rsidR="008B7E19" w:rsidRPr="00C24578" w:rsidRDefault="008B7E19" w:rsidP="008B7E19">
            <w:pPr>
              <w:pStyle w:val="08-Tabelageral"/>
            </w:pPr>
            <w:r>
              <w:t>6,076,618</w:t>
            </w:r>
          </w:p>
        </w:tc>
      </w:tr>
      <w:tr w:rsidR="008B7E19" w:rsidRPr="00ED0236" w14:paraId="1E66EF48" w14:textId="77777777" w:rsidTr="008B7E19">
        <w:trPr>
          <w:trHeight w:val="238"/>
          <w:jc w:val="center"/>
        </w:trPr>
        <w:tc>
          <w:tcPr>
            <w:tcW w:w="2296" w:type="dxa"/>
            <w:tcBorders>
              <w:bottom w:val="single" w:sz="2" w:space="0" w:color="1F4E79" w:themeColor="accent1" w:themeShade="80"/>
            </w:tcBorders>
            <w:shd w:val="clear" w:color="auto" w:fill="auto"/>
            <w:noWrap/>
            <w:hideMark/>
          </w:tcPr>
          <w:p w14:paraId="7CF75C38" w14:textId="77777777" w:rsidR="008B7E19" w:rsidRPr="000F0D18" w:rsidRDefault="008B7E19" w:rsidP="008B7E19">
            <w:pPr>
              <w:pStyle w:val="08-Tabelageral"/>
              <w:jc w:val="left"/>
              <w:rPr>
                <w:rFonts w:cs="Arial"/>
                <w:b/>
              </w:rPr>
            </w:pPr>
            <w:r w:rsidRPr="000F0D18">
              <w:rPr>
                <w:rFonts w:cs="Arial"/>
                <w:b/>
              </w:rPr>
              <w:t>Total</w:t>
            </w:r>
          </w:p>
        </w:tc>
        <w:tc>
          <w:tcPr>
            <w:tcW w:w="1224" w:type="dxa"/>
            <w:tcBorders>
              <w:top w:val="nil"/>
              <w:left w:val="nil"/>
              <w:bottom w:val="single" w:sz="2" w:space="0" w:color="1F4E79" w:themeColor="accent1" w:themeShade="80"/>
              <w:right w:val="nil"/>
            </w:tcBorders>
            <w:shd w:val="clear" w:color="auto" w:fill="auto"/>
            <w:noWrap/>
            <w:vAlign w:val="bottom"/>
          </w:tcPr>
          <w:p w14:paraId="3899C3F5" w14:textId="77777777" w:rsidR="008B7E19" w:rsidRPr="00ED0236" w:rsidRDefault="008B7E19" w:rsidP="008B7E19">
            <w:pPr>
              <w:pStyle w:val="08-Tabelageral"/>
              <w:rPr>
                <w:rFonts w:cs="Arial"/>
                <w:b/>
              </w:rPr>
            </w:pPr>
            <w:r>
              <w:rPr>
                <w:rFonts w:cs="Arial"/>
                <w:b/>
              </w:rPr>
              <w:t>5,741,497</w:t>
            </w:r>
          </w:p>
        </w:tc>
        <w:tc>
          <w:tcPr>
            <w:tcW w:w="1224" w:type="dxa"/>
            <w:tcBorders>
              <w:top w:val="nil"/>
              <w:left w:val="nil"/>
              <w:bottom w:val="single" w:sz="2" w:space="0" w:color="1F4E79" w:themeColor="accent1" w:themeShade="80"/>
              <w:right w:val="nil"/>
            </w:tcBorders>
            <w:shd w:val="clear" w:color="auto" w:fill="auto"/>
            <w:noWrap/>
            <w:vAlign w:val="bottom"/>
          </w:tcPr>
          <w:p w14:paraId="7DFF7254" w14:textId="77777777" w:rsidR="008B7E19" w:rsidRPr="00ED0236" w:rsidRDefault="008B7E19" w:rsidP="008B7E19">
            <w:pPr>
              <w:pStyle w:val="08-Tabelageral"/>
              <w:rPr>
                <w:rFonts w:cs="Arial"/>
                <w:b/>
              </w:rPr>
            </w:pPr>
            <w:r>
              <w:rPr>
                <w:rFonts w:cs="Arial"/>
                <w:b/>
              </w:rPr>
              <w:t>17,732</w:t>
            </w:r>
          </w:p>
        </w:tc>
        <w:tc>
          <w:tcPr>
            <w:tcW w:w="1224" w:type="dxa"/>
            <w:tcBorders>
              <w:top w:val="nil"/>
              <w:left w:val="nil"/>
              <w:bottom w:val="single" w:sz="2" w:space="0" w:color="1F4E79" w:themeColor="accent1" w:themeShade="80"/>
              <w:right w:val="nil"/>
            </w:tcBorders>
            <w:shd w:val="clear" w:color="auto" w:fill="auto"/>
            <w:noWrap/>
            <w:vAlign w:val="bottom"/>
          </w:tcPr>
          <w:p w14:paraId="4BD20909" w14:textId="77777777" w:rsidR="008B7E19" w:rsidRPr="00ED0236" w:rsidRDefault="008B7E19" w:rsidP="008B7E19">
            <w:pPr>
              <w:pStyle w:val="08-Tabelageral"/>
              <w:rPr>
                <w:rFonts w:cs="Arial"/>
                <w:b/>
              </w:rPr>
            </w:pPr>
            <w:r>
              <w:rPr>
                <w:rFonts w:cs="Arial"/>
                <w:b/>
              </w:rPr>
              <w:t>5,759,229</w:t>
            </w:r>
          </w:p>
        </w:tc>
        <w:tc>
          <w:tcPr>
            <w:tcW w:w="1223" w:type="dxa"/>
            <w:tcBorders>
              <w:top w:val="nil"/>
              <w:left w:val="nil"/>
              <w:bottom w:val="single" w:sz="2" w:space="0" w:color="1F4E79" w:themeColor="accent1" w:themeShade="80"/>
              <w:right w:val="nil"/>
            </w:tcBorders>
            <w:shd w:val="clear" w:color="auto" w:fill="auto"/>
            <w:noWrap/>
            <w:vAlign w:val="bottom"/>
          </w:tcPr>
          <w:p w14:paraId="53B1764F" w14:textId="77777777" w:rsidR="008B7E19" w:rsidRPr="00ED0236" w:rsidRDefault="008B7E19" w:rsidP="008B7E19">
            <w:pPr>
              <w:pStyle w:val="08-Tabelageral"/>
              <w:rPr>
                <w:rFonts w:cs="Arial"/>
                <w:b/>
              </w:rPr>
            </w:pPr>
            <w:r>
              <w:rPr>
                <w:rFonts w:cs="Arial"/>
                <w:b/>
              </w:rPr>
              <w:t>6,426,835</w:t>
            </w:r>
          </w:p>
        </w:tc>
        <w:tc>
          <w:tcPr>
            <w:tcW w:w="1224" w:type="dxa"/>
            <w:tcBorders>
              <w:top w:val="nil"/>
              <w:left w:val="nil"/>
              <w:bottom w:val="single" w:sz="2" w:space="0" w:color="1F4E79" w:themeColor="accent1" w:themeShade="80"/>
              <w:right w:val="nil"/>
            </w:tcBorders>
            <w:shd w:val="clear" w:color="auto" w:fill="auto"/>
            <w:noWrap/>
            <w:vAlign w:val="bottom"/>
          </w:tcPr>
          <w:p w14:paraId="5A149EF2" w14:textId="77777777" w:rsidR="008B7E19" w:rsidRPr="00ED0236" w:rsidRDefault="008B7E19" w:rsidP="008B7E19">
            <w:pPr>
              <w:pStyle w:val="08-Tabelageral"/>
              <w:rPr>
                <w:rFonts w:cs="Arial"/>
                <w:b/>
              </w:rPr>
            </w:pPr>
            <w:r>
              <w:rPr>
                <w:rFonts w:cs="Arial"/>
                <w:b/>
              </w:rPr>
              <w:t>18,064</w:t>
            </w:r>
          </w:p>
        </w:tc>
        <w:tc>
          <w:tcPr>
            <w:tcW w:w="1224" w:type="dxa"/>
            <w:tcBorders>
              <w:top w:val="nil"/>
              <w:left w:val="nil"/>
              <w:bottom w:val="single" w:sz="2" w:space="0" w:color="1F4E79" w:themeColor="accent1" w:themeShade="80"/>
              <w:right w:val="nil"/>
            </w:tcBorders>
            <w:shd w:val="clear" w:color="auto" w:fill="auto"/>
            <w:noWrap/>
            <w:vAlign w:val="bottom"/>
          </w:tcPr>
          <w:p w14:paraId="6422997B" w14:textId="77777777" w:rsidR="008B7E19" w:rsidRPr="00ED0236" w:rsidRDefault="008B7E19" w:rsidP="008B7E19">
            <w:pPr>
              <w:pStyle w:val="08-Tabelageral"/>
              <w:rPr>
                <w:rFonts w:cs="Arial"/>
                <w:b/>
              </w:rPr>
            </w:pPr>
            <w:r>
              <w:rPr>
                <w:rFonts w:cs="Arial"/>
                <w:b/>
              </w:rPr>
              <w:t>6,444,899</w:t>
            </w:r>
          </w:p>
        </w:tc>
      </w:tr>
    </w:tbl>
    <w:p w14:paraId="6DF670B3" w14:textId="77777777" w:rsidR="008B7E19" w:rsidRPr="00052779" w:rsidRDefault="008B7E19" w:rsidP="00882B41">
      <w:pPr>
        <w:pStyle w:val="PargrafodaLista"/>
        <w:keepLines/>
        <w:numPr>
          <w:ilvl w:val="0"/>
          <w:numId w:val="36"/>
        </w:numPr>
        <w:tabs>
          <w:tab w:val="left" w:pos="284"/>
        </w:tabs>
        <w:spacing w:before="40" w:after="0" w:line="240" w:lineRule="auto"/>
        <w:contextualSpacing w:val="0"/>
        <w:jc w:val="both"/>
        <w:rPr>
          <w:rFonts w:ascii="Arial" w:eastAsia="Times New Roman" w:hAnsi="Arial" w:cs="Arial"/>
          <w:vanish/>
          <w:spacing w:val="-2"/>
          <w:sz w:val="14"/>
          <w:szCs w:val="18"/>
          <w:lang w:eastAsia="pt-BR"/>
        </w:rPr>
      </w:pPr>
    </w:p>
    <w:bookmarkEnd w:id="46"/>
    <w:p w14:paraId="224E712D" w14:textId="77777777" w:rsidR="008B7E19" w:rsidRPr="00052779" w:rsidRDefault="008B7E19" w:rsidP="008B7E19">
      <w:pPr>
        <w:pStyle w:val="07-Legenda"/>
        <w:keepNext/>
        <w:ind w:firstLine="0"/>
        <w:rPr>
          <w:rFonts w:cs="Arial"/>
          <w:b/>
          <w:szCs w:val="14"/>
          <w:lang w:val="en-US"/>
        </w:rPr>
      </w:pPr>
    </w:p>
    <w:p w14:paraId="1CF5338F" w14:textId="2CE8F695" w:rsidR="008B7E19" w:rsidRPr="005B5353" w:rsidRDefault="008B7E19" w:rsidP="005B5353">
      <w:pPr>
        <w:pStyle w:val="02-TtulodeNota"/>
        <w:rPr>
          <w:color w:val="1F4E79" w:themeColor="accent1" w:themeShade="80"/>
        </w:rPr>
      </w:pPr>
      <w:bookmarkStart w:id="49" w:name="_Toc141966695"/>
      <w:r w:rsidRPr="005B5353">
        <w:rPr>
          <w:color w:val="1F4E79" w:themeColor="accent1" w:themeShade="80"/>
        </w:rPr>
        <w:t>17 – DIVIDENDS / INTEREST ON EQUITY CAPITAL RECEIVABLE</w:t>
      </w:r>
      <w:bookmarkEnd w:id="49"/>
    </w:p>
    <w:p w14:paraId="05C7C0C8" w14:textId="77777777" w:rsidR="008B7E19" w:rsidRPr="004C6ED9" w:rsidRDefault="008B7E19" w:rsidP="008B7E19">
      <w:pPr>
        <w:pStyle w:val="01-TtulodeNota"/>
        <w:spacing w:before="0" w:after="0"/>
        <w:jc w:val="right"/>
        <w:rPr>
          <w:sz w:val="14"/>
          <w:szCs w:val="14"/>
        </w:rPr>
      </w:pPr>
      <w:r w:rsidRPr="004C6ED9">
        <w:rPr>
          <w:sz w:val="14"/>
          <w:szCs w:val="14"/>
        </w:rPr>
        <w:t xml:space="preserve">R$ </w:t>
      </w:r>
      <w:r>
        <w:rPr>
          <w:sz w:val="14"/>
          <w:szCs w:val="14"/>
        </w:rPr>
        <w:t>thousand</w:t>
      </w:r>
    </w:p>
    <w:tbl>
      <w:tblPr>
        <w:tblW w:w="9639" w:type="dxa"/>
        <w:jc w:val="center"/>
        <w:tblBorders>
          <w:top w:val="single" w:sz="6" w:space="0" w:color="1F4E79" w:themeColor="accent1" w:themeShade="80"/>
          <w:bottom w:val="single" w:sz="6" w:space="0" w:color="1F4E79" w:themeColor="accent1" w:themeShade="80"/>
          <w:insideH w:val="single" w:sz="6" w:space="0" w:color="1F4E79" w:themeColor="accent1" w:themeShade="80"/>
        </w:tblBorders>
        <w:tblLook w:val="04A0" w:firstRow="1" w:lastRow="0" w:firstColumn="1" w:lastColumn="0" w:noHBand="0" w:noVBand="1"/>
      </w:tblPr>
      <w:tblGrid>
        <w:gridCol w:w="850"/>
        <w:gridCol w:w="2244"/>
        <w:gridCol w:w="604"/>
        <w:gridCol w:w="1411"/>
        <w:gridCol w:w="1412"/>
        <w:gridCol w:w="283"/>
        <w:gridCol w:w="1417"/>
        <w:gridCol w:w="1418"/>
      </w:tblGrid>
      <w:tr w:rsidR="008B7E19" w:rsidRPr="004C6ED9" w14:paraId="1323FD17" w14:textId="77777777" w:rsidTr="005B5353">
        <w:trPr>
          <w:trHeight w:val="238"/>
          <w:jc w:val="center"/>
        </w:trPr>
        <w:tc>
          <w:tcPr>
            <w:tcW w:w="850" w:type="dxa"/>
            <w:tcBorders>
              <w:bottom w:val="nil"/>
            </w:tcBorders>
            <w:shd w:val="clear" w:color="auto" w:fill="auto"/>
            <w:vAlign w:val="center"/>
          </w:tcPr>
          <w:p w14:paraId="5B3B653D" w14:textId="77777777" w:rsidR="008B7E19" w:rsidRPr="004C6ED9" w:rsidRDefault="008B7E19" w:rsidP="008B7E19">
            <w:pPr>
              <w:keepNext/>
              <w:keepLines/>
              <w:spacing w:before="40" w:after="40"/>
              <w:jc w:val="center"/>
              <w:rPr>
                <w:rFonts w:cs="Arial"/>
                <w:b/>
                <w:bCs/>
                <w:spacing w:val="-2"/>
                <w:sz w:val="14"/>
                <w:szCs w:val="14"/>
              </w:rPr>
            </w:pPr>
          </w:p>
        </w:tc>
        <w:tc>
          <w:tcPr>
            <w:tcW w:w="2848" w:type="dxa"/>
            <w:gridSpan w:val="2"/>
            <w:tcBorders>
              <w:bottom w:val="nil"/>
            </w:tcBorders>
            <w:shd w:val="clear" w:color="auto" w:fill="auto"/>
            <w:vAlign w:val="center"/>
          </w:tcPr>
          <w:p w14:paraId="10A7B1ED" w14:textId="77777777" w:rsidR="008B7E19" w:rsidRPr="004C6ED9" w:rsidRDefault="008B7E19" w:rsidP="008B7E19">
            <w:pPr>
              <w:keepNext/>
              <w:keepLines/>
              <w:spacing w:before="40" w:after="40"/>
              <w:jc w:val="center"/>
              <w:rPr>
                <w:rFonts w:cs="Arial"/>
                <w:spacing w:val="-2"/>
                <w:sz w:val="14"/>
                <w:szCs w:val="14"/>
              </w:rPr>
            </w:pPr>
          </w:p>
        </w:tc>
        <w:tc>
          <w:tcPr>
            <w:tcW w:w="2823" w:type="dxa"/>
            <w:gridSpan w:val="2"/>
            <w:tcBorders>
              <w:bottom w:val="single" w:sz="6" w:space="0" w:color="1F4E79" w:themeColor="accent1" w:themeShade="80"/>
            </w:tcBorders>
            <w:shd w:val="clear" w:color="auto" w:fill="auto"/>
            <w:vAlign w:val="center"/>
          </w:tcPr>
          <w:p w14:paraId="0C617FA2" w14:textId="77777777" w:rsidR="008B7E19" w:rsidRPr="0079276F" w:rsidRDefault="008B7E19" w:rsidP="008B7E19">
            <w:pPr>
              <w:keepNext/>
              <w:keepLines/>
              <w:spacing w:before="40" w:after="40"/>
              <w:jc w:val="center"/>
              <w:rPr>
                <w:rFonts w:cs="Arial"/>
                <w:b/>
                <w:spacing w:val="-2"/>
                <w:sz w:val="14"/>
                <w:szCs w:val="14"/>
                <w:vertAlign w:val="superscript"/>
              </w:rPr>
            </w:pPr>
            <w:r>
              <w:rPr>
                <w:rFonts w:cs="Arial"/>
                <w:b/>
                <w:spacing w:val="-2"/>
                <w:sz w:val="14"/>
                <w:szCs w:val="14"/>
              </w:rPr>
              <w:t>Parent</w:t>
            </w:r>
          </w:p>
        </w:tc>
        <w:tc>
          <w:tcPr>
            <w:tcW w:w="283" w:type="dxa"/>
            <w:tcBorders>
              <w:bottom w:val="single" w:sz="6" w:space="0" w:color="1F4E79" w:themeColor="accent1" w:themeShade="80"/>
            </w:tcBorders>
            <w:shd w:val="clear" w:color="auto" w:fill="auto"/>
            <w:vAlign w:val="center"/>
          </w:tcPr>
          <w:p w14:paraId="136A159D" w14:textId="77777777" w:rsidR="008B7E19" w:rsidRPr="0079276F" w:rsidRDefault="008B7E19" w:rsidP="008B7E19">
            <w:pPr>
              <w:keepNext/>
              <w:keepLines/>
              <w:spacing w:before="40" w:after="40"/>
              <w:jc w:val="center"/>
              <w:rPr>
                <w:rFonts w:cs="Arial"/>
                <w:b/>
                <w:bCs/>
                <w:spacing w:val="-2"/>
                <w:sz w:val="14"/>
                <w:szCs w:val="14"/>
              </w:rPr>
            </w:pPr>
          </w:p>
        </w:tc>
        <w:tc>
          <w:tcPr>
            <w:tcW w:w="2835" w:type="dxa"/>
            <w:gridSpan w:val="2"/>
            <w:tcBorders>
              <w:bottom w:val="single" w:sz="6" w:space="0" w:color="1F4E79" w:themeColor="accent1" w:themeShade="80"/>
            </w:tcBorders>
            <w:shd w:val="clear" w:color="auto" w:fill="auto"/>
            <w:vAlign w:val="center"/>
          </w:tcPr>
          <w:p w14:paraId="67CBDE82" w14:textId="77777777" w:rsidR="008B7E19" w:rsidRPr="0079276F" w:rsidRDefault="008B7E19" w:rsidP="008B7E19">
            <w:pPr>
              <w:keepNext/>
              <w:keepLines/>
              <w:spacing w:before="40" w:after="40"/>
              <w:jc w:val="center"/>
              <w:rPr>
                <w:rFonts w:cs="Arial"/>
                <w:b/>
                <w:spacing w:val="-2"/>
                <w:sz w:val="14"/>
                <w:szCs w:val="14"/>
                <w:vertAlign w:val="superscript"/>
              </w:rPr>
            </w:pPr>
            <w:r w:rsidRPr="0079276F">
              <w:rPr>
                <w:rFonts w:cs="Arial"/>
                <w:b/>
                <w:spacing w:val="-2"/>
                <w:sz w:val="14"/>
                <w:szCs w:val="14"/>
              </w:rPr>
              <w:t>Consolida</w:t>
            </w:r>
            <w:r>
              <w:rPr>
                <w:rFonts w:cs="Arial"/>
                <w:b/>
                <w:spacing w:val="-2"/>
                <w:sz w:val="14"/>
                <w:szCs w:val="14"/>
              </w:rPr>
              <w:t>ted</w:t>
            </w:r>
          </w:p>
        </w:tc>
      </w:tr>
      <w:tr w:rsidR="008B7E19" w:rsidRPr="004C6ED9" w14:paraId="2B7DA88D" w14:textId="77777777" w:rsidTr="005B5353">
        <w:trPr>
          <w:trHeight w:val="238"/>
          <w:jc w:val="center"/>
        </w:trPr>
        <w:tc>
          <w:tcPr>
            <w:tcW w:w="3094" w:type="dxa"/>
            <w:gridSpan w:val="2"/>
            <w:tcBorders>
              <w:top w:val="nil"/>
              <w:bottom w:val="single" w:sz="6" w:space="0" w:color="1F4E79" w:themeColor="accent1" w:themeShade="80"/>
            </w:tcBorders>
            <w:shd w:val="clear" w:color="auto" w:fill="auto"/>
            <w:vAlign w:val="center"/>
          </w:tcPr>
          <w:p w14:paraId="66B1295B" w14:textId="77777777" w:rsidR="008B7E19" w:rsidRPr="004C6ED9" w:rsidRDefault="008B7E19" w:rsidP="008B7E19">
            <w:pPr>
              <w:keepNext/>
              <w:keepLines/>
              <w:spacing w:before="40" w:after="40"/>
              <w:jc w:val="center"/>
              <w:rPr>
                <w:rFonts w:cs="Arial"/>
                <w:spacing w:val="-2"/>
                <w:sz w:val="14"/>
                <w:szCs w:val="14"/>
              </w:rPr>
            </w:pPr>
          </w:p>
        </w:tc>
        <w:tc>
          <w:tcPr>
            <w:tcW w:w="604" w:type="dxa"/>
            <w:tcBorders>
              <w:top w:val="nil"/>
              <w:bottom w:val="single" w:sz="6" w:space="0" w:color="1F4E79" w:themeColor="accent1" w:themeShade="80"/>
            </w:tcBorders>
            <w:shd w:val="clear" w:color="auto" w:fill="auto"/>
            <w:vAlign w:val="center"/>
          </w:tcPr>
          <w:p w14:paraId="358C6545" w14:textId="77777777" w:rsidR="008B7E19" w:rsidRPr="004C6ED9" w:rsidRDefault="008B7E19" w:rsidP="008B7E19">
            <w:pPr>
              <w:keepNext/>
              <w:keepLines/>
              <w:spacing w:before="40" w:after="40"/>
              <w:jc w:val="center"/>
              <w:rPr>
                <w:rFonts w:cs="Arial"/>
                <w:b/>
                <w:spacing w:val="-2"/>
                <w:sz w:val="14"/>
                <w:szCs w:val="14"/>
              </w:rPr>
            </w:pPr>
          </w:p>
        </w:tc>
        <w:tc>
          <w:tcPr>
            <w:tcW w:w="1411" w:type="dxa"/>
            <w:tcBorders>
              <w:bottom w:val="single" w:sz="6" w:space="0" w:color="1F4E79" w:themeColor="accent1" w:themeShade="80"/>
            </w:tcBorders>
            <w:shd w:val="clear" w:color="auto" w:fill="auto"/>
            <w:vAlign w:val="center"/>
          </w:tcPr>
          <w:p w14:paraId="6615E068" w14:textId="77777777" w:rsidR="008B7E19" w:rsidRPr="00CF762E" w:rsidRDefault="008B7E19" w:rsidP="008B7E19">
            <w:pPr>
              <w:keepNext/>
              <w:keepLines/>
              <w:spacing w:before="40" w:after="40"/>
              <w:jc w:val="right"/>
              <w:rPr>
                <w:rFonts w:cs="Arial"/>
                <w:b/>
                <w:spacing w:val="-2"/>
                <w:sz w:val="14"/>
                <w:szCs w:val="14"/>
                <w:vertAlign w:val="superscript"/>
              </w:rPr>
            </w:pPr>
            <w:r>
              <w:rPr>
                <w:rFonts w:cs="Arial"/>
                <w:b/>
                <w:spacing w:val="-2"/>
                <w:sz w:val="14"/>
                <w:szCs w:val="14"/>
              </w:rPr>
              <w:t xml:space="preserve">June </w:t>
            </w:r>
            <w:r w:rsidRPr="004C6ED9">
              <w:rPr>
                <w:rFonts w:cs="Arial"/>
                <w:b/>
                <w:spacing w:val="-2"/>
                <w:sz w:val="14"/>
                <w:szCs w:val="14"/>
              </w:rPr>
              <w:t>3</w:t>
            </w:r>
            <w:r>
              <w:rPr>
                <w:rFonts w:cs="Arial"/>
                <w:b/>
                <w:spacing w:val="-2"/>
                <w:sz w:val="14"/>
                <w:szCs w:val="14"/>
              </w:rPr>
              <w:t xml:space="preserve">0, </w:t>
            </w:r>
            <w:r w:rsidRPr="004C6ED9">
              <w:rPr>
                <w:rFonts w:cs="Arial"/>
                <w:b/>
                <w:spacing w:val="-2"/>
                <w:sz w:val="14"/>
                <w:szCs w:val="14"/>
              </w:rPr>
              <w:t>20</w:t>
            </w:r>
            <w:r>
              <w:rPr>
                <w:rFonts w:cs="Arial"/>
                <w:b/>
                <w:spacing w:val="-2"/>
                <w:sz w:val="14"/>
                <w:szCs w:val="14"/>
              </w:rPr>
              <w:t>23</w:t>
            </w:r>
          </w:p>
        </w:tc>
        <w:tc>
          <w:tcPr>
            <w:tcW w:w="1412" w:type="dxa"/>
            <w:tcBorders>
              <w:bottom w:val="single" w:sz="6" w:space="0" w:color="1F4E79" w:themeColor="accent1" w:themeShade="80"/>
            </w:tcBorders>
            <w:shd w:val="clear" w:color="auto" w:fill="auto"/>
            <w:vAlign w:val="center"/>
          </w:tcPr>
          <w:p w14:paraId="704ED589" w14:textId="77777777" w:rsidR="008B7E19" w:rsidRPr="00AF7E05" w:rsidRDefault="008B7E19" w:rsidP="008B7E19">
            <w:pPr>
              <w:keepNext/>
              <w:keepLines/>
              <w:spacing w:before="40" w:after="40"/>
              <w:jc w:val="right"/>
              <w:rPr>
                <w:rFonts w:cs="Arial"/>
                <w:b/>
                <w:spacing w:val="-2"/>
                <w:sz w:val="14"/>
                <w:szCs w:val="14"/>
                <w:vertAlign w:val="superscript"/>
              </w:rPr>
            </w:pPr>
            <w:r>
              <w:rPr>
                <w:rFonts w:cs="Arial"/>
                <w:b/>
                <w:spacing w:val="-2"/>
                <w:sz w:val="14"/>
                <w:szCs w:val="14"/>
              </w:rPr>
              <w:t xml:space="preserve">Dec </w:t>
            </w:r>
            <w:r w:rsidRPr="004C6ED9">
              <w:rPr>
                <w:rFonts w:cs="Arial"/>
                <w:b/>
                <w:spacing w:val="-2"/>
                <w:sz w:val="14"/>
                <w:szCs w:val="14"/>
              </w:rPr>
              <w:t>31</w:t>
            </w:r>
            <w:r>
              <w:rPr>
                <w:rFonts w:cs="Arial"/>
                <w:b/>
                <w:spacing w:val="-2"/>
                <w:sz w:val="14"/>
                <w:szCs w:val="14"/>
              </w:rPr>
              <w:t xml:space="preserve">, </w:t>
            </w:r>
            <w:r w:rsidRPr="004C6ED9">
              <w:rPr>
                <w:rFonts w:cs="Arial"/>
                <w:b/>
                <w:spacing w:val="-2"/>
                <w:sz w:val="14"/>
                <w:szCs w:val="14"/>
              </w:rPr>
              <w:t>20</w:t>
            </w:r>
            <w:r>
              <w:rPr>
                <w:rFonts w:cs="Arial"/>
                <w:b/>
                <w:spacing w:val="-2"/>
                <w:sz w:val="14"/>
                <w:szCs w:val="14"/>
              </w:rPr>
              <w:t xml:space="preserve">22 </w:t>
            </w:r>
            <w:r>
              <w:rPr>
                <w:rFonts w:cs="Arial"/>
                <w:b/>
                <w:spacing w:val="-2"/>
                <w:sz w:val="14"/>
                <w:szCs w:val="14"/>
                <w:vertAlign w:val="superscript"/>
              </w:rPr>
              <w:t>(1)</w:t>
            </w:r>
          </w:p>
        </w:tc>
        <w:tc>
          <w:tcPr>
            <w:tcW w:w="283" w:type="dxa"/>
            <w:tcBorders>
              <w:bottom w:val="single" w:sz="6" w:space="0" w:color="1F4E79" w:themeColor="accent1" w:themeShade="80"/>
            </w:tcBorders>
            <w:shd w:val="clear" w:color="auto" w:fill="auto"/>
            <w:vAlign w:val="center"/>
          </w:tcPr>
          <w:p w14:paraId="1B62EE38" w14:textId="77777777" w:rsidR="008B7E19" w:rsidRPr="004C6ED9" w:rsidRDefault="008B7E19" w:rsidP="008B7E19">
            <w:pPr>
              <w:keepNext/>
              <w:keepLines/>
              <w:spacing w:before="40" w:after="40"/>
              <w:jc w:val="right"/>
              <w:rPr>
                <w:rFonts w:cs="Arial"/>
                <w:b/>
                <w:spacing w:val="-2"/>
                <w:sz w:val="14"/>
                <w:szCs w:val="14"/>
              </w:rPr>
            </w:pPr>
          </w:p>
        </w:tc>
        <w:tc>
          <w:tcPr>
            <w:tcW w:w="1417" w:type="dxa"/>
            <w:tcBorders>
              <w:bottom w:val="single" w:sz="6" w:space="0" w:color="1F4E79" w:themeColor="accent1" w:themeShade="80"/>
            </w:tcBorders>
            <w:shd w:val="clear" w:color="auto" w:fill="auto"/>
            <w:vAlign w:val="center"/>
          </w:tcPr>
          <w:p w14:paraId="3D59A127" w14:textId="77777777" w:rsidR="008B7E19" w:rsidRPr="004C6ED9" w:rsidRDefault="008B7E19" w:rsidP="008B7E19">
            <w:pPr>
              <w:keepNext/>
              <w:keepLines/>
              <w:spacing w:before="40" w:after="40"/>
              <w:jc w:val="center"/>
              <w:rPr>
                <w:rFonts w:cs="Arial"/>
                <w:b/>
                <w:spacing w:val="-2"/>
                <w:sz w:val="14"/>
                <w:szCs w:val="14"/>
              </w:rPr>
            </w:pPr>
            <w:r>
              <w:rPr>
                <w:rFonts w:cs="Arial"/>
                <w:b/>
                <w:spacing w:val="-2"/>
                <w:sz w:val="14"/>
                <w:szCs w:val="14"/>
              </w:rPr>
              <w:t xml:space="preserve">June </w:t>
            </w:r>
            <w:r w:rsidRPr="004C6ED9">
              <w:rPr>
                <w:rFonts w:cs="Arial"/>
                <w:b/>
                <w:spacing w:val="-2"/>
                <w:sz w:val="14"/>
                <w:szCs w:val="14"/>
              </w:rPr>
              <w:t>3</w:t>
            </w:r>
            <w:r>
              <w:rPr>
                <w:rFonts w:cs="Arial"/>
                <w:b/>
                <w:spacing w:val="-2"/>
                <w:sz w:val="14"/>
                <w:szCs w:val="14"/>
              </w:rPr>
              <w:t xml:space="preserve">0, </w:t>
            </w:r>
            <w:r w:rsidRPr="004C6ED9">
              <w:rPr>
                <w:rFonts w:cs="Arial"/>
                <w:b/>
                <w:spacing w:val="-2"/>
                <w:sz w:val="14"/>
                <w:szCs w:val="14"/>
              </w:rPr>
              <w:t>20</w:t>
            </w:r>
            <w:r>
              <w:rPr>
                <w:rFonts w:cs="Arial"/>
                <w:b/>
                <w:spacing w:val="-2"/>
                <w:sz w:val="14"/>
                <w:szCs w:val="14"/>
              </w:rPr>
              <w:t>23</w:t>
            </w:r>
          </w:p>
        </w:tc>
        <w:tc>
          <w:tcPr>
            <w:tcW w:w="1418" w:type="dxa"/>
            <w:tcBorders>
              <w:bottom w:val="single" w:sz="6" w:space="0" w:color="1F4E79" w:themeColor="accent1" w:themeShade="80"/>
            </w:tcBorders>
            <w:shd w:val="clear" w:color="auto" w:fill="auto"/>
            <w:vAlign w:val="center"/>
          </w:tcPr>
          <w:p w14:paraId="32882199" w14:textId="77777777" w:rsidR="008B7E19" w:rsidRPr="0082415E" w:rsidRDefault="008B7E19" w:rsidP="008B7E19">
            <w:pPr>
              <w:keepNext/>
              <w:keepLines/>
              <w:spacing w:before="40" w:after="40"/>
              <w:jc w:val="right"/>
              <w:rPr>
                <w:rFonts w:cs="Arial"/>
                <w:b/>
                <w:spacing w:val="-2"/>
                <w:sz w:val="14"/>
                <w:szCs w:val="14"/>
                <w:vertAlign w:val="superscript"/>
              </w:rPr>
            </w:pPr>
            <w:r>
              <w:rPr>
                <w:rFonts w:cs="Arial"/>
                <w:b/>
                <w:spacing w:val="-2"/>
                <w:sz w:val="14"/>
                <w:szCs w:val="14"/>
              </w:rPr>
              <w:t xml:space="preserve">Dec </w:t>
            </w:r>
            <w:r w:rsidRPr="004C6ED9">
              <w:rPr>
                <w:rFonts w:cs="Arial"/>
                <w:b/>
                <w:spacing w:val="-2"/>
                <w:sz w:val="14"/>
                <w:szCs w:val="14"/>
              </w:rPr>
              <w:t>31</w:t>
            </w:r>
            <w:r>
              <w:rPr>
                <w:rFonts w:cs="Arial"/>
                <w:b/>
                <w:spacing w:val="-2"/>
                <w:sz w:val="14"/>
                <w:szCs w:val="14"/>
              </w:rPr>
              <w:t xml:space="preserve">, </w:t>
            </w:r>
            <w:r w:rsidRPr="004C6ED9">
              <w:rPr>
                <w:rFonts w:cs="Arial"/>
                <w:b/>
                <w:spacing w:val="-2"/>
                <w:sz w:val="14"/>
                <w:szCs w:val="14"/>
              </w:rPr>
              <w:t>20</w:t>
            </w:r>
            <w:r>
              <w:rPr>
                <w:rFonts w:cs="Arial"/>
                <w:b/>
                <w:spacing w:val="-2"/>
                <w:sz w:val="14"/>
                <w:szCs w:val="14"/>
              </w:rPr>
              <w:t>22</w:t>
            </w:r>
          </w:p>
        </w:tc>
      </w:tr>
      <w:tr w:rsidR="008B7E19" w:rsidRPr="004C6ED9" w14:paraId="38F95356" w14:textId="77777777" w:rsidTr="005B5353">
        <w:trPr>
          <w:trHeight w:val="238"/>
          <w:jc w:val="center"/>
        </w:trPr>
        <w:tc>
          <w:tcPr>
            <w:tcW w:w="3094" w:type="dxa"/>
            <w:gridSpan w:val="2"/>
            <w:tcBorders>
              <w:top w:val="single" w:sz="6" w:space="0" w:color="1F4E79" w:themeColor="accent1" w:themeShade="80"/>
            </w:tcBorders>
            <w:shd w:val="clear" w:color="auto" w:fill="auto"/>
          </w:tcPr>
          <w:p w14:paraId="0EB7E505" w14:textId="77777777" w:rsidR="008B7E19" w:rsidRPr="00B92CC7" w:rsidRDefault="008B7E19" w:rsidP="008B7E19">
            <w:pPr>
              <w:pStyle w:val="08-Tabelageral"/>
              <w:jc w:val="left"/>
              <w:rPr>
                <w:rFonts w:cs="Arial"/>
                <w:b/>
                <w:szCs w:val="14"/>
                <w:vertAlign w:val="superscript"/>
              </w:rPr>
            </w:pPr>
            <w:r>
              <w:rPr>
                <w:rFonts w:cs="Arial"/>
                <w:szCs w:val="14"/>
              </w:rPr>
              <w:t xml:space="preserve">Dividends receivable </w:t>
            </w:r>
          </w:p>
        </w:tc>
        <w:tc>
          <w:tcPr>
            <w:tcW w:w="604" w:type="dxa"/>
            <w:tcBorders>
              <w:top w:val="single" w:sz="6" w:space="0" w:color="1F4E79" w:themeColor="accent1" w:themeShade="80"/>
            </w:tcBorders>
            <w:shd w:val="clear" w:color="auto" w:fill="auto"/>
          </w:tcPr>
          <w:p w14:paraId="3FD9A258" w14:textId="77777777" w:rsidR="008B7E19" w:rsidRPr="004C6ED9" w:rsidRDefault="008B7E19" w:rsidP="008B7E19">
            <w:pPr>
              <w:pStyle w:val="08-Tabelageral"/>
              <w:rPr>
                <w:rFonts w:cs="Arial"/>
                <w:szCs w:val="14"/>
              </w:rPr>
            </w:pPr>
          </w:p>
        </w:tc>
        <w:tc>
          <w:tcPr>
            <w:tcW w:w="1411" w:type="dxa"/>
            <w:tcBorders>
              <w:top w:val="single" w:sz="6" w:space="0" w:color="1F4E79" w:themeColor="accent1" w:themeShade="80"/>
            </w:tcBorders>
            <w:shd w:val="clear" w:color="auto" w:fill="auto"/>
          </w:tcPr>
          <w:p w14:paraId="1B35E648" w14:textId="77777777" w:rsidR="008B7E19" w:rsidRPr="004C6ED9" w:rsidRDefault="008B7E19" w:rsidP="008B7E19">
            <w:pPr>
              <w:pStyle w:val="08-Tabelageral"/>
              <w:rPr>
                <w:rFonts w:cs="Arial"/>
                <w:szCs w:val="14"/>
              </w:rPr>
            </w:pPr>
            <w:r w:rsidRPr="003B5FDC">
              <w:rPr>
                <w:rFonts w:cs="Arial"/>
                <w:szCs w:val="14"/>
              </w:rPr>
              <w:t>2</w:t>
            </w:r>
            <w:r>
              <w:rPr>
                <w:rFonts w:cs="Arial"/>
                <w:szCs w:val="14"/>
              </w:rPr>
              <w:t>,</w:t>
            </w:r>
            <w:r w:rsidRPr="003B5FDC">
              <w:rPr>
                <w:rFonts w:cs="Arial"/>
                <w:szCs w:val="14"/>
              </w:rPr>
              <w:t>228</w:t>
            </w:r>
            <w:r>
              <w:rPr>
                <w:rFonts w:cs="Arial"/>
                <w:szCs w:val="14"/>
              </w:rPr>
              <w:t>,</w:t>
            </w:r>
            <w:r w:rsidRPr="003B5FDC">
              <w:rPr>
                <w:rFonts w:cs="Arial"/>
                <w:szCs w:val="14"/>
              </w:rPr>
              <w:t>680</w:t>
            </w:r>
          </w:p>
        </w:tc>
        <w:tc>
          <w:tcPr>
            <w:tcW w:w="1412" w:type="dxa"/>
            <w:tcBorders>
              <w:top w:val="single" w:sz="6" w:space="0" w:color="1F4E79" w:themeColor="accent1" w:themeShade="80"/>
            </w:tcBorders>
            <w:shd w:val="clear" w:color="auto" w:fill="auto"/>
          </w:tcPr>
          <w:p w14:paraId="7DD0299A" w14:textId="77777777" w:rsidR="008B7E19" w:rsidRPr="004C6ED9" w:rsidRDefault="008B7E19" w:rsidP="008B7E19">
            <w:pPr>
              <w:pStyle w:val="08-Tabelageral"/>
              <w:rPr>
                <w:rFonts w:cs="Arial"/>
                <w:szCs w:val="14"/>
              </w:rPr>
            </w:pPr>
            <w:r>
              <w:rPr>
                <w:rFonts w:cs="Arial"/>
                <w:szCs w:val="14"/>
              </w:rPr>
              <w:t>3,683,356</w:t>
            </w:r>
          </w:p>
        </w:tc>
        <w:tc>
          <w:tcPr>
            <w:tcW w:w="283" w:type="dxa"/>
            <w:tcBorders>
              <w:top w:val="single" w:sz="6" w:space="0" w:color="1F4E79" w:themeColor="accent1" w:themeShade="80"/>
            </w:tcBorders>
            <w:shd w:val="clear" w:color="auto" w:fill="auto"/>
          </w:tcPr>
          <w:p w14:paraId="35D8E3CB" w14:textId="77777777" w:rsidR="008B7E19" w:rsidRPr="004C6ED9" w:rsidRDefault="008B7E19" w:rsidP="008B7E19">
            <w:pPr>
              <w:pStyle w:val="08-Tabelageral"/>
              <w:rPr>
                <w:rFonts w:cs="Arial"/>
                <w:szCs w:val="14"/>
              </w:rPr>
            </w:pPr>
          </w:p>
        </w:tc>
        <w:tc>
          <w:tcPr>
            <w:tcW w:w="1417" w:type="dxa"/>
            <w:tcBorders>
              <w:top w:val="single" w:sz="6" w:space="0" w:color="1F4E79" w:themeColor="accent1" w:themeShade="80"/>
            </w:tcBorders>
            <w:shd w:val="clear" w:color="auto" w:fill="auto"/>
          </w:tcPr>
          <w:p w14:paraId="5CA7BD7C" w14:textId="77777777" w:rsidR="008B7E19" w:rsidRPr="004C6ED9" w:rsidRDefault="008B7E19" w:rsidP="008B7E19">
            <w:pPr>
              <w:pStyle w:val="08-Tabelageral"/>
              <w:ind w:right="313"/>
              <w:rPr>
                <w:rFonts w:cs="Arial"/>
                <w:szCs w:val="14"/>
              </w:rPr>
            </w:pPr>
            <w:r>
              <w:rPr>
                <w:rFonts w:cs="Arial"/>
                <w:szCs w:val="14"/>
              </w:rPr>
              <w:t>--</w:t>
            </w:r>
          </w:p>
        </w:tc>
        <w:tc>
          <w:tcPr>
            <w:tcW w:w="1418" w:type="dxa"/>
            <w:tcBorders>
              <w:top w:val="single" w:sz="6" w:space="0" w:color="1F4E79" w:themeColor="accent1" w:themeShade="80"/>
            </w:tcBorders>
            <w:shd w:val="clear" w:color="auto" w:fill="auto"/>
          </w:tcPr>
          <w:p w14:paraId="2A1D169D" w14:textId="77777777" w:rsidR="008B7E19" w:rsidRPr="004C6ED9" w:rsidRDefault="008B7E19" w:rsidP="008B7E19">
            <w:pPr>
              <w:pStyle w:val="08-Tabelageral"/>
              <w:rPr>
                <w:rFonts w:cs="Arial"/>
                <w:szCs w:val="14"/>
              </w:rPr>
            </w:pPr>
            <w:r>
              <w:rPr>
                <w:rFonts w:cs="Arial"/>
                <w:szCs w:val="14"/>
              </w:rPr>
              <w:t>13,519</w:t>
            </w:r>
          </w:p>
        </w:tc>
      </w:tr>
    </w:tbl>
    <w:p w14:paraId="4FFEDCF6" w14:textId="77777777" w:rsidR="008B7E19" w:rsidRPr="00745C3D" w:rsidRDefault="008B7E19" w:rsidP="008B7E19">
      <w:pPr>
        <w:pStyle w:val="07-Legenda"/>
        <w:numPr>
          <w:ilvl w:val="0"/>
          <w:numId w:val="2"/>
        </w:numPr>
        <w:ind w:left="284" w:hanging="284"/>
        <w:rPr>
          <w:szCs w:val="14"/>
          <w:lang w:val="en-US"/>
        </w:rPr>
      </w:pPr>
      <w:r w:rsidRPr="00745C3D">
        <w:rPr>
          <w:lang w:val="en-US"/>
        </w:rPr>
        <w:t>Refers to dividends received from BB Corretora and BB Seguros on 03.01.2023.</w:t>
      </w:r>
    </w:p>
    <w:p w14:paraId="6F4141CB" w14:textId="7AFC5E24" w:rsidR="006024CD" w:rsidRDefault="006024CD" w:rsidP="008B7E19">
      <w:pPr>
        <w:pStyle w:val="02-TtulodeNota"/>
        <w:rPr>
          <w:rFonts w:eastAsiaTheme="minorHAnsi"/>
        </w:rPr>
      </w:pPr>
    </w:p>
    <w:p w14:paraId="6EF45E12" w14:textId="3BCB22A1" w:rsidR="008B7E19" w:rsidRPr="005B5353" w:rsidRDefault="008B7E19" w:rsidP="005B5353">
      <w:pPr>
        <w:pStyle w:val="02-TtulodeNota"/>
        <w:rPr>
          <w:color w:val="1F4E79" w:themeColor="accent1" w:themeShade="80"/>
        </w:rPr>
      </w:pPr>
      <w:bookmarkStart w:id="50" w:name="_Toc141966696"/>
      <w:r w:rsidRPr="005B5353">
        <w:rPr>
          <w:color w:val="1F4E79" w:themeColor="accent1" w:themeShade="80"/>
        </w:rPr>
        <w:t>18 – COMMISSIONS RECEIVABLE</w:t>
      </w:r>
      <w:bookmarkEnd w:id="50"/>
    </w:p>
    <w:p w14:paraId="2FC9DBAA" w14:textId="77777777" w:rsidR="008B7E19" w:rsidRPr="002B208A" w:rsidRDefault="008B7E19" w:rsidP="008B7E19">
      <w:pPr>
        <w:pStyle w:val="01-TtulodeNota"/>
        <w:spacing w:before="0" w:after="0"/>
        <w:jc w:val="right"/>
        <w:rPr>
          <w:sz w:val="6"/>
          <w:szCs w:val="12"/>
        </w:rPr>
      </w:pPr>
      <w:r w:rsidRPr="002B208A">
        <w:rPr>
          <w:sz w:val="14"/>
          <w:lang w:val="en-US"/>
        </w:rPr>
        <w:t>R$ thousand</w:t>
      </w:r>
      <w:r w:rsidRPr="002B208A">
        <w:rPr>
          <w:sz w:val="6"/>
          <w:szCs w:val="12"/>
        </w:rPr>
        <w:t xml:space="preserve"> </w:t>
      </w:r>
    </w:p>
    <w:tbl>
      <w:tblPr>
        <w:tblW w:w="9658" w:type="dxa"/>
        <w:jc w:val="center"/>
        <w:tblBorders>
          <w:top w:val="single" w:sz="2" w:space="0" w:color="8EAADB" w:themeColor="accent5" w:themeTint="99"/>
          <w:bottom w:val="single" w:sz="2" w:space="0" w:color="8EAADB" w:themeColor="accent5" w:themeTint="99"/>
        </w:tblBorders>
        <w:tblLook w:val="04A0" w:firstRow="1" w:lastRow="0" w:firstColumn="1" w:lastColumn="0" w:noHBand="0" w:noVBand="1"/>
      </w:tblPr>
      <w:tblGrid>
        <w:gridCol w:w="4384"/>
        <w:gridCol w:w="856"/>
        <w:gridCol w:w="401"/>
        <w:gridCol w:w="2008"/>
        <w:gridCol w:w="2009"/>
      </w:tblGrid>
      <w:tr w:rsidR="008B7E19" w:rsidRPr="00D1582F" w14:paraId="2A31E35B" w14:textId="77777777" w:rsidTr="008B7E19">
        <w:trPr>
          <w:trHeight w:val="238"/>
          <w:jc w:val="center"/>
        </w:trPr>
        <w:tc>
          <w:tcPr>
            <w:tcW w:w="5240" w:type="dxa"/>
            <w:gridSpan w:val="2"/>
            <w:tcBorders>
              <w:top w:val="single" w:sz="2" w:space="0" w:color="1F4E79" w:themeColor="accent1" w:themeShade="80"/>
              <w:bottom w:val="nil"/>
            </w:tcBorders>
            <w:shd w:val="clear" w:color="auto" w:fill="auto"/>
          </w:tcPr>
          <w:p w14:paraId="6DFCDDCD" w14:textId="77777777" w:rsidR="008B7E19" w:rsidRPr="00D1582F" w:rsidRDefault="008B7E19" w:rsidP="008B7E19">
            <w:pPr>
              <w:keepNext/>
              <w:keepLines/>
              <w:spacing w:before="40" w:after="40"/>
              <w:jc w:val="center"/>
              <w:rPr>
                <w:rFonts w:cs="Arial"/>
                <w:b/>
                <w:spacing w:val="-2"/>
                <w:sz w:val="14"/>
                <w:szCs w:val="18"/>
              </w:rPr>
            </w:pPr>
          </w:p>
        </w:tc>
        <w:tc>
          <w:tcPr>
            <w:tcW w:w="401" w:type="dxa"/>
            <w:tcBorders>
              <w:top w:val="single" w:sz="2" w:space="0" w:color="1F4E79" w:themeColor="accent1" w:themeShade="80"/>
              <w:bottom w:val="nil"/>
            </w:tcBorders>
            <w:shd w:val="clear" w:color="auto" w:fill="auto"/>
          </w:tcPr>
          <w:p w14:paraId="18D5E189" w14:textId="77777777" w:rsidR="008B7E19" w:rsidRPr="00D1582F" w:rsidRDefault="008B7E19" w:rsidP="008B7E19">
            <w:pPr>
              <w:keepNext/>
              <w:keepLines/>
              <w:spacing w:before="40" w:after="40"/>
              <w:jc w:val="center"/>
              <w:rPr>
                <w:rFonts w:cs="Arial"/>
                <w:b/>
                <w:bCs/>
                <w:spacing w:val="-2"/>
                <w:sz w:val="14"/>
                <w:szCs w:val="18"/>
              </w:rPr>
            </w:pPr>
          </w:p>
        </w:tc>
        <w:tc>
          <w:tcPr>
            <w:tcW w:w="4017" w:type="dxa"/>
            <w:gridSpan w:val="2"/>
            <w:tcBorders>
              <w:top w:val="single" w:sz="2" w:space="0" w:color="1F4E79" w:themeColor="accent1" w:themeShade="80"/>
              <w:bottom w:val="single" w:sz="2" w:space="0" w:color="1F4E79" w:themeColor="accent1" w:themeShade="80"/>
            </w:tcBorders>
            <w:shd w:val="clear" w:color="auto" w:fill="auto"/>
            <w:vAlign w:val="center"/>
          </w:tcPr>
          <w:p w14:paraId="6039F326" w14:textId="77777777" w:rsidR="008B7E19" w:rsidRPr="00D1582F" w:rsidRDefault="008B7E19" w:rsidP="008B7E19">
            <w:pPr>
              <w:pStyle w:val="08-Tabelageral"/>
              <w:jc w:val="center"/>
              <w:rPr>
                <w:b/>
              </w:rPr>
            </w:pPr>
            <w:r w:rsidRPr="00D1582F">
              <w:rPr>
                <w:rFonts w:cs="Arial"/>
                <w:b/>
                <w:lang w:val="en-US"/>
              </w:rPr>
              <w:t>Consolidated</w:t>
            </w:r>
          </w:p>
        </w:tc>
      </w:tr>
      <w:tr w:rsidR="008B7E19" w:rsidRPr="00D1582F" w14:paraId="68A30CCD" w14:textId="77777777" w:rsidTr="008B7E19">
        <w:trPr>
          <w:trHeight w:val="238"/>
          <w:jc w:val="center"/>
        </w:trPr>
        <w:tc>
          <w:tcPr>
            <w:tcW w:w="4384" w:type="dxa"/>
            <w:tcBorders>
              <w:top w:val="nil"/>
              <w:bottom w:val="single" w:sz="2" w:space="0" w:color="1F4E79" w:themeColor="accent1" w:themeShade="80"/>
            </w:tcBorders>
            <w:shd w:val="clear" w:color="auto" w:fill="auto"/>
          </w:tcPr>
          <w:p w14:paraId="56EBD8C6" w14:textId="77777777" w:rsidR="008B7E19" w:rsidRPr="00D1582F" w:rsidRDefault="008B7E19" w:rsidP="008B7E19">
            <w:pPr>
              <w:keepNext/>
              <w:keepLines/>
              <w:spacing w:before="40" w:after="40"/>
              <w:rPr>
                <w:rFonts w:cs="Arial"/>
                <w:b/>
                <w:spacing w:val="-2"/>
                <w:sz w:val="14"/>
                <w:szCs w:val="18"/>
              </w:rPr>
            </w:pPr>
          </w:p>
        </w:tc>
        <w:tc>
          <w:tcPr>
            <w:tcW w:w="856" w:type="dxa"/>
            <w:tcBorders>
              <w:top w:val="nil"/>
              <w:bottom w:val="single" w:sz="2" w:space="0" w:color="1F4E79" w:themeColor="accent1" w:themeShade="80"/>
            </w:tcBorders>
            <w:shd w:val="clear" w:color="auto" w:fill="auto"/>
          </w:tcPr>
          <w:p w14:paraId="30E7FF0B" w14:textId="77777777" w:rsidR="008B7E19" w:rsidRPr="00D1582F" w:rsidRDefault="008B7E19" w:rsidP="008B7E19">
            <w:pPr>
              <w:keepNext/>
              <w:keepLines/>
              <w:spacing w:before="40" w:after="40"/>
              <w:rPr>
                <w:rFonts w:cs="Arial"/>
                <w:b/>
                <w:spacing w:val="-2"/>
                <w:sz w:val="14"/>
                <w:szCs w:val="18"/>
              </w:rPr>
            </w:pPr>
          </w:p>
        </w:tc>
        <w:tc>
          <w:tcPr>
            <w:tcW w:w="401" w:type="dxa"/>
            <w:tcBorders>
              <w:top w:val="nil"/>
              <w:bottom w:val="single" w:sz="2" w:space="0" w:color="1F4E79" w:themeColor="accent1" w:themeShade="80"/>
            </w:tcBorders>
            <w:shd w:val="clear" w:color="auto" w:fill="auto"/>
          </w:tcPr>
          <w:p w14:paraId="4F301E0A" w14:textId="77777777" w:rsidR="008B7E19" w:rsidRPr="00D1582F" w:rsidRDefault="008B7E19" w:rsidP="008B7E19">
            <w:pPr>
              <w:keepNext/>
              <w:keepLines/>
              <w:spacing w:before="40" w:after="40"/>
              <w:jc w:val="right"/>
              <w:rPr>
                <w:rFonts w:cs="Arial"/>
                <w:b/>
                <w:spacing w:val="-2"/>
                <w:sz w:val="14"/>
                <w:szCs w:val="18"/>
              </w:rPr>
            </w:pPr>
          </w:p>
        </w:tc>
        <w:tc>
          <w:tcPr>
            <w:tcW w:w="2008" w:type="dxa"/>
            <w:tcBorders>
              <w:top w:val="single" w:sz="2" w:space="0" w:color="1F4E79" w:themeColor="accent1" w:themeShade="80"/>
              <w:bottom w:val="single" w:sz="2" w:space="0" w:color="1F4E79" w:themeColor="accent1" w:themeShade="80"/>
            </w:tcBorders>
            <w:shd w:val="clear" w:color="auto" w:fill="auto"/>
            <w:vAlign w:val="center"/>
          </w:tcPr>
          <w:p w14:paraId="03FD45B2" w14:textId="77777777" w:rsidR="008B7E19" w:rsidRPr="00D1582F" w:rsidRDefault="008B7E19" w:rsidP="008B7E19">
            <w:pPr>
              <w:pStyle w:val="08-Tabelageral"/>
              <w:rPr>
                <w:b/>
              </w:rPr>
            </w:pPr>
            <w:r>
              <w:rPr>
                <w:rFonts w:cs="Arial"/>
                <w:b/>
              </w:rPr>
              <w:t>June</w:t>
            </w:r>
            <w:r w:rsidRPr="00D1582F">
              <w:rPr>
                <w:rFonts w:cs="Arial"/>
                <w:b/>
              </w:rPr>
              <w:t xml:space="preserve"> 3</w:t>
            </w:r>
            <w:r>
              <w:rPr>
                <w:rFonts w:cs="Arial"/>
                <w:b/>
              </w:rPr>
              <w:t>0</w:t>
            </w:r>
            <w:r w:rsidRPr="00D1582F">
              <w:rPr>
                <w:rFonts w:cs="Arial"/>
                <w:b/>
              </w:rPr>
              <w:t xml:space="preserve">, </w:t>
            </w:r>
            <w:r>
              <w:rPr>
                <w:rFonts w:cs="Arial"/>
                <w:b/>
              </w:rPr>
              <w:t>2023</w:t>
            </w:r>
          </w:p>
        </w:tc>
        <w:tc>
          <w:tcPr>
            <w:tcW w:w="2009" w:type="dxa"/>
            <w:tcBorders>
              <w:top w:val="single" w:sz="2" w:space="0" w:color="1F4E79" w:themeColor="accent1" w:themeShade="80"/>
              <w:bottom w:val="single" w:sz="2" w:space="0" w:color="1F4E79" w:themeColor="accent1" w:themeShade="80"/>
            </w:tcBorders>
            <w:shd w:val="clear" w:color="auto" w:fill="auto"/>
            <w:vAlign w:val="center"/>
          </w:tcPr>
          <w:p w14:paraId="26676BE6" w14:textId="77777777" w:rsidR="008B7E19" w:rsidRPr="00D1582F" w:rsidRDefault="008B7E19" w:rsidP="008B7E19">
            <w:pPr>
              <w:pStyle w:val="08-Tabelageral"/>
              <w:rPr>
                <w:b/>
              </w:rPr>
            </w:pPr>
            <w:r>
              <w:rPr>
                <w:rFonts w:cs="Arial"/>
                <w:b/>
              </w:rPr>
              <w:t>Dec</w:t>
            </w:r>
            <w:r w:rsidRPr="00D1582F">
              <w:rPr>
                <w:rFonts w:cs="Arial"/>
                <w:b/>
              </w:rPr>
              <w:t xml:space="preserve"> 3</w:t>
            </w:r>
            <w:r>
              <w:rPr>
                <w:rFonts w:cs="Arial"/>
                <w:b/>
              </w:rPr>
              <w:t>1</w:t>
            </w:r>
            <w:r w:rsidRPr="00D1582F">
              <w:rPr>
                <w:rFonts w:cs="Arial"/>
                <w:b/>
              </w:rPr>
              <w:t>, 202</w:t>
            </w:r>
            <w:r>
              <w:rPr>
                <w:rFonts w:cs="Arial"/>
                <w:b/>
              </w:rPr>
              <w:t>2</w:t>
            </w:r>
          </w:p>
        </w:tc>
      </w:tr>
      <w:tr w:rsidR="008B7E19" w:rsidRPr="00D1582F" w14:paraId="2A53B2A2" w14:textId="77777777" w:rsidTr="008B7E19">
        <w:trPr>
          <w:trHeight w:val="238"/>
          <w:jc w:val="center"/>
        </w:trPr>
        <w:tc>
          <w:tcPr>
            <w:tcW w:w="4384" w:type="dxa"/>
            <w:tcBorders>
              <w:top w:val="single" w:sz="2" w:space="0" w:color="1F4E79" w:themeColor="accent1" w:themeShade="80"/>
            </w:tcBorders>
            <w:shd w:val="clear" w:color="auto" w:fill="auto"/>
            <w:vAlign w:val="center"/>
          </w:tcPr>
          <w:p w14:paraId="522F01CB" w14:textId="77777777" w:rsidR="008B7E19" w:rsidRPr="00D1582F" w:rsidRDefault="008B7E19" w:rsidP="008B7E19">
            <w:pPr>
              <w:pStyle w:val="08-Tabelageral"/>
              <w:jc w:val="left"/>
              <w:rPr>
                <w:rFonts w:cs="Arial"/>
                <w:b/>
                <w:lang w:val="en-US"/>
              </w:rPr>
            </w:pPr>
            <w:r w:rsidRPr="00D1582F">
              <w:rPr>
                <w:rFonts w:cs="Arial"/>
                <w:b/>
                <w:lang w:val="en-US"/>
              </w:rPr>
              <w:t>Current Assets</w:t>
            </w:r>
          </w:p>
        </w:tc>
        <w:tc>
          <w:tcPr>
            <w:tcW w:w="856" w:type="dxa"/>
            <w:tcBorders>
              <w:top w:val="single" w:sz="2" w:space="0" w:color="1F4E79" w:themeColor="accent1" w:themeShade="80"/>
            </w:tcBorders>
            <w:shd w:val="clear" w:color="auto" w:fill="auto"/>
          </w:tcPr>
          <w:p w14:paraId="7064A31B" w14:textId="77777777" w:rsidR="008B7E19" w:rsidRPr="00D1582F" w:rsidRDefault="008B7E19" w:rsidP="008B7E19">
            <w:pPr>
              <w:pStyle w:val="08-Tabelageral"/>
              <w:rPr>
                <w:b/>
              </w:rPr>
            </w:pPr>
          </w:p>
        </w:tc>
        <w:tc>
          <w:tcPr>
            <w:tcW w:w="401" w:type="dxa"/>
            <w:tcBorders>
              <w:top w:val="single" w:sz="2" w:space="0" w:color="1F4E79" w:themeColor="accent1" w:themeShade="80"/>
            </w:tcBorders>
            <w:shd w:val="clear" w:color="auto" w:fill="auto"/>
          </w:tcPr>
          <w:p w14:paraId="5FD24542" w14:textId="77777777" w:rsidR="008B7E19" w:rsidRPr="00D1582F" w:rsidRDefault="008B7E19" w:rsidP="008B7E19">
            <w:pPr>
              <w:pStyle w:val="08-Tabelageral"/>
              <w:rPr>
                <w:b/>
              </w:rPr>
            </w:pPr>
          </w:p>
        </w:tc>
        <w:tc>
          <w:tcPr>
            <w:tcW w:w="2008" w:type="dxa"/>
            <w:tcBorders>
              <w:top w:val="single" w:sz="2" w:space="0" w:color="1F4E79" w:themeColor="accent1" w:themeShade="80"/>
            </w:tcBorders>
            <w:shd w:val="clear" w:color="auto" w:fill="auto"/>
            <w:vAlign w:val="center"/>
          </w:tcPr>
          <w:p w14:paraId="20B7D7F6" w14:textId="77777777" w:rsidR="008B7E19" w:rsidRPr="00D1582F" w:rsidRDefault="008B7E19" w:rsidP="008B7E19">
            <w:pPr>
              <w:pStyle w:val="08-Tabelageral"/>
              <w:rPr>
                <w:b/>
              </w:rPr>
            </w:pPr>
            <w:r>
              <w:rPr>
                <w:b/>
              </w:rPr>
              <w:t>1,009,929</w:t>
            </w:r>
          </w:p>
        </w:tc>
        <w:tc>
          <w:tcPr>
            <w:tcW w:w="2009" w:type="dxa"/>
            <w:tcBorders>
              <w:top w:val="single" w:sz="2" w:space="0" w:color="1F4E79" w:themeColor="accent1" w:themeShade="80"/>
            </w:tcBorders>
            <w:shd w:val="clear" w:color="auto" w:fill="auto"/>
            <w:vAlign w:val="center"/>
          </w:tcPr>
          <w:p w14:paraId="47E4A9D2" w14:textId="77777777" w:rsidR="008B7E19" w:rsidRPr="00D1582F" w:rsidRDefault="008B7E19" w:rsidP="008B7E19">
            <w:pPr>
              <w:pStyle w:val="08-Tabelageral"/>
              <w:rPr>
                <w:b/>
              </w:rPr>
            </w:pPr>
            <w:r>
              <w:rPr>
                <w:b/>
              </w:rPr>
              <w:t>1,114,256</w:t>
            </w:r>
          </w:p>
        </w:tc>
      </w:tr>
      <w:tr w:rsidR="008B7E19" w:rsidRPr="0049410B" w14:paraId="6A12B133" w14:textId="77777777" w:rsidTr="008B7E19">
        <w:trPr>
          <w:trHeight w:val="238"/>
          <w:jc w:val="center"/>
        </w:trPr>
        <w:tc>
          <w:tcPr>
            <w:tcW w:w="4384" w:type="dxa"/>
            <w:shd w:val="clear" w:color="auto" w:fill="auto"/>
            <w:vAlign w:val="center"/>
          </w:tcPr>
          <w:p w14:paraId="67F8C66B" w14:textId="77777777" w:rsidR="008B7E19" w:rsidRPr="00FE42D8" w:rsidRDefault="008B7E19" w:rsidP="008B7E19">
            <w:pPr>
              <w:pStyle w:val="08-Tabelageral"/>
              <w:ind w:left="113"/>
              <w:jc w:val="left"/>
              <w:rPr>
                <w:rFonts w:cs="Arial"/>
                <w:b/>
                <w:lang w:val="en-US"/>
              </w:rPr>
            </w:pPr>
            <w:r>
              <w:rPr>
                <w:rFonts w:cs="Arial"/>
                <w:lang w:val="en-US"/>
              </w:rPr>
              <w:t xml:space="preserve">BB MAPFRE </w:t>
            </w:r>
            <w:r>
              <w:rPr>
                <w:rFonts w:cs="Arial"/>
                <w:vertAlign w:val="superscript"/>
                <w:lang w:val="en-US"/>
              </w:rPr>
              <w:t>(</w:t>
            </w:r>
            <w:r w:rsidRPr="00FE42D8">
              <w:rPr>
                <w:rFonts w:cs="Arial"/>
                <w:vertAlign w:val="superscript"/>
                <w:lang w:val="en-US"/>
              </w:rPr>
              <w:t>1)</w:t>
            </w:r>
          </w:p>
        </w:tc>
        <w:tc>
          <w:tcPr>
            <w:tcW w:w="856" w:type="dxa"/>
            <w:shd w:val="clear" w:color="auto" w:fill="auto"/>
          </w:tcPr>
          <w:p w14:paraId="4DE0E158" w14:textId="77777777" w:rsidR="008B7E19" w:rsidRPr="0049410B" w:rsidRDefault="008B7E19" w:rsidP="008B7E19">
            <w:pPr>
              <w:pStyle w:val="08-Tabelageral"/>
            </w:pPr>
          </w:p>
        </w:tc>
        <w:tc>
          <w:tcPr>
            <w:tcW w:w="401" w:type="dxa"/>
            <w:shd w:val="clear" w:color="auto" w:fill="auto"/>
          </w:tcPr>
          <w:p w14:paraId="4731CB14" w14:textId="77777777" w:rsidR="008B7E19" w:rsidRPr="0049410B" w:rsidRDefault="008B7E19" w:rsidP="008B7E19">
            <w:pPr>
              <w:pStyle w:val="08-Tabelageral"/>
            </w:pPr>
          </w:p>
        </w:tc>
        <w:tc>
          <w:tcPr>
            <w:tcW w:w="2008" w:type="dxa"/>
            <w:shd w:val="clear" w:color="auto" w:fill="auto"/>
            <w:vAlign w:val="center"/>
          </w:tcPr>
          <w:p w14:paraId="5C489D80" w14:textId="77777777" w:rsidR="008B7E19" w:rsidRPr="00FE0AFD" w:rsidRDefault="008B7E19" w:rsidP="008B7E19">
            <w:pPr>
              <w:pStyle w:val="08-Tabelageral"/>
            </w:pPr>
            <w:r>
              <w:t>913,526</w:t>
            </w:r>
          </w:p>
        </w:tc>
        <w:tc>
          <w:tcPr>
            <w:tcW w:w="2009" w:type="dxa"/>
            <w:shd w:val="clear" w:color="auto" w:fill="auto"/>
            <w:vAlign w:val="center"/>
          </w:tcPr>
          <w:p w14:paraId="68CF0C2B" w14:textId="77777777" w:rsidR="008B7E19" w:rsidRPr="00FE0AFD" w:rsidRDefault="008B7E19" w:rsidP="008B7E19">
            <w:pPr>
              <w:pStyle w:val="08-Tabelageral"/>
            </w:pPr>
            <w:r>
              <w:t>1,014,707</w:t>
            </w:r>
          </w:p>
        </w:tc>
      </w:tr>
      <w:tr w:rsidR="008B7E19" w:rsidRPr="0049410B" w14:paraId="388CD6D9" w14:textId="77777777" w:rsidTr="008B7E19">
        <w:trPr>
          <w:trHeight w:val="238"/>
          <w:jc w:val="center"/>
        </w:trPr>
        <w:tc>
          <w:tcPr>
            <w:tcW w:w="4384" w:type="dxa"/>
            <w:shd w:val="clear" w:color="auto" w:fill="auto"/>
            <w:vAlign w:val="center"/>
          </w:tcPr>
          <w:p w14:paraId="6A24DAB9" w14:textId="77777777" w:rsidR="008B7E19" w:rsidRPr="00FE42D8" w:rsidRDefault="008B7E19" w:rsidP="008B7E19">
            <w:pPr>
              <w:pStyle w:val="08-Tabelageral"/>
              <w:ind w:left="113"/>
              <w:jc w:val="left"/>
              <w:rPr>
                <w:rFonts w:cs="Arial"/>
                <w:b/>
                <w:lang w:val="en-US"/>
              </w:rPr>
            </w:pPr>
            <w:r>
              <w:rPr>
                <w:rFonts w:cs="Arial"/>
                <w:lang w:val="en-US"/>
              </w:rPr>
              <w:t>MAPFRE Seguros Gerais</w:t>
            </w:r>
          </w:p>
        </w:tc>
        <w:tc>
          <w:tcPr>
            <w:tcW w:w="856" w:type="dxa"/>
            <w:shd w:val="clear" w:color="auto" w:fill="auto"/>
          </w:tcPr>
          <w:p w14:paraId="22E7EC50" w14:textId="77777777" w:rsidR="008B7E19" w:rsidRPr="0049410B" w:rsidRDefault="008B7E19" w:rsidP="008B7E19">
            <w:pPr>
              <w:pStyle w:val="08-Tabelageral"/>
            </w:pPr>
          </w:p>
        </w:tc>
        <w:tc>
          <w:tcPr>
            <w:tcW w:w="401" w:type="dxa"/>
            <w:shd w:val="clear" w:color="auto" w:fill="auto"/>
          </w:tcPr>
          <w:p w14:paraId="36616B44" w14:textId="77777777" w:rsidR="008B7E19" w:rsidRPr="0049410B" w:rsidRDefault="008B7E19" w:rsidP="008B7E19">
            <w:pPr>
              <w:pStyle w:val="08-Tabelageral"/>
            </w:pPr>
          </w:p>
        </w:tc>
        <w:tc>
          <w:tcPr>
            <w:tcW w:w="2008" w:type="dxa"/>
            <w:shd w:val="clear" w:color="auto" w:fill="auto"/>
          </w:tcPr>
          <w:p w14:paraId="525CDE01" w14:textId="77777777" w:rsidR="008B7E19" w:rsidRPr="00FE0AFD" w:rsidRDefault="008B7E19" w:rsidP="008B7E19">
            <w:pPr>
              <w:pStyle w:val="08-Tabelageral"/>
            </w:pPr>
            <w:r>
              <w:t>84,359</w:t>
            </w:r>
          </w:p>
        </w:tc>
        <w:tc>
          <w:tcPr>
            <w:tcW w:w="2009" w:type="dxa"/>
            <w:shd w:val="clear" w:color="auto" w:fill="auto"/>
          </w:tcPr>
          <w:p w14:paraId="4FBD9F15" w14:textId="77777777" w:rsidR="008B7E19" w:rsidRPr="00FE0AFD" w:rsidRDefault="008B7E19" w:rsidP="008B7E19">
            <w:pPr>
              <w:pStyle w:val="08-Tabelageral"/>
            </w:pPr>
            <w:r>
              <w:t>81,025</w:t>
            </w:r>
          </w:p>
        </w:tc>
      </w:tr>
      <w:tr w:rsidR="008B7E19" w:rsidRPr="0049410B" w14:paraId="7DF7AFF9" w14:textId="77777777" w:rsidTr="008B7E19">
        <w:trPr>
          <w:trHeight w:val="238"/>
          <w:jc w:val="center"/>
        </w:trPr>
        <w:tc>
          <w:tcPr>
            <w:tcW w:w="4384" w:type="dxa"/>
            <w:shd w:val="clear" w:color="auto" w:fill="auto"/>
            <w:vAlign w:val="center"/>
          </w:tcPr>
          <w:p w14:paraId="0E1B2418" w14:textId="77777777" w:rsidR="008B7E19" w:rsidRPr="00FE42D8" w:rsidRDefault="008B7E19" w:rsidP="008B7E19">
            <w:pPr>
              <w:pStyle w:val="08-Tabelageral"/>
              <w:ind w:left="113"/>
              <w:jc w:val="left"/>
              <w:rPr>
                <w:rFonts w:cs="Arial"/>
                <w:b/>
                <w:lang w:val="en-US"/>
              </w:rPr>
            </w:pPr>
            <w:r w:rsidRPr="00FE42D8">
              <w:rPr>
                <w:rFonts w:cs="Arial"/>
                <w:lang w:val="en-US"/>
              </w:rPr>
              <w:t>Brasilprev</w:t>
            </w:r>
          </w:p>
        </w:tc>
        <w:tc>
          <w:tcPr>
            <w:tcW w:w="856" w:type="dxa"/>
            <w:shd w:val="clear" w:color="auto" w:fill="auto"/>
          </w:tcPr>
          <w:p w14:paraId="4244575A" w14:textId="77777777" w:rsidR="008B7E19" w:rsidRPr="0049410B" w:rsidRDefault="008B7E19" w:rsidP="008B7E19">
            <w:pPr>
              <w:pStyle w:val="08-Tabelageral"/>
            </w:pPr>
          </w:p>
        </w:tc>
        <w:tc>
          <w:tcPr>
            <w:tcW w:w="401" w:type="dxa"/>
            <w:shd w:val="clear" w:color="auto" w:fill="auto"/>
          </w:tcPr>
          <w:p w14:paraId="52D7FF18" w14:textId="77777777" w:rsidR="008B7E19" w:rsidRPr="0049410B" w:rsidRDefault="008B7E19" w:rsidP="008B7E19">
            <w:pPr>
              <w:pStyle w:val="08-Tabelageral"/>
            </w:pPr>
          </w:p>
        </w:tc>
        <w:tc>
          <w:tcPr>
            <w:tcW w:w="2008" w:type="dxa"/>
            <w:shd w:val="clear" w:color="auto" w:fill="auto"/>
          </w:tcPr>
          <w:p w14:paraId="43622F09" w14:textId="77777777" w:rsidR="008B7E19" w:rsidRDefault="008B7E19" w:rsidP="008B7E19">
            <w:pPr>
              <w:pStyle w:val="08-Tabelageral"/>
            </w:pPr>
            <w:r>
              <w:t>7,196</w:t>
            </w:r>
          </w:p>
        </w:tc>
        <w:tc>
          <w:tcPr>
            <w:tcW w:w="2009" w:type="dxa"/>
            <w:shd w:val="clear" w:color="auto" w:fill="auto"/>
          </w:tcPr>
          <w:p w14:paraId="28B334A7" w14:textId="77777777" w:rsidR="008B7E19" w:rsidRDefault="008B7E19" w:rsidP="008B7E19">
            <w:pPr>
              <w:pStyle w:val="08-Tabelageral"/>
            </w:pPr>
            <w:r>
              <w:t>12,627</w:t>
            </w:r>
          </w:p>
        </w:tc>
      </w:tr>
      <w:tr w:rsidR="008B7E19" w:rsidRPr="0049410B" w14:paraId="3C032E9F" w14:textId="77777777" w:rsidTr="008B7E19">
        <w:trPr>
          <w:trHeight w:val="238"/>
          <w:jc w:val="center"/>
        </w:trPr>
        <w:tc>
          <w:tcPr>
            <w:tcW w:w="4384" w:type="dxa"/>
            <w:shd w:val="clear" w:color="auto" w:fill="auto"/>
            <w:vAlign w:val="center"/>
          </w:tcPr>
          <w:p w14:paraId="2226E456" w14:textId="77777777" w:rsidR="008B7E19" w:rsidRPr="00D4589F" w:rsidRDefault="008B7E19" w:rsidP="008B7E19">
            <w:pPr>
              <w:pStyle w:val="08-Tabelageral"/>
              <w:ind w:left="113"/>
              <w:jc w:val="left"/>
              <w:rPr>
                <w:rFonts w:cs="Arial"/>
                <w:b/>
                <w:lang w:val="en-US"/>
              </w:rPr>
            </w:pPr>
            <w:r w:rsidRPr="00D4589F">
              <w:rPr>
                <w:rFonts w:cs="Arial"/>
                <w:lang w:val="en-US"/>
              </w:rPr>
              <w:t>Brasilcap</w:t>
            </w:r>
          </w:p>
        </w:tc>
        <w:tc>
          <w:tcPr>
            <w:tcW w:w="856" w:type="dxa"/>
            <w:shd w:val="clear" w:color="auto" w:fill="auto"/>
          </w:tcPr>
          <w:p w14:paraId="49127AE7" w14:textId="77777777" w:rsidR="008B7E19" w:rsidRPr="0049410B" w:rsidRDefault="008B7E19" w:rsidP="008B7E19">
            <w:pPr>
              <w:pStyle w:val="08-Tabelageral"/>
            </w:pPr>
          </w:p>
        </w:tc>
        <w:tc>
          <w:tcPr>
            <w:tcW w:w="401" w:type="dxa"/>
            <w:shd w:val="clear" w:color="auto" w:fill="auto"/>
          </w:tcPr>
          <w:p w14:paraId="6501CA94" w14:textId="77777777" w:rsidR="008B7E19" w:rsidRPr="0049410B" w:rsidRDefault="008B7E19" w:rsidP="008B7E19">
            <w:pPr>
              <w:pStyle w:val="08-Tabelageral"/>
            </w:pPr>
          </w:p>
        </w:tc>
        <w:tc>
          <w:tcPr>
            <w:tcW w:w="2008" w:type="dxa"/>
            <w:shd w:val="clear" w:color="auto" w:fill="auto"/>
          </w:tcPr>
          <w:p w14:paraId="10C587BB" w14:textId="77777777" w:rsidR="008B7E19" w:rsidRDefault="008B7E19" w:rsidP="008B7E19">
            <w:pPr>
              <w:pStyle w:val="08-Tabelageral"/>
            </w:pPr>
            <w:r>
              <w:t>4,727</w:t>
            </w:r>
          </w:p>
        </w:tc>
        <w:tc>
          <w:tcPr>
            <w:tcW w:w="2009" w:type="dxa"/>
            <w:shd w:val="clear" w:color="auto" w:fill="auto"/>
          </w:tcPr>
          <w:p w14:paraId="04F4BCFF" w14:textId="77777777" w:rsidR="008B7E19" w:rsidRDefault="008B7E19" w:rsidP="008B7E19">
            <w:pPr>
              <w:pStyle w:val="08-Tabelageral"/>
            </w:pPr>
            <w:r>
              <w:t>5,802</w:t>
            </w:r>
          </w:p>
        </w:tc>
      </w:tr>
      <w:tr w:rsidR="008B7E19" w:rsidRPr="0049410B" w14:paraId="4910D1A2" w14:textId="77777777" w:rsidTr="008B7E19">
        <w:trPr>
          <w:trHeight w:val="238"/>
          <w:jc w:val="center"/>
        </w:trPr>
        <w:tc>
          <w:tcPr>
            <w:tcW w:w="4384" w:type="dxa"/>
            <w:shd w:val="clear" w:color="auto" w:fill="auto"/>
            <w:vAlign w:val="center"/>
          </w:tcPr>
          <w:p w14:paraId="61205523" w14:textId="77777777" w:rsidR="008B7E19" w:rsidRPr="00F97BF2" w:rsidRDefault="008B7E19" w:rsidP="008B7E19">
            <w:pPr>
              <w:pStyle w:val="08-Tabelageral"/>
              <w:ind w:left="113"/>
              <w:jc w:val="left"/>
              <w:rPr>
                <w:rFonts w:cs="Arial"/>
                <w:b/>
                <w:bCs/>
                <w:lang w:val="en-US"/>
              </w:rPr>
            </w:pPr>
            <w:r>
              <w:rPr>
                <w:rFonts w:cs="Arial"/>
                <w:lang w:val="en-US"/>
              </w:rPr>
              <w:t>Others</w:t>
            </w:r>
          </w:p>
        </w:tc>
        <w:tc>
          <w:tcPr>
            <w:tcW w:w="856" w:type="dxa"/>
            <w:shd w:val="clear" w:color="auto" w:fill="auto"/>
          </w:tcPr>
          <w:p w14:paraId="306F1594" w14:textId="77777777" w:rsidR="008B7E19" w:rsidRPr="0049410B" w:rsidRDefault="008B7E19" w:rsidP="008B7E19">
            <w:pPr>
              <w:pStyle w:val="08-Tabelageral"/>
            </w:pPr>
          </w:p>
        </w:tc>
        <w:tc>
          <w:tcPr>
            <w:tcW w:w="401" w:type="dxa"/>
            <w:shd w:val="clear" w:color="auto" w:fill="auto"/>
          </w:tcPr>
          <w:p w14:paraId="309B9DE4" w14:textId="77777777" w:rsidR="008B7E19" w:rsidRPr="0049410B" w:rsidRDefault="008B7E19" w:rsidP="008B7E19">
            <w:pPr>
              <w:pStyle w:val="08-Tabelageral"/>
            </w:pPr>
          </w:p>
        </w:tc>
        <w:tc>
          <w:tcPr>
            <w:tcW w:w="2008" w:type="dxa"/>
            <w:shd w:val="clear" w:color="auto" w:fill="auto"/>
          </w:tcPr>
          <w:p w14:paraId="5D050679" w14:textId="77777777" w:rsidR="008B7E19" w:rsidRPr="00D4589F" w:rsidRDefault="008B7E19" w:rsidP="008B7E19">
            <w:pPr>
              <w:pStyle w:val="08-Tabelageral"/>
              <w:rPr>
                <w:b/>
              </w:rPr>
            </w:pPr>
            <w:r>
              <w:t>121</w:t>
            </w:r>
          </w:p>
        </w:tc>
        <w:tc>
          <w:tcPr>
            <w:tcW w:w="2009" w:type="dxa"/>
            <w:shd w:val="clear" w:color="auto" w:fill="auto"/>
          </w:tcPr>
          <w:p w14:paraId="24D63736" w14:textId="77777777" w:rsidR="008B7E19" w:rsidRPr="00D4589F" w:rsidRDefault="008B7E19" w:rsidP="008B7E19">
            <w:pPr>
              <w:pStyle w:val="08-Tabelageral"/>
              <w:rPr>
                <w:b/>
              </w:rPr>
            </w:pPr>
            <w:r>
              <w:t>95</w:t>
            </w:r>
          </w:p>
        </w:tc>
      </w:tr>
      <w:tr w:rsidR="008B7E19" w:rsidRPr="00D1582F" w14:paraId="045D7861" w14:textId="77777777" w:rsidTr="008B7E19">
        <w:trPr>
          <w:trHeight w:val="238"/>
          <w:jc w:val="center"/>
        </w:trPr>
        <w:tc>
          <w:tcPr>
            <w:tcW w:w="4384" w:type="dxa"/>
            <w:shd w:val="clear" w:color="auto" w:fill="auto"/>
            <w:vAlign w:val="center"/>
          </w:tcPr>
          <w:p w14:paraId="2547047A" w14:textId="77777777" w:rsidR="008B7E19" w:rsidRPr="00D1582F" w:rsidRDefault="008B7E19" w:rsidP="008B7E19">
            <w:pPr>
              <w:pStyle w:val="08-Tabelageral"/>
              <w:jc w:val="left"/>
              <w:rPr>
                <w:rFonts w:cs="Arial"/>
                <w:b/>
                <w:vertAlign w:val="superscript"/>
                <w:lang w:val="en-US"/>
              </w:rPr>
            </w:pPr>
            <w:r w:rsidRPr="00D1582F">
              <w:rPr>
                <w:rFonts w:cs="Arial"/>
                <w:b/>
                <w:lang w:val="en-US"/>
              </w:rPr>
              <w:t>Non-Current Assets</w:t>
            </w:r>
          </w:p>
        </w:tc>
        <w:tc>
          <w:tcPr>
            <w:tcW w:w="856" w:type="dxa"/>
            <w:shd w:val="clear" w:color="auto" w:fill="auto"/>
          </w:tcPr>
          <w:p w14:paraId="308380E2" w14:textId="77777777" w:rsidR="008B7E19" w:rsidRPr="00D1582F" w:rsidRDefault="008B7E19" w:rsidP="008B7E19">
            <w:pPr>
              <w:pStyle w:val="08-Tabelageral"/>
              <w:rPr>
                <w:b/>
              </w:rPr>
            </w:pPr>
          </w:p>
        </w:tc>
        <w:tc>
          <w:tcPr>
            <w:tcW w:w="401" w:type="dxa"/>
            <w:shd w:val="clear" w:color="auto" w:fill="auto"/>
          </w:tcPr>
          <w:p w14:paraId="3FF4194C" w14:textId="77777777" w:rsidR="008B7E19" w:rsidRPr="00D1582F" w:rsidRDefault="008B7E19" w:rsidP="008B7E19">
            <w:pPr>
              <w:pStyle w:val="08-Tabelageral"/>
              <w:rPr>
                <w:b/>
              </w:rPr>
            </w:pPr>
          </w:p>
        </w:tc>
        <w:tc>
          <w:tcPr>
            <w:tcW w:w="2008" w:type="dxa"/>
            <w:shd w:val="clear" w:color="auto" w:fill="auto"/>
            <w:vAlign w:val="center"/>
          </w:tcPr>
          <w:p w14:paraId="127B3F1F" w14:textId="77777777" w:rsidR="008B7E19" w:rsidRPr="00D1582F" w:rsidRDefault="008B7E19" w:rsidP="008B7E19">
            <w:pPr>
              <w:pStyle w:val="08-Tabelageral"/>
              <w:rPr>
                <w:b/>
              </w:rPr>
            </w:pPr>
            <w:r>
              <w:rPr>
                <w:b/>
              </w:rPr>
              <w:t>890,738</w:t>
            </w:r>
          </w:p>
        </w:tc>
        <w:tc>
          <w:tcPr>
            <w:tcW w:w="2009" w:type="dxa"/>
            <w:shd w:val="clear" w:color="auto" w:fill="auto"/>
            <w:vAlign w:val="center"/>
          </w:tcPr>
          <w:p w14:paraId="1D3138D1" w14:textId="77777777" w:rsidR="008B7E19" w:rsidRPr="00D1582F" w:rsidRDefault="008B7E19" w:rsidP="008B7E19">
            <w:pPr>
              <w:pStyle w:val="08-Tabelageral"/>
              <w:rPr>
                <w:b/>
              </w:rPr>
            </w:pPr>
            <w:r>
              <w:rPr>
                <w:b/>
              </w:rPr>
              <w:t>708,990</w:t>
            </w:r>
          </w:p>
        </w:tc>
      </w:tr>
      <w:tr w:rsidR="008B7E19" w:rsidRPr="00880B68" w14:paraId="24860EE9" w14:textId="77777777" w:rsidTr="008B7E19">
        <w:trPr>
          <w:trHeight w:val="238"/>
          <w:jc w:val="center"/>
        </w:trPr>
        <w:tc>
          <w:tcPr>
            <w:tcW w:w="4384" w:type="dxa"/>
            <w:shd w:val="clear" w:color="auto" w:fill="auto"/>
            <w:vAlign w:val="center"/>
          </w:tcPr>
          <w:p w14:paraId="10DFDB89" w14:textId="77777777" w:rsidR="008B7E19" w:rsidRPr="003E53C4" w:rsidRDefault="008B7E19" w:rsidP="008B7E19">
            <w:pPr>
              <w:pStyle w:val="08-Tabelageral"/>
              <w:ind w:left="113"/>
              <w:jc w:val="left"/>
              <w:rPr>
                <w:rFonts w:cs="Arial"/>
                <w:b/>
                <w:lang w:val="en-US"/>
              </w:rPr>
            </w:pPr>
            <w:r>
              <w:rPr>
                <w:rFonts w:cs="Arial"/>
                <w:lang w:val="en-US"/>
              </w:rPr>
              <w:t>BB MAPFRE</w:t>
            </w:r>
          </w:p>
        </w:tc>
        <w:tc>
          <w:tcPr>
            <w:tcW w:w="856" w:type="dxa"/>
            <w:shd w:val="clear" w:color="auto" w:fill="auto"/>
          </w:tcPr>
          <w:p w14:paraId="76F5D661" w14:textId="77777777" w:rsidR="008B7E19" w:rsidRPr="00880B68" w:rsidRDefault="008B7E19" w:rsidP="008B7E19">
            <w:pPr>
              <w:pStyle w:val="08-Tabelageral"/>
              <w:rPr>
                <w:b/>
                <w:szCs w:val="14"/>
              </w:rPr>
            </w:pPr>
          </w:p>
        </w:tc>
        <w:tc>
          <w:tcPr>
            <w:tcW w:w="401" w:type="dxa"/>
            <w:shd w:val="clear" w:color="auto" w:fill="auto"/>
          </w:tcPr>
          <w:p w14:paraId="502E4F9B" w14:textId="77777777" w:rsidR="008B7E19" w:rsidRPr="00880B68" w:rsidRDefault="008B7E19" w:rsidP="008B7E19">
            <w:pPr>
              <w:pStyle w:val="08-Tabelageral"/>
              <w:rPr>
                <w:b/>
                <w:szCs w:val="14"/>
              </w:rPr>
            </w:pPr>
          </w:p>
        </w:tc>
        <w:tc>
          <w:tcPr>
            <w:tcW w:w="2008" w:type="dxa"/>
            <w:shd w:val="clear" w:color="auto" w:fill="auto"/>
            <w:vAlign w:val="center"/>
          </w:tcPr>
          <w:p w14:paraId="1BB0DDA1" w14:textId="77777777" w:rsidR="008B7E19" w:rsidRPr="00AE7AC4" w:rsidRDefault="008B7E19" w:rsidP="008B7E19">
            <w:pPr>
              <w:pStyle w:val="08-Tabelageral"/>
              <w:rPr>
                <w:b/>
              </w:rPr>
            </w:pPr>
            <w:r>
              <w:t>890,738</w:t>
            </w:r>
          </w:p>
        </w:tc>
        <w:tc>
          <w:tcPr>
            <w:tcW w:w="2009" w:type="dxa"/>
            <w:shd w:val="clear" w:color="auto" w:fill="auto"/>
            <w:vAlign w:val="center"/>
          </w:tcPr>
          <w:p w14:paraId="6B3327AD" w14:textId="77777777" w:rsidR="008B7E19" w:rsidRPr="00AE7AC4" w:rsidRDefault="008B7E19" w:rsidP="008B7E19">
            <w:pPr>
              <w:pStyle w:val="08-Tabelageral"/>
              <w:rPr>
                <w:b/>
              </w:rPr>
            </w:pPr>
            <w:r>
              <w:t>708,990</w:t>
            </w:r>
          </w:p>
        </w:tc>
      </w:tr>
      <w:tr w:rsidR="008B7E19" w:rsidRPr="00D1582F" w14:paraId="2BB9A195" w14:textId="77777777" w:rsidTr="008B7E19">
        <w:trPr>
          <w:trHeight w:val="238"/>
          <w:jc w:val="center"/>
        </w:trPr>
        <w:tc>
          <w:tcPr>
            <w:tcW w:w="4384" w:type="dxa"/>
            <w:tcBorders>
              <w:bottom w:val="single" w:sz="2" w:space="0" w:color="1F4E79" w:themeColor="accent1" w:themeShade="80"/>
            </w:tcBorders>
            <w:shd w:val="clear" w:color="auto" w:fill="auto"/>
            <w:vAlign w:val="center"/>
          </w:tcPr>
          <w:p w14:paraId="45F6CC3F" w14:textId="77777777" w:rsidR="008B7E19" w:rsidRPr="00D1582F" w:rsidRDefault="008B7E19" w:rsidP="008B7E19">
            <w:pPr>
              <w:pStyle w:val="08-Tabelageral"/>
              <w:jc w:val="left"/>
              <w:rPr>
                <w:rFonts w:cs="Arial"/>
                <w:b/>
                <w:lang w:val="en-US"/>
              </w:rPr>
            </w:pPr>
            <w:r w:rsidRPr="00D1582F">
              <w:rPr>
                <w:rFonts w:cs="Arial"/>
                <w:b/>
                <w:lang w:val="en-US"/>
              </w:rPr>
              <w:t>Total</w:t>
            </w:r>
          </w:p>
        </w:tc>
        <w:tc>
          <w:tcPr>
            <w:tcW w:w="856" w:type="dxa"/>
            <w:tcBorders>
              <w:bottom w:val="single" w:sz="2" w:space="0" w:color="1F4E79" w:themeColor="accent1" w:themeShade="80"/>
            </w:tcBorders>
            <w:shd w:val="clear" w:color="auto" w:fill="auto"/>
          </w:tcPr>
          <w:p w14:paraId="2806714B" w14:textId="77777777" w:rsidR="008B7E19" w:rsidRPr="00D1582F" w:rsidRDefault="008B7E19" w:rsidP="008B7E19">
            <w:pPr>
              <w:pStyle w:val="08-Tabelageral"/>
              <w:rPr>
                <w:b/>
                <w:szCs w:val="14"/>
              </w:rPr>
            </w:pPr>
          </w:p>
        </w:tc>
        <w:tc>
          <w:tcPr>
            <w:tcW w:w="401" w:type="dxa"/>
            <w:tcBorders>
              <w:bottom w:val="single" w:sz="2" w:space="0" w:color="1F4E79" w:themeColor="accent1" w:themeShade="80"/>
            </w:tcBorders>
            <w:shd w:val="clear" w:color="auto" w:fill="auto"/>
          </w:tcPr>
          <w:p w14:paraId="1A350D03" w14:textId="77777777" w:rsidR="008B7E19" w:rsidRPr="00D1582F" w:rsidRDefault="008B7E19" w:rsidP="008B7E19">
            <w:pPr>
              <w:pStyle w:val="08-Tabelageral"/>
              <w:rPr>
                <w:b/>
                <w:szCs w:val="14"/>
              </w:rPr>
            </w:pPr>
          </w:p>
        </w:tc>
        <w:tc>
          <w:tcPr>
            <w:tcW w:w="2008" w:type="dxa"/>
            <w:tcBorders>
              <w:bottom w:val="single" w:sz="2" w:space="0" w:color="1F4E79" w:themeColor="accent1" w:themeShade="80"/>
            </w:tcBorders>
            <w:shd w:val="clear" w:color="auto" w:fill="auto"/>
            <w:vAlign w:val="center"/>
          </w:tcPr>
          <w:p w14:paraId="0040D980" w14:textId="77777777" w:rsidR="008B7E19" w:rsidRPr="00D1582F" w:rsidRDefault="008B7E19" w:rsidP="008B7E19">
            <w:pPr>
              <w:pStyle w:val="08-Tabelageral"/>
              <w:rPr>
                <w:b/>
              </w:rPr>
            </w:pPr>
            <w:r>
              <w:rPr>
                <w:b/>
              </w:rPr>
              <w:t>1,900,667</w:t>
            </w:r>
          </w:p>
        </w:tc>
        <w:tc>
          <w:tcPr>
            <w:tcW w:w="2009" w:type="dxa"/>
            <w:tcBorders>
              <w:bottom w:val="single" w:sz="2" w:space="0" w:color="1F4E79" w:themeColor="accent1" w:themeShade="80"/>
            </w:tcBorders>
            <w:shd w:val="clear" w:color="auto" w:fill="auto"/>
            <w:vAlign w:val="center"/>
          </w:tcPr>
          <w:p w14:paraId="52E4B9D2" w14:textId="77777777" w:rsidR="008B7E19" w:rsidRPr="00D1582F" w:rsidRDefault="008B7E19" w:rsidP="008B7E19">
            <w:pPr>
              <w:pStyle w:val="08-Tabelageral"/>
              <w:rPr>
                <w:b/>
              </w:rPr>
            </w:pPr>
            <w:r>
              <w:rPr>
                <w:b/>
              </w:rPr>
              <w:t>1,823,246</w:t>
            </w:r>
          </w:p>
        </w:tc>
      </w:tr>
    </w:tbl>
    <w:p w14:paraId="0B788F66" w14:textId="77777777" w:rsidR="008B7E19" w:rsidRPr="00D41A1A" w:rsidRDefault="008B7E19" w:rsidP="008B7E19">
      <w:pPr>
        <w:pStyle w:val="07-Legenda"/>
        <w:numPr>
          <w:ilvl w:val="0"/>
          <w:numId w:val="12"/>
        </w:numPr>
        <w:tabs>
          <w:tab w:val="clear" w:pos="284"/>
        </w:tabs>
        <w:ind w:left="284" w:hanging="284"/>
        <w:rPr>
          <w:lang w:val="en-US"/>
        </w:rPr>
      </w:pPr>
      <w:r w:rsidRPr="00D41A1A">
        <w:rPr>
          <w:rFonts w:cs="Arial"/>
          <w:color w:val="222222"/>
          <w:szCs w:val="14"/>
          <w:shd w:val="clear" w:color="auto" w:fill="F8F9FA"/>
          <w:lang w:val="en-US"/>
        </w:rPr>
        <w:t xml:space="preserve">On </w:t>
      </w:r>
      <w:r>
        <w:rPr>
          <w:rFonts w:cs="Arial"/>
          <w:color w:val="222222"/>
          <w:szCs w:val="14"/>
          <w:shd w:val="clear" w:color="auto" w:fill="F8F9FA"/>
          <w:lang w:val="en-US"/>
        </w:rPr>
        <w:t>12</w:t>
      </w:r>
      <w:r w:rsidRPr="00D41A1A">
        <w:rPr>
          <w:rFonts w:cs="Arial"/>
          <w:color w:val="222222"/>
          <w:szCs w:val="14"/>
          <w:shd w:val="clear" w:color="auto" w:fill="F8F9FA"/>
          <w:lang w:val="en-US"/>
        </w:rPr>
        <w:t>.3</w:t>
      </w:r>
      <w:r>
        <w:rPr>
          <w:rFonts w:cs="Arial"/>
          <w:color w:val="222222"/>
          <w:szCs w:val="14"/>
          <w:shd w:val="clear" w:color="auto" w:fill="F8F9FA"/>
          <w:lang w:val="en-US"/>
        </w:rPr>
        <w:t>1</w:t>
      </w:r>
      <w:r w:rsidRPr="00D41A1A">
        <w:rPr>
          <w:rFonts w:cs="Arial"/>
          <w:color w:val="222222"/>
          <w:szCs w:val="14"/>
          <w:shd w:val="clear" w:color="auto" w:fill="F8F9FA"/>
          <w:lang w:val="en-US"/>
        </w:rPr>
        <w:t xml:space="preserve">.2022, R$ </w:t>
      </w:r>
      <w:r>
        <w:rPr>
          <w:rFonts w:cs="Arial"/>
          <w:color w:val="222222"/>
          <w:szCs w:val="14"/>
          <w:shd w:val="clear" w:color="auto" w:fill="F8F9FA"/>
          <w:lang w:val="en-US"/>
        </w:rPr>
        <w:t>203</w:t>
      </w:r>
      <w:r w:rsidRPr="00D41A1A">
        <w:rPr>
          <w:rFonts w:cs="Arial"/>
          <w:color w:val="222222"/>
          <w:szCs w:val="14"/>
          <w:shd w:val="clear" w:color="auto" w:fill="F8F9FA"/>
          <w:lang w:val="en-US"/>
        </w:rPr>
        <w:t xml:space="preserve"> million refers to the additional commission according to the restructuring agreement between BB Seguros and the M</w:t>
      </w:r>
      <w:r>
        <w:rPr>
          <w:rFonts w:cs="Arial"/>
          <w:color w:val="222222"/>
          <w:szCs w:val="14"/>
          <w:shd w:val="clear" w:color="auto" w:fill="F8F9FA"/>
          <w:lang w:val="en-US"/>
        </w:rPr>
        <w:t>APFRE</w:t>
      </w:r>
      <w:r w:rsidRPr="00D41A1A">
        <w:rPr>
          <w:rFonts w:cs="Arial"/>
          <w:color w:val="222222"/>
          <w:szCs w:val="14"/>
          <w:shd w:val="clear" w:color="auto" w:fill="F8F9FA"/>
          <w:lang w:val="en-US"/>
        </w:rPr>
        <w:t xml:space="preserve"> Group </w:t>
      </w:r>
      <w:r w:rsidRPr="00E823EA">
        <w:rPr>
          <w:rFonts w:cs="Arial"/>
          <w:color w:val="222222"/>
          <w:szCs w:val="14"/>
          <w:shd w:val="clear" w:color="auto" w:fill="F8F9FA"/>
          <w:lang w:val="en-US"/>
        </w:rPr>
        <w:t>in force until the end of 2022</w:t>
      </w:r>
      <w:r w:rsidRPr="00D41A1A">
        <w:rPr>
          <w:rFonts w:cs="Arial"/>
          <w:color w:val="222222"/>
          <w:szCs w:val="14"/>
          <w:shd w:val="clear" w:color="auto" w:fill="F8F9FA"/>
          <w:lang w:val="en-US"/>
        </w:rPr>
        <w:t xml:space="preserve">. </w:t>
      </w:r>
      <w:r w:rsidRPr="003C3361">
        <w:rPr>
          <w:rFonts w:cs="Arial"/>
          <w:color w:val="222222"/>
          <w:szCs w:val="14"/>
          <w:shd w:val="clear" w:color="auto" w:fill="F8F9FA"/>
          <w:lang w:val="en-US"/>
        </w:rPr>
        <w:t>The additional commission was recognized monthly and received on 02</w:t>
      </w:r>
      <w:r>
        <w:rPr>
          <w:rFonts w:cs="Arial"/>
          <w:color w:val="222222"/>
          <w:szCs w:val="14"/>
          <w:shd w:val="clear" w:color="auto" w:fill="F8F9FA"/>
          <w:lang w:val="en-US"/>
        </w:rPr>
        <w:t>.</w:t>
      </w:r>
      <w:r w:rsidRPr="003C3361">
        <w:rPr>
          <w:rFonts w:cs="Arial"/>
          <w:color w:val="222222"/>
          <w:szCs w:val="14"/>
          <w:shd w:val="clear" w:color="auto" w:fill="F8F9FA"/>
          <w:lang w:val="en-US"/>
        </w:rPr>
        <w:t>27</w:t>
      </w:r>
      <w:r>
        <w:rPr>
          <w:rFonts w:cs="Arial"/>
          <w:color w:val="222222"/>
          <w:szCs w:val="14"/>
          <w:shd w:val="clear" w:color="auto" w:fill="F8F9FA"/>
          <w:lang w:val="en-US"/>
        </w:rPr>
        <w:t>.</w:t>
      </w:r>
      <w:r w:rsidRPr="003C3361">
        <w:rPr>
          <w:rFonts w:cs="Arial"/>
          <w:color w:val="222222"/>
          <w:szCs w:val="14"/>
          <w:shd w:val="clear" w:color="auto" w:fill="F8F9FA"/>
          <w:lang w:val="en-US"/>
        </w:rPr>
        <w:t>2023.</w:t>
      </w:r>
    </w:p>
    <w:p w14:paraId="2B21ED5C" w14:textId="77777777" w:rsidR="008B7E19" w:rsidRPr="00D41A1A" w:rsidRDefault="008B7E19" w:rsidP="008B7E19">
      <w:pPr>
        <w:pStyle w:val="07-Legenda"/>
        <w:tabs>
          <w:tab w:val="clear" w:pos="284"/>
        </w:tabs>
        <w:ind w:left="0" w:firstLine="0"/>
        <w:rPr>
          <w:lang w:val="en-US"/>
        </w:rPr>
      </w:pPr>
    </w:p>
    <w:p w14:paraId="4F9BA9D4" w14:textId="77777777" w:rsidR="008B7E19" w:rsidRDefault="008B7E19" w:rsidP="008B7E19">
      <w:pPr>
        <w:pStyle w:val="07-Legenda"/>
        <w:spacing w:before="120" w:after="120" w:line="276" w:lineRule="auto"/>
        <w:rPr>
          <w:sz w:val="18"/>
          <w:lang w:val="en-US"/>
        </w:rPr>
      </w:pPr>
      <w:r w:rsidRPr="00FD6B41">
        <w:rPr>
          <w:sz w:val="18"/>
          <w:lang w:val="en-US"/>
        </w:rPr>
        <w:t>There are no amount of comissions receivable in parent.</w:t>
      </w:r>
    </w:p>
    <w:p w14:paraId="21CF07D4" w14:textId="77777777" w:rsidR="008B7E19" w:rsidRDefault="008B7E19" w:rsidP="008B7E19">
      <w:pPr>
        <w:pStyle w:val="07-Legenda"/>
        <w:spacing w:before="120" w:after="120" w:line="276" w:lineRule="auto"/>
        <w:ind w:left="0" w:firstLine="0"/>
        <w:rPr>
          <w:sz w:val="18"/>
          <w:lang w:val="en-US"/>
        </w:rPr>
      </w:pPr>
      <w:r>
        <w:rPr>
          <w:sz w:val="18"/>
          <w:lang w:val="en-US"/>
        </w:rPr>
        <w:t xml:space="preserve">Comissions </w:t>
      </w:r>
      <w:r w:rsidRPr="00E76C32">
        <w:rPr>
          <w:sz w:val="18"/>
          <w:lang w:val="en-US"/>
        </w:rPr>
        <w:t>Receivables are classified as financial assets</w:t>
      </w:r>
      <w:r>
        <w:rPr>
          <w:sz w:val="18"/>
          <w:lang w:val="en-US"/>
        </w:rPr>
        <w:t xml:space="preserve"> valued</w:t>
      </w:r>
      <w:r w:rsidRPr="00E76C32">
        <w:rPr>
          <w:sz w:val="18"/>
          <w:lang w:val="en-US"/>
        </w:rPr>
        <w:t xml:space="preserve"> at amortized cost, as described in Note 4.</w:t>
      </w:r>
    </w:p>
    <w:p w14:paraId="1E6C1361" w14:textId="77777777" w:rsidR="008B7E19" w:rsidRDefault="008B7E19" w:rsidP="008B7E19">
      <w:pPr>
        <w:pStyle w:val="07-Legenda"/>
        <w:spacing w:before="120" w:after="120" w:line="276" w:lineRule="auto"/>
        <w:ind w:left="0" w:firstLine="0"/>
        <w:rPr>
          <w:sz w:val="18"/>
          <w:lang w:val="en-US"/>
        </w:rPr>
      </w:pPr>
      <w:r w:rsidRPr="00872E58">
        <w:rPr>
          <w:sz w:val="18"/>
          <w:lang w:val="en-US"/>
        </w:rPr>
        <w:t>In the partnership model signed between BB Seguros and the M</w:t>
      </w:r>
      <w:r>
        <w:rPr>
          <w:sz w:val="18"/>
          <w:lang w:val="en-US"/>
        </w:rPr>
        <w:t>APFRE</w:t>
      </w:r>
      <w:r w:rsidRPr="00872E58">
        <w:rPr>
          <w:sz w:val="18"/>
          <w:lang w:val="en-US"/>
        </w:rPr>
        <w:t xml:space="preserve"> Group</w:t>
      </w:r>
      <w:r>
        <w:rPr>
          <w:sz w:val="18"/>
          <w:lang w:val="en-US"/>
        </w:rPr>
        <w:t xml:space="preserve"> in effect until the end of 2022</w:t>
      </w:r>
      <w:r w:rsidRPr="00872E58">
        <w:rPr>
          <w:sz w:val="18"/>
          <w:lang w:val="en-US"/>
        </w:rPr>
        <w:t xml:space="preserve">, the payment of additional remuneration by Brasilseg Companhia de Seguros SA to BB Corretora </w:t>
      </w:r>
      <w:r>
        <w:rPr>
          <w:sz w:val="18"/>
          <w:lang w:val="en-US"/>
        </w:rPr>
        <w:t>was</w:t>
      </w:r>
      <w:r w:rsidRPr="00872E58">
        <w:rPr>
          <w:sz w:val="18"/>
          <w:lang w:val="en-US"/>
        </w:rPr>
        <w:t xml:space="preserve"> foreseen to exceed the sales growth target in some specific products, following the rules of the 2nd Amendment to the Operating Agreement for Operation in the Insurance Segment and its annexes ("Operating Agreement" or "Agreement") which Brasilseg and BB Corretora have been signatory since November 30th, 2018.</w:t>
      </w:r>
    </w:p>
    <w:p w14:paraId="33302F08" w14:textId="77777777" w:rsidR="008B7E19" w:rsidRPr="00F35574" w:rsidRDefault="008B7E19" w:rsidP="008B7E19">
      <w:pPr>
        <w:spacing w:before="120" w:after="120"/>
        <w:jc w:val="both"/>
        <w:rPr>
          <w:rFonts w:eastAsia="Times New Roman" w:cs="Arial"/>
          <w:spacing w:val="-2"/>
          <w:szCs w:val="18"/>
          <w:highlight w:val="yellow"/>
          <w:lang w:val="en-US" w:eastAsia="pt-BR"/>
        </w:rPr>
      </w:pPr>
      <w:r w:rsidRPr="00F35574">
        <w:rPr>
          <w:rFonts w:eastAsia="Times New Roman" w:cs="Arial"/>
          <w:spacing w:val="-2"/>
          <w:szCs w:val="18"/>
          <w:lang w:val="en-US" w:eastAsia="pt-BR"/>
        </w:rPr>
        <w:t>On 12.29.2022, the 3rd Amendment to the Operating Agreement for Operating in the Insurance Segment (“Amendment to the Operating Agreement”) was formalized,</w:t>
      </w:r>
      <w:r>
        <w:rPr>
          <w:rFonts w:eastAsia="Times New Roman" w:cs="Arial"/>
          <w:spacing w:val="-2"/>
          <w:szCs w:val="18"/>
          <w:lang w:val="en-US" w:eastAsia="pt-BR"/>
        </w:rPr>
        <w:t xml:space="preserve"> effective from 01.01.2023,</w:t>
      </w:r>
      <w:r w:rsidRPr="00F35574">
        <w:rPr>
          <w:rFonts w:eastAsia="Times New Roman" w:cs="Arial"/>
          <w:spacing w:val="-2"/>
          <w:szCs w:val="18"/>
          <w:lang w:val="en-US" w:eastAsia="pt-BR"/>
        </w:rPr>
        <w:t xml:space="preserve"> which excludes the additional remuneration mechanism paid by Brasilseg to BB Corretora, increases the percentage of commission paid by Brasilseg to BB Corretora on premiums written for life and credit life insurance and reduces the percentage of commission paid by Brasilseg to BB Corretora on premiums written for rural pledge insurance.</w:t>
      </w:r>
    </w:p>
    <w:p w14:paraId="5A89019F" w14:textId="77777777" w:rsidR="008B7E19" w:rsidRPr="000C71E0" w:rsidRDefault="008B7E19" w:rsidP="008B7E19">
      <w:pPr>
        <w:spacing w:before="120" w:after="120"/>
        <w:jc w:val="both"/>
        <w:rPr>
          <w:rFonts w:eastAsia="Times New Roman" w:cs="Arial"/>
          <w:spacing w:val="-2"/>
          <w:szCs w:val="18"/>
          <w:lang w:val="en-US" w:eastAsia="pt-BR"/>
        </w:rPr>
      </w:pPr>
      <w:r w:rsidRPr="00F35574">
        <w:rPr>
          <w:rFonts w:eastAsia="Times New Roman" w:cs="Arial"/>
          <w:spacing w:val="-2"/>
          <w:szCs w:val="18"/>
          <w:lang w:val="en-US" w:eastAsia="pt-BR"/>
        </w:rPr>
        <w:t>The new Amendment to the Operating Agreement will be in force for a period of 3 (three) years, starting from January 1, 2023, being automatically renewed for new subsequent periods of 3 (three) years.</w:t>
      </w:r>
    </w:p>
    <w:p w14:paraId="5578F245" w14:textId="09CDEB5E" w:rsidR="008B7E19" w:rsidRPr="00622608" w:rsidRDefault="008B7E19" w:rsidP="008B7E19">
      <w:pPr>
        <w:pStyle w:val="Ttulo1"/>
        <w:rPr>
          <w:b w:val="0"/>
        </w:rPr>
      </w:pPr>
      <w:bookmarkStart w:id="51" w:name="_Toc141966697"/>
      <w:r w:rsidRPr="00622608">
        <w:t>19 – INTANGIBLE ASSET</w:t>
      </w:r>
      <w:bookmarkEnd w:id="51"/>
    </w:p>
    <w:p w14:paraId="1BF33668" w14:textId="77777777" w:rsidR="008B7E19" w:rsidRPr="00183B01" w:rsidRDefault="008B7E19" w:rsidP="008B7E19">
      <w:pPr>
        <w:pStyle w:val="01-TtulodeNota"/>
        <w:numPr>
          <w:ilvl w:val="0"/>
          <w:numId w:val="8"/>
        </w:numPr>
        <w:ind w:left="284" w:hanging="284"/>
        <w:rPr>
          <w:color w:val="1F4E79" w:themeColor="accent1" w:themeShade="80"/>
          <w:sz w:val="18"/>
          <w:szCs w:val="18"/>
        </w:rPr>
      </w:pPr>
      <w:r w:rsidRPr="00183B01">
        <w:rPr>
          <w:color w:val="1F4E79" w:themeColor="accent1" w:themeShade="80"/>
          <w:sz w:val="18"/>
          <w:szCs w:val="18"/>
        </w:rPr>
        <w:t>ERP - Enterprise Resource Planning</w:t>
      </w:r>
    </w:p>
    <w:p w14:paraId="5C7AF87D" w14:textId="77777777" w:rsidR="008B7E19" w:rsidRPr="005D5AE6" w:rsidRDefault="008B7E19" w:rsidP="008B7E19">
      <w:pPr>
        <w:pStyle w:val="07-Legenda"/>
        <w:ind w:left="708" w:firstLine="0"/>
        <w:jc w:val="right"/>
        <w:rPr>
          <w:b/>
        </w:rPr>
      </w:pPr>
      <w:r>
        <w:rPr>
          <w:sz w:val="12"/>
          <w:szCs w:val="12"/>
        </w:rPr>
        <w:tab/>
      </w:r>
      <w:r>
        <w:rPr>
          <w:sz w:val="12"/>
          <w:szCs w:val="12"/>
        </w:rPr>
        <w:tab/>
      </w:r>
      <w:r>
        <w:rPr>
          <w:sz w:val="12"/>
          <w:szCs w:val="12"/>
        </w:rPr>
        <w:tab/>
      </w:r>
      <w:r>
        <w:rPr>
          <w:sz w:val="12"/>
          <w:szCs w:val="12"/>
        </w:rPr>
        <w:tab/>
      </w:r>
      <w:r>
        <w:rPr>
          <w:sz w:val="12"/>
          <w:szCs w:val="12"/>
        </w:rPr>
        <w:tab/>
        <w:t xml:space="preserve">            </w:t>
      </w:r>
      <w:r w:rsidRPr="005D5AE6">
        <w:rPr>
          <w:rFonts w:cs="Arial"/>
          <w:b/>
          <w:lang w:val="en-US"/>
        </w:rPr>
        <w:t>R$ thousand</w:t>
      </w:r>
    </w:p>
    <w:tbl>
      <w:tblPr>
        <w:tblStyle w:val="TabeladeLista6Colorida-nfase5"/>
        <w:tblW w:w="9786" w:type="dxa"/>
        <w:jc w:val="center"/>
        <w:tblLayout w:type="fixed"/>
        <w:tblLook w:val="04A0" w:firstRow="1" w:lastRow="0" w:firstColumn="1" w:lastColumn="0" w:noHBand="0" w:noVBand="1"/>
      </w:tblPr>
      <w:tblGrid>
        <w:gridCol w:w="1940"/>
        <w:gridCol w:w="241"/>
        <w:gridCol w:w="1256"/>
        <w:gridCol w:w="290"/>
        <w:gridCol w:w="86"/>
        <w:gridCol w:w="63"/>
        <w:gridCol w:w="1086"/>
        <w:gridCol w:w="1239"/>
        <w:gridCol w:w="281"/>
        <w:gridCol w:w="1159"/>
        <w:gridCol w:w="164"/>
        <w:gridCol w:w="919"/>
        <w:gridCol w:w="105"/>
        <w:gridCol w:w="957"/>
      </w:tblGrid>
      <w:tr w:rsidR="008B7E19" w:rsidRPr="00F71EE3" w14:paraId="53355E99" w14:textId="77777777" w:rsidTr="008B7E19">
        <w:trPr>
          <w:cnfStyle w:val="100000000000" w:firstRow="1" w:lastRow="0" w:firstColumn="0" w:lastColumn="0" w:oddVBand="0" w:evenVBand="0" w:oddHBand="0" w:evenHBand="0" w:firstRowFirstColumn="0" w:firstRowLastColumn="0" w:lastRowFirstColumn="0" w:lastRowLastColumn="0"/>
          <w:trHeight w:hRule="exact" w:val="239"/>
          <w:jc w:val="center"/>
        </w:trPr>
        <w:tc>
          <w:tcPr>
            <w:cnfStyle w:val="001000000000" w:firstRow="0" w:lastRow="0" w:firstColumn="1" w:lastColumn="0" w:oddVBand="0" w:evenVBand="0" w:oddHBand="0" w:evenHBand="0" w:firstRowFirstColumn="0" w:firstRowLastColumn="0" w:lastRowFirstColumn="0" w:lastRowLastColumn="0"/>
            <w:tcW w:w="1940" w:type="dxa"/>
            <w:tcBorders>
              <w:top w:val="single" w:sz="2" w:space="0" w:color="1F4E79" w:themeColor="accent1" w:themeShade="80"/>
              <w:bottom w:val="nil"/>
            </w:tcBorders>
            <w:shd w:val="clear" w:color="auto" w:fill="auto"/>
            <w:vAlign w:val="center"/>
          </w:tcPr>
          <w:p w14:paraId="749BC2E7" w14:textId="77777777" w:rsidR="008B7E19" w:rsidRPr="00F71EE3" w:rsidRDefault="008B7E19" w:rsidP="008B7E19">
            <w:pPr>
              <w:rPr>
                <w:rFonts w:cs="Arial"/>
                <w:sz w:val="14"/>
                <w:szCs w:val="14"/>
              </w:rPr>
            </w:pPr>
          </w:p>
        </w:tc>
        <w:tc>
          <w:tcPr>
            <w:tcW w:w="7846" w:type="dxa"/>
            <w:gridSpan w:val="13"/>
            <w:tcBorders>
              <w:top w:val="single" w:sz="2" w:space="0" w:color="1F4E79" w:themeColor="accent1" w:themeShade="80"/>
              <w:bottom w:val="single" w:sz="2" w:space="0" w:color="1F4E79" w:themeColor="accent1" w:themeShade="80"/>
            </w:tcBorders>
            <w:shd w:val="clear" w:color="auto" w:fill="auto"/>
            <w:vAlign w:val="center"/>
          </w:tcPr>
          <w:p w14:paraId="1690FC8D" w14:textId="77777777" w:rsidR="008B7E19" w:rsidRPr="00F71EE3" w:rsidRDefault="008B7E19" w:rsidP="008B7E19">
            <w:pPr>
              <w:pStyle w:val="08-Tabelageral"/>
              <w:jc w:val="center"/>
              <w:cnfStyle w:val="100000000000" w:firstRow="1" w:lastRow="0" w:firstColumn="0" w:lastColumn="0" w:oddVBand="0" w:evenVBand="0" w:oddHBand="0" w:evenHBand="0" w:firstRowFirstColumn="0" w:firstRowLastColumn="0" w:lastRowFirstColumn="0" w:lastRowLastColumn="0"/>
            </w:pPr>
            <w:r>
              <w:rPr>
                <w:rFonts w:cs="Arial"/>
                <w:snapToGrid w:val="0"/>
              </w:rPr>
              <w:t xml:space="preserve">Parent and </w:t>
            </w:r>
            <w:r>
              <w:rPr>
                <w:rFonts w:cs="Arial"/>
              </w:rPr>
              <w:t>Consolidated</w:t>
            </w:r>
          </w:p>
        </w:tc>
      </w:tr>
      <w:tr w:rsidR="008B7E19" w:rsidRPr="00F71EE3" w14:paraId="6D457AA8" w14:textId="77777777" w:rsidTr="008B7E19">
        <w:trPr>
          <w:cnfStyle w:val="000000100000" w:firstRow="0" w:lastRow="0" w:firstColumn="0" w:lastColumn="0" w:oddVBand="0" w:evenVBand="0" w:oddHBand="1" w:evenHBand="0" w:firstRowFirstColumn="0" w:firstRowLastColumn="0" w:lastRowFirstColumn="0" w:lastRowLastColumn="0"/>
          <w:trHeight w:hRule="exact" w:val="362"/>
          <w:jc w:val="center"/>
        </w:trPr>
        <w:tc>
          <w:tcPr>
            <w:cnfStyle w:val="001000000000" w:firstRow="0" w:lastRow="0" w:firstColumn="1" w:lastColumn="0" w:oddVBand="0" w:evenVBand="0" w:oddHBand="0" w:evenHBand="0" w:firstRowFirstColumn="0" w:firstRowLastColumn="0" w:lastRowFirstColumn="0" w:lastRowLastColumn="0"/>
            <w:tcW w:w="1940" w:type="dxa"/>
            <w:tcBorders>
              <w:top w:val="nil"/>
              <w:bottom w:val="nil"/>
            </w:tcBorders>
            <w:shd w:val="clear" w:color="auto" w:fill="auto"/>
            <w:vAlign w:val="center"/>
          </w:tcPr>
          <w:p w14:paraId="417B0852" w14:textId="77777777" w:rsidR="008B7E19" w:rsidRPr="00F71EE3" w:rsidRDefault="008B7E19" w:rsidP="008B7E19">
            <w:pPr>
              <w:rPr>
                <w:rFonts w:cs="Arial"/>
                <w:sz w:val="14"/>
                <w:szCs w:val="14"/>
              </w:rPr>
            </w:pPr>
          </w:p>
        </w:tc>
        <w:tc>
          <w:tcPr>
            <w:tcW w:w="241" w:type="dxa"/>
            <w:tcBorders>
              <w:top w:val="single" w:sz="2" w:space="0" w:color="1F4E79" w:themeColor="accent1" w:themeShade="80"/>
              <w:bottom w:val="nil"/>
            </w:tcBorders>
            <w:shd w:val="clear" w:color="auto" w:fill="auto"/>
            <w:vAlign w:val="center"/>
          </w:tcPr>
          <w:p w14:paraId="27FB0B7B" w14:textId="77777777" w:rsidR="008B7E19" w:rsidRPr="00F71EE3" w:rsidRDefault="008B7E19" w:rsidP="008B7E19">
            <w:pPr>
              <w:jc w:val="center"/>
              <w:cnfStyle w:val="000000100000" w:firstRow="0" w:lastRow="0" w:firstColumn="0" w:lastColumn="0" w:oddVBand="0" w:evenVBand="0" w:oddHBand="1" w:evenHBand="0" w:firstRowFirstColumn="0" w:firstRowLastColumn="0" w:lastRowFirstColumn="0" w:lastRowLastColumn="0"/>
              <w:rPr>
                <w:rFonts w:cs="Arial"/>
                <w:b/>
                <w:sz w:val="14"/>
                <w:szCs w:val="14"/>
              </w:rPr>
            </w:pPr>
          </w:p>
        </w:tc>
        <w:tc>
          <w:tcPr>
            <w:tcW w:w="1256" w:type="dxa"/>
            <w:tcBorders>
              <w:top w:val="single" w:sz="2" w:space="0" w:color="1F4E79" w:themeColor="accent1" w:themeShade="80"/>
              <w:bottom w:val="single" w:sz="2" w:space="0" w:color="1F4E79" w:themeColor="accent1" w:themeShade="80"/>
            </w:tcBorders>
            <w:shd w:val="clear" w:color="auto" w:fill="auto"/>
            <w:vAlign w:val="center"/>
          </w:tcPr>
          <w:p w14:paraId="64F4316B" w14:textId="77777777" w:rsidR="008B7E19" w:rsidRPr="00365088" w:rsidRDefault="008B7E19" w:rsidP="008B7E19">
            <w:pPr>
              <w:pStyle w:val="08-Tabelageral"/>
              <w:spacing w:before="0" w:after="0"/>
              <w:ind w:right="28"/>
              <w:jc w:val="center"/>
              <w:cnfStyle w:val="000000100000" w:firstRow="0" w:lastRow="0" w:firstColumn="0" w:lastColumn="0" w:oddVBand="0" w:evenVBand="0" w:oddHBand="1" w:evenHBand="0" w:firstRowFirstColumn="0" w:firstRowLastColumn="0" w:lastRowFirstColumn="0" w:lastRowLastColumn="0"/>
              <w:rPr>
                <w:rFonts w:cs="Arial"/>
                <w:b/>
              </w:rPr>
            </w:pPr>
            <w:r>
              <w:rPr>
                <w:rFonts w:cs="Arial"/>
                <w:b/>
              </w:rPr>
              <w:t>Dec 31, 2022</w:t>
            </w:r>
          </w:p>
        </w:tc>
        <w:tc>
          <w:tcPr>
            <w:tcW w:w="290" w:type="dxa"/>
            <w:tcBorders>
              <w:top w:val="single" w:sz="2" w:space="0" w:color="1F4E79" w:themeColor="accent1" w:themeShade="80"/>
              <w:bottom w:val="nil"/>
            </w:tcBorders>
            <w:shd w:val="clear" w:color="auto" w:fill="auto"/>
            <w:vAlign w:val="center"/>
          </w:tcPr>
          <w:p w14:paraId="0718B782" w14:textId="77777777" w:rsidR="008B7E19" w:rsidRPr="00DE3735" w:rsidRDefault="008B7E19" w:rsidP="008B7E19">
            <w:pPr>
              <w:pStyle w:val="08-Tabelageral"/>
              <w:jc w:val="center"/>
              <w:cnfStyle w:val="000000100000" w:firstRow="0" w:lastRow="0" w:firstColumn="0" w:lastColumn="0" w:oddVBand="0" w:evenVBand="0" w:oddHBand="1" w:evenHBand="0" w:firstRowFirstColumn="0" w:firstRowLastColumn="0" w:lastRowFirstColumn="0" w:lastRowLastColumn="0"/>
              <w:rPr>
                <w:b/>
              </w:rPr>
            </w:pPr>
          </w:p>
        </w:tc>
        <w:tc>
          <w:tcPr>
            <w:tcW w:w="2474" w:type="dxa"/>
            <w:gridSpan w:val="4"/>
            <w:tcBorders>
              <w:top w:val="single" w:sz="2" w:space="0" w:color="1F4E79" w:themeColor="accent1" w:themeShade="80"/>
              <w:bottom w:val="single" w:sz="2" w:space="0" w:color="1F4E79" w:themeColor="accent1" w:themeShade="80"/>
            </w:tcBorders>
            <w:shd w:val="clear" w:color="auto" w:fill="auto"/>
            <w:vAlign w:val="center"/>
          </w:tcPr>
          <w:p w14:paraId="5A449D56" w14:textId="77777777" w:rsidR="008B7E19" w:rsidRPr="00DE3735" w:rsidRDefault="008B7E19" w:rsidP="008B7E19">
            <w:pPr>
              <w:pStyle w:val="08-Tabelageral"/>
              <w:jc w:val="center"/>
              <w:cnfStyle w:val="000000100000" w:firstRow="0" w:lastRow="0" w:firstColumn="0" w:lastColumn="0" w:oddVBand="0" w:evenVBand="0" w:oddHBand="1" w:evenHBand="0" w:firstRowFirstColumn="0" w:firstRowLastColumn="0" w:lastRowFirstColumn="0" w:lastRowLastColumn="0"/>
              <w:rPr>
                <w:b/>
              </w:rPr>
            </w:pPr>
            <w:r>
              <w:rPr>
                <w:rFonts w:cs="Arial"/>
                <w:b/>
                <w:bCs/>
                <w:szCs w:val="14"/>
              </w:rPr>
              <w:t>1</w:t>
            </w:r>
            <w:r>
              <w:rPr>
                <w:rFonts w:cs="Arial"/>
                <w:b/>
                <w:bCs/>
                <w:szCs w:val="14"/>
                <w:vertAlign w:val="superscript"/>
              </w:rPr>
              <w:t>st</w:t>
            </w:r>
            <w:r>
              <w:rPr>
                <w:rFonts w:cs="Arial"/>
                <w:b/>
                <w:bCs/>
                <w:szCs w:val="14"/>
              </w:rPr>
              <w:t xml:space="preserve"> Half 2023</w:t>
            </w:r>
          </w:p>
        </w:tc>
        <w:tc>
          <w:tcPr>
            <w:tcW w:w="281" w:type="dxa"/>
            <w:tcBorders>
              <w:top w:val="single" w:sz="2" w:space="0" w:color="1F4E79" w:themeColor="accent1" w:themeShade="80"/>
              <w:bottom w:val="nil"/>
            </w:tcBorders>
            <w:shd w:val="clear" w:color="auto" w:fill="auto"/>
            <w:vAlign w:val="center"/>
          </w:tcPr>
          <w:p w14:paraId="1554E567" w14:textId="77777777" w:rsidR="008B7E19" w:rsidRPr="00DE3735" w:rsidRDefault="008B7E19" w:rsidP="008B7E19">
            <w:pPr>
              <w:pStyle w:val="08-Tabelageral"/>
              <w:jc w:val="center"/>
              <w:cnfStyle w:val="000000100000" w:firstRow="0" w:lastRow="0" w:firstColumn="0" w:lastColumn="0" w:oddVBand="0" w:evenVBand="0" w:oddHBand="1" w:evenHBand="0" w:firstRowFirstColumn="0" w:firstRowLastColumn="0" w:lastRowFirstColumn="0" w:lastRowLastColumn="0"/>
              <w:rPr>
                <w:b/>
              </w:rPr>
            </w:pPr>
          </w:p>
        </w:tc>
        <w:tc>
          <w:tcPr>
            <w:tcW w:w="3304" w:type="dxa"/>
            <w:gridSpan w:val="5"/>
            <w:tcBorders>
              <w:top w:val="single" w:sz="2" w:space="0" w:color="1F4E79" w:themeColor="accent1" w:themeShade="80"/>
              <w:bottom w:val="single" w:sz="2" w:space="0" w:color="1F4E79" w:themeColor="accent1" w:themeShade="80"/>
            </w:tcBorders>
            <w:shd w:val="clear" w:color="auto" w:fill="auto"/>
            <w:vAlign w:val="center"/>
          </w:tcPr>
          <w:p w14:paraId="74F16F3D" w14:textId="77777777" w:rsidR="008B7E19" w:rsidRPr="00DE3735" w:rsidRDefault="008B7E19" w:rsidP="008B7E19">
            <w:pPr>
              <w:pStyle w:val="08-Tabelageral"/>
              <w:jc w:val="center"/>
              <w:cnfStyle w:val="000000100000" w:firstRow="0" w:lastRow="0" w:firstColumn="0" w:lastColumn="0" w:oddVBand="0" w:evenVBand="0" w:oddHBand="1" w:evenHBand="0" w:firstRowFirstColumn="0" w:firstRowLastColumn="0" w:lastRowFirstColumn="0" w:lastRowLastColumn="0"/>
              <w:rPr>
                <w:b/>
              </w:rPr>
            </w:pPr>
            <w:r>
              <w:rPr>
                <w:rFonts w:cs="Arial"/>
                <w:b/>
                <w:bCs/>
              </w:rPr>
              <w:t>June 30, 2023</w:t>
            </w:r>
          </w:p>
        </w:tc>
      </w:tr>
      <w:tr w:rsidR="008B7E19" w:rsidRPr="00F71EE3" w14:paraId="405DBE0A" w14:textId="77777777" w:rsidTr="008B7E19">
        <w:trPr>
          <w:trHeight w:hRule="exact" w:val="417"/>
          <w:jc w:val="center"/>
        </w:trPr>
        <w:tc>
          <w:tcPr>
            <w:cnfStyle w:val="001000000000" w:firstRow="0" w:lastRow="0" w:firstColumn="1" w:lastColumn="0" w:oddVBand="0" w:evenVBand="0" w:oddHBand="0" w:evenHBand="0" w:firstRowFirstColumn="0" w:firstRowLastColumn="0" w:lastRowFirstColumn="0" w:lastRowLastColumn="0"/>
            <w:tcW w:w="1940" w:type="dxa"/>
            <w:tcBorders>
              <w:top w:val="nil"/>
              <w:bottom w:val="single" w:sz="2" w:space="0" w:color="1F4E79" w:themeColor="accent1" w:themeShade="80"/>
            </w:tcBorders>
            <w:shd w:val="clear" w:color="auto" w:fill="auto"/>
            <w:vAlign w:val="center"/>
          </w:tcPr>
          <w:p w14:paraId="1D7F76D8" w14:textId="77777777" w:rsidR="008B7E19" w:rsidRPr="00F71EE3" w:rsidRDefault="008B7E19" w:rsidP="008B7E19">
            <w:pPr>
              <w:rPr>
                <w:rFonts w:cs="Arial"/>
                <w:sz w:val="14"/>
                <w:szCs w:val="14"/>
              </w:rPr>
            </w:pPr>
          </w:p>
        </w:tc>
        <w:tc>
          <w:tcPr>
            <w:tcW w:w="241" w:type="dxa"/>
            <w:tcBorders>
              <w:top w:val="nil"/>
              <w:bottom w:val="single" w:sz="2" w:space="0" w:color="1F4E79" w:themeColor="accent1" w:themeShade="80"/>
            </w:tcBorders>
            <w:shd w:val="clear" w:color="auto" w:fill="auto"/>
            <w:vAlign w:val="center"/>
          </w:tcPr>
          <w:p w14:paraId="3DFF0107" w14:textId="77777777" w:rsidR="008B7E19" w:rsidRPr="00F71EE3" w:rsidRDefault="008B7E19" w:rsidP="008B7E19">
            <w:pPr>
              <w:jc w:val="center"/>
              <w:cnfStyle w:val="000000000000" w:firstRow="0" w:lastRow="0" w:firstColumn="0" w:lastColumn="0" w:oddVBand="0" w:evenVBand="0" w:oddHBand="0" w:evenHBand="0" w:firstRowFirstColumn="0" w:firstRowLastColumn="0" w:lastRowFirstColumn="0" w:lastRowLastColumn="0"/>
              <w:rPr>
                <w:rFonts w:cs="Arial"/>
                <w:b/>
                <w:sz w:val="14"/>
                <w:szCs w:val="14"/>
              </w:rPr>
            </w:pPr>
          </w:p>
        </w:tc>
        <w:tc>
          <w:tcPr>
            <w:tcW w:w="1256" w:type="dxa"/>
            <w:tcBorders>
              <w:top w:val="single" w:sz="2" w:space="0" w:color="1F4E79" w:themeColor="accent1" w:themeShade="80"/>
              <w:bottom w:val="single" w:sz="2" w:space="0" w:color="1F4E79" w:themeColor="accent1" w:themeShade="80"/>
            </w:tcBorders>
            <w:shd w:val="clear" w:color="auto" w:fill="auto"/>
            <w:vAlign w:val="center"/>
          </w:tcPr>
          <w:p w14:paraId="7AD74B19" w14:textId="77777777" w:rsidR="008B7E19" w:rsidRPr="00DE3735" w:rsidRDefault="008B7E19" w:rsidP="008B7E19">
            <w:pPr>
              <w:pStyle w:val="08-Tabelageral"/>
              <w:jc w:val="center"/>
              <w:cnfStyle w:val="000000000000" w:firstRow="0" w:lastRow="0" w:firstColumn="0" w:lastColumn="0" w:oddVBand="0" w:evenVBand="0" w:oddHBand="0" w:evenHBand="0" w:firstRowFirstColumn="0" w:firstRowLastColumn="0" w:lastRowFirstColumn="0" w:lastRowLastColumn="0"/>
              <w:rPr>
                <w:b/>
              </w:rPr>
            </w:pPr>
            <w:r>
              <w:rPr>
                <w:rFonts w:cs="Arial"/>
                <w:b/>
              </w:rPr>
              <w:t>Book value</w:t>
            </w:r>
          </w:p>
        </w:tc>
        <w:tc>
          <w:tcPr>
            <w:tcW w:w="376" w:type="dxa"/>
            <w:gridSpan w:val="2"/>
            <w:tcBorders>
              <w:top w:val="nil"/>
              <w:bottom w:val="single" w:sz="2" w:space="0" w:color="8EAADB" w:themeColor="accent5" w:themeTint="99"/>
            </w:tcBorders>
            <w:shd w:val="clear" w:color="auto" w:fill="auto"/>
            <w:vAlign w:val="center"/>
          </w:tcPr>
          <w:p w14:paraId="3068EAF4" w14:textId="77777777" w:rsidR="008B7E19" w:rsidRPr="00DE3735" w:rsidRDefault="008B7E19" w:rsidP="008B7E19">
            <w:pPr>
              <w:pStyle w:val="08-Tabelageral"/>
              <w:jc w:val="center"/>
              <w:cnfStyle w:val="000000000000" w:firstRow="0" w:lastRow="0" w:firstColumn="0" w:lastColumn="0" w:oddVBand="0" w:evenVBand="0" w:oddHBand="0" w:evenHBand="0" w:firstRowFirstColumn="0" w:firstRowLastColumn="0" w:lastRowFirstColumn="0" w:lastRowLastColumn="0"/>
              <w:rPr>
                <w:b/>
              </w:rPr>
            </w:pPr>
          </w:p>
        </w:tc>
        <w:tc>
          <w:tcPr>
            <w:tcW w:w="1149" w:type="dxa"/>
            <w:gridSpan w:val="2"/>
            <w:tcBorders>
              <w:top w:val="single" w:sz="2" w:space="0" w:color="1F4E79" w:themeColor="accent1" w:themeShade="80"/>
              <w:bottom w:val="single" w:sz="2" w:space="0" w:color="1F4E79" w:themeColor="accent1" w:themeShade="80"/>
            </w:tcBorders>
            <w:shd w:val="clear" w:color="auto" w:fill="auto"/>
            <w:vAlign w:val="center"/>
          </w:tcPr>
          <w:p w14:paraId="440A69A2" w14:textId="77777777" w:rsidR="008B7E19" w:rsidRPr="00DE3735" w:rsidRDefault="008B7E19" w:rsidP="008B7E19">
            <w:pPr>
              <w:pStyle w:val="08-Tabelageral"/>
              <w:jc w:val="center"/>
              <w:cnfStyle w:val="000000000000" w:firstRow="0" w:lastRow="0" w:firstColumn="0" w:lastColumn="0" w:oddVBand="0" w:evenVBand="0" w:oddHBand="0" w:evenHBand="0" w:firstRowFirstColumn="0" w:firstRowLastColumn="0" w:lastRowFirstColumn="0" w:lastRowLastColumn="0"/>
              <w:rPr>
                <w:b/>
              </w:rPr>
            </w:pPr>
            <w:r w:rsidRPr="00EB5D75">
              <w:rPr>
                <w:rFonts w:cs="Arial"/>
                <w:b/>
              </w:rPr>
              <w:t>Acquisitions</w:t>
            </w:r>
          </w:p>
        </w:tc>
        <w:tc>
          <w:tcPr>
            <w:tcW w:w="1239" w:type="dxa"/>
            <w:tcBorders>
              <w:top w:val="single" w:sz="2" w:space="0" w:color="1F4E79" w:themeColor="accent1" w:themeShade="80"/>
              <w:bottom w:val="single" w:sz="2" w:space="0" w:color="1F4E79" w:themeColor="accent1" w:themeShade="80"/>
            </w:tcBorders>
            <w:shd w:val="clear" w:color="auto" w:fill="auto"/>
            <w:vAlign w:val="center"/>
          </w:tcPr>
          <w:p w14:paraId="5E834145" w14:textId="77777777" w:rsidR="008B7E19" w:rsidRPr="00DE3735" w:rsidRDefault="008B7E19" w:rsidP="008B7E19">
            <w:pPr>
              <w:pStyle w:val="08-Tabelageral"/>
              <w:jc w:val="center"/>
              <w:cnfStyle w:val="000000000000" w:firstRow="0" w:lastRow="0" w:firstColumn="0" w:lastColumn="0" w:oddVBand="0" w:evenVBand="0" w:oddHBand="0" w:evenHBand="0" w:firstRowFirstColumn="0" w:firstRowLastColumn="0" w:lastRowFirstColumn="0" w:lastRowLastColumn="0"/>
              <w:rPr>
                <w:b/>
              </w:rPr>
            </w:pPr>
            <w:r>
              <w:rPr>
                <w:rFonts w:cs="Arial"/>
                <w:b/>
              </w:rPr>
              <w:t>Amortization</w:t>
            </w:r>
          </w:p>
        </w:tc>
        <w:tc>
          <w:tcPr>
            <w:tcW w:w="281" w:type="dxa"/>
            <w:tcBorders>
              <w:top w:val="nil"/>
              <w:bottom w:val="single" w:sz="2" w:space="0" w:color="8EAADB" w:themeColor="accent5" w:themeTint="99"/>
            </w:tcBorders>
            <w:shd w:val="clear" w:color="auto" w:fill="auto"/>
            <w:vAlign w:val="center"/>
          </w:tcPr>
          <w:p w14:paraId="6C6BD09A" w14:textId="77777777" w:rsidR="008B7E19" w:rsidRPr="00DE3735" w:rsidRDefault="008B7E19" w:rsidP="008B7E19">
            <w:pPr>
              <w:pStyle w:val="08-Tabelageral"/>
              <w:jc w:val="center"/>
              <w:cnfStyle w:val="000000000000" w:firstRow="0" w:lastRow="0" w:firstColumn="0" w:lastColumn="0" w:oddVBand="0" w:evenVBand="0" w:oddHBand="0" w:evenHBand="0" w:firstRowFirstColumn="0" w:firstRowLastColumn="0" w:lastRowFirstColumn="0" w:lastRowLastColumn="0"/>
              <w:rPr>
                <w:b/>
              </w:rPr>
            </w:pPr>
          </w:p>
        </w:tc>
        <w:tc>
          <w:tcPr>
            <w:tcW w:w="1159" w:type="dxa"/>
            <w:tcBorders>
              <w:top w:val="single" w:sz="2" w:space="0" w:color="1F4E79" w:themeColor="accent1" w:themeShade="80"/>
              <w:bottom w:val="single" w:sz="2" w:space="0" w:color="1F4E79" w:themeColor="accent1" w:themeShade="80"/>
            </w:tcBorders>
            <w:shd w:val="clear" w:color="auto" w:fill="auto"/>
            <w:vAlign w:val="center"/>
          </w:tcPr>
          <w:p w14:paraId="7F2E8A4B" w14:textId="77777777" w:rsidR="008B7E19" w:rsidRPr="00DE3735" w:rsidRDefault="008B7E19" w:rsidP="008B7E19">
            <w:pPr>
              <w:pStyle w:val="08-Tabelageral"/>
              <w:jc w:val="center"/>
              <w:cnfStyle w:val="000000000000" w:firstRow="0" w:lastRow="0" w:firstColumn="0" w:lastColumn="0" w:oddVBand="0" w:evenVBand="0" w:oddHBand="0" w:evenHBand="0" w:firstRowFirstColumn="0" w:firstRowLastColumn="0" w:lastRowFirstColumn="0" w:lastRowLastColumn="0"/>
              <w:rPr>
                <w:b/>
              </w:rPr>
            </w:pPr>
            <w:r>
              <w:rPr>
                <w:rFonts w:cs="Arial"/>
                <w:b/>
                <w:bCs/>
              </w:rPr>
              <w:t>Cost value</w:t>
            </w:r>
          </w:p>
        </w:tc>
        <w:tc>
          <w:tcPr>
            <w:tcW w:w="1083" w:type="dxa"/>
            <w:gridSpan w:val="2"/>
            <w:tcBorders>
              <w:top w:val="single" w:sz="2" w:space="0" w:color="1F4E79" w:themeColor="accent1" w:themeShade="80"/>
              <w:bottom w:val="single" w:sz="2" w:space="0" w:color="1F4E79" w:themeColor="accent1" w:themeShade="80"/>
            </w:tcBorders>
            <w:shd w:val="clear" w:color="auto" w:fill="auto"/>
            <w:vAlign w:val="center"/>
          </w:tcPr>
          <w:p w14:paraId="377C643F" w14:textId="77777777" w:rsidR="008B7E19" w:rsidRPr="00DE3735" w:rsidRDefault="008B7E19" w:rsidP="008B7E19">
            <w:pPr>
              <w:pStyle w:val="08-Tabelageral"/>
              <w:jc w:val="center"/>
              <w:cnfStyle w:val="000000000000" w:firstRow="0" w:lastRow="0" w:firstColumn="0" w:lastColumn="0" w:oddVBand="0" w:evenVBand="0" w:oddHBand="0" w:evenHBand="0" w:firstRowFirstColumn="0" w:firstRowLastColumn="0" w:lastRowFirstColumn="0" w:lastRowLastColumn="0"/>
              <w:rPr>
                <w:b/>
              </w:rPr>
            </w:pPr>
            <w:r w:rsidRPr="009A6FC8">
              <w:rPr>
                <w:rFonts w:cs="Arial"/>
                <w:b/>
                <w:bCs/>
              </w:rPr>
              <w:t>Accumulated amortization</w:t>
            </w:r>
          </w:p>
        </w:tc>
        <w:tc>
          <w:tcPr>
            <w:tcW w:w="1062" w:type="dxa"/>
            <w:gridSpan w:val="2"/>
            <w:tcBorders>
              <w:top w:val="single" w:sz="2" w:space="0" w:color="1F4E79" w:themeColor="accent1" w:themeShade="80"/>
              <w:bottom w:val="single" w:sz="2" w:space="0" w:color="1F4E79" w:themeColor="accent1" w:themeShade="80"/>
            </w:tcBorders>
            <w:shd w:val="clear" w:color="auto" w:fill="auto"/>
            <w:vAlign w:val="center"/>
          </w:tcPr>
          <w:p w14:paraId="3A1E883F" w14:textId="77777777" w:rsidR="008B7E19" w:rsidRPr="00DE3735" w:rsidRDefault="008B7E19" w:rsidP="008B7E19">
            <w:pPr>
              <w:pStyle w:val="08-Tabelageral"/>
              <w:jc w:val="center"/>
              <w:cnfStyle w:val="000000000000" w:firstRow="0" w:lastRow="0" w:firstColumn="0" w:lastColumn="0" w:oddVBand="0" w:evenVBand="0" w:oddHBand="0" w:evenHBand="0" w:firstRowFirstColumn="0" w:firstRowLastColumn="0" w:lastRowFirstColumn="0" w:lastRowLastColumn="0"/>
              <w:rPr>
                <w:b/>
              </w:rPr>
            </w:pPr>
            <w:r>
              <w:rPr>
                <w:rFonts w:cs="Arial"/>
                <w:b/>
                <w:bCs/>
              </w:rPr>
              <w:t>Book value</w:t>
            </w:r>
          </w:p>
        </w:tc>
      </w:tr>
      <w:tr w:rsidR="008B7E19" w:rsidRPr="00543AEB" w14:paraId="44D219CF" w14:textId="77777777" w:rsidTr="008B7E19">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1940" w:type="dxa"/>
            <w:tcBorders>
              <w:top w:val="single" w:sz="2" w:space="0" w:color="1F4E79" w:themeColor="accent1" w:themeShade="80"/>
              <w:bottom w:val="single" w:sz="2" w:space="0" w:color="1F4E79" w:themeColor="accent1" w:themeShade="80"/>
            </w:tcBorders>
            <w:shd w:val="clear" w:color="auto" w:fill="auto"/>
            <w:vAlign w:val="center"/>
          </w:tcPr>
          <w:p w14:paraId="675067B6" w14:textId="77777777" w:rsidR="008B7E19" w:rsidRPr="005D5AE6" w:rsidRDefault="008B7E19" w:rsidP="008B7E19">
            <w:pPr>
              <w:pStyle w:val="08-Tabelageral"/>
              <w:jc w:val="left"/>
              <w:rPr>
                <w:rFonts w:cs="Arial"/>
                <w:b w:val="0"/>
                <w:szCs w:val="14"/>
                <w:vertAlign w:val="superscript"/>
              </w:rPr>
            </w:pPr>
            <w:r w:rsidRPr="005D5AE6">
              <w:rPr>
                <w:rFonts w:cs="Arial"/>
                <w:b w:val="0"/>
                <w:lang w:val="en-US"/>
              </w:rPr>
              <w:t xml:space="preserve">Software – ERP </w:t>
            </w:r>
            <w:r w:rsidRPr="005D5AE6">
              <w:rPr>
                <w:rFonts w:cs="Arial"/>
                <w:b w:val="0"/>
                <w:vertAlign w:val="superscript"/>
                <w:lang w:val="en-US"/>
              </w:rPr>
              <w:t>(1)</w:t>
            </w:r>
          </w:p>
        </w:tc>
        <w:tc>
          <w:tcPr>
            <w:tcW w:w="241" w:type="dxa"/>
            <w:tcBorders>
              <w:top w:val="single" w:sz="2" w:space="0" w:color="1F4E79" w:themeColor="accent1" w:themeShade="80"/>
              <w:bottom w:val="single" w:sz="2" w:space="0" w:color="1F4E79" w:themeColor="accent1" w:themeShade="80"/>
            </w:tcBorders>
            <w:shd w:val="clear" w:color="auto" w:fill="auto"/>
            <w:vAlign w:val="center"/>
          </w:tcPr>
          <w:p w14:paraId="12A7A868" w14:textId="77777777" w:rsidR="008B7E19" w:rsidRPr="003B0482" w:rsidRDefault="008B7E19" w:rsidP="008B7E19">
            <w:pPr>
              <w:pStyle w:val="08-Tabelageral"/>
              <w:jc w:val="center"/>
              <w:cnfStyle w:val="000000100000" w:firstRow="0" w:lastRow="0" w:firstColumn="0" w:lastColumn="0" w:oddVBand="0" w:evenVBand="0" w:oddHBand="1" w:evenHBand="0" w:firstRowFirstColumn="0" w:firstRowLastColumn="0" w:lastRowFirstColumn="0" w:lastRowLastColumn="0"/>
              <w:rPr>
                <w:rFonts w:cs="Arial"/>
                <w:szCs w:val="14"/>
              </w:rPr>
            </w:pPr>
          </w:p>
        </w:tc>
        <w:tc>
          <w:tcPr>
            <w:tcW w:w="1256" w:type="dxa"/>
            <w:tcBorders>
              <w:top w:val="single" w:sz="2" w:space="0" w:color="1F4E79" w:themeColor="accent1" w:themeShade="80"/>
              <w:bottom w:val="single" w:sz="2" w:space="0" w:color="1F4E79" w:themeColor="accent1" w:themeShade="80"/>
            </w:tcBorders>
            <w:shd w:val="clear" w:color="auto" w:fill="auto"/>
          </w:tcPr>
          <w:p w14:paraId="44F457DA" w14:textId="77777777" w:rsidR="008B7E19" w:rsidRPr="003B0482" w:rsidRDefault="008B7E19" w:rsidP="008B7E19">
            <w:pPr>
              <w:pStyle w:val="08-Tabelageral"/>
              <w:jc w:val="center"/>
              <w:cnfStyle w:val="000000100000" w:firstRow="0" w:lastRow="0" w:firstColumn="0" w:lastColumn="0" w:oddVBand="0" w:evenVBand="0" w:oddHBand="1" w:evenHBand="0" w:firstRowFirstColumn="0" w:firstRowLastColumn="0" w:lastRowFirstColumn="0" w:lastRowLastColumn="0"/>
              <w:rPr>
                <w:rFonts w:cs="Arial"/>
                <w:szCs w:val="14"/>
              </w:rPr>
            </w:pPr>
            <w:r w:rsidRPr="006B5786">
              <w:rPr>
                <w:rFonts w:cs="Arial"/>
                <w:szCs w:val="14"/>
              </w:rPr>
              <w:t>4</w:t>
            </w:r>
            <w:r>
              <w:rPr>
                <w:rFonts w:cs="Arial"/>
                <w:szCs w:val="14"/>
              </w:rPr>
              <w:t>,</w:t>
            </w:r>
            <w:r w:rsidRPr="006B5786">
              <w:rPr>
                <w:rFonts w:cs="Arial"/>
                <w:szCs w:val="14"/>
              </w:rPr>
              <w:t>021</w:t>
            </w:r>
          </w:p>
        </w:tc>
        <w:tc>
          <w:tcPr>
            <w:tcW w:w="439" w:type="dxa"/>
            <w:gridSpan w:val="3"/>
            <w:tcBorders>
              <w:top w:val="single" w:sz="2" w:space="0" w:color="1F4E79" w:themeColor="accent1" w:themeShade="80"/>
              <w:bottom w:val="single" w:sz="2" w:space="0" w:color="1F4E79" w:themeColor="accent1" w:themeShade="80"/>
            </w:tcBorders>
            <w:shd w:val="clear" w:color="auto" w:fill="auto"/>
          </w:tcPr>
          <w:p w14:paraId="6CDB1744" w14:textId="77777777" w:rsidR="008B7E19" w:rsidRPr="003B0482" w:rsidRDefault="008B7E19" w:rsidP="008B7E19">
            <w:pPr>
              <w:pStyle w:val="08-Tabelageral"/>
              <w:jc w:val="left"/>
              <w:cnfStyle w:val="000000100000" w:firstRow="0" w:lastRow="0" w:firstColumn="0" w:lastColumn="0" w:oddVBand="0" w:evenVBand="0" w:oddHBand="1" w:evenHBand="0" w:firstRowFirstColumn="0" w:firstRowLastColumn="0" w:lastRowFirstColumn="0" w:lastRowLastColumn="0"/>
              <w:rPr>
                <w:rFonts w:cs="Arial"/>
                <w:szCs w:val="14"/>
              </w:rPr>
            </w:pPr>
          </w:p>
        </w:tc>
        <w:tc>
          <w:tcPr>
            <w:tcW w:w="1086" w:type="dxa"/>
            <w:tcBorders>
              <w:top w:val="single" w:sz="2" w:space="0" w:color="1F4E79" w:themeColor="accent1" w:themeShade="80"/>
              <w:bottom w:val="single" w:sz="2" w:space="0" w:color="1F4E79" w:themeColor="accent1" w:themeShade="80"/>
            </w:tcBorders>
            <w:shd w:val="clear" w:color="auto" w:fill="auto"/>
          </w:tcPr>
          <w:p w14:paraId="2C187A13" w14:textId="77777777" w:rsidR="008B7E19" w:rsidRPr="003B0482" w:rsidRDefault="008B7E19" w:rsidP="008B7E19">
            <w:pPr>
              <w:pStyle w:val="08-Tabelageral"/>
              <w:jc w:val="center"/>
              <w:cnfStyle w:val="000000100000" w:firstRow="0" w:lastRow="0" w:firstColumn="0" w:lastColumn="0" w:oddVBand="0" w:evenVBand="0" w:oddHBand="1" w:evenHBand="0" w:firstRowFirstColumn="0" w:firstRowLastColumn="0" w:lastRowFirstColumn="0" w:lastRowLastColumn="0"/>
              <w:rPr>
                <w:rFonts w:cs="Arial"/>
                <w:szCs w:val="14"/>
              </w:rPr>
            </w:pPr>
            <w:r>
              <w:rPr>
                <w:rFonts w:cs="Arial"/>
                <w:szCs w:val="14"/>
              </w:rPr>
              <w:t>201</w:t>
            </w:r>
          </w:p>
        </w:tc>
        <w:tc>
          <w:tcPr>
            <w:tcW w:w="1239" w:type="dxa"/>
            <w:tcBorders>
              <w:top w:val="single" w:sz="2" w:space="0" w:color="1F4E79" w:themeColor="accent1" w:themeShade="80"/>
              <w:bottom w:val="single" w:sz="2" w:space="0" w:color="1F4E79" w:themeColor="accent1" w:themeShade="80"/>
            </w:tcBorders>
            <w:shd w:val="clear" w:color="auto" w:fill="auto"/>
          </w:tcPr>
          <w:p w14:paraId="420FF3CF" w14:textId="77777777" w:rsidR="008B7E19" w:rsidRPr="003B0482" w:rsidRDefault="008B7E19" w:rsidP="008B7E19">
            <w:pPr>
              <w:pStyle w:val="08-Tabelageral"/>
              <w:jc w:val="center"/>
              <w:cnfStyle w:val="000000100000" w:firstRow="0" w:lastRow="0" w:firstColumn="0" w:lastColumn="0" w:oddVBand="0" w:evenVBand="0" w:oddHBand="1" w:evenHBand="0" w:firstRowFirstColumn="0" w:firstRowLastColumn="0" w:lastRowFirstColumn="0" w:lastRowLastColumn="0"/>
              <w:rPr>
                <w:rFonts w:cs="Arial"/>
                <w:szCs w:val="14"/>
              </w:rPr>
            </w:pPr>
            <w:r>
              <w:rPr>
                <w:rFonts w:cs="Arial"/>
                <w:szCs w:val="14"/>
              </w:rPr>
              <w:t>(415)</w:t>
            </w:r>
          </w:p>
        </w:tc>
        <w:tc>
          <w:tcPr>
            <w:tcW w:w="281" w:type="dxa"/>
            <w:tcBorders>
              <w:top w:val="single" w:sz="2" w:space="0" w:color="1F4E79" w:themeColor="accent1" w:themeShade="80"/>
              <w:bottom w:val="single" w:sz="2" w:space="0" w:color="1F4E79" w:themeColor="accent1" w:themeShade="80"/>
            </w:tcBorders>
            <w:shd w:val="clear" w:color="auto" w:fill="auto"/>
          </w:tcPr>
          <w:p w14:paraId="79091BEB" w14:textId="77777777" w:rsidR="008B7E19" w:rsidRPr="003B0482" w:rsidRDefault="008B7E19" w:rsidP="008B7E19">
            <w:pPr>
              <w:pStyle w:val="08-Tabelageral"/>
              <w:jc w:val="left"/>
              <w:cnfStyle w:val="000000100000" w:firstRow="0" w:lastRow="0" w:firstColumn="0" w:lastColumn="0" w:oddVBand="0" w:evenVBand="0" w:oddHBand="1" w:evenHBand="0" w:firstRowFirstColumn="0" w:firstRowLastColumn="0" w:lastRowFirstColumn="0" w:lastRowLastColumn="0"/>
              <w:rPr>
                <w:rFonts w:cs="Arial"/>
                <w:szCs w:val="14"/>
              </w:rPr>
            </w:pPr>
          </w:p>
        </w:tc>
        <w:tc>
          <w:tcPr>
            <w:tcW w:w="1323" w:type="dxa"/>
            <w:gridSpan w:val="2"/>
            <w:tcBorders>
              <w:top w:val="single" w:sz="2" w:space="0" w:color="1F4E79" w:themeColor="accent1" w:themeShade="80"/>
              <w:bottom w:val="single" w:sz="2" w:space="0" w:color="1F4E79" w:themeColor="accent1" w:themeShade="80"/>
            </w:tcBorders>
            <w:shd w:val="clear" w:color="auto" w:fill="auto"/>
          </w:tcPr>
          <w:p w14:paraId="6D8110C3" w14:textId="77777777" w:rsidR="008B7E19" w:rsidRPr="003B0482" w:rsidRDefault="008B7E19" w:rsidP="008B7E19">
            <w:pPr>
              <w:pStyle w:val="08-Tabelageral"/>
              <w:jc w:val="center"/>
              <w:cnfStyle w:val="000000100000" w:firstRow="0" w:lastRow="0" w:firstColumn="0" w:lastColumn="0" w:oddVBand="0" w:evenVBand="0" w:oddHBand="1" w:evenHBand="0" w:firstRowFirstColumn="0" w:firstRowLastColumn="0" w:lastRowFirstColumn="0" w:lastRowLastColumn="0"/>
              <w:rPr>
                <w:rFonts w:cs="Arial"/>
                <w:szCs w:val="14"/>
              </w:rPr>
            </w:pPr>
            <w:r w:rsidRPr="002174AE">
              <w:rPr>
                <w:rFonts w:cs="Arial"/>
                <w:szCs w:val="14"/>
              </w:rPr>
              <w:t>7</w:t>
            </w:r>
            <w:r>
              <w:rPr>
                <w:rFonts w:cs="Arial"/>
                <w:szCs w:val="14"/>
              </w:rPr>
              <w:t>,</w:t>
            </w:r>
            <w:r w:rsidRPr="002174AE">
              <w:rPr>
                <w:rFonts w:cs="Arial"/>
                <w:szCs w:val="14"/>
              </w:rPr>
              <w:t>516</w:t>
            </w:r>
          </w:p>
        </w:tc>
        <w:tc>
          <w:tcPr>
            <w:tcW w:w="1024" w:type="dxa"/>
            <w:gridSpan w:val="2"/>
            <w:tcBorders>
              <w:top w:val="single" w:sz="2" w:space="0" w:color="1F4E79" w:themeColor="accent1" w:themeShade="80"/>
              <w:bottom w:val="single" w:sz="2" w:space="0" w:color="1F4E79" w:themeColor="accent1" w:themeShade="80"/>
            </w:tcBorders>
            <w:shd w:val="clear" w:color="auto" w:fill="auto"/>
          </w:tcPr>
          <w:p w14:paraId="0B6CF590" w14:textId="77777777" w:rsidR="008B7E19" w:rsidRPr="003B0482" w:rsidRDefault="008B7E19" w:rsidP="008B7E19">
            <w:pPr>
              <w:pStyle w:val="08-Tabelageral"/>
              <w:jc w:val="center"/>
              <w:cnfStyle w:val="000000100000" w:firstRow="0" w:lastRow="0" w:firstColumn="0" w:lastColumn="0" w:oddVBand="0" w:evenVBand="0" w:oddHBand="1" w:evenHBand="0" w:firstRowFirstColumn="0" w:firstRowLastColumn="0" w:lastRowFirstColumn="0" w:lastRowLastColumn="0"/>
              <w:rPr>
                <w:rFonts w:cs="Arial"/>
                <w:szCs w:val="14"/>
              </w:rPr>
            </w:pPr>
            <w:r w:rsidRPr="002174AE">
              <w:rPr>
                <w:rFonts w:cs="Arial"/>
                <w:szCs w:val="14"/>
              </w:rPr>
              <w:t>(3</w:t>
            </w:r>
            <w:r>
              <w:rPr>
                <w:rFonts w:cs="Arial"/>
                <w:szCs w:val="14"/>
              </w:rPr>
              <w:t>,</w:t>
            </w:r>
            <w:r w:rsidRPr="002174AE">
              <w:rPr>
                <w:rFonts w:cs="Arial"/>
                <w:szCs w:val="14"/>
              </w:rPr>
              <w:t>709)</w:t>
            </w:r>
          </w:p>
        </w:tc>
        <w:tc>
          <w:tcPr>
            <w:tcW w:w="957" w:type="dxa"/>
            <w:tcBorders>
              <w:top w:val="single" w:sz="2" w:space="0" w:color="1F4E79" w:themeColor="accent1" w:themeShade="80"/>
              <w:bottom w:val="single" w:sz="2" w:space="0" w:color="1F4E79" w:themeColor="accent1" w:themeShade="80"/>
            </w:tcBorders>
            <w:shd w:val="clear" w:color="auto" w:fill="auto"/>
          </w:tcPr>
          <w:p w14:paraId="6E155E5D" w14:textId="77777777" w:rsidR="008B7E19" w:rsidRPr="003B0482" w:rsidRDefault="008B7E19" w:rsidP="008B7E19">
            <w:pPr>
              <w:pStyle w:val="08-Tabelageral"/>
              <w:jc w:val="center"/>
              <w:cnfStyle w:val="000000100000" w:firstRow="0" w:lastRow="0" w:firstColumn="0" w:lastColumn="0" w:oddVBand="0" w:evenVBand="0" w:oddHBand="1" w:evenHBand="0" w:firstRowFirstColumn="0" w:firstRowLastColumn="0" w:lastRowFirstColumn="0" w:lastRowLastColumn="0"/>
              <w:rPr>
                <w:rFonts w:cs="Arial"/>
                <w:szCs w:val="14"/>
              </w:rPr>
            </w:pPr>
            <w:r>
              <w:rPr>
                <w:rFonts w:cs="Arial"/>
                <w:szCs w:val="14"/>
              </w:rPr>
              <w:t>3,807</w:t>
            </w:r>
          </w:p>
        </w:tc>
      </w:tr>
    </w:tbl>
    <w:p w14:paraId="4B34F623" w14:textId="77777777" w:rsidR="008B7E19" w:rsidRPr="00F15267" w:rsidRDefault="008B7E19" w:rsidP="008B7E19">
      <w:pPr>
        <w:pStyle w:val="07-Legenda"/>
        <w:numPr>
          <w:ilvl w:val="0"/>
          <w:numId w:val="13"/>
        </w:numPr>
        <w:tabs>
          <w:tab w:val="clear" w:pos="284"/>
          <w:tab w:val="left" w:pos="0"/>
        </w:tabs>
        <w:ind w:left="284" w:hanging="284"/>
        <w:rPr>
          <w:lang w:val="en-US"/>
        </w:rPr>
      </w:pPr>
      <w:r w:rsidRPr="00887BA2">
        <w:rPr>
          <w:lang w:val="en-US"/>
        </w:rPr>
        <w:t xml:space="preserve">In January 2018, the amortization of Enterprise Resource Planning (ERP) began, according to CPC </w:t>
      </w:r>
      <w:r>
        <w:rPr>
          <w:lang w:val="en-US"/>
        </w:rPr>
        <w:t xml:space="preserve">04 [IAS 38] - Intangible Assets </w:t>
      </w:r>
      <w:r w:rsidRPr="001C7169">
        <w:rPr>
          <w:lang w:val="en-US"/>
        </w:rPr>
        <w:t>in which the</w:t>
      </w:r>
      <w:r w:rsidRPr="00FC7714">
        <w:rPr>
          <w:lang w:val="en-US"/>
        </w:rPr>
        <w:t xml:space="preserve"> amortization period of intangible assets with a defined useful li</w:t>
      </w:r>
      <w:r>
        <w:rPr>
          <w:lang w:val="en-US"/>
        </w:rPr>
        <w:t xml:space="preserve">fe is 10 years and amortization </w:t>
      </w:r>
      <w:r w:rsidRPr="00FC7714">
        <w:rPr>
          <w:lang w:val="en-US"/>
        </w:rPr>
        <w:t xml:space="preserve">is calculated at the annual rate of 10% and recognized to the income statement on a straight-line </w:t>
      </w:r>
      <w:r>
        <w:rPr>
          <w:lang w:val="en-US"/>
        </w:rPr>
        <w:t>method.</w:t>
      </w:r>
    </w:p>
    <w:p w14:paraId="49D371AF" w14:textId="77777777" w:rsidR="008B7E19" w:rsidRPr="00F15267" w:rsidRDefault="008B7E19" w:rsidP="008B7E19">
      <w:pPr>
        <w:spacing w:after="120"/>
        <w:rPr>
          <w:rFonts w:cs="Arial"/>
          <w:b/>
          <w:color w:val="1F4E79" w:themeColor="accent1" w:themeShade="80"/>
          <w:szCs w:val="18"/>
          <w:lang w:val="en-US"/>
        </w:rPr>
      </w:pPr>
    </w:p>
    <w:p w14:paraId="4FBD1FAA" w14:textId="77777777" w:rsidR="008B7E19" w:rsidRPr="00F15267" w:rsidRDefault="008B7E19" w:rsidP="008B7E19">
      <w:pPr>
        <w:pStyle w:val="01-TtulodeNota"/>
        <w:rPr>
          <w:color w:val="1F4E79" w:themeColor="accent1" w:themeShade="80"/>
          <w:sz w:val="18"/>
          <w:szCs w:val="18"/>
          <w:lang w:val="en-US"/>
        </w:rPr>
      </w:pPr>
      <w:r w:rsidRPr="00F15267">
        <w:rPr>
          <w:color w:val="1F4E79" w:themeColor="accent1" w:themeShade="80"/>
          <w:sz w:val="18"/>
          <w:szCs w:val="18"/>
          <w:lang w:val="en-US"/>
        </w:rPr>
        <w:t>a.1) Estimate for amortization</w:t>
      </w:r>
    </w:p>
    <w:p w14:paraId="2574957A" w14:textId="04CE9579" w:rsidR="008B7E19" w:rsidRPr="00F15267" w:rsidRDefault="008B7E19" w:rsidP="005B5353">
      <w:pPr>
        <w:pStyle w:val="07-Legenda"/>
        <w:ind w:left="708" w:firstLine="0"/>
        <w:jc w:val="right"/>
        <w:rPr>
          <w:b/>
          <w:sz w:val="12"/>
          <w:szCs w:val="12"/>
          <w:lang w:val="en-US"/>
        </w:rPr>
      </w:pPr>
      <w:r w:rsidRPr="005D5AE6">
        <w:rPr>
          <w:rFonts w:cs="Arial"/>
          <w:b/>
          <w:lang w:val="en-US"/>
        </w:rPr>
        <w:t>R$ thousand</w:t>
      </w:r>
    </w:p>
    <w:tbl>
      <w:tblPr>
        <w:tblStyle w:val="TabeladeLista6Colorida-nfase510"/>
        <w:tblW w:w="9639" w:type="dxa"/>
        <w:jc w:val="center"/>
        <w:tblInd w:w="0" w:type="dxa"/>
        <w:tblBorders>
          <w:top w:val="single" w:sz="2" w:space="0" w:color="1F4E79" w:themeColor="accent1" w:themeShade="80"/>
          <w:bottom w:val="single" w:sz="2" w:space="0" w:color="1F4E79" w:themeColor="accent1" w:themeShade="80"/>
          <w:insideH w:val="single" w:sz="2" w:space="0" w:color="8EAADB" w:themeColor="accent5" w:themeTint="99"/>
        </w:tblBorders>
        <w:tblLook w:val="04A0" w:firstRow="1" w:lastRow="0" w:firstColumn="1" w:lastColumn="0" w:noHBand="0" w:noVBand="1"/>
      </w:tblPr>
      <w:tblGrid>
        <w:gridCol w:w="2965"/>
        <w:gridCol w:w="1016"/>
        <w:gridCol w:w="1016"/>
        <w:gridCol w:w="1016"/>
        <w:gridCol w:w="1016"/>
        <w:gridCol w:w="1112"/>
        <w:gridCol w:w="1498"/>
      </w:tblGrid>
      <w:tr w:rsidR="008B7E19" w:rsidRPr="005C781F" w14:paraId="502E1BAE" w14:textId="77777777" w:rsidTr="008B7E19">
        <w:trPr>
          <w:cnfStyle w:val="100000000000" w:firstRow="1" w:lastRow="0" w:firstColumn="0" w:lastColumn="0" w:oddVBand="0" w:evenVBand="0" w:oddHBand="0" w:evenHBand="0" w:firstRowFirstColumn="0" w:firstRowLastColumn="0" w:lastRowFirstColumn="0" w:lastRowLastColumn="0"/>
          <w:trHeight w:hRule="exact" w:val="227"/>
          <w:jc w:val="center"/>
        </w:trPr>
        <w:tc>
          <w:tcPr>
            <w:cnfStyle w:val="001000000000" w:firstRow="0" w:lastRow="0" w:firstColumn="1" w:lastColumn="0" w:oddVBand="0" w:evenVBand="0" w:oddHBand="0" w:evenHBand="0" w:firstRowFirstColumn="0" w:firstRowLastColumn="0" w:lastRowFirstColumn="0" w:lastRowLastColumn="0"/>
            <w:tcW w:w="2965" w:type="dxa"/>
            <w:tcBorders>
              <w:bottom w:val="single" w:sz="2" w:space="0" w:color="1F4E79" w:themeColor="accent1" w:themeShade="80"/>
            </w:tcBorders>
            <w:shd w:val="clear" w:color="auto" w:fill="auto"/>
            <w:vAlign w:val="center"/>
          </w:tcPr>
          <w:p w14:paraId="04971F33" w14:textId="77777777" w:rsidR="008B7E19" w:rsidRPr="00F15267" w:rsidRDefault="008B7E19" w:rsidP="008B7E19">
            <w:pPr>
              <w:pStyle w:val="08-Tabelageral"/>
              <w:rPr>
                <w:lang w:val="en-US"/>
              </w:rPr>
            </w:pPr>
          </w:p>
        </w:tc>
        <w:tc>
          <w:tcPr>
            <w:tcW w:w="1016" w:type="dxa"/>
            <w:tcBorders>
              <w:bottom w:val="single" w:sz="2" w:space="0" w:color="1F4E79" w:themeColor="accent1" w:themeShade="80"/>
            </w:tcBorders>
            <w:shd w:val="clear" w:color="auto" w:fill="auto"/>
            <w:vAlign w:val="center"/>
          </w:tcPr>
          <w:p w14:paraId="34948BA5" w14:textId="77777777" w:rsidR="008B7E19" w:rsidRPr="005C781F" w:rsidRDefault="008B7E19" w:rsidP="008B7E19">
            <w:pPr>
              <w:pStyle w:val="08-Tabelageral"/>
              <w:jc w:val="center"/>
              <w:cnfStyle w:val="100000000000" w:firstRow="1" w:lastRow="0" w:firstColumn="0" w:lastColumn="0" w:oddVBand="0" w:evenVBand="0" w:oddHBand="0" w:evenHBand="0" w:firstRowFirstColumn="0" w:firstRowLastColumn="0" w:lastRowFirstColumn="0" w:lastRowLastColumn="0"/>
            </w:pPr>
            <w:r w:rsidRPr="00255E0A">
              <w:t>2023</w:t>
            </w:r>
          </w:p>
        </w:tc>
        <w:tc>
          <w:tcPr>
            <w:tcW w:w="1016" w:type="dxa"/>
            <w:tcBorders>
              <w:bottom w:val="single" w:sz="2" w:space="0" w:color="1F4E79" w:themeColor="accent1" w:themeShade="80"/>
            </w:tcBorders>
            <w:shd w:val="clear" w:color="auto" w:fill="auto"/>
            <w:vAlign w:val="center"/>
          </w:tcPr>
          <w:p w14:paraId="41BE018C" w14:textId="77777777" w:rsidR="008B7E19" w:rsidRPr="005C781F" w:rsidRDefault="008B7E19" w:rsidP="008B7E19">
            <w:pPr>
              <w:pStyle w:val="08-Tabelageral"/>
              <w:jc w:val="center"/>
              <w:cnfStyle w:val="100000000000" w:firstRow="1" w:lastRow="0" w:firstColumn="0" w:lastColumn="0" w:oddVBand="0" w:evenVBand="0" w:oddHBand="0" w:evenHBand="0" w:firstRowFirstColumn="0" w:firstRowLastColumn="0" w:lastRowFirstColumn="0" w:lastRowLastColumn="0"/>
            </w:pPr>
            <w:r w:rsidRPr="00255E0A">
              <w:t>2024</w:t>
            </w:r>
          </w:p>
        </w:tc>
        <w:tc>
          <w:tcPr>
            <w:tcW w:w="1016" w:type="dxa"/>
            <w:tcBorders>
              <w:bottom w:val="single" w:sz="2" w:space="0" w:color="1F4E79" w:themeColor="accent1" w:themeShade="80"/>
            </w:tcBorders>
            <w:shd w:val="clear" w:color="auto" w:fill="auto"/>
            <w:vAlign w:val="center"/>
          </w:tcPr>
          <w:p w14:paraId="314E3213" w14:textId="77777777" w:rsidR="008B7E19" w:rsidRPr="005C781F" w:rsidRDefault="008B7E19" w:rsidP="008B7E19">
            <w:pPr>
              <w:pStyle w:val="08-Tabelageral"/>
              <w:jc w:val="center"/>
              <w:cnfStyle w:val="100000000000" w:firstRow="1" w:lastRow="0" w:firstColumn="0" w:lastColumn="0" w:oddVBand="0" w:evenVBand="0" w:oddHBand="0" w:evenHBand="0" w:firstRowFirstColumn="0" w:firstRowLastColumn="0" w:lastRowFirstColumn="0" w:lastRowLastColumn="0"/>
            </w:pPr>
            <w:r w:rsidRPr="00255E0A">
              <w:t>2025</w:t>
            </w:r>
          </w:p>
        </w:tc>
        <w:tc>
          <w:tcPr>
            <w:tcW w:w="1016" w:type="dxa"/>
            <w:tcBorders>
              <w:bottom w:val="single" w:sz="2" w:space="0" w:color="1F4E79" w:themeColor="accent1" w:themeShade="80"/>
            </w:tcBorders>
            <w:shd w:val="clear" w:color="auto" w:fill="auto"/>
            <w:vAlign w:val="center"/>
          </w:tcPr>
          <w:p w14:paraId="1FE3D10E" w14:textId="77777777" w:rsidR="008B7E19" w:rsidRPr="005C781F" w:rsidRDefault="008B7E19" w:rsidP="008B7E19">
            <w:pPr>
              <w:pStyle w:val="08-Tabelageral"/>
              <w:jc w:val="center"/>
              <w:cnfStyle w:val="100000000000" w:firstRow="1" w:lastRow="0" w:firstColumn="0" w:lastColumn="0" w:oddVBand="0" w:evenVBand="0" w:oddHBand="0" w:evenHBand="0" w:firstRowFirstColumn="0" w:firstRowLastColumn="0" w:lastRowFirstColumn="0" w:lastRowLastColumn="0"/>
            </w:pPr>
            <w:r w:rsidRPr="00255E0A">
              <w:t>2026</w:t>
            </w:r>
          </w:p>
        </w:tc>
        <w:tc>
          <w:tcPr>
            <w:tcW w:w="1112" w:type="dxa"/>
            <w:tcBorders>
              <w:bottom w:val="single" w:sz="2" w:space="0" w:color="1F4E79" w:themeColor="accent1" w:themeShade="80"/>
            </w:tcBorders>
            <w:shd w:val="clear" w:color="auto" w:fill="auto"/>
            <w:vAlign w:val="center"/>
          </w:tcPr>
          <w:p w14:paraId="01D7CAE0" w14:textId="77777777" w:rsidR="008B7E19" w:rsidRPr="005C781F" w:rsidRDefault="008B7E19" w:rsidP="008B7E19">
            <w:pPr>
              <w:pStyle w:val="08-Tabelageral"/>
              <w:jc w:val="center"/>
              <w:cnfStyle w:val="100000000000" w:firstRow="1" w:lastRow="0" w:firstColumn="0" w:lastColumn="0" w:oddVBand="0" w:evenVBand="0" w:oddHBand="0" w:evenHBand="0" w:firstRowFirstColumn="0" w:firstRowLastColumn="0" w:lastRowFirstColumn="0" w:lastRowLastColumn="0"/>
            </w:pPr>
            <w:r>
              <w:t>2027</w:t>
            </w:r>
          </w:p>
        </w:tc>
        <w:tc>
          <w:tcPr>
            <w:tcW w:w="1498" w:type="dxa"/>
            <w:tcBorders>
              <w:bottom w:val="single" w:sz="2" w:space="0" w:color="1F4E79" w:themeColor="accent1" w:themeShade="80"/>
            </w:tcBorders>
            <w:shd w:val="clear" w:color="auto" w:fill="auto"/>
            <w:vAlign w:val="center"/>
          </w:tcPr>
          <w:p w14:paraId="4E8E9D1C" w14:textId="77777777" w:rsidR="008B7E19" w:rsidRPr="005C781F" w:rsidRDefault="008B7E19" w:rsidP="008B7E19">
            <w:pPr>
              <w:pStyle w:val="08-Tabelageral"/>
              <w:jc w:val="center"/>
              <w:cnfStyle w:val="100000000000" w:firstRow="1" w:lastRow="0" w:firstColumn="0" w:lastColumn="0" w:oddVBand="0" w:evenVBand="0" w:oddHBand="0" w:evenHBand="0" w:firstRowFirstColumn="0" w:firstRowLastColumn="0" w:lastRowFirstColumn="0" w:lastRowLastColumn="0"/>
            </w:pPr>
            <w:r w:rsidRPr="00255E0A">
              <w:t>Total</w:t>
            </w:r>
          </w:p>
        </w:tc>
      </w:tr>
      <w:tr w:rsidR="008B7E19" w:rsidRPr="00E177EF" w14:paraId="63E3C6B5" w14:textId="77777777" w:rsidTr="008B7E19">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2965" w:type="dxa"/>
            <w:tcBorders>
              <w:top w:val="single" w:sz="2" w:space="0" w:color="1F4E79" w:themeColor="accent1" w:themeShade="80"/>
              <w:bottom w:val="single" w:sz="2" w:space="0" w:color="1F4E79" w:themeColor="accent1" w:themeShade="80"/>
            </w:tcBorders>
            <w:shd w:val="clear" w:color="auto" w:fill="auto"/>
            <w:vAlign w:val="center"/>
          </w:tcPr>
          <w:p w14:paraId="13E8D142" w14:textId="77777777" w:rsidR="008B7E19" w:rsidRPr="005D5AE6" w:rsidRDefault="008B7E19" w:rsidP="008B7E19">
            <w:pPr>
              <w:pStyle w:val="08-Tabelageral"/>
              <w:jc w:val="left"/>
              <w:rPr>
                <w:b w:val="0"/>
                <w:szCs w:val="14"/>
              </w:rPr>
            </w:pPr>
            <w:r w:rsidRPr="005D5AE6">
              <w:rPr>
                <w:rFonts w:cs="Arial"/>
                <w:b w:val="0"/>
              </w:rPr>
              <w:t>Amounts to be amortized</w:t>
            </w:r>
          </w:p>
        </w:tc>
        <w:tc>
          <w:tcPr>
            <w:tcW w:w="1016" w:type="dxa"/>
            <w:tcBorders>
              <w:top w:val="single" w:sz="2" w:space="0" w:color="1F4E79" w:themeColor="accent1" w:themeShade="80"/>
              <w:bottom w:val="single" w:sz="2" w:space="0" w:color="1F4E79" w:themeColor="accent1" w:themeShade="80"/>
            </w:tcBorders>
            <w:shd w:val="clear" w:color="auto" w:fill="auto"/>
          </w:tcPr>
          <w:p w14:paraId="65B08BCB" w14:textId="77777777" w:rsidR="008B7E19" w:rsidRPr="008331D9" w:rsidRDefault="008B7E19" w:rsidP="008B7E19">
            <w:pPr>
              <w:pStyle w:val="08-Tabelageral"/>
              <w:jc w:val="center"/>
              <w:cnfStyle w:val="000000100000" w:firstRow="0" w:lastRow="0" w:firstColumn="0" w:lastColumn="0" w:oddVBand="0" w:evenVBand="0" w:oddHBand="1" w:evenHBand="0" w:firstRowFirstColumn="0" w:firstRowLastColumn="0" w:lastRowFirstColumn="0" w:lastRowLastColumn="0"/>
              <w:rPr>
                <w:szCs w:val="14"/>
              </w:rPr>
            </w:pPr>
            <w:r>
              <w:rPr>
                <w:szCs w:val="14"/>
              </w:rPr>
              <w:t>519</w:t>
            </w:r>
          </w:p>
        </w:tc>
        <w:tc>
          <w:tcPr>
            <w:tcW w:w="1016" w:type="dxa"/>
            <w:tcBorders>
              <w:top w:val="single" w:sz="2" w:space="0" w:color="1F4E79" w:themeColor="accent1" w:themeShade="80"/>
              <w:bottom w:val="single" w:sz="2" w:space="0" w:color="1F4E79" w:themeColor="accent1" w:themeShade="80"/>
            </w:tcBorders>
            <w:shd w:val="clear" w:color="auto" w:fill="auto"/>
          </w:tcPr>
          <w:p w14:paraId="40EFDB24" w14:textId="77777777" w:rsidR="008B7E19" w:rsidRPr="008331D9" w:rsidRDefault="008B7E19" w:rsidP="008B7E19">
            <w:pPr>
              <w:pStyle w:val="08-Tabelageral"/>
              <w:jc w:val="center"/>
              <w:cnfStyle w:val="000000100000" w:firstRow="0" w:lastRow="0" w:firstColumn="0" w:lastColumn="0" w:oddVBand="0" w:evenVBand="0" w:oddHBand="1" w:evenHBand="0" w:firstRowFirstColumn="0" w:firstRowLastColumn="0" w:lastRowFirstColumn="0" w:lastRowLastColumn="0"/>
              <w:rPr>
                <w:szCs w:val="14"/>
              </w:rPr>
            </w:pPr>
            <w:r>
              <w:rPr>
                <w:szCs w:val="14"/>
              </w:rPr>
              <w:t>822</w:t>
            </w:r>
          </w:p>
        </w:tc>
        <w:tc>
          <w:tcPr>
            <w:tcW w:w="1016" w:type="dxa"/>
            <w:tcBorders>
              <w:top w:val="single" w:sz="2" w:space="0" w:color="1F4E79" w:themeColor="accent1" w:themeShade="80"/>
              <w:bottom w:val="single" w:sz="2" w:space="0" w:color="1F4E79" w:themeColor="accent1" w:themeShade="80"/>
            </w:tcBorders>
            <w:shd w:val="clear" w:color="auto" w:fill="auto"/>
          </w:tcPr>
          <w:p w14:paraId="4CB6B93D" w14:textId="77777777" w:rsidR="008B7E19" w:rsidRPr="008331D9" w:rsidRDefault="008B7E19" w:rsidP="008B7E19">
            <w:pPr>
              <w:pStyle w:val="08-Tabelageral"/>
              <w:jc w:val="center"/>
              <w:cnfStyle w:val="000000100000" w:firstRow="0" w:lastRow="0" w:firstColumn="0" w:lastColumn="0" w:oddVBand="0" w:evenVBand="0" w:oddHBand="1" w:evenHBand="0" w:firstRowFirstColumn="0" w:firstRowLastColumn="0" w:lastRowFirstColumn="0" w:lastRowLastColumn="0"/>
              <w:rPr>
                <w:szCs w:val="14"/>
              </w:rPr>
            </w:pPr>
            <w:r>
              <w:rPr>
                <w:szCs w:val="14"/>
              </w:rPr>
              <w:t>822</w:t>
            </w:r>
          </w:p>
        </w:tc>
        <w:tc>
          <w:tcPr>
            <w:tcW w:w="1016" w:type="dxa"/>
            <w:tcBorders>
              <w:top w:val="single" w:sz="2" w:space="0" w:color="1F4E79" w:themeColor="accent1" w:themeShade="80"/>
              <w:bottom w:val="single" w:sz="2" w:space="0" w:color="1F4E79" w:themeColor="accent1" w:themeShade="80"/>
            </w:tcBorders>
            <w:shd w:val="clear" w:color="auto" w:fill="auto"/>
          </w:tcPr>
          <w:p w14:paraId="18ED25BD" w14:textId="77777777" w:rsidR="008B7E19" w:rsidRPr="008331D9" w:rsidRDefault="008B7E19" w:rsidP="008B7E19">
            <w:pPr>
              <w:pStyle w:val="08-Tabelageral"/>
              <w:jc w:val="center"/>
              <w:cnfStyle w:val="000000100000" w:firstRow="0" w:lastRow="0" w:firstColumn="0" w:lastColumn="0" w:oddVBand="0" w:evenVBand="0" w:oddHBand="1" w:evenHBand="0" w:firstRowFirstColumn="0" w:firstRowLastColumn="0" w:lastRowFirstColumn="0" w:lastRowLastColumn="0"/>
              <w:rPr>
                <w:szCs w:val="14"/>
              </w:rPr>
            </w:pPr>
            <w:r>
              <w:rPr>
                <w:szCs w:val="14"/>
              </w:rPr>
              <w:t>822</w:t>
            </w:r>
          </w:p>
        </w:tc>
        <w:tc>
          <w:tcPr>
            <w:tcW w:w="1112" w:type="dxa"/>
            <w:tcBorders>
              <w:top w:val="single" w:sz="2" w:space="0" w:color="1F4E79" w:themeColor="accent1" w:themeShade="80"/>
              <w:bottom w:val="single" w:sz="2" w:space="0" w:color="1F4E79" w:themeColor="accent1" w:themeShade="80"/>
            </w:tcBorders>
            <w:shd w:val="clear" w:color="auto" w:fill="auto"/>
          </w:tcPr>
          <w:p w14:paraId="5CCD8F90" w14:textId="77777777" w:rsidR="008B7E19" w:rsidRPr="008331D9" w:rsidRDefault="008B7E19" w:rsidP="008B7E19">
            <w:pPr>
              <w:pStyle w:val="08-Tabelageral"/>
              <w:jc w:val="center"/>
              <w:cnfStyle w:val="000000100000" w:firstRow="0" w:lastRow="0" w:firstColumn="0" w:lastColumn="0" w:oddVBand="0" w:evenVBand="0" w:oddHBand="1" w:evenHBand="0" w:firstRowFirstColumn="0" w:firstRowLastColumn="0" w:lastRowFirstColumn="0" w:lastRowLastColumn="0"/>
              <w:rPr>
                <w:szCs w:val="14"/>
              </w:rPr>
            </w:pPr>
            <w:r>
              <w:rPr>
                <w:szCs w:val="14"/>
              </w:rPr>
              <w:t>822</w:t>
            </w:r>
          </w:p>
        </w:tc>
        <w:tc>
          <w:tcPr>
            <w:tcW w:w="1498" w:type="dxa"/>
            <w:tcBorders>
              <w:top w:val="single" w:sz="2" w:space="0" w:color="1F4E79" w:themeColor="accent1" w:themeShade="80"/>
              <w:bottom w:val="single" w:sz="2" w:space="0" w:color="1F4E79" w:themeColor="accent1" w:themeShade="80"/>
            </w:tcBorders>
            <w:shd w:val="clear" w:color="auto" w:fill="auto"/>
          </w:tcPr>
          <w:p w14:paraId="5509613A" w14:textId="77777777" w:rsidR="008B7E19" w:rsidRPr="008331D9" w:rsidRDefault="008B7E19" w:rsidP="008B7E19">
            <w:pPr>
              <w:pStyle w:val="08-Tabelageral"/>
              <w:jc w:val="center"/>
              <w:cnfStyle w:val="000000100000" w:firstRow="0" w:lastRow="0" w:firstColumn="0" w:lastColumn="0" w:oddVBand="0" w:evenVBand="0" w:oddHBand="1" w:evenHBand="0" w:firstRowFirstColumn="0" w:firstRowLastColumn="0" w:lastRowFirstColumn="0" w:lastRowLastColumn="0"/>
              <w:rPr>
                <w:szCs w:val="14"/>
              </w:rPr>
            </w:pPr>
            <w:r>
              <w:rPr>
                <w:b/>
              </w:rPr>
              <w:t>3,807</w:t>
            </w:r>
          </w:p>
        </w:tc>
      </w:tr>
    </w:tbl>
    <w:p w14:paraId="344B0963" w14:textId="77777777" w:rsidR="008B7E19" w:rsidRDefault="008B7E19" w:rsidP="008B7E19">
      <w:pPr>
        <w:rPr>
          <w:rFonts w:cs="Arial"/>
          <w:b/>
          <w:color w:val="1F4E79" w:themeColor="accent1" w:themeShade="80"/>
          <w:szCs w:val="18"/>
        </w:rPr>
      </w:pPr>
    </w:p>
    <w:p w14:paraId="1C4AB8FF" w14:textId="5CD556B8" w:rsidR="008B7E19" w:rsidRPr="005B5353" w:rsidRDefault="008B7E19" w:rsidP="005B5353">
      <w:pPr>
        <w:pStyle w:val="02-TtulodeNota"/>
        <w:rPr>
          <w:color w:val="1F4E79" w:themeColor="accent1" w:themeShade="80"/>
        </w:rPr>
      </w:pPr>
      <w:bookmarkStart w:id="52" w:name="OLE_LINK15"/>
      <w:bookmarkStart w:id="53" w:name="_Toc141966698"/>
      <w:r w:rsidRPr="005B5353">
        <w:rPr>
          <w:color w:val="1F4E79" w:themeColor="accent1" w:themeShade="80"/>
        </w:rPr>
        <w:t>20 – OTHER ASSETS</w:t>
      </w:r>
      <w:bookmarkEnd w:id="53"/>
    </w:p>
    <w:p w14:paraId="79A7DD3C" w14:textId="77777777" w:rsidR="008B7E19" w:rsidRPr="00FF3D4B" w:rsidRDefault="008B7E19" w:rsidP="008B7E19">
      <w:pPr>
        <w:spacing w:after="0" w:line="240" w:lineRule="auto"/>
        <w:jc w:val="right"/>
        <w:rPr>
          <w:rFonts w:cs="Arial"/>
          <w:b/>
          <w:sz w:val="14"/>
          <w:lang w:eastAsia="pt-BR"/>
        </w:rPr>
      </w:pPr>
      <w:r w:rsidRPr="00FF3D4B">
        <w:rPr>
          <w:rFonts w:cs="Arial"/>
          <w:b/>
          <w:sz w:val="14"/>
          <w:lang w:eastAsia="pt-BR"/>
        </w:rPr>
        <w:t xml:space="preserve">R$ </w:t>
      </w:r>
      <w:r>
        <w:rPr>
          <w:rFonts w:cs="Arial"/>
          <w:b/>
          <w:sz w:val="14"/>
          <w:lang w:eastAsia="pt-BR"/>
        </w:rPr>
        <w:t>thousand</w:t>
      </w:r>
    </w:p>
    <w:tbl>
      <w:tblPr>
        <w:tblW w:w="9639" w:type="dxa"/>
        <w:jc w:val="center"/>
        <w:tblBorders>
          <w:top w:val="single" w:sz="2" w:space="0" w:color="8EAADB" w:themeColor="accent5" w:themeTint="99"/>
          <w:bottom w:val="single" w:sz="2" w:space="0" w:color="8EAADB" w:themeColor="accent5" w:themeTint="99"/>
        </w:tblBorders>
        <w:tblLook w:val="04A0" w:firstRow="1" w:lastRow="0" w:firstColumn="1" w:lastColumn="0" w:noHBand="0" w:noVBand="1"/>
      </w:tblPr>
      <w:tblGrid>
        <w:gridCol w:w="3094"/>
        <w:gridCol w:w="604"/>
        <w:gridCol w:w="1411"/>
        <w:gridCol w:w="1412"/>
        <w:gridCol w:w="283"/>
        <w:gridCol w:w="1417"/>
        <w:gridCol w:w="1418"/>
      </w:tblGrid>
      <w:tr w:rsidR="008B7E19" w:rsidRPr="0068592A" w14:paraId="5B5544FD" w14:textId="77777777" w:rsidTr="005B5353">
        <w:trPr>
          <w:trHeight w:val="238"/>
          <w:jc w:val="center"/>
        </w:trPr>
        <w:tc>
          <w:tcPr>
            <w:tcW w:w="3094" w:type="dxa"/>
            <w:tcBorders>
              <w:top w:val="single" w:sz="2" w:space="0" w:color="1F4E79" w:themeColor="accent1" w:themeShade="80"/>
            </w:tcBorders>
            <w:shd w:val="clear" w:color="auto" w:fill="auto"/>
          </w:tcPr>
          <w:p w14:paraId="37DF3564" w14:textId="77777777" w:rsidR="008B7E19" w:rsidRPr="0068592A" w:rsidRDefault="008B7E19" w:rsidP="008B7E19">
            <w:pPr>
              <w:spacing w:after="0"/>
              <w:jc w:val="center"/>
              <w:rPr>
                <w:rFonts w:cs="Arial"/>
                <w:b/>
                <w:szCs w:val="18"/>
              </w:rPr>
            </w:pPr>
          </w:p>
        </w:tc>
        <w:tc>
          <w:tcPr>
            <w:tcW w:w="604" w:type="dxa"/>
            <w:tcBorders>
              <w:top w:val="single" w:sz="2" w:space="0" w:color="1F4E79" w:themeColor="accent1" w:themeShade="80"/>
            </w:tcBorders>
            <w:shd w:val="clear" w:color="auto" w:fill="auto"/>
          </w:tcPr>
          <w:p w14:paraId="09101B11" w14:textId="77777777" w:rsidR="008B7E19" w:rsidRPr="0068592A" w:rsidRDefault="008B7E19" w:rsidP="008B7E19">
            <w:pPr>
              <w:spacing w:after="0"/>
              <w:jc w:val="center"/>
              <w:rPr>
                <w:rFonts w:cs="Arial"/>
                <w:b/>
                <w:szCs w:val="18"/>
              </w:rPr>
            </w:pPr>
          </w:p>
        </w:tc>
        <w:tc>
          <w:tcPr>
            <w:tcW w:w="2823" w:type="dxa"/>
            <w:gridSpan w:val="2"/>
            <w:tcBorders>
              <w:top w:val="single" w:sz="2" w:space="0" w:color="1F4E79" w:themeColor="accent1" w:themeShade="80"/>
              <w:bottom w:val="single" w:sz="2" w:space="0" w:color="1F4E79" w:themeColor="accent1" w:themeShade="80"/>
            </w:tcBorders>
            <w:shd w:val="clear" w:color="auto" w:fill="auto"/>
            <w:vAlign w:val="center"/>
          </w:tcPr>
          <w:p w14:paraId="49EB1791" w14:textId="77777777" w:rsidR="008B7E19" w:rsidRPr="0068592A" w:rsidRDefault="008B7E19" w:rsidP="008B7E19">
            <w:pPr>
              <w:spacing w:after="0"/>
              <w:jc w:val="center"/>
              <w:rPr>
                <w:rFonts w:cs="Arial"/>
                <w:b/>
                <w:sz w:val="14"/>
                <w:szCs w:val="18"/>
              </w:rPr>
            </w:pPr>
            <w:r>
              <w:rPr>
                <w:rFonts w:cs="Arial"/>
                <w:b/>
                <w:sz w:val="14"/>
                <w:szCs w:val="18"/>
              </w:rPr>
              <w:t>Parent</w:t>
            </w:r>
          </w:p>
        </w:tc>
        <w:tc>
          <w:tcPr>
            <w:tcW w:w="283" w:type="dxa"/>
            <w:tcBorders>
              <w:top w:val="single" w:sz="2" w:space="0" w:color="1F4E79" w:themeColor="accent1" w:themeShade="80"/>
            </w:tcBorders>
            <w:shd w:val="clear" w:color="auto" w:fill="auto"/>
            <w:vAlign w:val="center"/>
          </w:tcPr>
          <w:p w14:paraId="5AF3FEF3" w14:textId="77777777" w:rsidR="008B7E19" w:rsidRPr="0068592A" w:rsidRDefault="008B7E19" w:rsidP="008B7E19">
            <w:pPr>
              <w:spacing w:after="0"/>
              <w:jc w:val="center"/>
              <w:rPr>
                <w:rFonts w:cs="Arial"/>
                <w:b/>
                <w:szCs w:val="18"/>
              </w:rPr>
            </w:pPr>
          </w:p>
        </w:tc>
        <w:tc>
          <w:tcPr>
            <w:tcW w:w="2835" w:type="dxa"/>
            <w:gridSpan w:val="2"/>
            <w:tcBorders>
              <w:top w:val="single" w:sz="2" w:space="0" w:color="1F4E79" w:themeColor="accent1" w:themeShade="80"/>
              <w:bottom w:val="single" w:sz="2" w:space="0" w:color="1F4E79" w:themeColor="accent1" w:themeShade="80"/>
            </w:tcBorders>
            <w:shd w:val="clear" w:color="auto" w:fill="auto"/>
            <w:vAlign w:val="center"/>
          </w:tcPr>
          <w:p w14:paraId="5D8891FB" w14:textId="77777777" w:rsidR="008B7E19" w:rsidRPr="0068592A" w:rsidRDefault="008B7E19" w:rsidP="008B7E19">
            <w:pPr>
              <w:spacing w:after="0"/>
              <w:jc w:val="center"/>
              <w:rPr>
                <w:rFonts w:cs="Arial"/>
                <w:b/>
                <w:szCs w:val="18"/>
              </w:rPr>
            </w:pPr>
            <w:r>
              <w:rPr>
                <w:rFonts w:cs="Arial"/>
                <w:b/>
                <w:sz w:val="14"/>
                <w:szCs w:val="18"/>
              </w:rPr>
              <w:t>Consolidated</w:t>
            </w:r>
          </w:p>
        </w:tc>
      </w:tr>
      <w:tr w:rsidR="008B7E19" w:rsidRPr="0068592A" w14:paraId="23C38D85" w14:textId="77777777" w:rsidTr="005B5353">
        <w:trPr>
          <w:trHeight w:val="238"/>
          <w:jc w:val="center"/>
        </w:trPr>
        <w:tc>
          <w:tcPr>
            <w:tcW w:w="3094" w:type="dxa"/>
            <w:tcBorders>
              <w:bottom w:val="single" w:sz="2" w:space="0" w:color="1F4E79" w:themeColor="accent1" w:themeShade="80"/>
            </w:tcBorders>
            <w:shd w:val="clear" w:color="auto" w:fill="auto"/>
          </w:tcPr>
          <w:p w14:paraId="714492F2" w14:textId="77777777" w:rsidR="008B7E19" w:rsidRPr="0068592A" w:rsidRDefault="008B7E19" w:rsidP="008B7E19">
            <w:pPr>
              <w:pStyle w:val="08-Tabelageral"/>
              <w:rPr>
                <w:rFonts w:cs="Arial"/>
                <w:b/>
              </w:rPr>
            </w:pPr>
          </w:p>
        </w:tc>
        <w:tc>
          <w:tcPr>
            <w:tcW w:w="604" w:type="dxa"/>
            <w:tcBorders>
              <w:bottom w:val="single" w:sz="2" w:space="0" w:color="1F4E79" w:themeColor="accent1" w:themeShade="80"/>
            </w:tcBorders>
            <w:shd w:val="clear" w:color="auto" w:fill="auto"/>
          </w:tcPr>
          <w:p w14:paraId="6EC64379" w14:textId="77777777" w:rsidR="008B7E19" w:rsidRPr="0068592A" w:rsidRDefault="008B7E19" w:rsidP="008B7E19">
            <w:pPr>
              <w:pStyle w:val="08-Tabelageral"/>
              <w:rPr>
                <w:rFonts w:cs="Arial"/>
                <w:b/>
              </w:rPr>
            </w:pPr>
          </w:p>
        </w:tc>
        <w:tc>
          <w:tcPr>
            <w:tcW w:w="1411" w:type="dxa"/>
            <w:tcBorders>
              <w:top w:val="single" w:sz="2" w:space="0" w:color="1F4E79" w:themeColor="accent1" w:themeShade="80"/>
              <w:bottom w:val="single" w:sz="2" w:space="0" w:color="1F4E79" w:themeColor="accent1" w:themeShade="80"/>
            </w:tcBorders>
            <w:shd w:val="clear" w:color="auto" w:fill="auto"/>
            <w:vAlign w:val="center"/>
          </w:tcPr>
          <w:p w14:paraId="47177902" w14:textId="77777777" w:rsidR="008B7E19" w:rsidRPr="0068592A" w:rsidRDefault="008B7E19" w:rsidP="008B7E19">
            <w:pPr>
              <w:pStyle w:val="08-Tabelageral"/>
              <w:rPr>
                <w:rFonts w:cs="Arial"/>
                <w:b/>
              </w:rPr>
            </w:pPr>
            <w:r>
              <w:rPr>
                <w:rFonts w:cs="Arial"/>
                <w:b/>
              </w:rPr>
              <w:t>June 30, 2023</w:t>
            </w:r>
          </w:p>
        </w:tc>
        <w:tc>
          <w:tcPr>
            <w:tcW w:w="1412" w:type="dxa"/>
            <w:tcBorders>
              <w:top w:val="single" w:sz="2" w:space="0" w:color="1F4E79" w:themeColor="accent1" w:themeShade="80"/>
              <w:bottom w:val="single" w:sz="2" w:space="0" w:color="1F4E79" w:themeColor="accent1" w:themeShade="80"/>
            </w:tcBorders>
            <w:shd w:val="clear" w:color="auto" w:fill="auto"/>
            <w:vAlign w:val="center"/>
          </w:tcPr>
          <w:p w14:paraId="6A8A2BE6" w14:textId="77777777" w:rsidR="008B7E19" w:rsidRPr="0068592A" w:rsidRDefault="008B7E19" w:rsidP="008B7E19">
            <w:pPr>
              <w:pStyle w:val="08-Tabelageral"/>
              <w:rPr>
                <w:rFonts w:cs="Arial"/>
                <w:b/>
              </w:rPr>
            </w:pPr>
            <w:r>
              <w:rPr>
                <w:rFonts w:cs="Arial"/>
                <w:b/>
              </w:rPr>
              <w:t>Dec 31, 2022</w:t>
            </w:r>
          </w:p>
        </w:tc>
        <w:tc>
          <w:tcPr>
            <w:tcW w:w="283" w:type="dxa"/>
            <w:tcBorders>
              <w:bottom w:val="single" w:sz="2" w:space="0" w:color="1F4E79" w:themeColor="accent1" w:themeShade="80"/>
            </w:tcBorders>
            <w:shd w:val="clear" w:color="auto" w:fill="auto"/>
            <w:vAlign w:val="center"/>
          </w:tcPr>
          <w:p w14:paraId="51C2FF27" w14:textId="77777777" w:rsidR="008B7E19" w:rsidRPr="0068592A" w:rsidRDefault="008B7E19" w:rsidP="008B7E19">
            <w:pPr>
              <w:pStyle w:val="08-Tabelageral"/>
              <w:rPr>
                <w:rFonts w:cs="Arial"/>
                <w:b/>
              </w:rPr>
            </w:pPr>
          </w:p>
        </w:tc>
        <w:tc>
          <w:tcPr>
            <w:tcW w:w="1417" w:type="dxa"/>
            <w:tcBorders>
              <w:top w:val="single" w:sz="2" w:space="0" w:color="1F4E79" w:themeColor="accent1" w:themeShade="80"/>
              <w:bottom w:val="single" w:sz="2" w:space="0" w:color="1F4E79" w:themeColor="accent1" w:themeShade="80"/>
            </w:tcBorders>
            <w:shd w:val="clear" w:color="auto" w:fill="auto"/>
            <w:vAlign w:val="center"/>
          </w:tcPr>
          <w:p w14:paraId="40C36AE3" w14:textId="77777777" w:rsidR="008B7E19" w:rsidRPr="0068592A" w:rsidRDefault="008B7E19" w:rsidP="008B7E19">
            <w:pPr>
              <w:pStyle w:val="08-Tabelageral"/>
              <w:rPr>
                <w:rFonts w:cs="Arial"/>
                <w:b/>
              </w:rPr>
            </w:pPr>
            <w:r>
              <w:rPr>
                <w:rFonts w:cs="Arial"/>
                <w:b/>
              </w:rPr>
              <w:t>June 30, 2023</w:t>
            </w:r>
          </w:p>
        </w:tc>
        <w:tc>
          <w:tcPr>
            <w:tcW w:w="1418" w:type="dxa"/>
            <w:tcBorders>
              <w:top w:val="single" w:sz="2" w:space="0" w:color="1F4E79" w:themeColor="accent1" w:themeShade="80"/>
              <w:bottom w:val="single" w:sz="2" w:space="0" w:color="1F4E79" w:themeColor="accent1" w:themeShade="80"/>
            </w:tcBorders>
            <w:shd w:val="clear" w:color="auto" w:fill="auto"/>
            <w:vAlign w:val="center"/>
          </w:tcPr>
          <w:p w14:paraId="23E859A3" w14:textId="77777777" w:rsidR="008B7E19" w:rsidRPr="0068592A" w:rsidRDefault="008B7E19" w:rsidP="008B7E19">
            <w:pPr>
              <w:pStyle w:val="08-Tabelageral"/>
              <w:rPr>
                <w:rFonts w:cs="Arial"/>
                <w:b/>
              </w:rPr>
            </w:pPr>
            <w:r>
              <w:rPr>
                <w:rFonts w:cs="Arial"/>
                <w:b/>
              </w:rPr>
              <w:t>Dec 31, 2022</w:t>
            </w:r>
          </w:p>
        </w:tc>
      </w:tr>
      <w:tr w:rsidR="008B7E19" w:rsidRPr="0068592A" w14:paraId="01754331" w14:textId="77777777" w:rsidTr="005B5353">
        <w:trPr>
          <w:trHeight w:val="238"/>
          <w:jc w:val="center"/>
        </w:trPr>
        <w:tc>
          <w:tcPr>
            <w:tcW w:w="3094" w:type="dxa"/>
            <w:tcBorders>
              <w:top w:val="single" w:sz="2" w:space="0" w:color="1F4E79" w:themeColor="accent1" w:themeShade="80"/>
            </w:tcBorders>
            <w:shd w:val="clear" w:color="auto" w:fill="auto"/>
          </w:tcPr>
          <w:p w14:paraId="2018EFD9" w14:textId="77777777" w:rsidR="008B7E19" w:rsidRPr="0068592A" w:rsidRDefault="008B7E19" w:rsidP="008B7E19">
            <w:pPr>
              <w:pStyle w:val="08-Tabelageral"/>
              <w:jc w:val="left"/>
              <w:rPr>
                <w:rFonts w:cs="Arial"/>
                <w:b/>
                <w:bCs/>
                <w:szCs w:val="14"/>
              </w:rPr>
            </w:pPr>
            <w:r>
              <w:rPr>
                <w:rFonts w:cs="Arial"/>
                <w:b/>
                <w:szCs w:val="14"/>
              </w:rPr>
              <w:t>Current Assets</w:t>
            </w:r>
          </w:p>
        </w:tc>
        <w:tc>
          <w:tcPr>
            <w:tcW w:w="604" w:type="dxa"/>
            <w:tcBorders>
              <w:top w:val="single" w:sz="2" w:space="0" w:color="1F4E79" w:themeColor="accent1" w:themeShade="80"/>
            </w:tcBorders>
            <w:shd w:val="clear" w:color="auto" w:fill="auto"/>
          </w:tcPr>
          <w:p w14:paraId="77B62B13" w14:textId="77777777" w:rsidR="008B7E19" w:rsidRPr="0068592A" w:rsidRDefault="008B7E19" w:rsidP="008B7E19">
            <w:pPr>
              <w:pStyle w:val="08-Tabelageral"/>
              <w:jc w:val="center"/>
              <w:rPr>
                <w:rFonts w:cs="Arial"/>
                <w:b/>
                <w:szCs w:val="14"/>
              </w:rPr>
            </w:pPr>
          </w:p>
        </w:tc>
        <w:tc>
          <w:tcPr>
            <w:tcW w:w="1411" w:type="dxa"/>
            <w:tcBorders>
              <w:top w:val="single" w:sz="2" w:space="0" w:color="1F4E79" w:themeColor="accent1" w:themeShade="80"/>
            </w:tcBorders>
            <w:shd w:val="clear" w:color="auto" w:fill="auto"/>
            <w:vAlign w:val="center"/>
          </w:tcPr>
          <w:p w14:paraId="229F708A" w14:textId="77777777" w:rsidR="008B7E19" w:rsidRPr="0068592A" w:rsidRDefault="008B7E19" w:rsidP="008B7E19">
            <w:pPr>
              <w:pStyle w:val="08-Tabelageral"/>
              <w:rPr>
                <w:rFonts w:cs="Arial"/>
                <w:b/>
                <w:szCs w:val="14"/>
              </w:rPr>
            </w:pPr>
            <w:r>
              <w:rPr>
                <w:rFonts w:cs="Arial"/>
                <w:b/>
                <w:szCs w:val="14"/>
              </w:rPr>
              <w:t>11,606</w:t>
            </w:r>
          </w:p>
        </w:tc>
        <w:tc>
          <w:tcPr>
            <w:tcW w:w="1412" w:type="dxa"/>
            <w:tcBorders>
              <w:top w:val="single" w:sz="2" w:space="0" w:color="1F4E79" w:themeColor="accent1" w:themeShade="80"/>
            </w:tcBorders>
            <w:shd w:val="clear" w:color="auto" w:fill="auto"/>
            <w:vAlign w:val="center"/>
          </w:tcPr>
          <w:p w14:paraId="59AD22B1" w14:textId="77777777" w:rsidR="008B7E19" w:rsidRPr="0068592A" w:rsidRDefault="008B7E19" w:rsidP="008B7E19">
            <w:pPr>
              <w:pStyle w:val="08-Tabelageral"/>
              <w:rPr>
                <w:rFonts w:cs="Arial"/>
                <w:b/>
                <w:szCs w:val="14"/>
              </w:rPr>
            </w:pPr>
            <w:r>
              <w:rPr>
                <w:rFonts w:cs="Arial"/>
                <w:b/>
                <w:szCs w:val="14"/>
              </w:rPr>
              <w:t>9,816</w:t>
            </w:r>
          </w:p>
        </w:tc>
        <w:tc>
          <w:tcPr>
            <w:tcW w:w="283" w:type="dxa"/>
            <w:tcBorders>
              <w:top w:val="single" w:sz="2" w:space="0" w:color="1F4E79" w:themeColor="accent1" w:themeShade="80"/>
            </w:tcBorders>
            <w:shd w:val="clear" w:color="auto" w:fill="auto"/>
            <w:vAlign w:val="center"/>
          </w:tcPr>
          <w:p w14:paraId="6218C1DB" w14:textId="77777777" w:rsidR="008B7E19" w:rsidRPr="0068592A" w:rsidRDefault="008B7E19" w:rsidP="008B7E19">
            <w:pPr>
              <w:pStyle w:val="08-Tabelageral"/>
              <w:rPr>
                <w:rFonts w:cs="Arial"/>
                <w:b/>
                <w:szCs w:val="14"/>
              </w:rPr>
            </w:pPr>
          </w:p>
        </w:tc>
        <w:tc>
          <w:tcPr>
            <w:tcW w:w="1417" w:type="dxa"/>
            <w:tcBorders>
              <w:top w:val="single" w:sz="2" w:space="0" w:color="1F4E79" w:themeColor="accent1" w:themeShade="80"/>
            </w:tcBorders>
            <w:shd w:val="clear" w:color="auto" w:fill="auto"/>
            <w:vAlign w:val="center"/>
          </w:tcPr>
          <w:p w14:paraId="6AD1DB6D" w14:textId="77777777" w:rsidR="008B7E19" w:rsidRPr="0068592A" w:rsidRDefault="008B7E19" w:rsidP="008B7E19">
            <w:pPr>
              <w:pStyle w:val="08-Tabelageral"/>
              <w:rPr>
                <w:rFonts w:cs="Arial"/>
                <w:b/>
                <w:szCs w:val="14"/>
              </w:rPr>
            </w:pPr>
            <w:r>
              <w:rPr>
                <w:rFonts w:cs="Arial"/>
                <w:b/>
                <w:szCs w:val="14"/>
              </w:rPr>
              <w:t>6,282</w:t>
            </w:r>
          </w:p>
        </w:tc>
        <w:tc>
          <w:tcPr>
            <w:tcW w:w="1418" w:type="dxa"/>
            <w:tcBorders>
              <w:top w:val="single" w:sz="2" w:space="0" w:color="1F4E79" w:themeColor="accent1" w:themeShade="80"/>
            </w:tcBorders>
            <w:shd w:val="clear" w:color="auto" w:fill="auto"/>
            <w:vAlign w:val="center"/>
          </w:tcPr>
          <w:p w14:paraId="0FDBE1E2" w14:textId="77777777" w:rsidR="008B7E19" w:rsidRPr="0068592A" w:rsidRDefault="008B7E19" w:rsidP="008B7E19">
            <w:pPr>
              <w:pStyle w:val="08-Tabelageral"/>
              <w:rPr>
                <w:rFonts w:cs="Arial"/>
                <w:b/>
                <w:szCs w:val="14"/>
              </w:rPr>
            </w:pPr>
            <w:r>
              <w:rPr>
                <w:rFonts w:cs="Arial"/>
                <w:b/>
                <w:szCs w:val="14"/>
              </w:rPr>
              <w:t>574</w:t>
            </w:r>
          </w:p>
        </w:tc>
      </w:tr>
      <w:tr w:rsidR="008B7E19" w:rsidRPr="0068592A" w14:paraId="4463C458" w14:textId="77777777" w:rsidTr="005B5353">
        <w:trPr>
          <w:trHeight w:val="238"/>
          <w:jc w:val="center"/>
        </w:trPr>
        <w:tc>
          <w:tcPr>
            <w:tcW w:w="3094" w:type="dxa"/>
            <w:shd w:val="clear" w:color="auto" w:fill="auto"/>
          </w:tcPr>
          <w:p w14:paraId="0A9F6919" w14:textId="77777777" w:rsidR="008B7E19" w:rsidRPr="005C4803" w:rsidRDefault="008B7E19" w:rsidP="008B7E19">
            <w:pPr>
              <w:pStyle w:val="08-Tabelageral"/>
              <w:ind w:left="113"/>
              <w:jc w:val="left"/>
              <w:rPr>
                <w:rFonts w:cs="Arial"/>
                <w:szCs w:val="14"/>
                <w:vertAlign w:val="superscript"/>
              </w:rPr>
            </w:pPr>
            <w:r>
              <w:rPr>
                <w:rFonts w:cs="Arial"/>
                <w:szCs w:val="14"/>
              </w:rPr>
              <w:t>Receivables from related comparies</w:t>
            </w:r>
            <w:r>
              <w:rPr>
                <w:rFonts w:cs="Arial"/>
                <w:szCs w:val="14"/>
                <w:vertAlign w:val="superscript"/>
              </w:rPr>
              <w:t xml:space="preserve"> (1)</w:t>
            </w:r>
          </w:p>
        </w:tc>
        <w:tc>
          <w:tcPr>
            <w:tcW w:w="604" w:type="dxa"/>
            <w:shd w:val="clear" w:color="auto" w:fill="auto"/>
          </w:tcPr>
          <w:p w14:paraId="208FA3B3" w14:textId="77777777" w:rsidR="008B7E19" w:rsidRPr="0068592A" w:rsidRDefault="008B7E19" w:rsidP="008B7E19">
            <w:pPr>
              <w:pStyle w:val="08-Tabelageral"/>
              <w:ind w:left="113"/>
              <w:jc w:val="center"/>
              <w:rPr>
                <w:rFonts w:cs="Arial"/>
                <w:szCs w:val="14"/>
              </w:rPr>
            </w:pPr>
          </w:p>
        </w:tc>
        <w:tc>
          <w:tcPr>
            <w:tcW w:w="1411" w:type="dxa"/>
            <w:shd w:val="clear" w:color="auto" w:fill="auto"/>
            <w:vAlign w:val="center"/>
          </w:tcPr>
          <w:p w14:paraId="4187D12C" w14:textId="77777777" w:rsidR="008B7E19" w:rsidRPr="0068592A" w:rsidRDefault="008B7E19" w:rsidP="008B7E19">
            <w:pPr>
              <w:pStyle w:val="08-Tabelageral"/>
              <w:ind w:left="113"/>
              <w:rPr>
                <w:rFonts w:cs="Arial"/>
                <w:szCs w:val="14"/>
              </w:rPr>
            </w:pPr>
            <w:r>
              <w:rPr>
                <w:rFonts w:cs="Arial"/>
                <w:szCs w:val="14"/>
              </w:rPr>
              <w:t>7,874</w:t>
            </w:r>
          </w:p>
        </w:tc>
        <w:tc>
          <w:tcPr>
            <w:tcW w:w="1412" w:type="dxa"/>
            <w:shd w:val="clear" w:color="auto" w:fill="auto"/>
            <w:vAlign w:val="center"/>
          </w:tcPr>
          <w:p w14:paraId="12705D97" w14:textId="77777777" w:rsidR="008B7E19" w:rsidRPr="0068592A" w:rsidRDefault="008B7E19" w:rsidP="008B7E19">
            <w:pPr>
              <w:pStyle w:val="08-Tabelageral"/>
              <w:ind w:left="113"/>
              <w:rPr>
                <w:rFonts w:cs="Arial"/>
                <w:szCs w:val="14"/>
              </w:rPr>
            </w:pPr>
            <w:r>
              <w:rPr>
                <w:rFonts w:cs="Arial"/>
                <w:szCs w:val="14"/>
              </w:rPr>
              <w:t>9,365</w:t>
            </w:r>
          </w:p>
        </w:tc>
        <w:tc>
          <w:tcPr>
            <w:tcW w:w="283" w:type="dxa"/>
            <w:shd w:val="clear" w:color="auto" w:fill="auto"/>
            <w:vAlign w:val="center"/>
          </w:tcPr>
          <w:p w14:paraId="7BC3287E" w14:textId="77777777" w:rsidR="008B7E19" w:rsidRPr="0068592A" w:rsidRDefault="008B7E19" w:rsidP="008B7E19">
            <w:pPr>
              <w:pStyle w:val="08-Tabelageral"/>
              <w:ind w:left="113"/>
              <w:rPr>
                <w:rFonts w:cs="Arial"/>
                <w:szCs w:val="14"/>
              </w:rPr>
            </w:pPr>
          </w:p>
        </w:tc>
        <w:tc>
          <w:tcPr>
            <w:tcW w:w="1417" w:type="dxa"/>
            <w:shd w:val="clear" w:color="auto" w:fill="auto"/>
            <w:vAlign w:val="center"/>
          </w:tcPr>
          <w:p w14:paraId="08F56449" w14:textId="77777777" w:rsidR="008B7E19" w:rsidRPr="0068592A" w:rsidRDefault="008B7E19" w:rsidP="008B7E19">
            <w:pPr>
              <w:pStyle w:val="08-Tabelageral"/>
              <w:ind w:left="113"/>
              <w:rPr>
                <w:rFonts w:cs="Arial"/>
                <w:szCs w:val="14"/>
              </w:rPr>
            </w:pPr>
            <w:r>
              <w:rPr>
                <w:rFonts w:cs="Arial"/>
                <w:szCs w:val="14"/>
              </w:rPr>
              <w:t>1,912</w:t>
            </w:r>
          </w:p>
        </w:tc>
        <w:tc>
          <w:tcPr>
            <w:tcW w:w="1418" w:type="dxa"/>
            <w:shd w:val="clear" w:color="auto" w:fill="auto"/>
            <w:vAlign w:val="center"/>
          </w:tcPr>
          <w:p w14:paraId="4914F765" w14:textId="77777777" w:rsidR="008B7E19" w:rsidRPr="0068592A" w:rsidRDefault="008B7E19" w:rsidP="008B7E19">
            <w:pPr>
              <w:pStyle w:val="08-Tabelageral"/>
              <w:ind w:left="113"/>
              <w:rPr>
                <w:rFonts w:cs="Arial"/>
                <w:szCs w:val="14"/>
              </w:rPr>
            </w:pPr>
            <w:r>
              <w:rPr>
                <w:rFonts w:cs="Arial"/>
                <w:szCs w:val="14"/>
              </w:rPr>
              <w:t>--</w:t>
            </w:r>
          </w:p>
        </w:tc>
      </w:tr>
      <w:tr w:rsidR="008B7E19" w:rsidRPr="0068592A" w14:paraId="14D07AAF" w14:textId="77777777" w:rsidTr="005B5353">
        <w:trPr>
          <w:trHeight w:val="238"/>
          <w:jc w:val="center"/>
        </w:trPr>
        <w:tc>
          <w:tcPr>
            <w:tcW w:w="3094" w:type="dxa"/>
            <w:shd w:val="clear" w:color="auto" w:fill="auto"/>
          </w:tcPr>
          <w:p w14:paraId="427037F7" w14:textId="77777777" w:rsidR="008B7E19" w:rsidRPr="0068592A" w:rsidRDefault="008B7E19" w:rsidP="008B7E19">
            <w:pPr>
              <w:pStyle w:val="08-Tabelageral"/>
              <w:ind w:left="113"/>
              <w:jc w:val="left"/>
              <w:rPr>
                <w:rFonts w:cs="Arial"/>
                <w:szCs w:val="14"/>
              </w:rPr>
            </w:pPr>
            <w:r>
              <w:rPr>
                <w:rFonts w:cs="Arial"/>
                <w:szCs w:val="14"/>
              </w:rPr>
              <w:t>Receivables from</w:t>
            </w:r>
            <w:r w:rsidRPr="0068592A">
              <w:rPr>
                <w:rFonts w:cs="Arial"/>
                <w:szCs w:val="14"/>
              </w:rPr>
              <w:t xml:space="preserve"> ADR</w:t>
            </w:r>
          </w:p>
        </w:tc>
        <w:tc>
          <w:tcPr>
            <w:tcW w:w="604" w:type="dxa"/>
            <w:shd w:val="clear" w:color="auto" w:fill="auto"/>
          </w:tcPr>
          <w:p w14:paraId="661FC9F5" w14:textId="77777777" w:rsidR="008B7E19" w:rsidRPr="0068592A" w:rsidRDefault="008B7E19" w:rsidP="008B7E19">
            <w:pPr>
              <w:pStyle w:val="08-Tabelageral"/>
              <w:ind w:left="113"/>
              <w:jc w:val="center"/>
              <w:rPr>
                <w:rFonts w:cs="Arial"/>
                <w:szCs w:val="14"/>
              </w:rPr>
            </w:pPr>
          </w:p>
        </w:tc>
        <w:tc>
          <w:tcPr>
            <w:tcW w:w="1411" w:type="dxa"/>
            <w:shd w:val="clear" w:color="auto" w:fill="auto"/>
            <w:vAlign w:val="center"/>
          </w:tcPr>
          <w:p w14:paraId="6C93A3ED" w14:textId="77777777" w:rsidR="008B7E19" w:rsidRPr="0068592A" w:rsidRDefault="008B7E19" w:rsidP="008B7E19">
            <w:pPr>
              <w:pStyle w:val="08-Tabelageral"/>
              <w:ind w:left="113"/>
              <w:rPr>
                <w:rFonts w:cs="Arial"/>
                <w:szCs w:val="14"/>
              </w:rPr>
            </w:pPr>
            <w:r>
              <w:rPr>
                <w:rFonts w:cs="Arial"/>
                <w:szCs w:val="14"/>
              </w:rPr>
              <w:t>3,674</w:t>
            </w:r>
          </w:p>
        </w:tc>
        <w:tc>
          <w:tcPr>
            <w:tcW w:w="1412" w:type="dxa"/>
            <w:shd w:val="clear" w:color="auto" w:fill="auto"/>
            <w:vAlign w:val="center"/>
          </w:tcPr>
          <w:p w14:paraId="7704B8D3" w14:textId="77777777" w:rsidR="008B7E19" w:rsidRPr="0068592A" w:rsidRDefault="008B7E19" w:rsidP="008B7E19">
            <w:pPr>
              <w:pStyle w:val="08-Tabelageral"/>
              <w:ind w:left="113"/>
              <w:rPr>
                <w:rFonts w:cs="Arial"/>
                <w:szCs w:val="14"/>
              </w:rPr>
            </w:pPr>
            <w:r>
              <w:rPr>
                <w:rFonts w:cs="Arial"/>
                <w:szCs w:val="14"/>
              </w:rPr>
              <w:t>423</w:t>
            </w:r>
          </w:p>
        </w:tc>
        <w:tc>
          <w:tcPr>
            <w:tcW w:w="283" w:type="dxa"/>
            <w:shd w:val="clear" w:color="auto" w:fill="auto"/>
            <w:vAlign w:val="center"/>
          </w:tcPr>
          <w:p w14:paraId="0B336F11" w14:textId="77777777" w:rsidR="008B7E19" w:rsidRPr="0068592A" w:rsidRDefault="008B7E19" w:rsidP="008B7E19">
            <w:pPr>
              <w:pStyle w:val="08-Tabelageral"/>
              <w:ind w:left="113"/>
              <w:rPr>
                <w:rFonts w:cs="Arial"/>
                <w:szCs w:val="14"/>
              </w:rPr>
            </w:pPr>
          </w:p>
        </w:tc>
        <w:tc>
          <w:tcPr>
            <w:tcW w:w="1417" w:type="dxa"/>
            <w:shd w:val="clear" w:color="auto" w:fill="auto"/>
            <w:vAlign w:val="center"/>
          </w:tcPr>
          <w:p w14:paraId="4F388EC1" w14:textId="77777777" w:rsidR="008B7E19" w:rsidRPr="0068592A" w:rsidRDefault="008B7E19" w:rsidP="008B7E19">
            <w:pPr>
              <w:pStyle w:val="08-Tabelageral"/>
              <w:ind w:left="113"/>
              <w:rPr>
                <w:rFonts w:cs="Arial"/>
                <w:szCs w:val="14"/>
              </w:rPr>
            </w:pPr>
            <w:r>
              <w:rPr>
                <w:rFonts w:cs="Arial"/>
                <w:szCs w:val="14"/>
              </w:rPr>
              <w:t>3,674</w:t>
            </w:r>
          </w:p>
        </w:tc>
        <w:tc>
          <w:tcPr>
            <w:tcW w:w="1418" w:type="dxa"/>
            <w:shd w:val="clear" w:color="auto" w:fill="auto"/>
            <w:vAlign w:val="center"/>
          </w:tcPr>
          <w:p w14:paraId="47C96911" w14:textId="77777777" w:rsidR="008B7E19" w:rsidRPr="0068592A" w:rsidRDefault="008B7E19" w:rsidP="008B7E19">
            <w:pPr>
              <w:pStyle w:val="08-Tabelageral"/>
              <w:ind w:left="113"/>
              <w:rPr>
                <w:rFonts w:cs="Arial"/>
                <w:szCs w:val="14"/>
              </w:rPr>
            </w:pPr>
            <w:r>
              <w:rPr>
                <w:rFonts w:cs="Arial"/>
                <w:szCs w:val="14"/>
              </w:rPr>
              <w:t>423</w:t>
            </w:r>
          </w:p>
        </w:tc>
      </w:tr>
      <w:tr w:rsidR="008B7E19" w:rsidRPr="0068592A" w14:paraId="0BC5E204" w14:textId="77777777" w:rsidTr="005B5353">
        <w:trPr>
          <w:trHeight w:val="238"/>
          <w:jc w:val="center"/>
        </w:trPr>
        <w:tc>
          <w:tcPr>
            <w:tcW w:w="3094" w:type="dxa"/>
            <w:shd w:val="clear" w:color="auto" w:fill="auto"/>
          </w:tcPr>
          <w:p w14:paraId="1CFF4652" w14:textId="77777777" w:rsidR="008B7E19" w:rsidRPr="0068592A" w:rsidRDefault="008B7E19" w:rsidP="008B7E19">
            <w:pPr>
              <w:pStyle w:val="08-Tabelageral"/>
              <w:ind w:left="113"/>
              <w:jc w:val="left"/>
              <w:rPr>
                <w:rFonts w:cs="Arial"/>
                <w:szCs w:val="14"/>
              </w:rPr>
            </w:pPr>
            <w:r>
              <w:rPr>
                <w:rFonts w:cs="Arial"/>
                <w:szCs w:val="14"/>
              </w:rPr>
              <w:t xml:space="preserve">Other </w:t>
            </w:r>
          </w:p>
        </w:tc>
        <w:tc>
          <w:tcPr>
            <w:tcW w:w="604" w:type="dxa"/>
            <w:shd w:val="clear" w:color="auto" w:fill="auto"/>
          </w:tcPr>
          <w:p w14:paraId="08397ADB" w14:textId="77777777" w:rsidR="008B7E19" w:rsidRPr="0068592A" w:rsidRDefault="008B7E19" w:rsidP="008B7E19">
            <w:pPr>
              <w:pStyle w:val="08-Tabelageral"/>
              <w:ind w:left="113"/>
              <w:jc w:val="center"/>
              <w:rPr>
                <w:rFonts w:cs="Arial"/>
                <w:szCs w:val="14"/>
              </w:rPr>
            </w:pPr>
          </w:p>
        </w:tc>
        <w:tc>
          <w:tcPr>
            <w:tcW w:w="1411" w:type="dxa"/>
            <w:shd w:val="clear" w:color="auto" w:fill="auto"/>
            <w:vAlign w:val="center"/>
          </w:tcPr>
          <w:p w14:paraId="202AC67A" w14:textId="77777777" w:rsidR="008B7E19" w:rsidRPr="0068592A" w:rsidRDefault="008B7E19" w:rsidP="008B7E19">
            <w:pPr>
              <w:pStyle w:val="08-Tabelageral"/>
              <w:ind w:left="113"/>
              <w:rPr>
                <w:rFonts w:cs="Arial"/>
                <w:szCs w:val="14"/>
              </w:rPr>
            </w:pPr>
            <w:r>
              <w:rPr>
                <w:rFonts w:cs="Arial"/>
                <w:szCs w:val="14"/>
              </w:rPr>
              <w:t>58</w:t>
            </w:r>
          </w:p>
        </w:tc>
        <w:tc>
          <w:tcPr>
            <w:tcW w:w="1412" w:type="dxa"/>
            <w:shd w:val="clear" w:color="auto" w:fill="auto"/>
            <w:vAlign w:val="center"/>
          </w:tcPr>
          <w:p w14:paraId="240D0286" w14:textId="77777777" w:rsidR="008B7E19" w:rsidRPr="0068592A" w:rsidRDefault="008B7E19" w:rsidP="008B7E19">
            <w:pPr>
              <w:pStyle w:val="08-Tabelageral"/>
              <w:ind w:left="113"/>
              <w:rPr>
                <w:rFonts w:cs="Arial"/>
                <w:szCs w:val="14"/>
              </w:rPr>
            </w:pPr>
            <w:r>
              <w:rPr>
                <w:rFonts w:cs="Arial"/>
                <w:szCs w:val="14"/>
              </w:rPr>
              <w:t>28</w:t>
            </w:r>
          </w:p>
        </w:tc>
        <w:tc>
          <w:tcPr>
            <w:tcW w:w="283" w:type="dxa"/>
            <w:shd w:val="clear" w:color="auto" w:fill="auto"/>
            <w:vAlign w:val="center"/>
          </w:tcPr>
          <w:p w14:paraId="22269E1B" w14:textId="77777777" w:rsidR="008B7E19" w:rsidRPr="0068592A" w:rsidRDefault="008B7E19" w:rsidP="008B7E19">
            <w:pPr>
              <w:pStyle w:val="08-Tabelageral"/>
              <w:ind w:left="113"/>
              <w:rPr>
                <w:rFonts w:cs="Arial"/>
                <w:szCs w:val="14"/>
              </w:rPr>
            </w:pPr>
          </w:p>
        </w:tc>
        <w:tc>
          <w:tcPr>
            <w:tcW w:w="1417" w:type="dxa"/>
            <w:shd w:val="clear" w:color="auto" w:fill="auto"/>
            <w:vAlign w:val="center"/>
          </w:tcPr>
          <w:p w14:paraId="3E8C39F7" w14:textId="77777777" w:rsidR="008B7E19" w:rsidRPr="0068592A" w:rsidRDefault="008B7E19" w:rsidP="008B7E19">
            <w:pPr>
              <w:pStyle w:val="08-Tabelageral"/>
              <w:ind w:left="113"/>
              <w:rPr>
                <w:rFonts w:cs="Arial"/>
                <w:szCs w:val="14"/>
              </w:rPr>
            </w:pPr>
            <w:r>
              <w:rPr>
                <w:rFonts w:cs="Arial"/>
                <w:szCs w:val="14"/>
              </w:rPr>
              <w:t>696</w:t>
            </w:r>
          </w:p>
        </w:tc>
        <w:tc>
          <w:tcPr>
            <w:tcW w:w="1418" w:type="dxa"/>
            <w:shd w:val="clear" w:color="auto" w:fill="auto"/>
            <w:vAlign w:val="center"/>
          </w:tcPr>
          <w:p w14:paraId="24988F80" w14:textId="77777777" w:rsidR="008B7E19" w:rsidRPr="0068592A" w:rsidRDefault="008B7E19" w:rsidP="008B7E19">
            <w:pPr>
              <w:pStyle w:val="08-Tabelageral"/>
              <w:ind w:left="113"/>
              <w:rPr>
                <w:rFonts w:cs="Arial"/>
                <w:szCs w:val="14"/>
              </w:rPr>
            </w:pPr>
            <w:r>
              <w:rPr>
                <w:rFonts w:cs="Arial"/>
                <w:szCs w:val="14"/>
              </w:rPr>
              <w:t>151</w:t>
            </w:r>
          </w:p>
        </w:tc>
      </w:tr>
      <w:tr w:rsidR="008B7E19" w:rsidRPr="0068592A" w14:paraId="2139B659" w14:textId="77777777" w:rsidTr="005B5353">
        <w:trPr>
          <w:trHeight w:val="238"/>
          <w:jc w:val="center"/>
        </w:trPr>
        <w:tc>
          <w:tcPr>
            <w:tcW w:w="3094" w:type="dxa"/>
            <w:shd w:val="clear" w:color="auto" w:fill="auto"/>
          </w:tcPr>
          <w:p w14:paraId="417C75FD" w14:textId="77777777" w:rsidR="008B7E19" w:rsidRPr="0068592A" w:rsidRDefault="008B7E19" w:rsidP="008B7E19">
            <w:pPr>
              <w:pStyle w:val="08-Tabelageral"/>
              <w:jc w:val="left"/>
              <w:rPr>
                <w:rFonts w:cs="Arial"/>
                <w:b/>
                <w:szCs w:val="14"/>
              </w:rPr>
            </w:pPr>
            <w:r>
              <w:rPr>
                <w:rFonts w:cs="Arial"/>
                <w:b/>
                <w:szCs w:val="14"/>
              </w:rPr>
              <w:t>Non-Current Assets</w:t>
            </w:r>
          </w:p>
        </w:tc>
        <w:tc>
          <w:tcPr>
            <w:tcW w:w="604" w:type="dxa"/>
            <w:shd w:val="clear" w:color="auto" w:fill="auto"/>
          </w:tcPr>
          <w:p w14:paraId="5EC75023" w14:textId="77777777" w:rsidR="008B7E19" w:rsidRPr="0068592A" w:rsidRDefault="008B7E19" w:rsidP="008B7E19">
            <w:pPr>
              <w:pStyle w:val="08-Tabelageral"/>
              <w:jc w:val="center"/>
              <w:rPr>
                <w:rFonts w:cs="Arial"/>
                <w:b/>
                <w:szCs w:val="14"/>
              </w:rPr>
            </w:pPr>
          </w:p>
        </w:tc>
        <w:tc>
          <w:tcPr>
            <w:tcW w:w="1411" w:type="dxa"/>
            <w:shd w:val="clear" w:color="auto" w:fill="auto"/>
            <w:vAlign w:val="center"/>
          </w:tcPr>
          <w:p w14:paraId="1F5A37C4" w14:textId="77777777" w:rsidR="008B7E19" w:rsidRPr="0068592A" w:rsidRDefault="008B7E19" w:rsidP="008B7E19">
            <w:pPr>
              <w:pStyle w:val="08-Tabelageral"/>
              <w:rPr>
                <w:rFonts w:cs="Arial"/>
                <w:b/>
                <w:szCs w:val="14"/>
              </w:rPr>
            </w:pPr>
            <w:r>
              <w:rPr>
                <w:rFonts w:cs="Arial"/>
                <w:b/>
                <w:szCs w:val="14"/>
              </w:rPr>
              <w:t>47</w:t>
            </w:r>
          </w:p>
        </w:tc>
        <w:tc>
          <w:tcPr>
            <w:tcW w:w="1412" w:type="dxa"/>
            <w:shd w:val="clear" w:color="auto" w:fill="auto"/>
            <w:vAlign w:val="center"/>
          </w:tcPr>
          <w:p w14:paraId="631A2701" w14:textId="77777777" w:rsidR="008B7E19" w:rsidRPr="0068592A" w:rsidRDefault="008B7E19" w:rsidP="008B7E19">
            <w:pPr>
              <w:pStyle w:val="08-Tabelageral"/>
              <w:rPr>
                <w:rFonts w:cs="Arial"/>
                <w:b/>
                <w:szCs w:val="14"/>
              </w:rPr>
            </w:pPr>
            <w:r>
              <w:rPr>
                <w:rFonts w:cs="Arial"/>
                <w:b/>
                <w:szCs w:val="14"/>
              </w:rPr>
              <w:t>58</w:t>
            </w:r>
          </w:p>
        </w:tc>
        <w:tc>
          <w:tcPr>
            <w:tcW w:w="283" w:type="dxa"/>
            <w:shd w:val="clear" w:color="auto" w:fill="auto"/>
            <w:vAlign w:val="center"/>
          </w:tcPr>
          <w:p w14:paraId="7D57322B" w14:textId="77777777" w:rsidR="008B7E19" w:rsidRPr="0068592A" w:rsidRDefault="008B7E19" w:rsidP="008B7E19">
            <w:pPr>
              <w:pStyle w:val="08-Tabelageral"/>
              <w:rPr>
                <w:rFonts w:cs="Arial"/>
                <w:b/>
                <w:szCs w:val="14"/>
              </w:rPr>
            </w:pPr>
          </w:p>
        </w:tc>
        <w:tc>
          <w:tcPr>
            <w:tcW w:w="1417" w:type="dxa"/>
            <w:shd w:val="clear" w:color="auto" w:fill="auto"/>
            <w:vAlign w:val="center"/>
          </w:tcPr>
          <w:p w14:paraId="152C8F8A" w14:textId="77777777" w:rsidR="008B7E19" w:rsidRPr="0068592A" w:rsidRDefault="008B7E19" w:rsidP="008B7E19">
            <w:pPr>
              <w:pStyle w:val="08-Tabelageral"/>
              <w:rPr>
                <w:rFonts w:cs="Arial"/>
                <w:b/>
                <w:szCs w:val="14"/>
              </w:rPr>
            </w:pPr>
            <w:r>
              <w:rPr>
                <w:rFonts w:cs="Arial"/>
                <w:b/>
                <w:szCs w:val="14"/>
              </w:rPr>
              <w:t>228,146</w:t>
            </w:r>
          </w:p>
        </w:tc>
        <w:tc>
          <w:tcPr>
            <w:tcW w:w="1418" w:type="dxa"/>
            <w:shd w:val="clear" w:color="auto" w:fill="auto"/>
            <w:vAlign w:val="center"/>
          </w:tcPr>
          <w:p w14:paraId="698B549B" w14:textId="77777777" w:rsidR="008B7E19" w:rsidRPr="0068592A" w:rsidRDefault="008B7E19" w:rsidP="008B7E19">
            <w:pPr>
              <w:pStyle w:val="08-Tabelageral"/>
              <w:rPr>
                <w:rFonts w:cs="Arial"/>
                <w:b/>
                <w:szCs w:val="14"/>
              </w:rPr>
            </w:pPr>
            <w:r>
              <w:rPr>
                <w:rFonts w:cs="Arial"/>
                <w:b/>
                <w:szCs w:val="14"/>
              </w:rPr>
              <w:t>221,882</w:t>
            </w:r>
          </w:p>
        </w:tc>
      </w:tr>
      <w:tr w:rsidR="008B7E19" w:rsidRPr="0068592A" w14:paraId="451744D9" w14:textId="77777777" w:rsidTr="005B5353">
        <w:trPr>
          <w:trHeight w:val="238"/>
          <w:jc w:val="center"/>
        </w:trPr>
        <w:tc>
          <w:tcPr>
            <w:tcW w:w="3094" w:type="dxa"/>
            <w:shd w:val="clear" w:color="auto" w:fill="auto"/>
          </w:tcPr>
          <w:p w14:paraId="3E15275C" w14:textId="77777777" w:rsidR="008B7E19" w:rsidRPr="0068592A" w:rsidRDefault="008B7E19" w:rsidP="008B7E19">
            <w:pPr>
              <w:pStyle w:val="08-Tabelageral"/>
              <w:ind w:left="113"/>
              <w:jc w:val="left"/>
              <w:rPr>
                <w:rFonts w:cs="Arial"/>
                <w:szCs w:val="14"/>
              </w:rPr>
            </w:pPr>
            <w:r>
              <w:rPr>
                <w:rFonts w:cs="Arial"/>
                <w:szCs w:val="14"/>
              </w:rPr>
              <w:t xml:space="preserve">Judicial deposits </w:t>
            </w:r>
            <w:r w:rsidRPr="0068592A">
              <w:rPr>
                <w:rFonts w:cs="Arial"/>
                <w:szCs w:val="14"/>
                <w:vertAlign w:val="superscript"/>
              </w:rPr>
              <w:t>(</w:t>
            </w:r>
            <w:r>
              <w:rPr>
                <w:rFonts w:cs="Arial"/>
                <w:szCs w:val="14"/>
                <w:vertAlign w:val="superscript"/>
              </w:rPr>
              <w:t>2</w:t>
            </w:r>
            <w:r w:rsidRPr="0068592A">
              <w:rPr>
                <w:rFonts w:cs="Arial"/>
                <w:szCs w:val="14"/>
                <w:vertAlign w:val="superscript"/>
              </w:rPr>
              <w:t>)</w:t>
            </w:r>
          </w:p>
        </w:tc>
        <w:tc>
          <w:tcPr>
            <w:tcW w:w="604" w:type="dxa"/>
            <w:shd w:val="clear" w:color="auto" w:fill="auto"/>
          </w:tcPr>
          <w:p w14:paraId="4C93C2A6" w14:textId="77777777" w:rsidR="008B7E19" w:rsidRPr="0068592A" w:rsidRDefault="008B7E19" w:rsidP="008B7E19">
            <w:pPr>
              <w:pStyle w:val="08-Tabelageral"/>
              <w:ind w:left="113"/>
              <w:jc w:val="center"/>
              <w:rPr>
                <w:rFonts w:cs="Arial"/>
                <w:szCs w:val="14"/>
              </w:rPr>
            </w:pPr>
          </w:p>
        </w:tc>
        <w:tc>
          <w:tcPr>
            <w:tcW w:w="1411" w:type="dxa"/>
            <w:shd w:val="clear" w:color="auto" w:fill="auto"/>
            <w:vAlign w:val="center"/>
          </w:tcPr>
          <w:p w14:paraId="5B9F260E" w14:textId="77777777" w:rsidR="008B7E19" w:rsidRPr="0068592A" w:rsidRDefault="008B7E19" w:rsidP="008B7E19">
            <w:pPr>
              <w:pStyle w:val="08-Tabelageral"/>
              <w:ind w:left="113"/>
              <w:rPr>
                <w:rFonts w:cs="Arial"/>
                <w:szCs w:val="14"/>
              </w:rPr>
            </w:pPr>
            <w:r>
              <w:rPr>
                <w:rFonts w:cs="Arial"/>
                <w:szCs w:val="14"/>
              </w:rPr>
              <w:t>10</w:t>
            </w:r>
          </w:p>
        </w:tc>
        <w:tc>
          <w:tcPr>
            <w:tcW w:w="1412" w:type="dxa"/>
            <w:shd w:val="clear" w:color="auto" w:fill="auto"/>
            <w:vAlign w:val="center"/>
          </w:tcPr>
          <w:p w14:paraId="0383D96E" w14:textId="77777777" w:rsidR="008B7E19" w:rsidRPr="0068592A" w:rsidRDefault="008B7E19" w:rsidP="008B7E19">
            <w:pPr>
              <w:pStyle w:val="08-Tabelageral"/>
              <w:ind w:left="113"/>
              <w:rPr>
                <w:rFonts w:cs="Arial"/>
                <w:szCs w:val="14"/>
              </w:rPr>
            </w:pPr>
            <w:r>
              <w:rPr>
                <w:rFonts w:cs="Arial"/>
                <w:szCs w:val="14"/>
              </w:rPr>
              <w:t>11</w:t>
            </w:r>
          </w:p>
        </w:tc>
        <w:tc>
          <w:tcPr>
            <w:tcW w:w="283" w:type="dxa"/>
            <w:shd w:val="clear" w:color="auto" w:fill="auto"/>
            <w:vAlign w:val="center"/>
          </w:tcPr>
          <w:p w14:paraId="74390B7A" w14:textId="77777777" w:rsidR="008B7E19" w:rsidRPr="0068592A" w:rsidRDefault="008B7E19" w:rsidP="008B7E19">
            <w:pPr>
              <w:pStyle w:val="08-Tabelageral"/>
              <w:ind w:left="113"/>
              <w:rPr>
                <w:rFonts w:cs="Arial"/>
                <w:szCs w:val="14"/>
              </w:rPr>
            </w:pPr>
          </w:p>
        </w:tc>
        <w:tc>
          <w:tcPr>
            <w:tcW w:w="1417" w:type="dxa"/>
            <w:shd w:val="clear" w:color="auto" w:fill="auto"/>
            <w:vAlign w:val="center"/>
          </w:tcPr>
          <w:p w14:paraId="4B7A4234" w14:textId="77777777" w:rsidR="008B7E19" w:rsidRPr="0068592A" w:rsidRDefault="008B7E19" w:rsidP="008B7E19">
            <w:pPr>
              <w:pStyle w:val="08-Tabelageral"/>
              <w:ind w:left="113"/>
              <w:rPr>
                <w:rFonts w:cs="Arial"/>
                <w:szCs w:val="14"/>
              </w:rPr>
            </w:pPr>
            <w:r>
              <w:rPr>
                <w:rFonts w:cs="Arial"/>
                <w:szCs w:val="14"/>
              </w:rPr>
              <w:t>228,109</w:t>
            </w:r>
          </w:p>
        </w:tc>
        <w:tc>
          <w:tcPr>
            <w:tcW w:w="1418" w:type="dxa"/>
            <w:shd w:val="clear" w:color="auto" w:fill="auto"/>
            <w:vAlign w:val="center"/>
          </w:tcPr>
          <w:p w14:paraId="2C4A9A89" w14:textId="77777777" w:rsidR="008B7E19" w:rsidRPr="0068592A" w:rsidRDefault="008B7E19" w:rsidP="008B7E19">
            <w:pPr>
              <w:pStyle w:val="08-Tabelageral"/>
              <w:ind w:left="113"/>
              <w:rPr>
                <w:rFonts w:cs="Arial"/>
                <w:szCs w:val="14"/>
              </w:rPr>
            </w:pPr>
            <w:r>
              <w:rPr>
                <w:rFonts w:cs="Arial"/>
                <w:szCs w:val="14"/>
              </w:rPr>
              <w:t>221,835</w:t>
            </w:r>
          </w:p>
        </w:tc>
      </w:tr>
      <w:tr w:rsidR="008B7E19" w:rsidRPr="0068592A" w14:paraId="4601235D" w14:textId="77777777" w:rsidTr="005B5353">
        <w:trPr>
          <w:trHeight w:val="238"/>
          <w:jc w:val="center"/>
        </w:trPr>
        <w:tc>
          <w:tcPr>
            <w:tcW w:w="3094" w:type="dxa"/>
            <w:tcBorders>
              <w:bottom w:val="nil"/>
            </w:tcBorders>
            <w:shd w:val="clear" w:color="auto" w:fill="auto"/>
          </w:tcPr>
          <w:p w14:paraId="28B912D3" w14:textId="77777777" w:rsidR="008B7E19" w:rsidRPr="0068592A" w:rsidRDefault="008B7E19" w:rsidP="008B7E19">
            <w:pPr>
              <w:pStyle w:val="08-Tabelageral"/>
              <w:ind w:left="113"/>
              <w:jc w:val="left"/>
              <w:rPr>
                <w:rFonts w:cs="Arial"/>
                <w:szCs w:val="14"/>
                <w:vertAlign w:val="superscript"/>
              </w:rPr>
            </w:pPr>
            <w:r>
              <w:rPr>
                <w:rFonts w:cs="Arial"/>
                <w:szCs w:val="14"/>
              </w:rPr>
              <w:t>Fixed asset</w:t>
            </w:r>
            <w:r w:rsidRPr="0068592A">
              <w:rPr>
                <w:rFonts w:cs="Arial"/>
                <w:szCs w:val="14"/>
              </w:rPr>
              <w:t xml:space="preserve"> </w:t>
            </w:r>
          </w:p>
        </w:tc>
        <w:tc>
          <w:tcPr>
            <w:tcW w:w="604" w:type="dxa"/>
            <w:tcBorders>
              <w:bottom w:val="nil"/>
            </w:tcBorders>
            <w:shd w:val="clear" w:color="auto" w:fill="auto"/>
          </w:tcPr>
          <w:p w14:paraId="5F13E1E5" w14:textId="77777777" w:rsidR="008B7E19" w:rsidRPr="0068592A" w:rsidRDefault="008B7E19" w:rsidP="008B7E19">
            <w:pPr>
              <w:pStyle w:val="08-Tabelageral"/>
              <w:ind w:left="113"/>
              <w:jc w:val="center"/>
              <w:rPr>
                <w:rFonts w:cs="Arial"/>
                <w:szCs w:val="14"/>
              </w:rPr>
            </w:pPr>
          </w:p>
        </w:tc>
        <w:tc>
          <w:tcPr>
            <w:tcW w:w="1411" w:type="dxa"/>
            <w:tcBorders>
              <w:bottom w:val="nil"/>
            </w:tcBorders>
            <w:shd w:val="clear" w:color="auto" w:fill="auto"/>
            <w:vAlign w:val="center"/>
          </w:tcPr>
          <w:p w14:paraId="18CE05B4" w14:textId="77777777" w:rsidR="008B7E19" w:rsidRPr="0068592A" w:rsidRDefault="008B7E19" w:rsidP="008B7E19">
            <w:pPr>
              <w:pStyle w:val="08-Tabelageral"/>
              <w:ind w:left="113"/>
              <w:rPr>
                <w:rFonts w:cs="Arial"/>
                <w:szCs w:val="14"/>
              </w:rPr>
            </w:pPr>
            <w:r>
              <w:rPr>
                <w:rFonts w:cs="Arial"/>
                <w:szCs w:val="14"/>
              </w:rPr>
              <w:t>37</w:t>
            </w:r>
          </w:p>
        </w:tc>
        <w:tc>
          <w:tcPr>
            <w:tcW w:w="1412" w:type="dxa"/>
            <w:tcBorders>
              <w:bottom w:val="nil"/>
            </w:tcBorders>
            <w:shd w:val="clear" w:color="auto" w:fill="auto"/>
            <w:vAlign w:val="center"/>
          </w:tcPr>
          <w:p w14:paraId="32BD995E" w14:textId="77777777" w:rsidR="008B7E19" w:rsidRPr="0068592A" w:rsidRDefault="008B7E19" w:rsidP="008B7E19">
            <w:pPr>
              <w:pStyle w:val="08-Tabelageral"/>
              <w:ind w:left="113"/>
              <w:rPr>
                <w:rFonts w:cs="Arial"/>
                <w:szCs w:val="14"/>
              </w:rPr>
            </w:pPr>
            <w:r>
              <w:rPr>
                <w:rFonts w:cs="Arial"/>
                <w:szCs w:val="14"/>
              </w:rPr>
              <w:t>47</w:t>
            </w:r>
          </w:p>
        </w:tc>
        <w:tc>
          <w:tcPr>
            <w:tcW w:w="283" w:type="dxa"/>
            <w:tcBorders>
              <w:bottom w:val="nil"/>
            </w:tcBorders>
            <w:shd w:val="clear" w:color="auto" w:fill="auto"/>
            <w:vAlign w:val="center"/>
          </w:tcPr>
          <w:p w14:paraId="2EB16FDC" w14:textId="77777777" w:rsidR="008B7E19" w:rsidRPr="0068592A" w:rsidRDefault="008B7E19" w:rsidP="008B7E19">
            <w:pPr>
              <w:pStyle w:val="08-Tabelageral"/>
              <w:ind w:left="113"/>
              <w:rPr>
                <w:rFonts w:cs="Arial"/>
                <w:szCs w:val="14"/>
              </w:rPr>
            </w:pPr>
          </w:p>
        </w:tc>
        <w:tc>
          <w:tcPr>
            <w:tcW w:w="1417" w:type="dxa"/>
            <w:tcBorders>
              <w:bottom w:val="nil"/>
            </w:tcBorders>
            <w:shd w:val="clear" w:color="auto" w:fill="auto"/>
            <w:vAlign w:val="center"/>
          </w:tcPr>
          <w:p w14:paraId="681D140D" w14:textId="77777777" w:rsidR="008B7E19" w:rsidRPr="0068592A" w:rsidRDefault="008B7E19" w:rsidP="008B7E19">
            <w:pPr>
              <w:pStyle w:val="08-Tabelageral"/>
              <w:ind w:left="113"/>
              <w:rPr>
                <w:rFonts w:cs="Arial"/>
                <w:szCs w:val="14"/>
              </w:rPr>
            </w:pPr>
            <w:r>
              <w:rPr>
                <w:rFonts w:cs="Arial"/>
                <w:szCs w:val="14"/>
              </w:rPr>
              <w:t>37</w:t>
            </w:r>
          </w:p>
        </w:tc>
        <w:tc>
          <w:tcPr>
            <w:tcW w:w="1418" w:type="dxa"/>
            <w:tcBorders>
              <w:bottom w:val="nil"/>
            </w:tcBorders>
            <w:shd w:val="clear" w:color="auto" w:fill="auto"/>
            <w:vAlign w:val="center"/>
          </w:tcPr>
          <w:p w14:paraId="3E971B5A" w14:textId="77777777" w:rsidR="008B7E19" w:rsidRPr="0068592A" w:rsidRDefault="008B7E19" w:rsidP="008B7E19">
            <w:pPr>
              <w:pStyle w:val="08-Tabelageral"/>
              <w:ind w:left="113"/>
              <w:rPr>
                <w:rFonts w:cs="Arial"/>
                <w:szCs w:val="14"/>
              </w:rPr>
            </w:pPr>
            <w:r>
              <w:rPr>
                <w:rFonts w:cs="Arial"/>
                <w:szCs w:val="14"/>
              </w:rPr>
              <w:t>47</w:t>
            </w:r>
          </w:p>
        </w:tc>
      </w:tr>
      <w:tr w:rsidR="008B7E19" w:rsidRPr="0068592A" w14:paraId="4D89EF72" w14:textId="77777777" w:rsidTr="005B5353">
        <w:trPr>
          <w:trHeight w:val="238"/>
          <w:jc w:val="center"/>
        </w:trPr>
        <w:tc>
          <w:tcPr>
            <w:tcW w:w="3094" w:type="dxa"/>
            <w:tcBorders>
              <w:top w:val="nil"/>
              <w:bottom w:val="single" w:sz="2" w:space="0" w:color="1F4E79" w:themeColor="accent1" w:themeShade="80"/>
            </w:tcBorders>
            <w:shd w:val="clear" w:color="auto" w:fill="auto"/>
          </w:tcPr>
          <w:p w14:paraId="34B66E31" w14:textId="77777777" w:rsidR="008B7E19" w:rsidRPr="0068592A" w:rsidRDefault="008B7E19" w:rsidP="008B7E19">
            <w:pPr>
              <w:pStyle w:val="08-Tabelageral"/>
              <w:jc w:val="left"/>
              <w:rPr>
                <w:rFonts w:cs="Arial"/>
                <w:b/>
              </w:rPr>
            </w:pPr>
            <w:r w:rsidRPr="0068592A">
              <w:rPr>
                <w:rFonts w:cs="Arial"/>
                <w:b/>
              </w:rPr>
              <w:t xml:space="preserve">Total </w:t>
            </w:r>
          </w:p>
        </w:tc>
        <w:tc>
          <w:tcPr>
            <w:tcW w:w="604" w:type="dxa"/>
            <w:tcBorders>
              <w:top w:val="nil"/>
              <w:bottom w:val="single" w:sz="2" w:space="0" w:color="1F4E79" w:themeColor="accent1" w:themeShade="80"/>
            </w:tcBorders>
            <w:shd w:val="clear" w:color="auto" w:fill="auto"/>
          </w:tcPr>
          <w:p w14:paraId="55AE2B9C" w14:textId="77777777" w:rsidR="008B7E19" w:rsidRPr="0068592A" w:rsidRDefault="008B7E19" w:rsidP="008B7E19">
            <w:pPr>
              <w:pStyle w:val="08-Tabelageral"/>
              <w:jc w:val="center"/>
              <w:rPr>
                <w:rFonts w:cs="Arial"/>
                <w:b/>
                <w:szCs w:val="14"/>
              </w:rPr>
            </w:pPr>
          </w:p>
        </w:tc>
        <w:tc>
          <w:tcPr>
            <w:tcW w:w="1411" w:type="dxa"/>
            <w:tcBorders>
              <w:top w:val="nil"/>
              <w:bottom w:val="single" w:sz="2" w:space="0" w:color="1F4E79" w:themeColor="accent1" w:themeShade="80"/>
            </w:tcBorders>
            <w:shd w:val="clear" w:color="auto" w:fill="auto"/>
            <w:vAlign w:val="center"/>
          </w:tcPr>
          <w:p w14:paraId="15CBE966" w14:textId="77777777" w:rsidR="008B7E19" w:rsidRPr="0068592A" w:rsidRDefault="008B7E19" w:rsidP="008B7E19">
            <w:pPr>
              <w:pStyle w:val="08-Tabelageral"/>
              <w:rPr>
                <w:rFonts w:cs="Arial"/>
                <w:b/>
                <w:szCs w:val="14"/>
              </w:rPr>
            </w:pPr>
            <w:r>
              <w:rPr>
                <w:rFonts w:cs="Arial"/>
                <w:b/>
                <w:szCs w:val="14"/>
              </w:rPr>
              <w:t>11,653</w:t>
            </w:r>
          </w:p>
        </w:tc>
        <w:tc>
          <w:tcPr>
            <w:tcW w:w="1412" w:type="dxa"/>
            <w:tcBorders>
              <w:top w:val="nil"/>
              <w:bottom w:val="single" w:sz="2" w:space="0" w:color="1F4E79" w:themeColor="accent1" w:themeShade="80"/>
            </w:tcBorders>
            <w:shd w:val="clear" w:color="auto" w:fill="auto"/>
            <w:vAlign w:val="center"/>
          </w:tcPr>
          <w:p w14:paraId="4AC5ACD8" w14:textId="77777777" w:rsidR="008B7E19" w:rsidRPr="0068592A" w:rsidRDefault="008B7E19" w:rsidP="008B7E19">
            <w:pPr>
              <w:pStyle w:val="08-Tabelageral"/>
              <w:rPr>
                <w:rFonts w:cs="Arial"/>
                <w:b/>
                <w:szCs w:val="14"/>
              </w:rPr>
            </w:pPr>
            <w:r>
              <w:rPr>
                <w:rFonts w:cs="Arial"/>
                <w:b/>
                <w:szCs w:val="14"/>
              </w:rPr>
              <w:t>9,874</w:t>
            </w:r>
          </w:p>
        </w:tc>
        <w:tc>
          <w:tcPr>
            <w:tcW w:w="283" w:type="dxa"/>
            <w:tcBorders>
              <w:top w:val="nil"/>
              <w:bottom w:val="single" w:sz="2" w:space="0" w:color="1F4E79" w:themeColor="accent1" w:themeShade="80"/>
            </w:tcBorders>
            <w:shd w:val="clear" w:color="auto" w:fill="auto"/>
            <w:vAlign w:val="center"/>
          </w:tcPr>
          <w:p w14:paraId="1C84BC8D" w14:textId="77777777" w:rsidR="008B7E19" w:rsidRPr="0068592A" w:rsidRDefault="008B7E19" w:rsidP="008B7E19">
            <w:pPr>
              <w:pStyle w:val="08-Tabelageral"/>
              <w:rPr>
                <w:rFonts w:cs="Arial"/>
                <w:b/>
                <w:szCs w:val="14"/>
              </w:rPr>
            </w:pPr>
          </w:p>
        </w:tc>
        <w:tc>
          <w:tcPr>
            <w:tcW w:w="1417" w:type="dxa"/>
            <w:tcBorders>
              <w:top w:val="nil"/>
              <w:bottom w:val="single" w:sz="2" w:space="0" w:color="1F4E79" w:themeColor="accent1" w:themeShade="80"/>
            </w:tcBorders>
            <w:shd w:val="clear" w:color="auto" w:fill="auto"/>
            <w:vAlign w:val="center"/>
          </w:tcPr>
          <w:p w14:paraId="2B423E26" w14:textId="77777777" w:rsidR="008B7E19" w:rsidRPr="0068592A" w:rsidRDefault="008B7E19" w:rsidP="008B7E19">
            <w:pPr>
              <w:pStyle w:val="08-Tabelageral"/>
              <w:rPr>
                <w:rFonts w:cs="Arial"/>
                <w:b/>
                <w:szCs w:val="14"/>
              </w:rPr>
            </w:pPr>
            <w:r>
              <w:rPr>
                <w:rFonts w:cs="Arial"/>
                <w:b/>
                <w:szCs w:val="14"/>
              </w:rPr>
              <w:t>234,428</w:t>
            </w:r>
          </w:p>
        </w:tc>
        <w:tc>
          <w:tcPr>
            <w:tcW w:w="1418" w:type="dxa"/>
            <w:tcBorders>
              <w:top w:val="nil"/>
              <w:bottom w:val="single" w:sz="2" w:space="0" w:color="1F4E79" w:themeColor="accent1" w:themeShade="80"/>
            </w:tcBorders>
            <w:shd w:val="clear" w:color="auto" w:fill="auto"/>
            <w:vAlign w:val="center"/>
          </w:tcPr>
          <w:p w14:paraId="2756F1E0" w14:textId="77777777" w:rsidR="008B7E19" w:rsidRPr="0068592A" w:rsidRDefault="008B7E19" w:rsidP="008B7E19">
            <w:pPr>
              <w:pStyle w:val="08-Tabelageral"/>
              <w:rPr>
                <w:rFonts w:cs="Arial"/>
                <w:b/>
                <w:szCs w:val="14"/>
              </w:rPr>
            </w:pPr>
            <w:r>
              <w:rPr>
                <w:rFonts w:cs="Arial"/>
                <w:b/>
                <w:szCs w:val="14"/>
              </w:rPr>
              <w:t>222,456</w:t>
            </w:r>
          </w:p>
        </w:tc>
      </w:tr>
    </w:tbl>
    <w:p w14:paraId="3FB3D6C9" w14:textId="77777777" w:rsidR="008B7E19" w:rsidRDefault="008B7E19" w:rsidP="00882B41">
      <w:pPr>
        <w:pStyle w:val="07-Legenda"/>
        <w:numPr>
          <w:ilvl w:val="0"/>
          <w:numId w:val="51"/>
        </w:numPr>
        <w:ind w:left="284" w:hanging="284"/>
        <w:rPr>
          <w:szCs w:val="14"/>
          <w:lang w:val="en-US"/>
        </w:rPr>
      </w:pPr>
      <w:r w:rsidRPr="00811D1A">
        <w:rPr>
          <w:szCs w:val="14"/>
          <w:lang w:val="en-US"/>
        </w:rPr>
        <w:t>In the parent company, refers to the reimbursement of apportionment of administrative expenses between BB Seguridade and its subsidiaries BB Seguros and BB Corretora. In the consolidated, it includes amounts receivable related to the reimbursement agreement entered between BB Corretora, Brasilseg and Aliança do Brasil Seguros</w:t>
      </w:r>
      <w:r>
        <w:rPr>
          <w:szCs w:val="14"/>
          <w:lang w:val="en-US"/>
        </w:rPr>
        <w:t>.</w:t>
      </w:r>
    </w:p>
    <w:p w14:paraId="7143A5D9" w14:textId="77777777" w:rsidR="008B7E19" w:rsidRDefault="008B7E19" w:rsidP="00882B41">
      <w:pPr>
        <w:pStyle w:val="07-Legenda"/>
        <w:numPr>
          <w:ilvl w:val="0"/>
          <w:numId w:val="51"/>
        </w:numPr>
        <w:ind w:left="284" w:hanging="284"/>
        <w:rPr>
          <w:szCs w:val="14"/>
          <w:lang w:val="en-US"/>
        </w:rPr>
      </w:pPr>
      <w:r w:rsidRPr="00D0087D">
        <w:rPr>
          <w:szCs w:val="14"/>
          <w:lang w:val="en-US"/>
        </w:rPr>
        <w:t xml:space="preserve">It refers, mainly, to a lawsuit of a fiscal nature, with the purpose of annulling an administrative decision that did not ratify declarations of compensation of negative balances of IRPJ with several taxes of its own. The updated value of the referred judicial deposit is R$ 170,606 thousand (R$ 165,385 thousand on December 31, 2022), </w:t>
      </w:r>
      <w:bookmarkEnd w:id="52"/>
      <w:r w:rsidRPr="00D0087D">
        <w:rPr>
          <w:szCs w:val="14"/>
          <w:lang w:val="en-US"/>
        </w:rPr>
        <w:t>monetary restatement using the SELIC rate.</w:t>
      </w:r>
    </w:p>
    <w:p w14:paraId="4B3E64F3" w14:textId="77777777" w:rsidR="008B7E19" w:rsidRPr="000C2A9E" w:rsidRDefault="008B7E19">
      <w:pPr>
        <w:rPr>
          <w:rFonts w:cs="Arial"/>
          <w:b/>
          <w:color w:val="1F4E79" w:themeColor="accent1" w:themeShade="80"/>
          <w:szCs w:val="18"/>
          <w:lang w:val="en-US"/>
        </w:rPr>
      </w:pPr>
    </w:p>
    <w:p w14:paraId="7E5A5345" w14:textId="2B8BF4B1" w:rsidR="008B7E19" w:rsidRPr="00882B41" w:rsidRDefault="008B7E19" w:rsidP="00882B41">
      <w:pPr>
        <w:pStyle w:val="02-TtulodeNota"/>
        <w:rPr>
          <w:color w:val="1F4E79" w:themeColor="accent1" w:themeShade="80"/>
          <w:lang w:val="en-US"/>
        </w:rPr>
      </w:pPr>
      <w:bookmarkStart w:id="54" w:name="_Toc141966699"/>
      <w:r w:rsidRPr="00882B41">
        <w:rPr>
          <w:color w:val="1F4E79" w:themeColor="accent1" w:themeShade="80"/>
          <w:lang w:val="en-US"/>
        </w:rPr>
        <w:t>21 – CORPORATE AND STATUTORY OBLIGATIONS</w:t>
      </w:r>
      <w:bookmarkEnd w:id="54"/>
    </w:p>
    <w:p w14:paraId="6A396F48" w14:textId="77777777" w:rsidR="008B7E19" w:rsidRPr="00FE52CA" w:rsidRDefault="008B7E19" w:rsidP="008B7E19">
      <w:pPr>
        <w:pStyle w:val="01-TtulodeNota"/>
        <w:spacing w:before="0" w:after="0"/>
        <w:jc w:val="right"/>
        <w:rPr>
          <w:rFonts w:cs="Arial"/>
          <w:sz w:val="14"/>
          <w:szCs w:val="14"/>
          <w:lang w:val="en-US"/>
        </w:rPr>
      </w:pPr>
      <w:r w:rsidRPr="00FE52CA">
        <w:rPr>
          <w:rFonts w:cs="Arial"/>
          <w:sz w:val="14"/>
          <w:szCs w:val="14"/>
          <w:lang w:val="en-US"/>
        </w:rPr>
        <w:t>R$ thousand</w:t>
      </w:r>
    </w:p>
    <w:tbl>
      <w:tblPr>
        <w:tblStyle w:val="TabeladeLista6Colorida-nfase510"/>
        <w:tblW w:w="9639" w:type="dxa"/>
        <w:jc w:val="center"/>
        <w:tblInd w:w="0" w:type="dxa"/>
        <w:tblBorders>
          <w:top w:val="single" w:sz="2" w:space="0" w:color="1F4E79" w:themeColor="accent1" w:themeShade="80"/>
          <w:bottom w:val="single" w:sz="2" w:space="0" w:color="1F4E79" w:themeColor="accent1" w:themeShade="80"/>
          <w:insideH w:val="single" w:sz="2" w:space="0" w:color="1F4E79" w:themeColor="accent1" w:themeShade="80"/>
        </w:tblBorders>
        <w:tblLook w:val="04A0" w:firstRow="1" w:lastRow="0" w:firstColumn="1" w:lastColumn="0" w:noHBand="0" w:noVBand="1"/>
      </w:tblPr>
      <w:tblGrid>
        <w:gridCol w:w="850"/>
        <w:gridCol w:w="2244"/>
        <w:gridCol w:w="604"/>
        <w:gridCol w:w="1411"/>
        <w:gridCol w:w="1412"/>
        <w:gridCol w:w="283"/>
        <w:gridCol w:w="1417"/>
        <w:gridCol w:w="1418"/>
      </w:tblGrid>
      <w:tr w:rsidR="008B7E19" w:rsidRPr="00334399" w14:paraId="781190FF" w14:textId="77777777" w:rsidTr="005B5353">
        <w:trPr>
          <w:cnfStyle w:val="100000000000" w:firstRow="1" w:lastRow="0" w:firstColumn="0" w:lastColumn="0" w:oddVBand="0" w:evenVBand="0" w:oddHBand="0" w:evenHBand="0" w:firstRowFirstColumn="0" w:firstRowLastColumn="0" w:lastRowFirstColumn="0" w:lastRowLastColumn="0"/>
          <w:trHeight w:hRule="exact" w:val="283"/>
          <w:jc w:val="center"/>
        </w:trPr>
        <w:tc>
          <w:tcPr>
            <w:cnfStyle w:val="001000000000" w:firstRow="0" w:lastRow="0" w:firstColumn="1" w:lastColumn="0" w:oddVBand="0" w:evenVBand="0" w:oddHBand="0" w:evenHBand="0" w:firstRowFirstColumn="0" w:firstRowLastColumn="0" w:lastRowFirstColumn="0" w:lastRowLastColumn="0"/>
            <w:tcW w:w="850" w:type="dxa"/>
            <w:tcBorders>
              <w:bottom w:val="nil"/>
            </w:tcBorders>
            <w:shd w:val="clear" w:color="auto" w:fill="auto"/>
          </w:tcPr>
          <w:p w14:paraId="386F08AE" w14:textId="77777777" w:rsidR="008B7E19" w:rsidRPr="00FE52CA" w:rsidRDefault="008B7E19" w:rsidP="008B7E19">
            <w:pPr>
              <w:keepNext/>
              <w:keepLines/>
              <w:spacing w:before="40" w:after="40"/>
              <w:jc w:val="center"/>
              <w:rPr>
                <w:rFonts w:cs="Arial"/>
                <w:b w:val="0"/>
                <w:bCs w:val="0"/>
                <w:spacing w:val="-2"/>
                <w:sz w:val="14"/>
                <w:szCs w:val="14"/>
                <w:lang w:val="en-US"/>
              </w:rPr>
            </w:pPr>
          </w:p>
        </w:tc>
        <w:tc>
          <w:tcPr>
            <w:tcW w:w="2848" w:type="dxa"/>
            <w:gridSpan w:val="2"/>
            <w:tcBorders>
              <w:bottom w:val="nil"/>
            </w:tcBorders>
            <w:shd w:val="clear" w:color="auto" w:fill="auto"/>
          </w:tcPr>
          <w:p w14:paraId="16ACC7CA" w14:textId="77777777" w:rsidR="008B7E19" w:rsidRPr="00FE52CA" w:rsidRDefault="008B7E19" w:rsidP="008B7E19">
            <w:pPr>
              <w:keepNext/>
              <w:keepLines/>
              <w:spacing w:before="40" w:after="40"/>
              <w:jc w:val="center"/>
              <w:cnfStyle w:val="100000000000" w:firstRow="1" w:lastRow="0" w:firstColumn="0" w:lastColumn="0" w:oddVBand="0" w:evenVBand="0" w:oddHBand="0" w:evenHBand="0" w:firstRowFirstColumn="0" w:firstRowLastColumn="0" w:lastRowFirstColumn="0" w:lastRowLastColumn="0"/>
              <w:rPr>
                <w:rFonts w:cs="Arial"/>
                <w:spacing w:val="-2"/>
                <w:sz w:val="14"/>
                <w:szCs w:val="14"/>
                <w:lang w:val="en-US"/>
              </w:rPr>
            </w:pPr>
          </w:p>
        </w:tc>
        <w:tc>
          <w:tcPr>
            <w:tcW w:w="2823" w:type="dxa"/>
            <w:gridSpan w:val="2"/>
            <w:tcBorders>
              <w:bottom w:val="none" w:sz="0" w:space="0" w:color="auto"/>
            </w:tcBorders>
            <w:shd w:val="clear" w:color="auto" w:fill="auto"/>
          </w:tcPr>
          <w:p w14:paraId="7D795C48" w14:textId="77777777" w:rsidR="008B7E19" w:rsidRPr="00334399" w:rsidRDefault="008B7E19" w:rsidP="008B7E19">
            <w:pPr>
              <w:keepNext/>
              <w:keepLines/>
              <w:spacing w:before="40" w:after="40"/>
              <w:jc w:val="center"/>
              <w:cnfStyle w:val="100000000000" w:firstRow="1" w:lastRow="0" w:firstColumn="0" w:lastColumn="0" w:oddVBand="0" w:evenVBand="0" w:oddHBand="0" w:evenHBand="0" w:firstRowFirstColumn="0" w:firstRowLastColumn="0" w:lastRowFirstColumn="0" w:lastRowLastColumn="0"/>
              <w:rPr>
                <w:rFonts w:cs="Arial"/>
                <w:spacing w:val="-2"/>
                <w:sz w:val="14"/>
                <w:szCs w:val="14"/>
                <w:vertAlign w:val="superscript"/>
              </w:rPr>
            </w:pPr>
            <w:r>
              <w:rPr>
                <w:rFonts w:cs="Arial"/>
                <w:spacing w:val="-2"/>
                <w:sz w:val="14"/>
                <w:szCs w:val="14"/>
              </w:rPr>
              <w:t>Parent</w:t>
            </w:r>
          </w:p>
        </w:tc>
        <w:tc>
          <w:tcPr>
            <w:tcW w:w="283" w:type="dxa"/>
            <w:tcBorders>
              <w:bottom w:val="none" w:sz="0" w:space="0" w:color="auto"/>
            </w:tcBorders>
            <w:shd w:val="clear" w:color="auto" w:fill="auto"/>
          </w:tcPr>
          <w:p w14:paraId="33D6366F" w14:textId="77777777" w:rsidR="008B7E19" w:rsidRPr="00334399" w:rsidRDefault="008B7E19" w:rsidP="008B7E19">
            <w:pPr>
              <w:keepNext/>
              <w:keepLines/>
              <w:spacing w:before="40" w:after="40"/>
              <w:jc w:val="center"/>
              <w:cnfStyle w:val="100000000000" w:firstRow="1" w:lastRow="0" w:firstColumn="0" w:lastColumn="0" w:oddVBand="0" w:evenVBand="0" w:oddHBand="0" w:evenHBand="0" w:firstRowFirstColumn="0" w:firstRowLastColumn="0" w:lastRowFirstColumn="0" w:lastRowLastColumn="0"/>
              <w:rPr>
                <w:rFonts w:cs="Arial"/>
                <w:b w:val="0"/>
                <w:bCs w:val="0"/>
                <w:spacing w:val="-2"/>
                <w:sz w:val="14"/>
                <w:szCs w:val="14"/>
              </w:rPr>
            </w:pPr>
          </w:p>
        </w:tc>
        <w:tc>
          <w:tcPr>
            <w:tcW w:w="2835" w:type="dxa"/>
            <w:gridSpan w:val="2"/>
            <w:tcBorders>
              <w:bottom w:val="none" w:sz="0" w:space="0" w:color="auto"/>
            </w:tcBorders>
            <w:shd w:val="clear" w:color="auto" w:fill="auto"/>
          </w:tcPr>
          <w:p w14:paraId="3BF318F7" w14:textId="77777777" w:rsidR="008B7E19" w:rsidRPr="00334399" w:rsidRDefault="008B7E19" w:rsidP="008B7E19">
            <w:pPr>
              <w:keepNext/>
              <w:keepLines/>
              <w:spacing w:before="40" w:after="40"/>
              <w:jc w:val="center"/>
              <w:cnfStyle w:val="100000000000" w:firstRow="1" w:lastRow="0" w:firstColumn="0" w:lastColumn="0" w:oddVBand="0" w:evenVBand="0" w:oddHBand="0" w:evenHBand="0" w:firstRowFirstColumn="0" w:firstRowLastColumn="0" w:lastRowFirstColumn="0" w:lastRowLastColumn="0"/>
              <w:rPr>
                <w:rFonts w:cs="Arial"/>
                <w:spacing w:val="-2"/>
                <w:sz w:val="14"/>
                <w:szCs w:val="14"/>
                <w:vertAlign w:val="superscript"/>
              </w:rPr>
            </w:pPr>
            <w:r w:rsidRPr="00334399">
              <w:rPr>
                <w:rFonts w:cs="Arial"/>
                <w:spacing w:val="-2"/>
                <w:sz w:val="14"/>
                <w:szCs w:val="14"/>
              </w:rPr>
              <w:t>Consolida</w:t>
            </w:r>
            <w:r>
              <w:rPr>
                <w:rFonts w:cs="Arial"/>
                <w:spacing w:val="-2"/>
                <w:sz w:val="14"/>
                <w:szCs w:val="14"/>
              </w:rPr>
              <w:t>ted</w:t>
            </w:r>
          </w:p>
        </w:tc>
      </w:tr>
      <w:tr w:rsidR="008B7E19" w:rsidRPr="00334399" w14:paraId="2203E3AE" w14:textId="77777777" w:rsidTr="005B5353">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3094" w:type="dxa"/>
            <w:gridSpan w:val="2"/>
            <w:tcBorders>
              <w:top w:val="nil"/>
              <w:bottom w:val="single" w:sz="2" w:space="0" w:color="1F4E79" w:themeColor="accent1" w:themeShade="80"/>
            </w:tcBorders>
            <w:shd w:val="clear" w:color="auto" w:fill="auto"/>
          </w:tcPr>
          <w:p w14:paraId="54F47B99" w14:textId="77777777" w:rsidR="008B7E19" w:rsidRPr="00334399" w:rsidRDefault="008B7E19" w:rsidP="008B7E19">
            <w:pPr>
              <w:keepNext/>
              <w:keepLines/>
              <w:spacing w:before="40" w:after="40"/>
              <w:rPr>
                <w:rFonts w:cs="Arial"/>
                <w:spacing w:val="-2"/>
                <w:sz w:val="14"/>
                <w:szCs w:val="14"/>
              </w:rPr>
            </w:pPr>
          </w:p>
        </w:tc>
        <w:tc>
          <w:tcPr>
            <w:tcW w:w="604" w:type="dxa"/>
            <w:tcBorders>
              <w:top w:val="nil"/>
              <w:bottom w:val="single" w:sz="2" w:space="0" w:color="1F4E79" w:themeColor="accent1" w:themeShade="80"/>
            </w:tcBorders>
            <w:shd w:val="clear" w:color="auto" w:fill="auto"/>
          </w:tcPr>
          <w:p w14:paraId="42368B40" w14:textId="77777777" w:rsidR="008B7E19" w:rsidRPr="00334399" w:rsidRDefault="008B7E19" w:rsidP="008B7E19">
            <w:pPr>
              <w:keepNext/>
              <w:keepLines/>
              <w:spacing w:before="40" w:after="40"/>
              <w:cnfStyle w:val="000000100000" w:firstRow="0" w:lastRow="0" w:firstColumn="0" w:lastColumn="0" w:oddVBand="0" w:evenVBand="0" w:oddHBand="1" w:evenHBand="0" w:firstRowFirstColumn="0" w:firstRowLastColumn="0" w:lastRowFirstColumn="0" w:lastRowLastColumn="0"/>
              <w:rPr>
                <w:rFonts w:cs="Arial"/>
                <w:b/>
                <w:spacing w:val="-2"/>
                <w:sz w:val="14"/>
                <w:szCs w:val="14"/>
              </w:rPr>
            </w:pPr>
          </w:p>
        </w:tc>
        <w:tc>
          <w:tcPr>
            <w:tcW w:w="1411" w:type="dxa"/>
            <w:tcBorders>
              <w:bottom w:val="single" w:sz="2" w:space="0" w:color="1F4E79" w:themeColor="accent1" w:themeShade="80"/>
            </w:tcBorders>
            <w:shd w:val="clear" w:color="auto" w:fill="auto"/>
            <w:vAlign w:val="center"/>
          </w:tcPr>
          <w:p w14:paraId="4188FAF4" w14:textId="77777777" w:rsidR="008B7E19" w:rsidRPr="00334399"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b/>
                <w:spacing w:val="-2"/>
                <w:sz w:val="14"/>
                <w:szCs w:val="14"/>
              </w:rPr>
            </w:pPr>
            <w:r>
              <w:rPr>
                <w:rFonts w:cs="Arial"/>
                <w:b/>
                <w:spacing w:val="-2"/>
                <w:sz w:val="14"/>
                <w:szCs w:val="14"/>
              </w:rPr>
              <w:t>June 30, 2023</w:t>
            </w:r>
          </w:p>
        </w:tc>
        <w:tc>
          <w:tcPr>
            <w:tcW w:w="1412" w:type="dxa"/>
            <w:tcBorders>
              <w:bottom w:val="single" w:sz="2" w:space="0" w:color="1F4E79" w:themeColor="accent1" w:themeShade="80"/>
            </w:tcBorders>
            <w:shd w:val="clear" w:color="auto" w:fill="auto"/>
            <w:vAlign w:val="center"/>
          </w:tcPr>
          <w:p w14:paraId="3F104147" w14:textId="77777777" w:rsidR="008B7E19" w:rsidRPr="00BF0F19"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b/>
                <w:spacing w:val="-2"/>
                <w:sz w:val="14"/>
                <w:szCs w:val="14"/>
                <w:vertAlign w:val="superscript"/>
              </w:rPr>
            </w:pPr>
            <w:r>
              <w:rPr>
                <w:rFonts w:cs="Arial"/>
                <w:b/>
                <w:spacing w:val="-2"/>
                <w:sz w:val="14"/>
                <w:szCs w:val="14"/>
              </w:rPr>
              <w:t>Dec 31, 2022</w:t>
            </w:r>
          </w:p>
        </w:tc>
        <w:tc>
          <w:tcPr>
            <w:tcW w:w="283" w:type="dxa"/>
            <w:tcBorders>
              <w:bottom w:val="single" w:sz="2" w:space="0" w:color="1F4E79" w:themeColor="accent1" w:themeShade="80"/>
            </w:tcBorders>
            <w:shd w:val="clear" w:color="auto" w:fill="auto"/>
            <w:vAlign w:val="center"/>
          </w:tcPr>
          <w:p w14:paraId="6DA50413" w14:textId="77777777" w:rsidR="008B7E19" w:rsidRPr="00334399"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b/>
                <w:spacing w:val="-2"/>
                <w:sz w:val="14"/>
                <w:szCs w:val="14"/>
              </w:rPr>
            </w:pPr>
          </w:p>
        </w:tc>
        <w:tc>
          <w:tcPr>
            <w:tcW w:w="1417" w:type="dxa"/>
            <w:tcBorders>
              <w:bottom w:val="single" w:sz="2" w:space="0" w:color="1F4E79" w:themeColor="accent1" w:themeShade="80"/>
            </w:tcBorders>
            <w:shd w:val="clear" w:color="auto" w:fill="auto"/>
            <w:vAlign w:val="center"/>
          </w:tcPr>
          <w:p w14:paraId="6E9A5173" w14:textId="77777777" w:rsidR="008B7E19" w:rsidRPr="00334399"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b/>
                <w:spacing w:val="-2"/>
                <w:sz w:val="14"/>
                <w:szCs w:val="14"/>
              </w:rPr>
            </w:pPr>
            <w:r>
              <w:rPr>
                <w:rFonts w:cs="Arial"/>
                <w:b/>
                <w:spacing w:val="-2"/>
                <w:sz w:val="14"/>
                <w:szCs w:val="14"/>
              </w:rPr>
              <w:t>June 30, 2023</w:t>
            </w:r>
          </w:p>
        </w:tc>
        <w:tc>
          <w:tcPr>
            <w:tcW w:w="1418" w:type="dxa"/>
            <w:tcBorders>
              <w:bottom w:val="single" w:sz="2" w:space="0" w:color="1F4E79" w:themeColor="accent1" w:themeShade="80"/>
            </w:tcBorders>
            <w:shd w:val="clear" w:color="auto" w:fill="auto"/>
            <w:vAlign w:val="center"/>
          </w:tcPr>
          <w:p w14:paraId="31338F0E" w14:textId="77777777" w:rsidR="008B7E19" w:rsidRPr="00334399" w:rsidRDefault="008B7E19" w:rsidP="008B7E1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b/>
                <w:spacing w:val="-2"/>
                <w:sz w:val="14"/>
                <w:szCs w:val="14"/>
              </w:rPr>
            </w:pPr>
            <w:r>
              <w:rPr>
                <w:rFonts w:cs="Arial"/>
                <w:b/>
                <w:spacing w:val="-2"/>
                <w:sz w:val="14"/>
                <w:szCs w:val="14"/>
              </w:rPr>
              <w:t>Dec 31, 2022</w:t>
            </w:r>
          </w:p>
        </w:tc>
      </w:tr>
      <w:tr w:rsidR="008B7E19" w:rsidRPr="00334399" w14:paraId="6400688A" w14:textId="77777777" w:rsidTr="005B5353">
        <w:trPr>
          <w:cnfStyle w:val="000000010000" w:firstRow="0" w:lastRow="0" w:firstColumn="0" w:lastColumn="0" w:oddVBand="0" w:evenVBand="0" w:oddHBand="0" w:evenHBand="1" w:firstRowFirstColumn="0" w:firstRowLastColumn="0" w:lastRowFirstColumn="0" w:lastRowLastColumn="0"/>
          <w:trHeight w:val="263"/>
          <w:jc w:val="center"/>
        </w:trPr>
        <w:tc>
          <w:tcPr>
            <w:cnfStyle w:val="001000000000" w:firstRow="0" w:lastRow="0" w:firstColumn="1" w:lastColumn="0" w:oddVBand="0" w:evenVBand="0" w:oddHBand="0" w:evenHBand="0" w:firstRowFirstColumn="0" w:firstRowLastColumn="0" w:lastRowFirstColumn="0" w:lastRowLastColumn="0"/>
            <w:tcW w:w="3094" w:type="dxa"/>
            <w:gridSpan w:val="2"/>
            <w:tcBorders>
              <w:bottom w:val="nil"/>
            </w:tcBorders>
            <w:shd w:val="clear" w:color="auto" w:fill="auto"/>
          </w:tcPr>
          <w:p w14:paraId="0A424AA7" w14:textId="77777777" w:rsidR="008B7E19" w:rsidRPr="00DA6411" w:rsidRDefault="008B7E19" w:rsidP="008B7E19">
            <w:pPr>
              <w:pStyle w:val="08-Tabelageral"/>
              <w:jc w:val="left"/>
              <w:rPr>
                <w:rFonts w:cs="Arial"/>
                <w:b w:val="0"/>
                <w:szCs w:val="14"/>
                <w:vertAlign w:val="superscript"/>
              </w:rPr>
            </w:pPr>
            <w:r w:rsidRPr="00334399">
              <w:rPr>
                <w:rFonts w:cs="Arial"/>
                <w:b w:val="0"/>
                <w:szCs w:val="14"/>
              </w:rPr>
              <w:t>Dividend</w:t>
            </w:r>
            <w:r>
              <w:rPr>
                <w:rFonts w:cs="Arial"/>
                <w:b w:val="0"/>
                <w:szCs w:val="14"/>
              </w:rPr>
              <w:t>s</w:t>
            </w:r>
            <w:r w:rsidRPr="00334399">
              <w:rPr>
                <w:rFonts w:cs="Arial"/>
                <w:b w:val="0"/>
                <w:szCs w:val="14"/>
              </w:rPr>
              <w:t xml:space="preserve"> p</w:t>
            </w:r>
            <w:r>
              <w:rPr>
                <w:rFonts w:cs="Arial"/>
                <w:b w:val="0"/>
                <w:szCs w:val="14"/>
              </w:rPr>
              <w:t xml:space="preserve">ayable </w:t>
            </w:r>
            <w:r>
              <w:rPr>
                <w:rFonts w:cs="Arial"/>
                <w:b w:val="0"/>
                <w:szCs w:val="14"/>
                <w:vertAlign w:val="superscript"/>
              </w:rPr>
              <w:t>(1)</w:t>
            </w:r>
          </w:p>
        </w:tc>
        <w:tc>
          <w:tcPr>
            <w:tcW w:w="604" w:type="dxa"/>
            <w:tcBorders>
              <w:bottom w:val="nil"/>
            </w:tcBorders>
            <w:shd w:val="clear" w:color="auto" w:fill="auto"/>
            <w:vAlign w:val="center"/>
          </w:tcPr>
          <w:p w14:paraId="2C36A43D" w14:textId="77777777" w:rsidR="008B7E19" w:rsidRPr="00334399" w:rsidRDefault="008B7E19" w:rsidP="008B7E19">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411" w:type="dxa"/>
            <w:tcBorders>
              <w:bottom w:val="nil"/>
            </w:tcBorders>
            <w:shd w:val="clear" w:color="auto" w:fill="auto"/>
          </w:tcPr>
          <w:p w14:paraId="47477B25" w14:textId="77777777" w:rsidR="008B7E19" w:rsidRPr="00334399" w:rsidRDefault="008B7E19" w:rsidP="008B7E19">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Pr>
                <w:rFonts w:cs="Arial"/>
                <w:szCs w:val="14"/>
              </w:rPr>
              <w:t>3,210,224</w:t>
            </w:r>
          </w:p>
        </w:tc>
        <w:tc>
          <w:tcPr>
            <w:tcW w:w="1412" w:type="dxa"/>
            <w:tcBorders>
              <w:bottom w:val="nil"/>
            </w:tcBorders>
            <w:shd w:val="clear" w:color="auto" w:fill="auto"/>
          </w:tcPr>
          <w:p w14:paraId="1C4C231E" w14:textId="77777777" w:rsidR="008B7E19" w:rsidRPr="00334399" w:rsidRDefault="008B7E19" w:rsidP="008B7E19">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Pr>
                <w:rFonts w:cs="Arial"/>
                <w:szCs w:val="14"/>
              </w:rPr>
              <w:t>3,673,952</w:t>
            </w:r>
          </w:p>
        </w:tc>
        <w:tc>
          <w:tcPr>
            <w:tcW w:w="283" w:type="dxa"/>
            <w:tcBorders>
              <w:bottom w:val="nil"/>
            </w:tcBorders>
            <w:shd w:val="clear" w:color="auto" w:fill="auto"/>
          </w:tcPr>
          <w:p w14:paraId="2FEC0639" w14:textId="77777777" w:rsidR="008B7E19" w:rsidRPr="00334399" w:rsidRDefault="008B7E19" w:rsidP="008B7E19">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417" w:type="dxa"/>
            <w:tcBorders>
              <w:bottom w:val="nil"/>
            </w:tcBorders>
            <w:shd w:val="clear" w:color="auto" w:fill="auto"/>
          </w:tcPr>
          <w:p w14:paraId="0CB787C3" w14:textId="77777777" w:rsidR="008B7E19" w:rsidRPr="00334399" w:rsidRDefault="008B7E19" w:rsidP="008B7E19">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Pr>
                <w:rFonts w:cs="Arial"/>
                <w:szCs w:val="14"/>
              </w:rPr>
              <w:t>3,210,224</w:t>
            </w:r>
          </w:p>
        </w:tc>
        <w:tc>
          <w:tcPr>
            <w:tcW w:w="1418" w:type="dxa"/>
            <w:tcBorders>
              <w:bottom w:val="nil"/>
            </w:tcBorders>
            <w:shd w:val="clear" w:color="auto" w:fill="auto"/>
          </w:tcPr>
          <w:p w14:paraId="77DFE927" w14:textId="77777777" w:rsidR="008B7E19" w:rsidRPr="00334399" w:rsidRDefault="008B7E19" w:rsidP="008B7E19">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9B7FDD">
              <w:rPr>
                <w:rFonts w:cs="Arial"/>
                <w:szCs w:val="14"/>
              </w:rPr>
              <w:t>3</w:t>
            </w:r>
            <w:r>
              <w:rPr>
                <w:rFonts w:cs="Arial"/>
                <w:szCs w:val="14"/>
              </w:rPr>
              <w:t>,</w:t>
            </w:r>
            <w:r w:rsidRPr="009B7FDD">
              <w:rPr>
                <w:rFonts w:cs="Arial"/>
                <w:szCs w:val="14"/>
              </w:rPr>
              <w:t>673</w:t>
            </w:r>
            <w:r>
              <w:rPr>
                <w:rFonts w:cs="Arial"/>
                <w:szCs w:val="14"/>
              </w:rPr>
              <w:t>,</w:t>
            </w:r>
            <w:r w:rsidRPr="009B7FDD">
              <w:rPr>
                <w:rFonts w:cs="Arial"/>
                <w:szCs w:val="14"/>
              </w:rPr>
              <w:t>952</w:t>
            </w:r>
          </w:p>
        </w:tc>
      </w:tr>
      <w:tr w:rsidR="008B7E19" w:rsidRPr="00DA6411" w14:paraId="2956E64C" w14:textId="77777777" w:rsidTr="005B5353">
        <w:trPr>
          <w:cnfStyle w:val="000000100000" w:firstRow="0" w:lastRow="0" w:firstColumn="0" w:lastColumn="0" w:oddVBand="0" w:evenVBand="0" w:oddHBand="1" w:evenHBand="0" w:firstRowFirstColumn="0" w:firstRowLastColumn="0" w:lastRowFirstColumn="0" w:lastRowLastColumn="0"/>
          <w:trHeight w:val="263"/>
          <w:jc w:val="center"/>
        </w:trPr>
        <w:tc>
          <w:tcPr>
            <w:cnfStyle w:val="001000000000" w:firstRow="0" w:lastRow="0" w:firstColumn="1" w:lastColumn="0" w:oddVBand="0" w:evenVBand="0" w:oddHBand="0" w:evenHBand="0" w:firstRowFirstColumn="0" w:firstRowLastColumn="0" w:lastRowFirstColumn="0" w:lastRowLastColumn="0"/>
            <w:tcW w:w="3094" w:type="dxa"/>
            <w:gridSpan w:val="2"/>
            <w:tcBorders>
              <w:top w:val="nil"/>
              <w:bottom w:val="nil"/>
            </w:tcBorders>
            <w:shd w:val="clear" w:color="auto" w:fill="auto"/>
          </w:tcPr>
          <w:p w14:paraId="7EB75B35" w14:textId="77777777" w:rsidR="008B7E19" w:rsidRPr="00DA6411" w:rsidRDefault="008B7E19" w:rsidP="008B7E19">
            <w:pPr>
              <w:pStyle w:val="08-Tabelageral"/>
              <w:jc w:val="left"/>
              <w:rPr>
                <w:rFonts w:cs="Arial"/>
                <w:b w:val="0"/>
                <w:szCs w:val="14"/>
                <w:vertAlign w:val="superscript"/>
              </w:rPr>
            </w:pPr>
            <w:r>
              <w:rPr>
                <w:rFonts w:cs="Arial"/>
                <w:b w:val="0"/>
                <w:szCs w:val="14"/>
              </w:rPr>
              <w:t xml:space="preserve">Capital reduction payable </w:t>
            </w:r>
          </w:p>
        </w:tc>
        <w:tc>
          <w:tcPr>
            <w:tcW w:w="604" w:type="dxa"/>
            <w:tcBorders>
              <w:top w:val="nil"/>
              <w:bottom w:val="nil"/>
            </w:tcBorders>
            <w:shd w:val="clear" w:color="auto" w:fill="auto"/>
            <w:vAlign w:val="center"/>
          </w:tcPr>
          <w:p w14:paraId="5B3301BB" w14:textId="77777777" w:rsidR="008B7E19" w:rsidRPr="00DA6411"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411" w:type="dxa"/>
            <w:tcBorders>
              <w:top w:val="nil"/>
              <w:bottom w:val="nil"/>
            </w:tcBorders>
            <w:shd w:val="clear" w:color="auto" w:fill="auto"/>
          </w:tcPr>
          <w:p w14:paraId="4ED637FA" w14:textId="77777777" w:rsidR="008B7E19" w:rsidRPr="00DA6411"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Pr>
                <w:rFonts w:cs="Arial"/>
                <w:szCs w:val="14"/>
              </w:rPr>
              <w:t>75</w:t>
            </w:r>
          </w:p>
        </w:tc>
        <w:tc>
          <w:tcPr>
            <w:tcW w:w="1412" w:type="dxa"/>
            <w:tcBorders>
              <w:top w:val="nil"/>
              <w:bottom w:val="nil"/>
            </w:tcBorders>
            <w:shd w:val="clear" w:color="auto" w:fill="auto"/>
          </w:tcPr>
          <w:p w14:paraId="0B2E51E2" w14:textId="77777777" w:rsidR="008B7E19" w:rsidRPr="00DA6411"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Pr>
                <w:rFonts w:cs="Arial"/>
                <w:szCs w:val="14"/>
              </w:rPr>
              <w:t>75</w:t>
            </w:r>
          </w:p>
        </w:tc>
        <w:tc>
          <w:tcPr>
            <w:tcW w:w="283" w:type="dxa"/>
            <w:tcBorders>
              <w:top w:val="nil"/>
              <w:bottom w:val="nil"/>
            </w:tcBorders>
            <w:shd w:val="clear" w:color="auto" w:fill="auto"/>
          </w:tcPr>
          <w:p w14:paraId="0B07F956" w14:textId="77777777" w:rsidR="008B7E19" w:rsidRPr="00DA6411"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417" w:type="dxa"/>
            <w:tcBorders>
              <w:top w:val="nil"/>
              <w:bottom w:val="nil"/>
            </w:tcBorders>
            <w:shd w:val="clear" w:color="auto" w:fill="auto"/>
          </w:tcPr>
          <w:p w14:paraId="4BF50E7D" w14:textId="77777777" w:rsidR="008B7E19" w:rsidRPr="00DA6411"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Pr>
                <w:rFonts w:cs="Arial"/>
                <w:szCs w:val="14"/>
              </w:rPr>
              <w:t>75</w:t>
            </w:r>
          </w:p>
        </w:tc>
        <w:tc>
          <w:tcPr>
            <w:tcW w:w="1418" w:type="dxa"/>
            <w:tcBorders>
              <w:top w:val="nil"/>
              <w:bottom w:val="nil"/>
            </w:tcBorders>
            <w:shd w:val="clear" w:color="auto" w:fill="auto"/>
          </w:tcPr>
          <w:p w14:paraId="1339BEBC" w14:textId="77777777" w:rsidR="008B7E19" w:rsidRPr="00DA6411"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Pr>
                <w:rFonts w:cs="Arial"/>
                <w:szCs w:val="14"/>
              </w:rPr>
              <w:t>75</w:t>
            </w:r>
          </w:p>
        </w:tc>
      </w:tr>
      <w:tr w:rsidR="008B7E19" w:rsidRPr="00DA6411" w14:paraId="45F09E88" w14:textId="77777777" w:rsidTr="005B5353">
        <w:trPr>
          <w:cnfStyle w:val="000000010000" w:firstRow="0" w:lastRow="0" w:firstColumn="0" w:lastColumn="0" w:oddVBand="0" w:evenVBand="0" w:oddHBand="0" w:evenHBand="1" w:firstRowFirstColumn="0" w:firstRowLastColumn="0" w:lastRowFirstColumn="0" w:lastRowLastColumn="0"/>
          <w:trHeight w:val="263"/>
          <w:jc w:val="center"/>
        </w:trPr>
        <w:tc>
          <w:tcPr>
            <w:cnfStyle w:val="001000000000" w:firstRow="0" w:lastRow="0" w:firstColumn="1" w:lastColumn="0" w:oddVBand="0" w:evenVBand="0" w:oddHBand="0" w:evenHBand="0" w:firstRowFirstColumn="0" w:firstRowLastColumn="0" w:lastRowFirstColumn="0" w:lastRowLastColumn="0"/>
            <w:tcW w:w="3094" w:type="dxa"/>
            <w:gridSpan w:val="2"/>
            <w:tcBorders>
              <w:top w:val="nil"/>
            </w:tcBorders>
            <w:shd w:val="clear" w:color="auto" w:fill="auto"/>
          </w:tcPr>
          <w:p w14:paraId="05CDCDB3" w14:textId="77777777" w:rsidR="008B7E19" w:rsidRPr="00DA6411" w:rsidRDefault="008B7E19" w:rsidP="008B7E19">
            <w:pPr>
              <w:pStyle w:val="08-Tabelageral"/>
              <w:jc w:val="left"/>
              <w:rPr>
                <w:rFonts w:cs="Arial"/>
                <w:szCs w:val="14"/>
              </w:rPr>
            </w:pPr>
            <w:r w:rsidRPr="00DA6411">
              <w:rPr>
                <w:rFonts w:cs="Arial"/>
                <w:szCs w:val="14"/>
              </w:rPr>
              <w:t>Total</w:t>
            </w:r>
          </w:p>
        </w:tc>
        <w:tc>
          <w:tcPr>
            <w:tcW w:w="604" w:type="dxa"/>
            <w:tcBorders>
              <w:top w:val="nil"/>
            </w:tcBorders>
            <w:shd w:val="clear" w:color="auto" w:fill="auto"/>
            <w:vAlign w:val="center"/>
          </w:tcPr>
          <w:p w14:paraId="43590892" w14:textId="77777777" w:rsidR="008B7E19" w:rsidRPr="00DA6411" w:rsidRDefault="008B7E19" w:rsidP="008B7E19">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p>
        </w:tc>
        <w:tc>
          <w:tcPr>
            <w:tcW w:w="1411" w:type="dxa"/>
            <w:tcBorders>
              <w:top w:val="nil"/>
            </w:tcBorders>
            <w:shd w:val="clear" w:color="auto" w:fill="auto"/>
          </w:tcPr>
          <w:p w14:paraId="49AA99E3" w14:textId="77777777" w:rsidR="008B7E19" w:rsidRPr="00DA6411" w:rsidRDefault="008B7E19" w:rsidP="008B7E19">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r>
              <w:rPr>
                <w:rFonts w:cs="Arial"/>
                <w:b/>
                <w:szCs w:val="14"/>
              </w:rPr>
              <w:t>3,210,299</w:t>
            </w:r>
          </w:p>
        </w:tc>
        <w:tc>
          <w:tcPr>
            <w:tcW w:w="1412" w:type="dxa"/>
            <w:tcBorders>
              <w:top w:val="nil"/>
            </w:tcBorders>
            <w:shd w:val="clear" w:color="auto" w:fill="auto"/>
          </w:tcPr>
          <w:p w14:paraId="30DE72EE" w14:textId="77777777" w:rsidR="008B7E19" w:rsidRPr="00DA6411" w:rsidRDefault="008B7E19" w:rsidP="008B7E19">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r w:rsidRPr="009B7FDD">
              <w:rPr>
                <w:rFonts w:cs="Arial"/>
                <w:b/>
                <w:szCs w:val="14"/>
              </w:rPr>
              <w:t>3</w:t>
            </w:r>
            <w:r>
              <w:rPr>
                <w:rFonts w:cs="Arial"/>
                <w:b/>
                <w:szCs w:val="14"/>
              </w:rPr>
              <w:t>,</w:t>
            </w:r>
            <w:r w:rsidRPr="009B7FDD">
              <w:rPr>
                <w:rFonts w:cs="Arial"/>
                <w:b/>
                <w:szCs w:val="14"/>
              </w:rPr>
              <w:t>674</w:t>
            </w:r>
            <w:r>
              <w:rPr>
                <w:rFonts w:cs="Arial"/>
                <w:b/>
                <w:szCs w:val="14"/>
              </w:rPr>
              <w:t>,</w:t>
            </w:r>
            <w:r w:rsidRPr="009B7FDD">
              <w:rPr>
                <w:rFonts w:cs="Arial"/>
                <w:b/>
                <w:szCs w:val="14"/>
              </w:rPr>
              <w:t>027</w:t>
            </w:r>
          </w:p>
        </w:tc>
        <w:tc>
          <w:tcPr>
            <w:tcW w:w="283" w:type="dxa"/>
            <w:tcBorders>
              <w:top w:val="nil"/>
            </w:tcBorders>
            <w:shd w:val="clear" w:color="auto" w:fill="auto"/>
          </w:tcPr>
          <w:p w14:paraId="60EBE9A7" w14:textId="77777777" w:rsidR="008B7E19" w:rsidRPr="00DA6411" w:rsidRDefault="008B7E19" w:rsidP="008B7E19">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p>
        </w:tc>
        <w:tc>
          <w:tcPr>
            <w:tcW w:w="1417" w:type="dxa"/>
            <w:tcBorders>
              <w:top w:val="nil"/>
            </w:tcBorders>
            <w:shd w:val="clear" w:color="auto" w:fill="auto"/>
          </w:tcPr>
          <w:p w14:paraId="556F99A9" w14:textId="77777777" w:rsidR="008B7E19" w:rsidRPr="00DA6411" w:rsidRDefault="008B7E19" w:rsidP="008B7E19">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r>
              <w:rPr>
                <w:rFonts w:cs="Arial"/>
                <w:b/>
                <w:szCs w:val="14"/>
              </w:rPr>
              <w:t>3,210,299</w:t>
            </w:r>
          </w:p>
        </w:tc>
        <w:tc>
          <w:tcPr>
            <w:tcW w:w="1418" w:type="dxa"/>
            <w:tcBorders>
              <w:top w:val="nil"/>
            </w:tcBorders>
            <w:shd w:val="clear" w:color="auto" w:fill="auto"/>
          </w:tcPr>
          <w:p w14:paraId="3566DB1C" w14:textId="77777777" w:rsidR="008B7E19" w:rsidRPr="00DA6411" w:rsidRDefault="008B7E19" w:rsidP="008B7E19">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r w:rsidRPr="009B7FDD">
              <w:rPr>
                <w:rFonts w:cs="Arial"/>
                <w:b/>
                <w:szCs w:val="14"/>
              </w:rPr>
              <w:t>3</w:t>
            </w:r>
            <w:r>
              <w:rPr>
                <w:rFonts w:cs="Arial"/>
                <w:b/>
                <w:szCs w:val="14"/>
              </w:rPr>
              <w:t>,</w:t>
            </w:r>
            <w:r w:rsidRPr="009B7FDD">
              <w:rPr>
                <w:rFonts w:cs="Arial"/>
                <w:b/>
                <w:szCs w:val="14"/>
              </w:rPr>
              <w:t>674</w:t>
            </w:r>
            <w:r>
              <w:rPr>
                <w:rFonts w:cs="Arial"/>
                <w:b/>
                <w:szCs w:val="14"/>
              </w:rPr>
              <w:t>,</w:t>
            </w:r>
            <w:r w:rsidRPr="009B7FDD">
              <w:rPr>
                <w:rFonts w:cs="Arial"/>
                <w:b/>
                <w:szCs w:val="14"/>
              </w:rPr>
              <w:t>027</w:t>
            </w:r>
          </w:p>
        </w:tc>
      </w:tr>
    </w:tbl>
    <w:p w14:paraId="3AFEADAF" w14:textId="77777777" w:rsidR="008B7E19" w:rsidRPr="0091141A" w:rsidRDefault="008B7E19" w:rsidP="00882B41">
      <w:pPr>
        <w:pStyle w:val="07-Legenda"/>
        <w:keepNext/>
        <w:numPr>
          <w:ilvl w:val="0"/>
          <w:numId w:val="50"/>
        </w:numPr>
        <w:rPr>
          <w:lang w:val="en-US"/>
        </w:rPr>
      </w:pPr>
      <w:r w:rsidRPr="00F445CE">
        <w:rPr>
          <w:lang w:val="en-US"/>
        </w:rPr>
        <w:t xml:space="preserve">The dividends distributed on </w:t>
      </w:r>
      <w:r>
        <w:rPr>
          <w:lang w:val="en-US"/>
        </w:rPr>
        <w:t xml:space="preserve">Dec </w:t>
      </w:r>
      <w:r w:rsidRPr="00F445CE">
        <w:rPr>
          <w:lang w:val="en-US"/>
        </w:rPr>
        <w:t>31.202</w:t>
      </w:r>
      <w:r>
        <w:rPr>
          <w:lang w:val="en-US"/>
        </w:rPr>
        <w:t>2</w:t>
      </w:r>
      <w:r w:rsidRPr="00F445CE">
        <w:rPr>
          <w:lang w:val="en-US"/>
        </w:rPr>
        <w:t xml:space="preserve"> were paid to the shareholders on </w:t>
      </w:r>
      <w:r>
        <w:rPr>
          <w:lang w:val="en-US"/>
        </w:rPr>
        <w:t>Mar 01</w:t>
      </w:r>
      <w:r w:rsidRPr="00F445CE">
        <w:rPr>
          <w:lang w:val="en-US"/>
        </w:rPr>
        <w:t>.202</w:t>
      </w:r>
      <w:r>
        <w:rPr>
          <w:lang w:val="en-US"/>
        </w:rPr>
        <w:t>3</w:t>
      </w:r>
      <w:r w:rsidRPr="00F445CE">
        <w:rPr>
          <w:lang w:val="en-US"/>
        </w:rPr>
        <w:t>.</w:t>
      </w:r>
    </w:p>
    <w:p w14:paraId="5759EA17" w14:textId="77777777" w:rsidR="008B7E19" w:rsidRDefault="008B7E19" w:rsidP="008B7E19">
      <w:pPr>
        <w:pStyle w:val="07-Legenda"/>
        <w:keepNext/>
        <w:rPr>
          <w:lang w:val="en-US"/>
        </w:rPr>
      </w:pPr>
    </w:p>
    <w:p w14:paraId="09801599" w14:textId="6149F5E0" w:rsidR="008B7E19" w:rsidRPr="005B5353" w:rsidRDefault="008B7E19" w:rsidP="005B5353">
      <w:pPr>
        <w:pStyle w:val="02-TtulodeNota"/>
        <w:keepNext/>
        <w:keepLines/>
        <w:pageBreakBefore/>
        <w:rPr>
          <w:color w:val="1F4E79" w:themeColor="accent1" w:themeShade="80"/>
          <w:lang w:val="en-US"/>
        </w:rPr>
      </w:pPr>
      <w:bookmarkStart w:id="55" w:name="OLE_LINK17"/>
      <w:bookmarkStart w:id="56" w:name="_Toc141966700"/>
      <w:r w:rsidRPr="005B5353">
        <w:rPr>
          <w:color w:val="1F4E79" w:themeColor="accent1" w:themeShade="80"/>
          <w:lang w:val="en-US"/>
        </w:rPr>
        <w:t>22 – PROVISIONS AND CONTINGENT LIABILITIES</w:t>
      </w:r>
      <w:bookmarkEnd w:id="56"/>
      <w:r w:rsidRPr="005B5353">
        <w:rPr>
          <w:color w:val="1F4E79" w:themeColor="accent1" w:themeShade="80"/>
          <w:lang w:val="en-US"/>
        </w:rPr>
        <w:t xml:space="preserve"> </w:t>
      </w:r>
    </w:p>
    <w:p w14:paraId="11C95039" w14:textId="77777777" w:rsidR="008B7E19" w:rsidRPr="00134726" w:rsidRDefault="008B7E19" w:rsidP="008B7E19">
      <w:pPr>
        <w:pStyle w:val="05-Textonormal"/>
        <w:rPr>
          <w:b/>
          <w:color w:val="1F4E79" w:themeColor="accent1" w:themeShade="80"/>
          <w:lang w:val="en-US"/>
        </w:rPr>
      </w:pPr>
      <w:r w:rsidRPr="00134726">
        <w:rPr>
          <w:b/>
          <w:color w:val="1F4E79" w:themeColor="accent1" w:themeShade="80"/>
          <w:lang w:val="en-US"/>
        </w:rPr>
        <w:t>a) Contingent Assets</w:t>
      </w:r>
    </w:p>
    <w:p w14:paraId="731752AD" w14:textId="77777777" w:rsidR="008B7E19" w:rsidRPr="00134726" w:rsidRDefault="008B7E19" w:rsidP="008B7E19">
      <w:pPr>
        <w:pStyle w:val="05-Textonormal"/>
        <w:rPr>
          <w:b/>
          <w:lang w:val="en-US"/>
        </w:rPr>
      </w:pPr>
      <w:r w:rsidRPr="00134726">
        <w:rPr>
          <w:lang w:val="en-US"/>
        </w:rPr>
        <w:t xml:space="preserve">In accordance with CPC 25 </w:t>
      </w:r>
      <w:r>
        <w:t xml:space="preserve">[IAS 37] </w:t>
      </w:r>
      <w:r w:rsidRPr="00134726">
        <w:rPr>
          <w:lang w:val="en-US"/>
        </w:rPr>
        <w:t>- Provisions, Contingent Liabilities and Contingent Assets, no contingent assets were recognized in the individual and consolidated financial statements.</w:t>
      </w:r>
    </w:p>
    <w:p w14:paraId="60CBAAFC" w14:textId="77777777" w:rsidR="008B7E19" w:rsidRPr="00134726" w:rsidRDefault="008B7E19" w:rsidP="008B7E19">
      <w:pPr>
        <w:pStyle w:val="05-Textonormal"/>
        <w:rPr>
          <w:b/>
          <w:color w:val="1F4E79" w:themeColor="accent1" w:themeShade="80"/>
          <w:lang w:val="en-US"/>
        </w:rPr>
      </w:pPr>
      <w:r w:rsidRPr="00134726">
        <w:rPr>
          <w:b/>
          <w:color w:val="1F4E79" w:themeColor="accent1" w:themeShade="80"/>
          <w:lang w:val="en-US"/>
        </w:rPr>
        <w:t>b) Contingent Liabilities - Probable</w:t>
      </w:r>
    </w:p>
    <w:p w14:paraId="006B745F" w14:textId="77777777" w:rsidR="008B7E19" w:rsidRPr="00134726" w:rsidRDefault="008B7E19" w:rsidP="008B7E19">
      <w:pPr>
        <w:pStyle w:val="05-Textonormal"/>
        <w:rPr>
          <w:b/>
          <w:color w:val="1F4E79" w:themeColor="accent1" w:themeShade="80"/>
          <w:lang w:val="en-US"/>
        </w:rPr>
      </w:pPr>
      <w:r w:rsidRPr="00134726">
        <w:rPr>
          <w:b/>
          <w:color w:val="1F4E79" w:themeColor="accent1" w:themeShade="80"/>
          <w:lang w:val="en-US"/>
        </w:rPr>
        <w:t>b.1) Tax Lawsuits</w:t>
      </w:r>
    </w:p>
    <w:p w14:paraId="355C066D" w14:textId="77777777" w:rsidR="008B7E19" w:rsidRPr="00134726" w:rsidRDefault="008B7E19" w:rsidP="008B7E19">
      <w:pPr>
        <w:pStyle w:val="05-Textonormal"/>
        <w:rPr>
          <w:b/>
          <w:lang w:val="en-US"/>
        </w:rPr>
      </w:pPr>
      <w:r w:rsidRPr="00134726">
        <w:rPr>
          <w:lang w:val="en-US"/>
        </w:rPr>
        <w:t xml:space="preserve">Tax lawsuits related to BB Corretora, which arise, mainly, from municipal/district tax assessments (discussing the collection of the Tax on Services of Any Nature - ISSQN); and lawsuits of the Federal Government filed in the administrative or judicial spheres discussing federal taxes (notably non-validation of offsetting of own taxes against other taxes). </w:t>
      </w:r>
    </w:p>
    <w:p w14:paraId="266F59FE" w14:textId="77777777" w:rsidR="008B7E19" w:rsidRPr="00134726" w:rsidRDefault="008B7E19" w:rsidP="008B7E19">
      <w:pPr>
        <w:pStyle w:val="05-Textonormal"/>
        <w:rPr>
          <w:b/>
          <w:lang w:val="en-US"/>
        </w:rPr>
      </w:pPr>
      <w:r w:rsidRPr="00134726">
        <w:rPr>
          <w:lang w:val="en-US"/>
        </w:rPr>
        <w:t xml:space="preserve">On </w:t>
      </w:r>
      <w:r>
        <w:rPr>
          <w:lang w:val="en-US"/>
        </w:rPr>
        <w:t>June</w:t>
      </w:r>
      <w:r w:rsidRPr="00134726">
        <w:rPr>
          <w:lang w:val="en-US"/>
        </w:rPr>
        <w:t xml:space="preserve"> 3</w:t>
      </w:r>
      <w:r>
        <w:rPr>
          <w:lang w:val="en-US"/>
        </w:rPr>
        <w:t>0</w:t>
      </w:r>
      <w:r w:rsidRPr="00134726">
        <w:rPr>
          <w:lang w:val="en-US"/>
        </w:rPr>
        <w:t>, 202</w:t>
      </w:r>
      <w:r>
        <w:rPr>
          <w:lang w:val="en-US"/>
        </w:rPr>
        <w:t>3</w:t>
      </w:r>
      <w:r w:rsidRPr="00134726">
        <w:rPr>
          <w:lang w:val="en-US"/>
        </w:rPr>
        <w:t>, BB Corretora had a total of 3</w:t>
      </w:r>
      <w:r>
        <w:rPr>
          <w:lang w:val="en-US"/>
        </w:rPr>
        <w:t>8</w:t>
      </w:r>
      <w:r w:rsidRPr="00134726">
        <w:rPr>
          <w:lang w:val="en-US"/>
        </w:rPr>
        <w:t xml:space="preserve"> (thirty </w:t>
      </w:r>
      <w:r>
        <w:rPr>
          <w:lang w:val="en-US"/>
        </w:rPr>
        <w:t>eight</w:t>
      </w:r>
      <w:r w:rsidRPr="00134726">
        <w:rPr>
          <w:lang w:val="en-US"/>
        </w:rPr>
        <w:t>) active tax lawsuits discussing tax matters, classified as remote, possible or probable, depending on the phase of the lawsuit and specific situation related to each case. These lawsuits are distributed as follows: (i) 25 (twenty five) of them in the administrative sphere, exclusively, with the Federal Revenue of Brazil (RFB); and (ii) 1</w:t>
      </w:r>
      <w:r>
        <w:rPr>
          <w:lang w:val="en-US"/>
        </w:rPr>
        <w:t>3</w:t>
      </w:r>
      <w:r w:rsidRPr="00134726">
        <w:rPr>
          <w:lang w:val="en-US"/>
        </w:rPr>
        <w:t xml:space="preserve"> (t</w:t>
      </w:r>
      <w:r>
        <w:rPr>
          <w:lang w:val="en-US"/>
        </w:rPr>
        <w:t>hirteen</w:t>
      </w:r>
      <w:r w:rsidRPr="00134726">
        <w:rPr>
          <w:lang w:val="en-US"/>
        </w:rPr>
        <w:t xml:space="preserve">) of them filed in the Brazilian courts, </w:t>
      </w:r>
      <w:r>
        <w:rPr>
          <w:lang w:val="en-US"/>
        </w:rPr>
        <w:t>9</w:t>
      </w:r>
      <w:r w:rsidRPr="00134726">
        <w:rPr>
          <w:lang w:val="en-US"/>
        </w:rPr>
        <w:t xml:space="preserve"> (</w:t>
      </w:r>
      <w:r>
        <w:rPr>
          <w:lang w:val="en-US"/>
        </w:rPr>
        <w:t>nin</w:t>
      </w:r>
      <w:r w:rsidRPr="00134726">
        <w:rPr>
          <w:lang w:val="en-US"/>
        </w:rPr>
        <w:t>e) of them in the State courts and 04 (four) in the Federal courts.</w:t>
      </w:r>
    </w:p>
    <w:p w14:paraId="18DC34D0" w14:textId="77777777" w:rsidR="008B7E19" w:rsidRPr="00134726" w:rsidRDefault="008B7E19" w:rsidP="008B7E19">
      <w:pPr>
        <w:pStyle w:val="05-Textonormal"/>
        <w:rPr>
          <w:lang w:val="en-US"/>
        </w:rPr>
      </w:pPr>
      <w:r>
        <w:rPr>
          <w:lang w:val="en-US"/>
        </w:rPr>
        <w:t xml:space="preserve">In the </w:t>
      </w:r>
      <w:r w:rsidRPr="00134726">
        <w:rPr>
          <w:lang w:val="en-US"/>
        </w:rPr>
        <w:t>main</w:t>
      </w:r>
      <w:r>
        <w:rPr>
          <w:lang w:val="en-US"/>
        </w:rPr>
        <w:t xml:space="preserve"> lawsuit classified as probable, </w:t>
      </w:r>
      <w:r w:rsidRPr="00134726">
        <w:rPr>
          <w:lang w:val="en-US"/>
        </w:rPr>
        <w:t xml:space="preserve">BB Corretora is a party in a lawsuit whose cause of action is related to the collection of ISSQN, in progress with the TJ/MG, to which the initial cause value of R$ 8.3 million was attributed and, filed on 06/29/1998. This action was judged by the competent court, which recognized the right of the Municipality to receive the ISSQN required. During the course of the lawsuit, in the context of discussion of stays of execution, a judicial deposit was made to guarantee the court with Banco do Brasil, whose residual value restated on </w:t>
      </w:r>
      <w:r>
        <w:rPr>
          <w:lang w:val="en-US"/>
        </w:rPr>
        <w:t>03</w:t>
      </w:r>
      <w:r w:rsidRPr="00134726">
        <w:rPr>
          <w:lang w:val="en-US"/>
        </w:rPr>
        <w:t>/31/202</w:t>
      </w:r>
      <w:r>
        <w:rPr>
          <w:lang w:val="en-US"/>
        </w:rPr>
        <w:t>3</w:t>
      </w:r>
      <w:r w:rsidRPr="00134726">
        <w:rPr>
          <w:lang w:val="en-US"/>
        </w:rPr>
        <w:t xml:space="preserve"> is approximately R$ 8</w:t>
      </w:r>
      <w:r>
        <w:rPr>
          <w:lang w:val="en-US"/>
        </w:rPr>
        <w:t>6</w:t>
      </w:r>
      <w:r w:rsidRPr="00134726">
        <w:rPr>
          <w:lang w:val="en-US"/>
        </w:rPr>
        <w:t>.</w:t>
      </w:r>
      <w:r>
        <w:rPr>
          <w:lang w:val="en-US"/>
        </w:rPr>
        <w:t>6</w:t>
      </w:r>
      <w:r w:rsidRPr="00134726">
        <w:rPr>
          <w:lang w:val="en-US"/>
        </w:rPr>
        <w:t xml:space="preserve"> thousand (one since there was a decision favorable to the plaintiff in settlement of the sentence, in which the court determined the withdrawal of R$ 527,842.98, on 08/16/2021 - related to the undisputed case). Furthermore, in said decision, the court determined that after the procedural reorganization measures; a permit is issued in favor of BB Corretora to raise any residual balance available to the court, which on </w:t>
      </w:r>
      <w:r>
        <w:rPr>
          <w:lang w:val="en-US"/>
        </w:rPr>
        <w:t>06</w:t>
      </w:r>
      <w:r w:rsidRPr="00134726">
        <w:rPr>
          <w:lang w:val="en-US"/>
        </w:rPr>
        <w:t>/3</w:t>
      </w:r>
      <w:r>
        <w:rPr>
          <w:lang w:val="en-US"/>
        </w:rPr>
        <w:t>0</w:t>
      </w:r>
      <w:r w:rsidRPr="00134726">
        <w:rPr>
          <w:lang w:val="en-US"/>
        </w:rPr>
        <w:t>/202</w:t>
      </w:r>
      <w:r>
        <w:rPr>
          <w:lang w:val="en-US"/>
        </w:rPr>
        <w:t>3</w:t>
      </w:r>
      <w:r w:rsidRPr="00134726">
        <w:rPr>
          <w:lang w:val="en-US"/>
        </w:rPr>
        <w:t xml:space="preserve"> is still pending analysis and measures by the court.</w:t>
      </w:r>
    </w:p>
    <w:p w14:paraId="52E2CEFD" w14:textId="77777777" w:rsidR="008B7E19" w:rsidRPr="00134726" w:rsidRDefault="008B7E19" w:rsidP="008B7E19">
      <w:pPr>
        <w:pStyle w:val="05-Textonormal"/>
        <w:rPr>
          <w:b/>
          <w:lang w:val="en-US"/>
        </w:rPr>
      </w:pPr>
      <w:r w:rsidRPr="00134726">
        <w:rPr>
          <w:lang w:val="en-US"/>
        </w:rPr>
        <w:t>As for BB Seguridade and BB Seguros, they do not have tax lawsuits with significant amounts.</w:t>
      </w:r>
    </w:p>
    <w:p w14:paraId="622BA3AD" w14:textId="77777777" w:rsidR="008B7E19" w:rsidRPr="00134726" w:rsidRDefault="008B7E19" w:rsidP="008B7E19">
      <w:pPr>
        <w:pStyle w:val="05-Textonormal"/>
        <w:rPr>
          <w:b/>
          <w:color w:val="1F4E79" w:themeColor="accent1" w:themeShade="80"/>
          <w:lang w:val="en-US"/>
        </w:rPr>
      </w:pPr>
      <w:r w:rsidRPr="00134726">
        <w:rPr>
          <w:b/>
          <w:color w:val="1F4E79" w:themeColor="accent1" w:themeShade="80"/>
          <w:lang w:val="en-US"/>
        </w:rPr>
        <w:t>b.2) Civil Lawsuits</w:t>
      </w:r>
    </w:p>
    <w:p w14:paraId="3F330B40" w14:textId="77777777" w:rsidR="008B7E19" w:rsidRPr="00134726" w:rsidRDefault="008B7E19" w:rsidP="008B7E19">
      <w:pPr>
        <w:pStyle w:val="05-Textonormal"/>
        <w:rPr>
          <w:b/>
          <w:lang w:val="en-US"/>
        </w:rPr>
      </w:pPr>
      <w:r w:rsidRPr="00134726">
        <w:rPr>
          <w:lang w:val="en-US"/>
        </w:rPr>
        <w:t>In civil lawsuits involving BB Seguridade, BB Seguros and BB Corretora, we highlignt the claims for various indemnities (material damages, moral damages, etc., for example), notably resulting from consumer relations involving security products and the like (personal insurance and equity, open private pension, capitalization and dental plans).</w:t>
      </w:r>
    </w:p>
    <w:p w14:paraId="24436334" w14:textId="77777777" w:rsidR="008B7E19" w:rsidRPr="00134726" w:rsidRDefault="008B7E19" w:rsidP="008B7E19">
      <w:pPr>
        <w:pStyle w:val="05-Textonormal"/>
        <w:rPr>
          <w:b/>
          <w:color w:val="1F4E79" w:themeColor="accent1" w:themeShade="80"/>
          <w:lang w:val="en-US"/>
        </w:rPr>
      </w:pPr>
      <w:r w:rsidRPr="00134726">
        <w:rPr>
          <w:b/>
          <w:color w:val="1F4E79" w:themeColor="accent1" w:themeShade="80"/>
          <w:lang w:val="en-US"/>
        </w:rPr>
        <w:t>b.3) Labor Lawsuits</w:t>
      </w:r>
    </w:p>
    <w:p w14:paraId="48418A45" w14:textId="77777777" w:rsidR="008B7E19" w:rsidRPr="00134726" w:rsidRDefault="008B7E19" w:rsidP="008B7E19">
      <w:pPr>
        <w:pStyle w:val="05-Textonormal"/>
        <w:rPr>
          <w:lang w:val="en-US"/>
        </w:rPr>
        <w:sectPr w:rsidR="008B7E19" w:rsidRPr="00134726" w:rsidSect="008B7E19">
          <w:headerReference w:type="even" r:id="rId41"/>
          <w:footerReference w:type="even" r:id="rId42"/>
          <w:footerReference w:type="default" r:id="rId43"/>
          <w:headerReference w:type="first" r:id="rId44"/>
          <w:footerReference w:type="first" r:id="rId45"/>
          <w:pgSz w:w="11906" w:h="16838" w:code="9"/>
          <w:pgMar w:top="1134" w:right="1134" w:bottom="851" w:left="1134" w:header="851" w:footer="284" w:gutter="0"/>
          <w:cols w:space="708"/>
          <w:docGrid w:linePitch="360"/>
        </w:sectPr>
      </w:pPr>
      <w:r w:rsidRPr="005B5353">
        <w:t>The labor claims involving BB Seguros and BB Corretora arise mainly from labor claims of a civil nature, arising mainly from business group life insurance, whose original employers (private companies customers of the conglomerate) contract for their employees and, the beneficiaries of these in the process of inventory and sharing, demand the payment of insurance indemnity; and third-party claims to the detriment of BB Seguros and its investees and BB Corretora, as a member of the BB Seguridade Group, especially, requiring any subordinate of the Companies. On the other hand, labor lawsuits involving BB Seguridade are filed by former employees (assigned by Banco do Brasil), discussing rights arising from the 7th and 8th bank overtime and the respective effects on other salary amounts.</w:t>
      </w:r>
    </w:p>
    <w:p w14:paraId="156264BE" w14:textId="77777777" w:rsidR="008B7E19" w:rsidRPr="005B5353" w:rsidRDefault="008B7E19" w:rsidP="005B5353">
      <w:pPr>
        <w:pStyle w:val="03-SubttulodeNota"/>
        <w:rPr>
          <w:color w:val="1F4E79" w:themeColor="accent1" w:themeShade="80"/>
          <w:lang w:val="en-US"/>
        </w:rPr>
      </w:pPr>
      <w:r w:rsidRPr="005B5353">
        <w:rPr>
          <w:color w:val="1F4E79" w:themeColor="accent1" w:themeShade="80"/>
          <w:lang w:val="en-US"/>
        </w:rPr>
        <w:t>b.4) Provisions for civil, tax and labor lawsuits classified as probable</w:t>
      </w:r>
    </w:p>
    <w:p w14:paraId="7ABF812C" w14:textId="77777777" w:rsidR="008B7E19" w:rsidRPr="00134726" w:rsidRDefault="008B7E19" w:rsidP="008B7E19">
      <w:pPr>
        <w:pStyle w:val="05-Textonormal"/>
        <w:rPr>
          <w:rFonts w:cs="Arial"/>
          <w:lang w:val="en-US"/>
        </w:rPr>
      </w:pPr>
      <w:bookmarkStart w:id="57" w:name="_Hlk54605124"/>
      <w:r>
        <w:rPr>
          <w:rStyle w:val="tlid-translation"/>
          <w:lang w:val="en"/>
        </w:rPr>
        <w:t xml:space="preserve">In accordance with CPC 25 </w:t>
      </w:r>
      <w:r>
        <w:t>[IAS 37]</w:t>
      </w:r>
      <w:r>
        <w:rPr>
          <w:rStyle w:val="tlid-translation"/>
          <w:lang w:val="en"/>
        </w:rPr>
        <w:t>, BB Seguridade constitutes a provision for tax, civil and labor claims with a probable risk of loss</w:t>
      </w:r>
      <w:bookmarkEnd w:id="57"/>
      <w:r w:rsidRPr="00134726">
        <w:rPr>
          <w:rFonts w:cs="Arial"/>
          <w:lang w:val="en-US"/>
        </w:rPr>
        <w:t>.</w:t>
      </w:r>
    </w:p>
    <w:p w14:paraId="1FCB5F03" w14:textId="77777777" w:rsidR="008B7E19" w:rsidRPr="00134726" w:rsidRDefault="008B7E19" w:rsidP="008B7E19">
      <w:pPr>
        <w:pStyle w:val="05-Textonormal"/>
        <w:rPr>
          <w:rFonts w:cs="Arial"/>
          <w:lang w:val="en-US"/>
        </w:rPr>
      </w:pPr>
      <w:r w:rsidRPr="00134726">
        <w:rPr>
          <w:rFonts w:cs="Arial"/>
          <w:lang w:val="en-US"/>
        </w:rPr>
        <w:t>These provisions refer, mainly, to the contingencies recorded in BB Corretora.</w:t>
      </w:r>
    </w:p>
    <w:p w14:paraId="5808AA77" w14:textId="77777777" w:rsidR="008B7E19" w:rsidRPr="004C6ED9" w:rsidRDefault="008B7E19" w:rsidP="008B7E19">
      <w:pPr>
        <w:pStyle w:val="01-TtulodeNota"/>
        <w:spacing w:before="0" w:after="0"/>
        <w:jc w:val="right"/>
        <w:rPr>
          <w:sz w:val="14"/>
          <w:szCs w:val="14"/>
        </w:rPr>
      </w:pPr>
      <w:r>
        <w:rPr>
          <w:sz w:val="14"/>
          <w:szCs w:val="14"/>
        </w:rPr>
        <w:t>R$ thousand</w:t>
      </w:r>
    </w:p>
    <w:tbl>
      <w:tblPr>
        <w:tblW w:w="9639" w:type="dxa"/>
        <w:jc w:val="center"/>
        <w:tblBorders>
          <w:top w:val="single" w:sz="2" w:space="0" w:color="1F4E79" w:themeColor="accent1" w:themeShade="80"/>
          <w:bottom w:val="single" w:sz="2" w:space="0" w:color="1F4E79" w:themeColor="accent1" w:themeShade="80"/>
          <w:insideH w:val="single" w:sz="2" w:space="0" w:color="1F4E79" w:themeColor="accent1" w:themeShade="80"/>
        </w:tblBorders>
        <w:tblLook w:val="04A0" w:firstRow="1" w:lastRow="0" w:firstColumn="1" w:lastColumn="0" w:noHBand="0" w:noVBand="1"/>
      </w:tblPr>
      <w:tblGrid>
        <w:gridCol w:w="2892"/>
        <w:gridCol w:w="616"/>
        <w:gridCol w:w="1723"/>
        <w:gridCol w:w="1304"/>
        <w:gridCol w:w="289"/>
        <w:gridCol w:w="1398"/>
        <w:gridCol w:w="1417"/>
      </w:tblGrid>
      <w:tr w:rsidR="008B7E19" w14:paraId="5DCA2D81" w14:textId="77777777" w:rsidTr="008B7E19">
        <w:trPr>
          <w:trHeight w:val="238"/>
          <w:jc w:val="center"/>
        </w:trPr>
        <w:tc>
          <w:tcPr>
            <w:tcW w:w="2892" w:type="dxa"/>
            <w:tcBorders>
              <w:top w:val="single" w:sz="2" w:space="0" w:color="1F4E79" w:themeColor="accent1" w:themeShade="80"/>
              <w:left w:val="nil"/>
              <w:bottom w:val="nil"/>
              <w:right w:val="nil"/>
            </w:tcBorders>
            <w:vAlign w:val="center"/>
          </w:tcPr>
          <w:p w14:paraId="5F806FCB" w14:textId="77777777" w:rsidR="008B7E19" w:rsidRDefault="008B7E19" w:rsidP="008B7E19">
            <w:pPr>
              <w:spacing w:after="0"/>
              <w:rPr>
                <w:rFonts w:cs="Arial"/>
                <w:b/>
                <w:sz w:val="14"/>
                <w:szCs w:val="14"/>
              </w:rPr>
            </w:pPr>
          </w:p>
        </w:tc>
        <w:tc>
          <w:tcPr>
            <w:tcW w:w="616" w:type="dxa"/>
            <w:tcBorders>
              <w:top w:val="single" w:sz="2" w:space="0" w:color="1F4E79" w:themeColor="accent1" w:themeShade="80"/>
              <w:left w:val="nil"/>
              <w:bottom w:val="nil"/>
              <w:right w:val="nil"/>
            </w:tcBorders>
            <w:vAlign w:val="center"/>
          </w:tcPr>
          <w:p w14:paraId="5D4DB368" w14:textId="77777777" w:rsidR="008B7E19" w:rsidRDefault="008B7E19" w:rsidP="008B7E19">
            <w:pPr>
              <w:spacing w:after="0"/>
              <w:rPr>
                <w:rFonts w:cs="Arial"/>
                <w:b/>
                <w:sz w:val="14"/>
                <w:szCs w:val="14"/>
              </w:rPr>
            </w:pPr>
          </w:p>
        </w:tc>
        <w:tc>
          <w:tcPr>
            <w:tcW w:w="6131" w:type="dxa"/>
            <w:gridSpan w:val="5"/>
            <w:tcBorders>
              <w:top w:val="single" w:sz="2" w:space="0" w:color="1F4E79" w:themeColor="accent1" w:themeShade="80"/>
              <w:left w:val="nil"/>
              <w:bottom w:val="single" w:sz="2" w:space="0" w:color="1F4E79" w:themeColor="accent1" w:themeShade="80"/>
              <w:right w:val="nil"/>
            </w:tcBorders>
            <w:vAlign w:val="center"/>
            <w:hideMark/>
          </w:tcPr>
          <w:p w14:paraId="08E895DE" w14:textId="77777777" w:rsidR="008B7E19" w:rsidRDefault="008B7E19" w:rsidP="008B7E19">
            <w:pPr>
              <w:spacing w:after="0"/>
              <w:jc w:val="center"/>
              <w:rPr>
                <w:rFonts w:cs="Arial"/>
                <w:b/>
                <w:sz w:val="14"/>
                <w:szCs w:val="14"/>
                <w:vertAlign w:val="superscript"/>
              </w:rPr>
            </w:pPr>
            <w:r>
              <w:rPr>
                <w:rFonts w:cs="Arial"/>
                <w:b/>
                <w:sz w:val="14"/>
                <w:szCs w:val="14"/>
              </w:rPr>
              <w:t>Consolidated</w:t>
            </w:r>
          </w:p>
        </w:tc>
      </w:tr>
      <w:tr w:rsidR="008B7E19" w14:paraId="6E2BBA8E" w14:textId="77777777" w:rsidTr="008B7E19">
        <w:trPr>
          <w:trHeight w:val="238"/>
          <w:jc w:val="center"/>
        </w:trPr>
        <w:tc>
          <w:tcPr>
            <w:tcW w:w="2892" w:type="dxa"/>
            <w:tcBorders>
              <w:top w:val="nil"/>
              <w:left w:val="nil"/>
              <w:bottom w:val="single" w:sz="2" w:space="0" w:color="1F4E79" w:themeColor="accent1" w:themeShade="80"/>
              <w:right w:val="nil"/>
            </w:tcBorders>
            <w:vAlign w:val="center"/>
          </w:tcPr>
          <w:p w14:paraId="30408F1F" w14:textId="77777777" w:rsidR="008B7E19" w:rsidRDefault="008B7E19" w:rsidP="008B7E19">
            <w:pPr>
              <w:pStyle w:val="08-Tabelageral"/>
              <w:spacing w:line="256" w:lineRule="auto"/>
              <w:jc w:val="left"/>
              <w:rPr>
                <w:rFonts w:cs="Arial"/>
                <w:b/>
                <w:szCs w:val="14"/>
                <w:lang w:eastAsia="en-US"/>
              </w:rPr>
            </w:pPr>
          </w:p>
        </w:tc>
        <w:tc>
          <w:tcPr>
            <w:tcW w:w="616" w:type="dxa"/>
            <w:tcBorders>
              <w:top w:val="nil"/>
              <w:left w:val="nil"/>
              <w:bottom w:val="single" w:sz="2" w:space="0" w:color="1F4E79" w:themeColor="accent1" w:themeShade="80"/>
              <w:right w:val="nil"/>
            </w:tcBorders>
            <w:vAlign w:val="center"/>
          </w:tcPr>
          <w:p w14:paraId="37BF6943" w14:textId="77777777" w:rsidR="008B7E19" w:rsidRDefault="008B7E19" w:rsidP="008B7E19">
            <w:pPr>
              <w:pStyle w:val="08-Tabelageral"/>
              <w:spacing w:line="256" w:lineRule="auto"/>
              <w:jc w:val="left"/>
              <w:rPr>
                <w:rFonts w:cs="Arial"/>
                <w:b/>
                <w:szCs w:val="14"/>
                <w:lang w:eastAsia="en-US"/>
              </w:rPr>
            </w:pPr>
          </w:p>
        </w:tc>
        <w:tc>
          <w:tcPr>
            <w:tcW w:w="1723" w:type="dxa"/>
            <w:tcBorders>
              <w:top w:val="single" w:sz="2" w:space="0" w:color="1F4E79" w:themeColor="accent1" w:themeShade="80"/>
              <w:left w:val="nil"/>
              <w:bottom w:val="single" w:sz="2" w:space="0" w:color="1F4E79" w:themeColor="accent1" w:themeShade="80"/>
              <w:right w:val="nil"/>
            </w:tcBorders>
            <w:vAlign w:val="center"/>
          </w:tcPr>
          <w:p w14:paraId="4535F061" w14:textId="77777777" w:rsidR="008B7E19" w:rsidRDefault="008B7E19" w:rsidP="008B7E19">
            <w:pPr>
              <w:pStyle w:val="08-Tabelageral"/>
              <w:spacing w:line="256" w:lineRule="auto"/>
              <w:ind w:left="308"/>
              <w:rPr>
                <w:rFonts w:cs="Arial"/>
                <w:b/>
                <w:szCs w:val="14"/>
                <w:lang w:eastAsia="en-US"/>
              </w:rPr>
            </w:pPr>
          </w:p>
        </w:tc>
        <w:tc>
          <w:tcPr>
            <w:tcW w:w="1304" w:type="dxa"/>
            <w:tcBorders>
              <w:top w:val="single" w:sz="2" w:space="0" w:color="1F4E79" w:themeColor="accent1" w:themeShade="80"/>
              <w:left w:val="nil"/>
              <w:bottom w:val="single" w:sz="2" w:space="0" w:color="1F4E79" w:themeColor="accent1" w:themeShade="80"/>
              <w:right w:val="nil"/>
            </w:tcBorders>
            <w:vAlign w:val="center"/>
            <w:hideMark/>
          </w:tcPr>
          <w:p w14:paraId="41538631" w14:textId="77777777" w:rsidR="008B7E19" w:rsidRDefault="008B7E19" w:rsidP="008B7E19">
            <w:pPr>
              <w:pStyle w:val="08-Tabelageral"/>
              <w:spacing w:line="256" w:lineRule="auto"/>
              <w:rPr>
                <w:rFonts w:cs="Arial"/>
                <w:b/>
                <w:szCs w:val="14"/>
                <w:lang w:eastAsia="en-US"/>
              </w:rPr>
            </w:pPr>
            <w:r>
              <w:rPr>
                <w:rFonts w:cs="Arial"/>
                <w:b/>
                <w:szCs w:val="14"/>
                <w:lang w:eastAsia="en-US"/>
              </w:rPr>
              <w:t>1</w:t>
            </w:r>
            <w:r w:rsidRPr="00220991">
              <w:rPr>
                <w:rFonts w:cs="Arial"/>
                <w:b/>
                <w:szCs w:val="14"/>
                <w:vertAlign w:val="superscript"/>
                <w:lang w:eastAsia="en-US"/>
              </w:rPr>
              <w:t>st</w:t>
            </w:r>
            <w:r>
              <w:rPr>
                <w:rFonts w:cs="Arial"/>
                <w:b/>
                <w:szCs w:val="14"/>
                <w:lang w:eastAsia="en-US"/>
              </w:rPr>
              <w:t xml:space="preserve"> Half 2023</w:t>
            </w:r>
          </w:p>
        </w:tc>
        <w:tc>
          <w:tcPr>
            <w:tcW w:w="289" w:type="dxa"/>
            <w:tcBorders>
              <w:top w:val="single" w:sz="2" w:space="0" w:color="1F4E79" w:themeColor="accent1" w:themeShade="80"/>
              <w:left w:val="nil"/>
              <w:bottom w:val="single" w:sz="2" w:space="0" w:color="1F4E79" w:themeColor="accent1" w:themeShade="80"/>
              <w:right w:val="nil"/>
            </w:tcBorders>
            <w:vAlign w:val="center"/>
          </w:tcPr>
          <w:p w14:paraId="3C4FCE2F" w14:textId="77777777" w:rsidR="008B7E19" w:rsidRDefault="008B7E19" w:rsidP="008B7E19">
            <w:pPr>
              <w:pStyle w:val="08-Tabelageral"/>
              <w:spacing w:line="256" w:lineRule="auto"/>
              <w:rPr>
                <w:rFonts w:cs="Arial"/>
                <w:b/>
                <w:szCs w:val="14"/>
                <w:lang w:eastAsia="en-US"/>
              </w:rPr>
            </w:pPr>
          </w:p>
        </w:tc>
        <w:tc>
          <w:tcPr>
            <w:tcW w:w="1398" w:type="dxa"/>
            <w:tcBorders>
              <w:top w:val="single" w:sz="2" w:space="0" w:color="1F4E79" w:themeColor="accent1" w:themeShade="80"/>
              <w:left w:val="nil"/>
              <w:bottom w:val="single" w:sz="2" w:space="0" w:color="1F4E79" w:themeColor="accent1" w:themeShade="80"/>
              <w:right w:val="nil"/>
            </w:tcBorders>
            <w:vAlign w:val="center"/>
          </w:tcPr>
          <w:p w14:paraId="5CA5A662" w14:textId="77777777" w:rsidR="008B7E19" w:rsidRDefault="008B7E19" w:rsidP="008B7E19">
            <w:pPr>
              <w:pStyle w:val="08-Tabelageral"/>
              <w:spacing w:line="256" w:lineRule="auto"/>
              <w:ind w:left="314"/>
              <w:rPr>
                <w:rFonts w:cs="Arial"/>
                <w:b/>
                <w:szCs w:val="14"/>
                <w:lang w:eastAsia="en-US"/>
              </w:rPr>
            </w:pPr>
          </w:p>
        </w:tc>
        <w:tc>
          <w:tcPr>
            <w:tcW w:w="1417" w:type="dxa"/>
            <w:tcBorders>
              <w:top w:val="single" w:sz="2" w:space="0" w:color="1F4E79" w:themeColor="accent1" w:themeShade="80"/>
              <w:left w:val="nil"/>
              <w:bottom w:val="single" w:sz="2" w:space="0" w:color="1F4E79" w:themeColor="accent1" w:themeShade="80"/>
              <w:right w:val="nil"/>
            </w:tcBorders>
            <w:vAlign w:val="center"/>
            <w:hideMark/>
          </w:tcPr>
          <w:p w14:paraId="59ECD81D" w14:textId="77777777" w:rsidR="008B7E19" w:rsidRDefault="008B7E19" w:rsidP="008B7E19">
            <w:pPr>
              <w:pStyle w:val="08-Tabelageral"/>
              <w:spacing w:line="256" w:lineRule="auto"/>
              <w:rPr>
                <w:rFonts w:cs="Arial"/>
                <w:b/>
                <w:szCs w:val="14"/>
                <w:lang w:eastAsia="en-US"/>
              </w:rPr>
            </w:pPr>
            <w:r>
              <w:rPr>
                <w:rFonts w:cs="Arial"/>
                <w:b/>
                <w:szCs w:val="14"/>
                <w:lang w:eastAsia="en-US"/>
              </w:rPr>
              <w:t>1</w:t>
            </w:r>
            <w:r w:rsidRPr="00220991">
              <w:rPr>
                <w:rFonts w:cs="Arial"/>
                <w:b/>
                <w:szCs w:val="14"/>
                <w:vertAlign w:val="superscript"/>
                <w:lang w:eastAsia="en-US"/>
              </w:rPr>
              <w:t>st</w:t>
            </w:r>
            <w:r>
              <w:rPr>
                <w:rFonts w:cs="Arial"/>
                <w:b/>
                <w:szCs w:val="14"/>
                <w:lang w:eastAsia="en-US"/>
              </w:rPr>
              <w:t xml:space="preserve"> Half 2022</w:t>
            </w:r>
          </w:p>
        </w:tc>
      </w:tr>
      <w:tr w:rsidR="008B7E19" w:rsidRPr="00856511" w14:paraId="6F2D4F70" w14:textId="77777777" w:rsidTr="008B7E19">
        <w:trPr>
          <w:trHeight w:val="238"/>
          <w:jc w:val="center"/>
        </w:trPr>
        <w:tc>
          <w:tcPr>
            <w:tcW w:w="2892" w:type="dxa"/>
            <w:tcBorders>
              <w:top w:val="single" w:sz="2" w:space="0" w:color="1F4E79" w:themeColor="accent1" w:themeShade="80"/>
              <w:left w:val="nil"/>
              <w:bottom w:val="nil"/>
              <w:right w:val="nil"/>
            </w:tcBorders>
            <w:vAlign w:val="center"/>
            <w:hideMark/>
          </w:tcPr>
          <w:p w14:paraId="1EA0DA9D" w14:textId="77777777" w:rsidR="008B7E19" w:rsidRDefault="008B7E19" w:rsidP="008B7E19">
            <w:pPr>
              <w:pStyle w:val="08-Tabelageral"/>
              <w:spacing w:afterLines="40" w:after="96"/>
              <w:jc w:val="left"/>
              <w:rPr>
                <w:rFonts w:cs="Arial"/>
                <w:b/>
                <w:bCs/>
                <w:szCs w:val="14"/>
              </w:rPr>
            </w:pPr>
            <w:r>
              <w:rPr>
                <w:rFonts w:cs="Arial"/>
                <w:b/>
                <w:bCs/>
                <w:szCs w:val="14"/>
              </w:rPr>
              <w:t>Labor Lawsuits</w:t>
            </w:r>
          </w:p>
        </w:tc>
        <w:tc>
          <w:tcPr>
            <w:tcW w:w="616" w:type="dxa"/>
            <w:tcBorders>
              <w:top w:val="single" w:sz="2" w:space="0" w:color="1F4E79" w:themeColor="accent1" w:themeShade="80"/>
              <w:left w:val="nil"/>
              <w:bottom w:val="nil"/>
              <w:right w:val="nil"/>
            </w:tcBorders>
            <w:vAlign w:val="center"/>
          </w:tcPr>
          <w:p w14:paraId="1BEF8AC9" w14:textId="77777777" w:rsidR="008B7E19" w:rsidRDefault="008B7E19" w:rsidP="008B7E19">
            <w:pPr>
              <w:pStyle w:val="08-Tabelageral"/>
              <w:spacing w:afterLines="40" w:after="96"/>
              <w:rPr>
                <w:rFonts w:cs="Arial"/>
                <w:b/>
                <w:bCs/>
                <w:szCs w:val="14"/>
              </w:rPr>
            </w:pPr>
          </w:p>
        </w:tc>
        <w:tc>
          <w:tcPr>
            <w:tcW w:w="1723" w:type="dxa"/>
            <w:tcBorders>
              <w:top w:val="single" w:sz="2" w:space="0" w:color="1F4E79" w:themeColor="accent1" w:themeShade="80"/>
              <w:left w:val="nil"/>
              <w:bottom w:val="nil"/>
              <w:right w:val="nil"/>
            </w:tcBorders>
            <w:vAlign w:val="center"/>
          </w:tcPr>
          <w:p w14:paraId="4FABFB03" w14:textId="77777777" w:rsidR="008B7E19" w:rsidRDefault="008B7E19" w:rsidP="008B7E19">
            <w:pPr>
              <w:pStyle w:val="08-Tabelageral"/>
              <w:spacing w:afterLines="40" w:after="96"/>
              <w:rPr>
                <w:rFonts w:cs="Arial"/>
                <w:b/>
                <w:bCs/>
                <w:szCs w:val="14"/>
              </w:rPr>
            </w:pPr>
          </w:p>
        </w:tc>
        <w:tc>
          <w:tcPr>
            <w:tcW w:w="1304" w:type="dxa"/>
            <w:tcBorders>
              <w:top w:val="single" w:sz="2" w:space="0" w:color="1F4E79" w:themeColor="accent1" w:themeShade="80"/>
              <w:left w:val="nil"/>
              <w:bottom w:val="nil"/>
              <w:right w:val="nil"/>
            </w:tcBorders>
            <w:vAlign w:val="center"/>
          </w:tcPr>
          <w:p w14:paraId="13C9928F" w14:textId="77777777" w:rsidR="008B7E19" w:rsidRDefault="008B7E19" w:rsidP="008B7E19">
            <w:pPr>
              <w:pStyle w:val="08-Tabelageral"/>
              <w:spacing w:afterLines="40" w:after="96"/>
              <w:rPr>
                <w:rFonts w:cs="Arial"/>
                <w:b/>
                <w:bCs/>
                <w:szCs w:val="14"/>
              </w:rPr>
            </w:pPr>
          </w:p>
        </w:tc>
        <w:tc>
          <w:tcPr>
            <w:tcW w:w="289" w:type="dxa"/>
            <w:tcBorders>
              <w:top w:val="single" w:sz="2" w:space="0" w:color="1F4E79" w:themeColor="accent1" w:themeShade="80"/>
              <w:left w:val="nil"/>
              <w:bottom w:val="nil"/>
              <w:right w:val="nil"/>
            </w:tcBorders>
            <w:vAlign w:val="center"/>
          </w:tcPr>
          <w:p w14:paraId="37084414" w14:textId="77777777" w:rsidR="008B7E19" w:rsidRDefault="008B7E19" w:rsidP="008B7E19">
            <w:pPr>
              <w:pStyle w:val="08-Tabelageral"/>
              <w:spacing w:afterLines="40" w:after="96"/>
              <w:rPr>
                <w:rFonts w:cs="Arial"/>
                <w:b/>
                <w:bCs/>
                <w:szCs w:val="14"/>
              </w:rPr>
            </w:pPr>
          </w:p>
        </w:tc>
        <w:tc>
          <w:tcPr>
            <w:tcW w:w="1398" w:type="dxa"/>
            <w:tcBorders>
              <w:top w:val="single" w:sz="2" w:space="0" w:color="1F4E79" w:themeColor="accent1" w:themeShade="80"/>
              <w:left w:val="nil"/>
              <w:bottom w:val="nil"/>
              <w:right w:val="nil"/>
            </w:tcBorders>
            <w:vAlign w:val="center"/>
          </w:tcPr>
          <w:p w14:paraId="53287BB8" w14:textId="77777777" w:rsidR="008B7E19" w:rsidRDefault="008B7E19" w:rsidP="008B7E19">
            <w:pPr>
              <w:pStyle w:val="08-Tabelageral"/>
              <w:spacing w:afterLines="40" w:after="96"/>
              <w:rPr>
                <w:rFonts w:cs="Arial"/>
                <w:b/>
                <w:bCs/>
                <w:szCs w:val="14"/>
              </w:rPr>
            </w:pPr>
          </w:p>
        </w:tc>
        <w:tc>
          <w:tcPr>
            <w:tcW w:w="1417" w:type="dxa"/>
            <w:tcBorders>
              <w:top w:val="single" w:sz="2" w:space="0" w:color="1F4E79" w:themeColor="accent1" w:themeShade="80"/>
              <w:left w:val="nil"/>
              <w:bottom w:val="nil"/>
              <w:right w:val="nil"/>
            </w:tcBorders>
            <w:vAlign w:val="center"/>
          </w:tcPr>
          <w:p w14:paraId="531F347C" w14:textId="77777777" w:rsidR="008B7E19" w:rsidRDefault="008B7E19" w:rsidP="008B7E19">
            <w:pPr>
              <w:pStyle w:val="08-Tabelageral"/>
              <w:spacing w:afterLines="40" w:after="96"/>
              <w:rPr>
                <w:rFonts w:cs="Arial"/>
                <w:b/>
                <w:bCs/>
                <w:szCs w:val="14"/>
              </w:rPr>
            </w:pPr>
          </w:p>
        </w:tc>
      </w:tr>
      <w:tr w:rsidR="008B7E19" w:rsidRPr="00856511" w14:paraId="04B5227D" w14:textId="77777777" w:rsidTr="008B7E19">
        <w:trPr>
          <w:trHeight w:val="238"/>
          <w:jc w:val="center"/>
        </w:trPr>
        <w:tc>
          <w:tcPr>
            <w:tcW w:w="2892" w:type="dxa"/>
            <w:tcBorders>
              <w:top w:val="nil"/>
              <w:left w:val="nil"/>
              <w:bottom w:val="nil"/>
              <w:right w:val="nil"/>
            </w:tcBorders>
            <w:vAlign w:val="center"/>
            <w:hideMark/>
          </w:tcPr>
          <w:p w14:paraId="384D6616" w14:textId="77777777" w:rsidR="008B7E19" w:rsidRPr="00856511" w:rsidRDefault="008B7E19" w:rsidP="008B7E19">
            <w:pPr>
              <w:pStyle w:val="08-Tabelageral"/>
              <w:spacing w:afterLines="40" w:after="96"/>
              <w:jc w:val="left"/>
              <w:rPr>
                <w:rFonts w:cs="Arial"/>
                <w:b/>
                <w:bCs/>
                <w:szCs w:val="14"/>
              </w:rPr>
            </w:pPr>
            <w:r w:rsidRPr="00856511">
              <w:rPr>
                <w:rFonts w:cs="Arial"/>
                <w:b/>
                <w:bCs/>
                <w:szCs w:val="14"/>
              </w:rPr>
              <w:t>Initial balance</w:t>
            </w:r>
          </w:p>
        </w:tc>
        <w:tc>
          <w:tcPr>
            <w:tcW w:w="616" w:type="dxa"/>
            <w:tcBorders>
              <w:top w:val="nil"/>
              <w:left w:val="nil"/>
              <w:bottom w:val="nil"/>
              <w:right w:val="nil"/>
            </w:tcBorders>
            <w:vAlign w:val="center"/>
          </w:tcPr>
          <w:p w14:paraId="0C523123" w14:textId="77777777" w:rsidR="008B7E19" w:rsidRDefault="008B7E19" w:rsidP="008B7E19">
            <w:pPr>
              <w:pStyle w:val="08-Tabelageral"/>
              <w:spacing w:afterLines="40" w:after="96"/>
              <w:rPr>
                <w:rFonts w:cs="Arial"/>
                <w:b/>
                <w:bCs/>
                <w:szCs w:val="14"/>
              </w:rPr>
            </w:pPr>
          </w:p>
        </w:tc>
        <w:tc>
          <w:tcPr>
            <w:tcW w:w="1723" w:type="dxa"/>
            <w:tcBorders>
              <w:top w:val="nil"/>
              <w:left w:val="nil"/>
              <w:bottom w:val="nil"/>
              <w:right w:val="nil"/>
            </w:tcBorders>
            <w:vAlign w:val="center"/>
          </w:tcPr>
          <w:p w14:paraId="4833C8B5" w14:textId="77777777" w:rsidR="008B7E19" w:rsidRDefault="008B7E19" w:rsidP="008B7E19">
            <w:pPr>
              <w:pStyle w:val="08-Tabelageral"/>
              <w:spacing w:afterLines="40" w:after="96"/>
              <w:rPr>
                <w:rFonts w:cs="Arial"/>
                <w:b/>
                <w:bCs/>
                <w:szCs w:val="14"/>
              </w:rPr>
            </w:pPr>
          </w:p>
        </w:tc>
        <w:tc>
          <w:tcPr>
            <w:tcW w:w="1304" w:type="dxa"/>
            <w:tcBorders>
              <w:top w:val="nil"/>
              <w:left w:val="nil"/>
              <w:bottom w:val="nil"/>
              <w:right w:val="nil"/>
            </w:tcBorders>
            <w:vAlign w:val="center"/>
            <w:hideMark/>
          </w:tcPr>
          <w:p w14:paraId="05A79C0D" w14:textId="77777777" w:rsidR="008B7E19" w:rsidRDefault="008B7E19" w:rsidP="008B7E19">
            <w:pPr>
              <w:pStyle w:val="08-Tabelageral"/>
              <w:spacing w:afterLines="40" w:after="96"/>
              <w:rPr>
                <w:rFonts w:cs="Arial"/>
                <w:b/>
                <w:bCs/>
                <w:szCs w:val="14"/>
              </w:rPr>
            </w:pPr>
            <w:r>
              <w:rPr>
                <w:rFonts w:cs="Arial"/>
                <w:b/>
                <w:bCs/>
                <w:szCs w:val="14"/>
              </w:rPr>
              <w:t>28</w:t>
            </w:r>
          </w:p>
        </w:tc>
        <w:tc>
          <w:tcPr>
            <w:tcW w:w="289" w:type="dxa"/>
            <w:tcBorders>
              <w:top w:val="nil"/>
              <w:left w:val="nil"/>
              <w:bottom w:val="nil"/>
              <w:right w:val="nil"/>
            </w:tcBorders>
            <w:vAlign w:val="center"/>
          </w:tcPr>
          <w:p w14:paraId="0A1A5F77" w14:textId="77777777" w:rsidR="008B7E19" w:rsidRDefault="008B7E19" w:rsidP="008B7E19">
            <w:pPr>
              <w:pStyle w:val="08-Tabelageral"/>
              <w:spacing w:afterLines="40" w:after="96"/>
              <w:rPr>
                <w:rFonts w:cs="Arial"/>
                <w:b/>
                <w:bCs/>
                <w:szCs w:val="14"/>
              </w:rPr>
            </w:pPr>
          </w:p>
        </w:tc>
        <w:tc>
          <w:tcPr>
            <w:tcW w:w="1398" w:type="dxa"/>
            <w:tcBorders>
              <w:top w:val="nil"/>
              <w:left w:val="nil"/>
              <w:bottom w:val="nil"/>
              <w:right w:val="nil"/>
            </w:tcBorders>
            <w:vAlign w:val="center"/>
          </w:tcPr>
          <w:p w14:paraId="30CD094F" w14:textId="77777777" w:rsidR="008B7E19" w:rsidRDefault="008B7E19" w:rsidP="008B7E19">
            <w:pPr>
              <w:pStyle w:val="08-Tabelageral"/>
              <w:spacing w:afterLines="40" w:after="96"/>
              <w:rPr>
                <w:rFonts w:cs="Arial"/>
                <w:b/>
                <w:bCs/>
                <w:szCs w:val="14"/>
              </w:rPr>
            </w:pPr>
          </w:p>
        </w:tc>
        <w:tc>
          <w:tcPr>
            <w:tcW w:w="1417" w:type="dxa"/>
            <w:tcBorders>
              <w:top w:val="nil"/>
              <w:left w:val="nil"/>
              <w:bottom w:val="nil"/>
              <w:right w:val="nil"/>
            </w:tcBorders>
            <w:vAlign w:val="center"/>
            <w:hideMark/>
          </w:tcPr>
          <w:p w14:paraId="44EAF490" w14:textId="77777777" w:rsidR="008B7E19" w:rsidRDefault="008B7E19" w:rsidP="008B7E19">
            <w:pPr>
              <w:pStyle w:val="08-Tabelageral"/>
              <w:spacing w:afterLines="40" w:after="96"/>
              <w:rPr>
                <w:rFonts w:cs="Arial"/>
                <w:b/>
                <w:bCs/>
                <w:szCs w:val="14"/>
              </w:rPr>
            </w:pPr>
            <w:r w:rsidRPr="00F9604B">
              <w:rPr>
                <w:rFonts w:cs="Arial"/>
                <w:b/>
                <w:bCs/>
                <w:szCs w:val="14"/>
              </w:rPr>
              <w:t>28</w:t>
            </w:r>
          </w:p>
        </w:tc>
      </w:tr>
      <w:tr w:rsidR="008B7E19" w:rsidRPr="00856511" w14:paraId="71BB2FDB" w14:textId="77777777" w:rsidTr="008B7E19">
        <w:trPr>
          <w:trHeight w:val="238"/>
          <w:jc w:val="center"/>
        </w:trPr>
        <w:tc>
          <w:tcPr>
            <w:tcW w:w="2892" w:type="dxa"/>
            <w:tcBorders>
              <w:top w:val="nil"/>
              <w:left w:val="nil"/>
              <w:bottom w:val="nil"/>
              <w:right w:val="nil"/>
            </w:tcBorders>
            <w:vAlign w:val="center"/>
            <w:hideMark/>
          </w:tcPr>
          <w:p w14:paraId="33F8D7A6" w14:textId="77777777" w:rsidR="008B7E19" w:rsidRDefault="008B7E19" w:rsidP="008B7E19">
            <w:pPr>
              <w:pStyle w:val="08-Tabelageral"/>
              <w:spacing w:afterLines="40" w:after="96"/>
              <w:ind w:left="113"/>
              <w:jc w:val="left"/>
              <w:rPr>
                <w:rFonts w:cs="Arial"/>
                <w:szCs w:val="14"/>
              </w:rPr>
            </w:pPr>
            <w:r>
              <w:rPr>
                <w:rFonts w:cs="Arial"/>
                <w:szCs w:val="14"/>
              </w:rPr>
              <w:t>Addition</w:t>
            </w:r>
            <w:r w:rsidRPr="00A33E7B">
              <w:rPr>
                <w:rFonts w:cs="Arial"/>
                <w:szCs w:val="14"/>
              </w:rPr>
              <w:t>/</w:t>
            </w:r>
            <w:r>
              <w:rPr>
                <w:rFonts w:cs="Arial"/>
                <w:szCs w:val="14"/>
              </w:rPr>
              <w:t>Update</w:t>
            </w:r>
          </w:p>
        </w:tc>
        <w:tc>
          <w:tcPr>
            <w:tcW w:w="616" w:type="dxa"/>
            <w:tcBorders>
              <w:top w:val="nil"/>
              <w:left w:val="nil"/>
              <w:bottom w:val="nil"/>
              <w:right w:val="nil"/>
            </w:tcBorders>
            <w:vAlign w:val="center"/>
          </w:tcPr>
          <w:p w14:paraId="6C75C4A8" w14:textId="77777777" w:rsidR="008B7E19" w:rsidRPr="00856511" w:rsidRDefault="008B7E19" w:rsidP="008B7E19">
            <w:pPr>
              <w:pStyle w:val="08-Tabelageral"/>
              <w:spacing w:afterLines="40" w:after="96"/>
              <w:ind w:left="113"/>
              <w:rPr>
                <w:rFonts w:cs="Arial"/>
                <w:szCs w:val="14"/>
              </w:rPr>
            </w:pPr>
          </w:p>
        </w:tc>
        <w:tc>
          <w:tcPr>
            <w:tcW w:w="1723" w:type="dxa"/>
            <w:tcBorders>
              <w:top w:val="nil"/>
              <w:left w:val="nil"/>
              <w:bottom w:val="nil"/>
              <w:right w:val="nil"/>
            </w:tcBorders>
            <w:vAlign w:val="center"/>
          </w:tcPr>
          <w:p w14:paraId="7D065A90" w14:textId="77777777" w:rsidR="008B7E19" w:rsidRPr="00856511" w:rsidRDefault="008B7E19" w:rsidP="008B7E19">
            <w:pPr>
              <w:pStyle w:val="08-Tabelageral"/>
              <w:spacing w:afterLines="40" w:after="96"/>
              <w:ind w:left="113"/>
              <w:rPr>
                <w:rFonts w:cs="Arial"/>
                <w:szCs w:val="14"/>
              </w:rPr>
            </w:pPr>
          </w:p>
        </w:tc>
        <w:tc>
          <w:tcPr>
            <w:tcW w:w="1304" w:type="dxa"/>
            <w:tcBorders>
              <w:top w:val="nil"/>
              <w:left w:val="nil"/>
              <w:bottom w:val="nil"/>
              <w:right w:val="nil"/>
            </w:tcBorders>
            <w:vAlign w:val="center"/>
            <w:hideMark/>
          </w:tcPr>
          <w:p w14:paraId="77CD3820" w14:textId="77777777" w:rsidR="008B7E19" w:rsidRPr="00856511" w:rsidRDefault="008B7E19" w:rsidP="008B7E19">
            <w:pPr>
              <w:pStyle w:val="08-Tabelageral"/>
              <w:spacing w:afterLines="40" w:after="96"/>
              <w:ind w:left="113"/>
              <w:rPr>
                <w:rFonts w:cs="Arial"/>
                <w:szCs w:val="14"/>
              </w:rPr>
            </w:pPr>
            <w:r>
              <w:rPr>
                <w:rFonts w:cs="Arial"/>
                <w:szCs w:val="14"/>
              </w:rPr>
              <w:t>41</w:t>
            </w:r>
          </w:p>
        </w:tc>
        <w:tc>
          <w:tcPr>
            <w:tcW w:w="289" w:type="dxa"/>
            <w:tcBorders>
              <w:top w:val="nil"/>
              <w:left w:val="nil"/>
              <w:bottom w:val="nil"/>
              <w:right w:val="nil"/>
            </w:tcBorders>
            <w:vAlign w:val="center"/>
          </w:tcPr>
          <w:p w14:paraId="16EF2089" w14:textId="77777777" w:rsidR="008B7E19" w:rsidRPr="00856511" w:rsidRDefault="008B7E19" w:rsidP="008B7E19">
            <w:pPr>
              <w:pStyle w:val="08-Tabelageral"/>
              <w:spacing w:afterLines="40" w:after="96"/>
              <w:ind w:left="113"/>
              <w:rPr>
                <w:rFonts w:cs="Arial"/>
                <w:szCs w:val="14"/>
              </w:rPr>
            </w:pPr>
          </w:p>
        </w:tc>
        <w:tc>
          <w:tcPr>
            <w:tcW w:w="1398" w:type="dxa"/>
            <w:tcBorders>
              <w:top w:val="nil"/>
              <w:left w:val="nil"/>
              <w:bottom w:val="nil"/>
              <w:right w:val="nil"/>
            </w:tcBorders>
            <w:vAlign w:val="center"/>
          </w:tcPr>
          <w:p w14:paraId="6EBFD373" w14:textId="77777777" w:rsidR="008B7E19" w:rsidRPr="00856511" w:rsidRDefault="008B7E19" w:rsidP="008B7E19">
            <w:pPr>
              <w:pStyle w:val="08-Tabelageral"/>
              <w:spacing w:afterLines="40" w:after="96"/>
              <w:ind w:left="113"/>
              <w:rPr>
                <w:rFonts w:cs="Arial"/>
                <w:szCs w:val="14"/>
              </w:rPr>
            </w:pPr>
          </w:p>
        </w:tc>
        <w:tc>
          <w:tcPr>
            <w:tcW w:w="1417" w:type="dxa"/>
            <w:tcBorders>
              <w:top w:val="nil"/>
              <w:left w:val="nil"/>
              <w:bottom w:val="nil"/>
              <w:right w:val="nil"/>
            </w:tcBorders>
            <w:vAlign w:val="center"/>
            <w:hideMark/>
          </w:tcPr>
          <w:p w14:paraId="501FDF02" w14:textId="77777777" w:rsidR="008B7E19" w:rsidRPr="00856511" w:rsidRDefault="008B7E19" w:rsidP="008B7E19">
            <w:pPr>
              <w:pStyle w:val="08-Tabelageral"/>
              <w:spacing w:afterLines="40" w:after="96"/>
              <w:ind w:left="113"/>
              <w:rPr>
                <w:rFonts w:cs="Arial"/>
                <w:szCs w:val="14"/>
              </w:rPr>
            </w:pPr>
            <w:r w:rsidRPr="00330EE7">
              <w:rPr>
                <w:rFonts w:cs="Arial"/>
                <w:szCs w:val="14"/>
              </w:rPr>
              <w:t>--</w:t>
            </w:r>
          </w:p>
        </w:tc>
      </w:tr>
      <w:tr w:rsidR="008B7E19" w:rsidRPr="00856511" w14:paraId="5A2C7838" w14:textId="77777777" w:rsidTr="008B7E19">
        <w:trPr>
          <w:trHeight w:val="238"/>
          <w:jc w:val="center"/>
        </w:trPr>
        <w:tc>
          <w:tcPr>
            <w:tcW w:w="2892" w:type="dxa"/>
            <w:tcBorders>
              <w:top w:val="nil"/>
              <w:left w:val="nil"/>
              <w:bottom w:val="nil"/>
              <w:right w:val="nil"/>
            </w:tcBorders>
            <w:vAlign w:val="center"/>
            <w:hideMark/>
          </w:tcPr>
          <w:p w14:paraId="3527E67C" w14:textId="77777777" w:rsidR="008B7E19" w:rsidRDefault="008B7E19" w:rsidP="008B7E19">
            <w:pPr>
              <w:pStyle w:val="08-Tabelageral"/>
              <w:spacing w:afterLines="40" w:after="96"/>
              <w:ind w:left="113"/>
              <w:jc w:val="left"/>
              <w:rPr>
                <w:rFonts w:cs="Arial"/>
                <w:szCs w:val="14"/>
              </w:rPr>
            </w:pPr>
            <w:r w:rsidRPr="00A33E7B">
              <w:rPr>
                <w:rFonts w:cs="Arial"/>
                <w:szCs w:val="14"/>
              </w:rPr>
              <w:t>Rever</w:t>
            </w:r>
            <w:r>
              <w:rPr>
                <w:rFonts w:cs="Arial"/>
                <w:szCs w:val="14"/>
              </w:rPr>
              <w:t>sal of the provision</w:t>
            </w:r>
          </w:p>
        </w:tc>
        <w:tc>
          <w:tcPr>
            <w:tcW w:w="616" w:type="dxa"/>
            <w:tcBorders>
              <w:top w:val="nil"/>
              <w:left w:val="nil"/>
              <w:bottom w:val="nil"/>
              <w:right w:val="nil"/>
            </w:tcBorders>
            <w:vAlign w:val="center"/>
          </w:tcPr>
          <w:p w14:paraId="56C1FBB0" w14:textId="77777777" w:rsidR="008B7E19" w:rsidRPr="00856511" w:rsidRDefault="008B7E19" w:rsidP="008B7E19">
            <w:pPr>
              <w:pStyle w:val="08-Tabelageral"/>
              <w:spacing w:afterLines="40" w:after="96"/>
              <w:ind w:left="113"/>
              <w:rPr>
                <w:rFonts w:cs="Arial"/>
                <w:szCs w:val="14"/>
              </w:rPr>
            </w:pPr>
          </w:p>
        </w:tc>
        <w:tc>
          <w:tcPr>
            <w:tcW w:w="1723" w:type="dxa"/>
            <w:tcBorders>
              <w:top w:val="nil"/>
              <w:left w:val="nil"/>
              <w:bottom w:val="nil"/>
              <w:right w:val="nil"/>
            </w:tcBorders>
            <w:vAlign w:val="center"/>
          </w:tcPr>
          <w:p w14:paraId="6AE16434" w14:textId="77777777" w:rsidR="008B7E19" w:rsidRPr="00856511" w:rsidRDefault="008B7E19" w:rsidP="008B7E19">
            <w:pPr>
              <w:pStyle w:val="08-Tabelageral"/>
              <w:spacing w:afterLines="40" w:after="96"/>
              <w:ind w:left="113"/>
              <w:rPr>
                <w:rFonts w:cs="Arial"/>
                <w:szCs w:val="14"/>
              </w:rPr>
            </w:pPr>
          </w:p>
        </w:tc>
        <w:tc>
          <w:tcPr>
            <w:tcW w:w="1304" w:type="dxa"/>
            <w:tcBorders>
              <w:top w:val="nil"/>
              <w:left w:val="nil"/>
              <w:bottom w:val="nil"/>
              <w:right w:val="nil"/>
            </w:tcBorders>
            <w:vAlign w:val="center"/>
            <w:hideMark/>
          </w:tcPr>
          <w:p w14:paraId="63CE13DA" w14:textId="77777777" w:rsidR="008B7E19" w:rsidRPr="00856511" w:rsidRDefault="008B7E19" w:rsidP="008B7E19">
            <w:pPr>
              <w:pStyle w:val="08-Tabelageral"/>
              <w:spacing w:afterLines="40" w:after="96"/>
              <w:ind w:left="113"/>
              <w:rPr>
                <w:rFonts w:cs="Arial"/>
                <w:szCs w:val="14"/>
              </w:rPr>
            </w:pPr>
            <w:r>
              <w:rPr>
                <w:rFonts w:cs="Arial"/>
                <w:szCs w:val="14"/>
              </w:rPr>
              <w:t>--</w:t>
            </w:r>
          </w:p>
        </w:tc>
        <w:tc>
          <w:tcPr>
            <w:tcW w:w="289" w:type="dxa"/>
            <w:tcBorders>
              <w:top w:val="nil"/>
              <w:left w:val="nil"/>
              <w:bottom w:val="nil"/>
              <w:right w:val="nil"/>
            </w:tcBorders>
            <w:vAlign w:val="center"/>
          </w:tcPr>
          <w:p w14:paraId="73DC80DD" w14:textId="77777777" w:rsidR="008B7E19" w:rsidRPr="00856511" w:rsidRDefault="008B7E19" w:rsidP="008B7E19">
            <w:pPr>
              <w:pStyle w:val="08-Tabelageral"/>
              <w:spacing w:afterLines="40" w:after="96"/>
              <w:ind w:left="113"/>
              <w:rPr>
                <w:rFonts w:cs="Arial"/>
                <w:szCs w:val="14"/>
              </w:rPr>
            </w:pPr>
          </w:p>
        </w:tc>
        <w:tc>
          <w:tcPr>
            <w:tcW w:w="1398" w:type="dxa"/>
            <w:tcBorders>
              <w:top w:val="nil"/>
              <w:left w:val="nil"/>
              <w:bottom w:val="nil"/>
              <w:right w:val="nil"/>
            </w:tcBorders>
            <w:vAlign w:val="center"/>
          </w:tcPr>
          <w:p w14:paraId="6D4882FD" w14:textId="77777777" w:rsidR="008B7E19" w:rsidRPr="00856511" w:rsidRDefault="008B7E19" w:rsidP="008B7E19">
            <w:pPr>
              <w:pStyle w:val="08-Tabelageral"/>
              <w:spacing w:afterLines="40" w:after="96"/>
              <w:ind w:left="113"/>
              <w:rPr>
                <w:rFonts w:cs="Arial"/>
                <w:szCs w:val="14"/>
              </w:rPr>
            </w:pPr>
          </w:p>
        </w:tc>
        <w:tc>
          <w:tcPr>
            <w:tcW w:w="1417" w:type="dxa"/>
            <w:tcBorders>
              <w:top w:val="nil"/>
              <w:left w:val="nil"/>
              <w:bottom w:val="nil"/>
              <w:right w:val="nil"/>
            </w:tcBorders>
            <w:vAlign w:val="center"/>
            <w:hideMark/>
          </w:tcPr>
          <w:p w14:paraId="11D6028C" w14:textId="77777777" w:rsidR="008B7E19" w:rsidRPr="00856511" w:rsidRDefault="008B7E19" w:rsidP="008B7E19">
            <w:pPr>
              <w:pStyle w:val="08-Tabelageral"/>
              <w:spacing w:afterLines="40" w:after="96"/>
              <w:ind w:left="113"/>
              <w:rPr>
                <w:rFonts w:cs="Arial"/>
                <w:szCs w:val="14"/>
              </w:rPr>
            </w:pPr>
            <w:r w:rsidRPr="00330EE7">
              <w:rPr>
                <w:rFonts w:cs="Arial"/>
                <w:szCs w:val="14"/>
              </w:rPr>
              <w:t>--</w:t>
            </w:r>
          </w:p>
        </w:tc>
      </w:tr>
      <w:tr w:rsidR="008B7E19" w:rsidRPr="00856511" w14:paraId="413B828E" w14:textId="77777777" w:rsidTr="008B7E19">
        <w:trPr>
          <w:trHeight w:val="238"/>
          <w:jc w:val="center"/>
        </w:trPr>
        <w:tc>
          <w:tcPr>
            <w:tcW w:w="2892" w:type="dxa"/>
            <w:tcBorders>
              <w:top w:val="nil"/>
              <w:left w:val="nil"/>
              <w:bottom w:val="nil"/>
              <w:right w:val="nil"/>
            </w:tcBorders>
            <w:vAlign w:val="center"/>
            <w:hideMark/>
          </w:tcPr>
          <w:p w14:paraId="770CE17E" w14:textId="77777777" w:rsidR="008B7E19" w:rsidRDefault="008B7E19" w:rsidP="008B7E19">
            <w:pPr>
              <w:pStyle w:val="08-Tabelageral"/>
              <w:spacing w:afterLines="40" w:after="96"/>
              <w:ind w:left="113"/>
              <w:jc w:val="left"/>
              <w:rPr>
                <w:rFonts w:cs="Arial"/>
                <w:szCs w:val="14"/>
              </w:rPr>
            </w:pPr>
            <w:r>
              <w:rPr>
                <w:rFonts w:cs="Arial"/>
                <w:szCs w:val="14"/>
              </w:rPr>
              <w:t>W</w:t>
            </w:r>
            <w:r w:rsidRPr="00A23DAE">
              <w:rPr>
                <w:rFonts w:cs="Arial"/>
                <w:szCs w:val="14"/>
              </w:rPr>
              <w:t>rite-off by payment</w:t>
            </w:r>
          </w:p>
        </w:tc>
        <w:tc>
          <w:tcPr>
            <w:tcW w:w="616" w:type="dxa"/>
            <w:tcBorders>
              <w:top w:val="nil"/>
              <w:left w:val="nil"/>
              <w:bottom w:val="nil"/>
              <w:right w:val="nil"/>
            </w:tcBorders>
            <w:vAlign w:val="center"/>
          </w:tcPr>
          <w:p w14:paraId="4433A738" w14:textId="77777777" w:rsidR="008B7E19" w:rsidRPr="00856511" w:rsidRDefault="008B7E19" w:rsidP="008B7E19">
            <w:pPr>
              <w:pStyle w:val="08-Tabelageral"/>
              <w:spacing w:afterLines="40" w:after="96"/>
              <w:ind w:left="113"/>
              <w:rPr>
                <w:rFonts w:cs="Arial"/>
                <w:szCs w:val="14"/>
              </w:rPr>
            </w:pPr>
          </w:p>
        </w:tc>
        <w:tc>
          <w:tcPr>
            <w:tcW w:w="1723" w:type="dxa"/>
            <w:tcBorders>
              <w:top w:val="nil"/>
              <w:left w:val="nil"/>
              <w:bottom w:val="nil"/>
              <w:right w:val="nil"/>
            </w:tcBorders>
            <w:vAlign w:val="center"/>
          </w:tcPr>
          <w:p w14:paraId="0CA2E058" w14:textId="77777777" w:rsidR="008B7E19" w:rsidRPr="00856511" w:rsidRDefault="008B7E19" w:rsidP="008B7E19">
            <w:pPr>
              <w:pStyle w:val="08-Tabelageral"/>
              <w:spacing w:afterLines="40" w:after="96"/>
              <w:ind w:left="113"/>
              <w:rPr>
                <w:rFonts w:cs="Arial"/>
                <w:szCs w:val="14"/>
              </w:rPr>
            </w:pPr>
          </w:p>
        </w:tc>
        <w:tc>
          <w:tcPr>
            <w:tcW w:w="1304" w:type="dxa"/>
            <w:tcBorders>
              <w:top w:val="nil"/>
              <w:left w:val="nil"/>
              <w:bottom w:val="nil"/>
              <w:right w:val="nil"/>
            </w:tcBorders>
            <w:vAlign w:val="center"/>
            <w:hideMark/>
          </w:tcPr>
          <w:p w14:paraId="5F855101" w14:textId="77777777" w:rsidR="008B7E19" w:rsidRPr="00856511" w:rsidRDefault="008B7E19" w:rsidP="008B7E19">
            <w:pPr>
              <w:pStyle w:val="08-Tabelageral"/>
              <w:spacing w:afterLines="40" w:after="96"/>
              <w:ind w:left="113"/>
              <w:rPr>
                <w:rFonts w:cs="Arial"/>
                <w:szCs w:val="14"/>
              </w:rPr>
            </w:pPr>
            <w:r>
              <w:rPr>
                <w:rFonts w:cs="Arial"/>
                <w:szCs w:val="14"/>
              </w:rPr>
              <w:t>--</w:t>
            </w:r>
          </w:p>
        </w:tc>
        <w:tc>
          <w:tcPr>
            <w:tcW w:w="289" w:type="dxa"/>
            <w:tcBorders>
              <w:top w:val="nil"/>
              <w:left w:val="nil"/>
              <w:bottom w:val="nil"/>
              <w:right w:val="nil"/>
            </w:tcBorders>
            <w:vAlign w:val="center"/>
          </w:tcPr>
          <w:p w14:paraId="188186AE" w14:textId="77777777" w:rsidR="008B7E19" w:rsidRPr="00856511" w:rsidRDefault="008B7E19" w:rsidP="008B7E19">
            <w:pPr>
              <w:pStyle w:val="08-Tabelageral"/>
              <w:spacing w:afterLines="40" w:after="96"/>
              <w:ind w:left="113"/>
              <w:rPr>
                <w:rFonts w:cs="Arial"/>
                <w:szCs w:val="14"/>
              </w:rPr>
            </w:pPr>
          </w:p>
        </w:tc>
        <w:tc>
          <w:tcPr>
            <w:tcW w:w="1398" w:type="dxa"/>
            <w:tcBorders>
              <w:top w:val="nil"/>
              <w:left w:val="nil"/>
              <w:bottom w:val="nil"/>
              <w:right w:val="nil"/>
            </w:tcBorders>
            <w:vAlign w:val="center"/>
          </w:tcPr>
          <w:p w14:paraId="3C188998" w14:textId="77777777" w:rsidR="008B7E19" w:rsidRPr="00856511" w:rsidRDefault="008B7E19" w:rsidP="008B7E19">
            <w:pPr>
              <w:pStyle w:val="08-Tabelageral"/>
              <w:spacing w:afterLines="40" w:after="96"/>
              <w:ind w:left="113"/>
              <w:rPr>
                <w:rFonts w:cs="Arial"/>
                <w:szCs w:val="14"/>
              </w:rPr>
            </w:pPr>
          </w:p>
        </w:tc>
        <w:tc>
          <w:tcPr>
            <w:tcW w:w="1417" w:type="dxa"/>
            <w:tcBorders>
              <w:top w:val="nil"/>
              <w:left w:val="nil"/>
              <w:bottom w:val="nil"/>
              <w:right w:val="nil"/>
            </w:tcBorders>
            <w:vAlign w:val="center"/>
            <w:hideMark/>
          </w:tcPr>
          <w:p w14:paraId="14635188" w14:textId="77777777" w:rsidR="008B7E19" w:rsidRPr="00856511" w:rsidRDefault="008B7E19" w:rsidP="008B7E19">
            <w:pPr>
              <w:pStyle w:val="08-Tabelageral"/>
              <w:spacing w:afterLines="40" w:after="96"/>
              <w:ind w:left="113"/>
              <w:rPr>
                <w:rFonts w:cs="Arial"/>
                <w:szCs w:val="14"/>
              </w:rPr>
            </w:pPr>
            <w:r w:rsidRPr="00330EE7">
              <w:rPr>
                <w:rFonts w:cs="Arial"/>
                <w:szCs w:val="14"/>
              </w:rPr>
              <w:t>--</w:t>
            </w:r>
          </w:p>
        </w:tc>
      </w:tr>
      <w:tr w:rsidR="008B7E19" w:rsidRPr="00856511" w14:paraId="792AA1A0" w14:textId="77777777" w:rsidTr="008B7E19">
        <w:trPr>
          <w:trHeight w:val="238"/>
          <w:jc w:val="center"/>
        </w:trPr>
        <w:tc>
          <w:tcPr>
            <w:tcW w:w="2892" w:type="dxa"/>
            <w:tcBorders>
              <w:top w:val="nil"/>
              <w:left w:val="nil"/>
              <w:bottom w:val="nil"/>
              <w:right w:val="nil"/>
            </w:tcBorders>
            <w:vAlign w:val="center"/>
            <w:hideMark/>
          </w:tcPr>
          <w:p w14:paraId="230C6B9D" w14:textId="77777777" w:rsidR="008B7E19" w:rsidRPr="00856511" w:rsidRDefault="008B7E19" w:rsidP="008B7E19">
            <w:pPr>
              <w:pStyle w:val="08-Tabelageral"/>
              <w:spacing w:afterLines="40" w:after="96"/>
              <w:jc w:val="left"/>
              <w:rPr>
                <w:rFonts w:cs="Arial"/>
                <w:b/>
                <w:bCs/>
                <w:szCs w:val="14"/>
              </w:rPr>
            </w:pPr>
            <w:r w:rsidRPr="00856511">
              <w:rPr>
                <w:rFonts w:cs="Arial"/>
                <w:b/>
                <w:bCs/>
                <w:szCs w:val="14"/>
              </w:rPr>
              <w:t>Closing balance</w:t>
            </w:r>
          </w:p>
        </w:tc>
        <w:tc>
          <w:tcPr>
            <w:tcW w:w="616" w:type="dxa"/>
            <w:tcBorders>
              <w:top w:val="nil"/>
              <w:left w:val="nil"/>
              <w:bottom w:val="nil"/>
              <w:right w:val="nil"/>
            </w:tcBorders>
            <w:vAlign w:val="center"/>
          </w:tcPr>
          <w:p w14:paraId="2E891A56" w14:textId="77777777" w:rsidR="008B7E19" w:rsidRDefault="008B7E19" w:rsidP="008B7E19">
            <w:pPr>
              <w:pStyle w:val="08-Tabelageral"/>
              <w:spacing w:afterLines="40" w:after="96"/>
              <w:rPr>
                <w:rFonts w:cs="Arial"/>
                <w:b/>
                <w:bCs/>
                <w:szCs w:val="14"/>
              </w:rPr>
            </w:pPr>
          </w:p>
        </w:tc>
        <w:tc>
          <w:tcPr>
            <w:tcW w:w="1723" w:type="dxa"/>
            <w:tcBorders>
              <w:top w:val="nil"/>
              <w:left w:val="nil"/>
              <w:bottom w:val="nil"/>
              <w:right w:val="nil"/>
            </w:tcBorders>
            <w:vAlign w:val="center"/>
          </w:tcPr>
          <w:p w14:paraId="5CC426D6" w14:textId="77777777" w:rsidR="008B7E19" w:rsidRDefault="008B7E19" w:rsidP="008B7E19">
            <w:pPr>
              <w:pStyle w:val="08-Tabelageral"/>
              <w:spacing w:afterLines="40" w:after="96"/>
              <w:rPr>
                <w:rFonts w:cs="Arial"/>
                <w:b/>
                <w:bCs/>
                <w:szCs w:val="14"/>
              </w:rPr>
            </w:pPr>
          </w:p>
        </w:tc>
        <w:tc>
          <w:tcPr>
            <w:tcW w:w="1304" w:type="dxa"/>
            <w:tcBorders>
              <w:top w:val="nil"/>
              <w:left w:val="nil"/>
              <w:bottom w:val="nil"/>
              <w:right w:val="nil"/>
            </w:tcBorders>
            <w:vAlign w:val="center"/>
            <w:hideMark/>
          </w:tcPr>
          <w:p w14:paraId="6C12D886" w14:textId="77777777" w:rsidR="008B7E19" w:rsidRDefault="008B7E19" w:rsidP="008B7E19">
            <w:pPr>
              <w:pStyle w:val="08-Tabelageral"/>
              <w:spacing w:afterLines="40" w:after="96"/>
              <w:rPr>
                <w:rFonts w:cs="Arial"/>
                <w:b/>
                <w:bCs/>
                <w:szCs w:val="14"/>
              </w:rPr>
            </w:pPr>
            <w:r>
              <w:rPr>
                <w:rFonts w:cs="Arial"/>
                <w:b/>
                <w:bCs/>
                <w:szCs w:val="14"/>
              </w:rPr>
              <w:t>69</w:t>
            </w:r>
          </w:p>
        </w:tc>
        <w:tc>
          <w:tcPr>
            <w:tcW w:w="289" w:type="dxa"/>
            <w:tcBorders>
              <w:top w:val="nil"/>
              <w:left w:val="nil"/>
              <w:bottom w:val="nil"/>
              <w:right w:val="nil"/>
            </w:tcBorders>
            <w:vAlign w:val="center"/>
          </w:tcPr>
          <w:p w14:paraId="2A098564" w14:textId="77777777" w:rsidR="008B7E19" w:rsidRDefault="008B7E19" w:rsidP="008B7E19">
            <w:pPr>
              <w:pStyle w:val="08-Tabelageral"/>
              <w:spacing w:afterLines="40" w:after="96"/>
              <w:rPr>
                <w:rFonts w:cs="Arial"/>
                <w:b/>
                <w:bCs/>
                <w:szCs w:val="14"/>
              </w:rPr>
            </w:pPr>
          </w:p>
        </w:tc>
        <w:tc>
          <w:tcPr>
            <w:tcW w:w="1398" w:type="dxa"/>
            <w:tcBorders>
              <w:top w:val="nil"/>
              <w:left w:val="nil"/>
              <w:bottom w:val="nil"/>
              <w:right w:val="nil"/>
            </w:tcBorders>
            <w:vAlign w:val="center"/>
          </w:tcPr>
          <w:p w14:paraId="4A4F18C8" w14:textId="77777777" w:rsidR="008B7E19" w:rsidRDefault="008B7E19" w:rsidP="008B7E19">
            <w:pPr>
              <w:pStyle w:val="08-Tabelageral"/>
              <w:spacing w:afterLines="40" w:after="96"/>
              <w:rPr>
                <w:rFonts w:cs="Arial"/>
                <w:b/>
                <w:bCs/>
                <w:szCs w:val="14"/>
              </w:rPr>
            </w:pPr>
          </w:p>
        </w:tc>
        <w:tc>
          <w:tcPr>
            <w:tcW w:w="1417" w:type="dxa"/>
            <w:tcBorders>
              <w:top w:val="nil"/>
              <w:left w:val="nil"/>
              <w:bottom w:val="nil"/>
              <w:right w:val="nil"/>
            </w:tcBorders>
            <w:vAlign w:val="center"/>
            <w:hideMark/>
          </w:tcPr>
          <w:p w14:paraId="5776871F" w14:textId="77777777" w:rsidR="008B7E19" w:rsidRDefault="008B7E19" w:rsidP="008B7E19">
            <w:pPr>
              <w:pStyle w:val="08-Tabelageral"/>
              <w:spacing w:afterLines="40" w:after="96"/>
              <w:rPr>
                <w:rFonts w:cs="Arial"/>
                <w:b/>
                <w:bCs/>
                <w:szCs w:val="14"/>
              </w:rPr>
            </w:pPr>
            <w:r w:rsidRPr="00F9604B">
              <w:rPr>
                <w:rFonts w:cs="Arial"/>
                <w:b/>
                <w:bCs/>
                <w:szCs w:val="14"/>
              </w:rPr>
              <w:t>28</w:t>
            </w:r>
          </w:p>
        </w:tc>
      </w:tr>
      <w:tr w:rsidR="008B7E19" w:rsidRPr="00856511" w14:paraId="59B3AE33" w14:textId="77777777" w:rsidTr="008B7E19">
        <w:trPr>
          <w:trHeight w:val="238"/>
          <w:jc w:val="center"/>
        </w:trPr>
        <w:tc>
          <w:tcPr>
            <w:tcW w:w="2892" w:type="dxa"/>
            <w:tcBorders>
              <w:top w:val="nil"/>
              <w:left w:val="nil"/>
              <w:bottom w:val="nil"/>
              <w:right w:val="nil"/>
            </w:tcBorders>
            <w:vAlign w:val="center"/>
            <w:hideMark/>
          </w:tcPr>
          <w:p w14:paraId="73877082" w14:textId="77777777" w:rsidR="008B7E19" w:rsidRPr="00856511" w:rsidRDefault="008B7E19" w:rsidP="008B7E19">
            <w:pPr>
              <w:pStyle w:val="08-Tabelageral"/>
              <w:spacing w:afterLines="40" w:after="96"/>
              <w:jc w:val="left"/>
              <w:rPr>
                <w:rFonts w:cs="Arial"/>
                <w:b/>
                <w:bCs/>
                <w:szCs w:val="14"/>
              </w:rPr>
            </w:pPr>
            <w:r>
              <w:rPr>
                <w:rFonts w:cs="Arial"/>
                <w:b/>
                <w:bCs/>
                <w:szCs w:val="14"/>
              </w:rPr>
              <w:t>Tax</w:t>
            </w:r>
            <w:r w:rsidRPr="00856511">
              <w:rPr>
                <w:rFonts w:cs="Arial"/>
                <w:b/>
                <w:bCs/>
                <w:szCs w:val="14"/>
              </w:rPr>
              <w:t xml:space="preserve"> Lawsuits</w:t>
            </w:r>
          </w:p>
        </w:tc>
        <w:tc>
          <w:tcPr>
            <w:tcW w:w="616" w:type="dxa"/>
            <w:tcBorders>
              <w:top w:val="nil"/>
              <w:left w:val="nil"/>
              <w:bottom w:val="nil"/>
              <w:right w:val="nil"/>
            </w:tcBorders>
            <w:vAlign w:val="center"/>
          </w:tcPr>
          <w:p w14:paraId="2DF40EF5" w14:textId="77777777" w:rsidR="008B7E19" w:rsidRDefault="008B7E19" w:rsidP="008B7E19">
            <w:pPr>
              <w:pStyle w:val="08-Tabelageral"/>
              <w:spacing w:afterLines="40" w:after="96"/>
              <w:rPr>
                <w:rFonts w:cs="Arial"/>
                <w:b/>
                <w:bCs/>
                <w:szCs w:val="14"/>
              </w:rPr>
            </w:pPr>
          </w:p>
        </w:tc>
        <w:tc>
          <w:tcPr>
            <w:tcW w:w="1723" w:type="dxa"/>
            <w:tcBorders>
              <w:top w:val="nil"/>
              <w:left w:val="nil"/>
              <w:bottom w:val="nil"/>
              <w:right w:val="nil"/>
            </w:tcBorders>
            <w:vAlign w:val="center"/>
          </w:tcPr>
          <w:p w14:paraId="06EE9DDB" w14:textId="77777777" w:rsidR="008B7E19" w:rsidRDefault="008B7E19" w:rsidP="008B7E19">
            <w:pPr>
              <w:pStyle w:val="08-Tabelageral"/>
              <w:spacing w:afterLines="40" w:after="96"/>
              <w:rPr>
                <w:rFonts w:cs="Arial"/>
                <w:b/>
                <w:bCs/>
                <w:szCs w:val="14"/>
              </w:rPr>
            </w:pPr>
          </w:p>
        </w:tc>
        <w:tc>
          <w:tcPr>
            <w:tcW w:w="1304" w:type="dxa"/>
            <w:tcBorders>
              <w:top w:val="nil"/>
              <w:left w:val="nil"/>
              <w:bottom w:val="nil"/>
              <w:right w:val="nil"/>
            </w:tcBorders>
            <w:vAlign w:val="center"/>
          </w:tcPr>
          <w:p w14:paraId="0B2A8DAA" w14:textId="77777777" w:rsidR="008B7E19" w:rsidRDefault="008B7E19" w:rsidP="008B7E19">
            <w:pPr>
              <w:pStyle w:val="08-Tabelageral"/>
              <w:spacing w:afterLines="40" w:after="96"/>
              <w:rPr>
                <w:rFonts w:cs="Arial"/>
                <w:b/>
                <w:bCs/>
                <w:szCs w:val="14"/>
              </w:rPr>
            </w:pPr>
          </w:p>
        </w:tc>
        <w:tc>
          <w:tcPr>
            <w:tcW w:w="289" w:type="dxa"/>
            <w:tcBorders>
              <w:top w:val="nil"/>
              <w:left w:val="nil"/>
              <w:bottom w:val="nil"/>
              <w:right w:val="nil"/>
            </w:tcBorders>
            <w:vAlign w:val="center"/>
          </w:tcPr>
          <w:p w14:paraId="7A896196" w14:textId="77777777" w:rsidR="008B7E19" w:rsidRDefault="008B7E19" w:rsidP="008B7E19">
            <w:pPr>
              <w:pStyle w:val="08-Tabelageral"/>
              <w:spacing w:afterLines="40" w:after="96"/>
              <w:rPr>
                <w:rFonts w:cs="Arial"/>
                <w:b/>
                <w:bCs/>
                <w:szCs w:val="14"/>
              </w:rPr>
            </w:pPr>
          </w:p>
        </w:tc>
        <w:tc>
          <w:tcPr>
            <w:tcW w:w="1398" w:type="dxa"/>
            <w:tcBorders>
              <w:top w:val="nil"/>
              <w:left w:val="nil"/>
              <w:bottom w:val="nil"/>
              <w:right w:val="nil"/>
            </w:tcBorders>
            <w:vAlign w:val="center"/>
          </w:tcPr>
          <w:p w14:paraId="0371A57E" w14:textId="77777777" w:rsidR="008B7E19" w:rsidRDefault="008B7E19" w:rsidP="008B7E19">
            <w:pPr>
              <w:pStyle w:val="08-Tabelageral"/>
              <w:spacing w:afterLines="40" w:after="96"/>
              <w:rPr>
                <w:rFonts w:cs="Arial"/>
                <w:b/>
                <w:bCs/>
                <w:szCs w:val="14"/>
              </w:rPr>
            </w:pPr>
          </w:p>
        </w:tc>
        <w:tc>
          <w:tcPr>
            <w:tcW w:w="1417" w:type="dxa"/>
            <w:tcBorders>
              <w:top w:val="nil"/>
              <w:left w:val="nil"/>
              <w:bottom w:val="nil"/>
              <w:right w:val="nil"/>
            </w:tcBorders>
            <w:vAlign w:val="center"/>
          </w:tcPr>
          <w:p w14:paraId="39E678C3" w14:textId="77777777" w:rsidR="008B7E19" w:rsidRDefault="008B7E19" w:rsidP="008B7E19">
            <w:pPr>
              <w:pStyle w:val="08-Tabelageral"/>
              <w:spacing w:afterLines="40" w:after="96"/>
              <w:rPr>
                <w:rFonts w:cs="Arial"/>
                <w:b/>
                <w:bCs/>
                <w:szCs w:val="14"/>
              </w:rPr>
            </w:pPr>
          </w:p>
        </w:tc>
      </w:tr>
      <w:tr w:rsidR="008B7E19" w:rsidRPr="00856511" w14:paraId="51981C5A" w14:textId="77777777" w:rsidTr="008B7E19">
        <w:trPr>
          <w:trHeight w:val="238"/>
          <w:jc w:val="center"/>
        </w:trPr>
        <w:tc>
          <w:tcPr>
            <w:tcW w:w="2892" w:type="dxa"/>
            <w:tcBorders>
              <w:top w:val="nil"/>
              <w:left w:val="nil"/>
              <w:bottom w:val="nil"/>
              <w:right w:val="nil"/>
            </w:tcBorders>
            <w:vAlign w:val="center"/>
            <w:hideMark/>
          </w:tcPr>
          <w:p w14:paraId="5D2EC0CE" w14:textId="77777777" w:rsidR="008B7E19" w:rsidRPr="00856511" w:rsidRDefault="008B7E19" w:rsidP="008B7E19">
            <w:pPr>
              <w:pStyle w:val="08-Tabelageral"/>
              <w:spacing w:afterLines="40" w:after="96"/>
              <w:jc w:val="left"/>
              <w:rPr>
                <w:rFonts w:cs="Arial"/>
                <w:b/>
                <w:bCs/>
                <w:szCs w:val="14"/>
              </w:rPr>
            </w:pPr>
            <w:r w:rsidRPr="00856511">
              <w:rPr>
                <w:rFonts w:cs="Arial"/>
                <w:b/>
                <w:bCs/>
                <w:szCs w:val="14"/>
              </w:rPr>
              <w:t>Initial balance</w:t>
            </w:r>
          </w:p>
        </w:tc>
        <w:tc>
          <w:tcPr>
            <w:tcW w:w="616" w:type="dxa"/>
            <w:tcBorders>
              <w:top w:val="nil"/>
              <w:left w:val="nil"/>
              <w:bottom w:val="nil"/>
              <w:right w:val="nil"/>
            </w:tcBorders>
            <w:vAlign w:val="center"/>
          </w:tcPr>
          <w:p w14:paraId="65A7765A" w14:textId="77777777" w:rsidR="008B7E19" w:rsidRDefault="008B7E19" w:rsidP="008B7E19">
            <w:pPr>
              <w:pStyle w:val="08-Tabelageral"/>
              <w:spacing w:afterLines="40" w:after="96"/>
              <w:rPr>
                <w:rFonts w:cs="Arial"/>
                <w:b/>
                <w:bCs/>
                <w:szCs w:val="14"/>
              </w:rPr>
            </w:pPr>
          </w:p>
        </w:tc>
        <w:tc>
          <w:tcPr>
            <w:tcW w:w="1723" w:type="dxa"/>
            <w:tcBorders>
              <w:top w:val="nil"/>
              <w:left w:val="nil"/>
              <w:bottom w:val="nil"/>
              <w:right w:val="nil"/>
            </w:tcBorders>
            <w:vAlign w:val="center"/>
          </w:tcPr>
          <w:p w14:paraId="64743A87" w14:textId="77777777" w:rsidR="008B7E19" w:rsidRDefault="008B7E19" w:rsidP="008B7E19">
            <w:pPr>
              <w:pStyle w:val="08-Tabelageral"/>
              <w:spacing w:afterLines="40" w:after="96"/>
              <w:rPr>
                <w:rFonts w:cs="Arial"/>
                <w:b/>
                <w:bCs/>
                <w:szCs w:val="14"/>
              </w:rPr>
            </w:pPr>
          </w:p>
        </w:tc>
        <w:tc>
          <w:tcPr>
            <w:tcW w:w="1304" w:type="dxa"/>
            <w:tcBorders>
              <w:top w:val="nil"/>
              <w:left w:val="nil"/>
              <w:bottom w:val="nil"/>
              <w:right w:val="nil"/>
            </w:tcBorders>
            <w:vAlign w:val="center"/>
            <w:hideMark/>
          </w:tcPr>
          <w:p w14:paraId="59F63318" w14:textId="77777777" w:rsidR="008B7E19" w:rsidRDefault="008B7E19" w:rsidP="008B7E19">
            <w:pPr>
              <w:pStyle w:val="08-Tabelageral"/>
              <w:spacing w:afterLines="40" w:after="96"/>
              <w:rPr>
                <w:rFonts w:cs="Arial"/>
                <w:b/>
                <w:bCs/>
                <w:szCs w:val="14"/>
              </w:rPr>
            </w:pPr>
            <w:r>
              <w:rPr>
                <w:rFonts w:cs="Arial"/>
                <w:b/>
                <w:bCs/>
                <w:szCs w:val="14"/>
              </w:rPr>
              <w:t>7</w:t>
            </w:r>
          </w:p>
        </w:tc>
        <w:tc>
          <w:tcPr>
            <w:tcW w:w="289" w:type="dxa"/>
            <w:tcBorders>
              <w:top w:val="nil"/>
              <w:left w:val="nil"/>
              <w:bottom w:val="nil"/>
              <w:right w:val="nil"/>
            </w:tcBorders>
            <w:vAlign w:val="center"/>
          </w:tcPr>
          <w:p w14:paraId="551308B1" w14:textId="77777777" w:rsidR="008B7E19" w:rsidRDefault="008B7E19" w:rsidP="008B7E19">
            <w:pPr>
              <w:pStyle w:val="08-Tabelageral"/>
              <w:spacing w:afterLines="40" w:after="96"/>
              <w:rPr>
                <w:rFonts w:cs="Arial"/>
                <w:b/>
                <w:bCs/>
                <w:szCs w:val="14"/>
              </w:rPr>
            </w:pPr>
          </w:p>
        </w:tc>
        <w:tc>
          <w:tcPr>
            <w:tcW w:w="1398" w:type="dxa"/>
            <w:tcBorders>
              <w:top w:val="nil"/>
              <w:left w:val="nil"/>
              <w:bottom w:val="nil"/>
              <w:right w:val="nil"/>
            </w:tcBorders>
            <w:vAlign w:val="center"/>
          </w:tcPr>
          <w:p w14:paraId="56415A7F" w14:textId="77777777" w:rsidR="008B7E19" w:rsidRDefault="008B7E19" w:rsidP="008B7E19">
            <w:pPr>
              <w:pStyle w:val="08-Tabelageral"/>
              <w:spacing w:afterLines="40" w:after="96"/>
              <w:rPr>
                <w:rFonts w:cs="Arial"/>
                <w:b/>
                <w:bCs/>
                <w:szCs w:val="14"/>
              </w:rPr>
            </w:pPr>
          </w:p>
        </w:tc>
        <w:tc>
          <w:tcPr>
            <w:tcW w:w="1417" w:type="dxa"/>
            <w:tcBorders>
              <w:top w:val="nil"/>
              <w:left w:val="nil"/>
              <w:bottom w:val="nil"/>
              <w:right w:val="nil"/>
            </w:tcBorders>
            <w:vAlign w:val="center"/>
            <w:hideMark/>
          </w:tcPr>
          <w:p w14:paraId="24399F11" w14:textId="77777777" w:rsidR="008B7E19" w:rsidRDefault="008B7E19" w:rsidP="008B7E19">
            <w:pPr>
              <w:pStyle w:val="08-Tabelageral"/>
              <w:spacing w:afterLines="40" w:after="96"/>
              <w:rPr>
                <w:rFonts w:cs="Arial"/>
                <w:b/>
                <w:bCs/>
                <w:szCs w:val="14"/>
              </w:rPr>
            </w:pPr>
            <w:r w:rsidRPr="00F9604B">
              <w:rPr>
                <w:rFonts w:cs="Arial"/>
                <w:b/>
                <w:bCs/>
                <w:szCs w:val="14"/>
              </w:rPr>
              <w:t>1</w:t>
            </w:r>
            <w:r>
              <w:rPr>
                <w:rFonts w:cs="Arial"/>
                <w:b/>
                <w:bCs/>
                <w:szCs w:val="14"/>
              </w:rPr>
              <w:t>,</w:t>
            </w:r>
            <w:r w:rsidRPr="00F9604B">
              <w:rPr>
                <w:rFonts w:cs="Arial"/>
                <w:b/>
                <w:bCs/>
                <w:szCs w:val="14"/>
              </w:rPr>
              <w:t>130</w:t>
            </w:r>
          </w:p>
        </w:tc>
      </w:tr>
      <w:tr w:rsidR="008B7E19" w:rsidRPr="00856511" w14:paraId="4A683C1B" w14:textId="77777777" w:rsidTr="008B7E19">
        <w:trPr>
          <w:trHeight w:val="238"/>
          <w:jc w:val="center"/>
        </w:trPr>
        <w:tc>
          <w:tcPr>
            <w:tcW w:w="2892" w:type="dxa"/>
            <w:tcBorders>
              <w:top w:val="nil"/>
              <w:left w:val="nil"/>
              <w:bottom w:val="nil"/>
              <w:right w:val="nil"/>
            </w:tcBorders>
            <w:vAlign w:val="center"/>
            <w:hideMark/>
          </w:tcPr>
          <w:p w14:paraId="538485FB" w14:textId="77777777" w:rsidR="008B7E19" w:rsidRPr="00856511" w:rsidRDefault="008B7E19" w:rsidP="008B7E19">
            <w:pPr>
              <w:pStyle w:val="08-Tabelageral"/>
              <w:spacing w:afterLines="40" w:after="96"/>
              <w:ind w:left="113"/>
              <w:jc w:val="left"/>
              <w:rPr>
                <w:rFonts w:cs="Arial"/>
                <w:szCs w:val="14"/>
              </w:rPr>
            </w:pPr>
            <w:r>
              <w:rPr>
                <w:rFonts w:cs="Arial"/>
                <w:szCs w:val="14"/>
              </w:rPr>
              <w:t>Addition</w:t>
            </w:r>
            <w:r w:rsidRPr="00A33E7B">
              <w:rPr>
                <w:rFonts w:cs="Arial"/>
                <w:szCs w:val="14"/>
              </w:rPr>
              <w:t>/</w:t>
            </w:r>
            <w:r>
              <w:rPr>
                <w:rFonts w:cs="Arial"/>
                <w:szCs w:val="14"/>
              </w:rPr>
              <w:t>Update</w:t>
            </w:r>
            <w:r w:rsidRPr="00A33E7B">
              <w:rPr>
                <w:rFonts w:cs="Arial"/>
                <w:szCs w:val="14"/>
              </w:rPr>
              <w:t xml:space="preserve"> </w:t>
            </w:r>
            <w:r w:rsidRPr="00856511">
              <w:rPr>
                <w:rFonts w:cs="Arial"/>
                <w:szCs w:val="14"/>
                <w:vertAlign w:val="superscript"/>
              </w:rPr>
              <w:t>(1)</w:t>
            </w:r>
          </w:p>
        </w:tc>
        <w:tc>
          <w:tcPr>
            <w:tcW w:w="616" w:type="dxa"/>
            <w:tcBorders>
              <w:top w:val="nil"/>
              <w:left w:val="nil"/>
              <w:bottom w:val="nil"/>
              <w:right w:val="nil"/>
            </w:tcBorders>
            <w:vAlign w:val="center"/>
          </w:tcPr>
          <w:p w14:paraId="1E14CD7F" w14:textId="77777777" w:rsidR="008B7E19" w:rsidRDefault="008B7E19" w:rsidP="008B7E19">
            <w:pPr>
              <w:pStyle w:val="08-Tabelageral"/>
              <w:spacing w:afterLines="40" w:after="96"/>
              <w:ind w:left="113"/>
              <w:rPr>
                <w:rFonts w:cs="Arial"/>
                <w:szCs w:val="14"/>
              </w:rPr>
            </w:pPr>
          </w:p>
        </w:tc>
        <w:tc>
          <w:tcPr>
            <w:tcW w:w="1723" w:type="dxa"/>
            <w:tcBorders>
              <w:top w:val="nil"/>
              <w:left w:val="nil"/>
              <w:bottom w:val="nil"/>
              <w:right w:val="nil"/>
            </w:tcBorders>
            <w:vAlign w:val="center"/>
          </w:tcPr>
          <w:p w14:paraId="1F1C366A" w14:textId="77777777" w:rsidR="008B7E19" w:rsidRDefault="008B7E19" w:rsidP="008B7E19">
            <w:pPr>
              <w:pStyle w:val="08-Tabelageral"/>
              <w:spacing w:afterLines="40" w:after="96"/>
              <w:ind w:left="113"/>
              <w:rPr>
                <w:rFonts w:cs="Arial"/>
                <w:szCs w:val="14"/>
              </w:rPr>
            </w:pPr>
          </w:p>
        </w:tc>
        <w:tc>
          <w:tcPr>
            <w:tcW w:w="1304" w:type="dxa"/>
            <w:tcBorders>
              <w:top w:val="nil"/>
              <w:left w:val="nil"/>
              <w:bottom w:val="nil"/>
              <w:right w:val="nil"/>
            </w:tcBorders>
            <w:vAlign w:val="center"/>
            <w:hideMark/>
          </w:tcPr>
          <w:p w14:paraId="1860399B" w14:textId="77777777" w:rsidR="008B7E19" w:rsidRDefault="008B7E19" w:rsidP="008B7E19">
            <w:pPr>
              <w:pStyle w:val="08-Tabelageral"/>
              <w:spacing w:afterLines="40" w:after="96"/>
              <w:ind w:left="113"/>
              <w:rPr>
                <w:rFonts w:cs="Arial"/>
                <w:szCs w:val="14"/>
              </w:rPr>
            </w:pPr>
            <w:r>
              <w:rPr>
                <w:rFonts w:cs="Arial"/>
                <w:szCs w:val="14"/>
              </w:rPr>
              <w:t>27</w:t>
            </w:r>
          </w:p>
        </w:tc>
        <w:tc>
          <w:tcPr>
            <w:tcW w:w="289" w:type="dxa"/>
            <w:tcBorders>
              <w:top w:val="nil"/>
              <w:left w:val="nil"/>
              <w:bottom w:val="nil"/>
              <w:right w:val="nil"/>
            </w:tcBorders>
            <w:vAlign w:val="center"/>
          </w:tcPr>
          <w:p w14:paraId="3E8EB285" w14:textId="77777777" w:rsidR="008B7E19" w:rsidRDefault="008B7E19" w:rsidP="008B7E19">
            <w:pPr>
              <w:pStyle w:val="08-Tabelageral"/>
              <w:spacing w:afterLines="40" w:after="96"/>
              <w:ind w:left="113"/>
              <w:rPr>
                <w:rFonts w:cs="Arial"/>
                <w:szCs w:val="14"/>
              </w:rPr>
            </w:pPr>
          </w:p>
        </w:tc>
        <w:tc>
          <w:tcPr>
            <w:tcW w:w="1398" w:type="dxa"/>
            <w:tcBorders>
              <w:top w:val="nil"/>
              <w:left w:val="nil"/>
              <w:bottom w:val="nil"/>
              <w:right w:val="nil"/>
            </w:tcBorders>
            <w:vAlign w:val="center"/>
          </w:tcPr>
          <w:p w14:paraId="03636F89" w14:textId="77777777" w:rsidR="008B7E19" w:rsidRDefault="008B7E19" w:rsidP="008B7E19">
            <w:pPr>
              <w:pStyle w:val="08-Tabelageral"/>
              <w:spacing w:afterLines="40" w:after="96"/>
              <w:ind w:left="113"/>
              <w:rPr>
                <w:rFonts w:cs="Arial"/>
                <w:szCs w:val="14"/>
              </w:rPr>
            </w:pPr>
          </w:p>
        </w:tc>
        <w:tc>
          <w:tcPr>
            <w:tcW w:w="1417" w:type="dxa"/>
            <w:tcBorders>
              <w:top w:val="nil"/>
              <w:left w:val="nil"/>
              <w:bottom w:val="nil"/>
              <w:right w:val="nil"/>
            </w:tcBorders>
            <w:vAlign w:val="center"/>
            <w:hideMark/>
          </w:tcPr>
          <w:p w14:paraId="18BA9EBB" w14:textId="77777777" w:rsidR="008B7E19" w:rsidRDefault="008B7E19" w:rsidP="008B7E19">
            <w:pPr>
              <w:pStyle w:val="08-Tabelageral"/>
              <w:spacing w:afterLines="40" w:after="96"/>
              <w:ind w:left="113"/>
              <w:rPr>
                <w:rFonts w:cs="Arial"/>
                <w:szCs w:val="14"/>
              </w:rPr>
            </w:pPr>
            <w:r w:rsidRPr="00330EE7">
              <w:rPr>
                <w:rFonts w:cs="Arial"/>
                <w:szCs w:val="14"/>
              </w:rPr>
              <w:t>58</w:t>
            </w:r>
          </w:p>
        </w:tc>
      </w:tr>
      <w:tr w:rsidR="008B7E19" w:rsidRPr="00856511" w14:paraId="2983EA08" w14:textId="77777777" w:rsidTr="008B7E19">
        <w:trPr>
          <w:trHeight w:val="238"/>
          <w:jc w:val="center"/>
        </w:trPr>
        <w:tc>
          <w:tcPr>
            <w:tcW w:w="2892" w:type="dxa"/>
            <w:tcBorders>
              <w:top w:val="nil"/>
              <w:left w:val="nil"/>
              <w:bottom w:val="nil"/>
              <w:right w:val="nil"/>
            </w:tcBorders>
            <w:vAlign w:val="center"/>
            <w:hideMark/>
          </w:tcPr>
          <w:p w14:paraId="1BD6BF49" w14:textId="77777777" w:rsidR="008B7E19" w:rsidRPr="00856511" w:rsidRDefault="008B7E19" w:rsidP="008B7E19">
            <w:pPr>
              <w:pStyle w:val="08-Tabelageral"/>
              <w:spacing w:afterLines="40" w:after="96"/>
              <w:ind w:left="113"/>
              <w:jc w:val="left"/>
              <w:rPr>
                <w:rFonts w:cs="Arial"/>
                <w:szCs w:val="14"/>
              </w:rPr>
            </w:pPr>
            <w:r w:rsidRPr="00A33E7B">
              <w:rPr>
                <w:rFonts w:cs="Arial"/>
                <w:szCs w:val="14"/>
              </w:rPr>
              <w:t>Rever</w:t>
            </w:r>
            <w:r>
              <w:rPr>
                <w:rFonts w:cs="Arial"/>
                <w:szCs w:val="14"/>
              </w:rPr>
              <w:t>sal of the provision</w:t>
            </w:r>
          </w:p>
        </w:tc>
        <w:tc>
          <w:tcPr>
            <w:tcW w:w="616" w:type="dxa"/>
            <w:tcBorders>
              <w:top w:val="nil"/>
              <w:left w:val="nil"/>
              <w:bottom w:val="nil"/>
              <w:right w:val="nil"/>
            </w:tcBorders>
            <w:vAlign w:val="center"/>
          </w:tcPr>
          <w:p w14:paraId="18752771" w14:textId="77777777" w:rsidR="008B7E19" w:rsidRDefault="008B7E19" w:rsidP="008B7E19">
            <w:pPr>
              <w:pStyle w:val="08-Tabelageral"/>
              <w:spacing w:afterLines="40" w:after="96"/>
              <w:ind w:left="113"/>
              <w:rPr>
                <w:rFonts w:cs="Arial"/>
                <w:szCs w:val="14"/>
              </w:rPr>
            </w:pPr>
          </w:p>
        </w:tc>
        <w:tc>
          <w:tcPr>
            <w:tcW w:w="1723" w:type="dxa"/>
            <w:tcBorders>
              <w:top w:val="nil"/>
              <w:left w:val="nil"/>
              <w:bottom w:val="nil"/>
              <w:right w:val="nil"/>
            </w:tcBorders>
            <w:vAlign w:val="center"/>
          </w:tcPr>
          <w:p w14:paraId="6176DE4F" w14:textId="77777777" w:rsidR="008B7E19" w:rsidRDefault="008B7E19" w:rsidP="008B7E19">
            <w:pPr>
              <w:pStyle w:val="08-Tabelageral"/>
              <w:spacing w:afterLines="40" w:after="96"/>
              <w:ind w:left="113"/>
              <w:rPr>
                <w:rFonts w:cs="Arial"/>
                <w:szCs w:val="14"/>
              </w:rPr>
            </w:pPr>
          </w:p>
        </w:tc>
        <w:tc>
          <w:tcPr>
            <w:tcW w:w="1304" w:type="dxa"/>
            <w:tcBorders>
              <w:top w:val="nil"/>
              <w:left w:val="nil"/>
              <w:bottom w:val="nil"/>
              <w:right w:val="nil"/>
            </w:tcBorders>
            <w:vAlign w:val="center"/>
            <w:hideMark/>
          </w:tcPr>
          <w:p w14:paraId="283B68BF" w14:textId="77777777" w:rsidR="008B7E19" w:rsidRDefault="008B7E19" w:rsidP="008B7E19">
            <w:pPr>
              <w:pStyle w:val="08-Tabelageral"/>
              <w:spacing w:afterLines="40" w:after="96"/>
              <w:ind w:left="113"/>
              <w:rPr>
                <w:rFonts w:cs="Arial"/>
                <w:szCs w:val="14"/>
              </w:rPr>
            </w:pPr>
            <w:r>
              <w:rPr>
                <w:rFonts w:cs="Arial"/>
                <w:szCs w:val="14"/>
              </w:rPr>
              <w:t>--</w:t>
            </w:r>
          </w:p>
        </w:tc>
        <w:tc>
          <w:tcPr>
            <w:tcW w:w="289" w:type="dxa"/>
            <w:tcBorders>
              <w:top w:val="nil"/>
              <w:left w:val="nil"/>
              <w:bottom w:val="nil"/>
              <w:right w:val="nil"/>
            </w:tcBorders>
            <w:vAlign w:val="center"/>
          </w:tcPr>
          <w:p w14:paraId="0A2E3E62" w14:textId="77777777" w:rsidR="008B7E19" w:rsidRDefault="008B7E19" w:rsidP="008B7E19">
            <w:pPr>
              <w:pStyle w:val="08-Tabelageral"/>
              <w:spacing w:afterLines="40" w:after="96"/>
              <w:ind w:left="113"/>
              <w:rPr>
                <w:rFonts w:cs="Arial"/>
                <w:szCs w:val="14"/>
              </w:rPr>
            </w:pPr>
          </w:p>
        </w:tc>
        <w:tc>
          <w:tcPr>
            <w:tcW w:w="1398" w:type="dxa"/>
            <w:tcBorders>
              <w:top w:val="nil"/>
              <w:left w:val="nil"/>
              <w:bottom w:val="nil"/>
              <w:right w:val="nil"/>
            </w:tcBorders>
            <w:vAlign w:val="center"/>
          </w:tcPr>
          <w:p w14:paraId="2B1BE4A8" w14:textId="77777777" w:rsidR="008B7E19" w:rsidRDefault="008B7E19" w:rsidP="008B7E19">
            <w:pPr>
              <w:pStyle w:val="08-Tabelageral"/>
              <w:spacing w:afterLines="40" w:after="96"/>
              <w:ind w:left="113"/>
              <w:rPr>
                <w:rFonts w:cs="Arial"/>
                <w:szCs w:val="14"/>
              </w:rPr>
            </w:pPr>
          </w:p>
        </w:tc>
        <w:tc>
          <w:tcPr>
            <w:tcW w:w="1417" w:type="dxa"/>
            <w:tcBorders>
              <w:top w:val="nil"/>
              <w:left w:val="nil"/>
              <w:bottom w:val="nil"/>
              <w:right w:val="nil"/>
            </w:tcBorders>
            <w:vAlign w:val="center"/>
            <w:hideMark/>
          </w:tcPr>
          <w:p w14:paraId="681FDD91" w14:textId="77777777" w:rsidR="008B7E19" w:rsidRDefault="008B7E19" w:rsidP="008B7E19">
            <w:pPr>
              <w:pStyle w:val="08-Tabelageral"/>
              <w:spacing w:afterLines="40" w:after="96"/>
              <w:ind w:left="113"/>
              <w:rPr>
                <w:rFonts w:cs="Arial"/>
                <w:szCs w:val="14"/>
              </w:rPr>
            </w:pPr>
            <w:r w:rsidRPr="00330EE7">
              <w:rPr>
                <w:rFonts w:cs="Arial"/>
                <w:szCs w:val="14"/>
              </w:rPr>
              <w:t>(162)</w:t>
            </w:r>
          </w:p>
        </w:tc>
      </w:tr>
      <w:tr w:rsidR="008B7E19" w:rsidRPr="00856511" w14:paraId="305E5CC1" w14:textId="77777777" w:rsidTr="008B7E19">
        <w:trPr>
          <w:trHeight w:val="238"/>
          <w:jc w:val="center"/>
        </w:trPr>
        <w:tc>
          <w:tcPr>
            <w:tcW w:w="2892" w:type="dxa"/>
            <w:tcBorders>
              <w:top w:val="nil"/>
              <w:left w:val="nil"/>
              <w:bottom w:val="nil"/>
              <w:right w:val="nil"/>
            </w:tcBorders>
            <w:vAlign w:val="center"/>
            <w:hideMark/>
          </w:tcPr>
          <w:p w14:paraId="44B5ED07" w14:textId="77777777" w:rsidR="008B7E19" w:rsidRPr="00856511" w:rsidRDefault="008B7E19" w:rsidP="008B7E19">
            <w:pPr>
              <w:pStyle w:val="08-Tabelageral"/>
              <w:spacing w:afterLines="40" w:after="96"/>
              <w:ind w:left="113"/>
              <w:jc w:val="left"/>
              <w:rPr>
                <w:rFonts w:cs="Arial"/>
                <w:szCs w:val="14"/>
              </w:rPr>
            </w:pPr>
            <w:r>
              <w:rPr>
                <w:rFonts w:cs="Arial"/>
                <w:szCs w:val="14"/>
              </w:rPr>
              <w:t>W</w:t>
            </w:r>
            <w:r w:rsidRPr="007A6A25">
              <w:rPr>
                <w:rFonts w:cs="Arial"/>
                <w:szCs w:val="14"/>
              </w:rPr>
              <w:t>rite-off by payment</w:t>
            </w:r>
          </w:p>
        </w:tc>
        <w:tc>
          <w:tcPr>
            <w:tcW w:w="616" w:type="dxa"/>
            <w:tcBorders>
              <w:top w:val="nil"/>
              <w:left w:val="nil"/>
              <w:bottom w:val="nil"/>
              <w:right w:val="nil"/>
            </w:tcBorders>
            <w:vAlign w:val="center"/>
          </w:tcPr>
          <w:p w14:paraId="12530142" w14:textId="77777777" w:rsidR="008B7E19" w:rsidRDefault="008B7E19" w:rsidP="008B7E19">
            <w:pPr>
              <w:pStyle w:val="08-Tabelageral"/>
              <w:spacing w:afterLines="40" w:after="96"/>
              <w:ind w:left="113"/>
              <w:rPr>
                <w:rFonts w:cs="Arial"/>
                <w:szCs w:val="14"/>
              </w:rPr>
            </w:pPr>
          </w:p>
        </w:tc>
        <w:tc>
          <w:tcPr>
            <w:tcW w:w="1723" w:type="dxa"/>
            <w:tcBorders>
              <w:top w:val="nil"/>
              <w:left w:val="nil"/>
              <w:bottom w:val="nil"/>
              <w:right w:val="nil"/>
            </w:tcBorders>
            <w:vAlign w:val="center"/>
          </w:tcPr>
          <w:p w14:paraId="1564010B" w14:textId="77777777" w:rsidR="008B7E19" w:rsidRDefault="008B7E19" w:rsidP="008B7E19">
            <w:pPr>
              <w:pStyle w:val="08-Tabelageral"/>
              <w:spacing w:afterLines="40" w:after="96"/>
              <w:ind w:left="113"/>
              <w:rPr>
                <w:rFonts w:cs="Arial"/>
                <w:szCs w:val="14"/>
              </w:rPr>
            </w:pPr>
          </w:p>
        </w:tc>
        <w:tc>
          <w:tcPr>
            <w:tcW w:w="1304" w:type="dxa"/>
            <w:tcBorders>
              <w:top w:val="nil"/>
              <w:left w:val="nil"/>
              <w:bottom w:val="nil"/>
              <w:right w:val="nil"/>
            </w:tcBorders>
            <w:vAlign w:val="center"/>
            <w:hideMark/>
          </w:tcPr>
          <w:p w14:paraId="3888C216" w14:textId="77777777" w:rsidR="008B7E19" w:rsidRDefault="008B7E19" w:rsidP="008B7E19">
            <w:pPr>
              <w:pStyle w:val="08-Tabelageral"/>
              <w:spacing w:afterLines="40" w:after="96"/>
              <w:ind w:left="113"/>
              <w:rPr>
                <w:rFonts w:cs="Arial"/>
                <w:szCs w:val="14"/>
              </w:rPr>
            </w:pPr>
            <w:r>
              <w:rPr>
                <w:rFonts w:cs="Arial"/>
                <w:szCs w:val="14"/>
              </w:rPr>
              <w:t>--</w:t>
            </w:r>
          </w:p>
        </w:tc>
        <w:tc>
          <w:tcPr>
            <w:tcW w:w="289" w:type="dxa"/>
            <w:tcBorders>
              <w:top w:val="nil"/>
              <w:left w:val="nil"/>
              <w:bottom w:val="nil"/>
              <w:right w:val="nil"/>
            </w:tcBorders>
            <w:vAlign w:val="center"/>
          </w:tcPr>
          <w:p w14:paraId="718A9D95" w14:textId="77777777" w:rsidR="008B7E19" w:rsidRDefault="008B7E19" w:rsidP="008B7E19">
            <w:pPr>
              <w:pStyle w:val="08-Tabelageral"/>
              <w:spacing w:afterLines="40" w:after="96"/>
              <w:ind w:left="113"/>
              <w:rPr>
                <w:rFonts w:cs="Arial"/>
                <w:szCs w:val="14"/>
              </w:rPr>
            </w:pPr>
          </w:p>
        </w:tc>
        <w:tc>
          <w:tcPr>
            <w:tcW w:w="1398" w:type="dxa"/>
            <w:tcBorders>
              <w:top w:val="nil"/>
              <w:left w:val="nil"/>
              <w:bottom w:val="nil"/>
              <w:right w:val="nil"/>
            </w:tcBorders>
            <w:vAlign w:val="center"/>
          </w:tcPr>
          <w:p w14:paraId="6DCC43EE" w14:textId="77777777" w:rsidR="008B7E19" w:rsidRDefault="008B7E19" w:rsidP="008B7E19">
            <w:pPr>
              <w:pStyle w:val="08-Tabelageral"/>
              <w:spacing w:afterLines="40" w:after="96"/>
              <w:ind w:left="113"/>
              <w:rPr>
                <w:rFonts w:cs="Arial"/>
                <w:szCs w:val="14"/>
              </w:rPr>
            </w:pPr>
          </w:p>
        </w:tc>
        <w:tc>
          <w:tcPr>
            <w:tcW w:w="1417" w:type="dxa"/>
            <w:tcBorders>
              <w:top w:val="nil"/>
              <w:left w:val="nil"/>
              <w:bottom w:val="nil"/>
              <w:right w:val="nil"/>
            </w:tcBorders>
            <w:vAlign w:val="center"/>
            <w:hideMark/>
          </w:tcPr>
          <w:p w14:paraId="5056E364" w14:textId="77777777" w:rsidR="008B7E19" w:rsidRDefault="008B7E19" w:rsidP="008B7E19">
            <w:pPr>
              <w:pStyle w:val="08-Tabelageral"/>
              <w:spacing w:afterLines="40" w:after="96"/>
              <w:ind w:left="113"/>
              <w:rPr>
                <w:rFonts w:cs="Arial"/>
                <w:szCs w:val="14"/>
              </w:rPr>
            </w:pPr>
            <w:r w:rsidRPr="00330EE7">
              <w:rPr>
                <w:rFonts w:cs="Arial"/>
                <w:szCs w:val="14"/>
              </w:rPr>
              <w:t>--</w:t>
            </w:r>
          </w:p>
        </w:tc>
      </w:tr>
      <w:tr w:rsidR="008B7E19" w:rsidRPr="00856511" w14:paraId="3EE34A6A" w14:textId="77777777" w:rsidTr="008B7E19">
        <w:trPr>
          <w:trHeight w:val="238"/>
          <w:jc w:val="center"/>
        </w:trPr>
        <w:tc>
          <w:tcPr>
            <w:tcW w:w="2892" w:type="dxa"/>
            <w:tcBorders>
              <w:top w:val="nil"/>
              <w:left w:val="nil"/>
              <w:bottom w:val="nil"/>
              <w:right w:val="nil"/>
            </w:tcBorders>
            <w:vAlign w:val="center"/>
            <w:hideMark/>
          </w:tcPr>
          <w:p w14:paraId="2F192165" w14:textId="77777777" w:rsidR="008B7E19" w:rsidRPr="00856511" w:rsidRDefault="008B7E19" w:rsidP="008B7E19">
            <w:pPr>
              <w:pStyle w:val="08-Tabelageral"/>
              <w:spacing w:afterLines="40" w:after="96"/>
              <w:jc w:val="left"/>
              <w:rPr>
                <w:rFonts w:cs="Arial"/>
                <w:b/>
                <w:bCs/>
                <w:szCs w:val="14"/>
              </w:rPr>
            </w:pPr>
            <w:r w:rsidRPr="00856511">
              <w:rPr>
                <w:rFonts w:cs="Arial"/>
                <w:b/>
                <w:bCs/>
                <w:szCs w:val="14"/>
              </w:rPr>
              <w:t>Closing balance</w:t>
            </w:r>
          </w:p>
        </w:tc>
        <w:tc>
          <w:tcPr>
            <w:tcW w:w="616" w:type="dxa"/>
            <w:tcBorders>
              <w:top w:val="nil"/>
              <w:left w:val="nil"/>
              <w:bottom w:val="nil"/>
              <w:right w:val="nil"/>
            </w:tcBorders>
            <w:vAlign w:val="center"/>
          </w:tcPr>
          <w:p w14:paraId="7222EBE4" w14:textId="77777777" w:rsidR="008B7E19" w:rsidRDefault="008B7E19" w:rsidP="008B7E19">
            <w:pPr>
              <w:pStyle w:val="08-Tabelageral"/>
              <w:spacing w:afterLines="40" w:after="96"/>
              <w:rPr>
                <w:rFonts w:cs="Arial"/>
                <w:b/>
                <w:bCs/>
                <w:szCs w:val="14"/>
              </w:rPr>
            </w:pPr>
          </w:p>
        </w:tc>
        <w:tc>
          <w:tcPr>
            <w:tcW w:w="1723" w:type="dxa"/>
            <w:tcBorders>
              <w:top w:val="nil"/>
              <w:left w:val="nil"/>
              <w:bottom w:val="nil"/>
              <w:right w:val="nil"/>
            </w:tcBorders>
            <w:vAlign w:val="center"/>
          </w:tcPr>
          <w:p w14:paraId="40C07F9E" w14:textId="77777777" w:rsidR="008B7E19" w:rsidRDefault="008B7E19" w:rsidP="008B7E19">
            <w:pPr>
              <w:pStyle w:val="08-Tabelageral"/>
              <w:spacing w:afterLines="40" w:after="96"/>
              <w:rPr>
                <w:rFonts w:cs="Arial"/>
                <w:b/>
                <w:bCs/>
                <w:szCs w:val="14"/>
              </w:rPr>
            </w:pPr>
          </w:p>
        </w:tc>
        <w:tc>
          <w:tcPr>
            <w:tcW w:w="1304" w:type="dxa"/>
            <w:tcBorders>
              <w:top w:val="nil"/>
              <w:left w:val="nil"/>
              <w:bottom w:val="nil"/>
              <w:right w:val="nil"/>
            </w:tcBorders>
            <w:vAlign w:val="center"/>
            <w:hideMark/>
          </w:tcPr>
          <w:p w14:paraId="33EC988E" w14:textId="77777777" w:rsidR="008B7E19" w:rsidRDefault="008B7E19" w:rsidP="008B7E19">
            <w:pPr>
              <w:pStyle w:val="08-Tabelageral"/>
              <w:spacing w:afterLines="40" w:after="96"/>
              <w:rPr>
                <w:rFonts w:cs="Arial"/>
                <w:b/>
                <w:bCs/>
                <w:szCs w:val="14"/>
              </w:rPr>
            </w:pPr>
            <w:r>
              <w:rPr>
                <w:rFonts w:cs="Arial"/>
                <w:b/>
                <w:bCs/>
                <w:szCs w:val="14"/>
              </w:rPr>
              <w:t>34</w:t>
            </w:r>
          </w:p>
        </w:tc>
        <w:tc>
          <w:tcPr>
            <w:tcW w:w="289" w:type="dxa"/>
            <w:tcBorders>
              <w:top w:val="nil"/>
              <w:left w:val="nil"/>
              <w:bottom w:val="nil"/>
              <w:right w:val="nil"/>
            </w:tcBorders>
            <w:vAlign w:val="center"/>
          </w:tcPr>
          <w:p w14:paraId="16A5565B" w14:textId="77777777" w:rsidR="008B7E19" w:rsidRDefault="008B7E19" w:rsidP="008B7E19">
            <w:pPr>
              <w:pStyle w:val="08-Tabelageral"/>
              <w:spacing w:afterLines="40" w:after="96"/>
              <w:rPr>
                <w:rFonts w:cs="Arial"/>
                <w:b/>
                <w:bCs/>
                <w:szCs w:val="14"/>
              </w:rPr>
            </w:pPr>
          </w:p>
        </w:tc>
        <w:tc>
          <w:tcPr>
            <w:tcW w:w="1398" w:type="dxa"/>
            <w:tcBorders>
              <w:top w:val="nil"/>
              <w:left w:val="nil"/>
              <w:bottom w:val="nil"/>
              <w:right w:val="nil"/>
            </w:tcBorders>
            <w:vAlign w:val="center"/>
          </w:tcPr>
          <w:p w14:paraId="5FEEA192" w14:textId="77777777" w:rsidR="008B7E19" w:rsidRDefault="008B7E19" w:rsidP="008B7E19">
            <w:pPr>
              <w:pStyle w:val="08-Tabelageral"/>
              <w:spacing w:afterLines="40" w:after="96"/>
              <w:rPr>
                <w:rFonts w:cs="Arial"/>
                <w:b/>
                <w:bCs/>
                <w:szCs w:val="14"/>
              </w:rPr>
            </w:pPr>
          </w:p>
        </w:tc>
        <w:tc>
          <w:tcPr>
            <w:tcW w:w="1417" w:type="dxa"/>
            <w:tcBorders>
              <w:top w:val="nil"/>
              <w:left w:val="nil"/>
              <w:bottom w:val="nil"/>
              <w:right w:val="nil"/>
            </w:tcBorders>
            <w:vAlign w:val="center"/>
            <w:hideMark/>
          </w:tcPr>
          <w:p w14:paraId="60B946F0" w14:textId="77777777" w:rsidR="008B7E19" w:rsidRDefault="008B7E19" w:rsidP="008B7E19">
            <w:pPr>
              <w:pStyle w:val="08-Tabelageral"/>
              <w:spacing w:afterLines="40" w:after="96"/>
              <w:rPr>
                <w:rFonts w:cs="Arial"/>
                <w:b/>
                <w:bCs/>
                <w:szCs w:val="14"/>
              </w:rPr>
            </w:pPr>
            <w:r w:rsidRPr="00F9604B">
              <w:rPr>
                <w:rFonts w:cs="Arial"/>
                <w:b/>
                <w:bCs/>
                <w:szCs w:val="14"/>
              </w:rPr>
              <w:t>1</w:t>
            </w:r>
            <w:r>
              <w:rPr>
                <w:rFonts w:cs="Arial"/>
                <w:b/>
                <w:bCs/>
                <w:szCs w:val="14"/>
              </w:rPr>
              <w:t>,</w:t>
            </w:r>
            <w:r w:rsidRPr="00F9604B">
              <w:rPr>
                <w:rFonts w:cs="Arial"/>
                <w:b/>
                <w:bCs/>
                <w:szCs w:val="14"/>
              </w:rPr>
              <w:t>026</w:t>
            </w:r>
          </w:p>
        </w:tc>
      </w:tr>
      <w:tr w:rsidR="008B7E19" w:rsidRPr="00856511" w14:paraId="71BAC118" w14:textId="77777777" w:rsidTr="008B7E19">
        <w:trPr>
          <w:trHeight w:val="238"/>
          <w:jc w:val="center"/>
        </w:trPr>
        <w:tc>
          <w:tcPr>
            <w:tcW w:w="2892" w:type="dxa"/>
            <w:tcBorders>
              <w:top w:val="nil"/>
              <w:left w:val="nil"/>
              <w:bottom w:val="nil"/>
              <w:right w:val="nil"/>
            </w:tcBorders>
            <w:vAlign w:val="center"/>
            <w:hideMark/>
          </w:tcPr>
          <w:p w14:paraId="30AAAD8F" w14:textId="77777777" w:rsidR="008B7E19" w:rsidRPr="00856511" w:rsidRDefault="008B7E19" w:rsidP="008B7E19">
            <w:pPr>
              <w:pStyle w:val="08-Tabelageral"/>
              <w:spacing w:afterLines="40" w:after="96"/>
              <w:jc w:val="left"/>
              <w:rPr>
                <w:rFonts w:cs="Arial"/>
                <w:b/>
                <w:bCs/>
                <w:szCs w:val="14"/>
              </w:rPr>
            </w:pPr>
            <w:r>
              <w:rPr>
                <w:rFonts w:cs="Arial"/>
                <w:b/>
                <w:bCs/>
                <w:szCs w:val="14"/>
              </w:rPr>
              <w:t>Civil</w:t>
            </w:r>
            <w:r w:rsidRPr="00856511">
              <w:rPr>
                <w:rFonts w:cs="Arial"/>
                <w:b/>
                <w:bCs/>
                <w:szCs w:val="14"/>
              </w:rPr>
              <w:t xml:space="preserve"> Lawsuits</w:t>
            </w:r>
          </w:p>
        </w:tc>
        <w:tc>
          <w:tcPr>
            <w:tcW w:w="616" w:type="dxa"/>
            <w:tcBorders>
              <w:top w:val="nil"/>
              <w:left w:val="nil"/>
              <w:bottom w:val="nil"/>
              <w:right w:val="nil"/>
            </w:tcBorders>
            <w:vAlign w:val="center"/>
          </w:tcPr>
          <w:p w14:paraId="1ED113C1" w14:textId="77777777" w:rsidR="008B7E19" w:rsidRDefault="008B7E19" w:rsidP="008B7E19">
            <w:pPr>
              <w:pStyle w:val="08-Tabelageral"/>
              <w:spacing w:afterLines="40" w:after="96"/>
              <w:rPr>
                <w:rFonts w:cs="Arial"/>
                <w:b/>
                <w:bCs/>
                <w:szCs w:val="14"/>
              </w:rPr>
            </w:pPr>
          </w:p>
        </w:tc>
        <w:tc>
          <w:tcPr>
            <w:tcW w:w="1723" w:type="dxa"/>
            <w:tcBorders>
              <w:top w:val="nil"/>
              <w:left w:val="nil"/>
              <w:bottom w:val="nil"/>
              <w:right w:val="nil"/>
            </w:tcBorders>
            <w:vAlign w:val="center"/>
          </w:tcPr>
          <w:p w14:paraId="55EF8D8E" w14:textId="77777777" w:rsidR="008B7E19" w:rsidRDefault="008B7E19" w:rsidP="008B7E19">
            <w:pPr>
              <w:pStyle w:val="08-Tabelageral"/>
              <w:spacing w:afterLines="40" w:after="96"/>
              <w:rPr>
                <w:rFonts w:cs="Arial"/>
                <w:b/>
                <w:bCs/>
                <w:szCs w:val="14"/>
              </w:rPr>
            </w:pPr>
          </w:p>
        </w:tc>
        <w:tc>
          <w:tcPr>
            <w:tcW w:w="1304" w:type="dxa"/>
            <w:tcBorders>
              <w:top w:val="nil"/>
              <w:left w:val="nil"/>
              <w:bottom w:val="nil"/>
              <w:right w:val="nil"/>
            </w:tcBorders>
            <w:vAlign w:val="center"/>
          </w:tcPr>
          <w:p w14:paraId="62167480" w14:textId="77777777" w:rsidR="008B7E19" w:rsidRDefault="008B7E19" w:rsidP="008B7E19">
            <w:pPr>
              <w:pStyle w:val="08-Tabelageral"/>
              <w:spacing w:afterLines="40" w:after="96"/>
              <w:rPr>
                <w:rFonts w:cs="Arial"/>
                <w:b/>
                <w:bCs/>
                <w:szCs w:val="14"/>
              </w:rPr>
            </w:pPr>
          </w:p>
        </w:tc>
        <w:tc>
          <w:tcPr>
            <w:tcW w:w="289" w:type="dxa"/>
            <w:tcBorders>
              <w:top w:val="nil"/>
              <w:left w:val="nil"/>
              <w:bottom w:val="nil"/>
              <w:right w:val="nil"/>
            </w:tcBorders>
            <w:vAlign w:val="center"/>
          </w:tcPr>
          <w:p w14:paraId="12802C44" w14:textId="77777777" w:rsidR="008B7E19" w:rsidRDefault="008B7E19" w:rsidP="008B7E19">
            <w:pPr>
              <w:pStyle w:val="08-Tabelageral"/>
              <w:spacing w:afterLines="40" w:after="96"/>
              <w:rPr>
                <w:rFonts w:cs="Arial"/>
                <w:b/>
                <w:bCs/>
                <w:szCs w:val="14"/>
              </w:rPr>
            </w:pPr>
          </w:p>
        </w:tc>
        <w:tc>
          <w:tcPr>
            <w:tcW w:w="1398" w:type="dxa"/>
            <w:tcBorders>
              <w:top w:val="nil"/>
              <w:left w:val="nil"/>
              <w:bottom w:val="nil"/>
              <w:right w:val="nil"/>
            </w:tcBorders>
            <w:vAlign w:val="center"/>
          </w:tcPr>
          <w:p w14:paraId="5A2EF768" w14:textId="77777777" w:rsidR="008B7E19" w:rsidRDefault="008B7E19" w:rsidP="008B7E19">
            <w:pPr>
              <w:pStyle w:val="08-Tabelageral"/>
              <w:spacing w:afterLines="40" w:after="96"/>
              <w:rPr>
                <w:rFonts w:cs="Arial"/>
                <w:b/>
                <w:bCs/>
                <w:szCs w:val="14"/>
              </w:rPr>
            </w:pPr>
          </w:p>
        </w:tc>
        <w:tc>
          <w:tcPr>
            <w:tcW w:w="1417" w:type="dxa"/>
            <w:tcBorders>
              <w:top w:val="nil"/>
              <w:left w:val="nil"/>
              <w:bottom w:val="nil"/>
              <w:right w:val="nil"/>
            </w:tcBorders>
            <w:vAlign w:val="center"/>
          </w:tcPr>
          <w:p w14:paraId="56D62E4A" w14:textId="77777777" w:rsidR="008B7E19" w:rsidRDefault="008B7E19" w:rsidP="008B7E19">
            <w:pPr>
              <w:pStyle w:val="08-Tabelageral"/>
              <w:spacing w:afterLines="40" w:after="96"/>
              <w:rPr>
                <w:rFonts w:cs="Arial"/>
                <w:b/>
                <w:bCs/>
                <w:szCs w:val="14"/>
              </w:rPr>
            </w:pPr>
          </w:p>
        </w:tc>
      </w:tr>
      <w:tr w:rsidR="008B7E19" w:rsidRPr="00856511" w14:paraId="6388AE18" w14:textId="77777777" w:rsidTr="008B7E19">
        <w:trPr>
          <w:trHeight w:val="238"/>
          <w:jc w:val="center"/>
        </w:trPr>
        <w:tc>
          <w:tcPr>
            <w:tcW w:w="2892" w:type="dxa"/>
            <w:tcBorders>
              <w:top w:val="nil"/>
              <w:left w:val="nil"/>
              <w:bottom w:val="nil"/>
              <w:right w:val="nil"/>
            </w:tcBorders>
            <w:vAlign w:val="center"/>
            <w:hideMark/>
          </w:tcPr>
          <w:p w14:paraId="248EAB5C" w14:textId="77777777" w:rsidR="008B7E19" w:rsidRPr="00856511" w:rsidRDefault="008B7E19" w:rsidP="008B7E19">
            <w:pPr>
              <w:pStyle w:val="08-Tabelageral"/>
              <w:spacing w:afterLines="40" w:after="96"/>
              <w:jc w:val="left"/>
              <w:rPr>
                <w:rFonts w:cs="Arial"/>
                <w:b/>
                <w:bCs/>
                <w:szCs w:val="14"/>
              </w:rPr>
            </w:pPr>
            <w:r w:rsidRPr="00856511">
              <w:rPr>
                <w:rFonts w:cs="Arial"/>
                <w:b/>
                <w:bCs/>
                <w:szCs w:val="14"/>
              </w:rPr>
              <w:t>Initial balance</w:t>
            </w:r>
          </w:p>
        </w:tc>
        <w:tc>
          <w:tcPr>
            <w:tcW w:w="616" w:type="dxa"/>
            <w:tcBorders>
              <w:top w:val="nil"/>
              <w:left w:val="nil"/>
              <w:bottom w:val="nil"/>
              <w:right w:val="nil"/>
            </w:tcBorders>
            <w:vAlign w:val="center"/>
          </w:tcPr>
          <w:p w14:paraId="1050A2CB" w14:textId="77777777" w:rsidR="008B7E19" w:rsidRDefault="008B7E19" w:rsidP="008B7E19">
            <w:pPr>
              <w:pStyle w:val="08-Tabelageral"/>
              <w:spacing w:afterLines="40" w:after="96"/>
              <w:rPr>
                <w:rFonts w:cs="Arial"/>
                <w:b/>
                <w:bCs/>
                <w:szCs w:val="14"/>
              </w:rPr>
            </w:pPr>
          </w:p>
        </w:tc>
        <w:tc>
          <w:tcPr>
            <w:tcW w:w="1723" w:type="dxa"/>
            <w:tcBorders>
              <w:top w:val="nil"/>
              <w:left w:val="nil"/>
              <w:bottom w:val="nil"/>
              <w:right w:val="nil"/>
            </w:tcBorders>
            <w:vAlign w:val="center"/>
          </w:tcPr>
          <w:p w14:paraId="00820C55" w14:textId="77777777" w:rsidR="008B7E19" w:rsidRDefault="008B7E19" w:rsidP="008B7E19">
            <w:pPr>
              <w:pStyle w:val="08-Tabelageral"/>
              <w:spacing w:afterLines="40" w:after="96"/>
              <w:rPr>
                <w:rFonts w:cs="Arial"/>
                <w:b/>
                <w:bCs/>
                <w:szCs w:val="14"/>
              </w:rPr>
            </w:pPr>
          </w:p>
        </w:tc>
        <w:tc>
          <w:tcPr>
            <w:tcW w:w="1304" w:type="dxa"/>
            <w:tcBorders>
              <w:top w:val="nil"/>
              <w:left w:val="nil"/>
              <w:bottom w:val="nil"/>
              <w:right w:val="nil"/>
            </w:tcBorders>
            <w:vAlign w:val="center"/>
            <w:hideMark/>
          </w:tcPr>
          <w:p w14:paraId="181FD067" w14:textId="77777777" w:rsidR="008B7E19" w:rsidRDefault="008B7E19" w:rsidP="008B7E19">
            <w:pPr>
              <w:pStyle w:val="08-Tabelageral"/>
              <w:spacing w:afterLines="40" w:after="96"/>
              <w:rPr>
                <w:rFonts w:cs="Arial"/>
                <w:b/>
                <w:bCs/>
                <w:szCs w:val="14"/>
              </w:rPr>
            </w:pPr>
            <w:r w:rsidRPr="00DA6E8C">
              <w:rPr>
                <w:rFonts w:cs="Arial"/>
                <w:b/>
                <w:bCs/>
                <w:szCs w:val="14"/>
              </w:rPr>
              <w:t>13</w:t>
            </w:r>
            <w:r>
              <w:rPr>
                <w:rFonts w:cs="Arial"/>
                <w:b/>
                <w:bCs/>
                <w:szCs w:val="14"/>
              </w:rPr>
              <w:t>,</w:t>
            </w:r>
            <w:r w:rsidRPr="00DA6E8C">
              <w:rPr>
                <w:rFonts w:cs="Arial"/>
                <w:b/>
                <w:bCs/>
                <w:szCs w:val="14"/>
              </w:rPr>
              <w:t>848</w:t>
            </w:r>
          </w:p>
        </w:tc>
        <w:tc>
          <w:tcPr>
            <w:tcW w:w="289" w:type="dxa"/>
            <w:tcBorders>
              <w:top w:val="nil"/>
              <w:left w:val="nil"/>
              <w:bottom w:val="nil"/>
              <w:right w:val="nil"/>
            </w:tcBorders>
            <w:vAlign w:val="center"/>
          </w:tcPr>
          <w:p w14:paraId="178AC9C0" w14:textId="77777777" w:rsidR="008B7E19" w:rsidRDefault="008B7E19" w:rsidP="008B7E19">
            <w:pPr>
              <w:pStyle w:val="08-Tabelageral"/>
              <w:spacing w:afterLines="40" w:after="96"/>
              <w:rPr>
                <w:rFonts w:cs="Arial"/>
                <w:b/>
                <w:bCs/>
                <w:szCs w:val="14"/>
              </w:rPr>
            </w:pPr>
          </w:p>
        </w:tc>
        <w:tc>
          <w:tcPr>
            <w:tcW w:w="1398" w:type="dxa"/>
            <w:tcBorders>
              <w:top w:val="nil"/>
              <w:left w:val="nil"/>
              <w:bottom w:val="nil"/>
              <w:right w:val="nil"/>
            </w:tcBorders>
            <w:vAlign w:val="center"/>
          </w:tcPr>
          <w:p w14:paraId="426A90EC" w14:textId="77777777" w:rsidR="008B7E19" w:rsidRDefault="008B7E19" w:rsidP="008B7E19">
            <w:pPr>
              <w:pStyle w:val="08-Tabelageral"/>
              <w:spacing w:afterLines="40" w:after="96"/>
              <w:rPr>
                <w:rFonts w:cs="Arial"/>
                <w:b/>
                <w:bCs/>
                <w:szCs w:val="14"/>
              </w:rPr>
            </w:pPr>
          </w:p>
        </w:tc>
        <w:tc>
          <w:tcPr>
            <w:tcW w:w="1417" w:type="dxa"/>
            <w:tcBorders>
              <w:top w:val="nil"/>
              <w:left w:val="nil"/>
              <w:bottom w:val="nil"/>
              <w:right w:val="nil"/>
            </w:tcBorders>
            <w:vAlign w:val="center"/>
            <w:hideMark/>
          </w:tcPr>
          <w:p w14:paraId="0D46787B" w14:textId="77777777" w:rsidR="008B7E19" w:rsidRDefault="008B7E19" w:rsidP="008B7E19">
            <w:pPr>
              <w:pStyle w:val="08-Tabelageral"/>
              <w:spacing w:afterLines="40" w:after="96"/>
              <w:rPr>
                <w:rFonts w:cs="Arial"/>
                <w:b/>
                <w:bCs/>
                <w:szCs w:val="14"/>
              </w:rPr>
            </w:pPr>
            <w:r w:rsidRPr="00F9604B">
              <w:rPr>
                <w:rFonts w:cs="Arial"/>
                <w:b/>
                <w:bCs/>
                <w:szCs w:val="14"/>
              </w:rPr>
              <w:t>14</w:t>
            </w:r>
            <w:r>
              <w:rPr>
                <w:rFonts w:cs="Arial"/>
                <w:b/>
                <w:bCs/>
                <w:szCs w:val="14"/>
              </w:rPr>
              <w:t>,</w:t>
            </w:r>
            <w:r w:rsidRPr="00F9604B">
              <w:rPr>
                <w:rFonts w:cs="Arial"/>
                <w:b/>
                <w:bCs/>
                <w:szCs w:val="14"/>
              </w:rPr>
              <w:t>256</w:t>
            </w:r>
          </w:p>
        </w:tc>
      </w:tr>
      <w:tr w:rsidR="008B7E19" w:rsidRPr="00856511" w14:paraId="2F3554A7" w14:textId="77777777" w:rsidTr="008B7E19">
        <w:trPr>
          <w:trHeight w:val="238"/>
          <w:jc w:val="center"/>
        </w:trPr>
        <w:tc>
          <w:tcPr>
            <w:tcW w:w="2892" w:type="dxa"/>
            <w:tcBorders>
              <w:top w:val="nil"/>
              <w:left w:val="nil"/>
              <w:bottom w:val="nil"/>
              <w:right w:val="nil"/>
            </w:tcBorders>
            <w:vAlign w:val="center"/>
            <w:hideMark/>
          </w:tcPr>
          <w:p w14:paraId="0D8BBD64" w14:textId="77777777" w:rsidR="008B7E19" w:rsidRPr="00856511" w:rsidRDefault="008B7E19" w:rsidP="008B7E19">
            <w:pPr>
              <w:pStyle w:val="08-Tabelageral"/>
              <w:spacing w:afterLines="40" w:after="96"/>
              <w:ind w:left="113"/>
              <w:jc w:val="left"/>
              <w:rPr>
                <w:rFonts w:cs="Arial"/>
                <w:szCs w:val="14"/>
              </w:rPr>
            </w:pPr>
            <w:r>
              <w:rPr>
                <w:rFonts w:cs="Arial"/>
                <w:szCs w:val="14"/>
              </w:rPr>
              <w:t>Addition</w:t>
            </w:r>
            <w:r w:rsidRPr="00A33E7B">
              <w:rPr>
                <w:rFonts w:cs="Arial"/>
                <w:szCs w:val="14"/>
              </w:rPr>
              <w:t>/</w:t>
            </w:r>
            <w:r>
              <w:rPr>
                <w:rFonts w:cs="Arial"/>
                <w:szCs w:val="14"/>
              </w:rPr>
              <w:t xml:space="preserve">Update </w:t>
            </w:r>
            <w:r w:rsidRPr="003C0995">
              <w:rPr>
                <w:rFonts w:cs="Arial"/>
                <w:szCs w:val="14"/>
                <w:vertAlign w:val="superscript"/>
              </w:rPr>
              <w:t>(2) (3)</w:t>
            </w:r>
          </w:p>
        </w:tc>
        <w:tc>
          <w:tcPr>
            <w:tcW w:w="616" w:type="dxa"/>
            <w:tcBorders>
              <w:top w:val="nil"/>
              <w:left w:val="nil"/>
              <w:bottom w:val="nil"/>
              <w:right w:val="nil"/>
            </w:tcBorders>
            <w:vAlign w:val="center"/>
          </w:tcPr>
          <w:p w14:paraId="44ED63AB" w14:textId="77777777" w:rsidR="008B7E19" w:rsidRDefault="008B7E19" w:rsidP="008B7E19">
            <w:pPr>
              <w:pStyle w:val="08-Tabelageral"/>
              <w:spacing w:afterLines="40" w:after="96"/>
              <w:ind w:left="113"/>
              <w:rPr>
                <w:rFonts w:cs="Arial"/>
                <w:szCs w:val="14"/>
              </w:rPr>
            </w:pPr>
          </w:p>
        </w:tc>
        <w:tc>
          <w:tcPr>
            <w:tcW w:w="1723" w:type="dxa"/>
            <w:tcBorders>
              <w:top w:val="nil"/>
              <w:left w:val="nil"/>
              <w:bottom w:val="nil"/>
              <w:right w:val="nil"/>
            </w:tcBorders>
            <w:vAlign w:val="center"/>
          </w:tcPr>
          <w:p w14:paraId="621575C1" w14:textId="77777777" w:rsidR="008B7E19" w:rsidRDefault="008B7E19" w:rsidP="008B7E19">
            <w:pPr>
              <w:pStyle w:val="08-Tabelageral"/>
              <w:spacing w:afterLines="40" w:after="96"/>
              <w:ind w:left="113"/>
              <w:rPr>
                <w:rFonts w:cs="Arial"/>
                <w:szCs w:val="14"/>
              </w:rPr>
            </w:pPr>
          </w:p>
        </w:tc>
        <w:tc>
          <w:tcPr>
            <w:tcW w:w="1304" w:type="dxa"/>
            <w:tcBorders>
              <w:top w:val="nil"/>
              <w:left w:val="nil"/>
              <w:bottom w:val="nil"/>
              <w:right w:val="nil"/>
            </w:tcBorders>
            <w:vAlign w:val="center"/>
            <w:hideMark/>
          </w:tcPr>
          <w:p w14:paraId="6C5356C3" w14:textId="77777777" w:rsidR="008B7E19" w:rsidRDefault="008B7E19" w:rsidP="008B7E19">
            <w:pPr>
              <w:pStyle w:val="08-Tabelageral"/>
              <w:spacing w:afterLines="40" w:after="96"/>
              <w:ind w:left="113"/>
              <w:rPr>
                <w:rFonts w:cs="Arial"/>
                <w:szCs w:val="14"/>
              </w:rPr>
            </w:pPr>
            <w:r w:rsidRPr="00DA6E8C">
              <w:rPr>
                <w:rFonts w:cs="Arial"/>
                <w:szCs w:val="14"/>
              </w:rPr>
              <w:t>13</w:t>
            </w:r>
            <w:r>
              <w:rPr>
                <w:rFonts w:cs="Arial"/>
                <w:szCs w:val="14"/>
              </w:rPr>
              <w:t>,</w:t>
            </w:r>
            <w:r w:rsidRPr="00DA6E8C">
              <w:rPr>
                <w:rFonts w:cs="Arial"/>
                <w:szCs w:val="14"/>
              </w:rPr>
              <w:t>420</w:t>
            </w:r>
          </w:p>
        </w:tc>
        <w:tc>
          <w:tcPr>
            <w:tcW w:w="289" w:type="dxa"/>
            <w:tcBorders>
              <w:top w:val="nil"/>
              <w:left w:val="nil"/>
              <w:bottom w:val="nil"/>
              <w:right w:val="nil"/>
            </w:tcBorders>
            <w:vAlign w:val="center"/>
          </w:tcPr>
          <w:p w14:paraId="54345506" w14:textId="77777777" w:rsidR="008B7E19" w:rsidRDefault="008B7E19" w:rsidP="008B7E19">
            <w:pPr>
              <w:pStyle w:val="08-Tabelageral"/>
              <w:spacing w:afterLines="40" w:after="96"/>
              <w:ind w:left="113"/>
              <w:rPr>
                <w:rFonts w:cs="Arial"/>
                <w:szCs w:val="14"/>
              </w:rPr>
            </w:pPr>
          </w:p>
        </w:tc>
        <w:tc>
          <w:tcPr>
            <w:tcW w:w="1398" w:type="dxa"/>
            <w:tcBorders>
              <w:top w:val="nil"/>
              <w:left w:val="nil"/>
              <w:bottom w:val="nil"/>
              <w:right w:val="nil"/>
            </w:tcBorders>
            <w:vAlign w:val="center"/>
          </w:tcPr>
          <w:p w14:paraId="76AEAD74" w14:textId="77777777" w:rsidR="008B7E19" w:rsidRDefault="008B7E19" w:rsidP="008B7E19">
            <w:pPr>
              <w:pStyle w:val="08-Tabelageral"/>
              <w:spacing w:afterLines="40" w:after="96"/>
              <w:ind w:left="113"/>
              <w:rPr>
                <w:rFonts w:cs="Arial"/>
                <w:szCs w:val="14"/>
              </w:rPr>
            </w:pPr>
          </w:p>
        </w:tc>
        <w:tc>
          <w:tcPr>
            <w:tcW w:w="1417" w:type="dxa"/>
            <w:tcBorders>
              <w:top w:val="nil"/>
              <w:left w:val="nil"/>
              <w:bottom w:val="nil"/>
              <w:right w:val="nil"/>
            </w:tcBorders>
            <w:vAlign w:val="center"/>
            <w:hideMark/>
          </w:tcPr>
          <w:p w14:paraId="26413906" w14:textId="77777777" w:rsidR="008B7E19" w:rsidRDefault="008B7E19" w:rsidP="008B7E19">
            <w:pPr>
              <w:pStyle w:val="08-Tabelageral"/>
              <w:spacing w:afterLines="40" w:after="96"/>
              <w:ind w:left="113"/>
              <w:rPr>
                <w:rFonts w:cs="Arial"/>
                <w:szCs w:val="14"/>
              </w:rPr>
            </w:pPr>
            <w:r w:rsidRPr="00330EE7">
              <w:rPr>
                <w:rFonts w:cs="Arial"/>
                <w:szCs w:val="14"/>
              </w:rPr>
              <w:t>2</w:t>
            </w:r>
            <w:r>
              <w:rPr>
                <w:rFonts w:cs="Arial"/>
                <w:szCs w:val="14"/>
              </w:rPr>
              <w:t>,</w:t>
            </w:r>
            <w:r w:rsidRPr="00330EE7">
              <w:rPr>
                <w:rFonts w:cs="Arial"/>
                <w:szCs w:val="14"/>
              </w:rPr>
              <w:t>663</w:t>
            </w:r>
          </w:p>
        </w:tc>
      </w:tr>
      <w:tr w:rsidR="008B7E19" w:rsidRPr="00856511" w14:paraId="6661ABC7" w14:textId="77777777" w:rsidTr="008B7E19">
        <w:trPr>
          <w:trHeight w:val="238"/>
          <w:jc w:val="center"/>
        </w:trPr>
        <w:tc>
          <w:tcPr>
            <w:tcW w:w="2892" w:type="dxa"/>
            <w:tcBorders>
              <w:top w:val="nil"/>
              <w:left w:val="nil"/>
              <w:bottom w:val="nil"/>
              <w:right w:val="nil"/>
            </w:tcBorders>
            <w:vAlign w:val="center"/>
            <w:hideMark/>
          </w:tcPr>
          <w:p w14:paraId="2BFD4A5C" w14:textId="77777777" w:rsidR="008B7E19" w:rsidRPr="00856511" w:rsidRDefault="008B7E19" w:rsidP="008B7E19">
            <w:pPr>
              <w:pStyle w:val="08-Tabelageral"/>
              <w:spacing w:afterLines="40" w:after="96"/>
              <w:ind w:left="113"/>
              <w:jc w:val="left"/>
              <w:rPr>
                <w:rFonts w:cs="Arial"/>
                <w:szCs w:val="14"/>
              </w:rPr>
            </w:pPr>
            <w:r w:rsidRPr="00A33E7B">
              <w:rPr>
                <w:rFonts w:cs="Arial"/>
                <w:szCs w:val="14"/>
              </w:rPr>
              <w:t>Rever</w:t>
            </w:r>
            <w:r>
              <w:rPr>
                <w:rFonts w:cs="Arial"/>
                <w:szCs w:val="14"/>
              </w:rPr>
              <w:t>sal of the provision</w:t>
            </w:r>
          </w:p>
        </w:tc>
        <w:tc>
          <w:tcPr>
            <w:tcW w:w="616" w:type="dxa"/>
            <w:tcBorders>
              <w:top w:val="nil"/>
              <w:left w:val="nil"/>
              <w:bottom w:val="nil"/>
              <w:right w:val="nil"/>
            </w:tcBorders>
            <w:vAlign w:val="center"/>
          </w:tcPr>
          <w:p w14:paraId="2F1A6E09" w14:textId="77777777" w:rsidR="008B7E19" w:rsidRDefault="008B7E19" w:rsidP="008B7E19">
            <w:pPr>
              <w:pStyle w:val="08-Tabelageral"/>
              <w:spacing w:afterLines="40" w:after="96"/>
              <w:ind w:left="113"/>
              <w:rPr>
                <w:rFonts w:cs="Arial"/>
                <w:szCs w:val="14"/>
              </w:rPr>
            </w:pPr>
          </w:p>
        </w:tc>
        <w:tc>
          <w:tcPr>
            <w:tcW w:w="1723" w:type="dxa"/>
            <w:tcBorders>
              <w:top w:val="nil"/>
              <w:left w:val="nil"/>
              <w:bottom w:val="nil"/>
              <w:right w:val="nil"/>
            </w:tcBorders>
            <w:vAlign w:val="center"/>
          </w:tcPr>
          <w:p w14:paraId="23FC151B" w14:textId="77777777" w:rsidR="008B7E19" w:rsidRDefault="008B7E19" w:rsidP="008B7E19">
            <w:pPr>
              <w:pStyle w:val="08-Tabelageral"/>
              <w:spacing w:afterLines="40" w:after="96"/>
              <w:ind w:left="113"/>
              <w:rPr>
                <w:rFonts w:cs="Arial"/>
                <w:szCs w:val="14"/>
              </w:rPr>
            </w:pPr>
          </w:p>
        </w:tc>
        <w:tc>
          <w:tcPr>
            <w:tcW w:w="1304" w:type="dxa"/>
            <w:tcBorders>
              <w:top w:val="nil"/>
              <w:left w:val="nil"/>
              <w:bottom w:val="nil"/>
              <w:right w:val="nil"/>
            </w:tcBorders>
            <w:vAlign w:val="center"/>
            <w:hideMark/>
          </w:tcPr>
          <w:p w14:paraId="18C26B60" w14:textId="77777777" w:rsidR="008B7E19" w:rsidRDefault="008B7E19" w:rsidP="008B7E19">
            <w:pPr>
              <w:pStyle w:val="08-Tabelageral"/>
              <w:spacing w:afterLines="40" w:after="96"/>
              <w:ind w:left="113"/>
              <w:rPr>
                <w:rFonts w:cs="Arial"/>
                <w:szCs w:val="14"/>
              </w:rPr>
            </w:pPr>
            <w:r>
              <w:rPr>
                <w:rFonts w:cs="Arial"/>
                <w:szCs w:val="14"/>
              </w:rPr>
              <w:t>(</w:t>
            </w:r>
            <w:r w:rsidRPr="00DA6E8C">
              <w:rPr>
                <w:rFonts w:cs="Arial"/>
                <w:szCs w:val="14"/>
              </w:rPr>
              <w:t>2</w:t>
            </w:r>
            <w:r>
              <w:rPr>
                <w:rFonts w:cs="Arial"/>
                <w:szCs w:val="14"/>
              </w:rPr>
              <w:t>,</w:t>
            </w:r>
            <w:r w:rsidRPr="00DA6E8C">
              <w:rPr>
                <w:rFonts w:cs="Arial"/>
                <w:szCs w:val="14"/>
              </w:rPr>
              <w:t>452</w:t>
            </w:r>
            <w:r>
              <w:rPr>
                <w:rFonts w:cs="Arial"/>
                <w:szCs w:val="14"/>
              </w:rPr>
              <w:t>)</w:t>
            </w:r>
          </w:p>
        </w:tc>
        <w:tc>
          <w:tcPr>
            <w:tcW w:w="289" w:type="dxa"/>
            <w:tcBorders>
              <w:top w:val="nil"/>
              <w:left w:val="nil"/>
              <w:bottom w:val="nil"/>
              <w:right w:val="nil"/>
            </w:tcBorders>
            <w:vAlign w:val="center"/>
          </w:tcPr>
          <w:p w14:paraId="759E0F0C" w14:textId="77777777" w:rsidR="008B7E19" w:rsidRDefault="008B7E19" w:rsidP="008B7E19">
            <w:pPr>
              <w:pStyle w:val="08-Tabelageral"/>
              <w:spacing w:afterLines="40" w:after="96"/>
              <w:ind w:left="113"/>
              <w:rPr>
                <w:rFonts w:cs="Arial"/>
                <w:szCs w:val="14"/>
              </w:rPr>
            </w:pPr>
          </w:p>
        </w:tc>
        <w:tc>
          <w:tcPr>
            <w:tcW w:w="1398" w:type="dxa"/>
            <w:tcBorders>
              <w:top w:val="nil"/>
              <w:left w:val="nil"/>
              <w:bottom w:val="nil"/>
              <w:right w:val="nil"/>
            </w:tcBorders>
            <w:vAlign w:val="center"/>
          </w:tcPr>
          <w:p w14:paraId="4BB44302" w14:textId="77777777" w:rsidR="008B7E19" w:rsidRDefault="008B7E19" w:rsidP="008B7E19">
            <w:pPr>
              <w:pStyle w:val="08-Tabelageral"/>
              <w:spacing w:afterLines="40" w:after="96"/>
              <w:ind w:left="113"/>
              <w:rPr>
                <w:rFonts w:cs="Arial"/>
                <w:szCs w:val="14"/>
              </w:rPr>
            </w:pPr>
          </w:p>
        </w:tc>
        <w:tc>
          <w:tcPr>
            <w:tcW w:w="1417" w:type="dxa"/>
            <w:tcBorders>
              <w:top w:val="nil"/>
              <w:left w:val="nil"/>
              <w:bottom w:val="nil"/>
              <w:right w:val="nil"/>
            </w:tcBorders>
            <w:vAlign w:val="center"/>
            <w:hideMark/>
          </w:tcPr>
          <w:p w14:paraId="5D7B831C" w14:textId="77777777" w:rsidR="008B7E19" w:rsidRDefault="008B7E19" w:rsidP="008B7E19">
            <w:pPr>
              <w:pStyle w:val="08-Tabelageral"/>
              <w:spacing w:afterLines="40" w:after="96"/>
              <w:ind w:left="113"/>
              <w:rPr>
                <w:rFonts w:cs="Arial"/>
                <w:szCs w:val="14"/>
              </w:rPr>
            </w:pPr>
            <w:r w:rsidRPr="00330EE7">
              <w:rPr>
                <w:rFonts w:cs="Arial"/>
                <w:szCs w:val="14"/>
              </w:rPr>
              <w:t>(2</w:t>
            </w:r>
            <w:r>
              <w:rPr>
                <w:rFonts w:cs="Arial"/>
                <w:szCs w:val="14"/>
              </w:rPr>
              <w:t>,</w:t>
            </w:r>
            <w:r w:rsidRPr="00330EE7">
              <w:rPr>
                <w:rFonts w:cs="Arial"/>
                <w:szCs w:val="14"/>
              </w:rPr>
              <w:t>602)</w:t>
            </w:r>
          </w:p>
        </w:tc>
      </w:tr>
      <w:tr w:rsidR="008B7E19" w:rsidRPr="00856511" w14:paraId="5E829766" w14:textId="77777777" w:rsidTr="008B7E19">
        <w:trPr>
          <w:trHeight w:val="238"/>
          <w:jc w:val="center"/>
        </w:trPr>
        <w:tc>
          <w:tcPr>
            <w:tcW w:w="2892" w:type="dxa"/>
            <w:tcBorders>
              <w:top w:val="nil"/>
              <w:left w:val="nil"/>
              <w:bottom w:val="nil"/>
              <w:right w:val="nil"/>
            </w:tcBorders>
            <w:vAlign w:val="center"/>
            <w:hideMark/>
          </w:tcPr>
          <w:p w14:paraId="4C07CCA1" w14:textId="77777777" w:rsidR="008B7E19" w:rsidRPr="00856511" w:rsidRDefault="008B7E19" w:rsidP="008B7E19">
            <w:pPr>
              <w:pStyle w:val="08-Tabelageral"/>
              <w:spacing w:afterLines="40" w:after="96"/>
              <w:ind w:left="113"/>
              <w:jc w:val="left"/>
              <w:rPr>
                <w:rFonts w:cs="Arial"/>
                <w:szCs w:val="14"/>
              </w:rPr>
            </w:pPr>
            <w:r>
              <w:rPr>
                <w:rFonts w:cs="Arial"/>
                <w:szCs w:val="14"/>
              </w:rPr>
              <w:t>W</w:t>
            </w:r>
            <w:r w:rsidRPr="007A6A25">
              <w:rPr>
                <w:rFonts w:cs="Arial"/>
                <w:szCs w:val="14"/>
              </w:rPr>
              <w:t>rite-off by payment</w:t>
            </w:r>
          </w:p>
        </w:tc>
        <w:tc>
          <w:tcPr>
            <w:tcW w:w="616" w:type="dxa"/>
            <w:tcBorders>
              <w:top w:val="nil"/>
              <w:left w:val="nil"/>
              <w:bottom w:val="nil"/>
              <w:right w:val="nil"/>
            </w:tcBorders>
            <w:vAlign w:val="center"/>
          </w:tcPr>
          <w:p w14:paraId="6242266F" w14:textId="77777777" w:rsidR="008B7E19" w:rsidRDefault="008B7E19" w:rsidP="008B7E19">
            <w:pPr>
              <w:pStyle w:val="08-Tabelageral"/>
              <w:spacing w:afterLines="40" w:after="96"/>
              <w:ind w:left="113"/>
              <w:rPr>
                <w:rFonts w:cs="Arial"/>
                <w:szCs w:val="14"/>
              </w:rPr>
            </w:pPr>
          </w:p>
        </w:tc>
        <w:tc>
          <w:tcPr>
            <w:tcW w:w="1723" w:type="dxa"/>
            <w:tcBorders>
              <w:top w:val="nil"/>
              <w:left w:val="nil"/>
              <w:bottom w:val="nil"/>
              <w:right w:val="nil"/>
            </w:tcBorders>
            <w:vAlign w:val="center"/>
          </w:tcPr>
          <w:p w14:paraId="1EC96A62" w14:textId="77777777" w:rsidR="008B7E19" w:rsidRDefault="008B7E19" w:rsidP="008B7E19">
            <w:pPr>
              <w:pStyle w:val="08-Tabelageral"/>
              <w:spacing w:afterLines="40" w:after="96"/>
              <w:ind w:left="113"/>
              <w:rPr>
                <w:rFonts w:cs="Arial"/>
                <w:szCs w:val="14"/>
              </w:rPr>
            </w:pPr>
          </w:p>
        </w:tc>
        <w:tc>
          <w:tcPr>
            <w:tcW w:w="1304" w:type="dxa"/>
            <w:tcBorders>
              <w:top w:val="nil"/>
              <w:left w:val="nil"/>
              <w:bottom w:val="nil"/>
              <w:right w:val="nil"/>
            </w:tcBorders>
            <w:vAlign w:val="center"/>
            <w:hideMark/>
          </w:tcPr>
          <w:p w14:paraId="30030752" w14:textId="77777777" w:rsidR="008B7E19" w:rsidRDefault="008B7E19" w:rsidP="008B7E19">
            <w:pPr>
              <w:pStyle w:val="08-Tabelageral"/>
              <w:spacing w:afterLines="40" w:after="96"/>
              <w:ind w:left="113"/>
              <w:rPr>
                <w:rFonts w:cs="Arial"/>
                <w:szCs w:val="14"/>
              </w:rPr>
            </w:pPr>
            <w:r>
              <w:rPr>
                <w:rFonts w:cs="Arial"/>
                <w:szCs w:val="14"/>
              </w:rPr>
              <w:t>--</w:t>
            </w:r>
          </w:p>
        </w:tc>
        <w:tc>
          <w:tcPr>
            <w:tcW w:w="289" w:type="dxa"/>
            <w:tcBorders>
              <w:top w:val="nil"/>
              <w:left w:val="nil"/>
              <w:bottom w:val="nil"/>
              <w:right w:val="nil"/>
            </w:tcBorders>
            <w:vAlign w:val="center"/>
          </w:tcPr>
          <w:p w14:paraId="7F3CA6D5" w14:textId="77777777" w:rsidR="008B7E19" w:rsidRDefault="008B7E19" w:rsidP="008B7E19">
            <w:pPr>
              <w:pStyle w:val="08-Tabelageral"/>
              <w:spacing w:afterLines="40" w:after="96"/>
              <w:ind w:left="113"/>
              <w:rPr>
                <w:rFonts w:cs="Arial"/>
                <w:szCs w:val="14"/>
              </w:rPr>
            </w:pPr>
          </w:p>
        </w:tc>
        <w:tc>
          <w:tcPr>
            <w:tcW w:w="1398" w:type="dxa"/>
            <w:tcBorders>
              <w:top w:val="nil"/>
              <w:left w:val="nil"/>
              <w:bottom w:val="nil"/>
              <w:right w:val="nil"/>
            </w:tcBorders>
            <w:vAlign w:val="center"/>
          </w:tcPr>
          <w:p w14:paraId="54D9359C" w14:textId="77777777" w:rsidR="008B7E19" w:rsidRDefault="008B7E19" w:rsidP="008B7E19">
            <w:pPr>
              <w:pStyle w:val="08-Tabelageral"/>
              <w:spacing w:afterLines="40" w:after="96"/>
              <w:ind w:left="113"/>
              <w:rPr>
                <w:rFonts w:cs="Arial"/>
                <w:szCs w:val="14"/>
              </w:rPr>
            </w:pPr>
          </w:p>
        </w:tc>
        <w:tc>
          <w:tcPr>
            <w:tcW w:w="1417" w:type="dxa"/>
            <w:tcBorders>
              <w:top w:val="nil"/>
              <w:left w:val="nil"/>
              <w:bottom w:val="nil"/>
              <w:right w:val="nil"/>
            </w:tcBorders>
            <w:vAlign w:val="center"/>
            <w:hideMark/>
          </w:tcPr>
          <w:p w14:paraId="2BEA81CE" w14:textId="77777777" w:rsidR="008B7E19" w:rsidRDefault="008B7E19" w:rsidP="008B7E19">
            <w:pPr>
              <w:pStyle w:val="08-Tabelageral"/>
              <w:spacing w:afterLines="40" w:after="96"/>
              <w:ind w:left="113"/>
              <w:rPr>
                <w:rFonts w:cs="Arial"/>
                <w:szCs w:val="14"/>
              </w:rPr>
            </w:pPr>
            <w:r w:rsidRPr="00330EE7">
              <w:rPr>
                <w:rFonts w:cs="Arial"/>
                <w:szCs w:val="14"/>
              </w:rPr>
              <w:t>--</w:t>
            </w:r>
          </w:p>
        </w:tc>
      </w:tr>
      <w:tr w:rsidR="008B7E19" w:rsidRPr="00856511" w14:paraId="3F90E3B9" w14:textId="77777777" w:rsidTr="008B7E19">
        <w:trPr>
          <w:trHeight w:val="238"/>
          <w:jc w:val="center"/>
        </w:trPr>
        <w:tc>
          <w:tcPr>
            <w:tcW w:w="2892" w:type="dxa"/>
            <w:tcBorders>
              <w:top w:val="nil"/>
              <w:left w:val="nil"/>
              <w:bottom w:val="nil"/>
              <w:right w:val="nil"/>
            </w:tcBorders>
            <w:vAlign w:val="center"/>
            <w:hideMark/>
          </w:tcPr>
          <w:p w14:paraId="52F6FC8B" w14:textId="77777777" w:rsidR="008B7E19" w:rsidRPr="00856511" w:rsidRDefault="008B7E19" w:rsidP="008B7E19">
            <w:pPr>
              <w:pStyle w:val="08-Tabelageral"/>
              <w:spacing w:afterLines="40" w:after="96"/>
              <w:jc w:val="left"/>
              <w:rPr>
                <w:rFonts w:cs="Arial"/>
                <w:b/>
                <w:bCs/>
                <w:szCs w:val="14"/>
              </w:rPr>
            </w:pPr>
            <w:r w:rsidRPr="00856511">
              <w:rPr>
                <w:rFonts w:cs="Arial"/>
                <w:b/>
                <w:bCs/>
                <w:szCs w:val="14"/>
              </w:rPr>
              <w:t>Closing balance</w:t>
            </w:r>
          </w:p>
        </w:tc>
        <w:tc>
          <w:tcPr>
            <w:tcW w:w="616" w:type="dxa"/>
            <w:tcBorders>
              <w:top w:val="nil"/>
              <w:left w:val="nil"/>
              <w:bottom w:val="nil"/>
              <w:right w:val="nil"/>
            </w:tcBorders>
            <w:vAlign w:val="center"/>
          </w:tcPr>
          <w:p w14:paraId="68434E30" w14:textId="77777777" w:rsidR="008B7E19" w:rsidRDefault="008B7E19" w:rsidP="008B7E19">
            <w:pPr>
              <w:pStyle w:val="08-Tabelageral"/>
              <w:spacing w:afterLines="40" w:after="96"/>
              <w:rPr>
                <w:rFonts w:cs="Arial"/>
                <w:b/>
                <w:bCs/>
                <w:szCs w:val="14"/>
              </w:rPr>
            </w:pPr>
          </w:p>
        </w:tc>
        <w:tc>
          <w:tcPr>
            <w:tcW w:w="1723" w:type="dxa"/>
            <w:tcBorders>
              <w:top w:val="nil"/>
              <w:left w:val="nil"/>
              <w:bottom w:val="nil"/>
              <w:right w:val="nil"/>
            </w:tcBorders>
            <w:vAlign w:val="center"/>
          </w:tcPr>
          <w:p w14:paraId="791B84A4" w14:textId="77777777" w:rsidR="008B7E19" w:rsidRDefault="008B7E19" w:rsidP="008B7E19">
            <w:pPr>
              <w:pStyle w:val="08-Tabelageral"/>
              <w:spacing w:afterLines="40" w:after="96"/>
              <w:rPr>
                <w:rFonts w:cs="Arial"/>
                <w:b/>
                <w:bCs/>
                <w:szCs w:val="14"/>
              </w:rPr>
            </w:pPr>
          </w:p>
        </w:tc>
        <w:tc>
          <w:tcPr>
            <w:tcW w:w="1304" w:type="dxa"/>
            <w:tcBorders>
              <w:top w:val="nil"/>
              <w:left w:val="nil"/>
              <w:bottom w:val="nil"/>
              <w:right w:val="nil"/>
            </w:tcBorders>
            <w:vAlign w:val="center"/>
            <w:hideMark/>
          </w:tcPr>
          <w:p w14:paraId="2FBC756D" w14:textId="77777777" w:rsidR="008B7E19" w:rsidRDefault="008B7E19" w:rsidP="008B7E19">
            <w:pPr>
              <w:pStyle w:val="08-Tabelageral"/>
              <w:spacing w:afterLines="40" w:after="96"/>
              <w:rPr>
                <w:rFonts w:cs="Arial"/>
                <w:b/>
                <w:bCs/>
                <w:szCs w:val="14"/>
              </w:rPr>
            </w:pPr>
            <w:r w:rsidRPr="00DA6E8C">
              <w:rPr>
                <w:rFonts w:cs="Arial"/>
                <w:b/>
                <w:bCs/>
                <w:szCs w:val="14"/>
              </w:rPr>
              <w:t>24</w:t>
            </w:r>
            <w:r>
              <w:rPr>
                <w:rFonts w:cs="Arial"/>
                <w:b/>
                <w:bCs/>
                <w:szCs w:val="14"/>
              </w:rPr>
              <w:t>,</w:t>
            </w:r>
            <w:r w:rsidRPr="00DA6E8C">
              <w:rPr>
                <w:rFonts w:cs="Arial"/>
                <w:b/>
                <w:bCs/>
                <w:szCs w:val="14"/>
              </w:rPr>
              <w:t>816</w:t>
            </w:r>
          </w:p>
        </w:tc>
        <w:tc>
          <w:tcPr>
            <w:tcW w:w="289" w:type="dxa"/>
            <w:tcBorders>
              <w:top w:val="nil"/>
              <w:left w:val="nil"/>
              <w:bottom w:val="nil"/>
              <w:right w:val="nil"/>
            </w:tcBorders>
            <w:vAlign w:val="center"/>
          </w:tcPr>
          <w:p w14:paraId="6BF19529" w14:textId="77777777" w:rsidR="008B7E19" w:rsidRDefault="008B7E19" w:rsidP="008B7E19">
            <w:pPr>
              <w:pStyle w:val="08-Tabelageral"/>
              <w:spacing w:afterLines="40" w:after="96"/>
              <w:rPr>
                <w:rFonts w:cs="Arial"/>
                <w:b/>
                <w:bCs/>
                <w:szCs w:val="14"/>
              </w:rPr>
            </w:pPr>
          </w:p>
        </w:tc>
        <w:tc>
          <w:tcPr>
            <w:tcW w:w="1398" w:type="dxa"/>
            <w:tcBorders>
              <w:top w:val="nil"/>
              <w:left w:val="nil"/>
              <w:bottom w:val="nil"/>
              <w:right w:val="nil"/>
            </w:tcBorders>
            <w:vAlign w:val="center"/>
          </w:tcPr>
          <w:p w14:paraId="2DF4396F" w14:textId="77777777" w:rsidR="008B7E19" w:rsidRDefault="008B7E19" w:rsidP="008B7E19">
            <w:pPr>
              <w:pStyle w:val="08-Tabelageral"/>
              <w:spacing w:afterLines="40" w:after="96"/>
              <w:rPr>
                <w:rFonts w:cs="Arial"/>
                <w:b/>
                <w:bCs/>
                <w:szCs w:val="14"/>
              </w:rPr>
            </w:pPr>
          </w:p>
        </w:tc>
        <w:tc>
          <w:tcPr>
            <w:tcW w:w="1417" w:type="dxa"/>
            <w:tcBorders>
              <w:top w:val="nil"/>
              <w:left w:val="nil"/>
              <w:bottom w:val="nil"/>
              <w:right w:val="nil"/>
            </w:tcBorders>
            <w:vAlign w:val="center"/>
            <w:hideMark/>
          </w:tcPr>
          <w:p w14:paraId="0D4C34C3" w14:textId="77777777" w:rsidR="008B7E19" w:rsidRDefault="008B7E19" w:rsidP="008B7E19">
            <w:pPr>
              <w:pStyle w:val="08-Tabelageral"/>
              <w:spacing w:afterLines="40" w:after="96"/>
              <w:rPr>
                <w:rFonts w:cs="Arial"/>
                <w:b/>
                <w:bCs/>
                <w:szCs w:val="14"/>
              </w:rPr>
            </w:pPr>
            <w:r w:rsidRPr="00F9604B">
              <w:rPr>
                <w:rFonts w:cs="Arial"/>
                <w:b/>
                <w:bCs/>
                <w:szCs w:val="14"/>
              </w:rPr>
              <w:t>14</w:t>
            </w:r>
            <w:r>
              <w:rPr>
                <w:rFonts w:cs="Arial"/>
                <w:b/>
                <w:bCs/>
                <w:szCs w:val="14"/>
              </w:rPr>
              <w:t>,</w:t>
            </w:r>
            <w:r w:rsidRPr="00F9604B">
              <w:rPr>
                <w:rFonts w:cs="Arial"/>
                <w:b/>
                <w:bCs/>
                <w:szCs w:val="14"/>
              </w:rPr>
              <w:t>317</w:t>
            </w:r>
          </w:p>
        </w:tc>
      </w:tr>
      <w:tr w:rsidR="008B7E19" w:rsidRPr="00856511" w14:paraId="79079D00" w14:textId="77777777" w:rsidTr="008B7E19">
        <w:trPr>
          <w:trHeight w:val="238"/>
          <w:jc w:val="center"/>
        </w:trPr>
        <w:tc>
          <w:tcPr>
            <w:tcW w:w="2892" w:type="dxa"/>
            <w:tcBorders>
              <w:top w:val="nil"/>
              <w:left w:val="nil"/>
              <w:bottom w:val="single" w:sz="2" w:space="0" w:color="1F4E79" w:themeColor="accent1" w:themeShade="80"/>
              <w:right w:val="nil"/>
            </w:tcBorders>
            <w:vAlign w:val="center"/>
            <w:hideMark/>
          </w:tcPr>
          <w:p w14:paraId="347D039A" w14:textId="77777777" w:rsidR="008B7E19" w:rsidRPr="00856511" w:rsidRDefault="008B7E19" w:rsidP="008B7E19">
            <w:pPr>
              <w:pStyle w:val="08-Tabelageral"/>
              <w:spacing w:afterLines="40" w:after="96"/>
              <w:jc w:val="left"/>
              <w:rPr>
                <w:rFonts w:cs="Arial"/>
                <w:b/>
                <w:bCs/>
                <w:szCs w:val="14"/>
              </w:rPr>
            </w:pPr>
            <w:r>
              <w:rPr>
                <w:rFonts w:cs="Arial"/>
                <w:b/>
                <w:bCs/>
                <w:szCs w:val="14"/>
              </w:rPr>
              <w:t>Total</w:t>
            </w:r>
          </w:p>
        </w:tc>
        <w:tc>
          <w:tcPr>
            <w:tcW w:w="616" w:type="dxa"/>
            <w:tcBorders>
              <w:top w:val="nil"/>
              <w:left w:val="nil"/>
              <w:bottom w:val="single" w:sz="2" w:space="0" w:color="1F4E79" w:themeColor="accent1" w:themeShade="80"/>
              <w:right w:val="nil"/>
            </w:tcBorders>
            <w:vAlign w:val="center"/>
          </w:tcPr>
          <w:p w14:paraId="3B000B27" w14:textId="77777777" w:rsidR="008B7E19" w:rsidRDefault="008B7E19" w:rsidP="008B7E19">
            <w:pPr>
              <w:pStyle w:val="08-Tabelageral"/>
              <w:spacing w:afterLines="40" w:after="96"/>
              <w:rPr>
                <w:rFonts w:cs="Arial"/>
                <w:b/>
                <w:bCs/>
                <w:szCs w:val="14"/>
              </w:rPr>
            </w:pPr>
          </w:p>
        </w:tc>
        <w:tc>
          <w:tcPr>
            <w:tcW w:w="1723" w:type="dxa"/>
            <w:tcBorders>
              <w:top w:val="nil"/>
              <w:left w:val="nil"/>
              <w:bottom w:val="single" w:sz="2" w:space="0" w:color="1F4E79" w:themeColor="accent1" w:themeShade="80"/>
              <w:right w:val="nil"/>
            </w:tcBorders>
            <w:vAlign w:val="center"/>
          </w:tcPr>
          <w:p w14:paraId="0BB8B9B4" w14:textId="77777777" w:rsidR="008B7E19" w:rsidRDefault="008B7E19" w:rsidP="008B7E19">
            <w:pPr>
              <w:pStyle w:val="08-Tabelageral"/>
              <w:spacing w:afterLines="40" w:after="96"/>
              <w:rPr>
                <w:rFonts w:cs="Arial"/>
                <w:b/>
                <w:bCs/>
                <w:szCs w:val="14"/>
              </w:rPr>
            </w:pPr>
          </w:p>
        </w:tc>
        <w:tc>
          <w:tcPr>
            <w:tcW w:w="1304" w:type="dxa"/>
            <w:tcBorders>
              <w:top w:val="nil"/>
              <w:left w:val="nil"/>
              <w:bottom w:val="single" w:sz="2" w:space="0" w:color="1F4E79" w:themeColor="accent1" w:themeShade="80"/>
              <w:right w:val="nil"/>
            </w:tcBorders>
            <w:vAlign w:val="center"/>
            <w:hideMark/>
          </w:tcPr>
          <w:p w14:paraId="48B8DC65" w14:textId="77777777" w:rsidR="008B7E19" w:rsidRDefault="008B7E19" w:rsidP="008B7E19">
            <w:pPr>
              <w:pStyle w:val="08-Tabelageral"/>
              <w:spacing w:afterLines="40" w:after="96"/>
              <w:rPr>
                <w:rFonts w:cs="Arial"/>
                <w:b/>
                <w:bCs/>
                <w:szCs w:val="14"/>
              </w:rPr>
            </w:pPr>
            <w:r w:rsidRPr="00DA6E8C">
              <w:rPr>
                <w:rFonts w:cs="Arial"/>
                <w:b/>
                <w:bCs/>
                <w:szCs w:val="14"/>
              </w:rPr>
              <w:t>24</w:t>
            </w:r>
            <w:r>
              <w:rPr>
                <w:rFonts w:cs="Arial"/>
                <w:b/>
                <w:bCs/>
                <w:szCs w:val="14"/>
              </w:rPr>
              <w:t>,</w:t>
            </w:r>
            <w:r w:rsidRPr="00DA6E8C">
              <w:rPr>
                <w:rFonts w:cs="Arial"/>
                <w:b/>
                <w:bCs/>
                <w:szCs w:val="14"/>
              </w:rPr>
              <w:t>919</w:t>
            </w:r>
          </w:p>
        </w:tc>
        <w:tc>
          <w:tcPr>
            <w:tcW w:w="289" w:type="dxa"/>
            <w:tcBorders>
              <w:top w:val="nil"/>
              <w:left w:val="nil"/>
              <w:bottom w:val="single" w:sz="2" w:space="0" w:color="1F4E79" w:themeColor="accent1" w:themeShade="80"/>
              <w:right w:val="nil"/>
            </w:tcBorders>
            <w:vAlign w:val="center"/>
          </w:tcPr>
          <w:p w14:paraId="76EBFCC2" w14:textId="77777777" w:rsidR="008B7E19" w:rsidRDefault="008B7E19" w:rsidP="008B7E19">
            <w:pPr>
              <w:pStyle w:val="08-Tabelageral"/>
              <w:spacing w:afterLines="40" w:after="96"/>
              <w:rPr>
                <w:rFonts w:cs="Arial"/>
                <w:b/>
                <w:bCs/>
                <w:szCs w:val="14"/>
              </w:rPr>
            </w:pPr>
          </w:p>
        </w:tc>
        <w:tc>
          <w:tcPr>
            <w:tcW w:w="1398" w:type="dxa"/>
            <w:tcBorders>
              <w:top w:val="nil"/>
              <w:left w:val="nil"/>
              <w:bottom w:val="single" w:sz="2" w:space="0" w:color="1F4E79" w:themeColor="accent1" w:themeShade="80"/>
              <w:right w:val="nil"/>
            </w:tcBorders>
            <w:vAlign w:val="center"/>
          </w:tcPr>
          <w:p w14:paraId="564C9829" w14:textId="77777777" w:rsidR="008B7E19" w:rsidRDefault="008B7E19" w:rsidP="008B7E19">
            <w:pPr>
              <w:pStyle w:val="08-Tabelageral"/>
              <w:spacing w:afterLines="40" w:after="96"/>
              <w:rPr>
                <w:rFonts w:cs="Arial"/>
                <w:b/>
                <w:bCs/>
                <w:szCs w:val="14"/>
              </w:rPr>
            </w:pPr>
          </w:p>
        </w:tc>
        <w:tc>
          <w:tcPr>
            <w:tcW w:w="1417" w:type="dxa"/>
            <w:tcBorders>
              <w:top w:val="nil"/>
              <w:left w:val="nil"/>
              <w:bottom w:val="single" w:sz="2" w:space="0" w:color="1F4E79" w:themeColor="accent1" w:themeShade="80"/>
              <w:right w:val="nil"/>
            </w:tcBorders>
            <w:vAlign w:val="center"/>
            <w:hideMark/>
          </w:tcPr>
          <w:p w14:paraId="53763622" w14:textId="77777777" w:rsidR="008B7E19" w:rsidRDefault="008B7E19" w:rsidP="008B7E19">
            <w:pPr>
              <w:pStyle w:val="08-Tabelageral"/>
              <w:spacing w:afterLines="40" w:after="96"/>
              <w:rPr>
                <w:rFonts w:cs="Arial"/>
                <w:b/>
                <w:bCs/>
                <w:szCs w:val="14"/>
              </w:rPr>
            </w:pPr>
            <w:r w:rsidRPr="00F9604B">
              <w:rPr>
                <w:rFonts w:cs="Arial"/>
                <w:b/>
                <w:bCs/>
                <w:szCs w:val="14"/>
              </w:rPr>
              <w:t>15</w:t>
            </w:r>
            <w:r>
              <w:rPr>
                <w:rFonts w:cs="Arial"/>
                <w:b/>
                <w:bCs/>
                <w:szCs w:val="14"/>
              </w:rPr>
              <w:t>,</w:t>
            </w:r>
            <w:r w:rsidRPr="00F9604B">
              <w:rPr>
                <w:rFonts w:cs="Arial"/>
                <w:b/>
                <w:bCs/>
                <w:szCs w:val="14"/>
              </w:rPr>
              <w:t>371</w:t>
            </w:r>
          </w:p>
        </w:tc>
      </w:tr>
    </w:tbl>
    <w:p w14:paraId="341F035C" w14:textId="77777777" w:rsidR="008B7E19" w:rsidRDefault="008B7E19" w:rsidP="008B7E19">
      <w:pPr>
        <w:pStyle w:val="07-Legenda"/>
        <w:numPr>
          <w:ilvl w:val="0"/>
          <w:numId w:val="3"/>
        </w:numPr>
        <w:spacing w:line="23" w:lineRule="atLeast"/>
        <w:ind w:left="284" w:hanging="284"/>
        <w:rPr>
          <w:rFonts w:cs="Arial"/>
          <w:szCs w:val="14"/>
          <w:lang w:val="en-US"/>
        </w:rPr>
      </w:pPr>
      <w:r w:rsidRPr="00134726">
        <w:rPr>
          <w:rFonts w:cs="Arial"/>
          <w:szCs w:val="14"/>
          <w:lang w:val="en-US"/>
        </w:rPr>
        <w:t xml:space="preserve">In </w:t>
      </w:r>
      <w:r>
        <w:rPr>
          <w:rFonts w:cs="Arial"/>
          <w:szCs w:val="14"/>
          <w:lang w:val="en-US"/>
        </w:rPr>
        <w:t xml:space="preserve">the </w:t>
      </w:r>
      <w:r w:rsidRPr="001D6AEE">
        <w:rPr>
          <w:rFonts w:cs="Arial"/>
          <w:szCs w:val="14"/>
          <w:lang w:val="en-US"/>
        </w:rPr>
        <w:t>1</w:t>
      </w:r>
      <w:r w:rsidRPr="001D6AEE">
        <w:rPr>
          <w:rFonts w:cs="Arial"/>
          <w:szCs w:val="14"/>
          <w:vertAlign w:val="superscript"/>
          <w:lang w:val="en-US"/>
        </w:rPr>
        <w:t>st</w:t>
      </w:r>
      <w:r w:rsidRPr="001D6AEE">
        <w:rPr>
          <w:rFonts w:cs="Arial"/>
          <w:szCs w:val="14"/>
          <w:lang w:val="en-US"/>
        </w:rPr>
        <w:t xml:space="preserve"> </w:t>
      </w:r>
      <w:r>
        <w:rPr>
          <w:rFonts w:cs="Arial"/>
          <w:szCs w:val="14"/>
          <w:lang w:val="en-US"/>
        </w:rPr>
        <w:t xml:space="preserve">Half </w:t>
      </w:r>
      <w:r w:rsidRPr="00134726">
        <w:rPr>
          <w:rFonts w:cs="Arial"/>
          <w:szCs w:val="14"/>
          <w:lang w:val="en-US"/>
        </w:rPr>
        <w:t>202</w:t>
      </w:r>
      <w:r>
        <w:rPr>
          <w:rFonts w:cs="Arial"/>
          <w:szCs w:val="14"/>
          <w:lang w:val="en-US"/>
        </w:rPr>
        <w:t>3</w:t>
      </w:r>
      <w:r w:rsidRPr="00134726">
        <w:rPr>
          <w:rFonts w:cs="Arial"/>
          <w:szCs w:val="14"/>
          <w:lang w:val="en-US"/>
        </w:rPr>
        <w:t xml:space="preserve"> includes the amount of R$ </w:t>
      </w:r>
      <w:r>
        <w:rPr>
          <w:rFonts w:cs="Arial"/>
          <w:szCs w:val="14"/>
          <w:lang w:val="en-US"/>
        </w:rPr>
        <w:t>1</w:t>
      </w:r>
      <w:r w:rsidRPr="00134726">
        <w:rPr>
          <w:rFonts w:cs="Arial"/>
          <w:szCs w:val="14"/>
          <w:lang w:val="en-US"/>
        </w:rPr>
        <w:t xml:space="preserve"> thousand related to monetary restatement (R$ </w:t>
      </w:r>
      <w:r>
        <w:rPr>
          <w:rFonts w:cs="Arial"/>
          <w:szCs w:val="14"/>
          <w:lang w:val="en-US"/>
        </w:rPr>
        <w:t>53</w:t>
      </w:r>
      <w:r w:rsidRPr="00134726">
        <w:rPr>
          <w:rFonts w:cs="Arial"/>
          <w:szCs w:val="14"/>
          <w:lang w:val="en-US"/>
        </w:rPr>
        <w:t xml:space="preserve"> thousand in </w:t>
      </w:r>
      <w:r>
        <w:rPr>
          <w:rFonts w:cs="Arial"/>
          <w:szCs w:val="14"/>
          <w:lang w:val="en-US"/>
        </w:rPr>
        <w:t xml:space="preserve">the </w:t>
      </w:r>
      <w:r w:rsidRPr="001D6AEE">
        <w:rPr>
          <w:rFonts w:cs="Arial"/>
          <w:szCs w:val="14"/>
          <w:lang w:val="en-US"/>
        </w:rPr>
        <w:t>1</w:t>
      </w:r>
      <w:r w:rsidRPr="001D6AEE">
        <w:rPr>
          <w:rFonts w:cs="Arial"/>
          <w:szCs w:val="14"/>
          <w:vertAlign w:val="superscript"/>
          <w:lang w:val="en-US"/>
        </w:rPr>
        <w:t>st</w:t>
      </w:r>
      <w:r w:rsidRPr="001D6AEE">
        <w:rPr>
          <w:rFonts w:cs="Arial"/>
          <w:szCs w:val="14"/>
          <w:lang w:val="en-US"/>
        </w:rPr>
        <w:t xml:space="preserve"> </w:t>
      </w:r>
      <w:r>
        <w:rPr>
          <w:rFonts w:cs="Arial"/>
          <w:szCs w:val="14"/>
          <w:lang w:val="en-US"/>
        </w:rPr>
        <w:t xml:space="preserve">Half </w:t>
      </w:r>
      <w:r w:rsidRPr="00134726">
        <w:rPr>
          <w:rFonts w:cs="Arial"/>
          <w:szCs w:val="14"/>
          <w:lang w:val="en-US"/>
        </w:rPr>
        <w:t>202</w:t>
      </w:r>
      <w:r>
        <w:rPr>
          <w:rFonts w:cs="Arial"/>
          <w:szCs w:val="14"/>
          <w:lang w:val="en-US"/>
        </w:rPr>
        <w:t>2</w:t>
      </w:r>
      <w:r w:rsidRPr="00134726">
        <w:rPr>
          <w:rFonts w:cs="Arial"/>
          <w:szCs w:val="14"/>
          <w:lang w:val="en-US"/>
        </w:rPr>
        <w:t>).</w:t>
      </w:r>
    </w:p>
    <w:p w14:paraId="24D0ABBA" w14:textId="77777777" w:rsidR="008B7E19" w:rsidRDefault="008B7E19" w:rsidP="008B7E19">
      <w:pPr>
        <w:pStyle w:val="07-Legenda"/>
        <w:numPr>
          <w:ilvl w:val="0"/>
          <w:numId w:val="3"/>
        </w:numPr>
        <w:spacing w:line="23" w:lineRule="atLeast"/>
        <w:ind w:left="284" w:hanging="284"/>
        <w:rPr>
          <w:rFonts w:cs="Arial"/>
          <w:szCs w:val="14"/>
          <w:lang w:val="en-US"/>
        </w:rPr>
      </w:pPr>
      <w:r w:rsidRPr="00134726">
        <w:rPr>
          <w:rFonts w:cs="Arial"/>
          <w:szCs w:val="14"/>
          <w:lang w:val="en-US"/>
        </w:rPr>
        <w:t xml:space="preserve">In </w:t>
      </w:r>
      <w:r>
        <w:rPr>
          <w:rFonts w:cs="Arial"/>
          <w:szCs w:val="14"/>
          <w:lang w:val="en-US"/>
        </w:rPr>
        <w:t xml:space="preserve">the </w:t>
      </w:r>
      <w:r w:rsidRPr="001D6AEE">
        <w:rPr>
          <w:rFonts w:cs="Arial"/>
          <w:szCs w:val="14"/>
          <w:lang w:val="en-US"/>
        </w:rPr>
        <w:t>1</w:t>
      </w:r>
      <w:r w:rsidRPr="001D6AEE">
        <w:rPr>
          <w:rFonts w:cs="Arial"/>
          <w:szCs w:val="14"/>
          <w:vertAlign w:val="superscript"/>
          <w:lang w:val="en-US"/>
        </w:rPr>
        <w:t>st</w:t>
      </w:r>
      <w:r w:rsidRPr="001D6AEE">
        <w:rPr>
          <w:rFonts w:cs="Arial"/>
          <w:szCs w:val="14"/>
          <w:lang w:val="en-US"/>
        </w:rPr>
        <w:t xml:space="preserve"> </w:t>
      </w:r>
      <w:r>
        <w:rPr>
          <w:rFonts w:cs="Arial"/>
          <w:szCs w:val="14"/>
          <w:lang w:val="en-US"/>
        </w:rPr>
        <w:t xml:space="preserve">Half </w:t>
      </w:r>
      <w:r w:rsidRPr="00134726">
        <w:rPr>
          <w:rFonts w:cs="Arial"/>
          <w:szCs w:val="14"/>
          <w:lang w:val="en-US"/>
        </w:rPr>
        <w:t>202</w:t>
      </w:r>
      <w:r>
        <w:rPr>
          <w:rFonts w:cs="Arial"/>
          <w:szCs w:val="14"/>
          <w:lang w:val="en-US"/>
        </w:rPr>
        <w:t>3</w:t>
      </w:r>
      <w:r w:rsidRPr="00134726">
        <w:rPr>
          <w:rFonts w:cs="Arial"/>
          <w:szCs w:val="14"/>
          <w:lang w:val="en-US"/>
        </w:rPr>
        <w:t xml:space="preserve"> includes the amount of R$ </w:t>
      </w:r>
      <w:r>
        <w:rPr>
          <w:rFonts w:cs="Arial"/>
          <w:szCs w:val="14"/>
          <w:lang w:val="en-US"/>
        </w:rPr>
        <w:t>748</w:t>
      </w:r>
      <w:r w:rsidRPr="00134726">
        <w:rPr>
          <w:rFonts w:cs="Arial"/>
          <w:szCs w:val="14"/>
          <w:lang w:val="en-US"/>
        </w:rPr>
        <w:t xml:space="preserve"> thousand related to monetary restatement (R$ </w:t>
      </w:r>
      <w:r>
        <w:rPr>
          <w:rFonts w:cs="Arial"/>
          <w:szCs w:val="14"/>
          <w:lang w:val="en-US"/>
        </w:rPr>
        <w:t>453</w:t>
      </w:r>
      <w:r w:rsidRPr="00134726">
        <w:rPr>
          <w:rFonts w:cs="Arial"/>
          <w:szCs w:val="14"/>
          <w:lang w:val="en-US"/>
        </w:rPr>
        <w:t xml:space="preserve"> thousand in </w:t>
      </w:r>
      <w:r>
        <w:rPr>
          <w:rFonts w:cs="Arial"/>
          <w:szCs w:val="14"/>
          <w:lang w:val="en-US"/>
        </w:rPr>
        <w:t xml:space="preserve">the </w:t>
      </w:r>
      <w:r w:rsidRPr="001D6AEE">
        <w:rPr>
          <w:rFonts w:cs="Arial"/>
          <w:szCs w:val="14"/>
          <w:lang w:val="en-US"/>
        </w:rPr>
        <w:t>1</w:t>
      </w:r>
      <w:r w:rsidRPr="001D6AEE">
        <w:rPr>
          <w:rFonts w:cs="Arial"/>
          <w:szCs w:val="14"/>
          <w:vertAlign w:val="superscript"/>
          <w:lang w:val="en-US"/>
        </w:rPr>
        <w:t>st</w:t>
      </w:r>
      <w:r w:rsidRPr="001D6AEE">
        <w:rPr>
          <w:rFonts w:cs="Arial"/>
          <w:szCs w:val="14"/>
          <w:lang w:val="en-US"/>
        </w:rPr>
        <w:t xml:space="preserve"> </w:t>
      </w:r>
      <w:r>
        <w:rPr>
          <w:rFonts w:cs="Arial"/>
          <w:szCs w:val="14"/>
          <w:lang w:val="en-US"/>
        </w:rPr>
        <w:t xml:space="preserve">Half </w:t>
      </w:r>
      <w:r w:rsidRPr="00134726">
        <w:rPr>
          <w:rFonts w:cs="Arial"/>
          <w:szCs w:val="14"/>
          <w:lang w:val="en-US"/>
        </w:rPr>
        <w:t>202</w:t>
      </w:r>
      <w:r>
        <w:rPr>
          <w:rFonts w:cs="Arial"/>
          <w:szCs w:val="14"/>
          <w:lang w:val="en-US"/>
        </w:rPr>
        <w:t>2</w:t>
      </w:r>
      <w:r w:rsidRPr="00134726">
        <w:rPr>
          <w:rFonts w:cs="Arial"/>
          <w:szCs w:val="14"/>
          <w:lang w:val="en-US"/>
        </w:rPr>
        <w:t>).</w:t>
      </w:r>
    </w:p>
    <w:p w14:paraId="7458C719" w14:textId="77777777" w:rsidR="008B7E19" w:rsidRPr="00134726" w:rsidRDefault="008B7E19" w:rsidP="008B7E19">
      <w:pPr>
        <w:pStyle w:val="07-Legenda"/>
        <w:numPr>
          <w:ilvl w:val="0"/>
          <w:numId w:val="3"/>
        </w:numPr>
        <w:spacing w:line="23" w:lineRule="atLeast"/>
        <w:ind w:left="284" w:hanging="284"/>
        <w:rPr>
          <w:rFonts w:cs="Arial"/>
          <w:szCs w:val="14"/>
          <w:lang w:val="en-US"/>
        </w:rPr>
      </w:pPr>
      <w:r w:rsidRPr="00134726">
        <w:rPr>
          <w:rFonts w:cs="Arial"/>
          <w:szCs w:val="14"/>
          <w:lang w:val="en-US"/>
        </w:rPr>
        <w:t xml:space="preserve">In </w:t>
      </w:r>
      <w:r>
        <w:rPr>
          <w:rFonts w:cs="Arial"/>
          <w:szCs w:val="14"/>
          <w:lang w:val="en-US"/>
        </w:rPr>
        <w:t xml:space="preserve">the </w:t>
      </w:r>
      <w:r w:rsidRPr="001D6AEE">
        <w:rPr>
          <w:rFonts w:cs="Arial"/>
          <w:szCs w:val="14"/>
          <w:lang w:val="en-US"/>
        </w:rPr>
        <w:t>1</w:t>
      </w:r>
      <w:r w:rsidRPr="001D6AEE">
        <w:rPr>
          <w:rFonts w:cs="Arial"/>
          <w:szCs w:val="14"/>
          <w:vertAlign w:val="superscript"/>
          <w:lang w:val="en-US"/>
        </w:rPr>
        <w:t>st</w:t>
      </w:r>
      <w:r w:rsidRPr="001D6AEE">
        <w:rPr>
          <w:rFonts w:cs="Arial"/>
          <w:szCs w:val="14"/>
          <w:lang w:val="en-US"/>
        </w:rPr>
        <w:t xml:space="preserve"> </w:t>
      </w:r>
      <w:r>
        <w:rPr>
          <w:rFonts w:cs="Arial"/>
          <w:szCs w:val="14"/>
          <w:lang w:val="en-US"/>
        </w:rPr>
        <w:t xml:space="preserve">Half </w:t>
      </w:r>
      <w:r w:rsidRPr="00134726">
        <w:rPr>
          <w:rFonts w:cs="Arial"/>
          <w:szCs w:val="14"/>
          <w:lang w:val="en-US"/>
        </w:rPr>
        <w:t>202</w:t>
      </w:r>
      <w:r>
        <w:rPr>
          <w:rFonts w:cs="Arial"/>
          <w:szCs w:val="14"/>
          <w:lang w:val="en-US"/>
        </w:rPr>
        <w:t xml:space="preserve">3,  </w:t>
      </w:r>
      <w:r w:rsidRPr="009E2FA2">
        <w:rPr>
          <w:rFonts w:cs="Arial"/>
          <w:szCs w:val="14"/>
          <w:lang w:val="en-US"/>
        </w:rPr>
        <w:t>at BB Corretora, in addition to an increase in the volume of civil claims, there was a review of the classification of existing lawsuits, with an increase in the likelihood of loss</w:t>
      </w:r>
      <w:r>
        <w:rPr>
          <w:rFonts w:cs="Arial"/>
          <w:szCs w:val="14"/>
          <w:lang w:val="en-US"/>
        </w:rPr>
        <w:t>.</w:t>
      </w:r>
    </w:p>
    <w:p w14:paraId="0CDB03B2" w14:textId="77777777" w:rsidR="008B7E19" w:rsidRPr="00283862" w:rsidRDefault="008B7E19" w:rsidP="008B7E19">
      <w:pPr>
        <w:pStyle w:val="05-Textonormal"/>
      </w:pPr>
      <w:r w:rsidRPr="00283862">
        <w:t>In the 1</w:t>
      </w:r>
      <w:r w:rsidRPr="00283862">
        <w:rPr>
          <w:vertAlign w:val="superscript"/>
        </w:rPr>
        <w:t>st</w:t>
      </w:r>
      <w:r w:rsidRPr="00283862">
        <w:t xml:space="preserve"> </w:t>
      </w:r>
      <w:r>
        <w:t xml:space="preserve">Half </w:t>
      </w:r>
      <w:r w:rsidRPr="00283862">
        <w:t xml:space="preserve">2023, the amounts of R$ 28 thousand related to Labor claims and R$ </w:t>
      </w:r>
      <w:r>
        <w:t>11</w:t>
      </w:r>
      <w:r w:rsidRPr="00283862">
        <w:t>4 thousand related to Civil claims were provisioned in the BB Seguridade. To the Tax claims there are no provisions.</w:t>
      </w:r>
    </w:p>
    <w:p w14:paraId="49296FA6" w14:textId="77777777" w:rsidR="008B7E19" w:rsidRPr="00134726" w:rsidRDefault="008B7E19" w:rsidP="008B7E19">
      <w:pPr>
        <w:pStyle w:val="05-Textonormal"/>
        <w:rPr>
          <w:b/>
          <w:color w:val="1F4E79" w:themeColor="accent1" w:themeShade="80"/>
          <w:lang w:val="en-US"/>
        </w:rPr>
      </w:pPr>
      <w:r w:rsidRPr="00134726">
        <w:rPr>
          <w:b/>
          <w:color w:val="1F4E79" w:themeColor="accent1" w:themeShade="80"/>
          <w:lang w:val="en-US"/>
        </w:rPr>
        <w:t>Expected outflows of economic benefits</w:t>
      </w:r>
    </w:p>
    <w:p w14:paraId="55ACFEAE" w14:textId="77777777" w:rsidR="008B7E19" w:rsidRPr="004C6ED9" w:rsidRDefault="008B7E19" w:rsidP="008B7E19">
      <w:pPr>
        <w:pStyle w:val="01-TtulodeNota"/>
        <w:spacing w:before="0" w:after="0"/>
        <w:jc w:val="right"/>
        <w:rPr>
          <w:sz w:val="14"/>
          <w:szCs w:val="14"/>
        </w:rPr>
      </w:pPr>
      <w:r>
        <w:rPr>
          <w:sz w:val="14"/>
          <w:szCs w:val="14"/>
        </w:rPr>
        <w:t>R$ thousand</w:t>
      </w:r>
    </w:p>
    <w:tbl>
      <w:tblPr>
        <w:tblW w:w="9639" w:type="dxa"/>
        <w:jc w:val="center"/>
        <w:tblBorders>
          <w:top w:val="single" w:sz="2" w:space="0" w:color="1F4E79" w:themeColor="accent1" w:themeShade="80"/>
          <w:bottom w:val="single" w:sz="2" w:space="0" w:color="1F4E79" w:themeColor="accent1" w:themeShade="80"/>
          <w:insideH w:val="single" w:sz="2" w:space="0" w:color="1F4E79" w:themeColor="accent1" w:themeShade="80"/>
        </w:tblBorders>
        <w:tblLook w:val="04A0" w:firstRow="1" w:lastRow="0" w:firstColumn="1" w:lastColumn="0" w:noHBand="0" w:noVBand="1"/>
      </w:tblPr>
      <w:tblGrid>
        <w:gridCol w:w="3018"/>
        <w:gridCol w:w="595"/>
        <w:gridCol w:w="1611"/>
        <w:gridCol w:w="1404"/>
        <w:gridCol w:w="286"/>
        <w:gridCol w:w="1409"/>
        <w:gridCol w:w="1316"/>
      </w:tblGrid>
      <w:tr w:rsidR="008B7E19" w:rsidRPr="00225994" w14:paraId="01CB18B8" w14:textId="77777777" w:rsidTr="008B7E19">
        <w:trPr>
          <w:trHeight w:val="238"/>
          <w:jc w:val="center"/>
        </w:trPr>
        <w:tc>
          <w:tcPr>
            <w:tcW w:w="3018" w:type="dxa"/>
            <w:tcBorders>
              <w:bottom w:val="single" w:sz="2" w:space="0" w:color="1F4E79" w:themeColor="accent1" w:themeShade="80"/>
            </w:tcBorders>
            <w:shd w:val="clear" w:color="auto" w:fill="auto"/>
            <w:vAlign w:val="center"/>
          </w:tcPr>
          <w:p w14:paraId="68B34F12" w14:textId="77777777" w:rsidR="008B7E19" w:rsidRPr="00225994" w:rsidRDefault="008B7E19" w:rsidP="008B7E19">
            <w:pPr>
              <w:keepNext/>
              <w:keepLines/>
              <w:spacing w:before="40" w:after="40"/>
              <w:rPr>
                <w:rFonts w:cs="Arial"/>
                <w:b/>
                <w:spacing w:val="-2"/>
                <w:sz w:val="14"/>
                <w:szCs w:val="14"/>
              </w:rPr>
            </w:pPr>
          </w:p>
        </w:tc>
        <w:tc>
          <w:tcPr>
            <w:tcW w:w="595" w:type="dxa"/>
            <w:tcBorders>
              <w:bottom w:val="single" w:sz="2" w:space="0" w:color="1F4E79" w:themeColor="accent1" w:themeShade="80"/>
            </w:tcBorders>
            <w:shd w:val="clear" w:color="auto" w:fill="auto"/>
            <w:vAlign w:val="center"/>
          </w:tcPr>
          <w:p w14:paraId="41ED5B07" w14:textId="77777777" w:rsidR="008B7E19" w:rsidRPr="00225994" w:rsidRDefault="008B7E19" w:rsidP="008B7E19">
            <w:pPr>
              <w:keepNext/>
              <w:keepLines/>
              <w:spacing w:before="40" w:after="40"/>
              <w:jc w:val="right"/>
              <w:rPr>
                <w:rFonts w:cs="Arial"/>
                <w:b/>
                <w:spacing w:val="-2"/>
                <w:sz w:val="14"/>
                <w:szCs w:val="14"/>
              </w:rPr>
            </w:pPr>
          </w:p>
        </w:tc>
        <w:tc>
          <w:tcPr>
            <w:tcW w:w="1611" w:type="dxa"/>
            <w:tcBorders>
              <w:bottom w:val="single" w:sz="2" w:space="0" w:color="1F4E79" w:themeColor="accent1" w:themeShade="80"/>
            </w:tcBorders>
            <w:shd w:val="clear" w:color="auto" w:fill="auto"/>
            <w:vAlign w:val="center"/>
          </w:tcPr>
          <w:p w14:paraId="49C9EE30" w14:textId="77777777" w:rsidR="008B7E19" w:rsidRPr="00225994" w:rsidRDefault="008B7E19" w:rsidP="008B7E19">
            <w:pPr>
              <w:keepNext/>
              <w:keepLines/>
              <w:spacing w:before="40" w:after="40"/>
              <w:jc w:val="right"/>
              <w:rPr>
                <w:rFonts w:cs="Arial"/>
                <w:b/>
                <w:spacing w:val="-2"/>
                <w:sz w:val="14"/>
                <w:szCs w:val="14"/>
              </w:rPr>
            </w:pPr>
            <w:r>
              <w:rPr>
                <w:rFonts w:cs="Arial"/>
                <w:b/>
                <w:spacing w:val="-2"/>
                <w:sz w:val="14"/>
                <w:szCs w:val="14"/>
              </w:rPr>
              <w:t>Labor lawsuits</w:t>
            </w:r>
          </w:p>
        </w:tc>
        <w:tc>
          <w:tcPr>
            <w:tcW w:w="1404" w:type="dxa"/>
            <w:tcBorders>
              <w:bottom w:val="single" w:sz="2" w:space="0" w:color="1F4E79" w:themeColor="accent1" w:themeShade="80"/>
            </w:tcBorders>
            <w:shd w:val="clear" w:color="auto" w:fill="auto"/>
            <w:vAlign w:val="center"/>
          </w:tcPr>
          <w:p w14:paraId="62C38EB0" w14:textId="77777777" w:rsidR="008B7E19" w:rsidRPr="00225994" w:rsidRDefault="008B7E19" w:rsidP="008B7E19">
            <w:pPr>
              <w:keepNext/>
              <w:keepLines/>
              <w:spacing w:before="40" w:after="40"/>
              <w:jc w:val="right"/>
              <w:rPr>
                <w:rFonts w:cs="Arial"/>
                <w:b/>
                <w:spacing w:val="-2"/>
                <w:sz w:val="14"/>
                <w:szCs w:val="14"/>
              </w:rPr>
            </w:pPr>
            <w:r>
              <w:rPr>
                <w:rFonts w:cs="Arial"/>
                <w:b/>
                <w:spacing w:val="-2"/>
                <w:sz w:val="14"/>
                <w:szCs w:val="14"/>
              </w:rPr>
              <w:t>Tax lawsuits</w:t>
            </w:r>
          </w:p>
        </w:tc>
        <w:tc>
          <w:tcPr>
            <w:tcW w:w="286" w:type="dxa"/>
            <w:tcBorders>
              <w:bottom w:val="single" w:sz="2" w:space="0" w:color="1F4E79" w:themeColor="accent1" w:themeShade="80"/>
            </w:tcBorders>
            <w:shd w:val="clear" w:color="auto" w:fill="auto"/>
            <w:vAlign w:val="center"/>
          </w:tcPr>
          <w:p w14:paraId="0345DB52" w14:textId="77777777" w:rsidR="008B7E19" w:rsidRPr="00225994" w:rsidRDefault="008B7E19" w:rsidP="008B7E19">
            <w:pPr>
              <w:keepNext/>
              <w:keepLines/>
              <w:spacing w:before="40" w:after="40"/>
              <w:jc w:val="right"/>
              <w:rPr>
                <w:rFonts w:cs="Arial"/>
                <w:b/>
                <w:spacing w:val="-2"/>
                <w:sz w:val="14"/>
                <w:szCs w:val="14"/>
              </w:rPr>
            </w:pPr>
          </w:p>
        </w:tc>
        <w:tc>
          <w:tcPr>
            <w:tcW w:w="1409" w:type="dxa"/>
            <w:tcBorders>
              <w:bottom w:val="single" w:sz="2" w:space="0" w:color="1F4E79" w:themeColor="accent1" w:themeShade="80"/>
            </w:tcBorders>
            <w:shd w:val="clear" w:color="auto" w:fill="auto"/>
            <w:vAlign w:val="center"/>
          </w:tcPr>
          <w:p w14:paraId="29FB830D" w14:textId="77777777" w:rsidR="008B7E19" w:rsidRPr="00225994" w:rsidRDefault="008B7E19" w:rsidP="008B7E19">
            <w:pPr>
              <w:keepNext/>
              <w:keepLines/>
              <w:spacing w:before="40" w:after="40"/>
              <w:jc w:val="right"/>
              <w:rPr>
                <w:rFonts w:cs="Arial"/>
                <w:b/>
                <w:spacing w:val="-2"/>
                <w:sz w:val="14"/>
                <w:szCs w:val="14"/>
              </w:rPr>
            </w:pPr>
            <w:r>
              <w:rPr>
                <w:rFonts w:cs="Arial"/>
                <w:b/>
                <w:spacing w:val="-2"/>
                <w:sz w:val="14"/>
                <w:szCs w:val="14"/>
              </w:rPr>
              <w:t>Civil lawsuits</w:t>
            </w:r>
          </w:p>
        </w:tc>
        <w:tc>
          <w:tcPr>
            <w:tcW w:w="1316" w:type="dxa"/>
            <w:tcBorders>
              <w:bottom w:val="single" w:sz="2" w:space="0" w:color="1F4E79" w:themeColor="accent1" w:themeShade="80"/>
            </w:tcBorders>
            <w:shd w:val="clear" w:color="auto" w:fill="auto"/>
            <w:vAlign w:val="center"/>
          </w:tcPr>
          <w:p w14:paraId="30DF4E49" w14:textId="77777777" w:rsidR="008B7E19" w:rsidRPr="00225994" w:rsidRDefault="008B7E19" w:rsidP="008B7E19">
            <w:pPr>
              <w:keepNext/>
              <w:keepLines/>
              <w:spacing w:before="40" w:after="40"/>
              <w:jc w:val="right"/>
              <w:rPr>
                <w:rFonts w:cs="Arial"/>
                <w:b/>
                <w:spacing w:val="-2"/>
                <w:sz w:val="14"/>
                <w:szCs w:val="14"/>
              </w:rPr>
            </w:pPr>
            <w:r w:rsidRPr="00225994">
              <w:rPr>
                <w:rFonts w:cs="Arial"/>
                <w:b/>
                <w:spacing w:val="-2"/>
                <w:sz w:val="14"/>
                <w:szCs w:val="14"/>
              </w:rPr>
              <w:t>Total</w:t>
            </w:r>
          </w:p>
        </w:tc>
      </w:tr>
      <w:tr w:rsidR="008B7E19" w:rsidRPr="00552C1B" w14:paraId="73B82AFF" w14:textId="77777777" w:rsidTr="008B7E19">
        <w:trPr>
          <w:trHeight w:val="238"/>
          <w:jc w:val="center"/>
        </w:trPr>
        <w:tc>
          <w:tcPr>
            <w:tcW w:w="3018" w:type="dxa"/>
            <w:tcBorders>
              <w:bottom w:val="nil"/>
            </w:tcBorders>
            <w:shd w:val="clear" w:color="auto" w:fill="auto"/>
            <w:vAlign w:val="center"/>
          </w:tcPr>
          <w:p w14:paraId="67800848" w14:textId="77777777" w:rsidR="008B7E19" w:rsidRPr="0065135B" w:rsidRDefault="008B7E19" w:rsidP="008B7E19">
            <w:pPr>
              <w:pStyle w:val="08-Tabelageral"/>
              <w:jc w:val="left"/>
              <w:rPr>
                <w:rFonts w:cs="Arial"/>
                <w:szCs w:val="14"/>
              </w:rPr>
            </w:pPr>
            <w:r>
              <w:rPr>
                <w:rFonts w:cs="Arial"/>
                <w:szCs w:val="14"/>
              </w:rPr>
              <w:t>Up to 5</w:t>
            </w:r>
            <w:r w:rsidRPr="00552C1B">
              <w:rPr>
                <w:rFonts w:cs="Arial"/>
                <w:szCs w:val="14"/>
              </w:rPr>
              <w:t xml:space="preserve"> </w:t>
            </w:r>
            <w:r>
              <w:rPr>
                <w:rFonts w:cs="Arial"/>
                <w:szCs w:val="14"/>
              </w:rPr>
              <w:t>years</w:t>
            </w:r>
          </w:p>
        </w:tc>
        <w:tc>
          <w:tcPr>
            <w:tcW w:w="595" w:type="dxa"/>
            <w:tcBorders>
              <w:bottom w:val="nil"/>
            </w:tcBorders>
            <w:shd w:val="clear" w:color="auto" w:fill="auto"/>
            <w:vAlign w:val="center"/>
          </w:tcPr>
          <w:p w14:paraId="35CAB044" w14:textId="77777777" w:rsidR="008B7E19" w:rsidRPr="00552C1B" w:rsidRDefault="008B7E19" w:rsidP="008B7E19">
            <w:pPr>
              <w:pStyle w:val="08-Tabelageral"/>
              <w:rPr>
                <w:rFonts w:cs="Arial"/>
                <w:szCs w:val="14"/>
              </w:rPr>
            </w:pPr>
          </w:p>
        </w:tc>
        <w:tc>
          <w:tcPr>
            <w:tcW w:w="1611" w:type="dxa"/>
            <w:tcBorders>
              <w:top w:val="single" w:sz="2" w:space="0" w:color="1F4E79" w:themeColor="accent1" w:themeShade="80"/>
              <w:left w:val="nil"/>
              <w:bottom w:val="nil"/>
              <w:right w:val="nil"/>
            </w:tcBorders>
          </w:tcPr>
          <w:p w14:paraId="3BD8DFB8" w14:textId="77777777" w:rsidR="008B7E19" w:rsidRPr="00552C1B" w:rsidRDefault="008B7E19" w:rsidP="008B7E19">
            <w:pPr>
              <w:pStyle w:val="08-Tabelageral"/>
              <w:rPr>
                <w:rFonts w:cs="Arial"/>
                <w:szCs w:val="14"/>
              </w:rPr>
            </w:pPr>
            <w:r w:rsidRPr="00BF6C12">
              <w:t>65</w:t>
            </w:r>
          </w:p>
        </w:tc>
        <w:tc>
          <w:tcPr>
            <w:tcW w:w="1404" w:type="dxa"/>
            <w:tcBorders>
              <w:top w:val="single" w:sz="2" w:space="0" w:color="1F4E79" w:themeColor="accent1" w:themeShade="80"/>
              <w:left w:val="nil"/>
              <w:bottom w:val="nil"/>
              <w:right w:val="nil"/>
            </w:tcBorders>
          </w:tcPr>
          <w:p w14:paraId="0A0B6678" w14:textId="77777777" w:rsidR="008B7E19" w:rsidRPr="00552C1B" w:rsidRDefault="008B7E19" w:rsidP="008B7E19">
            <w:pPr>
              <w:pStyle w:val="08-Tabelageral"/>
              <w:rPr>
                <w:rFonts w:cs="Arial"/>
                <w:szCs w:val="14"/>
              </w:rPr>
            </w:pPr>
            <w:r w:rsidRPr="00BF6C12">
              <w:t>13</w:t>
            </w:r>
          </w:p>
        </w:tc>
        <w:tc>
          <w:tcPr>
            <w:tcW w:w="286" w:type="dxa"/>
            <w:tcBorders>
              <w:top w:val="single" w:sz="2" w:space="0" w:color="1F4E79" w:themeColor="accent1" w:themeShade="80"/>
              <w:left w:val="nil"/>
              <w:bottom w:val="nil"/>
              <w:right w:val="nil"/>
            </w:tcBorders>
          </w:tcPr>
          <w:p w14:paraId="7266CE26" w14:textId="77777777" w:rsidR="008B7E19" w:rsidRPr="00552C1B" w:rsidRDefault="008B7E19" w:rsidP="008B7E19">
            <w:pPr>
              <w:pStyle w:val="08-Tabelageral"/>
              <w:rPr>
                <w:rFonts w:cs="Arial"/>
                <w:szCs w:val="14"/>
              </w:rPr>
            </w:pPr>
          </w:p>
        </w:tc>
        <w:tc>
          <w:tcPr>
            <w:tcW w:w="1409" w:type="dxa"/>
            <w:tcBorders>
              <w:top w:val="single" w:sz="2" w:space="0" w:color="1F4E79" w:themeColor="accent1" w:themeShade="80"/>
              <w:left w:val="nil"/>
              <w:bottom w:val="nil"/>
              <w:right w:val="nil"/>
            </w:tcBorders>
          </w:tcPr>
          <w:p w14:paraId="6CFF8FB9" w14:textId="77777777" w:rsidR="008B7E19" w:rsidRPr="00552C1B" w:rsidRDefault="008B7E19" w:rsidP="008B7E19">
            <w:pPr>
              <w:pStyle w:val="08-Tabelageral"/>
              <w:rPr>
                <w:rFonts w:cs="Arial"/>
                <w:szCs w:val="14"/>
              </w:rPr>
            </w:pPr>
            <w:r>
              <w:t>22,</w:t>
            </w:r>
            <w:r w:rsidRPr="00A67E7B">
              <w:t>951</w:t>
            </w:r>
          </w:p>
        </w:tc>
        <w:tc>
          <w:tcPr>
            <w:tcW w:w="1316" w:type="dxa"/>
            <w:tcBorders>
              <w:top w:val="single" w:sz="2" w:space="0" w:color="1F4E79" w:themeColor="accent1" w:themeShade="80"/>
              <w:left w:val="nil"/>
              <w:bottom w:val="nil"/>
              <w:right w:val="nil"/>
            </w:tcBorders>
          </w:tcPr>
          <w:p w14:paraId="2339993B" w14:textId="77777777" w:rsidR="008B7E19" w:rsidRPr="006E0B9D" w:rsidRDefault="008B7E19" w:rsidP="008B7E19">
            <w:pPr>
              <w:pStyle w:val="08-Tabelageral"/>
              <w:ind w:left="613"/>
              <w:rPr>
                <w:rFonts w:cs="Arial"/>
                <w:b/>
                <w:szCs w:val="14"/>
              </w:rPr>
            </w:pPr>
            <w:r>
              <w:rPr>
                <w:b/>
              </w:rPr>
              <w:t>23,</w:t>
            </w:r>
            <w:r w:rsidRPr="006E0B9D">
              <w:rPr>
                <w:b/>
              </w:rPr>
              <w:t>029</w:t>
            </w:r>
          </w:p>
        </w:tc>
      </w:tr>
      <w:tr w:rsidR="008B7E19" w:rsidRPr="00552C1B" w14:paraId="33090B41" w14:textId="77777777" w:rsidTr="008B7E19">
        <w:trPr>
          <w:trHeight w:val="238"/>
          <w:jc w:val="center"/>
        </w:trPr>
        <w:tc>
          <w:tcPr>
            <w:tcW w:w="3018" w:type="dxa"/>
            <w:tcBorders>
              <w:top w:val="nil"/>
              <w:bottom w:val="nil"/>
            </w:tcBorders>
            <w:shd w:val="clear" w:color="auto" w:fill="auto"/>
            <w:vAlign w:val="center"/>
          </w:tcPr>
          <w:p w14:paraId="7B566C2C" w14:textId="77777777" w:rsidR="008B7E19" w:rsidRPr="0065135B" w:rsidRDefault="008B7E19" w:rsidP="008B7E19">
            <w:pPr>
              <w:pStyle w:val="08-Tabelageral"/>
              <w:jc w:val="left"/>
              <w:rPr>
                <w:rFonts w:cs="Arial"/>
                <w:szCs w:val="14"/>
              </w:rPr>
            </w:pPr>
            <w:r>
              <w:rPr>
                <w:rFonts w:cs="Arial"/>
                <w:szCs w:val="14"/>
              </w:rPr>
              <w:t>Over 5</w:t>
            </w:r>
            <w:r w:rsidRPr="00552C1B">
              <w:rPr>
                <w:rFonts w:cs="Arial"/>
                <w:szCs w:val="14"/>
              </w:rPr>
              <w:t xml:space="preserve"> </w:t>
            </w:r>
            <w:r>
              <w:rPr>
                <w:rFonts w:cs="Arial"/>
                <w:szCs w:val="14"/>
              </w:rPr>
              <w:t>years</w:t>
            </w:r>
          </w:p>
        </w:tc>
        <w:tc>
          <w:tcPr>
            <w:tcW w:w="595" w:type="dxa"/>
            <w:tcBorders>
              <w:top w:val="nil"/>
              <w:bottom w:val="nil"/>
            </w:tcBorders>
            <w:shd w:val="clear" w:color="auto" w:fill="auto"/>
            <w:vAlign w:val="center"/>
          </w:tcPr>
          <w:p w14:paraId="3D80D7C9" w14:textId="77777777" w:rsidR="008B7E19" w:rsidRPr="00552C1B" w:rsidRDefault="008B7E19" w:rsidP="008B7E19">
            <w:pPr>
              <w:pStyle w:val="08-Tabelageral"/>
              <w:rPr>
                <w:rFonts w:cs="Arial"/>
                <w:szCs w:val="14"/>
              </w:rPr>
            </w:pPr>
          </w:p>
        </w:tc>
        <w:tc>
          <w:tcPr>
            <w:tcW w:w="1611" w:type="dxa"/>
            <w:tcBorders>
              <w:top w:val="nil"/>
              <w:left w:val="nil"/>
              <w:bottom w:val="nil"/>
              <w:right w:val="nil"/>
            </w:tcBorders>
          </w:tcPr>
          <w:p w14:paraId="12E300FB" w14:textId="77777777" w:rsidR="008B7E19" w:rsidRPr="00552C1B" w:rsidRDefault="008B7E19" w:rsidP="008B7E19">
            <w:pPr>
              <w:pStyle w:val="08-Tabelageral"/>
              <w:rPr>
                <w:rFonts w:cs="Arial"/>
                <w:szCs w:val="14"/>
              </w:rPr>
            </w:pPr>
            <w:r w:rsidRPr="00BF6C12">
              <w:t>4</w:t>
            </w:r>
          </w:p>
        </w:tc>
        <w:tc>
          <w:tcPr>
            <w:tcW w:w="1404" w:type="dxa"/>
            <w:tcBorders>
              <w:top w:val="nil"/>
              <w:left w:val="nil"/>
              <w:bottom w:val="nil"/>
              <w:right w:val="nil"/>
            </w:tcBorders>
          </w:tcPr>
          <w:p w14:paraId="29A9512F" w14:textId="77777777" w:rsidR="008B7E19" w:rsidRPr="00552C1B" w:rsidRDefault="008B7E19" w:rsidP="008B7E19">
            <w:pPr>
              <w:pStyle w:val="08-Tabelageral"/>
              <w:rPr>
                <w:rFonts w:cs="Arial"/>
                <w:szCs w:val="14"/>
              </w:rPr>
            </w:pPr>
            <w:r w:rsidRPr="00BF6C12">
              <w:t>21</w:t>
            </w:r>
          </w:p>
        </w:tc>
        <w:tc>
          <w:tcPr>
            <w:tcW w:w="286" w:type="dxa"/>
            <w:tcBorders>
              <w:top w:val="nil"/>
              <w:left w:val="nil"/>
              <w:bottom w:val="nil"/>
              <w:right w:val="nil"/>
            </w:tcBorders>
          </w:tcPr>
          <w:p w14:paraId="5F9C5429" w14:textId="77777777" w:rsidR="008B7E19" w:rsidRPr="00552C1B" w:rsidRDefault="008B7E19" w:rsidP="008B7E19">
            <w:pPr>
              <w:pStyle w:val="08-Tabelageral"/>
              <w:rPr>
                <w:rFonts w:cs="Arial"/>
                <w:szCs w:val="14"/>
              </w:rPr>
            </w:pPr>
          </w:p>
        </w:tc>
        <w:tc>
          <w:tcPr>
            <w:tcW w:w="1409" w:type="dxa"/>
            <w:tcBorders>
              <w:top w:val="nil"/>
              <w:left w:val="nil"/>
              <w:bottom w:val="nil"/>
              <w:right w:val="nil"/>
            </w:tcBorders>
          </w:tcPr>
          <w:p w14:paraId="0B558BCE" w14:textId="77777777" w:rsidR="008B7E19" w:rsidRPr="00552C1B" w:rsidRDefault="008B7E19" w:rsidP="008B7E19">
            <w:pPr>
              <w:pStyle w:val="08-Tabelageral"/>
              <w:rPr>
                <w:rFonts w:cs="Arial"/>
                <w:szCs w:val="14"/>
              </w:rPr>
            </w:pPr>
            <w:r>
              <w:t>1,</w:t>
            </w:r>
            <w:r w:rsidRPr="00A67E7B">
              <w:t>865</w:t>
            </w:r>
          </w:p>
        </w:tc>
        <w:tc>
          <w:tcPr>
            <w:tcW w:w="1316" w:type="dxa"/>
            <w:tcBorders>
              <w:top w:val="nil"/>
              <w:left w:val="nil"/>
              <w:bottom w:val="nil"/>
              <w:right w:val="nil"/>
            </w:tcBorders>
          </w:tcPr>
          <w:p w14:paraId="6BE10851" w14:textId="77777777" w:rsidR="008B7E19" w:rsidRPr="006E0B9D" w:rsidRDefault="008B7E19" w:rsidP="008B7E19">
            <w:pPr>
              <w:pStyle w:val="08-Tabelageral"/>
              <w:rPr>
                <w:rFonts w:cs="Arial"/>
                <w:b/>
                <w:szCs w:val="14"/>
              </w:rPr>
            </w:pPr>
            <w:r>
              <w:rPr>
                <w:b/>
              </w:rPr>
              <w:t>1,</w:t>
            </w:r>
            <w:r w:rsidRPr="006E0B9D">
              <w:rPr>
                <w:b/>
              </w:rPr>
              <w:t>890</w:t>
            </w:r>
          </w:p>
        </w:tc>
      </w:tr>
      <w:tr w:rsidR="008B7E19" w:rsidRPr="006E0B9D" w14:paraId="5F9F4F59" w14:textId="77777777" w:rsidTr="008B7E19">
        <w:trPr>
          <w:trHeight w:val="238"/>
          <w:jc w:val="center"/>
        </w:trPr>
        <w:tc>
          <w:tcPr>
            <w:tcW w:w="3018" w:type="dxa"/>
            <w:tcBorders>
              <w:top w:val="nil"/>
            </w:tcBorders>
            <w:shd w:val="clear" w:color="auto" w:fill="auto"/>
            <w:vAlign w:val="center"/>
          </w:tcPr>
          <w:p w14:paraId="7D0191F4" w14:textId="77777777" w:rsidR="008B7E19" w:rsidRPr="006E0B9D" w:rsidRDefault="008B7E19" w:rsidP="008B7E19">
            <w:pPr>
              <w:keepNext/>
              <w:keepLines/>
              <w:spacing w:before="40" w:after="40" w:line="240" w:lineRule="auto"/>
              <w:rPr>
                <w:rFonts w:cs="Arial"/>
                <w:b/>
                <w:bCs/>
                <w:spacing w:val="-2"/>
                <w:sz w:val="14"/>
                <w:szCs w:val="14"/>
              </w:rPr>
            </w:pPr>
            <w:r w:rsidRPr="006E0B9D">
              <w:rPr>
                <w:rFonts w:cs="Arial"/>
                <w:b/>
                <w:spacing w:val="-2"/>
                <w:sz w:val="14"/>
                <w:szCs w:val="14"/>
              </w:rPr>
              <w:t>Total</w:t>
            </w:r>
          </w:p>
        </w:tc>
        <w:tc>
          <w:tcPr>
            <w:tcW w:w="595" w:type="dxa"/>
            <w:tcBorders>
              <w:top w:val="nil"/>
            </w:tcBorders>
            <w:shd w:val="clear" w:color="auto" w:fill="auto"/>
            <w:vAlign w:val="center"/>
          </w:tcPr>
          <w:p w14:paraId="40493993" w14:textId="77777777" w:rsidR="008B7E19" w:rsidRPr="006E0B9D" w:rsidRDefault="008B7E19" w:rsidP="008B7E19">
            <w:pPr>
              <w:pStyle w:val="08-Tabelageral"/>
              <w:rPr>
                <w:rFonts w:cs="Arial"/>
                <w:b/>
                <w:szCs w:val="14"/>
              </w:rPr>
            </w:pPr>
          </w:p>
        </w:tc>
        <w:tc>
          <w:tcPr>
            <w:tcW w:w="1611" w:type="dxa"/>
            <w:tcBorders>
              <w:top w:val="nil"/>
              <w:left w:val="nil"/>
              <w:bottom w:val="single" w:sz="4" w:space="0" w:color="auto"/>
              <w:right w:val="nil"/>
            </w:tcBorders>
          </w:tcPr>
          <w:p w14:paraId="543280A9" w14:textId="77777777" w:rsidR="008B7E19" w:rsidRPr="006E0B9D" w:rsidRDefault="008B7E19" w:rsidP="008B7E19">
            <w:pPr>
              <w:pStyle w:val="08-Tabelageral"/>
              <w:rPr>
                <w:rFonts w:cs="Arial"/>
                <w:b/>
                <w:szCs w:val="14"/>
              </w:rPr>
            </w:pPr>
            <w:r w:rsidRPr="006E0B9D">
              <w:rPr>
                <w:b/>
              </w:rPr>
              <w:t>69</w:t>
            </w:r>
          </w:p>
        </w:tc>
        <w:tc>
          <w:tcPr>
            <w:tcW w:w="1404" w:type="dxa"/>
            <w:tcBorders>
              <w:top w:val="nil"/>
              <w:left w:val="nil"/>
              <w:bottom w:val="single" w:sz="4" w:space="0" w:color="auto"/>
              <w:right w:val="nil"/>
            </w:tcBorders>
          </w:tcPr>
          <w:p w14:paraId="307EBF71" w14:textId="77777777" w:rsidR="008B7E19" w:rsidRPr="006E0B9D" w:rsidRDefault="008B7E19" w:rsidP="008B7E19">
            <w:pPr>
              <w:pStyle w:val="08-Tabelageral"/>
              <w:rPr>
                <w:rFonts w:cs="Arial"/>
                <w:b/>
                <w:szCs w:val="14"/>
              </w:rPr>
            </w:pPr>
            <w:r w:rsidRPr="006E0B9D">
              <w:rPr>
                <w:b/>
              </w:rPr>
              <w:t>34</w:t>
            </w:r>
          </w:p>
        </w:tc>
        <w:tc>
          <w:tcPr>
            <w:tcW w:w="286" w:type="dxa"/>
            <w:tcBorders>
              <w:top w:val="nil"/>
              <w:left w:val="nil"/>
              <w:bottom w:val="single" w:sz="4" w:space="0" w:color="auto"/>
              <w:right w:val="nil"/>
            </w:tcBorders>
          </w:tcPr>
          <w:p w14:paraId="0983290C" w14:textId="77777777" w:rsidR="008B7E19" w:rsidRPr="006E0B9D" w:rsidRDefault="008B7E19" w:rsidP="008B7E19">
            <w:pPr>
              <w:pStyle w:val="08-Tabelageral"/>
              <w:rPr>
                <w:rFonts w:cs="Arial"/>
                <w:b/>
                <w:szCs w:val="14"/>
              </w:rPr>
            </w:pPr>
          </w:p>
        </w:tc>
        <w:tc>
          <w:tcPr>
            <w:tcW w:w="1409" w:type="dxa"/>
            <w:tcBorders>
              <w:top w:val="nil"/>
              <w:left w:val="nil"/>
              <w:bottom w:val="single" w:sz="4" w:space="0" w:color="auto"/>
              <w:right w:val="nil"/>
            </w:tcBorders>
          </w:tcPr>
          <w:p w14:paraId="07CA606B" w14:textId="77777777" w:rsidR="008B7E19" w:rsidRPr="006E0B9D" w:rsidRDefault="008B7E19" w:rsidP="008B7E19">
            <w:pPr>
              <w:pStyle w:val="08-Tabelageral"/>
              <w:spacing w:line="256" w:lineRule="auto"/>
              <w:rPr>
                <w:rFonts w:cs="Arial"/>
                <w:b/>
                <w:szCs w:val="14"/>
                <w:lang w:eastAsia="en-US"/>
              </w:rPr>
            </w:pPr>
            <w:r>
              <w:rPr>
                <w:b/>
              </w:rPr>
              <w:t>24,</w:t>
            </w:r>
            <w:r w:rsidRPr="006E0B9D">
              <w:rPr>
                <w:b/>
              </w:rPr>
              <w:t>816</w:t>
            </w:r>
          </w:p>
        </w:tc>
        <w:tc>
          <w:tcPr>
            <w:tcW w:w="1316" w:type="dxa"/>
            <w:tcBorders>
              <w:top w:val="nil"/>
              <w:left w:val="nil"/>
              <w:bottom w:val="single" w:sz="4" w:space="0" w:color="auto"/>
              <w:right w:val="nil"/>
            </w:tcBorders>
          </w:tcPr>
          <w:p w14:paraId="79E19F0B" w14:textId="77777777" w:rsidR="008B7E19" w:rsidRPr="006E0B9D" w:rsidRDefault="008B7E19" w:rsidP="008B7E19">
            <w:pPr>
              <w:pStyle w:val="08-Tabelageral"/>
              <w:rPr>
                <w:rFonts w:cs="Arial"/>
                <w:b/>
                <w:szCs w:val="14"/>
              </w:rPr>
            </w:pPr>
            <w:r>
              <w:rPr>
                <w:b/>
              </w:rPr>
              <w:t>24,</w:t>
            </w:r>
            <w:r w:rsidRPr="006E0B9D">
              <w:rPr>
                <w:b/>
              </w:rPr>
              <w:t>919</w:t>
            </w:r>
          </w:p>
        </w:tc>
      </w:tr>
    </w:tbl>
    <w:p w14:paraId="7DB3E7F7" w14:textId="77777777" w:rsidR="008B7E19" w:rsidRPr="00134726" w:rsidRDefault="008B7E19" w:rsidP="008B7E19">
      <w:pPr>
        <w:pStyle w:val="05-Textonormal"/>
        <w:rPr>
          <w:lang w:val="en-US"/>
        </w:rPr>
      </w:pPr>
      <w:r>
        <w:rPr>
          <w:rStyle w:val="tlid-translation"/>
          <w:lang w:val="en"/>
        </w:rPr>
        <w:t>Given the scenario of uncertainties in the duration of the proceedings, as well as the possibility of changes in the jurisprudence of the courts, the outflow of economic benefits has been estimated based on the best available information</w:t>
      </w:r>
      <w:r w:rsidRPr="00134726">
        <w:rPr>
          <w:lang w:val="en-US"/>
        </w:rPr>
        <w:t>.</w:t>
      </w:r>
    </w:p>
    <w:p w14:paraId="79D6D860" w14:textId="77777777" w:rsidR="008B7E19" w:rsidRPr="00134726" w:rsidRDefault="008B7E19" w:rsidP="008B7E19">
      <w:pPr>
        <w:pStyle w:val="05-Textonormal"/>
        <w:rPr>
          <w:b/>
          <w:color w:val="1F4E79" w:themeColor="accent1" w:themeShade="80"/>
          <w:lang w:val="en-US"/>
        </w:rPr>
      </w:pPr>
      <w:r w:rsidRPr="00134726">
        <w:rPr>
          <w:b/>
          <w:color w:val="1F4E79" w:themeColor="accent1" w:themeShade="80"/>
          <w:lang w:val="en-US"/>
        </w:rPr>
        <w:t>c) Contingent Liabilities – Possible</w:t>
      </w:r>
    </w:p>
    <w:p w14:paraId="4237DF93" w14:textId="77777777" w:rsidR="008B7E19" w:rsidRPr="00134726" w:rsidRDefault="008B7E19" w:rsidP="008B7E19">
      <w:pPr>
        <w:pStyle w:val="05-Textonormal"/>
        <w:rPr>
          <w:b/>
          <w:color w:val="1F4E79" w:themeColor="accent1" w:themeShade="80"/>
          <w:lang w:val="en-US"/>
        </w:rPr>
      </w:pPr>
      <w:r w:rsidRPr="00134726">
        <w:rPr>
          <w:rFonts w:cs="Arial"/>
          <w:lang w:val="en-US"/>
        </w:rPr>
        <w:t xml:space="preserve">Tax and civil demands classified as possible risk are exempt from provisioning, in accordance with CPC 25 </w:t>
      </w:r>
      <w:r>
        <w:t>[IAS 37].</w:t>
      </w:r>
    </w:p>
    <w:p w14:paraId="7488D840" w14:textId="77777777" w:rsidR="008B7E19" w:rsidRPr="00134726" w:rsidRDefault="008B7E19" w:rsidP="008B7E19">
      <w:pPr>
        <w:pStyle w:val="05-Textonormal"/>
        <w:rPr>
          <w:b/>
          <w:color w:val="1F4E79" w:themeColor="accent1" w:themeShade="80"/>
          <w:lang w:val="en-US"/>
        </w:rPr>
      </w:pPr>
      <w:r w:rsidRPr="00134726">
        <w:rPr>
          <w:b/>
          <w:color w:val="1F4E79" w:themeColor="accent1" w:themeShade="80"/>
          <w:lang w:val="en-US"/>
        </w:rPr>
        <w:t>c.1) Tax Lawsuits</w:t>
      </w:r>
    </w:p>
    <w:p w14:paraId="40DD04E3" w14:textId="77777777" w:rsidR="008B7E19" w:rsidRPr="00134726" w:rsidRDefault="008B7E19" w:rsidP="008B7E19">
      <w:pPr>
        <w:pStyle w:val="05-Textonormal"/>
        <w:rPr>
          <w:b/>
          <w:lang w:val="en-US"/>
        </w:rPr>
      </w:pPr>
      <w:r w:rsidRPr="00134726">
        <w:rPr>
          <w:lang w:val="en-US"/>
        </w:rPr>
        <w:t>In the tax lawsuits, classified as possible, we have those referring to BB Corretora, which contests the non-recognition of IRPJ, CSLL, PIS and COFINS compensation requests made between 1999 and 2003, due to the non-recognition of negative balances from 1995 and 1997 and the deduction of CSLL amounts from the IRPJ calculation basis granted in a Writ of Mandamus decision.</w:t>
      </w:r>
    </w:p>
    <w:p w14:paraId="7A115932" w14:textId="77777777" w:rsidR="008B7E19" w:rsidRPr="00134726" w:rsidRDefault="008B7E19" w:rsidP="008B7E19">
      <w:pPr>
        <w:pStyle w:val="05-Textonormal"/>
        <w:rPr>
          <w:rFonts w:cs="Arial"/>
          <w:lang w:val="en-US"/>
        </w:rPr>
      </w:pPr>
      <w:r w:rsidRPr="00134726">
        <w:rPr>
          <w:lang w:val="en-US"/>
        </w:rPr>
        <w:t>In accordance with applicable legislation, notably CPC 25 - Provisions, Contingent Liabilities and Contingent Assets</w:t>
      </w:r>
      <w:r>
        <w:rPr>
          <w:lang w:val="en-US"/>
        </w:rPr>
        <w:t>,</w:t>
      </w:r>
      <w:r w:rsidRPr="00134726">
        <w:rPr>
          <w:lang w:val="en-US"/>
        </w:rPr>
        <w:t xml:space="preserve"> actions with remote or possible risk classification are exempt from the constitution of a provision. However, </w:t>
      </w:r>
      <w:r>
        <w:rPr>
          <w:lang w:val="en-US"/>
        </w:rPr>
        <w:t xml:space="preserve">in </w:t>
      </w:r>
      <w:r w:rsidRPr="00134726">
        <w:rPr>
          <w:lang w:val="en-US"/>
        </w:rPr>
        <w:t xml:space="preserve">the main lawsuit </w:t>
      </w:r>
      <w:r>
        <w:rPr>
          <w:lang w:val="en-US"/>
        </w:rPr>
        <w:t>classified as p</w:t>
      </w:r>
      <w:r w:rsidRPr="00AD3517">
        <w:rPr>
          <w:lang w:val="en-US"/>
        </w:rPr>
        <w:t>ossible</w:t>
      </w:r>
      <w:r>
        <w:rPr>
          <w:lang w:val="en-US"/>
        </w:rPr>
        <w:t xml:space="preserve">, </w:t>
      </w:r>
      <w:r w:rsidRPr="00134726">
        <w:rPr>
          <w:rFonts w:cs="Arial"/>
          <w:lang w:val="en-US"/>
        </w:rPr>
        <w:t>BB Corretora has a legal dispute related to "DCOMP - IRPJ Negative Balance", with TRF1 / Court of Brasília/DF, whose initial value of the cause was R$ 82.3 million, filed on 04/18/2011. The process is in the initial knowledge phase (no judgment has been issued yet). It should also be mentioned that this process has a judicial deposit (coming from the administrative phase of the discussion) in the amount of approximately R$ 1</w:t>
      </w:r>
      <w:r>
        <w:rPr>
          <w:rFonts w:cs="Arial"/>
          <w:lang w:val="en-US"/>
        </w:rPr>
        <w:t>70.6</w:t>
      </w:r>
      <w:r w:rsidRPr="00134726">
        <w:rPr>
          <w:rFonts w:cs="Arial"/>
          <w:lang w:val="en-US"/>
        </w:rPr>
        <w:t xml:space="preserve"> million (base date: </w:t>
      </w:r>
      <w:r>
        <w:rPr>
          <w:rFonts w:cs="Arial"/>
          <w:lang w:val="en-US"/>
        </w:rPr>
        <w:t>06</w:t>
      </w:r>
      <w:r w:rsidRPr="00134726">
        <w:rPr>
          <w:rFonts w:cs="Arial"/>
          <w:lang w:val="en-US"/>
        </w:rPr>
        <w:t>/3</w:t>
      </w:r>
      <w:r>
        <w:rPr>
          <w:rFonts w:cs="Arial"/>
          <w:lang w:val="en-US"/>
        </w:rPr>
        <w:t>0</w:t>
      </w:r>
      <w:r w:rsidRPr="00134726">
        <w:rPr>
          <w:rFonts w:cs="Arial"/>
          <w:lang w:val="en-US"/>
        </w:rPr>
        <w:t>/202</w:t>
      </w:r>
      <w:r>
        <w:rPr>
          <w:rFonts w:cs="Arial"/>
          <w:lang w:val="en-US"/>
        </w:rPr>
        <w:t>3</w:t>
      </w:r>
      <w:r w:rsidRPr="00134726">
        <w:rPr>
          <w:rFonts w:cs="Arial"/>
          <w:lang w:val="en-US"/>
        </w:rPr>
        <w:t>) deposited in a judicial account at Caixa Econômica Federal.</w:t>
      </w:r>
    </w:p>
    <w:p w14:paraId="0697C01D" w14:textId="77777777" w:rsidR="008B7E19" w:rsidRPr="00134726" w:rsidRDefault="008B7E19" w:rsidP="008B7E19">
      <w:pPr>
        <w:pStyle w:val="05-Textonormal"/>
        <w:rPr>
          <w:lang w:val="en-US"/>
        </w:rPr>
      </w:pPr>
      <w:r w:rsidRPr="00134726">
        <w:rPr>
          <w:lang w:val="en-US"/>
        </w:rPr>
        <w:t>BB Seguridade and BB Seguros do not have tax claims with significant amounts.</w:t>
      </w:r>
    </w:p>
    <w:p w14:paraId="06B1D036" w14:textId="77777777" w:rsidR="008B7E19" w:rsidRPr="00134726" w:rsidRDefault="008B7E19" w:rsidP="008B7E19">
      <w:pPr>
        <w:pStyle w:val="05-Textonormal"/>
        <w:rPr>
          <w:b/>
          <w:color w:val="1F4E79" w:themeColor="accent1" w:themeShade="80"/>
          <w:lang w:val="en-US"/>
        </w:rPr>
      </w:pPr>
      <w:r w:rsidRPr="00134726">
        <w:rPr>
          <w:b/>
          <w:color w:val="1F4E79" w:themeColor="accent1" w:themeShade="80"/>
          <w:lang w:val="en-US"/>
        </w:rPr>
        <w:t>c.2) Civil Lawsuits</w:t>
      </w:r>
    </w:p>
    <w:p w14:paraId="6E8D5984" w14:textId="77777777" w:rsidR="008B7E19" w:rsidRPr="00134726" w:rsidRDefault="008B7E19" w:rsidP="008B7E19">
      <w:pPr>
        <w:pStyle w:val="05-Textonormal"/>
        <w:rPr>
          <w:b/>
          <w:lang w:val="en-US"/>
        </w:rPr>
      </w:pPr>
      <w:r w:rsidRPr="00134726">
        <w:rPr>
          <w:lang w:val="en-US"/>
        </w:rPr>
        <w:t>In civil lawsuits involving BB Seguridade, BB Seguros and BB Corretora, we highlignt the claims for various indemnities (material damages, moral damages, etc., for example), notably resulting from consumer relations involving security products and the like (personal insurance and equity, open private pension, capitalization and dental plans).</w:t>
      </w:r>
    </w:p>
    <w:p w14:paraId="3FB01C1B" w14:textId="77777777" w:rsidR="008B7E19" w:rsidRPr="00134726" w:rsidRDefault="008B7E19" w:rsidP="008B7E19">
      <w:pPr>
        <w:pStyle w:val="05-Textonormal"/>
        <w:rPr>
          <w:b/>
          <w:color w:val="1F4E79" w:themeColor="accent1" w:themeShade="80"/>
          <w:lang w:val="en-US"/>
        </w:rPr>
      </w:pPr>
      <w:r w:rsidRPr="00134726">
        <w:rPr>
          <w:b/>
          <w:color w:val="1F4E79" w:themeColor="accent1" w:themeShade="80"/>
          <w:lang w:val="en-US"/>
        </w:rPr>
        <w:t>Balances of contingent liabilities classified as possible</w:t>
      </w:r>
    </w:p>
    <w:p w14:paraId="62331B16" w14:textId="77777777" w:rsidR="008B7E19" w:rsidRPr="004C6ED9" w:rsidRDefault="008B7E19" w:rsidP="008B7E19">
      <w:pPr>
        <w:pStyle w:val="01-TtulodeNota"/>
        <w:spacing w:before="0" w:after="0"/>
        <w:jc w:val="right"/>
        <w:rPr>
          <w:sz w:val="14"/>
          <w:szCs w:val="14"/>
        </w:rPr>
      </w:pPr>
      <w:r>
        <w:rPr>
          <w:sz w:val="14"/>
          <w:szCs w:val="14"/>
        </w:rPr>
        <w:t>R$ thousand</w:t>
      </w:r>
    </w:p>
    <w:tbl>
      <w:tblPr>
        <w:tblW w:w="9627" w:type="dxa"/>
        <w:jc w:val="center"/>
        <w:tblBorders>
          <w:top w:val="single" w:sz="2" w:space="0" w:color="1F4E79" w:themeColor="accent1" w:themeShade="80"/>
          <w:bottom w:val="single" w:sz="2" w:space="0" w:color="1F4E79" w:themeColor="accent1" w:themeShade="80"/>
          <w:insideH w:val="single" w:sz="2" w:space="0" w:color="1F4E79" w:themeColor="accent1" w:themeShade="80"/>
        </w:tblBorders>
        <w:tblLook w:val="04A0" w:firstRow="1" w:lastRow="0" w:firstColumn="1" w:lastColumn="0" w:noHBand="0" w:noVBand="1"/>
      </w:tblPr>
      <w:tblGrid>
        <w:gridCol w:w="850"/>
        <w:gridCol w:w="2244"/>
        <w:gridCol w:w="308"/>
        <w:gridCol w:w="1411"/>
        <w:gridCol w:w="1412"/>
        <w:gridCol w:w="283"/>
        <w:gridCol w:w="284"/>
        <w:gridCol w:w="1417"/>
        <w:gridCol w:w="1418"/>
      </w:tblGrid>
      <w:tr w:rsidR="008B7E19" w:rsidRPr="00E71174" w14:paraId="0549F657" w14:textId="77777777" w:rsidTr="008B7E19">
        <w:trPr>
          <w:trHeight w:val="238"/>
          <w:jc w:val="center"/>
        </w:trPr>
        <w:tc>
          <w:tcPr>
            <w:tcW w:w="850" w:type="dxa"/>
            <w:tcBorders>
              <w:bottom w:val="nil"/>
            </w:tcBorders>
            <w:shd w:val="clear" w:color="auto" w:fill="auto"/>
            <w:vAlign w:val="center"/>
          </w:tcPr>
          <w:p w14:paraId="5DA30EAE" w14:textId="77777777" w:rsidR="008B7E19" w:rsidRPr="00C72808" w:rsidRDefault="008B7E19" w:rsidP="008B7E19">
            <w:pPr>
              <w:keepNext/>
              <w:keepLines/>
              <w:spacing w:before="40" w:after="40"/>
              <w:rPr>
                <w:rFonts w:cs="Arial"/>
                <w:bCs/>
                <w:spacing w:val="-2"/>
                <w:sz w:val="14"/>
                <w:szCs w:val="14"/>
              </w:rPr>
            </w:pPr>
          </w:p>
        </w:tc>
        <w:tc>
          <w:tcPr>
            <w:tcW w:w="2552" w:type="dxa"/>
            <w:gridSpan w:val="2"/>
            <w:tcBorders>
              <w:bottom w:val="nil"/>
            </w:tcBorders>
            <w:shd w:val="clear" w:color="auto" w:fill="auto"/>
            <w:vAlign w:val="center"/>
          </w:tcPr>
          <w:p w14:paraId="5377146F" w14:textId="77777777" w:rsidR="008B7E19" w:rsidRPr="00E71174" w:rsidRDefault="008B7E19" w:rsidP="008B7E19">
            <w:pPr>
              <w:keepNext/>
              <w:keepLines/>
              <w:spacing w:before="40" w:after="40"/>
              <w:rPr>
                <w:rFonts w:cs="Arial"/>
                <w:bCs/>
                <w:spacing w:val="-2"/>
                <w:sz w:val="14"/>
                <w:szCs w:val="14"/>
              </w:rPr>
            </w:pPr>
          </w:p>
        </w:tc>
        <w:tc>
          <w:tcPr>
            <w:tcW w:w="2823" w:type="dxa"/>
            <w:gridSpan w:val="2"/>
            <w:shd w:val="clear" w:color="auto" w:fill="auto"/>
            <w:vAlign w:val="center"/>
          </w:tcPr>
          <w:p w14:paraId="1A57BD65" w14:textId="77777777" w:rsidR="008B7E19" w:rsidRPr="00E71174" w:rsidRDefault="008B7E19" w:rsidP="008B7E19">
            <w:pPr>
              <w:keepNext/>
              <w:keepLines/>
              <w:spacing w:before="40" w:after="40"/>
              <w:jc w:val="center"/>
              <w:rPr>
                <w:rFonts w:cs="Arial"/>
                <w:b/>
                <w:bCs/>
                <w:spacing w:val="-2"/>
                <w:sz w:val="14"/>
                <w:szCs w:val="14"/>
              </w:rPr>
            </w:pPr>
            <w:r w:rsidRPr="00E71174">
              <w:rPr>
                <w:rFonts w:cs="Arial"/>
                <w:b/>
                <w:bCs/>
                <w:spacing w:val="-2"/>
                <w:sz w:val="14"/>
                <w:szCs w:val="14"/>
              </w:rPr>
              <w:t>Parent</w:t>
            </w:r>
          </w:p>
        </w:tc>
        <w:tc>
          <w:tcPr>
            <w:tcW w:w="283" w:type="dxa"/>
            <w:shd w:val="clear" w:color="auto" w:fill="auto"/>
            <w:vAlign w:val="center"/>
          </w:tcPr>
          <w:p w14:paraId="330981B7" w14:textId="77777777" w:rsidR="008B7E19" w:rsidRPr="00E71174" w:rsidRDefault="008B7E19" w:rsidP="008B7E19">
            <w:pPr>
              <w:keepNext/>
              <w:keepLines/>
              <w:spacing w:before="40" w:after="40"/>
              <w:jc w:val="center"/>
              <w:rPr>
                <w:rFonts w:cs="Arial"/>
                <w:b/>
                <w:bCs/>
                <w:spacing w:val="-2"/>
                <w:sz w:val="14"/>
                <w:szCs w:val="14"/>
              </w:rPr>
            </w:pPr>
          </w:p>
        </w:tc>
        <w:tc>
          <w:tcPr>
            <w:tcW w:w="284" w:type="dxa"/>
            <w:shd w:val="clear" w:color="auto" w:fill="auto"/>
            <w:vAlign w:val="center"/>
          </w:tcPr>
          <w:p w14:paraId="0EC221E6" w14:textId="77777777" w:rsidR="008B7E19" w:rsidRPr="00E71174" w:rsidRDefault="008B7E19" w:rsidP="008B7E19">
            <w:pPr>
              <w:keepNext/>
              <w:keepLines/>
              <w:spacing w:before="40" w:after="40"/>
              <w:jc w:val="center"/>
              <w:rPr>
                <w:rFonts w:cs="Arial"/>
                <w:b/>
                <w:bCs/>
                <w:spacing w:val="-2"/>
                <w:sz w:val="14"/>
                <w:szCs w:val="14"/>
              </w:rPr>
            </w:pPr>
          </w:p>
        </w:tc>
        <w:tc>
          <w:tcPr>
            <w:tcW w:w="2835" w:type="dxa"/>
            <w:gridSpan w:val="2"/>
            <w:shd w:val="clear" w:color="auto" w:fill="auto"/>
            <w:vAlign w:val="center"/>
          </w:tcPr>
          <w:p w14:paraId="489B34EB" w14:textId="77777777" w:rsidR="008B7E19" w:rsidRPr="00E71174" w:rsidRDefault="008B7E19" w:rsidP="008B7E19">
            <w:pPr>
              <w:keepNext/>
              <w:keepLines/>
              <w:spacing w:before="40" w:after="40"/>
              <w:jc w:val="center"/>
              <w:rPr>
                <w:rFonts w:cs="Arial"/>
                <w:b/>
                <w:bCs/>
                <w:spacing w:val="-2"/>
                <w:sz w:val="14"/>
                <w:szCs w:val="14"/>
              </w:rPr>
            </w:pPr>
            <w:r w:rsidRPr="00E71174">
              <w:rPr>
                <w:rFonts w:cs="Arial"/>
                <w:b/>
                <w:bCs/>
                <w:spacing w:val="-2"/>
                <w:sz w:val="14"/>
                <w:szCs w:val="14"/>
              </w:rPr>
              <w:t>Consolidated</w:t>
            </w:r>
          </w:p>
        </w:tc>
      </w:tr>
      <w:tr w:rsidR="008B7E19" w:rsidRPr="00E71174" w14:paraId="697D6169" w14:textId="77777777" w:rsidTr="008B7E19">
        <w:trPr>
          <w:trHeight w:val="238"/>
          <w:jc w:val="center"/>
        </w:trPr>
        <w:tc>
          <w:tcPr>
            <w:tcW w:w="3094" w:type="dxa"/>
            <w:gridSpan w:val="2"/>
            <w:tcBorders>
              <w:top w:val="nil"/>
              <w:bottom w:val="single" w:sz="2" w:space="0" w:color="1F4E79" w:themeColor="accent1" w:themeShade="80"/>
            </w:tcBorders>
            <w:shd w:val="clear" w:color="auto" w:fill="auto"/>
            <w:vAlign w:val="center"/>
          </w:tcPr>
          <w:p w14:paraId="017C085A" w14:textId="77777777" w:rsidR="008B7E19" w:rsidRPr="0004479C" w:rsidRDefault="008B7E19" w:rsidP="008B7E19">
            <w:pPr>
              <w:pStyle w:val="08-Tabelageral"/>
              <w:jc w:val="left"/>
              <w:rPr>
                <w:rFonts w:cs="Arial"/>
                <w:b/>
                <w:szCs w:val="14"/>
                <w:lang w:eastAsia="en-US"/>
              </w:rPr>
            </w:pPr>
          </w:p>
        </w:tc>
        <w:tc>
          <w:tcPr>
            <w:tcW w:w="308" w:type="dxa"/>
            <w:tcBorders>
              <w:top w:val="nil"/>
              <w:bottom w:val="single" w:sz="2" w:space="0" w:color="1F4E79" w:themeColor="accent1" w:themeShade="80"/>
            </w:tcBorders>
            <w:shd w:val="clear" w:color="auto" w:fill="auto"/>
            <w:vAlign w:val="center"/>
          </w:tcPr>
          <w:p w14:paraId="0E5926A3" w14:textId="77777777" w:rsidR="008B7E19" w:rsidRPr="0004479C" w:rsidRDefault="008B7E19" w:rsidP="008B7E19">
            <w:pPr>
              <w:pStyle w:val="08-Tabelageral"/>
              <w:rPr>
                <w:rFonts w:cs="Arial"/>
                <w:b/>
                <w:szCs w:val="14"/>
                <w:lang w:eastAsia="en-US"/>
              </w:rPr>
            </w:pPr>
          </w:p>
        </w:tc>
        <w:tc>
          <w:tcPr>
            <w:tcW w:w="1411" w:type="dxa"/>
            <w:tcBorders>
              <w:bottom w:val="single" w:sz="2" w:space="0" w:color="1F4E79" w:themeColor="accent1" w:themeShade="80"/>
            </w:tcBorders>
            <w:shd w:val="clear" w:color="auto" w:fill="auto"/>
            <w:vAlign w:val="center"/>
          </w:tcPr>
          <w:p w14:paraId="0D2BE8B3" w14:textId="77777777" w:rsidR="008B7E19" w:rsidRPr="00E71174" w:rsidRDefault="008B7E19" w:rsidP="008B7E19">
            <w:pPr>
              <w:pStyle w:val="08-Tabelageral"/>
              <w:rPr>
                <w:rFonts w:cs="Arial"/>
                <w:b/>
                <w:szCs w:val="14"/>
                <w:lang w:eastAsia="en-US"/>
              </w:rPr>
            </w:pPr>
            <w:r>
              <w:rPr>
                <w:rFonts w:cs="Arial"/>
                <w:b/>
                <w:szCs w:val="14"/>
                <w:lang w:eastAsia="en-US"/>
              </w:rPr>
              <w:t>June</w:t>
            </w:r>
            <w:r w:rsidRPr="00E71174">
              <w:rPr>
                <w:rFonts w:cs="Arial"/>
                <w:b/>
                <w:szCs w:val="14"/>
                <w:lang w:eastAsia="en-US"/>
              </w:rPr>
              <w:t xml:space="preserve"> 3</w:t>
            </w:r>
            <w:r>
              <w:rPr>
                <w:rFonts w:cs="Arial"/>
                <w:b/>
                <w:szCs w:val="14"/>
                <w:lang w:eastAsia="en-US"/>
              </w:rPr>
              <w:t>0</w:t>
            </w:r>
            <w:r w:rsidRPr="00E71174">
              <w:rPr>
                <w:rFonts w:cs="Arial"/>
                <w:b/>
                <w:szCs w:val="14"/>
                <w:lang w:eastAsia="en-US"/>
              </w:rPr>
              <w:t>, 202</w:t>
            </w:r>
            <w:r>
              <w:rPr>
                <w:rFonts w:cs="Arial"/>
                <w:b/>
                <w:szCs w:val="14"/>
                <w:lang w:eastAsia="en-US"/>
              </w:rPr>
              <w:t>3</w:t>
            </w:r>
          </w:p>
        </w:tc>
        <w:tc>
          <w:tcPr>
            <w:tcW w:w="1412" w:type="dxa"/>
            <w:tcBorders>
              <w:bottom w:val="single" w:sz="2" w:space="0" w:color="1F4E79" w:themeColor="accent1" w:themeShade="80"/>
            </w:tcBorders>
            <w:shd w:val="clear" w:color="auto" w:fill="auto"/>
            <w:vAlign w:val="center"/>
          </w:tcPr>
          <w:p w14:paraId="688AE3D1" w14:textId="77777777" w:rsidR="008B7E19" w:rsidRPr="00E71174" w:rsidRDefault="008B7E19" w:rsidP="008B7E19">
            <w:pPr>
              <w:pStyle w:val="08-Tabelageral"/>
              <w:rPr>
                <w:rFonts w:cs="Arial"/>
                <w:b/>
                <w:szCs w:val="14"/>
                <w:lang w:eastAsia="en-US"/>
              </w:rPr>
            </w:pPr>
            <w:r>
              <w:rPr>
                <w:rFonts w:cs="Arial"/>
                <w:b/>
                <w:szCs w:val="14"/>
                <w:lang w:eastAsia="en-US"/>
              </w:rPr>
              <w:t>Dec</w:t>
            </w:r>
            <w:r w:rsidRPr="00E71174">
              <w:rPr>
                <w:rFonts w:cs="Arial"/>
                <w:b/>
                <w:szCs w:val="14"/>
                <w:lang w:eastAsia="en-US"/>
              </w:rPr>
              <w:t xml:space="preserve"> 31, 2022</w:t>
            </w:r>
          </w:p>
        </w:tc>
        <w:tc>
          <w:tcPr>
            <w:tcW w:w="283" w:type="dxa"/>
            <w:tcBorders>
              <w:bottom w:val="single" w:sz="2" w:space="0" w:color="1F4E79" w:themeColor="accent1" w:themeShade="80"/>
            </w:tcBorders>
            <w:shd w:val="clear" w:color="auto" w:fill="auto"/>
            <w:vAlign w:val="center"/>
          </w:tcPr>
          <w:p w14:paraId="3352C7BE" w14:textId="77777777" w:rsidR="008B7E19" w:rsidRPr="00E71174" w:rsidRDefault="008B7E19" w:rsidP="008B7E19">
            <w:pPr>
              <w:pStyle w:val="08-Tabelageral"/>
              <w:rPr>
                <w:rFonts w:cs="Arial"/>
                <w:b/>
                <w:szCs w:val="14"/>
                <w:lang w:eastAsia="en-US"/>
              </w:rPr>
            </w:pPr>
          </w:p>
        </w:tc>
        <w:tc>
          <w:tcPr>
            <w:tcW w:w="284" w:type="dxa"/>
            <w:tcBorders>
              <w:bottom w:val="single" w:sz="2" w:space="0" w:color="1F4E79" w:themeColor="accent1" w:themeShade="80"/>
            </w:tcBorders>
            <w:shd w:val="clear" w:color="auto" w:fill="auto"/>
            <w:vAlign w:val="center"/>
          </w:tcPr>
          <w:p w14:paraId="09C59B18" w14:textId="77777777" w:rsidR="008B7E19" w:rsidRPr="00E71174" w:rsidRDefault="008B7E19" w:rsidP="008B7E19">
            <w:pPr>
              <w:pStyle w:val="08-Tabelageral"/>
              <w:rPr>
                <w:rFonts w:cs="Arial"/>
                <w:b/>
                <w:szCs w:val="14"/>
                <w:lang w:eastAsia="en-US"/>
              </w:rPr>
            </w:pPr>
          </w:p>
        </w:tc>
        <w:tc>
          <w:tcPr>
            <w:tcW w:w="1417" w:type="dxa"/>
            <w:tcBorders>
              <w:bottom w:val="single" w:sz="2" w:space="0" w:color="1F4E79" w:themeColor="accent1" w:themeShade="80"/>
            </w:tcBorders>
            <w:shd w:val="clear" w:color="auto" w:fill="auto"/>
            <w:vAlign w:val="center"/>
          </w:tcPr>
          <w:p w14:paraId="7CDB9DBD" w14:textId="77777777" w:rsidR="008B7E19" w:rsidRPr="00E71174" w:rsidRDefault="008B7E19" w:rsidP="008B7E19">
            <w:pPr>
              <w:pStyle w:val="08-Tabelageral"/>
              <w:rPr>
                <w:rFonts w:cs="Arial"/>
                <w:b/>
                <w:szCs w:val="14"/>
                <w:lang w:eastAsia="en-US"/>
              </w:rPr>
            </w:pPr>
            <w:r>
              <w:rPr>
                <w:rFonts w:cs="Arial"/>
                <w:b/>
                <w:szCs w:val="14"/>
                <w:lang w:eastAsia="en-US"/>
              </w:rPr>
              <w:t>June</w:t>
            </w:r>
            <w:r w:rsidRPr="00E71174">
              <w:rPr>
                <w:rFonts w:cs="Arial"/>
                <w:b/>
                <w:szCs w:val="14"/>
                <w:lang w:eastAsia="en-US"/>
              </w:rPr>
              <w:t xml:space="preserve"> 3</w:t>
            </w:r>
            <w:r>
              <w:rPr>
                <w:rFonts w:cs="Arial"/>
                <w:b/>
                <w:szCs w:val="14"/>
                <w:lang w:eastAsia="en-US"/>
              </w:rPr>
              <w:t>0</w:t>
            </w:r>
            <w:r w:rsidRPr="00E71174">
              <w:rPr>
                <w:rFonts w:cs="Arial"/>
                <w:b/>
                <w:szCs w:val="14"/>
                <w:lang w:eastAsia="en-US"/>
              </w:rPr>
              <w:t>, 202</w:t>
            </w:r>
            <w:r>
              <w:rPr>
                <w:rFonts w:cs="Arial"/>
                <w:b/>
                <w:szCs w:val="14"/>
                <w:lang w:eastAsia="en-US"/>
              </w:rPr>
              <w:t>3</w:t>
            </w:r>
          </w:p>
        </w:tc>
        <w:tc>
          <w:tcPr>
            <w:tcW w:w="1418" w:type="dxa"/>
            <w:tcBorders>
              <w:bottom w:val="single" w:sz="2" w:space="0" w:color="1F4E79" w:themeColor="accent1" w:themeShade="80"/>
            </w:tcBorders>
            <w:shd w:val="clear" w:color="auto" w:fill="auto"/>
            <w:vAlign w:val="center"/>
          </w:tcPr>
          <w:p w14:paraId="103F5A71" w14:textId="77777777" w:rsidR="008B7E19" w:rsidRPr="00E71174" w:rsidRDefault="008B7E19" w:rsidP="008B7E19">
            <w:pPr>
              <w:pStyle w:val="08-Tabelageral"/>
              <w:rPr>
                <w:rFonts w:cs="Arial"/>
                <w:b/>
                <w:szCs w:val="14"/>
                <w:lang w:eastAsia="en-US"/>
              </w:rPr>
            </w:pPr>
            <w:r>
              <w:rPr>
                <w:rFonts w:cs="Arial"/>
                <w:b/>
                <w:szCs w:val="14"/>
                <w:lang w:eastAsia="en-US"/>
              </w:rPr>
              <w:t>Dec</w:t>
            </w:r>
            <w:r w:rsidRPr="00E71174">
              <w:rPr>
                <w:rFonts w:cs="Arial"/>
                <w:b/>
                <w:szCs w:val="14"/>
                <w:lang w:eastAsia="en-US"/>
              </w:rPr>
              <w:t xml:space="preserve"> 31, 2022</w:t>
            </w:r>
          </w:p>
        </w:tc>
      </w:tr>
      <w:tr w:rsidR="008B7E19" w:rsidRPr="004C6ED9" w14:paraId="36846E34" w14:textId="77777777" w:rsidTr="008B7E19">
        <w:trPr>
          <w:trHeight w:val="238"/>
          <w:jc w:val="center"/>
        </w:trPr>
        <w:tc>
          <w:tcPr>
            <w:tcW w:w="3094" w:type="dxa"/>
            <w:gridSpan w:val="2"/>
            <w:tcBorders>
              <w:bottom w:val="nil"/>
            </w:tcBorders>
            <w:shd w:val="clear" w:color="auto" w:fill="auto"/>
            <w:vAlign w:val="center"/>
          </w:tcPr>
          <w:p w14:paraId="0A0EFA79" w14:textId="77777777" w:rsidR="008B7E19" w:rsidRPr="00A50A7C" w:rsidRDefault="008B7E19" w:rsidP="008B7E19">
            <w:pPr>
              <w:pStyle w:val="08-Tabelageral"/>
              <w:jc w:val="left"/>
              <w:rPr>
                <w:rFonts w:cs="Arial"/>
                <w:b/>
                <w:szCs w:val="14"/>
                <w:vertAlign w:val="superscript"/>
              </w:rPr>
            </w:pPr>
            <w:r>
              <w:rPr>
                <w:rFonts w:cs="Arial"/>
                <w:szCs w:val="14"/>
              </w:rPr>
              <w:t xml:space="preserve">Tax lawsuits </w:t>
            </w:r>
            <w:r>
              <w:rPr>
                <w:rFonts w:cs="Arial"/>
                <w:szCs w:val="14"/>
                <w:vertAlign w:val="superscript"/>
              </w:rPr>
              <w:t>(1)</w:t>
            </w:r>
          </w:p>
        </w:tc>
        <w:tc>
          <w:tcPr>
            <w:tcW w:w="308" w:type="dxa"/>
            <w:tcBorders>
              <w:bottom w:val="nil"/>
            </w:tcBorders>
            <w:shd w:val="clear" w:color="auto" w:fill="auto"/>
            <w:vAlign w:val="center"/>
          </w:tcPr>
          <w:p w14:paraId="7BABBB10" w14:textId="77777777" w:rsidR="008B7E19" w:rsidRPr="004C6ED9" w:rsidRDefault="008B7E19" w:rsidP="008B7E19">
            <w:pPr>
              <w:pStyle w:val="08-Tabelageral"/>
              <w:rPr>
                <w:rFonts w:cs="Arial"/>
                <w:szCs w:val="14"/>
              </w:rPr>
            </w:pPr>
          </w:p>
        </w:tc>
        <w:tc>
          <w:tcPr>
            <w:tcW w:w="1411" w:type="dxa"/>
            <w:tcBorders>
              <w:bottom w:val="nil"/>
            </w:tcBorders>
            <w:shd w:val="clear" w:color="auto" w:fill="auto"/>
            <w:vAlign w:val="center"/>
          </w:tcPr>
          <w:p w14:paraId="06343D1E" w14:textId="77777777" w:rsidR="008B7E19" w:rsidRPr="004C6ED9" w:rsidRDefault="008B7E19" w:rsidP="008B7E19">
            <w:pPr>
              <w:pStyle w:val="08-Tabelageral"/>
              <w:rPr>
                <w:rFonts w:cs="Arial"/>
                <w:szCs w:val="14"/>
              </w:rPr>
            </w:pPr>
            <w:r>
              <w:rPr>
                <w:rFonts w:cs="Arial"/>
                <w:szCs w:val="14"/>
                <w:lang w:eastAsia="en-US"/>
              </w:rPr>
              <w:t>--</w:t>
            </w:r>
          </w:p>
        </w:tc>
        <w:tc>
          <w:tcPr>
            <w:tcW w:w="1412" w:type="dxa"/>
            <w:tcBorders>
              <w:bottom w:val="nil"/>
            </w:tcBorders>
            <w:shd w:val="clear" w:color="auto" w:fill="auto"/>
            <w:vAlign w:val="center"/>
          </w:tcPr>
          <w:p w14:paraId="1D195562" w14:textId="77777777" w:rsidR="008B7E19" w:rsidRPr="004C6ED9" w:rsidRDefault="008B7E19" w:rsidP="008B7E19">
            <w:pPr>
              <w:pStyle w:val="08-Tabelageral"/>
              <w:rPr>
                <w:rFonts w:cs="Arial"/>
                <w:szCs w:val="14"/>
              </w:rPr>
            </w:pPr>
            <w:r>
              <w:rPr>
                <w:rFonts w:cs="Arial"/>
                <w:szCs w:val="14"/>
                <w:lang w:eastAsia="en-US"/>
              </w:rPr>
              <w:t>--</w:t>
            </w:r>
          </w:p>
        </w:tc>
        <w:tc>
          <w:tcPr>
            <w:tcW w:w="283" w:type="dxa"/>
            <w:tcBorders>
              <w:bottom w:val="nil"/>
            </w:tcBorders>
            <w:shd w:val="clear" w:color="auto" w:fill="auto"/>
            <w:vAlign w:val="center"/>
          </w:tcPr>
          <w:p w14:paraId="6FED4DE4" w14:textId="77777777" w:rsidR="008B7E19" w:rsidRPr="004C6ED9" w:rsidRDefault="008B7E19" w:rsidP="008B7E19">
            <w:pPr>
              <w:pStyle w:val="08-Tabelageral"/>
              <w:rPr>
                <w:rFonts w:cs="Arial"/>
                <w:szCs w:val="14"/>
              </w:rPr>
            </w:pPr>
          </w:p>
        </w:tc>
        <w:tc>
          <w:tcPr>
            <w:tcW w:w="284" w:type="dxa"/>
            <w:tcBorders>
              <w:bottom w:val="nil"/>
            </w:tcBorders>
            <w:shd w:val="clear" w:color="auto" w:fill="auto"/>
            <w:vAlign w:val="center"/>
          </w:tcPr>
          <w:p w14:paraId="7DD213FE" w14:textId="77777777" w:rsidR="008B7E19" w:rsidRDefault="008B7E19" w:rsidP="008B7E19">
            <w:pPr>
              <w:pStyle w:val="08-Tabelageral"/>
              <w:rPr>
                <w:rFonts w:cs="Arial"/>
                <w:szCs w:val="14"/>
              </w:rPr>
            </w:pPr>
          </w:p>
        </w:tc>
        <w:tc>
          <w:tcPr>
            <w:tcW w:w="1417" w:type="dxa"/>
            <w:tcBorders>
              <w:top w:val="single" w:sz="2" w:space="0" w:color="1F4E79" w:themeColor="accent1" w:themeShade="80"/>
              <w:left w:val="nil"/>
              <w:bottom w:val="nil"/>
              <w:right w:val="nil"/>
            </w:tcBorders>
          </w:tcPr>
          <w:p w14:paraId="7F55F453" w14:textId="77777777" w:rsidR="008B7E19" w:rsidRPr="004C6ED9" w:rsidRDefault="008B7E19" w:rsidP="008B7E19">
            <w:pPr>
              <w:pStyle w:val="08-Tabelageral"/>
              <w:rPr>
                <w:rFonts w:cs="Arial"/>
                <w:szCs w:val="14"/>
              </w:rPr>
            </w:pPr>
            <w:r w:rsidRPr="00242D61">
              <w:t>287</w:t>
            </w:r>
            <w:r>
              <w:t>,</w:t>
            </w:r>
            <w:r w:rsidRPr="00242D61">
              <w:t>655</w:t>
            </w:r>
          </w:p>
        </w:tc>
        <w:tc>
          <w:tcPr>
            <w:tcW w:w="1418" w:type="dxa"/>
            <w:tcBorders>
              <w:bottom w:val="nil"/>
            </w:tcBorders>
            <w:shd w:val="clear" w:color="auto" w:fill="auto"/>
          </w:tcPr>
          <w:p w14:paraId="1F8B1A80" w14:textId="77777777" w:rsidR="008B7E19" w:rsidRPr="004C6ED9" w:rsidRDefault="008B7E19" w:rsidP="008B7E19">
            <w:pPr>
              <w:pStyle w:val="08-Tabelageral"/>
              <w:rPr>
                <w:rFonts w:cs="Arial"/>
                <w:szCs w:val="14"/>
              </w:rPr>
            </w:pPr>
            <w:r>
              <w:rPr>
                <w:rFonts w:cs="Arial"/>
                <w:szCs w:val="14"/>
                <w:lang w:eastAsia="en-US"/>
              </w:rPr>
              <w:t>270,060</w:t>
            </w:r>
          </w:p>
        </w:tc>
      </w:tr>
      <w:tr w:rsidR="008B7E19" w:rsidRPr="004C6ED9" w14:paraId="26575424" w14:textId="77777777" w:rsidTr="008B7E19">
        <w:trPr>
          <w:trHeight w:val="238"/>
          <w:jc w:val="center"/>
        </w:trPr>
        <w:tc>
          <w:tcPr>
            <w:tcW w:w="3094" w:type="dxa"/>
            <w:gridSpan w:val="2"/>
            <w:tcBorders>
              <w:top w:val="nil"/>
              <w:bottom w:val="nil"/>
            </w:tcBorders>
            <w:shd w:val="clear" w:color="auto" w:fill="auto"/>
            <w:vAlign w:val="center"/>
          </w:tcPr>
          <w:p w14:paraId="1184823B" w14:textId="77777777" w:rsidR="008B7E19" w:rsidRDefault="008B7E19" w:rsidP="008B7E19">
            <w:pPr>
              <w:pStyle w:val="08-Tabelageral"/>
              <w:jc w:val="left"/>
              <w:rPr>
                <w:rFonts w:cs="Arial"/>
                <w:b/>
                <w:szCs w:val="14"/>
              </w:rPr>
            </w:pPr>
            <w:r>
              <w:rPr>
                <w:rFonts w:cs="Arial"/>
                <w:szCs w:val="14"/>
              </w:rPr>
              <w:t>Civil lawsuits</w:t>
            </w:r>
          </w:p>
        </w:tc>
        <w:tc>
          <w:tcPr>
            <w:tcW w:w="308" w:type="dxa"/>
            <w:tcBorders>
              <w:top w:val="nil"/>
              <w:bottom w:val="nil"/>
            </w:tcBorders>
            <w:shd w:val="clear" w:color="auto" w:fill="auto"/>
            <w:vAlign w:val="center"/>
          </w:tcPr>
          <w:p w14:paraId="2384D3E6" w14:textId="77777777" w:rsidR="008B7E19" w:rsidRPr="004C6ED9" w:rsidRDefault="008B7E19" w:rsidP="008B7E19">
            <w:pPr>
              <w:pStyle w:val="08-Tabelageral"/>
              <w:rPr>
                <w:rFonts w:cs="Arial"/>
                <w:szCs w:val="14"/>
              </w:rPr>
            </w:pPr>
          </w:p>
        </w:tc>
        <w:tc>
          <w:tcPr>
            <w:tcW w:w="1411" w:type="dxa"/>
            <w:tcBorders>
              <w:top w:val="nil"/>
              <w:bottom w:val="nil"/>
            </w:tcBorders>
            <w:shd w:val="clear" w:color="auto" w:fill="auto"/>
            <w:vAlign w:val="center"/>
          </w:tcPr>
          <w:p w14:paraId="39C1D674" w14:textId="77777777" w:rsidR="008B7E19" w:rsidRPr="004C6ED9" w:rsidRDefault="008B7E19" w:rsidP="008B7E19">
            <w:pPr>
              <w:pStyle w:val="08-Tabelageral"/>
              <w:rPr>
                <w:rFonts w:cs="Arial"/>
                <w:szCs w:val="14"/>
              </w:rPr>
            </w:pPr>
            <w:r>
              <w:rPr>
                <w:rFonts w:cs="Arial"/>
                <w:szCs w:val="14"/>
                <w:lang w:eastAsia="en-US"/>
              </w:rPr>
              <w:t>--</w:t>
            </w:r>
          </w:p>
        </w:tc>
        <w:tc>
          <w:tcPr>
            <w:tcW w:w="1412" w:type="dxa"/>
            <w:tcBorders>
              <w:top w:val="nil"/>
              <w:bottom w:val="nil"/>
            </w:tcBorders>
            <w:shd w:val="clear" w:color="auto" w:fill="auto"/>
            <w:vAlign w:val="center"/>
          </w:tcPr>
          <w:p w14:paraId="5C4CE6F2" w14:textId="77777777" w:rsidR="008B7E19" w:rsidRPr="004C6ED9" w:rsidRDefault="008B7E19" w:rsidP="008B7E19">
            <w:pPr>
              <w:pStyle w:val="08-Tabelageral"/>
              <w:rPr>
                <w:rFonts w:cs="Arial"/>
                <w:szCs w:val="14"/>
              </w:rPr>
            </w:pPr>
            <w:r>
              <w:rPr>
                <w:rFonts w:cs="Arial"/>
                <w:szCs w:val="14"/>
                <w:lang w:eastAsia="en-US"/>
              </w:rPr>
              <w:t>--</w:t>
            </w:r>
          </w:p>
        </w:tc>
        <w:tc>
          <w:tcPr>
            <w:tcW w:w="283" w:type="dxa"/>
            <w:tcBorders>
              <w:top w:val="nil"/>
              <w:bottom w:val="nil"/>
            </w:tcBorders>
            <w:shd w:val="clear" w:color="auto" w:fill="auto"/>
            <w:vAlign w:val="center"/>
          </w:tcPr>
          <w:p w14:paraId="0D44C4B5" w14:textId="77777777" w:rsidR="008B7E19" w:rsidRPr="004C6ED9" w:rsidRDefault="008B7E19" w:rsidP="008B7E19">
            <w:pPr>
              <w:pStyle w:val="08-Tabelageral"/>
              <w:rPr>
                <w:rFonts w:cs="Arial"/>
                <w:szCs w:val="14"/>
              </w:rPr>
            </w:pPr>
          </w:p>
        </w:tc>
        <w:tc>
          <w:tcPr>
            <w:tcW w:w="284" w:type="dxa"/>
            <w:tcBorders>
              <w:top w:val="nil"/>
              <w:bottom w:val="nil"/>
            </w:tcBorders>
            <w:shd w:val="clear" w:color="auto" w:fill="auto"/>
            <w:vAlign w:val="center"/>
          </w:tcPr>
          <w:p w14:paraId="223B11B9" w14:textId="77777777" w:rsidR="008B7E19" w:rsidRDefault="008B7E19" w:rsidP="008B7E19">
            <w:pPr>
              <w:pStyle w:val="08-Tabelageral"/>
              <w:rPr>
                <w:rFonts w:cs="Arial"/>
                <w:szCs w:val="14"/>
              </w:rPr>
            </w:pPr>
          </w:p>
        </w:tc>
        <w:tc>
          <w:tcPr>
            <w:tcW w:w="1417" w:type="dxa"/>
            <w:tcBorders>
              <w:top w:val="nil"/>
              <w:left w:val="nil"/>
              <w:bottom w:val="nil"/>
              <w:right w:val="nil"/>
            </w:tcBorders>
          </w:tcPr>
          <w:p w14:paraId="4F23A200" w14:textId="77777777" w:rsidR="008B7E19" w:rsidRPr="004C6ED9" w:rsidRDefault="008B7E19" w:rsidP="008B7E19">
            <w:pPr>
              <w:pStyle w:val="08-Tabelageral"/>
              <w:rPr>
                <w:rFonts w:cs="Arial"/>
                <w:szCs w:val="14"/>
              </w:rPr>
            </w:pPr>
            <w:r w:rsidRPr="00242D61">
              <w:t>1</w:t>
            </w:r>
            <w:r>
              <w:t>,</w:t>
            </w:r>
            <w:r w:rsidRPr="00242D61">
              <w:t>920</w:t>
            </w:r>
          </w:p>
        </w:tc>
        <w:tc>
          <w:tcPr>
            <w:tcW w:w="1418" w:type="dxa"/>
            <w:tcBorders>
              <w:top w:val="nil"/>
              <w:bottom w:val="nil"/>
            </w:tcBorders>
            <w:shd w:val="clear" w:color="auto" w:fill="auto"/>
          </w:tcPr>
          <w:p w14:paraId="250AB1E5" w14:textId="77777777" w:rsidR="008B7E19" w:rsidRPr="004C6ED9" w:rsidRDefault="008B7E19" w:rsidP="008B7E19">
            <w:pPr>
              <w:pStyle w:val="08-Tabelageral"/>
              <w:rPr>
                <w:rFonts w:cs="Arial"/>
                <w:szCs w:val="14"/>
              </w:rPr>
            </w:pPr>
            <w:r>
              <w:rPr>
                <w:rFonts w:cs="Arial"/>
                <w:szCs w:val="14"/>
                <w:lang w:eastAsia="en-US"/>
              </w:rPr>
              <w:t>2,215</w:t>
            </w:r>
          </w:p>
        </w:tc>
      </w:tr>
      <w:tr w:rsidR="008B7E19" w:rsidRPr="00313182" w14:paraId="2DA2E960" w14:textId="77777777" w:rsidTr="008B7E19">
        <w:trPr>
          <w:trHeight w:val="238"/>
          <w:jc w:val="center"/>
        </w:trPr>
        <w:tc>
          <w:tcPr>
            <w:tcW w:w="3094" w:type="dxa"/>
            <w:gridSpan w:val="2"/>
            <w:tcBorders>
              <w:top w:val="nil"/>
            </w:tcBorders>
            <w:shd w:val="clear" w:color="auto" w:fill="auto"/>
            <w:vAlign w:val="center"/>
          </w:tcPr>
          <w:p w14:paraId="7F43BA86" w14:textId="77777777" w:rsidR="008B7E19" w:rsidRPr="00313182" w:rsidRDefault="008B7E19" w:rsidP="008B7E19">
            <w:pPr>
              <w:keepNext/>
              <w:keepLines/>
              <w:spacing w:before="40" w:after="40" w:line="240" w:lineRule="auto"/>
              <w:rPr>
                <w:rFonts w:cs="Arial"/>
                <w:b/>
                <w:bCs/>
                <w:spacing w:val="-2"/>
                <w:sz w:val="14"/>
                <w:szCs w:val="14"/>
              </w:rPr>
            </w:pPr>
            <w:r w:rsidRPr="00313182">
              <w:rPr>
                <w:rFonts w:cs="Arial"/>
                <w:b/>
                <w:spacing w:val="-2"/>
                <w:sz w:val="14"/>
                <w:szCs w:val="14"/>
              </w:rPr>
              <w:t>Total</w:t>
            </w:r>
          </w:p>
        </w:tc>
        <w:tc>
          <w:tcPr>
            <w:tcW w:w="308" w:type="dxa"/>
            <w:tcBorders>
              <w:top w:val="nil"/>
            </w:tcBorders>
            <w:shd w:val="clear" w:color="auto" w:fill="auto"/>
            <w:vAlign w:val="center"/>
          </w:tcPr>
          <w:p w14:paraId="64579187" w14:textId="77777777" w:rsidR="008B7E19" w:rsidRPr="00313182" w:rsidRDefault="008B7E19" w:rsidP="008B7E19">
            <w:pPr>
              <w:pStyle w:val="08-Tabelageral"/>
              <w:rPr>
                <w:rFonts w:cs="Arial"/>
                <w:b/>
                <w:szCs w:val="14"/>
              </w:rPr>
            </w:pPr>
          </w:p>
        </w:tc>
        <w:tc>
          <w:tcPr>
            <w:tcW w:w="1411" w:type="dxa"/>
            <w:tcBorders>
              <w:top w:val="nil"/>
            </w:tcBorders>
            <w:shd w:val="clear" w:color="auto" w:fill="auto"/>
            <w:vAlign w:val="center"/>
          </w:tcPr>
          <w:p w14:paraId="0E76C2C9" w14:textId="77777777" w:rsidR="008B7E19" w:rsidRPr="00313182" w:rsidRDefault="008B7E19" w:rsidP="008B7E19">
            <w:pPr>
              <w:pStyle w:val="08-Tabelageral"/>
              <w:rPr>
                <w:rFonts w:cs="Arial"/>
                <w:b/>
                <w:szCs w:val="14"/>
              </w:rPr>
            </w:pPr>
            <w:r w:rsidRPr="00313182">
              <w:rPr>
                <w:rFonts w:cs="Arial"/>
                <w:b/>
                <w:szCs w:val="14"/>
                <w:lang w:eastAsia="en-US"/>
              </w:rPr>
              <w:t>--</w:t>
            </w:r>
          </w:p>
        </w:tc>
        <w:tc>
          <w:tcPr>
            <w:tcW w:w="1412" w:type="dxa"/>
            <w:tcBorders>
              <w:top w:val="nil"/>
            </w:tcBorders>
            <w:shd w:val="clear" w:color="auto" w:fill="auto"/>
            <w:vAlign w:val="center"/>
          </w:tcPr>
          <w:p w14:paraId="7D1B4B38" w14:textId="77777777" w:rsidR="008B7E19" w:rsidRPr="00313182" w:rsidRDefault="008B7E19" w:rsidP="008B7E19">
            <w:pPr>
              <w:pStyle w:val="08-Tabelageral"/>
              <w:rPr>
                <w:rFonts w:cs="Arial"/>
                <w:b/>
                <w:szCs w:val="14"/>
              </w:rPr>
            </w:pPr>
            <w:r w:rsidRPr="00313182">
              <w:rPr>
                <w:rFonts w:cs="Arial"/>
                <w:b/>
                <w:szCs w:val="14"/>
                <w:lang w:eastAsia="en-US"/>
              </w:rPr>
              <w:t>--</w:t>
            </w:r>
          </w:p>
        </w:tc>
        <w:tc>
          <w:tcPr>
            <w:tcW w:w="283" w:type="dxa"/>
            <w:tcBorders>
              <w:top w:val="nil"/>
            </w:tcBorders>
            <w:shd w:val="clear" w:color="auto" w:fill="auto"/>
            <w:vAlign w:val="center"/>
          </w:tcPr>
          <w:p w14:paraId="1B219802" w14:textId="77777777" w:rsidR="008B7E19" w:rsidRPr="00313182" w:rsidRDefault="008B7E19" w:rsidP="008B7E19">
            <w:pPr>
              <w:pStyle w:val="08-Tabelageral"/>
              <w:rPr>
                <w:rFonts w:cs="Arial"/>
                <w:b/>
                <w:szCs w:val="14"/>
              </w:rPr>
            </w:pPr>
          </w:p>
        </w:tc>
        <w:tc>
          <w:tcPr>
            <w:tcW w:w="284" w:type="dxa"/>
            <w:tcBorders>
              <w:top w:val="nil"/>
            </w:tcBorders>
            <w:shd w:val="clear" w:color="auto" w:fill="auto"/>
            <w:vAlign w:val="center"/>
          </w:tcPr>
          <w:p w14:paraId="72D15785" w14:textId="77777777" w:rsidR="008B7E19" w:rsidRPr="00313182" w:rsidRDefault="008B7E19" w:rsidP="008B7E19">
            <w:pPr>
              <w:pStyle w:val="08-Tabelageral"/>
              <w:rPr>
                <w:rFonts w:cs="Arial"/>
                <w:b/>
                <w:szCs w:val="14"/>
              </w:rPr>
            </w:pPr>
          </w:p>
        </w:tc>
        <w:tc>
          <w:tcPr>
            <w:tcW w:w="1417" w:type="dxa"/>
            <w:tcBorders>
              <w:top w:val="nil"/>
              <w:left w:val="nil"/>
              <w:bottom w:val="single" w:sz="2" w:space="0" w:color="1F4E79" w:themeColor="accent1" w:themeShade="80"/>
              <w:right w:val="nil"/>
            </w:tcBorders>
          </w:tcPr>
          <w:p w14:paraId="64177E81" w14:textId="77777777" w:rsidR="008B7E19" w:rsidRPr="00313182" w:rsidRDefault="008B7E19" w:rsidP="008B7E19">
            <w:pPr>
              <w:pStyle w:val="08-Tabelageral"/>
              <w:rPr>
                <w:rFonts w:cs="Arial"/>
                <w:b/>
                <w:szCs w:val="14"/>
              </w:rPr>
            </w:pPr>
            <w:r w:rsidRPr="00313182">
              <w:rPr>
                <w:b/>
              </w:rPr>
              <w:t>289,575</w:t>
            </w:r>
          </w:p>
        </w:tc>
        <w:tc>
          <w:tcPr>
            <w:tcW w:w="1418" w:type="dxa"/>
            <w:tcBorders>
              <w:top w:val="nil"/>
            </w:tcBorders>
            <w:shd w:val="clear" w:color="auto" w:fill="auto"/>
          </w:tcPr>
          <w:p w14:paraId="745CF7FF" w14:textId="77777777" w:rsidR="008B7E19" w:rsidRPr="00313182" w:rsidRDefault="008B7E19" w:rsidP="008B7E19">
            <w:pPr>
              <w:pStyle w:val="08-Tabelageral"/>
              <w:rPr>
                <w:rFonts w:cs="Arial"/>
                <w:b/>
                <w:szCs w:val="14"/>
              </w:rPr>
            </w:pPr>
            <w:r w:rsidRPr="00313182">
              <w:rPr>
                <w:rFonts w:cs="Arial"/>
                <w:b/>
                <w:szCs w:val="14"/>
                <w:lang w:eastAsia="en-US"/>
              </w:rPr>
              <w:t>272,275</w:t>
            </w:r>
          </w:p>
        </w:tc>
      </w:tr>
    </w:tbl>
    <w:p w14:paraId="5DDFC58A" w14:textId="77777777" w:rsidR="008B7E19" w:rsidRPr="00134726" w:rsidRDefault="008B7E19" w:rsidP="008B7E19">
      <w:pPr>
        <w:pStyle w:val="07-Legenda"/>
        <w:spacing w:line="276" w:lineRule="auto"/>
        <w:rPr>
          <w:rFonts w:cs="Arial"/>
          <w:color w:val="00000A"/>
          <w:lang w:val="en-US"/>
        </w:rPr>
      </w:pPr>
      <w:r w:rsidRPr="00134726">
        <w:rPr>
          <w:rFonts w:cs="Arial"/>
          <w:lang w:val="en-US"/>
        </w:rPr>
        <w:t>(1)</w:t>
      </w:r>
      <w:r w:rsidRPr="00134726">
        <w:rPr>
          <w:rFonts w:cs="Arial"/>
          <w:lang w:val="en-US"/>
        </w:rPr>
        <w:tab/>
      </w:r>
      <w:r w:rsidRPr="000C10D4">
        <w:rPr>
          <w:rStyle w:val="tlid-translation"/>
          <w:szCs w:val="14"/>
          <w:lang w:val="en"/>
        </w:rPr>
        <w:t>Refers mainly to the tax lawsuit filed by BB Corretora with the objective of annulling an administrative decision that did not ratify declarations of offsetting negative IRPJ balances with different taxes. There is a guarantee deposit for the mentioned action as shown in item d) Deposits in Guarantee of Funds</w:t>
      </w:r>
      <w:r w:rsidRPr="00134726">
        <w:rPr>
          <w:rFonts w:cs="Arial"/>
          <w:color w:val="00000A"/>
          <w:lang w:val="en-US"/>
        </w:rPr>
        <w:t>.</w:t>
      </w:r>
    </w:p>
    <w:p w14:paraId="6CAA2BC7" w14:textId="77777777" w:rsidR="008B7E19" w:rsidRPr="00134726" w:rsidRDefault="008B7E19" w:rsidP="008B7E19">
      <w:pPr>
        <w:pStyle w:val="05-Textonormal"/>
        <w:rPr>
          <w:lang w:val="en-US"/>
        </w:rPr>
      </w:pPr>
      <w:r w:rsidRPr="00147759">
        <w:t>BB Seguridade does not have contingent liabilities of its investees shared with other shareholders of the investees and is not</w:t>
      </w:r>
      <w:r w:rsidRPr="00134726">
        <w:rPr>
          <w:rStyle w:val="tlid-translation"/>
          <w:lang w:val="en-US"/>
        </w:rPr>
        <w:t xml:space="preserve"> jointly and severally liable for all or part of the liabilities of its investees</w:t>
      </w:r>
      <w:r w:rsidRPr="00134726">
        <w:rPr>
          <w:lang w:val="en-US"/>
        </w:rPr>
        <w:t>.</w:t>
      </w:r>
    </w:p>
    <w:p w14:paraId="575E59AB" w14:textId="77777777" w:rsidR="008B7E19" w:rsidRPr="00134726" w:rsidRDefault="008B7E19" w:rsidP="008B7E19">
      <w:pPr>
        <w:pStyle w:val="05-Textonormal"/>
        <w:rPr>
          <w:b/>
          <w:color w:val="1F4E79" w:themeColor="accent1" w:themeShade="80"/>
          <w:lang w:val="en-US"/>
        </w:rPr>
      </w:pPr>
      <w:r w:rsidRPr="00134726">
        <w:rPr>
          <w:b/>
          <w:color w:val="1F4E79" w:themeColor="accent1" w:themeShade="80"/>
          <w:lang w:val="en-US"/>
        </w:rPr>
        <w:t>d) Deposits in Guarantee of Funds</w:t>
      </w:r>
    </w:p>
    <w:p w14:paraId="59A2D002" w14:textId="77777777" w:rsidR="008B7E19" w:rsidRPr="00134726" w:rsidRDefault="008B7E19" w:rsidP="008B7E19">
      <w:pPr>
        <w:pStyle w:val="05-Textonormal"/>
        <w:rPr>
          <w:lang w:val="en-US"/>
        </w:rPr>
      </w:pPr>
      <w:r w:rsidRPr="00134726">
        <w:rPr>
          <w:rStyle w:val="tlid-translation"/>
          <w:lang w:val="en-US"/>
        </w:rPr>
        <w:t>Guarantee deposits are cash deposits and are made with Banco do Brasil or another official financial institution, as a means of payment or as a means of guaranteeing the payment of convictions, indemnities, agreements and other expenses resulting from legal proceedings. The amounts are presented in the balance sheet under Other Assets</w:t>
      </w:r>
      <w:r w:rsidRPr="00134726">
        <w:rPr>
          <w:lang w:val="en-US"/>
        </w:rPr>
        <w:t>.</w:t>
      </w:r>
    </w:p>
    <w:p w14:paraId="5612C33A" w14:textId="77777777" w:rsidR="008B7E19" w:rsidRPr="00134726" w:rsidRDefault="008B7E19" w:rsidP="008B7E19">
      <w:pPr>
        <w:pStyle w:val="05-Textonormal"/>
        <w:rPr>
          <w:b/>
          <w:color w:val="1F4E79" w:themeColor="accent1" w:themeShade="80"/>
          <w:lang w:val="en-US"/>
        </w:rPr>
      </w:pPr>
      <w:r w:rsidRPr="00134726">
        <w:rPr>
          <w:b/>
          <w:color w:val="1F4E79" w:themeColor="accent1" w:themeShade="80"/>
          <w:lang w:val="en-US"/>
        </w:rPr>
        <w:t>Balances of escrow deposits formed for provisions and contingent liabilities</w:t>
      </w:r>
    </w:p>
    <w:p w14:paraId="28D8747E" w14:textId="77777777" w:rsidR="008B7E19" w:rsidRPr="004C6ED9" w:rsidRDefault="008B7E19" w:rsidP="008B7E19">
      <w:pPr>
        <w:pStyle w:val="01-TtulodeNota"/>
        <w:spacing w:before="0" w:after="0"/>
        <w:jc w:val="right"/>
        <w:rPr>
          <w:sz w:val="14"/>
          <w:szCs w:val="14"/>
        </w:rPr>
      </w:pPr>
      <w:r>
        <w:rPr>
          <w:sz w:val="14"/>
          <w:szCs w:val="14"/>
        </w:rPr>
        <w:t>R$ thousand</w:t>
      </w:r>
    </w:p>
    <w:tbl>
      <w:tblPr>
        <w:tblW w:w="9639" w:type="dxa"/>
        <w:jc w:val="center"/>
        <w:tblBorders>
          <w:top w:val="single" w:sz="2" w:space="0" w:color="1F4E79" w:themeColor="accent1" w:themeShade="80"/>
          <w:bottom w:val="single" w:sz="2" w:space="0" w:color="1F4E79" w:themeColor="accent1" w:themeShade="80"/>
          <w:insideH w:val="single" w:sz="2" w:space="0" w:color="1F4E79" w:themeColor="accent1" w:themeShade="80"/>
        </w:tblBorders>
        <w:tblLook w:val="04A0" w:firstRow="1" w:lastRow="0" w:firstColumn="1" w:lastColumn="0" w:noHBand="0" w:noVBand="1"/>
      </w:tblPr>
      <w:tblGrid>
        <w:gridCol w:w="850"/>
        <w:gridCol w:w="2244"/>
        <w:gridCol w:w="604"/>
        <w:gridCol w:w="1411"/>
        <w:gridCol w:w="1412"/>
        <w:gridCol w:w="283"/>
        <w:gridCol w:w="1417"/>
        <w:gridCol w:w="1418"/>
      </w:tblGrid>
      <w:tr w:rsidR="008B7E19" w:rsidRPr="00AA26A4" w14:paraId="3EABEE40" w14:textId="77777777" w:rsidTr="005B5353">
        <w:trPr>
          <w:trHeight w:hRule="exact" w:val="238"/>
          <w:jc w:val="center"/>
        </w:trPr>
        <w:tc>
          <w:tcPr>
            <w:tcW w:w="850" w:type="dxa"/>
            <w:tcBorders>
              <w:bottom w:val="nil"/>
            </w:tcBorders>
            <w:shd w:val="clear" w:color="auto" w:fill="auto"/>
            <w:vAlign w:val="center"/>
          </w:tcPr>
          <w:p w14:paraId="12F9D93F" w14:textId="77777777" w:rsidR="008B7E19" w:rsidRPr="00AA26A4" w:rsidRDefault="008B7E19" w:rsidP="008B7E19">
            <w:pPr>
              <w:keepNext/>
              <w:keepLines/>
              <w:spacing w:before="40" w:after="40"/>
              <w:rPr>
                <w:rFonts w:cs="Arial"/>
                <w:bCs/>
                <w:spacing w:val="-2"/>
                <w:sz w:val="14"/>
                <w:szCs w:val="14"/>
              </w:rPr>
            </w:pPr>
          </w:p>
        </w:tc>
        <w:tc>
          <w:tcPr>
            <w:tcW w:w="2848" w:type="dxa"/>
            <w:gridSpan w:val="2"/>
            <w:tcBorders>
              <w:bottom w:val="nil"/>
            </w:tcBorders>
            <w:shd w:val="clear" w:color="auto" w:fill="auto"/>
            <w:vAlign w:val="center"/>
          </w:tcPr>
          <w:p w14:paraId="161006B4" w14:textId="77777777" w:rsidR="008B7E19" w:rsidRPr="00AA26A4" w:rsidRDefault="008B7E19" w:rsidP="008B7E19">
            <w:pPr>
              <w:keepNext/>
              <w:keepLines/>
              <w:spacing w:before="40" w:after="40"/>
              <w:rPr>
                <w:rFonts w:cs="Arial"/>
                <w:b/>
                <w:spacing w:val="-2"/>
                <w:sz w:val="14"/>
                <w:szCs w:val="14"/>
              </w:rPr>
            </w:pPr>
          </w:p>
        </w:tc>
        <w:tc>
          <w:tcPr>
            <w:tcW w:w="2823" w:type="dxa"/>
            <w:gridSpan w:val="2"/>
            <w:shd w:val="clear" w:color="auto" w:fill="auto"/>
            <w:vAlign w:val="center"/>
          </w:tcPr>
          <w:p w14:paraId="7FDDDF6F" w14:textId="77777777" w:rsidR="008B7E19" w:rsidRPr="00E048D7" w:rsidRDefault="008B7E19" w:rsidP="008B7E19">
            <w:pPr>
              <w:keepNext/>
              <w:keepLines/>
              <w:spacing w:before="40" w:after="40"/>
              <w:jc w:val="center"/>
              <w:rPr>
                <w:rFonts w:cs="Arial"/>
                <w:b/>
                <w:bCs/>
                <w:spacing w:val="-2"/>
                <w:sz w:val="14"/>
                <w:szCs w:val="14"/>
              </w:rPr>
            </w:pPr>
            <w:r w:rsidRPr="00E048D7">
              <w:rPr>
                <w:rFonts w:cs="Arial"/>
                <w:b/>
                <w:bCs/>
                <w:spacing w:val="-2"/>
                <w:sz w:val="14"/>
                <w:szCs w:val="14"/>
              </w:rPr>
              <w:t>Parent</w:t>
            </w:r>
          </w:p>
        </w:tc>
        <w:tc>
          <w:tcPr>
            <w:tcW w:w="283" w:type="dxa"/>
            <w:shd w:val="clear" w:color="auto" w:fill="auto"/>
            <w:vAlign w:val="center"/>
          </w:tcPr>
          <w:p w14:paraId="7DD1A06E" w14:textId="77777777" w:rsidR="008B7E19" w:rsidRPr="00AA26A4" w:rsidRDefault="008B7E19" w:rsidP="008B7E19">
            <w:pPr>
              <w:keepNext/>
              <w:keepLines/>
              <w:spacing w:before="40" w:after="40"/>
              <w:jc w:val="center"/>
              <w:rPr>
                <w:rFonts w:cs="Arial"/>
                <w:b/>
                <w:bCs/>
                <w:spacing w:val="-2"/>
                <w:sz w:val="14"/>
                <w:szCs w:val="14"/>
              </w:rPr>
            </w:pPr>
          </w:p>
        </w:tc>
        <w:tc>
          <w:tcPr>
            <w:tcW w:w="2835" w:type="dxa"/>
            <w:gridSpan w:val="2"/>
            <w:shd w:val="clear" w:color="auto" w:fill="auto"/>
            <w:vAlign w:val="center"/>
          </w:tcPr>
          <w:p w14:paraId="6E048695" w14:textId="77777777" w:rsidR="008B7E19" w:rsidRPr="00E048D7" w:rsidRDefault="008B7E19" w:rsidP="008B7E19">
            <w:pPr>
              <w:keepNext/>
              <w:keepLines/>
              <w:spacing w:before="40" w:after="40"/>
              <w:jc w:val="center"/>
              <w:rPr>
                <w:rFonts w:cs="Arial"/>
                <w:b/>
                <w:bCs/>
                <w:spacing w:val="-2"/>
                <w:sz w:val="14"/>
                <w:szCs w:val="14"/>
              </w:rPr>
            </w:pPr>
            <w:r w:rsidRPr="00E048D7">
              <w:rPr>
                <w:rFonts w:cs="Arial"/>
                <w:b/>
                <w:bCs/>
                <w:spacing w:val="-2"/>
                <w:sz w:val="14"/>
                <w:szCs w:val="14"/>
              </w:rPr>
              <w:t>Consolidated</w:t>
            </w:r>
          </w:p>
        </w:tc>
      </w:tr>
      <w:tr w:rsidR="008B7E19" w:rsidRPr="004C6ED9" w14:paraId="652CE65A" w14:textId="77777777" w:rsidTr="005B5353">
        <w:trPr>
          <w:trHeight w:hRule="exact" w:val="238"/>
          <w:jc w:val="center"/>
        </w:trPr>
        <w:tc>
          <w:tcPr>
            <w:tcW w:w="3094" w:type="dxa"/>
            <w:gridSpan w:val="2"/>
            <w:tcBorders>
              <w:top w:val="nil"/>
              <w:bottom w:val="single" w:sz="2" w:space="0" w:color="1F4E79" w:themeColor="accent1" w:themeShade="80"/>
            </w:tcBorders>
            <w:shd w:val="clear" w:color="auto" w:fill="auto"/>
            <w:vAlign w:val="center"/>
          </w:tcPr>
          <w:p w14:paraId="64DFEB48" w14:textId="77777777" w:rsidR="008B7E19" w:rsidRPr="004C6ED9" w:rsidRDefault="008B7E19" w:rsidP="008B7E19">
            <w:pPr>
              <w:keepNext/>
              <w:keepLines/>
              <w:spacing w:before="40" w:after="40"/>
              <w:rPr>
                <w:rFonts w:cs="Arial"/>
                <w:spacing w:val="-2"/>
                <w:sz w:val="14"/>
                <w:szCs w:val="14"/>
              </w:rPr>
            </w:pPr>
          </w:p>
        </w:tc>
        <w:tc>
          <w:tcPr>
            <w:tcW w:w="604" w:type="dxa"/>
            <w:tcBorders>
              <w:top w:val="nil"/>
              <w:bottom w:val="single" w:sz="2" w:space="0" w:color="1F4E79" w:themeColor="accent1" w:themeShade="80"/>
            </w:tcBorders>
            <w:shd w:val="clear" w:color="auto" w:fill="auto"/>
            <w:vAlign w:val="center"/>
          </w:tcPr>
          <w:p w14:paraId="7D5227C8" w14:textId="77777777" w:rsidR="008B7E19" w:rsidRPr="004C6ED9" w:rsidRDefault="008B7E19" w:rsidP="008B7E19">
            <w:pPr>
              <w:keepNext/>
              <w:keepLines/>
              <w:spacing w:before="40" w:after="40"/>
              <w:jc w:val="right"/>
              <w:rPr>
                <w:rFonts w:cs="Arial"/>
                <w:b/>
                <w:spacing w:val="-2"/>
                <w:sz w:val="14"/>
                <w:szCs w:val="14"/>
              </w:rPr>
            </w:pPr>
          </w:p>
        </w:tc>
        <w:tc>
          <w:tcPr>
            <w:tcW w:w="1411" w:type="dxa"/>
            <w:tcBorders>
              <w:bottom w:val="single" w:sz="2" w:space="0" w:color="1F4E79" w:themeColor="accent1" w:themeShade="80"/>
            </w:tcBorders>
            <w:shd w:val="clear" w:color="auto" w:fill="auto"/>
            <w:vAlign w:val="center"/>
          </w:tcPr>
          <w:p w14:paraId="53CD22CF" w14:textId="77777777" w:rsidR="008B7E19" w:rsidRPr="004C6ED9" w:rsidRDefault="008B7E19" w:rsidP="008B7E19">
            <w:pPr>
              <w:pStyle w:val="08-Tabelageral"/>
              <w:rPr>
                <w:rFonts w:cs="Arial"/>
                <w:b/>
                <w:szCs w:val="14"/>
                <w:lang w:eastAsia="en-US"/>
              </w:rPr>
            </w:pPr>
            <w:r>
              <w:rPr>
                <w:rFonts w:cs="Arial"/>
                <w:b/>
                <w:szCs w:val="14"/>
                <w:lang w:eastAsia="en-US"/>
              </w:rPr>
              <w:t xml:space="preserve">Mar </w:t>
            </w:r>
            <w:r w:rsidRPr="004C6ED9">
              <w:rPr>
                <w:rFonts w:cs="Arial"/>
                <w:b/>
                <w:szCs w:val="14"/>
                <w:lang w:eastAsia="en-US"/>
              </w:rPr>
              <w:t>3</w:t>
            </w:r>
            <w:r>
              <w:rPr>
                <w:rFonts w:cs="Arial"/>
                <w:b/>
                <w:szCs w:val="14"/>
                <w:lang w:eastAsia="en-US"/>
              </w:rPr>
              <w:t xml:space="preserve">1, </w:t>
            </w:r>
            <w:r w:rsidRPr="004C6ED9">
              <w:rPr>
                <w:rFonts w:cs="Arial"/>
                <w:b/>
                <w:szCs w:val="14"/>
                <w:lang w:eastAsia="en-US"/>
              </w:rPr>
              <w:t>20</w:t>
            </w:r>
            <w:r>
              <w:rPr>
                <w:rFonts w:cs="Arial"/>
                <w:b/>
                <w:szCs w:val="14"/>
                <w:lang w:eastAsia="en-US"/>
              </w:rPr>
              <w:t>23</w:t>
            </w:r>
          </w:p>
        </w:tc>
        <w:tc>
          <w:tcPr>
            <w:tcW w:w="1412" w:type="dxa"/>
            <w:tcBorders>
              <w:bottom w:val="single" w:sz="2" w:space="0" w:color="1F4E79" w:themeColor="accent1" w:themeShade="80"/>
            </w:tcBorders>
            <w:shd w:val="clear" w:color="auto" w:fill="auto"/>
            <w:vAlign w:val="center"/>
          </w:tcPr>
          <w:p w14:paraId="7FBD427A" w14:textId="77777777" w:rsidR="008B7E19" w:rsidRPr="004C6ED9" w:rsidRDefault="008B7E19" w:rsidP="008B7E19">
            <w:pPr>
              <w:pStyle w:val="08-Tabelageral"/>
              <w:rPr>
                <w:rFonts w:cs="Arial"/>
                <w:b/>
                <w:szCs w:val="14"/>
                <w:lang w:eastAsia="en-US"/>
              </w:rPr>
            </w:pPr>
            <w:r>
              <w:rPr>
                <w:rFonts w:cs="Arial"/>
                <w:b/>
                <w:szCs w:val="14"/>
                <w:lang w:eastAsia="en-US"/>
              </w:rPr>
              <w:t xml:space="preserve">Dec </w:t>
            </w:r>
            <w:r w:rsidRPr="004C6ED9">
              <w:rPr>
                <w:rFonts w:cs="Arial"/>
                <w:b/>
                <w:szCs w:val="14"/>
                <w:lang w:eastAsia="en-US"/>
              </w:rPr>
              <w:t>31</w:t>
            </w:r>
            <w:r>
              <w:rPr>
                <w:rFonts w:cs="Arial"/>
                <w:b/>
                <w:szCs w:val="14"/>
                <w:lang w:eastAsia="en-US"/>
              </w:rPr>
              <w:t xml:space="preserve">, </w:t>
            </w:r>
            <w:r w:rsidRPr="004C6ED9">
              <w:rPr>
                <w:rFonts w:cs="Arial"/>
                <w:b/>
                <w:szCs w:val="14"/>
                <w:lang w:eastAsia="en-US"/>
              </w:rPr>
              <w:t>20</w:t>
            </w:r>
            <w:r>
              <w:rPr>
                <w:rFonts w:cs="Arial"/>
                <w:b/>
                <w:szCs w:val="14"/>
                <w:lang w:eastAsia="en-US"/>
              </w:rPr>
              <w:t>22</w:t>
            </w:r>
          </w:p>
        </w:tc>
        <w:tc>
          <w:tcPr>
            <w:tcW w:w="283" w:type="dxa"/>
            <w:tcBorders>
              <w:bottom w:val="single" w:sz="2" w:space="0" w:color="1F4E79" w:themeColor="accent1" w:themeShade="80"/>
            </w:tcBorders>
            <w:shd w:val="clear" w:color="auto" w:fill="auto"/>
            <w:vAlign w:val="center"/>
          </w:tcPr>
          <w:p w14:paraId="1AAC3603" w14:textId="77777777" w:rsidR="008B7E19" w:rsidRPr="004C6ED9" w:rsidRDefault="008B7E19" w:rsidP="008B7E19">
            <w:pPr>
              <w:pStyle w:val="08-Tabelageral"/>
              <w:rPr>
                <w:rFonts w:cs="Arial"/>
                <w:b/>
                <w:szCs w:val="14"/>
                <w:lang w:eastAsia="en-US"/>
              </w:rPr>
            </w:pPr>
          </w:p>
        </w:tc>
        <w:tc>
          <w:tcPr>
            <w:tcW w:w="1417" w:type="dxa"/>
            <w:tcBorders>
              <w:bottom w:val="single" w:sz="2" w:space="0" w:color="1F4E79" w:themeColor="accent1" w:themeShade="80"/>
            </w:tcBorders>
            <w:shd w:val="clear" w:color="auto" w:fill="auto"/>
            <w:vAlign w:val="center"/>
          </w:tcPr>
          <w:p w14:paraId="5BA0D5F3" w14:textId="77777777" w:rsidR="008B7E19" w:rsidRPr="004C6ED9" w:rsidRDefault="008B7E19" w:rsidP="008B7E19">
            <w:pPr>
              <w:pStyle w:val="08-Tabelageral"/>
              <w:rPr>
                <w:rFonts w:cs="Arial"/>
                <w:b/>
                <w:szCs w:val="14"/>
                <w:lang w:eastAsia="en-US"/>
              </w:rPr>
            </w:pPr>
            <w:r>
              <w:rPr>
                <w:rFonts w:cs="Arial"/>
                <w:b/>
                <w:szCs w:val="14"/>
                <w:lang w:eastAsia="en-US"/>
              </w:rPr>
              <w:t xml:space="preserve">Mar </w:t>
            </w:r>
            <w:r w:rsidRPr="004C6ED9">
              <w:rPr>
                <w:rFonts w:cs="Arial"/>
                <w:b/>
                <w:szCs w:val="14"/>
                <w:lang w:eastAsia="en-US"/>
              </w:rPr>
              <w:t>3</w:t>
            </w:r>
            <w:r>
              <w:rPr>
                <w:rFonts w:cs="Arial"/>
                <w:b/>
                <w:szCs w:val="14"/>
                <w:lang w:eastAsia="en-US"/>
              </w:rPr>
              <w:t xml:space="preserve">1, </w:t>
            </w:r>
            <w:r w:rsidRPr="004C6ED9">
              <w:rPr>
                <w:rFonts w:cs="Arial"/>
                <w:b/>
                <w:szCs w:val="14"/>
                <w:lang w:eastAsia="en-US"/>
              </w:rPr>
              <w:t>20</w:t>
            </w:r>
            <w:r>
              <w:rPr>
                <w:rFonts w:cs="Arial"/>
                <w:b/>
                <w:szCs w:val="14"/>
                <w:lang w:eastAsia="en-US"/>
              </w:rPr>
              <w:t>23</w:t>
            </w:r>
          </w:p>
        </w:tc>
        <w:tc>
          <w:tcPr>
            <w:tcW w:w="1418" w:type="dxa"/>
            <w:tcBorders>
              <w:bottom w:val="single" w:sz="2" w:space="0" w:color="1F4E79" w:themeColor="accent1" w:themeShade="80"/>
            </w:tcBorders>
            <w:shd w:val="clear" w:color="auto" w:fill="auto"/>
            <w:vAlign w:val="center"/>
          </w:tcPr>
          <w:p w14:paraId="443CA258" w14:textId="77777777" w:rsidR="008B7E19" w:rsidRPr="004C6ED9" w:rsidRDefault="008B7E19" w:rsidP="008B7E19">
            <w:pPr>
              <w:pStyle w:val="08-Tabelageral"/>
              <w:rPr>
                <w:rFonts w:cs="Arial"/>
                <w:b/>
                <w:szCs w:val="14"/>
                <w:lang w:eastAsia="en-US"/>
              </w:rPr>
            </w:pPr>
            <w:r>
              <w:rPr>
                <w:rFonts w:cs="Arial"/>
                <w:b/>
                <w:szCs w:val="14"/>
                <w:lang w:eastAsia="en-US"/>
              </w:rPr>
              <w:t xml:space="preserve">Dec </w:t>
            </w:r>
            <w:r w:rsidRPr="004C6ED9">
              <w:rPr>
                <w:rFonts w:cs="Arial"/>
                <w:b/>
                <w:szCs w:val="14"/>
                <w:lang w:eastAsia="en-US"/>
              </w:rPr>
              <w:t>31</w:t>
            </w:r>
            <w:r>
              <w:rPr>
                <w:rFonts w:cs="Arial"/>
                <w:b/>
                <w:szCs w:val="14"/>
                <w:lang w:eastAsia="en-US"/>
              </w:rPr>
              <w:t xml:space="preserve">, </w:t>
            </w:r>
            <w:r w:rsidRPr="004C6ED9">
              <w:rPr>
                <w:rFonts w:cs="Arial"/>
                <w:b/>
                <w:szCs w:val="14"/>
                <w:lang w:eastAsia="en-US"/>
              </w:rPr>
              <w:t>20</w:t>
            </w:r>
            <w:r>
              <w:rPr>
                <w:rFonts w:cs="Arial"/>
                <w:b/>
                <w:szCs w:val="14"/>
                <w:lang w:eastAsia="en-US"/>
              </w:rPr>
              <w:t>22</w:t>
            </w:r>
          </w:p>
        </w:tc>
      </w:tr>
      <w:tr w:rsidR="008B7E19" w:rsidRPr="004C6ED9" w14:paraId="6FCA4DBC" w14:textId="77777777" w:rsidTr="005B5353">
        <w:trPr>
          <w:trHeight w:val="238"/>
          <w:jc w:val="center"/>
        </w:trPr>
        <w:tc>
          <w:tcPr>
            <w:tcW w:w="3094" w:type="dxa"/>
            <w:gridSpan w:val="2"/>
            <w:tcBorders>
              <w:bottom w:val="nil"/>
            </w:tcBorders>
            <w:shd w:val="clear" w:color="auto" w:fill="auto"/>
            <w:vAlign w:val="center"/>
          </w:tcPr>
          <w:p w14:paraId="068E097A" w14:textId="77777777" w:rsidR="008B7E19" w:rsidRPr="00E048D7" w:rsidRDefault="008B7E19" w:rsidP="008B7E19">
            <w:pPr>
              <w:pStyle w:val="08-Tabelageral"/>
              <w:jc w:val="left"/>
              <w:rPr>
                <w:rFonts w:cs="Arial"/>
                <w:szCs w:val="14"/>
              </w:rPr>
            </w:pPr>
            <w:r w:rsidRPr="00E048D7">
              <w:rPr>
                <w:rFonts w:cs="Arial"/>
                <w:szCs w:val="14"/>
              </w:rPr>
              <w:t xml:space="preserve">Tax lawsuits </w:t>
            </w:r>
            <w:r w:rsidRPr="00E048D7">
              <w:rPr>
                <w:rFonts w:cs="Arial"/>
                <w:szCs w:val="14"/>
                <w:vertAlign w:val="superscript"/>
              </w:rPr>
              <w:t>(1)</w:t>
            </w:r>
          </w:p>
        </w:tc>
        <w:tc>
          <w:tcPr>
            <w:tcW w:w="604" w:type="dxa"/>
            <w:tcBorders>
              <w:bottom w:val="nil"/>
            </w:tcBorders>
            <w:shd w:val="clear" w:color="auto" w:fill="auto"/>
            <w:vAlign w:val="center"/>
          </w:tcPr>
          <w:p w14:paraId="120E4DB0" w14:textId="77777777" w:rsidR="008B7E19" w:rsidRPr="004C6ED9" w:rsidRDefault="008B7E19" w:rsidP="008B7E19">
            <w:pPr>
              <w:pStyle w:val="08-Tabelageral"/>
              <w:rPr>
                <w:rFonts w:cs="Arial"/>
                <w:szCs w:val="14"/>
                <w:lang w:eastAsia="en-US"/>
              </w:rPr>
            </w:pPr>
          </w:p>
        </w:tc>
        <w:tc>
          <w:tcPr>
            <w:tcW w:w="1411" w:type="dxa"/>
            <w:tcBorders>
              <w:bottom w:val="nil"/>
            </w:tcBorders>
            <w:shd w:val="clear" w:color="auto" w:fill="auto"/>
            <w:vAlign w:val="center"/>
          </w:tcPr>
          <w:p w14:paraId="49C70D89" w14:textId="77777777" w:rsidR="008B7E19" w:rsidRPr="004C6ED9" w:rsidRDefault="008B7E19" w:rsidP="008B7E19">
            <w:pPr>
              <w:pStyle w:val="08-Tabelageral"/>
              <w:rPr>
                <w:rFonts w:cs="Arial"/>
                <w:szCs w:val="14"/>
              </w:rPr>
            </w:pPr>
            <w:r>
              <w:rPr>
                <w:rFonts w:cs="Arial"/>
                <w:szCs w:val="14"/>
                <w:lang w:eastAsia="en-US"/>
              </w:rPr>
              <w:t>--</w:t>
            </w:r>
          </w:p>
        </w:tc>
        <w:tc>
          <w:tcPr>
            <w:tcW w:w="1412" w:type="dxa"/>
            <w:tcBorders>
              <w:bottom w:val="nil"/>
            </w:tcBorders>
            <w:shd w:val="clear" w:color="auto" w:fill="auto"/>
            <w:vAlign w:val="center"/>
          </w:tcPr>
          <w:p w14:paraId="745F2E3D" w14:textId="77777777" w:rsidR="008B7E19" w:rsidRPr="004C6ED9" w:rsidRDefault="008B7E19" w:rsidP="008B7E19">
            <w:pPr>
              <w:pStyle w:val="08-Tabelageral"/>
              <w:rPr>
                <w:rFonts w:cs="Arial"/>
                <w:szCs w:val="14"/>
              </w:rPr>
            </w:pPr>
            <w:r>
              <w:rPr>
                <w:rFonts w:cs="Arial"/>
                <w:szCs w:val="14"/>
                <w:lang w:eastAsia="en-US"/>
              </w:rPr>
              <w:t>--</w:t>
            </w:r>
          </w:p>
        </w:tc>
        <w:tc>
          <w:tcPr>
            <w:tcW w:w="283" w:type="dxa"/>
            <w:tcBorders>
              <w:bottom w:val="nil"/>
            </w:tcBorders>
            <w:shd w:val="clear" w:color="auto" w:fill="auto"/>
            <w:vAlign w:val="center"/>
          </w:tcPr>
          <w:p w14:paraId="027DC277" w14:textId="77777777" w:rsidR="008B7E19" w:rsidRPr="004C6ED9" w:rsidRDefault="008B7E19" w:rsidP="008B7E19">
            <w:pPr>
              <w:pStyle w:val="08-Tabelageral"/>
              <w:rPr>
                <w:rFonts w:cs="Arial"/>
                <w:szCs w:val="14"/>
              </w:rPr>
            </w:pPr>
          </w:p>
        </w:tc>
        <w:tc>
          <w:tcPr>
            <w:tcW w:w="1417" w:type="dxa"/>
            <w:tcBorders>
              <w:top w:val="single" w:sz="2" w:space="0" w:color="1F4E79" w:themeColor="accent1" w:themeShade="80"/>
              <w:left w:val="nil"/>
              <w:bottom w:val="nil"/>
              <w:right w:val="nil"/>
            </w:tcBorders>
          </w:tcPr>
          <w:p w14:paraId="2D99FCB7" w14:textId="77777777" w:rsidR="008B7E19" w:rsidRPr="004C6ED9" w:rsidRDefault="008B7E19" w:rsidP="008B7E19">
            <w:pPr>
              <w:pStyle w:val="08-Tabelageral"/>
              <w:rPr>
                <w:rFonts w:cs="Arial"/>
                <w:szCs w:val="14"/>
              </w:rPr>
            </w:pPr>
            <w:r>
              <w:t>225,</w:t>
            </w:r>
            <w:r w:rsidRPr="00AE347B">
              <w:t>709</w:t>
            </w:r>
          </w:p>
        </w:tc>
        <w:tc>
          <w:tcPr>
            <w:tcW w:w="1418" w:type="dxa"/>
            <w:tcBorders>
              <w:bottom w:val="nil"/>
            </w:tcBorders>
            <w:shd w:val="clear" w:color="auto" w:fill="auto"/>
            <w:vAlign w:val="bottom"/>
          </w:tcPr>
          <w:p w14:paraId="0780B5C7" w14:textId="77777777" w:rsidR="008B7E19" w:rsidRPr="004C6ED9" w:rsidRDefault="008B7E19" w:rsidP="008B7E19">
            <w:pPr>
              <w:pStyle w:val="08-Tabelageral"/>
              <w:rPr>
                <w:rFonts w:cs="Arial"/>
                <w:szCs w:val="14"/>
              </w:rPr>
            </w:pPr>
            <w:r>
              <w:rPr>
                <w:rFonts w:cs="Arial"/>
                <w:szCs w:val="14"/>
                <w:lang w:eastAsia="en-US"/>
              </w:rPr>
              <w:t>218,871</w:t>
            </w:r>
          </w:p>
        </w:tc>
      </w:tr>
      <w:tr w:rsidR="008B7E19" w:rsidRPr="004C6ED9" w14:paraId="3248B9D3" w14:textId="77777777" w:rsidTr="005B5353">
        <w:trPr>
          <w:trHeight w:val="238"/>
          <w:jc w:val="center"/>
        </w:trPr>
        <w:tc>
          <w:tcPr>
            <w:tcW w:w="3094" w:type="dxa"/>
            <w:gridSpan w:val="2"/>
            <w:tcBorders>
              <w:top w:val="nil"/>
              <w:bottom w:val="nil"/>
            </w:tcBorders>
            <w:shd w:val="clear" w:color="auto" w:fill="auto"/>
            <w:vAlign w:val="center"/>
          </w:tcPr>
          <w:p w14:paraId="3F151936" w14:textId="77777777" w:rsidR="008B7E19" w:rsidRPr="00E048D7" w:rsidRDefault="008B7E19" w:rsidP="008B7E19">
            <w:pPr>
              <w:pStyle w:val="08-Tabelageral"/>
              <w:jc w:val="left"/>
              <w:rPr>
                <w:rFonts w:cs="Arial"/>
                <w:szCs w:val="14"/>
              </w:rPr>
            </w:pPr>
            <w:r>
              <w:rPr>
                <w:rFonts w:cs="Arial"/>
                <w:szCs w:val="14"/>
              </w:rPr>
              <w:t>Civil lawsuits</w:t>
            </w:r>
          </w:p>
        </w:tc>
        <w:tc>
          <w:tcPr>
            <w:tcW w:w="604" w:type="dxa"/>
            <w:tcBorders>
              <w:top w:val="nil"/>
              <w:bottom w:val="nil"/>
            </w:tcBorders>
            <w:shd w:val="clear" w:color="auto" w:fill="auto"/>
            <w:vAlign w:val="center"/>
          </w:tcPr>
          <w:p w14:paraId="27750675" w14:textId="77777777" w:rsidR="008B7E19" w:rsidRPr="004C6ED9" w:rsidRDefault="008B7E19" w:rsidP="008B7E19">
            <w:pPr>
              <w:pStyle w:val="08-Tabelageral"/>
              <w:rPr>
                <w:rFonts w:cs="Arial"/>
                <w:szCs w:val="14"/>
                <w:lang w:eastAsia="en-US"/>
              </w:rPr>
            </w:pPr>
          </w:p>
        </w:tc>
        <w:tc>
          <w:tcPr>
            <w:tcW w:w="1411" w:type="dxa"/>
            <w:tcBorders>
              <w:top w:val="nil"/>
              <w:bottom w:val="nil"/>
            </w:tcBorders>
            <w:shd w:val="clear" w:color="auto" w:fill="auto"/>
            <w:vAlign w:val="center"/>
          </w:tcPr>
          <w:p w14:paraId="4F85882D" w14:textId="77777777" w:rsidR="008B7E19" w:rsidRPr="004C6ED9" w:rsidRDefault="008B7E19" w:rsidP="008B7E19">
            <w:pPr>
              <w:pStyle w:val="08-Tabelageral"/>
              <w:rPr>
                <w:rFonts w:cs="Arial"/>
                <w:szCs w:val="14"/>
              </w:rPr>
            </w:pPr>
            <w:r>
              <w:rPr>
                <w:rFonts w:cs="Arial"/>
                <w:szCs w:val="14"/>
                <w:lang w:eastAsia="en-US"/>
              </w:rPr>
              <w:t>--</w:t>
            </w:r>
          </w:p>
        </w:tc>
        <w:tc>
          <w:tcPr>
            <w:tcW w:w="1412" w:type="dxa"/>
            <w:tcBorders>
              <w:top w:val="nil"/>
              <w:bottom w:val="nil"/>
            </w:tcBorders>
            <w:shd w:val="clear" w:color="auto" w:fill="auto"/>
            <w:vAlign w:val="center"/>
          </w:tcPr>
          <w:p w14:paraId="50C5FFBD" w14:textId="77777777" w:rsidR="008B7E19" w:rsidRPr="004C6ED9" w:rsidRDefault="008B7E19" w:rsidP="008B7E19">
            <w:pPr>
              <w:pStyle w:val="08-Tabelageral"/>
              <w:rPr>
                <w:rFonts w:cs="Arial"/>
                <w:szCs w:val="14"/>
              </w:rPr>
            </w:pPr>
            <w:r>
              <w:rPr>
                <w:rFonts w:cs="Arial"/>
                <w:szCs w:val="14"/>
                <w:lang w:eastAsia="en-US"/>
              </w:rPr>
              <w:t>--</w:t>
            </w:r>
          </w:p>
        </w:tc>
        <w:tc>
          <w:tcPr>
            <w:tcW w:w="283" w:type="dxa"/>
            <w:tcBorders>
              <w:top w:val="nil"/>
              <w:bottom w:val="nil"/>
            </w:tcBorders>
            <w:shd w:val="clear" w:color="auto" w:fill="auto"/>
            <w:vAlign w:val="center"/>
          </w:tcPr>
          <w:p w14:paraId="56F0C3E2" w14:textId="77777777" w:rsidR="008B7E19" w:rsidRPr="004C6ED9" w:rsidRDefault="008B7E19" w:rsidP="008B7E19">
            <w:pPr>
              <w:pStyle w:val="08-Tabelageral"/>
              <w:rPr>
                <w:rFonts w:cs="Arial"/>
                <w:szCs w:val="14"/>
              </w:rPr>
            </w:pPr>
          </w:p>
        </w:tc>
        <w:tc>
          <w:tcPr>
            <w:tcW w:w="1417" w:type="dxa"/>
            <w:tcBorders>
              <w:top w:val="nil"/>
              <w:left w:val="nil"/>
              <w:bottom w:val="nil"/>
              <w:right w:val="nil"/>
            </w:tcBorders>
          </w:tcPr>
          <w:p w14:paraId="6D97A737" w14:textId="77777777" w:rsidR="008B7E19" w:rsidRPr="004C6ED9" w:rsidRDefault="008B7E19" w:rsidP="008B7E19">
            <w:pPr>
              <w:pStyle w:val="08-Tabelageral"/>
              <w:rPr>
                <w:rFonts w:cs="Arial"/>
                <w:szCs w:val="14"/>
              </w:rPr>
            </w:pPr>
            <w:r>
              <w:t>2,</w:t>
            </w:r>
            <w:r w:rsidRPr="00AE347B">
              <w:t>343</w:t>
            </w:r>
          </w:p>
        </w:tc>
        <w:tc>
          <w:tcPr>
            <w:tcW w:w="1418" w:type="dxa"/>
            <w:tcBorders>
              <w:top w:val="nil"/>
              <w:bottom w:val="nil"/>
            </w:tcBorders>
            <w:shd w:val="clear" w:color="auto" w:fill="auto"/>
            <w:vAlign w:val="bottom"/>
          </w:tcPr>
          <w:p w14:paraId="6DF6DB52" w14:textId="77777777" w:rsidR="008B7E19" w:rsidRPr="004C6ED9" w:rsidRDefault="008B7E19" w:rsidP="008B7E19">
            <w:pPr>
              <w:pStyle w:val="08-Tabelageral"/>
              <w:rPr>
                <w:rFonts w:cs="Arial"/>
                <w:szCs w:val="14"/>
              </w:rPr>
            </w:pPr>
            <w:r>
              <w:rPr>
                <w:rFonts w:cs="Arial"/>
                <w:szCs w:val="14"/>
                <w:lang w:eastAsia="en-US"/>
              </w:rPr>
              <w:t>2,907</w:t>
            </w:r>
          </w:p>
        </w:tc>
      </w:tr>
      <w:tr w:rsidR="008B7E19" w:rsidRPr="00552C1B" w14:paraId="6B59CD31" w14:textId="77777777" w:rsidTr="005B5353">
        <w:trPr>
          <w:trHeight w:val="238"/>
          <w:jc w:val="center"/>
        </w:trPr>
        <w:tc>
          <w:tcPr>
            <w:tcW w:w="3094" w:type="dxa"/>
            <w:gridSpan w:val="2"/>
            <w:tcBorders>
              <w:top w:val="nil"/>
              <w:bottom w:val="nil"/>
            </w:tcBorders>
            <w:shd w:val="clear" w:color="auto" w:fill="auto"/>
            <w:vAlign w:val="center"/>
          </w:tcPr>
          <w:p w14:paraId="2B0D8FD2" w14:textId="77777777" w:rsidR="008B7E19" w:rsidRPr="00E048D7" w:rsidRDefault="008B7E19" w:rsidP="008B7E19">
            <w:pPr>
              <w:pStyle w:val="08-Tabelageral"/>
              <w:jc w:val="left"/>
              <w:rPr>
                <w:rFonts w:cs="Arial"/>
                <w:szCs w:val="14"/>
              </w:rPr>
            </w:pPr>
            <w:r>
              <w:rPr>
                <w:rFonts w:cs="Arial"/>
                <w:szCs w:val="14"/>
              </w:rPr>
              <w:t>Labor lawsuits</w:t>
            </w:r>
          </w:p>
        </w:tc>
        <w:tc>
          <w:tcPr>
            <w:tcW w:w="604" w:type="dxa"/>
            <w:tcBorders>
              <w:top w:val="nil"/>
              <w:bottom w:val="nil"/>
            </w:tcBorders>
            <w:shd w:val="clear" w:color="auto" w:fill="auto"/>
            <w:vAlign w:val="center"/>
          </w:tcPr>
          <w:p w14:paraId="42533FA9" w14:textId="77777777" w:rsidR="008B7E19" w:rsidRPr="00552C1B" w:rsidRDefault="008B7E19" w:rsidP="008B7E19">
            <w:pPr>
              <w:pStyle w:val="08-Tabelageral"/>
              <w:rPr>
                <w:rFonts w:cs="Arial"/>
                <w:szCs w:val="14"/>
                <w:lang w:eastAsia="en-US"/>
              </w:rPr>
            </w:pPr>
          </w:p>
        </w:tc>
        <w:tc>
          <w:tcPr>
            <w:tcW w:w="1411" w:type="dxa"/>
            <w:tcBorders>
              <w:top w:val="nil"/>
              <w:bottom w:val="nil"/>
            </w:tcBorders>
            <w:shd w:val="clear" w:color="auto" w:fill="auto"/>
            <w:vAlign w:val="center"/>
          </w:tcPr>
          <w:p w14:paraId="0EBDFE1B" w14:textId="77777777" w:rsidR="008B7E19" w:rsidRPr="00552C1B" w:rsidRDefault="008B7E19" w:rsidP="008B7E19">
            <w:pPr>
              <w:pStyle w:val="08-Tabelageral"/>
              <w:rPr>
                <w:rFonts w:cs="Arial"/>
                <w:szCs w:val="14"/>
              </w:rPr>
            </w:pPr>
            <w:r>
              <w:rPr>
                <w:rFonts w:cs="Arial"/>
                <w:szCs w:val="14"/>
                <w:lang w:eastAsia="en-US"/>
              </w:rPr>
              <w:t>12</w:t>
            </w:r>
          </w:p>
        </w:tc>
        <w:tc>
          <w:tcPr>
            <w:tcW w:w="1412" w:type="dxa"/>
            <w:tcBorders>
              <w:top w:val="nil"/>
              <w:bottom w:val="nil"/>
            </w:tcBorders>
            <w:shd w:val="clear" w:color="auto" w:fill="auto"/>
            <w:vAlign w:val="center"/>
          </w:tcPr>
          <w:p w14:paraId="29C9FEC4" w14:textId="77777777" w:rsidR="008B7E19" w:rsidRPr="00552C1B" w:rsidRDefault="008B7E19" w:rsidP="008B7E19">
            <w:pPr>
              <w:pStyle w:val="08-Tabelageral"/>
              <w:rPr>
                <w:rFonts w:cs="Arial"/>
                <w:szCs w:val="14"/>
              </w:rPr>
            </w:pPr>
            <w:r>
              <w:rPr>
                <w:rFonts w:cs="Arial"/>
                <w:szCs w:val="14"/>
                <w:lang w:eastAsia="en-US"/>
              </w:rPr>
              <w:t>11</w:t>
            </w:r>
          </w:p>
        </w:tc>
        <w:tc>
          <w:tcPr>
            <w:tcW w:w="283" w:type="dxa"/>
            <w:tcBorders>
              <w:top w:val="nil"/>
              <w:bottom w:val="nil"/>
            </w:tcBorders>
            <w:shd w:val="clear" w:color="auto" w:fill="auto"/>
            <w:vAlign w:val="center"/>
          </w:tcPr>
          <w:p w14:paraId="453F7E71" w14:textId="77777777" w:rsidR="008B7E19" w:rsidRPr="00552C1B" w:rsidRDefault="008B7E19" w:rsidP="008B7E19">
            <w:pPr>
              <w:pStyle w:val="08-Tabelageral"/>
              <w:rPr>
                <w:rFonts w:cs="Arial"/>
                <w:szCs w:val="14"/>
              </w:rPr>
            </w:pPr>
          </w:p>
        </w:tc>
        <w:tc>
          <w:tcPr>
            <w:tcW w:w="1417" w:type="dxa"/>
            <w:tcBorders>
              <w:top w:val="nil"/>
              <w:left w:val="nil"/>
              <w:bottom w:val="nil"/>
              <w:right w:val="nil"/>
            </w:tcBorders>
          </w:tcPr>
          <w:p w14:paraId="2FE29BB4" w14:textId="77777777" w:rsidR="008B7E19" w:rsidRPr="00552C1B" w:rsidRDefault="008B7E19" w:rsidP="008B7E19">
            <w:pPr>
              <w:pStyle w:val="08-Tabelageral"/>
              <w:rPr>
                <w:rFonts w:cs="Arial"/>
                <w:szCs w:val="14"/>
              </w:rPr>
            </w:pPr>
            <w:r w:rsidRPr="00AE347B">
              <w:t>59</w:t>
            </w:r>
          </w:p>
        </w:tc>
        <w:tc>
          <w:tcPr>
            <w:tcW w:w="1418" w:type="dxa"/>
            <w:tcBorders>
              <w:top w:val="nil"/>
              <w:bottom w:val="nil"/>
            </w:tcBorders>
            <w:shd w:val="clear" w:color="auto" w:fill="auto"/>
            <w:vAlign w:val="bottom"/>
          </w:tcPr>
          <w:p w14:paraId="237C1C63" w14:textId="77777777" w:rsidR="008B7E19" w:rsidRPr="00552C1B" w:rsidRDefault="008B7E19" w:rsidP="008B7E19">
            <w:pPr>
              <w:pStyle w:val="08-Tabelageral"/>
              <w:rPr>
                <w:rFonts w:cs="Arial"/>
                <w:szCs w:val="14"/>
                <w:lang w:eastAsia="en-US"/>
              </w:rPr>
            </w:pPr>
            <w:r>
              <w:rPr>
                <w:rFonts w:cs="Arial"/>
                <w:szCs w:val="14"/>
                <w:lang w:eastAsia="en-US"/>
              </w:rPr>
              <w:t>56</w:t>
            </w:r>
          </w:p>
        </w:tc>
      </w:tr>
      <w:tr w:rsidR="008B7E19" w:rsidRPr="00DD19B0" w14:paraId="4C8D5AED" w14:textId="77777777" w:rsidTr="005B5353">
        <w:trPr>
          <w:trHeight w:val="238"/>
          <w:jc w:val="center"/>
        </w:trPr>
        <w:tc>
          <w:tcPr>
            <w:tcW w:w="3094" w:type="dxa"/>
            <w:gridSpan w:val="2"/>
            <w:tcBorders>
              <w:top w:val="nil"/>
            </w:tcBorders>
            <w:shd w:val="clear" w:color="auto" w:fill="auto"/>
            <w:vAlign w:val="center"/>
          </w:tcPr>
          <w:p w14:paraId="6F21B8B9" w14:textId="77777777" w:rsidR="008B7E19" w:rsidRPr="00DD19B0" w:rsidRDefault="008B7E19" w:rsidP="008B7E19">
            <w:pPr>
              <w:keepNext/>
              <w:keepLines/>
              <w:spacing w:before="40" w:after="40" w:line="240" w:lineRule="auto"/>
              <w:rPr>
                <w:rFonts w:cs="Arial"/>
                <w:b/>
                <w:bCs/>
                <w:spacing w:val="-2"/>
                <w:sz w:val="14"/>
                <w:szCs w:val="14"/>
              </w:rPr>
            </w:pPr>
            <w:r w:rsidRPr="00DD19B0">
              <w:rPr>
                <w:rFonts w:cs="Arial"/>
                <w:b/>
                <w:spacing w:val="-2"/>
                <w:sz w:val="14"/>
                <w:szCs w:val="14"/>
              </w:rPr>
              <w:t>Total</w:t>
            </w:r>
          </w:p>
        </w:tc>
        <w:tc>
          <w:tcPr>
            <w:tcW w:w="604" w:type="dxa"/>
            <w:tcBorders>
              <w:top w:val="nil"/>
            </w:tcBorders>
            <w:shd w:val="clear" w:color="auto" w:fill="auto"/>
            <w:vAlign w:val="center"/>
          </w:tcPr>
          <w:p w14:paraId="7BB88F02" w14:textId="77777777" w:rsidR="008B7E19" w:rsidRPr="00DD19B0" w:rsidRDefault="008B7E19" w:rsidP="008B7E19">
            <w:pPr>
              <w:pStyle w:val="08-Tabelageral"/>
              <w:rPr>
                <w:rFonts w:cs="Arial"/>
                <w:b/>
                <w:szCs w:val="14"/>
                <w:lang w:eastAsia="en-US"/>
              </w:rPr>
            </w:pPr>
          </w:p>
        </w:tc>
        <w:tc>
          <w:tcPr>
            <w:tcW w:w="1411" w:type="dxa"/>
            <w:tcBorders>
              <w:top w:val="nil"/>
            </w:tcBorders>
            <w:shd w:val="clear" w:color="auto" w:fill="auto"/>
            <w:vAlign w:val="center"/>
          </w:tcPr>
          <w:p w14:paraId="72533F07" w14:textId="77777777" w:rsidR="008B7E19" w:rsidRPr="00DD19B0" w:rsidRDefault="008B7E19" w:rsidP="008B7E19">
            <w:pPr>
              <w:pStyle w:val="08-Tabelageral"/>
              <w:rPr>
                <w:rFonts w:cs="Arial"/>
                <w:b/>
                <w:szCs w:val="14"/>
              </w:rPr>
            </w:pPr>
            <w:r w:rsidRPr="00DD19B0">
              <w:rPr>
                <w:rFonts w:cs="Arial"/>
                <w:b/>
                <w:szCs w:val="14"/>
                <w:lang w:eastAsia="en-US"/>
              </w:rPr>
              <w:t>12</w:t>
            </w:r>
          </w:p>
        </w:tc>
        <w:tc>
          <w:tcPr>
            <w:tcW w:w="1412" w:type="dxa"/>
            <w:tcBorders>
              <w:top w:val="nil"/>
            </w:tcBorders>
            <w:shd w:val="clear" w:color="auto" w:fill="auto"/>
            <w:vAlign w:val="center"/>
          </w:tcPr>
          <w:p w14:paraId="7EA5E0C2" w14:textId="77777777" w:rsidR="008B7E19" w:rsidRPr="00DD19B0" w:rsidRDefault="008B7E19" w:rsidP="008B7E19">
            <w:pPr>
              <w:pStyle w:val="08-Tabelageral"/>
              <w:rPr>
                <w:rFonts w:cs="Arial"/>
                <w:b/>
                <w:szCs w:val="14"/>
              </w:rPr>
            </w:pPr>
            <w:r w:rsidRPr="00DD19B0">
              <w:rPr>
                <w:rFonts w:cs="Arial"/>
                <w:b/>
                <w:szCs w:val="14"/>
                <w:lang w:eastAsia="en-US"/>
              </w:rPr>
              <w:t>11</w:t>
            </w:r>
          </w:p>
        </w:tc>
        <w:tc>
          <w:tcPr>
            <w:tcW w:w="283" w:type="dxa"/>
            <w:tcBorders>
              <w:top w:val="nil"/>
            </w:tcBorders>
            <w:shd w:val="clear" w:color="auto" w:fill="auto"/>
            <w:vAlign w:val="center"/>
          </w:tcPr>
          <w:p w14:paraId="3CAC5E00" w14:textId="77777777" w:rsidR="008B7E19" w:rsidRPr="00DD19B0" w:rsidRDefault="008B7E19" w:rsidP="008B7E19">
            <w:pPr>
              <w:pStyle w:val="08-Tabelageral"/>
              <w:rPr>
                <w:rFonts w:cs="Arial"/>
                <w:b/>
                <w:szCs w:val="14"/>
              </w:rPr>
            </w:pPr>
          </w:p>
        </w:tc>
        <w:tc>
          <w:tcPr>
            <w:tcW w:w="1417" w:type="dxa"/>
            <w:tcBorders>
              <w:top w:val="nil"/>
              <w:left w:val="nil"/>
              <w:bottom w:val="single" w:sz="2" w:space="0" w:color="1F4E79" w:themeColor="accent1" w:themeShade="80"/>
              <w:right w:val="nil"/>
            </w:tcBorders>
          </w:tcPr>
          <w:p w14:paraId="3B9EF2A7" w14:textId="77777777" w:rsidR="008B7E19" w:rsidRPr="00DD19B0" w:rsidRDefault="008B7E19" w:rsidP="008B7E19">
            <w:pPr>
              <w:pStyle w:val="08-Tabelageral"/>
              <w:rPr>
                <w:rFonts w:cs="Arial"/>
                <w:b/>
                <w:szCs w:val="14"/>
              </w:rPr>
            </w:pPr>
            <w:r>
              <w:rPr>
                <w:b/>
              </w:rPr>
              <w:t>228,</w:t>
            </w:r>
            <w:r w:rsidRPr="00DD19B0">
              <w:rPr>
                <w:b/>
              </w:rPr>
              <w:t>111</w:t>
            </w:r>
          </w:p>
        </w:tc>
        <w:tc>
          <w:tcPr>
            <w:tcW w:w="1418" w:type="dxa"/>
            <w:tcBorders>
              <w:top w:val="nil"/>
            </w:tcBorders>
            <w:shd w:val="clear" w:color="auto" w:fill="auto"/>
            <w:vAlign w:val="center"/>
          </w:tcPr>
          <w:p w14:paraId="5BCFC38A" w14:textId="77777777" w:rsidR="008B7E19" w:rsidRPr="00DD19B0" w:rsidRDefault="008B7E19" w:rsidP="008B7E19">
            <w:pPr>
              <w:pStyle w:val="08-Tabelageral"/>
              <w:rPr>
                <w:rFonts w:cs="Arial"/>
                <w:b/>
                <w:szCs w:val="14"/>
              </w:rPr>
            </w:pPr>
            <w:r w:rsidRPr="00DD19B0">
              <w:rPr>
                <w:rFonts w:cs="Arial"/>
                <w:b/>
                <w:szCs w:val="14"/>
                <w:lang w:eastAsia="en-US"/>
              </w:rPr>
              <w:t>221,834</w:t>
            </w:r>
          </w:p>
        </w:tc>
      </w:tr>
    </w:tbl>
    <w:p w14:paraId="65E60F1C" w14:textId="77777777" w:rsidR="008B7E19" w:rsidRDefault="008B7E19" w:rsidP="008B7E19">
      <w:pPr>
        <w:pStyle w:val="07-Legenda"/>
        <w:spacing w:line="276" w:lineRule="auto"/>
        <w:rPr>
          <w:rStyle w:val="tlid-translation"/>
          <w:lang w:val="en"/>
        </w:rPr>
      </w:pPr>
      <w:r w:rsidRPr="00134726">
        <w:rPr>
          <w:rFonts w:cs="Arial"/>
          <w:lang w:val="en-US"/>
        </w:rPr>
        <w:t>(1)</w:t>
      </w:r>
      <w:r w:rsidRPr="00134726">
        <w:rPr>
          <w:rFonts w:cs="Arial"/>
          <w:lang w:val="en-US"/>
        </w:rPr>
        <w:tab/>
      </w:r>
      <w:r>
        <w:rPr>
          <w:rStyle w:val="tlid-translation"/>
          <w:lang w:val="en"/>
        </w:rPr>
        <w:t xml:space="preserve">Refers mainly to a tax lawsuit aimed at annulling an administrative decision that did not ratify declarations of offsetting negative IRPJ balances with various taxes. The updated amount of the aforementioned judicial deposit is R$ </w:t>
      </w:r>
      <w:r w:rsidRPr="003E5C99">
        <w:rPr>
          <w:rStyle w:val="tlid-translation"/>
          <w:lang w:val="en"/>
        </w:rPr>
        <w:t>1</w:t>
      </w:r>
      <w:r>
        <w:rPr>
          <w:rStyle w:val="tlid-translation"/>
          <w:lang w:val="en"/>
        </w:rPr>
        <w:t>70,606</w:t>
      </w:r>
      <w:r w:rsidRPr="003E5C99">
        <w:rPr>
          <w:rStyle w:val="tlid-translation"/>
          <w:lang w:val="en"/>
        </w:rPr>
        <w:t xml:space="preserve"> </w:t>
      </w:r>
      <w:r>
        <w:rPr>
          <w:rStyle w:val="tlid-translation"/>
          <w:lang w:val="en"/>
        </w:rPr>
        <w:t>thousand (R$ 165,385</w:t>
      </w:r>
      <w:r w:rsidRPr="003E5C99">
        <w:rPr>
          <w:rStyle w:val="tlid-translation"/>
          <w:lang w:val="en"/>
        </w:rPr>
        <w:t xml:space="preserve"> </w:t>
      </w:r>
      <w:r>
        <w:rPr>
          <w:rStyle w:val="tlid-translation"/>
          <w:lang w:val="en"/>
        </w:rPr>
        <w:t>thousand on Dec 31, 2022), referring to the investee BB Corretora.</w:t>
      </w:r>
      <w:bookmarkEnd w:id="55"/>
    </w:p>
    <w:p w14:paraId="45DE9D48" w14:textId="77777777" w:rsidR="008B7E19" w:rsidRPr="00134726" w:rsidRDefault="008B7E19" w:rsidP="008B7E19">
      <w:pPr>
        <w:pStyle w:val="07-Legenda"/>
        <w:spacing w:line="276" w:lineRule="auto"/>
        <w:rPr>
          <w:rFonts w:cs="Arial"/>
          <w:lang w:val="en-US"/>
        </w:rPr>
      </w:pPr>
    </w:p>
    <w:p w14:paraId="7F8E78D8" w14:textId="6FAD2FF1" w:rsidR="008B7E19" w:rsidRPr="005B5353" w:rsidRDefault="008B7E19" w:rsidP="005B5353">
      <w:pPr>
        <w:pStyle w:val="02-TtulodeNota"/>
        <w:rPr>
          <w:color w:val="1F4E79" w:themeColor="accent1" w:themeShade="80"/>
        </w:rPr>
      </w:pPr>
      <w:bookmarkStart w:id="58" w:name="_Toc141966701"/>
      <w:r w:rsidRPr="005B5353">
        <w:rPr>
          <w:color w:val="1F4E79" w:themeColor="accent1" w:themeShade="80"/>
        </w:rPr>
        <w:t>23 – UNEARDED COMMISSIONS</w:t>
      </w:r>
      <w:bookmarkEnd w:id="58"/>
    </w:p>
    <w:p w14:paraId="17BEE36B" w14:textId="77777777" w:rsidR="008B7E19" w:rsidRPr="00BF3B80" w:rsidRDefault="008B7E19" w:rsidP="008B7E19">
      <w:pPr>
        <w:pStyle w:val="01-TtulodeNota"/>
        <w:spacing w:before="0" w:after="0"/>
        <w:jc w:val="right"/>
        <w:rPr>
          <w:sz w:val="14"/>
          <w:szCs w:val="14"/>
        </w:rPr>
      </w:pPr>
      <w:r w:rsidRPr="00BF3B80">
        <w:rPr>
          <w:sz w:val="14"/>
          <w:szCs w:val="14"/>
        </w:rPr>
        <w:t>R$ thousand</w:t>
      </w:r>
    </w:p>
    <w:tbl>
      <w:tblPr>
        <w:tblW w:w="9658" w:type="dxa"/>
        <w:jc w:val="center"/>
        <w:tblBorders>
          <w:top w:val="single" w:sz="2" w:space="0" w:color="8EAADB" w:themeColor="accent5" w:themeTint="99"/>
          <w:bottom w:val="single" w:sz="2" w:space="0" w:color="8EAADB" w:themeColor="accent5" w:themeTint="99"/>
        </w:tblBorders>
        <w:tblLook w:val="04A0" w:firstRow="1" w:lastRow="0" w:firstColumn="1" w:lastColumn="0" w:noHBand="0" w:noVBand="1"/>
      </w:tblPr>
      <w:tblGrid>
        <w:gridCol w:w="4384"/>
        <w:gridCol w:w="856"/>
        <w:gridCol w:w="401"/>
        <w:gridCol w:w="2008"/>
        <w:gridCol w:w="2009"/>
      </w:tblGrid>
      <w:tr w:rsidR="008B7E19" w:rsidRPr="00FB1814" w14:paraId="6A52BCA1" w14:textId="77777777" w:rsidTr="005B5353">
        <w:trPr>
          <w:trHeight w:val="238"/>
          <w:jc w:val="center"/>
        </w:trPr>
        <w:tc>
          <w:tcPr>
            <w:tcW w:w="5641" w:type="dxa"/>
            <w:gridSpan w:val="3"/>
            <w:tcBorders>
              <w:top w:val="single" w:sz="2" w:space="0" w:color="1F4E79" w:themeColor="accent1" w:themeShade="80"/>
              <w:bottom w:val="nil"/>
            </w:tcBorders>
            <w:shd w:val="clear" w:color="auto" w:fill="auto"/>
            <w:vAlign w:val="center"/>
          </w:tcPr>
          <w:p w14:paraId="1127378C" w14:textId="77777777" w:rsidR="008B7E19" w:rsidRPr="00FB1814" w:rsidRDefault="008B7E19" w:rsidP="008B7E19">
            <w:pPr>
              <w:keepNext/>
              <w:keepLines/>
              <w:spacing w:before="40" w:after="40"/>
              <w:jc w:val="center"/>
              <w:rPr>
                <w:rFonts w:cs="Arial"/>
                <w:b/>
                <w:bCs/>
                <w:spacing w:val="-2"/>
                <w:sz w:val="14"/>
                <w:szCs w:val="18"/>
              </w:rPr>
            </w:pPr>
          </w:p>
        </w:tc>
        <w:tc>
          <w:tcPr>
            <w:tcW w:w="4017" w:type="dxa"/>
            <w:gridSpan w:val="2"/>
            <w:tcBorders>
              <w:top w:val="single" w:sz="2" w:space="0" w:color="1F4E79" w:themeColor="accent1" w:themeShade="80"/>
              <w:bottom w:val="single" w:sz="2" w:space="0" w:color="1F4E79" w:themeColor="accent1" w:themeShade="80"/>
            </w:tcBorders>
            <w:shd w:val="clear" w:color="auto" w:fill="auto"/>
            <w:vAlign w:val="center"/>
          </w:tcPr>
          <w:p w14:paraId="288AA7C3" w14:textId="77777777" w:rsidR="008B7E19" w:rsidRPr="00FB1814" w:rsidRDefault="008B7E19" w:rsidP="008B7E19">
            <w:pPr>
              <w:pStyle w:val="08-Tabelageral"/>
              <w:jc w:val="center"/>
              <w:rPr>
                <w:b/>
              </w:rPr>
            </w:pPr>
            <w:r w:rsidRPr="00FB1814">
              <w:rPr>
                <w:rFonts w:cs="Arial"/>
                <w:b/>
                <w:szCs w:val="14"/>
              </w:rPr>
              <w:t>Consolidated</w:t>
            </w:r>
          </w:p>
        </w:tc>
      </w:tr>
      <w:tr w:rsidR="008B7E19" w:rsidRPr="0049410B" w14:paraId="38267B97" w14:textId="77777777" w:rsidTr="005B5353">
        <w:trPr>
          <w:trHeight w:val="238"/>
          <w:jc w:val="center"/>
        </w:trPr>
        <w:tc>
          <w:tcPr>
            <w:tcW w:w="5641" w:type="dxa"/>
            <w:gridSpan w:val="3"/>
            <w:tcBorders>
              <w:top w:val="nil"/>
              <w:bottom w:val="single" w:sz="2" w:space="0" w:color="1F4E79" w:themeColor="accent1" w:themeShade="80"/>
            </w:tcBorders>
            <w:shd w:val="clear" w:color="auto" w:fill="auto"/>
          </w:tcPr>
          <w:p w14:paraId="031B4FB3" w14:textId="77777777" w:rsidR="008B7E19" w:rsidRPr="0049410B" w:rsidRDefault="008B7E19" w:rsidP="008B7E19">
            <w:pPr>
              <w:keepNext/>
              <w:keepLines/>
              <w:spacing w:before="40" w:after="40"/>
              <w:jc w:val="right"/>
              <w:rPr>
                <w:rFonts w:cs="Arial"/>
                <w:b/>
                <w:spacing w:val="-2"/>
                <w:sz w:val="14"/>
                <w:szCs w:val="18"/>
              </w:rPr>
            </w:pPr>
          </w:p>
        </w:tc>
        <w:tc>
          <w:tcPr>
            <w:tcW w:w="2008" w:type="dxa"/>
            <w:tcBorders>
              <w:top w:val="single" w:sz="2" w:space="0" w:color="1F4E79" w:themeColor="accent1" w:themeShade="80"/>
              <w:bottom w:val="single" w:sz="2" w:space="0" w:color="1F4E79" w:themeColor="accent1" w:themeShade="80"/>
            </w:tcBorders>
            <w:shd w:val="clear" w:color="auto" w:fill="auto"/>
          </w:tcPr>
          <w:p w14:paraId="49CD2605" w14:textId="77777777" w:rsidR="008B7E19" w:rsidRPr="004F4E1E" w:rsidRDefault="008B7E19" w:rsidP="008B7E19">
            <w:pPr>
              <w:pStyle w:val="08-Tabelageral"/>
              <w:rPr>
                <w:b/>
              </w:rPr>
            </w:pPr>
            <w:r>
              <w:rPr>
                <w:rFonts w:cs="Arial"/>
                <w:b/>
                <w:bCs/>
                <w:kern w:val="2"/>
                <w:szCs w:val="14"/>
                <w:lang w:val="en-US"/>
              </w:rPr>
              <w:t>June 30, 2023</w:t>
            </w:r>
          </w:p>
        </w:tc>
        <w:tc>
          <w:tcPr>
            <w:tcW w:w="2009" w:type="dxa"/>
            <w:tcBorders>
              <w:top w:val="single" w:sz="2" w:space="0" w:color="1F4E79" w:themeColor="accent1" w:themeShade="80"/>
              <w:bottom w:val="single" w:sz="2" w:space="0" w:color="1F4E79" w:themeColor="accent1" w:themeShade="80"/>
            </w:tcBorders>
            <w:shd w:val="clear" w:color="auto" w:fill="auto"/>
          </w:tcPr>
          <w:p w14:paraId="5E387D29" w14:textId="77777777" w:rsidR="008B7E19" w:rsidRPr="004F4E1E" w:rsidRDefault="008B7E19" w:rsidP="008B7E19">
            <w:pPr>
              <w:pStyle w:val="08-Tabelageral"/>
              <w:rPr>
                <w:b/>
              </w:rPr>
            </w:pPr>
            <w:r>
              <w:rPr>
                <w:rFonts w:cs="Arial"/>
                <w:b/>
                <w:bCs/>
                <w:kern w:val="2"/>
                <w:szCs w:val="14"/>
                <w:lang w:val="en-US"/>
              </w:rPr>
              <w:t>Dec 31, 2022</w:t>
            </w:r>
          </w:p>
        </w:tc>
      </w:tr>
      <w:tr w:rsidR="008B7E19" w:rsidRPr="00FB1814" w14:paraId="67493C6D" w14:textId="77777777" w:rsidTr="005B5353">
        <w:trPr>
          <w:trHeight w:val="238"/>
          <w:jc w:val="center"/>
        </w:trPr>
        <w:tc>
          <w:tcPr>
            <w:tcW w:w="4384" w:type="dxa"/>
            <w:tcBorders>
              <w:top w:val="single" w:sz="2" w:space="0" w:color="1F4E79" w:themeColor="accent1" w:themeShade="80"/>
              <w:bottom w:val="nil"/>
            </w:tcBorders>
            <w:shd w:val="clear" w:color="auto" w:fill="auto"/>
            <w:vAlign w:val="center"/>
          </w:tcPr>
          <w:p w14:paraId="376026B3" w14:textId="77777777" w:rsidR="008B7E19" w:rsidRPr="00FB1814" w:rsidRDefault="008B7E19" w:rsidP="008B7E19">
            <w:pPr>
              <w:pStyle w:val="08-Tabelageral"/>
              <w:jc w:val="left"/>
              <w:rPr>
                <w:rFonts w:cs="Arial"/>
                <w:b/>
                <w:lang w:val="en-US"/>
              </w:rPr>
            </w:pPr>
            <w:r w:rsidRPr="00FB1814">
              <w:rPr>
                <w:rFonts w:cs="Arial"/>
                <w:b/>
                <w:lang w:val="en-US"/>
              </w:rPr>
              <w:t>Current Liabilities</w:t>
            </w:r>
          </w:p>
        </w:tc>
        <w:tc>
          <w:tcPr>
            <w:tcW w:w="856" w:type="dxa"/>
            <w:tcBorders>
              <w:top w:val="single" w:sz="2" w:space="0" w:color="1F4E79" w:themeColor="accent1" w:themeShade="80"/>
              <w:bottom w:val="nil"/>
            </w:tcBorders>
            <w:shd w:val="clear" w:color="auto" w:fill="auto"/>
          </w:tcPr>
          <w:p w14:paraId="7EB96881" w14:textId="77777777" w:rsidR="008B7E19" w:rsidRPr="00FB1814" w:rsidRDefault="008B7E19" w:rsidP="008B7E19">
            <w:pPr>
              <w:pStyle w:val="08-Tabelageral"/>
              <w:rPr>
                <w:b/>
              </w:rPr>
            </w:pPr>
          </w:p>
        </w:tc>
        <w:tc>
          <w:tcPr>
            <w:tcW w:w="401" w:type="dxa"/>
            <w:tcBorders>
              <w:top w:val="single" w:sz="2" w:space="0" w:color="1F4E79" w:themeColor="accent1" w:themeShade="80"/>
              <w:bottom w:val="nil"/>
            </w:tcBorders>
            <w:shd w:val="clear" w:color="auto" w:fill="auto"/>
          </w:tcPr>
          <w:p w14:paraId="29EB2802" w14:textId="77777777" w:rsidR="008B7E19" w:rsidRPr="00FB1814" w:rsidRDefault="008B7E19" w:rsidP="008B7E19">
            <w:pPr>
              <w:pStyle w:val="08-Tabelageral"/>
              <w:rPr>
                <w:b/>
              </w:rPr>
            </w:pPr>
          </w:p>
        </w:tc>
        <w:tc>
          <w:tcPr>
            <w:tcW w:w="2008" w:type="dxa"/>
            <w:tcBorders>
              <w:top w:val="single" w:sz="2" w:space="0" w:color="1F4E79" w:themeColor="accent1" w:themeShade="80"/>
              <w:bottom w:val="nil"/>
            </w:tcBorders>
            <w:shd w:val="clear" w:color="auto" w:fill="auto"/>
          </w:tcPr>
          <w:p w14:paraId="3D6A940B" w14:textId="77777777" w:rsidR="008B7E19" w:rsidRPr="00FB1814" w:rsidRDefault="008B7E19" w:rsidP="008B7E19">
            <w:pPr>
              <w:pStyle w:val="08-Tabelageral"/>
              <w:rPr>
                <w:b/>
              </w:rPr>
            </w:pPr>
            <w:r>
              <w:rPr>
                <w:b/>
                <w:bCs/>
              </w:rPr>
              <w:t>1,744,756</w:t>
            </w:r>
          </w:p>
        </w:tc>
        <w:tc>
          <w:tcPr>
            <w:tcW w:w="2009" w:type="dxa"/>
            <w:tcBorders>
              <w:top w:val="single" w:sz="2" w:space="0" w:color="1F4E79" w:themeColor="accent1" w:themeShade="80"/>
              <w:bottom w:val="nil"/>
            </w:tcBorders>
            <w:shd w:val="clear" w:color="auto" w:fill="auto"/>
          </w:tcPr>
          <w:p w14:paraId="3CBE3021" w14:textId="77777777" w:rsidR="008B7E19" w:rsidRPr="00FB1814" w:rsidRDefault="008B7E19" w:rsidP="008B7E19">
            <w:pPr>
              <w:pStyle w:val="08-Tabelageral"/>
              <w:rPr>
                <w:b/>
              </w:rPr>
            </w:pPr>
            <w:r>
              <w:rPr>
                <w:b/>
                <w:bCs/>
              </w:rPr>
              <w:t>1,760,473</w:t>
            </w:r>
          </w:p>
        </w:tc>
      </w:tr>
      <w:tr w:rsidR="008B7E19" w:rsidRPr="0049410B" w14:paraId="23AC7164" w14:textId="77777777" w:rsidTr="005B5353">
        <w:trPr>
          <w:trHeight w:val="238"/>
          <w:jc w:val="center"/>
        </w:trPr>
        <w:tc>
          <w:tcPr>
            <w:tcW w:w="4384" w:type="dxa"/>
            <w:tcBorders>
              <w:top w:val="nil"/>
            </w:tcBorders>
            <w:shd w:val="clear" w:color="auto" w:fill="auto"/>
            <w:vAlign w:val="center"/>
          </w:tcPr>
          <w:p w14:paraId="7FA004A6" w14:textId="77777777" w:rsidR="008B7E19" w:rsidRPr="002547FE" w:rsidRDefault="008B7E19" w:rsidP="008B7E19">
            <w:pPr>
              <w:pStyle w:val="08-Tabelageral"/>
              <w:ind w:left="113"/>
              <w:jc w:val="left"/>
              <w:rPr>
                <w:rFonts w:cs="Arial"/>
                <w:b/>
                <w:highlight w:val="yellow"/>
                <w:lang w:val="en-US"/>
              </w:rPr>
            </w:pPr>
            <w:r>
              <w:rPr>
                <w:rFonts w:cs="Arial"/>
                <w:lang w:val="en-US"/>
              </w:rPr>
              <w:t>BB MAPFRE</w:t>
            </w:r>
          </w:p>
        </w:tc>
        <w:tc>
          <w:tcPr>
            <w:tcW w:w="856" w:type="dxa"/>
            <w:tcBorders>
              <w:top w:val="nil"/>
            </w:tcBorders>
            <w:shd w:val="clear" w:color="auto" w:fill="auto"/>
          </w:tcPr>
          <w:p w14:paraId="38DF5974" w14:textId="77777777" w:rsidR="008B7E19" w:rsidRPr="0049410B" w:rsidRDefault="008B7E19" w:rsidP="008B7E19">
            <w:pPr>
              <w:pStyle w:val="08-Tabelageral"/>
            </w:pPr>
          </w:p>
        </w:tc>
        <w:tc>
          <w:tcPr>
            <w:tcW w:w="401" w:type="dxa"/>
            <w:tcBorders>
              <w:top w:val="nil"/>
            </w:tcBorders>
            <w:shd w:val="clear" w:color="auto" w:fill="auto"/>
          </w:tcPr>
          <w:p w14:paraId="6B77886F" w14:textId="77777777" w:rsidR="008B7E19" w:rsidRPr="0049410B" w:rsidRDefault="008B7E19" w:rsidP="008B7E19">
            <w:pPr>
              <w:pStyle w:val="08-Tabelageral"/>
            </w:pPr>
          </w:p>
        </w:tc>
        <w:tc>
          <w:tcPr>
            <w:tcW w:w="2008" w:type="dxa"/>
            <w:tcBorders>
              <w:top w:val="nil"/>
            </w:tcBorders>
            <w:shd w:val="clear" w:color="auto" w:fill="auto"/>
          </w:tcPr>
          <w:p w14:paraId="63BA0D99" w14:textId="77777777" w:rsidR="008B7E19" w:rsidRPr="00FE0AFD" w:rsidRDefault="008B7E19" w:rsidP="008B7E19">
            <w:pPr>
              <w:pStyle w:val="08-Tabelageral"/>
            </w:pPr>
            <w:r>
              <w:t>1,637,618</w:t>
            </w:r>
          </w:p>
        </w:tc>
        <w:tc>
          <w:tcPr>
            <w:tcW w:w="2009" w:type="dxa"/>
            <w:tcBorders>
              <w:top w:val="nil"/>
            </w:tcBorders>
            <w:shd w:val="clear" w:color="auto" w:fill="auto"/>
          </w:tcPr>
          <w:p w14:paraId="73A88969" w14:textId="77777777" w:rsidR="008B7E19" w:rsidRPr="00FE0AFD" w:rsidRDefault="008B7E19" w:rsidP="008B7E19">
            <w:pPr>
              <w:pStyle w:val="08-Tabelageral"/>
            </w:pPr>
            <w:r>
              <w:t>1,656,677</w:t>
            </w:r>
          </w:p>
        </w:tc>
      </w:tr>
      <w:tr w:rsidR="008B7E19" w:rsidRPr="0049410B" w14:paraId="18899EDA" w14:textId="77777777" w:rsidTr="005B5353">
        <w:trPr>
          <w:trHeight w:val="238"/>
          <w:jc w:val="center"/>
        </w:trPr>
        <w:tc>
          <w:tcPr>
            <w:tcW w:w="4384" w:type="dxa"/>
            <w:shd w:val="clear" w:color="auto" w:fill="auto"/>
            <w:vAlign w:val="center"/>
          </w:tcPr>
          <w:p w14:paraId="2986C0B4" w14:textId="77777777" w:rsidR="008B7E19" w:rsidRPr="002547FE" w:rsidRDefault="008B7E19" w:rsidP="008B7E19">
            <w:pPr>
              <w:pStyle w:val="08-Tabelageral"/>
              <w:ind w:left="113"/>
              <w:jc w:val="left"/>
              <w:rPr>
                <w:rFonts w:cs="Arial"/>
                <w:b/>
                <w:highlight w:val="yellow"/>
                <w:vertAlign w:val="superscript"/>
                <w:lang w:val="en-US"/>
              </w:rPr>
            </w:pPr>
            <w:r>
              <w:rPr>
                <w:rFonts w:cs="Arial"/>
                <w:lang w:val="en-US"/>
              </w:rPr>
              <w:t>MAPFRE Seguros Gerais</w:t>
            </w:r>
          </w:p>
        </w:tc>
        <w:tc>
          <w:tcPr>
            <w:tcW w:w="856" w:type="dxa"/>
            <w:shd w:val="clear" w:color="auto" w:fill="auto"/>
          </w:tcPr>
          <w:p w14:paraId="319B75C9" w14:textId="77777777" w:rsidR="008B7E19" w:rsidRPr="0049410B" w:rsidRDefault="008B7E19" w:rsidP="008B7E19">
            <w:pPr>
              <w:pStyle w:val="08-Tabelageral"/>
            </w:pPr>
          </w:p>
        </w:tc>
        <w:tc>
          <w:tcPr>
            <w:tcW w:w="401" w:type="dxa"/>
            <w:shd w:val="clear" w:color="auto" w:fill="auto"/>
          </w:tcPr>
          <w:p w14:paraId="340262EE" w14:textId="77777777" w:rsidR="008B7E19" w:rsidRPr="0049410B" w:rsidRDefault="008B7E19" w:rsidP="008B7E19">
            <w:pPr>
              <w:pStyle w:val="08-Tabelageral"/>
            </w:pPr>
          </w:p>
        </w:tc>
        <w:tc>
          <w:tcPr>
            <w:tcW w:w="2008" w:type="dxa"/>
            <w:shd w:val="clear" w:color="auto" w:fill="auto"/>
          </w:tcPr>
          <w:p w14:paraId="5A9A262B" w14:textId="77777777" w:rsidR="008B7E19" w:rsidRPr="00FE0AFD" w:rsidRDefault="008B7E19" w:rsidP="008B7E19">
            <w:pPr>
              <w:pStyle w:val="08-Tabelageral"/>
            </w:pPr>
            <w:r>
              <w:t>106,940</w:t>
            </w:r>
          </w:p>
        </w:tc>
        <w:tc>
          <w:tcPr>
            <w:tcW w:w="2009" w:type="dxa"/>
            <w:shd w:val="clear" w:color="auto" w:fill="auto"/>
          </w:tcPr>
          <w:p w14:paraId="66B71410" w14:textId="77777777" w:rsidR="008B7E19" w:rsidRPr="00FE0AFD" w:rsidRDefault="008B7E19" w:rsidP="008B7E19">
            <w:pPr>
              <w:pStyle w:val="08-Tabelageral"/>
            </w:pPr>
            <w:r>
              <w:t>103,560</w:t>
            </w:r>
          </w:p>
        </w:tc>
      </w:tr>
      <w:tr w:rsidR="008B7E19" w:rsidRPr="0049410B" w14:paraId="3AAE7583" w14:textId="77777777" w:rsidTr="005B5353">
        <w:trPr>
          <w:trHeight w:val="238"/>
          <w:jc w:val="center"/>
        </w:trPr>
        <w:tc>
          <w:tcPr>
            <w:tcW w:w="4384" w:type="dxa"/>
            <w:shd w:val="clear" w:color="auto" w:fill="auto"/>
            <w:vAlign w:val="center"/>
          </w:tcPr>
          <w:p w14:paraId="729FE064" w14:textId="77777777" w:rsidR="008B7E19" w:rsidRPr="002547FE" w:rsidRDefault="008B7E19" w:rsidP="008B7E19">
            <w:pPr>
              <w:pStyle w:val="08-Tabelageral"/>
              <w:ind w:left="113"/>
              <w:jc w:val="left"/>
              <w:rPr>
                <w:rFonts w:cs="Arial"/>
                <w:b/>
                <w:szCs w:val="14"/>
                <w:lang w:val="en-US"/>
              </w:rPr>
            </w:pPr>
            <w:r>
              <w:rPr>
                <w:rFonts w:cs="Arial"/>
                <w:szCs w:val="14"/>
                <w:lang w:val="en-US"/>
              </w:rPr>
              <w:t>Others</w:t>
            </w:r>
          </w:p>
        </w:tc>
        <w:tc>
          <w:tcPr>
            <w:tcW w:w="856" w:type="dxa"/>
            <w:shd w:val="clear" w:color="auto" w:fill="auto"/>
          </w:tcPr>
          <w:p w14:paraId="7A705C4D" w14:textId="77777777" w:rsidR="008B7E19" w:rsidRPr="0049410B" w:rsidRDefault="008B7E19" w:rsidP="008B7E19">
            <w:pPr>
              <w:pStyle w:val="08-Tabelageral"/>
            </w:pPr>
          </w:p>
        </w:tc>
        <w:tc>
          <w:tcPr>
            <w:tcW w:w="401" w:type="dxa"/>
            <w:shd w:val="clear" w:color="auto" w:fill="auto"/>
          </w:tcPr>
          <w:p w14:paraId="4391FF77" w14:textId="77777777" w:rsidR="008B7E19" w:rsidRPr="0049410B" w:rsidRDefault="008B7E19" w:rsidP="008B7E19">
            <w:pPr>
              <w:pStyle w:val="08-Tabelageral"/>
            </w:pPr>
          </w:p>
        </w:tc>
        <w:tc>
          <w:tcPr>
            <w:tcW w:w="2008" w:type="dxa"/>
            <w:shd w:val="clear" w:color="auto" w:fill="auto"/>
          </w:tcPr>
          <w:p w14:paraId="53025E0F" w14:textId="77777777" w:rsidR="008B7E19" w:rsidRDefault="008B7E19" w:rsidP="008B7E19">
            <w:pPr>
              <w:pStyle w:val="08-Tabelageral"/>
            </w:pPr>
            <w:r>
              <w:t>198</w:t>
            </w:r>
          </w:p>
        </w:tc>
        <w:tc>
          <w:tcPr>
            <w:tcW w:w="2009" w:type="dxa"/>
            <w:shd w:val="clear" w:color="auto" w:fill="auto"/>
          </w:tcPr>
          <w:p w14:paraId="1CDF3985" w14:textId="77777777" w:rsidR="008B7E19" w:rsidRDefault="008B7E19" w:rsidP="008B7E19">
            <w:pPr>
              <w:pStyle w:val="08-Tabelageral"/>
            </w:pPr>
            <w:r>
              <w:t>236</w:t>
            </w:r>
          </w:p>
        </w:tc>
      </w:tr>
      <w:tr w:rsidR="008B7E19" w:rsidRPr="00FB1814" w14:paraId="649E052D" w14:textId="77777777" w:rsidTr="005B5353">
        <w:trPr>
          <w:trHeight w:val="238"/>
          <w:jc w:val="center"/>
        </w:trPr>
        <w:tc>
          <w:tcPr>
            <w:tcW w:w="4384" w:type="dxa"/>
            <w:shd w:val="clear" w:color="auto" w:fill="auto"/>
            <w:vAlign w:val="center"/>
          </w:tcPr>
          <w:p w14:paraId="51DF0665" w14:textId="77777777" w:rsidR="008B7E19" w:rsidRPr="00FB1814" w:rsidRDefault="008B7E19" w:rsidP="008B7E19">
            <w:pPr>
              <w:pStyle w:val="08-Tabelageral"/>
              <w:jc w:val="left"/>
              <w:rPr>
                <w:rFonts w:cs="Arial"/>
                <w:b/>
                <w:lang w:val="en-US"/>
              </w:rPr>
            </w:pPr>
            <w:r w:rsidRPr="00FB1814">
              <w:rPr>
                <w:rFonts w:cs="Arial"/>
                <w:b/>
                <w:lang w:val="en-US"/>
              </w:rPr>
              <w:t>Non-Current Liabilities</w:t>
            </w:r>
          </w:p>
        </w:tc>
        <w:tc>
          <w:tcPr>
            <w:tcW w:w="856" w:type="dxa"/>
            <w:shd w:val="clear" w:color="auto" w:fill="auto"/>
          </w:tcPr>
          <w:p w14:paraId="7405286E" w14:textId="77777777" w:rsidR="008B7E19" w:rsidRPr="00FB1814" w:rsidRDefault="008B7E19" w:rsidP="008B7E19">
            <w:pPr>
              <w:pStyle w:val="08-Tabelageral"/>
              <w:rPr>
                <w:b/>
              </w:rPr>
            </w:pPr>
          </w:p>
        </w:tc>
        <w:tc>
          <w:tcPr>
            <w:tcW w:w="401" w:type="dxa"/>
            <w:shd w:val="clear" w:color="auto" w:fill="auto"/>
          </w:tcPr>
          <w:p w14:paraId="04ECF8B4" w14:textId="77777777" w:rsidR="008B7E19" w:rsidRPr="00FB1814" w:rsidRDefault="008B7E19" w:rsidP="008B7E19">
            <w:pPr>
              <w:pStyle w:val="08-Tabelageral"/>
              <w:rPr>
                <w:b/>
              </w:rPr>
            </w:pPr>
          </w:p>
        </w:tc>
        <w:tc>
          <w:tcPr>
            <w:tcW w:w="2008" w:type="dxa"/>
            <w:shd w:val="clear" w:color="auto" w:fill="auto"/>
          </w:tcPr>
          <w:p w14:paraId="120DC4DF" w14:textId="77777777" w:rsidR="008B7E19" w:rsidRPr="00FB1814" w:rsidRDefault="008B7E19" w:rsidP="008B7E19">
            <w:pPr>
              <w:pStyle w:val="08-Tabelageral"/>
              <w:rPr>
                <w:b/>
              </w:rPr>
            </w:pPr>
            <w:r>
              <w:rPr>
                <w:b/>
                <w:bCs/>
              </w:rPr>
              <w:t>2,264,757</w:t>
            </w:r>
          </w:p>
        </w:tc>
        <w:tc>
          <w:tcPr>
            <w:tcW w:w="2009" w:type="dxa"/>
            <w:shd w:val="clear" w:color="auto" w:fill="auto"/>
          </w:tcPr>
          <w:p w14:paraId="35464A52" w14:textId="77777777" w:rsidR="008B7E19" w:rsidRPr="00FB1814" w:rsidRDefault="008B7E19" w:rsidP="008B7E19">
            <w:pPr>
              <w:pStyle w:val="08-Tabelageral"/>
              <w:rPr>
                <w:b/>
              </w:rPr>
            </w:pPr>
            <w:r>
              <w:rPr>
                <w:b/>
                <w:bCs/>
              </w:rPr>
              <w:t>1,787,547</w:t>
            </w:r>
          </w:p>
        </w:tc>
      </w:tr>
      <w:tr w:rsidR="008B7E19" w:rsidRPr="0049410B" w14:paraId="39FCE40B" w14:textId="77777777" w:rsidTr="005B5353">
        <w:trPr>
          <w:trHeight w:val="238"/>
          <w:jc w:val="center"/>
        </w:trPr>
        <w:tc>
          <w:tcPr>
            <w:tcW w:w="4384" w:type="dxa"/>
            <w:shd w:val="clear" w:color="auto" w:fill="auto"/>
            <w:vAlign w:val="center"/>
          </w:tcPr>
          <w:p w14:paraId="1D3983F0" w14:textId="77777777" w:rsidR="008B7E19" w:rsidRPr="002547FE" w:rsidRDefault="008B7E19" w:rsidP="008B7E19">
            <w:pPr>
              <w:pStyle w:val="08-Tabelageral"/>
              <w:ind w:left="113"/>
              <w:jc w:val="left"/>
              <w:rPr>
                <w:rFonts w:cs="Arial"/>
                <w:b/>
                <w:highlight w:val="yellow"/>
                <w:lang w:val="en-US"/>
              </w:rPr>
            </w:pPr>
            <w:r>
              <w:rPr>
                <w:rFonts w:cs="Arial"/>
                <w:lang w:val="en-US"/>
              </w:rPr>
              <w:t>BB MAPFRE</w:t>
            </w:r>
          </w:p>
        </w:tc>
        <w:tc>
          <w:tcPr>
            <w:tcW w:w="856" w:type="dxa"/>
            <w:shd w:val="clear" w:color="auto" w:fill="auto"/>
          </w:tcPr>
          <w:p w14:paraId="428759F1" w14:textId="77777777" w:rsidR="008B7E19" w:rsidRPr="0049410B" w:rsidRDefault="008B7E19" w:rsidP="008B7E19">
            <w:pPr>
              <w:pStyle w:val="08-Tabelageral"/>
            </w:pPr>
          </w:p>
        </w:tc>
        <w:tc>
          <w:tcPr>
            <w:tcW w:w="401" w:type="dxa"/>
            <w:shd w:val="clear" w:color="auto" w:fill="auto"/>
          </w:tcPr>
          <w:p w14:paraId="5D923E87" w14:textId="77777777" w:rsidR="008B7E19" w:rsidRPr="0049410B" w:rsidRDefault="008B7E19" w:rsidP="008B7E19">
            <w:pPr>
              <w:pStyle w:val="08-Tabelageral"/>
            </w:pPr>
          </w:p>
        </w:tc>
        <w:tc>
          <w:tcPr>
            <w:tcW w:w="2008" w:type="dxa"/>
            <w:shd w:val="clear" w:color="auto" w:fill="auto"/>
          </w:tcPr>
          <w:p w14:paraId="4E75A1ED" w14:textId="77777777" w:rsidR="008B7E19" w:rsidRDefault="008B7E19" w:rsidP="008B7E19">
            <w:pPr>
              <w:pStyle w:val="08-Tabelageral"/>
            </w:pPr>
            <w:r>
              <w:t>2,240,646</w:t>
            </w:r>
          </w:p>
        </w:tc>
        <w:tc>
          <w:tcPr>
            <w:tcW w:w="2009" w:type="dxa"/>
            <w:shd w:val="clear" w:color="auto" w:fill="auto"/>
          </w:tcPr>
          <w:p w14:paraId="11D1D59F" w14:textId="77777777" w:rsidR="008B7E19" w:rsidRDefault="008B7E19" w:rsidP="008B7E19">
            <w:pPr>
              <w:pStyle w:val="08-Tabelageral"/>
            </w:pPr>
            <w:r>
              <w:t>1,761,161</w:t>
            </w:r>
          </w:p>
        </w:tc>
      </w:tr>
      <w:tr w:rsidR="008B7E19" w:rsidRPr="0049410B" w14:paraId="295E3D8E" w14:textId="77777777" w:rsidTr="005B5353">
        <w:trPr>
          <w:trHeight w:val="238"/>
          <w:jc w:val="center"/>
        </w:trPr>
        <w:tc>
          <w:tcPr>
            <w:tcW w:w="4384" w:type="dxa"/>
            <w:shd w:val="clear" w:color="auto" w:fill="auto"/>
            <w:vAlign w:val="center"/>
          </w:tcPr>
          <w:p w14:paraId="35C54513" w14:textId="77777777" w:rsidR="008B7E19" w:rsidRPr="002547FE" w:rsidRDefault="008B7E19" w:rsidP="008B7E19">
            <w:pPr>
              <w:pStyle w:val="08-Tabelageral"/>
              <w:ind w:left="113"/>
              <w:jc w:val="left"/>
              <w:rPr>
                <w:rFonts w:cs="Arial"/>
                <w:b/>
                <w:highlight w:val="yellow"/>
                <w:vertAlign w:val="superscript"/>
                <w:lang w:val="en-US"/>
              </w:rPr>
            </w:pPr>
            <w:r>
              <w:rPr>
                <w:rFonts w:cs="Arial"/>
                <w:lang w:val="en-US"/>
              </w:rPr>
              <w:t>MAPFRE Seguros Gerais</w:t>
            </w:r>
          </w:p>
        </w:tc>
        <w:tc>
          <w:tcPr>
            <w:tcW w:w="856" w:type="dxa"/>
            <w:shd w:val="clear" w:color="auto" w:fill="auto"/>
          </w:tcPr>
          <w:p w14:paraId="6BF7C3E4" w14:textId="77777777" w:rsidR="008B7E19" w:rsidRPr="0049410B" w:rsidRDefault="008B7E19" w:rsidP="008B7E19">
            <w:pPr>
              <w:pStyle w:val="08-Tabelageral"/>
            </w:pPr>
          </w:p>
        </w:tc>
        <w:tc>
          <w:tcPr>
            <w:tcW w:w="401" w:type="dxa"/>
            <w:shd w:val="clear" w:color="auto" w:fill="auto"/>
          </w:tcPr>
          <w:p w14:paraId="1B22E170" w14:textId="77777777" w:rsidR="008B7E19" w:rsidRPr="0049410B" w:rsidRDefault="008B7E19" w:rsidP="008B7E19">
            <w:pPr>
              <w:pStyle w:val="08-Tabelageral"/>
            </w:pPr>
          </w:p>
        </w:tc>
        <w:tc>
          <w:tcPr>
            <w:tcW w:w="2008" w:type="dxa"/>
            <w:shd w:val="clear" w:color="auto" w:fill="auto"/>
          </w:tcPr>
          <w:p w14:paraId="242F56D6" w14:textId="77777777" w:rsidR="008B7E19" w:rsidRDefault="008B7E19" w:rsidP="008B7E19">
            <w:pPr>
              <w:pStyle w:val="08-Tabelageral"/>
            </w:pPr>
            <w:r>
              <w:t>24,111</w:t>
            </w:r>
          </w:p>
        </w:tc>
        <w:tc>
          <w:tcPr>
            <w:tcW w:w="2009" w:type="dxa"/>
            <w:shd w:val="clear" w:color="auto" w:fill="auto"/>
          </w:tcPr>
          <w:p w14:paraId="47231EB7" w14:textId="77777777" w:rsidR="008B7E19" w:rsidRDefault="008B7E19" w:rsidP="008B7E19">
            <w:pPr>
              <w:pStyle w:val="08-Tabelageral"/>
            </w:pPr>
            <w:r>
              <w:t>26,386</w:t>
            </w:r>
          </w:p>
        </w:tc>
      </w:tr>
      <w:tr w:rsidR="008B7E19" w:rsidRPr="00FB1814" w14:paraId="2D469FC8" w14:textId="77777777" w:rsidTr="005B5353">
        <w:trPr>
          <w:trHeight w:val="238"/>
          <w:jc w:val="center"/>
        </w:trPr>
        <w:tc>
          <w:tcPr>
            <w:tcW w:w="4384" w:type="dxa"/>
            <w:tcBorders>
              <w:bottom w:val="single" w:sz="2" w:space="0" w:color="1F4E79" w:themeColor="accent1" w:themeShade="80"/>
            </w:tcBorders>
            <w:shd w:val="clear" w:color="auto" w:fill="auto"/>
            <w:vAlign w:val="center"/>
          </w:tcPr>
          <w:p w14:paraId="1F6C39B8" w14:textId="77777777" w:rsidR="008B7E19" w:rsidRPr="00FB1814" w:rsidRDefault="008B7E19" w:rsidP="008B7E19">
            <w:pPr>
              <w:pStyle w:val="08-Tabelageral"/>
              <w:jc w:val="left"/>
              <w:rPr>
                <w:rFonts w:cs="Arial"/>
                <w:b/>
                <w:bCs/>
                <w:szCs w:val="14"/>
                <w:lang w:val="en-US"/>
              </w:rPr>
            </w:pPr>
            <w:r w:rsidRPr="00FB1814">
              <w:rPr>
                <w:rFonts w:cs="Arial"/>
                <w:b/>
                <w:lang w:val="en-US"/>
              </w:rPr>
              <w:t>Total</w:t>
            </w:r>
          </w:p>
        </w:tc>
        <w:tc>
          <w:tcPr>
            <w:tcW w:w="856" w:type="dxa"/>
            <w:tcBorders>
              <w:bottom w:val="single" w:sz="2" w:space="0" w:color="1F4E79" w:themeColor="accent1" w:themeShade="80"/>
            </w:tcBorders>
            <w:shd w:val="clear" w:color="auto" w:fill="auto"/>
          </w:tcPr>
          <w:p w14:paraId="15EF061D" w14:textId="77777777" w:rsidR="008B7E19" w:rsidRPr="00FB1814" w:rsidRDefault="008B7E19" w:rsidP="008B7E19">
            <w:pPr>
              <w:pStyle w:val="08-Tabelageral"/>
              <w:rPr>
                <w:b/>
                <w:szCs w:val="14"/>
              </w:rPr>
            </w:pPr>
          </w:p>
        </w:tc>
        <w:tc>
          <w:tcPr>
            <w:tcW w:w="401" w:type="dxa"/>
            <w:tcBorders>
              <w:bottom w:val="single" w:sz="2" w:space="0" w:color="1F4E79" w:themeColor="accent1" w:themeShade="80"/>
            </w:tcBorders>
            <w:shd w:val="clear" w:color="auto" w:fill="auto"/>
          </w:tcPr>
          <w:p w14:paraId="0DCA37D7" w14:textId="77777777" w:rsidR="008B7E19" w:rsidRPr="00FB1814" w:rsidRDefault="008B7E19" w:rsidP="008B7E19">
            <w:pPr>
              <w:pStyle w:val="08-Tabelageral"/>
              <w:rPr>
                <w:b/>
                <w:szCs w:val="14"/>
              </w:rPr>
            </w:pPr>
          </w:p>
        </w:tc>
        <w:tc>
          <w:tcPr>
            <w:tcW w:w="2008" w:type="dxa"/>
            <w:tcBorders>
              <w:bottom w:val="single" w:sz="2" w:space="0" w:color="1F4E79" w:themeColor="accent1" w:themeShade="80"/>
            </w:tcBorders>
            <w:shd w:val="clear" w:color="auto" w:fill="auto"/>
          </w:tcPr>
          <w:p w14:paraId="21CCFA84" w14:textId="77777777" w:rsidR="008B7E19" w:rsidRPr="00FB1814" w:rsidRDefault="008B7E19" w:rsidP="008B7E19">
            <w:pPr>
              <w:pStyle w:val="08-Tabelageral"/>
              <w:rPr>
                <w:b/>
              </w:rPr>
            </w:pPr>
            <w:r>
              <w:rPr>
                <w:b/>
                <w:bCs/>
              </w:rPr>
              <w:t>4,009,513</w:t>
            </w:r>
          </w:p>
        </w:tc>
        <w:tc>
          <w:tcPr>
            <w:tcW w:w="2009" w:type="dxa"/>
            <w:tcBorders>
              <w:bottom w:val="single" w:sz="2" w:space="0" w:color="1F4E79" w:themeColor="accent1" w:themeShade="80"/>
            </w:tcBorders>
            <w:shd w:val="clear" w:color="auto" w:fill="auto"/>
          </w:tcPr>
          <w:p w14:paraId="4FB35166" w14:textId="77777777" w:rsidR="008B7E19" w:rsidRPr="00FB1814" w:rsidRDefault="008B7E19" w:rsidP="008B7E19">
            <w:pPr>
              <w:pStyle w:val="08-Tabelageral"/>
              <w:rPr>
                <w:b/>
              </w:rPr>
            </w:pPr>
            <w:r>
              <w:rPr>
                <w:b/>
                <w:bCs/>
              </w:rPr>
              <w:t>3,548,020</w:t>
            </w:r>
          </w:p>
        </w:tc>
      </w:tr>
    </w:tbl>
    <w:p w14:paraId="096C7A73" w14:textId="77777777" w:rsidR="008B7E19" w:rsidRPr="006E1D9B" w:rsidRDefault="008B7E19" w:rsidP="008B7E19">
      <w:pPr>
        <w:keepLines/>
        <w:tabs>
          <w:tab w:val="left" w:pos="284"/>
        </w:tabs>
        <w:spacing w:before="40" w:after="0" w:line="240" w:lineRule="auto"/>
        <w:ind w:left="284" w:hanging="284"/>
        <w:jc w:val="both"/>
        <w:rPr>
          <w:rFonts w:eastAsia="Times New Roman" w:cs="Arial"/>
          <w:spacing w:val="-2"/>
          <w:sz w:val="14"/>
          <w:szCs w:val="14"/>
        </w:rPr>
      </w:pPr>
    </w:p>
    <w:p w14:paraId="21A2497F" w14:textId="77777777" w:rsidR="008B7E19" w:rsidRPr="001E4F71" w:rsidRDefault="008B7E19" w:rsidP="008B7E19">
      <w:pPr>
        <w:pStyle w:val="07-Legenda"/>
        <w:spacing w:before="120" w:after="120" w:line="276" w:lineRule="auto"/>
        <w:ind w:left="0" w:firstLine="0"/>
        <w:rPr>
          <w:sz w:val="18"/>
          <w:lang w:val="en-US" w:eastAsia="en-US"/>
        </w:rPr>
      </w:pPr>
      <w:r w:rsidRPr="00226C47">
        <w:rPr>
          <w:sz w:val="18"/>
          <w:lang w:val="en-US" w:eastAsia="en-US"/>
        </w:rPr>
        <w:t xml:space="preserve">There are no amount of unearned commissions </w:t>
      </w:r>
      <w:r>
        <w:rPr>
          <w:sz w:val="18"/>
          <w:lang w:val="en-US" w:eastAsia="en-US"/>
        </w:rPr>
        <w:t>i</w:t>
      </w:r>
      <w:r w:rsidRPr="00226C47">
        <w:rPr>
          <w:sz w:val="18"/>
          <w:lang w:val="en-US" w:eastAsia="en-US"/>
        </w:rPr>
        <w:t>n parent</w:t>
      </w:r>
      <w:r w:rsidRPr="001E4F71">
        <w:rPr>
          <w:sz w:val="18"/>
          <w:lang w:val="en-US" w:eastAsia="en-US"/>
        </w:rPr>
        <w:t>.</w:t>
      </w:r>
    </w:p>
    <w:p w14:paraId="69EA5E0F" w14:textId="77777777" w:rsidR="008B7E19" w:rsidRPr="001E4F71" w:rsidRDefault="008B7E19" w:rsidP="008B7E19">
      <w:pPr>
        <w:keepLines/>
        <w:tabs>
          <w:tab w:val="left" w:pos="284"/>
        </w:tabs>
        <w:spacing w:before="40" w:after="0" w:line="240" w:lineRule="auto"/>
        <w:ind w:left="284" w:hanging="284"/>
        <w:jc w:val="both"/>
        <w:rPr>
          <w:rFonts w:eastAsia="Times New Roman" w:cs="Arial"/>
          <w:spacing w:val="-2"/>
          <w:szCs w:val="14"/>
          <w:lang w:val="en-US"/>
        </w:rPr>
      </w:pPr>
    </w:p>
    <w:p w14:paraId="693E8427" w14:textId="57B80F75" w:rsidR="008B7E19" w:rsidRPr="005B5353" w:rsidRDefault="008B7E19" w:rsidP="005B5353">
      <w:pPr>
        <w:pStyle w:val="02-TtulodeNota"/>
        <w:keepNext/>
        <w:keepLines/>
        <w:pageBreakBefore/>
        <w:rPr>
          <w:color w:val="1F4E79" w:themeColor="accent1" w:themeShade="80"/>
        </w:rPr>
      </w:pPr>
      <w:bookmarkStart w:id="59" w:name="OLE_LINK19"/>
      <w:bookmarkStart w:id="60" w:name="_Toc141966702"/>
      <w:r w:rsidRPr="005B5353">
        <w:rPr>
          <w:color w:val="1F4E79" w:themeColor="accent1" w:themeShade="80"/>
        </w:rPr>
        <w:t>24 – OTHER LIABILITIES</w:t>
      </w:r>
      <w:bookmarkEnd w:id="60"/>
    </w:p>
    <w:p w14:paraId="1E60B6A5" w14:textId="77777777" w:rsidR="008B7E19" w:rsidRPr="00FF3D4B" w:rsidRDefault="008B7E19" w:rsidP="008B7E19">
      <w:pPr>
        <w:spacing w:after="0" w:line="240" w:lineRule="auto"/>
        <w:jc w:val="right"/>
        <w:rPr>
          <w:rFonts w:cs="Arial"/>
          <w:b/>
          <w:sz w:val="14"/>
          <w:lang w:eastAsia="pt-BR"/>
        </w:rPr>
      </w:pPr>
      <w:r w:rsidRPr="00FF3D4B">
        <w:rPr>
          <w:rFonts w:cs="Arial"/>
          <w:b/>
          <w:sz w:val="14"/>
          <w:lang w:eastAsia="pt-BR"/>
        </w:rPr>
        <w:t xml:space="preserve">R$ </w:t>
      </w:r>
      <w:r>
        <w:rPr>
          <w:rFonts w:cs="Arial"/>
          <w:b/>
          <w:sz w:val="14"/>
          <w:lang w:eastAsia="pt-BR"/>
        </w:rPr>
        <w:t>thousand</w:t>
      </w:r>
    </w:p>
    <w:tbl>
      <w:tblPr>
        <w:tblW w:w="9639" w:type="dxa"/>
        <w:jc w:val="center"/>
        <w:tblBorders>
          <w:top w:val="single" w:sz="2" w:space="0" w:color="8EAADB" w:themeColor="accent5" w:themeTint="99"/>
          <w:bottom w:val="single" w:sz="2" w:space="0" w:color="8EAADB" w:themeColor="accent5" w:themeTint="99"/>
        </w:tblBorders>
        <w:tblLook w:val="04A0" w:firstRow="1" w:lastRow="0" w:firstColumn="1" w:lastColumn="0" w:noHBand="0" w:noVBand="1"/>
      </w:tblPr>
      <w:tblGrid>
        <w:gridCol w:w="3047"/>
        <w:gridCol w:w="595"/>
        <w:gridCol w:w="1399"/>
        <w:gridCol w:w="1400"/>
        <w:gridCol w:w="282"/>
        <w:gridCol w:w="1405"/>
        <w:gridCol w:w="1511"/>
      </w:tblGrid>
      <w:tr w:rsidR="008B7E19" w:rsidRPr="001A1E07" w14:paraId="4079D0EF" w14:textId="77777777" w:rsidTr="008B7E19">
        <w:trPr>
          <w:trHeight w:hRule="exact" w:val="283"/>
          <w:jc w:val="center"/>
        </w:trPr>
        <w:tc>
          <w:tcPr>
            <w:tcW w:w="3047" w:type="dxa"/>
            <w:tcBorders>
              <w:top w:val="single" w:sz="2" w:space="0" w:color="1F4E79" w:themeColor="accent1" w:themeShade="80"/>
              <w:bottom w:val="nil"/>
            </w:tcBorders>
            <w:shd w:val="clear" w:color="auto" w:fill="auto"/>
          </w:tcPr>
          <w:p w14:paraId="7F4B8FAF" w14:textId="77777777" w:rsidR="008B7E19" w:rsidRPr="001A1E07" w:rsidRDefault="008B7E19" w:rsidP="008B7E19">
            <w:pPr>
              <w:spacing w:after="0"/>
              <w:jc w:val="center"/>
              <w:rPr>
                <w:rFonts w:cs="Arial"/>
                <w:b/>
                <w:szCs w:val="18"/>
              </w:rPr>
            </w:pPr>
          </w:p>
        </w:tc>
        <w:tc>
          <w:tcPr>
            <w:tcW w:w="595" w:type="dxa"/>
            <w:tcBorders>
              <w:top w:val="single" w:sz="2" w:space="0" w:color="1F4E79" w:themeColor="accent1" w:themeShade="80"/>
              <w:bottom w:val="nil"/>
            </w:tcBorders>
            <w:shd w:val="clear" w:color="auto" w:fill="auto"/>
          </w:tcPr>
          <w:p w14:paraId="10D4322D" w14:textId="77777777" w:rsidR="008B7E19" w:rsidRPr="001A1E07" w:rsidRDefault="008B7E19" w:rsidP="008B7E19">
            <w:pPr>
              <w:spacing w:after="0"/>
              <w:jc w:val="center"/>
              <w:rPr>
                <w:rFonts w:cs="Arial"/>
                <w:b/>
                <w:szCs w:val="18"/>
              </w:rPr>
            </w:pPr>
          </w:p>
        </w:tc>
        <w:tc>
          <w:tcPr>
            <w:tcW w:w="2799" w:type="dxa"/>
            <w:gridSpan w:val="2"/>
            <w:tcBorders>
              <w:top w:val="single" w:sz="2" w:space="0" w:color="1F4E79" w:themeColor="accent1" w:themeShade="80"/>
              <w:bottom w:val="single" w:sz="2" w:space="0" w:color="1F4E79" w:themeColor="accent1" w:themeShade="80"/>
            </w:tcBorders>
            <w:shd w:val="clear" w:color="auto" w:fill="auto"/>
            <w:vAlign w:val="center"/>
          </w:tcPr>
          <w:p w14:paraId="379596BB" w14:textId="77777777" w:rsidR="008B7E19" w:rsidRPr="001A1E07" w:rsidRDefault="008B7E19" w:rsidP="008B7E19">
            <w:pPr>
              <w:spacing w:after="0"/>
              <w:jc w:val="center"/>
              <w:rPr>
                <w:rFonts w:cs="Arial"/>
                <w:b/>
                <w:sz w:val="14"/>
                <w:szCs w:val="18"/>
              </w:rPr>
            </w:pPr>
            <w:r>
              <w:rPr>
                <w:rFonts w:cs="Arial"/>
                <w:b/>
                <w:sz w:val="14"/>
                <w:szCs w:val="18"/>
              </w:rPr>
              <w:t>Parent</w:t>
            </w:r>
          </w:p>
        </w:tc>
        <w:tc>
          <w:tcPr>
            <w:tcW w:w="282" w:type="dxa"/>
            <w:tcBorders>
              <w:top w:val="single" w:sz="2" w:space="0" w:color="1F4E79" w:themeColor="accent1" w:themeShade="80"/>
              <w:bottom w:val="nil"/>
            </w:tcBorders>
            <w:shd w:val="clear" w:color="auto" w:fill="auto"/>
            <w:vAlign w:val="center"/>
          </w:tcPr>
          <w:p w14:paraId="00C4481F" w14:textId="77777777" w:rsidR="008B7E19" w:rsidRPr="001A1E07" w:rsidRDefault="008B7E19" w:rsidP="008B7E19">
            <w:pPr>
              <w:spacing w:after="0"/>
              <w:jc w:val="center"/>
              <w:rPr>
                <w:rFonts w:cs="Arial"/>
                <w:b/>
                <w:szCs w:val="18"/>
              </w:rPr>
            </w:pPr>
          </w:p>
        </w:tc>
        <w:tc>
          <w:tcPr>
            <w:tcW w:w="2916" w:type="dxa"/>
            <w:gridSpan w:val="2"/>
            <w:tcBorders>
              <w:top w:val="single" w:sz="2" w:space="0" w:color="1F4E79" w:themeColor="accent1" w:themeShade="80"/>
              <w:bottom w:val="single" w:sz="2" w:space="0" w:color="1F4E79" w:themeColor="accent1" w:themeShade="80"/>
            </w:tcBorders>
            <w:shd w:val="clear" w:color="auto" w:fill="auto"/>
            <w:vAlign w:val="center"/>
          </w:tcPr>
          <w:p w14:paraId="050F8BFB" w14:textId="77777777" w:rsidR="008B7E19" w:rsidRPr="001A1E07" w:rsidRDefault="008B7E19" w:rsidP="008B7E19">
            <w:pPr>
              <w:spacing w:after="0"/>
              <w:jc w:val="center"/>
              <w:rPr>
                <w:rFonts w:cs="Arial"/>
                <w:b/>
                <w:szCs w:val="18"/>
              </w:rPr>
            </w:pPr>
            <w:r w:rsidRPr="001A1E07">
              <w:rPr>
                <w:rFonts w:cs="Arial"/>
                <w:b/>
                <w:sz w:val="14"/>
                <w:szCs w:val="18"/>
              </w:rPr>
              <w:t>Consolida</w:t>
            </w:r>
            <w:r>
              <w:rPr>
                <w:rFonts w:cs="Arial"/>
                <w:b/>
                <w:sz w:val="14"/>
                <w:szCs w:val="18"/>
              </w:rPr>
              <w:t>ted</w:t>
            </w:r>
          </w:p>
        </w:tc>
      </w:tr>
      <w:tr w:rsidR="008B7E19" w:rsidRPr="001A1E07" w14:paraId="5B15C094" w14:textId="77777777" w:rsidTr="008B7E19">
        <w:trPr>
          <w:trHeight w:hRule="exact" w:val="238"/>
          <w:jc w:val="center"/>
        </w:trPr>
        <w:tc>
          <w:tcPr>
            <w:tcW w:w="3047" w:type="dxa"/>
            <w:tcBorders>
              <w:top w:val="nil"/>
              <w:bottom w:val="single" w:sz="2" w:space="0" w:color="1F4E79" w:themeColor="accent1" w:themeShade="80"/>
            </w:tcBorders>
            <w:shd w:val="clear" w:color="auto" w:fill="auto"/>
          </w:tcPr>
          <w:p w14:paraId="1C51415E" w14:textId="77777777" w:rsidR="008B7E19" w:rsidRPr="001A1E07" w:rsidRDefault="008B7E19" w:rsidP="008B7E19">
            <w:pPr>
              <w:pStyle w:val="08-Tabelageral"/>
              <w:rPr>
                <w:rFonts w:cs="Arial"/>
                <w:b/>
              </w:rPr>
            </w:pPr>
          </w:p>
        </w:tc>
        <w:tc>
          <w:tcPr>
            <w:tcW w:w="595" w:type="dxa"/>
            <w:tcBorders>
              <w:top w:val="nil"/>
              <w:bottom w:val="single" w:sz="2" w:space="0" w:color="1F4E79" w:themeColor="accent1" w:themeShade="80"/>
            </w:tcBorders>
            <w:shd w:val="clear" w:color="auto" w:fill="auto"/>
          </w:tcPr>
          <w:p w14:paraId="744573E2" w14:textId="77777777" w:rsidR="008B7E19" w:rsidRPr="001A1E07" w:rsidRDefault="008B7E19" w:rsidP="008B7E19">
            <w:pPr>
              <w:pStyle w:val="08-Tabelageral"/>
              <w:rPr>
                <w:rFonts w:cs="Arial"/>
                <w:b/>
              </w:rPr>
            </w:pPr>
          </w:p>
        </w:tc>
        <w:tc>
          <w:tcPr>
            <w:tcW w:w="1399" w:type="dxa"/>
            <w:tcBorders>
              <w:top w:val="single" w:sz="2" w:space="0" w:color="1F4E79" w:themeColor="accent1" w:themeShade="80"/>
              <w:bottom w:val="single" w:sz="2" w:space="0" w:color="1F4E79" w:themeColor="accent1" w:themeShade="80"/>
            </w:tcBorders>
            <w:shd w:val="clear" w:color="auto" w:fill="auto"/>
            <w:vAlign w:val="center"/>
          </w:tcPr>
          <w:p w14:paraId="277BA2E8" w14:textId="77777777" w:rsidR="008B7E19" w:rsidRPr="0068592A" w:rsidRDefault="008B7E19" w:rsidP="008B7E19">
            <w:pPr>
              <w:pStyle w:val="08-Tabelageral"/>
              <w:rPr>
                <w:rFonts w:cs="Arial"/>
                <w:b/>
              </w:rPr>
            </w:pPr>
            <w:r>
              <w:rPr>
                <w:rFonts w:cs="Arial"/>
                <w:b/>
              </w:rPr>
              <w:t>June 30, 2023</w:t>
            </w:r>
          </w:p>
        </w:tc>
        <w:tc>
          <w:tcPr>
            <w:tcW w:w="1400" w:type="dxa"/>
            <w:tcBorders>
              <w:top w:val="single" w:sz="2" w:space="0" w:color="1F4E79" w:themeColor="accent1" w:themeShade="80"/>
              <w:bottom w:val="single" w:sz="2" w:space="0" w:color="1F4E79" w:themeColor="accent1" w:themeShade="80"/>
            </w:tcBorders>
            <w:shd w:val="clear" w:color="auto" w:fill="auto"/>
            <w:vAlign w:val="center"/>
          </w:tcPr>
          <w:p w14:paraId="4D257738" w14:textId="77777777" w:rsidR="008B7E19" w:rsidRPr="0068592A" w:rsidRDefault="008B7E19" w:rsidP="008B7E19">
            <w:pPr>
              <w:pStyle w:val="08-Tabelageral"/>
              <w:rPr>
                <w:rFonts w:cs="Arial"/>
                <w:b/>
              </w:rPr>
            </w:pPr>
            <w:r>
              <w:rPr>
                <w:rFonts w:cs="Arial"/>
                <w:b/>
              </w:rPr>
              <w:t>Dec 31, 2022</w:t>
            </w:r>
          </w:p>
        </w:tc>
        <w:tc>
          <w:tcPr>
            <w:tcW w:w="282" w:type="dxa"/>
            <w:tcBorders>
              <w:bottom w:val="single" w:sz="2" w:space="0" w:color="1F4E79" w:themeColor="accent1" w:themeShade="80"/>
            </w:tcBorders>
            <w:shd w:val="clear" w:color="auto" w:fill="auto"/>
            <w:vAlign w:val="center"/>
          </w:tcPr>
          <w:p w14:paraId="315B907D" w14:textId="77777777" w:rsidR="008B7E19" w:rsidRPr="0068592A" w:rsidRDefault="008B7E19" w:rsidP="008B7E19">
            <w:pPr>
              <w:pStyle w:val="08-Tabelageral"/>
              <w:rPr>
                <w:rFonts w:cs="Arial"/>
                <w:b/>
              </w:rPr>
            </w:pPr>
          </w:p>
        </w:tc>
        <w:tc>
          <w:tcPr>
            <w:tcW w:w="1405" w:type="dxa"/>
            <w:tcBorders>
              <w:top w:val="single" w:sz="2" w:space="0" w:color="1F4E79" w:themeColor="accent1" w:themeShade="80"/>
              <w:bottom w:val="single" w:sz="2" w:space="0" w:color="1F4E79" w:themeColor="accent1" w:themeShade="80"/>
            </w:tcBorders>
            <w:shd w:val="clear" w:color="auto" w:fill="auto"/>
            <w:vAlign w:val="center"/>
          </w:tcPr>
          <w:p w14:paraId="20C2C987" w14:textId="77777777" w:rsidR="008B7E19" w:rsidRPr="0068592A" w:rsidRDefault="008B7E19" w:rsidP="008B7E19">
            <w:pPr>
              <w:pStyle w:val="08-Tabelageral"/>
              <w:rPr>
                <w:rFonts w:cs="Arial"/>
                <w:b/>
              </w:rPr>
            </w:pPr>
            <w:r>
              <w:rPr>
                <w:rFonts w:cs="Arial"/>
                <w:b/>
              </w:rPr>
              <w:t>June 30, 2023</w:t>
            </w:r>
          </w:p>
        </w:tc>
        <w:tc>
          <w:tcPr>
            <w:tcW w:w="1511" w:type="dxa"/>
            <w:tcBorders>
              <w:top w:val="single" w:sz="2" w:space="0" w:color="1F4E79" w:themeColor="accent1" w:themeShade="80"/>
              <w:bottom w:val="single" w:sz="2" w:space="0" w:color="1F4E79" w:themeColor="accent1" w:themeShade="80"/>
            </w:tcBorders>
            <w:shd w:val="clear" w:color="auto" w:fill="auto"/>
            <w:vAlign w:val="center"/>
          </w:tcPr>
          <w:p w14:paraId="6BBA09C5" w14:textId="77777777" w:rsidR="008B7E19" w:rsidRPr="0068592A" w:rsidRDefault="008B7E19" w:rsidP="008B7E19">
            <w:pPr>
              <w:pStyle w:val="08-Tabelageral"/>
              <w:rPr>
                <w:rFonts w:cs="Arial"/>
                <w:b/>
              </w:rPr>
            </w:pPr>
            <w:r>
              <w:rPr>
                <w:rFonts w:cs="Arial"/>
                <w:b/>
              </w:rPr>
              <w:t>Mar 31, 2022</w:t>
            </w:r>
          </w:p>
        </w:tc>
      </w:tr>
      <w:tr w:rsidR="008B7E19" w:rsidRPr="001A1E07" w14:paraId="41052BA5" w14:textId="77777777" w:rsidTr="008B7E19">
        <w:trPr>
          <w:trHeight w:val="238"/>
          <w:jc w:val="center"/>
        </w:trPr>
        <w:tc>
          <w:tcPr>
            <w:tcW w:w="3047" w:type="dxa"/>
            <w:tcBorders>
              <w:top w:val="single" w:sz="2" w:space="0" w:color="1F4E79" w:themeColor="accent1" w:themeShade="80"/>
            </w:tcBorders>
            <w:shd w:val="clear" w:color="auto" w:fill="auto"/>
          </w:tcPr>
          <w:p w14:paraId="6C89CAE6" w14:textId="77777777" w:rsidR="008B7E19" w:rsidRPr="001A1E07" w:rsidRDefault="008B7E19" w:rsidP="008B7E19">
            <w:pPr>
              <w:pStyle w:val="08-Tabelageral"/>
              <w:jc w:val="left"/>
              <w:rPr>
                <w:rFonts w:cs="Arial"/>
                <w:b/>
                <w:bCs/>
                <w:szCs w:val="14"/>
              </w:rPr>
            </w:pPr>
            <w:r>
              <w:rPr>
                <w:rFonts w:cs="Arial"/>
                <w:b/>
                <w:szCs w:val="14"/>
              </w:rPr>
              <w:t>Current Liabilities</w:t>
            </w:r>
          </w:p>
        </w:tc>
        <w:tc>
          <w:tcPr>
            <w:tcW w:w="595" w:type="dxa"/>
            <w:tcBorders>
              <w:top w:val="single" w:sz="2" w:space="0" w:color="1F4E79" w:themeColor="accent1" w:themeShade="80"/>
            </w:tcBorders>
            <w:shd w:val="clear" w:color="auto" w:fill="auto"/>
          </w:tcPr>
          <w:p w14:paraId="7D39D149" w14:textId="77777777" w:rsidR="008B7E19" w:rsidRPr="001A1E07" w:rsidRDefault="008B7E19" w:rsidP="008B7E19">
            <w:pPr>
              <w:pStyle w:val="08-Tabelageral"/>
              <w:ind w:left="113"/>
              <w:jc w:val="center"/>
              <w:rPr>
                <w:rFonts w:cs="Arial"/>
                <w:b/>
                <w:szCs w:val="14"/>
              </w:rPr>
            </w:pPr>
          </w:p>
        </w:tc>
        <w:tc>
          <w:tcPr>
            <w:tcW w:w="1399" w:type="dxa"/>
            <w:tcBorders>
              <w:top w:val="single" w:sz="2" w:space="0" w:color="1F4E79" w:themeColor="accent1" w:themeShade="80"/>
            </w:tcBorders>
            <w:shd w:val="clear" w:color="auto" w:fill="auto"/>
            <w:vAlign w:val="center"/>
          </w:tcPr>
          <w:p w14:paraId="2E1EE7EA" w14:textId="77777777" w:rsidR="008B7E19" w:rsidRPr="001A1E07" w:rsidRDefault="008B7E19" w:rsidP="008B7E19">
            <w:pPr>
              <w:pStyle w:val="08-Tabelageral"/>
              <w:ind w:left="113"/>
              <w:rPr>
                <w:rFonts w:cs="Arial"/>
                <w:b/>
                <w:szCs w:val="14"/>
              </w:rPr>
            </w:pPr>
          </w:p>
        </w:tc>
        <w:tc>
          <w:tcPr>
            <w:tcW w:w="1400" w:type="dxa"/>
            <w:tcBorders>
              <w:top w:val="single" w:sz="2" w:space="0" w:color="1F4E79" w:themeColor="accent1" w:themeShade="80"/>
            </w:tcBorders>
            <w:shd w:val="clear" w:color="auto" w:fill="auto"/>
            <w:vAlign w:val="center"/>
          </w:tcPr>
          <w:p w14:paraId="72B3C25D" w14:textId="77777777" w:rsidR="008B7E19" w:rsidRPr="001A1E07" w:rsidRDefault="008B7E19" w:rsidP="008B7E19">
            <w:pPr>
              <w:pStyle w:val="08-Tabelageral"/>
              <w:ind w:left="113"/>
              <w:rPr>
                <w:rFonts w:cs="Arial"/>
                <w:b/>
                <w:szCs w:val="14"/>
              </w:rPr>
            </w:pPr>
          </w:p>
        </w:tc>
        <w:tc>
          <w:tcPr>
            <w:tcW w:w="282" w:type="dxa"/>
            <w:tcBorders>
              <w:top w:val="single" w:sz="2" w:space="0" w:color="1F4E79" w:themeColor="accent1" w:themeShade="80"/>
            </w:tcBorders>
            <w:shd w:val="clear" w:color="auto" w:fill="auto"/>
            <w:vAlign w:val="center"/>
          </w:tcPr>
          <w:p w14:paraId="75345920" w14:textId="77777777" w:rsidR="008B7E19" w:rsidRPr="001A1E07" w:rsidRDefault="008B7E19" w:rsidP="008B7E19">
            <w:pPr>
              <w:pStyle w:val="08-Tabelageral"/>
              <w:ind w:left="113"/>
              <w:rPr>
                <w:rFonts w:cs="Arial"/>
                <w:b/>
                <w:szCs w:val="14"/>
              </w:rPr>
            </w:pPr>
          </w:p>
        </w:tc>
        <w:tc>
          <w:tcPr>
            <w:tcW w:w="1405" w:type="dxa"/>
            <w:tcBorders>
              <w:top w:val="single" w:sz="2" w:space="0" w:color="1F4E79" w:themeColor="accent1" w:themeShade="80"/>
            </w:tcBorders>
            <w:shd w:val="clear" w:color="auto" w:fill="auto"/>
            <w:vAlign w:val="center"/>
          </w:tcPr>
          <w:p w14:paraId="744C1DD4" w14:textId="77777777" w:rsidR="008B7E19" w:rsidRPr="001A1E07" w:rsidRDefault="008B7E19" w:rsidP="008B7E19">
            <w:pPr>
              <w:pStyle w:val="08-Tabelageral"/>
              <w:ind w:left="113"/>
              <w:rPr>
                <w:rFonts w:cs="Arial"/>
                <w:b/>
                <w:szCs w:val="14"/>
              </w:rPr>
            </w:pPr>
          </w:p>
        </w:tc>
        <w:tc>
          <w:tcPr>
            <w:tcW w:w="1511" w:type="dxa"/>
            <w:tcBorders>
              <w:top w:val="single" w:sz="2" w:space="0" w:color="1F4E79" w:themeColor="accent1" w:themeShade="80"/>
            </w:tcBorders>
            <w:shd w:val="clear" w:color="auto" w:fill="auto"/>
            <w:vAlign w:val="center"/>
          </w:tcPr>
          <w:p w14:paraId="27213BF0" w14:textId="77777777" w:rsidR="008B7E19" w:rsidRPr="001A1E07" w:rsidRDefault="008B7E19" w:rsidP="008B7E19">
            <w:pPr>
              <w:pStyle w:val="08-Tabelageral"/>
              <w:ind w:left="113"/>
              <w:rPr>
                <w:rFonts w:cs="Arial"/>
                <w:b/>
                <w:szCs w:val="14"/>
              </w:rPr>
            </w:pPr>
          </w:p>
        </w:tc>
      </w:tr>
      <w:tr w:rsidR="008B7E19" w:rsidRPr="001A1E07" w14:paraId="3A1AF9BF" w14:textId="77777777" w:rsidTr="008B7E19">
        <w:trPr>
          <w:trHeight w:val="238"/>
          <w:jc w:val="center"/>
        </w:trPr>
        <w:tc>
          <w:tcPr>
            <w:tcW w:w="3047" w:type="dxa"/>
            <w:shd w:val="clear" w:color="auto" w:fill="auto"/>
          </w:tcPr>
          <w:p w14:paraId="7E684163" w14:textId="77777777" w:rsidR="008B7E19" w:rsidRPr="00194FE1" w:rsidRDefault="008B7E19" w:rsidP="008B7E19">
            <w:pPr>
              <w:pStyle w:val="08-Tabelageral"/>
              <w:ind w:left="113"/>
              <w:jc w:val="left"/>
              <w:rPr>
                <w:rFonts w:cs="Arial"/>
                <w:szCs w:val="14"/>
                <w:vertAlign w:val="superscript"/>
                <w:lang w:val="en-US"/>
              </w:rPr>
            </w:pPr>
            <w:r w:rsidRPr="00194FE1">
              <w:rPr>
                <w:rFonts w:cs="Arial"/>
                <w:szCs w:val="14"/>
                <w:lang w:val="en-US"/>
              </w:rPr>
              <w:t xml:space="preserve">Amounts payable to related companies </w:t>
            </w:r>
            <w:r w:rsidRPr="00194FE1">
              <w:rPr>
                <w:rFonts w:cs="Arial"/>
                <w:szCs w:val="14"/>
                <w:vertAlign w:val="superscript"/>
                <w:lang w:val="en-US"/>
              </w:rPr>
              <w:t>(1)</w:t>
            </w:r>
          </w:p>
        </w:tc>
        <w:tc>
          <w:tcPr>
            <w:tcW w:w="595" w:type="dxa"/>
            <w:shd w:val="clear" w:color="auto" w:fill="auto"/>
          </w:tcPr>
          <w:p w14:paraId="00A17B1D" w14:textId="77777777" w:rsidR="008B7E19" w:rsidRPr="00194FE1" w:rsidRDefault="008B7E19" w:rsidP="008B7E19">
            <w:pPr>
              <w:pStyle w:val="08-Tabelageral"/>
              <w:ind w:left="113"/>
              <w:jc w:val="center"/>
              <w:rPr>
                <w:rFonts w:cs="Arial"/>
                <w:szCs w:val="14"/>
                <w:lang w:val="en-US"/>
              </w:rPr>
            </w:pPr>
          </w:p>
        </w:tc>
        <w:tc>
          <w:tcPr>
            <w:tcW w:w="1399" w:type="dxa"/>
            <w:shd w:val="clear" w:color="auto" w:fill="auto"/>
            <w:vAlign w:val="center"/>
          </w:tcPr>
          <w:p w14:paraId="4DFCBCA9" w14:textId="77777777" w:rsidR="008B7E19" w:rsidRPr="001A1E07" w:rsidRDefault="008B7E19" w:rsidP="008B7E19">
            <w:pPr>
              <w:pStyle w:val="08-Tabelageral"/>
              <w:ind w:left="113"/>
              <w:rPr>
                <w:rFonts w:cs="Arial"/>
                <w:szCs w:val="14"/>
              </w:rPr>
            </w:pPr>
            <w:r>
              <w:rPr>
                <w:rFonts w:cs="Arial"/>
                <w:szCs w:val="14"/>
              </w:rPr>
              <w:t>8,448</w:t>
            </w:r>
          </w:p>
        </w:tc>
        <w:tc>
          <w:tcPr>
            <w:tcW w:w="1400" w:type="dxa"/>
            <w:shd w:val="clear" w:color="auto" w:fill="auto"/>
            <w:vAlign w:val="center"/>
          </w:tcPr>
          <w:p w14:paraId="73DE70EA" w14:textId="77777777" w:rsidR="008B7E19" w:rsidRPr="001A1E07" w:rsidRDefault="008B7E19" w:rsidP="008B7E19">
            <w:pPr>
              <w:pStyle w:val="08-Tabelageral"/>
              <w:ind w:left="113"/>
              <w:rPr>
                <w:rFonts w:cs="Arial"/>
                <w:szCs w:val="14"/>
              </w:rPr>
            </w:pPr>
            <w:r>
              <w:rPr>
                <w:rFonts w:cs="Arial"/>
                <w:szCs w:val="14"/>
              </w:rPr>
              <w:t>8,054</w:t>
            </w:r>
          </w:p>
        </w:tc>
        <w:tc>
          <w:tcPr>
            <w:tcW w:w="282" w:type="dxa"/>
            <w:shd w:val="clear" w:color="auto" w:fill="auto"/>
            <w:vAlign w:val="center"/>
          </w:tcPr>
          <w:p w14:paraId="379EBE4A" w14:textId="77777777" w:rsidR="008B7E19" w:rsidRPr="001A1E07" w:rsidRDefault="008B7E19" w:rsidP="008B7E19">
            <w:pPr>
              <w:pStyle w:val="08-Tabelageral"/>
              <w:ind w:left="113"/>
              <w:rPr>
                <w:rFonts w:cs="Arial"/>
                <w:szCs w:val="14"/>
              </w:rPr>
            </w:pPr>
          </w:p>
        </w:tc>
        <w:tc>
          <w:tcPr>
            <w:tcW w:w="1405" w:type="dxa"/>
            <w:shd w:val="clear" w:color="auto" w:fill="auto"/>
            <w:vAlign w:val="center"/>
          </w:tcPr>
          <w:p w14:paraId="5FF6EB55" w14:textId="77777777" w:rsidR="008B7E19" w:rsidRPr="001A1E07" w:rsidRDefault="008B7E19" w:rsidP="008B7E19">
            <w:pPr>
              <w:pStyle w:val="08-Tabelageral"/>
              <w:ind w:left="113"/>
              <w:rPr>
                <w:rFonts w:cs="Arial"/>
                <w:szCs w:val="14"/>
              </w:rPr>
            </w:pPr>
            <w:r>
              <w:rPr>
                <w:rFonts w:cs="Arial"/>
                <w:szCs w:val="14"/>
              </w:rPr>
              <w:t>77,792</w:t>
            </w:r>
          </w:p>
        </w:tc>
        <w:tc>
          <w:tcPr>
            <w:tcW w:w="1511" w:type="dxa"/>
            <w:shd w:val="clear" w:color="auto" w:fill="auto"/>
            <w:vAlign w:val="center"/>
          </w:tcPr>
          <w:p w14:paraId="1EAEFC8A" w14:textId="77777777" w:rsidR="008B7E19" w:rsidRPr="001A1E07" w:rsidRDefault="008B7E19" w:rsidP="008B7E19">
            <w:pPr>
              <w:pStyle w:val="08-Tabelageral"/>
              <w:ind w:left="113"/>
              <w:rPr>
                <w:rFonts w:cs="Arial"/>
                <w:szCs w:val="14"/>
              </w:rPr>
            </w:pPr>
            <w:r>
              <w:rPr>
                <w:rFonts w:cs="Arial"/>
                <w:szCs w:val="14"/>
              </w:rPr>
              <w:t>99,353</w:t>
            </w:r>
          </w:p>
        </w:tc>
      </w:tr>
      <w:tr w:rsidR="008B7E19" w:rsidRPr="001A1E07" w14:paraId="28BCED86" w14:textId="77777777" w:rsidTr="008B7E19">
        <w:trPr>
          <w:trHeight w:val="238"/>
          <w:jc w:val="center"/>
        </w:trPr>
        <w:tc>
          <w:tcPr>
            <w:tcW w:w="3047" w:type="dxa"/>
            <w:shd w:val="clear" w:color="auto" w:fill="auto"/>
          </w:tcPr>
          <w:p w14:paraId="37EBF665" w14:textId="77777777" w:rsidR="008B7E19" w:rsidRPr="00194FE1" w:rsidRDefault="008B7E19" w:rsidP="008B7E19">
            <w:pPr>
              <w:pStyle w:val="08-Tabelageral"/>
              <w:ind w:left="113"/>
              <w:jc w:val="left"/>
              <w:rPr>
                <w:rFonts w:cs="Arial"/>
                <w:szCs w:val="14"/>
                <w:lang w:val="en-US"/>
              </w:rPr>
            </w:pPr>
            <w:r w:rsidRPr="00194FE1">
              <w:rPr>
                <w:rFonts w:cs="Arial"/>
                <w:szCs w:val="14"/>
                <w:lang w:val="en-US"/>
              </w:rPr>
              <w:t>Annual variable remuneration program of the Executive Board</w:t>
            </w:r>
          </w:p>
        </w:tc>
        <w:tc>
          <w:tcPr>
            <w:tcW w:w="595" w:type="dxa"/>
            <w:shd w:val="clear" w:color="auto" w:fill="auto"/>
          </w:tcPr>
          <w:p w14:paraId="72584AA5" w14:textId="77777777" w:rsidR="008B7E19" w:rsidRPr="00194FE1" w:rsidRDefault="008B7E19" w:rsidP="008B7E19">
            <w:pPr>
              <w:pStyle w:val="08-Tabelageral"/>
              <w:ind w:left="113"/>
              <w:jc w:val="center"/>
              <w:rPr>
                <w:rFonts w:cs="Arial"/>
                <w:szCs w:val="14"/>
                <w:lang w:val="en-US"/>
              </w:rPr>
            </w:pPr>
          </w:p>
        </w:tc>
        <w:tc>
          <w:tcPr>
            <w:tcW w:w="1399" w:type="dxa"/>
            <w:shd w:val="clear" w:color="auto" w:fill="auto"/>
            <w:vAlign w:val="center"/>
          </w:tcPr>
          <w:p w14:paraId="4034807F" w14:textId="77777777" w:rsidR="008B7E19" w:rsidRPr="001A1E07" w:rsidRDefault="008B7E19" w:rsidP="008B7E19">
            <w:pPr>
              <w:pStyle w:val="08-Tabelageral"/>
              <w:ind w:left="113"/>
              <w:rPr>
                <w:rFonts w:cs="Arial"/>
                <w:szCs w:val="14"/>
              </w:rPr>
            </w:pPr>
            <w:r>
              <w:rPr>
                <w:rFonts w:cs="Arial"/>
                <w:szCs w:val="14"/>
              </w:rPr>
              <w:t>--</w:t>
            </w:r>
          </w:p>
        </w:tc>
        <w:tc>
          <w:tcPr>
            <w:tcW w:w="1400" w:type="dxa"/>
            <w:shd w:val="clear" w:color="auto" w:fill="auto"/>
            <w:vAlign w:val="center"/>
          </w:tcPr>
          <w:p w14:paraId="393258FC" w14:textId="77777777" w:rsidR="008B7E19" w:rsidRPr="001A1E07" w:rsidRDefault="008B7E19" w:rsidP="008B7E19">
            <w:pPr>
              <w:pStyle w:val="08-Tabelageral"/>
              <w:ind w:left="113"/>
              <w:rPr>
                <w:rFonts w:cs="Arial"/>
                <w:szCs w:val="14"/>
              </w:rPr>
            </w:pPr>
            <w:r>
              <w:rPr>
                <w:rFonts w:cs="Arial"/>
                <w:szCs w:val="14"/>
              </w:rPr>
              <w:t>3,929</w:t>
            </w:r>
          </w:p>
        </w:tc>
        <w:tc>
          <w:tcPr>
            <w:tcW w:w="282" w:type="dxa"/>
            <w:shd w:val="clear" w:color="auto" w:fill="auto"/>
            <w:vAlign w:val="center"/>
          </w:tcPr>
          <w:p w14:paraId="5B8C9503" w14:textId="77777777" w:rsidR="008B7E19" w:rsidRPr="001A1E07" w:rsidRDefault="008B7E19" w:rsidP="008B7E19">
            <w:pPr>
              <w:pStyle w:val="08-Tabelageral"/>
              <w:ind w:left="113"/>
              <w:rPr>
                <w:rFonts w:cs="Arial"/>
                <w:szCs w:val="14"/>
              </w:rPr>
            </w:pPr>
          </w:p>
        </w:tc>
        <w:tc>
          <w:tcPr>
            <w:tcW w:w="1405" w:type="dxa"/>
            <w:shd w:val="clear" w:color="auto" w:fill="auto"/>
            <w:vAlign w:val="center"/>
          </w:tcPr>
          <w:p w14:paraId="3B3D6949" w14:textId="77777777" w:rsidR="008B7E19" w:rsidRPr="001A1E07" w:rsidRDefault="008B7E19" w:rsidP="008B7E19">
            <w:pPr>
              <w:pStyle w:val="08-Tabelageral"/>
              <w:ind w:left="113"/>
              <w:rPr>
                <w:rFonts w:cs="Arial"/>
                <w:szCs w:val="14"/>
              </w:rPr>
            </w:pPr>
            <w:r>
              <w:rPr>
                <w:rFonts w:cs="Arial"/>
                <w:szCs w:val="14"/>
              </w:rPr>
              <w:t>--</w:t>
            </w:r>
          </w:p>
        </w:tc>
        <w:tc>
          <w:tcPr>
            <w:tcW w:w="1511" w:type="dxa"/>
            <w:shd w:val="clear" w:color="auto" w:fill="auto"/>
            <w:vAlign w:val="center"/>
          </w:tcPr>
          <w:p w14:paraId="3DFCDD27" w14:textId="77777777" w:rsidR="008B7E19" w:rsidRPr="001A1E07" w:rsidRDefault="008B7E19" w:rsidP="008B7E19">
            <w:pPr>
              <w:pStyle w:val="08-Tabelageral"/>
              <w:ind w:left="113"/>
              <w:rPr>
                <w:rFonts w:cs="Arial"/>
                <w:szCs w:val="14"/>
              </w:rPr>
            </w:pPr>
            <w:r>
              <w:rPr>
                <w:rFonts w:cs="Arial"/>
                <w:szCs w:val="14"/>
              </w:rPr>
              <w:t>3,929</w:t>
            </w:r>
          </w:p>
        </w:tc>
      </w:tr>
      <w:tr w:rsidR="008B7E19" w:rsidRPr="001A1E07" w14:paraId="29750E5E" w14:textId="77777777" w:rsidTr="008B7E19">
        <w:trPr>
          <w:trHeight w:val="238"/>
          <w:jc w:val="center"/>
        </w:trPr>
        <w:tc>
          <w:tcPr>
            <w:tcW w:w="3047" w:type="dxa"/>
            <w:tcBorders>
              <w:bottom w:val="nil"/>
            </w:tcBorders>
            <w:shd w:val="clear" w:color="auto" w:fill="auto"/>
          </w:tcPr>
          <w:p w14:paraId="72F0E4AD" w14:textId="77777777" w:rsidR="008B7E19" w:rsidRPr="001A1E07" w:rsidRDefault="008B7E19" w:rsidP="008B7E19">
            <w:pPr>
              <w:pStyle w:val="08-Tabelageral"/>
              <w:ind w:left="113"/>
              <w:jc w:val="left"/>
              <w:rPr>
                <w:rFonts w:cs="Arial"/>
                <w:szCs w:val="14"/>
              </w:rPr>
            </w:pPr>
            <w:r>
              <w:rPr>
                <w:rFonts w:cs="Arial"/>
                <w:szCs w:val="14"/>
              </w:rPr>
              <w:t>Other</w:t>
            </w:r>
          </w:p>
        </w:tc>
        <w:tc>
          <w:tcPr>
            <w:tcW w:w="595" w:type="dxa"/>
            <w:tcBorders>
              <w:bottom w:val="nil"/>
            </w:tcBorders>
            <w:shd w:val="clear" w:color="auto" w:fill="auto"/>
          </w:tcPr>
          <w:p w14:paraId="1E81A721" w14:textId="77777777" w:rsidR="008B7E19" w:rsidRPr="001A1E07" w:rsidRDefault="008B7E19" w:rsidP="008B7E19">
            <w:pPr>
              <w:pStyle w:val="08-Tabelageral"/>
              <w:ind w:left="113"/>
              <w:jc w:val="center"/>
              <w:rPr>
                <w:rFonts w:cs="Arial"/>
                <w:szCs w:val="14"/>
              </w:rPr>
            </w:pPr>
          </w:p>
        </w:tc>
        <w:tc>
          <w:tcPr>
            <w:tcW w:w="1399" w:type="dxa"/>
            <w:tcBorders>
              <w:bottom w:val="nil"/>
            </w:tcBorders>
            <w:shd w:val="clear" w:color="auto" w:fill="auto"/>
            <w:vAlign w:val="center"/>
          </w:tcPr>
          <w:p w14:paraId="6EF54E37" w14:textId="77777777" w:rsidR="008B7E19" w:rsidRPr="001A1E07" w:rsidRDefault="008B7E19" w:rsidP="008B7E19">
            <w:pPr>
              <w:pStyle w:val="08-Tabelageral"/>
              <w:ind w:left="113"/>
              <w:rPr>
                <w:rFonts w:cs="Arial"/>
                <w:szCs w:val="14"/>
              </w:rPr>
            </w:pPr>
            <w:r>
              <w:rPr>
                <w:rFonts w:cs="Arial"/>
                <w:szCs w:val="14"/>
              </w:rPr>
              <w:t>2,056</w:t>
            </w:r>
          </w:p>
        </w:tc>
        <w:tc>
          <w:tcPr>
            <w:tcW w:w="1400" w:type="dxa"/>
            <w:tcBorders>
              <w:bottom w:val="nil"/>
            </w:tcBorders>
            <w:shd w:val="clear" w:color="auto" w:fill="auto"/>
            <w:vAlign w:val="center"/>
          </w:tcPr>
          <w:p w14:paraId="53C67AC8" w14:textId="77777777" w:rsidR="008B7E19" w:rsidRPr="001A1E07" w:rsidRDefault="008B7E19" w:rsidP="008B7E19">
            <w:pPr>
              <w:pStyle w:val="08-Tabelageral"/>
              <w:ind w:left="113"/>
              <w:rPr>
                <w:rFonts w:cs="Arial"/>
                <w:szCs w:val="14"/>
              </w:rPr>
            </w:pPr>
            <w:r>
              <w:rPr>
                <w:rFonts w:cs="Arial"/>
                <w:szCs w:val="14"/>
              </w:rPr>
              <w:t>201</w:t>
            </w:r>
          </w:p>
        </w:tc>
        <w:tc>
          <w:tcPr>
            <w:tcW w:w="282" w:type="dxa"/>
            <w:tcBorders>
              <w:bottom w:val="nil"/>
            </w:tcBorders>
            <w:shd w:val="clear" w:color="auto" w:fill="auto"/>
            <w:vAlign w:val="center"/>
          </w:tcPr>
          <w:p w14:paraId="00612C97" w14:textId="77777777" w:rsidR="008B7E19" w:rsidRPr="001A1E07" w:rsidRDefault="008B7E19" w:rsidP="008B7E19">
            <w:pPr>
              <w:pStyle w:val="08-Tabelageral"/>
              <w:ind w:left="113"/>
              <w:rPr>
                <w:rFonts w:cs="Arial"/>
                <w:szCs w:val="14"/>
              </w:rPr>
            </w:pPr>
          </w:p>
        </w:tc>
        <w:tc>
          <w:tcPr>
            <w:tcW w:w="1405" w:type="dxa"/>
            <w:tcBorders>
              <w:bottom w:val="nil"/>
            </w:tcBorders>
            <w:shd w:val="clear" w:color="auto" w:fill="auto"/>
            <w:vAlign w:val="center"/>
          </w:tcPr>
          <w:p w14:paraId="2AF85FD8" w14:textId="77777777" w:rsidR="008B7E19" w:rsidRPr="001A1E07" w:rsidRDefault="008B7E19" w:rsidP="008B7E19">
            <w:pPr>
              <w:pStyle w:val="08-Tabelageral"/>
              <w:ind w:left="113"/>
              <w:rPr>
                <w:rFonts w:cs="Arial"/>
                <w:szCs w:val="14"/>
              </w:rPr>
            </w:pPr>
            <w:r>
              <w:rPr>
                <w:rFonts w:cs="Arial"/>
                <w:szCs w:val="14"/>
              </w:rPr>
              <w:t>4,769</w:t>
            </w:r>
          </w:p>
        </w:tc>
        <w:tc>
          <w:tcPr>
            <w:tcW w:w="1511" w:type="dxa"/>
            <w:tcBorders>
              <w:bottom w:val="nil"/>
            </w:tcBorders>
            <w:shd w:val="clear" w:color="auto" w:fill="auto"/>
            <w:vAlign w:val="center"/>
          </w:tcPr>
          <w:p w14:paraId="1581A3C9" w14:textId="77777777" w:rsidR="008B7E19" w:rsidRPr="001A1E07" w:rsidRDefault="008B7E19" w:rsidP="008B7E19">
            <w:pPr>
              <w:pStyle w:val="08-Tabelageral"/>
              <w:ind w:left="113"/>
              <w:rPr>
                <w:rFonts w:cs="Arial"/>
                <w:szCs w:val="14"/>
              </w:rPr>
            </w:pPr>
            <w:r>
              <w:rPr>
                <w:rFonts w:cs="Arial"/>
                <w:szCs w:val="14"/>
              </w:rPr>
              <w:t>2,081</w:t>
            </w:r>
          </w:p>
        </w:tc>
      </w:tr>
      <w:tr w:rsidR="008B7E19" w:rsidRPr="001A1E07" w14:paraId="1E663E28" w14:textId="77777777" w:rsidTr="008B7E19">
        <w:trPr>
          <w:trHeight w:val="238"/>
          <w:jc w:val="center"/>
        </w:trPr>
        <w:tc>
          <w:tcPr>
            <w:tcW w:w="3047" w:type="dxa"/>
            <w:tcBorders>
              <w:top w:val="nil"/>
              <w:bottom w:val="single" w:sz="2" w:space="0" w:color="1F4E79" w:themeColor="accent1" w:themeShade="80"/>
            </w:tcBorders>
            <w:shd w:val="clear" w:color="auto" w:fill="auto"/>
          </w:tcPr>
          <w:p w14:paraId="0AB4F668" w14:textId="77777777" w:rsidR="008B7E19" w:rsidRPr="001A1E07" w:rsidRDefault="008B7E19" w:rsidP="008B7E19">
            <w:pPr>
              <w:pStyle w:val="08-Tabelageral"/>
              <w:jc w:val="left"/>
              <w:rPr>
                <w:rFonts w:cs="Arial"/>
                <w:b/>
                <w:szCs w:val="14"/>
              </w:rPr>
            </w:pPr>
            <w:r w:rsidRPr="001A1E07">
              <w:rPr>
                <w:rFonts w:cs="Arial"/>
                <w:b/>
              </w:rPr>
              <w:t xml:space="preserve">Total </w:t>
            </w:r>
          </w:p>
        </w:tc>
        <w:tc>
          <w:tcPr>
            <w:tcW w:w="595" w:type="dxa"/>
            <w:tcBorders>
              <w:top w:val="nil"/>
              <w:bottom w:val="single" w:sz="2" w:space="0" w:color="1F4E79" w:themeColor="accent1" w:themeShade="80"/>
            </w:tcBorders>
            <w:shd w:val="clear" w:color="auto" w:fill="auto"/>
          </w:tcPr>
          <w:p w14:paraId="5B5DA77B" w14:textId="77777777" w:rsidR="008B7E19" w:rsidRPr="001A1E07" w:rsidRDefault="008B7E19" w:rsidP="008B7E19">
            <w:pPr>
              <w:pStyle w:val="08-Tabelageral"/>
              <w:jc w:val="center"/>
              <w:rPr>
                <w:rFonts w:cs="Arial"/>
                <w:b/>
                <w:szCs w:val="14"/>
              </w:rPr>
            </w:pPr>
          </w:p>
        </w:tc>
        <w:tc>
          <w:tcPr>
            <w:tcW w:w="1399" w:type="dxa"/>
            <w:tcBorders>
              <w:top w:val="nil"/>
              <w:bottom w:val="single" w:sz="2" w:space="0" w:color="1F4E79" w:themeColor="accent1" w:themeShade="80"/>
            </w:tcBorders>
            <w:shd w:val="clear" w:color="auto" w:fill="auto"/>
            <w:vAlign w:val="center"/>
          </w:tcPr>
          <w:p w14:paraId="32EF0043" w14:textId="77777777" w:rsidR="008B7E19" w:rsidRPr="001A1E07" w:rsidRDefault="008B7E19" w:rsidP="008B7E19">
            <w:pPr>
              <w:pStyle w:val="08-Tabelageral"/>
              <w:rPr>
                <w:rFonts w:cs="Arial"/>
                <w:b/>
                <w:szCs w:val="14"/>
              </w:rPr>
            </w:pPr>
            <w:r>
              <w:rPr>
                <w:rFonts w:cs="Arial"/>
                <w:b/>
                <w:szCs w:val="14"/>
              </w:rPr>
              <w:t>10,504</w:t>
            </w:r>
          </w:p>
        </w:tc>
        <w:tc>
          <w:tcPr>
            <w:tcW w:w="1400" w:type="dxa"/>
            <w:tcBorders>
              <w:top w:val="nil"/>
              <w:bottom w:val="single" w:sz="2" w:space="0" w:color="1F4E79" w:themeColor="accent1" w:themeShade="80"/>
            </w:tcBorders>
            <w:shd w:val="clear" w:color="auto" w:fill="auto"/>
            <w:vAlign w:val="center"/>
          </w:tcPr>
          <w:p w14:paraId="15E9D75E" w14:textId="77777777" w:rsidR="008B7E19" w:rsidRPr="001A1E07" w:rsidRDefault="008B7E19" w:rsidP="008B7E19">
            <w:pPr>
              <w:pStyle w:val="08-Tabelageral"/>
              <w:rPr>
                <w:rFonts w:cs="Arial"/>
                <w:b/>
                <w:szCs w:val="14"/>
              </w:rPr>
            </w:pPr>
            <w:r>
              <w:rPr>
                <w:rFonts w:cs="Arial"/>
                <w:b/>
                <w:szCs w:val="14"/>
              </w:rPr>
              <w:t>12,184</w:t>
            </w:r>
          </w:p>
        </w:tc>
        <w:tc>
          <w:tcPr>
            <w:tcW w:w="282" w:type="dxa"/>
            <w:tcBorders>
              <w:top w:val="nil"/>
              <w:bottom w:val="single" w:sz="2" w:space="0" w:color="1F4E79" w:themeColor="accent1" w:themeShade="80"/>
            </w:tcBorders>
            <w:shd w:val="clear" w:color="auto" w:fill="auto"/>
            <w:vAlign w:val="center"/>
          </w:tcPr>
          <w:p w14:paraId="46F8007F" w14:textId="77777777" w:rsidR="008B7E19" w:rsidRPr="001A1E07" w:rsidRDefault="008B7E19" w:rsidP="008B7E19">
            <w:pPr>
              <w:pStyle w:val="08-Tabelageral"/>
              <w:rPr>
                <w:rFonts w:cs="Arial"/>
                <w:b/>
                <w:szCs w:val="14"/>
              </w:rPr>
            </w:pPr>
          </w:p>
        </w:tc>
        <w:tc>
          <w:tcPr>
            <w:tcW w:w="1405" w:type="dxa"/>
            <w:tcBorders>
              <w:top w:val="nil"/>
              <w:bottom w:val="single" w:sz="2" w:space="0" w:color="1F4E79" w:themeColor="accent1" w:themeShade="80"/>
            </w:tcBorders>
            <w:shd w:val="clear" w:color="auto" w:fill="auto"/>
            <w:vAlign w:val="center"/>
          </w:tcPr>
          <w:p w14:paraId="3337EFB0" w14:textId="77777777" w:rsidR="008B7E19" w:rsidRPr="001A1E07" w:rsidRDefault="008B7E19" w:rsidP="008B7E19">
            <w:pPr>
              <w:pStyle w:val="08-Tabelageral"/>
              <w:rPr>
                <w:rFonts w:cs="Arial"/>
                <w:b/>
                <w:szCs w:val="14"/>
              </w:rPr>
            </w:pPr>
            <w:r>
              <w:rPr>
                <w:rFonts w:cs="Arial"/>
                <w:b/>
                <w:szCs w:val="14"/>
              </w:rPr>
              <w:t>82,561</w:t>
            </w:r>
          </w:p>
        </w:tc>
        <w:tc>
          <w:tcPr>
            <w:tcW w:w="1511" w:type="dxa"/>
            <w:tcBorders>
              <w:top w:val="nil"/>
              <w:bottom w:val="single" w:sz="2" w:space="0" w:color="1F4E79" w:themeColor="accent1" w:themeShade="80"/>
            </w:tcBorders>
            <w:shd w:val="clear" w:color="auto" w:fill="auto"/>
            <w:vAlign w:val="center"/>
          </w:tcPr>
          <w:p w14:paraId="03F30DD4" w14:textId="77777777" w:rsidR="008B7E19" w:rsidRPr="001A1E07" w:rsidRDefault="008B7E19" w:rsidP="008B7E19">
            <w:pPr>
              <w:pStyle w:val="08-Tabelageral"/>
              <w:rPr>
                <w:rFonts w:cs="Arial"/>
                <w:b/>
                <w:szCs w:val="14"/>
              </w:rPr>
            </w:pPr>
            <w:r>
              <w:rPr>
                <w:rFonts w:cs="Arial"/>
                <w:b/>
                <w:szCs w:val="14"/>
              </w:rPr>
              <w:t>105,363</w:t>
            </w:r>
          </w:p>
        </w:tc>
      </w:tr>
    </w:tbl>
    <w:bookmarkEnd w:id="59"/>
    <w:p w14:paraId="536B4A97" w14:textId="77777777" w:rsidR="008B7E19" w:rsidRPr="00057594" w:rsidRDefault="008B7E19" w:rsidP="008B7E19">
      <w:pPr>
        <w:pStyle w:val="PargrafodaLista"/>
        <w:numPr>
          <w:ilvl w:val="0"/>
          <w:numId w:val="11"/>
        </w:numPr>
        <w:jc w:val="both"/>
        <w:rPr>
          <w:rFonts w:ascii="Arial" w:hAnsi="Arial" w:cs="Arial"/>
          <w:sz w:val="14"/>
          <w:szCs w:val="14"/>
          <w:lang w:val="en-US"/>
        </w:rPr>
      </w:pPr>
      <w:r w:rsidRPr="007339E2">
        <w:rPr>
          <w:rFonts w:ascii="Arial" w:hAnsi="Arial" w:cs="Arial"/>
          <w:sz w:val="14"/>
          <w:szCs w:val="14"/>
          <w:lang w:val="en-US"/>
        </w:rPr>
        <w:t>Refers to the apportionment of expenses calculated in accordance with the contract for sharing customer data, use of staff, distribution network and technological and administrative material resources, entered into between Banco do Brasil, BB Seguridade, BB Corretora and BB Seguros</w:t>
      </w:r>
      <w:r>
        <w:rPr>
          <w:rFonts w:ascii="Arial" w:hAnsi="Arial" w:cs="Arial"/>
          <w:sz w:val="14"/>
          <w:szCs w:val="14"/>
          <w:lang w:val="en-US"/>
        </w:rPr>
        <w:t>.</w:t>
      </w:r>
      <w:r w:rsidRPr="007339E2">
        <w:rPr>
          <w:lang w:val="en-US"/>
        </w:rPr>
        <w:t xml:space="preserve"> </w:t>
      </w:r>
      <w:r w:rsidRPr="007339E2">
        <w:rPr>
          <w:rFonts w:ascii="Arial" w:hAnsi="Arial" w:cs="Arial"/>
          <w:sz w:val="14"/>
          <w:szCs w:val="14"/>
          <w:lang w:val="en-US"/>
        </w:rPr>
        <w:t>In the Consolidated, it also includes amounts payable to related companies, resulting from brokerage commissions to be returned. On 12/29/2022, the 1st Amendment to the Partnership Restructuring Agreement was signed, providing for the elimination of the price adjustment mechanism, effective for three years, renewable successively, starting in 2023.</w:t>
      </w:r>
    </w:p>
    <w:p w14:paraId="25844864" w14:textId="53C35810" w:rsidR="00CC37BC" w:rsidRDefault="00CC37BC" w:rsidP="008B7E19">
      <w:pPr>
        <w:pStyle w:val="02-TtulodeNota"/>
        <w:rPr>
          <w:rFonts w:eastAsiaTheme="minorHAnsi" w:cs="Arial"/>
          <w:bCs/>
          <w:color w:val="1F4E79" w:themeColor="accent1" w:themeShade="80"/>
          <w:spacing w:val="0"/>
          <w:lang w:val="en-US"/>
        </w:rPr>
      </w:pPr>
    </w:p>
    <w:p w14:paraId="333C5A0E" w14:textId="547CD34F" w:rsidR="008B7E19" w:rsidRPr="00E2299D" w:rsidRDefault="008B7E19" w:rsidP="008B7E19">
      <w:pPr>
        <w:pStyle w:val="02-TtulodeNota"/>
        <w:rPr>
          <w:color w:val="1F4E79" w:themeColor="accent1" w:themeShade="80"/>
          <w:lang w:val="en-US"/>
        </w:rPr>
      </w:pPr>
      <w:bookmarkStart w:id="61" w:name="_Toc141966703"/>
      <w:r w:rsidRPr="00E2299D">
        <w:rPr>
          <w:color w:val="1F4E79" w:themeColor="accent1" w:themeShade="80"/>
          <w:lang w:val="en-US"/>
        </w:rPr>
        <w:t>25 – EQUITY</w:t>
      </w:r>
      <w:bookmarkEnd w:id="61"/>
    </w:p>
    <w:p w14:paraId="2D57A154" w14:textId="77777777" w:rsidR="008B7E19" w:rsidRPr="00E2299D" w:rsidRDefault="008B7E19" w:rsidP="008B7E19">
      <w:pPr>
        <w:pStyle w:val="01-Textonormal"/>
        <w:rPr>
          <w:b/>
          <w:color w:val="1F4E79" w:themeColor="accent1" w:themeShade="80"/>
          <w:lang w:val="en-US"/>
        </w:rPr>
      </w:pPr>
      <w:r w:rsidRPr="00E2299D">
        <w:rPr>
          <w:b/>
          <w:color w:val="1F4E79" w:themeColor="accent1" w:themeShade="80"/>
          <w:lang w:val="en-US"/>
        </w:rPr>
        <w:t xml:space="preserve">a) Capital </w:t>
      </w:r>
    </w:p>
    <w:p w14:paraId="15D4EFFB" w14:textId="77777777" w:rsidR="008B7E19" w:rsidRPr="00E2299D" w:rsidRDefault="008B7E19" w:rsidP="008B7E19">
      <w:pPr>
        <w:pStyle w:val="05-Textonormal2"/>
        <w:rPr>
          <w:rFonts w:cs="Arial"/>
          <w:lang w:val="en-US"/>
        </w:rPr>
      </w:pPr>
      <w:r w:rsidRPr="00E2299D">
        <w:rPr>
          <w:rFonts w:cs="Arial"/>
          <w:lang w:val="en-US"/>
        </w:rPr>
        <w:t>The capital, fully subscribed and paid in,</w:t>
      </w:r>
      <w:r>
        <w:rPr>
          <w:rFonts w:cs="Arial"/>
          <w:lang w:val="en-US"/>
        </w:rPr>
        <w:t xml:space="preserve"> </w:t>
      </w:r>
      <w:r w:rsidRPr="00E2299D">
        <w:rPr>
          <w:rFonts w:cs="Arial"/>
          <w:lang w:val="en-US"/>
        </w:rPr>
        <w:t xml:space="preserve">amounted to R$ </w:t>
      </w:r>
      <w:r w:rsidRPr="00E2299D">
        <w:rPr>
          <w:lang w:val="en-US"/>
        </w:rPr>
        <w:t>6,269,692</w:t>
      </w:r>
      <w:r w:rsidRPr="00E2299D">
        <w:rPr>
          <w:rFonts w:cs="Arial"/>
          <w:color w:val="000000"/>
          <w:szCs w:val="14"/>
          <w:lang w:val="en-US"/>
        </w:rPr>
        <w:t xml:space="preserve"> </w:t>
      </w:r>
      <w:r w:rsidRPr="00E2299D">
        <w:rPr>
          <w:rFonts w:cs="Arial"/>
          <w:lang w:val="en-US"/>
        </w:rPr>
        <w:t xml:space="preserve">thousand as of </w:t>
      </w:r>
      <w:r>
        <w:rPr>
          <w:rStyle w:val="rynqvb"/>
          <w:lang w:val="en"/>
        </w:rPr>
        <w:t>June</w:t>
      </w:r>
      <w:r w:rsidRPr="00E2299D">
        <w:rPr>
          <w:rFonts w:cs="Arial"/>
          <w:lang w:val="en-US"/>
        </w:rPr>
        <w:t xml:space="preserve"> 3</w:t>
      </w:r>
      <w:r>
        <w:rPr>
          <w:rFonts w:cs="Arial"/>
          <w:lang w:val="en-US"/>
        </w:rPr>
        <w:t>0</w:t>
      </w:r>
      <w:r w:rsidRPr="00E2299D">
        <w:rPr>
          <w:rFonts w:cs="Arial"/>
          <w:lang w:val="en-US"/>
        </w:rPr>
        <w:t>, 202</w:t>
      </w:r>
      <w:r>
        <w:rPr>
          <w:rFonts w:cs="Arial"/>
          <w:lang w:val="en-US"/>
        </w:rPr>
        <w:t>3</w:t>
      </w:r>
      <w:r w:rsidRPr="00E2299D">
        <w:rPr>
          <w:rFonts w:cs="Arial"/>
          <w:lang w:val="en-US"/>
        </w:rPr>
        <w:t xml:space="preserve"> (</w:t>
      </w:r>
      <w:r w:rsidRPr="00E2299D">
        <w:rPr>
          <w:lang w:val="en-US"/>
        </w:rPr>
        <w:t xml:space="preserve">R$ </w:t>
      </w:r>
      <w:r>
        <w:rPr>
          <w:lang w:val="en-US"/>
        </w:rPr>
        <w:t>6,269,692</w:t>
      </w:r>
      <w:r w:rsidRPr="00E2299D">
        <w:rPr>
          <w:lang w:val="en-US"/>
        </w:rPr>
        <w:t xml:space="preserve"> thousand of December 31, 202</w:t>
      </w:r>
      <w:r>
        <w:rPr>
          <w:lang w:val="en-US"/>
        </w:rPr>
        <w:t>2</w:t>
      </w:r>
      <w:r w:rsidRPr="00E2299D">
        <w:rPr>
          <w:lang w:val="en-US"/>
        </w:rPr>
        <w:t>)</w:t>
      </w:r>
      <w:r w:rsidRPr="00E2299D">
        <w:rPr>
          <w:rFonts w:cs="Arial"/>
          <w:lang w:val="en-US"/>
        </w:rPr>
        <w:t>, it is divided into 2,000,000,000 (two billion) shares, represented in book-entry form and without par value.</w:t>
      </w:r>
    </w:p>
    <w:p w14:paraId="25072935" w14:textId="77777777" w:rsidR="008B7E19" w:rsidRPr="00E2299D" w:rsidRDefault="008B7E19" w:rsidP="008B7E19">
      <w:pPr>
        <w:pStyle w:val="05-Textonormal2"/>
        <w:jc w:val="left"/>
        <w:rPr>
          <w:rFonts w:cs="Arial"/>
          <w:lang w:val="en-US"/>
        </w:rPr>
      </w:pPr>
      <w:r w:rsidRPr="00E2299D">
        <w:rPr>
          <w:rFonts w:cs="Arial"/>
          <w:lang w:val="en-US"/>
        </w:rPr>
        <w:t xml:space="preserve">The shareholders’ equity amounted </w:t>
      </w:r>
      <w:r w:rsidRPr="00E2299D">
        <w:rPr>
          <w:lang w:val="en-US"/>
        </w:rPr>
        <w:t xml:space="preserve">R$ </w:t>
      </w:r>
      <w:r w:rsidRPr="009C3118">
        <w:rPr>
          <w:lang w:val="en-US"/>
        </w:rPr>
        <w:t xml:space="preserve">8,943,943 </w:t>
      </w:r>
      <w:r w:rsidRPr="00E2299D">
        <w:rPr>
          <w:lang w:val="en-US"/>
        </w:rPr>
        <w:t xml:space="preserve">mil </w:t>
      </w:r>
      <w:r w:rsidRPr="00E2299D">
        <w:rPr>
          <w:rFonts w:cs="Arial"/>
          <w:lang w:val="en-US"/>
        </w:rPr>
        <w:t xml:space="preserve">thousand in </w:t>
      </w:r>
      <w:r>
        <w:rPr>
          <w:rStyle w:val="rynqvb"/>
          <w:lang w:val="en"/>
        </w:rPr>
        <w:t>June</w:t>
      </w:r>
      <w:r w:rsidRPr="00E2299D">
        <w:rPr>
          <w:rFonts w:cs="Arial"/>
          <w:lang w:val="en-US"/>
        </w:rPr>
        <w:t xml:space="preserve"> 3</w:t>
      </w:r>
      <w:r>
        <w:rPr>
          <w:rFonts w:cs="Arial"/>
          <w:lang w:val="en-US"/>
        </w:rPr>
        <w:t>0</w:t>
      </w:r>
      <w:r w:rsidRPr="00E2299D">
        <w:rPr>
          <w:rFonts w:cs="Arial"/>
          <w:lang w:val="en-US"/>
        </w:rPr>
        <w:t>, 202</w:t>
      </w:r>
      <w:r>
        <w:rPr>
          <w:rFonts w:cs="Arial"/>
          <w:lang w:val="en-US"/>
        </w:rPr>
        <w:t>3</w:t>
      </w:r>
      <w:r w:rsidRPr="00E2299D">
        <w:rPr>
          <w:rFonts w:cs="Arial"/>
          <w:lang w:val="en-US"/>
        </w:rPr>
        <w:t xml:space="preserve"> (R$ </w:t>
      </w:r>
      <w:r w:rsidRPr="009C3118">
        <w:rPr>
          <w:lang w:val="en-US"/>
        </w:rPr>
        <w:t xml:space="preserve">8,036,730 </w:t>
      </w:r>
      <w:r w:rsidRPr="00E2299D">
        <w:rPr>
          <w:rFonts w:cs="Arial"/>
          <w:lang w:val="en-US"/>
        </w:rPr>
        <w:t>thousand as of December 31, 202</w:t>
      </w:r>
      <w:r>
        <w:rPr>
          <w:rFonts w:cs="Arial"/>
          <w:lang w:val="en-US"/>
        </w:rPr>
        <w:t xml:space="preserve">2 – </w:t>
      </w:r>
      <w:r>
        <w:rPr>
          <w:rStyle w:val="rynqvb"/>
          <w:lang w:val="en"/>
        </w:rPr>
        <w:t>reintroduced</w:t>
      </w:r>
      <w:r w:rsidRPr="00E2299D">
        <w:rPr>
          <w:rFonts w:cs="Arial"/>
          <w:lang w:val="en-US"/>
        </w:rPr>
        <w:t xml:space="preserve">), corresponding a book value per share of R$ </w:t>
      </w:r>
      <w:r>
        <w:rPr>
          <w:rFonts w:cs="Arial"/>
          <w:lang w:val="en-US"/>
        </w:rPr>
        <w:t>4</w:t>
      </w:r>
      <w:r w:rsidRPr="00E2299D">
        <w:rPr>
          <w:lang w:val="en-US"/>
        </w:rPr>
        <w:t>.</w:t>
      </w:r>
      <w:r>
        <w:rPr>
          <w:lang w:val="en-US"/>
        </w:rPr>
        <w:t>47</w:t>
      </w:r>
      <w:r w:rsidRPr="00E2299D">
        <w:rPr>
          <w:lang w:val="en-US"/>
        </w:rPr>
        <w:t xml:space="preserve"> </w:t>
      </w:r>
      <w:r w:rsidRPr="00E2299D">
        <w:rPr>
          <w:rFonts w:cs="Arial"/>
          <w:lang w:val="en-US"/>
        </w:rPr>
        <w:t xml:space="preserve">per share in </w:t>
      </w:r>
      <w:r>
        <w:rPr>
          <w:rFonts w:cs="Arial"/>
          <w:lang w:val="en-US"/>
        </w:rPr>
        <w:t>June</w:t>
      </w:r>
      <w:r w:rsidRPr="00E2299D">
        <w:rPr>
          <w:rFonts w:cs="Arial"/>
          <w:lang w:val="en-US"/>
        </w:rPr>
        <w:t xml:space="preserve"> 3</w:t>
      </w:r>
      <w:r>
        <w:rPr>
          <w:rFonts w:cs="Arial"/>
          <w:lang w:val="en-US"/>
        </w:rPr>
        <w:t>0</w:t>
      </w:r>
      <w:r w:rsidRPr="00E2299D">
        <w:rPr>
          <w:rFonts w:cs="Arial"/>
          <w:lang w:val="en-US"/>
        </w:rPr>
        <w:t>, 202</w:t>
      </w:r>
      <w:r>
        <w:rPr>
          <w:rFonts w:cs="Arial"/>
          <w:lang w:val="en-US"/>
        </w:rPr>
        <w:t>3</w:t>
      </w:r>
      <w:r w:rsidRPr="00E2299D">
        <w:rPr>
          <w:rFonts w:cs="Arial"/>
          <w:lang w:val="en-US"/>
        </w:rPr>
        <w:t xml:space="preserve"> (R$ </w:t>
      </w:r>
      <w:r>
        <w:rPr>
          <w:rFonts w:cs="Arial"/>
          <w:lang w:val="en-US"/>
        </w:rPr>
        <w:t>4.02</w:t>
      </w:r>
      <w:r w:rsidRPr="00E2299D">
        <w:rPr>
          <w:rFonts w:cs="Arial"/>
          <w:lang w:val="en-US"/>
        </w:rPr>
        <w:t xml:space="preserve"> per share as of December 31, 202</w:t>
      </w:r>
      <w:r>
        <w:rPr>
          <w:rFonts w:cs="Arial"/>
          <w:lang w:val="en-US"/>
        </w:rPr>
        <w:t>2 - reintroduced</w:t>
      </w:r>
      <w:r w:rsidRPr="00E2299D">
        <w:rPr>
          <w:rFonts w:cs="Arial"/>
          <w:lang w:val="en-US"/>
        </w:rPr>
        <w:t xml:space="preserve">). </w:t>
      </w:r>
    </w:p>
    <w:p w14:paraId="1EC49280" w14:textId="77777777" w:rsidR="008B7E19" w:rsidRPr="00E2299D" w:rsidRDefault="008B7E19" w:rsidP="008B7E19">
      <w:pPr>
        <w:pStyle w:val="01-Textonormal"/>
        <w:rPr>
          <w:b/>
          <w:color w:val="1F4E79" w:themeColor="accent1" w:themeShade="80"/>
          <w:lang w:val="en-US"/>
        </w:rPr>
      </w:pPr>
      <w:r w:rsidRPr="00E2299D">
        <w:rPr>
          <w:b/>
          <w:color w:val="1F4E79" w:themeColor="accent1" w:themeShade="80"/>
          <w:lang w:val="en-US"/>
        </w:rPr>
        <w:t xml:space="preserve">b) Capital and Profit Reserves </w:t>
      </w:r>
    </w:p>
    <w:p w14:paraId="7634ED79" w14:textId="77777777" w:rsidR="008B7E19" w:rsidRPr="009E41F1" w:rsidRDefault="008B7E19" w:rsidP="008B7E19">
      <w:pPr>
        <w:pStyle w:val="06-Rmil"/>
        <w:rPr>
          <w:lang w:val="en-US"/>
        </w:rPr>
      </w:pPr>
      <w:r w:rsidRPr="009E41F1">
        <w:rPr>
          <w:lang w:val="en-US"/>
        </w:rPr>
        <w:t>R$ thousand</w:t>
      </w:r>
    </w:p>
    <w:tbl>
      <w:tblPr>
        <w:tblStyle w:val="TabeladeLista6Colorida-nfase5"/>
        <w:tblW w:w="9639" w:type="dxa"/>
        <w:jc w:val="center"/>
        <w:tblLook w:val="04A0" w:firstRow="1" w:lastRow="0" w:firstColumn="1" w:lastColumn="0" w:noHBand="0" w:noVBand="1"/>
      </w:tblPr>
      <w:tblGrid>
        <w:gridCol w:w="6905"/>
        <w:gridCol w:w="1295"/>
        <w:gridCol w:w="1439"/>
      </w:tblGrid>
      <w:tr w:rsidR="008B7E19" w14:paraId="769B2B47" w14:textId="77777777" w:rsidTr="008B7E19">
        <w:trPr>
          <w:cnfStyle w:val="100000000000" w:firstRow="1" w:lastRow="0" w:firstColumn="0" w:lastColumn="0" w:oddVBand="0" w:evenVBand="0" w:oddHBand="0" w:evenHBand="0" w:firstRowFirstColumn="0" w:firstRowLastColumn="0" w:lastRowFirstColumn="0" w:lastRowLastColumn="0"/>
          <w:trHeight w:hRule="exact" w:val="283"/>
          <w:jc w:val="center"/>
        </w:trPr>
        <w:tc>
          <w:tcPr>
            <w:cnfStyle w:val="001000000000" w:firstRow="0" w:lastRow="0" w:firstColumn="1" w:lastColumn="0" w:oddVBand="0" w:evenVBand="0" w:oddHBand="0" w:evenHBand="0" w:firstRowFirstColumn="0" w:firstRowLastColumn="0" w:lastRowFirstColumn="0" w:lastRowLastColumn="0"/>
            <w:tcW w:w="6905" w:type="dxa"/>
            <w:tcBorders>
              <w:top w:val="single" w:sz="2" w:space="0" w:color="1F4E79" w:themeColor="accent1" w:themeShade="80"/>
              <w:bottom w:val="nil"/>
            </w:tcBorders>
            <w:shd w:val="clear" w:color="auto" w:fill="auto"/>
            <w:vAlign w:val="center"/>
          </w:tcPr>
          <w:p w14:paraId="678724E7" w14:textId="77777777" w:rsidR="008B7E19" w:rsidRPr="00E2299D" w:rsidRDefault="008B7E19" w:rsidP="008B7E19">
            <w:pPr>
              <w:jc w:val="center"/>
              <w:rPr>
                <w:rFonts w:cs="Arial"/>
                <w:b w:val="0"/>
                <w:sz w:val="14"/>
                <w:szCs w:val="14"/>
                <w:lang w:val="en-US"/>
              </w:rPr>
            </w:pPr>
          </w:p>
        </w:tc>
        <w:tc>
          <w:tcPr>
            <w:tcW w:w="2734" w:type="dxa"/>
            <w:gridSpan w:val="2"/>
            <w:tcBorders>
              <w:top w:val="single" w:sz="2" w:space="0" w:color="1F4E79" w:themeColor="accent1" w:themeShade="80"/>
              <w:bottom w:val="single" w:sz="2" w:space="0" w:color="1F4E79" w:themeColor="accent1" w:themeShade="80"/>
            </w:tcBorders>
            <w:shd w:val="clear" w:color="auto" w:fill="auto"/>
            <w:vAlign w:val="center"/>
          </w:tcPr>
          <w:p w14:paraId="469FAC20" w14:textId="77777777" w:rsidR="008B7E19" w:rsidRPr="007E09C9" w:rsidRDefault="008B7E19" w:rsidP="008B7E19">
            <w:pPr>
              <w:jc w:val="center"/>
              <w:cnfStyle w:val="100000000000" w:firstRow="1" w:lastRow="0" w:firstColumn="0" w:lastColumn="0" w:oddVBand="0" w:evenVBand="0" w:oddHBand="0" w:evenHBand="0" w:firstRowFirstColumn="0" w:firstRowLastColumn="0" w:lastRowFirstColumn="0" w:lastRowLastColumn="0"/>
              <w:rPr>
                <w:rFonts w:cs="Arial"/>
                <w:sz w:val="14"/>
                <w:szCs w:val="14"/>
              </w:rPr>
            </w:pPr>
            <w:r w:rsidRPr="007E09C9">
              <w:rPr>
                <w:rFonts w:cs="Arial"/>
                <w:sz w:val="14"/>
                <w:szCs w:val="14"/>
                <w:lang w:val="en-US"/>
              </w:rPr>
              <w:t>Parent and Consolidated</w:t>
            </w:r>
          </w:p>
        </w:tc>
      </w:tr>
      <w:tr w:rsidR="008B7E19" w:rsidRPr="001D6BE8" w14:paraId="44662114" w14:textId="77777777" w:rsidTr="008B7E19">
        <w:trPr>
          <w:cnfStyle w:val="000000100000" w:firstRow="0" w:lastRow="0" w:firstColumn="0" w:lastColumn="0" w:oddVBand="0" w:evenVBand="0" w:oddHBand="1" w:evenHBand="0" w:firstRowFirstColumn="0" w:firstRowLastColumn="0" w:lastRowFirstColumn="0" w:lastRowLastColumn="0"/>
          <w:trHeight w:hRule="exact" w:val="248"/>
          <w:jc w:val="center"/>
        </w:trPr>
        <w:tc>
          <w:tcPr>
            <w:cnfStyle w:val="001000000000" w:firstRow="0" w:lastRow="0" w:firstColumn="1" w:lastColumn="0" w:oddVBand="0" w:evenVBand="0" w:oddHBand="0" w:evenHBand="0" w:firstRowFirstColumn="0" w:firstRowLastColumn="0" w:lastRowFirstColumn="0" w:lastRowLastColumn="0"/>
            <w:tcW w:w="6905" w:type="dxa"/>
            <w:tcBorders>
              <w:top w:val="nil"/>
              <w:bottom w:val="single" w:sz="2" w:space="0" w:color="1F4E79" w:themeColor="accent1" w:themeShade="80"/>
            </w:tcBorders>
            <w:shd w:val="clear" w:color="auto" w:fill="auto"/>
          </w:tcPr>
          <w:p w14:paraId="39D832F6" w14:textId="77777777" w:rsidR="008B7E19" w:rsidRPr="007E09C9" w:rsidRDefault="008B7E19" w:rsidP="008B7E19">
            <w:pPr>
              <w:pStyle w:val="08-Tabelageral"/>
              <w:rPr>
                <w:rFonts w:cs="Arial"/>
                <w:b w:val="0"/>
                <w:szCs w:val="14"/>
              </w:rPr>
            </w:pPr>
          </w:p>
        </w:tc>
        <w:tc>
          <w:tcPr>
            <w:tcW w:w="1295" w:type="dxa"/>
            <w:tcBorders>
              <w:top w:val="single" w:sz="2" w:space="0" w:color="1F4E79" w:themeColor="accent1" w:themeShade="80"/>
              <w:bottom w:val="single" w:sz="2" w:space="0" w:color="1F4E79" w:themeColor="accent1" w:themeShade="80"/>
            </w:tcBorders>
            <w:shd w:val="clear" w:color="auto" w:fill="auto"/>
            <w:vAlign w:val="center"/>
          </w:tcPr>
          <w:p w14:paraId="3627DE0F" w14:textId="77777777" w:rsidR="008B7E19" w:rsidRPr="007E09C9"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r>
              <w:rPr>
                <w:rFonts w:cs="Arial"/>
                <w:b/>
                <w:szCs w:val="14"/>
              </w:rPr>
              <w:t xml:space="preserve">June </w:t>
            </w:r>
            <w:r w:rsidRPr="007E09C9">
              <w:rPr>
                <w:rFonts w:cs="Arial"/>
                <w:b/>
                <w:szCs w:val="14"/>
              </w:rPr>
              <w:t>3</w:t>
            </w:r>
            <w:r>
              <w:rPr>
                <w:rFonts w:cs="Arial"/>
                <w:b/>
                <w:szCs w:val="14"/>
              </w:rPr>
              <w:t xml:space="preserve">0, </w:t>
            </w:r>
            <w:r w:rsidRPr="007E09C9">
              <w:rPr>
                <w:rFonts w:cs="Arial"/>
                <w:b/>
                <w:szCs w:val="14"/>
              </w:rPr>
              <w:t>202</w:t>
            </w:r>
            <w:r>
              <w:rPr>
                <w:rFonts w:cs="Arial"/>
                <w:b/>
                <w:szCs w:val="14"/>
              </w:rPr>
              <w:t>3</w:t>
            </w:r>
          </w:p>
        </w:tc>
        <w:tc>
          <w:tcPr>
            <w:tcW w:w="1439" w:type="dxa"/>
            <w:tcBorders>
              <w:top w:val="single" w:sz="2" w:space="0" w:color="1F4E79" w:themeColor="accent1" w:themeShade="80"/>
              <w:bottom w:val="single" w:sz="2" w:space="0" w:color="1F4E79" w:themeColor="accent1" w:themeShade="80"/>
            </w:tcBorders>
            <w:shd w:val="clear" w:color="auto" w:fill="auto"/>
            <w:vAlign w:val="center"/>
          </w:tcPr>
          <w:p w14:paraId="327EC55C" w14:textId="77777777" w:rsidR="008B7E19" w:rsidRPr="0076531A"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r w:rsidRPr="0076531A">
              <w:rPr>
                <w:rFonts w:cs="Arial"/>
                <w:b/>
                <w:szCs w:val="14"/>
              </w:rPr>
              <w:t>Dec 31, 2022</w:t>
            </w:r>
          </w:p>
        </w:tc>
      </w:tr>
      <w:tr w:rsidR="008B7E19" w:rsidRPr="002F79A6" w14:paraId="67D48FEF" w14:textId="77777777" w:rsidTr="008B7E19">
        <w:trPr>
          <w:trHeight w:hRule="exact" w:val="238"/>
          <w:jc w:val="center"/>
        </w:trPr>
        <w:tc>
          <w:tcPr>
            <w:cnfStyle w:val="001000000000" w:firstRow="0" w:lastRow="0" w:firstColumn="1" w:lastColumn="0" w:oddVBand="0" w:evenVBand="0" w:oddHBand="0" w:evenHBand="0" w:firstRowFirstColumn="0" w:firstRowLastColumn="0" w:lastRowFirstColumn="0" w:lastRowLastColumn="0"/>
            <w:tcW w:w="6905" w:type="dxa"/>
            <w:tcBorders>
              <w:top w:val="single" w:sz="2" w:space="0" w:color="1F4E79" w:themeColor="accent1" w:themeShade="80"/>
              <w:bottom w:val="nil"/>
            </w:tcBorders>
            <w:shd w:val="clear" w:color="auto" w:fill="auto"/>
            <w:vAlign w:val="center"/>
          </w:tcPr>
          <w:p w14:paraId="1D0FE11F" w14:textId="77777777" w:rsidR="008B7E19" w:rsidRPr="007E09C9" w:rsidRDefault="008B7E19" w:rsidP="008B7E19">
            <w:pPr>
              <w:pStyle w:val="08-Tabelageral"/>
              <w:ind w:left="113" w:hanging="222"/>
              <w:jc w:val="left"/>
              <w:rPr>
                <w:rFonts w:cs="Arial"/>
                <w:szCs w:val="14"/>
              </w:rPr>
            </w:pPr>
            <w:r w:rsidRPr="007E09C9">
              <w:rPr>
                <w:rFonts w:cs="Arial"/>
                <w:szCs w:val="14"/>
              </w:rPr>
              <w:t>Capital Reserves</w:t>
            </w:r>
          </w:p>
        </w:tc>
        <w:tc>
          <w:tcPr>
            <w:tcW w:w="1295" w:type="dxa"/>
            <w:tcBorders>
              <w:top w:val="single" w:sz="2" w:space="0" w:color="1F4E79" w:themeColor="accent1" w:themeShade="80"/>
              <w:bottom w:val="nil"/>
            </w:tcBorders>
            <w:shd w:val="clear" w:color="auto" w:fill="auto"/>
            <w:vAlign w:val="center"/>
          </w:tcPr>
          <w:p w14:paraId="053C2879" w14:textId="77777777" w:rsidR="008B7E19" w:rsidRPr="007E09C9" w:rsidRDefault="008B7E19" w:rsidP="008B7E19">
            <w:pPr>
              <w:pStyle w:val="08-Tabelageral"/>
              <w:ind w:left="113"/>
              <w:cnfStyle w:val="000000000000" w:firstRow="0" w:lastRow="0" w:firstColumn="0" w:lastColumn="0" w:oddVBand="0" w:evenVBand="0" w:oddHBand="0" w:evenHBand="0" w:firstRowFirstColumn="0" w:firstRowLastColumn="0" w:lastRowFirstColumn="0" w:lastRowLastColumn="0"/>
              <w:rPr>
                <w:rFonts w:cs="Arial"/>
                <w:b/>
                <w:szCs w:val="14"/>
              </w:rPr>
            </w:pPr>
            <w:r w:rsidRPr="00985CDC">
              <w:rPr>
                <w:rFonts w:cs="Arial"/>
                <w:b/>
                <w:bCs/>
                <w:szCs w:val="14"/>
              </w:rPr>
              <w:t>1</w:t>
            </w:r>
            <w:r>
              <w:rPr>
                <w:rFonts w:cs="Arial"/>
                <w:b/>
                <w:bCs/>
                <w:szCs w:val="14"/>
              </w:rPr>
              <w:t>,</w:t>
            </w:r>
            <w:r w:rsidRPr="00985CDC">
              <w:rPr>
                <w:rFonts w:cs="Arial"/>
                <w:b/>
                <w:bCs/>
                <w:szCs w:val="14"/>
              </w:rPr>
              <w:t>801</w:t>
            </w:r>
          </w:p>
        </w:tc>
        <w:tc>
          <w:tcPr>
            <w:tcW w:w="1439" w:type="dxa"/>
            <w:tcBorders>
              <w:top w:val="single" w:sz="2" w:space="0" w:color="1F4E79" w:themeColor="accent1" w:themeShade="80"/>
              <w:bottom w:val="nil"/>
            </w:tcBorders>
            <w:shd w:val="clear" w:color="auto" w:fill="auto"/>
            <w:vAlign w:val="center"/>
          </w:tcPr>
          <w:p w14:paraId="6FE964FF" w14:textId="77777777" w:rsidR="008B7E19" w:rsidRPr="007E09C9" w:rsidRDefault="008B7E19" w:rsidP="008B7E19">
            <w:pPr>
              <w:pStyle w:val="08-Tabelageral"/>
              <w:ind w:left="113"/>
              <w:cnfStyle w:val="000000000000" w:firstRow="0" w:lastRow="0" w:firstColumn="0" w:lastColumn="0" w:oddVBand="0" w:evenVBand="0" w:oddHBand="0" w:evenHBand="0" w:firstRowFirstColumn="0" w:firstRowLastColumn="0" w:lastRowFirstColumn="0" w:lastRowLastColumn="0"/>
              <w:rPr>
                <w:rFonts w:cs="Arial"/>
                <w:b/>
                <w:szCs w:val="14"/>
              </w:rPr>
            </w:pPr>
            <w:r w:rsidRPr="00EC1997">
              <w:rPr>
                <w:rFonts w:cs="Arial"/>
                <w:b/>
                <w:bCs/>
                <w:szCs w:val="14"/>
              </w:rPr>
              <w:t>1</w:t>
            </w:r>
            <w:r>
              <w:rPr>
                <w:rFonts w:cs="Arial"/>
                <w:b/>
                <w:bCs/>
                <w:szCs w:val="14"/>
              </w:rPr>
              <w:t>,</w:t>
            </w:r>
            <w:r w:rsidRPr="00EC1997">
              <w:rPr>
                <w:rFonts w:cs="Arial"/>
                <w:b/>
                <w:bCs/>
                <w:szCs w:val="14"/>
              </w:rPr>
              <w:t>571</w:t>
            </w:r>
          </w:p>
        </w:tc>
      </w:tr>
      <w:tr w:rsidR="008B7E19" w:rsidRPr="002F79A6" w14:paraId="1D1BAE86" w14:textId="77777777" w:rsidTr="008B7E19">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6905" w:type="dxa"/>
            <w:tcBorders>
              <w:top w:val="nil"/>
              <w:bottom w:val="nil"/>
            </w:tcBorders>
            <w:shd w:val="clear" w:color="auto" w:fill="auto"/>
            <w:vAlign w:val="center"/>
          </w:tcPr>
          <w:p w14:paraId="60A2A30E" w14:textId="77777777" w:rsidR="008B7E19" w:rsidRPr="007E09C9" w:rsidRDefault="008B7E19" w:rsidP="008B7E19">
            <w:pPr>
              <w:pStyle w:val="08-Tabelageral"/>
              <w:ind w:left="113" w:hanging="222"/>
              <w:jc w:val="left"/>
              <w:rPr>
                <w:rFonts w:cs="Arial"/>
                <w:szCs w:val="14"/>
              </w:rPr>
            </w:pPr>
            <w:r w:rsidRPr="007E09C9">
              <w:rPr>
                <w:rFonts w:cs="Arial"/>
                <w:szCs w:val="14"/>
              </w:rPr>
              <w:t>Profit Reserves</w:t>
            </w:r>
          </w:p>
        </w:tc>
        <w:tc>
          <w:tcPr>
            <w:tcW w:w="1295" w:type="dxa"/>
            <w:tcBorders>
              <w:top w:val="nil"/>
              <w:bottom w:val="nil"/>
            </w:tcBorders>
            <w:shd w:val="clear" w:color="auto" w:fill="auto"/>
            <w:vAlign w:val="center"/>
          </w:tcPr>
          <w:p w14:paraId="5A564B1E" w14:textId="77777777" w:rsidR="008B7E19" w:rsidRPr="007E09C9" w:rsidRDefault="008B7E19" w:rsidP="008B7E19">
            <w:pPr>
              <w:pStyle w:val="08-Tabelageral"/>
              <w:ind w:left="113"/>
              <w:cnfStyle w:val="000000100000" w:firstRow="0" w:lastRow="0" w:firstColumn="0" w:lastColumn="0" w:oddVBand="0" w:evenVBand="0" w:oddHBand="1" w:evenHBand="0" w:firstRowFirstColumn="0" w:firstRowLastColumn="0" w:lastRowFirstColumn="0" w:lastRowLastColumn="0"/>
              <w:rPr>
                <w:rFonts w:cs="Arial"/>
                <w:b/>
                <w:szCs w:val="14"/>
              </w:rPr>
            </w:pPr>
            <w:r w:rsidRPr="00985CDC">
              <w:rPr>
                <w:rFonts w:cs="Arial"/>
                <w:b/>
                <w:bCs/>
                <w:szCs w:val="14"/>
              </w:rPr>
              <w:t>1</w:t>
            </w:r>
            <w:r>
              <w:rPr>
                <w:rFonts w:cs="Arial"/>
                <w:b/>
                <w:bCs/>
                <w:szCs w:val="14"/>
              </w:rPr>
              <w:t>,</w:t>
            </w:r>
            <w:r w:rsidRPr="00985CDC">
              <w:rPr>
                <w:rFonts w:cs="Arial"/>
                <w:b/>
                <w:bCs/>
                <w:szCs w:val="14"/>
              </w:rPr>
              <w:t>552</w:t>
            </w:r>
            <w:r>
              <w:rPr>
                <w:rFonts w:cs="Arial"/>
                <w:b/>
                <w:bCs/>
                <w:szCs w:val="14"/>
              </w:rPr>
              <w:t>,</w:t>
            </w:r>
            <w:r w:rsidRPr="00985CDC">
              <w:rPr>
                <w:rFonts w:cs="Arial"/>
                <w:b/>
                <w:bCs/>
                <w:szCs w:val="14"/>
              </w:rPr>
              <w:t>229</w:t>
            </w:r>
          </w:p>
        </w:tc>
        <w:tc>
          <w:tcPr>
            <w:tcW w:w="1439" w:type="dxa"/>
            <w:tcBorders>
              <w:top w:val="nil"/>
              <w:bottom w:val="nil"/>
            </w:tcBorders>
            <w:shd w:val="clear" w:color="auto" w:fill="auto"/>
            <w:vAlign w:val="center"/>
          </w:tcPr>
          <w:p w14:paraId="3B8CA17B" w14:textId="77777777" w:rsidR="008B7E19" w:rsidRPr="007E09C9" w:rsidRDefault="008B7E19" w:rsidP="008B7E19">
            <w:pPr>
              <w:pStyle w:val="08-Tabelageral"/>
              <w:ind w:left="113"/>
              <w:cnfStyle w:val="000000100000" w:firstRow="0" w:lastRow="0" w:firstColumn="0" w:lastColumn="0" w:oddVBand="0" w:evenVBand="0" w:oddHBand="1" w:evenHBand="0" w:firstRowFirstColumn="0" w:firstRowLastColumn="0" w:lastRowFirstColumn="0" w:lastRowLastColumn="0"/>
              <w:rPr>
                <w:rFonts w:cs="Arial"/>
                <w:b/>
                <w:szCs w:val="14"/>
              </w:rPr>
            </w:pPr>
            <w:r w:rsidRPr="00EC1997">
              <w:rPr>
                <w:rFonts w:cs="Arial"/>
                <w:b/>
                <w:szCs w:val="14"/>
              </w:rPr>
              <w:t>1</w:t>
            </w:r>
            <w:r>
              <w:rPr>
                <w:rFonts w:cs="Arial"/>
                <w:b/>
                <w:szCs w:val="14"/>
              </w:rPr>
              <w:t>,</w:t>
            </w:r>
            <w:r w:rsidRPr="00EC1997">
              <w:rPr>
                <w:rFonts w:cs="Arial"/>
                <w:b/>
                <w:szCs w:val="14"/>
              </w:rPr>
              <w:t>552</w:t>
            </w:r>
            <w:r>
              <w:rPr>
                <w:rFonts w:cs="Arial"/>
                <w:b/>
                <w:szCs w:val="14"/>
              </w:rPr>
              <w:t>,</w:t>
            </w:r>
            <w:r w:rsidRPr="00EC1997">
              <w:rPr>
                <w:rFonts w:cs="Arial"/>
                <w:b/>
                <w:szCs w:val="14"/>
              </w:rPr>
              <w:t>229</w:t>
            </w:r>
          </w:p>
        </w:tc>
      </w:tr>
      <w:tr w:rsidR="008B7E19" w:rsidRPr="001D6BE8" w14:paraId="215734E4" w14:textId="77777777" w:rsidTr="008B7E19">
        <w:trPr>
          <w:trHeight w:hRule="exact" w:val="238"/>
          <w:jc w:val="center"/>
        </w:trPr>
        <w:tc>
          <w:tcPr>
            <w:cnfStyle w:val="001000000000" w:firstRow="0" w:lastRow="0" w:firstColumn="1" w:lastColumn="0" w:oddVBand="0" w:evenVBand="0" w:oddHBand="0" w:evenHBand="0" w:firstRowFirstColumn="0" w:firstRowLastColumn="0" w:lastRowFirstColumn="0" w:lastRowLastColumn="0"/>
            <w:tcW w:w="6905" w:type="dxa"/>
            <w:tcBorders>
              <w:top w:val="nil"/>
              <w:bottom w:val="nil"/>
            </w:tcBorders>
            <w:shd w:val="clear" w:color="auto" w:fill="auto"/>
            <w:vAlign w:val="center"/>
          </w:tcPr>
          <w:p w14:paraId="4A02FF0E" w14:textId="77777777" w:rsidR="008B7E19" w:rsidRPr="007E09C9" w:rsidRDefault="008B7E19" w:rsidP="008B7E19">
            <w:pPr>
              <w:pStyle w:val="08-Tabelageral"/>
              <w:ind w:firstLine="176"/>
              <w:jc w:val="left"/>
              <w:rPr>
                <w:rFonts w:cs="Arial"/>
                <w:b w:val="0"/>
                <w:szCs w:val="14"/>
              </w:rPr>
            </w:pPr>
            <w:r w:rsidRPr="007E09C9">
              <w:rPr>
                <w:rFonts w:cs="Arial"/>
                <w:b w:val="0"/>
                <w:szCs w:val="14"/>
              </w:rPr>
              <w:t>Legal Reserve</w:t>
            </w:r>
          </w:p>
        </w:tc>
        <w:tc>
          <w:tcPr>
            <w:tcW w:w="1295" w:type="dxa"/>
            <w:tcBorders>
              <w:top w:val="nil"/>
              <w:bottom w:val="nil"/>
            </w:tcBorders>
            <w:shd w:val="clear" w:color="auto" w:fill="auto"/>
            <w:vAlign w:val="center"/>
          </w:tcPr>
          <w:p w14:paraId="6FFF94A6" w14:textId="77777777" w:rsidR="008B7E19" w:rsidRPr="007E09C9" w:rsidRDefault="008B7E19" w:rsidP="008B7E19">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rPr>
            </w:pPr>
            <w:r>
              <w:rPr>
                <w:rFonts w:cs="Arial"/>
                <w:bCs/>
                <w:szCs w:val="14"/>
              </w:rPr>
              <w:t>302,229</w:t>
            </w:r>
          </w:p>
        </w:tc>
        <w:tc>
          <w:tcPr>
            <w:tcW w:w="1439" w:type="dxa"/>
            <w:tcBorders>
              <w:top w:val="nil"/>
              <w:bottom w:val="nil"/>
            </w:tcBorders>
            <w:shd w:val="clear" w:color="auto" w:fill="auto"/>
            <w:vAlign w:val="center"/>
          </w:tcPr>
          <w:p w14:paraId="3AF698F8" w14:textId="77777777" w:rsidR="008B7E19" w:rsidRPr="007E09C9" w:rsidRDefault="008B7E19" w:rsidP="008B7E19">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rPr>
            </w:pPr>
            <w:r>
              <w:rPr>
                <w:rFonts w:cs="Arial"/>
                <w:bCs/>
                <w:szCs w:val="14"/>
              </w:rPr>
              <w:t>302,229</w:t>
            </w:r>
          </w:p>
        </w:tc>
      </w:tr>
      <w:tr w:rsidR="008B7E19" w:rsidRPr="00EB16D4" w14:paraId="5FFA5122" w14:textId="77777777" w:rsidTr="008B7E19">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6905" w:type="dxa"/>
            <w:tcBorders>
              <w:top w:val="nil"/>
              <w:bottom w:val="single" w:sz="2" w:space="0" w:color="1F4E79" w:themeColor="accent1" w:themeShade="80"/>
            </w:tcBorders>
            <w:shd w:val="clear" w:color="auto" w:fill="auto"/>
            <w:vAlign w:val="center"/>
          </w:tcPr>
          <w:p w14:paraId="2994DDA8" w14:textId="77777777" w:rsidR="008B7E19" w:rsidRPr="009C3118" w:rsidRDefault="008B7E19" w:rsidP="008B7E19">
            <w:pPr>
              <w:pStyle w:val="08-Tabelageral"/>
              <w:ind w:firstLine="176"/>
              <w:jc w:val="left"/>
              <w:rPr>
                <w:rFonts w:cs="Arial"/>
                <w:b w:val="0"/>
                <w:szCs w:val="14"/>
                <w:lang w:val="en-US"/>
              </w:rPr>
            </w:pPr>
            <w:r w:rsidRPr="009C3118">
              <w:rPr>
                <w:rFonts w:cs="Arial"/>
                <w:b w:val="0"/>
                <w:szCs w:val="14"/>
                <w:lang w:val="en-US"/>
              </w:rPr>
              <w:t>Reserve for Equalization of Capital Remuneration</w:t>
            </w:r>
          </w:p>
        </w:tc>
        <w:tc>
          <w:tcPr>
            <w:tcW w:w="1295" w:type="dxa"/>
            <w:tcBorders>
              <w:top w:val="nil"/>
              <w:bottom w:val="single" w:sz="2" w:space="0" w:color="1F4E79" w:themeColor="accent1" w:themeShade="80"/>
            </w:tcBorders>
            <w:shd w:val="clear" w:color="auto" w:fill="auto"/>
            <w:vAlign w:val="center"/>
          </w:tcPr>
          <w:p w14:paraId="4F082CCE" w14:textId="77777777" w:rsidR="008B7E19" w:rsidRPr="007E09C9" w:rsidRDefault="008B7E19" w:rsidP="008B7E19">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r>
              <w:rPr>
                <w:rFonts w:cs="Arial"/>
                <w:bCs/>
                <w:szCs w:val="14"/>
              </w:rPr>
              <w:t>1,250,000</w:t>
            </w:r>
          </w:p>
        </w:tc>
        <w:tc>
          <w:tcPr>
            <w:tcW w:w="1439" w:type="dxa"/>
            <w:tcBorders>
              <w:top w:val="nil"/>
              <w:bottom w:val="single" w:sz="2" w:space="0" w:color="1F4E79" w:themeColor="accent1" w:themeShade="80"/>
            </w:tcBorders>
            <w:shd w:val="clear" w:color="auto" w:fill="auto"/>
            <w:vAlign w:val="center"/>
          </w:tcPr>
          <w:p w14:paraId="07ABAC36" w14:textId="77777777" w:rsidR="008B7E19" w:rsidRPr="007E09C9" w:rsidRDefault="008B7E19" w:rsidP="008B7E19">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r>
              <w:rPr>
                <w:rFonts w:cs="Arial"/>
                <w:bCs/>
                <w:szCs w:val="14"/>
              </w:rPr>
              <w:t>1,250,000</w:t>
            </w:r>
          </w:p>
        </w:tc>
      </w:tr>
    </w:tbl>
    <w:p w14:paraId="21076410" w14:textId="77777777" w:rsidR="008B7E19" w:rsidRPr="006C4BB5" w:rsidRDefault="008B7E19" w:rsidP="008B7E19">
      <w:pPr>
        <w:pStyle w:val="05-Textonormal"/>
        <w:rPr>
          <w:lang w:val="en-US"/>
        </w:rPr>
      </w:pPr>
      <w:r w:rsidRPr="00762DC5">
        <w:rPr>
          <w:lang w:val="en-US"/>
        </w:rPr>
        <w:t xml:space="preserve">The Capital Reserve is made up of the amounts relating to transactions with payment based on shares, as well as the gain </w:t>
      </w:r>
      <w:r>
        <w:rPr>
          <w:lang w:val="en-US"/>
        </w:rPr>
        <w:t>or</w:t>
      </w:r>
      <w:r w:rsidRPr="00762DC5">
        <w:rPr>
          <w:lang w:val="en-US"/>
        </w:rPr>
        <w:t xml:space="preserve"> loss on the sale of treasury shares.</w:t>
      </w:r>
    </w:p>
    <w:p w14:paraId="33968411" w14:textId="77777777" w:rsidR="008B7E19" w:rsidRPr="00762DC5" w:rsidRDefault="008B7E19" w:rsidP="008B7E19">
      <w:pPr>
        <w:pStyle w:val="03-SubttulodeNota"/>
        <w:keepNext/>
        <w:keepLines/>
        <w:spacing w:before="40"/>
        <w:ind w:left="36"/>
        <w:rPr>
          <w:b w:val="0"/>
          <w:sz w:val="18"/>
          <w:szCs w:val="18"/>
          <w:lang w:val="en-US"/>
        </w:rPr>
      </w:pPr>
      <w:r w:rsidRPr="00762DC5">
        <w:rPr>
          <w:b w:val="0"/>
          <w:sz w:val="18"/>
          <w:szCs w:val="18"/>
          <w:lang w:val="en-US"/>
        </w:rPr>
        <w:t>The purpose of the Legal Reserve is to ensure the integrity of the capital stock and may only be used to offset losses or increase the capital stock. Of the net income for the period, 5% is invested, before any other allocation, in the constitution of the legal reserve, which will not exceed 20% of the share capital and the balance of the legal reserve plus the amounts of capital reserves that will not exceed 30% of the capital stock.</w:t>
      </w:r>
    </w:p>
    <w:p w14:paraId="30555A3E" w14:textId="77777777" w:rsidR="008B7E19" w:rsidRDefault="008B7E19" w:rsidP="008B7E19">
      <w:pPr>
        <w:pStyle w:val="01-TtulodeNota"/>
        <w:rPr>
          <w:b w:val="0"/>
          <w:sz w:val="18"/>
          <w:szCs w:val="18"/>
          <w:lang w:val="en-US"/>
        </w:rPr>
      </w:pPr>
      <w:r w:rsidRPr="001E307D">
        <w:rPr>
          <w:b w:val="0"/>
          <w:sz w:val="18"/>
          <w:szCs w:val="18"/>
          <w:lang w:val="en-US"/>
        </w:rPr>
        <w:t xml:space="preserve">The Statutory Reserve for Equalization of Capital Remuneration has the purpose of guaranteeing resources for the payment of dividends, including in the form of interest on own capital or its prepayments, limited to 80% of the capital stock value, being formed with resources: equivalent to up to 50% of the net income for the year and </w:t>
      </w:r>
      <w:r w:rsidRPr="006D2129">
        <w:rPr>
          <w:b w:val="0"/>
          <w:sz w:val="18"/>
          <w:szCs w:val="18"/>
          <w:lang w:val="en-US"/>
        </w:rPr>
        <w:t>arising from the anticipation of dividends.</w:t>
      </w:r>
    </w:p>
    <w:p w14:paraId="5573BCBC" w14:textId="77777777" w:rsidR="008B7E19" w:rsidRPr="00F55DD0" w:rsidRDefault="008B7E19" w:rsidP="008B7E19">
      <w:pPr>
        <w:pStyle w:val="01-Textonormal"/>
        <w:rPr>
          <w:rFonts w:cs="Arial"/>
          <w:b/>
          <w:color w:val="1F4E79" w:themeColor="accent1" w:themeShade="80"/>
        </w:rPr>
      </w:pPr>
      <w:r w:rsidRPr="00F55DD0">
        <w:rPr>
          <w:b/>
          <w:color w:val="1F4E79" w:themeColor="accent1" w:themeShade="80"/>
        </w:rPr>
        <w:t>c) Earnings per Share</w:t>
      </w:r>
    </w:p>
    <w:tbl>
      <w:tblPr>
        <w:tblStyle w:val="TabeladeLista6Colorida-nfase5"/>
        <w:tblW w:w="9639" w:type="dxa"/>
        <w:jc w:val="center"/>
        <w:tblLook w:val="04A0" w:firstRow="1" w:lastRow="0" w:firstColumn="1" w:lastColumn="0" w:noHBand="0" w:noVBand="1"/>
      </w:tblPr>
      <w:tblGrid>
        <w:gridCol w:w="6471"/>
        <w:gridCol w:w="1582"/>
        <w:gridCol w:w="1586"/>
      </w:tblGrid>
      <w:tr w:rsidR="008B7E19" w14:paraId="239CEE13" w14:textId="77777777" w:rsidTr="005B5353">
        <w:trPr>
          <w:cnfStyle w:val="100000000000" w:firstRow="1" w:lastRow="0" w:firstColumn="0" w:lastColumn="0" w:oddVBand="0" w:evenVBand="0" w:oddHBand="0" w:evenHBand="0" w:firstRowFirstColumn="0" w:firstRowLastColumn="0" w:lastRowFirstColumn="0" w:lastRowLastColumn="0"/>
          <w:trHeight w:hRule="exact" w:val="283"/>
          <w:jc w:val="center"/>
        </w:trPr>
        <w:tc>
          <w:tcPr>
            <w:cnfStyle w:val="001000000000" w:firstRow="0" w:lastRow="0" w:firstColumn="1" w:lastColumn="0" w:oddVBand="0" w:evenVBand="0" w:oddHBand="0" w:evenHBand="0" w:firstRowFirstColumn="0" w:firstRowLastColumn="0" w:lastRowFirstColumn="0" w:lastRowLastColumn="0"/>
            <w:tcW w:w="6471" w:type="dxa"/>
            <w:tcBorders>
              <w:top w:val="single" w:sz="2" w:space="0" w:color="1F4E79" w:themeColor="accent1" w:themeShade="80"/>
              <w:bottom w:val="nil"/>
            </w:tcBorders>
            <w:shd w:val="clear" w:color="auto" w:fill="auto"/>
            <w:vAlign w:val="center"/>
          </w:tcPr>
          <w:p w14:paraId="541C6BAF" w14:textId="77777777" w:rsidR="008B7E19" w:rsidRPr="001D6BE8" w:rsidRDefault="008B7E19" w:rsidP="008B7E19">
            <w:pPr>
              <w:jc w:val="center"/>
              <w:rPr>
                <w:rFonts w:cs="Arial"/>
                <w:b w:val="0"/>
                <w:szCs w:val="18"/>
              </w:rPr>
            </w:pPr>
          </w:p>
        </w:tc>
        <w:tc>
          <w:tcPr>
            <w:tcW w:w="3168" w:type="dxa"/>
            <w:gridSpan w:val="2"/>
            <w:tcBorders>
              <w:top w:val="single" w:sz="2" w:space="0" w:color="1F4E79" w:themeColor="accent1" w:themeShade="80"/>
              <w:bottom w:val="single" w:sz="2" w:space="0" w:color="1F4E79" w:themeColor="accent1" w:themeShade="80"/>
            </w:tcBorders>
            <w:shd w:val="clear" w:color="auto" w:fill="auto"/>
            <w:vAlign w:val="center"/>
          </w:tcPr>
          <w:p w14:paraId="615C0E49" w14:textId="77777777" w:rsidR="008B7E19" w:rsidRPr="0038031F" w:rsidRDefault="008B7E19" w:rsidP="008B7E19">
            <w:pPr>
              <w:jc w:val="center"/>
              <w:cnfStyle w:val="100000000000" w:firstRow="1" w:lastRow="0" w:firstColumn="0" w:lastColumn="0" w:oddVBand="0" w:evenVBand="0" w:oddHBand="0" w:evenHBand="0" w:firstRowFirstColumn="0" w:firstRowLastColumn="0" w:lastRowFirstColumn="0" w:lastRowLastColumn="0"/>
              <w:rPr>
                <w:rFonts w:cs="Arial"/>
                <w:szCs w:val="18"/>
              </w:rPr>
            </w:pPr>
            <w:r w:rsidRPr="00BE198A">
              <w:rPr>
                <w:rFonts w:cs="Arial"/>
                <w:sz w:val="14"/>
                <w:szCs w:val="14"/>
                <w:lang w:val="en-US"/>
              </w:rPr>
              <w:t>Parent and Consolidated</w:t>
            </w:r>
          </w:p>
        </w:tc>
      </w:tr>
      <w:tr w:rsidR="008B7E19" w:rsidRPr="001D6BE8" w14:paraId="25FD0E0F" w14:textId="77777777" w:rsidTr="005B5353">
        <w:trPr>
          <w:cnfStyle w:val="000000100000" w:firstRow="0" w:lastRow="0" w:firstColumn="0" w:lastColumn="0" w:oddVBand="0" w:evenVBand="0" w:oddHBand="1" w:evenHBand="0" w:firstRowFirstColumn="0" w:firstRowLastColumn="0" w:lastRowFirstColumn="0" w:lastRowLastColumn="0"/>
          <w:trHeight w:hRule="exact" w:val="396"/>
          <w:jc w:val="center"/>
        </w:trPr>
        <w:tc>
          <w:tcPr>
            <w:cnfStyle w:val="001000000000" w:firstRow="0" w:lastRow="0" w:firstColumn="1" w:lastColumn="0" w:oddVBand="0" w:evenVBand="0" w:oddHBand="0" w:evenHBand="0" w:firstRowFirstColumn="0" w:firstRowLastColumn="0" w:lastRowFirstColumn="0" w:lastRowLastColumn="0"/>
            <w:tcW w:w="6471" w:type="dxa"/>
            <w:tcBorders>
              <w:top w:val="nil"/>
              <w:bottom w:val="single" w:sz="2" w:space="0" w:color="1F4E79" w:themeColor="accent1" w:themeShade="80"/>
            </w:tcBorders>
            <w:shd w:val="clear" w:color="auto" w:fill="auto"/>
          </w:tcPr>
          <w:p w14:paraId="5666036D" w14:textId="77777777" w:rsidR="008B7E19" w:rsidRPr="001D6BE8" w:rsidRDefault="008B7E19" w:rsidP="008B7E19">
            <w:pPr>
              <w:pStyle w:val="08-Tabelageral"/>
              <w:rPr>
                <w:rFonts w:cs="Arial"/>
                <w:b w:val="0"/>
              </w:rPr>
            </w:pPr>
          </w:p>
        </w:tc>
        <w:tc>
          <w:tcPr>
            <w:tcW w:w="1582" w:type="dxa"/>
            <w:tcBorders>
              <w:top w:val="single" w:sz="2" w:space="0" w:color="1F4E79" w:themeColor="accent1" w:themeShade="80"/>
              <w:bottom w:val="single" w:sz="2" w:space="0" w:color="1F4E79" w:themeColor="accent1" w:themeShade="80"/>
            </w:tcBorders>
            <w:shd w:val="clear" w:color="auto" w:fill="auto"/>
            <w:vAlign w:val="center"/>
          </w:tcPr>
          <w:p w14:paraId="229E531A" w14:textId="77777777" w:rsidR="008B7E19" w:rsidRPr="00A66419"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A66419">
              <w:rPr>
                <w:rFonts w:ascii="CIDFont+F3" w:eastAsiaTheme="minorHAnsi" w:hAnsi="CIDFont+F3" w:cs="CIDFont+F3"/>
                <w:b/>
                <w:szCs w:val="14"/>
              </w:rPr>
              <w:t xml:space="preserve">1st </w:t>
            </w:r>
            <w:r>
              <w:rPr>
                <w:rFonts w:ascii="CIDFont+F3" w:eastAsiaTheme="minorHAnsi" w:hAnsi="CIDFont+F3" w:cs="CIDFont+F3"/>
                <w:b/>
                <w:szCs w:val="14"/>
              </w:rPr>
              <w:t>Half</w:t>
            </w:r>
            <w:r w:rsidRPr="00A66419">
              <w:rPr>
                <w:rFonts w:ascii="CIDFont+F3" w:eastAsiaTheme="minorHAnsi" w:hAnsi="CIDFont+F3" w:cs="CIDFont+F3"/>
                <w:b/>
                <w:szCs w:val="14"/>
              </w:rPr>
              <w:t>/202</w:t>
            </w:r>
            <w:r>
              <w:rPr>
                <w:rFonts w:ascii="CIDFont+F3" w:eastAsiaTheme="minorHAnsi" w:hAnsi="CIDFont+F3" w:cs="CIDFont+F3"/>
                <w:b/>
                <w:szCs w:val="14"/>
              </w:rPr>
              <w:t>3</w:t>
            </w:r>
          </w:p>
        </w:tc>
        <w:tc>
          <w:tcPr>
            <w:tcW w:w="1586" w:type="dxa"/>
            <w:tcBorders>
              <w:top w:val="single" w:sz="2" w:space="0" w:color="1F4E79" w:themeColor="accent1" w:themeShade="80"/>
              <w:bottom w:val="single" w:sz="2" w:space="0" w:color="1F4E79" w:themeColor="accent1" w:themeShade="80"/>
            </w:tcBorders>
            <w:shd w:val="clear" w:color="auto" w:fill="auto"/>
            <w:vAlign w:val="center"/>
          </w:tcPr>
          <w:p w14:paraId="2EE6D281" w14:textId="77777777" w:rsidR="008B7E19" w:rsidRPr="006C4448"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ascii="CIDFont+F3" w:eastAsiaTheme="minorHAnsi" w:hAnsi="CIDFont+F3" w:cs="CIDFont+F3"/>
                <w:b/>
                <w:szCs w:val="14"/>
              </w:rPr>
            </w:pPr>
            <w:r w:rsidRPr="006C4448">
              <w:rPr>
                <w:rFonts w:ascii="CIDFont+F3" w:eastAsiaTheme="minorHAnsi" w:hAnsi="CIDFont+F3" w:cs="CIDFont+F3"/>
                <w:b/>
                <w:szCs w:val="14"/>
              </w:rPr>
              <w:t>1st Half/2022</w:t>
            </w:r>
          </w:p>
          <w:p w14:paraId="68267255" w14:textId="77777777" w:rsidR="008B7E19" w:rsidRPr="006C4448"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b/>
                <w:bCs/>
              </w:rPr>
            </w:pPr>
            <w:r w:rsidRPr="006C4448">
              <w:rPr>
                <w:rStyle w:val="rynqvb"/>
                <w:b/>
                <w:lang w:val="en"/>
              </w:rPr>
              <w:t>reintroduced</w:t>
            </w:r>
          </w:p>
        </w:tc>
      </w:tr>
      <w:tr w:rsidR="008B7E19" w:rsidRPr="00EE3EDA" w14:paraId="3E048C78" w14:textId="77777777" w:rsidTr="005B5353">
        <w:trPr>
          <w:trHeight w:hRule="exact" w:val="238"/>
          <w:jc w:val="center"/>
        </w:trPr>
        <w:tc>
          <w:tcPr>
            <w:cnfStyle w:val="001000000000" w:firstRow="0" w:lastRow="0" w:firstColumn="1" w:lastColumn="0" w:oddVBand="0" w:evenVBand="0" w:oddHBand="0" w:evenHBand="0" w:firstRowFirstColumn="0" w:firstRowLastColumn="0" w:lastRowFirstColumn="0" w:lastRowLastColumn="0"/>
            <w:tcW w:w="6471" w:type="dxa"/>
            <w:tcBorders>
              <w:top w:val="single" w:sz="2" w:space="0" w:color="1F4E79" w:themeColor="accent1" w:themeShade="80"/>
              <w:bottom w:val="nil"/>
            </w:tcBorders>
            <w:shd w:val="clear" w:color="auto" w:fill="auto"/>
            <w:vAlign w:val="center"/>
          </w:tcPr>
          <w:p w14:paraId="78110D7E" w14:textId="77777777" w:rsidR="008B7E19" w:rsidRPr="00BE198A" w:rsidRDefault="008B7E19" w:rsidP="008B7E19">
            <w:pPr>
              <w:pStyle w:val="08-Tabelageral"/>
              <w:jc w:val="left"/>
              <w:rPr>
                <w:b w:val="0"/>
                <w:bCs w:val="0"/>
                <w:color w:val="auto"/>
                <w:lang w:val="en-US"/>
              </w:rPr>
            </w:pPr>
            <w:r w:rsidRPr="00BE198A">
              <w:rPr>
                <w:b w:val="0"/>
                <w:bCs w:val="0"/>
                <w:color w:val="auto"/>
                <w:lang w:val="en-US"/>
              </w:rPr>
              <w:t>Net income attributable to shareholders of the Bank (R$ thousand)</w:t>
            </w:r>
          </w:p>
        </w:tc>
        <w:tc>
          <w:tcPr>
            <w:tcW w:w="1582" w:type="dxa"/>
            <w:tcBorders>
              <w:top w:val="single" w:sz="2" w:space="0" w:color="1F4E79" w:themeColor="accent1" w:themeShade="80"/>
              <w:bottom w:val="nil"/>
            </w:tcBorders>
            <w:shd w:val="clear" w:color="auto" w:fill="auto"/>
            <w:vAlign w:val="center"/>
          </w:tcPr>
          <w:p w14:paraId="413F95E2" w14:textId="77777777" w:rsidR="008B7E19" w:rsidRPr="006221E1" w:rsidRDefault="008B7E19" w:rsidP="008B7E19">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rPr>
            </w:pPr>
            <w:r w:rsidRPr="00BE2370">
              <w:rPr>
                <w:rFonts w:cs="Arial"/>
                <w:bCs/>
                <w:szCs w:val="14"/>
              </w:rPr>
              <w:t>3</w:t>
            </w:r>
            <w:r>
              <w:rPr>
                <w:rFonts w:cs="Arial"/>
                <w:bCs/>
                <w:szCs w:val="14"/>
              </w:rPr>
              <w:t>,</w:t>
            </w:r>
            <w:r w:rsidRPr="00BE2370">
              <w:rPr>
                <w:rFonts w:cs="Arial"/>
                <w:bCs/>
                <w:szCs w:val="14"/>
              </w:rPr>
              <w:t>725</w:t>
            </w:r>
            <w:r>
              <w:rPr>
                <w:rFonts w:cs="Arial"/>
                <w:bCs/>
                <w:szCs w:val="14"/>
              </w:rPr>
              <w:t>,</w:t>
            </w:r>
            <w:r w:rsidRPr="00BE2370">
              <w:rPr>
                <w:rFonts w:cs="Arial"/>
                <w:bCs/>
                <w:szCs w:val="14"/>
              </w:rPr>
              <w:t>132</w:t>
            </w:r>
          </w:p>
        </w:tc>
        <w:tc>
          <w:tcPr>
            <w:tcW w:w="1586" w:type="dxa"/>
            <w:tcBorders>
              <w:top w:val="single" w:sz="2" w:space="0" w:color="1F4E79" w:themeColor="accent1" w:themeShade="80"/>
              <w:bottom w:val="nil"/>
            </w:tcBorders>
            <w:shd w:val="clear" w:color="auto" w:fill="auto"/>
            <w:vAlign w:val="center"/>
          </w:tcPr>
          <w:p w14:paraId="3F65C35D" w14:textId="77777777" w:rsidR="008B7E19" w:rsidRPr="00831BF4" w:rsidRDefault="008B7E19" w:rsidP="008B7E19">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rPr>
            </w:pPr>
            <w:r w:rsidRPr="00BE2370">
              <w:rPr>
                <w:rFonts w:cs="Arial"/>
                <w:bCs/>
                <w:szCs w:val="14"/>
              </w:rPr>
              <w:t>2</w:t>
            </w:r>
            <w:r>
              <w:rPr>
                <w:rFonts w:cs="Arial"/>
                <w:bCs/>
                <w:szCs w:val="14"/>
              </w:rPr>
              <w:t>,</w:t>
            </w:r>
            <w:r w:rsidRPr="00BE2370">
              <w:rPr>
                <w:rFonts w:cs="Arial"/>
                <w:bCs/>
                <w:szCs w:val="14"/>
              </w:rPr>
              <w:t>713</w:t>
            </w:r>
            <w:r>
              <w:rPr>
                <w:rFonts w:cs="Arial"/>
                <w:bCs/>
                <w:szCs w:val="14"/>
              </w:rPr>
              <w:t>,</w:t>
            </w:r>
            <w:r w:rsidRPr="00BE2370">
              <w:rPr>
                <w:rFonts w:cs="Arial"/>
                <w:bCs/>
                <w:szCs w:val="14"/>
              </w:rPr>
              <w:t>244</w:t>
            </w:r>
          </w:p>
        </w:tc>
      </w:tr>
      <w:tr w:rsidR="008B7E19" w:rsidRPr="00EE3EDA" w14:paraId="0BB98311" w14:textId="77777777" w:rsidTr="005B5353">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6471" w:type="dxa"/>
            <w:tcBorders>
              <w:top w:val="nil"/>
              <w:bottom w:val="nil"/>
            </w:tcBorders>
            <w:shd w:val="clear" w:color="auto" w:fill="auto"/>
            <w:vAlign w:val="center"/>
          </w:tcPr>
          <w:p w14:paraId="4F8DAE96" w14:textId="77777777" w:rsidR="008B7E19" w:rsidRPr="00BE198A" w:rsidRDefault="008B7E19" w:rsidP="008B7E19">
            <w:pPr>
              <w:rPr>
                <w:rFonts w:eastAsia="Times New Roman" w:cs="Times New Roman"/>
                <w:b w:val="0"/>
                <w:bCs w:val="0"/>
                <w:color w:val="auto"/>
                <w:spacing w:val="-2"/>
                <w:sz w:val="14"/>
                <w:szCs w:val="18"/>
                <w:lang w:val="en-US" w:eastAsia="pt-BR"/>
              </w:rPr>
            </w:pPr>
            <w:r w:rsidRPr="00BE198A">
              <w:rPr>
                <w:rFonts w:eastAsia="Times New Roman" w:cs="Times New Roman"/>
                <w:b w:val="0"/>
                <w:bCs w:val="0"/>
                <w:color w:val="auto"/>
                <w:spacing w:val="-2"/>
                <w:sz w:val="14"/>
                <w:szCs w:val="18"/>
                <w:lang w:val="en-US" w:eastAsia="pt-BR"/>
              </w:rPr>
              <w:t>Weighted average of ordinary and dilutive potencial ordinary shares outstanding</w:t>
            </w:r>
          </w:p>
        </w:tc>
        <w:tc>
          <w:tcPr>
            <w:tcW w:w="1582" w:type="dxa"/>
            <w:tcBorders>
              <w:top w:val="nil"/>
              <w:bottom w:val="nil"/>
            </w:tcBorders>
            <w:shd w:val="clear" w:color="auto" w:fill="auto"/>
          </w:tcPr>
          <w:p w14:paraId="096F85EA" w14:textId="77777777" w:rsidR="008B7E19" w:rsidRPr="00A66419" w:rsidRDefault="008B7E19" w:rsidP="008B7E19">
            <w:pPr>
              <w:pStyle w:val="08-Tabelageral"/>
              <w:ind w:left="113"/>
              <w:cnfStyle w:val="000000100000" w:firstRow="0" w:lastRow="0" w:firstColumn="0" w:lastColumn="0" w:oddVBand="0" w:evenVBand="0" w:oddHBand="1" w:evenHBand="0" w:firstRowFirstColumn="0" w:firstRowLastColumn="0" w:lastRowFirstColumn="0" w:lastRowLastColumn="0"/>
              <w:rPr>
                <w:rFonts w:cs="Arial"/>
                <w:bCs/>
                <w:color w:val="000000"/>
                <w:szCs w:val="14"/>
              </w:rPr>
            </w:pPr>
            <w:r w:rsidRPr="009C3118">
              <w:rPr>
                <w:rFonts w:cs="Arial"/>
                <w:bCs/>
                <w:szCs w:val="14"/>
              </w:rPr>
              <w:t>1</w:t>
            </w:r>
            <w:r>
              <w:rPr>
                <w:rFonts w:cs="Arial"/>
                <w:bCs/>
                <w:szCs w:val="14"/>
              </w:rPr>
              <w:t>,</w:t>
            </w:r>
            <w:r w:rsidRPr="009C3118">
              <w:rPr>
                <w:rFonts w:cs="Arial"/>
                <w:bCs/>
                <w:szCs w:val="14"/>
              </w:rPr>
              <w:t>996</w:t>
            </w:r>
            <w:r>
              <w:rPr>
                <w:rFonts w:cs="Arial"/>
                <w:bCs/>
                <w:szCs w:val="14"/>
              </w:rPr>
              <w:t>,</w:t>
            </w:r>
            <w:r w:rsidRPr="009C3118">
              <w:rPr>
                <w:rFonts w:cs="Arial"/>
                <w:bCs/>
                <w:szCs w:val="14"/>
              </w:rPr>
              <w:t>742</w:t>
            </w:r>
            <w:r>
              <w:rPr>
                <w:rFonts w:cs="Arial"/>
                <w:bCs/>
                <w:szCs w:val="14"/>
              </w:rPr>
              <w:t>,</w:t>
            </w:r>
            <w:r w:rsidRPr="009C3118">
              <w:rPr>
                <w:rFonts w:cs="Arial"/>
                <w:bCs/>
                <w:szCs w:val="14"/>
              </w:rPr>
              <w:t>391</w:t>
            </w:r>
          </w:p>
        </w:tc>
        <w:tc>
          <w:tcPr>
            <w:tcW w:w="1586" w:type="dxa"/>
            <w:tcBorders>
              <w:top w:val="nil"/>
              <w:bottom w:val="nil"/>
            </w:tcBorders>
            <w:shd w:val="clear" w:color="auto" w:fill="auto"/>
          </w:tcPr>
          <w:p w14:paraId="1671182F" w14:textId="77777777" w:rsidR="008B7E19" w:rsidRPr="00A66419" w:rsidRDefault="008B7E19" w:rsidP="008B7E19">
            <w:pPr>
              <w:pStyle w:val="08-Tabelageral"/>
              <w:ind w:left="113"/>
              <w:cnfStyle w:val="000000100000" w:firstRow="0" w:lastRow="0" w:firstColumn="0" w:lastColumn="0" w:oddVBand="0" w:evenVBand="0" w:oddHBand="1" w:evenHBand="0" w:firstRowFirstColumn="0" w:firstRowLastColumn="0" w:lastRowFirstColumn="0" w:lastRowLastColumn="0"/>
              <w:rPr>
                <w:rFonts w:cs="Arial"/>
                <w:color w:val="auto"/>
                <w:szCs w:val="14"/>
              </w:rPr>
            </w:pPr>
            <w:r w:rsidRPr="005457CD">
              <w:rPr>
                <w:rFonts w:cs="Arial"/>
                <w:bCs/>
                <w:szCs w:val="14"/>
              </w:rPr>
              <w:t>1</w:t>
            </w:r>
            <w:r>
              <w:rPr>
                <w:rFonts w:cs="Arial"/>
                <w:bCs/>
                <w:szCs w:val="14"/>
              </w:rPr>
              <w:t>,</w:t>
            </w:r>
            <w:r w:rsidRPr="005457CD">
              <w:rPr>
                <w:rFonts w:cs="Arial"/>
                <w:bCs/>
                <w:szCs w:val="14"/>
              </w:rPr>
              <w:t>996</w:t>
            </w:r>
            <w:r>
              <w:rPr>
                <w:rFonts w:cs="Arial"/>
                <w:bCs/>
                <w:szCs w:val="14"/>
              </w:rPr>
              <w:t>,</w:t>
            </w:r>
            <w:r w:rsidRPr="005457CD">
              <w:rPr>
                <w:rFonts w:cs="Arial"/>
                <w:bCs/>
                <w:szCs w:val="14"/>
              </w:rPr>
              <w:t>700</w:t>
            </w:r>
            <w:r>
              <w:rPr>
                <w:rFonts w:cs="Arial"/>
                <w:bCs/>
                <w:szCs w:val="14"/>
              </w:rPr>
              <w:t>,</w:t>
            </w:r>
            <w:r w:rsidRPr="005457CD">
              <w:rPr>
                <w:rFonts w:cs="Arial"/>
                <w:bCs/>
                <w:szCs w:val="14"/>
              </w:rPr>
              <w:t>283</w:t>
            </w:r>
          </w:p>
        </w:tc>
      </w:tr>
      <w:tr w:rsidR="008B7E19" w:rsidRPr="00EE3EDA" w14:paraId="747D516E" w14:textId="77777777" w:rsidTr="005B5353">
        <w:trPr>
          <w:trHeight w:hRule="exact" w:val="238"/>
          <w:jc w:val="center"/>
        </w:trPr>
        <w:tc>
          <w:tcPr>
            <w:cnfStyle w:val="001000000000" w:firstRow="0" w:lastRow="0" w:firstColumn="1" w:lastColumn="0" w:oddVBand="0" w:evenVBand="0" w:oddHBand="0" w:evenHBand="0" w:firstRowFirstColumn="0" w:firstRowLastColumn="0" w:lastRowFirstColumn="0" w:lastRowLastColumn="0"/>
            <w:tcW w:w="6471" w:type="dxa"/>
            <w:tcBorders>
              <w:top w:val="nil"/>
              <w:bottom w:val="single" w:sz="2" w:space="0" w:color="1F4E79" w:themeColor="accent1" w:themeShade="80"/>
            </w:tcBorders>
            <w:shd w:val="clear" w:color="auto" w:fill="auto"/>
            <w:vAlign w:val="center"/>
          </w:tcPr>
          <w:p w14:paraId="66E5DB4C" w14:textId="77777777" w:rsidR="008B7E19" w:rsidRPr="00BE198A" w:rsidRDefault="008B7E19" w:rsidP="008B7E19">
            <w:pPr>
              <w:rPr>
                <w:rFonts w:eastAsia="Times New Roman" w:cs="Times New Roman"/>
                <w:b w:val="0"/>
                <w:bCs w:val="0"/>
                <w:color w:val="auto"/>
                <w:spacing w:val="-2"/>
                <w:sz w:val="14"/>
                <w:szCs w:val="18"/>
                <w:lang w:val="en-US" w:eastAsia="pt-BR"/>
              </w:rPr>
            </w:pPr>
            <w:r w:rsidRPr="00BE198A">
              <w:rPr>
                <w:rFonts w:eastAsia="Times New Roman" w:cs="Times New Roman"/>
                <w:b w:val="0"/>
                <w:bCs w:val="0"/>
                <w:color w:val="auto"/>
                <w:spacing w:val="-2"/>
                <w:sz w:val="14"/>
                <w:szCs w:val="18"/>
                <w:lang w:val="en-US" w:eastAsia="pt-BR"/>
              </w:rPr>
              <w:t>Earnings per share – basic and diluted (R$)</w:t>
            </w:r>
          </w:p>
        </w:tc>
        <w:tc>
          <w:tcPr>
            <w:tcW w:w="1582" w:type="dxa"/>
            <w:tcBorders>
              <w:top w:val="nil"/>
              <w:bottom w:val="single" w:sz="2" w:space="0" w:color="1F4E79" w:themeColor="accent1" w:themeShade="80"/>
            </w:tcBorders>
            <w:shd w:val="clear" w:color="auto" w:fill="auto"/>
          </w:tcPr>
          <w:p w14:paraId="1B1ACE53" w14:textId="77777777" w:rsidR="008B7E19" w:rsidRPr="006221E1" w:rsidRDefault="008B7E19" w:rsidP="008B7E19">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rPr>
            </w:pPr>
            <w:r w:rsidRPr="00BE2370">
              <w:rPr>
                <w:rFonts w:cs="Arial"/>
                <w:bCs/>
                <w:szCs w:val="14"/>
              </w:rPr>
              <w:t>1</w:t>
            </w:r>
            <w:r>
              <w:rPr>
                <w:rFonts w:cs="Arial"/>
                <w:bCs/>
                <w:szCs w:val="14"/>
              </w:rPr>
              <w:t>.</w:t>
            </w:r>
            <w:r w:rsidRPr="00BE2370">
              <w:rPr>
                <w:rFonts w:cs="Arial"/>
                <w:bCs/>
                <w:szCs w:val="14"/>
              </w:rPr>
              <w:t>87</w:t>
            </w:r>
          </w:p>
        </w:tc>
        <w:tc>
          <w:tcPr>
            <w:tcW w:w="1586" w:type="dxa"/>
            <w:tcBorders>
              <w:top w:val="nil"/>
              <w:bottom w:val="single" w:sz="2" w:space="0" w:color="1F4E79" w:themeColor="accent1" w:themeShade="80"/>
            </w:tcBorders>
            <w:shd w:val="clear" w:color="auto" w:fill="auto"/>
          </w:tcPr>
          <w:p w14:paraId="6E6A0637" w14:textId="77777777" w:rsidR="008B7E19" w:rsidRPr="00831BF4" w:rsidRDefault="008B7E19" w:rsidP="008B7E19">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rPr>
            </w:pPr>
            <w:r w:rsidRPr="00BE2370">
              <w:rPr>
                <w:rFonts w:cs="Arial"/>
                <w:bCs/>
                <w:szCs w:val="14"/>
              </w:rPr>
              <w:t>1</w:t>
            </w:r>
            <w:r>
              <w:rPr>
                <w:rFonts w:cs="Arial"/>
                <w:bCs/>
                <w:szCs w:val="14"/>
              </w:rPr>
              <w:t>.</w:t>
            </w:r>
            <w:r w:rsidRPr="00BE2370">
              <w:rPr>
                <w:rFonts w:cs="Arial"/>
                <w:bCs/>
                <w:szCs w:val="14"/>
              </w:rPr>
              <w:t>36</w:t>
            </w:r>
          </w:p>
        </w:tc>
      </w:tr>
    </w:tbl>
    <w:p w14:paraId="06A9E712" w14:textId="77777777" w:rsidR="008B7E19" w:rsidRPr="002610C9" w:rsidRDefault="008B7E19" w:rsidP="008B7E19">
      <w:pPr>
        <w:pStyle w:val="05-Textonormal"/>
        <w:rPr>
          <w:lang w:val="en-US"/>
        </w:rPr>
      </w:pPr>
      <w:r w:rsidRPr="002610C9">
        <w:rPr>
          <w:lang w:val="en-US"/>
        </w:rPr>
        <w:t>The basic earnings per share</w:t>
      </w:r>
      <w:r w:rsidRPr="00D21457">
        <w:rPr>
          <w:lang w:val="en-US"/>
        </w:rPr>
        <w:t xml:space="preserve"> </w:t>
      </w:r>
      <w:r w:rsidRPr="002610C9">
        <w:rPr>
          <w:lang w:val="en-US"/>
        </w:rPr>
        <w:t>is calculated by dividing net income attributable to shareholders of the B</w:t>
      </w:r>
      <w:r>
        <w:rPr>
          <w:lang w:val="en-US"/>
        </w:rPr>
        <w:t>B Seguridade</w:t>
      </w:r>
      <w:r w:rsidRPr="002610C9">
        <w:rPr>
          <w:lang w:val="en-US"/>
        </w:rPr>
        <w:t xml:space="preserve"> by the weighted average number of common shares outstanding</w:t>
      </w:r>
      <w:r>
        <w:rPr>
          <w:lang w:val="en-US"/>
        </w:rPr>
        <w:t xml:space="preserve"> (</w:t>
      </w:r>
      <w:r w:rsidRPr="00E311FA">
        <w:rPr>
          <w:lang w:val="en-US"/>
        </w:rPr>
        <w:t>not considered treasury shares</w:t>
      </w:r>
      <w:r>
        <w:rPr>
          <w:lang w:val="en-US"/>
        </w:rPr>
        <w:t>)</w:t>
      </w:r>
      <w:r w:rsidRPr="002610C9">
        <w:rPr>
          <w:lang w:val="en-US"/>
        </w:rPr>
        <w:t xml:space="preserve"> in each of the periods presented. </w:t>
      </w:r>
    </w:p>
    <w:p w14:paraId="3F1245A0" w14:textId="77777777" w:rsidR="008B7E19" w:rsidRPr="002610C9" w:rsidRDefault="008B7E19" w:rsidP="008B7E19">
      <w:pPr>
        <w:pStyle w:val="05-Textonormal"/>
        <w:rPr>
          <w:lang w:val="en-US"/>
        </w:rPr>
      </w:pPr>
      <w:r w:rsidRPr="002610C9">
        <w:rPr>
          <w:lang w:val="en-US"/>
        </w:rPr>
        <w:t>The diluted earnings per share</w:t>
      </w:r>
      <w:r w:rsidRPr="00D21457">
        <w:rPr>
          <w:lang w:val="en-US"/>
        </w:rPr>
        <w:t xml:space="preserve"> </w:t>
      </w:r>
      <w:r w:rsidRPr="002610C9">
        <w:rPr>
          <w:lang w:val="en-US"/>
        </w:rPr>
        <w:t>is calculated by dividing net income attributable to shareholders of the B</w:t>
      </w:r>
      <w:r>
        <w:rPr>
          <w:lang w:val="en-US"/>
        </w:rPr>
        <w:t>B Seguridade</w:t>
      </w:r>
      <w:r w:rsidRPr="002610C9">
        <w:rPr>
          <w:lang w:val="en-US"/>
        </w:rPr>
        <w:t xml:space="preserve"> by the weighted average number of common shares outstanding</w:t>
      </w:r>
      <w:r>
        <w:rPr>
          <w:lang w:val="en-US"/>
        </w:rPr>
        <w:t xml:space="preserve"> (</w:t>
      </w:r>
      <w:r w:rsidRPr="00E311FA">
        <w:rPr>
          <w:lang w:val="en-US"/>
        </w:rPr>
        <w:t>not considered treasury shares</w:t>
      </w:r>
      <w:r>
        <w:rPr>
          <w:lang w:val="en-US"/>
        </w:rPr>
        <w:t>)</w:t>
      </w:r>
      <w:r w:rsidRPr="002610C9">
        <w:rPr>
          <w:lang w:val="en-US"/>
        </w:rPr>
        <w:t xml:space="preserve">, </w:t>
      </w:r>
      <w:r>
        <w:rPr>
          <w:lang w:val="en-US"/>
        </w:rPr>
        <w:t>includ</w:t>
      </w:r>
      <w:r w:rsidRPr="002610C9">
        <w:rPr>
          <w:lang w:val="en-US"/>
        </w:rPr>
        <w:t xml:space="preserve">ing the effect of all dilutive potential ordinary shares. </w:t>
      </w:r>
    </w:p>
    <w:p w14:paraId="3B05EBC8" w14:textId="77777777" w:rsidR="008B7E19" w:rsidRPr="002610C9" w:rsidRDefault="008B7E19" w:rsidP="008B7E19">
      <w:pPr>
        <w:pStyle w:val="05-Textonormal"/>
        <w:rPr>
          <w:lang w:val="en-US"/>
        </w:rPr>
      </w:pPr>
      <w:r w:rsidRPr="002610C9">
        <w:rPr>
          <w:lang w:val="en-US"/>
        </w:rPr>
        <w:t>The B</w:t>
      </w:r>
      <w:r w:rsidRPr="00D21457">
        <w:rPr>
          <w:lang w:val="en-US"/>
        </w:rPr>
        <w:t>B Seguridade</w:t>
      </w:r>
      <w:r w:rsidRPr="002610C9">
        <w:rPr>
          <w:lang w:val="en-US"/>
        </w:rPr>
        <w:t xml:space="preserve"> has no option, bonus of subscription or its equivalents which provide their holder the right to acquire shares. Thus, the basic and diluted earnings per share are equal</w:t>
      </w:r>
      <w:r>
        <w:rPr>
          <w:lang w:val="en-US"/>
        </w:rPr>
        <w:t xml:space="preserve"> </w:t>
      </w:r>
      <w:r w:rsidRPr="00E311FA">
        <w:rPr>
          <w:lang w:val="en-US"/>
        </w:rPr>
        <w:t>and was calculated by dividing the profit attributable to the holders of common shares of the company by the weighted average number of common shares held by shareholders during the period.</w:t>
      </w:r>
      <w:r w:rsidRPr="002610C9">
        <w:rPr>
          <w:lang w:val="en-US"/>
        </w:rPr>
        <w:t xml:space="preserve"> </w:t>
      </w:r>
    </w:p>
    <w:p w14:paraId="6D333DA2" w14:textId="77777777" w:rsidR="008B7E19" w:rsidRPr="005B5353" w:rsidRDefault="008B7E19" w:rsidP="005B5353">
      <w:pPr>
        <w:pStyle w:val="03-SubttulodeNota"/>
        <w:rPr>
          <w:color w:val="1F4E79" w:themeColor="accent1" w:themeShade="80"/>
          <w:sz w:val="18"/>
          <w:szCs w:val="18"/>
          <w:lang w:val="en-US"/>
        </w:rPr>
      </w:pPr>
      <w:r w:rsidRPr="005B5353">
        <w:rPr>
          <w:color w:val="1F4E79" w:themeColor="accent1" w:themeShade="80"/>
          <w:sz w:val="18"/>
          <w:szCs w:val="18"/>
          <w:lang w:val="en-US"/>
        </w:rPr>
        <w:t xml:space="preserve">d) Dividends </w:t>
      </w:r>
    </w:p>
    <w:p w14:paraId="61D051DB" w14:textId="77777777" w:rsidR="008B7E19" w:rsidRPr="006C4448" w:rsidRDefault="008B7E19" w:rsidP="008B7E19">
      <w:pPr>
        <w:pStyle w:val="01-Textonormal"/>
        <w:rPr>
          <w:rStyle w:val="rynqvb"/>
          <w:lang w:val="en"/>
        </w:rPr>
      </w:pPr>
      <w:r w:rsidRPr="006C4448">
        <w:rPr>
          <w:rStyle w:val="rynqvb"/>
          <w:lang w:val="en"/>
        </w:rPr>
        <w:t xml:space="preserve">BB Seguridade has a Dividend Policy, available on the Investor Relations website, and this Policy is revised at least every three years, or, extraordinarily, at any time, and submitted to the Board of Directors for approval, with the last one occurring on </w:t>
      </w:r>
      <w:r>
        <w:rPr>
          <w:rStyle w:val="rynqvb"/>
          <w:lang w:val="en"/>
        </w:rPr>
        <w:t xml:space="preserve">May 05, </w:t>
      </w:r>
      <w:r w:rsidRPr="006C4448">
        <w:rPr>
          <w:rStyle w:val="rynqvb"/>
          <w:lang w:val="en"/>
        </w:rPr>
        <w:t>2022.</w:t>
      </w:r>
    </w:p>
    <w:p w14:paraId="0FE12EE1" w14:textId="77777777" w:rsidR="008B7E19" w:rsidRDefault="008B7E19" w:rsidP="008B7E19">
      <w:pPr>
        <w:pStyle w:val="01-Textonormal"/>
        <w:rPr>
          <w:rStyle w:val="rynqvb"/>
          <w:lang w:val="en"/>
        </w:rPr>
      </w:pPr>
      <w:r>
        <w:rPr>
          <w:rStyle w:val="rynqvb"/>
          <w:lang w:val="en"/>
        </w:rPr>
        <w:t>BB Seguridade paid, in March 2023, the amount of R$ 3,673,700 thousand in dividends referring to the profit for the 2</w:t>
      </w:r>
      <w:r w:rsidRPr="00E85B9F">
        <w:rPr>
          <w:rStyle w:val="rynqvb"/>
          <w:vertAlign w:val="superscript"/>
          <w:lang w:val="en"/>
        </w:rPr>
        <w:t>nd</w:t>
      </w:r>
      <w:r>
        <w:rPr>
          <w:rStyle w:val="rynqvb"/>
          <w:lang w:val="en"/>
        </w:rPr>
        <w:t xml:space="preserve"> Half 2022, plus R$ 24 thousand of prescribed dividends for the 1</w:t>
      </w:r>
      <w:r w:rsidRPr="00E85B9F">
        <w:rPr>
          <w:rStyle w:val="rynqvb"/>
          <w:vertAlign w:val="superscript"/>
          <w:lang w:val="en"/>
        </w:rPr>
        <w:t>st</w:t>
      </w:r>
      <w:r>
        <w:rPr>
          <w:rStyle w:val="rynqvb"/>
          <w:lang w:val="en"/>
        </w:rPr>
        <w:t xml:space="preserve"> Half 2019, as approved by the Board of</w:t>
      </w:r>
      <w:r>
        <w:rPr>
          <w:rStyle w:val="hwtze"/>
          <w:lang w:val="en"/>
        </w:rPr>
        <w:t xml:space="preserve"> </w:t>
      </w:r>
      <w:r>
        <w:rPr>
          <w:rStyle w:val="rynqvb"/>
          <w:lang w:val="en"/>
        </w:rPr>
        <w:t>Administration on December 16, 2022.</w:t>
      </w:r>
      <w:r>
        <w:rPr>
          <w:rStyle w:val="hwtze"/>
          <w:lang w:val="en"/>
        </w:rPr>
        <w:t xml:space="preserve"> </w:t>
      </w:r>
      <w:r>
        <w:rPr>
          <w:rStyle w:val="rynqvb"/>
          <w:lang w:val="en"/>
        </w:rPr>
        <w:t>R$ 77,280 thousand of monetary restatement were levied on these amounts, at the Selic rate, totaling R$ 3,751,004 thousand.</w:t>
      </w:r>
    </w:p>
    <w:p w14:paraId="4CD02BEE" w14:textId="77777777" w:rsidR="008B7E19" w:rsidRDefault="008B7E19" w:rsidP="008B7E19">
      <w:pPr>
        <w:pStyle w:val="01-Textonormal"/>
        <w:rPr>
          <w:rStyle w:val="rynqvb"/>
          <w:lang w:val="en"/>
        </w:rPr>
      </w:pPr>
      <w:r w:rsidRPr="006C4448">
        <w:rPr>
          <w:rStyle w:val="rynqvb"/>
          <w:lang w:val="en"/>
        </w:rPr>
        <w:t xml:space="preserve">BB Seguridade will pay R$ 3,210,050 thousand in interim dividends, approved by the Board of Directors of BB Seguridade on </w:t>
      </w:r>
      <w:r>
        <w:rPr>
          <w:rStyle w:val="rynqvb"/>
          <w:lang w:val="en"/>
        </w:rPr>
        <w:t xml:space="preserve">June </w:t>
      </w:r>
      <w:r w:rsidRPr="006C4448">
        <w:rPr>
          <w:rStyle w:val="rynqvb"/>
          <w:lang w:val="en"/>
        </w:rPr>
        <w:t>30</w:t>
      </w:r>
      <w:r>
        <w:rPr>
          <w:rStyle w:val="rynqvb"/>
          <w:lang w:val="en"/>
        </w:rPr>
        <w:t xml:space="preserve">, </w:t>
      </w:r>
      <w:r w:rsidRPr="006C4448">
        <w:rPr>
          <w:rStyle w:val="rynqvb"/>
          <w:lang w:val="en"/>
        </w:rPr>
        <w:t xml:space="preserve">2023 in accordance with its bylaws, of which R$ 3,210,000 thousand refer to the profit for the 1st </w:t>
      </w:r>
      <w:r>
        <w:rPr>
          <w:rStyle w:val="rynqvb"/>
          <w:lang w:val="en"/>
        </w:rPr>
        <w:t>H</w:t>
      </w:r>
      <w:r w:rsidRPr="006C4448">
        <w:rPr>
          <w:rStyle w:val="rynqvb"/>
          <w:lang w:val="en"/>
        </w:rPr>
        <w:t>alf 2023 and R$ 50 thousand of prescribed dividends in the period.</w:t>
      </w:r>
    </w:p>
    <w:p w14:paraId="69321A28" w14:textId="0EB5AA2C" w:rsidR="008B7E19" w:rsidRPr="00E2299D" w:rsidRDefault="008B7E19" w:rsidP="008B7E19">
      <w:pPr>
        <w:pStyle w:val="03-SubttulodeNota"/>
        <w:rPr>
          <w:sz w:val="18"/>
          <w:szCs w:val="18"/>
          <w:lang w:val="en-US"/>
        </w:rPr>
      </w:pPr>
      <w:r w:rsidRPr="00E2299D">
        <w:rPr>
          <w:color w:val="1F4E79" w:themeColor="accent1" w:themeShade="80"/>
          <w:sz w:val="18"/>
          <w:szCs w:val="18"/>
          <w:lang w:val="en-US"/>
        </w:rPr>
        <w:t>e) Other Accumulated Comprehensive Income</w:t>
      </w:r>
    </w:p>
    <w:p w14:paraId="4222626C" w14:textId="77777777" w:rsidR="008B7E19" w:rsidRPr="009C3118" w:rsidRDefault="008B7E19" w:rsidP="008B7E19">
      <w:pPr>
        <w:pStyle w:val="01-Textonormal"/>
        <w:rPr>
          <w:lang w:val="en-US"/>
        </w:rPr>
      </w:pPr>
      <w:r w:rsidRPr="009C3118">
        <w:rPr>
          <w:lang w:val="en-US"/>
        </w:rPr>
        <w:t xml:space="preserve">The positive balance recorded in Accumulated Other Comprehensive Income in the amount of R$ 49,279 thousand (R$ </w:t>
      </w:r>
      <w:r w:rsidRPr="009C3118">
        <w:rPr>
          <w:rFonts w:cs="Arial"/>
          <w:lang w:val="en-US"/>
        </w:rPr>
        <w:t>341,992</w:t>
      </w:r>
      <w:r w:rsidRPr="009C3118">
        <w:rPr>
          <w:lang w:val="en-US"/>
        </w:rPr>
        <w:t xml:space="preserve"> thousand negative on December 31, 2022 - </w:t>
      </w:r>
      <w:r w:rsidRPr="00EE40AA">
        <w:rPr>
          <w:rStyle w:val="rynqvb"/>
          <w:lang w:val="en"/>
        </w:rPr>
        <w:t>restated balances</w:t>
      </w:r>
      <w:r w:rsidRPr="009C3118">
        <w:rPr>
          <w:lang w:val="en-US"/>
        </w:rPr>
        <w:t>) is mainly composed of:</w:t>
      </w:r>
    </w:p>
    <w:p w14:paraId="3C26A6AC" w14:textId="77777777" w:rsidR="008B7E19" w:rsidRPr="009C3118" w:rsidRDefault="008B7E19" w:rsidP="008B7E19">
      <w:pPr>
        <w:pStyle w:val="01-Textonormal"/>
        <w:rPr>
          <w:lang w:val="en-US"/>
        </w:rPr>
      </w:pPr>
      <w:r w:rsidRPr="009C3118">
        <w:rPr>
          <w:lang w:val="en-US"/>
        </w:rPr>
        <w:t xml:space="preserve">i - Negative R$ 48,860 thousand, related to the devaluation resulting from the adjustment to market value, net of tax effects, of securities classified as fair value through other comprehensive income of BB MAPFRE and Brasilcap, </w:t>
      </w:r>
    </w:p>
    <w:p w14:paraId="31D4DB5E" w14:textId="77777777" w:rsidR="008B7E19" w:rsidRPr="009C3118" w:rsidRDefault="008B7E19" w:rsidP="008B7E19">
      <w:pPr>
        <w:pStyle w:val="01-Textonormal"/>
        <w:rPr>
          <w:lang w:val="en-US"/>
        </w:rPr>
      </w:pPr>
      <w:r w:rsidRPr="009C3118">
        <w:rPr>
          <w:lang w:val="en-US"/>
        </w:rPr>
        <w:t xml:space="preserve">ii - R$ 121,210 thousand positive, related to other comprehensive income of BB MAPFRE, Brasilprev and Brasildental referring to the impacts of CPC 50. </w:t>
      </w:r>
    </w:p>
    <w:p w14:paraId="4DF0788B" w14:textId="77777777" w:rsidR="008B7E19" w:rsidRPr="009C3118" w:rsidRDefault="008B7E19" w:rsidP="008B7E19">
      <w:pPr>
        <w:pStyle w:val="01-Textonormal"/>
        <w:rPr>
          <w:lang w:val="en-US"/>
        </w:rPr>
      </w:pPr>
      <w:r w:rsidRPr="009C3118">
        <w:rPr>
          <w:lang w:val="en-US"/>
        </w:rPr>
        <w:t>iii – R$ 23,169 thousand negative related to the balance of other comprehensive income of BB Seguros absorbed by the statutory reserve, referring to adjustments for the purpose of standardizing the accounting practice of previous periods, related to leases, CPC 06 (R2) [IFRS 16] – BB MAPFRE, Brasilpev and Brasilcap leases.</w:t>
      </w:r>
    </w:p>
    <w:p w14:paraId="1D4D4CB5" w14:textId="77777777" w:rsidR="008B7E19" w:rsidRPr="009C3118" w:rsidRDefault="008B7E19" w:rsidP="008B7E19">
      <w:pPr>
        <w:pStyle w:val="01-Textonormal"/>
        <w:rPr>
          <w:lang w:val="en-US"/>
        </w:rPr>
      </w:pPr>
      <w:r w:rsidRPr="009C3118">
        <w:rPr>
          <w:lang w:val="en-US"/>
        </w:rPr>
        <w:t>Considering that BB Seguridade does not have securities classified as fair value through other comprehensive income, the amounts contained in its financial statements reflect the amounts existing in the companies in which BB Seguros holds an interest.</w:t>
      </w:r>
    </w:p>
    <w:p w14:paraId="398477EC" w14:textId="77777777" w:rsidR="008B7E19" w:rsidRPr="00E621E1" w:rsidRDefault="008B7E19" w:rsidP="008B7E19">
      <w:pPr>
        <w:pStyle w:val="03-SubttulodeNota"/>
        <w:rPr>
          <w:color w:val="1F4E79" w:themeColor="accent1" w:themeShade="80"/>
          <w:sz w:val="18"/>
          <w:szCs w:val="18"/>
          <w:lang w:val="en-US"/>
        </w:rPr>
      </w:pPr>
      <w:r w:rsidRPr="00E621E1">
        <w:rPr>
          <w:color w:val="1F4E79" w:themeColor="accent1" w:themeShade="80"/>
          <w:sz w:val="18"/>
          <w:szCs w:val="18"/>
          <w:lang w:val="en-US"/>
        </w:rPr>
        <w:t xml:space="preserve">f) Shareholdings (number of shares) </w:t>
      </w:r>
    </w:p>
    <w:tbl>
      <w:tblPr>
        <w:tblStyle w:val="TabeladeLista6Colorida-nfase5"/>
        <w:tblW w:w="9639" w:type="dxa"/>
        <w:jc w:val="center"/>
        <w:tblLayout w:type="fixed"/>
        <w:tblLook w:val="04A0" w:firstRow="1" w:lastRow="0" w:firstColumn="1" w:lastColumn="0" w:noHBand="0" w:noVBand="1"/>
      </w:tblPr>
      <w:tblGrid>
        <w:gridCol w:w="4843"/>
        <w:gridCol w:w="1365"/>
        <w:gridCol w:w="707"/>
        <w:gridCol w:w="270"/>
        <w:gridCol w:w="152"/>
        <w:gridCol w:w="220"/>
        <w:gridCol w:w="29"/>
        <w:gridCol w:w="1206"/>
        <w:gridCol w:w="847"/>
      </w:tblGrid>
      <w:tr w:rsidR="008B7E19" w:rsidRPr="0038031F" w14:paraId="421693C6" w14:textId="77777777" w:rsidTr="008B7E19">
        <w:trPr>
          <w:cnfStyle w:val="100000000000" w:firstRow="1" w:lastRow="0" w:firstColumn="0" w:lastColumn="0" w:oddVBand="0" w:evenVBand="0" w:oddHBand="0" w:evenHBand="0" w:firstRowFirstColumn="0" w:firstRowLastColumn="0" w:lastRowFirstColumn="0" w:lastRowLastColumn="0"/>
          <w:trHeight w:hRule="exact" w:val="371"/>
          <w:jc w:val="center"/>
        </w:trPr>
        <w:tc>
          <w:tcPr>
            <w:cnfStyle w:val="001000000000" w:firstRow="0" w:lastRow="0" w:firstColumn="1" w:lastColumn="0" w:oddVBand="0" w:evenVBand="0" w:oddHBand="0" w:evenHBand="0" w:firstRowFirstColumn="0" w:firstRowLastColumn="0" w:lastRowFirstColumn="0" w:lastRowLastColumn="0"/>
            <w:tcW w:w="4843" w:type="dxa"/>
            <w:vMerge w:val="restart"/>
            <w:tcBorders>
              <w:top w:val="single" w:sz="2" w:space="0" w:color="1F4E79" w:themeColor="accent1" w:themeShade="80"/>
            </w:tcBorders>
            <w:shd w:val="clear" w:color="auto" w:fill="auto"/>
            <w:vAlign w:val="center"/>
          </w:tcPr>
          <w:p w14:paraId="29F96D1B" w14:textId="77777777" w:rsidR="008B7E19" w:rsidRPr="004C1E4C" w:rsidRDefault="008B7E19" w:rsidP="008B7E19">
            <w:pPr>
              <w:pStyle w:val="08-Tabelageral"/>
              <w:jc w:val="left"/>
              <w:rPr>
                <w:b w:val="0"/>
              </w:rPr>
            </w:pPr>
            <w:r w:rsidRPr="000E747A">
              <w:rPr>
                <w:rFonts w:cs="Arial"/>
                <w:szCs w:val="14"/>
                <w:lang w:val="en-US"/>
              </w:rPr>
              <w:t>Stockholders</w:t>
            </w:r>
          </w:p>
        </w:tc>
        <w:tc>
          <w:tcPr>
            <w:tcW w:w="2072" w:type="dxa"/>
            <w:gridSpan w:val="2"/>
            <w:tcBorders>
              <w:top w:val="single" w:sz="2" w:space="0" w:color="1F4E79" w:themeColor="accent1" w:themeShade="80"/>
              <w:bottom w:val="single" w:sz="2" w:space="0" w:color="1F4E79" w:themeColor="accent1" w:themeShade="80"/>
            </w:tcBorders>
            <w:shd w:val="clear" w:color="auto" w:fill="auto"/>
            <w:vAlign w:val="center"/>
          </w:tcPr>
          <w:p w14:paraId="60DB6C83" w14:textId="77777777" w:rsidR="008B7E19" w:rsidRPr="00376A8D" w:rsidRDefault="008B7E19" w:rsidP="008B7E19">
            <w:pPr>
              <w:pStyle w:val="08-Tabelageral"/>
              <w:ind w:left="-443" w:firstLine="443"/>
              <w:jc w:val="center"/>
              <w:cnfStyle w:val="100000000000" w:firstRow="1" w:lastRow="0" w:firstColumn="0" w:lastColumn="0" w:oddVBand="0" w:evenVBand="0" w:oddHBand="0" w:evenHBand="0" w:firstRowFirstColumn="0" w:firstRowLastColumn="0" w:lastRowFirstColumn="0" w:lastRowLastColumn="0"/>
            </w:pPr>
            <w:r>
              <w:rPr>
                <w:rFonts w:cs="Arial"/>
                <w:szCs w:val="14"/>
                <w:lang w:val="en-US"/>
              </w:rPr>
              <w:t>June 30, 2023</w:t>
            </w:r>
          </w:p>
        </w:tc>
        <w:tc>
          <w:tcPr>
            <w:tcW w:w="422" w:type="dxa"/>
            <w:gridSpan w:val="2"/>
            <w:tcBorders>
              <w:top w:val="single" w:sz="2" w:space="0" w:color="1F4E79" w:themeColor="accent1" w:themeShade="80"/>
              <w:bottom w:val="nil"/>
            </w:tcBorders>
            <w:shd w:val="clear" w:color="auto" w:fill="auto"/>
          </w:tcPr>
          <w:p w14:paraId="5CDED746" w14:textId="77777777" w:rsidR="008B7E19" w:rsidRPr="00376A8D" w:rsidRDefault="008B7E19" w:rsidP="008B7E19">
            <w:pPr>
              <w:pStyle w:val="08-Tabelageral"/>
              <w:jc w:val="center"/>
              <w:cnfStyle w:val="100000000000" w:firstRow="1" w:lastRow="0" w:firstColumn="0" w:lastColumn="0" w:oddVBand="0" w:evenVBand="0" w:oddHBand="0" w:evenHBand="0" w:firstRowFirstColumn="0" w:firstRowLastColumn="0" w:lastRowFirstColumn="0" w:lastRowLastColumn="0"/>
            </w:pPr>
          </w:p>
        </w:tc>
        <w:tc>
          <w:tcPr>
            <w:tcW w:w="2302" w:type="dxa"/>
            <w:gridSpan w:val="4"/>
            <w:tcBorders>
              <w:top w:val="single" w:sz="2" w:space="0" w:color="1F4E79" w:themeColor="accent1" w:themeShade="80"/>
              <w:bottom w:val="single" w:sz="2" w:space="0" w:color="1F4E79" w:themeColor="accent1" w:themeShade="80"/>
            </w:tcBorders>
            <w:shd w:val="clear" w:color="auto" w:fill="auto"/>
            <w:vAlign w:val="center"/>
          </w:tcPr>
          <w:p w14:paraId="6BF571AB" w14:textId="77777777" w:rsidR="008B7E19" w:rsidRPr="00940212" w:rsidRDefault="008B7E19" w:rsidP="008B7E19">
            <w:pPr>
              <w:pStyle w:val="08-Tabelageral"/>
              <w:ind w:left="-443" w:firstLine="443"/>
              <w:jc w:val="center"/>
              <w:cnfStyle w:val="100000000000" w:firstRow="1" w:lastRow="0" w:firstColumn="0" w:lastColumn="0" w:oddVBand="0" w:evenVBand="0" w:oddHBand="0" w:evenHBand="0" w:firstRowFirstColumn="0" w:firstRowLastColumn="0" w:lastRowFirstColumn="0" w:lastRowLastColumn="0"/>
            </w:pPr>
            <w:r>
              <w:rPr>
                <w:rFonts w:cs="Arial"/>
                <w:szCs w:val="14"/>
                <w:lang w:val="en-US"/>
              </w:rPr>
              <w:t>Dec 31, 2022</w:t>
            </w:r>
          </w:p>
        </w:tc>
      </w:tr>
      <w:tr w:rsidR="008B7E19" w:rsidRPr="00C806B0" w14:paraId="26070C86" w14:textId="77777777" w:rsidTr="008B7E19">
        <w:trPr>
          <w:cnfStyle w:val="000000100000" w:firstRow="0" w:lastRow="0" w:firstColumn="0" w:lastColumn="0" w:oddVBand="0" w:evenVBand="0" w:oddHBand="1" w:evenHBand="0" w:firstRowFirstColumn="0" w:firstRowLastColumn="0" w:lastRowFirstColumn="0" w:lastRowLastColumn="0"/>
          <w:trHeight w:hRule="exact" w:val="279"/>
          <w:jc w:val="center"/>
        </w:trPr>
        <w:tc>
          <w:tcPr>
            <w:cnfStyle w:val="001000000000" w:firstRow="0" w:lastRow="0" w:firstColumn="1" w:lastColumn="0" w:oddVBand="0" w:evenVBand="0" w:oddHBand="0" w:evenHBand="0" w:firstRowFirstColumn="0" w:firstRowLastColumn="0" w:lastRowFirstColumn="0" w:lastRowLastColumn="0"/>
            <w:tcW w:w="4843" w:type="dxa"/>
            <w:vMerge/>
            <w:tcBorders>
              <w:bottom w:val="single" w:sz="2" w:space="0" w:color="1F4E79" w:themeColor="accent1" w:themeShade="80"/>
            </w:tcBorders>
            <w:shd w:val="clear" w:color="auto" w:fill="auto"/>
          </w:tcPr>
          <w:p w14:paraId="772FE712" w14:textId="77777777" w:rsidR="008B7E19" w:rsidRPr="004C1E4C" w:rsidRDefault="008B7E19" w:rsidP="008B7E19">
            <w:pPr>
              <w:pStyle w:val="08-Tabelageral"/>
              <w:rPr>
                <w:b w:val="0"/>
              </w:rPr>
            </w:pPr>
          </w:p>
        </w:tc>
        <w:tc>
          <w:tcPr>
            <w:tcW w:w="1365" w:type="dxa"/>
            <w:tcBorders>
              <w:top w:val="single" w:sz="2" w:space="0" w:color="1F4E79" w:themeColor="accent1" w:themeShade="80"/>
              <w:bottom w:val="single" w:sz="2" w:space="0" w:color="1F4E79" w:themeColor="accent1" w:themeShade="80"/>
            </w:tcBorders>
            <w:shd w:val="clear" w:color="auto" w:fill="auto"/>
          </w:tcPr>
          <w:p w14:paraId="03C09D12" w14:textId="77777777" w:rsidR="008B7E19" w:rsidRPr="00996913"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b/>
                <w:bCs/>
                <w:kern w:val="2"/>
                <w:szCs w:val="14"/>
              </w:rPr>
            </w:pPr>
            <w:r w:rsidRPr="008057C9">
              <w:rPr>
                <w:rFonts w:cs="Arial"/>
                <w:b/>
                <w:bCs/>
                <w:kern w:val="2"/>
                <w:szCs w:val="14"/>
              </w:rPr>
              <w:t>Shares</w:t>
            </w:r>
          </w:p>
        </w:tc>
        <w:tc>
          <w:tcPr>
            <w:tcW w:w="707" w:type="dxa"/>
            <w:tcBorders>
              <w:top w:val="single" w:sz="2" w:space="0" w:color="1F4E79" w:themeColor="accent1" w:themeShade="80"/>
              <w:bottom w:val="single" w:sz="2" w:space="0" w:color="1F4E79" w:themeColor="accent1" w:themeShade="80"/>
            </w:tcBorders>
            <w:shd w:val="clear" w:color="auto" w:fill="auto"/>
          </w:tcPr>
          <w:p w14:paraId="0F567503" w14:textId="77777777" w:rsidR="008B7E19" w:rsidRPr="00996913"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b/>
                <w:bCs/>
                <w:kern w:val="2"/>
                <w:szCs w:val="14"/>
              </w:rPr>
            </w:pPr>
            <w:r w:rsidRPr="00996913">
              <w:rPr>
                <w:rFonts w:cs="Arial"/>
                <w:b/>
                <w:bCs/>
                <w:kern w:val="2"/>
                <w:szCs w:val="14"/>
              </w:rPr>
              <w:t>% Total</w:t>
            </w:r>
          </w:p>
        </w:tc>
        <w:tc>
          <w:tcPr>
            <w:tcW w:w="270" w:type="dxa"/>
            <w:tcBorders>
              <w:top w:val="single" w:sz="2" w:space="0" w:color="1F4E79" w:themeColor="accent1" w:themeShade="80"/>
              <w:bottom w:val="single" w:sz="2" w:space="0" w:color="1F4E79" w:themeColor="accent1" w:themeShade="80"/>
            </w:tcBorders>
            <w:shd w:val="clear" w:color="auto" w:fill="auto"/>
            <w:vAlign w:val="center"/>
          </w:tcPr>
          <w:p w14:paraId="02D3B3C8" w14:textId="77777777" w:rsidR="008B7E19" w:rsidRPr="00376A8D" w:rsidRDefault="008B7E19" w:rsidP="008B7E19">
            <w:pPr>
              <w:pStyle w:val="08-Tabelageral"/>
              <w:cnfStyle w:val="000000100000" w:firstRow="0" w:lastRow="0" w:firstColumn="0" w:lastColumn="0" w:oddVBand="0" w:evenVBand="0" w:oddHBand="1" w:evenHBand="0" w:firstRowFirstColumn="0" w:firstRowLastColumn="0" w:lastRowFirstColumn="0" w:lastRowLastColumn="0"/>
            </w:pPr>
          </w:p>
        </w:tc>
        <w:tc>
          <w:tcPr>
            <w:tcW w:w="401" w:type="dxa"/>
            <w:gridSpan w:val="3"/>
            <w:tcBorders>
              <w:top w:val="nil"/>
              <w:bottom w:val="single" w:sz="2" w:space="0" w:color="1F4E79" w:themeColor="accent1" w:themeShade="80"/>
            </w:tcBorders>
            <w:shd w:val="clear" w:color="auto" w:fill="auto"/>
          </w:tcPr>
          <w:p w14:paraId="0EA4C245" w14:textId="77777777" w:rsidR="008B7E19" w:rsidRPr="00376A8D" w:rsidRDefault="008B7E19" w:rsidP="008B7E19">
            <w:pPr>
              <w:pStyle w:val="08-Tabelageral"/>
              <w:cnfStyle w:val="000000100000" w:firstRow="0" w:lastRow="0" w:firstColumn="0" w:lastColumn="0" w:oddVBand="0" w:evenVBand="0" w:oddHBand="1" w:evenHBand="0" w:firstRowFirstColumn="0" w:firstRowLastColumn="0" w:lastRowFirstColumn="0" w:lastRowLastColumn="0"/>
            </w:pPr>
          </w:p>
        </w:tc>
        <w:tc>
          <w:tcPr>
            <w:tcW w:w="1206" w:type="dxa"/>
            <w:tcBorders>
              <w:top w:val="single" w:sz="2" w:space="0" w:color="1F4E79" w:themeColor="accent1" w:themeShade="80"/>
              <w:bottom w:val="single" w:sz="2" w:space="0" w:color="1F4E79" w:themeColor="accent1" w:themeShade="80"/>
            </w:tcBorders>
            <w:shd w:val="clear" w:color="auto" w:fill="auto"/>
            <w:vAlign w:val="center"/>
          </w:tcPr>
          <w:p w14:paraId="61BD96E6" w14:textId="77777777" w:rsidR="008B7E19" w:rsidRPr="00996913"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b/>
                <w:bCs/>
                <w:kern w:val="2"/>
                <w:szCs w:val="14"/>
              </w:rPr>
            </w:pPr>
            <w:r w:rsidRPr="008057C9">
              <w:rPr>
                <w:rFonts w:cs="Arial"/>
                <w:b/>
                <w:bCs/>
                <w:kern w:val="2"/>
                <w:szCs w:val="14"/>
              </w:rPr>
              <w:t>Shares</w:t>
            </w:r>
          </w:p>
        </w:tc>
        <w:tc>
          <w:tcPr>
            <w:tcW w:w="847" w:type="dxa"/>
            <w:tcBorders>
              <w:top w:val="single" w:sz="2" w:space="0" w:color="1F4E79" w:themeColor="accent1" w:themeShade="80"/>
              <w:bottom w:val="single" w:sz="2" w:space="0" w:color="1F4E79" w:themeColor="accent1" w:themeShade="80"/>
            </w:tcBorders>
            <w:shd w:val="clear" w:color="auto" w:fill="auto"/>
            <w:vAlign w:val="center"/>
          </w:tcPr>
          <w:p w14:paraId="4152F17C" w14:textId="77777777" w:rsidR="008B7E19" w:rsidRPr="00996913"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b/>
                <w:bCs/>
                <w:kern w:val="2"/>
                <w:szCs w:val="14"/>
              </w:rPr>
            </w:pPr>
            <w:r w:rsidRPr="00996913">
              <w:rPr>
                <w:rFonts w:cs="Arial"/>
                <w:b/>
                <w:bCs/>
                <w:kern w:val="2"/>
                <w:szCs w:val="14"/>
              </w:rPr>
              <w:t>% Total</w:t>
            </w:r>
          </w:p>
        </w:tc>
      </w:tr>
      <w:tr w:rsidR="008B7E19" w:rsidRPr="00C806B0" w14:paraId="231DAA1A" w14:textId="77777777" w:rsidTr="008B7E19">
        <w:trPr>
          <w:trHeight w:hRule="exact" w:val="258"/>
          <w:jc w:val="center"/>
        </w:trPr>
        <w:tc>
          <w:tcPr>
            <w:cnfStyle w:val="001000000000" w:firstRow="0" w:lastRow="0" w:firstColumn="1" w:lastColumn="0" w:oddVBand="0" w:evenVBand="0" w:oddHBand="0" w:evenHBand="0" w:firstRowFirstColumn="0" w:firstRowLastColumn="0" w:lastRowFirstColumn="0" w:lastRowLastColumn="0"/>
            <w:tcW w:w="4843" w:type="dxa"/>
            <w:tcBorders>
              <w:top w:val="single" w:sz="2" w:space="0" w:color="1F4E79" w:themeColor="accent1" w:themeShade="80"/>
              <w:bottom w:val="nil"/>
            </w:tcBorders>
            <w:shd w:val="clear" w:color="auto" w:fill="auto"/>
          </w:tcPr>
          <w:p w14:paraId="7778286C" w14:textId="77777777" w:rsidR="008B7E19" w:rsidRPr="008057C9" w:rsidRDefault="008B7E19" w:rsidP="008B7E19">
            <w:pPr>
              <w:pStyle w:val="08-Tabelageral"/>
              <w:ind w:firstLine="176"/>
              <w:jc w:val="left"/>
              <w:rPr>
                <w:rFonts w:cs="Arial"/>
                <w:b w:val="0"/>
                <w:bCs w:val="0"/>
                <w:color w:val="auto"/>
                <w:szCs w:val="14"/>
              </w:rPr>
            </w:pPr>
            <w:r w:rsidRPr="008057C9">
              <w:rPr>
                <w:rFonts w:cs="Arial"/>
                <w:b w:val="0"/>
                <w:bCs w:val="0"/>
                <w:color w:val="auto"/>
                <w:szCs w:val="14"/>
              </w:rPr>
              <w:t>Banco do Brasil</w:t>
            </w:r>
          </w:p>
        </w:tc>
        <w:tc>
          <w:tcPr>
            <w:tcW w:w="1365" w:type="dxa"/>
            <w:tcBorders>
              <w:top w:val="single" w:sz="2" w:space="0" w:color="1F4E79" w:themeColor="accent1" w:themeShade="80"/>
              <w:bottom w:val="nil"/>
            </w:tcBorders>
            <w:shd w:val="clear" w:color="auto" w:fill="auto"/>
            <w:vAlign w:val="bottom"/>
          </w:tcPr>
          <w:p w14:paraId="57B3BCD5" w14:textId="77777777" w:rsidR="008B7E19" w:rsidRDefault="008B7E19" w:rsidP="008B7E19">
            <w:pPr>
              <w:pStyle w:val="08-Tabelageral"/>
              <w:cnfStyle w:val="000000000000" w:firstRow="0" w:lastRow="0" w:firstColumn="0" w:lastColumn="0" w:oddVBand="0" w:evenVBand="0" w:oddHBand="0" w:evenHBand="0" w:firstRowFirstColumn="0" w:firstRowLastColumn="0" w:lastRowFirstColumn="0" w:lastRowLastColumn="0"/>
            </w:pPr>
            <w:r w:rsidRPr="00F65C81">
              <w:t>1</w:t>
            </w:r>
            <w:r>
              <w:t>,</w:t>
            </w:r>
            <w:r w:rsidRPr="00F65C81">
              <w:t>325</w:t>
            </w:r>
            <w:r>
              <w:t>,</w:t>
            </w:r>
            <w:r w:rsidRPr="00F65C81">
              <w:t>000</w:t>
            </w:r>
            <w:r>
              <w:t>,</w:t>
            </w:r>
            <w:r w:rsidRPr="00F65C81">
              <w:t>000</w:t>
            </w:r>
          </w:p>
        </w:tc>
        <w:tc>
          <w:tcPr>
            <w:tcW w:w="707" w:type="dxa"/>
            <w:tcBorders>
              <w:top w:val="single" w:sz="2" w:space="0" w:color="1F4E79" w:themeColor="accent1" w:themeShade="80"/>
              <w:bottom w:val="nil"/>
            </w:tcBorders>
            <w:shd w:val="clear" w:color="auto" w:fill="auto"/>
            <w:vAlign w:val="bottom"/>
          </w:tcPr>
          <w:p w14:paraId="25600C20" w14:textId="77777777" w:rsidR="008B7E19" w:rsidRDefault="008B7E19" w:rsidP="008B7E19">
            <w:pPr>
              <w:pStyle w:val="08-Tabelageral"/>
              <w:cnfStyle w:val="000000000000" w:firstRow="0" w:lastRow="0" w:firstColumn="0" w:lastColumn="0" w:oddVBand="0" w:evenVBand="0" w:oddHBand="0" w:evenHBand="0" w:firstRowFirstColumn="0" w:firstRowLastColumn="0" w:lastRowFirstColumn="0" w:lastRowLastColumn="0"/>
            </w:pPr>
            <w:r>
              <w:t>66.25</w:t>
            </w:r>
          </w:p>
        </w:tc>
        <w:tc>
          <w:tcPr>
            <w:tcW w:w="270" w:type="dxa"/>
            <w:tcBorders>
              <w:top w:val="single" w:sz="2" w:space="0" w:color="1F4E79" w:themeColor="accent1" w:themeShade="80"/>
              <w:bottom w:val="nil"/>
            </w:tcBorders>
            <w:shd w:val="clear" w:color="auto" w:fill="auto"/>
            <w:vAlign w:val="center"/>
          </w:tcPr>
          <w:p w14:paraId="70BDEBCF" w14:textId="77777777" w:rsidR="008B7E19" w:rsidRPr="00376A8D" w:rsidRDefault="008B7E19" w:rsidP="008B7E19">
            <w:pPr>
              <w:pStyle w:val="08-Tabelageral"/>
              <w:cnfStyle w:val="000000000000" w:firstRow="0" w:lastRow="0" w:firstColumn="0" w:lastColumn="0" w:oddVBand="0" w:evenVBand="0" w:oddHBand="0" w:evenHBand="0" w:firstRowFirstColumn="0" w:firstRowLastColumn="0" w:lastRowFirstColumn="0" w:lastRowLastColumn="0"/>
            </w:pPr>
          </w:p>
        </w:tc>
        <w:tc>
          <w:tcPr>
            <w:tcW w:w="372" w:type="dxa"/>
            <w:gridSpan w:val="2"/>
            <w:tcBorders>
              <w:top w:val="single" w:sz="2" w:space="0" w:color="1F4E79" w:themeColor="accent1" w:themeShade="80"/>
              <w:bottom w:val="nil"/>
            </w:tcBorders>
            <w:shd w:val="clear" w:color="auto" w:fill="auto"/>
            <w:vAlign w:val="bottom"/>
          </w:tcPr>
          <w:p w14:paraId="410C4947" w14:textId="77777777" w:rsidR="008B7E19" w:rsidRPr="00376A8D" w:rsidRDefault="008B7E19" w:rsidP="008B7E19">
            <w:pPr>
              <w:pStyle w:val="08-Tabelageral"/>
              <w:cnfStyle w:val="000000000000" w:firstRow="0" w:lastRow="0" w:firstColumn="0" w:lastColumn="0" w:oddVBand="0" w:evenVBand="0" w:oddHBand="0" w:evenHBand="0" w:firstRowFirstColumn="0" w:firstRowLastColumn="0" w:lastRowFirstColumn="0" w:lastRowLastColumn="0"/>
            </w:pPr>
          </w:p>
        </w:tc>
        <w:tc>
          <w:tcPr>
            <w:tcW w:w="1235" w:type="dxa"/>
            <w:gridSpan w:val="2"/>
            <w:tcBorders>
              <w:top w:val="single" w:sz="2" w:space="0" w:color="1F4E79" w:themeColor="accent1" w:themeShade="80"/>
              <w:bottom w:val="nil"/>
            </w:tcBorders>
            <w:shd w:val="clear" w:color="auto" w:fill="auto"/>
            <w:vAlign w:val="bottom"/>
          </w:tcPr>
          <w:p w14:paraId="0F6403FC" w14:textId="77777777" w:rsidR="008B7E19" w:rsidRPr="0086152E" w:rsidRDefault="008B7E19" w:rsidP="008B7E19">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rPr>
            </w:pPr>
            <w:r w:rsidRPr="00A651EF">
              <w:t>1</w:t>
            </w:r>
            <w:r>
              <w:t>,</w:t>
            </w:r>
            <w:r w:rsidRPr="00A651EF">
              <w:t>325</w:t>
            </w:r>
            <w:r>
              <w:t>,</w:t>
            </w:r>
            <w:r w:rsidRPr="00A651EF">
              <w:t>000</w:t>
            </w:r>
            <w:r>
              <w:t>,</w:t>
            </w:r>
            <w:r w:rsidRPr="00A651EF">
              <w:t>000</w:t>
            </w:r>
          </w:p>
        </w:tc>
        <w:tc>
          <w:tcPr>
            <w:tcW w:w="847" w:type="dxa"/>
            <w:tcBorders>
              <w:top w:val="single" w:sz="2" w:space="0" w:color="1F4E79" w:themeColor="accent1" w:themeShade="80"/>
              <w:bottom w:val="nil"/>
            </w:tcBorders>
            <w:shd w:val="clear" w:color="auto" w:fill="auto"/>
            <w:vAlign w:val="bottom"/>
          </w:tcPr>
          <w:p w14:paraId="0AF99033" w14:textId="77777777" w:rsidR="008B7E19" w:rsidRPr="0086152E" w:rsidRDefault="008B7E19" w:rsidP="008B7E19">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rPr>
            </w:pPr>
            <w:r w:rsidRPr="00A651EF">
              <w:t>66</w:t>
            </w:r>
            <w:r>
              <w:t>.</w:t>
            </w:r>
            <w:r w:rsidRPr="00A651EF">
              <w:t>25</w:t>
            </w:r>
          </w:p>
        </w:tc>
      </w:tr>
      <w:tr w:rsidR="008B7E19" w:rsidRPr="00C806B0" w14:paraId="3AF46765" w14:textId="77777777" w:rsidTr="008B7E19">
        <w:trPr>
          <w:cnfStyle w:val="000000100000" w:firstRow="0" w:lastRow="0" w:firstColumn="0" w:lastColumn="0" w:oddVBand="0" w:evenVBand="0" w:oddHBand="1" w:evenHBand="0" w:firstRowFirstColumn="0" w:firstRowLastColumn="0" w:lastRowFirstColumn="0" w:lastRowLastColumn="0"/>
          <w:trHeight w:hRule="exact" w:val="258"/>
          <w:jc w:val="center"/>
        </w:trPr>
        <w:tc>
          <w:tcPr>
            <w:cnfStyle w:val="001000000000" w:firstRow="0" w:lastRow="0" w:firstColumn="1" w:lastColumn="0" w:oddVBand="0" w:evenVBand="0" w:oddHBand="0" w:evenHBand="0" w:firstRowFirstColumn="0" w:firstRowLastColumn="0" w:lastRowFirstColumn="0" w:lastRowLastColumn="0"/>
            <w:tcW w:w="4843" w:type="dxa"/>
            <w:tcBorders>
              <w:top w:val="nil"/>
              <w:bottom w:val="nil"/>
            </w:tcBorders>
            <w:shd w:val="clear" w:color="auto" w:fill="auto"/>
          </w:tcPr>
          <w:p w14:paraId="44137C6A" w14:textId="77777777" w:rsidR="008B7E19" w:rsidRPr="008057C9" w:rsidRDefault="008B7E19" w:rsidP="008B7E19">
            <w:pPr>
              <w:pStyle w:val="08-Tabelageral"/>
              <w:ind w:firstLine="176"/>
              <w:jc w:val="left"/>
              <w:rPr>
                <w:rFonts w:cs="Arial"/>
                <w:b w:val="0"/>
                <w:bCs w:val="0"/>
                <w:color w:val="auto"/>
                <w:szCs w:val="14"/>
              </w:rPr>
            </w:pPr>
            <w:r w:rsidRPr="008057C9">
              <w:rPr>
                <w:rFonts w:cs="Arial"/>
                <w:b w:val="0"/>
                <w:bCs w:val="0"/>
                <w:color w:val="auto"/>
                <w:szCs w:val="14"/>
              </w:rPr>
              <w:t>Other stockholders</w:t>
            </w:r>
          </w:p>
        </w:tc>
        <w:tc>
          <w:tcPr>
            <w:tcW w:w="1365" w:type="dxa"/>
            <w:tcBorders>
              <w:top w:val="nil"/>
              <w:bottom w:val="nil"/>
            </w:tcBorders>
            <w:shd w:val="clear" w:color="auto" w:fill="auto"/>
            <w:vAlign w:val="bottom"/>
          </w:tcPr>
          <w:p w14:paraId="3A98C799" w14:textId="77777777" w:rsidR="008B7E19" w:rsidRDefault="008B7E19" w:rsidP="008B7E19">
            <w:pPr>
              <w:pStyle w:val="08-Tabelageral"/>
              <w:cnfStyle w:val="000000100000" w:firstRow="0" w:lastRow="0" w:firstColumn="0" w:lastColumn="0" w:oddVBand="0" w:evenVBand="0" w:oddHBand="1" w:evenHBand="0" w:firstRowFirstColumn="0" w:firstRowLastColumn="0" w:lastRowFirstColumn="0" w:lastRowLastColumn="0"/>
            </w:pPr>
            <w:r w:rsidRPr="00F65C81">
              <w:t>671</w:t>
            </w:r>
            <w:r>
              <w:t>,</w:t>
            </w:r>
            <w:r w:rsidRPr="00F65C81">
              <w:t>750</w:t>
            </w:r>
            <w:r>
              <w:t>,</w:t>
            </w:r>
            <w:r w:rsidRPr="00F65C81">
              <w:t>768</w:t>
            </w:r>
          </w:p>
        </w:tc>
        <w:tc>
          <w:tcPr>
            <w:tcW w:w="707" w:type="dxa"/>
            <w:tcBorders>
              <w:top w:val="nil"/>
              <w:bottom w:val="nil"/>
            </w:tcBorders>
            <w:shd w:val="clear" w:color="auto" w:fill="auto"/>
            <w:vAlign w:val="bottom"/>
          </w:tcPr>
          <w:p w14:paraId="122E114D" w14:textId="77777777" w:rsidR="008B7E19" w:rsidRDefault="008B7E19" w:rsidP="008B7E19">
            <w:pPr>
              <w:pStyle w:val="08-Tabelageral"/>
              <w:cnfStyle w:val="000000100000" w:firstRow="0" w:lastRow="0" w:firstColumn="0" w:lastColumn="0" w:oddVBand="0" w:evenVBand="0" w:oddHBand="1" w:evenHBand="0" w:firstRowFirstColumn="0" w:firstRowLastColumn="0" w:lastRowFirstColumn="0" w:lastRowLastColumn="0"/>
            </w:pPr>
            <w:r>
              <w:t>33.59</w:t>
            </w:r>
          </w:p>
        </w:tc>
        <w:tc>
          <w:tcPr>
            <w:tcW w:w="270" w:type="dxa"/>
            <w:tcBorders>
              <w:top w:val="nil"/>
              <w:bottom w:val="nil"/>
            </w:tcBorders>
            <w:shd w:val="clear" w:color="auto" w:fill="auto"/>
            <w:vAlign w:val="center"/>
          </w:tcPr>
          <w:p w14:paraId="0C5A6CD9" w14:textId="77777777" w:rsidR="008B7E19" w:rsidRPr="00376A8D" w:rsidRDefault="008B7E19" w:rsidP="008B7E19">
            <w:pPr>
              <w:pStyle w:val="08-Tabelageral"/>
              <w:cnfStyle w:val="000000100000" w:firstRow="0" w:lastRow="0" w:firstColumn="0" w:lastColumn="0" w:oddVBand="0" w:evenVBand="0" w:oddHBand="1" w:evenHBand="0" w:firstRowFirstColumn="0" w:firstRowLastColumn="0" w:lastRowFirstColumn="0" w:lastRowLastColumn="0"/>
            </w:pPr>
          </w:p>
        </w:tc>
        <w:tc>
          <w:tcPr>
            <w:tcW w:w="372" w:type="dxa"/>
            <w:gridSpan w:val="2"/>
            <w:tcBorders>
              <w:top w:val="nil"/>
              <w:bottom w:val="nil"/>
            </w:tcBorders>
            <w:shd w:val="clear" w:color="auto" w:fill="auto"/>
            <w:vAlign w:val="bottom"/>
          </w:tcPr>
          <w:p w14:paraId="040E8B51" w14:textId="77777777" w:rsidR="008B7E19" w:rsidRPr="00376A8D" w:rsidRDefault="008B7E19" w:rsidP="008B7E19">
            <w:pPr>
              <w:pStyle w:val="08-Tabelageral"/>
              <w:cnfStyle w:val="000000100000" w:firstRow="0" w:lastRow="0" w:firstColumn="0" w:lastColumn="0" w:oddVBand="0" w:evenVBand="0" w:oddHBand="1" w:evenHBand="0" w:firstRowFirstColumn="0" w:firstRowLastColumn="0" w:lastRowFirstColumn="0" w:lastRowLastColumn="0"/>
            </w:pPr>
          </w:p>
        </w:tc>
        <w:tc>
          <w:tcPr>
            <w:tcW w:w="1235" w:type="dxa"/>
            <w:gridSpan w:val="2"/>
            <w:tcBorders>
              <w:top w:val="nil"/>
              <w:bottom w:val="nil"/>
            </w:tcBorders>
            <w:shd w:val="clear" w:color="auto" w:fill="auto"/>
            <w:vAlign w:val="bottom"/>
          </w:tcPr>
          <w:p w14:paraId="3D0344AB" w14:textId="77777777" w:rsidR="008B7E19" w:rsidRPr="0086152E" w:rsidRDefault="008B7E19" w:rsidP="008B7E19">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r w:rsidRPr="00A651EF">
              <w:t>671</w:t>
            </w:r>
            <w:r>
              <w:t>,</w:t>
            </w:r>
            <w:r w:rsidRPr="00A651EF">
              <w:t>726</w:t>
            </w:r>
            <w:r>
              <w:t>,</w:t>
            </w:r>
            <w:r w:rsidRPr="00A651EF">
              <w:t>433</w:t>
            </w:r>
          </w:p>
        </w:tc>
        <w:tc>
          <w:tcPr>
            <w:tcW w:w="847" w:type="dxa"/>
            <w:tcBorders>
              <w:top w:val="nil"/>
              <w:bottom w:val="nil"/>
            </w:tcBorders>
            <w:shd w:val="clear" w:color="auto" w:fill="auto"/>
            <w:vAlign w:val="bottom"/>
          </w:tcPr>
          <w:p w14:paraId="416E2E56" w14:textId="77777777" w:rsidR="008B7E19" w:rsidRPr="0086152E" w:rsidRDefault="008B7E19" w:rsidP="008B7E19">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r w:rsidRPr="00A651EF">
              <w:t>33</w:t>
            </w:r>
            <w:r>
              <w:t>.</w:t>
            </w:r>
            <w:r w:rsidRPr="00A651EF">
              <w:t>59</w:t>
            </w:r>
          </w:p>
        </w:tc>
      </w:tr>
      <w:tr w:rsidR="008B7E19" w:rsidRPr="00C806B0" w14:paraId="541EA7F3" w14:textId="77777777" w:rsidTr="008B7E19">
        <w:trPr>
          <w:trHeight w:hRule="exact" w:val="258"/>
          <w:jc w:val="center"/>
        </w:trPr>
        <w:tc>
          <w:tcPr>
            <w:cnfStyle w:val="001000000000" w:firstRow="0" w:lastRow="0" w:firstColumn="1" w:lastColumn="0" w:oddVBand="0" w:evenVBand="0" w:oddHBand="0" w:evenHBand="0" w:firstRowFirstColumn="0" w:firstRowLastColumn="0" w:lastRowFirstColumn="0" w:lastRowLastColumn="0"/>
            <w:tcW w:w="4843" w:type="dxa"/>
            <w:tcBorders>
              <w:top w:val="nil"/>
              <w:bottom w:val="nil"/>
            </w:tcBorders>
            <w:shd w:val="clear" w:color="auto" w:fill="auto"/>
          </w:tcPr>
          <w:p w14:paraId="4D2F527A" w14:textId="77777777" w:rsidR="008B7E19" w:rsidRPr="008057C9" w:rsidRDefault="008B7E19" w:rsidP="008B7E19">
            <w:pPr>
              <w:pStyle w:val="08-Tabelageral"/>
              <w:ind w:firstLine="176"/>
              <w:jc w:val="left"/>
              <w:rPr>
                <w:rFonts w:cs="Arial"/>
                <w:b w:val="0"/>
                <w:bCs w:val="0"/>
                <w:color w:val="auto"/>
                <w:szCs w:val="14"/>
              </w:rPr>
            </w:pPr>
            <w:r w:rsidRPr="008057C9">
              <w:rPr>
                <w:rFonts w:cs="Arial"/>
                <w:b w:val="0"/>
                <w:bCs w:val="0"/>
                <w:color w:val="auto"/>
                <w:szCs w:val="14"/>
              </w:rPr>
              <w:t>Treasury shares</w:t>
            </w:r>
          </w:p>
        </w:tc>
        <w:tc>
          <w:tcPr>
            <w:tcW w:w="1365" w:type="dxa"/>
            <w:tcBorders>
              <w:top w:val="nil"/>
              <w:bottom w:val="nil"/>
            </w:tcBorders>
            <w:shd w:val="clear" w:color="auto" w:fill="auto"/>
            <w:vAlign w:val="bottom"/>
          </w:tcPr>
          <w:p w14:paraId="2B7BE26C" w14:textId="77777777" w:rsidR="008B7E19" w:rsidRDefault="008B7E19" w:rsidP="008B7E19">
            <w:pPr>
              <w:pStyle w:val="08-Tabelageral"/>
              <w:cnfStyle w:val="000000000000" w:firstRow="0" w:lastRow="0" w:firstColumn="0" w:lastColumn="0" w:oddVBand="0" w:evenVBand="0" w:oddHBand="0" w:evenHBand="0" w:firstRowFirstColumn="0" w:firstRowLastColumn="0" w:lastRowFirstColumn="0" w:lastRowLastColumn="0"/>
            </w:pPr>
            <w:r w:rsidRPr="00F65C81">
              <w:t>3</w:t>
            </w:r>
            <w:r>
              <w:t>,</w:t>
            </w:r>
            <w:r w:rsidRPr="00F65C81">
              <w:t>249</w:t>
            </w:r>
            <w:r>
              <w:t>,</w:t>
            </w:r>
            <w:r w:rsidRPr="00F65C81">
              <w:t>232</w:t>
            </w:r>
          </w:p>
        </w:tc>
        <w:tc>
          <w:tcPr>
            <w:tcW w:w="707" w:type="dxa"/>
            <w:tcBorders>
              <w:top w:val="nil"/>
              <w:bottom w:val="nil"/>
            </w:tcBorders>
            <w:shd w:val="clear" w:color="auto" w:fill="auto"/>
            <w:vAlign w:val="bottom"/>
          </w:tcPr>
          <w:p w14:paraId="4AAA0361" w14:textId="77777777" w:rsidR="008B7E19" w:rsidRDefault="008B7E19" w:rsidP="008B7E19">
            <w:pPr>
              <w:pStyle w:val="08-Tabelageral"/>
              <w:cnfStyle w:val="000000000000" w:firstRow="0" w:lastRow="0" w:firstColumn="0" w:lastColumn="0" w:oddVBand="0" w:evenVBand="0" w:oddHBand="0" w:evenHBand="0" w:firstRowFirstColumn="0" w:firstRowLastColumn="0" w:lastRowFirstColumn="0" w:lastRowLastColumn="0"/>
            </w:pPr>
            <w:r>
              <w:t>0.16</w:t>
            </w:r>
          </w:p>
        </w:tc>
        <w:tc>
          <w:tcPr>
            <w:tcW w:w="270" w:type="dxa"/>
            <w:tcBorders>
              <w:top w:val="nil"/>
              <w:bottom w:val="nil"/>
            </w:tcBorders>
            <w:shd w:val="clear" w:color="auto" w:fill="auto"/>
            <w:vAlign w:val="center"/>
          </w:tcPr>
          <w:p w14:paraId="77507847" w14:textId="77777777" w:rsidR="008B7E19" w:rsidRPr="00376A8D" w:rsidRDefault="008B7E19" w:rsidP="008B7E19">
            <w:pPr>
              <w:pStyle w:val="08-Tabelageral"/>
              <w:cnfStyle w:val="000000000000" w:firstRow="0" w:lastRow="0" w:firstColumn="0" w:lastColumn="0" w:oddVBand="0" w:evenVBand="0" w:oddHBand="0" w:evenHBand="0" w:firstRowFirstColumn="0" w:firstRowLastColumn="0" w:lastRowFirstColumn="0" w:lastRowLastColumn="0"/>
            </w:pPr>
          </w:p>
        </w:tc>
        <w:tc>
          <w:tcPr>
            <w:tcW w:w="372" w:type="dxa"/>
            <w:gridSpan w:val="2"/>
            <w:tcBorders>
              <w:top w:val="nil"/>
              <w:bottom w:val="nil"/>
            </w:tcBorders>
            <w:shd w:val="clear" w:color="auto" w:fill="auto"/>
            <w:vAlign w:val="bottom"/>
          </w:tcPr>
          <w:p w14:paraId="6523260A" w14:textId="77777777" w:rsidR="008B7E19" w:rsidRPr="00376A8D" w:rsidRDefault="008B7E19" w:rsidP="008B7E19">
            <w:pPr>
              <w:pStyle w:val="08-Tabelageral"/>
              <w:cnfStyle w:val="000000000000" w:firstRow="0" w:lastRow="0" w:firstColumn="0" w:lastColumn="0" w:oddVBand="0" w:evenVBand="0" w:oddHBand="0" w:evenHBand="0" w:firstRowFirstColumn="0" w:firstRowLastColumn="0" w:lastRowFirstColumn="0" w:lastRowLastColumn="0"/>
            </w:pPr>
          </w:p>
        </w:tc>
        <w:tc>
          <w:tcPr>
            <w:tcW w:w="1235" w:type="dxa"/>
            <w:gridSpan w:val="2"/>
            <w:tcBorders>
              <w:top w:val="nil"/>
              <w:bottom w:val="nil"/>
            </w:tcBorders>
            <w:shd w:val="clear" w:color="auto" w:fill="auto"/>
            <w:vAlign w:val="bottom"/>
          </w:tcPr>
          <w:p w14:paraId="10773D5B" w14:textId="77777777" w:rsidR="008B7E19" w:rsidRPr="0086152E" w:rsidRDefault="008B7E19" w:rsidP="008B7E19">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rPr>
            </w:pPr>
            <w:r w:rsidRPr="00A651EF">
              <w:t>3</w:t>
            </w:r>
            <w:r>
              <w:t>,</w:t>
            </w:r>
            <w:r w:rsidRPr="00A651EF">
              <w:t>273</w:t>
            </w:r>
            <w:r>
              <w:t>,</w:t>
            </w:r>
            <w:r w:rsidRPr="00A651EF">
              <w:t>567</w:t>
            </w:r>
          </w:p>
        </w:tc>
        <w:tc>
          <w:tcPr>
            <w:tcW w:w="847" w:type="dxa"/>
            <w:tcBorders>
              <w:top w:val="nil"/>
              <w:bottom w:val="nil"/>
            </w:tcBorders>
            <w:shd w:val="clear" w:color="auto" w:fill="auto"/>
            <w:vAlign w:val="bottom"/>
          </w:tcPr>
          <w:p w14:paraId="497978DE" w14:textId="77777777" w:rsidR="008B7E19" w:rsidRPr="0086152E" w:rsidRDefault="008B7E19" w:rsidP="008B7E19">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rPr>
            </w:pPr>
            <w:r w:rsidRPr="00A651EF">
              <w:t>0</w:t>
            </w:r>
            <w:r>
              <w:t>.</w:t>
            </w:r>
            <w:r w:rsidRPr="00A651EF">
              <w:t>16</w:t>
            </w:r>
          </w:p>
        </w:tc>
      </w:tr>
      <w:tr w:rsidR="008B7E19" w:rsidRPr="008057C9" w14:paraId="5D63DC68" w14:textId="77777777" w:rsidTr="008B7E19">
        <w:trPr>
          <w:cnfStyle w:val="000000100000" w:firstRow="0" w:lastRow="0" w:firstColumn="0" w:lastColumn="0" w:oddVBand="0" w:evenVBand="0" w:oddHBand="1" w:evenHBand="0" w:firstRowFirstColumn="0" w:firstRowLastColumn="0" w:lastRowFirstColumn="0" w:lastRowLastColumn="0"/>
          <w:trHeight w:hRule="exact" w:val="258"/>
          <w:jc w:val="center"/>
        </w:trPr>
        <w:tc>
          <w:tcPr>
            <w:cnfStyle w:val="001000000000" w:firstRow="0" w:lastRow="0" w:firstColumn="1" w:lastColumn="0" w:oddVBand="0" w:evenVBand="0" w:oddHBand="0" w:evenHBand="0" w:firstRowFirstColumn="0" w:firstRowLastColumn="0" w:lastRowFirstColumn="0" w:lastRowLastColumn="0"/>
            <w:tcW w:w="4843" w:type="dxa"/>
            <w:tcBorders>
              <w:top w:val="nil"/>
              <w:bottom w:val="nil"/>
            </w:tcBorders>
            <w:shd w:val="clear" w:color="auto" w:fill="auto"/>
          </w:tcPr>
          <w:p w14:paraId="371E042C" w14:textId="77777777" w:rsidR="008B7E19" w:rsidRPr="008057C9" w:rsidRDefault="008B7E19" w:rsidP="008B7E19">
            <w:pPr>
              <w:pStyle w:val="08-Tabelageral"/>
              <w:jc w:val="left"/>
              <w:rPr>
                <w:rFonts w:cs="Arial"/>
                <w:bCs w:val="0"/>
                <w:color w:val="auto"/>
                <w:szCs w:val="14"/>
              </w:rPr>
            </w:pPr>
            <w:r w:rsidRPr="008057C9">
              <w:rPr>
                <w:rFonts w:cs="Arial"/>
                <w:bCs w:val="0"/>
                <w:color w:val="auto"/>
                <w:szCs w:val="14"/>
              </w:rPr>
              <w:t>Total</w:t>
            </w:r>
          </w:p>
        </w:tc>
        <w:tc>
          <w:tcPr>
            <w:tcW w:w="1365" w:type="dxa"/>
            <w:tcBorders>
              <w:top w:val="nil"/>
              <w:bottom w:val="nil"/>
            </w:tcBorders>
            <w:shd w:val="clear" w:color="auto" w:fill="auto"/>
            <w:vAlign w:val="center"/>
          </w:tcPr>
          <w:p w14:paraId="1592DF3C" w14:textId="77777777" w:rsidR="008B7E19" w:rsidRPr="008057C9"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b/>
              </w:rPr>
            </w:pPr>
            <w:r w:rsidRPr="00B56B53">
              <w:rPr>
                <w:b/>
              </w:rPr>
              <w:t>2</w:t>
            </w:r>
            <w:r>
              <w:rPr>
                <w:b/>
              </w:rPr>
              <w:t>,</w:t>
            </w:r>
            <w:r w:rsidRPr="00B56B53">
              <w:rPr>
                <w:b/>
              </w:rPr>
              <w:t>000</w:t>
            </w:r>
            <w:r>
              <w:rPr>
                <w:b/>
              </w:rPr>
              <w:t>,</w:t>
            </w:r>
            <w:r w:rsidRPr="00B56B53">
              <w:rPr>
                <w:b/>
              </w:rPr>
              <w:t>000</w:t>
            </w:r>
            <w:r>
              <w:rPr>
                <w:b/>
              </w:rPr>
              <w:t>,</w:t>
            </w:r>
            <w:r w:rsidRPr="00B56B53">
              <w:rPr>
                <w:b/>
              </w:rPr>
              <w:t>000</w:t>
            </w:r>
          </w:p>
        </w:tc>
        <w:tc>
          <w:tcPr>
            <w:tcW w:w="707" w:type="dxa"/>
            <w:tcBorders>
              <w:top w:val="nil"/>
              <w:bottom w:val="nil"/>
            </w:tcBorders>
            <w:shd w:val="clear" w:color="auto" w:fill="auto"/>
            <w:vAlign w:val="center"/>
          </w:tcPr>
          <w:p w14:paraId="3E8AACB5" w14:textId="77777777" w:rsidR="008B7E19" w:rsidRPr="008057C9"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b/>
              </w:rPr>
            </w:pPr>
            <w:r w:rsidRPr="00B56B53">
              <w:rPr>
                <w:b/>
              </w:rPr>
              <w:t>100</w:t>
            </w:r>
          </w:p>
        </w:tc>
        <w:tc>
          <w:tcPr>
            <w:tcW w:w="270" w:type="dxa"/>
            <w:tcBorders>
              <w:top w:val="nil"/>
              <w:bottom w:val="nil"/>
            </w:tcBorders>
            <w:shd w:val="clear" w:color="auto" w:fill="auto"/>
            <w:vAlign w:val="center"/>
          </w:tcPr>
          <w:p w14:paraId="69106029" w14:textId="77777777" w:rsidR="008B7E19" w:rsidRPr="008057C9"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b/>
              </w:rPr>
            </w:pPr>
          </w:p>
        </w:tc>
        <w:tc>
          <w:tcPr>
            <w:tcW w:w="372" w:type="dxa"/>
            <w:gridSpan w:val="2"/>
            <w:tcBorders>
              <w:top w:val="nil"/>
              <w:bottom w:val="nil"/>
            </w:tcBorders>
            <w:shd w:val="clear" w:color="auto" w:fill="auto"/>
            <w:vAlign w:val="center"/>
          </w:tcPr>
          <w:p w14:paraId="3445FEE1" w14:textId="77777777" w:rsidR="008B7E19" w:rsidRPr="008057C9"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b/>
              </w:rPr>
            </w:pPr>
          </w:p>
        </w:tc>
        <w:tc>
          <w:tcPr>
            <w:tcW w:w="1235" w:type="dxa"/>
            <w:gridSpan w:val="2"/>
            <w:tcBorders>
              <w:top w:val="nil"/>
              <w:bottom w:val="nil"/>
            </w:tcBorders>
            <w:shd w:val="clear" w:color="auto" w:fill="auto"/>
            <w:vAlign w:val="center"/>
          </w:tcPr>
          <w:p w14:paraId="7C4FCC7C" w14:textId="77777777" w:rsidR="008B7E19" w:rsidRPr="008057C9" w:rsidRDefault="008B7E19" w:rsidP="008B7E19">
            <w:pPr>
              <w:pStyle w:val="08-Tabelageral"/>
              <w:ind w:left="113"/>
              <w:cnfStyle w:val="000000100000" w:firstRow="0" w:lastRow="0" w:firstColumn="0" w:lastColumn="0" w:oddVBand="0" w:evenVBand="0" w:oddHBand="1" w:evenHBand="0" w:firstRowFirstColumn="0" w:firstRowLastColumn="0" w:lastRowFirstColumn="0" w:lastRowLastColumn="0"/>
              <w:rPr>
                <w:rFonts w:cs="Arial"/>
                <w:b/>
                <w:szCs w:val="14"/>
              </w:rPr>
            </w:pPr>
            <w:r w:rsidRPr="005A7A8D">
              <w:rPr>
                <w:b/>
              </w:rPr>
              <w:t>2</w:t>
            </w:r>
            <w:r>
              <w:rPr>
                <w:b/>
              </w:rPr>
              <w:t>,</w:t>
            </w:r>
            <w:r w:rsidRPr="005A7A8D">
              <w:rPr>
                <w:b/>
              </w:rPr>
              <w:t>000</w:t>
            </w:r>
            <w:r>
              <w:rPr>
                <w:b/>
              </w:rPr>
              <w:t>,</w:t>
            </w:r>
            <w:r w:rsidRPr="005A7A8D">
              <w:rPr>
                <w:b/>
              </w:rPr>
              <w:t>000</w:t>
            </w:r>
            <w:r>
              <w:rPr>
                <w:b/>
              </w:rPr>
              <w:t>,</w:t>
            </w:r>
            <w:r w:rsidRPr="005A7A8D">
              <w:rPr>
                <w:b/>
              </w:rPr>
              <w:t>000</w:t>
            </w:r>
          </w:p>
        </w:tc>
        <w:tc>
          <w:tcPr>
            <w:tcW w:w="847" w:type="dxa"/>
            <w:tcBorders>
              <w:top w:val="nil"/>
              <w:bottom w:val="nil"/>
            </w:tcBorders>
            <w:shd w:val="clear" w:color="auto" w:fill="auto"/>
            <w:vAlign w:val="center"/>
          </w:tcPr>
          <w:p w14:paraId="1C64AD95" w14:textId="77777777" w:rsidR="008B7E19" w:rsidRPr="008057C9" w:rsidRDefault="008B7E19" w:rsidP="008B7E19">
            <w:pPr>
              <w:pStyle w:val="08-Tabelageral"/>
              <w:ind w:left="113"/>
              <w:cnfStyle w:val="000000100000" w:firstRow="0" w:lastRow="0" w:firstColumn="0" w:lastColumn="0" w:oddVBand="0" w:evenVBand="0" w:oddHBand="1" w:evenHBand="0" w:firstRowFirstColumn="0" w:firstRowLastColumn="0" w:lastRowFirstColumn="0" w:lastRowLastColumn="0"/>
              <w:rPr>
                <w:rFonts w:cs="Arial"/>
                <w:b/>
                <w:szCs w:val="14"/>
              </w:rPr>
            </w:pPr>
            <w:r w:rsidRPr="005A7A8D">
              <w:rPr>
                <w:b/>
              </w:rPr>
              <w:t>100</w:t>
            </w:r>
          </w:p>
        </w:tc>
      </w:tr>
      <w:tr w:rsidR="008B7E19" w:rsidRPr="00C806B0" w14:paraId="75EE8939" w14:textId="77777777" w:rsidTr="008B7E19">
        <w:trPr>
          <w:trHeight w:hRule="exact" w:val="258"/>
          <w:jc w:val="center"/>
        </w:trPr>
        <w:tc>
          <w:tcPr>
            <w:cnfStyle w:val="001000000000" w:firstRow="0" w:lastRow="0" w:firstColumn="1" w:lastColumn="0" w:oddVBand="0" w:evenVBand="0" w:oddHBand="0" w:evenHBand="0" w:firstRowFirstColumn="0" w:firstRowLastColumn="0" w:lastRowFirstColumn="0" w:lastRowLastColumn="0"/>
            <w:tcW w:w="4843" w:type="dxa"/>
            <w:tcBorders>
              <w:top w:val="nil"/>
              <w:bottom w:val="nil"/>
            </w:tcBorders>
            <w:shd w:val="clear" w:color="auto" w:fill="auto"/>
          </w:tcPr>
          <w:p w14:paraId="5B0B7339" w14:textId="77777777" w:rsidR="008B7E19" w:rsidRPr="008057C9" w:rsidRDefault="008B7E19" w:rsidP="008B7E19">
            <w:pPr>
              <w:pStyle w:val="08-Tabelageral"/>
              <w:ind w:firstLine="176"/>
              <w:jc w:val="left"/>
              <w:rPr>
                <w:rFonts w:cs="Arial"/>
                <w:b w:val="0"/>
                <w:bCs w:val="0"/>
                <w:color w:val="auto"/>
                <w:szCs w:val="14"/>
              </w:rPr>
            </w:pPr>
            <w:r w:rsidRPr="008057C9">
              <w:rPr>
                <w:rFonts w:cs="Arial"/>
                <w:b w:val="0"/>
                <w:bCs w:val="0"/>
                <w:color w:val="auto"/>
                <w:szCs w:val="14"/>
              </w:rPr>
              <w:t>Locals</w:t>
            </w:r>
          </w:p>
        </w:tc>
        <w:tc>
          <w:tcPr>
            <w:tcW w:w="1365" w:type="dxa"/>
            <w:tcBorders>
              <w:top w:val="nil"/>
              <w:bottom w:val="nil"/>
            </w:tcBorders>
            <w:shd w:val="clear" w:color="auto" w:fill="auto"/>
            <w:vAlign w:val="bottom"/>
          </w:tcPr>
          <w:p w14:paraId="61502BB2" w14:textId="77777777" w:rsidR="008B7E19" w:rsidRDefault="008B7E19" w:rsidP="008B7E19">
            <w:pPr>
              <w:pStyle w:val="08-Tabelageral"/>
              <w:cnfStyle w:val="000000000000" w:firstRow="0" w:lastRow="0" w:firstColumn="0" w:lastColumn="0" w:oddVBand="0" w:evenVBand="0" w:oddHBand="0" w:evenHBand="0" w:firstRowFirstColumn="0" w:firstRowLastColumn="0" w:lastRowFirstColumn="0" w:lastRowLastColumn="0"/>
            </w:pPr>
            <w:r w:rsidRPr="00B56B53">
              <w:t>1</w:t>
            </w:r>
            <w:r>
              <w:t>,</w:t>
            </w:r>
            <w:r w:rsidRPr="00B56B53">
              <w:t>545</w:t>
            </w:r>
            <w:r>
              <w:t>,</w:t>
            </w:r>
            <w:r w:rsidRPr="00B56B53">
              <w:t>866</w:t>
            </w:r>
            <w:r>
              <w:t>,</w:t>
            </w:r>
            <w:r w:rsidRPr="00B56B53">
              <w:t>001</w:t>
            </w:r>
          </w:p>
        </w:tc>
        <w:tc>
          <w:tcPr>
            <w:tcW w:w="707" w:type="dxa"/>
            <w:tcBorders>
              <w:top w:val="nil"/>
              <w:bottom w:val="nil"/>
            </w:tcBorders>
            <w:shd w:val="clear" w:color="auto" w:fill="auto"/>
            <w:vAlign w:val="bottom"/>
          </w:tcPr>
          <w:p w14:paraId="5BA92B45" w14:textId="77777777" w:rsidR="008B7E19" w:rsidRDefault="008B7E19" w:rsidP="008B7E19">
            <w:pPr>
              <w:pStyle w:val="08-Tabelageral"/>
              <w:cnfStyle w:val="000000000000" w:firstRow="0" w:lastRow="0" w:firstColumn="0" w:lastColumn="0" w:oddVBand="0" w:evenVBand="0" w:oddHBand="0" w:evenHBand="0" w:firstRowFirstColumn="0" w:firstRowLastColumn="0" w:lastRowFirstColumn="0" w:lastRowLastColumn="0"/>
            </w:pPr>
            <w:r>
              <w:t>77.29</w:t>
            </w:r>
          </w:p>
        </w:tc>
        <w:tc>
          <w:tcPr>
            <w:tcW w:w="270" w:type="dxa"/>
            <w:tcBorders>
              <w:top w:val="nil"/>
              <w:bottom w:val="nil"/>
            </w:tcBorders>
            <w:shd w:val="clear" w:color="auto" w:fill="auto"/>
            <w:vAlign w:val="center"/>
          </w:tcPr>
          <w:p w14:paraId="03EDED95" w14:textId="77777777" w:rsidR="008B7E19" w:rsidRPr="00376A8D" w:rsidRDefault="008B7E19" w:rsidP="008B7E19">
            <w:pPr>
              <w:pStyle w:val="08-Tabelageral"/>
              <w:cnfStyle w:val="000000000000" w:firstRow="0" w:lastRow="0" w:firstColumn="0" w:lastColumn="0" w:oddVBand="0" w:evenVBand="0" w:oddHBand="0" w:evenHBand="0" w:firstRowFirstColumn="0" w:firstRowLastColumn="0" w:lastRowFirstColumn="0" w:lastRowLastColumn="0"/>
            </w:pPr>
          </w:p>
        </w:tc>
        <w:tc>
          <w:tcPr>
            <w:tcW w:w="372" w:type="dxa"/>
            <w:gridSpan w:val="2"/>
            <w:tcBorders>
              <w:top w:val="nil"/>
              <w:bottom w:val="nil"/>
            </w:tcBorders>
            <w:shd w:val="clear" w:color="auto" w:fill="auto"/>
            <w:vAlign w:val="bottom"/>
          </w:tcPr>
          <w:p w14:paraId="59C015BD" w14:textId="77777777" w:rsidR="008B7E19" w:rsidRPr="00376A8D" w:rsidRDefault="008B7E19" w:rsidP="008B7E19">
            <w:pPr>
              <w:pStyle w:val="08-Tabelageral"/>
              <w:cnfStyle w:val="000000000000" w:firstRow="0" w:lastRow="0" w:firstColumn="0" w:lastColumn="0" w:oddVBand="0" w:evenVBand="0" w:oddHBand="0" w:evenHBand="0" w:firstRowFirstColumn="0" w:firstRowLastColumn="0" w:lastRowFirstColumn="0" w:lastRowLastColumn="0"/>
            </w:pPr>
          </w:p>
        </w:tc>
        <w:tc>
          <w:tcPr>
            <w:tcW w:w="1235" w:type="dxa"/>
            <w:gridSpan w:val="2"/>
            <w:tcBorders>
              <w:top w:val="nil"/>
              <w:bottom w:val="nil"/>
            </w:tcBorders>
            <w:shd w:val="clear" w:color="auto" w:fill="auto"/>
            <w:vAlign w:val="bottom"/>
          </w:tcPr>
          <w:p w14:paraId="390EDEBC" w14:textId="77777777" w:rsidR="008B7E19" w:rsidRPr="0086152E" w:rsidRDefault="008B7E19" w:rsidP="008B7E19">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rPr>
            </w:pPr>
            <w:r w:rsidRPr="00A651EF">
              <w:t>1</w:t>
            </w:r>
            <w:r>
              <w:t>,</w:t>
            </w:r>
            <w:r w:rsidRPr="00A651EF">
              <w:t>538</w:t>
            </w:r>
            <w:r>
              <w:t>,</w:t>
            </w:r>
            <w:r w:rsidRPr="00A651EF">
              <w:t>774</w:t>
            </w:r>
            <w:r>
              <w:t>,</w:t>
            </w:r>
            <w:r w:rsidRPr="00A651EF">
              <w:t>783</w:t>
            </w:r>
          </w:p>
        </w:tc>
        <w:tc>
          <w:tcPr>
            <w:tcW w:w="847" w:type="dxa"/>
            <w:tcBorders>
              <w:top w:val="nil"/>
              <w:bottom w:val="nil"/>
            </w:tcBorders>
            <w:shd w:val="clear" w:color="auto" w:fill="auto"/>
            <w:vAlign w:val="bottom"/>
          </w:tcPr>
          <w:p w14:paraId="0A839B6E" w14:textId="77777777" w:rsidR="008B7E19" w:rsidRPr="0086152E" w:rsidRDefault="008B7E19" w:rsidP="008B7E19">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rPr>
            </w:pPr>
            <w:r w:rsidRPr="00A651EF">
              <w:t>76</w:t>
            </w:r>
            <w:r>
              <w:t>.</w:t>
            </w:r>
            <w:r w:rsidRPr="00A651EF">
              <w:t>94</w:t>
            </w:r>
          </w:p>
        </w:tc>
      </w:tr>
      <w:tr w:rsidR="008B7E19" w:rsidRPr="00C806B0" w14:paraId="03118C10" w14:textId="77777777" w:rsidTr="008B7E19">
        <w:trPr>
          <w:cnfStyle w:val="000000100000" w:firstRow="0" w:lastRow="0" w:firstColumn="0" w:lastColumn="0" w:oddVBand="0" w:evenVBand="0" w:oddHBand="1" w:evenHBand="0" w:firstRowFirstColumn="0" w:firstRowLastColumn="0" w:lastRowFirstColumn="0" w:lastRowLastColumn="0"/>
          <w:trHeight w:hRule="exact" w:val="258"/>
          <w:jc w:val="center"/>
        </w:trPr>
        <w:tc>
          <w:tcPr>
            <w:cnfStyle w:val="001000000000" w:firstRow="0" w:lastRow="0" w:firstColumn="1" w:lastColumn="0" w:oddVBand="0" w:evenVBand="0" w:oddHBand="0" w:evenHBand="0" w:firstRowFirstColumn="0" w:firstRowLastColumn="0" w:lastRowFirstColumn="0" w:lastRowLastColumn="0"/>
            <w:tcW w:w="4843" w:type="dxa"/>
            <w:tcBorders>
              <w:top w:val="nil"/>
              <w:bottom w:val="single" w:sz="2" w:space="0" w:color="1F4E79" w:themeColor="accent1" w:themeShade="80"/>
            </w:tcBorders>
            <w:shd w:val="clear" w:color="auto" w:fill="auto"/>
          </w:tcPr>
          <w:p w14:paraId="5B134DBC" w14:textId="77777777" w:rsidR="008B7E19" w:rsidRPr="008057C9" w:rsidRDefault="008B7E19" w:rsidP="008B7E19">
            <w:pPr>
              <w:pStyle w:val="08-Tabelageral"/>
              <w:ind w:firstLine="176"/>
              <w:jc w:val="left"/>
              <w:rPr>
                <w:rFonts w:cs="Arial"/>
                <w:b w:val="0"/>
                <w:bCs w:val="0"/>
                <w:color w:val="auto"/>
                <w:szCs w:val="14"/>
              </w:rPr>
            </w:pPr>
            <w:r w:rsidRPr="008057C9">
              <w:rPr>
                <w:rFonts w:cs="Arial"/>
                <w:b w:val="0"/>
                <w:bCs w:val="0"/>
                <w:color w:val="auto"/>
                <w:szCs w:val="14"/>
              </w:rPr>
              <w:t>Foreign</w:t>
            </w:r>
          </w:p>
        </w:tc>
        <w:tc>
          <w:tcPr>
            <w:tcW w:w="1365" w:type="dxa"/>
            <w:tcBorders>
              <w:top w:val="nil"/>
              <w:bottom w:val="single" w:sz="2" w:space="0" w:color="1F4E79" w:themeColor="accent1" w:themeShade="80"/>
            </w:tcBorders>
            <w:shd w:val="clear" w:color="auto" w:fill="auto"/>
            <w:vAlign w:val="bottom"/>
          </w:tcPr>
          <w:p w14:paraId="0E9A1338" w14:textId="77777777" w:rsidR="008B7E19" w:rsidRDefault="008B7E19" w:rsidP="008B7E19">
            <w:pPr>
              <w:pStyle w:val="08-Tabelageral"/>
              <w:cnfStyle w:val="000000100000" w:firstRow="0" w:lastRow="0" w:firstColumn="0" w:lastColumn="0" w:oddVBand="0" w:evenVBand="0" w:oddHBand="1" w:evenHBand="0" w:firstRowFirstColumn="0" w:firstRowLastColumn="0" w:lastRowFirstColumn="0" w:lastRowLastColumn="0"/>
            </w:pPr>
            <w:r w:rsidRPr="00B56B53">
              <w:t>454</w:t>
            </w:r>
            <w:r>
              <w:t>,</w:t>
            </w:r>
            <w:r w:rsidRPr="00B56B53">
              <w:t>133</w:t>
            </w:r>
            <w:r>
              <w:t>,</w:t>
            </w:r>
            <w:r w:rsidRPr="00B56B53">
              <w:t>999</w:t>
            </w:r>
          </w:p>
        </w:tc>
        <w:tc>
          <w:tcPr>
            <w:tcW w:w="707" w:type="dxa"/>
            <w:tcBorders>
              <w:top w:val="nil"/>
              <w:bottom w:val="single" w:sz="2" w:space="0" w:color="1F4E79" w:themeColor="accent1" w:themeShade="80"/>
            </w:tcBorders>
            <w:shd w:val="clear" w:color="auto" w:fill="auto"/>
            <w:vAlign w:val="bottom"/>
          </w:tcPr>
          <w:p w14:paraId="47E010BA" w14:textId="77777777" w:rsidR="008B7E19" w:rsidRDefault="008B7E19" w:rsidP="008B7E19">
            <w:pPr>
              <w:pStyle w:val="08-Tabelageral"/>
              <w:cnfStyle w:val="000000100000" w:firstRow="0" w:lastRow="0" w:firstColumn="0" w:lastColumn="0" w:oddVBand="0" w:evenVBand="0" w:oddHBand="1" w:evenHBand="0" w:firstRowFirstColumn="0" w:firstRowLastColumn="0" w:lastRowFirstColumn="0" w:lastRowLastColumn="0"/>
            </w:pPr>
            <w:r>
              <w:t>22.71</w:t>
            </w:r>
          </w:p>
        </w:tc>
        <w:tc>
          <w:tcPr>
            <w:tcW w:w="270" w:type="dxa"/>
            <w:tcBorders>
              <w:top w:val="nil"/>
              <w:bottom w:val="single" w:sz="2" w:space="0" w:color="1F4E79" w:themeColor="accent1" w:themeShade="80"/>
            </w:tcBorders>
            <w:shd w:val="clear" w:color="auto" w:fill="auto"/>
            <w:vAlign w:val="center"/>
          </w:tcPr>
          <w:p w14:paraId="79EE910C" w14:textId="77777777" w:rsidR="008B7E19" w:rsidRPr="00376A8D" w:rsidRDefault="008B7E19" w:rsidP="008B7E19">
            <w:pPr>
              <w:pStyle w:val="08-Tabelageral"/>
              <w:cnfStyle w:val="000000100000" w:firstRow="0" w:lastRow="0" w:firstColumn="0" w:lastColumn="0" w:oddVBand="0" w:evenVBand="0" w:oddHBand="1" w:evenHBand="0" w:firstRowFirstColumn="0" w:firstRowLastColumn="0" w:lastRowFirstColumn="0" w:lastRowLastColumn="0"/>
            </w:pPr>
          </w:p>
        </w:tc>
        <w:tc>
          <w:tcPr>
            <w:tcW w:w="372" w:type="dxa"/>
            <w:gridSpan w:val="2"/>
            <w:tcBorders>
              <w:top w:val="nil"/>
              <w:bottom w:val="single" w:sz="2" w:space="0" w:color="1F4E79" w:themeColor="accent1" w:themeShade="80"/>
            </w:tcBorders>
            <w:shd w:val="clear" w:color="auto" w:fill="auto"/>
            <w:vAlign w:val="bottom"/>
          </w:tcPr>
          <w:p w14:paraId="503F85A0" w14:textId="77777777" w:rsidR="008B7E19" w:rsidRPr="00376A8D" w:rsidRDefault="008B7E19" w:rsidP="008B7E19">
            <w:pPr>
              <w:pStyle w:val="08-Tabelageral"/>
              <w:cnfStyle w:val="000000100000" w:firstRow="0" w:lastRow="0" w:firstColumn="0" w:lastColumn="0" w:oddVBand="0" w:evenVBand="0" w:oddHBand="1" w:evenHBand="0" w:firstRowFirstColumn="0" w:firstRowLastColumn="0" w:lastRowFirstColumn="0" w:lastRowLastColumn="0"/>
            </w:pPr>
          </w:p>
        </w:tc>
        <w:tc>
          <w:tcPr>
            <w:tcW w:w="1235" w:type="dxa"/>
            <w:gridSpan w:val="2"/>
            <w:tcBorders>
              <w:top w:val="nil"/>
              <w:bottom w:val="single" w:sz="2" w:space="0" w:color="1F4E79" w:themeColor="accent1" w:themeShade="80"/>
            </w:tcBorders>
            <w:shd w:val="clear" w:color="auto" w:fill="auto"/>
            <w:vAlign w:val="bottom"/>
          </w:tcPr>
          <w:p w14:paraId="2FF6262A" w14:textId="77777777" w:rsidR="008B7E19" w:rsidRPr="0086152E" w:rsidRDefault="008B7E19" w:rsidP="008B7E19">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r w:rsidRPr="00A651EF">
              <w:t>461</w:t>
            </w:r>
            <w:r>
              <w:t>,</w:t>
            </w:r>
            <w:r w:rsidRPr="00A651EF">
              <w:t>225</w:t>
            </w:r>
            <w:r>
              <w:t>,</w:t>
            </w:r>
            <w:r w:rsidRPr="00A651EF">
              <w:t>217</w:t>
            </w:r>
          </w:p>
        </w:tc>
        <w:tc>
          <w:tcPr>
            <w:tcW w:w="847" w:type="dxa"/>
            <w:tcBorders>
              <w:top w:val="nil"/>
              <w:bottom w:val="single" w:sz="2" w:space="0" w:color="1F4E79" w:themeColor="accent1" w:themeShade="80"/>
            </w:tcBorders>
            <w:shd w:val="clear" w:color="auto" w:fill="auto"/>
            <w:vAlign w:val="bottom"/>
          </w:tcPr>
          <w:p w14:paraId="1122E756" w14:textId="77777777" w:rsidR="008B7E19" w:rsidRPr="0086152E" w:rsidRDefault="008B7E19" w:rsidP="008B7E19">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r w:rsidRPr="00A651EF">
              <w:t>23</w:t>
            </w:r>
            <w:r>
              <w:t>.</w:t>
            </w:r>
            <w:r w:rsidRPr="00A651EF">
              <w:t>06</w:t>
            </w:r>
          </w:p>
        </w:tc>
      </w:tr>
    </w:tbl>
    <w:p w14:paraId="5336EFAB" w14:textId="77777777" w:rsidR="008B7E19" w:rsidRPr="00F55DD0" w:rsidRDefault="008B7E19" w:rsidP="008B7E19">
      <w:pPr>
        <w:pStyle w:val="01-Textonormal"/>
        <w:rPr>
          <w:b/>
          <w:color w:val="1F4E79" w:themeColor="accent1" w:themeShade="80"/>
        </w:rPr>
      </w:pPr>
      <w:r w:rsidRPr="00F55DD0">
        <w:rPr>
          <w:b/>
          <w:color w:val="1F4E79" w:themeColor="accent1" w:themeShade="80"/>
        </w:rPr>
        <w:t xml:space="preserve">g) Treasury shares </w:t>
      </w:r>
    </w:p>
    <w:p w14:paraId="7D955341" w14:textId="77777777" w:rsidR="008B7E19" w:rsidRPr="00E2299D" w:rsidRDefault="008B7E19" w:rsidP="008B7E19">
      <w:pPr>
        <w:pStyle w:val="01-Textonormal"/>
        <w:rPr>
          <w:b/>
          <w:color w:val="1F4E79" w:themeColor="accent1" w:themeShade="80"/>
          <w:lang w:val="en-US"/>
        </w:rPr>
      </w:pPr>
      <w:r w:rsidRPr="00E2299D">
        <w:rPr>
          <w:b/>
          <w:color w:val="1F4E79" w:themeColor="accent1" w:themeShade="80"/>
          <w:lang w:val="en-US"/>
        </w:rPr>
        <w:t xml:space="preserve">g.1) Share-Based Payment – Variable Wage Program </w:t>
      </w:r>
    </w:p>
    <w:p w14:paraId="64A7D72D" w14:textId="77777777" w:rsidR="008B7E19" w:rsidRDefault="008B7E19" w:rsidP="008B7E19">
      <w:pPr>
        <w:pStyle w:val="05-Textonormal"/>
        <w:rPr>
          <w:lang w:val="en-US"/>
        </w:rPr>
      </w:pPr>
      <w:r w:rsidRPr="000C008B">
        <w:rPr>
          <w:lang w:val="en-US"/>
        </w:rPr>
        <w:t xml:space="preserve">The Variable </w:t>
      </w:r>
      <w:r>
        <w:rPr>
          <w:lang w:val="en-US"/>
        </w:rPr>
        <w:t>Wage</w:t>
      </w:r>
      <w:r w:rsidRPr="000C008B">
        <w:rPr>
          <w:lang w:val="en-US"/>
        </w:rPr>
        <w:t xml:space="preserve"> Program Board </w:t>
      </w:r>
      <w:r>
        <w:rPr>
          <w:lang w:val="en-US"/>
        </w:rPr>
        <w:t xml:space="preserve">of </w:t>
      </w:r>
      <w:r w:rsidRPr="000C008B">
        <w:rPr>
          <w:lang w:val="en-US"/>
        </w:rPr>
        <w:t xml:space="preserve">BB Seguridade </w:t>
      </w:r>
      <w:r>
        <w:rPr>
          <w:lang w:val="en-US"/>
        </w:rPr>
        <w:t>determined</w:t>
      </w:r>
      <w:r w:rsidRPr="000C008B">
        <w:rPr>
          <w:lang w:val="en-US"/>
        </w:rPr>
        <w:t xml:space="preserve"> that</w:t>
      </w:r>
      <w:r>
        <w:rPr>
          <w:lang w:val="en-US"/>
        </w:rPr>
        <w:t>,</w:t>
      </w:r>
      <w:r w:rsidRPr="000C008B">
        <w:rPr>
          <w:lang w:val="en-US"/>
        </w:rPr>
        <w:t xml:space="preserve"> </w:t>
      </w:r>
      <w:r>
        <w:rPr>
          <w:lang w:val="en-US"/>
        </w:rPr>
        <w:t xml:space="preserve">of </w:t>
      </w:r>
      <w:r w:rsidRPr="000C008B">
        <w:rPr>
          <w:lang w:val="en-US"/>
        </w:rPr>
        <w:t>the total amount allocated to the payment of variable compensation, 50% will be made in shares of BB Seguridade</w:t>
      </w:r>
      <w:r>
        <w:rPr>
          <w:lang w:val="en-US"/>
        </w:rPr>
        <w:t xml:space="preserve"> </w:t>
      </w:r>
      <w:r w:rsidRPr="000C008B">
        <w:rPr>
          <w:lang w:val="en-US"/>
        </w:rPr>
        <w:t xml:space="preserve">(BBSE3). </w:t>
      </w:r>
      <w:r>
        <w:rPr>
          <w:lang w:val="en-US"/>
        </w:rPr>
        <w:t>From t</w:t>
      </w:r>
      <w:r w:rsidRPr="000C008B">
        <w:rPr>
          <w:lang w:val="en-US"/>
        </w:rPr>
        <w:t xml:space="preserve">he total paid in </w:t>
      </w:r>
      <w:r>
        <w:rPr>
          <w:lang w:val="en-US"/>
        </w:rPr>
        <w:t>shares</w:t>
      </w:r>
      <w:r w:rsidRPr="000C008B">
        <w:rPr>
          <w:lang w:val="en-US"/>
        </w:rPr>
        <w:t>, 20% will be immediately transferred to the beneficiary ownership and 80% will be deferred for a period of four years.</w:t>
      </w:r>
    </w:p>
    <w:p w14:paraId="15F6CF36" w14:textId="77777777" w:rsidR="008B7E19" w:rsidRDefault="008B7E19" w:rsidP="008B7E19">
      <w:pPr>
        <w:pStyle w:val="05-Textonormal"/>
        <w:rPr>
          <w:lang w:val="en-US"/>
        </w:rPr>
      </w:pPr>
      <w:r w:rsidRPr="009E41F1">
        <w:rPr>
          <w:lang w:val="en-US"/>
        </w:rPr>
        <w:t>On November 13, 2014, the Brazilian Securities and Exchange Commission (CVM) authorized BB Seguridade to make annually the private trading of its own shares, in order to fund, through these shares, part of the payment of the variable remuneration compensation of its Executive Board members, without the need to submit, every year, that commission new requests, in the case therefore of permanent authorization.</w:t>
      </w:r>
    </w:p>
    <w:p w14:paraId="387819BE" w14:textId="77777777" w:rsidR="008B7E19" w:rsidRDefault="008B7E19" w:rsidP="008B7E19">
      <w:pPr>
        <w:pStyle w:val="05-Textonormal"/>
        <w:rPr>
          <w:lang w:val="en-US"/>
        </w:rPr>
      </w:pPr>
      <w:r w:rsidRPr="00275B1D">
        <w:rPr>
          <w:lang w:val="en-US"/>
        </w:rPr>
        <w:t>We present the statement of acquired shares, its distribution and its transfer schedule:</w:t>
      </w:r>
    </w:p>
    <w:tbl>
      <w:tblPr>
        <w:tblW w:w="9639" w:type="dxa"/>
        <w:jc w:val="center"/>
        <w:tblBorders>
          <w:top w:val="single" w:sz="2" w:space="0" w:color="8EAADB" w:themeColor="accent5" w:themeTint="99"/>
          <w:bottom w:val="single" w:sz="2" w:space="0" w:color="8EAADB" w:themeColor="accent5" w:themeTint="99"/>
        </w:tblBorders>
        <w:shd w:val="clear" w:color="auto" w:fill="D9E2F3" w:themeFill="accent5" w:themeFillTint="33"/>
        <w:tblLook w:val="04A0" w:firstRow="1" w:lastRow="0" w:firstColumn="1" w:lastColumn="0" w:noHBand="0" w:noVBand="1"/>
      </w:tblPr>
      <w:tblGrid>
        <w:gridCol w:w="2629"/>
        <w:gridCol w:w="1388"/>
        <w:gridCol w:w="1424"/>
        <w:gridCol w:w="1384"/>
        <w:gridCol w:w="1505"/>
        <w:gridCol w:w="1309"/>
      </w:tblGrid>
      <w:tr w:rsidR="008B7E19" w:rsidRPr="0093782B" w14:paraId="02983086" w14:textId="77777777" w:rsidTr="005B5353">
        <w:trPr>
          <w:trHeight w:val="238"/>
          <w:jc w:val="center"/>
        </w:trPr>
        <w:tc>
          <w:tcPr>
            <w:tcW w:w="2629" w:type="dxa"/>
            <w:tcBorders>
              <w:top w:val="single" w:sz="2" w:space="0" w:color="1F4E79" w:themeColor="accent1" w:themeShade="80"/>
              <w:bottom w:val="single" w:sz="2" w:space="0" w:color="1F4E79" w:themeColor="accent1" w:themeShade="80"/>
            </w:tcBorders>
            <w:shd w:val="clear" w:color="auto" w:fill="auto"/>
            <w:vAlign w:val="center"/>
          </w:tcPr>
          <w:p w14:paraId="728060AB" w14:textId="77777777" w:rsidR="008B7E19" w:rsidRPr="00E2299D" w:rsidRDefault="008B7E19" w:rsidP="008B7E19">
            <w:pPr>
              <w:pStyle w:val="08-Tabelageral"/>
              <w:jc w:val="center"/>
              <w:rPr>
                <w:b/>
                <w:lang w:val="en-US"/>
              </w:rPr>
            </w:pPr>
          </w:p>
        </w:tc>
        <w:tc>
          <w:tcPr>
            <w:tcW w:w="1388" w:type="dxa"/>
            <w:tcBorders>
              <w:top w:val="single" w:sz="2" w:space="0" w:color="1F4E79" w:themeColor="accent1" w:themeShade="80"/>
              <w:bottom w:val="single" w:sz="2" w:space="0" w:color="1F4E79" w:themeColor="accent1" w:themeShade="80"/>
            </w:tcBorders>
            <w:shd w:val="clear" w:color="auto" w:fill="auto"/>
          </w:tcPr>
          <w:p w14:paraId="4209675F" w14:textId="77777777" w:rsidR="008B7E19" w:rsidRPr="0093782B" w:rsidRDefault="008B7E19" w:rsidP="008B7E19">
            <w:pPr>
              <w:pStyle w:val="08-Tabelageral"/>
              <w:jc w:val="center"/>
              <w:rPr>
                <w:b/>
              </w:rPr>
            </w:pPr>
            <w:r w:rsidRPr="0093782B">
              <w:rPr>
                <w:b/>
              </w:rPr>
              <w:t>201</w:t>
            </w:r>
            <w:r>
              <w:rPr>
                <w:b/>
              </w:rPr>
              <w:t>9</w:t>
            </w:r>
            <w:r w:rsidRPr="0093782B">
              <w:rPr>
                <w:b/>
              </w:rPr>
              <w:t xml:space="preserve"> Program</w:t>
            </w:r>
          </w:p>
        </w:tc>
        <w:tc>
          <w:tcPr>
            <w:tcW w:w="1424" w:type="dxa"/>
            <w:tcBorders>
              <w:top w:val="single" w:sz="2" w:space="0" w:color="1F4E79" w:themeColor="accent1" w:themeShade="80"/>
              <w:bottom w:val="single" w:sz="2" w:space="0" w:color="1F4E79" w:themeColor="accent1" w:themeShade="80"/>
            </w:tcBorders>
            <w:shd w:val="clear" w:color="auto" w:fill="auto"/>
          </w:tcPr>
          <w:p w14:paraId="7DCF8D09" w14:textId="77777777" w:rsidR="008B7E19" w:rsidRPr="0093782B" w:rsidRDefault="008B7E19" w:rsidP="008B7E19">
            <w:pPr>
              <w:pStyle w:val="08-Tabelageral"/>
              <w:jc w:val="center"/>
              <w:rPr>
                <w:b/>
              </w:rPr>
            </w:pPr>
            <w:r w:rsidRPr="0093782B">
              <w:rPr>
                <w:b/>
              </w:rPr>
              <w:t>20</w:t>
            </w:r>
            <w:r>
              <w:rPr>
                <w:b/>
              </w:rPr>
              <w:t>20</w:t>
            </w:r>
            <w:r w:rsidRPr="0093782B">
              <w:rPr>
                <w:b/>
              </w:rPr>
              <w:t xml:space="preserve"> Program</w:t>
            </w:r>
          </w:p>
        </w:tc>
        <w:tc>
          <w:tcPr>
            <w:tcW w:w="1384" w:type="dxa"/>
            <w:tcBorders>
              <w:top w:val="single" w:sz="2" w:space="0" w:color="1F4E79" w:themeColor="accent1" w:themeShade="80"/>
              <w:bottom w:val="single" w:sz="2" w:space="0" w:color="1F4E79" w:themeColor="accent1" w:themeShade="80"/>
            </w:tcBorders>
            <w:shd w:val="clear" w:color="auto" w:fill="auto"/>
          </w:tcPr>
          <w:p w14:paraId="1E629732" w14:textId="77777777" w:rsidR="008B7E19" w:rsidRPr="0093782B" w:rsidRDefault="008B7E19" w:rsidP="008B7E19">
            <w:pPr>
              <w:pStyle w:val="08-Tabelageral"/>
              <w:jc w:val="center"/>
              <w:rPr>
                <w:b/>
              </w:rPr>
            </w:pPr>
            <w:r w:rsidRPr="0093782B">
              <w:rPr>
                <w:b/>
              </w:rPr>
              <w:t>20</w:t>
            </w:r>
            <w:r>
              <w:rPr>
                <w:b/>
              </w:rPr>
              <w:t>21</w:t>
            </w:r>
            <w:r w:rsidRPr="0093782B">
              <w:rPr>
                <w:b/>
              </w:rPr>
              <w:t xml:space="preserve"> Program</w:t>
            </w:r>
          </w:p>
        </w:tc>
        <w:tc>
          <w:tcPr>
            <w:tcW w:w="1505" w:type="dxa"/>
            <w:tcBorders>
              <w:top w:val="single" w:sz="2" w:space="0" w:color="1F4E79" w:themeColor="accent1" w:themeShade="80"/>
              <w:bottom w:val="single" w:sz="2" w:space="0" w:color="1F4E79" w:themeColor="accent1" w:themeShade="80"/>
            </w:tcBorders>
            <w:shd w:val="clear" w:color="auto" w:fill="auto"/>
          </w:tcPr>
          <w:p w14:paraId="474F15A2" w14:textId="77777777" w:rsidR="008B7E19" w:rsidRPr="0093782B" w:rsidRDefault="008B7E19" w:rsidP="008B7E19">
            <w:pPr>
              <w:pStyle w:val="08-Tabelageral"/>
              <w:jc w:val="center"/>
              <w:rPr>
                <w:b/>
              </w:rPr>
            </w:pPr>
            <w:r w:rsidRPr="0093782B">
              <w:rPr>
                <w:b/>
              </w:rPr>
              <w:t>202</w:t>
            </w:r>
            <w:r>
              <w:rPr>
                <w:b/>
              </w:rPr>
              <w:t>2</w:t>
            </w:r>
            <w:r w:rsidRPr="0093782B">
              <w:rPr>
                <w:b/>
              </w:rPr>
              <w:t xml:space="preserve"> Program</w:t>
            </w:r>
          </w:p>
        </w:tc>
        <w:tc>
          <w:tcPr>
            <w:tcW w:w="1309" w:type="dxa"/>
            <w:tcBorders>
              <w:top w:val="single" w:sz="2" w:space="0" w:color="1F4E79" w:themeColor="accent1" w:themeShade="80"/>
              <w:bottom w:val="single" w:sz="2" w:space="0" w:color="1F4E79" w:themeColor="accent1" w:themeShade="80"/>
            </w:tcBorders>
            <w:shd w:val="clear" w:color="auto" w:fill="auto"/>
            <w:vAlign w:val="center"/>
          </w:tcPr>
          <w:p w14:paraId="3FFDB1BB" w14:textId="77777777" w:rsidR="008B7E19" w:rsidRPr="0093782B" w:rsidRDefault="008B7E19" w:rsidP="008B7E19">
            <w:pPr>
              <w:pStyle w:val="08-Tabelageral"/>
              <w:rPr>
                <w:b/>
              </w:rPr>
            </w:pPr>
            <w:r w:rsidRPr="0093782B">
              <w:rPr>
                <w:b/>
              </w:rPr>
              <w:t>Total</w:t>
            </w:r>
          </w:p>
        </w:tc>
      </w:tr>
      <w:tr w:rsidR="008B7E19" w:rsidRPr="00056C3B" w14:paraId="3B2F0016" w14:textId="77777777" w:rsidTr="005B5353">
        <w:trPr>
          <w:trHeight w:val="238"/>
          <w:jc w:val="center"/>
        </w:trPr>
        <w:tc>
          <w:tcPr>
            <w:tcW w:w="2629" w:type="dxa"/>
            <w:tcBorders>
              <w:top w:val="single" w:sz="2" w:space="0" w:color="1F4E79" w:themeColor="accent1" w:themeShade="80"/>
            </w:tcBorders>
            <w:shd w:val="clear" w:color="auto" w:fill="auto"/>
            <w:vAlign w:val="center"/>
          </w:tcPr>
          <w:p w14:paraId="238A3323" w14:textId="77777777" w:rsidR="008B7E19" w:rsidRPr="00056C3B" w:rsidRDefault="008B7E19" w:rsidP="008B7E19">
            <w:pPr>
              <w:pStyle w:val="070-TabelaPadro"/>
              <w:spacing w:line="276" w:lineRule="auto"/>
              <w:ind w:left="-108" w:firstLine="426"/>
              <w:jc w:val="left"/>
              <w:rPr>
                <w:bCs/>
              </w:rPr>
            </w:pPr>
            <w:r w:rsidRPr="00B4618F">
              <w:t>Shares Distributed</w:t>
            </w:r>
          </w:p>
        </w:tc>
        <w:tc>
          <w:tcPr>
            <w:tcW w:w="1388" w:type="dxa"/>
            <w:tcBorders>
              <w:top w:val="single" w:sz="2" w:space="0" w:color="1F4E79" w:themeColor="accent1" w:themeShade="80"/>
            </w:tcBorders>
            <w:shd w:val="clear" w:color="auto" w:fill="auto"/>
          </w:tcPr>
          <w:p w14:paraId="07D890E0" w14:textId="77777777" w:rsidR="008B7E19" w:rsidRPr="00056C3B" w:rsidRDefault="008B7E19" w:rsidP="008B7E19">
            <w:pPr>
              <w:pStyle w:val="08-Tabelageral"/>
              <w:ind w:left="113"/>
              <w:rPr>
                <w:rFonts w:cs="Arial"/>
                <w:bCs/>
                <w:szCs w:val="14"/>
              </w:rPr>
            </w:pPr>
            <w:r w:rsidRPr="00C5580B">
              <w:rPr>
                <w:rFonts w:cs="Arial"/>
                <w:bCs/>
                <w:szCs w:val="14"/>
                <w:lang w:eastAsia="en-US"/>
              </w:rPr>
              <w:t>22</w:t>
            </w:r>
            <w:r>
              <w:rPr>
                <w:rFonts w:cs="Arial"/>
                <w:bCs/>
                <w:szCs w:val="14"/>
                <w:lang w:eastAsia="en-US"/>
              </w:rPr>
              <w:t>,</w:t>
            </w:r>
            <w:r w:rsidRPr="00C5580B">
              <w:rPr>
                <w:rFonts w:cs="Arial"/>
                <w:bCs/>
                <w:szCs w:val="14"/>
                <w:lang w:eastAsia="en-US"/>
              </w:rPr>
              <w:t>668</w:t>
            </w:r>
          </w:p>
        </w:tc>
        <w:tc>
          <w:tcPr>
            <w:tcW w:w="1424" w:type="dxa"/>
            <w:tcBorders>
              <w:top w:val="single" w:sz="2" w:space="0" w:color="1F4E79" w:themeColor="accent1" w:themeShade="80"/>
            </w:tcBorders>
            <w:shd w:val="clear" w:color="auto" w:fill="auto"/>
          </w:tcPr>
          <w:p w14:paraId="1A3A8C9C" w14:textId="77777777" w:rsidR="008B7E19" w:rsidRPr="00056C3B" w:rsidRDefault="008B7E19" w:rsidP="008B7E19">
            <w:pPr>
              <w:pStyle w:val="08-Tabelageral"/>
              <w:ind w:left="113"/>
              <w:rPr>
                <w:rFonts w:cs="Arial"/>
                <w:bCs/>
                <w:szCs w:val="14"/>
              </w:rPr>
            </w:pPr>
            <w:r w:rsidRPr="00C5580B">
              <w:rPr>
                <w:rFonts w:cs="Arial"/>
                <w:bCs/>
                <w:szCs w:val="14"/>
              </w:rPr>
              <w:t>13</w:t>
            </w:r>
            <w:r>
              <w:rPr>
                <w:rFonts w:cs="Arial"/>
                <w:bCs/>
                <w:szCs w:val="14"/>
              </w:rPr>
              <w:t>,</w:t>
            </w:r>
            <w:r w:rsidRPr="00C5580B">
              <w:rPr>
                <w:rFonts w:cs="Arial"/>
                <w:bCs/>
                <w:szCs w:val="14"/>
              </w:rPr>
              <w:t>486</w:t>
            </w:r>
          </w:p>
        </w:tc>
        <w:tc>
          <w:tcPr>
            <w:tcW w:w="1384" w:type="dxa"/>
            <w:tcBorders>
              <w:top w:val="single" w:sz="2" w:space="0" w:color="1F4E79" w:themeColor="accent1" w:themeShade="80"/>
            </w:tcBorders>
            <w:shd w:val="clear" w:color="auto" w:fill="auto"/>
          </w:tcPr>
          <w:p w14:paraId="53310F18" w14:textId="77777777" w:rsidR="008B7E19" w:rsidRPr="00056C3B" w:rsidRDefault="008B7E19" w:rsidP="008B7E19">
            <w:pPr>
              <w:pStyle w:val="08-Tabelageral"/>
              <w:ind w:left="113"/>
              <w:rPr>
                <w:rFonts w:cs="Arial"/>
                <w:bCs/>
                <w:szCs w:val="14"/>
              </w:rPr>
            </w:pPr>
            <w:r w:rsidRPr="00C5580B">
              <w:rPr>
                <w:rFonts w:cs="Arial"/>
                <w:bCs/>
                <w:szCs w:val="14"/>
                <w:lang w:eastAsia="en-US"/>
              </w:rPr>
              <w:t>10</w:t>
            </w:r>
            <w:r>
              <w:rPr>
                <w:rFonts w:cs="Arial"/>
                <w:bCs/>
                <w:szCs w:val="14"/>
                <w:lang w:eastAsia="en-US"/>
              </w:rPr>
              <w:t>,</w:t>
            </w:r>
            <w:r w:rsidRPr="00C5580B">
              <w:rPr>
                <w:rFonts w:cs="Arial"/>
                <w:bCs/>
                <w:szCs w:val="14"/>
                <w:lang w:eastAsia="en-US"/>
              </w:rPr>
              <w:t>087</w:t>
            </w:r>
          </w:p>
        </w:tc>
        <w:tc>
          <w:tcPr>
            <w:tcW w:w="1505" w:type="dxa"/>
            <w:tcBorders>
              <w:top w:val="single" w:sz="2" w:space="0" w:color="1F4E79" w:themeColor="accent1" w:themeShade="80"/>
            </w:tcBorders>
            <w:shd w:val="clear" w:color="auto" w:fill="auto"/>
          </w:tcPr>
          <w:p w14:paraId="1C1CDE11" w14:textId="77777777" w:rsidR="008B7E19" w:rsidRPr="00056C3B" w:rsidRDefault="008B7E19" w:rsidP="008B7E19">
            <w:pPr>
              <w:pStyle w:val="08-Tabelageral"/>
              <w:ind w:left="113"/>
              <w:rPr>
                <w:rFonts w:cs="Arial"/>
                <w:bCs/>
                <w:szCs w:val="14"/>
              </w:rPr>
            </w:pPr>
            <w:r w:rsidRPr="00C5580B">
              <w:rPr>
                <w:rFonts w:cs="Arial"/>
                <w:bCs/>
                <w:szCs w:val="14"/>
              </w:rPr>
              <w:t>5</w:t>
            </w:r>
            <w:r>
              <w:rPr>
                <w:rFonts w:cs="Arial"/>
                <w:bCs/>
                <w:szCs w:val="14"/>
              </w:rPr>
              <w:t>,451</w:t>
            </w:r>
          </w:p>
        </w:tc>
        <w:tc>
          <w:tcPr>
            <w:tcW w:w="1309" w:type="dxa"/>
            <w:tcBorders>
              <w:top w:val="single" w:sz="2" w:space="0" w:color="1F4E79" w:themeColor="accent1" w:themeShade="80"/>
            </w:tcBorders>
            <w:shd w:val="clear" w:color="auto" w:fill="auto"/>
          </w:tcPr>
          <w:p w14:paraId="1A7FFD8E" w14:textId="77777777" w:rsidR="008B7E19" w:rsidRPr="00062947" w:rsidRDefault="008B7E19" w:rsidP="008B7E19">
            <w:pPr>
              <w:pStyle w:val="08-Tabelageral"/>
              <w:ind w:left="113"/>
              <w:rPr>
                <w:rFonts w:cs="Arial"/>
                <w:b/>
                <w:szCs w:val="14"/>
              </w:rPr>
            </w:pPr>
            <w:r w:rsidRPr="00C5580B">
              <w:rPr>
                <w:rFonts w:cs="Arial"/>
                <w:b/>
                <w:szCs w:val="14"/>
              </w:rPr>
              <w:t>51</w:t>
            </w:r>
            <w:r>
              <w:rPr>
                <w:rFonts w:cs="Arial"/>
                <w:b/>
                <w:szCs w:val="14"/>
              </w:rPr>
              <w:t>,</w:t>
            </w:r>
            <w:r w:rsidRPr="00C5580B">
              <w:rPr>
                <w:rFonts w:cs="Arial"/>
                <w:b/>
                <w:szCs w:val="14"/>
              </w:rPr>
              <w:t>692</w:t>
            </w:r>
          </w:p>
        </w:tc>
      </w:tr>
      <w:tr w:rsidR="008B7E19" w:rsidRPr="00056C3B" w14:paraId="74A91470" w14:textId="77777777" w:rsidTr="005B5353">
        <w:trPr>
          <w:trHeight w:val="238"/>
          <w:jc w:val="center"/>
        </w:trPr>
        <w:tc>
          <w:tcPr>
            <w:tcW w:w="2629" w:type="dxa"/>
            <w:shd w:val="clear" w:color="auto" w:fill="auto"/>
          </w:tcPr>
          <w:p w14:paraId="15231B1F" w14:textId="77777777" w:rsidR="008B7E19" w:rsidRPr="00056C3B" w:rsidRDefault="008B7E19" w:rsidP="008B7E19">
            <w:pPr>
              <w:pStyle w:val="070-TabelaPadro"/>
              <w:spacing w:line="276" w:lineRule="auto"/>
              <w:ind w:left="-108" w:firstLine="426"/>
              <w:jc w:val="left"/>
              <w:rPr>
                <w:bCs/>
              </w:rPr>
            </w:pPr>
            <w:r w:rsidRPr="00B4618F">
              <w:t>Shares to Distribute</w:t>
            </w:r>
          </w:p>
        </w:tc>
        <w:tc>
          <w:tcPr>
            <w:tcW w:w="1388" w:type="dxa"/>
            <w:shd w:val="clear" w:color="auto" w:fill="auto"/>
          </w:tcPr>
          <w:p w14:paraId="7ED4208A" w14:textId="77777777" w:rsidR="008B7E19" w:rsidRPr="00056C3B" w:rsidRDefault="008B7E19" w:rsidP="008B7E19">
            <w:pPr>
              <w:pStyle w:val="08-Tabelageral"/>
              <w:ind w:left="113"/>
              <w:rPr>
                <w:rFonts w:cs="Arial"/>
                <w:bCs/>
                <w:szCs w:val="14"/>
              </w:rPr>
            </w:pPr>
            <w:r w:rsidRPr="00C5580B">
              <w:rPr>
                <w:rFonts w:cs="Arial"/>
                <w:bCs/>
                <w:szCs w:val="14"/>
              </w:rPr>
              <w:t>5</w:t>
            </w:r>
            <w:r>
              <w:rPr>
                <w:rFonts w:cs="Arial"/>
                <w:bCs/>
                <w:szCs w:val="14"/>
              </w:rPr>
              <w:t>,</w:t>
            </w:r>
            <w:r w:rsidRPr="00C5580B">
              <w:rPr>
                <w:rFonts w:cs="Arial"/>
                <w:bCs/>
                <w:szCs w:val="14"/>
              </w:rPr>
              <w:t>665</w:t>
            </w:r>
          </w:p>
        </w:tc>
        <w:tc>
          <w:tcPr>
            <w:tcW w:w="1424" w:type="dxa"/>
            <w:shd w:val="clear" w:color="auto" w:fill="auto"/>
          </w:tcPr>
          <w:p w14:paraId="2AF15BC0" w14:textId="77777777" w:rsidR="008B7E19" w:rsidRPr="00056C3B" w:rsidRDefault="008B7E19" w:rsidP="008B7E19">
            <w:pPr>
              <w:pStyle w:val="08-Tabelageral"/>
              <w:ind w:left="113"/>
              <w:rPr>
                <w:rFonts w:cs="Arial"/>
                <w:bCs/>
                <w:szCs w:val="14"/>
              </w:rPr>
            </w:pPr>
            <w:r w:rsidRPr="00C5580B">
              <w:rPr>
                <w:rFonts w:cs="Arial"/>
                <w:bCs/>
                <w:szCs w:val="14"/>
              </w:rPr>
              <w:t>8</w:t>
            </w:r>
            <w:r>
              <w:rPr>
                <w:rFonts w:cs="Arial"/>
                <w:bCs/>
                <w:szCs w:val="14"/>
              </w:rPr>
              <w:t>,</w:t>
            </w:r>
            <w:r w:rsidRPr="00C5580B">
              <w:rPr>
                <w:rFonts w:cs="Arial"/>
                <w:bCs/>
                <w:szCs w:val="14"/>
              </w:rPr>
              <w:t>974</w:t>
            </w:r>
          </w:p>
        </w:tc>
        <w:tc>
          <w:tcPr>
            <w:tcW w:w="1384" w:type="dxa"/>
            <w:shd w:val="clear" w:color="auto" w:fill="auto"/>
          </w:tcPr>
          <w:p w14:paraId="085993EB" w14:textId="77777777" w:rsidR="008B7E19" w:rsidRPr="00056C3B" w:rsidRDefault="008B7E19" w:rsidP="008B7E19">
            <w:pPr>
              <w:pStyle w:val="08-Tabelageral"/>
              <w:ind w:left="113"/>
              <w:rPr>
                <w:rFonts w:cs="Arial"/>
                <w:bCs/>
                <w:szCs w:val="14"/>
              </w:rPr>
            </w:pPr>
            <w:r w:rsidRPr="00C5580B">
              <w:rPr>
                <w:rFonts w:cs="Arial"/>
                <w:bCs/>
                <w:szCs w:val="14"/>
              </w:rPr>
              <w:t>15</w:t>
            </w:r>
            <w:r>
              <w:rPr>
                <w:rFonts w:cs="Arial"/>
                <w:bCs/>
                <w:szCs w:val="14"/>
              </w:rPr>
              <w:t>,</w:t>
            </w:r>
            <w:r w:rsidRPr="00C5580B">
              <w:rPr>
                <w:rFonts w:cs="Arial"/>
                <w:bCs/>
                <w:szCs w:val="14"/>
              </w:rPr>
              <w:t>111</w:t>
            </w:r>
          </w:p>
        </w:tc>
        <w:tc>
          <w:tcPr>
            <w:tcW w:w="1505" w:type="dxa"/>
            <w:shd w:val="clear" w:color="auto" w:fill="auto"/>
          </w:tcPr>
          <w:p w14:paraId="6F8C5691" w14:textId="77777777" w:rsidR="008B7E19" w:rsidRPr="00056C3B" w:rsidRDefault="008B7E19" w:rsidP="008B7E19">
            <w:pPr>
              <w:pStyle w:val="08-Tabelageral"/>
              <w:ind w:left="113"/>
              <w:rPr>
                <w:rFonts w:cs="Arial"/>
                <w:bCs/>
                <w:szCs w:val="14"/>
              </w:rPr>
            </w:pPr>
            <w:r w:rsidRPr="00C5580B">
              <w:rPr>
                <w:rFonts w:cs="Arial"/>
                <w:bCs/>
                <w:szCs w:val="14"/>
              </w:rPr>
              <w:t>21</w:t>
            </w:r>
            <w:r>
              <w:rPr>
                <w:rFonts w:cs="Arial"/>
                <w:bCs/>
                <w:szCs w:val="14"/>
              </w:rPr>
              <w:t>,</w:t>
            </w:r>
            <w:r w:rsidRPr="00C5580B">
              <w:rPr>
                <w:rFonts w:cs="Arial"/>
                <w:bCs/>
                <w:szCs w:val="14"/>
              </w:rPr>
              <w:t>752</w:t>
            </w:r>
          </w:p>
        </w:tc>
        <w:tc>
          <w:tcPr>
            <w:tcW w:w="1309" w:type="dxa"/>
            <w:shd w:val="clear" w:color="auto" w:fill="auto"/>
          </w:tcPr>
          <w:p w14:paraId="75E1DB5A" w14:textId="77777777" w:rsidR="008B7E19" w:rsidRPr="00062947" w:rsidRDefault="008B7E19" w:rsidP="008B7E19">
            <w:pPr>
              <w:pStyle w:val="08-Tabelageral"/>
              <w:ind w:left="113"/>
              <w:rPr>
                <w:rFonts w:cs="Arial"/>
                <w:b/>
                <w:szCs w:val="14"/>
              </w:rPr>
            </w:pPr>
            <w:r w:rsidRPr="00C5580B">
              <w:rPr>
                <w:rFonts w:cs="Arial"/>
                <w:b/>
                <w:szCs w:val="14"/>
              </w:rPr>
              <w:t>51</w:t>
            </w:r>
            <w:r>
              <w:rPr>
                <w:rFonts w:cs="Arial"/>
                <w:b/>
                <w:szCs w:val="14"/>
              </w:rPr>
              <w:t>,</w:t>
            </w:r>
            <w:r w:rsidRPr="00C5580B">
              <w:rPr>
                <w:rFonts w:cs="Arial"/>
                <w:b/>
                <w:szCs w:val="14"/>
              </w:rPr>
              <w:t>502</w:t>
            </w:r>
          </w:p>
        </w:tc>
      </w:tr>
      <w:tr w:rsidR="008B7E19" w:rsidRPr="00810C05" w14:paraId="0FF02592" w14:textId="77777777" w:rsidTr="005B5353">
        <w:trPr>
          <w:trHeight w:val="238"/>
          <w:jc w:val="center"/>
        </w:trPr>
        <w:tc>
          <w:tcPr>
            <w:tcW w:w="2629" w:type="dxa"/>
            <w:shd w:val="clear" w:color="auto" w:fill="auto"/>
          </w:tcPr>
          <w:p w14:paraId="1581F990" w14:textId="77777777" w:rsidR="008B7E19" w:rsidRPr="00810C05" w:rsidRDefault="008B7E19" w:rsidP="008B7E19">
            <w:pPr>
              <w:pStyle w:val="070-TabelaPadro"/>
              <w:spacing w:line="276" w:lineRule="auto"/>
              <w:jc w:val="left"/>
              <w:rPr>
                <w:b/>
                <w:bCs/>
              </w:rPr>
            </w:pPr>
            <w:r w:rsidRPr="00810C05">
              <w:rPr>
                <w:b/>
                <w:bCs/>
              </w:rPr>
              <w:t>Total Program Shares</w:t>
            </w:r>
          </w:p>
        </w:tc>
        <w:tc>
          <w:tcPr>
            <w:tcW w:w="1388" w:type="dxa"/>
            <w:shd w:val="clear" w:color="auto" w:fill="auto"/>
          </w:tcPr>
          <w:p w14:paraId="364FB9F1" w14:textId="77777777" w:rsidR="008B7E19" w:rsidRPr="00810C05" w:rsidRDefault="008B7E19" w:rsidP="008B7E19">
            <w:pPr>
              <w:pStyle w:val="08-Tabelageral"/>
              <w:ind w:left="113"/>
              <w:rPr>
                <w:rFonts w:cs="Arial"/>
                <w:b/>
                <w:bCs/>
                <w:szCs w:val="14"/>
              </w:rPr>
            </w:pPr>
            <w:r w:rsidRPr="00C5580B">
              <w:rPr>
                <w:rFonts w:cs="Arial"/>
                <w:b/>
                <w:szCs w:val="14"/>
                <w:lang w:eastAsia="en-US"/>
              </w:rPr>
              <w:t>28</w:t>
            </w:r>
            <w:r>
              <w:rPr>
                <w:rFonts w:cs="Arial"/>
                <w:b/>
                <w:szCs w:val="14"/>
                <w:lang w:eastAsia="en-US"/>
              </w:rPr>
              <w:t>,</w:t>
            </w:r>
            <w:r w:rsidRPr="00C5580B">
              <w:rPr>
                <w:rFonts w:cs="Arial"/>
                <w:b/>
                <w:szCs w:val="14"/>
                <w:lang w:eastAsia="en-US"/>
              </w:rPr>
              <w:t>333</w:t>
            </w:r>
          </w:p>
        </w:tc>
        <w:tc>
          <w:tcPr>
            <w:tcW w:w="1424" w:type="dxa"/>
            <w:shd w:val="clear" w:color="auto" w:fill="auto"/>
          </w:tcPr>
          <w:p w14:paraId="2B9D27F8" w14:textId="77777777" w:rsidR="008B7E19" w:rsidRPr="00810C05" w:rsidRDefault="008B7E19" w:rsidP="008B7E19">
            <w:pPr>
              <w:pStyle w:val="08-Tabelageral"/>
              <w:ind w:left="113"/>
              <w:rPr>
                <w:rFonts w:cs="Arial"/>
                <w:b/>
                <w:bCs/>
                <w:szCs w:val="14"/>
              </w:rPr>
            </w:pPr>
            <w:r w:rsidRPr="00C5580B">
              <w:rPr>
                <w:rFonts w:cs="Arial"/>
                <w:b/>
                <w:szCs w:val="14"/>
                <w:lang w:eastAsia="en-US"/>
              </w:rPr>
              <w:t>22</w:t>
            </w:r>
            <w:r>
              <w:rPr>
                <w:rFonts w:cs="Arial"/>
                <w:b/>
                <w:szCs w:val="14"/>
                <w:lang w:eastAsia="en-US"/>
              </w:rPr>
              <w:t>,</w:t>
            </w:r>
            <w:r w:rsidRPr="00C5580B">
              <w:rPr>
                <w:rFonts w:cs="Arial"/>
                <w:b/>
                <w:szCs w:val="14"/>
                <w:lang w:eastAsia="en-US"/>
              </w:rPr>
              <w:t>460</w:t>
            </w:r>
          </w:p>
        </w:tc>
        <w:tc>
          <w:tcPr>
            <w:tcW w:w="1384" w:type="dxa"/>
            <w:shd w:val="clear" w:color="auto" w:fill="auto"/>
          </w:tcPr>
          <w:p w14:paraId="471331A1" w14:textId="77777777" w:rsidR="008B7E19" w:rsidRPr="00810C05" w:rsidRDefault="008B7E19" w:rsidP="008B7E19">
            <w:pPr>
              <w:pStyle w:val="08-Tabelageral"/>
              <w:ind w:left="113"/>
              <w:rPr>
                <w:rFonts w:cs="Arial"/>
                <w:b/>
                <w:bCs/>
                <w:szCs w:val="14"/>
              </w:rPr>
            </w:pPr>
            <w:r w:rsidRPr="00C5580B">
              <w:rPr>
                <w:rFonts w:cs="Arial"/>
                <w:b/>
                <w:szCs w:val="14"/>
                <w:lang w:eastAsia="en-US"/>
              </w:rPr>
              <w:t>25</w:t>
            </w:r>
            <w:r>
              <w:rPr>
                <w:rFonts w:cs="Arial"/>
                <w:b/>
                <w:szCs w:val="14"/>
                <w:lang w:eastAsia="en-US"/>
              </w:rPr>
              <w:t>,</w:t>
            </w:r>
            <w:r w:rsidRPr="00C5580B">
              <w:rPr>
                <w:rFonts w:cs="Arial"/>
                <w:b/>
                <w:szCs w:val="14"/>
                <w:lang w:eastAsia="en-US"/>
              </w:rPr>
              <w:t>198</w:t>
            </w:r>
          </w:p>
        </w:tc>
        <w:tc>
          <w:tcPr>
            <w:tcW w:w="1505" w:type="dxa"/>
            <w:shd w:val="clear" w:color="auto" w:fill="auto"/>
          </w:tcPr>
          <w:p w14:paraId="4663D3D7" w14:textId="77777777" w:rsidR="008B7E19" w:rsidRPr="00810C05" w:rsidRDefault="008B7E19" w:rsidP="008B7E19">
            <w:pPr>
              <w:pStyle w:val="08-Tabelageral"/>
              <w:ind w:left="113"/>
              <w:rPr>
                <w:rFonts w:cs="Arial"/>
                <w:b/>
                <w:bCs/>
                <w:szCs w:val="14"/>
              </w:rPr>
            </w:pPr>
            <w:r w:rsidRPr="00C5580B">
              <w:rPr>
                <w:rFonts w:cs="Arial"/>
                <w:b/>
                <w:szCs w:val="14"/>
              </w:rPr>
              <w:t>27</w:t>
            </w:r>
            <w:r>
              <w:rPr>
                <w:rFonts w:cs="Arial"/>
                <w:b/>
                <w:szCs w:val="14"/>
              </w:rPr>
              <w:t>,</w:t>
            </w:r>
            <w:r w:rsidRPr="00C5580B">
              <w:rPr>
                <w:rFonts w:cs="Arial"/>
                <w:b/>
                <w:szCs w:val="14"/>
              </w:rPr>
              <w:t>203</w:t>
            </w:r>
          </w:p>
        </w:tc>
        <w:tc>
          <w:tcPr>
            <w:tcW w:w="1309" w:type="dxa"/>
            <w:shd w:val="clear" w:color="auto" w:fill="auto"/>
          </w:tcPr>
          <w:p w14:paraId="7EC2BD96" w14:textId="77777777" w:rsidR="008B7E19" w:rsidRPr="00810C05" w:rsidRDefault="008B7E19" w:rsidP="008B7E19">
            <w:pPr>
              <w:pStyle w:val="08-Tabelageral"/>
              <w:ind w:left="113"/>
              <w:rPr>
                <w:rFonts w:cs="Arial"/>
                <w:b/>
                <w:bCs/>
                <w:szCs w:val="14"/>
              </w:rPr>
            </w:pPr>
            <w:r w:rsidRPr="00C5580B">
              <w:rPr>
                <w:rFonts w:cs="Arial"/>
                <w:b/>
                <w:szCs w:val="14"/>
              </w:rPr>
              <w:t>103</w:t>
            </w:r>
            <w:r>
              <w:rPr>
                <w:rFonts w:cs="Arial"/>
                <w:b/>
                <w:szCs w:val="14"/>
              </w:rPr>
              <w:t>,</w:t>
            </w:r>
            <w:r w:rsidRPr="00C5580B">
              <w:rPr>
                <w:rFonts w:cs="Arial"/>
                <w:b/>
                <w:szCs w:val="14"/>
              </w:rPr>
              <w:t>194</w:t>
            </w:r>
          </w:p>
        </w:tc>
      </w:tr>
      <w:tr w:rsidR="008B7E19" w:rsidRPr="00733251" w14:paraId="732EEC3B" w14:textId="77777777" w:rsidTr="005B5353">
        <w:trPr>
          <w:trHeight w:val="238"/>
          <w:jc w:val="center"/>
        </w:trPr>
        <w:tc>
          <w:tcPr>
            <w:tcW w:w="2629" w:type="dxa"/>
            <w:shd w:val="clear" w:color="auto" w:fill="auto"/>
          </w:tcPr>
          <w:p w14:paraId="0ADE121B" w14:textId="77777777" w:rsidR="008B7E19" w:rsidRPr="00A84550" w:rsidRDefault="008B7E19" w:rsidP="008B7E19">
            <w:pPr>
              <w:pStyle w:val="070-TabelaPadro"/>
              <w:spacing w:line="276" w:lineRule="auto"/>
              <w:jc w:val="left"/>
              <w:rPr>
                <w:b/>
              </w:rPr>
            </w:pPr>
          </w:p>
        </w:tc>
        <w:tc>
          <w:tcPr>
            <w:tcW w:w="1388" w:type="dxa"/>
            <w:shd w:val="clear" w:color="auto" w:fill="auto"/>
          </w:tcPr>
          <w:p w14:paraId="046954E7" w14:textId="77777777" w:rsidR="008B7E19" w:rsidRPr="00E31A92" w:rsidRDefault="008B7E19" w:rsidP="008B7E19">
            <w:pPr>
              <w:pStyle w:val="08-Tabelageral"/>
              <w:ind w:left="113"/>
              <w:rPr>
                <w:rFonts w:cs="Arial"/>
                <w:szCs w:val="14"/>
              </w:rPr>
            </w:pPr>
          </w:p>
        </w:tc>
        <w:tc>
          <w:tcPr>
            <w:tcW w:w="1424" w:type="dxa"/>
            <w:shd w:val="clear" w:color="auto" w:fill="auto"/>
          </w:tcPr>
          <w:p w14:paraId="57EAD325" w14:textId="77777777" w:rsidR="008B7E19" w:rsidRPr="00E31A92" w:rsidRDefault="008B7E19" w:rsidP="008B7E19">
            <w:pPr>
              <w:pStyle w:val="08-Tabelageral"/>
              <w:ind w:left="113"/>
              <w:rPr>
                <w:rFonts w:cs="Arial"/>
                <w:szCs w:val="14"/>
              </w:rPr>
            </w:pPr>
          </w:p>
        </w:tc>
        <w:tc>
          <w:tcPr>
            <w:tcW w:w="1384" w:type="dxa"/>
            <w:shd w:val="clear" w:color="auto" w:fill="auto"/>
          </w:tcPr>
          <w:p w14:paraId="66B3193E" w14:textId="77777777" w:rsidR="008B7E19" w:rsidRPr="00E31A92" w:rsidRDefault="008B7E19" w:rsidP="008B7E19">
            <w:pPr>
              <w:pStyle w:val="08-Tabelageral"/>
              <w:ind w:left="113"/>
              <w:rPr>
                <w:rFonts w:cs="Arial"/>
                <w:szCs w:val="14"/>
              </w:rPr>
            </w:pPr>
          </w:p>
        </w:tc>
        <w:tc>
          <w:tcPr>
            <w:tcW w:w="1505" w:type="dxa"/>
            <w:shd w:val="clear" w:color="auto" w:fill="auto"/>
          </w:tcPr>
          <w:p w14:paraId="7FDC4173" w14:textId="77777777" w:rsidR="008B7E19" w:rsidRPr="00090360" w:rsidRDefault="008B7E19" w:rsidP="008B7E19">
            <w:pPr>
              <w:pStyle w:val="08-Tabelageral"/>
              <w:ind w:left="113"/>
              <w:rPr>
                <w:rFonts w:cs="Arial"/>
                <w:szCs w:val="14"/>
              </w:rPr>
            </w:pPr>
          </w:p>
        </w:tc>
        <w:tc>
          <w:tcPr>
            <w:tcW w:w="1309" w:type="dxa"/>
            <w:shd w:val="clear" w:color="auto" w:fill="auto"/>
          </w:tcPr>
          <w:p w14:paraId="3FC7E87D" w14:textId="77777777" w:rsidR="008B7E19" w:rsidRPr="00E31A92" w:rsidRDefault="008B7E19" w:rsidP="008B7E19">
            <w:pPr>
              <w:pStyle w:val="08-Tabelageral"/>
              <w:ind w:left="113"/>
              <w:rPr>
                <w:rFonts w:cs="Arial"/>
                <w:b/>
                <w:szCs w:val="14"/>
              </w:rPr>
            </w:pPr>
          </w:p>
        </w:tc>
      </w:tr>
      <w:tr w:rsidR="008B7E19" w:rsidRPr="00733251" w14:paraId="581AB217" w14:textId="77777777" w:rsidTr="005B5353">
        <w:trPr>
          <w:trHeight w:val="238"/>
          <w:jc w:val="center"/>
        </w:trPr>
        <w:tc>
          <w:tcPr>
            <w:tcW w:w="2629" w:type="dxa"/>
            <w:shd w:val="clear" w:color="auto" w:fill="auto"/>
          </w:tcPr>
          <w:p w14:paraId="6A29980E" w14:textId="77777777" w:rsidR="008B7E19" w:rsidRPr="00056C3B" w:rsidRDefault="008B7E19" w:rsidP="008B7E19">
            <w:pPr>
              <w:pStyle w:val="070-TabelaPadro"/>
              <w:spacing w:line="276" w:lineRule="auto"/>
              <w:ind w:left="-108"/>
              <w:jc w:val="left"/>
              <w:rPr>
                <w:bCs/>
              </w:rPr>
            </w:pPr>
            <w:r w:rsidRPr="00B14041">
              <w:t>Minimum</w:t>
            </w:r>
            <w:r>
              <w:t xml:space="preserve"> cost</w:t>
            </w:r>
          </w:p>
        </w:tc>
        <w:tc>
          <w:tcPr>
            <w:tcW w:w="1388" w:type="dxa"/>
            <w:shd w:val="clear" w:color="auto" w:fill="auto"/>
          </w:tcPr>
          <w:p w14:paraId="58BB3E68" w14:textId="77777777" w:rsidR="008B7E19" w:rsidRPr="00E31A92" w:rsidRDefault="008B7E19" w:rsidP="008B7E19">
            <w:pPr>
              <w:pStyle w:val="08-Tabelageral"/>
              <w:ind w:left="113"/>
              <w:rPr>
                <w:rFonts w:cs="Arial"/>
                <w:b/>
                <w:szCs w:val="14"/>
              </w:rPr>
            </w:pPr>
            <w:r w:rsidRPr="0079602B">
              <w:rPr>
                <w:rFonts w:cs="Arial"/>
                <w:szCs w:val="14"/>
                <w:lang w:eastAsia="en-US"/>
              </w:rPr>
              <w:t>31</w:t>
            </w:r>
            <w:r>
              <w:rPr>
                <w:rFonts w:cs="Arial"/>
                <w:szCs w:val="14"/>
                <w:lang w:eastAsia="en-US"/>
              </w:rPr>
              <w:t>.</w:t>
            </w:r>
            <w:r w:rsidRPr="0079602B">
              <w:rPr>
                <w:rFonts w:cs="Arial"/>
                <w:szCs w:val="14"/>
                <w:lang w:eastAsia="en-US"/>
              </w:rPr>
              <w:t>93</w:t>
            </w:r>
          </w:p>
        </w:tc>
        <w:tc>
          <w:tcPr>
            <w:tcW w:w="1424" w:type="dxa"/>
            <w:shd w:val="clear" w:color="auto" w:fill="auto"/>
          </w:tcPr>
          <w:p w14:paraId="2255F626" w14:textId="77777777" w:rsidR="008B7E19" w:rsidRPr="00E31A92" w:rsidRDefault="008B7E19" w:rsidP="008B7E19">
            <w:pPr>
              <w:pStyle w:val="08-Tabelageral"/>
              <w:ind w:left="113"/>
              <w:rPr>
                <w:rFonts w:cs="Arial"/>
                <w:b/>
                <w:szCs w:val="14"/>
              </w:rPr>
            </w:pPr>
            <w:r w:rsidRPr="00C5580B">
              <w:rPr>
                <w:rFonts w:cs="Arial"/>
                <w:szCs w:val="14"/>
                <w:lang w:eastAsia="en-US"/>
              </w:rPr>
              <w:t>24</w:t>
            </w:r>
            <w:r>
              <w:rPr>
                <w:rFonts w:cs="Arial"/>
                <w:szCs w:val="14"/>
                <w:lang w:eastAsia="en-US"/>
              </w:rPr>
              <w:t>.</w:t>
            </w:r>
            <w:r w:rsidRPr="00C5580B">
              <w:rPr>
                <w:rFonts w:cs="Arial"/>
                <w:szCs w:val="14"/>
                <w:lang w:eastAsia="en-US"/>
              </w:rPr>
              <w:t>37</w:t>
            </w:r>
          </w:p>
        </w:tc>
        <w:tc>
          <w:tcPr>
            <w:tcW w:w="1384" w:type="dxa"/>
            <w:shd w:val="clear" w:color="auto" w:fill="auto"/>
          </w:tcPr>
          <w:p w14:paraId="56D0C587" w14:textId="77777777" w:rsidR="008B7E19" w:rsidRPr="00E31A92" w:rsidRDefault="008B7E19" w:rsidP="008B7E19">
            <w:pPr>
              <w:pStyle w:val="08-Tabelageral"/>
              <w:ind w:left="113"/>
              <w:rPr>
                <w:rFonts w:cs="Arial"/>
                <w:b/>
                <w:szCs w:val="14"/>
              </w:rPr>
            </w:pPr>
            <w:r w:rsidRPr="00C5580B">
              <w:rPr>
                <w:rFonts w:cs="Arial"/>
                <w:bCs/>
                <w:szCs w:val="14"/>
              </w:rPr>
              <w:t>26</w:t>
            </w:r>
            <w:r>
              <w:rPr>
                <w:rFonts w:cs="Arial"/>
                <w:bCs/>
                <w:szCs w:val="14"/>
              </w:rPr>
              <w:t>.</w:t>
            </w:r>
            <w:r w:rsidRPr="00C5580B">
              <w:rPr>
                <w:rFonts w:cs="Arial"/>
                <w:bCs/>
                <w:szCs w:val="14"/>
              </w:rPr>
              <w:t>12</w:t>
            </w:r>
          </w:p>
        </w:tc>
        <w:tc>
          <w:tcPr>
            <w:tcW w:w="1505" w:type="dxa"/>
            <w:shd w:val="clear" w:color="auto" w:fill="auto"/>
          </w:tcPr>
          <w:p w14:paraId="2236AEF3" w14:textId="77777777" w:rsidR="008B7E19" w:rsidRPr="00E31A92" w:rsidRDefault="008B7E19" w:rsidP="008B7E19">
            <w:pPr>
              <w:pStyle w:val="08-Tabelageral"/>
              <w:ind w:left="113"/>
              <w:rPr>
                <w:rFonts w:cs="Arial"/>
                <w:b/>
                <w:szCs w:val="14"/>
              </w:rPr>
            </w:pPr>
            <w:r w:rsidRPr="00C5580B">
              <w:rPr>
                <w:rFonts w:cs="Arial"/>
                <w:b/>
                <w:szCs w:val="14"/>
              </w:rPr>
              <w:t>34</w:t>
            </w:r>
            <w:r>
              <w:rPr>
                <w:rFonts w:cs="Arial"/>
                <w:b/>
                <w:szCs w:val="14"/>
              </w:rPr>
              <w:t>.</w:t>
            </w:r>
            <w:r w:rsidRPr="00C5580B">
              <w:rPr>
                <w:rFonts w:cs="Arial"/>
                <w:b/>
                <w:szCs w:val="14"/>
              </w:rPr>
              <w:t>87</w:t>
            </w:r>
          </w:p>
        </w:tc>
        <w:tc>
          <w:tcPr>
            <w:tcW w:w="1309" w:type="dxa"/>
            <w:shd w:val="clear" w:color="auto" w:fill="auto"/>
          </w:tcPr>
          <w:p w14:paraId="26E27120" w14:textId="77777777" w:rsidR="008B7E19" w:rsidRPr="00AC6F81" w:rsidRDefault="008B7E19" w:rsidP="008B7E19">
            <w:pPr>
              <w:pStyle w:val="08-Tabelageral"/>
              <w:ind w:left="113"/>
              <w:rPr>
                <w:rFonts w:cs="Arial"/>
                <w:b/>
                <w:szCs w:val="14"/>
              </w:rPr>
            </w:pPr>
            <w:r w:rsidRPr="00C5580B">
              <w:rPr>
                <w:rFonts w:cs="Arial"/>
                <w:bCs/>
                <w:szCs w:val="14"/>
                <w:lang w:eastAsia="en-US"/>
              </w:rPr>
              <w:t>--</w:t>
            </w:r>
          </w:p>
        </w:tc>
      </w:tr>
      <w:tr w:rsidR="008B7E19" w:rsidRPr="00733251" w14:paraId="2465298E" w14:textId="77777777" w:rsidTr="005B5353">
        <w:trPr>
          <w:trHeight w:val="238"/>
          <w:jc w:val="center"/>
        </w:trPr>
        <w:tc>
          <w:tcPr>
            <w:tcW w:w="2629" w:type="dxa"/>
            <w:tcBorders>
              <w:bottom w:val="nil"/>
            </w:tcBorders>
            <w:shd w:val="clear" w:color="auto" w:fill="auto"/>
            <w:vAlign w:val="center"/>
          </w:tcPr>
          <w:p w14:paraId="132EF18D" w14:textId="77777777" w:rsidR="008B7E19" w:rsidRPr="00056C3B" w:rsidRDefault="008B7E19" w:rsidP="008B7E19">
            <w:pPr>
              <w:pStyle w:val="070-TabelaPadro"/>
              <w:spacing w:line="276" w:lineRule="auto"/>
              <w:ind w:left="-108"/>
              <w:jc w:val="left"/>
              <w:rPr>
                <w:bCs/>
              </w:rPr>
            </w:pPr>
            <w:r>
              <w:t>Averege</w:t>
            </w:r>
            <w:r w:rsidRPr="00B14041">
              <w:t xml:space="preserve"> cost</w:t>
            </w:r>
          </w:p>
        </w:tc>
        <w:tc>
          <w:tcPr>
            <w:tcW w:w="1388" w:type="dxa"/>
            <w:tcBorders>
              <w:bottom w:val="nil"/>
            </w:tcBorders>
            <w:shd w:val="clear" w:color="auto" w:fill="auto"/>
          </w:tcPr>
          <w:p w14:paraId="0AF575DC" w14:textId="77777777" w:rsidR="008B7E19" w:rsidRPr="00E31A92" w:rsidRDefault="008B7E19" w:rsidP="008B7E19">
            <w:pPr>
              <w:pStyle w:val="08-Tabelageral"/>
              <w:ind w:left="113"/>
              <w:rPr>
                <w:rFonts w:cs="Arial"/>
                <w:szCs w:val="14"/>
              </w:rPr>
            </w:pPr>
            <w:r w:rsidRPr="0079602B">
              <w:rPr>
                <w:rFonts w:cs="Arial"/>
                <w:szCs w:val="14"/>
                <w:lang w:eastAsia="en-US"/>
              </w:rPr>
              <w:t>31</w:t>
            </w:r>
            <w:r>
              <w:rPr>
                <w:rFonts w:cs="Arial"/>
                <w:szCs w:val="14"/>
                <w:lang w:eastAsia="en-US"/>
              </w:rPr>
              <w:t>.</w:t>
            </w:r>
            <w:r w:rsidRPr="0079602B">
              <w:rPr>
                <w:rFonts w:cs="Arial"/>
                <w:szCs w:val="14"/>
                <w:lang w:eastAsia="en-US"/>
              </w:rPr>
              <w:t>93</w:t>
            </w:r>
          </w:p>
        </w:tc>
        <w:tc>
          <w:tcPr>
            <w:tcW w:w="1424" w:type="dxa"/>
            <w:tcBorders>
              <w:bottom w:val="nil"/>
            </w:tcBorders>
            <w:shd w:val="clear" w:color="auto" w:fill="auto"/>
          </w:tcPr>
          <w:p w14:paraId="05B71EEA" w14:textId="77777777" w:rsidR="008B7E19" w:rsidRPr="00E31A92" w:rsidRDefault="008B7E19" w:rsidP="008B7E19">
            <w:pPr>
              <w:pStyle w:val="08-Tabelageral"/>
              <w:ind w:left="113"/>
              <w:rPr>
                <w:rFonts w:cs="Arial"/>
                <w:szCs w:val="14"/>
              </w:rPr>
            </w:pPr>
            <w:r w:rsidRPr="00C5580B">
              <w:rPr>
                <w:rFonts w:cs="Arial"/>
                <w:szCs w:val="14"/>
                <w:lang w:eastAsia="en-US"/>
              </w:rPr>
              <w:t>24</w:t>
            </w:r>
            <w:r>
              <w:rPr>
                <w:rFonts w:cs="Arial"/>
                <w:szCs w:val="14"/>
                <w:lang w:eastAsia="en-US"/>
              </w:rPr>
              <w:t>.</w:t>
            </w:r>
            <w:r w:rsidRPr="00C5580B">
              <w:rPr>
                <w:rFonts w:cs="Arial"/>
                <w:szCs w:val="14"/>
                <w:lang w:eastAsia="en-US"/>
              </w:rPr>
              <w:t>37</w:t>
            </w:r>
          </w:p>
        </w:tc>
        <w:tc>
          <w:tcPr>
            <w:tcW w:w="1384" w:type="dxa"/>
            <w:tcBorders>
              <w:bottom w:val="nil"/>
            </w:tcBorders>
            <w:shd w:val="clear" w:color="auto" w:fill="auto"/>
          </w:tcPr>
          <w:p w14:paraId="5D29AE01" w14:textId="77777777" w:rsidR="008B7E19" w:rsidRPr="00E31A92" w:rsidRDefault="008B7E19" w:rsidP="008B7E19">
            <w:pPr>
              <w:pStyle w:val="08-Tabelageral"/>
              <w:ind w:left="113"/>
              <w:rPr>
                <w:rFonts w:cs="Arial"/>
                <w:szCs w:val="14"/>
              </w:rPr>
            </w:pPr>
            <w:r w:rsidRPr="00C5580B">
              <w:rPr>
                <w:rFonts w:cs="Arial"/>
                <w:szCs w:val="14"/>
              </w:rPr>
              <w:t>26</w:t>
            </w:r>
            <w:r>
              <w:rPr>
                <w:rFonts w:cs="Arial"/>
                <w:szCs w:val="14"/>
              </w:rPr>
              <w:t>.</w:t>
            </w:r>
            <w:r w:rsidRPr="00C5580B">
              <w:rPr>
                <w:rFonts w:cs="Arial"/>
                <w:szCs w:val="14"/>
              </w:rPr>
              <w:t>12</w:t>
            </w:r>
          </w:p>
        </w:tc>
        <w:tc>
          <w:tcPr>
            <w:tcW w:w="1505" w:type="dxa"/>
            <w:tcBorders>
              <w:bottom w:val="nil"/>
            </w:tcBorders>
            <w:shd w:val="clear" w:color="auto" w:fill="auto"/>
          </w:tcPr>
          <w:p w14:paraId="230542A4" w14:textId="77777777" w:rsidR="008B7E19" w:rsidRPr="00E31A92" w:rsidRDefault="008B7E19" w:rsidP="008B7E19">
            <w:pPr>
              <w:pStyle w:val="08-Tabelageral"/>
              <w:ind w:left="113"/>
              <w:rPr>
                <w:rFonts w:cs="Arial"/>
                <w:szCs w:val="14"/>
              </w:rPr>
            </w:pPr>
            <w:r w:rsidRPr="00C5580B">
              <w:rPr>
                <w:rFonts w:cs="Arial"/>
                <w:szCs w:val="14"/>
              </w:rPr>
              <w:t>34</w:t>
            </w:r>
            <w:r>
              <w:rPr>
                <w:rFonts w:cs="Arial"/>
                <w:szCs w:val="14"/>
              </w:rPr>
              <w:t>.</w:t>
            </w:r>
            <w:r w:rsidRPr="00C5580B">
              <w:rPr>
                <w:rFonts w:cs="Arial"/>
                <w:szCs w:val="14"/>
              </w:rPr>
              <w:t>87</w:t>
            </w:r>
          </w:p>
        </w:tc>
        <w:tc>
          <w:tcPr>
            <w:tcW w:w="1309" w:type="dxa"/>
            <w:tcBorders>
              <w:bottom w:val="nil"/>
            </w:tcBorders>
            <w:shd w:val="clear" w:color="auto" w:fill="auto"/>
          </w:tcPr>
          <w:p w14:paraId="1BDA6519" w14:textId="77777777" w:rsidR="008B7E19" w:rsidRPr="00AC6F81" w:rsidRDefault="008B7E19" w:rsidP="008B7E19">
            <w:pPr>
              <w:pStyle w:val="08-Tabelageral"/>
              <w:ind w:left="113"/>
              <w:rPr>
                <w:rFonts w:cs="Arial"/>
                <w:b/>
                <w:szCs w:val="14"/>
              </w:rPr>
            </w:pPr>
            <w:r w:rsidRPr="00C5580B">
              <w:rPr>
                <w:rFonts w:cs="Arial"/>
                <w:bCs/>
                <w:szCs w:val="14"/>
                <w:lang w:eastAsia="en-US"/>
              </w:rPr>
              <w:t>--</w:t>
            </w:r>
          </w:p>
        </w:tc>
      </w:tr>
      <w:tr w:rsidR="008B7E19" w:rsidRPr="00733251" w14:paraId="2F9B4310" w14:textId="77777777" w:rsidTr="005B5353">
        <w:trPr>
          <w:trHeight w:val="238"/>
          <w:jc w:val="center"/>
        </w:trPr>
        <w:tc>
          <w:tcPr>
            <w:tcW w:w="2629" w:type="dxa"/>
            <w:tcBorders>
              <w:top w:val="nil"/>
              <w:bottom w:val="single" w:sz="2" w:space="0" w:color="1F4E79" w:themeColor="accent1" w:themeShade="80"/>
            </w:tcBorders>
            <w:shd w:val="clear" w:color="auto" w:fill="auto"/>
          </w:tcPr>
          <w:p w14:paraId="57F7EC46" w14:textId="77777777" w:rsidR="008B7E19" w:rsidRPr="00056C3B" w:rsidRDefault="008B7E19" w:rsidP="008B7E19">
            <w:pPr>
              <w:pStyle w:val="070-TabelaPadro"/>
              <w:spacing w:line="276" w:lineRule="auto"/>
              <w:ind w:left="-108"/>
              <w:jc w:val="left"/>
              <w:rPr>
                <w:bCs/>
              </w:rPr>
            </w:pPr>
            <w:r>
              <w:t>Max</w:t>
            </w:r>
            <w:r w:rsidRPr="00B14041">
              <w:t>imum cost</w:t>
            </w:r>
          </w:p>
        </w:tc>
        <w:tc>
          <w:tcPr>
            <w:tcW w:w="1388" w:type="dxa"/>
            <w:tcBorders>
              <w:top w:val="nil"/>
              <w:bottom w:val="single" w:sz="2" w:space="0" w:color="1F4E79" w:themeColor="accent1" w:themeShade="80"/>
            </w:tcBorders>
            <w:shd w:val="clear" w:color="auto" w:fill="auto"/>
          </w:tcPr>
          <w:p w14:paraId="5D302267" w14:textId="77777777" w:rsidR="008B7E19" w:rsidRPr="00E31A92" w:rsidRDefault="008B7E19" w:rsidP="008B7E19">
            <w:pPr>
              <w:pStyle w:val="08-Tabelageral"/>
              <w:ind w:left="113"/>
              <w:rPr>
                <w:rFonts w:cs="Arial"/>
                <w:szCs w:val="14"/>
              </w:rPr>
            </w:pPr>
            <w:r w:rsidRPr="0079602B">
              <w:rPr>
                <w:rFonts w:cs="Arial"/>
                <w:szCs w:val="14"/>
                <w:lang w:eastAsia="en-US"/>
              </w:rPr>
              <w:t>31</w:t>
            </w:r>
            <w:r>
              <w:rPr>
                <w:rFonts w:cs="Arial"/>
                <w:szCs w:val="14"/>
                <w:lang w:eastAsia="en-US"/>
              </w:rPr>
              <w:t>.</w:t>
            </w:r>
            <w:r w:rsidRPr="0079602B">
              <w:rPr>
                <w:rFonts w:cs="Arial"/>
                <w:szCs w:val="14"/>
                <w:lang w:eastAsia="en-US"/>
              </w:rPr>
              <w:t>93</w:t>
            </w:r>
          </w:p>
        </w:tc>
        <w:tc>
          <w:tcPr>
            <w:tcW w:w="1424" w:type="dxa"/>
            <w:tcBorders>
              <w:top w:val="nil"/>
              <w:bottom w:val="single" w:sz="2" w:space="0" w:color="1F4E79" w:themeColor="accent1" w:themeShade="80"/>
            </w:tcBorders>
            <w:shd w:val="clear" w:color="auto" w:fill="auto"/>
          </w:tcPr>
          <w:p w14:paraId="1AA4B59E" w14:textId="77777777" w:rsidR="008B7E19" w:rsidRPr="00E31A92" w:rsidRDefault="008B7E19" w:rsidP="008B7E19">
            <w:pPr>
              <w:pStyle w:val="08-Tabelageral"/>
              <w:ind w:left="113"/>
              <w:rPr>
                <w:rFonts w:cs="Arial"/>
                <w:szCs w:val="14"/>
              </w:rPr>
            </w:pPr>
            <w:r w:rsidRPr="00C5580B">
              <w:rPr>
                <w:rFonts w:cs="Arial"/>
                <w:szCs w:val="14"/>
                <w:lang w:eastAsia="en-US"/>
              </w:rPr>
              <w:t>24</w:t>
            </w:r>
            <w:r>
              <w:rPr>
                <w:rFonts w:cs="Arial"/>
                <w:szCs w:val="14"/>
                <w:lang w:eastAsia="en-US"/>
              </w:rPr>
              <w:t>.</w:t>
            </w:r>
            <w:r w:rsidRPr="00C5580B">
              <w:rPr>
                <w:rFonts w:cs="Arial"/>
                <w:szCs w:val="14"/>
                <w:lang w:eastAsia="en-US"/>
              </w:rPr>
              <w:t>37</w:t>
            </w:r>
          </w:p>
        </w:tc>
        <w:tc>
          <w:tcPr>
            <w:tcW w:w="1384" w:type="dxa"/>
            <w:tcBorders>
              <w:top w:val="nil"/>
              <w:bottom w:val="single" w:sz="2" w:space="0" w:color="1F4E79" w:themeColor="accent1" w:themeShade="80"/>
            </w:tcBorders>
            <w:shd w:val="clear" w:color="auto" w:fill="auto"/>
          </w:tcPr>
          <w:p w14:paraId="3BD82CF7" w14:textId="77777777" w:rsidR="008B7E19" w:rsidRPr="00E31A92" w:rsidRDefault="008B7E19" w:rsidP="008B7E19">
            <w:pPr>
              <w:pStyle w:val="08-Tabelageral"/>
              <w:ind w:left="113"/>
              <w:rPr>
                <w:rFonts w:cs="Arial"/>
                <w:szCs w:val="14"/>
              </w:rPr>
            </w:pPr>
            <w:r w:rsidRPr="00C5580B">
              <w:rPr>
                <w:rFonts w:cs="Arial"/>
                <w:szCs w:val="14"/>
              </w:rPr>
              <w:t>26</w:t>
            </w:r>
            <w:r>
              <w:rPr>
                <w:rFonts w:cs="Arial"/>
                <w:szCs w:val="14"/>
              </w:rPr>
              <w:t>.</w:t>
            </w:r>
            <w:r w:rsidRPr="00C5580B">
              <w:rPr>
                <w:rFonts w:cs="Arial"/>
                <w:szCs w:val="14"/>
              </w:rPr>
              <w:t>12</w:t>
            </w:r>
          </w:p>
        </w:tc>
        <w:tc>
          <w:tcPr>
            <w:tcW w:w="1505" w:type="dxa"/>
            <w:tcBorders>
              <w:top w:val="nil"/>
              <w:bottom w:val="single" w:sz="2" w:space="0" w:color="1F4E79" w:themeColor="accent1" w:themeShade="80"/>
            </w:tcBorders>
            <w:shd w:val="clear" w:color="auto" w:fill="auto"/>
          </w:tcPr>
          <w:p w14:paraId="6F41CCE7" w14:textId="77777777" w:rsidR="008B7E19" w:rsidRPr="00E31A92" w:rsidRDefault="008B7E19" w:rsidP="008B7E19">
            <w:pPr>
              <w:pStyle w:val="08-Tabelageral"/>
              <w:ind w:left="113"/>
              <w:rPr>
                <w:rFonts w:cs="Arial"/>
                <w:szCs w:val="14"/>
              </w:rPr>
            </w:pPr>
            <w:r w:rsidRPr="00C5580B">
              <w:rPr>
                <w:rFonts w:cs="Arial"/>
                <w:szCs w:val="14"/>
              </w:rPr>
              <w:t>34</w:t>
            </w:r>
            <w:r>
              <w:rPr>
                <w:rFonts w:cs="Arial"/>
                <w:szCs w:val="14"/>
              </w:rPr>
              <w:t>.</w:t>
            </w:r>
            <w:r w:rsidRPr="00C5580B">
              <w:rPr>
                <w:rFonts w:cs="Arial"/>
                <w:szCs w:val="14"/>
              </w:rPr>
              <w:t>87</w:t>
            </w:r>
          </w:p>
        </w:tc>
        <w:tc>
          <w:tcPr>
            <w:tcW w:w="1309" w:type="dxa"/>
            <w:tcBorders>
              <w:top w:val="nil"/>
              <w:bottom w:val="single" w:sz="2" w:space="0" w:color="1F4E79" w:themeColor="accent1" w:themeShade="80"/>
            </w:tcBorders>
            <w:shd w:val="clear" w:color="auto" w:fill="auto"/>
          </w:tcPr>
          <w:p w14:paraId="4A5EBD91" w14:textId="77777777" w:rsidR="008B7E19" w:rsidRPr="00AC6F81" w:rsidRDefault="008B7E19" w:rsidP="008B7E19">
            <w:pPr>
              <w:pStyle w:val="08-Tabelageral"/>
              <w:ind w:left="113"/>
              <w:rPr>
                <w:rFonts w:cs="Arial"/>
                <w:b/>
                <w:szCs w:val="14"/>
              </w:rPr>
            </w:pPr>
            <w:r w:rsidRPr="00C5580B">
              <w:rPr>
                <w:rFonts w:cs="Arial"/>
                <w:bCs/>
                <w:szCs w:val="14"/>
                <w:lang w:eastAsia="en-US"/>
              </w:rPr>
              <w:t>--</w:t>
            </w:r>
          </w:p>
        </w:tc>
      </w:tr>
    </w:tbl>
    <w:p w14:paraId="7268790D" w14:textId="77777777" w:rsidR="008B7E19" w:rsidRDefault="008B7E19" w:rsidP="008B7E19">
      <w:pPr>
        <w:pStyle w:val="01-TtulodeNota"/>
        <w:shd w:val="clear" w:color="auto" w:fill="FFFFFF" w:themeFill="background1"/>
        <w:rPr>
          <w:color w:val="1F4E79" w:themeColor="accent1" w:themeShade="80"/>
        </w:rPr>
      </w:pPr>
    </w:p>
    <w:tbl>
      <w:tblPr>
        <w:tblW w:w="9639" w:type="dxa"/>
        <w:jc w:val="center"/>
        <w:tblBorders>
          <w:top w:val="single" w:sz="2" w:space="0" w:color="8EAADB" w:themeColor="accent5" w:themeTint="99"/>
          <w:bottom w:val="single" w:sz="2" w:space="0" w:color="8EAADB" w:themeColor="accent5" w:themeTint="99"/>
        </w:tblBorders>
        <w:shd w:val="clear" w:color="auto" w:fill="D9E2F3" w:themeFill="accent5" w:themeFillTint="33"/>
        <w:tblLook w:val="04A0" w:firstRow="1" w:lastRow="0" w:firstColumn="1" w:lastColumn="0" w:noHBand="0" w:noVBand="1"/>
      </w:tblPr>
      <w:tblGrid>
        <w:gridCol w:w="2217"/>
        <w:gridCol w:w="1095"/>
        <w:gridCol w:w="1296"/>
        <w:gridCol w:w="1297"/>
        <w:gridCol w:w="1297"/>
        <w:gridCol w:w="1297"/>
        <w:gridCol w:w="1128"/>
        <w:gridCol w:w="12"/>
      </w:tblGrid>
      <w:tr w:rsidR="008B7E19" w:rsidRPr="009E6BBD" w14:paraId="641FBE42" w14:textId="77777777" w:rsidTr="005B5353">
        <w:trPr>
          <w:gridAfter w:val="1"/>
          <w:wAfter w:w="12" w:type="dxa"/>
          <w:trHeight w:val="238"/>
          <w:jc w:val="center"/>
        </w:trPr>
        <w:tc>
          <w:tcPr>
            <w:tcW w:w="9627" w:type="dxa"/>
            <w:gridSpan w:val="7"/>
            <w:tcBorders>
              <w:top w:val="single" w:sz="4" w:space="0" w:color="1F4E79" w:themeColor="accent1" w:themeShade="80"/>
              <w:bottom w:val="single" w:sz="4" w:space="0" w:color="1F4E79" w:themeColor="accent1" w:themeShade="80"/>
            </w:tcBorders>
            <w:shd w:val="clear" w:color="auto" w:fill="auto"/>
          </w:tcPr>
          <w:p w14:paraId="2CF8E96D" w14:textId="77777777" w:rsidR="008B7E19" w:rsidRPr="009E6BBD" w:rsidRDefault="008B7E19" w:rsidP="008B7E19">
            <w:pPr>
              <w:pStyle w:val="08-Tabelageral"/>
              <w:ind w:left="113"/>
              <w:jc w:val="center"/>
              <w:rPr>
                <w:b/>
                <w:bCs/>
              </w:rPr>
            </w:pPr>
            <w:r w:rsidRPr="009E6BBD">
              <w:rPr>
                <w:b/>
                <w:bCs/>
              </w:rPr>
              <w:t>Estimated Schedule Transfers</w:t>
            </w:r>
          </w:p>
        </w:tc>
      </w:tr>
      <w:tr w:rsidR="008B7E19" w:rsidRPr="00733251" w14:paraId="00D42AB5" w14:textId="77777777" w:rsidTr="005B5353">
        <w:trPr>
          <w:trHeight w:val="238"/>
          <w:jc w:val="center"/>
        </w:trPr>
        <w:tc>
          <w:tcPr>
            <w:tcW w:w="2217" w:type="dxa"/>
            <w:tcBorders>
              <w:top w:val="single" w:sz="4" w:space="0" w:color="8EAADB" w:themeColor="accent5" w:themeTint="99"/>
            </w:tcBorders>
            <w:shd w:val="clear" w:color="auto" w:fill="auto"/>
          </w:tcPr>
          <w:p w14:paraId="30D2C4A4" w14:textId="77777777" w:rsidR="008B7E19" w:rsidRPr="00733251" w:rsidRDefault="008B7E19" w:rsidP="008B7E19">
            <w:pPr>
              <w:pStyle w:val="070-TabelaPadro"/>
              <w:spacing w:line="276" w:lineRule="auto"/>
              <w:jc w:val="left"/>
            </w:pPr>
          </w:p>
        </w:tc>
        <w:tc>
          <w:tcPr>
            <w:tcW w:w="1095" w:type="dxa"/>
            <w:tcBorders>
              <w:top w:val="single" w:sz="4" w:space="0" w:color="8EAADB" w:themeColor="accent5" w:themeTint="99"/>
            </w:tcBorders>
            <w:shd w:val="clear" w:color="auto" w:fill="auto"/>
          </w:tcPr>
          <w:p w14:paraId="20CE992D" w14:textId="77777777" w:rsidR="008B7E19" w:rsidRPr="00E1087E" w:rsidRDefault="008B7E19" w:rsidP="008B7E19">
            <w:pPr>
              <w:pStyle w:val="08-Tabelageral"/>
              <w:ind w:left="113"/>
              <w:rPr>
                <w:rFonts w:cs="Arial"/>
                <w:b/>
                <w:bCs/>
                <w:szCs w:val="14"/>
              </w:rPr>
            </w:pPr>
            <w:r w:rsidRPr="00E1087E">
              <w:rPr>
                <w:rFonts w:cs="Arial"/>
                <w:b/>
                <w:bCs/>
                <w:szCs w:val="14"/>
              </w:rPr>
              <w:t>Per</w:t>
            </w:r>
            <w:r>
              <w:rPr>
                <w:rFonts w:cs="Arial"/>
                <w:b/>
                <w:bCs/>
                <w:szCs w:val="14"/>
              </w:rPr>
              <w:t>i</w:t>
            </w:r>
            <w:r w:rsidRPr="00E1087E">
              <w:rPr>
                <w:rFonts w:cs="Arial"/>
                <w:b/>
                <w:bCs/>
                <w:szCs w:val="14"/>
              </w:rPr>
              <w:t>o</w:t>
            </w:r>
            <w:r>
              <w:rPr>
                <w:rFonts w:cs="Arial"/>
                <w:b/>
                <w:bCs/>
                <w:szCs w:val="14"/>
              </w:rPr>
              <w:t>d</w:t>
            </w:r>
          </w:p>
        </w:tc>
        <w:tc>
          <w:tcPr>
            <w:tcW w:w="1296" w:type="dxa"/>
            <w:tcBorders>
              <w:top w:val="single" w:sz="4" w:space="0" w:color="8EAADB" w:themeColor="accent5" w:themeTint="99"/>
            </w:tcBorders>
            <w:shd w:val="clear" w:color="auto" w:fill="auto"/>
          </w:tcPr>
          <w:p w14:paraId="30D725C5" w14:textId="77777777" w:rsidR="008B7E19" w:rsidRPr="00E31A92" w:rsidRDefault="008B7E19" w:rsidP="008B7E19">
            <w:pPr>
              <w:pStyle w:val="08-Tabelageral"/>
              <w:ind w:left="113"/>
              <w:rPr>
                <w:rFonts w:cs="Arial"/>
                <w:szCs w:val="14"/>
              </w:rPr>
            </w:pPr>
            <w:r w:rsidRPr="0093782B">
              <w:rPr>
                <w:b/>
              </w:rPr>
              <w:t>201</w:t>
            </w:r>
            <w:r>
              <w:rPr>
                <w:b/>
              </w:rPr>
              <w:t>9</w:t>
            </w:r>
            <w:r w:rsidRPr="0093782B">
              <w:rPr>
                <w:b/>
              </w:rPr>
              <w:t xml:space="preserve"> Program</w:t>
            </w:r>
          </w:p>
        </w:tc>
        <w:tc>
          <w:tcPr>
            <w:tcW w:w="1297" w:type="dxa"/>
            <w:tcBorders>
              <w:top w:val="single" w:sz="4" w:space="0" w:color="8EAADB" w:themeColor="accent5" w:themeTint="99"/>
            </w:tcBorders>
            <w:shd w:val="clear" w:color="auto" w:fill="auto"/>
          </w:tcPr>
          <w:p w14:paraId="48D0C8EA" w14:textId="77777777" w:rsidR="008B7E19" w:rsidRPr="00E31A92" w:rsidRDefault="008B7E19" w:rsidP="008B7E19">
            <w:pPr>
              <w:pStyle w:val="08-Tabelageral"/>
              <w:ind w:left="113"/>
              <w:rPr>
                <w:rFonts w:cs="Arial"/>
                <w:szCs w:val="14"/>
              </w:rPr>
            </w:pPr>
            <w:r w:rsidRPr="0093782B">
              <w:rPr>
                <w:b/>
              </w:rPr>
              <w:t>20</w:t>
            </w:r>
            <w:r>
              <w:rPr>
                <w:b/>
              </w:rPr>
              <w:t xml:space="preserve">20 </w:t>
            </w:r>
            <w:r w:rsidRPr="0093782B">
              <w:rPr>
                <w:b/>
              </w:rPr>
              <w:t>Program</w:t>
            </w:r>
          </w:p>
        </w:tc>
        <w:tc>
          <w:tcPr>
            <w:tcW w:w="1297" w:type="dxa"/>
            <w:tcBorders>
              <w:top w:val="single" w:sz="4" w:space="0" w:color="8EAADB" w:themeColor="accent5" w:themeTint="99"/>
            </w:tcBorders>
            <w:shd w:val="clear" w:color="auto" w:fill="auto"/>
          </w:tcPr>
          <w:p w14:paraId="0CB88464" w14:textId="77777777" w:rsidR="008B7E19" w:rsidRPr="00E31A92" w:rsidRDefault="008B7E19" w:rsidP="008B7E19">
            <w:pPr>
              <w:pStyle w:val="08-Tabelageral"/>
              <w:ind w:left="113"/>
              <w:rPr>
                <w:rFonts w:cs="Arial"/>
                <w:szCs w:val="14"/>
              </w:rPr>
            </w:pPr>
            <w:r w:rsidRPr="0093782B">
              <w:rPr>
                <w:b/>
              </w:rPr>
              <w:t>20</w:t>
            </w:r>
            <w:r>
              <w:rPr>
                <w:b/>
              </w:rPr>
              <w:t>21</w:t>
            </w:r>
            <w:r w:rsidRPr="0093782B">
              <w:rPr>
                <w:b/>
              </w:rPr>
              <w:t xml:space="preserve"> Program</w:t>
            </w:r>
          </w:p>
        </w:tc>
        <w:tc>
          <w:tcPr>
            <w:tcW w:w="1297" w:type="dxa"/>
            <w:tcBorders>
              <w:top w:val="single" w:sz="4" w:space="0" w:color="8EAADB" w:themeColor="accent5" w:themeTint="99"/>
            </w:tcBorders>
            <w:shd w:val="clear" w:color="auto" w:fill="auto"/>
          </w:tcPr>
          <w:p w14:paraId="1DBB9977" w14:textId="77777777" w:rsidR="008B7E19" w:rsidRPr="00E31A92" w:rsidRDefault="008B7E19" w:rsidP="008B7E19">
            <w:pPr>
              <w:pStyle w:val="08-Tabelageral"/>
              <w:ind w:left="113"/>
              <w:rPr>
                <w:rFonts w:cs="Arial"/>
                <w:szCs w:val="14"/>
              </w:rPr>
            </w:pPr>
            <w:r w:rsidRPr="0093782B">
              <w:rPr>
                <w:b/>
              </w:rPr>
              <w:t>202</w:t>
            </w:r>
            <w:r>
              <w:rPr>
                <w:b/>
              </w:rPr>
              <w:t>2</w:t>
            </w:r>
            <w:r w:rsidRPr="0093782B">
              <w:rPr>
                <w:b/>
              </w:rPr>
              <w:t xml:space="preserve"> Program</w:t>
            </w:r>
          </w:p>
        </w:tc>
        <w:tc>
          <w:tcPr>
            <w:tcW w:w="1140" w:type="dxa"/>
            <w:gridSpan w:val="2"/>
            <w:tcBorders>
              <w:top w:val="single" w:sz="4" w:space="0" w:color="8EAADB" w:themeColor="accent5" w:themeTint="99"/>
            </w:tcBorders>
            <w:shd w:val="clear" w:color="auto" w:fill="auto"/>
          </w:tcPr>
          <w:p w14:paraId="40FB395B" w14:textId="77777777" w:rsidR="008B7E19" w:rsidRPr="00056C3B" w:rsidRDefault="008B7E19" w:rsidP="008B7E19">
            <w:pPr>
              <w:pStyle w:val="08-Tabelageral"/>
              <w:ind w:left="113"/>
              <w:rPr>
                <w:b/>
                <w:bCs/>
              </w:rPr>
            </w:pPr>
            <w:r>
              <w:rPr>
                <w:b/>
                <w:bCs/>
              </w:rPr>
              <w:t>Total</w:t>
            </w:r>
          </w:p>
        </w:tc>
      </w:tr>
      <w:tr w:rsidR="008B7E19" w:rsidRPr="00733251" w14:paraId="411C700F" w14:textId="77777777" w:rsidTr="005B5353">
        <w:trPr>
          <w:trHeight w:val="238"/>
          <w:jc w:val="center"/>
        </w:trPr>
        <w:tc>
          <w:tcPr>
            <w:tcW w:w="2217" w:type="dxa"/>
            <w:shd w:val="clear" w:color="auto" w:fill="auto"/>
          </w:tcPr>
          <w:p w14:paraId="667722A4" w14:textId="77777777" w:rsidR="008B7E19" w:rsidRPr="00E31A92" w:rsidRDefault="008B7E19" w:rsidP="008B7E19">
            <w:pPr>
              <w:pStyle w:val="070-TabelaPadro"/>
              <w:spacing w:line="276" w:lineRule="auto"/>
              <w:ind w:firstLine="318"/>
              <w:jc w:val="left"/>
              <w:rPr>
                <w:b/>
              </w:rPr>
            </w:pPr>
            <w:r w:rsidRPr="00B4618F">
              <w:t>Shares to Distribute</w:t>
            </w:r>
          </w:p>
        </w:tc>
        <w:tc>
          <w:tcPr>
            <w:tcW w:w="1095" w:type="dxa"/>
            <w:shd w:val="clear" w:color="auto" w:fill="auto"/>
          </w:tcPr>
          <w:p w14:paraId="0378D2F6" w14:textId="77777777" w:rsidR="008B7E19" w:rsidRPr="00062947" w:rsidRDefault="008B7E19" w:rsidP="008B7E19">
            <w:pPr>
              <w:pStyle w:val="08-Tabelageral"/>
              <w:ind w:left="113"/>
              <w:rPr>
                <w:rFonts w:cs="Arial"/>
                <w:bCs/>
                <w:szCs w:val="14"/>
              </w:rPr>
            </w:pPr>
            <w:r w:rsidRPr="00B8356C">
              <w:t>March 202</w:t>
            </w:r>
            <w:r>
              <w:t>4</w:t>
            </w:r>
          </w:p>
        </w:tc>
        <w:tc>
          <w:tcPr>
            <w:tcW w:w="1296" w:type="dxa"/>
            <w:shd w:val="clear" w:color="auto" w:fill="auto"/>
          </w:tcPr>
          <w:p w14:paraId="4D41DD17" w14:textId="77777777" w:rsidR="008B7E19" w:rsidRPr="00062947" w:rsidRDefault="008B7E19" w:rsidP="008B7E19">
            <w:pPr>
              <w:pStyle w:val="08-Tabelageral"/>
              <w:ind w:left="113"/>
              <w:rPr>
                <w:rFonts w:cs="Arial"/>
                <w:bCs/>
                <w:szCs w:val="14"/>
              </w:rPr>
            </w:pPr>
            <w:r w:rsidRPr="00FE1988">
              <w:rPr>
                <w:rFonts w:cs="Arial"/>
                <w:bCs/>
                <w:szCs w:val="14"/>
                <w:lang w:eastAsia="en-US"/>
              </w:rPr>
              <w:t>5</w:t>
            </w:r>
            <w:r>
              <w:rPr>
                <w:rFonts w:cs="Arial"/>
                <w:bCs/>
                <w:szCs w:val="14"/>
                <w:lang w:eastAsia="en-US"/>
              </w:rPr>
              <w:t>,</w:t>
            </w:r>
            <w:r w:rsidRPr="00FE1988">
              <w:rPr>
                <w:rFonts w:cs="Arial"/>
                <w:bCs/>
                <w:szCs w:val="14"/>
                <w:lang w:eastAsia="en-US"/>
              </w:rPr>
              <w:t>665</w:t>
            </w:r>
          </w:p>
        </w:tc>
        <w:tc>
          <w:tcPr>
            <w:tcW w:w="1297" w:type="dxa"/>
            <w:shd w:val="clear" w:color="auto" w:fill="auto"/>
          </w:tcPr>
          <w:p w14:paraId="72CB9E42" w14:textId="77777777" w:rsidR="008B7E19" w:rsidRPr="00062947" w:rsidRDefault="008B7E19" w:rsidP="008B7E19">
            <w:pPr>
              <w:pStyle w:val="08-Tabelageral"/>
              <w:ind w:left="113"/>
              <w:rPr>
                <w:rFonts w:cs="Arial"/>
                <w:bCs/>
                <w:szCs w:val="14"/>
              </w:rPr>
            </w:pPr>
            <w:r w:rsidRPr="00FE1988">
              <w:rPr>
                <w:rFonts w:cs="Arial"/>
                <w:bCs/>
                <w:szCs w:val="14"/>
                <w:lang w:eastAsia="en-US"/>
              </w:rPr>
              <w:t>4</w:t>
            </w:r>
            <w:r>
              <w:rPr>
                <w:rFonts w:cs="Arial"/>
                <w:bCs/>
                <w:szCs w:val="14"/>
                <w:lang w:eastAsia="en-US"/>
              </w:rPr>
              <w:t>,</w:t>
            </w:r>
            <w:r w:rsidRPr="00FE1988">
              <w:rPr>
                <w:rFonts w:cs="Arial"/>
                <w:bCs/>
                <w:szCs w:val="14"/>
                <w:lang w:eastAsia="en-US"/>
              </w:rPr>
              <w:t>487</w:t>
            </w:r>
          </w:p>
        </w:tc>
        <w:tc>
          <w:tcPr>
            <w:tcW w:w="1297" w:type="dxa"/>
            <w:shd w:val="clear" w:color="auto" w:fill="auto"/>
          </w:tcPr>
          <w:p w14:paraId="08834131" w14:textId="77777777" w:rsidR="008B7E19" w:rsidRPr="00062947" w:rsidRDefault="008B7E19" w:rsidP="008B7E19">
            <w:pPr>
              <w:pStyle w:val="08-Tabelageral"/>
              <w:ind w:left="113"/>
              <w:rPr>
                <w:rFonts w:cs="Arial"/>
                <w:bCs/>
                <w:szCs w:val="14"/>
              </w:rPr>
            </w:pPr>
            <w:r w:rsidRPr="00FE1988">
              <w:rPr>
                <w:rFonts w:cs="Arial"/>
                <w:bCs/>
                <w:szCs w:val="14"/>
              </w:rPr>
              <w:t>5</w:t>
            </w:r>
            <w:r>
              <w:rPr>
                <w:rFonts w:cs="Arial"/>
                <w:bCs/>
                <w:szCs w:val="14"/>
              </w:rPr>
              <w:t>,</w:t>
            </w:r>
            <w:r w:rsidRPr="00FE1988">
              <w:rPr>
                <w:rFonts w:cs="Arial"/>
                <w:bCs/>
                <w:szCs w:val="14"/>
              </w:rPr>
              <w:t>037</w:t>
            </w:r>
          </w:p>
        </w:tc>
        <w:tc>
          <w:tcPr>
            <w:tcW w:w="1297" w:type="dxa"/>
            <w:shd w:val="clear" w:color="auto" w:fill="auto"/>
          </w:tcPr>
          <w:p w14:paraId="2E68A7FA" w14:textId="77777777" w:rsidR="008B7E19" w:rsidRPr="00062947" w:rsidRDefault="008B7E19" w:rsidP="008B7E19">
            <w:pPr>
              <w:pStyle w:val="08-Tabelageral"/>
              <w:ind w:left="113"/>
              <w:rPr>
                <w:rFonts w:cs="Arial"/>
                <w:bCs/>
                <w:szCs w:val="14"/>
              </w:rPr>
            </w:pPr>
            <w:r w:rsidRPr="00FE1988">
              <w:rPr>
                <w:rFonts w:cs="Arial"/>
                <w:bCs/>
                <w:szCs w:val="14"/>
              </w:rPr>
              <w:t>5</w:t>
            </w:r>
            <w:r>
              <w:rPr>
                <w:rFonts w:cs="Arial"/>
                <w:bCs/>
                <w:szCs w:val="14"/>
              </w:rPr>
              <w:t>,</w:t>
            </w:r>
            <w:r w:rsidRPr="00FE1988">
              <w:rPr>
                <w:rFonts w:cs="Arial"/>
                <w:bCs/>
                <w:szCs w:val="14"/>
              </w:rPr>
              <w:t>438</w:t>
            </w:r>
          </w:p>
        </w:tc>
        <w:tc>
          <w:tcPr>
            <w:tcW w:w="1140" w:type="dxa"/>
            <w:gridSpan w:val="2"/>
            <w:shd w:val="clear" w:color="auto" w:fill="auto"/>
            <w:vAlign w:val="bottom"/>
          </w:tcPr>
          <w:p w14:paraId="0000FDFD" w14:textId="77777777" w:rsidR="008B7E19" w:rsidRPr="00187166" w:rsidRDefault="008B7E19" w:rsidP="008B7E19">
            <w:pPr>
              <w:pStyle w:val="08-Tabelageral"/>
              <w:ind w:left="113"/>
              <w:rPr>
                <w:rFonts w:cs="Arial"/>
                <w:b/>
                <w:szCs w:val="14"/>
              </w:rPr>
            </w:pPr>
            <w:r w:rsidRPr="00C5580B">
              <w:rPr>
                <w:rFonts w:cs="Arial"/>
                <w:bCs/>
                <w:szCs w:val="14"/>
              </w:rPr>
              <w:t>20</w:t>
            </w:r>
            <w:r>
              <w:rPr>
                <w:rFonts w:cs="Arial"/>
                <w:bCs/>
                <w:szCs w:val="14"/>
              </w:rPr>
              <w:t>,</w:t>
            </w:r>
            <w:r w:rsidRPr="00C5580B">
              <w:rPr>
                <w:rFonts w:cs="Arial"/>
                <w:bCs/>
                <w:szCs w:val="14"/>
              </w:rPr>
              <w:t>627</w:t>
            </w:r>
          </w:p>
        </w:tc>
      </w:tr>
      <w:tr w:rsidR="008B7E19" w:rsidRPr="00733251" w14:paraId="47B04636" w14:textId="77777777" w:rsidTr="005B5353">
        <w:trPr>
          <w:trHeight w:val="238"/>
          <w:jc w:val="center"/>
        </w:trPr>
        <w:tc>
          <w:tcPr>
            <w:tcW w:w="2217" w:type="dxa"/>
            <w:shd w:val="clear" w:color="auto" w:fill="auto"/>
          </w:tcPr>
          <w:p w14:paraId="7B03BC2D" w14:textId="77777777" w:rsidR="008B7E19" w:rsidRPr="00E31A92" w:rsidRDefault="008B7E19" w:rsidP="008B7E19">
            <w:pPr>
              <w:pStyle w:val="070-TabelaPadro"/>
              <w:spacing w:line="276" w:lineRule="auto"/>
              <w:ind w:firstLine="318"/>
              <w:jc w:val="left"/>
            </w:pPr>
            <w:r w:rsidRPr="00B4618F">
              <w:t>Shares to Distribute</w:t>
            </w:r>
          </w:p>
        </w:tc>
        <w:tc>
          <w:tcPr>
            <w:tcW w:w="1095" w:type="dxa"/>
            <w:shd w:val="clear" w:color="auto" w:fill="auto"/>
          </w:tcPr>
          <w:p w14:paraId="5956F20C" w14:textId="77777777" w:rsidR="008B7E19" w:rsidRPr="00062947" w:rsidRDefault="008B7E19" w:rsidP="008B7E19">
            <w:pPr>
              <w:pStyle w:val="08-Tabelageral"/>
              <w:ind w:left="113"/>
              <w:rPr>
                <w:rFonts w:cs="Arial"/>
                <w:bCs/>
                <w:szCs w:val="14"/>
              </w:rPr>
            </w:pPr>
            <w:r w:rsidRPr="00B8356C">
              <w:t>March 202</w:t>
            </w:r>
            <w:r>
              <w:t>5</w:t>
            </w:r>
          </w:p>
        </w:tc>
        <w:tc>
          <w:tcPr>
            <w:tcW w:w="1296" w:type="dxa"/>
            <w:shd w:val="clear" w:color="auto" w:fill="auto"/>
          </w:tcPr>
          <w:p w14:paraId="77909F2E" w14:textId="77777777" w:rsidR="008B7E19" w:rsidRPr="00062947" w:rsidRDefault="008B7E19" w:rsidP="008B7E19">
            <w:pPr>
              <w:pStyle w:val="08-Tabelageral"/>
              <w:ind w:left="113"/>
              <w:rPr>
                <w:rFonts w:cs="Arial"/>
                <w:bCs/>
                <w:szCs w:val="14"/>
              </w:rPr>
            </w:pPr>
            <w:r w:rsidRPr="00FE1988">
              <w:rPr>
                <w:rFonts w:cs="Arial"/>
                <w:bCs/>
                <w:szCs w:val="14"/>
                <w:lang w:eastAsia="en-US"/>
              </w:rPr>
              <w:t>--</w:t>
            </w:r>
          </w:p>
        </w:tc>
        <w:tc>
          <w:tcPr>
            <w:tcW w:w="1297" w:type="dxa"/>
            <w:shd w:val="clear" w:color="auto" w:fill="auto"/>
          </w:tcPr>
          <w:p w14:paraId="0237AC57" w14:textId="77777777" w:rsidR="008B7E19" w:rsidRPr="00062947" w:rsidRDefault="008B7E19" w:rsidP="008B7E19">
            <w:pPr>
              <w:pStyle w:val="08-Tabelageral"/>
              <w:ind w:left="113"/>
              <w:rPr>
                <w:rFonts w:cs="Arial"/>
                <w:bCs/>
                <w:szCs w:val="14"/>
              </w:rPr>
            </w:pPr>
            <w:r w:rsidRPr="00FE1988">
              <w:rPr>
                <w:rFonts w:cs="Arial"/>
                <w:bCs/>
                <w:szCs w:val="14"/>
                <w:lang w:eastAsia="en-US"/>
              </w:rPr>
              <w:t>4</w:t>
            </w:r>
            <w:r>
              <w:rPr>
                <w:rFonts w:cs="Arial"/>
                <w:bCs/>
                <w:szCs w:val="14"/>
                <w:lang w:eastAsia="en-US"/>
              </w:rPr>
              <w:t>,</w:t>
            </w:r>
            <w:r w:rsidRPr="00FE1988">
              <w:rPr>
                <w:rFonts w:cs="Arial"/>
                <w:bCs/>
                <w:szCs w:val="14"/>
                <w:lang w:eastAsia="en-US"/>
              </w:rPr>
              <w:t>487</w:t>
            </w:r>
          </w:p>
        </w:tc>
        <w:tc>
          <w:tcPr>
            <w:tcW w:w="1297" w:type="dxa"/>
            <w:shd w:val="clear" w:color="auto" w:fill="auto"/>
          </w:tcPr>
          <w:p w14:paraId="2CDB2633" w14:textId="77777777" w:rsidR="008B7E19" w:rsidRPr="00062947" w:rsidRDefault="008B7E19" w:rsidP="008B7E19">
            <w:pPr>
              <w:pStyle w:val="08-Tabelageral"/>
              <w:ind w:left="113"/>
              <w:rPr>
                <w:rFonts w:cs="Arial"/>
                <w:bCs/>
                <w:szCs w:val="14"/>
              </w:rPr>
            </w:pPr>
            <w:r w:rsidRPr="00FE1988">
              <w:rPr>
                <w:rFonts w:cs="Arial"/>
                <w:bCs/>
                <w:szCs w:val="14"/>
              </w:rPr>
              <w:t>5</w:t>
            </w:r>
            <w:r>
              <w:rPr>
                <w:rFonts w:cs="Arial"/>
                <w:bCs/>
                <w:szCs w:val="14"/>
              </w:rPr>
              <w:t>,</w:t>
            </w:r>
            <w:r w:rsidRPr="00FE1988">
              <w:rPr>
                <w:rFonts w:cs="Arial"/>
                <w:bCs/>
                <w:szCs w:val="14"/>
              </w:rPr>
              <w:t>037</w:t>
            </w:r>
          </w:p>
        </w:tc>
        <w:tc>
          <w:tcPr>
            <w:tcW w:w="1297" w:type="dxa"/>
            <w:shd w:val="clear" w:color="auto" w:fill="auto"/>
          </w:tcPr>
          <w:p w14:paraId="6E554CE4" w14:textId="77777777" w:rsidR="008B7E19" w:rsidRPr="00062947" w:rsidRDefault="008B7E19" w:rsidP="008B7E19">
            <w:pPr>
              <w:pStyle w:val="08-Tabelageral"/>
              <w:ind w:left="113"/>
              <w:rPr>
                <w:rFonts w:cs="Arial"/>
                <w:bCs/>
                <w:szCs w:val="14"/>
              </w:rPr>
            </w:pPr>
            <w:r w:rsidRPr="00FE1988">
              <w:rPr>
                <w:rFonts w:cs="Arial"/>
                <w:bCs/>
                <w:szCs w:val="14"/>
              </w:rPr>
              <w:t>5</w:t>
            </w:r>
            <w:r>
              <w:rPr>
                <w:rFonts w:cs="Arial"/>
                <w:bCs/>
                <w:szCs w:val="14"/>
              </w:rPr>
              <w:t>,</w:t>
            </w:r>
            <w:r w:rsidRPr="00FE1988">
              <w:rPr>
                <w:rFonts w:cs="Arial"/>
                <w:bCs/>
                <w:szCs w:val="14"/>
              </w:rPr>
              <w:t>438</w:t>
            </w:r>
          </w:p>
        </w:tc>
        <w:tc>
          <w:tcPr>
            <w:tcW w:w="1140" w:type="dxa"/>
            <w:gridSpan w:val="2"/>
            <w:shd w:val="clear" w:color="auto" w:fill="auto"/>
            <w:vAlign w:val="bottom"/>
          </w:tcPr>
          <w:p w14:paraId="5973B9EB" w14:textId="77777777" w:rsidR="008B7E19" w:rsidRPr="00187166" w:rsidRDefault="008B7E19" w:rsidP="008B7E19">
            <w:pPr>
              <w:pStyle w:val="08-Tabelageral"/>
              <w:ind w:left="113"/>
              <w:rPr>
                <w:rFonts w:cs="Arial"/>
                <w:b/>
                <w:szCs w:val="14"/>
              </w:rPr>
            </w:pPr>
            <w:r w:rsidRPr="00C5580B">
              <w:rPr>
                <w:rFonts w:cs="Arial"/>
                <w:bCs/>
                <w:szCs w:val="14"/>
              </w:rPr>
              <w:t>14</w:t>
            </w:r>
            <w:r>
              <w:rPr>
                <w:rFonts w:cs="Arial"/>
                <w:bCs/>
                <w:szCs w:val="14"/>
              </w:rPr>
              <w:t>,</w:t>
            </w:r>
            <w:r w:rsidRPr="00C5580B">
              <w:rPr>
                <w:rFonts w:cs="Arial"/>
                <w:bCs/>
                <w:szCs w:val="14"/>
              </w:rPr>
              <w:t>962</w:t>
            </w:r>
          </w:p>
        </w:tc>
      </w:tr>
      <w:tr w:rsidR="008B7E19" w:rsidRPr="00733251" w14:paraId="31EA7C63" w14:textId="77777777" w:rsidTr="005B5353">
        <w:trPr>
          <w:trHeight w:val="238"/>
          <w:jc w:val="center"/>
        </w:trPr>
        <w:tc>
          <w:tcPr>
            <w:tcW w:w="2217" w:type="dxa"/>
            <w:shd w:val="clear" w:color="auto" w:fill="auto"/>
          </w:tcPr>
          <w:p w14:paraId="5082574A" w14:textId="77777777" w:rsidR="008B7E19" w:rsidRPr="00E31A92" w:rsidRDefault="008B7E19" w:rsidP="008B7E19">
            <w:pPr>
              <w:pStyle w:val="070-TabelaPadro"/>
              <w:spacing w:line="276" w:lineRule="auto"/>
              <w:ind w:firstLine="318"/>
              <w:jc w:val="left"/>
              <w:rPr>
                <w:b/>
              </w:rPr>
            </w:pPr>
            <w:r w:rsidRPr="00B4618F">
              <w:t>Shares to Distribute</w:t>
            </w:r>
          </w:p>
        </w:tc>
        <w:tc>
          <w:tcPr>
            <w:tcW w:w="1095" w:type="dxa"/>
            <w:shd w:val="clear" w:color="auto" w:fill="auto"/>
          </w:tcPr>
          <w:p w14:paraId="335B8B46" w14:textId="77777777" w:rsidR="008B7E19" w:rsidRPr="00062947" w:rsidRDefault="008B7E19" w:rsidP="008B7E19">
            <w:pPr>
              <w:pStyle w:val="08-Tabelageral"/>
              <w:ind w:left="113"/>
              <w:rPr>
                <w:rFonts w:cs="Arial"/>
                <w:bCs/>
                <w:szCs w:val="14"/>
              </w:rPr>
            </w:pPr>
            <w:r w:rsidRPr="00B8356C">
              <w:t>March 202</w:t>
            </w:r>
            <w:r>
              <w:t>6</w:t>
            </w:r>
          </w:p>
        </w:tc>
        <w:tc>
          <w:tcPr>
            <w:tcW w:w="1296" w:type="dxa"/>
            <w:shd w:val="clear" w:color="auto" w:fill="auto"/>
          </w:tcPr>
          <w:p w14:paraId="59FACAA7" w14:textId="77777777" w:rsidR="008B7E19" w:rsidRPr="00062947" w:rsidRDefault="008B7E19" w:rsidP="008B7E19">
            <w:pPr>
              <w:pStyle w:val="08-Tabelageral"/>
              <w:ind w:left="113"/>
              <w:rPr>
                <w:rFonts w:cs="Arial"/>
                <w:bCs/>
                <w:szCs w:val="14"/>
              </w:rPr>
            </w:pPr>
            <w:r w:rsidRPr="00FE1988">
              <w:rPr>
                <w:rFonts w:cs="Arial"/>
                <w:bCs/>
                <w:szCs w:val="14"/>
                <w:lang w:eastAsia="en-US"/>
              </w:rPr>
              <w:t>--</w:t>
            </w:r>
          </w:p>
        </w:tc>
        <w:tc>
          <w:tcPr>
            <w:tcW w:w="1297" w:type="dxa"/>
            <w:shd w:val="clear" w:color="auto" w:fill="auto"/>
          </w:tcPr>
          <w:p w14:paraId="053D5ACA" w14:textId="77777777" w:rsidR="008B7E19" w:rsidRPr="00062947" w:rsidRDefault="008B7E19" w:rsidP="008B7E19">
            <w:pPr>
              <w:pStyle w:val="08-Tabelageral"/>
              <w:ind w:left="113"/>
              <w:rPr>
                <w:rFonts w:cs="Arial"/>
                <w:bCs/>
                <w:szCs w:val="14"/>
              </w:rPr>
            </w:pPr>
            <w:r w:rsidRPr="00FE1988">
              <w:rPr>
                <w:rFonts w:cs="Arial"/>
                <w:bCs/>
                <w:szCs w:val="14"/>
                <w:lang w:eastAsia="en-US"/>
              </w:rPr>
              <w:t>--</w:t>
            </w:r>
          </w:p>
        </w:tc>
        <w:tc>
          <w:tcPr>
            <w:tcW w:w="1297" w:type="dxa"/>
            <w:shd w:val="clear" w:color="auto" w:fill="auto"/>
          </w:tcPr>
          <w:p w14:paraId="1DD09D00" w14:textId="77777777" w:rsidR="008B7E19" w:rsidRPr="00062947" w:rsidRDefault="008B7E19" w:rsidP="008B7E19">
            <w:pPr>
              <w:pStyle w:val="08-Tabelageral"/>
              <w:ind w:left="113"/>
              <w:rPr>
                <w:rFonts w:cs="Arial"/>
                <w:bCs/>
                <w:szCs w:val="14"/>
              </w:rPr>
            </w:pPr>
            <w:r w:rsidRPr="00FE1988">
              <w:rPr>
                <w:rFonts w:cs="Arial"/>
                <w:szCs w:val="14"/>
              </w:rPr>
              <w:t>5</w:t>
            </w:r>
            <w:r>
              <w:rPr>
                <w:rFonts w:cs="Arial"/>
                <w:szCs w:val="14"/>
              </w:rPr>
              <w:t>,</w:t>
            </w:r>
            <w:r w:rsidRPr="00FE1988">
              <w:rPr>
                <w:rFonts w:cs="Arial"/>
                <w:szCs w:val="14"/>
              </w:rPr>
              <w:t>037</w:t>
            </w:r>
          </w:p>
        </w:tc>
        <w:tc>
          <w:tcPr>
            <w:tcW w:w="1297" w:type="dxa"/>
            <w:shd w:val="clear" w:color="auto" w:fill="auto"/>
          </w:tcPr>
          <w:p w14:paraId="6723C384" w14:textId="77777777" w:rsidR="008B7E19" w:rsidRPr="00062947" w:rsidRDefault="008B7E19" w:rsidP="008B7E19">
            <w:pPr>
              <w:pStyle w:val="08-Tabelageral"/>
              <w:ind w:left="113"/>
              <w:rPr>
                <w:rFonts w:cs="Arial"/>
                <w:bCs/>
                <w:szCs w:val="14"/>
              </w:rPr>
            </w:pPr>
            <w:r w:rsidRPr="00FE1988">
              <w:rPr>
                <w:rFonts w:cs="Arial"/>
                <w:bCs/>
                <w:szCs w:val="14"/>
              </w:rPr>
              <w:t>5</w:t>
            </w:r>
            <w:r>
              <w:rPr>
                <w:rFonts w:cs="Arial"/>
                <w:bCs/>
                <w:szCs w:val="14"/>
              </w:rPr>
              <w:t>,</w:t>
            </w:r>
            <w:r w:rsidRPr="00FE1988">
              <w:rPr>
                <w:rFonts w:cs="Arial"/>
                <w:bCs/>
                <w:szCs w:val="14"/>
              </w:rPr>
              <w:t>438</w:t>
            </w:r>
          </w:p>
        </w:tc>
        <w:tc>
          <w:tcPr>
            <w:tcW w:w="1140" w:type="dxa"/>
            <w:gridSpan w:val="2"/>
            <w:shd w:val="clear" w:color="auto" w:fill="auto"/>
            <w:vAlign w:val="bottom"/>
          </w:tcPr>
          <w:p w14:paraId="621099D5" w14:textId="77777777" w:rsidR="008B7E19" w:rsidRPr="00187166" w:rsidRDefault="008B7E19" w:rsidP="008B7E19">
            <w:pPr>
              <w:pStyle w:val="08-Tabelageral"/>
              <w:ind w:left="113"/>
              <w:rPr>
                <w:rFonts w:cs="Arial"/>
                <w:b/>
                <w:szCs w:val="14"/>
              </w:rPr>
            </w:pPr>
            <w:r w:rsidRPr="00C5580B">
              <w:rPr>
                <w:rFonts w:cs="Arial"/>
                <w:bCs/>
                <w:szCs w:val="14"/>
              </w:rPr>
              <w:t>10</w:t>
            </w:r>
            <w:r>
              <w:rPr>
                <w:rFonts w:cs="Arial"/>
                <w:bCs/>
                <w:szCs w:val="14"/>
              </w:rPr>
              <w:t>,</w:t>
            </w:r>
            <w:r w:rsidRPr="00C5580B">
              <w:rPr>
                <w:rFonts w:cs="Arial"/>
                <w:bCs/>
                <w:szCs w:val="14"/>
              </w:rPr>
              <w:t>475</w:t>
            </w:r>
          </w:p>
        </w:tc>
      </w:tr>
      <w:tr w:rsidR="008B7E19" w:rsidRPr="00733251" w14:paraId="197E1575" w14:textId="77777777" w:rsidTr="005B5353">
        <w:trPr>
          <w:trHeight w:val="238"/>
          <w:jc w:val="center"/>
        </w:trPr>
        <w:tc>
          <w:tcPr>
            <w:tcW w:w="2217" w:type="dxa"/>
            <w:tcBorders>
              <w:bottom w:val="nil"/>
            </w:tcBorders>
            <w:shd w:val="clear" w:color="auto" w:fill="auto"/>
          </w:tcPr>
          <w:p w14:paraId="0BB2AD0C" w14:textId="77777777" w:rsidR="008B7E19" w:rsidRPr="00E31A92" w:rsidRDefault="008B7E19" w:rsidP="008B7E19">
            <w:pPr>
              <w:pStyle w:val="070-TabelaPadro"/>
              <w:spacing w:line="276" w:lineRule="auto"/>
              <w:ind w:firstLine="318"/>
              <w:jc w:val="left"/>
              <w:rPr>
                <w:b/>
              </w:rPr>
            </w:pPr>
            <w:r w:rsidRPr="00B4618F">
              <w:t>Shares to Distribute</w:t>
            </w:r>
          </w:p>
        </w:tc>
        <w:tc>
          <w:tcPr>
            <w:tcW w:w="1095" w:type="dxa"/>
            <w:tcBorders>
              <w:bottom w:val="nil"/>
            </w:tcBorders>
            <w:shd w:val="clear" w:color="auto" w:fill="auto"/>
          </w:tcPr>
          <w:p w14:paraId="60A558FC" w14:textId="77777777" w:rsidR="008B7E19" w:rsidRPr="00062947" w:rsidRDefault="008B7E19" w:rsidP="008B7E19">
            <w:pPr>
              <w:pStyle w:val="08-Tabelageral"/>
              <w:ind w:left="113"/>
              <w:rPr>
                <w:rFonts w:cs="Arial"/>
                <w:bCs/>
                <w:szCs w:val="14"/>
              </w:rPr>
            </w:pPr>
            <w:r w:rsidRPr="00B8356C">
              <w:t>March 202</w:t>
            </w:r>
            <w:r>
              <w:t>7</w:t>
            </w:r>
          </w:p>
        </w:tc>
        <w:tc>
          <w:tcPr>
            <w:tcW w:w="1296" w:type="dxa"/>
            <w:tcBorders>
              <w:bottom w:val="nil"/>
            </w:tcBorders>
            <w:shd w:val="clear" w:color="auto" w:fill="auto"/>
          </w:tcPr>
          <w:p w14:paraId="42539B28" w14:textId="77777777" w:rsidR="008B7E19" w:rsidRPr="00062947" w:rsidRDefault="008B7E19" w:rsidP="008B7E19">
            <w:pPr>
              <w:pStyle w:val="08-Tabelageral"/>
              <w:ind w:left="113"/>
              <w:rPr>
                <w:rFonts w:cs="Arial"/>
                <w:bCs/>
                <w:szCs w:val="14"/>
              </w:rPr>
            </w:pPr>
            <w:r w:rsidRPr="00FE1988">
              <w:rPr>
                <w:rFonts w:cs="Arial"/>
                <w:bCs/>
                <w:szCs w:val="14"/>
                <w:lang w:eastAsia="en-US"/>
              </w:rPr>
              <w:t>--</w:t>
            </w:r>
          </w:p>
        </w:tc>
        <w:tc>
          <w:tcPr>
            <w:tcW w:w="1297" w:type="dxa"/>
            <w:tcBorders>
              <w:bottom w:val="nil"/>
            </w:tcBorders>
            <w:shd w:val="clear" w:color="auto" w:fill="auto"/>
          </w:tcPr>
          <w:p w14:paraId="1C741EAE" w14:textId="77777777" w:rsidR="008B7E19" w:rsidRPr="00062947" w:rsidRDefault="008B7E19" w:rsidP="008B7E19">
            <w:pPr>
              <w:pStyle w:val="08-Tabelageral"/>
              <w:ind w:left="113"/>
              <w:rPr>
                <w:rFonts w:cs="Arial"/>
                <w:bCs/>
                <w:szCs w:val="14"/>
              </w:rPr>
            </w:pPr>
            <w:r w:rsidRPr="00FE1988">
              <w:rPr>
                <w:rFonts w:cs="Arial"/>
                <w:bCs/>
                <w:szCs w:val="14"/>
                <w:lang w:eastAsia="en-US"/>
              </w:rPr>
              <w:t>--</w:t>
            </w:r>
          </w:p>
        </w:tc>
        <w:tc>
          <w:tcPr>
            <w:tcW w:w="1297" w:type="dxa"/>
            <w:tcBorders>
              <w:bottom w:val="nil"/>
            </w:tcBorders>
            <w:shd w:val="clear" w:color="auto" w:fill="auto"/>
          </w:tcPr>
          <w:p w14:paraId="2DC9C830" w14:textId="77777777" w:rsidR="008B7E19" w:rsidRPr="00062947" w:rsidRDefault="008B7E19" w:rsidP="008B7E19">
            <w:pPr>
              <w:pStyle w:val="08-Tabelageral"/>
              <w:ind w:left="113"/>
              <w:rPr>
                <w:rFonts w:cs="Arial"/>
                <w:bCs/>
                <w:szCs w:val="14"/>
              </w:rPr>
            </w:pPr>
            <w:r w:rsidRPr="00FE1988">
              <w:rPr>
                <w:rFonts w:cs="Arial"/>
                <w:bCs/>
                <w:szCs w:val="14"/>
                <w:lang w:eastAsia="en-US"/>
              </w:rPr>
              <w:t>--</w:t>
            </w:r>
          </w:p>
        </w:tc>
        <w:tc>
          <w:tcPr>
            <w:tcW w:w="1297" w:type="dxa"/>
            <w:tcBorders>
              <w:bottom w:val="nil"/>
            </w:tcBorders>
            <w:shd w:val="clear" w:color="auto" w:fill="auto"/>
          </w:tcPr>
          <w:p w14:paraId="31119E26" w14:textId="77777777" w:rsidR="008B7E19" w:rsidRPr="00062947" w:rsidRDefault="008B7E19" w:rsidP="008B7E19">
            <w:pPr>
              <w:pStyle w:val="08-Tabelageral"/>
              <w:ind w:left="113"/>
              <w:rPr>
                <w:rFonts w:cs="Arial"/>
                <w:bCs/>
                <w:szCs w:val="14"/>
              </w:rPr>
            </w:pPr>
            <w:r w:rsidRPr="00FE1988">
              <w:rPr>
                <w:rFonts w:cs="Arial"/>
                <w:bCs/>
                <w:szCs w:val="14"/>
              </w:rPr>
              <w:t>5</w:t>
            </w:r>
            <w:r>
              <w:rPr>
                <w:rFonts w:cs="Arial"/>
                <w:bCs/>
                <w:szCs w:val="14"/>
              </w:rPr>
              <w:t>,</w:t>
            </w:r>
            <w:r w:rsidRPr="00FE1988">
              <w:rPr>
                <w:rFonts w:cs="Arial"/>
                <w:bCs/>
                <w:szCs w:val="14"/>
              </w:rPr>
              <w:t>438</w:t>
            </w:r>
          </w:p>
        </w:tc>
        <w:tc>
          <w:tcPr>
            <w:tcW w:w="1140" w:type="dxa"/>
            <w:gridSpan w:val="2"/>
            <w:tcBorders>
              <w:bottom w:val="nil"/>
            </w:tcBorders>
            <w:shd w:val="clear" w:color="auto" w:fill="auto"/>
            <w:vAlign w:val="bottom"/>
          </w:tcPr>
          <w:p w14:paraId="0BECE0F0" w14:textId="77777777" w:rsidR="008B7E19" w:rsidRPr="00187166" w:rsidRDefault="008B7E19" w:rsidP="008B7E19">
            <w:pPr>
              <w:pStyle w:val="08-Tabelageral"/>
              <w:ind w:left="113"/>
              <w:rPr>
                <w:rFonts w:cs="Arial"/>
                <w:b/>
                <w:szCs w:val="14"/>
              </w:rPr>
            </w:pPr>
            <w:r w:rsidRPr="00C5580B">
              <w:rPr>
                <w:rFonts w:cs="Arial"/>
                <w:bCs/>
                <w:szCs w:val="14"/>
              </w:rPr>
              <w:t>5</w:t>
            </w:r>
            <w:r>
              <w:rPr>
                <w:rFonts w:cs="Arial"/>
                <w:bCs/>
                <w:szCs w:val="14"/>
              </w:rPr>
              <w:t>,</w:t>
            </w:r>
            <w:r w:rsidRPr="00C5580B">
              <w:rPr>
                <w:rFonts w:cs="Arial"/>
                <w:bCs/>
                <w:szCs w:val="14"/>
              </w:rPr>
              <w:t>438</w:t>
            </w:r>
          </w:p>
        </w:tc>
      </w:tr>
      <w:tr w:rsidR="008B7E19" w:rsidRPr="00733251" w14:paraId="403CE652" w14:textId="77777777" w:rsidTr="005B5353">
        <w:trPr>
          <w:trHeight w:val="238"/>
          <w:jc w:val="center"/>
        </w:trPr>
        <w:tc>
          <w:tcPr>
            <w:tcW w:w="2217" w:type="dxa"/>
            <w:tcBorders>
              <w:top w:val="nil"/>
              <w:bottom w:val="single" w:sz="2" w:space="0" w:color="1F4E79" w:themeColor="accent1" w:themeShade="80"/>
            </w:tcBorders>
            <w:shd w:val="clear" w:color="auto" w:fill="auto"/>
          </w:tcPr>
          <w:p w14:paraId="1509DACF" w14:textId="77777777" w:rsidR="008B7E19" w:rsidRPr="00E2299D" w:rsidRDefault="008B7E19" w:rsidP="008B7E19">
            <w:pPr>
              <w:pStyle w:val="070-TabelaPadro"/>
              <w:spacing w:line="276" w:lineRule="auto"/>
              <w:jc w:val="left"/>
              <w:rPr>
                <w:b/>
                <w:bCs/>
                <w:lang w:val="en-US"/>
              </w:rPr>
            </w:pPr>
            <w:r w:rsidRPr="00E2299D">
              <w:rPr>
                <w:b/>
                <w:bCs/>
                <w:lang w:val="en-US"/>
              </w:rPr>
              <w:t>Total shares to be distributed</w:t>
            </w:r>
          </w:p>
        </w:tc>
        <w:tc>
          <w:tcPr>
            <w:tcW w:w="1095" w:type="dxa"/>
            <w:tcBorders>
              <w:top w:val="nil"/>
              <w:bottom w:val="single" w:sz="2" w:space="0" w:color="1F4E79" w:themeColor="accent1" w:themeShade="80"/>
            </w:tcBorders>
            <w:shd w:val="clear" w:color="auto" w:fill="auto"/>
          </w:tcPr>
          <w:p w14:paraId="361BFE9B" w14:textId="77777777" w:rsidR="008B7E19" w:rsidRPr="00E2299D" w:rsidRDefault="008B7E19" w:rsidP="008B7E19">
            <w:pPr>
              <w:pStyle w:val="08-Tabelageral"/>
              <w:ind w:left="113"/>
              <w:rPr>
                <w:rFonts w:cs="Arial"/>
                <w:b/>
                <w:szCs w:val="14"/>
                <w:lang w:val="en-US"/>
              </w:rPr>
            </w:pPr>
          </w:p>
        </w:tc>
        <w:tc>
          <w:tcPr>
            <w:tcW w:w="1296" w:type="dxa"/>
            <w:tcBorders>
              <w:top w:val="nil"/>
              <w:bottom w:val="single" w:sz="2" w:space="0" w:color="1F4E79" w:themeColor="accent1" w:themeShade="80"/>
            </w:tcBorders>
            <w:shd w:val="clear" w:color="auto" w:fill="auto"/>
          </w:tcPr>
          <w:p w14:paraId="6B035E1E" w14:textId="77777777" w:rsidR="008B7E19" w:rsidRPr="00090360" w:rsidRDefault="008B7E19" w:rsidP="008B7E19">
            <w:pPr>
              <w:pStyle w:val="08-Tabelageral"/>
              <w:ind w:left="113"/>
              <w:rPr>
                <w:rFonts w:cs="Arial"/>
                <w:b/>
                <w:szCs w:val="14"/>
              </w:rPr>
            </w:pPr>
            <w:r w:rsidRPr="00FE1988">
              <w:rPr>
                <w:rFonts w:cs="Arial"/>
                <w:b/>
                <w:szCs w:val="14"/>
              </w:rPr>
              <w:t>5</w:t>
            </w:r>
            <w:r>
              <w:rPr>
                <w:rFonts w:cs="Arial"/>
                <w:b/>
                <w:szCs w:val="14"/>
              </w:rPr>
              <w:t>,</w:t>
            </w:r>
            <w:r w:rsidRPr="00FE1988">
              <w:rPr>
                <w:rFonts w:cs="Arial"/>
                <w:b/>
                <w:szCs w:val="14"/>
              </w:rPr>
              <w:t>665</w:t>
            </w:r>
          </w:p>
        </w:tc>
        <w:tc>
          <w:tcPr>
            <w:tcW w:w="1297" w:type="dxa"/>
            <w:tcBorders>
              <w:top w:val="nil"/>
              <w:bottom w:val="single" w:sz="2" w:space="0" w:color="1F4E79" w:themeColor="accent1" w:themeShade="80"/>
            </w:tcBorders>
            <w:shd w:val="clear" w:color="auto" w:fill="auto"/>
          </w:tcPr>
          <w:p w14:paraId="7B3E8E9E" w14:textId="77777777" w:rsidR="008B7E19" w:rsidRPr="00090360" w:rsidRDefault="008B7E19" w:rsidP="008B7E19">
            <w:pPr>
              <w:pStyle w:val="08-Tabelageral"/>
              <w:ind w:left="113"/>
              <w:rPr>
                <w:rFonts w:cs="Arial"/>
                <w:b/>
                <w:szCs w:val="14"/>
              </w:rPr>
            </w:pPr>
            <w:r w:rsidRPr="00FE1988">
              <w:rPr>
                <w:rFonts w:cs="Arial"/>
                <w:b/>
                <w:szCs w:val="14"/>
              </w:rPr>
              <w:t>8</w:t>
            </w:r>
            <w:r>
              <w:rPr>
                <w:rFonts w:cs="Arial"/>
                <w:b/>
                <w:szCs w:val="14"/>
              </w:rPr>
              <w:t>,</w:t>
            </w:r>
            <w:r w:rsidRPr="00FE1988">
              <w:rPr>
                <w:rFonts w:cs="Arial"/>
                <w:b/>
                <w:szCs w:val="14"/>
              </w:rPr>
              <w:t>974</w:t>
            </w:r>
          </w:p>
        </w:tc>
        <w:tc>
          <w:tcPr>
            <w:tcW w:w="1297" w:type="dxa"/>
            <w:tcBorders>
              <w:top w:val="nil"/>
              <w:bottom w:val="single" w:sz="2" w:space="0" w:color="1F4E79" w:themeColor="accent1" w:themeShade="80"/>
            </w:tcBorders>
            <w:shd w:val="clear" w:color="auto" w:fill="auto"/>
          </w:tcPr>
          <w:p w14:paraId="29F24EFE" w14:textId="77777777" w:rsidR="008B7E19" w:rsidRPr="00090360" w:rsidRDefault="008B7E19" w:rsidP="008B7E19">
            <w:pPr>
              <w:pStyle w:val="08-Tabelageral"/>
              <w:ind w:left="113"/>
              <w:rPr>
                <w:rFonts w:cs="Arial"/>
                <w:b/>
                <w:szCs w:val="14"/>
              </w:rPr>
            </w:pPr>
            <w:r w:rsidRPr="00FE1988">
              <w:rPr>
                <w:rFonts w:cs="Arial"/>
                <w:b/>
                <w:szCs w:val="14"/>
              </w:rPr>
              <w:t>15</w:t>
            </w:r>
            <w:r>
              <w:rPr>
                <w:rFonts w:cs="Arial"/>
                <w:b/>
                <w:szCs w:val="14"/>
              </w:rPr>
              <w:t>,</w:t>
            </w:r>
            <w:r w:rsidRPr="00FE1988">
              <w:rPr>
                <w:rFonts w:cs="Arial"/>
                <w:b/>
                <w:szCs w:val="14"/>
              </w:rPr>
              <w:t>111</w:t>
            </w:r>
          </w:p>
        </w:tc>
        <w:tc>
          <w:tcPr>
            <w:tcW w:w="1297" w:type="dxa"/>
            <w:tcBorders>
              <w:top w:val="nil"/>
              <w:bottom w:val="single" w:sz="2" w:space="0" w:color="1F4E79" w:themeColor="accent1" w:themeShade="80"/>
            </w:tcBorders>
            <w:shd w:val="clear" w:color="auto" w:fill="auto"/>
          </w:tcPr>
          <w:p w14:paraId="4FCD2909" w14:textId="77777777" w:rsidR="008B7E19" w:rsidRPr="00090360" w:rsidRDefault="008B7E19" w:rsidP="008B7E19">
            <w:pPr>
              <w:pStyle w:val="08-Tabelageral"/>
              <w:ind w:left="113"/>
              <w:rPr>
                <w:rFonts w:cs="Arial"/>
                <w:b/>
                <w:szCs w:val="14"/>
              </w:rPr>
            </w:pPr>
            <w:r w:rsidRPr="00FE1988">
              <w:rPr>
                <w:rFonts w:cs="Arial"/>
                <w:b/>
                <w:szCs w:val="14"/>
              </w:rPr>
              <w:t>21</w:t>
            </w:r>
            <w:r>
              <w:rPr>
                <w:rFonts w:cs="Arial"/>
                <w:b/>
                <w:szCs w:val="14"/>
              </w:rPr>
              <w:t>,</w:t>
            </w:r>
            <w:r w:rsidRPr="00FE1988">
              <w:rPr>
                <w:rFonts w:cs="Arial"/>
                <w:b/>
                <w:szCs w:val="14"/>
              </w:rPr>
              <w:t>752</w:t>
            </w:r>
          </w:p>
        </w:tc>
        <w:tc>
          <w:tcPr>
            <w:tcW w:w="1140" w:type="dxa"/>
            <w:gridSpan w:val="2"/>
            <w:tcBorders>
              <w:top w:val="nil"/>
              <w:bottom w:val="single" w:sz="2" w:space="0" w:color="1F4E79" w:themeColor="accent1" w:themeShade="80"/>
            </w:tcBorders>
            <w:shd w:val="clear" w:color="auto" w:fill="auto"/>
          </w:tcPr>
          <w:p w14:paraId="0CAC120B" w14:textId="77777777" w:rsidR="008B7E19" w:rsidRPr="00187166" w:rsidRDefault="008B7E19" w:rsidP="008B7E19">
            <w:pPr>
              <w:pStyle w:val="08-Tabelageral"/>
              <w:ind w:left="113"/>
              <w:rPr>
                <w:rFonts w:cs="Arial"/>
                <w:b/>
                <w:szCs w:val="14"/>
              </w:rPr>
            </w:pPr>
            <w:r>
              <w:rPr>
                <w:rFonts w:cs="Arial"/>
                <w:b/>
                <w:szCs w:val="14"/>
              </w:rPr>
              <w:t>51,502</w:t>
            </w:r>
          </w:p>
        </w:tc>
      </w:tr>
    </w:tbl>
    <w:p w14:paraId="7B5CA5B6" w14:textId="77777777" w:rsidR="008B7E19" w:rsidRPr="008C592B" w:rsidRDefault="008B7E19" w:rsidP="008B7E19">
      <w:pPr>
        <w:pStyle w:val="04-TtuloNegrito"/>
        <w:rPr>
          <w:color w:val="1F4E79" w:themeColor="accent1" w:themeShade="80"/>
          <w:sz w:val="18"/>
          <w:szCs w:val="18"/>
        </w:rPr>
      </w:pPr>
      <w:r w:rsidRPr="008C592B">
        <w:rPr>
          <w:color w:val="1F4E79" w:themeColor="accent1" w:themeShade="80"/>
          <w:sz w:val="18"/>
          <w:szCs w:val="18"/>
        </w:rPr>
        <w:t xml:space="preserve">g.2) </w:t>
      </w:r>
      <w:r w:rsidRPr="008C592B">
        <w:rPr>
          <w:color w:val="1F4E79" w:themeColor="accent1" w:themeShade="80"/>
          <w:sz w:val="18"/>
          <w:szCs w:val="18"/>
          <w:lang w:val="en-US"/>
        </w:rPr>
        <w:t>Repurcharse Program</w:t>
      </w:r>
    </w:p>
    <w:p w14:paraId="2C4E33B9" w14:textId="77777777" w:rsidR="008B7E19" w:rsidRPr="00874D6A" w:rsidRDefault="008B7E19" w:rsidP="008B7E19">
      <w:pPr>
        <w:pStyle w:val="01-Textonormal"/>
        <w:rPr>
          <w:lang w:val="en-US"/>
        </w:rPr>
      </w:pPr>
      <w:r w:rsidRPr="00874D6A">
        <w:rPr>
          <w:lang w:val="en-US"/>
        </w:rPr>
        <w:t>On October 15, 2015, the Board of Directors approved the Buyback Program for up to 10,000,000 shares issued by the company to be held in treasury and subsequently sold or cancelled. The term was up to 365 days from the approval date, in line with the limit stipulated by CVM Instruction 567. The Buyback Program ended on 10.14.2016 and 3,360,000 shares were acquired in the amount of R$ 82,201 thousand, with a minimum, average and maximum cost per share of R$</w:t>
      </w:r>
      <w:r>
        <w:rPr>
          <w:lang w:val="en-US"/>
        </w:rPr>
        <w:t xml:space="preserve"> </w:t>
      </w:r>
      <w:r w:rsidRPr="00874D6A">
        <w:rPr>
          <w:lang w:val="en-US"/>
        </w:rPr>
        <w:t>21.09, R$</w:t>
      </w:r>
      <w:r>
        <w:rPr>
          <w:lang w:val="en-US"/>
        </w:rPr>
        <w:t xml:space="preserve"> </w:t>
      </w:r>
      <w:r w:rsidRPr="00874D6A">
        <w:rPr>
          <w:lang w:val="en-US"/>
        </w:rPr>
        <w:t>24.46 and R$</w:t>
      </w:r>
      <w:r>
        <w:rPr>
          <w:lang w:val="en-US"/>
        </w:rPr>
        <w:t xml:space="preserve"> </w:t>
      </w:r>
      <w:r w:rsidRPr="00874D6A">
        <w:rPr>
          <w:lang w:val="en-US"/>
        </w:rPr>
        <w:t>27.76, respectively. The following programs did not carry out share buybacks, and the last Buybac</w:t>
      </w:r>
      <w:r>
        <w:rPr>
          <w:lang w:val="en-US"/>
        </w:rPr>
        <w:t>k Program ended on October 31, 2019.</w:t>
      </w:r>
    </w:p>
    <w:p w14:paraId="4F231CBE" w14:textId="77777777" w:rsidR="008B7E19" w:rsidRPr="00E2299D" w:rsidRDefault="008B7E19" w:rsidP="008B7E19">
      <w:pPr>
        <w:pStyle w:val="01-Textonormal"/>
        <w:rPr>
          <w:b/>
          <w:color w:val="1F4E79" w:themeColor="accent1" w:themeShade="80"/>
          <w:lang w:val="en-US"/>
        </w:rPr>
      </w:pPr>
      <w:r w:rsidRPr="00E2299D">
        <w:rPr>
          <w:b/>
          <w:color w:val="1F4E79" w:themeColor="accent1" w:themeShade="80"/>
          <w:lang w:val="en-US"/>
        </w:rPr>
        <w:t>g.3) Employee Reward</w:t>
      </w:r>
      <w:r>
        <w:rPr>
          <w:b/>
          <w:color w:val="1F4E79" w:themeColor="accent1" w:themeShade="80"/>
          <w:lang w:val="en-US"/>
        </w:rPr>
        <w:t>s</w:t>
      </w:r>
      <w:r w:rsidRPr="00E2299D">
        <w:rPr>
          <w:b/>
          <w:color w:val="1F4E79" w:themeColor="accent1" w:themeShade="80"/>
          <w:lang w:val="en-US"/>
        </w:rPr>
        <w:t xml:space="preserve"> Program</w:t>
      </w:r>
    </w:p>
    <w:p w14:paraId="11128B61" w14:textId="77777777" w:rsidR="008B7E19" w:rsidRPr="008F0257" w:rsidRDefault="008B7E19" w:rsidP="008B7E19">
      <w:pPr>
        <w:pStyle w:val="01-Textonormal"/>
        <w:rPr>
          <w:lang w:val="en-US"/>
        </w:rPr>
      </w:pPr>
      <w:r w:rsidRPr="008F0257">
        <w:rPr>
          <w:lang w:val="en-US"/>
        </w:rPr>
        <w:t>On December 18, 2019, the Board of Directors approved the Employee Reward</w:t>
      </w:r>
      <w:r>
        <w:rPr>
          <w:lang w:val="en-US"/>
        </w:rPr>
        <w:t>s</w:t>
      </w:r>
      <w:r w:rsidRPr="008F0257">
        <w:rPr>
          <w:lang w:val="en-US"/>
        </w:rPr>
        <w:t xml:space="preserve"> Program, which aims to recognize BB Seguros employees in non-statutory positions, with outstanding performance in the Development and Career Committee. Considering the new wording of § 4 of art. 457 of the CLT, amended by Law No. 13,467/2017, the program is classified as an award and there is no incidence of labor and social security charges.</w:t>
      </w:r>
    </w:p>
    <w:p w14:paraId="0F79C05D" w14:textId="77777777" w:rsidR="008B7E19" w:rsidRPr="008F0257" w:rsidRDefault="008B7E19" w:rsidP="008B7E19">
      <w:pPr>
        <w:pStyle w:val="01-Textonormal"/>
        <w:rPr>
          <w:lang w:val="en-US"/>
        </w:rPr>
      </w:pPr>
      <w:r w:rsidRPr="008F0257">
        <w:rPr>
          <w:lang w:val="en-US"/>
        </w:rPr>
        <w:t>On October 28, 2022, the Board of Directors approved an update to the program rules, which maintained the same objective and the same legal framework.</w:t>
      </w:r>
    </w:p>
    <w:p w14:paraId="4CD56522" w14:textId="77777777" w:rsidR="008B7E19" w:rsidRDefault="008B7E19" w:rsidP="008B7E19">
      <w:pPr>
        <w:pStyle w:val="01-Textonormal"/>
        <w:rPr>
          <w:lang w:val="en-US"/>
        </w:rPr>
      </w:pPr>
      <w:r w:rsidRPr="008F0257">
        <w:rPr>
          <w:lang w:val="en-US"/>
        </w:rPr>
        <w:t>The activation of the program occurs annually and is conditioned to the achievement of the score defined in the work agreement defined by the company. The target audience is limited to a maximum of 40% of employees per position, in the case of managerial or equivalent functions, and per position and per board, in the case of technical functions. The criteria for choosing employees involves the assessment of technical and behavioral skills, achievement of goals and management style. The award is credited 100% (one hundred percent) in cash, after due payment of Income Tax, in a single installment, within 30 days after the results of the Development and Career Commission are published.</w:t>
      </w:r>
    </w:p>
    <w:p w14:paraId="3195AFC8" w14:textId="77777777" w:rsidR="008B7E19" w:rsidRPr="00F55DD0" w:rsidRDefault="008B7E19" w:rsidP="008B7E19">
      <w:pPr>
        <w:pStyle w:val="01-Textonormal"/>
        <w:rPr>
          <w:rFonts w:cs="Arial"/>
          <w:b/>
          <w:color w:val="1F4E79" w:themeColor="accent1" w:themeShade="80"/>
        </w:rPr>
      </w:pPr>
      <w:r w:rsidRPr="00F55DD0">
        <w:rPr>
          <w:b/>
          <w:color w:val="1F4E79" w:themeColor="accent1" w:themeShade="80"/>
        </w:rPr>
        <w:t xml:space="preserve">g.4) Number of Treasury Shares </w:t>
      </w:r>
    </w:p>
    <w:tbl>
      <w:tblPr>
        <w:tblStyle w:val="TabeladeLista6Colorida-nfase5"/>
        <w:tblW w:w="9639" w:type="dxa"/>
        <w:jc w:val="center"/>
        <w:tblLook w:val="04A0" w:firstRow="1" w:lastRow="0" w:firstColumn="1" w:lastColumn="0" w:noHBand="0" w:noVBand="1"/>
      </w:tblPr>
      <w:tblGrid>
        <w:gridCol w:w="7088"/>
        <w:gridCol w:w="1276"/>
        <w:gridCol w:w="1275"/>
      </w:tblGrid>
      <w:tr w:rsidR="008B7E19" w14:paraId="2D0F55A0" w14:textId="77777777" w:rsidTr="005B5353">
        <w:trPr>
          <w:cnfStyle w:val="100000000000" w:firstRow="1" w:lastRow="0" w:firstColumn="0" w:lastColumn="0" w:oddVBand="0" w:evenVBand="0" w:oddHBand="0" w:evenHBand="0" w:firstRowFirstColumn="0" w:firstRowLastColumn="0" w:lastRowFirstColumn="0" w:lastRowLastColumn="0"/>
          <w:trHeight w:hRule="exact" w:val="283"/>
          <w:jc w:val="center"/>
        </w:trPr>
        <w:tc>
          <w:tcPr>
            <w:cnfStyle w:val="001000000000" w:firstRow="0" w:lastRow="0" w:firstColumn="1" w:lastColumn="0" w:oddVBand="0" w:evenVBand="0" w:oddHBand="0" w:evenHBand="0" w:firstRowFirstColumn="0" w:firstRowLastColumn="0" w:lastRowFirstColumn="0" w:lastRowLastColumn="0"/>
            <w:tcW w:w="7088" w:type="dxa"/>
            <w:vMerge w:val="restart"/>
            <w:tcBorders>
              <w:top w:val="single" w:sz="2" w:space="0" w:color="1F4E79" w:themeColor="accent1" w:themeShade="80"/>
            </w:tcBorders>
            <w:shd w:val="clear" w:color="auto" w:fill="auto"/>
            <w:vAlign w:val="center"/>
          </w:tcPr>
          <w:p w14:paraId="56854ABF" w14:textId="77777777" w:rsidR="008B7E19" w:rsidRPr="00F22E66" w:rsidRDefault="008B7E19" w:rsidP="008B7E19">
            <w:pPr>
              <w:rPr>
                <w:rFonts w:cs="Arial"/>
                <w:b w:val="0"/>
                <w:sz w:val="14"/>
                <w:szCs w:val="14"/>
              </w:rPr>
            </w:pPr>
            <w:r>
              <w:rPr>
                <w:rFonts w:cs="Arial"/>
                <w:kern w:val="2"/>
                <w:sz w:val="14"/>
                <w:szCs w:val="14"/>
              </w:rPr>
              <w:t>D</w:t>
            </w:r>
            <w:r w:rsidRPr="00746120">
              <w:rPr>
                <w:rFonts w:cs="Arial"/>
                <w:kern w:val="2"/>
                <w:sz w:val="14"/>
                <w:szCs w:val="14"/>
              </w:rPr>
              <w:t>escription</w:t>
            </w:r>
          </w:p>
        </w:tc>
        <w:tc>
          <w:tcPr>
            <w:tcW w:w="2551" w:type="dxa"/>
            <w:gridSpan w:val="2"/>
            <w:tcBorders>
              <w:top w:val="single" w:sz="2" w:space="0" w:color="1F4E79" w:themeColor="accent1" w:themeShade="80"/>
              <w:bottom w:val="single" w:sz="2" w:space="0" w:color="1F4E79" w:themeColor="accent1" w:themeShade="80"/>
            </w:tcBorders>
            <w:shd w:val="clear" w:color="auto" w:fill="auto"/>
            <w:vAlign w:val="center"/>
          </w:tcPr>
          <w:p w14:paraId="529158FA" w14:textId="77777777" w:rsidR="008B7E19" w:rsidRPr="0038031F" w:rsidRDefault="008B7E19" w:rsidP="008B7E19">
            <w:pPr>
              <w:jc w:val="center"/>
              <w:cnfStyle w:val="100000000000" w:firstRow="1" w:lastRow="0" w:firstColumn="0" w:lastColumn="0" w:oddVBand="0" w:evenVBand="0" w:oddHBand="0" w:evenHBand="0" w:firstRowFirstColumn="0" w:firstRowLastColumn="0" w:lastRowFirstColumn="0" w:lastRowLastColumn="0"/>
              <w:rPr>
                <w:rFonts w:cs="Arial"/>
                <w:szCs w:val="18"/>
              </w:rPr>
            </w:pPr>
            <w:r w:rsidRPr="00BE198A">
              <w:rPr>
                <w:rFonts w:cs="Arial"/>
                <w:sz w:val="14"/>
                <w:szCs w:val="14"/>
                <w:lang w:val="en-US"/>
              </w:rPr>
              <w:t>Parent and Consolidated</w:t>
            </w:r>
          </w:p>
        </w:tc>
      </w:tr>
      <w:tr w:rsidR="008B7E19" w:rsidRPr="001D6BE8" w14:paraId="4C5C2A82" w14:textId="77777777" w:rsidTr="005B5353">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7088" w:type="dxa"/>
            <w:vMerge/>
            <w:tcBorders>
              <w:bottom w:val="single" w:sz="2" w:space="0" w:color="1F4E79" w:themeColor="accent1" w:themeShade="80"/>
            </w:tcBorders>
            <w:shd w:val="clear" w:color="auto" w:fill="auto"/>
          </w:tcPr>
          <w:p w14:paraId="405496B1" w14:textId="77777777" w:rsidR="008B7E19" w:rsidRPr="001D6BE8" w:rsidRDefault="008B7E19" w:rsidP="008B7E19">
            <w:pPr>
              <w:pStyle w:val="08-Tabelageral"/>
              <w:rPr>
                <w:rFonts w:cs="Arial"/>
                <w:b w:val="0"/>
              </w:rPr>
            </w:pPr>
          </w:p>
        </w:tc>
        <w:tc>
          <w:tcPr>
            <w:tcW w:w="1276" w:type="dxa"/>
            <w:tcBorders>
              <w:top w:val="single" w:sz="2" w:space="0" w:color="1F4E79" w:themeColor="accent1" w:themeShade="80"/>
              <w:bottom w:val="single" w:sz="2" w:space="0" w:color="1F4E79" w:themeColor="accent1" w:themeShade="80"/>
            </w:tcBorders>
            <w:shd w:val="clear" w:color="auto" w:fill="auto"/>
            <w:vAlign w:val="center"/>
          </w:tcPr>
          <w:p w14:paraId="0825EDA7" w14:textId="77777777" w:rsidR="008B7E19" w:rsidRPr="001D6BE8"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b/>
              </w:rPr>
            </w:pPr>
            <w:r>
              <w:rPr>
                <w:rFonts w:cs="Arial"/>
                <w:b/>
              </w:rPr>
              <w:t xml:space="preserve"> June 30, 2023</w:t>
            </w:r>
          </w:p>
        </w:tc>
        <w:tc>
          <w:tcPr>
            <w:tcW w:w="1275" w:type="dxa"/>
            <w:tcBorders>
              <w:top w:val="single" w:sz="2" w:space="0" w:color="1F4E79" w:themeColor="accent1" w:themeShade="80"/>
              <w:bottom w:val="single" w:sz="2" w:space="0" w:color="1F4E79" w:themeColor="accent1" w:themeShade="80"/>
            </w:tcBorders>
            <w:shd w:val="clear" w:color="auto" w:fill="auto"/>
            <w:vAlign w:val="center"/>
          </w:tcPr>
          <w:p w14:paraId="321AE1FB" w14:textId="77777777" w:rsidR="008B7E19" w:rsidRPr="00B253DA"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b/>
                <w:bCs/>
              </w:rPr>
            </w:pPr>
            <w:r>
              <w:rPr>
                <w:rFonts w:cs="Arial"/>
                <w:b/>
              </w:rPr>
              <w:t>Dec 31, 2022</w:t>
            </w:r>
          </w:p>
        </w:tc>
      </w:tr>
      <w:tr w:rsidR="008B7E19" w:rsidRPr="002F79A6" w14:paraId="5A7E59BC" w14:textId="77777777" w:rsidTr="005B5353">
        <w:trPr>
          <w:trHeight w:hRule="exact" w:val="238"/>
          <w:jc w:val="center"/>
        </w:trPr>
        <w:tc>
          <w:tcPr>
            <w:cnfStyle w:val="001000000000" w:firstRow="0" w:lastRow="0" w:firstColumn="1" w:lastColumn="0" w:oddVBand="0" w:evenVBand="0" w:oddHBand="0" w:evenHBand="0" w:firstRowFirstColumn="0" w:firstRowLastColumn="0" w:lastRowFirstColumn="0" w:lastRowLastColumn="0"/>
            <w:tcW w:w="7088" w:type="dxa"/>
            <w:tcBorders>
              <w:top w:val="single" w:sz="2" w:space="0" w:color="1F4E79" w:themeColor="accent1" w:themeShade="80"/>
              <w:bottom w:val="nil"/>
            </w:tcBorders>
            <w:shd w:val="clear" w:color="auto" w:fill="auto"/>
          </w:tcPr>
          <w:p w14:paraId="06D78C48" w14:textId="77777777" w:rsidR="008B7E19" w:rsidRPr="004B332C" w:rsidRDefault="008B7E19" w:rsidP="008B7E19">
            <w:pPr>
              <w:pStyle w:val="08-Tabelageral"/>
              <w:tabs>
                <w:tab w:val="left" w:pos="264"/>
              </w:tabs>
              <w:ind w:firstLine="318"/>
              <w:jc w:val="left"/>
              <w:rPr>
                <w:rFonts w:cs="Arial"/>
                <w:b w:val="0"/>
                <w:bCs w:val="0"/>
                <w:color w:val="auto"/>
                <w:szCs w:val="14"/>
              </w:rPr>
            </w:pPr>
            <w:r w:rsidRPr="004B332C">
              <w:rPr>
                <w:rFonts w:cs="Arial"/>
                <w:b w:val="0"/>
                <w:bCs w:val="0"/>
                <w:color w:val="auto"/>
                <w:szCs w:val="14"/>
              </w:rPr>
              <w:t>Variable Wage Program</w:t>
            </w:r>
          </w:p>
        </w:tc>
        <w:tc>
          <w:tcPr>
            <w:tcW w:w="1276" w:type="dxa"/>
            <w:tcBorders>
              <w:top w:val="single" w:sz="2" w:space="0" w:color="1F4E79" w:themeColor="accent1" w:themeShade="80"/>
              <w:bottom w:val="nil"/>
            </w:tcBorders>
            <w:shd w:val="clear" w:color="auto" w:fill="auto"/>
          </w:tcPr>
          <w:p w14:paraId="162D4B79" w14:textId="77777777" w:rsidR="008B7E19" w:rsidRPr="007569D3" w:rsidRDefault="008B7E19" w:rsidP="008B7E19">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rPr>
            </w:pPr>
            <w:r>
              <w:rPr>
                <w:rFonts w:cs="Arial"/>
                <w:szCs w:val="14"/>
              </w:rPr>
              <w:t>51,502</w:t>
            </w:r>
          </w:p>
        </w:tc>
        <w:tc>
          <w:tcPr>
            <w:tcW w:w="1275" w:type="dxa"/>
            <w:tcBorders>
              <w:top w:val="single" w:sz="2" w:space="0" w:color="1F4E79" w:themeColor="accent1" w:themeShade="80"/>
              <w:bottom w:val="nil"/>
            </w:tcBorders>
            <w:shd w:val="clear" w:color="auto" w:fill="auto"/>
          </w:tcPr>
          <w:p w14:paraId="62B525F7" w14:textId="77777777" w:rsidR="008B7E19" w:rsidRPr="00324C24" w:rsidRDefault="008B7E19" w:rsidP="008B7E19">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rPr>
            </w:pPr>
            <w:r w:rsidRPr="00EF515A">
              <w:rPr>
                <w:rFonts w:cs="Arial"/>
                <w:szCs w:val="14"/>
              </w:rPr>
              <w:t>48</w:t>
            </w:r>
            <w:r>
              <w:rPr>
                <w:rFonts w:cs="Arial"/>
                <w:szCs w:val="14"/>
              </w:rPr>
              <w:t>,</w:t>
            </w:r>
            <w:r w:rsidRPr="00EF515A">
              <w:rPr>
                <w:rFonts w:cs="Arial"/>
                <w:szCs w:val="14"/>
              </w:rPr>
              <w:t>215</w:t>
            </w:r>
          </w:p>
        </w:tc>
      </w:tr>
      <w:tr w:rsidR="008B7E19" w:rsidRPr="002F79A6" w14:paraId="79EC8BDF" w14:textId="77777777" w:rsidTr="005B5353">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7088" w:type="dxa"/>
            <w:tcBorders>
              <w:top w:val="nil"/>
              <w:bottom w:val="nil"/>
            </w:tcBorders>
            <w:shd w:val="clear" w:color="auto" w:fill="auto"/>
          </w:tcPr>
          <w:p w14:paraId="3C455571" w14:textId="77777777" w:rsidR="008B7E19" w:rsidRPr="004B332C" w:rsidRDefault="008B7E19" w:rsidP="008B7E19">
            <w:pPr>
              <w:pStyle w:val="08-Tabelageral"/>
              <w:tabs>
                <w:tab w:val="left" w:pos="264"/>
                <w:tab w:val="left" w:pos="1936"/>
              </w:tabs>
              <w:ind w:firstLine="318"/>
              <w:jc w:val="left"/>
              <w:rPr>
                <w:rFonts w:cs="Arial"/>
                <w:b w:val="0"/>
                <w:bCs w:val="0"/>
                <w:color w:val="auto"/>
                <w:szCs w:val="14"/>
              </w:rPr>
            </w:pPr>
            <w:r w:rsidRPr="004B332C">
              <w:rPr>
                <w:rFonts w:cs="Arial"/>
                <w:b w:val="0"/>
                <w:bCs w:val="0"/>
                <w:color w:val="auto"/>
                <w:szCs w:val="14"/>
              </w:rPr>
              <w:t>Repurcharse Program</w:t>
            </w:r>
            <w:r>
              <w:rPr>
                <w:rFonts w:cs="Arial"/>
                <w:b w:val="0"/>
                <w:bCs w:val="0"/>
                <w:color w:val="auto"/>
                <w:szCs w:val="14"/>
              </w:rPr>
              <w:t xml:space="preserve"> </w:t>
            </w:r>
            <w:r w:rsidRPr="00A96722">
              <w:rPr>
                <w:rFonts w:cs="Arial"/>
                <w:b w:val="0"/>
                <w:bCs w:val="0"/>
                <w:color w:val="auto"/>
                <w:sz w:val="12"/>
                <w:szCs w:val="12"/>
                <w:vertAlign w:val="superscript"/>
              </w:rPr>
              <w:t>(1)</w:t>
            </w:r>
            <w:r>
              <w:rPr>
                <w:rFonts w:cs="Arial"/>
                <w:b w:val="0"/>
                <w:bCs w:val="0"/>
                <w:color w:val="auto"/>
                <w:szCs w:val="14"/>
              </w:rPr>
              <w:tab/>
            </w:r>
          </w:p>
        </w:tc>
        <w:tc>
          <w:tcPr>
            <w:tcW w:w="1276" w:type="dxa"/>
            <w:tcBorders>
              <w:top w:val="nil"/>
              <w:bottom w:val="nil"/>
            </w:tcBorders>
            <w:shd w:val="clear" w:color="auto" w:fill="auto"/>
          </w:tcPr>
          <w:p w14:paraId="4AEBA937" w14:textId="77777777" w:rsidR="008B7E19" w:rsidRPr="007569D3" w:rsidRDefault="008B7E19" w:rsidP="008B7E19">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r w:rsidRPr="00347D22">
              <w:rPr>
                <w:rFonts w:cs="Arial"/>
                <w:szCs w:val="14"/>
              </w:rPr>
              <w:t>3</w:t>
            </w:r>
            <w:r>
              <w:rPr>
                <w:rFonts w:cs="Arial"/>
                <w:szCs w:val="14"/>
              </w:rPr>
              <w:t>,</w:t>
            </w:r>
            <w:r w:rsidRPr="00347D22">
              <w:rPr>
                <w:rFonts w:cs="Arial"/>
                <w:szCs w:val="14"/>
              </w:rPr>
              <w:t>197</w:t>
            </w:r>
            <w:r>
              <w:rPr>
                <w:rFonts w:cs="Arial"/>
                <w:szCs w:val="14"/>
              </w:rPr>
              <w:t>,</w:t>
            </w:r>
            <w:r w:rsidRPr="00347D22">
              <w:rPr>
                <w:rFonts w:cs="Arial"/>
                <w:szCs w:val="14"/>
              </w:rPr>
              <w:t>730</w:t>
            </w:r>
          </w:p>
        </w:tc>
        <w:tc>
          <w:tcPr>
            <w:tcW w:w="1275" w:type="dxa"/>
            <w:tcBorders>
              <w:top w:val="nil"/>
              <w:bottom w:val="nil"/>
            </w:tcBorders>
            <w:shd w:val="clear" w:color="auto" w:fill="auto"/>
          </w:tcPr>
          <w:p w14:paraId="4DC782AA" w14:textId="77777777" w:rsidR="008B7E19" w:rsidRPr="00324C24" w:rsidRDefault="008B7E19" w:rsidP="008B7E19">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r w:rsidRPr="00EF515A">
              <w:rPr>
                <w:rFonts w:cs="Arial"/>
                <w:szCs w:val="14"/>
              </w:rPr>
              <w:t>3</w:t>
            </w:r>
            <w:r>
              <w:rPr>
                <w:rFonts w:cs="Arial"/>
                <w:szCs w:val="14"/>
              </w:rPr>
              <w:t>,</w:t>
            </w:r>
            <w:r w:rsidRPr="00EF515A">
              <w:rPr>
                <w:rFonts w:cs="Arial"/>
                <w:szCs w:val="14"/>
              </w:rPr>
              <w:t>225</w:t>
            </w:r>
            <w:r>
              <w:rPr>
                <w:rFonts w:cs="Arial"/>
                <w:szCs w:val="14"/>
              </w:rPr>
              <w:t>,</w:t>
            </w:r>
            <w:r w:rsidRPr="00EF515A">
              <w:rPr>
                <w:rFonts w:cs="Arial"/>
                <w:szCs w:val="14"/>
              </w:rPr>
              <w:t>352</w:t>
            </w:r>
          </w:p>
        </w:tc>
      </w:tr>
      <w:tr w:rsidR="008B7E19" w:rsidRPr="00F139E2" w14:paraId="04DF9F18" w14:textId="77777777" w:rsidTr="005B5353">
        <w:trPr>
          <w:trHeight w:hRule="exact" w:val="238"/>
          <w:jc w:val="center"/>
        </w:trPr>
        <w:tc>
          <w:tcPr>
            <w:cnfStyle w:val="001000000000" w:firstRow="0" w:lastRow="0" w:firstColumn="1" w:lastColumn="0" w:oddVBand="0" w:evenVBand="0" w:oddHBand="0" w:evenHBand="0" w:firstRowFirstColumn="0" w:firstRowLastColumn="0" w:lastRowFirstColumn="0" w:lastRowLastColumn="0"/>
            <w:tcW w:w="7088" w:type="dxa"/>
            <w:tcBorders>
              <w:top w:val="nil"/>
              <w:bottom w:val="single" w:sz="2" w:space="0" w:color="1F4E79" w:themeColor="accent1" w:themeShade="80"/>
            </w:tcBorders>
            <w:shd w:val="clear" w:color="auto" w:fill="auto"/>
          </w:tcPr>
          <w:p w14:paraId="02BEDB3C" w14:textId="77777777" w:rsidR="008B7E19" w:rsidRPr="00F139E2" w:rsidRDefault="008B7E19" w:rsidP="008B7E19">
            <w:pPr>
              <w:pStyle w:val="08-Tabelageral"/>
              <w:jc w:val="left"/>
              <w:rPr>
                <w:rFonts w:cs="Arial"/>
                <w:color w:val="auto"/>
                <w:szCs w:val="14"/>
              </w:rPr>
            </w:pPr>
            <w:r w:rsidRPr="00F139E2">
              <w:rPr>
                <w:rFonts w:cs="Arial"/>
                <w:color w:val="auto"/>
                <w:szCs w:val="14"/>
              </w:rPr>
              <w:t>Total</w:t>
            </w:r>
          </w:p>
        </w:tc>
        <w:tc>
          <w:tcPr>
            <w:tcW w:w="1276" w:type="dxa"/>
            <w:tcBorders>
              <w:top w:val="nil"/>
              <w:bottom w:val="single" w:sz="2" w:space="0" w:color="1F4E79" w:themeColor="accent1" w:themeShade="80"/>
            </w:tcBorders>
            <w:shd w:val="clear" w:color="auto" w:fill="auto"/>
          </w:tcPr>
          <w:p w14:paraId="6EED2B97" w14:textId="77777777" w:rsidR="008B7E19" w:rsidRPr="00F139E2" w:rsidRDefault="008B7E19" w:rsidP="008B7E19">
            <w:pPr>
              <w:pStyle w:val="08-Tabelageral"/>
              <w:ind w:left="113"/>
              <w:cnfStyle w:val="000000000000" w:firstRow="0" w:lastRow="0" w:firstColumn="0" w:lastColumn="0" w:oddVBand="0" w:evenVBand="0" w:oddHBand="0" w:evenHBand="0" w:firstRowFirstColumn="0" w:firstRowLastColumn="0" w:lastRowFirstColumn="0" w:lastRowLastColumn="0"/>
              <w:rPr>
                <w:rFonts w:cs="Arial"/>
                <w:b/>
                <w:bCs/>
                <w:szCs w:val="14"/>
              </w:rPr>
            </w:pPr>
            <w:r w:rsidRPr="00141D57">
              <w:rPr>
                <w:rFonts w:cs="Arial"/>
                <w:b/>
                <w:szCs w:val="14"/>
              </w:rPr>
              <w:t>3</w:t>
            </w:r>
            <w:r>
              <w:rPr>
                <w:rFonts w:cs="Arial"/>
                <w:b/>
                <w:szCs w:val="14"/>
              </w:rPr>
              <w:t>,</w:t>
            </w:r>
            <w:r w:rsidRPr="00141D57">
              <w:rPr>
                <w:rFonts w:cs="Arial"/>
                <w:b/>
                <w:szCs w:val="14"/>
              </w:rPr>
              <w:t>249</w:t>
            </w:r>
            <w:r>
              <w:rPr>
                <w:rFonts w:cs="Arial"/>
                <w:b/>
                <w:szCs w:val="14"/>
              </w:rPr>
              <w:t>,232</w:t>
            </w:r>
          </w:p>
        </w:tc>
        <w:tc>
          <w:tcPr>
            <w:tcW w:w="1275" w:type="dxa"/>
            <w:tcBorders>
              <w:top w:val="nil"/>
              <w:bottom w:val="single" w:sz="2" w:space="0" w:color="1F4E79" w:themeColor="accent1" w:themeShade="80"/>
            </w:tcBorders>
            <w:shd w:val="clear" w:color="auto" w:fill="auto"/>
          </w:tcPr>
          <w:p w14:paraId="1BAE32CD" w14:textId="77777777" w:rsidR="008B7E19" w:rsidRPr="00F139E2" w:rsidRDefault="008B7E19" w:rsidP="008B7E19">
            <w:pPr>
              <w:pStyle w:val="08-Tabelageral"/>
              <w:ind w:left="113"/>
              <w:cnfStyle w:val="000000000000" w:firstRow="0" w:lastRow="0" w:firstColumn="0" w:lastColumn="0" w:oddVBand="0" w:evenVBand="0" w:oddHBand="0" w:evenHBand="0" w:firstRowFirstColumn="0" w:firstRowLastColumn="0" w:lastRowFirstColumn="0" w:lastRowLastColumn="0"/>
              <w:rPr>
                <w:rFonts w:cs="Arial"/>
                <w:b/>
                <w:bCs/>
                <w:szCs w:val="14"/>
              </w:rPr>
            </w:pPr>
            <w:r w:rsidRPr="00EF515A">
              <w:rPr>
                <w:rFonts w:cs="Arial"/>
                <w:b/>
                <w:szCs w:val="14"/>
              </w:rPr>
              <w:t>3</w:t>
            </w:r>
            <w:r>
              <w:rPr>
                <w:rFonts w:cs="Arial"/>
                <w:b/>
                <w:szCs w:val="14"/>
              </w:rPr>
              <w:t>,</w:t>
            </w:r>
            <w:r w:rsidRPr="00EF515A">
              <w:rPr>
                <w:rFonts w:cs="Arial"/>
                <w:b/>
                <w:szCs w:val="14"/>
              </w:rPr>
              <w:t>273</w:t>
            </w:r>
            <w:r>
              <w:rPr>
                <w:rFonts w:cs="Arial"/>
                <w:b/>
                <w:szCs w:val="14"/>
              </w:rPr>
              <w:t>,</w:t>
            </w:r>
            <w:r w:rsidRPr="00EF515A">
              <w:rPr>
                <w:rFonts w:cs="Arial"/>
                <w:b/>
                <w:szCs w:val="14"/>
              </w:rPr>
              <w:t>567</w:t>
            </w:r>
          </w:p>
        </w:tc>
      </w:tr>
    </w:tbl>
    <w:p w14:paraId="11E70D2D" w14:textId="77777777" w:rsidR="008B7E19" w:rsidRPr="009C3118" w:rsidRDefault="008B7E19" w:rsidP="008B7E19">
      <w:pPr>
        <w:pStyle w:val="04-TtuloNegrito"/>
        <w:keepNext/>
        <w:rPr>
          <w:b w:val="0"/>
          <w:sz w:val="14"/>
          <w:szCs w:val="18"/>
          <w:lang w:val="en-US"/>
        </w:rPr>
      </w:pPr>
      <w:r w:rsidRPr="009C3118">
        <w:rPr>
          <w:b w:val="0"/>
          <w:sz w:val="14"/>
          <w:szCs w:val="18"/>
          <w:lang w:val="en-US"/>
        </w:rPr>
        <w:t>(1) The variation in the balance in the interval results from the transfer of 27,622 shares from the Buyback Program to the Variable Compensation Program for Directors.</w:t>
      </w:r>
    </w:p>
    <w:p w14:paraId="67F12653" w14:textId="77777777" w:rsidR="008B7E19" w:rsidRPr="00F42C27" w:rsidRDefault="008B7E19" w:rsidP="008B7E19">
      <w:pPr>
        <w:pStyle w:val="04-TtuloNegrito"/>
        <w:keepNext/>
        <w:rPr>
          <w:b w:val="0"/>
          <w:sz w:val="18"/>
          <w:szCs w:val="18"/>
          <w:lang w:val="en-US"/>
        </w:rPr>
      </w:pPr>
      <w:r w:rsidRPr="00F42C27">
        <w:rPr>
          <w:b w:val="0"/>
          <w:sz w:val="18"/>
          <w:szCs w:val="18"/>
          <w:lang w:val="en-US"/>
        </w:rPr>
        <w:t xml:space="preserve">The cost value of treasury </w:t>
      </w:r>
      <w:r w:rsidRPr="00AB50BA">
        <w:rPr>
          <w:b w:val="0"/>
          <w:sz w:val="18"/>
          <w:szCs w:val="18"/>
          <w:lang w:val="en-US"/>
        </w:rPr>
        <w:t xml:space="preserve">shares is R$ </w:t>
      </w:r>
      <w:r>
        <w:rPr>
          <w:b w:val="0"/>
          <w:sz w:val="18"/>
          <w:szCs w:val="18"/>
          <w:lang w:val="en-US"/>
        </w:rPr>
        <w:t>79</w:t>
      </w:r>
      <w:r w:rsidRPr="00E2299D">
        <w:rPr>
          <w:b w:val="0"/>
          <w:bCs/>
          <w:sz w:val="18"/>
          <w:szCs w:val="18"/>
          <w:lang w:val="en-US"/>
        </w:rPr>
        <w:t>,</w:t>
      </w:r>
      <w:r>
        <w:rPr>
          <w:b w:val="0"/>
          <w:bCs/>
          <w:sz w:val="18"/>
          <w:szCs w:val="18"/>
          <w:lang w:val="en-US"/>
        </w:rPr>
        <w:t>758</w:t>
      </w:r>
      <w:r w:rsidRPr="00E2299D">
        <w:rPr>
          <w:b w:val="0"/>
          <w:bCs/>
          <w:sz w:val="18"/>
          <w:szCs w:val="18"/>
          <w:lang w:val="en-US"/>
        </w:rPr>
        <w:t xml:space="preserve"> </w:t>
      </w:r>
      <w:r w:rsidRPr="00AB50BA">
        <w:rPr>
          <w:b w:val="0"/>
          <w:sz w:val="18"/>
          <w:szCs w:val="18"/>
          <w:lang w:val="en-US"/>
        </w:rPr>
        <w:t>thousand and the exchange price</w:t>
      </w:r>
      <w:r w:rsidRPr="00F42C27">
        <w:rPr>
          <w:b w:val="0"/>
          <w:sz w:val="18"/>
          <w:szCs w:val="18"/>
          <w:lang w:val="en-US"/>
        </w:rPr>
        <w:t xml:space="preserve"> on </w:t>
      </w:r>
      <w:r>
        <w:rPr>
          <w:b w:val="0"/>
          <w:sz w:val="18"/>
          <w:szCs w:val="18"/>
          <w:lang w:val="en-US"/>
        </w:rPr>
        <w:t xml:space="preserve">Jun </w:t>
      </w:r>
      <w:r w:rsidRPr="00F42C27">
        <w:rPr>
          <w:b w:val="0"/>
          <w:sz w:val="18"/>
          <w:szCs w:val="18"/>
          <w:lang w:val="en-US"/>
        </w:rPr>
        <w:t>3</w:t>
      </w:r>
      <w:r>
        <w:rPr>
          <w:b w:val="0"/>
          <w:sz w:val="18"/>
          <w:szCs w:val="18"/>
          <w:lang w:val="en-US"/>
        </w:rPr>
        <w:t xml:space="preserve">0, </w:t>
      </w:r>
      <w:r w:rsidRPr="00F42C27">
        <w:rPr>
          <w:b w:val="0"/>
          <w:sz w:val="18"/>
          <w:szCs w:val="18"/>
          <w:lang w:val="en-US"/>
        </w:rPr>
        <w:t>20</w:t>
      </w:r>
      <w:r>
        <w:rPr>
          <w:b w:val="0"/>
          <w:sz w:val="18"/>
          <w:szCs w:val="18"/>
          <w:lang w:val="en-US"/>
        </w:rPr>
        <w:t>23</w:t>
      </w:r>
      <w:r w:rsidRPr="00F42C27">
        <w:rPr>
          <w:b w:val="0"/>
          <w:sz w:val="18"/>
          <w:szCs w:val="18"/>
          <w:lang w:val="en-US"/>
        </w:rPr>
        <w:t xml:space="preserve"> is R$ </w:t>
      </w:r>
      <w:r>
        <w:rPr>
          <w:b w:val="0"/>
          <w:sz w:val="18"/>
          <w:szCs w:val="18"/>
          <w:lang w:val="en-US"/>
        </w:rPr>
        <w:t>99,979</w:t>
      </w:r>
      <w:r w:rsidRPr="00E2299D">
        <w:rPr>
          <w:sz w:val="18"/>
          <w:szCs w:val="18"/>
          <w:lang w:val="en-US"/>
        </w:rPr>
        <w:t xml:space="preserve"> </w:t>
      </w:r>
      <w:r w:rsidRPr="00F42C27">
        <w:rPr>
          <w:b w:val="0"/>
          <w:sz w:val="18"/>
          <w:szCs w:val="18"/>
          <w:lang w:val="en-US"/>
        </w:rPr>
        <w:t>thousand.</w:t>
      </w:r>
    </w:p>
    <w:p w14:paraId="3A1E0D7A" w14:textId="3BFF8422" w:rsidR="00433C02" w:rsidRPr="00433C02" w:rsidRDefault="00433C02" w:rsidP="008B7E19">
      <w:pPr>
        <w:pStyle w:val="02-TtulodeNota"/>
      </w:pPr>
    </w:p>
    <w:p w14:paraId="21226069" w14:textId="5DBD2349" w:rsidR="008B7E19" w:rsidRPr="00BD3712" w:rsidRDefault="008B7E19" w:rsidP="008B7E19">
      <w:pPr>
        <w:pStyle w:val="Ttulo1"/>
        <w:rPr>
          <w:b w:val="0"/>
          <w:bCs w:val="0"/>
        </w:rPr>
      </w:pPr>
      <w:bookmarkStart w:id="62" w:name="_Toc141966704"/>
      <w:r w:rsidRPr="00BD3712">
        <w:t>26 – RELATED PARTY TRANSACTIONS</w:t>
      </w:r>
      <w:bookmarkEnd w:id="62"/>
    </w:p>
    <w:p w14:paraId="3ED96832" w14:textId="77777777" w:rsidR="008B7E19" w:rsidRPr="00D311AA" w:rsidRDefault="008B7E19" w:rsidP="008B7E19">
      <w:pPr>
        <w:pStyle w:val="05-Textonormal"/>
      </w:pPr>
      <w:r w:rsidRPr="00D311AA">
        <w:t>BB Seguridade and its subsidiaries have an agreement with Banco do Brasil S</w:t>
      </w:r>
      <w:r>
        <w:t>.</w:t>
      </w:r>
      <w:r w:rsidRPr="00D311AA">
        <w:t>A</w:t>
      </w:r>
      <w:r>
        <w:t xml:space="preserve">., </w:t>
      </w:r>
      <w:r w:rsidRPr="00CA0C3C">
        <w:t xml:space="preserve">signed on </w:t>
      </w:r>
      <w:r>
        <w:t>Jan 09, 2013</w:t>
      </w:r>
      <w:r w:rsidRPr="00CA0C3C">
        <w:t>, for a period of 20 years</w:t>
      </w:r>
      <w:r>
        <w:t>,</w:t>
      </w:r>
      <w:r w:rsidRPr="00D311AA">
        <w:t xml:space="preserve"> for apportionment and/or reimbursement of expenses and direct and indirect costs resulting from the use of the staff, material, technological and administrative resources necessary to maintain the Companies' activities and, especially the sale of products in the banking channel.</w:t>
      </w:r>
    </w:p>
    <w:p w14:paraId="357F2E04" w14:textId="77777777" w:rsidR="008B7E19" w:rsidRPr="00D311AA" w:rsidRDefault="008B7E19" w:rsidP="008B7E19">
      <w:pPr>
        <w:pStyle w:val="05-Textonormal"/>
      </w:pPr>
      <w:r w:rsidRPr="00D311AA">
        <w:t>The agreement aims to capture synergies resulting from the sharing of resources and its terms provide that the reimbursement follows apportionment criteria based on calculation methodologies foreseen in the referred agreement, observing the effective use of the resources. The apportionment amounts are calculat</w:t>
      </w:r>
      <w:r>
        <w:t>ed</w:t>
      </w:r>
      <w:r w:rsidRPr="00D311AA">
        <w:t xml:space="preserve"> and paid monthly.</w:t>
      </w:r>
    </w:p>
    <w:p w14:paraId="6B151FD9" w14:textId="77777777" w:rsidR="008B7E19" w:rsidRPr="00D311AA" w:rsidRDefault="008B7E19" w:rsidP="008B7E19">
      <w:pPr>
        <w:pStyle w:val="05-Textonormal"/>
      </w:pPr>
      <w:r w:rsidRPr="00D311AA">
        <w:t>The costs of salaries and other benefits granted to key management personnel of the BB Seguridade (Executive Board, Audit Committee, Board of Directors, and Fiscal Council):</w:t>
      </w:r>
    </w:p>
    <w:p w14:paraId="2473C437" w14:textId="77777777" w:rsidR="008B7E19" w:rsidRPr="00D311AA" w:rsidRDefault="008B7E19" w:rsidP="008B7E19">
      <w:pPr>
        <w:pStyle w:val="05-Textonormal"/>
        <w:spacing w:before="0" w:after="0" w:line="240" w:lineRule="auto"/>
        <w:jc w:val="right"/>
        <w:rPr>
          <w:b/>
          <w:sz w:val="14"/>
          <w:szCs w:val="14"/>
        </w:rPr>
      </w:pPr>
      <w:r w:rsidRPr="00D311AA">
        <w:rPr>
          <w:b/>
          <w:sz w:val="14"/>
          <w:szCs w:val="14"/>
        </w:rPr>
        <w:t>R$ thousand</w:t>
      </w:r>
    </w:p>
    <w:tbl>
      <w:tblPr>
        <w:tblStyle w:val="TabeladeLista6Colorida-nfase510"/>
        <w:tblW w:w="9639" w:type="dxa"/>
        <w:jc w:val="center"/>
        <w:tblInd w:w="0" w:type="dxa"/>
        <w:tblLook w:val="04A0" w:firstRow="1" w:lastRow="0" w:firstColumn="1" w:lastColumn="0" w:noHBand="0" w:noVBand="1"/>
      </w:tblPr>
      <w:tblGrid>
        <w:gridCol w:w="2986"/>
        <w:gridCol w:w="604"/>
        <w:gridCol w:w="1411"/>
        <w:gridCol w:w="811"/>
        <w:gridCol w:w="709"/>
        <w:gridCol w:w="1592"/>
        <w:gridCol w:w="1526"/>
      </w:tblGrid>
      <w:tr w:rsidR="008B7E19" w:rsidRPr="00D311AA" w14:paraId="76316D1B" w14:textId="77777777" w:rsidTr="005B5353">
        <w:trPr>
          <w:cnfStyle w:val="100000000000" w:firstRow="1" w:lastRow="0" w:firstColumn="0" w:lastColumn="0" w:oddVBand="0" w:evenVBand="0" w:oddHBand="0"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5812" w:type="dxa"/>
            <w:gridSpan w:val="4"/>
            <w:tcBorders>
              <w:top w:val="single" w:sz="4" w:space="0" w:color="1F4E79" w:themeColor="accent1" w:themeShade="80"/>
              <w:bottom w:val="single" w:sz="4" w:space="0" w:color="1F4E79" w:themeColor="accent1" w:themeShade="80"/>
            </w:tcBorders>
            <w:shd w:val="clear" w:color="auto" w:fill="auto"/>
          </w:tcPr>
          <w:p w14:paraId="083B398A" w14:textId="77777777" w:rsidR="008B7E19" w:rsidRPr="00D311AA" w:rsidRDefault="008B7E19" w:rsidP="008B7E19">
            <w:pPr>
              <w:keepNext/>
              <w:keepLines/>
              <w:spacing w:before="40" w:after="40"/>
              <w:jc w:val="right"/>
              <w:rPr>
                <w:rFonts w:cs="Arial"/>
                <w:b w:val="0"/>
                <w:spacing w:val="-2"/>
                <w:sz w:val="14"/>
                <w:szCs w:val="14"/>
              </w:rPr>
            </w:pPr>
          </w:p>
        </w:tc>
        <w:tc>
          <w:tcPr>
            <w:tcW w:w="709" w:type="dxa"/>
            <w:tcBorders>
              <w:top w:val="single" w:sz="4" w:space="0" w:color="1F4E79" w:themeColor="accent1" w:themeShade="80"/>
              <w:bottom w:val="single" w:sz="4" w:space="0" w:color="1F4E79" w:themeColor="accent1" w:themeShade="80"/>
            </w:tcBorders>
            <w:shd w:val="clear" w:color="auto" w:fill="auto"/>
          </w:tcPr>
          <w:p w14:paraId="631B2884" w14:textId="77777777" w:rsidR="008B7E19" w:rsidRPr="00D311AA" w:rsidRDefault="008B7E19" w:rsidP="008B7E19">
            <w:pPr>
              <w:keepNext/>
              <w:keepLines/>
              <w:spacing w:before="40" w:after="40"/>
              <w:jc w:val="right"/>
              <w:cnfStyle w:val="100000000000" w:firstRow="1" w:lastRow="0" w:firstColumn="0" w:lastColumn="0" w:oddVBand="0" w:evenVBand="0" w:oddHBand="0" w:evenHBand="0" w:firstRowFirstColumn="0" w:firstRowLastColumn="0" w:lastRowFirstColumn="0" w:lastRowLastColumn="0"/>
              <w:rPr>
                <w:rFonts w:cs="Arial"/>
                <w:b w:val="0"/>
                <w:spacing w:val="-2"/>
                <w:sz w:val="14"/>
                <w:szCs w:val="14"/>
              </w:rPr>
            </w:pPr>
          </w:p>
        </w:tc>
        <w:tc>
          <w:tcPr>
            <w:tcW w:w="1592" w:type="dxa"/>
            <w:tcBorders>
              <w:top w:val="single" w:sz="4" w:space="0" w:color="1F4E79" w:themeColor="accent1" w:themeShade="80"/>
              <w:bottom w:val="single" w:sz="2" w:space="0" w:color="1F4E79" w:themeColor="accent1" w:themeShade="80"/>
            </w:tcBorders>
            <w:shd w:val="clear" w:color="auto" w:fill="auto"/>
          </w:tcPr>
          <w:p w14:paraId="23EE3170" w14:textId="77777777" w:rsidR="008B7E19" w:rsidRPr="00D311AA" w:rsidRDefault="008B7E19" w:rsidP="008B7E19">
            <w:pPr>
              <w:keepNext/>
              <w:keepLines/>
              <w:spacing w:before="40" w:after="40"/>
              <w:jc w:val="right"/>
              <w:cnfStyle w:val="100000000000" w:firstRow="1" w:lastRow="0" w:firstColumn="0" w:lastColumn="0" w:oddVBand="0" w:evenVBand="0" w:oddHBand="0" w:evenHBand="0" w:firstRowFirstColumn="0" w:firstRowLastColumn="0" w:lastRowFirstColumn="0" w:lastRowLastColumn="0"/>
              <w:rPr>
                <w:rFonts w:cs="Arial"/>
                <w:spacing w:val="-2"/>
                <w:sz w:val="14"/>
                <w:szCs w:val="14"/>
              </w:rPr>
            </w:pPr>
            <w:r w:rsidRPr="00D76328">
              <w:rPr>
                <w:rFonts w:cs="Arial"/>
                <w:spacing w:val="-2"/>
                <w:sz w:val="14"/>
                <w:szCs w:val="14"/>
              </w:rPr>
              <w:t>1</w:t>
            </w:r>
            <w:r w:rsidRPr="00D76328">
              <w:rPr>
                <w:rFonts w:cs="Arial"/>
                <w:spacing w:val="-2"/>
                <w:sz w:val="14"/>
                <w:szCs w:val="14"/>
                <w:vertAlign w:val="superscript"/>
              </w:rPr>
              <w:t>st</w:t>
            </w:r>
            <w:r w:rsidRPr="00D76328">
              <w:rPr>
                <w:rFonts w:cs="Arial"/>
                <w:spacing w:val="-2"/>
                <w:sz w:val="14"/>
                <w:szCs w:val="14"/>
              </w:rPr>
              <w:t xml:space="preserve"> Quarter 2023</w:t>
            </w:r>
          </w:p>
        </w:tc>
        <w:tc>
          <w:tcPr>
            <w:tcW w:w="1526" w:type="dxa"/>
            <w:tcBorders>
              <w:top w:val="single" w:sz="4" w:space="0" w:color="1F4E79" w:themeColor="accent1" w:themeShade="80"/>
              <w:bottom w:val="single" w:sz="2" w:space="0" w:color="1F4E79" w:themeColor="accent1" w:themeShade="80"/>
            </w:tcBorders>
            <w:shd w:val="clear" w:color="auto" w:fill="auto"/>
          </w:tcPr>
          <w:p w14:paraId="03EB553B" w14:textId="77777777" w:rsidR="008B7E19" w:rsidRPr="00D311AA" w:rsidRDefault="008B7E19" w:rsidP="008B7E19">
            <w:pPr>
              <w:keepNext/>
              <w:keepLines/>
              <w:spacing w:before="40" w:after="40"/>
              <w:jc w:val="right"/>
              <w:cnfStyle w:val="100000000000" w:firstRow="1" w:lastRow="0" w:firstColumn="0" w:lastColumn="0" w:oddVBand="0" w:evenVBand="0" w:oddHBand="0" w:evenHBand="0" w:firstRowFirstColumn="0" w:firstRowLastColumn="0" w:lastRowFirstColumn="0" w:lastRowLastColumn="0"/>
              <w:rPr>
                <w:rFonts w:cs="Arial"/>
                <w:spacing w:val="-2"/>
                <w:sz w:val="14"/>
                <w:szCs w:val="14"/>
              </w:rPr>
            </w:pPr>
            <w:r w:rsidRPr="00D76328">
              <w:rPr>
                <w:rFonts w:cs="Arial"/>
                <w:spacing w:val="-2"/>
                <w:sz w:val="14"/>
                <w:szCs w:val="14"/>
              </w:rPr>
              <w:t>1</w:t>
            </w:r>
            <w:r w:rsidRPr="00D76328">
              <w:rPr>
                <w:rFonts w:cs="Arial"/>
                <w:spacing w:val="-2"/>
                <w:sz w:val="14"/>
                <w:szCs w:val="14"/>
                <w:vertAlign w:val="superscript"/>
              </w:rPr>
              <w:t>st</w:t>
            </w:r>
            <w:r w:rsidRPr="00D76328">
              <w:rPr>
                <w:rFonts w:cs="Arial"/>
                <w:spacing w:val="-2"/>
                <w:sz w:val="14"/>
                <w:szCs w:val="14"/>
              </w:rPr>
              <w:t xml:space="preserve"> Quarter 202</w:t>
            </w:r>
            <w:r>
              <w:rPr>
                <w:rFonts w:cs="Arial"/>
                <w:spacing w:val="-2"/>
                <w:sz w:val="14"/>
                <w:szCs w:val="14"/>
              </w:rPr>
              <w:t>2</w:t>
            </w:r>
          </w:p>
        </w:tc>
      </w:tr>
      <w:tr w:rsidR="008B7E19" w:rsidRPr="00201CDF" w14:paraId="2D251709" w14:textId="77777777" w:rsidTr="005B5353">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2986" w:type="dxa"/>
            <w:tcBorders>
              <w:top w:val="single" w:sz="4" w:space="0" w:color="1F4E79" w:themeColor="accent1" w:themeShade="80"/>
            </w:tcBorders>
            <w:shd w:val="clear" w:color="auto" w:fill="auto"/>
          </w:tcPr>
          <w:p w14:paraId="6133993F" w14:textId="77777777" w:rsidR="008B7E19" w:rsidRPr="00201CDF" w:rsidRDefault="008B7E19" w:rsidP="008B7E19">
            <w:pPr>
              <w:pStyle w:val="08-Tabelageral"/>
              <w:jc w:val="left"/>
              <w:rPr>
                <w:rFonts w:cs="Arial"/>
                <w:bCs w:val="0"/>
                <w:szCs w:val="14"/>
              </w:rPr>
            </w:pPr>
            <w:r w:rsidRPr="00201CDF">
              <w:rPr>
                <w:rFonts w:cs="Arial"/>
                <w:bCs w:val="0"/>
                <w:szCs w:val="14"/>
              </w:rPr>
              <w:t>Short-term benefits</w:t>
            </w:r>
          </w:p>
        </w:tc>
        <w:tc>
          <w:tcPr>
            <w:tcW w:w="604" w:type="dxa"/>
            <w:tcBorders>
              <w:top w:val="single" w:sz="4" w:space="0" w:color="1F4E79" w:themeColor="accent1" w:themeShade="80"/>
            </w:tcBorders>
            <w:shd w:val="clear" w:color="auto" w:fill="auto"/>
          </w:tcPr>
          <w:p w14:paraId="138AEA38" w14:textId="77777777" w:rsidR="008B7E19" w:rsidRPr="00201CDF"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p>
        </w:tc>
        <w:tc>
          <w:tcPr>
            <w:tcW w:w="1411" w:type="dxa"/>
            <w:tcBorders>
              <w:top w:val="single" w:sz="4" w:space="0" w:color="1F4E79" w:themeColor="accent1" w:themeShade="80"/>
            </w:tcBorders>
            <w:shd w:val="clear" w:color="auto" w:fill="auto"/>
          </w:tcPr>
          <w:p w14:paraId="53482223" w14:textId="77777777" w:rsidR="008B7E19" w:rsidRPr="00201CDF"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p>
        </w:tc>
        <w:tc>
          <w:tcPr>
            <w:tcW w:w="811" w:type="dxa"/>
            <w:tcBorders>
              <w:top w:val="single" w:sz="4" w:space="0" w:color="1F4E79" w:themeColor="accent1" w:themeShade="80"/>
            </w:tcBorders>
            <w:shd w:val="clear" w:color="auto" w:fill="auto"/>
          </w:tcPr>
          <w:p w14:paraId="1152709C" w14:textId="77777777" w:rsidR="008B7E19" w:rsidRPr="00201CDF"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p>
        </w:tc>
        <w:tc>
          <w:tcPr>
            <w:tcW w:w="709" w:type="dxa"/>
            <w:tcBorders>
              <w:top w:val="single" w:sz="4" w:space="0" w:color="1F4E79" w:themeColor="accent1" w:themeShade="80"/>
            </w:tcBorders>
            <w:shd w:val="clear" w:color="auto" w:fill="auto"/>
          </w:tcPr>
          <w:p w14:paraId="22B6C69F" w14:textId="77777777" w:rsidR="008B7E19" w:rsidRPr="00201CDF"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p>
        </w:tc>
        <w:tc>
          <w:tcPr>
            <w:tcW w:w="1592" w:type="dxa"/>
            <w:tcBorders>
              <w:top w:val="single" w:sz="2" w:space="0" w:color="8EAADB" w:themeColor="accent5" w:themeTint="99"/>
            </w:tcBorders>
            <w:shd w:val="clear" w:color="auto" w:fill="auto"/>
            <w:vAlign w:val="center"/>
          </w:tcPr>
          <w:p w14:paraId="58EE9335" w14:textId="77777777" w:rsidR="008B7E19" w:rsidRPr="00201CDF"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r>
              <w:rPr>
                <w:rStyle w:val="normaltextrun"/>
                <w:rFonts w:cs="Arial"/>
                <w:b/>
                <w:bCs/>
                <w:szCs w:val="14"/>
              </w:rPr>
              <w:t>4,632</w:t>
            </w:r>
            <w:r>
              <w:rPr>
                <w:rStyle w:val="eop"/>
                <w:rFonts w:cs="Arial"/>
                <w:szCs w:val="14"/>
              </w:rPr>
              <w:t> </w:t>
            </w:r>
          </w:p>
        </w:tc>
        <w:tc>
          <w:tcPr>
            <w:tcW w:w="1526" w:type="dxa"/>
            <w:tcBorders>
              <w:top w:val="single" w:sz="2" w:space="0" w:color="1F4E79" w:themeColor="accent1" w:themeShade="80"/>
            </w:tcBorders>
            <w:shd w:val="clear" w:color="auto" w:fill="auto"/>
            <w:vAlign w:val="center"/>
          </w:tcPr>
          <w:p w14:paraId="5392431A" w14:textId="77777777" w:rsidR="008B7E19" w:rsidRPr="00201CDF"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r>
              <w:rPr>
                <w:rStyle w:val="normaltextrun"/>
                <w:rFonts w:cs="Arial"/>
                <w:b/>
                <w:bCs/>
                <w:szCs w:val="14"/>
              </w:rPr>
              <w:t>3,675</w:t>
            </w:r>
            <w:r>
              <w:rPr>
                <w:rStyle w:val="eop"/>
                <w:rFonts w:cs="Arial"/>
                <w:szCs w:val="14"/>
              </w:rPr>
              <w:t> </w:t>
            </w:r>
          </w:p>
        </w:tc>
      </w:tr>
      <w:tr w:rsidR="008B7E19" w:rsidRPr="00201CDF" w14:paraId="40CB2497" w14:textId="77777777" w:rsidTr="005B5353">
        <w:trPr>
          <w:cnfStyle w:val="000000010000" w:firstRow="0" w:lastRow="0" w:firstColumn="0" w:lastColumn="0" w:oddVBand="0" w:evenVBand="0" w:oddHBand="0" w:evenHBand="1"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2986" w:type="dxa"/>
            <w:shd w:val="clear" w:color="auto" w:fill="auto"/>
          </w:tcPr>
          <w:p w14:paraId="02F17EE7" w14:textId="77777777" w:rsidR="008B7E19" w:rsidRPr="00201CDF" w:rsidRDefault="008B7E19" w:rsidP="008B7E19">
            <w:pPr>
              <w:pStyle w:val="08-Tabelageral"/>
              <w:jc w:val="left"/>
              <w:rPr>
                <w:rFonts w:cs="Arial"/>
                <w:bCs w:val="0"/>
                <w:szCs w:val="14"/>
              </w:rPr>
            </w:pPr>
            <w:r w:rsidRPr="00201CDF">
              <w:rPr>
                <w:rFonts w:cs="Arial"/>
                <w:bCs w:val="0"/>
                <w:szCs w:val="14"/>
              </w:rPr>
              <w:t xml:space="preserve">  Fees and social charges</w:t>
            </w:r>
          </w:p>
        </w:tc>
        <w:tc>
          <w:tcPr>
            <w:tcW w:w="604" w:type="dxa"/>
            <w:shd w:val="clear" w:color="auto" w:fill="auto"/>
          </w:tcPr>
          <w:p w14:paraId="059E141A" w14:textId="77777777" w:rsidR="008B7E19" w:rsidRPr="00201CDF" w:rsidRDefault="008B7E19" w:rsidP="008B7E19">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p>
        </w:tc>
        <w:tc>
          <w:tcPr>
            <w:tcW w:w="1411" w:type="dxa"/>
            <w:shd w:val="clear" w:color="auto" w:fill="auto"/>
          </w:tcPr>
          <w:p w14:paraId="1C75D50F" w14:textId="77777777" w:rsidR="008B7E19" w:rsidRPr="00201CDF" w:rsidRDefault="008B7E19" w:rsidP="008B7E19">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p>
        </w:tc>
        <w:tc>
          <w:tcPr>
            <w:tcW w:w="811" w:type="dxa"/>
            <w:shd w:val="clear" w:color="auto" w:fill="auto"/>
          </w:tcPr>
          <w:p w14:paraId="6F7B5FFA" w14:textId="77777777" w:rsidR="008B7E19" w:rsidRPr="00201CDF" w:rsidRDefault="008B7E19" w:rsidP="008B7E19">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p>
        </w:tc>
        <w:tc>
          <w:tcPr>
            <w:tcW w:w="709" w:type="dxa"/>
            <w:shd w:val="clear" w:color="auto" w:fill="auto"/>
          </w:tcPr>
          <w:p w14:paraId="6B1DEBF9" w14:textId="77777777" w:rsidR="008B7E19" w:rsidRPr="00201CDF" w:rsidRDefault="008B7E19" w:rsidP="008B7E19">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p>
        </w:tc>
        <w:tc>
          <w:tcPr>
            <w:tcW w:w="1592" w:type="dxa"/>
            <w:shd w:val="clear" w:color="auto" w:fill="auto"/>
            <w:vAlign w:val="center"/>
          </w:tcPr>
          <w:p w14:paraId="75F29222" w14:textId="77777777" w:rsidR="008B7E19" w:rsidRPr="00201CDF" w:rsidRDefault="008B7E19" w:rsidP="008B7E19">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r>
              <w:rPr>
                <w:rStyle w:val="normaltextrun"/>
                <w:rFonts w:cs="Arial"/>
                <w:b/>
                <w:bCs/>
                <w:szCs w:val="14"/>
              </w:rPr>
              <w:t>3,433</w:t>
            </w:r>
            <w:r>
              <w:rPr>
                <w:rStyle w:val="eop"/>
                <w:rFonts w:cs="Arial"/>
                <w:szCs w:val="14"/>
              </w:rPr>
              <w:t> </w:t>
            </w:r>
          </w:p>
        </w:tc>
        <w:tc>
          <w:tcPr>
            <w:tcW w:w="1526" w:type="dxa"/>
            <w:shd w:val="clear" w:color="auto" w:fill="auto"/>
            <w:vAlign w:val="center"/>
          </w:tcPr>
          <w:p w14:paraId="75DD2B18" w14:textId="77777777" w:rsidR="008B7E19" w:rsidRPr="00201CDF" w:rsidRDefault="008B7E19" w:rsidP="008B7E19">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r>
              <w:rPr>
                <w:rStyle w:val="normaltextrun"/>
                <w:rFonts w:cs="Arial"/>
                <w:b/>
                <w:bCs/>
                <w:szCs w:val="14"/>
              </w:rPr>
              <w:t>2,925</w:t>
            </w:r>
            <w:r>
              <w:rPr>
                <w:rStyle w:val="eop"/>
                <w:rFonts w:cs="Arial"/>
                <w:szCs w:val="14"/>
              </w:rPr>
              <w:t> </w:t>
            </w:r>
          </w:p>
        </w:tc>
      </w:tr>
      <w:tr w:rsidR="008B7E19" w:rsidRPr="00D311AA" w14:paraId="6E24FC4C" w14:textId="77777777" w:rsidTr="005B5353">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2986" w:type="dxa"/>
            <w:shd w:val="clear" w:color="auto" w:fill="auto"/>
          </w:tcPr>
          <w:p w14:paraId="4C478BD9" w14:textId="77777777" w:rsidR="008B7E19" w:rsidRPr="00D311AA" w:rsidRDefault="008B7E19" w:rsidP="008B7E19">
            <w:pPr>
              <w:pStyle w:val="08-Tabelageral"/>
              <w:jc w:val="left"/>
              <w:rPr>
                <w:rFonts w:cs="Arial"/>
                <w:b w:val="0"/>
                <w:szCs w:val="14"/>
              </w:rPr>
            </w:pPr>
            <w:r w:rsidRPr="00D311AA">
              <w:rPr>
                <w:rFonts w:cs="Arial"/>
                <w:b w:val="0"/>
                <w:szCs w:val="14"/>
              </w:rPr>
              <w:t xml:space="preserve">    Executive Board</w:t>
            </w:r>
          </w:p>
        </w:tc>
        <w:tc>
          <w:tcPr>
            <w:tcW w:w="604" w:type="dxa"/>
            <w:shd w:val="clear" w:color="auto" w:fill="auto"/>
          </w:tcPr>
          <w:p w14:paraId="6FCCD93F" w14:textId="77777777" w:rsidR="008B7E19" w:rsidRPr="00D311AA"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411" w:type="dxa"/>
            <w:shd w:val="clear" w:color="auto" w:fill="auto"/>
          </w:tcPr>
          <w:p w14:paraId="20B748CA" w14:textId="77777777" w:rsidR="008B7E19" w:rsidRPr="00D311AA"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811" w:type="dxa"/>
            <w:shd w:val="clear" w:color="auto" w:fill="auto"/>
          </w:tcPr>
          <w:p w14:paraId="32702D73" w14:textId="77777777" w:rsidR="008B7E19" w:rsidRPr="00D311AA"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709" w:type="dxa"/>
            <w:shd w:val="clear" w:color="auto" w:fill="auto"/>
          </w:tcPr>
          <w:p w14:paraId="148C53DF" w14:textId="77777777" w:rsidR="008B7E19" w:rsidRPr="00D311AA"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592" w:type="dxa"/>
            <w:shd w:val="clear" w:color="auto" w:fill="auto"/>
            <w:vAlign w:val="center"/>
          </w:tcPr>
          <w:p w14:paraId="667A433D" w14:textId="77777777" w:rsidR="008B7E19" w:rsidRPr="00D311AA"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Pr>
                <w:rStyle w:val="normaltextrun"/>
                <w:rFonts w:cs="Arial"/>
                <w:szCs w:val="14"/>
              </w:rPr>
              <w:t>2,453</w:t>
            </w:r>
            <w:r>
              <w:rPr>
                <w:rStyle w:val="eop"/>
                <w:rFonts w:cs="Arial"/>
                <w:szCs w:val="14"/>
              </w:rPr>
              <w:t> </w:t>
            </w:r>
          </w:p>
        </w:tc>
        <w:tc>
          <w:tcPr>
            <w:tcW w:w="1526" w:type="dxa"/>
            <w:shd w:val="clear" w:color="auto" w:fill="auto"/>
            <w:vAlign w:val="center"/>
          </w:tcPr>
          <w:p w14:paraId="7B7261F5" w14:textId="77777777" w:rsidR="008B7E19" w:rsidRPr="00D311AA"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Pr>
                <w:rStyle w:val="normaltextrun"/>
                <w:rFonts w:cs="Arial"/>
                <w:szCs w:val="14"/>
              </w:rPr>
              <w:t>2,110</w:t>
            </w:r>
            <w:r>
              <w:rPr>
                <w:rStyle w:val="eop"/>
                <w:rFonts w:cs="Arial"/>
                <w:szCs w:val="14"/>
              </w:rPr>
              <w:t> </w:t>
            </w:r>
          </w:p>
        </w:tc>
      </w:tr>
      <w:tr w:rsidR="008B7E19" w:rsidRPr="00D311AA" w14:paraId="4363C134" w14:textId="77777777" w:rsidTr="005B5353">
        <w:trPr>
          <w:cnfStyle w:val="000000010000" w:firstRow="0" w:lastRow="0" w:firstColumn="0" w:lastColumn="0" w:oddVBand="0" w:evenVBand="0" w:oddHBand="0" w:evenHBand="1"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2986" w:type="dxa"/>
            <w:shd w:val="clear" w:color="auto" w:fill="auto"/>
          </w:tcPr>
          <w:p w14:paraId="1BEFD909" w14:textId="77777777" w:rsidR="008B7E19" w:rsidRPr="00D311AA" w:rsidRDefault="008B7E19" w:rsidP="008B7E19">
            <w:pPr>
              <w:pStyle w:val="08-Tabelageral"/>
              <w:jc w:val="left"/>
              <w:rPr>
                <w:rFonts w:cs="Arial"/>
                <w:b w:val="0"/>
                <w:szCs w:val="14"/>
              </w:rPr>
            </w:pPr>
            <w:r w:rsidRPr="00D311AA">
              <w:rPr>
                <w:rFonts w:cs="Arial"/>
                <w:b w:val="0"/>
                <w:szCs w:val="14"/>
              </w:rPr>
              <w:t xml:space="preserve">    Audit Committee</w:t>
            </w:r>
          </w:p>
        </w:tc>
        <w:tc>
          <w:tcPr>
            <w:tcW w:w="604" w:type="dxa"/>
            <w:shd w:val="clear" w:color="auto" w:fill="auto"/>
          </w:tcPr>
          <w:p w14:paraId="5B65F79F" w14:textId="77777777" w:rsidR="008B7E19" w:rsidRPr="00D311AA" w:rsidRDefault="008B7E19" w:rsidP="008B7E19">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411" w:type="dxa"/>
            <w:shd w:val="clear" w:color="auto" w:fill="auto"/>
          </w:tcPr>
          <w:p w14:paraId="71D9884B" w14:textId="77777777" w:rsidR="008B7E19" w:rsidRPr="00D311AA" w:rsidRDefault="008B7E19" w:rsidP="008B7E19">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811" w:type="dxa"/>
            <w:shd w:val="clear" w:color="auto" w:fill="auto"/>
          </w:tcPr>
          <w:p w14:paraId="414E96EA" w14:textId="77777777" w:rsidR="008B7E19" w:rsidRPr="00D311AA" w:rsidRDefault="008B7E19" w:rsidP="008B7E19">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709" w:type="dxa"/>
            <w:shd w:val="clear" w:color="auto" w:fill="auto"/>
          </w:tcPr>
          <w:p w14:paraId="7F00579C" w14:textId="77777777" w:rsidR="008B7E19" w:rsidRPr="00D311AA" w:rsidRDefault="008B7E19" w:rsidP="008B7E19">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592" w:type="dxa"/>
            <w:shd w:val="clear" w:color="auto" w:fill="auto"/>
            <w:vAlign w:val="center"/>
          </w:tcPr>
          <w:p w14:paraId="4B2DFC40" w14:textId="77777777" w:rsidR="008B7E19" w:rsidRPr="00D311AA" w:rsidRDefault="008B7E19" w:rsidP="008B7E19">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Pr>
                <w:rStyle w:val="normaltextrun"/>
                <w:rFonts w:cs="Arial"/>
                <w:szCs w:val="14"/>
              </w:rPr>
              <w:t>378</w:t>
            </w:r>
            <w:r>
              <w:rPr>
                <w:rStyle w:val="eop"/>
                <w:rFonts w:cs="Arial"/>
                <w:szCs w:val="14"/>
              </w:rPr>
              <w:t> </w:t>
            </w:r>
          </w:p>
        </w:tc>
        <w:tc>
          <w:tcPr>
            <w:tcW w:w="1526" w:type="dxa"/>
            <w:shd w:val="clear" w:color="auto" w:fill="auto"/>
            <w:vAlign w:val="center"/>
          </w:tcPr>
          <w:p w14:paraId="3E32F167" w14:textId="77777777" w:rsidR="008B7E19" w:rsidRPr="00D311AA" w:rsidRDefault="008B7E19" w:rsidP="008B7E19">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Pr>
                <w:rStyle w:val="normaltextrun"/>
                <w:rFonts w:cs="Arial"/>
                <w:szCs w:val="14"/>
              </w:rPr>
              <w:t>363</w:t>
            </w:r>
            <w:r>
              <w:rPr>
                <w:rStyle w:val="eop"/>
                <w:rFonts w:cs="Arial"/>
                <w:szCs w:val="14"/>
              </w:rPr>
              <w:t> </w:t>
            </w:r>
          </w:p>
        </w:tc>
      </w:tr>
      <w:tr w:rsidR="008B7E19" w:rsidRPr="00D311AA" w14:paraId="4995F6BE" w14:textId="77777777" w:rsidTr="005B5353">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2986" w:type="dxa"/>
            <w:shd w:val="clear" w:color="auto" w:fill="auto"/>
          </w:tcPr>
          <w:p w14:paraId="64F7B7FD" w14:textId="77777777" w:rsidR="008B7E19" w:rsidRPr="00D311AA" w:rsidRDefault="008B7E19" w:rsidP="008B7E19">
            <w:pPr>
              <w:pStyle w:val="08-Tabelageral"/>
              <w:jc w:val="left"/>
              <w:rPr>
                <w:rFonts w:cs="Arial"/>
                <w:b w:val="0"/>
                <w:szCs w:val="14"/>
              </w:rPr>
            </w:pPr>
            <w:r w:rsidRPr="00D311AA">
              <w:rPr>
                <w:rFonts w:cs="Arial"/>
                <w:b w:val="0"/>
                <w:szCs w:val="14"/>
              </w:rPr>
              <w:t xml:space="preserve">    </w:t>
            </w:r>
            <w:bookmarkStart w:id="63" w:name="_Hlk109748176"/>
            <w:r w:rsidRPr="00D311AA">
              <w:rPr>
                <w:rFonts w:cs="Arial"/>
                <w:b w:val="0"/>
                <w:szCs w:val="14"/>
              </w:rPr>
              <w:t>Board of Directors</w:t>
            </w:r>
            <w:bookmarkEnd w:id="63"/>
          </w:p>
        </w:tc>
        <w:tc>
          <w:tcPr>
            <w:tcW w:w="604" w:type="dxa"/>
            <w:shd w:val="clear" w:color="auto" w:fill="auto"/>
          </w:tcPr>
          <w:p w14:paraId="0E5A456C" w14:textId="77777777" w:rsidR="008B7E19" w:rsidRPr="00D311AA"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411" w:type="dxa"/>
            <w:shd w:val="clear" w:color="auto" w:fill="auto"/>
          </w:tcPr>
          <w:p w14:paraId="3825F1EA" w14:textId="77777777" w:rsidR="008B7E19" w:rsidRPr="00D311AA"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811" w:type="dxa"/>
            <w:shd w:val="clear" w:color="auto" w:fill="auto"/>
          </w:tcPr>
          <w:p w14:paraId="22BE61E5" w14:textId="77777777" w:rsidR="008B7E19" w:rsidRPr="00D311AA"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709" w:type="dxa"/>
            <w:shd w:val="clear" w:color="auto" w:fill="auto"/>
          </w:tcPr>
          <w:p w14:paraId="7CBE5765" w14:textId="77777777" w:rsidR="008B7E19" w:rsidRPr="00D311AA"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592" w:type="dxa"/>
            <w:shd w:val="clear" w:color="auto" w:fill="auto"/>
            <w:vAlign w:val="center"/>
          </w:tcPr>
          <w:p w14:paraId="2D2BA94A" w14:textId="77777777" w:rsidR="008B7E19" w:rsidRPr="00D311AA"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Pr>
                <w:rStyle w:val="normaltextrun"/>
                <w:rFonts w:cs="Arial"/>
                <w:szCs w:val="14"/>
              </w:rPr>
              <w:t>163</w:t>
            </w:r>
            <w:r>
              <w:rPr>
                <w:rStyle w:val="eop"/>
                <w:rFonts w:cs="Arial"/>
                <w:szCs w:val="14"/>
              </w:rPr>
              <w:t> </w:t>
            </w:r>
          </w:p>
        </w:tc>
        <w:tc>
          <w:tcPr>
            <w:tcW w:w="1526" w:type="dxa"/>
            <w:shd w:val="clear" w:color="auto" w:fill="auto"/>
            <w:vAlign w:val="center"/>
          </w:tcPr>
          <w:p w14:paraId="7F0A4F6D" w14:textId="77777777" w:rsidR="008B7E19" w:rsidRPr="00D311AA"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Pr>
                <w:rStyle w:val="normaltextrun"/>
                <w:rFonts w:cs="Arial"/>
                <w:szCs w:val="14"/>
              </w:rPr>
              <w:t>162</w:t>
            </w:r>
            <w:r>
              <w:rPr>
                <w:rStyle w:val="eop"/>
                <w:rFonts w:cs="Arial"/>
                <w:szCs w:val="14"/>
              </w:rPr>
              <w:t> </w:t>
            </w:r>
          </w:p>
        </w:tc>
      </w:tr>
      <w:tr w:rsidR="008B7E19" w:rsidRPr="00D311AA" w14:paraId="55C349EB" w14:textId="77777777" w:rsidTr="005B5353">
        <w:trPr>
          <w:cnfStyle w:val="000000010000" w:firstRow="0" w:lastRow="0" w:firstColumn="0" w:lastColumn="0" w:oddVBand="0" w:evenVBand="0" w:oddHBand="0" w:evenHBand="1"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2986" w:type="dxa"/>
            <w:shd w:val="clear" w:color="auto" w:fill="auto"/>
          </w:tcPr>
          <w:p w14:paraId="1927B177" w14:textId="77777777" w:rsidR="008B7E19" w:rsidRPr="00D311AA" w:rsidRDefault="008B7E19" w:rsidP="008B7E19">
            <w:pPr>
              <w:pStyle w:val="08-Tabelageral"/>
              <w:jc w:val="left"/>
              <w:rPr>
                <w:rFonts w:cs="Arial"/>
                <w:b w:val="0"/>
                <w:szCs w:val="14"/>
              </w:rPr>
            </w:pPr>
            <w:r w:rsidRPr="00D311AA">
              <w:rPr>
                <w:rFonts w:cs="Arial"/>
                <w:b w:val="0"/>
                <w:szCs w:val="14"/>
              </w:rPr>
              <w:t xml:space="preserve">    Fiscal Council</w:t>
            </w:r>
          </w:p>
        </w:tc>
        <w:tc>
          <w:tcPr>
            <w:tcW w:w="604" w:type="dxa"/>
            <w:shd w:val="clear" w:color="auto" w:fill="auto"/>
          </w:tcPr>
          <w:p w14:paraId="22CFDEED" w14:textId="77777777" w:rsidR="008B7E19" w:rsidRPr="00D311AA" w:rsidRDefault="008B7E19" w:rsidP="008B7E19">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411" w:type="dxa"/>
            <w:shd w:val="clear" w:color="auto" w:fill="auto"/>
          </w:tcPr>
          <w:p w14:paraId="1BA7E285" w14:textId="77777777" w:rsidR="008B7E19" w:rsidRPr="00D311AA" w:rsidRDefault="008B7E19" w:rsidP="008B7E19">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811" w:type="dxa"/>
            <w:shd w:val="clear" w:color="auto" w:fill="auto"/>
          </w:tcPr>
          <w:p w14:paraId="12A9D98B" w14:textId="77777777" w:rsidR="008B7E19" w:rsidRPr="00D311AA" w:rsidRDefault="008B7E19" w:rsidP="008B7E19">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709" w:type="dxa"/>
            <w:shd w:val="clear" w:color="auto" w:fill="auto"/>
          </w:tcPr>
          <w:p w14:paraId="190B5914" w14:textId="77777777" w:rsidR="008B7E19" w:rsidRPr="00D311AA" w:rsidRDefault="008B7E19" w:rsidP="008B7E19">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592" w:type="dxa"/>
            <w:shd w:val="clear" w:color="auto" w:fill="auto"/>
            <w:vAlign w:val="center"/>
          </w:tcPr>
          <w:p w14:paraId="636514DA" w14:textId="77777777" w:rsidR="008B7E19" w:rsidRPr="00D311AA" w:rsidRDefault="008B7E19" w:rsidP="008B7E19">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Pr>
                <w:rStyle w:val="normaltextrun"/>
                <w:rFonts w:cs="Arial"/>
                <w:szCs w:val="14"/>
              </w:rPr>
              <w:t>138</w:t>
            </w:r>
            <w:r>
              <w:rPr>
                <w:rStyle w:val="eop"/>
                <w:rFonts w:cs="Arial"/>
                <w:szCs w:val="14"/>
              </w:rPr>
              <w:t> </w:t>
            </w:r>
          </w:p>
        </w:tc>
        <w:tc>
          <w:tcPr>
            <w:tcW w:w="1526" w:type="dxa"/>
            <w:shd w:val="clear" w:color="auto" w:fill="auto"/>
            <w:vAlign w:val="center"/>
          </w:tcPr>
          <w:p w14:paraId="37DDDF10" w14:textId="77777777" w:rsidR="008B7E19" w:rsidRPr="00D311AA" w:rsidRDefault="008B7E19" w:rsidP="008B7E19">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Pr>
                <w:rStyle w:val="normaltextrun"/>
                <w:rFonts w:cs="Arial"/>
                <w:szCs w:val="14"/>
              </w:rPr>
              <w:t>131</w:t>
            </w:r>
            <w:r>
              <w:rPr>
                <w:rStyle w:val="eop"/>
                <w:rFonts w:cs="Arial"/>
                <w:szCs w:val="14"/>
              </w:rPr>
              <w:t> </w:t>
            </w:r>
          </w:p>
        </w:tc>
      </w:tr>
      <w:tr w:rsidR="008B7E19" w:rsidRPr="00D311AA" w14:paraId="3E56A9D7" w14:textId="77777777" w:rsidTr="005B5353">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2986" w:type="dxa"/>
            <w:shd w:val="clear" w:color="auto" w:fill="auto"/>
          </w:tcPr>
          <w:p w14:paraId="3FF7A5CC" w14:textId="77777777" w:rsidR="008B7E19" w:rsidRPr="00D311AA" w:rsidRDefault="008B7E19" w:rsidP="008B7E19">
            <w:pPr>
              <w:pStyle w:val="08-Tabelageral"/>
              <w:jc w:val="left"/>
              <w:rPr>
                <w:rFonts w:cs="Arial"/>
                <w:szCs w:val="14"/>
              </w:rPr>
            </w:pPr>
            <w:r w:rsidRPr="00D311AA">
              <w:rPr>
                <w:rFonts w:cs="Arial"/>
                <w:b w:val="0"/>
                <w:szCs w:val="14"/>
              </w:rPr>
              <w:t xml:space="preserve"> </w:t>
            </w:r>
            <w:r w:rsidRPr="00D311AA">
              <w:rPr>
                <w:rFonts w:cs="Arial"/>
                <w:szCs w:val="14"/>
              </w:rPr>
              <w:t xml:space="preserve">   </w:t>
            </w:r>
            <w:r w:rsidRPr="00D311AA">
              <w:rPr>
                <w:rFonts w:cs="Arial"/>
                <w:b w:val="0"/>
                <w:szCs w:val="14"/>
              </w:rPr>
              <w:t>Party Transactions Committee</w:t>
            </w:r>
            <w:r>
              <w:rPr>
                <w:rFonts w:cs="Arial"/>
                <w:b w:val="0"/>
                <w:szCs w:val="14"/>
              </w:rPr>
              <w:t xml:space="preserve"> </w:t>
            </w:r>
          </w:p>
        </w:tc>
        <w:tc>
          <w:tcPr>
            <w:tcW w:w="604" w:type="dxa"/>
            <w:shd w:val="clear" w:color="auto" w:fill="auto"/>
          </w:tcPr>
          <w:p w14:paraId="1AA04C64" w14:textId="77777777" w:rsidR="008B7E19" w:rsidRPr="00D311AA"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411" w:type="dxa"/>
            <w:shd w:val="clear" w:color="auto" w:fill="auto"/>
          </w:tcPr>
          <w:p w14:paraId="129F6489" w14:textId="77777777" w:rsidR="008B7E19" w:rsidRPr="00D311AA"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811" w:type="dxa"/>
            <w:shd w:val="clear" w:color="auto" w:fill="auto"/>
          </w:tcPr>
          <w:p w14:paraId="07E084D6" w14:textId="77777777" w:rsidR="008B7E19" w:rsidRPr="00D311AA"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709" w:type="dxa"/>
            <w:shd w:val="clear" w:color="auto" w:fill="auto"/>
          </w:tcPr>
          <w:p w14:paraId="4B54A789" w14:textId="77777777" w:rsidR="008B7E19" w:rsidRPr="00D311AA"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592" w:type="dxa"/>
            <w:shd w:val="clear" w:color="auto" w:fill="auto"/>
          </w:tcPr>
          <w:p w14:paraId="09AC098A" w14:textId="77777777" w:rsidR="008B7E19" w:rsidRPr="00D311AA"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b/>
                <w:bCs/>
              </w:rPr>
            </w:pPr>
            <w:r>
              <w:rPr>
                <w:rStyle w:val="normaltextrun"/>
                <w:rFonts w:cs="Arial"/>
                <w:szCs w:val="14"/>
              </w:rPr>
              <w:t>74</w:t>
            </w:r>
            <w:r>
              <w:rPr>
                <w:rStyle w:val="eop"/>
                <w:rFonts w:cs="Arial"/>
                <w:szCs w:val="14"/>
              </w:rPr>
              <w:t> </w:t>
            </w:r>
          </w:p>
        </w:tc>
        <w:tc>
          <w:tcPr>
            <w:tcW w:w="1526" w:type="dxa"/>
            <w:shd w:val="clear" w:color="auto" w:fill="auto"/>
          </w:tcPr>
          <w:p w14:paraId="27F6B3A6" w14:textId="77777777" w:rsidR="008B7E19" w:rsidRPr="00D311AA"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b/>
                <w:bCs/>
              </w:rPr>
            </w:pPr>
            <w:r>
              <w:rPr>
                <w:rStyle w:val="normaltextrun"/>
                <w:rFonts w:cs="Arial"/>
                <w:szCs w:val="14"/>
              </w:rPr>
              <w:t>73</w:t>
            </w:r>
            <w:r>
              <w:rPr>
                <w:rStyle w:val="eop"/>
                <w:rFonts w:cs="Arial"/>
                <w:szCs w:val="14"/>
              </w:rPr>
              <w:t> </w:t>
            </w:r>
          </w:p>
        </w:tc>
      </w:tr>
      <w:tr w:rsidR="008B7E19" w:rsidRPr="00E32A3E" w14:paraId="5D935512" w14:textId="77777777" w:rsidTr="005B5353">
        <w:trPr>
          <w:cnfStyle w:val="000000010000" w:firstRow="0" w:lastRow="0" w:firstColumn="0" w:lastColumn="0" w:oddVBand="0" w:evenVBand="0" w:oddHBand="0" w:evenHBand="1"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2986" w:type="dxa"/>
            <w:shd w:val="clear" w:color="auto" w:fill="auto"/>
          </w:tcPr>
          <w:p w14:paraId="1DBE8256" w14:textId="77777777" w:rsidR="008B7E19" w:rsidRPr="009A329F" w:rsidRDefault="008B7E19" w:rsidP="008B7E19">
            <w:pPr>
              <w:pStyle w:val="08-Tabelageral"/>
              <w:jc w:val="left"/>
              <w:rPr>
                <w:rFonts w:cs="Arial"/>
                <w:b w:val="0"/>
                <w:bCs w:val="0"/>
                <w:szCs w:val="14"/>
              </w:rPr>
            </w:pPr>
            <w:r>
              <w:rPr>
                <w:rFonts w:cs="Arial"/>
                <w:szCs w:val="14"/>
              </w:rPr>
              <w:t xml:space="preserve">    </w:t>
            </w:r>
            <w:r w:rsidRPr="009A329F">
              <w:rPr>
                <w:rFonts w:cs="Arial"/>
                <w:b w:val="0"/>
                <w:bCs w:val="0"/>
                <w:szCs w:val="14"/>
              </w:rPr>
              <w:t>Risks and capital Committee</w:t>
            </w:r>
            <w:r>
              <w:rPr>
                <w:rFonts w:cs="Arial"/>
                <w:b w:val="0"/>
                <w:bCs w:val="0"/>
                <w:szCs w:val="14"/>
              </w:rPr>
              <w:t xml:space="preserve"> </w:t>
            </w:r>
            <w:r w:rsidRPr="00F24A70">
              <w:rPr>
                <w:rFonts w:cs="Arial"/>
                <w:b w:val="0"/>
                <w:szCs w:val="14"/>
                <w:vertAlign w:val="superscript"/>
              </w:rPr>
              <w:t>(1)</w:t>
            </w:r>
          </w:p>
        </w:tc>
        <w:tc>
          <w:tcPr>
            <w:tcW w:w="604" w:type="dxa"/>
            <w:shd w:val="clear" w:color="auto" w:fill="auto"/>
          </w:tcPr>
          <w:p w14:paraId="309ADFEE" w14:textId="77777777" w:rsidR="008B7E19" w:rsidRPr="00E32A3E" w:rsidRDefault="008B7E19" w:rsidP="008B7E19">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p>
        </w:tc>
        <w:tc>
          <w:tcPr>
            <w:tcW w:w="1411" w:type="dxa"/>
            <w:shd w:val="clear" w:color="auto" w:fill="auto"/>
          </w:tcPr>
          <w:p w14:paraId="408D7A43" w14:textId="77777777" w:rsidR="008B7E19" w:rsidRPr="00E32A3E" w:rsidRDefault="008B7E19" w:rsidP="008B7E19">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p>
        </w:tc>
        <w:tc>
          <w:tcPr>
            <w:tcW w:w="811" w:type="dxa"/>
            <w:shd w:val="clear" w:color="auto" w:fill="auto"/>
          </w:tcPr>
          <w:p w14:paraId="0E983D27" w14:textId="77777777" w:rsidR="008B7E19" w:rsidRPr="00E32A3E" w:rsidRDefault="008B7E19" w:rsidP="008B7E19">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p>
        </w:tc>
        <w:tc>
          <w:tcPr>
            <w:tcW w:w="709" w:type="dxa"/>
            <w:shd w:val="clear" w:color="auto" w:fill="auto"/>
          </w:tcPr>
          <w:p w14:paraId="016EA85C" w14:textId="77777777" w:rsidR="008B7E19" w:rsidRPr="00E32A3E" w:rsidRDefault="008B7E19" w:rsidP="008B7E19">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p>
        </w:tc>
        <w:tc>
          <w:tcPr>
            <w:tcW w:w="1592" w:type="dxa"/>
            <w:shd w:val="clear" w:color="auto" w:fill="auto"/>
          </w:tcPr>
          <w:p w14:paraId="0D3D84D3" w14:textId="77777777" w:rsidR="008B7E19" w:rsidRPr="00E32A3E" w:rsidRDefault="008B7E19" w:rsidP="008B7E19">
            <w:pPr>
              <w:pStyle w:val="08-Tabelageral"/>
              <w:cnfStyle w:val="000000010000" w:firstRow="0" w:lastRow="0" w:firstColumn="0" w:lastColumn="0" w:oddVBand="0" w:evenVBand="0" w:oddHBand="0" w:evenHBand="1" w:firstRowFirstColumn="0" w:firstRowLastColumn="0" w:lastRowFirstColumn="0" w:lastRowLastColumn="0"/>
              <w:rPr>
                <w:b/>
              </w:rPr>
            </w:pPr>
            <w:r>
              <w:rPr>
                <w:rStyle w:val="normaltextrun"/>
                <w:rFonts w:cs="Arial"/>
                <w:szCs w:val="14"/>
              </w:rPr>
              <w:t>227</w:t>
            </w:r>
            <w:r>
              <w:rPr>
                <w:rStyle w:val="eop"/>
                <w:rFonts w:cs="Arial"/>
                <w:szCs w:val="14"/>
              </w:rPr>
              <w:t> </w:t>
            </w:r>
          </w:p>
        </w:tc>
        <w:tc>
          <w:tcPr>
            <w:tcW w:w="1526" w:type="dxa"/>
            <w:shd w:val="clear" w:color="auto" w:fill="auto"/>
          </w:tcPr>
          <w:p w14:paraId="0C1D5D5C" w14:textId="77777777" w:rsidR="008B7E19" w:rsidRPr="00E32A3E" w:rsidRDefault="008B7E19" w:rsidP="008B7E19">
            <w:pPr>
              <w:pStyle w:val="08-Tabelageral"/>
              <w:cnfStyle w:val="000000010000" w:firstRow="0" w:lastRow="0" w:firstColumn="0" w:lastColumn="0" w:oddVBand="0" w:evenVBand="0" w:oddHBand="0" w:evenHBand="1" w:firstRowFirstColumn="0" w:firstRowLastColumn="0" w:lastRowFirstColumn="0" w:lastRowLastColumn="0"/>
              <w:rPr>
                <w:b/>
              </w:rPr>
            </w:pPr>
            <w:r>
              <w:rPr>
                <w:rStyle w:val="normaltextrun"/>
                <w:rFonts w:cs="Arial"/>
                <w:szCs w:val="14"/>
              </w:rPr>
              <w:t>86</w:t>
            </w:r>
            <w:r>
              <w:rPr>
                <w:rStyle w:val="eop"/>
                <w:rFonts w:cs="Arial"/>
                <w:szCs w:val="14"/>
              </w:rPr>
              <w:t> </w:t>
            </w:r>
          </w:p>
        </w:tc>
      </w:tr>
      <w:tr w:rsidR="008B7E19" w:rsidRPr="00E32A3E" w14:paraId="297EFAA8" w14:textId="77777777" w:rsidTr="005B5353">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2986" w:type="dxa"/>
            <w:shd w:val="clear" w:color="auto" w:fill="auto"/>
          </w:tcPr>
          <w:p w14:paraId="78337009" w14:textId="77777777" w:rsidR="008B7E19" w:rsidRPr="00E32A3E" w:rsidRDefault="008B7E19" w:rsidP="008B7E19">
            <w:pPr>
              <w:pStyle w:val="08-Tabelageral"/>
              <w:jc w:val="left"/>
              <w:rPr>
                <w:rFonts w:cs="Arial"/>
                <w:bCs w:val="0"/>
                <w:szCs w:val="14"/>
              </w:rPr>
            </w:pPr>
            <w:r w:rsidRPr="00E32A3E">
              <w:rPr>
                <w:rFonts w:cs="Arial"/>
                <w:bCs w:val="0"/>
                <w:szCs w:val="14"/>
              </w:rPr>
              <w:t xml:space="preserve">   Variable Remuneration </w:t>
            </w:r>
            <w:r w:rsidRPr="00E32A3E">
              <w:rPr>
                <w:rFonts w:cs="Arial"/>
                <w:bCs w:val="0"/>
                <w:szCs w:val="14"/>
                <w:vertAlign w:val="superscript"/>
              </w:rPr>
              <w:t>(</w:t>
            </w:r>
            <w:r>
              <w:rPr>
                <w:rFonts w:cs="Arial"/>
                <w:bCs w:val="0"/>
                <w:szCs w:val="14"/>
                <w:vertAlign w:val="superscript"/>
              </w:rPr>
              <w:t>2</w:t>
            </w:r>
            <w:r w:rsidRPr="00E32A3E">
              <w:rPr>
                <w:rFonts w:cs="Arial"/>
                <w:bCs w:val="0"/>
                <w:szCs w:val="14"/>
                <w:vertAlign w:val="superscript"/>
              </w:rPr>
              <w:t>)</w:t>
            </w:r>
          </w:p>
        </w:tc>
        <w:tc>
          <w:tcPr>
            <w:tcW w:w="604" w:type="dxa"/>
            <w:shd w:val="clear" w:color="auto" w:fill="auto"/>
          </w:tcPr>
          <w:p w14:paraId="685DFF5B" w14:textId="77777777" w:rsidR="008B7E19" w:rsidRPr="00E32A3E"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p>
        </w:tc>
        <w:tc>
          <w:tcPr>
            <w:tcW w:w="1411" w:type="dxa"/>
            <w:shd w:val="clear" w:color="auto" w:fill="auto"/>
          </w:tcPr>
          <w:p w14:paraId="791A2A16" w14:textId="77777777" w:rsidR="008B7E19" w:rsidRPr="00E32A3E"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p>
        </w:tc>
        <w:tc>
          <w:tcPr>
            <w:tcW w:w="811" w:type="dxa"/>
            <w:shd w:val="clear" w:color="auto" w:fill="auto"/>
          </w:tcPr>
          <w:p w14:paraId="7BCD7AA3" w14:textId="77777777" w:rsidR="008B7E19" w:rsidRPr="00E32A3E"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p>
        </w:tc>
        <w:tc>
          <w:tcPr>
            <w:tcW w:w="709" w:type="dxa"/>
            <w:shd w:val="clear" w:color="auto" w:fill="auto"/>
          </w:tcPr>
          <w:p w14:paraId="14E6A7BE" w14:textId="77777777" w:rsidR="008B7E19" w:rsidRPr="00E32A3E"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p>
        </w:tc>
        <w:tc>
          <w:tcPr>
            <w:tcW w:w="1592" w:type="dxa"/>
            <w:shd w:val="clear" w:color="auto" w:fill="auto"/>
          </w:tcPr>
          <w:p w14:paraId="6FBDE67B" w14:textId="77777777" w:rsidR="008B7E19" w:rsidRPr="00E32A3E"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r>
              <w:rPr>
                <w:rStyle w:val="normaltextrun"/>
                <w:rFonts w:cs="Arial"/>
                <w:b/>
                <w:bCs/>
                <w:szCs w:val="14"/>
              </w:rPr>
              <w:t>872</w:t>
            </w:r>
            <w:r>
              <w:rPr>
                <w:rStyle w:val="eop"/>
                <w:rFonts w:cs="Arial"/>
                <w:szCs w:val="14"/>
              </w:rPr>
              <w:t> </w:t>
            </w:r>
          </w:p>
        </w:tc>
        <w:tc>
          <w:tcPr>
            <w:tcW w:w="1526" w:type="dxa"/>
            <w:shd w:val="clear" w:color="auto" w:fill="auto"/>
          </w:tcPr>
          <w:p w14:paraId="6340014E" w14:textId="77777777" w:rsidR="008B7E19" w:rsidRPr="00E32A3E"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r>
              <w:rPr>
                <w:rStyle w:val="normaltextrun"/>
                <w:rFonts w:cs="Arial"/>
                <w:b/>
                <w:bCs/>
                <w:szCs w:val="14"/>
              </w:rPr>
              <w:t>450</w:t>
            </w:r>
            <w:r>
              <w:rPr>
                <w:rStyle w:val="eop"/>
                <w:rFonts w:cs="Arial"/>
                <w:szCs w:val="14"/>
              </w:rPr>
              <w:t> </w:t>
            </w:r>
          </w:p>
        </w:tc>
      </w:tr>
      <w:tr w:rsidR="008B7E19" w:rsidRPr="00E32A3E" w14:paraId="067356F2" w14:textId="77777777" w:rsidTr="005B5353">
        <w:trPr>
          <w:cnfStyle w:val="000000010000" w:firstRow="0" w:lastRow="0" w:firstColumn="0" w:lastColumn="0" w:oddVBand="0" w:evenVBand="0" w:oddHBand="0" w:evenHBand="1"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2986" w:type="dxa"/>
            <w:shd w:val="clear" w:color="auto" w:fill="auto"/>
          </w:tcPr>
          <w:p w14:paraId="0762D966" w14:textId="77777777" w:rsidR="008B7E19" w:rsidRPr="00E32A3E" w:rsidRDefault="008B7E19" w:rsidP="008B7E19">
            <w:pPr>
              <w:pStyle w:val="08-Tabelageral"/>
              <w:jc w:val="left"/>
              <w:rPr>
                <w:rFonts w:cs="Arial"/>
                <w:bCs w:val="0"/>
                <w:szCs w:val="14"/>
              </w:rPr>
            </w:pPr>
            <w:r w:rsidRPr="00E32A3E">
              <w:rPr>
                <w:rFonts w:cs="Arial"/>
                <w:bCs w:val="0"/>
                <w:szCs w:val="14"/>
              </w:rPr>
              <w:t xml:space="preserve">  Other </w:t>
            </w:r>
            <w:r w:rsidRPr="00E32A3E">
              <w:rPr>
                <w:rFonts w:cs="Arial"/>
                <w:bCs w:val="0"/>
                <w:szCs w:val="14"/>
                <w:vertAlign w:val="superscript"/>
              </w:rPr>
              <w:t>(</w:t>
            </w:r>
            <w:r>
              <w:rPr>
                <w:rFonts w:cs="Arial"/>
                <w:bCs w:val="0"/>
                <w:szCs w:val="14"/>
                <w:vertAlign w:val="superscript"/>
              </w:rPr>
              <w:t>3</w:t>
            </w:r>
            <w:r w:rsidRPr="00E32A3E">
              <w:rPr>
                <w:rFonts w:cs="Arial"/>
                <w:bCs w:val="0"/>
                <w:szCs w:val="14"/>
                <w:vertAlign w:val="superscript"/>
              </w:rPr>
              <w:t>)</w:t>
            </w:r>
          </w:p>
        </w:tc>
        <w:tc>
          <w:tcPr>
            <w:tcW w:w="604" w:type="dxa"/>
            <w:shd w:val="clear" w:color="auto" w:fill="auto"/>
          </w:tcPr>
          <w:p w14:paraId="763AD3C6" w14:textId="77777777" w:rsidR="008B7E19" w:rsidRPr="00E32A3E" w:rsidRDefault="008B7E19" w:rsidP="008B7E19">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p>
        </w:tc>
        <w:tc>
          <w:tcPr>
            <w:tcW w:w="1411" w:type="dxa"/>
            <w:shd w:val="clear" w:color="auto" w:fill="auto"/>
          </w:tcPr>
          <w:p w14:paraId="49DB5C33" w14:textId="77777777" w:rsidR="008B7E19" w:rsidRPr="00E32A3E" w:rsidRDefault="008B7E19" w:rsidP="008B7E19">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p>
        </w:tc>
        <w:tc>
          <w:tcPr>
            <w:tcW w:w="811" w:type="dxa"/>
            <w:shd w:val="clear" w:color="auto" w:fill="auto"/>
          </w:tcPr>
          <w:p w14:paraId="7F6CE15F" w14:textId="77777777" w:rsidR="008B7E19" w:rsidRPr="00E32A3E" w:rsidRDefault="008B7E19" w:rsidP="008B7E19">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p>
        </w:tc>
        <w:tc>
          <w:tcPr>
            <w:tcW w:w="709" w:type="dxa"/>
            <w:shd w:val="clear" w:color="auto" w:fill="auto"/>
          </w:tcPr>
          <w:p w14:paraId="0F0EF958" w14:textId="77777777" w:rsidR="008B7E19" w:rsidRPr="00E32A3E" w:rsidRDefault="008B7E19" w:rsidP="008B7E19">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p>
        </w:tc>
        <w:tc>
          <w:tcPr>
            <w:tcW w:w="1592" w:type="dxa"/>
            <w:shd w:val="clear" w:color="auto" w:fill="auto"/>
          </w:tcPr>
          <w:p w14:paraId="4C8053F3" w14:textId="77777777" w:rsidR="008B7E19" w:rsidRPr="00E32A3E" w:rsidRDefault="008B7E19" w:rsidP="008B7E19">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r>
              <w:rPr>
                <w:rStyle w:val="normaltextrun"/>
                <w:rFonts w:cs="Arial"/>
                <w:b/>
                <w:bCs/>
                <w:szCs w:val="14"/>
              </w:rPr>
              <w:t>327</w:t>
            </w:r>
            <w:r>
              <w:rPr>
                <w:rStyle w:val="eop"/>
                <w:rFonts w:cs="Arial"/>
                <w:szCs w:val="14"/>
              </w:rPr>
              <w:t> </w:t>
            </w:r>
          </w:p>
        </w:tc>
        <w:tc>
          <w:tcPr>
            <w:tcW w:w="1526" w:type="dxa"/>
            <w:shd w:val="clear" w:color="auto" w:fill="auto"/>
          </w:tcPr>
          <w:p w14:paraId="722166D8" w14:textId="77777777" w:rsidR="008B7E19" w:rsidRPr="00E32A3E" w:rsidRDefault="008B7E19" w:rsidP="008B7E19">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r>
              <w:rPr>
                <w:rStyle w:val="normaltextrun"/>
                <w:rFonts w:cs="Arial"/>
                <w:b/>
                <w:bCs/>
                <w:szCs w:val="14"/>
              </w:rPr>
              <w:t>300</w:t>
            </w:r>
            <w:r>
              <w:rPr>
                <w:rStyle w:val="eop"/>
                <w:rFonts w:cs="Arial"/>
                <w:szCs w:val="14"/>
              </w:rPr>
              <w:t> </w:t>
            </w:r>
          </w:p>
        </w:tc>
      </w:tr>
      <w:tr w:rsidR="008B7E19" w:rsidRPr="00E32A3E" w14:paraId="348B38A1" w14:textId="77777777" w:rsidTr="005B5353">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2986" w:type="dxa"/>
            <w:tcBorders>
              <w:bottom w:val="nil"/>
            </w:tcBorders>
            <w:shd w:val="clear" w:color="auto" w:fill="auto"/>
          </w:tcPr>
          <w:p w14:paraId="11DB39BD" w14:textId="77777777" w:rsidR="008B7E19" w:rsidRPr="00E32A3E" w:rsidRDefault="008B7E19" w:rsidP="008B7E19">
            <w:pPr>
              <w:pStyle w:val="08-Tabelageral"/>
              <w:jc w:val="left"/>
              <w:rPr>
                <w:rFonts w:cs="Arial"/>
                <w:bCs w:val="0"/>
                <w:szCs w:val="14"/>
              </w:rPr>
            </w:pPr>
            <w:r w:rsidRPr="00E32A3E">
              <w:rPr>
                <w:rFonts w:cs="Arial"/>
                <w:bCs w:val="0"/>
                <w:szCs w:val="14"/>
              </w:rPr>
              <w:t xml:space="preserve">Variable Wage Program </w:t>
            </w:r>
            <w:r w:rsidRPr="00E32A3E">
              <w:rPr>
                <w:rFonts w:cs="Arial"/>
                <w:bCs w:val="0"/>
                <w:szCs w:val="14"/>
                <w:vertAlign w:val="superscript"/>
              </w:rPr>
              <w:t>(</w:t>
            </w:r>
            <w:r>
              <w:rPr>
                <w:rFonts w:cs="Arial"/>
                <w:bCs w:val="0"/>
                <w:szCs w:val="14"/>
                <w:vertAlign w:val="superscript"/>
              </w:rPr>
              <w:t>4</w:t>
            </w:r>
            <w:r w:rsidRPr="00E32A3E">
              <w:rPr>
                <w:rFonts w:cs="Arial"/>
                <w:bCs w:val="0"/>
                <w:szCs w:val="14"/>
                <w:vertAlign w:val="superscript"/>
              </w:rPr>
              <w:t>)</w:t>
            </w:r>
          </w:p>
        </w:tc>
        <w:tc>
          <w:tcPr>
            <w:tcW w:w="604" w:type="dxa"/>
            <w:tcBorders>
              <w:bottom w:val="nil"/>
            </w:tcBorders>
            <w:shd w:val="clear" w:color="auto" w:fill="auto"/>
          </w:tcPr>
          <w:p w14:paraId="2242C780" w14:textId="77777777" w:rsidR="008B7E19" w:rsidRPr="00E32A3E"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p>
        </w:tc>
        <w:tc>
          <w:tcPr>
            <w:tcW w:w="1411" w:type="dxa"/>
            <w:tcBorders>
              <w:bottom w:val="nil"/>
            </w:tcBorders>
            <w:shd w:val="clear" w:color="auto" w:fill="auto"/>
          </w:tcPr>
          <w:p w14:paraId="76EC4A0B" w14:textId="77777777" w:rsidR="008B7E19" w:rsidRPr="00E32A3E"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p>
        </w:tc>
        <w:tc>
          <w:tcPr>
            <w:tcW w:w="811" w:type="dxa"/>
            <w:tcBorders>
              <w:bottom w:val="nil"/>
            </w:tcBorders>
            <w:shd w:val="clear" w:color="auto" w:fill="auto"/>
          </w:tcPr>
          <w:p w14:paraId="61E19250" w14:textId="77777777" w:rsidR="008B7E19" w:rsidRPr="00E32A3E"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p>
        </w:tc>
        <w:tc>
          <w:tcPr>
            <w:tcW w:w="709" w:type="dxa"/>
            <w:tcBorders>
              <w:bottom w:val="nil"/>
            </w:tcBorders>
            <w:shd w:val="clear" w:color="auto" w:fill="auto"/>
          </w:tcPr>
          <w:p w14:paraId="25B6ECE4" w14:textId="77777777" w:rsidR="008B7E19" w:rsidRPr="00E32A3E"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p>
        </w:tc>
        <w:tc>
          <w:tcPr>
            <w:tcW w:w="1592" w:type="dxa"/>
            <w:tcBorders>
              <w:bottom w:val="nil"/>
            </w:tcBorders>
            <w:shd w:val="clear" w:color="auto" w:fill="auto"/>
          </w:tcPr>
          <w:p w14:paraId="75AABAE5" w14:textId="77777777" w:rsidR="008B7E19" w:rsidRPr="00E32A3E"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r>
              <w:rPr>
                <w:rStyle w:val="normaltextrun"/>
                <w:rFonts w:cs="Arial"/>
                <w:b/>
                <w:bCs/>
                <w:szCs w:val="14"/>
              </w:rPr>
              <w:t>1,124</w:t>
            </w:r>
            <w:r>
              <w:rPr>
                <w:rStyle w:val="eop"/>
                <w:rFonts w:cs="Arial"/>
                <w:szCs w:val="14"/>
              </w:rPr>
              <w:t> </w:t>
            </w:r>
          </w:p>
        </w:tc>
        <w:tc>
          <w:tcPr>
            <w:tcW w:w="1526" w:type="dxa"/>
            <w:tcBorders>
              <w:bottom w:val="nil"/>
            </w:tcBorders>
            <w:shd w:val="clear" w:color="auto" w:fill="auto"/>
          </w:tcPr>
          <w:p w14:paraId="31D0DBC1" w14:textId="77777777" w:rsidR="008B7E19" w:rsidRPr="00E32A3E"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r>
              <w:rPr>
                <w:rStyle w:val="normaltextrun"/>
                <w:rFonts w:cs="Arial"/>
                <w:b/>
                <w:bCs/>
                <w:szCs w:val="14"/>
              </w:rPr>
              <w:t>813</w:t>
            </w:r>
            <w:r>
              <w:rPr>
                <w:rStyle w:val="eop"/>
                <w:rFonts w:cs="Arial"/>
                <w:szCs w:val="14"/>
              </w:rPr>
              <w:t> </w:t>
            </w:r>
          </w:p>
        </w:tc>
      </w:tr>
      <w:tr w:rsidR="008B7E19" w:rsidRPr="00E32A3E" w14:paraId="2501C24D" w14:textId="77777777" w:rsidTr="005B5353">
        <w:trPr>
          <w:cnfStyle w:val="000000010000" w:firstRow="0" w:lastRow="0" w:firstColumn="0" w:lastColumn="0" w:oddVBand="0" w:evenVBand="0" w:oddHBand="0" w:evenHBand="1"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2986" w:type="dxa"/>
            <w:tcBorders>
              <w:top w:val="nil"/>
              <w:bottom w:val="single" w:sz="2" w:space="0" w:color="1F4E79" w:themeColor="accent1" w:themeShade="80"/>
            </w:tcBorders>
            <w:shd w:val="clear" w:color="auto" w:fill="auto"/>
          </w:tcPr>
          <w:p w14:paraId="5C085732" w14:textId="77777777" w:rsidR="008B7E19" w:rsidRPr="00E32A3E" w:rsidRDefault="008B7E19" w:rsidP="008B7E19">
            <w:pPr>
              <w:pStyle w:val="08-Tabelageral"/>
              <w:jc w:val="left"/>
              <w:rPr>
                <w:rFonts w:cs="Arial"/>
                <w:bCs w:val="0"/>
                <w:szCs w:val="14"/>
              </w:rPr>
            </w:pPr>
            <w:r w:rsidRPr="00E32A3E">
              <w:rPr>
                <w:rFonts w:cs="Arial"/>
                <w:bCs w:val="0"/>
                <w:szCs w:val="14"/>
              </w:rPr>
              <w:t>Total</w:t>
            </w:r>
          </w:p>
        </w:tc>
        <w:tc>
          <w:tcPr>
            <w:tcW w:w="604" w:type="dxa"/>
            <w:tcBorders>
              <w:top w:val="nil"/>
              <w:bottom w:val="single" w:sz="2" w:space="0" w:color="1F4E79" w:themeColor="accent1" w:themeShade="80"/>
            </w:tcBorders>
            <w:shd w:val="clear" w:color="auto" w:fill="auto"/>
          </w:tcPr>
          <w:p w14:paraId="470609C8" w14:textId="77777777" w:rsidR="008B7E19" w:rsidRPr="00E32A3E" w:rsidRDefault="008B7E19" w:rsidP="008B7E19">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p>
        </w:tc>
        <w:tc>
          <w:tcPr>
            <w:tcW w:w="1411" w:type="dxa"/>
            <w:tcBorders>
              <w:top w:val="nil"/>
              <w:bottom w:val="single" w:sz="2" w:space="0" w:color="1F4E79" w:themeColor="accent1" w:themeShade="80"/>
            </w:tcBorders>
            <w:shd w:val="clear" w:color="auto" w:fill="auto"/>
          </w:tcPr>
          <w:p w14:paraId="4DB217B8" w14:textId="77777777" w:rsidR="008B7E19" w:rsidRPr="00E32A3E" w:rsidRDefault="008B7E19" w:rsidP="008B7E19">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p>
        </w:tc>
        <w:tc>
          <w:tcPr>
            <w:tcW w:w="811" w:type="dxa"/>
            <w:tcBorders>
              <w:top w:val="nil"/>
              <w:bottom w:val="single" w:sz="2" w:space="0" w:color="1F4E79" w:themeColor="accent1" w:themeShade="80"/>
            </w:tcBorders>
            <w:shd w:val="clear" w:color="auto" w:fill="auto"/>
          </w:tcPr>
          <w:p w14:paraId="4444D46C" w14:textId="77777777" w:rsidR="008B7E19" w:rsidRPr="00E32A3E" w:rsidRDefault="008B7E19" w:rsidP="008B7E19">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p>
        </w:tc>
        <w:tc>
          <w:tcPr>
            <w:tcW w:w="709" w:type="dxa"/>
            <w:tcBorders>
              <w:top w:val="nil"/>
              <w:bottom w:val="single" w:sz="2" w:space="0" w:color="1F4E79" w:themeColor="accent1" w:themeShade="80"/>
            </w:tcBorders>
            <w:shd w:val="clear" w:color="auto" w:fill="auto"/>
          </w:tcPr>
          <w:p w14:paraId="1F960043" w14:textId="77777777" w:rsidR="008B7E19" w:rsidRPr="00E32A3E" w:rsidRDefault="008B7E19" w:rsidP="008B7E19">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p>
        </w:tc>
        <w:tc>
          <w:tcPr>
            <w:tcW w:w="1592" w:type="dxa"/>
            <w:tcBorders>
              <w:top w:val="nil"/>
              <w:bottom w:val="single" w:sz="4" w:space="0" w:color="1F4E79" w:themeColor="accent1" w:themeShade="80"/>
            </w:tcBorders>
            <w:shd w:val="clear" w:color="auto" w:fill="auto"/>
          </w:tcPr>
          <w:p w14:paraId="5894D9B0" w14:textId="77777777" w:rsidR="008B7E19" w:rsidRPr="00E32A3E" w:rsidRDefault="008B7E19" w:rsidP="008B7E19">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r>
              <w:rPr>
                <w:rStyle w:val="normaltextrun"/>
                <w:rFonts w:cs="Arial"/>
                <w:b/>
                <w:bCs/>
                <w:szCs w:val="14"/>
              </w:rPr>
              <w:t>5,756</w:t>
            </w:r>
            <w:r>
              <w:rPr>
                <w:rStyle w:val="eop"/>
                <w:rFonts w:cs="Arial"/>
                <w:szCs w:val="14"/>
              </w:rPr>
              <w:t> </w:t>
            </w:r>
          </w:p>
        </w:tc>
        <w:tc>
          <w:tcPr>
            <w:tcW w:w="1526" w:type="dxa"/>
            <w:tcBorders>
              <w:top w:val="nil"/>
              <w:bottom w:val="single" w:sz="4" w:space="0" w:color="1F4E79" w:themeColor="accent1" w:themeShade="80"/>
            </w:tcBorders>
            <w:shd w:val="clear" w:color="auto" w:fill="auto"/>
          </w:tcPr>
          <w:p w14:paraId="61701C7D" w14:textId="77777777" w:rsidR="008B7E19" w:rsidRPr="00E32A3E" w:rsidRDefault="008B7E19" w:rsidP="008B7E19">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r>
              <w:rPr>
                <w:rStyle w:val="normaltextrun"/>
                <w:rFonts w:cs="Arial"/>
                <w:b/>
                <w:bCs/>
                <w:szCs w:val="14"/>
              </w:rPr>
              <w:t>4,488</w:t>
            </w:r>
            <w:r>
              <w:rPr>
                <w:rStyle w:val="eop"/>
                <w:rFonts w:cs="Arial"/>
                <w:szCs w:val="14"/>
              </w:rPr>
              <w:t> </w:t>
            </w:r>
          </w:p>
        </w:tc>
      </w:tr>
    </w:tbl>
    <w:p w14:paraId="4F87C41C" w14:textId="77777777" w:rsidR="008B7E19" w:rsidRDefault="008B7E19" w:rsidP="00882B41">
      <w:pPr>
        <w:pStyle w:val="07-Legenda"/>
        <w:numPr>
          <w:ilvl w:val="0"/>
          <w:numId w:val="43"/>
        </w:numPr>
        <w:spacing w:before="0"/>
        <w:ind w:left="284" w:hanging="284"/>
        <w:rPr>
          <w:rStyle w:val="tlid-translation"/>
        </w:rPr>
      </w:pPr>
      <w:r w:rsidRPr="00D72853">
        <w:rPr>
          <w:rStyle w:val="tlid-translation"/>
        </w:rPr>
        <w:t xml:space="preserve">Committee established on </w:t>
      </w:r>
      <w:r>
        <w:rPr>
          <w:rStyle w:val="tlid-translation"/>
        </w:rPr>
        <w:t>April 20, 2022</w:t>
      </w:r>
      <w:r w:rsidRPr="00D72853">
        <w:rPr>
          <w:rStyle w:val="tlid-translation"/>
        </w:rPr>
        <w:t>, according to the</w:t>
      </w:r>
      <w:r>
        <w:rPr>
          <w:rStyle w:val="tlid-translation"/>
        </w:rPr>
        <w:t xml:space="preserve"> meeting of </w:t>
      </w:r>
      <w:r w:rsidRPr="00D72853">
        <w:rPr>
          <w:rStyle w:val="tlid-translation"/>
        </w:rPr>
        <w:t>Board of Directors</w:t>
      </w:r>
      <w:r>
        <w:rPr>
          <w:rStyle w:val="tlid-translation"/>
        </w:rPr>
        <w:t>.</w:t>
      </w:r>
    </w:p>
    <w:p w14:paraId="267B5298" w14:textId="77777777" w:rsidR="008B7E19" w:rsidRPr="001D35EB" w:rsidRDefault="008B7E19" w:rsidP="00882B41">
      <w:pPr>
        <w:pStyle w:val="07-Legenda"/>
        <w:numPr>
          <w:ilvl w:val="0"/>
          <w:numId w:val="43"/>
        </w:numPr>
        <w:spacing w:before="0"/>
        <w:ind w:left="284" w:hanging="284"/>
        <w:rPr>
          <w:rStyle w:val="tlid-translation"/>
          <w:lang w:val="en"/>
        </w:rPr>
      </w:pPr>
      <w:r w:rsidRPr="00D311AA">
        <w:rPr>
          <w:rStyle w:val="tlid-translation"/>
          <w:lang w:val="en"/>
        </w:rPr>
        <w:t xml:space="preserve">Refers to the amount payment cash Variable Compensation Program for Directors, </w:t>
      </w:r>
      <w:r w:rsidRPr="001D35EB">
        <w:rPr>
          <w:rStyle w:val="tlid-translation"/>
          <w:lang w:val="en"/>
        </w:rPr>
        <w:t xml:space="preserve">advance in </w:t>
      </w:r>
      <w:r>
        <w:rPr>
          <w:rStyle w:val="tlid-translation"/>
          <w:lang w:val="en"/>
        </w:rPr>
        <w:t>cash</w:t>
      </w:r>
      <w:r w:rsidRPr="001D35EB">
        <w:rPr>
          <w:rStyle w:val="tlid-translation"/>
          <w:lang w:val="en"/>
        </w:rPr>
        <w:t xml:space="preserve"> of</w:t>
      </w:r>
      <w:r>
        <w:rPr>
          <w:rStyle w:val="tlid-translation"/>
          <w:lang w:val="en"/>
        </w:rPr>
        <w:t xml:space="preserve"> Program</w:t>
      </w:r>
      <w:r w:rsidRPr="001D35EB">
        <w:rPr>
          <w:rStyle w:val="tlid-translation"/>
          <w:lang w:val="en"/>
        </w:rPr>
        <w:t xml:space="preserve"> 2022.</w:t>
      </w:r>
    </w:p>
    <w:p w14:paraId="641C64B0" w14:textId="77777777" w:rsidR="008B7E19" w:rsidRPr="00D311AA" w:rsidRDefault="008B7E19" w:rsidP="00882B41">
      <w:pPr>
        <w:pStyle w:val="07-Legenda"/>
        <w:numPr>
          <w:ilvl w:val="0"/>
          <w:numId w:val="43"/>
        </w:numPr>
        <w:spacing w:before="0"/>
        <w:ind w:left="284" w:hanging="284"/>
        <w:rPr>
          <w:szCs w:val="14"/>
        </w:rPr>
      </w:pPr>
      <w:r w:rsidRPr="00D311AA">
        <w:rPr>
          <w:rStyle w:val="tlid-translation"/>
        </w:rPr>
        <w:t>Benefits considered: medical care, health assessment</w:t>
      </w:r>
      <w:r>
        <w:rPr>
          <w:rStyle w:val="tlid-translation"/>
        </w:rPr>
        <w:t xml:space="preserve"> </w:t>
      </w:r>
      <w:r w:rsidRPr="00AA76FB">
        <w:rPr>
          <w:rStyle w:val="tlid-translation"/>
        </w:rPr>
        <w:t>(promotion and prevention actions in occupational health)</w:t>
      </w:r>
      <w:r w:rsidRPr="00D311AA">
        <w:rPr>
          <w:rStyle w:val="tlid-translation"/>
        </w:rPr>
        <w:t>, life insurance, removal advantage</w:t>
      </w:r>
      <w:r w:rsidRPr="00AA76FB">
        <w:rPr>
          <w:rStyle w:val="tlid-translation"/>
        </w:rPr>
        <w:t xml:space="preserve"> (partial cost of expenses in case of removal to other locations) </w:t>
      </w:r>
      <w:r w:rsidRPr="00D311AA">
        <w:rPr>
          <w:rStyle w:val="tlid-translation"/>
        </w:rPr>
        <w:t>and supplementary pension plan of the administrators.</w:t>
      </w:r>
      <w:r w:rsidRPr="00D311AA">
        <w:rPr>
          <w:szCs w:val="14"/>
        </w:rPr>
        <w:t xml:space="preserve"> </w:t>
      </w:r>
    </w:p>
    <w:p w14:paraId="304F9B1D" w14:textId="77777777" w:rsidR="008B7E19" w:rsidRDefault="008B7E19" w:rsidP="00882B41">
      <w:pPr>
        <w:pStyle w:val="07-Legenda"/>
        <w:numPr>
          <w:ilvl w:val="0"/>
          <w:numId w:val="43"/>
        </w:numPr>
        <w:spacing w:before="0"/>
        <w:ind w:left="284" w:hanging="284"/>
        <w:rPr>
          <w:rStyle w:val="tlid-translation"/>
        </w:rPr>
      </w:pPr>
      <w:r w:rsidRPr="00D311AA">
        <w:rPr>
          <w:rStyle w:val="tlid-translation"/>
        </w:rPr>
        <w:t>Refers to the cost of shares relating to the installments of the share-based payment programs for 2018, 2019</w:t>
      </w:r>
      <w:r>
        <w:rPr>
          <w:rStyle w:val="tlid-translation"/>
        </w:rPr>
        <w:t>, 2020, 2021 and 2022.</w:t>
      </w:r>
    </w:p>
    <w:p w14:paraId="78FE85F1" w14:textId="77777777" w:rsidR="008B7E19" w:rsidRDefault="008B7E19" w:rsidP="008B7E19">
      <w:pPr>
        <w:pStyle w:val="05-Textonormal"/>
      </w:pPr>
      <w:r w:rsidRPr="000D23F2">
        <w:t xml:space="preserve">In April 2023, through the approval of the Global Remuneration of the Administrators and other members of Boards and Statutory Committees for the period from April 2023 to March 2024, which took place at the Ordinary General Meeting held on </w:t>
      </w:r>
      <w:r>
        <w:t xml:space="preserve">April </w:t>
      </w:r>
      <w:r w:rsidRPr="000D23F2">
        <w:t>28</w:t>
      </w:r>
      <w:r>
        <w:t xml:space="preserve">, </w:t>
      </w:r>
      <w:r w:rsidRPr="000D23F2">
        <w:t>2023, there was the application readjustment of 9% in the remuneration received by the members of the Executive Board and of the Statutory Boards and Committees, according to item “c” below. Also, the difference presented in the Fees and charges of the Executive Board also refers to the increase in charges calculated on the variable compensation (in cash and shares) for the 2022 financial year, paid in the 1</w:t>
      </w:r>
      <w:r w:rsidRPr="000D23F2">
        <w:rPr>
          <w:vertAlign w:val="superscript"/>
        </w:rPr>
        <w:t>st</w:t>
      </w:r>
      <w:r w:rsidRPr="000D23F2">
        <w:t xml:space="preserve"> half 2023. The latter increased in relation to the compensation variable for the 2021 fiscal year, paid in the 1</w:t>
      </w:r>
      <w:r w:rsidRPr="000D23F2">
        <w:rPr>
          <w:vertAlign w:val="superscript"/>
        </w:rPr>
        <w:t>st</w:t>
      </w:r>
      <w:r w:rsidRPr="000D23F2">
        <w:t xml:space="preserve"> half 2023, as can be seen in the lines “Variable Compensation” and “Share-Based Compensation” in the table above. The increase observed in the line “Risks and Capital Committee” refers to the fact that, in 2022, the members were elected in April of that year, which impacted the total amount spent in the semester with said governance body.</w:t>
      </w:r>
    </w:p>
    <w:p w14:paraId="576569A8" w14:textId="77777777" w:rsidR="008B7E19" w:rsidRPr="00D311AA" w:rsidRDefault="008B7E19" w:rsidP="008B7E19">
      <w:pPr>
        <w:pStyle w:val="05-Textonormal"/>
      </w:pPr>
      <w:r w:rsidRPr="00D311AA">
        <w:t xml:space="preserve">According to the variable remuneration policy of BB Seguridade, established in accordance with Law 6404/1976, Article 152 and Accounting Pronouncements Committee 10 </w:t>
      </w:r>
      <w:r>
        <w:t xml:space="preserve">- </w:t>
      </w:r>
      <w:r w:rsidRPr="00D311AA">
        <w:t>CPC 10</w:t>
      </w:r>
      <w:r>
        <w:t xml:space="preserve"> (R1) [IFRS 2] -</w:t>
      </w:r>
      <w:r w:rsidRPr="00D311AA">
        <w:t xml:space="preserve"> Share-based Payment, the part of variable remuneration of the Executive Board is paid in shares.</w:t>
      </w:r>
    </w:p>
    <w:p w14:paraId="68933CA7" w14:textId="77777777" w:rsidR="008B7E19" w:rsidRPr="00D311AA" w:rsidRDefault="008B7E19" w:rsidP="008B7E19">
      <w:pPr>
        <w:pStyle w:val="05-Textonormal"/>
        <w:rPr>
          <w:rStyle w:val="tlid-translation"/>
        </w:rPr>
      </w:pPr>
      <w:r w:rsidRPr="00D311AA">
        <w:rPr>
          <w:rStyle w:val="tlid-translation"/>
        </w:rPr>
        <w:t>BB Seguridade does not provide post-employment benefits to its key management personnel or to its employees.</w:t>
      </w:r>
    </w:p>
    <w:p w14:paraId="738ABEB6" w14:textId="77777777" w:rsidR="008B7E19" w:rsidRPr="00D311AA" w:rsidRDefault="008B7E19" w:rsidP="008B7E19">
      <w:pPr>
        <w:pStyle w:val="05-Textonormal"/>
      </w:pPr>
      <w:r w:rsidRPr="00D311AA">
        <w:rPr>
          <w:rStyle w:val="tlid-translation"/>
        </w:rPr>
        <w:t xml:space="preserve">Current personnel costs </w:t>
      </w:r>
      <w:r>
        <w:rPr>
          <w:rStyle w:val="tlid-translation"/>
        </w:rPr>
        <w:t>are</w:t>
      </w:r>
      <w:r w:rsidRPr="00D311AA">
        <w:rPr>
          <w:rStyle w:val="tlid-translation"/>
        </w:rPr>
        <w:t xml:space="preserve"> reimbursed to the controller Banco do Brasil S.A., under the employee assignment agreement, in the period in which they are allocated to the Company's activities.</w:t>
      </w:r>
    </w:p>
    <w:p w14:paraId="2CC34979" w14:textId="77777777" w:rsidR="008B7E19" w:rsidRPr="00D311AA" w:rsidRDefault="008B7E19" w:rsidP="008B7E19">
      <w:pPr>
        <w:pStyle w:val="05-Textonormal"/>
      </w:pPr>
      <w:r w:rsidRPr="00D311AA">
        <w:t>The Group trades banking transactions with its Controller, Banco do Brasil S.A. such as current account deposits (unpaid), corporate cards, financial applications, service deliveries and warranty in conditions equivalent to those available to other customers.</w:t>
      </w:r>
    </w:p>
    <w:p w14:paraId="5AE67C73" w14:textId="77777777" w:rsidR="008B7E19" w:rsidRDefault="008B7E19" w:rsidP="008B7E19">
      <w:pPr>
        <w:pStyle w:val="05-Textonormal"/>
      </w:pPr>
      <w:r w:rsidRPr="00D311AA">
        <w:t>The Group does not grant loans to its Directors, Fiscal Council members, Board of Directors and Audit Committee.</w:t>
      </w:r>
    </w:p>
    <w:p w14:paraId="57412B48" w14:textId="77777777" w:rsidR="008B7E19" w:rsidRDefault="008B7E19" w:rsidP="008B7E19">
      <w:pPr>
        <w:pStyle w:val="05-Textonormal"/>
      </w:pPr>
      <w:r>
        <w:t>BB Seguros has commercialization contracts for insurance products in the banking channel with all its investees, the main ones being listed below:</w:t>
      </w:r>
    </w:p>
    <w:p w14:paraId="7A264B62" w14:textId="77777777" w:rsidR="008B7E19" w:rsidRDefault="008B7E19" w:rsidP="00882B41">
      <w:pPr>
        <w:pStyle w:val="05-Textonormal"/>
        <w:numPr>
          <w:ilvl w:val="0"/>
          <w:numId w:val="42"/>
        </w:numPr>
        <w:ind w:left="426" w:hanging="142"/>
      </w:pPr>
      <w:r>
        <w:t>Brasilseg Companhia de Seguros S.A. and Aliança do Brasil Seguros S.A., subsidiaries of BB Mapfre Participações S.A., for the sale of insurance, signed on June 30, 2011, valid until June 30, 2031, renewable for subsequent periods of 5 years.</w:t>
      </w:r>
    </w:p>
    <w:p w14:paraId="2A26F3D3" w14:textId="77777777" w:rsidR="008B7E19" w:rsidRDefault="008B7E19" w:rsidP="00882B41">
      <w:pPr>
        <w:pStyle w:val="05-Textonormal"/>
        <w:numPr>
          <w:ilvl w:val="0"/>
          <w:numId w:val="42"/>
        </w:numPr>
        <w:ind w:left="426" w:hanging="142"/>
      </w:pPr>
      <w:r>
        <w:t>Brasilprev Seguros e Previdência S.A., for the sale of private pension plans, signed on October 06, 1999, for a period of 5 years, automatically renewable for equal periods.</w:t>
      </w:r>
    </w:p>
    <w:p w14:paraId="3364BDFE" w14:textId="77777777" w:rsidR="008B7E19" w:rsidRPr="00D311AA" w:rsidRDefault="008B7E19" w:rsidP="00882B41">
      <w:pPr>
        <w:pStyle w:val="05-Textonormal"/>
        <w:numPr>
          <w:ilvl w:val="0"/>
          <w:numId w:val="42"/>
        </w:numPr>
        <w:ind w:left="426" w:hanging="142"/>
      </w:pPr>
      <w:r>
        <w:t>Brasilcap Capitalização S.A., for the sale of capitalization bonds, signed on July 14, 1999, for a period of 5 years, automatically renewable for equal periods.</w:t>
      </w:r>
    </w:p>
    <w:p w14:paraId="3AD99908" w14:textId="77777777" w:rsidR="008B7E19" w:rsidRDefault="008B7E19" w:rsidP="008B7E19">
      <w:pPr>
        <w:pStyle w:val="05-Textonormal"/>
      </w:pPr>
      <w:r w:rsidRPr="00D311AA">
        <w:t>The schedules below introduce the main transactions involving the companies within the effective utilization of resources:</w:t>
      </w:r>
    </w:p>
    <w:p w14:paraId="48D0A6FD" w14:textId="77777777" w:rsidR="008B7E19" w:rsidRPr="00B71A21" w:rsidRDefault="008B7E19" w:rsidP="00882B41">
      <w:pPr>
        <w:pStyle w:val="03-SubttulodeNota"/>
        <w:numPr>
          <w:ilvl w:val="0"/>
          <w:numId w:val="41"/>
        </w:numPr>
        <w:ind w:left="284" w:hanging="284"/>
        <w:rPr>
          <w:color w:val="1F4E79" w:themeColor="accent1" w:themeShade="80"/>
          <w:sz w:val="18"/>
          <w:szCs w:val="18"/>
        </w:rPr>
      </w:pPr>
      <w:r w:rsidRPr="00B71A21">
        <w:rPr>
          <w:color w:val="1F4E79" w:themeColor="accent1" w:themeShade="80"/>
          <w:sz w:val="18"/>
          <w:szCs w:val="18"/>
        </w:rPr>
        <w:t>Summary of related party transactions</w:t>
      </w:r>
    </w:p>
    <w:p w14:paraId="07A32502" w14:textId="77777777" w:rsidR="008B7E19" w:rsidRPr="00274BB2" w:rsidRDefault="008B7E19" w:rsidP="008B7E19">
      <w:pPr>
        <w:pStyle w:val="03-SubttulodeNota"/>
        <w:rPr>
          <w:color w:val="1F4E79" w:themeColor="accent1" w:themeShade="80"/>
          <w:sz w:val="18"/>
          <w:szCs w:val="18"/>
        </w:rPr>
      </w:pPr>
      <w:r w:rsidRPr="00274BB2">
        <w:rPr>
          <w:color w:val="1F4E79" w:themeColor="accent1" w:themeShade="80"/>
          <w:sz w:val="18"/>
          <w:szCs w:val="18"/>
        </w:rPr>
        <w:t>BB Seguridade – Controller</w:t>
      </w:r>
    </w:p>
    <w:p w14:paraId="18CF8330" w14:textId="77777777" w:rsidR="008B7E19" w:rsidRPr="00D311AA" w:rsidRDefault="008B7E19" w:rsidP="008B7E19">
      <w:pPr>
        <w:pStyle w:val="01-TtulodeNota"/>
        <w:spacing w:before="0" w:after="0"/>
        <w:jc w:val="right"/>
        <w:rPr>
          <w:sz w:val="14"/>
          <w:szCs w:val="14"/>
        </w:rPr>
      </w:pPr>
      <w:r w:rsidRPr="00D311AA">
        <w:rPr>
          <w:sz w:val="14"/>
          <w:szCs w:val="14"/>
        </w:rPr>
        <w:t>R$ thousand</w:t>
      </w:r>
    </w:p>
    <w:tbl>
      <w:tblPr>
        <w:tblStyle w:val="TabeladeLista6Colorida-nfase510"/>
        <w:tblW w:w="9639" w:type="dxa"/>
        <w:jc w:val="center"/>
        <w:tblInd w:w="0" w:type="dxa"/>
        <w:tblLayout w:type="fixed"/>
        <w:tblLook w:val="04A0" w:firstRow="1" w:lastRow="0" w:firstColumn="1" w:lastColumn="0" w:noHBand="0" w:noVBand="1"/>
      </w:tblPr>
      <w:tblGrid>
        <w:gridCol w:w="1126"/>
        <w:gridCol w:w="3049"/>
        <w:gridCol w:w="1339"/>
        <w:gridCol w:w="1339"/>
        <w:gridCol w:w="1339"/>
        <w:gridCol w:w="1447"/>
      </w:tblGrid>
      <w:tr w:rsidR="008B7E19" w:rsidRPr="00181218" w14:paraId="20071595" w14:textId="77777777" w:rsidTr="005B5353">
        <w:trPr>
          <w:cnfStyle w:val="100000000000" w:firstRow="1" w:lastRow="0" w:firstColumn="0" w:lastColumn="0" w:oddVBand="0" w:evenVBand="0" w:oddHBand="0" w:evenHBand="0" w:firstRowFirstColumn="0" w:firstRowLastColumn="0" w:lastRowFirstColumn="0" w:lastRowLastColumn="0"/>
          <w:trHeight w:hRule="exact" w:val="227"/>
          <w:jc w:val="center"/>
        </w:trPr>
        <w:tc>
          <w:tcPr>
            <w:cnfStyle w:val="001000000000" w:firstRow="0" w:lastRow="0" w:firstColumn="1" w:lastColumn="0" w:oddVBand="0" w:evenVBand="0" w:oddHBand="0" w:evenHBand="0" w:firstRowFirstColumn="0" w:firstRowLastColumn="0" w:lastRowFirstColumn="0" w:lastRowLastColumn="0"/>
            <w:tcW w:w="1126" w:type="dxa"/>
            <w:tcBorders>
              <w:top w:val="single" w:sz="2" w:space="0" w:color="222A35" w:themeColor="text2" w:themeShade="80"/>
              <w:bottom w:val="nil"/>
            </w:tcBorders>
            <w:shd w:val="clear" w:color="auto" w:fill="auto"/>
            <w:vAlign w:val="center"/>
          </w:tcPr>
          <w:p w14:paraId="6BE88A86" w14:textId="77777777" w:rsidR="008B7E19" w:rsidRPr="00D311AA" w:rsidRDefault="008B7E19" w:rsidP="008B7E19">
            <w:pPr>
              <w:pStyle w:val="08-Tabelageral"/>
            </w:pPr>
          </w:p>
        </w:tc>
        <w:tc>
          <w:tcPr>
            <w:tcW w:w="3049" w:type="dxa"/>
            <w:tcBorders>
              <w:top w:val="single" w:sz="2" w:space="0" w:color="222A35" w:themeColor="text2" w:themeShade="80"/>
              <w:bottom w:val="nil"/>
            </w:tcBorders>
            <w:shd w:val="clear" w:color="auto" w:fill="auto"/>
            <w:vAlign w:val="center"/>
          </w:tcPr>
          <w:p w14:paraId="53171876" w14:textId="77777777" w:rsidR="008B7E19" w:rsidRPr="00D311AA" w:rsidRDefault="008B7E19" w:rsidP="008B7E19">
            <w:pPr>
              <w:pStyle w:val="08-Tabelageral"/>
              <w:cnfStyle w:val="100000000000" w:firstRow="1" w:lastRow="0" w:firstColumn="0" w:lastColumn="0" w:oddVBand="0" w:evenVBand="0" w:oddHBand="0" w:evenHBand="0" w:firstRowFirstColumn="0" w:firstRowLastColumn="0" w:lastRowFirstColumn="0" w:lastRowLastColumn="0"/>
            </w:pPr>
          </w:p>
        </w:tc>
        <w:tc>
          <w:tcPr>
            <w:tcW w:w="2678" w:type="dxa"/>
            <w:gridSpan w:val="2"/>
            <w:tcBorders>
              <w:top w:val="single" w:sz="2" w:space="0" w:color="222A35" w:themeColor="text2" w:themeShade="80"/>
              <w:bottom w:val="single" w:sz="2" w:space="0" w:color="1F4E79" w:themeColor="accent1" w:themeShade="80"/>
            </w:tcBorders>
            <w:shd w:val="clear" w:color="auto" w:fill="auto"/>
            <w:vAlign w:val="center"/>
          </w:tcPr>
          <w:p w14:paraId="3812425B" w14:textId="77777777" w:rsidR="008B7E19" w:rsidRPr="00181218" w:rsidRDefault="008B7E19" w:rsidP="008B7E19">
            <w:pPr>
              <w:pStyle w:val="08-Tabelageral"/>
              <w:jc w:val="center"/>
              <w:cnfStyle w:val="100000000000" w:firstRow="1" w:lastRow="0" w:firstColumn="0" w:lastColumn="0" w:oddVBand="0" w:evenVBand="0" w:oddHBand="0" w:evenHBand="0" w:firstRowFirstColumn="0" w:firstRowLastColumn="0" w:lastRowFirstColumn="0" w:lastRowLastColumn="0"/>
              <w:rPr>
                <w:bCs w:val="0"/>
              </w:rPr>
            </w:pPr>
            <w:r>
              <w:t>June 30</w:t>
            </w:r>
            <w:r w:rsidRPr="00181218">
              <w:t>, 202</w:t>
            </w:r>
            <w:r>
              <w:t>3</w:t>
            </w:r>
          </w:p>
        </w:tc>
        <w:tc>
          <w:tcPr>
            <w:tcW w:w="2786" w:type="dxa"/>
            <w:gridSpan w:val="2"/>
            <w:tcBorders>
              <w:top w:val="single" w:sz="2" w:space="0" w:color="222A35" w:themeColor="text2" w:themeShade="80"/>
              <w:bottom w:val="single" w:sz="2" w:space="0" w:color="1F4E79" w:themeColor="accent1" w:themeShade="80"/>
            </w:tcBorders>
            <w:shd w:val="clear" w:color="auto" w:fill="auto"/>
            <w:vAlign w:val="center"/>
          </w:tcPr>
          <w:p w14:paraId="2F886E95" w14:textId="77777777" w:rsidR="008B7E19" w:rsidRPr="00181218" w:rsidRDefault="008B7E19" w:rsidP="008B7E19">
            <w:pPr>
              <w:pStyle w:val="08-Tabelageral"/>
              <w:jc w:val="center"/>
              <w:cnfStyle w:val="100000000000" w:firstRow="1" w:lastRow="0" w:firstColumn="0" w:lastColumn="0" w:oddVBand="0" w:evenVBand="0" w:oddHBand="0" w:evenHBand="0" w:firstRowFirstColumn="0" w:firstRowLastColumn="0" w:lastRowFirstColumn="0" w:lastRowLastColumn="0"/>
            </w:pPr>
            <w:r w:rsidRPr="00181218">
              <w:t>Dec 31, 202</w:t>
            </w:r>
            <w:r>
              <w:t>2</w:t>
            </w:r>
          </w:p>
        </w:tc>
      </w:tr>
      <w:tr w:rsidR="008B7E19" w:rsidRPr="00181218" w14:paraId="1A06EDD0" w14:textId="77777777" w:rsidTr="005B5353">
        <w:trPr>
          <w:cnfStyle w:val="000000100000" w:firstRow="0" w:lastRow="0" w:firstColumn="0" w:lastColumn="0" w:oddVBand="0" w:evenVBand="0" w:oddHBand="1" w:evenHBand="0" w:firstRowFirstColumn="0" w:firstRowLastColumn="0" w:lastRowFirstColumn="0" w:lastRowLastColumn="0"/>
          <w:trHeight w:hRule="exact" w:val="283"/>
          <w:jc w:val="center"/>
        </w:trPr>
        <w:tc>
          <w:tcPr>
            <w:cnfStyle w:val="001000000000" w:firstRow="0" w:lastRow="0" w:firstColumn="1" w:lastColumn="0" w:oddVBand="0" w:evenVBand="0" w:oddHBand="0" w:evenHBand="0" w:firstRowFirstColumn="0" w:firstRowLastColumn="0" w:lastRowFirstColumn="0" w:lastRowLastColumn="0"/>
            <w:tcW w:w="4175" w:type="dxa"/>
            <w:gridSpan w:val="2"/>
            <w:tcBorders>
              <w:top w:val="nil"/>
              <w:bottom w:val="single" w:sz="2" w:space="0" w:color="1F4E79" w:themeColor="accent1" w:themeShade="80"/>
            </w:tcBorders>
            <w:shd w:val="clear" w:color="auto" w:fill="auto"/>
            <w:vAlign w:val="center"/>
          </w:tcPr>
          <w:p w14:paraId="4AD3CB99" w14:textId="77777777" w:rsidR="008B7E19" w:rsidRPr="00181218" w:rsidRDefault="008B7E19" w:rsidP="008B7E19">
            <w:pPr>
              <w:pStyle w:val="08-Tabelageral"/>
              <w:rPr>
                <w:sz w:val="12"/>
                <w:szCs w:val="12"/>
              </w:rPr>
            </w:pPr>
          </w:p>
        </w:tc>
        <w:tc>
          <w:tcPr>
            <w:tcW w:w="1339" w:type="dxa"/>
            <w:tcBorders>
              <w:top w:val="single" w:sz="2" w:space="0" w:color="1F4E79" w:themeColor="accent1" w:themeShade="80"/>
              <w:bottom w:val="single" w:sz="2" w:space="0" w:color="1F4E79" w:themeColor="accent1" w:themeShade="80"/>
            </w:tcBorders>
            <w:shd w:val="clear" w:color="auto" w:fill="auto"/>
            <w:vAlign w:val="center"/>
          </w:tcPr>
          <w:p w14:paraId="3A367796" w14:textId="77777777" w:rsidR="008B7E19" w:rsidRPr="00181218"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b/>
                <w:sz w:val="12"/>
                <w:szCs w:val="12"/>
              </w:rPr>
            </w:pPr>
            <w:r>
              <w:rPr>
                <w:b/>
                <w:sz w:val="12"/>
                <w:szCs w:val="12"/>
              </w:rPr>
              <w:t>Banco do Brasil</w:t>
            </w:r>
          </w:p>
        </w:tc>
        <w:tc>
          <w:tcPr>
            <w:tcW w:w="1339" w:type="dxa"/>
            <w:tcBorders>
              <w:top w:val="single" w:sz="2" w:space="0" w:color="1F4E79" w:themeColor="accent1" w:themeShade="80"/>
              <w:bottom w:val="single" w:sz="2" w:space="0" w:color="1F4E79" w:themeColor="accent1" w:themeShade="80"/>
            </w:tcBorders>
            <w:shd w:val="clear" w:color="auto" w:fill="auto"/>
            <w:vAlign w:val="center"/>
          </w:tcPr>
          <w:p w14:paraId="56968883" w14:textId="77777777" w:rsidR="008B7E19" w:rsidRPr="00181218"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b/>
                <w:sz w:val="12"/>
                <w:szCs w:val="12"/>
              </w:rPr>
            </w:pPr>
            <w:r w:rsidRPr="00181218">
              <w:rPr>
                <w:b/>
                <w:sz w:val="12"/>
                <w:szCs w:val="12"/>
              </w:rPr>
              <w:t>Subsidiaries</w:t>
            </w:r>
            <w:r>
              <w:rPr>
                <w:b/>
                <w:sz w:val="12"/>
                <w:szCs w:val="12"/>
              </w:rPr>
              <w:t xml:space="preserve"> </w:t>
            </w:r>
            <w:r w:rsidRPr="00181218">
              <w:rPr>
                <w:b/>
                <w:sz w:val="12"/>
                <w:szCs w:val="12"/>
                <w:vertAlign w:val="superscript"/>
              </w:rPr>
              <w:t>(</w:t>
            </w:r>
            <w:r>
              <w:rPr>
                <w:b/>
                <w:sz w:val="12"/>
                <w:szCs w:val="12"/>
                <w:vertAlign w:val="superscript"/>
              </w:rPr>
              <w:t>1</w:t>
            </w:r>
            <w:r w:rsidRPr="00181218">
              <w:rPr>
                <w:b/>
                <w:sz w:val="12"/>
                <w:szCs w:val="12"/>
                <w:vertAlign w:val="superscript"/>
              </w:rPr>
              <w:t>)</w:t>
            </w:r>
          </w:p>
        </w:tc>
        <w:tc>
          <w:tcPr>
            <w:tcW w:w="1339" w:type="dxa"/>
            <w:tcBorders>
              <w:top w:val="single" w:sz="2" w:space="0" w:color="1F4E79" w:themeColor="accent1" w:themeShade="80"/>
              <w:bottom w:val="single" w:sz="2" w:space="0" w:color="1F4E79" w:themeColor="accent1" w:themeShade="80"/>
            </w:tcBorders>
            <w:shd w:val="clear" w:color="auto" w:fill="auto"/>
            <w:vAlign w:val="center"/>
          </w:tcPr>
          <w:p w14:paraId="67FFED51" w14:textId="77777777" w:rsidR="008B7E19" w:rsidRPr="00181218"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b/>
                <w:sz w:val="12"/>
                <w:szCs w:val="12"/>
              </w:rPr>
            </w:pPr>
            <w:r>
              <w:rPr>
                <w:b/>
                <w:sz w:val="12"/>
                <w:szCs w:val="12"/>
              </w:rPr>
              <w:t>Banco do Brasil</w:t>
            </w:r>
          </w:p>
        </w:tc>
        <w:tc>
          <w:tcPr>
            <w:tcW w:w="1447" w:type="dxa"/>
            <w:tcBorders>
              <w:top w:val="single" w:sz="2" w:space="0" w:color="1F4E79" w:themeColor="accent1" w:themeShade="80"/>
              <w:bottom w:val="single" w:sz="2" w:space="0" w:color="1F4E79" w:themeColor="accent1" w:themeShade="80"/>
            </w:tcBorders>
            <w:shd w:val="clear" w:color="auto" w:fill="auto"/>
            <w:vAlign w:val="center"/>
          </w:tcPr>
          <w:p w14:paraId="6040338F" w14:textId="77777777" w:rsidR="008B7E19" w:rsidRPr="00181218"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b/>
                <w:sz w:val="12"/>
                <w:szCs w:val="12"/>
              </w:rPr>
            </w:pPr>
            <w:r w:rsidRPr="00181218">
              <w:rPr>
                <w:b/>
                <w:sz w:val="12"/>
                <w:szCs w:val="12"/>
              </w:rPr>
              <w:t>Subsidiaries</w:t>
            </w:r>
            <w:r>
              <w:rPr>
                <w:b/>
                <w:sz w:val="12"/>
                <w:szCs w:val="12"/>
              </w:rPr>
              <w:t xml:space="preserve"> </w:t>
            </w:r>
            <w:r w:rsidRPr="00181218">
              <w:rPr>
                <w:b/>
                <w:sz w:val="12"/>
                <w:szCs w:val="12"/>
                <w:vertAlign w:val="superscript"/>
              </w:rPr>
              <w:t>(</w:t>
            </w:r>
            <w:r>
              <w:rPr>
                <w:b/>
                <w:sz w:val="12"/>
                <w:szCs w:val="12"/>
                <w:vertAlign w:val="superscript"/>
              </w:rPr>
              <w:t>1</w:t>
            </w:r>
            <w:r w:rsidRPr="00181218">
              <w:rPr>
                <w:b/>
                <w:sz w:val="12"/>
                <w:szCs w:val="12"/>
                <w:vertAlign w:val="superscript"/>
              </w:rPr>
              <w:t>)</w:t>
            </w:r>
          </w:p>
        </w:tc>
      </w:tr>
      <w:tr w:rsidR="008B7E19" w:rsidRPr="00181218" w14:paraId="310219EB" w14:textId="77777777" w:rsidTr="005B5353">
        <w:trPr>
          <w:cnfStyle w:val="000000010000" w:firstRow="0" w:lastRow="0" w:firstColumn="0" w:lastColumn="0" w:oddVBand="0" w:evenVBand="0" w:oddHBand="0" w:evenHBand="1" w:firstRowFirstColumn="0" w:firstRowLastColumn="0" w:lastRowFirstColumn="0" w:lastRowLastColumn="0"/>
          <w:trHeight w:val="241"/>
          <w:jc w:val="center"/>
        </w:trPr>
        <w:tc>
          <w:tcPr>
            <w:cnfStyle w:val="001000000000" w:firstRow="0" w:lastRow="0" w:firstColumn="1" w:lastColumn="0" w:oddVBand="0" w:evenVBand="0" w:oddHBand="0" w:evenHBand="0" w:firstRowFirstColumn="0" w:firstRowLastColumn="0" w:lastRowFirstColumn="0" w:lastRowLastColumn="0"/>
            <w:tcW w:w="4175" w:type="dxa"/>
            <w:gridSpan w:val="2"/>
            <w:tcBorders>
              <w:top w:val="single" w:sz="2" w:space="0" w:color="1F4E79" w:themeColor="accent1" w:themeShade="80"/>
              <w:bottom w:val="nil"/>
            </w:tcBorders>
            <w:shd w:val="clear" w:color="auto" w:fill="auto"/>
            <w:vAlign w:val="center"/>
          </w:tcPr>
          <w:p w14:paraId="16DDF784" w14:textId="77777777" w:rsidR="008B7E19" w:rsidRPr="00181218" w:rsidRDefault="008B7E19" w:rsidP="008B7E19">
            <w:pPr>
              <w:pStyle w:val="08-Tabelageral"/>
              <w:jc w:val="left"/>
            </w:pPr>
            <w:r w:rsidRPr="00181218">
              <w:t>Assets</w:t>
            </w:r>
          </w:p>
        </w:tc>
        <w:tc>
          <w:tcPr>
            <w:tcW w:w="1339" w:type="dxa"/>
            <w:tcBorders>
              <w:top w:val="single" w:sz="2" w:space="0" w:color="1F4E79" w:themeColor="accent1" w:themeShade="80"/>
              <w:bottom w:val="nil"/>
            </w:tcBorders>
            <w:shd w:val="clear" w:color="auto" w:fill="auto"/>
            <w:vAlign w:val="center"/>
          </w:tcPr>
          <w:p w14:paraId="5C6D4A35" w14:textId="77777777" w:rsidR="008B7E19" w:rsidRPr="00181218" w:rsidRDefault="008B7E19" w:rsidP="008B7E19">
            <w:pPr>
              <w:pStyle w:val="08-Tabelageral"/>
              <w:cnfStyle w:val="000000010000" w:firstRow="0" w:lastRow="0" w:firstColumn="0" w:lastColumn="0" w:oddVBand="0" w:evenVBand="0" w:oddHBand="0" w:evenHBand="1" w:firstRowFirstColumn="0" w:firstRowLastColumn="0" w:lastRowFirstColumn="0" w:lastRowLastColumn="0"/>
              <w:rPr>
                <w:b/>
                <w:szCs w:val="14"/>
              </w:rPr>
            </w:pPr>
          </w:p>
        </w:tc>
        <w:tc>
          <w:tcPr>
            <w:tcW w:w="1339" w:type="dxa"/>
            <w:tcBorders>
              <w:top w:val="single" w:sz="2" w:space="0" w:color="1F4E79" w:themeColor="accent1" w:themeShade="80"/>
              <w:bottom w:val="nil"/>
            </w:tcBorders>
            <w:shd w:val="clear" w:color="auto" w:fill="auto"/>
          </w:tcPr>
          <w:p w14:paraId="67C4C97D" w14:textId="77777777" w:rsidR="008B7E19" w:rsidRPr="00181218" w:rsidRDefault="008B7E19" w:rsidP="008B7E19">
            <w:pPr>
              <w:pStyle w:val="08-Tabelageral"/>
              <w:cnfStyle w:val="000000010000" w:firstRow="0" w:lastRow="0" w:firstColumn="0" w:lastColumn="0" w:oddVBand="0" w:evenVBand="0" w:oddHBand="0" w:evenHBand="1" w:firstRowFirstColumn="0" w:firstRowLastColumn="0" w:lastRowFirstColumn="0" w:lastRowLastColumn="0"/>
              <w:rPr>
                <w:b/>
                <w:szCs w:val="14"/>
              </w:rPr>
            </w:pPr>
          </w:p>
        </w:tc>
        <w:tc>
          <w:tcPr>
            <w:tcW w:w="1339" w:type="dxa"/>
            <w:tcBorders>
              <w:top w:val="single" w:sz="2" w:space="0" w:color="1F4E79" w:themeColor="accent1" w:themeShade="80"/>
              <w:bottom w:val="nil"/>
            </w:tcBorders>
            <w:shd w:val="clear" w:color="auto" w:fill="auto"/>
          </w:tcPr>
          <w:p w14:paraId="0372B261" w14:textId="77777777" w:rsidR="008B7E19" w:rsidRPr="00181218" w:rsidRDefault="008B7E19" w:rsidP="008B7E19">
            <w:pPr>
              <w:pStyle w:val="08-Tabelageral"/>
              <w:cnfStyle w:val="000000010000" w:firstRow="0" w:lastRow="0" w:firstColumn="0" w:lastColumn="0" w:oddVBand="0" w:evenVBand="0" w:oddHBand="0" w:evenHBand="1" w:firstRowFirstColumn="0" w:firstRowLastColumn="0" w:lastRowFirstColumn="0" w:lastRowLastColumn="0"/>
              <w:rPr>
                <w:b/>
              </w:rPr>
            </w:pPr>
          </w:p>
        </w:tc>
        <w:tc>
          <w:tcPr>
            <w:tcW w:w="1447" w:type="dxa"/>
            <w:tcBorders>
              <w:top w:val="single" w:sz="2" w:space="0" w:color="1F4E79" w:themeColor="accent1" w:themeShade="80"/>
              <w:bottom w:val="nil"/>
            </w:tcBorders>
            <w:shd w:val="clear" w:color="auto" w:fill="auto"/>
          </w:tcPr>
          <w:p w14:paraId="6231F147" w14:textId="77777777" w:rsidR="008B7E19" w:rsidRPr="00181218" w:rsidRDefault="008B7E19" w:rsidP="008B7E19">
            <w:pPr>
              <w:pStyle w:val="08-Tabelageral"/>
              <w:cnfStyle w:val="000000010000" w:firstRow="0" w:lastRow="0" w:firstColumn="0" w:lastColumn="0" w:oddVBand="0" w:evenVBand="0" w:oddHBand="0" w:evenHBand="1" w:firstRowFirstColumn="0" w:firstRowLastColumn="0" w:lastRowFirstColumn="0" w:lastRowLastColumn="0"/>
              <w:rPr>
                <w:b/>
              </w:rPr>
            </w:pPr>
          </w:p>
        </w:tc>
      </w:tr>
      <w:tr w:rsidR="008B7E19" w:rsidRPr="00181218" w14:paraId="505CD193" w14:textId="77777777" w:rsidTr="005B5353">
        <w:trPr>
          <w:cnfStyle w:val="000000100000" w:firstRow="0" w:lastRow="0" w:firstColumn="0" w:lastColumn="0" w:oddVBand="0" w:evenVBand="0" w:oddHBand="1" w:evenHBand="0" w:firstRowFirstColumn="0" w:firstRowLastColumn="0" w:lastRowFirstColumn="0" w:lastRowLastColumn="0"/>
          <w:trHeight w:val="241"/>
          <w:jc w:val="center"/>
        </w:trPr>
        <w:tc>
          <w:tcPr>
            <w:cnfStyle w:val="001000000000" w:firstRow="0" w:lastRow="0" w:firstColumn="1" w:lastColumn="0" w:oddVBand="0" w:evenVBand="0" w:oddHBand="0" w:evenHBand="0" w:firstRowFirstColumn="0" w:firstRowLastColumn="0" w:lastRowFirstColumn="0" w:lastRowLastColumn="0"/>
            <w:tcW w:w="4175" w:type="dxa"/>
            <w:gridSpan w:val="2"/>
            <w:tcBorders>
              <w:top w:val="nil"/>
              <w:bottom w:val="nil"/>
            </w:tcBorders>
            <w:shd w:val="clear" w:color="auto" w:fill="auto"/>
          </w:tcPr>
          <w:p w14:paraId="38A92024" w14:textId="77777777" w:rsidR="008B7E19" w:rsidRPr="00181218" w:rsidRDefault="008B7E19" w:rsidP="008B7E19">
            <w:pPr>
              <w:pStyle w:val="08-Tabelageral"/>
              <w:jc w:val="left"/>
              <w:rPr>
                <w:b w:val="0"/>
              </w:rPr>
            </w:pPr>
            <w:r w:rsidRPr="00181218">
              <w:rPr>
                <w:b w:val="0"/>
              </w:rPr>
              <w:t>Cash and cash equivalent</w:t>
            </w:r>
            <w:r>
              <w:rPr>
                <w:b w:val="0"/>
              </w:rPr>
              <w:t>s</w:t>
            </w:r>
          </w:p>
        </w:tc>
        <w:tc>
          <w:tcPr>
            <w:tcW w:w="1339" w:type="dxa"/>
            <w:shd w:val="clear" w:color="auto" w:fill="auto"/>
          </w:tcPr>
          <w:p w14:paraId="4B42E1C4" w14:textId="77777777" w:rsidR="008B7E19" w:rsidRPr="00181218" w:rsidRDefault="008B7E19" w:rsidP="008B7E19">
            <w:pPr>
              <w:pStyle w:val="08-Tabelageral"/>
              <w:cnfStyle w:val="000000100000" w:firstRow="0" w:lastRow="0" w:firstColumn="0" w:lastColumn="0" w:oddVBand="0" w:evenVBand="0" w:oddHBand="1" w:evenHBand="0" w:firstRowFirstColumn="0" w:firstRowLastColumn="0" w:lastRowFirstColumn="0" w:lastRowLastColumn="0"/>
            </w:pPr>
            <w:r w:rsidRPr="00BB4301">
              <w:t>1</w:t>
            </w:r>
            <w:r>
              <w:t>,</w:t>
            </w:r>
            <w:r w:rsidRPr="00BB4301">
              <w:t>050</w:t>
            </w:r>
            <w:r>
              <w:t>,</w:t>
            </w:r>
            <w:r w:rsidRPr="00BB4301">
              <w:t>803</w:t>
            </w:r>
          </w:p>
        </w:tc>
        <w:tc>
          <w:tcPr>
            <w:tcW w:w="1339" w:type="dxa"/>
            <w:shd w:val="clear" w:color="auto" w:fill="auto"/>
          </w:tcPr>
          <w:p w14:paraId="5FDBEA20" w14:textId="77777777" w:rsidR="008B7E19" w:rsidRPr="00181218" w:rsidRDefault="008B7E19" w:rsidP="008B7E19">
            <w:pPr>
              <w:pStyle w:val="08-Tabelageral"/>
              <w:cnfStyle w:val="000000100000" w:firstRow="0" w:lastRow="0" w:firstColumn="0" w:lastColumn="0" w:oddVBand="0" w:evenVBand="0" w:oddHBand="1" w:evenHBand="0" w:firstRowFirstColumn="0" w:firstRowLastColumn="0" w:lastRowFirstColumn="0" w:lastRowLastColumn="0"/>
            </w:pPr>
            <w:r>
              <w:t>--</w:t>
            </w:r>
          </w:p>
        </w:tc>
        <w:tc>
          <w:tcPr>
            <w:tcW w:w="1339" w:type="dxa"/>
            <w:shd w:val="clear" w:color="auto" w:fill="auto"/>
          </w:tcPr>
          <w:p w14:paraId="12B1CA3C" w14:textId="77777777" w:rsidR="008B7E19" w:rsidRPr="00181218" w:rsidRDefault="008B7E19" w:rsidP="008B7E19">
            <w:pPr>
              <w:pStyle w:val="08-Tabelageral"/>
              <w:cnfStyle w:val="000000100000" w:firstRow="0" w:lastRow="0" w:firstColumn="0" w:lastColumn="0" w:oddVBand="0" w:evenVBand="0" w:oddHBand="1" w:evenHBand="0" w:firstRowFirstColumn="0" w:firstRowLastColumn="0" w:lastRowFirstColumn="0" w:lastRowLastColumn="0"/>
            </w:pPr>
            <w:r>
              <w:t>59,003</w:t>
            </w:r>
          </w:p>
        </w:tc>
        <w:tc>
          <w:tcPr>
            <w:tcW w:w="1447" w:type="dxa"/>
            <w:shd w:val="clear" w:color="auto" w:fill="auto"/>
          </w:tcPr>
          <w:p w14:paraId="49A815E5" w14:textId="77777777" w:rsidR="008B7E19" w:rsidRPr="00181218" w:rsidRDefault="008B7E19" w:rsidP="008B7E19">
            <w:pPr>
              <w:pStyle w:val="08-Tabelageral"/>
              <w:cnfStyle w:val="000000100000" w:firstRow="0" w:lastRow="0" w:firstColumn="0" w:lastColumn="0" w:oddVBand="0" w:evenVBand="0" w:oddHBand="1" w:evenHBand="0" w:firstRowFirstColumn="0" w:firstRowLastColumn="0" w:lastRowFirstColumn="0" w:lastRowLastColumn="0"/>
            </w:pPr>
            <w:r>
              <w:t>--</w:t>
            </w:r>
          </w:p>
        </w:tc>
      </w:tr>
      <w:tr w:rsidR="008B7E19" w:rsidRPr="00181218" w14:paraId="5ED10075" w14:textId="77777777" w:rsidTr="005B5353">
        <w:trPr>
          <w:cnfStyle w:val="000000010000" w:firstRow="0" w:lastRow="0" w:firstColumn="0" w:lastColumn="0" w:oddVBand="0" w:evenVBand="0" w:oddHBand="0" w:evenHBand="1" w:firstRowFirstColumn="0" w:firstRowLastColumn="0" w:lastRowFirstColumn="0" w:lastRowLastColumn="0"/>
          <w:trHeight w:val="241"/>
          <w:jc w:val="center"/>
        </w:trPr>
        <w:tc>
          <w:tcPr>
            <w:cnfStyle w:val="001000000000" w:firstRow="0" w:lastRow="0" w:firstColumn="1" w:lastColumn="0" w:oddVBand="0" w:evenVBand="0" w:oddHBand="0" w:evenHBand="0" w:firstRowFirstColumn="0" w:firstRowLastColumn="0" w:lastRowFirstColumn="0" w:lastRowLastColumn="0"/>
            <w:tcW w:w="4175" w:type="dxa"/>
            <w:gridSpan w:val="2"/>
            <w:tcBorders>
              <w:top w:val="nil"/>
              <w:bottom w:val="nil"/>
            </w:tcBorders>
            <w:shd w:val="clear" w:color="auto" w:fill="auto"/>
          </w:tcPr>
          <w:p w14:paraId="13E0D703" w14:textId="77777777" w:rsidR="008B7E19" w:rsidRPr="00181218" w:rsidRDefault="008B7E19" w:rsidP="008B7E19">
            <w:pPr>
              <w:pStyle w:val="08-Tabelageral"/>
              <w:jc w:val="left"/>
              <w:rPr>
                <w:b w:val="0"/>
              </w:rPr>
            </w:pPr>
            <w:r w:rsidRPr="00181218">
              <w:rPr>
                <w:b w:val="0"/>
              </w:rPr>
              <w:t>Dividends/interest on equity receivable</w:t>
            </w:r>
          </w:p>
        </w:tc>
        <w:tc>
          <w:tcPr>
            <w:tcW w:w="1339" w:type="dxa"/>
            <w:shd w:val="clear" w:color="auto" w:fill="auto"/>
          </w:tcPr>
          <w:p w14:paraId="33A54311" w14:textId="77777777" w:rsidR="008B7E19" w:rsidRPr="00181218" w:rsidRDefault="008B7E19" w:rsidP="008B7E19">
            <w:pPr>
              <w:pStyle w:val="08-Tabelageral"/>
              <w:cnfStyle w:val="000000010000" w:firstRow="0" w:lastRow="0" w:firstColumn="0" w:lastColumn="0" w:oddVBand="0" w:evenVBand="0" w:oddHBand="0" w:evenHBand="1" w:firstRowFirstColumn="0" w:firstRowLastColumn="0" w:lastRowFirstColumn="0" w:lastRowLastColumn="0"/>
            </w:pPr>
            <w:r>
              <w:t>--</w:t>
            </w:r>
          </w:p>
        </w:tc>
        <w:tc>
          <w:tcPr>
            <w:tcW w:w="1339" w:type="dxa"/>
            <w:shd w:val="clear" w:color="auto" w:fill="auto"/>
          </w:tcPr>
          <w:p w14:paraId="660AA6C2" w14:textId="77777777" w:rsidR="008B7E19" w:rsidRPr="00181218" w:rsidRDefault="008B7E19" w:rsidP="008B7E19">
            <w:pPr>
              <w:pStyle w:val="08-Tabelageral"/>
              <w:cnfStyle w:val="000000010000" w:firstRow="0" w:lastRow="0" w:firstColumn="0" w:lastColumn="0" w:oddVBand="0" w:evenVBand="0" w:oddHBand="0" w:evenHBand="1" w:firstRowFirstColumn="0" w:firstRowLastColumn="0" w:lastRowFirstColumn="0" w:lastRowLastColumn="0"/>
            </w:pPr>
            <w:r>
              <w:rPr>
                <w:rFonts w:cs="Arial"/>
                <w:color w:val="000000"/>
                <w:szCs w:val="14"/>
              </w:rPr>
              <w:t xml:space="preserve">          2,228,680</w:t>
            </w:r>
          </w:p>
        </w:tc>
        <w:tc>
          <w:tcPr>
            <w:tcW w:w="1339" w:type="dxa"/>
            <w:shd w:val="clear" w:color="auto" w:fill="auto"/>
          </w:tcPr>
          <w:p w14:paraId="41AC5A89" w14:textId="77777777" w:rsidR="008B7E19" w:rsidRPr="00181218" w:rsidRDefault="008B7E19" w:rsidP="008B7E19">
            <w:pPr>
              <w:pStyle w:val="08-Tabelageral"/>
              <w:cnfStyle w:val="000000010000" w:firstRow="0" w:lastRow="0" w:firstColumn="0" w:lastColumn="0" w:oddVBand="0" w:evenVBand="0" w:oddHBand="0" w:evenHBand="1" w:firstRowFirstColumn="0" w:firstRowLastColumn="0" w:lastRowFirstColumn="0" w:lastRowLastColumn="0"/>
            </w:pPr>
            <w:r>
              <w:t>--</w:t>
            </w:r>
          </w:p>
        </w:tc>
        <w:tc>
          <w:tcPr>
            <w:tcW w:w="1447" w:type="dxa"/>
            <w:shd w:val="clear" w:color="auto" w:fill="auto"/>
          </w:tcPr>
          <w:p w14:paraId="0C1A0F7E" w14:textId="77777777" w:rsidR="008B7E19" w:rsidRPr="00181218" w:rsidRDefault="008B7E19" w:rsidP="008B7E19">
            <w:pPr>
              <w:pStyle w:val="08-Tabelageral"/>
              <w:cnfStyle w:val="000000010000" w:firstRow="0" w:lastRow="0" w:firstColumn="0" w:lastColumn="0" w:oddVBand="0" w:evenVBand="0" w:oddHBand="0" w:evenHBand="1" w:firstRowFirstColumn="0" w:firstRowLastColumn="0" w:lastRowFirstColumn="0" w:lastRowLastColumn="0"/>
            </w:pPr>
            <w:r>
              <w:t>3,683,355</w:t>
            </w:r>
          </w:p>
        </w:tc>
      </w:tr>
      <w:tr w:rsidR="008B7E19" w:rsidRPr="00181218" w14:paraId="0DC5A64E" w14:textId="77777777" w:rsidTr="005B5353">
        <w:trPr>
          <w:cnfStyle w:val="000000100000" w:firstRow="0" w:lastRow="0" w:firstColumn="0" w:lastColumn="0" w:oddVBand="0" w:evenVBand="0" w:oddHBand="1" w:evenHBand="0" w:firstRowFirstColumn="0" w:firstRowLastColumn="0" w:lastRowFirstColumn="0" w:lastRowLastColumn="0"/>
          <w:trHeight w:val="241"/>
          <w:jc w:val="center"/>
        </w:trPr>
        <w:tc>
          <w:tcPr>
            <w:cnfStyle w:val="001000000000" w:firstRow="0" w:lastRow="0" w:firstColumn="1" w:lastColumn="0" w:oddVBand="0" w:evenVBand="0" w:oddHBand="0" w:evenHBand="0" w:firstRowFirstColumn="0" w:firstRowLastColumn="0" w:lastRowFirstColumn="0" w:lastRowLastColumn="0"/>
            <w:tcW w:w="4175" w:type="dxa"/>
            <w:gridSpan w:val="2"/>
            <w:tcBorders>
              <w:top w:val="nil"/>
              <w:bottom w:val="nil"/>
            </w:tcBorders>
            <w:shd w:val="clear" w:color="auto" w:fill="auto"/>
          </w:tcPr>
          <w:p w14:paraId="130B5E60" w14:textId="77777777" w:rsidR="008B7E19" w:rsidRPr="00181218" w:rsidRDefault="008B7E19" w:rsidP="008B7E19">
            <w:pPr>
              <w:pStyle w:val="08-Tabelageral"/>
              <w:jc w:val="left"/>
              <w:rPr>
                <w:b w:val="0"/>
              </w:rPr>
            </w:pPr>
            <w:r w:rsidRPr="00181218">
              <w:rPr>
                <w:b w:val="0"/>
              </w:rPr>
              <w:t>Receive with related parties</w:t>
            </w:r>
          </w:p>
        </w:tc>
        <w:tc>
          <w:tcPr>
            <w:tcW w:w="1339" w:type="dxa"/>
            <w:shd w:val="clear" w:color="auto" w:fill="auto"/>
          </w:tcPr>
          <w:p w14:paraId="3630427F" w14:textId="77777777" w:rsidR="008B7E19" w:rsidRPr="00181218" w:rsidRDefault="008B7E19" w:rsidP="008B7E19">
            <w:pPr>
              <w:pStyle w:val="08-Tabelageral"/>
              <w:cnfStyle w:val="000000100000" w:firstRow="0" w:lastRow="0" w:firstColumn="0" w:lastColumn="0" w:oddVBand="0" w:evenVBand="0" w:oddHBand="1" w:evenHBand="0" w:firstRowFirstColumn="0" w:firstRowLastColumn="0" w:lastRowFirstColumn="0" w:lastRowLastColumn="0"/>
            </w:pPr>
            <w:r>
              <w:t>--</w:t>
            </w:r>
          </w:p>
        </w:tc>
        <w:tc>
          <w:tcPr>
            <w:tcW w:w="1339" w:type="dxa"/>
            <w:shd w:val="clear" w:color="auto" w:fill="auto"/>
          </w:tcPr>
          <w:p w14:paraId="7473CFC2" w14:textId="77777777" w:rsidR="008B7E19" w:rsidRPr="00181218" w:rsidRDefault="008B7E19" w:rsidP="008B7E19">
            <w:pPr>
              <w:pStyle w:val="08-Tabelageral"/>
              <w:cnfStyle w:val="000000100000" w:firstRow="0" w:lastRow="0" w:firstColumn="0" w:lastColumn="0" w:oddVBand="0" w:evenVBand="0" w:oddHBand="1" w:evenHBand="0" w:firstRowFirstColumn="0" w:firstRowLastColumn="0" w:lastRowFirstColumn="0" w:lastRowLastColumn="0"/>
            </w:pPr>
            <w:r>
              <w:t>7,874</w:t>
            </w:r>
          </w:p>
        </w:tc>
        <w:tc>
          <w:tcPr>
            <w:tcW w:w="1339" w:type="dxa"/>
            <w:shd w:val="clear" w:color="auto" w:fill="auto"/>
          </w:tcPr>
          <w:p w14:paraId="19F64C93" w14:textId="77777777" w:rsidR="008B7E19" w:rsidRPr="00181218" w:rsidRDefault="008B7E19" w:rsidP="008B7E19">
            <w:pPr>
              <w:pStyle w:val="08-Tabelageral"/>
              <w:cnfStyle w:val="000000100000" w:firstRow="0" w:lastRow="0" w:firstColumn="0" w:lastColumn="0" w:oddVBand="0" w:evenVBand="0" w:oddHBand="1" w:evenHBand="0" w:firstRowFirstColumn="0" w:firstRowLastColumn="0" w:lastRowFirstColumn="0" w:lastRowLastColumn="0"/>
            </w:pPr>
            <w:r>
              <w:t>--</w:t>
            </w:r>
          </w:p>
        </w:tc>
        <w:tc>
          <w:tcPr>
            <w:tcW w:w="1447" w:type="dxa"/>
            <w:shd w:val="clear" w:color="auto" w:fill="auto"/>
          </w:tcPr>
          <w:p w14:paraId="18E46A10" w14:textId="77777777" w:rsidR="008B7E19" w:rsidRPr="00181218" w:rsidRDefault="008B7E19" w:rsidP="008B7E19">
            <w:pPr>
              <w:pStyle w:val="08-Tabelageral"/>
              <w:cnfStyle w:val="000000100000" w:firstRow="0" w:lastRow="0" w:firstColumn="0" w:lastColumn="0" w:oddVBand="0" w:evenVBand="0" w:oddHBand="1" w:evenHBand="0" w:firstRowFirstColumn="0" w:firstRowLastColumn="0" w:lastRowFirstColumn="0" w:lastRowLastColumn="0"/>
            </w:pPr>
            <w:r>
              <w:t>9,365</w:t>
            </w:r>
          </w:p>
        </w:tc>
      </w:tr>
      <w:tr w:rsidR="008B7E19" w:rsidRPr="00181218" w14:paraId="64A7A92D" w14:textId="77777777" w:rsidTr="005B5353">
        <w:trPr>
          <w:cnfStyle w:val="000000010000" w:firstRow="0" w:lastRow="0" w:firstColumn="0" w:lastColumn="0" w:oddVBand="0" w:evenVBand="0" w:oddHBand="0" w:evenHBand="1" w:firstRowFirstColumn="0" w:firstRowLastColumn="0" w:lastRowFirstColumn="0" w:lastRowLastColumn="0"/>
          <w:trHeight w:val="241"/>
          <w:jc w:val="center"/>
        </w:trPr>
        <w:tc>
          <w:tcPr>
            <w:cnfStyle w:val="001000000000" w:firstRow="0" w:lastRow="0" w:firstColumn="1" w:lastColumn="0" w:oddVBand="0" w:evenVBand="0" w:oddHBand="0" w:evenHBand="0" w:firstRowFirstColumn="0" w:firstRowLastColumn="0" w:lastRowFirstColumn="0" w:lastRowLastColumn="0"/>
            <w:tcW w:w="4175" w:type="dxa"/>
            <w:gridSpan w:val="2"/>
            <w:tcBorders>
              <w:top w:val="nil"/>
              <w:bottom w:val="nil"/>
            </w:tcBorders>
            <w:shd w:val="clear" w:color="auto" w:fill="auto"/>
          </w:tcPr>
          <w:p w14:paraId="7289C48A" w14:textId="77777777" w:rsidR="008B7E19" w:rsidRPr="00181218" w:rsidRDefault="008B7E19" w:rsidP="008B7E19">
            <w:pPr>
              <w:pStyle w:val="08-Tabelageral"/>
              <w:jc w:val="left"/>
            </w:pPr>
            <w:r w:rsidRPr="00181218">
              <w:t>Liabilities</w:t>
            </w:r>
          </w:p>
        </w:tc>
        <w:tc>
          <w:tcPr>
            <w:tcW w:w="1339" w:type="dxa"/>
            <w:shd w:val="clear" w:color="auto" w:fill="auto"/>
          </w:tcPr>
          <w:p w14:paraId="2A45E9E8" w14:textId="77777777" w:rsidR="008B7E19" w:rsidRPr="00181218" w:rsidRDefault="008B7E19" w:rsidP="008B7E19">
            <w:pPr>
              <w:pStyle w:val="08-Tabelageral"/>
              <w:cnfStyle w:val="000000010000" w:firstRow="0" w:lastRow="0" w:firstColumn="0" w:lastColumn="0" w:oddVBand="0" w:evenVBand="0" w:oddHBand="0" w:evenHBand="1" w:firstRowFirstColumn="0" w:firstRowLastColumn="0" w:lastRowFirstColumn="0" w:lastRowLastColumn="0"/>
              <w:rPr>
                <w:b/>
              </w:rPr>
            </w:pPr>
          </w:p>
        </w:tc>
        <w:tc>
          <w:tcPr>
            <w:tcW w:w="1339" w:type="dxa"/>
            <w:shd w:val="clear" w:color="auto" w:fill="auto"/>
          </w:tcPr>
          <w:p w14:paraId="572B21DA" w14:textId="77777777" w:rsidR="008B7E19" w:rsidRPr="00181218" w:rsidRDefault="008B7E19" w:rsidP="008B7E19">
            <w:pPr>
              <w:pStyle w:val="08-Tabelageral"/>
              <w:cnfStyle w:val="000000010000" w:firstRow="0" w:lastRow="0" w:firstColumn="0" w:lastColumn="0" w:oddVBand="0" w:evenVBand="0" w:oddHBand="0" w:evenHBand="1" w:firstRowFirstColumn="0" w:firstRowLastColumn="0" w:lastRowFirstColumn="0" w:lastRowLastColumn="0"/>
              <w:rPr>
                <w:b/>
              </w:rPr>
            </w:pPr>
          </w:p>
        </w:tc>
        <w:tc>
          <w:tcPr>
            <w:tcW w:w="1339" w:type="dxa"/>
            <w:shd w:val="clear" w:color="auto" w:fill="auto"/>
          </w:tcPr>
          <w:p w14:paraId="2CBE875B" w14:textId="77777777" w:rsidR="008B7E19" w:rsidRPr="00181218" w:rsidRDefault="008B7E19" w:rsidP="008B7E19">
            <w:pPr>
              <w:pStyle w:val="08-Tabelageral"/>
              <w:cnfStyle w:val="000000010000" w:firstRow="0" w:lastRow="0" w:firstColumn="0" w:lastColumn="0" w:oddVBand="0" w:evenVBand="0" w:oddHBand="0" w:evenHBand="1" w:firstRowFirstColumn="0" w:firstRowLastColumn="0" w:lastRowFirstColumn="0" w:lastRowLastColumn="0"/>
              <w:rPr>
                <w:b/>
              </w:rPr>
            </w:pPr>
          </w:p>
        </w:tc>
        <w:tc>
          <w:tcPr>
            <w:tcW w:w="1447" w:type="dxa"/>
            <w:shd w:val="clear" w:color="auto" w:fill="auto"/>
          </w:tcPr>
          <w:p w14:paraId="245B7BC3" w14:textId="77777777" w:rsidR="008B7E19" w:rsidRPr="00181218" w:rsidRDefault="008B7E19" w:rsidP="008B7E19">
            <w:pPr>
              <w:pStyle w:val="08-Tabelageral"/>
              <w:cnfStyle w:val="000000010000" w:firstRow="0" w:lastRow="0" w:firstColumn="0" w:lastColumn="0" w:oddVBand="0" w:evenVBand="0" w:oddHBand="0" w:evenHBand="1" w:firstRowFirstColumn="0" w:firstRowLastColumn="0" w:lastRowFirstColumn="0" w:lastRowLastColumn="0"/>
              <w:rPr>
                <w:b/>
              </w:rPr>
            </w:pPr>
          </w:p>
        </w:tc>
      </w:tr>
      <w:tr w:rsidR="008B7E19" w:rsidRPr="00181218" w14:paraId="5D76DFBB" w14:textId="77777777" w:rsidTr="005B5353">
        <w:trPr>
          <w:cnfStyle w:val="000000100000" w:firstRow="0" w:lastRow="0" w:firstColumn="0" w:lastColumn="0" w:oddVBand="0" w:evenVBand="0" w:oddHBand="1" w:evenHBand="0" w:firstRowFirstColumn="0" w:firstRowLastColumn="0" w:lastRowFirstColumn="0" w:lastRowLastColumn="0"/>
          <w:trHeight w:val="241"/>
          <w:jc w:val="center"/>
        </w:trPr>
        <w:tc>
          <w:tcPr>
            <w:cnfStyle w:val="001000000000" w:firstRow="0" w:lastRow="0" w:firstColumn="1" w:lastColumn="0" w:oddVBand="0" w:evenVBand="0" w:oddHBand="0" w:evenHBand="0" w:firstRowFirstColumn="0" w:firstRowLastColumn="0" w:lastRowFirstColumn="0" w:lastRowLastColumn="0"/>
            <w:tcW w:w="4175" w:type="dxa"/>
            <w:gridSpan w:val="2"/>
            <w:tcBorders>
              <w:top w:val="nil"/>
              <w:bottom w:val="nil"/>
            </w:tcBorders>
            <w:shd w:val="clear" w:color="auto" w:fill="auto"/>
          </w:tcPr>
          <w:p w14:paraId="0F120C2D" w14:textId="77777777" w:rsidR="008B7E19" w:rsidRPr="00181218" w:rsidRDefault="008B7E19" w:rsidP="008B7E19">
            <w:pPr>
              <w:pStyle w:val="08-Tabelageral"/>
              <w:jc w:val="left"/>
              <w:rPr>
                <w:b w:val="0"/>
              </w:rPr>
            </w:pPr>
            <w:r w:rsidRPr="00181218">
              <w:rPr>
                <w:b w:val="0"/>
              </w:rPr>
              <w:t>Social and statutory obligations</w:t>
            </w:r>
          </w:p>
        </w:tc>
        <w:tc>
          <w:tcPr>
            <w:tcW w:w="1339" w:type="dxa"/>
            <w:tcBorders>
              <w:bottom w:val="nil"/>
            </w:tcBorders>
            <w:shd w:val="clear" w:color="auto" w:fill="auto"/>
            <w:vAlign w:val="center"/>
          </w:tcPr>
          <w:p w14:paraId="4269D23F" w14:textId="77777777" w:rsidR="008B7E19" w:rsidRPr="00181218" w:rsidRDefault="008B7E19" w:rsidP="008B7E19">
            <w:pPr>
              <w:pStyle w:val="08-Tabelageral"/>
              <w:cnfStyle w:val="000000100000" w:firstRow="0" w:lastRow="0" w:firstColumn="0" w:lastColumn="0" w:oddVBand="0" w:evenVBand="0" w:oddHBand="1" w:evenHBand="0" w:firstRowFirstColumn="0" w:firstRowLastColumn="0" w:lastRowFirstColumn="0" w:lastRowLastColumn="0"/>
            </w:pPr>
            <w:r>
              <w:rPr>
                <w:rFonts w:cs="Arial"/>
                <w:color w:val="000000"/>
                <w:szCs w:val="14"/>
              </w:rPr>
              <w:t>2,126,823</w:t>
            </w:r>
          </w:p>
        </w:tc>
        <w:tc>
          <w:tcPr>
            <w:tcW w:w="1339" w:type="dxa"/>
            <w:tcBorders>
              <w:bottom w:val="nil"/>
            </w:tcBorders>
            <w:shd w:val="clear" w:color="auto" w:fill="auto"/>
          </w:tcPr>
          <w:p w14:paraId="70B381B1" w14:textId="77777777" w:rsidR="008B7E19" w:rsidRPr="00181218" w:rsidRDefault="008B7E19" w:rsidP="008B7E19">
            <w:pPr>
              <w:pStyle w:val="08-Tabelageral"/>
              <w:cnfStyle w:val="000000100000" w:firstRow="0" w:lastRow="0" w:firstColumn="0" w:lastColumn="0" w:oddVBand="0" w:evenVBand="0" w:oddHBand="1" w:evenHBand="0" w:firstRowFirstColumn="0" w:firstRowLastColumn="0" w:lastRowFirstColumn="0" w:lastRowLastColumn="0"/>
            </w:pPr>
            <w:r>
              <w:t>--</w:t>
            </w:r>
          </w:p>
        </w:tc>
        <w:tc>
          <w:tcPr>
            <w:tcW w:w="1339" w:type="dxa"/>
            <w:tcBorders>
              <w:bottom w:val="nil"/>
            </w:tcBorders>
            <w:shd w:val="clear" w:color="auto" w:fill="auto"/>
          </w:tcPr>
          <w:p w14:paraId="31835618" w14:textId="77777777" w:rsidR="008B7E19" w:rsidRPr="00181218" w:rsidRDefault="008B7E19" w:rsidP="008B7E19">
            <w:pPr>
              <w:pStyle w:val="08-Tabelageral"/>
              <w:cnfStyle w:val="000000100000" w:firstRow="0" w:lastRow="0" w:firstColumn="0" w:lastColumn="0" w:oddVBand="0" w:evenVBand="0" w:oddHBand="1" w:evenHBand="0" w:firstRowFirstColumn="0" w:firstRowLastColumn="0" w:lastRowFirstColumn="0" w:lastRowLastColumn="0"/>
            </w:pPr>
            <w:r>
              <w:t>2,434,043</w:t>
            </w:r>
          </w:p>
        </w:tc>
        <w:tc>
          <w:tcPr>
            <w:tcW w:w="1447" w:type="dxa"/>
            <w:tcBorders>
              <w:bottom w:val="nil"/>
            </w:tcBorders>
            <w:shd w:val="clear" w:color="auto" w:fill="auto"/>
          </w:tcPr>
          <w:p w14:paraId="168A94B0" w14:textId="77777777" w:rsidR="008B7E19" w:rsidRPr="00181218" w:rsidRDefault="008B7E19" w:rsidP="008B7E19">
            <w:pPr>
              <w:pStyle w:val="08-Tabelageral"/>
              <w:cnfStyle w:val="000000100000" w:firstRow="0" w:lastRow="0" w:firstColumn="0" w:lastColumn="0" w:oddVBand="0" w:evenVBand="0" w:oddHBand="1" w:evenHBand="0" w:firstRowFirstColumn="0" w:firstRowLastColumn="0" w:lastRowFirstColumn="0" w:lastRowLastColumn="0"/>
            </w:pPr>
            <w:r>
              <w:t>--</w:t>
            </w:r>
          </w:p>
        </w:tc>
      </w:tr>
      <w:tr w:rsidR="008B7E19" w:rsidRPr="00D311AA" w14:paraId="1B8B427C" w14:textId="77777777" w:rsidTr="005B5353">
        <w:trPr>
          <w:cnfStyle w:val="000000010000" w:firstRow="0" w:lastRow="0" w:firstColumn="0" w:lastColumn="0" w:oddVBand="0" w:evenVBand="0" w:oddHBand="0" w:evenHBand="1" w:firstRowFirstColumn="0" w:firstRowLastColumn="0" w:lastRowFirstColumn="0" w:lastRowLastColumn="0"/>
          <w:trHeight w:val="241"/>
          <w:jc w:val="center"/>
        </w:trPr>
        <w:tc>
          <w:tcPr>
            <w:cnfStyle w:val="001000000000" w:firstRow="0" w:lastRow="0" w:firstColumn="1" w:lastColumn="0" w:oddVBand="0" w:evenVBand="0" w:oddHBand="0" w:evenHBand="0" w:firstRowFirstColumn="0" w:firstRowLastColumn="0" w:lastRowFirstColumn="0" w:lastRowLastColumn="0"/>
            <w:tcW w:w="4175" w:type="dxa"/>
            <w:gridSpan w:val="2"/>
            <w:tcBorders>
              <w:top w:val="nil"/>
              <w:bottom w:val="single" w:sz="2" w:space="0" w:color="1F4E79" w:themeColor="accent1" w:themeShade="80"/>
            </w:tcBorders>
            <w:shd w:val="clear" w:color="auto" w:fill="auto"/>
          </w:tcPr>
          <w:p w14:paraId="3471E0D3" w14:textId="77777777" w:rsidR="008B7E19" w:rsidRPr="00181218" w:rsidRDefault="008B7E19" w:rsidP="008B7E19">
            <w:pPr>
              <w:pStyle w:val="08-Tabelageral"/>
              <w:jc w:val="left"/>
              <w:rPr>
                <w:b w:val="0"/>
              </w:rPr>
            </w:pPr>
            <w:r w:rsidRPr="00181218">
              <w:rPr>
                <w:b w:val="0"/>
              </w:rPr>
              <w:t>Obligations with related parties</w:t>
            </w:r>
          </w:p>
        </w:tc>
        <w:tc>
          <w:tcPr>
            <w:tcW w:w="1339" w:type="dxa"/>
            <w:tcBorders>
              <w:top w:val="nil"/>
              <w:bottom w:val="single" w:sz="2" w:space="0" w:color="1F4E79" w:themeColor="accent1" w:themeShade="80"/>
            </w:tcBorders>
            <w:shd w:val="clear" w:color="auto" w:fill="auto"/>
            <w:vAlign w:val="center"/>
          </w:tcPr>
          <w:p w14:paraId="0FCADAF8" w14:textId="77777777" w:rsidR="008B7E19" w:rsidRPr="00181218" w:rsidRDefault="008B7E19" w:rsidP="008B7E19">
            <w:pPr>
              <w:pStyle w:val="08-Tabelageral"/>
              <w:cnfStyle w:val="000000010000" w:firstRow="0" w:lastRow="0" w:firstColumn="0" w:lastColumn="0" w:oddVBand="0" w:evenVBand="0" w:oddHBand="0" w:evenHBand="1" w:firstRowFirstColumn="0" w:firstRowLastColumn="0" w:lastRowFirstColumn="0" w:lastRowLastColumn="0"/>
            </w:pPr>
            <w:r>
              <w:rPr>
                <w:rFonts w:cs="Arial"/>
                <w:color w:val="000000"/>
                <w:szCs w:val="14"/>
              </w:rPr>
              <w:t>8,448</w:t>
            </w:r>
          </w:p>
        </w:tc>
        <w:tc>
          <w:tcPr>
            <w:tcW w:w="1339" w:type="dxa"/>
            <w:tcBorders>
              <w:top w:val="nil"/>
              <w:bottom w:val="single" w:sz="2" w:space="0" w:color="1F4E79" w:themeColor="accent1" w:themeShade="80"/>
            </w:tcBorders>
            <w:shd w:val="clear" w:color="auto" w:fill="auto"/>
          </w:tcPr>
          <w:p w14:paraId="743F072D" w14:textId="77777777" w:rsidR="008B7E19" w:rsidRPr="00181218" w:rsidRDefault="008B7E19" w:rsidP="008B7E19">
            <w:pPr>
              <w:pStyle w:val="08-Tabelageral"/>
              <w:cnfStyle w:val="000000010000" w:firstRow="0" w:lastRow="0" w:firstColumn="0" w:lastColumn="0" w:oddVBand="0" w:evenVBand="0" w:oddHBand="0" w:evenHBand="1" w:firstRowFirstColumn="0" w:firstRowLastColumn="0" w:lastRowFirstColumn="0" w:lastRowLastColumn="0"/>
            </w:pPr>
            <w:r>
              <w:t>--</w:t>
            </w:r>
          </w:p>
        </w:tc>
        <w:tc>
          <w:tcPr>
            <w:tcW w:w="1339" w:type="dxa"/>
            <w:tcBorders>
              <w:top w:val="nil"/>
              <w:bottom w:val="single" w:sz="2" w:space="0" w:color="1F4E79" w:themeColor="accent1" w:themeShade="80"/>
            </w:tcBorders>
            <w:shd w:val="clear" w:color="auto" w:fill="auto"/>
          </w:tcPr>
          <w:p w14:paraId="31033432" w14:textId="77777777" w:rsidR="008B7E19" w:rsidRPr="00181218" w:rsidRDefault="008B7E19" w:rsidP="008B7E19">
            <w:pPr>
              <w:pStyle w:val="08-Tabelageral"/>
              <w:cnfStyle w:val="000000010000" w:firstRow="0" w:lastRow="0" w:firstColumn="0" w:lastColumn="0" w:oddVBand="0" w:evenVBand="0" w:oddHBand="0" w:evenHBand="1" w:firstRowFirstColumn="0" w:firstRowLastColumn="0" w:lastRowFirstColumn="0" w:lastRowLastColumn="0"/>
            </w:pPr>
            <w:r>
              <w:t>8,054</w:t>
            </w:r>
          </w:p>
        </w:tc>
        <w:tc>
          <w:tcPr>
            <w:tcW w:w="1447" w:type="dxa"/>
            <w:tcBorders>
              <w:top w:val="nil"/>
              <w:bottom w:val="single" w:sz="2" w:space="0" w:color="1F4E79" w:themeColor="accent1" w:themeShade="80"/>
            </w:tcBorders>
            <w:shd w:val="clear" w:color="auto" w:fill="auto"/>
          </w:tcPr>
          <w:p w14:paraId="62F63CE7" w14:textId="77777777" w:rsidR="008B7E19" w:rsidRPr="00D311AA" w:rsidRDefault="008B7E19" w:rsidP="008B7E19">
            <w:pPr>
              <w:pStyle w:val="08-Tabelageral"/>
              <w:cnfStyle w:val="000000010000" w:firstRow="0" w:lastRow="0" w:firstColumn="0" w:lastColumn="0" w:oddVBand="0" w:evenVBand="0" w:oddHBand="0" w:evenHBand="1" w:firstRowFirstColumn="0" w:firstRowLastColumn="0" w:lastRowFirstColumn="0" w:lastRowLastColumn="0"/>
            </w:pPr>
            <w:r>
              <w:t>--</w:t>
            </w:r>
          </w:p>
        </w:tc>
      </w:tr>
    </w:tbl>
    <w:p w14:paraId="48825D59" w14:textId="77777777" w:rsidR="008B7E19" w:rsidRDefault="008B7E19" w:rsidP="008B7E19">
      <w:pPr>
        <w:pStyle w:val="07-Legenda"/>
        <w:rPr>
          <w:rFonts w:cs="Arial"/>
        </w:rPr>
      </w:pPr>
    </w:p>
    <w:p w14:paraId="4C43F20D" w14:textId="77777777" w:rsidR="008B7E19" w:rsidRPr="00D311AA" w:rsidRDefault="008B7E19" w:rsidP="008B7E19">
      <w:pPr>
        <w:pStyle w:val="01-TtulodeNota"/>
        <w:keepNext/>
        <w:spacing w:before="0" w:after="0"/>
        <w:jc w:val="right"/>
        <w:rPr>
          <w:sz w:val="14"/>
          <w:szCs w:val="14"/>
        </w:rPr>
      </w:pPr>
      <w:r w:rsidRPr="00D311AA">
        <w:rPr>
          <w:sz w:val="14"/>
          <w:szCs w:val="14"/>
        </w:rPr>
        <w:t>R$ thousand</w:t>
      </w:r>
    </w:p>
    <w:tbl>
      <w:tblPr>
        <w:tblStyle w:val="TabeladeLista6Colorida-nfase510"/>
        <w:tblW w:w="9639" w:type="dxa"/>
        <w:jc w:val="center"/>
        <w:tblInd w:w="0" w:type="dxa"/>
        <w:tblLayout w:type="fixed"/>
        <w:tblLook w:val="04A0" w:firstRow="1" w:lastRow="0" w:firstColumn="1" w:lastColumn="0" w:noHBand="0" w:noVBand="1"/>
      </w:tblPr>
      <w:tblGrid>
        <w:gridCol w:w="1275"/>
        <w:gridCol w:w="2240"/>
        <w:gridCol w:w="1504"/>
        <w:gridCol w:w="1504"/>
        <w:gridCol w:w="1504"/>
        <w:gridCol w:w="1612"/>
      </w:tblGrid>
      <w:tr w:rsidR="008B7E19" w:rsidRPr="00D311AA" w14:paraId="0D3B1EA1" w14:textId="77777777" w:rsidTr="005B5353">
        <w:trPr>
          <w:cnfStyle w:val="100000000000" w:firstRow="1" w:lastRow="0" w:firstColumn="0" w:lastColumn="0" w:oddVBand="0" w:evenVBand="0" w:oddHBand="0" w:evenHBand="0" w:firstRowFirstColumn="0" w:firstRowLastColumn="0" w:lastRowFirstColumn="0" w:lastRowLastColumn="0"/>
          <w:trHeight w:hRule="exact" w:val="227"/>
          <w:jc w:val="center"/>
        </w:trPr>
        <w:tc>
          <w:tcPr>
            <w:cnfStyle w:val="001000000000" w:firstRow="0" w:lastRow="0" w:firstColumn="1" w:lastColumn="0" w:oddVBand="0" w:evenVBand="0" w:oddHBand="0" w:evenHBand="0" w:firstRowFirstColumn="0" w:firstRowLastColumn="0" w:lastRowFirstColumn="0" w:lastRowLastColumn="0"/>
            <w:tcW w:w="1275" w:type="dxa"/>
            <w:tcBorders>
              <w:top w:val="single" w:sz="2" w:space="0" w:color="8EAADB" w:themeColor="accent5" w:themeTint="99"/>
              <w:bottom w:val="nil"/>
            </w:tcBorders>
            <w:shd w:val="clear" w:color="auto" w:fill="auto"/>
            <w:vAlign w:val="center"/>
          </w:tcPr>
          <w:p w14:paraId="65A9CAF1" w14:textId="77777777" w:rsidR="008B7E19" w:rsidRPr="00D311AA" w:rsidRDefault="008B7E19" w:rsidP="008B7E19">
            <w:pPr>
              <w:pStyle w:val="08-Tabelageral"/>
            </w:pPr>
          </w:p>
        </w:tc>
        <w:tc>
          <w:tcPr>
            <w:tcW w:w="2240" w:type="dxa"/>
            <w:tcBorders>
              <w:top w:val="single" w:sz="2" w:space="0" w:color="8EAADB" w:themeColor="accent5" w:themeTint="99"/>
              <w:bottom w:val="nil"/>
            </w:tcBorders>
            <w:shd w:val="clear" w:color="auto" w:fill="auto"/>
            <w:vAlign w:val="center"/>
          </w:tcPr>
          <w:p w14:paraId="3DDB60CF" w14:textId="77777777" w:rsidR="008B7E19" w:rsidRPr="00D311AA" w:rsidRDefault="008B7E19" w:rsidP="008B7E19">
            <w:pPr>
              <w:pStyle w:val="08-Tabelageral"/>
              <w:cnfStyle w:val="100000000000" w:firstRow="1" w:lastRow="0" w:firstColumn="0" w:lastColumn="0" w:oddVBand="0" w:evenVBand="0" w:oddHBand="0" w:evenHBand="0" w:firstRowFirstColumn="0" w:firstRowLastColumn="0" w:lastRowFirstColumn="0" w:lastRowLastColumn="0"/>
            </w:pPr>
          </w:p>
        </w:tc>
        <w:tc>
          <w:tcPr>
            <w:tcW w:w="3008" w:type="dxa"/>
            <w:gridSpan w:val="2"/>
            <w:tcBorders>
              <w:top w:val="single" w:sz="2" w:space="0" w:color="8EAADB" w:themeColor="accent5" w:themeTint="99"/>
              <w:bottom w:val="single" w:sz="2" w:space="0" w:color="8EAADB" w:themeColor="accent5" w:themeTint="99"/>
            </w:tcBorders>
            <w:shd w:val="clear" w:color="auto" w:fill="auto"/>
          </w:tcPr>
          <w:p w14:paraId="241DB633" w14:textId="77777777" w:rsidR="008B7E19" w:rsidRPr="00D311AA" w:rsidRDefault="008B7E19" w:rsidP="008B7E19">
            <w:pPr>
              <w:pStyle w:val="08-Tabelageral"/>
              <w:jc w:val="center"/>
              <w:cnfStyle w:val="100000000000" w:firstRow="1" w:lastRow="0" w:firstColumn="0" w:lastColumn="0" w:oddVBand="0" w:evenVBand="0" w:oddHBand="0" w:evenHBand="0" w:firstRowFirstColumn="0" w:firstRowLastColumn="0" w:lastRowFirstColumn="0" w:lastRowLastColumn="0"/>
              <w:rPr>
                <w:bCs w:val="0"/>
              </w:rPr>
            </w:pPr>
            <w:r>
              <w:rPr>
                <w:rFonts w:cs="Arial"/>
                <w:szCs w:val="14"/>
              </w:rPr>
              <w:t>2</w:t>
            </w:r>
            <w:r>
              <w:rPr>
                <w:rFonts w:cs="Arial"/>
                <w:szCs w:val="14"/>
                <w:vertAlign w:val="superscript"/>
              </w:rPr>
              <w:t>nd</w:t>
            </w:r>
            <w:r w:rsidRPr="00EF24D8">
              <w:rPr>
                <w:rFonts w:cs="Arial"/>
                <w:szCs w:val="14"/>
              </w:rPr>
              <w:t xml:space="preserve"> Quarter 202</w:t>
            </w:r>
            <w:r>
              <w:rPr>
                <w:rFonts w:cs="Arial"/>
                <w:szCs w:val="14"/>
              </w:rPr>
              <w:t>3</w:t>
            </w:r>
          </w:p>
        </w:tc>
        <w:tc>
          <w:tcPr>
            <w:tcW w:w="3116" w:type="dxa"/>
            <w:gridSpan w:val="2"/>
            <w:tcBorders>
              <w:top w:val="single" w:sz="2" w:space="0" w:color="8EAADB" w:themeColor="accent5" w:themeTint="99"/>
              <w:bottom w:val="single" w:sz="2" w:space="0" w:color="8EAADB" w:themeColor="accent5" w:themeTint="99"/>
            </w:tcBorders>
            <w:shd w:val="clear" w:color="auto" w:fill="auto"/>
          </w:tcPr>
          <w:p w14:paraId="22E38391" w14:textId="77777777" w:rsidR="008B7E19" w:rsidRPr="00D311AA" w:rsidRDefault="008B7E19" w:rsidP="008B7E19">
            <w:pPr>
              <w:pStyle w:val="08-Tabelageral"/>
              <w:jc w:val="center"/>
              <w:cnfStyle w:val="100000000000" w:firstRow="1" w:lastRow="0" w:firstColumn="0" w:lastColumn="0" w:oddVBand="0" w:evenVBand="0" w:oddHBand="0" w:evenHBand="0" w:firstRowFirstColumn="0" w:firstRowLastColumn="0" w:lastRowFirstColumn="0" w:lastRowLastColumn="0"/>
            </w:pPr>
            <w:r>
              <w:rPr>
                <w:rFonts w:cs="Arial"/>
                <w:szCs w:val="14"/>
              </w:rPr>
              <w:t>2</w:t>
            </w:r>
            <w:r>
              <w:rPr>
                <w:rFonts w:cs="Arial"/>
                <w:szCs w:val="14"/>
                <w:vertAlign w:val="superscript"/>
              </w:rPr>
              <w:t>nd</w:t>
            </w:r>
            <w:r w:rsidRPr="00EF24D8">
              <w:rPr>
                <w:rFonts w:cs="Arial"/>
                <w:szCs w:val="14"/>
              </w:rPr>
              <w:t xml:space="preserve"> Quarter 202</w:t>
            </w:r>
            <w:r>
              <w:rPr>
                <w:rFonts w:cs="Arial"/>
                <w:szCs w:val="14"/>
              </w:rPr>
              <w:t>2</w:t>
            </w:r>
          </w:p>
        </w:tc>
      </w:tr>
      <w:tr w:rsidR="008B7E19" w:rsidRPr="00D311AA" w14:paraId="23986D92" w14:textId="77777777" w:rsidTr="005B5353">
        <w:trPr>
          <w:cnfStyle w:val="000000100000" w:firstRow="0" w:lastRow="0" w:firstColumn="0" w:lastColumn="0" w:oddVBand="0" w:evenVBand="0" w:oddHBand="1" w:evenHBand="0" w:firstRowFirstColumn="0" w:firstRowLastColumn="0" w:lastRowFirstColumn="0" w:lastRowLastColumn="0"/>
          <w:trHeight w:hRule="exact" w:val="283"/>
          <w:jc w:val="center"/>
        </w:trPr>
        <w:tc>
          <w:tcPr>
            <w:cnfStyle w:val="001000000000" w:firstRow="0" w:lastRow="0" w:firstColumn="1" w:lastColumn="0" w:oddVBand="0" w:evenVBand="0" w:oddHBand="0" w:evenHBand="0" w:firstRowFirstColumn="0" w:firstRowLastColumn="0" w:lastRowFirstColumn="0" w:lastRowLastColumn="0"/>
            <w:tcW w:w="3515" w:type="dxa"/>
            <w:gridSpan w:val="2"/>
            <w:tcBorders>
              <w:top w:val="nil"/>
              <w:bottom w:val="single" w:sz="2" w:space="0" w:color="8EAADB" w:themeColor="accent5" w:themeTint="99"/>
            </w:tcBorders>
            <w:shd w:val="clear" w:color="auto" w:fill="auto"/>
          </w:tcPr>
          <w:p w14:paraId="3012CEDF" w14:textId="77777777" w:rsidR="008B7E19" w:rsidRPr="00D311AA" w:rsidRDefault="008B7E19" w:rsidP="008B7E19">
            <w:pPr>
              <w:pStyle w:val="08-Tabelageral"/>
              <w:rPr>
                <w:sz w:val="12"/>
                <w:szCs w:val="12"/>
              </w:rPr>
            </w:pPr>
          </w:p>
        </w:tc>
        <w:tc>
          <w:tcPr>
            <w:tcW w:w="1504" w:type="dxa"/>
            <w:tcBorders>
              <w:top w:val="nil"/>
              <w:bottom w:val="single" w:sz="2" w:space="0" w:color="8EAADB" w:themeColor="accent5" w:themeTint="99"/>
            </w:tcBorders>
            <w:shd w:val="clear" w:color="auto" w:fill="auto"/>
            <w:vAlign w:val="center"/>
          </w:tcPr>
          <w:p w14:paraId="5C970652" w14:textId="77777777" w:rsidR="008B7E19" w:rsidRPr="00D311AA"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b/>
                <w:sz w:val="12"/>
                <w:szCs w:val="12"/>
              </w:rPr>
            </w:pPr>
            <w:r>
              <w:rPr>
                <w:b/>
                <w:sz w:val="12"/>
                <w:szCs w:val="12"/>
              </w:rPr>
              <w:t>Banco do Brasil</w:t>
            </w:r>
          </w:p>
        </w:tc>
        <w:tc>
          <w:tcPr>
            <w:tcW w:w="1504" w:type="dxa"/>
            <w:tcBorders>
              <w:top w:val="single" w:sz="2" w:space="0" w:color="8EAADB" w:themeColor="accent5" w:themeTint="99"/>
              <w:bottom w:val="single" w:sz="2" w:space="0" w:color="8EAADB" w:themeColor="accent5" w:themeTint="99"/>
            </w:tcBorders>
            <w:shd w:val="clear" w:color="auto" w:fill="auto"/>
            <w:vAlign w:val="center"/>
          </w:tcPr>
          <w:p w14:paraId="28DA524E" w14:textId="77777777" w:rsidR="008B7E19" w:rsidRPr="00D311AA"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b/>
                <w:sz w:val="12"/>
                <w:szCs w:val="12"/>
              </w:rPr>
            </w:pPr>
            <w:r w:rsidRPr="00181218">
              <w:rPr>
                <w:b/>
                <w:sz w:val="12"/>
                <w:szCs w:val="12"/>
              </w:rPr>
              <w:t>Subsidiaries</w:t>
            </w:r>
            <w:r>
              <w:rPr>
                <w:b/>
                <w:sz w:val="12"/>
                <w:szCs w:val="12"/>
              </w:rPr>
              <w:t xml:space="preserve"> </w:t>
            </w:r>
            <w:r w:rsidRPr="00181218">
              <w:rPr>
                <w:b/>
                <w:sz w:val="12"/>
                <w:szCs w:val="12"/>
                <w:vertAlign w:val="superscript"/>
              </w:rPr>
              <w:t>(</w:t>
            </w:r>
            <w:r>
              <w:rPr>
                <w:b/>
                <w:sz w:val="12"/>
                <w:szCs w:val="12"/>
                <w:vertAlign w:val="superscript"/>
              </w:rPr>
              <w:t>1</w:t>
            </w:r>
            <w:r w:rsidRPr="00181218">
              <w:rPr>
                <w:b/>
                <w:sz w:val="12"/>
                <w:szCs w:val="12"/>
                <w:vertAlign w:val="superscript"/>
              </w:rPr>
              <w:t>)</w:t>
            </w:r>
          </w:p>
        </w:tc>
        <w:tc>
          <w:tcPr>
            <w:tcW w:w="1504" w:type="dxa"/>
            <w:tcBorders>
              <w:top w:val="single" w:sz="2" w:space="0" w:color="8EAADB" w:themeColor="accent5" w:themeTint="99"/>
              <w:bottom w:val="single" w:sz="2" w:space="0" w:color="8EAADB" w:themeColor="accent5" w:themeTint="99"/>
            </w:tcBorders>
            <w:shd w:val="clear" w:color="auto" w:fill="auto"/>
            <w:vAlign w:val="center"/>
          </w:tcPr>
          <w:p w14:paraId="5A943DFF" w14:textId="77777777" w:rsidR="008B7E19" w:rsidRPr="00D311AA"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b/>
                <w:sz w:val="12"/>
                <w:szCs w:val="12"/>
              </w:rPr>
            </w:pPr>
            <w:r>
              <w:rPr>
                <w:b/>
                <w:sz w:val="12"/>
                <w:szCs w:val="12"/>
              </w:rPr>
              <w:t>Banco do Brasil</w:t>
            </w:r>
          </w:p>
        </w:tc>
        <w:tc>
          <w:tcPr>
            <w:tcW w:w="1612" w:type="dxa"/>
            <w:tcBorders>
              <w:top w:val="single" w:sz="2" w:space="0" w:color="8EAADB" w:themeColor="accent5" w:themeTint="99"/>
              <w:bottom w:val="single" w:sz="2" w:space="0" w:color="8EAADB" w:themeColor="accent5" w:themeTint="99"/>
            </w:tcBorders>
            <w:shd w:val="clear" w:color="auto" w:fill="auto"/>
            <w:vAlign w:val="center"/>
          </w:tcPr>
          <w:p w14:paraId="041B3A4E" w14:textId="77777777" w:rsidR="008B7E19" w:rsidRPr="00D311AA"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b/>
                <w:sz w:val="12"/>
                <w:szCs w:val="12"/>
              </w:rPr>
            </w:pPr>
            <w:r w:rsidRPr="00181218">
              <w:rPr>
                <w:b/>
                <w:sz w:val="12"/>
                <w:szCs w:val="12"/>
              </w:rPr>
              <w:t>Subsidiaries</w:t>
            </w:r>
            <w:r>
              <w:rPr>
                <w:b/>
                <w:sz w:val="12"/>
                <w:szCs w:val="12"/>
              </w:rPr>
              <w:t xml:space="preserve"> </w:t>
            </w:r>
            <w:r w:rsidRPr="00181218">
              <w:rPr>
                <w:b/>
                <w:sz w:val="12"/>
                <w:szCs w:val="12"/>
                <w:vertAlign w:val="superscript"/>
              </w:rPr>
              <w:t>(</w:t>
            </w:r>
            <w:r>
              <w:rPr>
                <w:b/>
                <w:sz w:val="12"/>
                <w:szCs w:val="12"/>
                <w:vertAlign w:val="superscript"/>
              </w:rPr>
              <w:t>1</w:t>
            </w:r>
            <w:r w:rsidRPr="00181218">
              <w:rPr>
                <w:b/>
                <w:sz w:val="12"/>
                <w:szCs w:val="12"/>
                <w:vertAlign w:val="superscript"/>
              </w:rPr>
              <w:t>)</w:t>
            </w:r>
          </w:p>
        </w:tc>
      </w:tr>
      <w:tr w:rsidR="008B7E19" w:rsidRPr="00D311AA" w14:paraId="7421CC59" w14:textId="77777777" w:rsidTr="005B5353">
        <w:trPr>
          <w:cnfStyle w:val="000000010000" w:firstRow="0" w:lastRow="0" w:firstColumn="0" w:lastColumn="0" w:oddVBand="0" w:evenVBand="0" w:oddHBand="0" w:evenHBand="1" w:firstRowFirstColumn="0" w:firstRowLastColumn="0" w:lastRowFirstColumn="0" w:lastRowLastColumn="0"/>
          <w:trHeight w:val="241"/>
          <w:jc w:val="center"/>
        </w:trPr>
        <w:tc>
          <w:tcPr>
            <w:cnfStyle w:val="001000000000" w:firstRow="0" w:lastRow="0" w:firstColumn="1" w:lastColumn="0" w:oddVBand="0" w:evenVBand="0" w:oddHBand="0" w:evenHBand="0" w:firstRowFirstColumn="0" w:firstRowLastColumn="0" w:lastRowFirstColumn="0" w:lastRowLastColumn="0"/>
            <w:tcW w:w="3515" w:type="dxa"/>
            <w:gridSpan w:val="2"/>
            <w:tcBorders>
              <w:top w:val="single" w:sz="2" w:space="0" w:color="8EAADB" w:themeColor="accent5" w:themeTint="99"/>
              <w:bottom w:val="nil"/>
            </w:tcBorders>
            <w:shd w:val="clear" w:color="auto" w:fill="auto"/>
          </w:tcPr>
          <w:p w14:paraId="29B04C76" w14:textId="77777777" w:rsidR="008B7E19" w:rsidRPr="00D311AA" w:rsidRDefault="008B7E19" w:rsidP="008B7E19">
            <w:pPr>
              <w:pStyle w:val="08-Tabelageral"/>
              <w:jc w:val="left"/>
            </w:pPr>
            <w:r w:rsidRPr="00D311AA">
              <w:t>Income</w:t>
            </w:r>
          </w:p>
        </w:tc>
        <w:tc>
          <w:tcPr>
            <w:tcW w:w="1504" w:type="dxa"/>
            <w:tcBorders>
              <w:top w:val="single" w:sz="2" w:space="0" w:color="8EAADB" w:themeColor="accent5" w:themeTint="99"/>
              <w:bottom w:val="nil"/>
            </w:tcBorders>
            <w:shd w:val="clear" w:color="auto" w:fill="auto"/>
            <w:vAlign w:val="center"/>
          </w:tcPr>
          <w:p w14:paraId="6B721D36" w14:textId="77777777" w:rsidR="008B7E19" w:rsidRPr="00D311AA" w:rsidRDefault="008B7E19" w:rsidP="008B7E19">
            <w:pPr>
              <w:pStyle w:val="08-Tabelageral"/>
              <w:cnfStyle w:val="000000010000" w:firstRow="0" w:lastRow="0" w:firstColumn="0" w:lastColumn="0" w:oddVBand="0" w:evenVBand="0" w:oddHBand="0" w:evenHBand="1" w:firstRowFirstColumn="0" w:firstRowLastColumn="0" w:lastRowFirstColumn="0" w:lastRowLastColumn="0"/>
              <w:rPr>
                <w:b/>
                <w:szCs w:val="14"/>
              </w:rPr>
            </w:pPr>
          </w:p>
        </w:tc>
        <w:tc>
          <w:tcPr>
            <w:tcW w:w="1504" w:type="dxa"/>
            <w:tcBorders>
              <w:top w:val="single" w:sz="2" w:space="0" w:color="8EAADB" w:themeColor="accent5" w:themeTint="99"/>
              <w:bottom w:val="nil"/>
            </w:tcBorders>
            <w:shd w:val="clear" w:color="auto" w:fill="auto"/>
          </w:tcPr>
          <w:p w14:paraId="13D7925D" w14:textId="77777777" w:rsidR="008B7E19" w:rsidRPr="00D311AA" w:rsidRDefault="008B7E19" w:rsidP="008B7E19">
            <w:pPr>
              <w:pStyle w:val="08-Tabelageral"/>
              <w:cnfStyle w:val="000000010000" w:firstRow="0" w:lastRow="0" w:firstColumn="0" w:lastColumn="0" w:oddVBand="0" w:evenVBand="0" w:oddHBand="0" w:evenHBand="1" w:firstRowFirstColumn="0" w:firstRowLastColumn="0" w:lastRowFirstColumn="0" w:lastRowLastColumn="0"/>
              <w:rPr>
                <w:b/>
                <w:szCs w:val="14"/>
              </w:rPr>
            </w:pPr>
          </w:p>
        </w:tc>
        <w:tc>
          <w:tcPr>
            <w:tcW w:w="1504" w:type="dxa"/>
            <w:tcBorders>
              <w:top w:val="single" w:sz="2" w:space="0" w:color="8EAADB" w:themeColor="accent5" w:themeTint="99"/>
              <w:bottom w:val="nil"/>
            </w:tcBorders>
            <w:shd w:val="clear" w:color="auto" w:fill="auto"/>
          </w:tcPr>
          <w:p w14:paraId="5016A312" w14:textId="77777777" w:rsidR="008B7E19" w:rsidRPr="00D311AA" w:rsidRDefault="008B7E19" w:rsidP="008B7E19">
            <w:pPr>
              <w:pStyle w:val="08-Tabelageral"/>
              <w:cnfStyle w:val="000000010000" w:firstRow="0" w:lastRow="0" w:firstColumn="0" w:lastColumn="0" w:oddVBand="0" w:evenVBand="0" w:oddHBand="0" w:evenHBand="1" w:firstRowFirstColumn="0" w:firstRowLastColumn="0" w:lastRowFirstColumn="0" w:lastRowLastColumn="0"/>
              <w:rPr>
                <w:b/>
                <w:szCs w:val="14"/>
              </w:rPr>
            </w:pPr>
          </w:p>
        </w:tc>
        <w:tc>
          <w:tcPr>
            <w:tcW w:w="1612" w:type="dxa"/>
            <w:tcBorders>
              <w:top w:val="single" w:sz="2" w:space="0" w:color="8EAADB" w:themeColor="accent5" w:themeTint="99"/>
            </w:tcBorders>
            <w:shd w:val="clear" w:color="auto" w:fill="auto"/>
          </w:tcPr>
          <w:p w14:paraId="0F7AC69A" w14:textId="77777777" w:rsidR="008B7E19" w:rsidRPr="00D311AA" w:rsidRDefault="008B7E19" w:rsidP="008B7E19">
            <w:pPr>
              <w:pStyle w:val="08-Tabelageral"/>
              <w:cnfStyle w:val="000000010000" w:firstRow="0" w:lastRow="0" w:firstColumn="0" w:lastColumn="0" w:oddVBand="0" w:evenVBand="0" w:oddHBand="0" w:evenHBand="1" w:firstRowFirstColumn="0" w:firstRowLastColumn="0" w:lastRowFirstColumn="0" w:lastRowLastColumn="0"/>
              <w:rPr>
                <w:b/>
                <w:szCs w:val="14"/>
              </w:rPr>
            </w:pPr>
          </w:p>
        </w:tc>
      </w:tr>
      <w:tr w:rsidR="008B7E19" w:rsidRPr="00D311AA" w14:paraId="56720F00" w14:textId="77777777" w:rsidTr="005B5353">
        <w:trPr>
          <w:cnfStyle w:val="000000100000" w:firstRow="0" w:lastRow="0" w:firstColumn="0" w:lastColumn="0" w:oddVBand="0" w:evenVBand="0" w:oddHBand="1" w:evenHBand="0" w:firstRowFirstColumn="0" w:firstRowLastColumn="0" w:lastRowFirstColumn="0" w:lastRowLastColumn="0"/>
          <w:trHeight w:val="241"/>
          <w:jc w:val="center"/>
        </w:trPr>
        <w:tc>
          <w:tcPr>
            <w:cnfStyle w:val="001000000000" w:firstRow="0" w:lastRow="0" w:firstColumn="1" w:lastColumn="0" w:oddVBand="0" w:evenVBand="0" w:oddHBand="0" w:evenHBand="0" w:firstRowFirstColumn="0" w:firstRowLastColumn="0" w:lastRowFirstColumn="0" w:lastRowLastColumn="0"/>
            <w:tcW w:w="3515" w:type="dxa"/>
            <w:gridSpan w:val="2"/>
            <w:tcBorders>
              <w:top w:val="nil"/>
              <w:bottom w:val="nil"/>
            </w:tcBorders>
            <w:shd w:val="clear" w:color="auto" w:fill="auto"/>
          </w:tcPr>
          <w:p w14:paraId="4FA95A55" w14:textId="77777777" w:rsidR="008B7E19" w:rsidRPr="00D311AA" w:rsidRDefault="008B7E19" w:rsidP="008B7E19">
            <w:pPr>
              <w:pStyle w:val="08-Tabelageral"/>
              <w:jc w:val="left"/>
              <w:rPr>
                <w:b w:val="0"/>
              </w:rPr>
            </w:pPr>
            <w:r w:rsidRPr="00D311AA">
              <w:rPr>
                <w:b w:val="0"/>
              </w:rPr>
              <w:t>Interest earnings of financial instruments</w:t>
            </w:r>
          </w:p>
        </w:tc>
        <w:tc>
          <w:tcPr>
            <w:tcW w:w="1504" w:type="dxa"/>
            <w:tcBorders>
              <w:top w:val="nil"/>
            </w:tcBorders>
            <w:shd w:val="clear" w:color="auto" w:fill="auto"/>
            <w:vAlign w:val="center"/>
          </w:tcPr>
          <w:p w14:paraId="2EFB4D37" w14:textId="77777777" w:rsidR="008B7E19" w:rsidRPr="00D311AA" w:rsidRDefault="008B7E19" w:rsidP="008B7E19">
            <w:pPr>
              <w:pStyle w:val="08-Tabelageral"/>
              <w:cnfStyle w:val="000000100000" w:firstRow="0" w:lastRow="0" w:firstColumn="0" w:lastColumn="0" w:oddVBand="0" w:evenVBand="0" w:oddHBand="1" w:evenHBand="0" w:firstRowFirstColumn="0" w:firstRowLastColumn="0" w:lastRowFirstColumn="0" w:lastRowLastColumn="0"/>
            </w:pPr>
            <w:r>
              <w:rPr>
                <w:rFonts w:cs="Arial"/>
                <w:szCs w:val="14"/>
              </w:rPr>
              <w:t>8,937</w:t>
            </w:r>
          </w:p>
        </w:tc>
        <w:tc>
          <w:tcPr>
            <w:tcW w:w="1504" w:type="dxa"/>
            <w:tcBorders>
              <w:top w:val="nil"/>
            </w:tcBorders>
            <w:shd w:val="clear" w:color="auto" w:fill="auto"/>
          </w:tcPr>
          <w:p w14:paraId="79CE04C1" w14:textId="77777777" w:rsidR="008B7E19" w:rsidRPr="00D311AA" w:rsidRDefault="008B7E19" w:rsidP="008B7E19">
            <w:pPr>
              <w:pStyle w:val="08-Tabelageral"/>
              <w:cnfStyle w:val="000000100000" w:firstRow="0" w:lastRow="0" w:firstColumn="0" w:lastColumn="0" w:oddVBand="0" w:evenVBand="0" w:oddHBand="1" w:evenHBand="0" w:firstRowFirstColumn="0" w:firstRowLastColumn="0" w:lastRowFirstColumn="0" w:lastRowLastColumn="0"/>
            </w:pPr>
            <w:r>
              <w:t>--</w:t>
            </w:r>
          </w:p>
        </w:tc>
        <w:tc>
          <w:tcPr>
            <w:tcW w:w="1504" w:type="dxa"/>
            <w:tcBorders>
              <w:top w:val="nil"/>
            </w:tcBorders>
            <w:shd w:val="clear" w:color="auto" w:fill="auto"/>
          </w:tcPr>
          <w:p w14:paraId="6F994EC8" w14:textId="77777777" w:rsidR="008B7E19" w:rsidRPr="00D311AA" w:rsidRDefault="008B7E19" w:rsidP="008B7E19">
            <w:pPr>
              <w:pStyle w:val="08-Tabelageral"/>
              <w:cnfStyle w:val="000000100000" w:firstRow="0" w:lastRow="0" w:firstColumn="0" w:lastColumn="0" w:oddVBand="0" w:evenVBand="0" w:oddHBand="1" w:evenHBand="0" w:firstRowFirstColumn="0" w:firstRowLastColumn="0" w:lastRowFirstColumn="0" w:lastRowLastColumn="0"/>
            </w:pPr>
            <w:r>
              <w:t>2,596</w:t>
            </w:r>
          </w:p>
        </w:tc>
        <w:tc>
          <w:tcPr>
            <w:tcW w:w="1612" w:type="dxa"/>
            <w:tcBorders>
              <w:top w:val="nil"/>
            </w:tcBorders>
            <w:shd w:val="clear" w:color="auto" w:fill="auto"/>
          </w:tcPr>
          <w:p w14:paraId="6770336F" w14:textId="77777777" w:rsidR="008B7E19" w:rsidRPr="00D311AA" w:rsidRDefault="008B7E19" w:rsidP="008B7E19">
            <w:pPr>
              <w:pStyle w:val="08-Tabelageral"/>
              <w:cnfStyle w:val="000000100000" w:firstRow="0" w:lastRow="0" w:firstColumn="0" w:lastColumn="0" w:oddVBand="0" w:evenVBand="0" w:oddHBand="1" w:evenHBand="0" w:firstRowFirstColumn="0" w:firstRowLastColumn="0" w:lastRowFirstColumn="0" w:lastRowLastColumn="0"/>
            </w:pPr>
            <w:r>
              <w:t>--</w:t>
            </w:r>
          </w:p>
        </w:tc>
      </w:tr>
      <w:tr w:rsidR="008B7E19" w:rsidRPr="00D311AA" w14:paraId="56745FF4" w14:textId="77777777" w:rsidTr="005B5353">
        <w:trPr>
          <w:cnfStyle w:val="000000010000" w:firstRow="0" w:lastRow="0" w:firstColumn="0" w:lastColumn="0" w:oddVBand="0" w:evenVBand="0" w:oddHBand="0" w:evenHBand="1" w:firstRowFirstColumn="0" w:firstRowLastColumn="0" w:lastRowFirstColumn="0" w:lastRowLastColumn="0"/>
          <w:trHeight w:val="241"/>
          <w:jc w:val="center"/>
        </w:trPr>
        <w:tc>
          <w:tcPr>
            <w:cnfStyle w:val="001000000000" w:firstRow="0" w:lastRow="0" w:firstColumn="1" w:lastColumn="0" w:oddVBand="0" w:evenVBand="0" w:oddHBand="0" w:evenHBand="0" w:firstRowFirstColumn="0" w:firstRowLastColumn="0" w:lastRowFirstColumn="0" w:lastRowLastColumn="0"/>
            <w:tcW w:w="3515" w:type="dxa"/>
            <w:gridSpan w:val="2"/>
            <w:tcBorders>
              <w:top w:val="nil"/>
              <w:bottom w:val="nil"/>
            </w:tcBorders>
            <w:shd w:val="clear" w:color="auto" w:fill="auto"/>
          </w:tcPr>
          <w:p w14:paraId="70B65F7E" w14:textId="77777777" w:rsidR="008B7E19" w:rsidRPr="00D311AA" w:rsidRDefault="008B7E19" w:rsidP="008B7E19">
            <w:pPr>
              <w:pStyle w:val="08-Tabelageral"/>
              <w:jc w:val="left"/>
              <w:rPr>
                <w:b w:val="0"/>
              </w:rPr>
            </w:pPr>
            <w:r w:rsidRPr="00D311AA">
              <w:rPr>
                <w:b w:val="0"/>
              </w:rPr>
              <w:t>Personnel expenses</w:t>
            </w:r>
          </w:p>
        </w:tc>
        <w:tc>
          <w:tcPr>
            <w:tcW w:w="1504" w:type="dxa"/>
            <w:tcBorders>
              <w:bottom w:val="nil"/>
            </w:tcBorders>
            <w:shd w:val="clear" w:color="auto" w:fill="auto"/>
            <w:vAlign w:val="center"/>
          </w:tcPr>
          <w:p w14:paraId="1F7A6594" w14:textId="77777777" w:rsidR="008B7E19" w:rsidRPr="00D311AA" w:rsidRDefault="008B7E19" w:rsidP="008B7E19">
            <w:pPr>
              <w:pStyle w:val="08-Tabelageral"/>
              <w:cnfStyle w:val="000000010000" w:firstRow="0" w:lastRow="0" w:firstColumn="0" w:lastColumn="0" w:oddVBand="0" w:evenVBand="0" w:oddHBand="0" w:evenHBand="1" w:firstRowFirstColumn="0" w:firstRowLastColumn="0" w:lastRowFirstColumn="0" w:lastRowLastColumn="0"/>
            </w:pPr>
            <w:r>
              <w:rPr>
                <w:rFonts w:cs="Arial"/>
                <w:szCs w:val="14"/>
              </w:rPr>
              <w:t>(3,207)</w:t>
            </w:r>
          </w:p>
        </w:tc>
        <w:tc>
          <w:tcPr>
            <w:tcW w:w="1504" w:type="dxa"/>
            <w:tcBorders>
              <w:bottom w:val="nil"/>
            </w:tcBorders>
            <w:shd w:val="clear" w:color="auto" w:fill="auto"/>
          </w:tcPr>
          <w:p w14:paraId="35979B89" w14:textId="77777777" w:rsidR="008B7E19" w:rsidRPr="00D311AA" w:rsidRDefault="008B7E19" w:rsidP="008B7E19">
            <w:pPr>
              <w:pStyle w:val="08-Tabelageral"/>
              <w:cnfStyle w:val="000000010000" w:firstRow="0" w:lastRow="0" w:firstColumn="0" w:lastColumn="0" w:oddVBand="0" w:evenVBand="0" w:oddHBand="0" w:evenHBand="1" w:firstRowFirstColumn="0" w:firstRowLastColumn="0" w:lastRowFirstColumn="0" w:lastRowLastColumn="0"/>
            </w:pPr>
            <w:r>
              <w:t>--</w:t>
            </w:r>
          </w:p>
        </w:tc>
        <w:tc>
          <w:tcPr>
            <w:tcW w:w="1504" w:type="dxa"/>
            <w:tcBorders>
              <w:bottom w:val="nil"/>
            </w:tcBorders>
            <w:shd w:val="clear" w:color="auto" w:fill="auto"/>
          </w:tcPr>
          <w:p w14:paraId="14369629" w14:textId="77777777" w:rsidR="008B7E19" w:rsidRPr="00D311AA" w:rsidRDefault="008B7E19" w:rsidP="008B7E19">
            <w:pPr>
              <w:pStyle w:val="08-Tabelageral"/>
              <w:cnfStyle w:val="000000010000" w:firstRow="0" w:lastRow="0" w:firstColumn="0" w:lastColumn="0" w:oddVBand="0" w:evenVBand="0" w:oddHBand="0" w:evenHBand="1" w:firstRowFirstColumn="0" w:firstRowLastColumn="0" w:lastRowFirstColumn="0" w:lastRowLastColumn="0"/>
            </w:pPr>
            <w:r>
              <w:t>(3,611)</w:t>
            </w:r>
          </w:p>
        </w:tc>
        <w:tc>
          <w:tcPr>
            <w:tcW w:w="1612" w:type="dxa"/>
            <w:tcBorders>
              <w:bottom w:val="nil"/>
            </w:tcBorders>
            <w:shd w:val="clear" w:color="auto" w:fill="auto"/>
          </w:tcPr>
          <w:p w14:paraId="0D2B7000" w14:textId="77777777" w:rsidR="008B7E19" w:rsidRPr="00D311AA" w:rsidRDefault="008B7E19" w:rsidP="008B7E19">
            <w:pPr>
              <w:pStyle w:val="08-Tabelageral"/>
              <w:cnfStyle w:val="000000010000" w:firstRow="0" w:lastRow="0" w:firstColumn="0" w:lastColumn="0" w:oddVBand="0" w:evenVBand="0" w:oddHBand="0" w:evenHBand="1" w:firstRowFirstColumn="0" w:firstRowLastColumn="0" w:lastRowFirstColumn="0" w:lastRowLastColumn="0"/>
            </w:pPr>
            <w:r>
              <w:t>--</w:t>
            </w:r>
          </w:p>
        </w:tc>
      </w:tr>
      <w:tr w:rsidR="008B7E19" w:rsidRPr="00D311AA" w14:paraId="69DD01CA" w14:textId="77777777" w:rsidTr="005B5353">
        <w:trPr>
          <w:cnfStyle w:val="000000100000" w:firstRow="0" w:lastRow="0" w:firstColumn="0" w:lastColumn="0" w:oddVBand="0" w:evenVBand="0" w:oddHBand="1" w:evenHBand="0" w:firstRowFirstColumn="0" w:firstRowLastColumn="0" w:lastRowFirstColumn="0" w:lastRowLastColumn="0"/>
          <w:trHeight w:val="241"/>
          <w:jc w:val="center"/>
        </w:trPr>
        <w:tc>
          <w:tcPr>
            <w:cnfStyle w:val="001000000000" w:firstRow="0" w:lastRow="0" w:firstColumn="1" w:lastColumn="0" w:oddVBand="0" w:evenVBand="0" w:oddHBand="0" w:evenHBand="0" w:firstRowFirstColumn="0" w:firstRowLastColumn="0" w:lastRowFirstColumn="0" w:lastRowLastColumn="0"/>
            <w:tcW w:w="3515" w:type="dxa"/>
            <w:gridSpan w:val="2"/>
            <w:tcBorders>
              <w:top w:val="nil"/>
              <w:bottom w:val="single" w:sz="4" w:space="0" w:color="2E74B5" w:themeColor="accent1" w:themeShade="BF"/>
            </w:tcBorders>
            <w:shd w:val="clear" w:color="auto" w:fill="auto"/>
          </w:tcPr>
          <w:p w14:paraId="4991F712" w14:textId="77777777" w:rsidR="008B7E19" w:rsidRPr="00D311AA" w:rsidRDefault="008B7E19" w:rsidP="008B7E19">
            <w:pPr>
              <w:pStyle w:val="08-Tabelageral"/>
              <w:jc w:val="left"/>
              <w:rPr>
                <w:b w:val="0"/>
              </w:rPr>
            </w:pPr>
            <w:r w:rsidRPr="00D311AA">
              <w:rPr>
                <w:b w:val="0"/>
              </w:rPr>
              <w:t xml:space="preserve">Administrative expenses </w:t>
            </w:r>
            <w:r w:rsidRPr="00D311AA">
              <w:rPr>
                <w:b w:val="0"/>
                <w:vertAlign w:val="superscript"/>
              </w:rPr>
              <w:t>(</w:t>
            </w:r>
            <w:r>
              <w:rPr>
                <w:b w:val="0"/>
                <w:vertAlign w:val="superscript"/>
              </w:rPr>
              <w:t>2</w:t>
            </w:r>
            <w:r w:rsidRPr="00D311AA">
              <w:rPr>
                <w:b w:val="0"/>
                <w:vertAlign w:val="superscript"/>
              </w:rPr>
              <w:t>)</w:t>
            </w:r>
          </w:p>
        </w:tc>
        <w:tc>
          <w:tcPr>
            <w:tcW w:w="1504" w:type="dxa"/>
            <w:tcBorders>
              <w:top w:val="nil"/>
              <w:bottom w:val="single" w:sz="4" w:space="0" w:color="2E74B5" w:themeColor="accent1" w:themeShade="BF"/>
            </w:tcBorders>
            <w:shd w:val="clear" w:color="auto" w:fill="auto"/>
            <w:vAlign w:val="center"/>
          </w:tcPr>
          <w:p w14:paraId="7FC048CC" w14:textId="77777777" w:rsidR="008B7E19" w:rsidRPr="00D311AA" w:rsidRDefault="008B7E19" w:rsidP="008B7E19">
            <w:pPr>
              <w:pStyle w:val="08-Tabelageral"/>
              <w:cnfStyle w:val="000000100000" w:firstRow="0" w:lastRow="0" w:firstColumn="0" w:lastColumn="0" w:oddVBand="0" w:evenVBand="0" w:oddHBand="1" w:evenHBand="0" w:firstRowFirstColumn="0" w:firstRowLastColumn="0" w:lastRowFirstColumn="0" w:lastRowLastColumn="0"/>
            </w:pPr>
            <w:r>
              <w:rPr>
                <w:rFonts w:cs="Arial"/>
                <w:szCs w:val="14"/>
              </w:rPr>
              <w:t>(982)</w:t>
            </w:r>
          </w:p>
        </w:tc>
        <w:tc>
          <w:tcPr>
            <w:tcW w:w="1504" w:type="dxa"/>
            <w:tcBorders>
              <w:top w:val="nil"/>
              <w:bottom w:val="single" w:sz="4" w:space="0" w:color="2E74B5" w:themeColor="accent1" w:themeShade="BF"/>
            </w:tcBorders>
            <w:shd w:val="clear" w:color="auto" w:fill="auto"/>
          </w:tcPr>
          <w:p w14:paraId="0EB5C375" w14:textId="77777777" w:rsidR="008B7E19" w:rsidRPr="00D311AA" w:rsidRDefault="008B7E19" w:rsidP="008B7E19">
            <w:pPr>
              <w:pStyle w:val="08-Tabelageral"/>
              <w:cnfStyle w:val="000000100000" w:firstRow="0" w:lastRow="0" w:firstColumn="0" w:lastColumn="0" w:oddVBand="0" w:evenVBand="0" w:oddHBand="1" w:evenHBand="0" w:firstRowFirstColumn="0" w:firstRowLastColumn="0" w:lastRowFirstColumn="0" w:lastRowLastColumn="0"/>
            </w:pPr>
            <w:r>
              <w:t>--</w:t>
            </w:r>
          </w:p>
        </w:tc>
        <w:tc>
          <w:tcPr>
            <w:tcW w:w="1504" w:type="dxa"/>
            <w:tcBorders>
              <w:top w:val="nil"/>
              <w:bottom w:val="single" w:sz="4" w:space="0" w:color="2E74B5" w:themeColor="accent1" w:themeShade="BF"/>
            </w:tcBorders>
            <w:shd w:val="clear" w:color="auto" w:fill="auto"/>
          </w:tcPr>
          <w:p w14:paraId="6E181107" w14:textId="77777777" w:rsidR="008B7E19" w:rsidRPr="00D311AA" w:rsidRDefault="008B7E19" w:rsidP="008B7E19">
            <w:pPr>
              <w:pStyle w:val="08-Tabelageral"/>
              <w:cnfStyle w:val="000000100000" w:firstRow="0" w:lastRow="0" w:firstColumn="0" w:lastColumn="0" w:oddVBand="0" w:evenVBand="0" w:oddHBand="1" w:evenHBand="0" w:firstRowFirstColumn="0" w:firstRowLastColumn="0" w:lastRowFirstColumn="0" w:lastRowLastColumn="0"/>
            </w:pPr>
            <w:r>
              <w:t>(565)</w:t>
            </w:r>
          </w:p>
        </w:tc>
        <w:tc>
          <w:tcPr>
            <w:tcW w:w="1612" w:type="dxa"/>
            <w:tcBorders>
              <w:top w:val="nil"/>
              <w:bottom w:val="single" w:sz="4" w:space="0" w:color="2E74B5" w:themeColor="accent1" w:themeShade="BF"/>
            </w:tcBorders>
            <w:shd w:val="clear" w:color="auto" w:fill="auto"/>
          </w:tcPr>
          <w:p w14:paraId="2C523C38" w14:textId="77777777" w:rsidR="008B7E19" w:rsidRPr="00D311AA" w:rsidRDefault="008B7E19" w:rsidP="008B7E19">
            <w:pPr>
              <w:pStyle w:val="08-Tabelageral"/>
              <w:cnfStyle w:val="000000100000" w:firstRow="0" w:lastRow="0" w:firstColumn="0" w:lastColumn="0" w:oddVBand="0" w:evenVBand="0" w:oddHBand="1" w:evenHBand="0" w:firstRowFirstColumn="0" w:firstRowLastColumn="0" w:lastRowFirstColumn="0" w:lastRowLastColumn="0"/>
            </w:pPr>
            <w:r>
              <w:t>--</w:t>
            </w:r>
          </w:p>
        </w:tc>
      </w:tr>
    </w:tbl>
    <w:p w14:paraId="5E9A8D3B" w14:textId="77777777" w:rsidR="008B7E19" w:rsidRPr="00CA0C3C" w:rsidRDefault="008B7E19" w:rsidP="00882B41">
      <w:pPr>
        <w:pStyle w:val="07-Legenda"/>
        <w:numPr>
          <w:ilvl w:val="0"/>
          <w:numId w:val="44"/>
        </w:numPr>
        <w:spacing w:before="0"/>
        <w:ind w:left="142" w:hanging="142"/>
      </w:pPr>
      <w:r w:rsidRPr="00CA0C3C">
        <w:t>BB Seguros and BB Corretora.</w:t>
      </w:r>
    </w:p>
    <w:p w14:paraId="6A28EB05" w14:textId="77777777" w:rsidR="008B7E19" w:rsidRPr="00D311AA" w:rsidRDefault="008B7E19" w:rsidP="00882B41">
      <w:pPr>
        <w:pStyle w:val="07-Legenda"/>
        <w:numPr>
          <w:ilvl w:val="0"/>
          <w:numId w:val="44"/>
        </w:numPr>
        <w:spacing w:before="0"/>
        <w:ind w:left="284" w:hanging="284"/>
      </w:pPr>
      <w:r w:rsidRPr="00D311AA">
        <w:t>Refers to expenses as sharing contract customer data, use of staff, distribution network and resource materials technological and administrative, between the Banco do Brasil, BB Seguridade, BB Corretora and BB Seguros.</w:t>
      </w:r>
    </w:p>
    <w:p w14:paraId="3ECD0FCF" w14:textId="77777777" w:rsidR="008B7E19" w:rsidRPr="00D311AA" w:rsidRDefault="008B7E19" w:rsidP="008B7E19">
      <w:pPr>
        <w:pStyle w:val="01-TtulodeNota"/>
        <w:keepNext/>
        <w:spacing w:before="0" w:after="0"/>
        <w:jc w:val="right"/>
        <w:rPr>
          <w:sz w:val="14"/>
          <w:szCs w:val="14"/>
        </w:rPr>
      </w:pPr>
      <w:r w:rsidRPr="00D311AA">
        <w:rPr>
          <w:sz w:val="14"/>
          <w:szCs w:val="14"/>
        </w:rPr>
        <w:t>R$ thousand</w:t>
      </w:r>
    </w:p>
    <w:tbl>
      <w:tblPr>
        <w:tblStyle w:val="TabeladeLista6Colorida-nfase510"/>
        <w:tblW w:w="9639" w:type="dxa"/>
        <w:jc w:val="center"/>
        <w:tblInd w:w="0" w:type="dxa"/>
        <w:tblLayout w:type="fixed"/>
        <w:tblLook w:val="04A0" w:firstRow="1" w:lastRow="0" w:firstColumn="1" w:lastColumn="0" w:noHBand="0" w:noVBand="1"/>
      </w:tblPr>
      <w:tblGrid>
        <w:gridCol w:w="1275"/>
        <w:gridCol w:w="2240"/>
        <w:gridCol w:w="1504"/>
        <w:gridCol w:w="1504"/>
        <w:gridCol w:w="1504"/>
        <w:gridCol w:w="1612"/>
      </w:tblGrid>
      <w:tr w:rsidR="008B7E19" w:rsidRPr="00D311AA" w14:paraId="15584AA1" w14:textId="77777777" w:rsidTr="005B5353">
        <w:trPr>
          <w:cnfStyle w:val="100000000000" w:firstRow="1" w:lastRow="0" w:firstColumn="0" w:lastColumn="0" w:oddVBand="0" w:evenVBand="0" w:oddHBand="0" w:evenHBand="0" w:firstRowFirstColumn="0" w:firstRowLastColumn="0" w:lastRowFirstColumn="0" w:lastRowLastColumn="0"/>
          <w:trHeight w:hRule="exact" w:val="227"/>
          <w:jc w:val="center"/>
        </w:trPr>
        <w:tc>
          <w:tcPr>
            <w:cnfStyle w:val="001000000000" w:firstRow="0" w:lastRow="0" w:firstColumn="1" w:lastColumn="0" w:oddVBand="0" w:evenVBand="0" w:oddHBand="0" w:evenHBand="0" w:firstRowFirstColumn="0" w:firstRowLastColumn="0" w:lastRowFirstColumn="0" w:lastRowLastColumn="0"/>
            <w:tcW w:w="1275" w:type="dxa"/>
            <w:tcBorders>
              <w:top w:val="single" w:sz="2" w:space="0" w:color="8EAADB" w:themeColor="accent5" w:themeTint="99"/>
              <w:bottom w:val="nil"/>
            </w:tcBorders>
            <w:shd w:val="clear" w:color="auto" w:fill="auto"/>
            <w:vAlign w:val="center"/>
          </w:tcPr>
          <w:p w14:paraId="5BE44EBD" w14:textId="77777777" w:rsidR="008B7E19" w:rsidRPr="00D311AA" w:rsidRDefault="008B7E19" w:rsidP="008B7E19">
            <w:pPr>
              <w:pStyle w:val="08-Tabelageral"/>
            </w:pPr>
          </w:p>
        </w:tc>
        <w:tc>
          <w:tcPr>
            <w:tcW w:w="2240" w:type="dxa"/>
            <w:tcBorders>
              <w:top w:val="single" w:sz="2" w:space="0" w:color="8EAADB" w:themeColor="accent5" w:themeTint="99"/>
              <w:bottom w:val="nil"/>
            </w:tcBorders>
            <w:shd w:val="clear" w:color="auto" w:fill="auto"/>
            <w:vAlign w:val="center"/>
          </w:tcPr>
          <w:p w14:paraId="60ADA0FE" w14:textId="77777777" w:rsidR="008B7E19" w:rsidRPr="00D311AA" w:rsidRDefault="008B7E19" w:rsidP="008B7E19">
            <w:pPr>
              <w:pStyle w:val="08-Tabelageral"/>
              <w:cnfStyle w:val="100000000000" w:firstRow="1" w:lastRow="0" w:firstColumn="0" w:lastColumn="0" w:oddVBand="0" w:evenVBand="0" w:oddHBand="0" w:evenHBand="0" w:firstRowFirstColumn="0" w:firstRowLastColumn="0" w:lastRowFirstColumn="0" w:lastRowLastColumn="0"/>
            </w:pPr>
          </w:p>
        </w:tc>
        <w:tc>
          <w:tcPr>
            <w:tcW w:w="3008" w:type="dxa"/>
            <w:gridSpan w:val="2"/>
            <w:tcBorders>
              <w:top w:val="single" w:sz="2" w:space="0" w:color="8EAADB" w:themeColor="accent5" w:themeTint="99"/>
              <w:bottom w:val="single" w:sz="2" w:space="0" w:color="8EAADB" w:themeColor="accent5" w:themeTint="99"/>
            </w:tcBorders>
            <w:shd w:val="clear" w:color="auto" w:fill="auto"/>
          </w:tcPr>
          <w:p w14:paraId="0006258A" w14:textId="77777777" w:rsidR="008B7E19" w:rsidRPr="00D311AA" w:rsidRDefault="008B7E19" w:rsidP="008B7E19">
            <w:pPr>
              <w:pStyle w:val="08-Tabelageral"/>
              <w:jc w:val="center"/>
              <w:cnfStyle w:val="100000000000" w:firstRow="1" w:lastRow="0" w:firstColumn="0" w:lastColumn="0" w:oddVBand="0" w:evenVBand="0" w:oddHBand="0" w:evenHBand="0" w:firstRowFirstColumn="0" w:firstRowLastColumn="0" w:lastRowFirstColumn="0" w:lastRowLastColumn="0"/>
              <w:rPr>
                <w:bCs w:val="0"/>
              </w:rPr>
            </w:pPr>
            <w:r>
              <w:rPr>
                <w:rFonts w:cs="Arial"/>
                <w:szCs w:val="14"/>
              </w:rPr>
              <w:t>1</w:t>
            </w:r>
            <w:r>
              <w:rPr>
                <w:rFonts w:cs="Arial"/>
                <w:szCs w:val="14"/>
                <w:vertAlign w:val="superscript"/>
              </w:rPr>
              <w:t>st</w:t>
            </w:r>
            <w:r w:rsidRPr="00EF24D8">
              <w:rPr>
                <w:rFonts w:cs="Arial"/>
                <w:szCs w:val="14"/>
              </w:rPr>
              <w:t xml:space="preserve"> </w:t>
            </w:r>
            <w:r>
              <w:rPr>
                <w:rFonts w:cs="Arial"/>
                <w:szCs w:val="14"/>
              </w:rPr>
              <w:t>Half</w:t>
            </w:r>
            <w:r w:rsidRPr="00EF24D8">
              <w:rPr>
                <w:rFonts w:cs="Arial"/>
                <w:szCs w:val="14"/>
              </w:rPr>
              <w:t xml:space="preserve"> 202</w:t>
            </w:r>
            <w:r>
              <w:rPr>
                <w:rFonts w:cs="Arial"/>
                <w:szCs w:val="14"/>
              </w:rPr>
              <w:t>3</w:t>
            </w:r>
          </w:p>
        </w:tc>
        <w:tc>
          <w:tcPr>
            <w:tcW w:w="3116" w:type="dxa"/>
            <w:gridSpan w:val="2"/>
            <w:tcBorders>
              <w:top w:val="single" w:sz="2" w:space="0" w:color="8EAADB" w:themeColor="accent5" w:themeTint="99"/>
              <w:bottom w:val="single" w:sz="2" w:space="0" w:color="8EAADB" w:themeColor="accent5" w:themeTint="99"/>
            </w:tcBorders>
            <w:shd w:val="clear" w:color="auto" w:fill="auto"/>
          </w:tcPr>
          <w:p w14:paraId="06DADCE1" w14:textId="77777777" w:rsidR="008B7E19" w:rsidRPr="00D311AA" w:rsidRDefault="008B7E19" w:rsidP="008B7E19">
            <w:pPr>
              <w:pStyle w:val="08-Tabelageral"/>
              <w:jc w:val="center"/>
              <w:cnfStyle w:val="100000000000" w:firstRow="1" w:lastRow="0" w:firstColumn="0" w:lastColumn="0" w:oddVBand="0" w:evenVBand="0" w:oddHBand="0" w:evenHBand="0" w:firstRowFirstColumn="0" w:firstRowLastColumn="0" w:lastRowFirstColumn="0" w:lastRowLastColumn="0"/>
            </w:pPr>
            <w:r>
              <w:rPr>
                <w:rFonts w:cs="Arial"/>
                <w:szCs w:val="14"/>
              </w:rPr>
              <w:t>1</w:t>
            </w:r>
            <w:r>
              <w:rPr>
                <w:rFonts w:cs="Arial"/>
                <w:szCs w:val="14"/>
                <w:vertAlign w:val="superscript"/>
              </w:rPr>
              <w:t>st</w:t>
            </w:r>
            <w:r w:rsidRPr="00EF24D8">
              <w:rPr>
                <w:rFonts w:cs="Arial"/>
                <w:szCs w:val="14"/>
              </w:rPr>
              <w:t xml:space="preserve"> </w:t>
            </w:r>
            <w:r>
              <w:rPr>
                <w:rFonts w:cs="Arial"/>
                <w:szCs w:val="14"/>
              </w:rPr>
              <w:t>Half</w:t>
            </w:r>
            <w:r w:rsidRPr="00EF24D8">
              <w:rPr>
                <w:rFonts w:cs="Arial"/>
                <w:szCs w:val="14"/>
              </w:rPr>
              <w:t xml:space="preserve"> 202</w:t>
            </w:r>
            <w:r>
              <w:rPr>
                <w:rFonts w:cs="Arial"/>
                <w:szCs w:val="14"/>
              </w:rPr>
              <w:t>2</w:t>
            </w:r>
          </w:p>
        </w:tc>
      </w:tr>
      <w:tr w:rsidR="008B7E19" w:rsidRPr="00D311AA" w14:paraId="138B8086" w14:textId="77777777" w:rsidTr="005B5353">
        <w:trPr>
          <w:cnfStyle w:val="000000100000" w:firstRow="0" w:lastRow="0" w:firstColumn="0" w:lastColumn="0" w:oddVBand="0" w:evenVBand="0" w:oddHBand="1" w:evenHBand="0" w:firstRowFirstColumn="0" w:firstRowLastColumn="0" w:lastRowFirstColumn="0" w:lastRowLastColumn="0"/>
          <w:trHeight w:hRule="exact" w:val="283"/>
          <w:jc w:val="center"/>
        </w:trPr>
        <w:tc>
          <w:tcPr>
            <w:cnfStyle w:val="001000000000" w:firstRow="0" w:lastRow="0" w:firstColumn="1" w:lastColumn="0" w:oddVBand="0" w:evenVBand="0" w:oddHBand="0" w:evenHBand="0" w:firstRowFirstColumn="0" w:firstRowLastColumn="0" w:lastRowFirstColumn="0" w:lastRowLastColumn="0"/>
            <w:tcW w:w="3515" w:type="dxa"/>
            <w:gridSpan w:val="2"/>
            <w:tcBorders>
              <w:top w:val="nil"/>
              <w:bottom w:val="single" w:sz="2" w:space="0" w:color="8EAADB" w:themeColor="accent5" w:themeTint="99"/>
            </w:tcBorders>
            <w:shd w:val="clear" w:color="auto" w:fill="auto"/>
          </w:tcPr>
          <w:p w14:paraId="7733CE08" w14:textId="77777777" w:rsidR="008B7E19" w:rsidRPr="00D311AA" w:rsidRDefault="008B7E19" w:rsidP="008B7E19">
            <w:pPr>
              <w:pStyle w:val="08-Tabelageral"/>
              <w:rPr>
                <w:sz w:val="12"/>
                <w:szCs w:val="12"/>
              </w:rPr>
            </w:pPr>
          </w:p>
        </w:tc>
        <w:tc>
          <w:tcPr>
            <w:tcW w:w="1504" w:type="dxa"/>
            <w:tcBorders>
              <w:top w:val="nil"/>
              <w:bottom w:val="single" w:sz="2" w:space="0" w:color="8EAADB" w:themeColor="accent5" w:themeTint="99"/>
            </w:tcBorders>
            <w:shd w:val="clear" w:color="auto" w:fill="auto"/>
            <w:vAlign w:val="center"/>
          </w:tcPr>
          <w:p w14:paraId="197404DC" w14:textId="77777777" w:rsidR="008B7E19" w:rsidRPr="00D311AA"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b/>
                <w:sz w:val="12"/>
                <w:szCs w:val="12"/>
              </w:rPr>
            </w:pPr>
            <w:r>
              <w:rPr>
                <w:b/>
                <w:sz w:val="12"/>
                <w:szCs w:val="12"/>
              </w:rPr>
              <w:t>Banco do Brasil</w:t>
            </w:r>
          </w:p>
        </w:tc>
        <w:tc>
          <w:tcPr>
            <w:tcW w:w="1504" w:type="dxa"/>
            <w:tcBorders>
              <w:top w:val="single" w:sz="2" w:space="0" w:color="8EAADB" w:themeColor="accent5" w:themeTint="99"/>
              <w:bottom w:val="single" w:sz="2" w:space="0" w:color="8EAADB" w:themeColor="accent5" w:themeTint="99"/>
            </w:tcBorders>
            <w:shd w:val="clear" w:color="auto" w:fill="auto"/>
            <w:vAlign w:val="center"/>
          </w:tcPr>
          <w:p w14:paraId="12EB283E" w14:textId="77777777" w:rsidR="008B7E19" w:rsidRPr="00D311AA"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b/>
                <w:sz w:val="12"/>
                <w:szCs w:val="12"/>
              </w:rPr>
            </w:pPr>
            <w:r w:rsidRPr="00181218">
              <w:rPr>
                <w:b/>
                <w:sz w:val="12"/>
                <w:szCs w:val="12"/>
              </w:rPr>
              <w:t>Subsidiaries</w:t>
            </w:r>
            <w:r>
              <w:rPr>
                <w:b/>
                <w:sz w:val="12"/>
                <w:szCs w:val="12"/>
              </w:rPr>
              <w:t xml:space="preserve"> </w:t>
            </w:r>
            <w:r w:rsidRPr="00181218">
              <w:rPr>
                <w:b/>
                <w:sz w:val="12"/>
                <w:szCs w:val="12"/>
                <w:vertAlign w:val="superscript"/>
              </w:rPr>
              <w:t>(</w:t>
            </w:r>
            <w:r>
              <w:rPr>
                <w:b/>
                <w:sz w:val="12"/>
                <w:szCs w:val="12"/>
                <w:vertAlign w:val="superscript"/>
              </w:rPr>
              <w:t>1</w:t>
            </w:r>
            <w:r w:rsidRPr="00181218">
              <w:rPr>
                <w:b/>
                <w:sz w:val="12"/>
                <w:szCs w:val="12"/>
                <w:vertAlign w:val="superscript"/>
              </w:rPr>
              <w:t>)</w:t>
            </w:r>
          </w:p>
        </w:tc>
        <w:tc>
          <w:tcPr>
            <w:tcW w:w="1504" w:type="dxa"/>
            <w:tcBorders>
              <w:top w:val="single" w:sz="2" w:space="0" w:color="8EAADB" w:themeColor="accent5" w:themeTint="99"/>
              <w:bottom w:val="single" w:sz="2" w:space="0" w:color="8EAADB" w:themeColor="accent5" w:themeTint="99"/>
            </w:tcBorders>
            <w:shd w:val="clear" w:color="auto" w:fill="auto"/>
            <w:vAlign w:val="center"/>
          </w:tcPr>
          <w:p w14:paraId="62738E77" w14:textId="77777777" w:rsidR="008B7E19" w:rsidRPr="00D311AA"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b/>
                <w:sz w:val="12"/>
                <w:szCs w:val="12"/>
              </w:rPr>
            </w:pPr>
            <w:r>
              <w:rPr>
                <w:b/>
                <w:sz w:val="12"/>
                <w:szCs w:val="12"/>
              </w:rPr>
              <w:t>Banco do Brasil</w:t>
            </w:r>
          </w:p>
        </w:tc>
        <w:tc>
          <w:tcPr>
            <w:tcW w:w="1612" w:type="dxa"/>
            <w:tcBorders>
              <w:top w:val="single" w:sz="2" w:space="0" w:color="8EAADB" w:themeColor="accent5" w:themeTint="99"/>
              <w:bottom w:val="single" w:sz="2" w:space="0" w:color="8EAADB" w:themeColor="accent5" w:themeTint="99"/>
            </w:tcBorders>
            <w:shd w:val="clear" w:color="auto" w:fill="auto"/>
            <w:vAlign w:val="center"/>
          </w:tcPr>
          <w:p w14:paraId="062D5110" w14:textId="77777777" w:rsidR="008B7E19" w:rsidRPr="00D311AA"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b/>
                <w:sz w:val="12"/>
                <w:szCs w:val="12"/>
              </w:rPr>
            </w:pPr>
            <w:r w:rsidRPr="00181218">
              <w:rPr>
                <w:b/>
                <w:sz w:val="12"/>
                <w:szCs w:val="12"/>
              </w:rPr>
              <w:t>Subsidiaries</w:t>
            </w:r>
            <w:r>
              <w:rPr>
                <w:b/>
                <w:sz w:val="12"/>
                <w:szCs w:val="12"/>
              </w:rPr>
              <w:t xml:space="preserve"> </w:t>
            </w:r>
            <w:r w:rsidRPr="00181218">
              <w:rPr>
                <w:b/>
                <w:sz w:val="12"/>
                <w:szCs w:val="12"/>
                <w:vertAlign w:val="superscript"/>
              </w:rPr>
              <w:t>(</w:t>
            </w:r>
            <w:r>
              <w:rPr>
                <w:b/>
                <w:sz w:val="12"/>
                <w:szCs w:val="12"/>
                <w:vertAlign w:val="superscript"/>
              </w:rPr>
              <w:t>1</w:t>
            </w:r>
            <w:r w:rsidRPr="00181218">
              <w:rPr>
                <w:b/>
                <w:sz w:val="12"/>
                <w:szCs w:val="12"/>
                <w:vertAlign w:val="superscript"/>
              </w:rPr>
              <w:t>)</w:t>
            </w:r>
          </w:p>
        </w:tc>
      </w:tr>
      <w:tr w:rsidR="008B7E19" w:rsidRPr="00D311AA" w14:paraId="28C37995" w14:textId="77777777" w:rsidTr="005B5353">
        <w:trPr>
          <w:cnfStyle w:val="000000010000" w:firstRow="0" w:lastRow="0" w:firstColumn="0" w:lastColumn="0" w:oddVBand="0" w:evenVBand="0" w:oddHBand="0" w:evenHBand="1" w:firstRowFirstColumn="0" w:firstRowLastColumn="0" w:lastRowFirstColumn="0" w:lastRowLastColumn="0"/>
          <w:trHeight w:val="241"/>
          <w:jc w:val="center"/>
        </w:trPr>
        <w:tc>
          <w:tcPr>
            <w:cnfStyle w:val="001000000000" w:firstRow="0" w:lastRow="0" w:firstColumn="1" w:lastColumn="0" w:oddVBand="0" w:evenVBand="0" w:oddHBand="0" w:evenHBand="0" w:firstRowFirstColumn="0" w:firstRowLastColumn="0" w:lastRowFirstColumn="0" w:lastRowLastColumn="0"/>
            <w:tcW w:w="3515" w:type="dxa"/>
            <w:gridSpan w:val="2"/>
            <w:tcBorders>
              <w:top w:val="single" w:sz="2" w:space="0" w:color="8EAADB" w:themeColor="accent5" w:themeTint="99"/>
              <w:bottom w:val="nil"/>
            </w:tcBorders>
            <w:shd w:val="clear" w:color="auto" w:fill="auto"/>
          </w:tcPr>
          <w:p w14:paraId="69CE4083" w14:textId="77777777" w:rsidR="008B7E19" w:rsidRPr="00D311AA" w:rsidRDefault="008B7E19" w:rsidP="008B7E19">
            <w:pPr>
              <w:pStyle w:val="08-Tabelageral"/>
              <w:jc w:val="left"/>
            </w:pPr>
            <w:r w:rsidRPr="00D311AA">
              <w:t>Income</w:t>
            </w:r>
          </w:p>
        </w:tc>
        <w:tc>
          <w:tcPr>
            <w:tcW w:w="1504" w:type="dxa"/>
            <w:tcBorders>
              <w:top w:val="single" w:sz="2" w:space="0" w:color="8EAADB" w:themeColor="accent5" w:themeTint="99"/>
              <w:bottom w:val="nil"/>
            </w:tcBorders>
            <w:shd w:val="clear" w:color="auto" w:fill="auto"/>
            <w:vAlign w:val="center"/>
          </w:tcPr>
          <w:p w14:paraId="288DC565" w14:textId="77777777" w:rsidR="008B7E19" w:rsidRPr="00D311AA" w:rsidRDefault="008B7E19" w:rsidP="008B7E19">
            <w:pPr>
              <w:pStyle w:val="08-Tabelageral"/>
              <w:cnfStyle w:val="000000010000" w:firstRow="0" w:lastRow="0" w:firstColumn="0" w:lastColumn="0" w:oddVBand="0" w:evenVBand="0" w:oddHBand="0" w:evenHBand="1" w:firstRowFirstColumn="0" w:firstRowLastColumn="0" w:lastRowFirstColumn="0" w:lastRowLastColumn="0"/>
              <w:rPr>
                <w:b/>
                <w:szCs w:val="14"/>
              </w:rPr>
            </w:pPr>
          </w:p>
        </w:tc>
        <w:tc>
          <w:tcPr>
            <w:tcW w:w="1504" w:type="dxa"/>
            <w:tcBorders>
              <w:top w:val="single" w:sz="2" w:space="0" w:color="8EAADB" w:themeColor="accent5" w:themeTint="99"/>
              <w:bottom w:val="nil"/>
            </w:tcBorders>
            <w:shd w:val="clear" w:color="auto" w:fill="auto"/>
          </w:tcPr>
          <w:p w14:paraId="61DA8B6E" w14:textId="77777777" w:rsidR="008B7E19" w:rsidRPr="00D311AA" w:rsidRDefault="008B7E19" w:rsidP="008B7E19">
            <w:pPr>
              <w:pStyle w:val="08-Tabelageral"/>
              <w:cnfStyle w:val="000000010000" w:firstRow="0" w:lastRow="0" w:firstColumn="0" w:lastColumn="0" w:oddVBand="0" w:evenVBand="0" w:oddHBand="0" w:evenHBand="1" w:firstRowFirstColumn="0" w:firstRowLastColumn="0" w:lastRowFirstColumn="0" w:lastRowLastColumn="0"/>
              <w:rPr>
                <w:b/>
                <w:szCs w:val="14"/>
              </w:rPr>
            </w:pPr>
          </w:p>
        </w:tc>
        <w:tc>
          <w:tcPr>
            <w:tcW w:w="1504" w:type="dxa"/>
            <w:tcBorders>
              <w:top w:val="single" w:sz="2" w:space="0" w:color="8EAADB" w:themeColor="accent5" w:themeTint="99"/>
              <w:bottom w:val="nil"/>
            </w:tcBorders>
            <w:shd w:val="clear" w:color="auto" w:fill="auto"/>
          </w:tcPr>
          <w:p w14:paraId="1823EFB4" w14:textId="77777777" w:rsidR="008B7E19" w:rsidRPr="00D311AA" w:rsidRDefault="008B7E19" w:rsidP="008B7E19">
            <w:pPr>
              <w:pStyle w:val="08-Tabelageral"/>
              <w:cnfStyle w:val="000000010000" w:firstRow="0" w:lastRow="0" w:firstColumn="0" w:lastColumn="0" w:oddVBand="0" w:evenVBand="0" w:oddHBand="0" w:evenHBand="1" w:firstRowFirstColumn="0" w:firstRowLastColumn="0" w:lastRowFirstColumn="0" w:lastRowLastColumn="0"/>
              <w:rPr>
                <w:b/>
                <w:szCs w:val="14"/>
              </w:rPr>
            </w:pPr>
          </w:p>
        </w:tc>
        <w:tc>
          <w:tcPr>
            <w:tcW w:w="1612" w:type="dxa"/>
            <w:tcBorders>
              <w:top w:val="single" w:sz="2" w:space="0" w:color="8EAADB" w:themeColor="accent5" w:themeTint="99"/>
            </w:tcBorders>
            <w:shd w:val="clear" w:color="auto" w:fill="auto"/>
          </w:tcPr>
          <w:p w14:paraId="35AF7FB8" w14:textId="77777777" w:rsidR="008B7E19" w:rsidRPr="00D311AA" w:rsidRDefault="008B7E19" w:rsidP="008B7E19">
            <w:pPr>
              <w:pStyle w:val="08-Tabelageral"/>
              <w:cnfStyle w:val="000000010000" w:firstRow="0" w:lastRow="0" w:firstColumn="0" w:lastColumn="0" w:oddVBand="0" w:evenVBand="0" w:oddHBand="0" w:evenHBand="1" w:firstRowFirstColumn="0" w:firstRowLastColumn="0" w:lastRowFirstColumn="0" w:lastRowLastColumn="0"/>
              <w:rPr>
                <w:b/>
                <w:szCs w:val="14"/>
              </w:rPr>
            </w:pPr>
          </w:p>
        </w:tc>
      </w:tr>
      <w:tr w:rsidR="008B7E19" w:rsidRPr="00D311AA" w14:paraId="5744732D" w14:textId="77777777" w:rsidTr="005B5353">
        <w:trPr>
          <w:cnfStyle w:val="000000100000" w:firstRow="0" w:lastRow="0" w:firstColumn="0" w:lastColumn="0" w:oddVBand="0" w:evenVBand="0" w:oddHBand="1" w:evenHBand="0" w:firstRowFirstColumn="0" w:firstRowLastColumn="0" w:lastRowFirstColumn="0" w:lastRowLastColumn="0"/>
          <w:trHeight w:val="241"/>
          <w:jc w:val="center"/>
        </w:trPr>
        <w:tc>
          <w:tcPr>
            <w:cnfStyle w:val="001000000000" w:firstRow="0" w:lastRow="0" w:firstColumn="1" w:lastColumn="0" w:oddVBand="0" w:evenVBand="0" w:oddHBand="0" w:evenHBand="0" w:firstRowFirstColumn="0" w:firstRowLastColumn="0" w:lastRowFirstColumn="0" w:lastRowLastColumn="0"/>
            <w:tcW w:w="3515" w:type="dxa"/>
            <w:gridSpan w:val="2"/>
            <w:tcBorders>
              <w:top w:val="nil"/>
              <w:bottom w:val="nil"/>
            </w:tcBorders>
            <w:shd w:val="clear" w:color="auto" w:fill="auto"/>
          </w:tcPr>
          <w:p w14:paraId="6E1C0465" w14:textId="77777777" w:rsidR="008B7E19" w:rsidRPr="00D311AA" w:rsidRDefault="008B7E19" w:rsidP="008B7E19">
            <w:pPr>
              <w:pStyle w:val="08-Tabelageral"/>
              <w:jc w:val="left"/>
              <w:rPr>
                <w:b w:val="0"/>
              </w:rPr>
            </w:pPr>
            <w:r w:rsidRPr="00D311AA">
              <w:rPr>
                <w:b w:val="0"/>
              </w:rPr>
              <w:t>Interest earnings of financial instruments</w:t>
            </w:r>
          </w:p>
        </w:tc>
        <w:tc>
          <w:tcPr>
            <w:tcW w:w="1504" w:type="dxa"/>
            <w:tcBorders>
              <w:top w:val="nil"/>
            </w:tcBorders>
            <w:shd w:val="clear" w:color="auto" w:fill="auto"/>
          </w:tcPr>
          <w:p w14:paraId="43E18A88" w14:textId="77777777" w:rsidR="008B7E19" w:rsidRPr="00D311AA" w:rsidRDefault="008B7E19" w:rsidP="008B7E19">
            <w:pPr>
              <w:pStyle w:val="08-Tabelageral"/>
              <w:cnfStyle w:val="000000100000" w:firstRow="0" w:lastRow="0" w:firstColumn="0" w:lastColumn="0" w:oddVBand="0" w:evenVBand="0" w:oddHBand="1" w:evenHBand="0" w:firstRowFirstColumn="0" w:firstRowLastColumn="0" w:lastRowFirstColumn="0" w:lastRowLastColumn="0"/>
            </w:pPr>
            <w:r>
              <w:t>10,704</w:t>
            </w:r>
          </w:p>
        </w:tc>
        <w:tc>
          <w:tcPr>
            <w:tcW w:w="1504" w:type="dxa"/>
            <w:tcBorders>
              <w:top w:val="nil"/>
            </w:tcBorders>
            <w:shd w:val="clear" w:color="auto" w:fill="auto"/>
          </w:tcPr>
          <w:p w14:paraId="3E8C565A" w14:textId="77777777" w:rsidR="008B7E19" w:rsidRPr="00D311AA" w:rsidRDefault="008B7E19" w:rsidP="008B7E19">
            <w:pPr>
              <w:pStyle w:val="08-Tabelageral"/>
              <w:cnfStyle w:val="000000100000" w:firstRow="0" w:lastRow="0" w:firstColumn="0" w:lastColumn="0" w:oddVBand="0" w:evenVBand="0" w:oddHBand="1" w:evenHBand="0" w:firstRowFirstColumn="0" w:firstRowLastColumn="0" w:lastRowFirstColumn="0" w:lastRowLastColumn="0"/>
            </w:pPr>
            <w:r>
              <w:t>--</w:t>
            </w:r>
          </w:p>
        </w:tc>
        <w:tc>
          <w:tcPr>
            <w:tcW w:w="1504" w:type="dxa"/>
            <w:tcBorders>
              <w:top w:val="nil"/>
            </w:tcBorders>
            <w:shd w:val="clear" w:color="auto" w:fill="auto"/>
          </w:tcPr>
          <w:p w14:paraId="28D99775" w14:textId="77777777" w:rsidR="008B7E19" w:rsidRPr="00D311AA" w:rsidRDefault="008B7E19" w:rsidP="008B7E19">
            <w:pPr>
              <w:pStyle w:val="08-Tabelageral"/>
              <w:cnfStyle w:val="000000100000" w:firstRow="0" w:lastRow="0" w:firstColumn="0" w:lastColumn="0" w:oddVBand="0" w:evenVBand="0" w:oddHBand="1" w:evenHBand="0" w:firstRowFirstColumn="0" w:firstRowLastColumn="0" w:lastRowFirstColumn="0" w:lastRowLastColumn="0"/>
            </w:pPr>
            <w:r>
              <w:t>8,676</w:t>
            </w:r>
          </w:p>
        </w:tc>
        <w:tc>
          <w:tcPr>
            <w:tcW w:w="1612" w:type="dxa"/>
            <w:tcBorders>
              <w:top w:val="nil"/>
            </w:tcBorders>
            <w:shd w:val="clear" w:color="auto" w:fill="auto"/>
          </w:tcPr>
          <w:p w14:paraId="3E943866" w14:textId="77777777" w:rsidR="008B7E19" w:rsidRPr="00D311AA" w:rsidRDefault="008B7E19" w:rsidP="008B7E19">
            <w:pPr>
              <w:pStyle w:val="08-Tabelageral"/>
              <w:cnfStyle w:val="000000100000" w:firstRow="0" w:lastRow="0" w:firstColumn="0" w:lastColumn="0" w:oddVBand="0" w:evenVBand="0" w:oddHBand="1" w:evenHBand="0" w:firstRowFirstColumn="0" w:firstRowLastColumn="0" w:lastRowFirstColumn="0" w:lastRowLastColumn="0"/>
            </w:pPr>
            <w:r>
              <w:t>--</w:t>
            </w:r>
          </w:p>
        </w:tc>
      </w:tr>
      <w:tr w:rsidR="008B7E19" w:rsidRPr="00D311AA" w14:paraId="2B95691B" w14:textId="77777777" w:rsidTr="005B5353">
        <w:trPr>
          <w:cnfStyle w:val="000000010000" w:firstRow="0" w:lastRow="0" w:firstColumn="0" w:lastColumn="0" w:oddVBand="0" w:evenVBand="0" w:oddHBand="0" w:evenHBand="1" w:firstRowFirstColumn="0" w:firstRowLastColumn="0" w:lastRowFirstColumn="0" w:lastRowLastColumn="0"/>
          <w:trHeight w:val="241"/>
          <w:jc w:val="center"/>
        </w:trPr>
        <w:tc>
          <w:tcPr>
            <w:cnfStyle w:val="001000000000" w:firstRow="0" w:lastRow="0" w:firstColumn="1" w:lastColumn="0" w:oddVBand="0" w:evenVBand="0" w:oddHBand="0" w:evenHBand="0" w:firstRowFirstColumn="0" w:firstRowLastColumn="0" w:lastRowFirstColumn="0" w:lastRowLastColumn="0"/>
            <w:tcW w:w="3515" w:type="dxa"/>
            <w:gridSpan w:val="2"/>
            <w:tcBorders>
              <w:top w:val="nil"/>
              <w:bottom w:val="nil"/>
            </w:tcBorders>
            <w:shd w:val="clear" w:color="auto" w:fill="auto"/>
          </w:tcPr>
          <w:p w14:paraId="7803622E" w14:textId="77777777" w:rsidR="008B7E19" w:rsidRPr="00D311AA" w:rsidRDefault="008B7E19" w:rsidP="008B7E19">
            <w:pPr>
              <w:pStyle w:val="08-Tabelageral"/>
              <w:jc w:val="left"/>
              <w:rPr>
                <w:b w:val="0"/>
              </w:rPr>
            </w:pPr>
            <w:r w:rsidRPr="00D311AA">
              <w:rPr>
                <w:b w:val="0"/>
              </w:rPr>
              <w:t>Personnel expenses</w:t>
            </w:r>
          </w:p>
        </w:tc>
        <w:tc>
          <w:tcPr>
            <w:tcW w:w="1504" w:type="dxa"/>
            <w:shd w:val="clear" w:color="auto" w:fill="auto"/>
          </w:tcPr>
          <w:p w14:paraId="34DA80F0" w14:textId="77777777" w:rsidR="008B7E19" w:rsidRPr="00D311AA" w:rsidRDefault="008B7E19" w:rsidP="008B7E19">
            <w:pPr>
              <w:pStyle w:val="08-Tabelageral"/>
              <w:cnfStyle w:val="000000010000" w:firstRow="0" w:lastRow="0" w:firstColumn="0" w:lastColumn="0" w:oddVBand="0" w:evenVBand="0" w:oddHBand="0" w:evenHBand="1" w:firstRowFirstColumn="0" w:firstRowLastColumn="0" w:lastRowFirstColumn="0" w:lastRowLastColumn="0"/>
            </w:pPr>
            <w:r>
              <w:t>(6,847)</w:t>
            </w:r>
          </w:p>
        </w:tc>
        <w:tc>
          <w:tcPr>
            <w:tcW w:w="1504" w:type="dxa"/>
            <w:shd w:val="clear" w:color="auto" w:fill="auto"/>
          </w:tcPr>
          <w:p w14:paraId="3D914557" w14:textId="77777777" w:rsidR="008B7E19" w:rsidRPr="00D311AA" w:rsidRDefault="008B7E19" w:rsidP="008B7E19">
            <w:pPr>
              <w:pStyle w:val="08-Tabelageral"/>
              <w:cnfStyle w:val="000000010000" w:firstRow="0" w:lastRow="0" w:firstColumn="0" w:lastColumn="0" w:oddVBand="0" w:evenVBand="0" w:oddHBand="0" w:evenHBand="1" w:firstRowFirstColumn="0" w:firstRowLastColumn="0" w:lastRowFirstColumn="0" w:lastRowLastColumn="0"/>
            </w:pPr>
            <w:r>
              <w:t>--</w:t>
            </w:r>
          </w:p>
        </w:tc>
        <w:tc>
          <w:tcPr>
            <w:tcW w:w="1504" w:type="dxa"/>
            <w:shd w:val="clear" w:color="auto" w:fill="auto"/>
          </w:tcPr>
          <w:p w14:paraId="091DDF65" w14:textId="77777777" w:rsidR="008B7E19" w:rsidRPr="00D311AA" w:rsidRDefault="008B7E19" w:rsidP="008B7E19">
            <w:pPr>
              <w:pStyle w:val="08-Tabelageral"/>
              <w:cnfStyle w:val="000000010000" w:firstRow="0" w:lastRow="0" w:firstColumn="0" w:lastColumn="0" w:oddVBand="0" w:evenVBand="0" w:oddHBand="0" w:evenHBand="1" w:firstRowFirstColumn="0" w:firstRowLastColumn="0" w:lastRowFirstColumn="0" w:lastRowLastColumn="0"/>
            </w:pPr>
            <w:r>
              <w:t>(6,917)</w:t>
            </w:r>
          </w:p>
        </w:tc>
        <w:tc>
          <w:tcPr>
            <w:tcW w:w="1612" w:type="dxa"/>
            <w:shd w:val="clear" w:color="auto" w:fill="auto"/>
          </w:tcPr>
          <w:p w14:paraId="5A0FCF6D" w14:textId="77777777" w:rsidR="008B7E19" w:rsidRPr="00D311AA" w:rsidRDefault="008B7E19" w:rsidP="008B7E19">
            <w:pPr>
              <w:pStyle w:val="08-Tabelageral"/>
              <w:cnfStyle w:val="000000010000" w:firstRow="0" w:lastRow="0" w:firstColumn="0" w:lastColumn="0" w:oddVBand="0" w:evenVBand="0" w:oddHBand="0" w:evenHBand="1" w:firstRowFirstColumn="0" w:firstRowLastColumn="0" w:lastRowFirstColumn="0" w:lastRowLastColumn="0"/>
            </w:pPr>
            <w:r>
              <w:t>--</w:t>
            </w:r>
          </w:p>
        </w:tc>
      </w:tr>
      <w:tr w:rsidR="008B7E19" w:rsidRPr="00D311AA" w14:paraId="7BCB72ED" w14:textId="77777777" w:rsidTr="005B5353">
        <w:trPr>
          <w:cnfStyle w:val="000000100000" w:firstRow="0" w:lastRow="0" w:firstColumn="0" w:lastColumn="0" w:oddVBand="0" w:evenVBand="0" w:oddHBand="1" w:evenHBand="0" w:firstRowFirstColumn="0" w:firstRowLastColumn="0" w:lastRowFirstColumn="0" w:lastRowLastColumn="0"/>
          <w:trHeight w:val="241"/>
          <w:jc w:val="center"/>
        </w:trPr>
        <w:tc>
          <w:tcPr>
            <w:cnfStyle w:val="001000000000" w:firstRow="0" w:lastRow="0" w:firstColumn="1" w:lastColumn="0" w:oddVBand="0" w:evenVBand="0" w:oddHBand="0" w:evenHBand="0" w:firstRowFirstColumn="0" w:firstRowLastColumn="0" w:lastRowFirstColumn="0" w:lastRowLastColumn="0"/>
            <w:tcW w:w="3515" w:type="dxa"/>
            <w:gridSpan w:val="2"/>
            <w:tcBorders>
              <w:top w:val="nil"/>
              <w:bottom w:val="nil"/>
            </w:tcBorders>
            <w:shd w:val="clear" w:color="auto" w:fill="auto"/>
          </w:tcPr>
          <w:p w14:paraId="1DEE08DA" w14:textId="77777777" w:rsidR="008B7E19" w:rsidRPr="00D311AA" w:rsidRDefault="008B7E19" w:rsidP="008B7E19">
            <w:pPr>
              <w:pStyle w:val="08-Tabelageral"/>
              <w:jc w:val="left"/>
              <w:rPr>
                <w:b w:val="0"/>
              </w:rPr>
            </w:pPr>
            <w:r w:rsidRPr="00D311AA">
              <w:rPr>
                <w:b w:val="0"/>
              </w:rPr>
              <w:t xml:space="preserve">Administrative expenses </w:t>
            </w:r>
            <w:r w:rsidRPr="00D311AA">
              <w:rPr>
                <w:b w:val="0"/>
                <w:vertAlign w:val="superscript"/>
              </w:rPr>
              <w:t>(</w:t>
            </w:r>
            <w:r>
              <w:rPr>
                <w:b w:val="0"/>
                <w:vertAlign w:val="superscript"/>
              </w:rPr>
              <w:t>2</w:t>
            </w:r>
            <w:r w:rsidRPr="00D311AA">
              <w:rPr>
                <w:b w:val="0"/>
                <w:vertAlign w:val="superscript"/>
              </w:rPr>
              <w:t>)</w:t>
            </w:r>
          </w:p>
        </w:tc>
        <w:tc>
          <w:tcPr>
            <w:tcW w:w="1504" w:type="dxa"/>
            <w:shd w:val="clear" w:color="auto" w:fill="auto"/>
          </w:tcPr>
          <w:p w14:paraId="4FD65714" w14:textId="77777777" w:rsidR="008B7E19" w:rsidRPr="00D311AA" w:rsidRDefault="008B7E19" w:rsidP="008B7E19">
            <w:pPr>
              <w:pStyle w:val="08-Tabelageral"/>
              <w:cnfStyle w:val="000000100000" w:firstRow="0" w:lastRow="0" w:firstColumn="0" w:lastColumn="0" w:oddVBand="0" w:evenVBand="0" w:oddHBand="1" w:evenHBand="0" w:firstRowFirstColumn="0" w:firstRowLastColumn="0" w:lastRowFirstColumn="0" w:lastRowLastColumn="0"/>
            </w:pPr>
            <w:r>
              <w:t>(982)</w:t>
            </w:r>
          </w:p>
        </w:tc>
        <w:tc>
          <w:tcPr>
            <w:tcW w:w="1504" w:type="dxa"/>
            <w:shd w:val="clear" w:color="auto" w:fill="auto"/>
          </w:tcPr>
          <w:p w14:paraId="6CD789D5" w14:textId="77777777" w:rsidR="008B7E19" w:rsidRPr="00D311AA" w:rsidRDefault="008B7E19" w:rsidP="008B7E19">
            <w:pPr>
              <w:pStyle w:val="08-Tabelageral"/>
              <w:cnfStyle w:val="000000100000" w:firstRow="0" w:lastRow="0" w:firstColumn="0" w:lastColumn="0" w:oddVBand="0" w:evenVBand="0" w:oddHBand="1" w:evenHBand="0" w:firstRowFirstColumn="0" w:firstRowLastColumn="0" w:lastRowFirstColumn="0" w:lastRowLastColumn="0"/>
            </w:pPr>
            <w:r>
              <w:t>--</w:t>
            </w:r>
          </w:p>
        </w:tc>
        <w:tc>
          <w:tcPr>
            <w:tcW w:w="1504" w:type="dxa"/>
            <w:shd w:val="clear" w:color="auto" w:fill="auto"/>
          </w:tcPr>
          <w:p w14:paraId="23CF9BFA" w14:textId="77777777" w:rsidR="008B7E19" w:rsidRPr="00D311AA" w:rsidRDefault="008B7E19" w:rsidP="008B7E19">
            <w:pPr>
              <w:pStyle w:val="08-Tabelageral"/>
              <w:cnfStyle w:val="000000100000" w:firstRow="0" w:lastRow="0" w:firstColumn="0" w:lastColumn="0" w:oddVBand="0" w:evenVBand="0" w:oddHBand="1" w:evenHBand="0" w:firstRowFirstColumn="0" w:firstRowLastColumn="0" w:lastRowFirstColumn="0" w:lastRowLastColumn="0"/>
            </w:pPr>
            <w:r>
              <w:t>(981)</w:t>
            </w:r>
          </w:p>
        </w:tc>
        <w:tc>
          <w:tcPr>
            <w:tcW w:w="1612" w:type="dxa"/>
            <w:shd w:val="clear" w:color="auto" w:fill="auto"/>
          </w:tcPr>
          <w:p w14:paraId="6E9F995D" w14:textId="77777777" w:rsidR="008B7E19" w:rsidRPr="00D311AA" w:rsidRDefault="008B7E19" w:rsidP="008B7E19">
            <w:pPr>
              <w:pStyle w:val="08-Tabelageral"/>
              <w:cnfStyle w:val="000000100000" w:firstRow="0" w:lastRow="0" w:firstColumn="0" w:lastColumn="0" w:oddVBand="0" w:evenVBand="0" w:oddHBand="1" w:evenHBand="0" w:firstRowFirstColumn="0" w:firstRowLastColumn="0" w:lastRowFirstColumn="0" w:lastRowLastColumn="0"/>
            </w:pPr>
            <w:r>
              <w:t>--</w:t>
            </w:r>
          </w:p>
        </w:tc>
      </w:tr>
      <w:tr w:rsidR="008B7E19" w:rsidRPr="00D311AA" w14:paraId="0B18ECC9" w14:textId="77777777" w:rsidTr="005B5353">
        <w:trPr>
          <w:cnfStyle w:val="000000010000" w:firstRow="0" w:lastRow="0" w:firstColumn="0" w:lastColumn="0" w:oddVBand="0" w:evenVBand="0" w:oddHBand="0" w:evenHBand="1" w:firstRowFirstColumn="0" w:firstRowLastColumn="0" w:lastRowFirstColumn="0" w:lastRowLastColumn="0"/>
          <w:trHeight w:val="241"/>
          <w:jc w:val="center"/>
        </w:trPr>
        <w:tc>
          <w:tcPr>
            <w:cnfStyle w:val="001000000000" w:firstRow="0" w:lastRow="0" w:firstColumn="1" w:lastColumn="0" w:oddVBand="0" w:evenVBand="0" w:oddHBand="0" w:evenHBand="0" w:firstRowFirstColumn="0" w:firstRowLastColumn="0" w:lastRowFirstColumn="0" w:lastRowLastColumn="0"/>
            <w:tcW w:w="3515" w:type="dxa"/>
            <w:gridSpan w:val="2"/>
            <w:tcBorders>
              <w:top w:val="nil"/>
              <w:bottom w:val="nil"/>
            </w:tcBorders>
            <w:shd w:val="clear" w:color="auto" w:fill="auto"/>
          </w:tcPr>
          <w:p w14:paraId="4704EEE6" w14:textId="77777777" w:rsidR="008B7E19" w:rsidRPr="00D311AA" w:rsidRDefault="008B7E19" w:rsidP="008B7E19">
            <w:pPr>
              <w:pStyle w:val="08-Tabelageral"/>
              <w:jc w:val="left"/>
              <w:rPr>
                <w:b w:val="0"/>
              </w:rPr>
            </w:pPr>
            <w:r w:rsidRPr="00D311AA">
              <w:rPr>
                <w:b w:val="0"/>
              </w:rPr>
              <w:t>Monetary assets changes</w:t>
            </w:r>
          </w:p>
        </w:tc>
        <w:tc>
          <w:tcPr>
            <w:tcW w:w="1504" w:type="dxa"/>
            <w:shd w:val="clear" w:color="auto" w:fill="auto"/>
          </w:tcPr>
          <w:p w14:paraId="234DD0B0" w14:textId="77777777" w:rsidR="008B7E19" w:rsidRPr="00D311AA" w:rsidRDefault="008B7E19" w:rsidP="008B7E19">
            <w:pPr>
              <w:pStyle w:val="08-Tabelageral"/>
              <w:cnfStyle w:val="000000010000" w:firstRow="0" w:lastRow="0" w:firstColumn="0" w:lastColumn="0" w:oddVBand="0" w:evenVBand="0" w:oddHBand="0" w:evenHBand="1" w:firstRowFirstColumn="0" w:firstRowLastColumn="0" w:lastRowFirstColumn="0" w:lastRowLastColumn="0"/>
            </w:pPr>
            <w:r>
              <w:t>--</w:t>
            </w:r>
          </w:p>
        </w:tc>
        <w:tc>
          <w:tcPr>
            <w:tcW w:w="1504" w:type="dxa"/>
            <w:shd w:val="clear" w:color="auto" w:fill="auto"/>
          </w:tcPr>
          <w:p w14:paraId="7B4BAF53" w14:textId="77777777" w:rsidR="008B7E19" w:rsidRPr="00D311AA" w:rsidRDefault="008B7E19" w:rsidP="008B7E19">
            <w:pPr>
              <w:pStyle w:val="08-Tabelageral"/>
              <w:cnfStyle w:val="000000010000" w:firstRow="0" w:lastRow="0" w:firstColumn="0" w:lastColumn="0" w:oddVBand="0" w:evenVBand="0" w:oddHBand="0" w:evenHBand="1" w:firstRowFirstColumn="0" w:firstRowLastColumn="0" w:lastRowFirstColumn="0" w:lastRowLastColumn="0"/>
            </w:pPr>
            <w:r>
              <w:t>77,483</w:t>
            </w:r>
          </w:p>
        </w:tc>
        <w:tc>
          <w:tcPr>
            <w:tcW w:w="1504" w:type="dxa"/>
            <w:shd w:val="clear" w:color="auto" w:fill="auto"/>
          </w:tcPr>
          <w:p w14:paraId="2191F69E" w14:textId="77777777" w:rsidR="008B7E19" w:rsidRPr="00D311AA" w:rsidRDefault="008B7E19" w:rsidP="008B7E19">
            <w:pPr>
              <w:pStyle w:val="08-Tabelageral"/>
              <w:cnfStyle w:val="000000010000" w:firstRow="0" w:lastRow="0" w:firstColumn="0" w:lastColumn="0" w:oddVBand="0" w:evenVBand="0" w:oddHBand="0" w:evenHBand="1" w:firstRowFirstColumn="0" w:firstRowLastColumn="0" w:lastRowFirstColumn="0" w:lastRowLastColumn="0"/>
            </w:pPr>
            <w:r>
              <w:t>--</w:t>
            </w:r>
          </w:p>
        </w:tc>
        <w:tc>
          <w:tcPr>
            <w:tcW w:w="1612" w:type="dxa"/>
            <w:shd w:val="clear" w:color="auto" w:fill="auto"/>
          </w:tcPr>
          <w:p w14:paraId="77AEE1CA" w14:textId="77777777" w:rsidR="008B7E19" w:rsidRPr="00D311AA" w:rsidRDefault="008B7E19" w:rsidP="008B7E19">
            <w:pPr>
              <w:pStyle w:val="08-Tabelageral"/>
              <w:cnfStyle w:val="000000010000" w:firstRow="0" w:lastRow="0" w:firstColumn="0" w:lastColumn="0" w:oddVBand="0" w:evenVBand="0" w:oddHBand="0" w:evenHBand="1" w:firstRowFirstColumn="0" w:firstRowLastColumn="0" w:lastRowFirstColumn="0" w:lastRowLastColumn="0"/>
            </w:pPr>
            <w:r>
              <w:t>22,106</w:t>
            </w:r>
          </w:p>
        </w:tc>
      </w:tr>
      <w:tr w:rsidR="008B7E19" w:rsidRPr="00D311AA" w14:paraId="0AB5C76A" w14:textId="77777777" w:rsidTr="005B5353">
        <w:trPr>
          <w:cnfStyle w:val="000000100000" w:firstRow="0" w:lastRow="0" w:firstColumn="0" w:lastColumn="0" w:oddVBand="0" w:evenVBand="0" w:oddHBand="1" w:evenHBand="0" w:firstRowFirstColumn="0" w:firstRowLastColumn="0" w:lastRowFirstColumn="0" w:lastRowLastColumn="0"/>
          <w:trHeight w:val="241"/>
          <w:jc w:val="center"/>
        </w:trPr>
        <w:tc>
          <w:tcPr>
            <w:cnfStyle w:val="001000000000" w:firstRow="0" w:lastRow="0" w:firstColumn="1" w:lastColumn="0" w:oddVBand="0" w:evenVBand="0" w:oddHBand="0" w:evenHBand="0" w:firstRowFirstColumn="0" w:firstRowLastColumn="0" w:lastRowFirstColumn="0" w:lastRowLastColumn="0"/>
            <w:tcW w:w="3515" w:type="dxa"/>
            <w:gridSpan w:val="2"/>
            <w:tcBorders>
              <w:top w:val="nil"/>
              <w:bottom w:val="single" w:sz="2" w:space="0" w:color="1F4E79" w:themeColor="accent1" w:themeShade="80"/>
            </w:tcBorders>
            <w:shd w:val="clear" w:color="auto" w:fill="auto"/>
          </w:tcPr>
          <w:p w14:paraId="56408BCC" w14:textId="77777777" w:rsidR="008B7E19" w:rsidRPr="00D311AA" w:rsidRDefault="008B7E19" w:rsidP="008B7E19">
            <w:pPr>
              <w:pStyle w:val="08-Tabelageral"/>
              <w:jc w:val="left"/>
              <w:rPr>
                <w:b w:val="0"/>
              </w:rPr>
            </w:pPr>
            <w:r w:rsidRPr="00D311AA">
              <w:rPr>
                <w:rFonts w:cs="Arial"/>
                <w:b w:val="0"/>
                <w:color w:val="000000"/>
              </w:rPr>
              <w:t>Monetary liabilities changes</w:t>
            </w:r>
          </w:p>
        </w:tc>
        <w:tc>
          <w:tcPr>
            <w:tcW w:w="1504" w:type="dxa"/>
            <w:shd w:val="clear" w:color="auto" w:fill="auto"/>
          </w:tcPr>
          <w:p w14:paraId="053FF478" w14:textId="77777777" w:rsidR="008B7E19" w:rsidRPr="00D311AA" w:rsidRDefault="008B7E19" w:rsidP="008B7E19">
            <w:pPr>
              <w:pStyle w:val="08-Tabelageral"/>
              <w:cnfStyle w:val="000000100000" w:firstRow="0" w:lastRow="0" w:firstColumn="0" w:lastColumn="0" w:oddVBand="0" w:evenVBand="0" w:oddHBand="1" w:evenHBand="0" w:firstRowFirstColumn="0" w:firstRowLastColumn="0" w:lastRowFirstColumn="0" w:lastRowLastColumn="0"/>
            </w:pPr>
            <w:r>
              <w:t>(51,198)</w:t>
            </w:r>
          </w:p>
        </w:tc>
        <w:tc>
          <w:tcPr>
            <w:tcW w:w="1504" w:type="dxa"/>
            <w:shd w:val="clear" w:color="auto" w:fill="auto"/>
          </w:tcPr>
          <w:p w14:paraId="01924D87" w14:textId="77777777" w:rsidR="008B7E19" w:rsidRPr="00D311AA" w:rsidRDefault="008B7E19" w:rsidP="008B7E19">
            <w:pPr>
              <w:pStyle w:val="08-Tabelageral"/>
              <w:cnfStyle w:val="000000100000" w:firstRow="0" w:lastRow="0" w:firstColumn="0" w:lastColumn="0" w:oddVBand="0" w:evenVBand="0" w:oddHBand="1" w:evenHBand="0" w:firstRowFirstColumn="0" w:firstRowLastColumn="0" w:lastRowFirstColumn="0" w:lastRowLastColumn="0"/>
            </w:pPr>
            <w:r>
              <w:t>--</w:t>
            </w:r>
          </w:p>
        </w:tc>
        <w:tc>
          <w:tcPr>
            <w:tcW w:w="1504" w:type="dxa"/>
            <w:shd w:val="clear" w:color="auto" w:fill="auto"/>
          </w:tcPr>
          <w:p w14:paraId="64B4F4C7" w14:textId="77777777" w:rsidR="008B7E19" w:rsidRPr="00D311AA" w:rsidRDefault="008B7E19" w:rsidP="008B7E19">
            <w:pPr>
              <w:pStyle w:val="08-Tabelageral"/>
              <w:cnfStyle w:val="000000100000" w:firstRow="0" w:lastRow="0" w:firstColumn="0" w:lastColumn="0" w:oddVBand="0" w:evenVBand="0" w:oddHBand="1" w:evenHBand="0" w:firstRowFirstColumn="0" w:firstRowLastColumn="0" w:lastRowFirstColumn="0" w:lastRowLastColumn="0"/>
            </w:pPr>
            <w:r>
              <w:t>(17,056)</w:t>
            </w:r>
          </w:p>
        </w:tc>
        <w:tc>
          <w:tcPr>
            <w:tcW w:w="1612" w:type="dxa"/>
            <w:shd w:val="clear" w:color="auto" w:fill="auto"/>
          </w:tcPr>
          <w:p w14:paraId="0D1F741A" w14:textId="77777777" w:rsidR="008B7E19" w:rsidRPr="00D311AA" w:rsidRDefault="008B7E19" w:rsidP="008B7E19">
            <w:pPr>
              <w:pStyle w:val="08-Tabelageral"/>
              <w:cnfStyle w:val="000000100000" w:firstRow="0" w:lastRow="0" w:firstColumn="0" w:lastColumn="0" w:oddVBand="0" w:evenVBand="0" w:oddHBand="1" w:evenHBand="0" w:firstRowFirstColumn="0" w:firstRowLastColumn="0" w:lastRowFirstColumn="0" w:lastRowLastColumn="0"/>
            </w:pPr>
            <w:r>
              <w:t>--</w:t>
            </w:r>
          </w:p>
        </w:tc>
      </w:tr>
    </w:tbl>
    <w:p w14:paraId="7AAFE94C" w14:textId="77777777" w:rsidR="008B7E19" w:rsidRPr="00CA0C3C" w:rsidRDefault="008B7E19" w:rsidP="00882B41">
      <w:pPr>
        <w:pStyle w:val="07-Legenda"/>
        <w:numPr>
          <w:ilvl w:val="0"/>
          <w:numId w:val="47"/>
        </w:numPr>
        <w:spacing w:before="0"/>
        <w:ind w:left="284" w:hanging="284"/>
      </w:pPr>
      <w:r w:rsidRPr="00CA0C3C">
        <w:t>BB Seguros and BB Corretora.</w:t>
      </w:r>
    </w:p>
    <w:p w14:paraId="499606DD" w14:textId="77777777" w:rsidR="008B7E19" w:rsidRPr="00D311AA" w:rsidRDefault="008B7E19" w:rsidP="00882B41">
      <w:pPr>
        <w:pStyle w:val="07-Legenda"/>
        <w:numPr>
          <w:ilvl w:val="0"/>
          <w:numId w:val="47"/>
        </w:numPr>
        <w:spacing w:before="0"/>
        <w:ind w:left="284" w:hanging="284"/>
      </w:pPr>
      <w:r w:rsidRPr="00D311AA">
        <w:t>Refers to expenses as sharing contract customer data, use of staff, distribution network and resource materials technological and administrative, between the Banco do Brasil, BB Seguridade, BB Corretora and BB Seguros.</w:t>
      </w:r>
    </w:p>
    <w:p w14:paraId="1B9228AD" w14:textId="77777777" w:rsidR="008B7E19" w:rsidRPr="00274BB2" w:rsidRDefault="008B7E19" w:rsidP="008B7E19">
      <w:pPr>
        <w:pStyle w:val="03-SubttulodeNota"/>
        <w:rPr>
          <w:color w:val="1F4E79" w:themeColor="accent1" w:themeShade="80"/>
          <w:sz w:val="18"/>
          <w:szCs w:val="18"/>
        </w:rPr>
      </w:pPr>
      <w:r w:rsidRPr="00274BB2">
        <w:rPr>
          <w:color w:val="1F4E79" w:themeColor="accent1" w:themeShade="80"/>
          <w:sz w:val="18"/>
          <w:szCs w:val="18"/>
        </w:rPr>
        <w:t>BB Seguridade – Consolidated</w:t>
      </w:r>
    </w:p>
    <w:p w14:paraId="512F26E6" w14:textId="77777777" w:rsidR="008B7E19" w:rsidRPr="00D311AA" w:rsidRDefault="008B7E19" w:rsidP="008B7E19">
      <w:pPr>
        <w:pStyle w:val="01-TtulodeNota"/>
        <w:spacing w:before="0" w:after="0"/>
        <w:ind w:firstLine="708"/>
        <w:jc w:val="right"/>
        <w:rPr>
          <w:sz w:val="14"/>
          <w:szCs w:val="14"/>
        </w:rPr>
      </w:pPr>
      <w:r w:rsidRPr="00D311AA">
        <w:rPr>
          <w:sz w:val="14"/>
          <w:szCs w:val="14"/>
        </w:rPr>
        <w:t>R$ thousand</w:t>
      </w:r>
    </w:p>
    <w:tbl>
      <w:tblPr>
        <w:tblW w:w="4897" w:type="pct"/>
        <w:jc w:val="center"/>
        <w:tblBorders>
          <w:top w:val="single" w:sz="2" w:space="0" w:color="8EAADB" w:themeColor="accent5" w:themeTint="99"/>
          <w:bottom w:val="single" w:sz="2" w:space="0" w:color="8EAADB" w:themeColor="accent5" w:themeTint="99"/>
        </w:tblBorders>
        <w:tblLook w:val="04A0" w:firstRow="1" w:lastRow="0" w:firstColumn="1" w:lastColumn="0" w:noHBand="0" w:noVBand="1"/>
      </w:tblPr>
      <w:tblGrid>
        <w:gridCol w:w="287"/>
        <w:gridCol w:w="1762"/>
        <w:gridCol w:w="226"/>
        <w:gridCol w:w="1048"/>
        <w:gridCol w:w="1127"/>
        <w:gridCol w:w="1086"/>
        <w:gridCol w:w="314"/>
        <w:gridCol w:w="253"/>
        <w:gridCol w:w="1021"/>
        <w:gridCol w:w="1127"/>
        <w:gridCol w:w="1400"/>
      </w:tblGrid>
      <w:tr w:rsidR="008B7E19" w:rsidRPr="00D311AA" w14:paraId="729643AC" w14:textId="77777777" w:rsidTr="008B7E19">
        <w:trPr>
          <w:trHeight w:val="238"/>
          <w:jc w:val="center"/>
        </w:trPr>
        <w:tc>
          <w:tcPr>
            <w:tcW w:w="287" w:type="dxa"/>
            <w:tcBorders>
              <w:top w:val="single" w:sz="2" w:space="0" w:color="1F4E79" w:themeColor="accent1" w:themeShade="80"/>
              <w:bottom w:val="nil"/>
            </w:tcBorders>
            <w:shd w:val="clear" w:color="auto" w:fill="auto"/>
            <w:vAlign w:val="center"/>
          </w:tcPr>
          <w:p w14:paraId="18F42C49" w14:textId="77777777" w:rsidR="008B7E19" w:rsidRPr="00D311AA" w:rsidRDefault="008B7E19" w:rsidP="008B7E19">
            <w:pPr>
              <w:pStyle w:val="08-Tabelageral"/>
              <w:jc w:val="center"/>
              <w:rPr>
                <w:b/>
                <w:bCs/>
              </w:rPr>
            </w:pPr>
          </w:p>
        </w:tc>
        <w:tc>
          <w:tcPr>
            <w:tcW w:w="1762" w:type="dxa"/>
            <w:tcBorders>
              <w:top w:val="single" w:sz="2" w:space="0" w:color="1F4E79" w:themeColor="accent1" w:themeShade="80"/>
              <w:bottom w:val="nil"/>
            </w:tcBorders>
            <w:shd w:val="clear" w:color="auto" w:fill="auto"/>
            <w:vAlign w:val="center"/>
          </w:tcPr>
          <w:p w14:paraId="6A53A11E" w14:textId="77777777" w:rsidR="008B7E19" w:rsidRPr="00D311AA" w:rsidRDefault="008B7E19" w:rsidP="008B7E19">
            <w:pPr>
              <w:pStyle w:val="08-Tabelageral"/>
              <w:jc w:val="center"/>
              <w:rPr>
                <w:b/>
                <w:bCs/>
              </w:rPr>
            </w:pPr>
          </w:p>
        </w:tc>
        <w:tc>
          <w:tcPr>
            <w:tcW w:w="3487" w:type="dxa"/>
            <w:gridSpan w:val="4"/>
            <w:tcBorders>
              <w:top w:val="single" w:sz="2" w:space="0" w:color="1F4E79" w:themeColor="accent1" w:themeShade="80"/>
              <w:bottom w:val="single" w:sz="2" w:space="0" w:color="1F4E79" w:themeColor="accent1" w:themeShade="80"/>
            </w:tcBorders>
            <w:shd w:val="clear" w:color="auto" w:fill="auto"/>
            <w:vAlign w:val="center"/>
          </w:tcPr>
          <w:p w14:paraId="2558E95F" w14:textId="77777777" w:rsidR="008B7E19" w:rsidRPr="00D311AA" w:rsidRDefault="008B7E19" w:rsidP="008B7E19">
            <w:pPr>
              <w:pStyle w:val="08-Tabelageral"/>
              <w:jc w:val="center"/>
              <w:rPr>
                <w:b/>
                <w:bCs/>
              </w:rPr>
            </w:pPr>
            <w:r>
              <w:rPr>
                <w:b/>
                <w:bCs/>
              </w:rPr>
              <w:t>June</w:t>
            </w:r>
            <w:r w:rsidRPr="00D311AA">
              <w:rPr>
                <w:b/>
                <w:bCs/>
              </w:rPr>
              <w:t xml:space="preserve"> 3</w:t>
            </w:r>
            <w:r>
              <w:rPr>
                <w:b/>
                <w:bCs/>
              </w:rPr>
              <w:t>0</w:t>
            </w:r>
            <w:r w:rsidRPr="00D311AA">
              <w:rPr>
                <w:b/>
                <w:bCs/>
              </w:rPr>
              <w:t>, 202</w:t>
            </w:r>
            <w:r>
              <w:rPr>
                <w:b/>
                <w:bCs/>
              </w:rPr>
              <w:t>3</w:t>
            </w:r>
          </w:p>
        </w:tc>
        <w:tc>
          <w:tcPr>
            <w:tcW w:w="314" w:type="dxa"/>
            <w:tcBorders>
              <w:top w:val="single" w:sz="2" w:space="0" w:color="1F4E79" w:themeColor="accent1" w:themeShade="80"/>
              <w:bottom w:val="single" w:sz="2" w:space="0" w:color="1F4E79" w:themeColor="accent1" w:themeShade="80"/>
            </w:tcBorders>
            <w:shd w:val="clear" w:color="auto" w:fill="auto"/>
          </w:tcPr>
          <w:p w14:paraId="5EFDA372" w14:textId="77777777" w:rsidR="008B7E19" w:rsidRPr="00D311AA" w:rsidRDefault="008B7E19" w:rsidP="008B7E19">
            <w:pPr>
              <w:pStyle w:val="08-Tabelageral"/>
              <w:jc w:val="center"/>
              <w:rPr>
                <w:b/>
                <w:bCs/>
              </w:rPr>
            </w:pPr>
          </w:p>
        </w:tc>
        <w:tc>
          <w:tcPr>
            <w:tcW w:w="253" w:type="dxa"/>
            <w:tcBorders>
              <w:top w:val="single" w:sz="2" w:space="0" w:color="1F4E79" w:themeColor="accent1" w:themeShade="80"/>
              <w:bottom w:val="single" w:sz="2" w:space="0" w:color="1F4E79" w:themeColor="accent1" w:themeShade="80"/>
            </w:tcBorders>
            <w:shd w:val="clear" w:color="auto" w:fill="auto"/>
          </w:tcPr>
          <w:p w14:paraId="4374469F" w14:textId="77777777" w:rsidR="008B7E19" w:rsidRPr="00D311AA" w:rsidRDefault="008B7E19" w:rsidP="008B7E19">
            <w:pPr>
              <w:pStyle w:val="08-Tabelageral"/>
              <w:jc w:val="left"/>
              <w:rPr>
                <w:b/>
                <w:bCs/>
              </w:rPr>
            </w:pPr>
          </w:p>
        </w:tc>
        <w:tc>
          <w:tcPr>
            <w:tcW w:w="3548" w:type="dxa"/>
            <w:gridSpan w:val="3"/>
            <w:tcBorders>
              <w:top w:val="single" w:sz="2" w:space="0" w:color="1F4E79" w:themeColor="accent1" w:themeShade="80"/>
              <w:bottom w:val="single" w:sz="2" w:space="0" w:color="1F4E79" w:themeColor="accent1" w:themeShade="80"/>
            </w:tcBorders>
            <w:shd w:val="clear" w:color="auto" w:fill="auto"/>
            <w:vAlign w:val="center"/>
          </w:tcPr>
          <w:p w14:paraId="5EC6256A" w14:textId="77777777" w:rsidR="008B7E19" w:rsidRPr="00D311AA" w:rsidRDefault="008B7E19" w:rsidP="008B7E19">
            <w:pPr>
              <w:pStyle w:val="08-Tabelageral"/>
              <w:jc w:val="center"/>
              <w:rPr>
                <w:b/>
                <w:bCs/>
              </w:rPr>
            </w:pPr>
            <w:r w:rsidRPr="00053D72">
              <w:rPr>
                <w:b/>
                <w:bCs/>
              </w:rPr>
              <w:t>Dec 31, 2022</w:t>
            </w:r>
          </w:p>
        </w:tc>
      </w:tr>
      <w:tr w:rsidR="008B7E19" w:rsidRPr="00D311AA" w14:paraId="1DE2E97C" w14:textId="77777777" w:rsidTr="008B7E19">
        <w:trPr>
          <w:trHeight w:val="238"/>
          <w:jc w:val="center"/>
        </w:trPr>
        <w:tc>
          <w:tcPr>
            <w:tcW w:w="2275" w:type="dxa"/>
            <w:gridSpan w:val="3"/>
            <w:tcBorders>
              <w:top w:val="nil"/>
              <w:bottom w:val="single" w:sz="2" w:space="0" w:color="1F4E79" w:themeColor="accent1" w:themeShade="80"/>
            </w:tcBorders>
            <w:shd w:val="clear" w:color="auto" w:fill="auto"/>
            <w:vAlign w:val="center"/>
          </w:tcPr>
          <w:p w14:paraId="09AF1A78" w14:textId="77777777" w:rsidR="008B7E19" w:rsidRPr="00D311AA" w:rsidRDefault="008B7E19" w:rsidP="008B7E19">
            <w:pPr>
              <w:pStyle w:val="08-Tabelageral"/>
              <w:jc w:val="center"/>
              <w:rPr>
                <w:b/>
                <w:szCs w:val="14"/>
              </w:rPr>
            </w:pPr>
          </w:p>
        </w:tc>
        <w:tc>
          <w:tcPr>
            <w:tcW w:w="1048" w:type="dxa"/>
            <w:tcBorders>
              <w:top w:val="single" w:sz="2" w:space="0" w:color="8EAADB" w:themeColor="accent5" w:themeTint="99"/>
              <w:bottom w:val="single" w:sz="2" w:space="0" w:color="1F4E79" w:themeColor="accent1" w:themeShade="80"/>
            </w:tcBorders>
            <w:shd w:val="clear" w:color="auto" w:fill="auto"/>
            <w:vAlign w:val="center"/>
          </w:tcPr>
          <w:p w14:paraId="1D97202C" w14:textId="77777777" w:rsidR="008B7E19" w:rsidRPr="00D311AA" w:rsidRDefault="008B7E19" w:rsidP="008B7E19">
            <w:pPr>
              <w:pStyle w:val="08-Tabelageral"/>
              <w:rPr>
                <w:b/>
                <w:szCs w:val="14"/>
              </w:rPr>
            </w:pPr>
            <w:r>
              <w:rPr>
                <w:b/>
                <w:szCs w:val="14"/>
              </w:rPr>
              <w:t>Banco do Brasil</w:t>
            </w:r>
          </w:p>
        </w:tc>
        <w:tc>
          <w:tcPr>
            <w:tcW w:w="1127" w:type="dxa"/>
            <w:tcBorders>
              <w:top w:val="single" w:sz="2" w:space="0" w:color="8EAADB" w:themeColor="accent5" w:themeTint="99"/>
              <w:bottom w:val="single" w:sz="2" w:space="0" w:color="1F4E79" w:themeColor="accent1" w:themeShade="80"/>
            </w:tcBorders>
            <w:shd w:val="clear" w:color="auto" w:fill="auto"/>
            <w:vAlign w:val="center"/>
          </w:tcPr>
          <w:p w14:paraId="49BA02C3" w14:textId="77777777" w:rsidR="008B7E19" w:rsidRPr="00D311AA" w:rsidRDefault="008B7E19" w:rsidP="008B7E19">
            <w:pPr>
              <w:pStyle w:val="08-Tabelageral"/>
              <w:rPr>
                <w:b/>
                <w:szCs w:val="14"/>
              </w:rPr>
            </w:pPr>
            <w:r w:rsidRPr="00D311AA">
              <w:rPr>
                <w:b/>
                <w:szCs w:val="14"/>
              </w:rPr>
              <w:t>Associates and joint ventures</w:t>
            </w:r>
            <w:r>
              <w:rPr>
                <w:b/>
                <w:szCs w:val="14"/>
              </w:rPr>
              <w:t xml:space="preserve"> </w:t>
            </w:r>
            <w:r w:rsidRPr="00D311AA">
              <w:rPr>
                <w:b/>
                <w:szCs w:val="14"/>
                <w:vertAlign w:val="superscript"/>
              </w:rPr>
              <w:t>(</w:t>
            </w:r>
            <w:r>
              <w:rPr>
                <w:b/>
                <w:szCs w:val="14"/>
                <w:vertAlign w:val="superscript"/>
              </w:rPr>
              <w:t>1</w:t>
            </w:r>
            <w:r w:rsidRPr="00D311AA">
              <w:rPr>
                <w:b/>
                <w:szCs w:val="14"/>
                <w:vertAlign w:val="superscript"/>
              </w:rPr>
              <w:t>)</w:t>
            </w:r>
          </w:p>
        </w:tc>
        <w:tc>
          <w:tcPr>
            <w:tcW w:w="1400" w:type="dxa"/>
            <w:gridSpan w:val="2"/>
            <w:tcBorders>
              <w:top w:val="single" w:sz="2" w:space="0" w:color="8EAADB" w:themeColor="accent5" w:themeTint="99"/>
              <w:bottom w:val="single" w:sz="2" w:space="0" w:color="1F4E79" w:themeColor="accent1" w:themeShade="80"/>
            </w:tcBorders>
            <w:shd w:val="clear" w:color="auto" w:fill="auto"/>
            <w:vAlign w:val="center"/>
          </w:tcPr>
          <w:p w14:paraId="0008D753" w14:textId="77777777" w:rsidR="008B7E19" w:rsidRPr="00D311AA" w:rsidRDefault="008B7E19" w:rsidP="008B7E19">
            <w:pPr>
              <w:pStyle w:val="08-Tabelageral"/>
              <w:rPr>
                <w:b/>
                <w:szCs w:val="14"/>
              </w:rPr>
            </w:pPr>
            <w:r w:rsidRPr="00D311AA">
              <w:rPr>
                <w:b/>
                <w:szCs w:val="14"/>
              </w:rPr>
              <w:t>Other related parties</w:t>
            </w:r>
          </w:p>
        </w:tc>
        <w:tc>
          <w:tcPr>
            <w:tcW w:w="1274" w:type="dxa"/>
            <w:gridSpan w:val="2"/>
            <w:tcBorders>
              <w:top w:val="single" w:sz="2" w:space="0" w:color="8EAADB" w:themeColor="accent5" w:themeTint="99"/>
              <w:bottom w:val="single" w:sz="2" w:space="0" w:color="1F4E79" w:themeColor="accent1" w:themeShade="80"/>
            </w:tcBorders>
            <w:shd w:val="clear" w:color="auto" w:fill="auto"/>
            <w:vAlign w:val="center"/>
          </w:tcPr>
          <w:p w14:paraId="6E392E84" w14:textId="77777777" w:rsidR="008B7E19" w:rsidRPr="00D311AA" w:rsidRDefault="008B7E19" w:rsidP="008B7E19">
            <w:pPr>
              <w:pStyle w:val="08-Tabelageral"/>
              <w:rPr>
                <w:b/>
                <w:szCs w:val="14"/>
              </w:rPr>
            </w:pPr>
            <w:r>
              <w:rPr>
                <w:b/>
                <w:szCs w:val="14"/>
              </w:rPr>
              <w:t>Banco do Brasil</w:t>
            </w:r>
          </w:p>
        </w:tc>
        <w:tc>
          <w:tcPr>
            <w:tcW w:w="1127" w:type="dxa"/>
            <w:tcBorders>
              <w:top w:val="single" w:sz="2" w:space="0" w:color="8EAADB" w:themeColor="accent5" w:themeTint="99"/>
              <w:bottom w:val="single" w:sz="2" w:space="0" w:color="1F4E79" w:themeColor="accent1" w:themeShade="80"/>
            </w:tcBorders>
            <w:shd w:val="clear" w:color="auto" w:fill="auto"/>
            <w:vAlign w:val="center"/>
          </w:tcPr>
          <w:p w14:paraId="22BA73F8" w14:textId="77777777" w:rsidR="008B7E19" w:rsidRPr="00D311AA" w:rsidRDefault="008B7E19" w:rsidP="008B7E19">
            <w:pPr>
              <w:pStyle w:val="08-Tabelageral"/>
              <w:rPr>
                <w:b/>
                <w:szCs w:val="14"/>
              </w:rPr>
            </w:pPr>
            <w:r w:rsidRPr="00D311AA">
              <w:rPr>
                <w:b/>
                <w:szCs w:val="14"/>
              </w:rPr>
              <w:t>Associates and joint ventures</w:t>
            </w:r>
            <w:r>
              <w:rPr>
                <w:b/>
                <w:szCs w:val="14"/>
              </w:rPr>
              <w:t xml:space="preserve"> </w:t>
            </w:r>
            <w:r w:rsidRPr="00D311AA">
              <w:rPr>
                <w:b/>
                <w:szCs w:val="14"/>
                <w:vertAlign w:val="superscript"/>
              </w:rPr>
              <w:t>(</w:t>
            </w:r>
            <w:r>
              <w:rPr>
                <w:b/>
                <w:szCs w:val="14"/>
                <w:vertAlign w:val="superscript"/>
              </w:rPr>
              <w:t>1</w:t>
            </w:r>
            <w:r w:rsidRPr="00D311AA">
              <w:rPr>
                <w:b/>
                <w:szCs w:val="14"/>
                <w:vertAlign w:val="superscript"/>
              </w:rPr>
              <w:t>)</w:t>
            </w:r>
          </w:p>
        </w:tc>
        <w:tc>
          <w:tcPr>
            <w:tcW w:w="1400" w:type="dxa"/>
            <w:tcBorders>
              <w:top w:val="single" w:sz="2" w:space="0" w:color="8EAADB" w:themeColor="accent5" w:themeTint="99"/>
              <w:bottom w:val="single" w:sz="2" w:space="0" w:color="1F4E79" w:themeColor="accent1" w:themeShade="80"/>
            </w:tcBorders>
            <w:shd w:val="clear" w:color="auto" w:fill="auto"/>
            <w:vAlign w:val="center"/>
          </w:tcPr>
          <w:p w14:paraId="65FFB580" w14:textId="77777777" w:rsidR="008B7E19" w:rsidRPr="00D311AA" w:rsidRDefault="008B7E19" w:rsidP="008B7E19">
            <w:pPr>
              <w:pStyle w:val="08-Tabelageral"/>
              <w:rPr>
                <w:b/>
                <w:szCs w:val="14"/>
              </w:rPr>
            </w:pPr>
            <w:r w:rsidRPr="00D311AA">
              <w:rPr>
                <w:b/>
                <w:szCs w:val="14"/>
              </w:rPr>
              <w:t>Other related parties</w:t>
            </w:r>
          </w:p>
        </w:tc>
      </w:tr>
      <w:tr w:rsidR="008B7E19" w:rsidRPr="00D311AA" w14:paraId="7619BAEC" w14:textId="77777777" w:rsidTr="008B7E19">
        <w:trPr>
          <w:trHeight w:val="238"/>
          <w:jc w:val="center"/>
        </w:trPr>
        <w:tc>
          <w:tcPr>
            <w:tcW w:w="2275" w:type="dxa"/>
            <w:gridSpan w:val="3"/>
            <w:tcBorders>
              <w:top w:val="single" w:sz="2" w:space="0" w:color="1F4E79" w:themeColor="accent1" w:themeShade="80"/>
            </w:tcBorders>
            <w:shd w:val="clear" w:color="auto" w:fill="auto"/>
          </w:tcPr>
          <w:p w14:paraId="252408CC" w14:textId="77777777" w:rsidR="008B7E19" w:rsidRPr="00D311AA" w:rsidRDefault="008B7E19" w:rsidP="008B7E19">
            <w:pPr>
              <w:pStyle w:val="08-Tabelageral"/>
              <w:jc w:val="left"/>
              <w:rPr>
                <w:b/>
              </w:rPr>
            </w:pPr>
            <w:r w:rsidRPr="00D311AA">
              <w:rPr>
                <w:b/>
              </w:rPr>
              <w:t>Assets</w:t>
            </w:r>
          </w:p>
        </w:tc>
        <w:tc>
          <w:tcPr>
            <w:tcW w:w="1048" w:type="dxa"/>
            <w:tcBorders>
              <w:top w:val="single" w:sz="2" w:space="0" w:color="1F4E79" w:themeColor="accent1" w:themeShade="80"/>
            </w:tcBorders>
            <w:shd w:val="clear" w:color="auto" w:fill="auto"/>
            <w:vAlign w:val="center"/>
          </w:tcPr>
          <w:p w14:paraId="72725046" w14:textId="77777777" w:rsidR="008B7E19" w:rsidRPr="00D311AA" w:rsidRDefault="008B7E19" w:rsidP="008B7E19">
            <w:pPr>
              <w:pStyle w:val="08-Tabelageral"/>
              <w:rPr>
                <w:b/>
                <w:szCs w:val="14"/>
              </w:rPr>
            </w:pPr>
          </w:p>
        </w:tc>
        <w:tc>
          <w:tcPr>
            <w:tcW w:w="1127" w:type="dxa"/>
            <w:tcBorders>
              <w:top w:val="single" w:sz="2" w:space="0" w:color="1F4E79" w:themeColor="accent1" w:themeShade="80"/>
            </w:tcBorders>
            <w:shd w:val="clear" w:color="auto" w:fill="auto"/>
            <w:vAlign w:val="center"/>
          </w:tcPr>
          <w:p w14:paraId="267E894A" w14:textId="77777777" w:rsidR="008B7E19" w:rsidRPr="00D311AA" w:rsidRDefault="008B7E19" w:rsidP="008B7E19">
            <w:pPr>
              <w:pStyle w:val="08-Tabelageral"/>
              <w:rPr>
                <w:b/>
                <w:szCs w:val="14"/>
              </w:rPr>
            </w:pPr>
          </w:p>
        </w:tc>
        <w:tc>
          <w:tcPr>
            <w:tcW w:w="1400" w:type="dxa"/>
            <w:gridSpan w:val="2"/>
            <w:tcBorders>
              <w:top w:val="single" w:sz="2" w:space="0" w:color="1F4E79" w:themeColor="accent1" w:themeShade="80"/>
            </w:tcBorders>
            <w:shd w:val="clear" w:color="auto" w:fill="auto"/>
            <w:vAlign w:val="center"/>
          </w:tcPr>
          <w:p w14:paraId="5F659919" w14:textId="77777777" w:rsidR="008B7E19" w:rsidRPr="00D311AA" w:rsidRDefault="008B7E19" w:rsidP="008B7E19">
            <w:pPr>
              <w:pStyle w:val="08-Tabelageral"/>
              <w:rPr>
                <w:b/>
              </w:rPr>
            </w:pPr>
          </w:p>
        </w:tc>
        <w:tc>
          <w:tcPr>
            <w:tcW w:w="1274" w:type="dxa"/>
            <w:gridSpan w:val="2"/>
            <w:tcBorders>
              <w:top w:val="single" w:sz="2" w:space="0" w:color="1F4E79" w:themeColor="accent1" w:themeShade="80"/>
            </w:tcBorders>
            <w:shd w:val="clear" w:color="auto" w:fill="auto"/>
            <w:vAlign w:val="center"/>
          </w:tcPr>
          <w:p w14:paraId="57AF3D48" w14:textId="77777777" w:rsidR="008B7E19" w:rsidRPr="00D311AA" w:rsidRDefault="008B7E19" w:rsidP="008B7E19">
            <w:pPr>
              <w:pStyle w:val="08-Tabelageral"/>
              <w:rPr>
                <w:b/>
              </w:rPr>
            </w:pPr>
          </w:p>
        </w:tc>
        <w:tc>
          <w:tcPr>
            <w:tcW w:w="1127" w:type="dxa"/>
            <w:tcBorders>
              <w:top w:val="single" w:sz="2" w:space="0" w:color="1F4E79" w:themeColor="accent1" w:themeShade="80"/>
            </w:tcBorders>
            <w:shd w:val="clear" w:color="auto" w:fill="auto"/>
            <w:vAlign w:val="center"/>
          </w:tcPr>
          <w:p w14:paraId="78CECDE4" w14:textId="77777777" w:rsidR="008B7E19" w:rsidRPr="00D311AA" w:rsidRDefault="008B7E19" w:rsidP="008B7E19">
            <w:pPr>
              <w:pStyle w:val="08-Tabelageral"/>
              <w:rPr>
                <w:b/>
              </w:rPr>
            </w:pPr>
          </w:p>
        </w:tc>
        <w:tc>
          <w:tcPr>
            <w:tcW w:w="1400" w:type="dxa"/>
            <w:tcBorders>
              <w:top w:val="single" w:sz="2" w:space="0" w:color="1F4E79" w:themeColor="accent1" w:themeShade="80"/>
            </w:tcBorders>
            <w:shd w:val="clear" w:color="auto" w:fill="auto"/>
            <w:vAlign w:val="center"/>
          </w:tcPr>
          <w:p w14:paraId="30BDA2C2" w14:textId="77777777" w:rsidR="008B7E19" w:rsidRPr="00D311AA" w:rsidRDefault="008B7E19" w:rsidP="008B7E19">
            <w:pPr>
              <w:pStyle w:val="08-Tabelageral"/>
              <w:rPr>
                <w:b/>
              </w:rPr>
            </w:pPr>
          </w:p>
        </w:tc>
      </w:tr>
      <w:tr w:rsidR="008B7E19" w:rsidRPr="00D311AA" w14:paraId="33BEE468" w14:textId="77777777" w:rsidTr="008B7E19">
        <w:trPr>
          <w:trHeight w:val="238"/>
          <w:jc w:val="center"/>
        </w:trPr>
        <w:tc>
          <w:tcPr>
            <w:tcW w:w="2275" w:type="dxa"/>
            <w:gridSpan w:val="3"/>
            <w:shd w:val="clear" w:color="auto" w:fill="auto"/>
          </w:tcPr>
          <w:p w14:paraId="5424F6C1" w14:textId="77777777" w:rsidR="008B7E19" w:rsidRPr="00D311AA" w:rsidRDefault="008B7E19" w:rsidP="008B7E19">
            <w:pPr>
              <w:pStyle w:val="08-Tabelageral"/>
              <w:jc w:val="left"/>
              <w:rPr>
                <w:bCs/>
              </w:rPr>
            </w:pPr>
            <w:r w:rsidRPr="00D311AA">
              <w:rPr>
                <w:bCs/>
              </w:rPr>
              <w:t>Cash and cash equivalent</w:t>
            </w:r>
            <w:r>
              <w:rPr>
                <w:bCs/>
              </w:rPr>
              <w:t>s</w:t>
            </w:r>
          </w:p>
        </w:tc>
        <w:tc>
          <w:tcPr>
            <w:tcW w:w="1048" w:type="dxa"/>
            <w:tcBorders>
              <w:top w:val="nil"/>
            </w:tcBorders>
            <w:shd w:val="clear" w:color="auto" w:fill="auto"/>
            <w:vAlign w:val="center"/>
          </w:tcPr>
          <w:p w14:paraId="291B303E" w14:textId="77777777" w:rsidR="008B7E19" w:rsidRPr="00D311AA" w:rsidRDefault="008B7E19" w:rsidP="008B7E19">
            <w:pPr>
              <w:pStyle w:val="08-Tabelageral"/>
            </w:pPr>
            <w:r w:rsidRPr="001E5BDD">
              <w:t>4</w:t>
            </w:r>
            <w:r>
              <w:t>,</w:t>
            </w:r>
            <w:r w:rsidRPr="001E5BDD">
              <w:t>357</w:t>
            </w:r>
            <w:r>
              <w:t>,</w:t>
            </w:r>
            <w:r w:rsidRPr="001E5BDD">
              <w:t>407</w:t>
            </w:r>
          </w:p>
        </w:tc>
        <w:tc>
          <w:tcPr>
            <w:tcW w:w="1127" w:type="dxa"/>
            <w:tcBorders>
              <w:top w:val="nil"/>
            </w:tcBorders>
            <w:shd w:val="clear" w:color="auto" w:fill="auto"/>
            <w:vAlign w:val="center"/>
          </w:tcPr>
          <w:p w14:paraId="1316841B" w14:textId="77777777" w:rsidR="008B7E19" w:rsidRPr="00D311AA" w:rsidRDefault="008B7E19" w:rsidP="008B7E19">
            <w:pPr>
              <w:pStyle w:val="08-Tabelageral"/>
            </w:pPr>
            <w:r w:rsidRPr="001E5BDD">
              <w:t>--</w:t>
            </w:r>
          </w:p>
        </w:tc>
        <w:tc>
          <w:tcPr>
            <w:tcW w:w="1400" w:type="dxa"/>
            <w:gridSpan w:val="2"/>
            <w:tcBorders>
              <w:top w:val="nil"/>
            </w:tcBorders>
            <w:shd w:val="clear" w:color="auto" w:fill="auto"/>
            <w:vAlign w:val="center"/>
          </w:tcPr>
          <w:p w14:paraId="61D6C185" w14:textId="77777777" w:rsidR="008B7E19" w:rsidRPr="00D311AA" w:rsidRDefault="008B7E19" w:rsidP="008B7E19">
            <w:pPr>
              <w:pStyle w:val="08-Tabelageral"/>
              <w:rPr>
                <w:lang w:eastAsia="en-US"/>
              </w:rPr>
            </w:pPr>
            <w:r w:rsidRPr="001E5BDD">
              <w:t>--</w:t>
            </w:r>
          </w:p>
        </w:tc>
        <w:tc>
          <w:tcPr>
            <w:tcW w:w="1274" w:type="dxa"/>
            <w:gridSpan w:val="2"/>
            <w:tcBorders>
              <w:top w:val="nil"/>
            </w:tcBorders>
            <w:shd w:val="clear" w:color="auto" w:fill="auto"/>
            <w:vAlign w:val="center"/>
          </w:tcPr>
          <w:p w14:paraId="06CAF0A0" w14:textId="77777777" w:rsidR="008B7E19" w:rsidRPr="00D311AA" w:rsidRDefault="008B7E19" w:rsidP="008B7E19">
            <w:pPr>
              <w:pStyle w:val="08-Tabelageral"/>
            </w:pPr>
            <w:r w:rsidRPr="001E5BDD">
              <w:t>6</w:t>
            </w:r>
            <w:r>
              <w:t>,</w:t>
            </w:r>
            <w:r w:rsidRPr="001E5BDD">
              <w:t>076</w:t>
            </w:r>
            <w:r>
              <w:t>,</w:t>
            </w:r>
            <w:r w:rsidRPr="001E5BDD">
              <w:t>618</w:t>
            </w:r>
          </w:p>
        </w:tc>
        <w:tc>
          <w:tcPr>
            <w:tcW w:w="1127" w:type="dxa"/>
            <w:tcBorders>
              <w:top w:val="nil"/>
            </w:tcBorders>
            <w:shd w:val="clear" w:color="auto" w:fill="auto"/>
            <w:vAlign w:val="center"/>
          </w:tcPr>
          <w:p w14:paraId="327DCD6B" w14:textId="77777777" w:rsidR="008B7E19" w:rsidRPr="00D311AA" w:rsidRDefault="008B7E19" w:rsidP="008B7E19">
            <w:pPr>
              <w:pStyle w:val="08-Tabelageral"/>
            </w:pPr>
            <w:r w:rsidRPr="001E5BDD">
              <w:t>--</w:t>
            </w:r>
          </w:p>
        </w:tc>
        <w:tc>
          <w:tcPr>
            <w:tcW w:w="1400" w:type="dxa"/>
            <w:tcBorders>
              <w:top w:val="nil"/>
            </w:tcBorders>
            <w:shd w:val="clear" w:color="auto" w:fill="auto"/>
            <w:vAlign w:val="center"/>
          </w:tcPr>
          <w:p w14:paraId="1F3E4A8E" w14:textId="77777777" w:rsidR="008B7E19" w:rsidRPr="00D311AA" w:rsidRDefault="008B7E19" w:rsidP="008B7E19">
            <w:pPr>
              <w:pStyle w:val="08-Tabelageral"/>
              <w:rPr>
                <w:lang w:eastAsia="en-US"/>
              </w:rPr>
            </w:pPr>
            <w:r w:rsidRPr="001E5BDD">
              <w:t>--</w:t>
            </w:r>
          </w:p>
        </w:tc>
      </w:tr>
      <w:tr w:rsidR="008B7E19" w:rsidRPr="00D311AA" w14:paraId="21BC238C" w14:textId="77777777" w:rsidTr="008B7E19">
        <w:trPr>
          <w:trHeight w:val="238"/>
          <w:jc w:val="center"/>
        </w:trPr>
        <w:tc>
          <w:tcPr>
            <w:tcW w:w="2275" w:type="dxa"/>
            <w:gridSpan w:val="3"/>
            <w:shd w:val="clear" w:color="auto" w:fill="auto"/>
          </w:tcPr>
          <w:p w14:paraId="3D4D33D0" w14:textId="77777777" w:rsidR="008B7E19" w:rsidRPr="00D311AA" w:rsidRDefault="008B7E19" w:rsidP="008B7E19">
            <w:pPr>
              <w:pStyle w:val="08-Tabelageral"/>
              <w:jc w:val="left"/>
              <w:rPr>
                <w:bCs/>
              </w:rPr>
            </w:pPr>
            <w:r w:rsidRPr="00181218">
              <w:t>Dividends/interest on equity receivable</w:t>
            </w:r>
          </w:p>
        </w:tc>
        <w:tc>
          <w:tcPr>
            <w:tcW w:w="1048" w:type="dxa"/>
            <w:shd w:val="clear" w:color="auto" w:fill="auto"/>
            <w:vAlign w:val="center"/>
          </w:tcPr>
          <w:p w14:paraId="55C977B8" w14:textId="77777777" w:rsidR="008B7E19" w:rsidRPr="00D311AA" w:rsidRDefault="008B7E19" w:rsidP="008B7E19">
            <w:pPr>
              <w:pStyle w:val="08-Tabelageral"/>
            </w:pPr>
            <w:r w:rsidRPr="001E5BDD">
              <w:t>--</w:t>
            </w:r>
          </w:p>
        </w:tc>
        <w:tc>
          <w:tcPr>
            <w:tcW w:w="1127" w:type="dxa"/>
            <w:shd w:val="clear" w:color="auto" w:fill="auto"/>
            <w:vAlign w:val="center"/>
          </w:tcPr>
          <w:p w14:paraId="2D02C0C9" w14:textId="77777777" w:rsidR="008B7E19" w:rsidRPr="00D311AA" w:rsidRDefault="008B7E19" w:rsidP="008B7E19">
            <w:pPr>
              <w:pStyle w:val="08-Tabelageral"/>
            </w:pPr>
            <w:r w:rsidRPr="001E5BDD">
              <w:t>--</w:t>
            </w:r>
          </w:p>
        </w:tc>
        <w:tc>
          <w:tcPr>
            <w:tcW w:w="1400" w:type="dxa"/>
            <w:gridSpan w:val="2"/>
            <w:shd w:val="clear" w:color="auto" w:fill="auto"/>
            <w:vAlign w:val="center"/>
          </w:tcPr>
          <w:p w14:paraId="5DAAAAEC" w14:textId="77777777" w:rsidR="008B7E19" w:rsidRPr="00D311AA" w:rsidRDefault="008B7E19" w:rsidP="008B7E19">
            <w:pPr>
              <w:pStyle w:val="08-Tabelageral"/>
              <w:rPr>
                <w:lang w:eastAsia="en-US"/>
              </w:rPr>
            </w:pPr>
            <w:r w:rsidRPr="001E5BDD">
              <w:t>--</w:t>
            </w:r>
          </w:p>
        </w:tc>
        <w:tc>
          <w:tcPr>
            <w:tcW w:w="1274" w:type="dxa"/>
            <w:gridSpan w:val="2"/>
            <w:shd w:val="clear" w:color="auto" w:fill="auto"/>
            <w:vAlign w:val="center"/>
          </w:tcPr>
          <w:p w14:paraId="776BF9A5" w14:textId="77777777" w:rsidR="008B7E19" w:rsidRPr="00D311AA" w:rsidRDefault="008B7E19" w:rsidP="008B7E19">
            <w:pPr>
              <w:pStyle w:val="08-Tabelageral"/>
            </w:pPr>
            <w:r w:rsidRPr="001E5BDD">
              <w:t>--</w:t>
            </w:r>
          </w:p>
        </w:tc>
        <w:tc>
          <w:tcPr>
            <w:tcW w:w="1127" w:type="dxa"/>
            <w:shd w:val="clear" w:color="auto" w:fill="auto"/>
            <w:vAlign w:val="center"/>
          </w:tcPr>
          <w:p w14:paraId="04552DF3" w14:textId="77777777" w:rsidR="008B7E19" w:rsidRPr="00D311AA" w:rsidRDefault="008B7E19" w:rsidP="008B7E19">
            <w:pPr>
              <w:pStyle w:val="08-Tabelageral"/>
            </w:pPr>
            <w:r w:rsidRPr="001E5BDD">
              <w:t>13</w:t>
            </w:r>
            <w:r>
              <w:t>,</w:t>
            </w:r>
            <w:r w:rsidRPr="001E5BDD">
              <w:t>519</w:t>
            </w:r>
          </w:p>
        </w:tc>
        <w:tc>
          <w:tcPr>
            <w:tcW w:w="1400" w:type="dxa"/>
            <w:shd w:val="clear" w:color="auto" w:fill="auto"/>
            <w:vAlign w:val="center"/>
          </w:tcPr>
          <w:p w14:paraId="52D07242" w14:textId="77777777" w:rsidR="008B7E19" w:rsidRPr="00D311AA" w:rsidRDefault="008B7E19" w:rsidP="008B7E19">
            <w:pPr>
              <w:pStyle w:val="08-Tabelageral"/>
              <w:rPr>
                <w:lang w:eastAsia="en-US"/>
              </w:rPr>
            </w:pPr>
            <w:r w:rsidRPr="001E5BDD">
              <w:t>--</w:t>
            </w:r>
          </w:p>
        </w:tc>
      </w:tr>
      <w:tr w:rsidR="008B7E19" w:rsidRPr="00D311AA" w14:paraId="2792D3C3" w14:textId="77777777" w:rsidTr="008B7E19">
        <w:trPr>
          <w:trHeight w:val="238"/>
          <w:jc w:val="center"/>
        </w:trPr>
        <w:tc>
          <w:tcPr>
            <w:tcW w:w="2275" w:type="dxa"/>
            <w:gridSpan w:val="3"/>
            <w:shd w:val="clear" w:color="auto" w:fill="auto"/>
          </w:tcPr>
          <w:p w14:paraId="49AC75F8" w14:textId="77777777" w:rsidR="008B7E19" w:rsidRPr="00D311AA" w:rsidRDefault="008B7E19" w:rsidP="008B7E19">
            <w:pPr>
              <w:pStyle w:val="08-Tabelageral"/>
              <w:jc w:val="left"/>
              <w:rPr>
                <w:bCs/>
              </w:rPr>
            </w:pPr>
            <w:r w:rsidRPr="00D311AA">
              <w:rPr>
                <w:bCs/>
              </w:rPr>
              <w:t>Commissions to be received</w:t>
            </w:r>
          </w:p>
        </w:tc>
        <w:tc>
          <w:tcPr>
            <w:tcW w:w="1048" w:type="dxa"/>
            <w:shd w:val="clear" w:color="auto" w:fill="auto"/>
            <w:vAlign w:val="center"/>
          </w:tcPr>
          <w:p w14:paraId="78368933" w14:textId="77777777" w:rsidR="008B7E19" w:rsidRPr="00D311AA" w:rsidRDefault="008B7E19" w:rsidP="008B7E19">
            <w:pPr>
              <w:pStyle w:val="08-Tabelageral"/>
            </w:pPr>
            <w:r w:rsidRPr="001E5BDD">
              <w:t>--</w:t>
            </w:r>
          </w:p>
        </w:tc>
        <w:tc>
          <w:tcPr>
            <w:tcW w:w="1127" w:type="dxa"/>
            <w:shd w:val="clear" w:color="auto" w:fill="auto"/>
            <w:vAlign w:val="center"/>
          </w:tcPr>
          <w:p w14:paraId="5F3A6F1F" w14:textId="77777777" w:rsidR="008B7E19" w:rsidRPr="00D311AA" w:rsidRDefault="008B7E19" w:rsidP="008B7E19">
            <w:pPr>
              <w:pStyle w:val="08-Tabelageral"/>
            </w:pPr>
            <w:r w:rsidRPr="001E5BDD">
              <w:t>1</w:t>
            </w:r>
            <w:r>
              <w:t>,</w:t>
            </w:r>
            <w:r w:rsidRPr="001E5BDD">
              <w:t>816</w:t>
            </w:r>
            <w:r>
              <w:t>,</w:t>
            </w:r>
            <w:r w:rsidRPr="001E5BDD">
              <w:t>309</w:t>
            </w:r>
          </w:p>
        </w:tc>
        <w:tc>
          <w:tcPr>
            <w:tcW w:w="1400" w:type="dxa"/>
            <w:gridSpan w:val="2"/>
            <w:shd w:val="clear" w:color="auto" w:fill="auto"/>
            <w:vAlign w:val="center"/>
          </w:tcPr>
          <w:p w14:paraId="5FC5F35E" w14:textId="77777777" w:rsidR="008B7E19" w:rsidRPr="00D311AA" w:rsidRDefault="008B7E19" w:rsidP="008B7E19">
            <w:pPr>
              <w:pStyle w:val="08-Tabelageral"/>
              <w:rPr>
                <w:lang w:eastAsia="en-US"/>
              </w:rPr>
            </w:pPr>
            <w:r w:rsidRPr="001E5BDD">
              <w:t>--</w:t>
            </w:r>
          </w:p>
        </w:tc>
        <w:tc>
          <w:tcPr>
            <w:tcW w:w="1274" w:type="dxa"/>
            <w:gridSpan w:val="2"/>
            <w:shd w:val="clear" w:color="auto" w:fill="auto"/>
            <w:vAlign w:val="center"/>
          </w:tcPr>
          <w:p w14:paraId="481647B2" w14:textId="77777777" w:rsidR="008B7E19" w:rsidRPr="00D311AA" w:rsidRDefault="008B7E19" w:rsidP="008B7E19">
            <w:pPr>
              <w:pStyle w:val="08-Tabelageral"/>
            </w:pPr>
            <w:r w:rsidRPr="001E5BDD">
              <w:t>--</w:t>
            </w:r>
          </w:p>
        </w:tc>
        <w:tc>
          <w:tcPr>
            <w:tcW w:w="1127" w:type="dxa"/>
            <w:shd w:val="clear" w:color="auto" w:fill="auto"/>
            <w:vAlign w:val="center"/>
          </w:tcPr>
          <w:p w14:paraId="19C95CBF" w14:textId="77777777" w:rsidR="008B7E19" w:rsidRPr="00D311AA" w:rsidRDefault="008B7E19" w:rsidP="008B7E19">
            <w:pPr>
              <w:pStyle w:val="08-Tabelageral"/>
            </w:pPr>
            <w:r w:rsidRPr="001E5BDD">
              <w:t>1</w:t>
            </w:r>
            <w:r>
              <w:t>,</w:t>
            </w:r>
            <w:r w:rsidRPr="001E5BDD">
              <w:t>742</w:t>
            </w:r>
            <w:r>
              <w:t>,</w:t>
            </w:r>
            <w:r w:rsidRPr="001E5BDD">
              <w:t>221</w:t>
            </w:r>
          </w:p>
        </w:tc>
        <w:tc>
          <w:tcPr>
            <w:tcW w:w="1400" w:type="dxa"/>
            <w:shd w:val="clear" w:color="auto" w:fill="auto"/>
            <w:vAlign w:val="center"/>
          </w:tcPr>
          <w:p w14:paraId="5CF7C023" w14:textId="77777777" w:rsidR="008B7E19" w:rsidRPr="00D311AA" w:rsidRDefault="008B7E19" w:rsidP="008B7E19">
            <w:pPr>
              <w:pStyle w:val="08-Tabelageral"/>
              <w:rPr>
                <w:lang w:eastAsia="en-US"/>
              </w:rPr>
            </w:pPr>
            <w:r w:rsidRPr="001E5BDD">
              <w:t>--</w:t>
            </w:r>
          </w:p>
        </w:tc>
      </w:tr>
      <w:tr w:rsidR="008B7E19" w:rsidRPr="00D311AA" w14:paraId="1C44328B" w14:textId="77777777" w:rsidTr="008B7E19">
        <w:trPr>
          <w:trHeight w:val="238"/>
          <w:jc w:val="center"/>
        </w:trPr>
        <w:tc>
          <w:tcPr>
            <w:tcW w:w="2275" w:type="dxa"/>
            <w:gridSpan w:val="3"/>
            <w:shd w:val="clear" w:color="auto" w:fill="auto"/>
          </w:tcPr>
          <w:p w14:paraId="46D29989" w14:textId="77777777" w:rsidR="008B7E19" w:rsidRPr="00D311AA" w:rsidRDefault="008B7E19" w:rsidP="008B7E19">
            <w:pPr>
              <w:pStyle w:val="08-Tabelageral"/>
              <w:jc w:val="left"/>
              <w:rPr>
                <w:b/>
              </w:rPr>
            </w:pPr>
            <w:r w:rsidRPr="00D311AA">
              <w:rPr>
                <w:b/>
              </w:rPr>
              <w:t>Liabilities</w:t>
            </w:r>
          </w:p>
        </w:tc>
        <w:tc>
          <w:tcPr>
            <w:tcW w:w="1048" w:type="dxa"/>
            <w:shd w:val="clear" w:color="auto" w:fill="auto"/>
            <w:vAlign w:val="center"/>
          </w:tcPr>
          <w:p w14:paraId="1858F15E" w14:textId="77777777" w:rsidR="008B7E19" w:rsidRPr="00D311AA" w:rsidRDefault="008B7E19" w:rsidP="008B7E19">
            <w:pPr>
              <w:pStyle w:val="08-Tabelageral"/>
              <w:rPr>
                <w:b/>
              </w:rPr>
            </w:pPr>
          </w:p>
        </w:tc>
        <w:tc>
          <w:tcPr>
            <w:tcW w:w="1127" w:type="dxa"/>
            <w:shd w:val="clear" w:color="auto" w:fill="auto"/>
            <w:vAlign w:val="center"/>
          </w:tcPr>
          <w:p w14:paraId="27305966" w14:textId="77777777" w:rsidR="008B7E19" w:rsidRPr="00D311AA" w:rsidRDefault="008B7E19" w:rsidP="008B7E19">
            <w:pPr>
              <w:pStyle w:val="08-Tabelageral"/>
              <w:rPr>
                <w:b/>
              </w:rPr>
            </w:pPr>
          </w:p>
        </w:tc>
        <w:tc>
          <w:tcPr>
            <w:tcW w:w="1400" w:type="dxa"/>
            <w:gridSpan w:val="2"/>
            <w:shd w:val="clear" w:color="auto" w:fill="auto"/>
            <w:vAlign w:val="center"/>
          </w:tcPr>
          <w:p w14:paraId="04E26504" w14:textId="77777777" w:rsidR="008B7E19" w:rsidRPr="00D311AA" w:rsidRDefault="008B7E19" w:rsidP="008B7E19">
            <w:pPr>
              <w:pStyle w:val="08-Tabelageral"/>
              <w:rPr>
                <w:b/>
              </w:rPr>
            </w:pPr>
          </w:p>
        </w:tc>
        <w:tc>
          <w:tcPr>
            <w:tcW w:w="1274" w:type="dxa"/>
            <w:gridSpan w:val="2"/>
            <w:shd w:val="clear" w:color="auto" w:fill="auto"/>
            <w:vAlign w:val="center"/>
          </w:tcPr>
          <w:p w14:paraId="7C49FE73" w14:textId="77777777" w:rsidR="008B7E19" w:rsidRPr="00D311AA" w:rsidRDefault="008B7E19" w:rsidP="008B7E19">
            <w:pPr>
              <w:pStyle w:val="08-Tabelageral"/>
              <w:rPr>
                <w:b/>
              </w:rPr>
            </w:pPr>
          </w:p>
        </w:tc>
        <w:tc>
          <w:tcPr>
            <w:tcW w:w="1127" w:type="dxa"/>
            <w:shd w:val="clear" w:color="auto" w:fill="auto"/>
            <w:vAlign w:val="center"/>
          </w:tcPr>
          <w:p w14:paraId="3DB3843A" w14:textId="77777777" w:rsidR="008B7E19" w:rsidRPr="00D311AA" w:rsidRDefault="008B7E19" w:rsidP="008B7E19">
            <w:pPr>
              <w:pStyle w:val="08-Tabelageral"/>
              <w:rPr>
                <w:b/>
              </w:rPr>
            </w:pPr>
          </w:p>
        </w:tc>
        <w:tc>
          <w:tcPr>
            <w:tcW w:w="1400" w:type="dxa"/>
            <w:shd w:val="clear" w:color="auto" w:fill="auto"/>
            <w:vAlign w:val="center"/>
          </w:tcPr>
          <w:p w14:paraId="2AE4880D" w14:textId="77777777" w:rsidR="008B7E19" w:rsidRPr="00D311AA" w:rsidRDefault="008B7E19" w:rsidP="008B7E19">
            <w:pPr>
              <w:pStyle w:val="08-Tabelageral"/>
              <w:rPr>
                <w:b/>
              </w:rPr>
            </w:pPr>
          </w:p>
        </w:tc>
      </w:tr>
      <w:tr w:rsidR="008B7E19" w:rsidRPr="00D311AA" w14:paraId="76599C55" w14:textId="77777777" w:rsidTr="008B7E19">
        <w:trPr>
          <w:trHeight w:val="238"/>
          <w:jc w:val="center"/>
        </w:trPr>
        <w:tc>
          <w:tcPr>
            <w:tcW w:w="2275" w:type="dxa"/>
            <w:gridSpan w:val="3"/>
            <w:shd w:val="clear" w:color="auto" w:fill="auto"/>
          </w:tcPr>
          <w:p w14:paraId="7F53AD79" w14:textId="77777777" w:rsidR="008B7E19" w:rsidRPr="00D311AA" w:rsidRDefault="008B7E19" w:rsidP="008B7E19">
            <w:pPr>
              <w:pStyle w:val="08-Tabelageral"/>
              <w:jc w:val="left"/>
              <w:rPr>
                <w:bCs/>
              </w:rPr>
            </w:pPr>
            <w:r w:rsidRPr="00D311AA">
              <w:rPr>
                <w:bCs/>
              </w:rPr>
              <w:t>Social and statutory obligations</w:t>
            </w:r>
          </w:p>
        </w:tc>
        <w:tc>
          <w:tcPr>
            <w:tcW w:w="1048" w:type="dxa"/>
            <w:shd w:val="clear" w:color="auto" w:fill="auto"/>
            <w:vAlign w:val="center"/>
          </w:tcPr>
          <w:p w14:paraId="4832F6E3" w14:textId="77777777" w:rsidR="008B7E19" w:rsidRPr="00D311AA" w:rsidRDefault="008B7E19" w:rsidP="008B7E19">
            <w:pPr>
              <w:pStyle w:val="08-Tabelageral"/>
            </w:pPr>
            <w:r w:rsidRPr="001E5BDD">
              <w:t>2</w:t>
            </w:r>
            <w:r>
              <w:t>,</w:t>
            </w:r>
            <w:r w:rsidRPr="001E5BDD">
              <w:t>126</w:t>
            </w:r>
            <w:r>
              <w:t>,</w:t>
            </w:r>
            <w:r w:rsidRPr="001E5BDD">
              <w:t>823</w:t>
            </w:r>
          </w:p>
        </w:tc>
        <w:tc>
          <w:tcPr>
            <w:tcW w:w="1127" w:type="dxa"/>
            <w:shd w:val="clear" w:color="auto" w:fill="auto"/>
            <w:vAlign w:val="center"/>
          </w:tcPr>
          <w:p w14:paraId="66364D16" w14:textId="77777777" w:rsidR="008B7E19" w:rsidRPr="00D311AA" w:rsidRDefault="008B7E19" w:rsidP="008B7E19">
            <w:pPr>
              <w:pStyle w:val="08-Tabelageral"/>
            </w:pPr>
            <w:r w:rsidRPr="001E5BDD">
              <w:t>--</w:t>
            </w:r>
          </w:p>
        </w:tc>
        <w:tc>
          <w:tcPr>
            <w:tcW w:w="1400" w:type="dxa"/>
            <w:gridSpan w:val="2"/>
            <w:shd w:val="clear" w:color="auto" w:fill="auto"/>
            <w:vAlign w:val="center"/>
          </w:tcPr>
          <w:p w14:paraId="4C38310A" w14:textId="77777777" w:rsidR="008B7E19" w:rsidRPr="00D311AA" w:rsidRDefault="008B7E19" w:rsidP="008B7E19">
            <w:pPr>
              <w:pStyle w:val="08-Tabelageral"/>
              <w:rPr>
                <w:lang w:eastAsia="en-US"/>
              </w:rPr>
            </w:pPr>
            <w:r w:rsidRPr="001E5BDD">
              <w:t>--</w:t>
            </w:r>
          </w:p>
        </w:tc>
        <w:tc>
          <w:tcPr>
            <w:tcW w:w="1274" w:type="dxa"/>
            <w:gridSpan w:val="2"/>
            <w:shd w:val="clear" w:color="auto" w:fill="auto"/>
            <w:vAlign w:val="center"/>
          </w:tcPr>
          <w:p w14:paraId="22BE23A0" w14:textId="77777777" w:rsidR="008B7E19" w:rsidRPr="00D311AA" w:rsidRDefault="008B7E19" w:rsidP="008B7E19">
            <w:pPr>
              <w:pStyle w:val="08-Tabelageral"/>
            </w:pPr>
            <w:r w:rsidRPr="001E5BDD">
              <w:t>2</w:t>
            </w:r>
            <w:r>
              <w:t>,</w:t>
            </w:r>
            <w:r w:rsidRPr="001E5BDD">
              <w:t>434</w:t>
            </w:r>
            <w:r>
              <w:t>,</w:t>
            </w:r>
            <w:r w:rsidRPr="001E5BDD">
              <w:t>043</w:t>
            </w:r>
          </w:p>
        </w:tc>
        <w:tc>
          <w:tcPr>
            <w:tcW w:w="1127" w:type="dxa"/>
            <w:shd w:val="clear" w:color="auto" w:fill="auto"/>
            <w:vAlign w:val="center"/>
          </w:tcPr>
          <w:p w14:paraId="7369868A" w14:textId="77777777" w:rsidR="008B7E19" w:rsidRPr="00D311AA" w:rsidRDefault="008B7E19" w:rsidP="008B7E19">
            <w:pPr>
              <w:pStyle w:val="08-Tabelageral"/>
            </w:pPr>
            <w:r w:rsidRPr="001E5BDD">
              <w:t>--</w:t>
            </w:r>
          </w:p>
        </w:tc>
        <w:tc>
          <w:tcPr>
            <w:tcW w:w="1400" w:type="dxa"/>
            <w:shd w:val="clear" w:color="auto" w:fill="auto"/>
            <w:vAlign w:val="center"/>
          </w:tcPr>
          <w:p w14:paraId="325B5F09" w14:textId="77777777" w:rsidR="008B7E19" w:rsidRPr="00D311AA" w:rsidRDefault="008B7E19" w:rsidP="008B7E19">
            <w:pPr>
              <w:pStyle w:val="08-Tabelageral"/>
              <w:rPr>
                <w:lang w:eastAsia="en-US"/>
              </w:rPr>
            </w:pPr>
            <w:r w:rsidRPr="001E5BDD">
              <w:t>--</w:t>
            </w:r>
          </w:p>
        </w:tc>
      </w:tr>
      <w:tr w:rsidR="008B7E19" w:rsidRPr="00D311AA" w14:paraId="7B3181C2" w14:textId="77777777" w:rsidTr="008B7E19">
        <w:trPr>
          <w:trHeight w:val="238"/>
          <w:jc w:val="center"/>
        </w:trPr>
        <w:tc>
          <w:tcPr>
            <w:tcW w:w="2275" w:type="dxa"/>
            <w:gridSpan w:val="3"/>
            <w:tcBorders>
              <w:bottom w:val="nil"/>
            </w:tcBorders>
            <w:shd w:val="clear" w:color="auto" w:fill="auto"/>
          </w:tcPr>
          <w:p w14:paraId="66CF4E54" w14:textId="77777777" w:rsidR="008B7E19" w:rsidRPr="00D311AA" w:rsidRDefault="008B7E19" w:rsidP="008B7E19">
            <w:pPr>
              <w:pStyle w:val="08-Tabelageral"/>
              <w:jc w:val="left"/>
              <w:rPr>
                <w:bCs/>
              </w:rPr>
            </w:pPr>
            <w:r w:rsidRPr="00D311AA">
              <w:rPr>
                <w:bCs/>
              </w:rPr>
              <w:t>Obligations with related parties</w:t>
            </w:r>
            <w:r>
              <w:rPr>
                <w:bCs/>
              </w:rPr>
              <w:t xml:space="preserve"> </w:t>
            </w:r>
            <w:r w:rsidRPr="002E2397">
              <w:rPr>
                <w:bCs/>
                <w:vertAlign w:val="superscript"/>
              </w:rPr>
              <w:t>(</w:t>
            </w:r>
            <w:r>
              <w:rPr>
                <w:bCs/>
                <w:vertAlign w:val="superscript"/>
              </w:rPr>
              <w:t>2</w:t>
            </w:r>
            <w:r w:rsidRPr="002E2397">
              <w:rPr>
                <w:bCs/>
                <w:vertAlign w:val="superscript"/>
              </w:rPr>
              <w:t>)</w:t>
            </w:r>
          </w:p>
        </w:tc>
        <w:tc>
          <w:tcPr>
            <w:tcW w:w="1048" w:type="dxa"/>
            <w:tcBorders>
              <w:bottom w:val="nil"/>
            </w:tcBorders>
            <w:shd w:val="clear" w:color="auto" w:fill="auto"/>
            <w:vAlign w:val="center"/>
          </w:tcPr>
          <w:p w14:paraId="39FCEA9F" w14:textId="77777777" w:rsidR="008B7E19" w:rsidRPr="00D311AA" w:rsidRDefault="008B7E19" w:rsidP="008B7E19">
            <w:pPr>
              <w:pStyle w:val="08-Tabelageral"/>
            </w:pPr>
            <w:r w:rsidRPr="001E5BDD">
              <w:t>28</w:t>
            </w:r>
            <w:r>
              <w:t>,</w:t>
            </w:r>
            <w:r w:rsidRPr="001E5BDD">
              <w:t>114</w:t>
            </w:r>
          </w:p>
        </w:tc>
        <w:tc>
          <w:tcPr>
            <w:tcW w:w="1127" w:type="dxa"/>
            <w:tcBorders>
              <w:bottom w:val="nil"/>
            </w:tcBorders>
            <w:shd w:val="clear" w:color="auto" w:fill="auto"/>
            <w:vAlign w:val="center"/>
          </w:tcPr>
          <w:p w14:paraId="36C1A423" w14:textId="77777777" w:rsidR="008B7E19" w:rsidRPr="00D311AA" w:rsidRDefault="008B7E19" w:rsidP="008B7E19">
            <w:pPr>
              <w:pStyle w:val="08-Tabelageral"/>
            </w:pPr>
            <w:r w:rsidRPr="001E5BDD">
              <w:t>50</w:t>
            </w:r>
            <w:r>
              <w:t>,</w:t>
            </w:r>
            <w:r w:rsidRPr="001E5BDD">
              <w:t>083</w:t>
            </w:r>
          </w:p>
        </w:tc>
        <w:tc>
          <w:tcPr>
            <w:tcW w:w="1400" w:type="dxa"/>
            <w:gridSpan w:val="2"/>
            <w:tcBorders>
              <w:bottom w:val="nil"/>
            </w:tcBorders>
            <w:shd w:val="clear" w:color="auto" w:fill="auto"/>
            <w:vAlign w:val="center"/>
          </w:tcPr>
          <w:p w14:paraId="3DC2AC68" w14:textId="77777777" w:rsidR="008B7E19" w:rsidRPr="00D311AA" w:rsidRDefault="008B7E19" w:rsidP="008B7E19">
            <w:pPr>
              <w:pStyle w:val="08-Tabelageral"/>
              <w:rPr>
                <w:lang w:eastAsia="en-US"/>
              </w:rPr>
            </w:pPr>
            <w:r w:rsidRPr="001E5BDD">
              <w:t>--</w:t>
            </w:r>
          </w:p>
        </w:tc>
        <w:tc>
          <w:tcPr>
            <w:tcW w:w="1274" w:type="dxa"/>
            <w:gridSpan w:val="2"/>
            <w:tcBorders>
              <w:bottom w:val="nil"/>
            </w:tcBorders>
            <w:shd w:val="clear" w:color="auto" w:fill="auto"/>
            <w:vAlign w:val="center"/>
          </w:tcPr>
          <w:p w14:paraId="705CD584" w14:textId="77777777" w:rsidR="008B7E19" w:rsidRPr="00D311AA" w:rsidRDefault="008B7E19" w:rsidP="008B7E19">
            <w:pPr>
              <w:pStyle w:val="08-Tabelageral"/>
            </w:pPr>
            <w:r w:rsidRPr="001E5BDD">
              <w:t>25</w:t>
            </w:r>
            <w:r>
              <w:t>,</w:t>
            </w:r>
            <w:r w:rsidRPr="001E5BDD">
              <w:t>003</w:t>
            </w:r>
          </w:p>
        </w:tc>
        <w:tc>
          <w:tcPr>
            <w:tcW w:w="1127" w:type="dxa"/>
            <w:tcBorders>
              <w:bottom w:val="nil"/>
            </w:tcBorders>
            <w:shd w:val="clear" w:color="auto" w:fill="auto"/>
            <w:vAlign w:val="center"/>
          </w:tcPr>
          <w:p w14:paraId="34780A96" w14:textId="77777777" w:rsidR="008B7E19" w:rsidRPr="00D311AA" w:rsidRDefault="008B7E19" w:rsidP="008B7E19">
            <w:pPr>
              <w:pStyle w:val="08-Tabelageral"/>
            </w:pPr>
            <w:r w:rsidRPr="001E5BDD">
              <w:t>47</w:t>
            </w:r>
            <w:r>
              <w:t>,</w:t>
            </w:r>
            <w:r w:rsidRPr="001E5BDD">
              <w:t>473</w:t>
            </w:r>
          </w:p>
        </w:tc>
        <w:tc>
          <w:tcPr>
            <w:tcW w:w="1400" w:type="dxa"/>
            <w:tcBorders>
              <w:bottom w:val="nil"/>
            </w:tcBorders>
            <w:shd w:val="clear" w:color="auto" w:fill="auto"/>
            <w:vAlign w:val="center"/>
          </w:tcPr>
          <w:p w14:paraId="7C3AEA0A" w14:textId="77777777" w:rsidR="008B7E19" w:rsidRPr="00D311AA" w:rsidRDefault="008B7E19" w:rsidP="008B7E19">
            <w:pPr>
              <w:pStyle w:val="08-Tabelageral"/>
              <w:rPr>
                <w:lang w:eastAsia="en-US"/>
              </w:rPr>
            </w:pPr>
            <w:r w:rsidRPr="001E5BDD">
              <w:t>--</w:t>
            </w:r>
          </w:p>
        </w:tc>
      </w:tr>
      <w:tr w:rsidR="008B7E19" w:rsidRPr="00D311AA" w14:paraId="33F73037" w14:textId="77777777" w:rsidTr="008B7E19">
        <w:trPr>
          <w:trHeight w:val="238"/>
          <w:jc w:val="center"/>
        </w:trPr>
        <w:tc>
          <w:tcPr>
            <w:tcW w:w="2275" w:type="dxa"/>
            <w:gridSpan w:val="3"/>
            <w:tcBorders>
              <w:top w:val="nil"/>
              <w:bottom w:val="single" w:sz="2" w:space="0" w:color="1F4E79" w:themeColor="accent1" w:themeShade="80"/>
            </w:tcBorders>
            <w:shd w:val="clear" w:color="auto" w:fill="auto"/>
          </w:tcPr>
          <w:p w14:paraId="354BE0B2" w14:textId="77777777" w:rsidR="008B7E19" w:rsidRPr="00D311AA" w:rsidRDefault="008B7E19" w:rsidP="008B7E19">
            <w:pPr>
              <w:pStyle w:val="08-Tabelageral"/>
              <w:jc w:val="left"/>
              <w:rPr>
                <w:bCs/>
              </w:rPr>
            </w:pPr>
            <w:r w:rsidRPr="00D311AA">
              <w:rPr>
                <w:bCs/>
              </w:rPr>
              <w:t>Unearned Commissions</w:t>
            </w:r>
          </w:p>
        </w:tc>
        <w:tc>
          <w:tcPr>
            <w:tcW w:w="1048" w:type="dxa"/>
            <w:tcBorders>
              <w:top w:val="nil"/>
              <w:bottom w:val="single" w:sz="2" w:space="0" w:color="1F4E79" w:themeColor="accent1" w:themeShade="80"/>
            </w:tcBorders>
            <w:shd w:val="clear" w:color="auto" w:fill="auto"/>
            <w:vAlign w:val="center"/>
          </w:tcPr>
          <w:p w14:paraId="3AF7D1D3" w14:textId="77777777" w:rsidR="008B7E19" w:rsidRPr="00D311AA" w:rsidRDefault="008B7E19" w:rsidP="008B7E19">
            <w:pPr>
              <w:pStyle w:val="08-Tabelageral"/>
            </w:pPr>
            <w:r w:rsidRPr="001E5BDD">
              <w:t>--</w:t>
            </w:r>
          </w:p>
        </w:tc>
        <w:tc>
          <w:tcPr>
            <w:tcW w:w="1127" w:type="dxa"/>
            <w:tcBorders>
              <w:top w:val="nil"/>
              <w:bottom w:val="single" w:sz="2" w:space="0" w:color="1F4E79" w:themeColor="accent1" w:themeShade="80"/>
            </w:tcBorders>
            <w:shd w:val="clear" w:color="auto" w:fill="auto"/>
            <w:vAlign w:val="center"/>
          </w:tcPr>
          <w:p w14:paraId="5039583A" w14:textId="77777777" w:rsidR="008B7E19" w:rsidRPr="00D311AA" w:rsidRDefault="008B7E19" w:rsidP="008B7E19">
            <w:pPr>
              <w:pStyle w:val="08-Tabelageral"/>
            </w:pPr>
            <w:r w:rsidRPr="001E5BDD">
              <w:t>3</w:t>
            </w:r>
            <w:r>
              <w:t>,</w:t>
            </w:r>
            <w:r w:rsidRPr="001E5BDD">
              <w:t>902</w:t>
            </w:r>
            <w:r>
              <w:t>,</w:t>
            </w:r>
            <w:r w:rsidRPr="001E5BDD">
              <w:t>573</w:t>
            </w:r>
          </w:p>
        </w:tc>
        <w:tc>
          <w:tcPr>
            <w:tcW w:w="1400" w:type="dxa"/>
            <w:gridSpan w:val="2"/>
            <w:tcBorders>
              <w:top w:val="nil"/>
              <w:bottom w:val="single" w:sz="2" w:space="0" w:color="1F4E79" w:themeColor="accent1" w:themeShade="80"/>
            </w:tcBorders>
            <w:shd w:val="clear" w:color="auto" w:fill="auto"/>
            <w:vAlign w:val="center"/>
          </w:tcPr>
          <w:p w14:paraId="42FA9B56" w14:textId="77777777" w:rsidR="008B7E19" w:rsidRPr="00D311AA" w:rsidRDefault="008B7E19" w:rsidP="008B7E19">
            <w:pPr>
              <w:pStyle w:val="08-Tabelageral"/>
              <w:rPr>
                <w:lang w:eastAsia="en-US"/>
              </w:rPr>
            </w:pPr>
            <w:r w:rsidRPr="001E5BDD">
              <w:t>--</w:t>
            </w:r>
          </w:p>
        </w:tc>
        <w:tc>
          <w:tcPr>
            <w:tcW w:w="1274" w:type="dxa"/>
            <w:gridSpan w:val="2"/>
            <w:tcBorders>
              <w:top w:val="nil"/>
              <w:bottom w:val="single" w:sz="2" w:space="0" w:color="1F4E79" w:themeColor="accent1" w:themeShade="80"/>
            </w:tcBorders>
            <w:shd w:val="clear" w:color="auto" w:fill="auto"/>
            <w:vAlign w:val="center"/>
          </w:tcPr>
          <w:p w14:paraId="23260C29" w14:textId="77777777" w:rsidR="008B7E19" w:rsidRPr="00D311AA" w:rsidRDefault="008B7E19" w:rsidP="008B7E19">
            <w:pPr>
              <w:pStyle w:val="08-Tabelageral"/>
            </w:pPr>
            <w:r w:rsidRPr="001E5BDD">
              <w:t>--</w:t>
            </w:r>
          </w:p>
        </w:tc>
        <w:tc>
          <w:tcPr>
            <w:tcW w:w="1127" w:type="dxa"/>
            <w:tcBorders>
              <w:top w:val="nil"/>
              <w:bottom w:val="single" w:sz="2" w:space="0" w:color="1F4E79" w:themeColor="accent1" w:themeShade="80"/>
            </w:tcBorders>
            <w:shd w:val="clear" w:color="auto" w:fill="auto"/>
            <w:vAlign w:val="center"/>
          </w:tcPr>
          <w:p w14:paraId="05AD332D" w14:textId="77777777" w:rsidR="008B7E19" w:rsidRPr="00D311AA" w:rsidRDefault="008B7E19" w:rsidP="008B7E19">
            <w:pPr>
              <w:pStyle w:val="08-Tabelageral"/>
            </w:pPr>
            <w:r w:rsidRPr="001E5BDD">
              <w:t>3</w:t>
            </w:r>
            <w:r>
              <w:t>,</w:t>
            </w:r>
            <w:r w:rsidRPr="001E5BDD">
              <w:t>445</w:t>
            </w:r>
            <w:r>
              <w:t>,</w:t>
            </w:r>
            <w:r w:rsidRPr="001E5BDD">
              <w:t>967</w:t>
            </w:r>
          </w:p>
        </w:tc>
        <w:tc>
          <w:tcPr>
            <w:tcW w:w="1400" w:type="dxa"/>
            <w:tcBorders>
              <w:top w:val="nil"/>
              <w:bottom w:val="single" w:sz="2" w:space="0" w:color="1F4E79" w:themeColor="accent1" w:themeShade="80"/>
            </w:tcBorders>
            <w:shd w:val="clear" w:color="auto" w:fill="auto"/>
            <w:vAlign w:val="center"/>
          </w:tcPr>
          <w:p w14:paraId="6090F440" w14:textId="77777777" w:rsidR="008B7E19" w:rsidRPr="00D311AA" w:rsidRDefault="008B7E19" w:rsidP="008B7E19">
            <w:pPr>
              <w:pStyle w:val="08-Tabelageral"/>
              <w:rPr>
                <w:lang w:eastAsia="en-US"/>
              </w:rPr>
            </w:pPr>
            <w:r w:rsidRPr="001E5BDD">
              <w:t>--</w:t>
            </w:r>
          </w:p>
        </w:tc>
      </w:tr>
    </w:tbl>
    <w:p w14:paraId="2D017636" w14:textId="77777777" w:rsidR="008B7E19" w:rsidRDefault="008B7E19" w:rsidP="008B7E19">
      <w:pPr>
        <w:pStyle w:val="07-Legenda"/>
        <w:tabs>
          <w:tab w:val="clear" w:pos="284"/>
          <w:tab w:val="left" w:pos="851"/>
        </w:tabs>
      </w:pPr>
    </w:p>
    <w:p w14:paraId="2C20D35B" w14:textId="77777777" w:rsidR="008B7E19" w:rsidRPr="00D311AA" w:rsidRDefault="008B7E19" w:rsidP="008B7E19">
      <w:pPr>
        <w:pStyle w:val="01-TtulodeNota"/>
        <w:keepNext/>
        <w:spacing w:before="0" w:after="0"/>
        <w:jc w:val="right"/>
        <w:rPr>
          <w:sz w:val="14"/>
          <w:szCs w:val="14"/>
        </w:rPr>
      </w:pPr>
      <w:r w:rsidRPr="00D311AA">
        <w:rPr>
          <w:sz w:val="14"/>
          <w:szCs w:val="14"/>
        </w:rPr>
        <w:t>R$ thousand</w:t>
      </w:r>
    </w:p>
    <w:tbl>
      <w:tblPr>
        <w:tblW w:w="4945" w:type="pct"/>
        <w:jc w:val="center"/>
        <w:tblBorders>
          <w:top w:val="single" w:sz="2" w:space="0" w:color="8EAADB" w:themeColor="accent5" w:themeTint="99"/>
          <w:bottom w:val="single" w:sz="2" w:space="0" w:color="8EAADB" w:themeColor="accent5" w:themeTint="99"/>
        </w:tblBorders>
        <w:tblLook w:val="04A0" w:firstRow="1" w:lastRow="0" w:firstColumn="1" w:lastColumn="0" w:noHBand="0" w:noVBand="1"/>
      </w:tblPr>
      <w:tblGrid>
        <w:gridCol w:w="1165"/>
        <w:gridCol w:w="1273"/>
        <w:gridCol w:w="1148"/>
        <w:gridCol w:w="1170"/>
        <w:gridCol w:w="1325"/>
        <w:gridCol w:w="1323"/>
        <w:gridCol w:w="1112"/>
        <w:gridCol w:w="1230"/>
      </w:tblGrid>
      <w:tr w:rsidR="008B7E19" w:rsidRPr="00D311AA" w14:paraId="3ED3FFE7" w14:textId="77777777" w:rsidTr="008B7E19">
        <w:trPr>
          <w:trHeight w:val="238"/>
          <w:jc w:val="center"/>
        </w:trPr>
        <w:tc>
          <w:tcPr>
            <w:tcW w:w="1165" w:type="dxa"/>
            <w:tcBorders>
              <w:top w:val="single" w:sz="2" w:space="0" w:color="1F4E79" w:themeColor="accent1" w:themeShade="80"/>
              <w:bottom w:val="nil"/>
            </w:tcBorders>
            <w:shd w:val="clear" w:color="auto" w:fill="auto"/>
          </w:tcPr>
          <w:p w14:paraId="02590674" w14:textId="77777777" w:rsidR="008B7E19" w:rsidRPr="00D311AA" w:rsidRDefault="008B7E19" w:rsidP="008B7E19">
            <w:pPr>
              <w:pStyle w:val="08-Tabelageral"/>
              <w:rPr>
                <w:b/>
                <w:szCs w:val="14"/>
              </w:rPr>
            </w:pPr>
          </w:p>
        </w:tc>
        <w:tc>
          <w:tcPr>
            <w:tcW w:w="1273" w:type="dxa"/>
            <w:tcBorders>
              <w:top w:val="single" w:sz="2" w:space="0" w:color="1F4E79" w:themeColor="accent1" w:themeShade="80"/>
              <w:bottom w:val="nil"/>
            </w:tcBorders>
            <w:shd w:val="clear" w:color="auto" w:fill="auto"/>
          </w:tcPr>
          <w:p w14:paraId="2C59530E" w14:textId="77777777" w:rsidR="008B7E19" w:rsidRPr="00D311AA" w:rsidRDefault="008B7E19" w:rsidP="008B7E19">
            <w:pPr>
              <w:pStyle w:val="08-Tabelageral"/>
              <w:rPr>
                <w:b/>
                <w:szCs w:val="14"/>
              </w:rPr>
            </w:pPr>
          </w:p>
        </w:tc>
        <w:tc>
          <w:tcPr>
            <w:tcW w:w="3643" w:type="dxa"/>
            <w:gridSpan w:val="3"/>
            <w:tcBorders>
              <w:top w:val="single" w:sz="2" w:space="0" w:color="8EAADB" w:themeColor="accent5" w:themeTint="99"/>
              <w:bottom w:val="single" w:sz="2" w:space="0" w:color="8EAADB" w:themeColor="accent5" w:themeTint="99"/>
            </w:tcBorders>
            <w:shd w:val="clear" w:color="auto" w:fill="auto"/>
          </w:tcPr>
          <w:p w14:paraId="79D3FB6E" w14:textId="77777777" w:rsidR="008B7E19" w:rsidRPr="00FA5D81" w:rsidRDefault="008B7E19" w:rsidP="008B7E19">
            <w:pPr>
              <w:pStyle w:val="08-Tabelageral"/>
              <w:jc w:val="center"/>
              <w:rPr>
                <w:b/>
                <w:bCs/>
                <w:szCs w:val="14"/>
              </w:rPr>
            </w:pPr>
            <w:r>
              <w:rPr>
                <w:rFonts w:cs="Arial"/>
                <w:b/>
                <w:bCs/>
                <w:szCs w:val="14"/>
              </w:rPr>
              <w:t>2</w:t>
            </w:r>
            <w:r>
              <w:rPr>
                <w:rFonts w:cs="Arial"/>
                <w:b/>
                <w:bCs/>
                <w:szCs w:val="14"/>
                <w:vertAlign w:val="superscript"/>
              </w:rPr>
              <w:t>nd</w:t>
            </w:r>
            <w:r w:rsidRPr="00FA5D81">
              <w:rPr>
                <w:rFonts w:cs="Arial"/>
                <w:b/>
                <w:bCs/>
                <w:szCs w:val="14"/>
              </w:rPr>
              <w:t xml:space="preserve"> Quarter 2023</w:t>
            </w:r>
          </w:p>
        </w:tc>
        <w:tc>
          <w:tcPr>
            <w:tcW w:w="3665" w:type="dxa"/>
            <w:gridSpan w:val="3"/>
            <w:tcBorders>
              <w:top w:val="single" w:sz="2" w:space="0" w:color="8EAADB" w:themeColor="accent5" w:themeTint="99"/>
              <w:bottom w:val="single" w:sz="2" w:space="0" w:color="8EAADB" w:themeColor="accent5" w:themeTint="99"/>
            </w:tcBorders>
            <w:shd w:val="clear" w:color="auto" w:fill="auto"/>
          </w:tcPr>
          <w:p w14:paraId="54619668" w14:textId="77777777" w:rsidR="008B7E19" w:rsidRPr="00FA5D81" w:rsidRDefault="008B7E19" w:rsidP="008B7E19">
            <w:pPr>
              <w:pStyle w:val="08-Tabelageral"/>
              <w:jc w:val="center"/>
              <w:rPr>
                <w:b/>
                <w:bCs/>
                <w:szCs w:val="14"/>
              </w:rPr>
            </w:pPr>
            <w:r>
              <w:rPr>
                <w:rFonts w:cs="Arial"/>
                <w:b/>
                <w:bCs/>
                <w:szCs w:val="14"/>
              </w:rPr>
              <w:t>2</w:t>
            </w:r>
            <w:r>
              <w:rPr>
                <w:rFonts w:cs="Arial"/>
                <w:b/>
                <w:bCs/>
                <w:szCs w:val="14"/>
                <w:vertAlign w:val="superscript"/>
              </w:rPr>
              <w:t>nd</w:t>
            </w:r>
            <w:r w:rsidRPr="00FA5D81">
              <w:rPr>
                <w:rFonts w:cs="Arial"/>
                <w:b/>
                <w:bCs/>
                <w:szCs w:val="14"/>
              </w:rPr>
              <w:t xml:space="preserve"> Quarter 2022</w:t>
            </w:r>
          </w:p>
        </w:tc>
      </w:tr>
      <w:tr w:rsidR="008B7E19" w:rsidRPr="00D311AA" w14:paraId="34303806" w14:textId="77777777" w:rsidTr="008B7E19">
        <w:trPr>
          <w:trHeight w:val="238"/>
          <w:jc w:val="center"/>
        </w:trPr>
        <w:tc>
          <w:tcPr>
            <w:tcW w:w="2438" w:type="dxa"/>
            <w:gridSpan w:val="2"/>
            <w:tcBorders>
              <w:top w:val="nil"/>
              <w:bottom w:val="single" w:sz="2" w:space="0" w:color="1F4E79" w:themeColor="accent1" w:themeShade="80"/>
            </w:tcBorders>
            <w:shd w:val="clear" w:color="auto" w:fill="auto"/>
            <w:vAlign w:val="center"/>
          </w:tcPr>
          <w:p w14:paraId="660D1EE0" w14:textId="77777777" w:rsidR="008B7E19" w:rsidRPr="00D311AA" w:rsidRDefault="008B7E19" w:rsidP="008B7E19">
            <w:pPr>
              <w:pStyle w:val="08-Tabelageral"/>
              <w:rPr>
                <w:b/>
                <w:szCs w:val="14"/>
              </w:rPr>
            </w:pPr>
          </w:p>
        </w:tc>
        <w:tc>
          <w:tcPr>
            <w:tcW w:w="1148" w:type="dxa"/>
            <w:tcBorders>
              <w:top w:val="single" w:sz="2" w:space="0" w:color="8EAADB" w:themeColor="accent5" w:themeTint="99"/>
              <w:bottom w:val="single" w:sz="2" w:space="0" w:color="1F4E79" w:themeColor="accent1" w:themeShade="80"/>
            </w:tcBorders>
            <w:shd w:val="clear" w:color="auto" w:fill="auto"/>
            <w:vAlign w:val="center"/>
          </w:tcPr>
          <w:p w14:paraId="20666F0A" w14:textId="77777777" w:rsidR="008B7E19" w:rsidRPr="00D311AA" w:rsidRDefault="008B7E19" w:rsidP="008B7E19">
            <w:pPr>
              <w:pStyle w:val="08-Tabelageral"/>
              <w:rPr>
                <w:b/>
                <w:szCs w:val="14"/>
              </w:rPr>
            </w:pPr>
            <w:r>
              <w:rPr>
                <w:b/>
                <w:szCs w:val="14"/>
              </w:rPr>
              <w:t>Banco do Brasil</w:t>
            </w:r>
          </w:p>
        </w:tc>
        <w:tc>
          <w:tcPr>
            <w:tcW w:w="1170" w:type="dxa"/>
            <w:tcBorders>
              <w:top w:val="single" w:sz="2" w:space="0" w:color="8EAADB" w:themeColor="accent5" w:themeTint="99"/>
              <w:bottom w:val="single" w:sz="2" w:space="0" w:color="1F4E79" w:themeColor="accent1" w:themeShade="80"/>
            </w:tcBorders>
            <w:shd w:val="clear" w:color="auto" w:fill="auto"/>
            <w:vAlign w:val="center"/>
          </w:tcPr>
          <w:p w14:paraId="14BE892F" w14:textId="77777777" w:rsidR="008B7E19" w:rsidRPr="00D311AA" w:rsidRDefault="008B7E19" w:rsidP="008B7E19">
            <w:pPr>
              <w:pStyle w:val="08-Tabelageral"/>
              <w:rPr>
                <w:b/>
                <w:szCs w:val="14"/>
              </w:rPr>
            </w:pPr>
            <w:r w:rsidRPr="00D311AA">
              <w:rPr>
                <w:b/>
                <w:szCs w:val="14"/>
              </w:rPr>
              <w:t>Associates and joint ventures</w:t>
            </w:r>
            <w:r>
              <w:rPr>
                <w:b/>
                <w:szCs w:val="14"/>
              </w:rPr>
              <w:t xml:space="preserve"> </w:t>
            </w:r>
            <w:r w:rsidRPr="00D311AA">
              <w:rPr>
                <w:b/>
                <w:szCs w:val="14"/>
                <w:vertAlign w:val="superscript"/>
              </w:rPr>
              <w:t>(</w:t>
            </w:r>
            <w:r>
              <w:rPr>
                <w:b/>
                <w:szCs w:val="14"/>
                <w:vertAlign w:val="superscript"/>
              </w:rPr>
              <w:t>1</w:t>
            </w:r>
            <w:r w:rsidRPr="00D311AA">
              <w:rPr>
                <w:b/>
                <w:szCs w:val="14"/>
                <w:vertAlign w:val="superscript"/>
              </w:rPr>
              <w:t>)</w:t>
            </w:r>
          </w:p>
        </w:tc>
        <w:tc>
          <w:tcPr>
            <w:tcW w:w="1325" w:type="dxa"/>
            <w:tcBorders>
              <w:top w:val="single" w:sz="2" w:space="0" w:color="8EAADB" w:themeColor="accent5" w:themeTint="99"/>
              <w:bottom w:val="single" w:sz="2" w:space="0" w:color="1F4E79" w:themeColor="accent1" w:themeShade="80"/>
            </w:tcBorders>
            <w:shd w:val="clear" w:color="auto" w:fill="auto"/>
            <w:vAlign w:val="center"/>
          </w:tcPr>
          <w:p w14:paraId="6CA18C8A" w14:textId="77777777" w:rsidR="008B7E19" w:rsidRPr="00D311AA" w:rsidRDefault="008B7E19" w:rsidP="008B7E19">
            <w:pPr>
              <w:pStyle w:val="08-Tabelageral"/>
              <w:rPr>
                <w:b/>
                <w:szCs w:val="14"/>
              </w:rPr>
            </w:pPr>
            <w:r w:rsidRPr="00D311AA">
              <w:rPr>
                <w:b/>
                <w:szCs w:val="14"/>
              </w:rPr>
              <w:t>Other related parties</w:t>
            </w:r>
          </w:p>
        </w:tc>
        <w:tc>
          <w:tcPr>
            <w:tcW w:w="1323" w:type="dxa"/>
            <w:tcBorders>
              <w:top w:val="single" w:sz="2" w:space="0" w:color="8EAADB" w:themeColor="accent5" w:themeTint="99"/>
              <w:bottom w:val="single" w:sz="2" w:space="0" w:color="1F4E79" w:themeColor="accent1" w:themeShade="80"/>
            </w:tcBorders>
            <w:shd w:val="clear" w:color="auto" w:fill="auto"/>
            <w:vAlign w:val="center"/>
          </w:tcPr>
          <w:p w14:paraId="0C997A61" w14:textId="77777777" w:rsidR="008B7E19" w:rsidRPr="00D311AA" w:rsidRDefault="008B7E19" w:rsidP="008B7E19">
            <w:pPr>
              <w:pStyle w:val="08-Tabelageral"/>
              <w:rPr>
                <w:b/>
                <w:szCs w:val="14"/>
              </w:rPr>
            </w:pPr>
            <w:r>
              <w:rPr>
                <w:b/>
                <w:szCs w:val="14"/>
              </w:rPr>
              <w:t>Banco do Brasil</w:t>
            </w:r>
          </w:p>
        </w:tc>
        <w:tc>
          <w:tcPr>
            <w:tcW w:w="1112" w:type="dxa"/>
            <w:tcBorders>
              <w:top w:val="single" w:sz="2" w:space="0" w:color="8EAADB" w:themeColor="accent5" w:themeTint="99"/>
              <w:bottom w:val="single" w:sz="2" w:space="0" w:color="1F4E79" w:themeColor="accent1" w:themeShade="80"/>
            </w:tcBorders>
            <w:shd w:val="clear" w:color="auto" w:fill="auto"/>
            <w:vAlign w:val="center"/>
          </w:tcPr>
          <w:p w14:paraId="76F8929B" w14:textId="77777777" w:rsidR="008B7E19" w:rsidRPr="00D311AA" w:rsidRDefault="008B7E19" w:rsidP="008B7E19">
            <w:pPr>
              <w:pStyle w:val="08-Tabelageral"/>
              <w:rPr>
                <w:b/>
                <w:szCs w:val="14"/>
              </w:rPr>
            </w:pPr>
            <w:r w:rsidRPr="00D311AA">
              <w:rPr>
                <w:b/>
                <w:szCs w:val="14"/>
              </w:rPr>
              <w:t>Associates and joint ventures</w:t>
            </w:r>
            <w:r>
              <w:rPr>
                <w:b/>
                <w:szCs w:val="14"/>
              </w:rPr>
              <w:t xml:space="preserve"> </w:t>
            </w:r>
            <w:r w:rsidRPr="00D311AA">
              <w:rPr>
                <w:b/>
                <w:szCs w:val="14"/>
                <w:vertAlign w:val="superscript"/>
              </w:rPr>
              <w:t>(</w:t>
            </w:r>
            <w:r>
              <w:rPr>
                <w:b/>
                <w:szCs w:val="14"/>
                <w:vertAlign w:val="superscript"/>
              </w:rPr>
              <w:t>1</w:t>
            </w:r>
            <w:r w:rsidRPr="00D311AA">
              <w:rPr>
                <w:b/>
                <w:szCs w:val="14"/>
                <w:vertAlign w:val="superscript"/>
              </w:rPr>
              <w:t>)</w:t>
            </w:r>
          </w:p>
        </w:tc>
        <w:tc>
          <w:tcPr>
            <w:tcW w:w="1230" w:type="dxa"/>
            <w:tcBorders>
              <w:top w:val="single" w:sz="2" w:space="0" w:color="8EAADB" w:themeColor="accent5" w:themeTint="99"/>
              <w:bottom w:val="single" w:sz="2" w:space="0" w:color="1F4E79" w:themeColor="accent1" w:themeShade="80"/>
            </w:tcBorders>
            <w:shd w:val="clear" w:color="auto" w:fill="auto"/>
            <w:vAlign w:val="center"/>
          </w:tcPr>
          <w:p w14:paraId="391D4D6E" w14:textId="77777777" w:rsidR="008B7E19" w:rsidRPr="00D311AA" w:rsidRDefault="008B7E19" w:rsidP="008B7E19">
            <w:pPr>
              <w:pStyle w:val="08-Tabelageral"/>
              <w:rPr>
                <w:b/>
                <w:szCs w:val="14"/>
              </w:rPr>
            </w:pPr>
            <w:r w:rsidRPr="00D311AA">
              <w:rPr>
                <w:b/>
                <w:szCs w:val="14"/>
              </w:rPr>
              <w:t>Other related parties</w:t>
            </w:r>
          </w:p>
        </w:tc>
      </w:tr>
      <w:tr w:rsidR="008B7E19" w:rsidRPr="00D311AA" w14:paraId="4CDD68CF" w14:textId="77777777" w:rsidTr="008B7E19">
        <w:trPr>
          <w:trHeight w:val="238"/>
          <w:jc w:val="center"/>
        </w:trPr>
        <w:tc>
          <w:tcPr>
            <w:tcW w:w="2438" w:type="dxa"/>
            <w:gridSpan w:val="2"/>
            <w:tcBorders>
              <w:top w:val="single" w:sz="2" w:space="0" w:color="1F4E79" w:themeColor="accent1" w:themeShade="80"/>
            </w:tcBorders>
            <w:shd w:val="clear" w:color="auto" w:fill="auto"/>
          </w:tcPr>
          <w:p w14:paraId="38E20776" w14:textId="77777777" w:rsidR="008B7E19" w:rsidRPr="00D311AA" w:rsidRDefault="008B7E19" w:rsidP="008B7E19">
            <w:pPr>
              <w:pStyle w:val="08-Tabelageral"/>
              <w:jc w:val="left"/>
              <w:rPr>
                <w:b/>
              </w:rPr>
            </w:pPr>
            <w:r w:rsidRPr="00D311AA">
              <w:rPr>
                <w:b/>
              </w:rPr>
              <w:t>Income</w:t>
            </w:r>
          </w:p>
        </w:tc>
        <w:tc>
          <w:tcPr>
            <w:tcW w:w="1148" w:type="dxa"/>
            <w:tcBorders>
              <w:top w:val="single" w:sz="2" w:space="0" w:color="1F4E79" w:themeColor="accent1" w:themeShade="80"/>
            </w:tcBorders>
            <w:shd w:val="clear" w:color="auto" w:fill="auto"/>
            <w:vAlign w:val="center"/>
          </w:tcPr>
          <w:p w14:paraId="52450612" w14:textId="77777777" w:rsidR="008B7E19" w:rsidRPr="00D311AA" w:rsidRDefault="008B7E19" w:rsidP="008B7E19">
            <w:pPr>
              <w:pStyle w:val="08-Tabelageral"/>
              <w:rPr>
                <w:b/>
                <w:szCs w:val="14"/>
              </w:rPr>
            </w:pPr>
          </w:p>
        </w:tc>
        <w:tc>
          <w:tcPr>
            <w:tcW w:w="1170" w:type="dxa"/>
            <w:tcBorders>
              <w:top w:val="single" w:sz="2" w:space="0" w:color="1F4E79" w:themeColor="accent1" w:themeShade="80"/>
            </w:tcBorders>
            <w:shd w:val="clear" w:color="auto" w:fill="auto"/>
            <w:vAlign w:val="center"/>
          </w:tcPr>
          <w:p w14:paraId="3D06AFF7" w14:textId="77777777" w:rsidR="008B7E19" w:rsidRPr="00D311AA" w:rsidRDefault="008B7E19" w:rsidP="008B7E19">
            <w:pPr>
              <w:pStyle w:val="08-Tabelageral"/>
              <w:rPr>
                <w:b/>
                <w:szCs w:val="14"/>
              </w:rPr>
            </w:pPr>
          </w:p>
        </w:tc>
        <w:tc>
          <w:tcPr>
            <w:tcW w:w="1325" w:type="dxa"/>
            <w:tcBorders>
              <w:top w:val="single" w:sz="2" w:space="0" w:color="1F4E79" w:themeColor="accent1" w:themeShade="80"/>
            </w:tcBorders>
            <w:shd w:val="clear" w:color="auto" w:fill="auto"/>
          </w:tcPr>
          <w:p w14:paraId="44995EE3" w14:textId="77777777" w:rsidR="008B7E19" w:rsidRPr="00D311AA" w:rsidRDefault="008B7E19" w:rsidP="008B7E19">
            <w:pPr>
              <w:pStyle w:val="08-Tabelageral"/>
              <w:rPr>
                <w:b/>
              </w:rPr>
            </w:pPr>
          </w:p>
        </w:tc>
        <w:tc>
          <w:tcPr>
            <w:tcW w:w="1323" w:type="dxa"/>
            <w:tcBorders>
              <w:top w:val="single" w:sz="2" w:space="0" w:color="1F4E79" w:themeColor="accent1" w:themeShade="80"/>
            </w:tcBorders>
            <w:shd w:val="clear" w:color="auto" w:fill="auto"/>
            <w:vAlign w:val="center"/>
          </w:tcPr>
          <w:p w14:paraId="4ADA013B" w14:textId="77777777" w:rsidR="008B7E19" w:rsidRPr="00D311AA" w:rsidRDefault="008B7E19" w:rsidP="008B7E19">
            <w:pPr>
              <w:pStyle w:val="08-Tabelageral"/>
              <w:rPr>
                <w:b/>
              </w:rPr>
            </w:pPr>
          </w:p>
        </w:tc>
        <w:tc>
          <w:tcPr>
            <w:tcW w:w="1112" w:type="dxa"/>
            <w:tcBorders>
              <w:top w:val="single" w:sz="2" w:space="0" w:color="1F4E79" w:themeColor="accent1" w:themeShade="80"/>
            </w:tcBorders>
            <w:shd w:val="clear" w:color="auto" w:fill="auto"/>
            <w:vAlign w:val="center"/>
          </w:tcPr>
          <w:p w14:paraId="286E1B50" w14:textId="77777777" w:rsidR="008B7E19" w:rsidRPr="00D311AA" w:rsidRDefault="008B7E19" w:rsidP="008B7E19">
            <w:pPr>
              <w:pStyle w:val="08-Tabelageral"/>
              <w:rPr>
                <w:b/>
              </w:rPr>
            </w:pPr>
          </w:p>
        </w:tc>
        <w:tc>
          <w:tcPr>
            <w:tcW w:w="1230" w:type="dxa"/>
            <w:tcBorders>
              <w:top w:val="single" w:sz="2" w:space="0" w:color="1F4E79" w:themeColor="accent1" w:themeShade="80"/>
            </w:tcBorders>
            <w:shd w:val="clear" w:color="auto" w:fill="auto"/>
          </w:tcPr>
          <w:p w14:paraId="231A8E9A" w14:textId="77777777" w:rsidR="008B7E19" w:rsidRPr="00D311AA" w:rsidRDefault="008B7E19" w:rsidP="008B7E19">
            <w:pPr>
              <w:pStyle w:val="08-Tabelageral"/>
              <w:rPr>
                <w:b/>
              </w:rPr>
            </w:pPr>
          </w:p>
        </w:tc>
      </w:tr>
      <w:tr w:rsidR="008B7E19" w:rsidRPr="00D311AA" w14:paraId="11CCF67D" w14:textId="77777777" w:rsidTr="008B7E19">
        <w:trPr>
          <w:trHeight w:val="238"/>
          <w:jc w:val="center"/>
        </w:trPr>
        <w:tc>
          <w:tcPr>
            <w:tcW w:w="2438" w:type="dxa"/>
            <w:gridSpan w:val="2"/>
            <w:shd w:val="clear" w:color="auto" w:fill="auto"/>
          </w:tcPr>
          <w:p w14:paraId="650AB63F" w14:textId="77777777" w:rsidR="008B7E19" w:rsidRPr="00D311AA" w:rsidRDefault="008B7E19" w:rsidP="008B7E19">
            <w:pPr>
              <w:pStyle w:val="08-Tabelageral"/>
              <w:ind w:left="113"/>
              <w:jc w:val="left"/>
              <w:rPr>
                <w:bCs/>
              </w:rPr>
            </w:pPr>
            <w:r w:rsidRPr="00D311AA">
              <w:rPr>
                <w:bCs/>
              </w:rPr>
              <w:t>Interest earnings of financial instruments</w:t>
            </w:r>
          </w:p>
        </w:tc>
        <w:tc>
          <w:tcPr>
            <w:tcW w:w="1148" w:type="dxa"/>
            <w:tcBorders>
              <w:top w:val="nil"/>
            </w:tcBorders>
            <w:shd w:val="clear" w:color="auto" w:fill="auto"/>
            <w:vAlign w:val="center"/>
          </w:tcPr>
          <w:p w14:paraId="66FE820D" w14:textId="77777777" w:rsidR="008B7E19" w:rsidRPr="00D311AA" w:rsidRDefault="008B7E19" w:rsidP="008B7E19">
            <w:pPr>
              <w:pStyle w:val="08-Tabelageral"/>
            </w:pPr>
            <w:r>
              <w:t>110,916</w:t>
            </w:r>
          </w:p>
        </w:tc>
        <w:tc>
          <w:tcPr>
            <w:tcW w:w="1170" w:type="dxa"/>
            <w:tcBorders>
              <w:top w:val="nil"/>
            </w:tcBorders>
            <w:shd w:val="clear" w:color="auto" w:fill="auto"/>
            <w:vAlign w:val="center"/>
          </w:tcPr>
          <w:p w14:paraId="4CD00D88" w14:textId="77777777" w:rsidR="008B7E19" w:rsidRPr="00D311AA" w:rsidRDefault="008B7E19" w:rsidP="008B7E19">
            <w:pPr>
              <w:pStyle w:val="08-Tabelageral"/>
            </w:pPr>
            <w:r>
              <w:t>--</w:t>
            </w:r>
          </w:p>
        </w:tc>
        <w:tc>
          <w:tcPr>
            <w:tcW w:w="1325" w:type="dxa"/>
            <w:tcBorders>
              <w:top w:val="nil"/>
            </w:tcBorders>
            <w:shd w:val="clear" w:color="auto" w:fill="auto"/>
            <w:vAlign w:val="center"/>
          </w:tcPr>
          <w:p w14:paraId="64A3E7F5" w14:textId="77777777" w:rsidR="008B7E19" w:rsidRPr="00D311AA" w:rsidRDefault="008B7E19" w:rsidP="008B7E19">
            <w:pPr>
              <w:pStyle w:val="08-Tabelageral"/>
            </w:pPr>
            <w:r>
              <w:t>--</w:t>
            </w:r>
          </w:p>
        </w:tc>
        <w:tc>
          <w:tcPr>
            <w:tcW w:w="1323" w:type="dxa"/>
            <w:tcBorders>
              <w:top w:val="nil"/>
            </w:tcBorders>
            <w:shd w:val="clear" w:color="auto" w:fill="auto"/>
            <w:vAlign w:val="center"/>
          </w:tcPr>
          <w:p w14:paraId="7F067BC4" w14:textId="77777777" w:rsidR="008B7E19" w:rsidRPr="00D311AA" w:rsidRDefault="008B7E19" w:rsidP="008B7E19">
            <w:pPr>
              <w:pStyle w:val="08-Tabelageral"/>
              <w:rPr>
                <w:rFonts w:cs="Arial"/>
                <w:szCs w:val="14"/>
              </w:rPr>
            </w:pPr>
            <w:r w:rsidRPr="0038145C">
              <w:t>102</w:t>
            </w:r>
            <w:r>
              <w:t>,</w:t>
            </w:r>
            <w:r w:rsidRPr="0038145C">
              <w:t>020</w:t>
            </w:r>
          </w:p>
        </w:tc>
        <w:tc>
          <w:tcPr>
            <w:tcW w:w="1112" w:type="dxa"/>
            <w:tcBorders>
              <w:top w:val="nil"/>
            </w:tcBorders>
            <w:shd w:val="clear" w:color="auto" w:fill="auto"/>
            <w:vAlign w:val="center"/>
          </w:tcPr>
          <w:p w14:paraId="36C6FF45" w14:textId="77777777" w:rsidR="008B7E19" w:rsidRPr="00D311AA" w:rsidRDefault="008B7E19" w:rsidP="008B7E19">
            <w:pPr>
              <w:pStyle w:val="08-Tabelageral"/>
              <w:rPr>
                <w:rFonts w:cs="Arial"/>
                <w:szCs w:val="14"/>
              </w:rPr>
            </w:pPr>
            <w:r w:rsidRPr="0038145C">
              <w:t>--</w:t>
            </w:r>
          </w:p>
        </w:tc>
        <w:tc>
          <w:tcPr>
            <w:tcW w:w="1230" w:type="dxa"/>
            <w:tcBorders>
              <w:top w:val="nil"/>
            </w:tcBorders>
            <w:shd w:val="clear" w:color="auto" w:fill="auto"/>
            <w:vAlign w:val="center"/>
          </w:tcPr>
          <w:p w14:paraId="0B3BD7A8" w14:textId="77777777" w:rsidR="008B7E19" w:rsidRPr="00D311AA" w:rsidRDefault="008B7E19" w:rsidP="008B7E19">
            <w:pPr>
              <w:pStyle w:val="08-Tabelageral"/>
            </w:pPr>
            <w:r w:rsidRPr="0038145C">
              <w:t>--</w:t>
            </w:r>
          </w:p>
        </w:tc>
      </w:tr>
      <w:tr w:rsidR="008B7E19" w:rsidRPr="00D311AA" w14:paraId="7979D9E8" w14:textId="77777777" w:rsidTr="008B7E19">
        <w:trPr>
          <w:trHeight w:val="238"/>
          <w:jc w:val="center"/>
        </w:trPr>
        <w:tc>
          <w:tcPr>
            <w:tcW w:w="2438" w:type="dxa"/>
            <w:gridSpan w:val="2"/>
            <w:shd w:val="clear" w:color="auto" w:fill="auto"/>
            <w:vAlign w:val="center"/>
          </w:tcPr>
          <w:p w14:paraId="7F18E48F" w14:textId="77777777" w:rsidR="008B7E19" w:rsidRPr="00D311AA" w:rsidRDefault="008B7E19" w:rsidP="008B7E19">
            <w:pPr>
              <w:pStyle w:val="08-Tabelageral"/>
              <w:ind w:left="113"/>
              <w:jc w:val="left"/>
              <w:rPr>
                <w:bCs/>
              </w:rPr>
            </w:pPr>
            <w:r w:rsidRPr="00D311AA">
              <w:rPr>
                <w:bCs/>
              </w:rPr>
              <w:t>Income from Commission</w:t>
            </w:r>
          </w:p>
        </w:tc>
        <w:tc>
          <w:tcPr>
            <w:tcW w:w="1148" w:type="dxa"/>
            <w:shd w:val="clear" w:color="auto" w:fill="auto"/>
            <w:vAlign w:val="center"/>
          </w:tcPr>
          <w:p w14:paraId="79054944" w14:textId="77777777" w:rsidR="008B7E19" w:rsidRPr="00D311AA" w:rsidRDefault="008B7E19" w:rsidP="008B7E19">
            <w:pPr>
              <w:pStyle w:val="08-Tabelageral"/>
            </w:pPr>
            <w:r>
              <w:t>--</w:t>
            </w:r>
          </w:p>
        </w:tc>
        <w:tc>
          <w:tcPr>
            <w:tcW w:w="1170" w:type="dxa"/>
            <w:shd w:val="clear" w:color="auto" w:fill="auto"/>
            <w:vAlign w:val="center"/>
          </w:tcPr>
          <w:p w14:paraId="5AD8B7B4" w14:textId="77777777" w:rsidR="008B7E19" w:rsidRPr="00D311AA" w:rsidRDefault="008B7E19" w:rsidP="008B7E19">
            <w:pPr>
              <w:pStyle w:val="08-Tabelageral"/>
            </w:pPr>
            <w:r>
              <w:t>1,151,465</w:t>
            </w:r>
          </w:p>
        </w:tc>
        <w:tc>
          <w:tcPr>
            <w:tcW w:w="1325" w:type="dxa"/>
            <w:shd w:val="clear" w:color="auto" w:fill="auto"/>
            <w:vAlign w:val="center"/>
          </w:tcPr>
          <w:p w14:paraId="470C53ED" w14:textId="77777777" w:rsidR="008B7E19" w:rsidRPr="00D311AA" w:rsidRDefault="008B7E19" w:rsidP="008B7E19">
            <w:pPr>
              <w:pStyle w:val="08-Tabelageral"/>
            </w:pPr>
            <w:r>
              <w:t>--</w:t>
            </w:r>
          </w:p>
        </w:tc>
        <w:tc>
          <w:tcPr>
            <w:tcW w:w="1323" w:type="dxa"/>
            <w:shd w:val="clear" w:color="auto" w:fill="auto"/>
            <w:vAlign w:val="center"/>
          </w:tcPr>
          <w:p w14:paraId="3EFC7547" w14:textId="77777777" w:rsidR="008B7E19" w:rsidRPr="00D311AA" w:rsidRDefault="008B7E19" w:rsidP="008B7E19">
            <w:pPr>
              <w:pStyle w:val="08-Tabelageral"/>
              <w:rPr>
                <w:rFonts w:cs="Arial"/>
                <w:szCs w:val="14"/>
              </w:rPr>
            </w:pPr>
            <w:r w:rsidRPr="0038145C">
              <w:t>--</w:t>
            </w:r>
          </w:p>
        </w:tc>
        <w:tc>
          <w:tcPr>
            <w:tcW w:w="1112" w:type="dxa"/>
            <w:shd w:val="clear" w:color="auto" w:fill="auto"/>
            <w:vAlign w:val="center"/>
          </w:tcPr>
          <w:p w14:paraId="762BF7E3" w14:textId="77777777" w:rsidR="008B7E19" w:rsidRPr="00D311AA" w:rsidRDefault="008B7E19" w:rsidP="008B7E19">
            <w:pPr>
              <w:pStyle w:val="08-Tabelageral"/>
              <w:rPr>
                <w:rFonts w:cs="Arial"/>
                <w:szCs w:val="14"/>
              </w:rPr>
            </w:pPr>
            <w:r w:rsidRPr="0038145C">
              <w:t>1</w:t>
            </w:r>
            <w:r>
              <w:t>,</w:t>
            </w:r>
            <w:r w:rsidRPr="0038145C">
              <w:t>035</w:t>
            </w:r>
            <w:r>
              <w:t>,</w:t>
            </w:r>
            <w:r w:rsidRPr="0038145C">
              <w:t>705</w:t>
            </w:r>
          </w:p>
        </w:tc>
        <w:tc>
          <w:tcPr>
            <w:tcW w:w="1230" w:type="dxa"/>
            <w:shd w:val="clear" w:color="auto" w:fill="auto"/>
            <w:vAlign w:val="center"/>
          </w:tcPr>
          <w:p w14:paraId="0FD1AA2A" w14:textId="77777777" w:rsidR="008B7E19" w:rsidRPr="00D311AA" w:rsidRDefault="008B7E19" w:rsidP="008B7E19">
            <w:pPr>
              <w:pStyle w:val="08-Tabelageral"/>
            </w:pPr>
            <w:r w:rsidRPr="0038145C">
              <w:t>--</w:t>
            </w:r>
          </w:p>
        </w:tc>
      </w:tr>
      <w:tr w:rsidR="008B7E19" w:rsidRPr="00D311AA" w14:paraId="43AEB730" w14:textId="77777777" w:rsidTr="008B7E19">
        <w:trPr>
          <w:trHeight w:val="238"/>
          <w:jc w:val="center"/>
        </w:trPr>
        <w:tc>
          <w:tcPr>
            <w:tcW w:w="2438" w:type="dxa"/>
            <w:gridSpan w:val="2"/>
            <w:tcBorders>
              <w:bottom w:val="nil"/>
            </w:tcBorders>
            <w:shd w:val="clear" w:color="auto" w:fill="auto"/>
            <w:vAlign w:val="center"/>
          </w:tcPr>
          <w:p w14:paraId="52A99284" w14:textId="77777777" w:rsidR="008B7E19" w:rsidRPr="00D311AA" w:rsidRDefault="008B7E19" w:rsidP="008B7E19">
            <w:pPr>
              <w:pStyle w:val="08-Tabelageral"/>
              <w:ind w:left="113"/>
              <w:jc w:val="left"/>
              <w:rPr>
                <w:bCs/>
              </w:rPr>
            </w:pPr>
            <w:r w:rsidRPr="00D311AA">
              <w:rPr>
                <w:bCs/>
              </w:rPr>
              <w:t>Personnel expenses</w:t>
            </w:r>
          </w:p>
        </w:tc>
        <w:tc>
          <w:tcPr>
            <w:tcW w:w="1148" w:type="dxa"/>
            <w:tcBorders>
              <w:bottom w:val="nil"/>
            </w:tcBorders>
            <w:shd w:val="clear" w:color="auto" w:fill="auto"/>
            <w:vAlign w:val="center"/>
          </w:tcPr>
          <w:p w14:paraId="4E66A7E5" w14:textId="77777777" w:rsidR="008B7E19" w:rsidRPr="00D311AA" w:rsidRDefault="008B7E19" w:rsidP="008B7E19">
            <w:pPr>
              <w:pStyle w:val="08-Tabelageral"/>
            </w:pPr>
            <w:r>
              <w:t>(21,896)</w:t>
            </w:r>
          </w:p>
        </w:tc>
        <w:tc>
          <w:tcPr>
            <w:tcW w:w="1170" w:type="dxa"/>
            <w:tcBorders>
              <w:bottom w:val="nil"/>
            </w:tcBorders>
            <w:shd w:val="clear" w:color="auto" w:fill="auto"/>
            <w:vAlign w:val="center"/>
          </w:tcPr>
          <w:p w14:paraId="5343E324" w14:textId="77777777" w:rsidR="008B7E19" w:rsidRPr="00D311AA" w:rsidRDefault="008B7E19" w:rsidP="008B7E19">
            <w:pPr>
              <w:pStyle w:val="08-Tabelageral"/>
            </w:pPr>
            <w:r>
              <w:t>--</w:t>
            </w:r>
          </w:p>
        </w:tc>
        <w:tc>
          <w:tcPr>
            <w:tcW w:w="1325" w:type="dxa"/>
            <w:tcBorders>
              <w:bottom w:val="nil"/>
            </w:tcBorders>
            <w:shd w:val="clear" w:color="auto" w:fill="auto"/>
            <w:vAlign w:val="center"/>
          </w:tcPr>
          <w:p w14:paraId="6E6DCBF2" w14:textId="77777777" w:rsidR="008B7E19" w:rsidRPr="00D311AA" w:rsidRDefault="008B7E19" w:rsidP="008B7E19">
            <w:pPr>
              <w:pStyle w:val="08-Tabelageral"/>
            </w:pPr>
            <w:r>
              <w:t>--</w:t>
            </w:r>
          </w:p>
        </w:tc>
        <w:tc>
          <w:tcPr>
            <w:tcW w:w="1323" w:type="dxa"/>
            <w:tcBorders>
              <w:bottom w:val="nil"/>
            </w:tcBorders>
            <w:shd w:val="clear" w:color="auto" w:fill="auto"/>
            <w:vAlign w:val="center"/>
          </w:tcPr>
          <w:p w14:paraId="0535E406" w14:textId="77777777" w:rsidR="008B7E19" w:rsidRPr="00D311AA" w:rsidRDefault="008B7E19" w:rsidP="008B7E19">
            <w:pPr>
              <w:pStyle w:val="08-Tabelageral"/>
              <w:rPr>
                <w:rFonts w:cs="Arial"/>
                <w:szCs w:val="14"/>
              </w:rPr>
            </w:pPr>
            <w:r w:rsidRPr="0038145C">
              <w:t>(17</w:t>
            </w:r>
            <w:r>
              <w:t>,</w:t>
            </w:r>
            <w:r w:rsidRPr="0038145C">
              <w:t>548)</w:t>
            </w:r>
          </w:p>
        </w:tc>
        <w:tc>
          <w:tcPr>
            <w:tcW w:w="1112" w:type="dxa"/>
            <w:tcBorders>
              <w:bottom w:val="nil"/>
            </w:tcBorders>
            <w:shd w:val="clear" w:color="auto" w:fill="auto"/>
            <w:vAlign w:val="center"/>
          </w:tcPr>
          <w:p w14:paraId="7F797D3D" w14:textId="77777777" w:rsidR="008B7E19" w:rsidRPr="00D311AA" w:rsidRDefault="008B7E19" w:rsidP="008B7E19">
            <w:pPr>
              <w:pStyle w:val="08-Tabelageral"/>
              <w:rPr>
                <w:rFonts w:cs="Arial"/>
                <w:szCs w:val="14"/>
              </w:rPr>
            </w:pPr>
            <w:r w:rsidRPr="0038145C">
              <w:t>--</w:t>
            </w:r>
          </w:p>
        </w:tc>
        <w:tc>
          <w:tcPr>
            <w:tcW w:w="1230" w:type="dxa"/>
            <w:tcBorders>
              <w:bottom w:val="nil"/>
            </w:tcBorders>
            <w:shd w:val="clear" w:color="auto" w:fill="auto"/>
            <w:vAlign w:val="center"/>
          </w:tcPr>
          <w:p w14:paraId="72C67CCD" w14:textId="77777777" w:rsidR="008B7E19" w:rsidRPr="00D311AA" w:rsidRDefault="008B7E19" w:rsidP="008B7E19">
            <w:pPr>
              <w:pStyle w:val="08-Tabelageral"/>
            </w:pPr>
            <w:r w:rsidRPr="0038145C">
              <w:t>--</w:t>
            </w:r>
          </w:p>
        </w:tc>
      </w:tr>
      <w:tr w:rsidR="008B7E19" w:rsidRPr="00D311AA" w14:paraId="71C98689" w14:textId="77777777" w:rsidTr="008B7E19">
        <w:trPr>
          <w:trHeight w:val="238"/>
          <w:jc w:val="center"/>
        </w:trPr>
        <w:tc>
          <w:tcPr>
            <w:tcW w:w="2438" w:type="dxa"/>
            <w:gridSpan w:val="2"/>
            <w:tcBorders>
              <w:top w:val="nil"/>
              <w:bottom w:val="single" w:sz="4" w:space="0" w:color="2E74B5" w:themeColor="accent1" w:themeShade="BF"/>
            </w:tcBorders>
            <w:shd w:val="clear" w:color="auto" w:fill="auto"/>
            <w:vAlign w:val="center"/>
          </w:tcPr>
          <w:p w14:paraId="20B689E0" w14:textId="77777777" w:rsidR="008B7E19" w:rsidRPr="00D311AA" w:rsidRDefault="008B7E19" w:rsidP="008B7E19">
            <w:pPr>
              <w:pStyle w:val="08-Tabelageral"/>
              <w:ind w:left="113"/>
              <w:jc w:val="left"/>
              <w:rPr>
                <w:bCs/>
              </w:rPr>
            </w:pPr>
            <w:r w:rsidRPr="00D311AA">
              <w:rPr>
                <w:bCs/>
              </w:rPr>
              <w:t xml:space="preserve">Administrative expenses/costs of services provided </w:t>
            </w:r>
            <w:r w:rsidRPr="00D311AA">
              <w:rPr>
                <w:bCs/>
                <w:vertAlign w:val="superscript"/>
              </w:rPr>
              <w:t>(</w:t>
            </w:r>
            <w:r>
              <w:rPr>
                <w:bCs/>
                <w:vertAlign w:val="superscript"/>
              </w:rPr>
              <w:t>2</w:t>
            </w:r>
            <w:r w:rsidRPr="00D311AA">
              <w:rPr>
                <w:bCs/>
                <w:vertAlign w:val="superscript"/>
              </w:rPr>
              <w:t>)</w:t>
            </w:r>
          </w:p>
        </w:tc>
        <w:tc>
          <w:tcPr>
            <w:tcW w:w="1148" w:type="dxa"/>
            <w:tcBorders>
              <w:top w:val="nil"/>
              <w:bottom w:val="single" w:sz="4" w:space="0" w:color="2E74B5" w:themeColor="accent1" w:themeShade="BF"/>
            </w:tcBorders>
            <w:shd w:val="clear" w:color="auto" w:fill="auto"/>
            <w:vAlign w:val="center"/>
          </w:tcPr>
          <w:p w14:paraId="15D41D43" w14:textId="77777777" w:rsidR="008B7E19" w:rsidRPr="00D311AA" w:rsidRDefault="008B7E19" w:rsidP="008B7E19">
            <w:pPr>
              <w:pStyle w:val="08-Tabelageral"/>
            </w:pPr>
            <w:r>
              <w:t>(58,457)</w:t>
            </w:r>
          </w:p>
        </w:tc>
        <w:tc>
          <w:tcPr>
            <w:tcW w:w="1170" w:type="dxa"/>
            <w:tcBorders>
              <w:top w:val="nil"/>
              <w:bottom w:val="single" w:sz="4" w:space="0" w:color="2E74B5" w:themeColor="accent1" w:themeShade="BF"/>
            </w:tcBorders>
            <w:shd w:val="clear" w:color="auto" w:fill="auto"/>
            <w:vAlign w:val="center"/>
          </w:tcPr>
          <w:p w14:paraId="05734060" w14:textId="77777777" w:rsidR="008B7E19" w:rsidRPr="00D311AA" w:rsidRDefault="008B7E19" w:rsidP="008B7E19">
            <w:pPr>
              <w:pStyle w:val="08-Tabelageral"/>
            </w:pPr>
            <w:r>
              <w:t>--</w:t>
            </w:r>
          </w:p>
        </w:tc>
        <w:tc>
          <w:tcPr>
            <w:tcW w:w="1325" w:type="dxa"/>
            <w:tcBorders>
              <w:top w:val="nil"/>
              <w:bottom w:val="single" w:sz="4" w:space="0" w:color="2E74B5" w:themeColor="accent1" w:themeShade="BF"/>
            </w:tcBorders>
            <w:shd w:val="clear" w:color="auto" w:fill="auto"/>
            <w:vAlign w:val="center"/>
          </w:tcPr>
          <w:p w14:paraId="31795CB9" w14:textId="77777777" w:rsidR="008B7E19" w:rsidRPr="00D311AA" w:rsidRDefault="008B7E19" w:rsidP="008B7E19">
            <w:pPr>
              <w:pStyle w:val="08-Tabelageral"/>
            </w:pPr>
            <w:r>
              <w:t>--</w:t>
            </w:r>
          </w:p>
        </w:tc>
        <w:tc>
          <w:tcPr>
            <w:tcW w:w="1323" w:type="dxa"/>
            <w:tcBorders>
              <w:top w:val="nil"/>
              <w:bottom w:val="single" w:sz="4" w:space="0" w:color="2E74B5" w:themeColor="accent1" w:themeShade="BF"/>
            </w:tcBorders>
            <w:shd w:val="clear" w:color="auto" w:fill="auto"/>
            <w:vAlign w:val="center"/>
          </w:tcPr>
          <w:p w14:paraId="17E6E161" w14:textId="77777777" w:rsidR="008B7E19" w:rsidRPr="00D311AA" w:rsidRDefault="008B7E19" w:rsidP="008B7E19">
            <w:pPr>
              <w:pStyle w:val="08-Tabelageral"/>
              <w:rPr>
                <w:rFonts w:cs="Arial"/>
                <w:szCs w:val="14"/>
              </w:rPr>
            </w:pPr>
            <w:r w:rsidRPr="0038145C">
              <w:t>(57</w:t>
            </w:r>
            <w:r>
              <w:t>,</w:t>
            </w:r>
            <w:r w:rsidRPr="0038145C">
              <w:t>650)</w:t>
            </w:r>
          </w:p>
        </w:tc>
        <w:tc>
          <w:tcPr>
            <w:tcW w:w="1112" w:type="dxa"/>
            <w:tcBorders>
              <w:top w:val="nil"/>
              <w:bottom w:val="single" w:sz="4" w:space="0" w:color="2E74B5" w:themeColor="accent1" w:themeShade="BF"/>
            </w:tcBorders>
            <w:shd w:val="clear" w:color="auto" w:fill="auto"/>
            <w:vAlign w:val="center"/>
          </w:tcPr>
          <w:p w14:paraId="0F60F43F" w14:textId="77777777" w:rsidR="008B7E19" w:rsidRPr="00D311AA" w:rsidRDefault="008B7E19" w:rsidP="008B7E19">
            <w:pPr>
              <w:pStyle w:val="08-Tabelageral"/>
              <w:rPr>
                <w:rFonts w:cs="Arial"/>
                <w:szCs w:val="14"/>
              </w:rPr>
            </w:pPr>
            <w:r w:rsidRPr="0038145C">
              <w:t>--</w:t>
            </w:r>
          </w:p>
        </w:tc>
        <w:tc>
          <w:tcPr>
            <w:tcW w:w="1230" w:type="dxa"/>
            <w:tcBorders>
              <w:top w:val="nil"/>
              <w:bottom w:val="single" w:sz="4" w:space="0" w:color="2E74B5" w:themeColor="accent1" w:themeShade="BF"/>
            </w:tcBorders>
            <w:shd w:val="clear" w:color="auto" w:fill="auto"/>
            <w:vAlign w:val="center"/>
          </w:tcPr>
          <w:p w14:paraId="1586DC99" w14:textId="77777777" w:rsidR="008B7E19" w:rsidRPr="00D311AA" w:rsidRDefault="008B7E19" w:rsidP="008B7E19">
            <w:pPr>
              <w:pStyle w:val="08-Tabelageral"/>
            </w:pPr>
            <w:r w:rsidRPr="0038145C">
              <w:t>--</w:t>
            </w:r>
          </w:p>
        </w:tc>
      </w:tr>
    </w:tbl>
    <w:p w14:paraId="5B3B355F" w14:textId="77777777" w:rsidR="008B7E19" w:rsidRPr="00CA0C3C" w:rsidRDefault="008B7E19" w:rsidP="00882B41">
      <w:pPr>
        <w:pStyle w:val="07-Legenda"/>
        <w:numPr>
          <w:ilvl w:val="0"/>
          <w:numId w:val="45"/>
        </w:numPr>
        <w:tabs>
          <w:tab w:val="clear" w:pos="284"/>
          <w:tab w:val="left" w:pos="851"/>
        </w:tabs>
        <w:ind w:left="284" w:hanging="284"/>
      </w:pPr>
      <w:r w:rsidRPr="00CA0C3C">
        <w:t>Related companies BB MAPFRE Participações S.A. and its subsidiaries, Brasilprev Seguros e Previdência S.A. Brasilcap Capitalização S.A. and Brasildental S.A.</w:t>
      </w:r>
    </w:p>
    <w:p w14:paraId="097B643E" w14:textId="77777777" w:rsidR="008B7E19" w:rsidRPr="00D311AA" w:rsidRDefault="008B7E19" w:rsidP="00882B41">
      <w:pPr>
        <w:pStyle w:val="07-Legenda"/>
        <w:numPr>
          <w:ilvl w:val="0"/>
          <w:numId w:val="45"/>
        </w:numPr>
        <w:tabs>
          <w:tab w:val="clear" w:pos="284"/>
          <w:tab w:val="left" w:pos="851"/>
        </w:tabs>
        <w:ind w:left="284" w:hanging="284"/>
      </w:pPr>
      <w:r w:rsidRPr="00D311AA">
        <w:t>Refers to expenses as sharing contract customer data, use of staff, distribution network and resource materials technological and administrative, between the Banco do Brasil, BB Seguridade, BB Corretora and BB Seguros.</w:t>
      </w:r>
    </w:p>
    <w:p w14:paraId="5DC1531F" w14:textId="77777777" w:rsidR="008B7E19" w:rsidRDefault="008B7E19" w:rsidP="008B7E19">
      <w:pPr>
        <w:pStyle w:val="01-TtulodeNota"/>
        <w:spacing w:before="0" w:after="0"/>
        <w:jc w:val="right"/>
        <w:rPr>
          <w:sz w:val="14"/>
          <w:szCs w:val="14"/>
        </w:rPr>
      </w:pPr>
    </w:p>
    <w:p w14:paraId="5C9EB9BB" w14:textId="77777777" w:rsidR="008B7E19" w:rsidRPr="00D311AA" w:rsidRDefault="008B7E19" w:rsidP="008B7E19">
      <w:pPr>
        <w:pStyle w:val="01-TtulodeNota"/>
        <w:keepNext/>
        <w:spacing w:before="0" w:after="0"/>
        <w:jc w:val="right"/>
        <w:rPr>
          <w:sz w:val="14"/>
          <w:szCs w:val="14"/>
        </w:rPr>
      </w:pPr>
      <w:r w:rsidRPr="00D311AA">
        <w:rPr>
          <w:sz w:val="14"/>
          <w:szCs w:val="14"/>
        </w:rPr>
        <w:t>R$ thousand</w:t>
      </w:r>
    </w:p>
    <w:tbl>
      <w:tblPr>
        <w:tblW w:w="4945" w:type="pct"/>
        <w:jc w:val="center"/>
        <w:tblBorders>
          <w:top w:val="single" w:sz="2" w:space="0" w:color="8EAADB" w:themeColor="accent5" w:themeTint="99"/>
          <w:bottom w:val="single" w:sz="2" w:space="0" w:color="8EAADB" w:themeColor="accent5" w:themeTint="99"/>
        </w:tblBorders>
        <w:tblLook w:val="04A0" w:firstRow="1" w:lastRow="0" w:firstColumn="1" w:lastColumn="0" w:noHBand="0" w:noVBand="1"/>
      </w:tblPr>
      <w:tblGrid>
        <w:gridCol w:w="1165"/>
        <w:gridCol w:w="1273"/>
        <w:gridCol w:w="1148"/>
        <w:gridCol w:w="1170"/>
        <w:gridCol w:w="1325"/>
        <w:gridCol w:w="1323"/>
        <w:gridCol w:w="1112"/>
        <w:gridCol w:w="1230"/>
      </w:tblGrid>
      <w:tr w:rsidR="008B7E19" w:rsidRPr="00D311AA" w14:paraId="36910C4E" w14:textId="77777777" w:rsidTr="008B7E19">
        <w:trPr>
          <w:trHeight w:val="238"/>
          <w:jc w:val="center"/>
        </w:trPr>
        <w:tc>
          <w:tcPr>
            <w:tcW w:w="1165" w:type="dxa"/>
            <w:tcBorders>
              <w:top w:val="single" w:sz="2" w:space="0" w:color="1F4E79" w:themeColor="accent1" w:themeShade="80"/>
              <w:bottom w:val="nil"/>
            </w:tcBorders>
            <w:shd w:val="clear" w:color="auto" w:fill="auto"/>
          </w:tcPr>
          <w:p w14:paraId="5048233C" w14:textId="77777777" w:rsidR="008B7E19" w:rsidRPr="00D311AA" w:rsidRDefault="008B7E19" w:rsidP="008B7E19">
            <w:pPr>
              <w:pStyle w:val="08-Tabelageral"/>
              <w:rPr>
                <w:b/>
                <w:szCs w:val="14"/>
              </w:rPr>
            </w:pPr>
          </w:p>
        </w:tc>
        <w:tc>
          <w:tcPr>
            <w:tcW w:w="1273" w:type="dxa"/>
            <w:tcBorders>
              <w:top w:val="single" w:sz="2" w:space="0" w:color="1F4E79" w:themeColor="accent1" w:themeShade="80"/>
              <w:bottom w:val="nil"/>
            </w:tcBorders>
            <w:shd w:val="clear" w:color="auto" w:fill="auto"/>
          </w:tcPr>
          <w:p w14:paraId="7A7C88A3" w14:textId="77777777" w:rsidR="008B7E19" w:rsidRPr="00D311AA" w:rsidRDefault="008B7E19" w:rsidP="008B7E19">
            <w:pPr>
              <w:pStyle w:val="08-Tabelageral"/>
              <w:rPr>
                <w:b/>
                <w:szCs w:val="14"/>
              </w:rPr>
            </w:pPr>
          </w:p>
        </w:tc>
        <w:tc>
          <w:tcPr>
            <w:tcW w:w="3643" w:type="dxa"/>
            <w:gridSpan w:val="3"/>
            <w:tcBorders>
              <w:top w:val="single" w:sz="2" w:space="0" w:color="8EAADB" w:themeColor="accent5" w:themeTint="99"/>
              <w:bottom w:val="single" w:sz="2" w:space="0" w:color="8EAADB" w:themeColor="accent5" w:themeTint="99"/>
            </w:tcBorders>
            <w:shd w:val="clear" w:color="auto" w:fill="auto"/>
          </w:tcPr>
          <w:p w14:paraId="1692DF3C" w14:textId="77777777" w:rsidR="008B7E19" w:rsidRPr="00FA5D81" w:rsidRDefault="008B7E19" w:rsidP="008B7E19">
            <w:pPr>
              <w:pStyle w:val="08-Tabelageral"/>
              <w:jc w:val="center"/>
              <w:rPr>
                <w:b/>
                <w:bCs/>
                <w:szCs w:val="14"/>
              </w:rPr>
            </w:pPr>
            <w:r>
              <w:rPr>
                <w:rFonts w:cs="Arial"/>
                <w:b/>
                <w:bCs/>
                <w:szCs w:val="14"/>
              </w:rPr>
              <w:t>1</w:t>
            </w:r>
            <w:r>
              <w:rPr>
                <w:rFonts w:cs="Arial"/>
                <w:b/>
                <w:bCs/>
                <w:szCs w:val="14"/>
                <w:vertAlign w:val="superscript"/>
              </w:rPr>
              <w:t>st</w:t>
            </w:r>
            <w:r w:rsidRPr="00FA5D81">
              <w:rPr>
                <w:rFonts w:cs="Arial"/>
                <w:b/>
                <w:bCs/>
                <w:szCs w:val="14"/>
              </w:rPr>
              <w:t xml:space="preserve"> </w:t>
            </w:r>
            <w:r>
              <w:rPr>
                <w:rFonts w:cs="Arial"/>
                <w:b/>
                <w:bCs/>
                <w:szCs w:val="14"/>
              </w:rPr>
              <w:t>Half</w:t>
            </w:r>
            <w:r w:rsidRPr="00FA5D81">
              <w:rPr>
                <w:rFonts w:cs="Arial"/>
                <w:b/>
                <w:bCs/>
                <w:szCs w:val="14"/>
              </w:rPr>
              <w:t xml:space="preserve"> 2023</w:t>
            </w:r>
          </w:p>
        </w:tc>
        <w:tc>
          <w:tcPr>
            <w:tcW w:w="3665" w:type="dxa"/>
            <w:gridSpan w:val="3"/>
            <w:tcBorders>
              <w:top w:val="single" w:sz="2" w:space="0" w:color="8EAADB" w:themeColor="accent5" w:themeTint="99"/>
              <w:bottom w:val="single" w:sz="2" w:space="0" w:color="8EAADB" w:themeColor="accent5" w:themeTint="99"/>
            </w:tcBorders>
            <w:shd w:val="clear" w:color="auto" w:fill="auto"/>
          </w:tcPr>
          <w:p w14:paraId="1B8ACAC1" w14:textId="77777777" w:rsidR="008B7E19" w:rsidRPr="00FA5D81" w:rsidRDefault="008B7E19" w:rsidP="008B7E19">
            <w:pPr>
              <w:pStyle w:val="08-Tabelageral"/>
              <w:jc w:val="center"/>
              <w:rPr>
                <w:b/>
                <w:bCs/>
                <w:szCs w:val="14"/>
              </w:rPr>
            </w:pPr>
            <w:r>
              <w:rPr>
                <w:rFonts w:cs="Arial"/>
                <w:b/>
                <w:bCs/>
                <w:szCs w:val="14"/>
              </w:rPr>
              <w:t>1</w:t>
            </w:r>
            <w:r>
              <w:rPr>
                <w:rFonts w:cs="Arial"/>
                <w:b/>
                <w:bCs/>
                <w:szCs w:val="14"/>
                <w:vertAlign w:val="superscript"/>
              </w:rPr>
              <w:t>st</w:t>
            </w:r>
            <w:r w:rsidRPr="00FA5D81">
              <w:rPr>
                <w:rFonts w:cs="Arial"/>
                <w:b/>
                <w:bCs/>
                <w:szCs w:val="14"/>
              </w:rPr>
              <w:t xml:space="preserve"> </w:t>
            </w:r>
            <w:r>
              <w:rPr>
                <w:rFonts w:cs="Arial"/>
                <w:b/>
                <w:bCs/>
                <w:szCs w:val="14"/>
              </w:rPr>
              <w:t>Half</w:t>
            </w:r>
            <w:r w:rsidRPr="00FA5D81">
              <w:rPr>
                <w:rFonts w:cs="Arial"/>
                <w:b/>
                <w:bCs/>
                <w:szCs w:val="14"/>
              </w:rPr>
              <w:t xml:space="preserve"> 2022</w:t>
            </w:r>
          </w:p>
        </w:tc>
      </w:tr>
      <w:tr w:rsidR="008B7E19" w:rsidRPr="00D311AA" w14:paraId="14E4B10E" w14:textId="77777777" w:rsidTr="008B7E19">
        <w:trPr>
          <w:trHeight w:val="238"/>
          <w:jc w:val="center"/>
        </w:trPr>
        <w:tc>
          <w:tcPr>
            <w:tcW w:w="2438" w:type="dxa"/>
            <w:gridSpan w:val="2"/>
            <w:tcBorders>
              <w:top w:val="nil"/>
              <w:bottom w:val="single" w:sz="2" w:space="0" w:color="1F4E79" w:themeColor="accent1" w:themeShade="80"/>
            </w:tcBorders>
            <w:shd w:val="clear" w:color="auto" w:fill="auto"/>
            <w:vAlign w:val="center"/>
          </w:tcPr>
          <w:p w14:paraId="7591DD08" w14:textId="77777777" w:rsidR="008B7E19" w:rsidRPr="00D311AA" w:rsidRDefault="008B7E19" w:rsidP="008B7E19">
            <w:pPr>
              <w:pStyle w:val="08-Tabelageral"/>
              <w:rPr>
                <w:b/>
                <w:szCs w:val="14"/>
              </w:rPr>
            </w:pPr>
          </w:p>
        </w:tc>
        <w:tc>
          <w:tcPr>
            <w:tcW w:w="1148" w:type="dxa"/>
            <w:tcBorders>
              <w:top w:val="single" w:sz="2" w:space="0" w:color="8EAADB" w:themeColor="accent5" w:themeTint="99"/>
              <w:bottom w:val="single" w:sz="2" w:space="0" w:color="1F4E79" w:themeColor="accent1" w:themeShade="80"/>
            </w:tcBorders>
            <w:shd w:val="clear" w:color="auto" w:fill="auto"/>
            <w:vAlign w:val="center"/>
          </w:tcPr>
          <w:p w14:paraId="77D96DCB" w14:textId="77777777" w:rsidR="008B7E19" w:rsidRPr="00D311AA" w:rsidRDefault="008B7E19" w:rsidP="008B7E19">
            <w:pPr>
              <w:pStyle w:val="08-Tabelageral"/>
              <w:rPr>
                <w:b/>
                <w:szCs w:val="14"/>
              </w:rPr>
            </w:pPr>
            <w:r>
              <w:rPr>
                <w:b/>
                <w:szCs w:val="14"/>
              </w:rPr>
              <w:t>Banco do Brasil</w:t>
            </w:r>
          </w:p>
        </w:tc>
        <w:tc>
          <w:tcPr>
            <w:tcW w:w="1170" w:type="dxa"/>
            <w:tcBorders>
              <w:top w:val="single" w:sz="2" w:space="0" w:color="8EAADB" w:themeColor="accent5" w:themeTint="99"/>
              <w:bottom w:val="single" w:sz="2" w:space="0" w:color="1F4E79" w:themeColor="accent1" w:themeShade="80"/>
            </w:tcBorders>
            <w:shd w:val="clear" w:color="auto" w:fill="auto"/>
            <w:vAlign w:val="center"/>
          </w:tcPr>
          <w:p w14:paraId="6B56088B" w14:textId="77777777" w:rsidR="008B7E19" w:rsidRPr="00D311AA" w:rsidRDefault="008B7E19" w:rsidP="008B7E19">
            <w:pPr>
              <w:pStyle w:val="08-Tabelageral"/>
              <w:rPr>
                <w:b/>
                <w:szCs w:val="14"/>
              </w:rPr>
            </w:pPr>
            <w:r w:rsidRPr="00D311AA">
              <w:rPr>
                <w:b/>
                <w:szCs w:val="14"/>
              </w:rPr>
              <w:t>Associates and joint ventures</w:t>
            </w:r>
            <w:r>
              <w:rPr>
                <w:b/>
                <w:szCs w:val="14"/>
              </w:rPr>
              <w:t xml:space="preserve"> </w:t>
            </w:r>
            <w:r w:rsidRPr="00D311AA">
              <w:rPr>
                <w:b/>
                <w:szCs w:val="14"/>
                <w:vertAlign w:val="superscript"/>
              </w:rPr>
              <w:t>(</w:t>
            </w:r>
            <w:r>
              <w:rPr>
                <w:b/>
                <w:szCs w:val="14"/>
                <w:vertAlign w:val="superscript"/>
              </w:rPr>
              <w:t>1</w:t>
            </w:r>
            <w:r w:rsidRPr="00D311AA">
              <w:rPr>
                <w:b/>
                <w:szCs w:val="14"/>
                <w:vertAlign w:val="superscript"/>
              </w:rPr>
              <w:t>)</w:t>
            </w:r>
          </w:p>
        </w:tc>
        <w:tc>
          <w:tcPr>
            <w:tcW w:w="1325" w:type="dxa"/>
            <w:tcBorders>
              <w:top w:val="single" w:sz="2" w:space="0" w:color="8EAADB" w:themeColor="accent5" w:themeTint="99"/>
              <w:bottom w:val="single" w:sz="2" w:space="0" w:color="1F4E79" w:themeColor="accent1" w:themeShade="80"/>
            </w:tcBorders>
            <w:shd w:val="clear" w:color="auto" w:fill="auto"/>
            <w:vAlign w:val="center"/>
          </w:tcPr>
          <w:p w14:paraId="5E92A9D1" w14:textId="77777777" w:rsidR="008B7E19" w:rsidRPr="00D311AA" w:rsidRDefault="008B7E19" w:rsidP="008B7E19">
            <w:pPr>
              <w:pStyle w:val="08-Tabelageral"/>
              <w:rPr>
                <w:b/>
                <w:szCs w:val="14"/>
              </w:rPr>
            </w:pPr>
            <w:r w:rsidRPr="00D311AA">
              <w:rPr>
                <w:b/>
                <w:szCs w:val="14"/>
              </w:rPr>
              <w:t>Other related parties</w:t>
            </w:r>
          </w:p>
        </w:tc>
        <w:tc>
          <w:tcPr>
            <w:tcW w:w="1323" w:type="dxa"/>
            <w:tcBorders>
              <w:top w:val="single" w:sz="2" w:space="0" w:color="8EAADB" w:themeColor="accent5" w:themeTint="99"/>
              <w:bottom w:val="single" w:sz="2" w:space="0" w:color="1F4E79" w:themeColor="accent1" w:themeShade="80"/>
            </w:tcBorders>
            <w:shd w:val="clear" w:color="auto" w:fill="auto"/>
            <w:vAlign w:val="center"/>
          </w:tcPr>
          <w:p w14:paraId="3B89915D" w14:textId="77777777" w:rsidR="008B7E19" w:rsidRPr="00D311AA" w:rsidRDefault="008B7E19" w:rsidP="008B7E19">
            <w:pPr>
              <w:pStyle w:val="08-Tabelageral"/>
              <w:rPr>
                <w:b/>
                <w:szCs w:val="14"/>
              </w:rPr>
            </w:pPr>
            <w:r>
              <w:rPr>
                <w:b/>
                <w:szCs w:val="14"/>
              </w:rPr>
              <w:t>Banco do Brasil</w:t>
            </w:r>
          </w:p>
        </w:tc>
        <w:tc>
          <w:tcPr>
            <w:tcW w:w="1112" w:type="dxa"/>
            <w:tcBorders>
              <w:top w:val="single" w:sz="2" w:space="0" w:color="8EAADB" w:themeColor="accent5" w:themeTint="99"/>
              <w:bottom w:val="single" w:sz="2" w:space="0" w:color="1F4E79" w:themeColor="accent1" w:themeShade="80"/>
            </w:tcBorders>
            <w:shd w:val="clear" w:color="auto" w:fill="auto"/>
            <w:vAlign w:val="center"/>
          </w:tcPr>
          <w:p w14:paraId="279A7FD8" w14:textId="77777777" w:rsidR="008B7E19" w:rsidRPr="00D311AA" w:rsidRDefault="008B7E19" w:rsidP="008B7E19">
            <w:pPr>
              <w:pStyle w:val="08-Tabelageral"/>
              <w:rPr>
                <w:b/>
                <w:szCs w:val="14"/>
              </w:rPr>
            </w:pPr>
            <w:r w:rsidRPr="00D311AA">
              <w:rPr>
                <w:b/>
                <w:szCs w:val="14"/>
              </w:rPr>
              <w:t>Associates and joint ventures</w:t>
            </w:r>
            <w:r>
              <w:rPr>
                <w:b/>
                <w:szCs w:val="14"/>
              </w:rPr>
              <w:t xml:space="preserve"> </w:t>
            </w:r>
            <w:r w:rsidRPr="00D311AA">
              <w:rPr>
                <w:b/>
                <w:szCs w:val="14"/>
                <w:vertAlign w:val="superscript"/>
              </w:rPr>
              <w:t>(</w:t>
            </w:r>
            <w:r>
              <w:rPr>
                <w:b/>
                <w:szCs w:val="14"/>
                <w:vertAlign w:val="superscript"/>
              </w:rPr>
              <w:t>1</w:t>
            </w:r>
            <w:r w:rsidRPr="00D311AA">
              <w:rPr>
                <w:b/>
                <w:szCs w:val="14"/>
                <w:vertAlign w:val="superscript"/>
              </w:rPr>
              <w:t>)</w:t>
            </w:r>
          </w:p>
        </w:tc>
        <w:tc>
          <w:tcPr>
            <w:tcW w:w="1230" w:type="dxa"/>
            <w:tcBorders>
              <w:top w:val="single" w:sz="2" w:space="0" w:color="8EAADB" w:themeColor="accent5" w:themeTint="99"/>
              <w:bottom w:val="single" w:sz="2" w:space="0" w:color="1F4E79" w:themeColor="accent1" w:themeShade="80"/>
            </w:tcBorders>
            <w:shd w:val="clear" w:color="auto" w:fill="auto"/>
            <w:vAlign w:val="center"/>
          </w:tcPr>
          <w:p w14:paraId="6D2739E3" w14:textId="77777777" w:rsidR="008B7E19" w:rsidRPr="00D311AA" w:rsidRDefault="008B7E19" w:rsidP="008B7E19">
            <w:pPr>
              <w:pStyle w:val="08-Tabelageral"/>
              <w:rPr>
                <w:b/>
                <w:szCs w:val="14"/>
              </w:rPr>
            </w:pPr>
            <w:r w:rsidRPr="00D311AA">
              <w:rPr>
                <w:b/>
                <w:szCs w:val="14"/>
              </w:rPr>
              <w:t>Other related parties</w:t>
            </w:r>
          </w:p>
        </w:tc>
      </w:tr>
      <w:tr w:rsidR="008B7E19" w:rsidRPr="00D311AA" w14:paraId="19B3D8BF" w14:textId="77777777" w:rsidTr="008B7E19">
        <w:trPr>
          <w:trHeight w:val="238"/>
          <w:jc w:val="center"/>
        </w:trPr>
        <w:tc>
          <w:tcPr>
            <w:tcW w:w="2438" w:type="dxa"/>
            <w:gridSpan w:val="2"/>
            <w:tcBorders>
              <w:top w:val="single" w:sz="2" w:space="0" w:color="1F4E79" w:themeColor="accent1" w:themeShade="80"/>
            </w:tcBorders>
            <w:shd w:val="clear" w:color="auto" w:fill="auto"/>
          </w:tcPr>
          <w:p w14:paraId="246915AB" w14:textId="77777777" w:rsidR="008B7E19" w:rsidRPr="00D311AA" w:rsidRDefault="008B7E19" w:rsidP="008B7E19">
            <w:pPr>
              <w:pStyle w:val="08-Tabelageral"/>
              <w:jc w:val="left"/>
              <w:rPr>
                <w:b/>
              </w:rPr>
            </w:pPr>
            <w:r w:rsidRPr="00D311AA">
              <w:rPr>
                <w:b/>
              </w:rPr>
              <w:t>Income</w:t>
            </w:r>
          </w:p>
        </w:tc>
        <w:tc>
          <w:tcPr>
            <w:tcW w:w="1148" w:type="dxa"/>
            <w:tcBorders>
              <w:top w:val="single" w:sz="2" w:space="0" w:color="1F4E79" w:themeColor="accent1" w:themeShade="80"/>
            </w:tcBorders>
            <w:shd w:val="clear" w:color="auto" w:fill="auto"/>
            <w:vAlign w:val="center"/>
          </w:tcPr>
          <w:p w14:paraId="6E7101B5" w14:textId="77777777" w:rsidR="008B7E19" w:rsidRPr="00D311AA" w:rsidRDefault="008B7E19" w:rsidP="008B7E19">
            <w:pPr>
              <w:pStyle w:val="08-Tabelageral"/>
              <w:rPr>
                <w:b/>
                <w:szCs w:val="14"/>
              </w:rPr>
            </w:pPr>
          </w:p>
        </w:tc>
        <w:tc>
          <w:tcPr>
            <w:tcW w:w="1170" w:type="dxa"/>
            <w:tcBorders>
              <w:top w:val="single" w:sz="2" w:space="0" w:color="1F4E79" w:themeColor="accent1" w:themeShade="80"/>
            </w:tcBorders>
            <w:shd w:val="clear" w:color="auto" w:fill="auto"/>
            <w:vAlign w:val="center"/>
          </w:tcPr>
          <w:p w14:paraId="005B6CA0" w14:textId="77777777" w:rsidR="008B7E19" w:rsidRPr="00D311AA" w:rsidRDefault="008B7E19" w:rsidP="008B7E19">
            <w:pPr>
              <w:pStyle w:val="08-Tabelageral"/>
              <w:rPr>
                <w:b/>
                <w:szCs w:val="14"/>
              </w:rPr>
            </w:pPr>
          </w:p>
        </w:tc>
        <w:tc>
          <w:tcPr>
            <w:tcW w:w="1325" w:type="dxa"/>
            <w:tcBorders>
              <w:top w:val="single" w:sz="2" w:space="0" w:color="1F4E79" w:themeColor="accent1" w:themeShade="80"/>
            </w:tcBorders>
            <w:shd w:val="clear" w:color="auto" w:fill="auto"/>
          </w:tcPr>
          <w:p w14:paraId="4E62F0F1" w14:textId="77777777" w:rsidR="008B7E19" w:rsidRPr="00D311AA" w:rsidRDefault="008B7E19" w:rsidP="008B7E19">
            <w:pPr>
              <w:pStyle w:val="08-Tabelageral"/>
              <w:rPr>
                <w:b/>
              </w:rPr>
            </w:pPr>
          </w:p>
        </w:tc>
        <w:tc>
          <w:tcPr>
            <w:tcW w:w="1323" w:type="dxa"/>
            <w:tcBorders>
              <w:top w:val="single" w:sz="2" w:space="0" w:color="1F4E79" w:themeColor="accent1" w:themeShade="80"/>
            </w:tcBorders>
            <w:shd w:val="clear" w:color="auto" w:fill="auto"/>
            <w:vAlign w:val="center"/>
          </w:tcPr>
          <w:p w14:paraId="44C23DF2" w14:textId="77777777" w:rsidR="008B7E19" w:rsidRPr="00D311AA" w:rsidRDefault="008B7E19" w:rsidP="008B7E19">
            <w:pPr>
              <w:pStyle w:val="08-Tabelageral"/>
              <w:rPr>
                <w:b/>
              </w:rPr>
            </w:pPr>
          </w:p>
        </w:tc>
        <w:tc>
          <w:tcPr>
            <w:tcW w:w="1112" w:type="dxa"/>
            <w:tcBorders>
              <w:top w:val="single" w:sz="2" w:space="0" w:color="1F4E79" w:themeColor="accent1" w:themeShade="80"/>
            </w:tcBorders>
            <w:shd w:val="clear" w:color="auto" w:fill="auto"/>
            <w:vAlign w:val="center"/>
          </w:tcPr>
          <w:p w14:paraId="6ACF4075" w14:textId="77777777" w:rsidR="008B7E19" w:rsidRPr="00D311AA" w:rsidRDefault="008B7E19" w:rsidP="008B7E19">
            <w:pPr>
              <w:pStyle w:val="08-Tabelageral"/>
              <w:rPr>
                <w:b/>
              </w:rPr>
            </w:pPr>
          </w:p>
        </w:tc>
        <w:tc>
          <w:tcPr>
            <w:tcW w:w="1230" w:type="dxa"/>
            <w:tcBorders>
              <w:top w:val="single" w:sz="2" w:space="0" w:color="1F4E79" w:themeColor="accent1" w:themeShade="80"/>
            </w:tcBorders>
            <w:shd w:val="clear" w:color="auto" w:fill="auto"/>
          </w:tcPr>
          <w:p w14:paraId="2BE8B6A6" w14:textId="77777777" w:rsidR="008B7E19" w:rsidRPr="00D311AA" w:rsidRDefault="008B7E19" w:rsidP="008B7E19">
            <w:pPr>
              <w:pStyle w:val="08-Tabelageral"/>
              <w:rPr>
                <w:b/>
              </w:rPr>
            </w:pPr>
          </w:p>
        </w:tc>
      </w:tr>
      <w:tr w:rsidR="008B7E19" w:rsidRPr="00D311AA" w14:paraId="39491A14" w14:textId="77777777" w:rsidTr="008B7E19">
        <w:trPr>
          <w:trHeight w:val="238"/>
          <w:jc w:val="center"/>
        </w:trPr>
        <w:tc>
          <w:tcPr>
            <w:tcW w:w="2438" w:type="dxa"/>
            <w:gridSpan w:val="2"/>
            <w:shd w:val="clear" w:color="auto" w:fill="auto"/>
          </w:tcPr>
          <w:p w14:paraId="238ED415" w14:textId="77777777" w:rsidR="008B7E19" w:rsidRPr="00D311AA" w:rsidRDefault="008B7E19" w:rsidP="008B7E19">
            <w:pPr>
              <w:pStyle w:val="08-Tabelageral"/>
              <w:ind w:left="113"/>
              <w:jc w:val="left"/>
              <w:rPr>
                <w:bCs/>
              </w:rPr>
            </w:pPr>
            <w:r w:rsidRPr="00D311AA">
              <w:rPr>
                <w:bCs/>
              </w:rPr>
              <w:t>Interest earnings of financial instruments</w:t>
            </w:r>
          </w:p>
        </w:tc>
        <w:tc>
          <w:tcPr>
            <w:tcW w:w="1148" w:type="dxa"/>
            <w:tcBorders>
              <w:top w:val="nil"/>
            </w:tcBorders>
            <w:shd w:val="clear" w:color="auto" w:fill="auto"/>
            <w:vAlign w:val="center"/>
          </w:tcPr>
          <w:p w14:paraId="396AE20D" w14:textId="77777777" w:rsidR="008B7E19" w:rsidRPr="00D311AA" w:rsidRDefault="008B7E19" w:rsidP="008B7E19">
            <w:pPr>
              <w:pStyle w:val="08-Tabelageral"/>
            </w:pPr>
            <w:r>
              <w:t>257,353</w:t>
            </w:r>
          </w:p>
        </w:tc>
        <w:tc>
          <w:tcPr>
            <w:tcW w:w="1170" w:type="dxa"/>
            <w:tcBorders>
              <w:top w:val="nil"/>
            </w:tcBorders>
            <w:shd w:val="clear" w:color="auto" w:fill="auto"/>
            <w:vAlign w:val="center"/>
          </w:tcPr>
          <w:p w14:paraId="546EDDF2" w14:textId="77777777" w:rsidR="008B7E19" w:rsidRPr="00D311AA" w:rsidRDefault="008B7E19" w:rsidP="008B7E19">
            <w:pPr>
              <w:pStyle w:val="08-Tabelageral"/>
            </w:pPr>
            <w:r>
              <w:t>--</w:t>
            </w:r>
          </w:p>
        </w:tc>
        <w:tc>
          <w:tcPr>
            <w:tcW w:w="1325" w:type="dxa"/>
            <w:tcBorders>
              <w:top w:val="nil"/>
            </w:tcBorders>
            <w:shd w:val="clear" w:color="auto" w:fill="auto"/>
            <w:vAlign w:val="center"/>
          </w:tcPr>
          <w:p w14:paraId="3C4562DB" w14:textId="77777777" w:rsidR="008B7E19" w:rsidRPr="00D311AA" w:rsidRDefault="008B7E19" w:rsidP="008B7E19">
            <w:pPr>
              <w:pStyle w:val="08-Tabelageral"/>
            </w:pPr>
            <w:r>
              <w:t>--</w:t>
            </w:r>
          </w:p>
        </w:tc>
        <w:tc>
          <w:tcPr>
            <w:tcW w:w="1323" w:type="dxa"/>
            <w:tcBorders>
              <w:top w:val="nil"/>
            </w:tcBorders>
            <w:shd w:val="clear" w:color="auto" w:fill="auto"/>
            <w:vAlign w:val="center"/>
          </w:tcPr>
          <w:p w14:paraId="4CEE5282" w14:textId="77777777" w:rsidR="008B7E19" w:rsidRPr="00D311AA" w:rsidRDefault="008B7E19" w:rsidP="008B7E19">
            <w:pPr>
              <w:pStyle w:val="08-Tabelageral"/>
              <w:rPr>
                <w:rFonts w:cs="Arial"/>
                <w:szCs w:val="14"/>
              </w:rPr>
            </w:pPr>
            <w:r>
              <w:t>185,559</w:t>
            </w:r>
          </w:p>
        </w:tc>
        <w:tc>
          <w:tcPr>
            <w:tcW w:w="1112" w:type="dxa"/>
            <w:tcBorders>
              <w:top w:val="nil"/>
            </w:tcBorders>
            <w:shd w:val="clear" w:color="auto" w:fill="auto"/>
            <w:vAlign w:val="center"/>
          </w:tcPr>
          <w:p w14:paraId="6DE03518" w14:textId="77777777" w:rsidR="008B7E19" w:rsidRPr="00D311AA" w:rsidRDefault="008B7E19" w:rsidP="008B7E19">
            <w:pPr>
              <w:pStyle w:val="08-Tabelageral"/>
              <w:rPr>
                <w:rFonts w:cs="Arial"/>
                <w:szCs w:val="14"/>
              </w:rPr>
            </w:pPr>
            <w:r>
              <w:t>--</w:t>
            </w:r>
          </w:p>
        </w:tc>
        <w:tc>
          <w:tcPr>
            <w:tcW w:w="1230" w:type="dxa"/>
            <w:tcBorders>
              <w:top w:val="nil"/>
            </w:tcBorders>
            <w:shd w:val="clear" w:color="auto" w:fill="auto"/>
            <w:vAlign w:val="center"/>
          </w:tcPr>
          <w:p w14:paraId="4D61BAD3" w14:textId="77777777" w:rsidR="008B7E19" w:rsidRPr="00D311AA" w:rsidRDefault="008B7E19" w:rsidP="008B7E19">
            <w:pPr>
              <w:pStyle w:val="08-Tabelageral"/>
            </w:pPr>
            <w:r>
              <w:t>--</w:t>
            </w:r>
          </w:p>
        </w:tc>
      </w:tr>
      <w:tr w:rsidR="008B7E19" w:rsidRPr="00D311AA" w14:paraId="4920438F" w14:textId="77777777" w:rsidTr="008B7E19">
        <w:trPr>
          <w:trHeight w:val="238"/>
          <w:jc w:val="center"/>
        </w:trPr>
        <w:tc>
          <w:tcPr>
            <w:tcW w:w="2438" w:type="dxa"/>
            <w:gridSpan w:val="2"/>
            <w:shd w:val="clear" w:color="auto" w:fill="auto"/>
            <w:vAlign w:val="center"/>
          </w:tcPr>
          <w:p w14:paraId="447A3A8C" w14:textId="77777777" w:rsidR="008B7E19" w:rsidRPr="00D311AA" w:rsidRDefault="008B7E19" w:rsidP="008B7E19">
            <w:pPr>
              <w:pStyle w:val="08-Tabelageral"/>
              <w:ind w:left="113"/>
              <w:jc w:val="left"/>
              <w:rPr>
                <w:bCs/>
              </w:rPr>
            </w:pPr>
            <w:r w:rsidRPr="00D311AA">
              <w:rPr>
                <w:bCs/>
              </w:rPr>
              <w:t>Income from Commission</w:t>
            </w:r>
          </w:p>
        </w:tc>
        <w:tc>
          <w:tcPr>
            <w:tcW w:w="1148" w:type="dxa"/>
            <w:shd w:val="clear" w:color="auto" w:fill="auto"/>
            <w:vAlign w:val="center"/>
          </w:tcPr>
          <w:p w14:paraId="2024D910" w14:textId="77777777" w:rsidR="008B7E19" w:rsidRPr="00D311AA" w:rsidRDefault="008B7E19" w:rsidP="008B7E19">
            <w:pPr>
              <w:pStyle w:val="08-Tabelageral"/>
            </w:pPr>
            <w:r>
              <w:t>--</w:t>
            </w:r>
          </w:p>
        </w:tc>
        <w:tc>
          <w:tcPr>
            <w:tcW w:w="1170" w:type="dxa"/>
            <w:shd w:val="clear" w:color="auto" w:fill="auto"/>
            <w:vAlign w:val="center"/>
          </w:tcPr>
          <w:p w14:paraId="40A80A3D" w14:textId="77777777" w:rsidR="008B7E19" w:rsidRPr="00D311AA" w:rsidRDefault="008B7E19" w:rsidP="008B7E19">
            <w:pPr>
              <w:pStyle w:val="08-Tabelageral"/>
            </w:pPr>
            <w:r>
              <w:t>2,315,919</w:t>
            </w:r>
          </w:p>
        </w:tc>
        <w:tc>
          <w:tcPr>
            <w:tcW w:w="1325" w:type="dxa"/>
            <w:shd w:val="clear" w:color="auto" w:fill="auto"/>
            <w:vAlign w:val="center"/>
          </w:tcPr>
          <w:p w14:paraId="099D8E52" w14:textId="77777777" w:rsidR="008B7E19" w:rsidRPr="00D311AA" w:rsidRDefault="008B7E19" w:rsidP="008B7E19">
            <w:pPr>
              <w:pStyle w:val="08-Tabelageral"/>
            </w:pPr>
            <w:r>
              <w:t>--</w:t>
            </w:r>
          </w:p>
        </w:tc>
        <w:tc>
          <w:tcPr>
            <w:tcW w:w="1323" w:type="dxa"/>
            <w:shd w:val="clear" w:color="auto" w:fill="auto"/>
            <w:vAlign w:val="center"/>
          </w:tcPr>
          <w:p w14:paraId="7C699030" w14:textId="77777777" w:rsidR="008B7E19" w:rsidRPr="00D311AA" w:rsidRDefault="008B7E19" w:rsidP="008B7E19">
            <w:pPr>
              <w:pStyle w:val="08-Tabelageral"/>
              <w:rPr>
                <w:rFonts w:cs="Arial"/>
                <w:szCs w:val="14"/>
              </w:rPr>
            </w:pPr>
            <w:r>
              <w:t>--</w:t>
            </w:r>
          </w:p>
        </w:tc>
        <w:tc>
          <w:tcPr>
            <w:tcW w:w="1112" w:type="dxa"/>
            <w:shd w:val="clear" w:color="auto" w:fill="auto"/>
            <w:vAlign w:val="center"/>
          </w:tcPr>
          <w:p w14:paraId="78CD8EAD" w14:textId="77777777" w:rsidR="008B7E19" w:rsidRPr="00D311AA" w:rsidRDefault="008B7E19" w:rsidP="008B7E19">
            <w:pPr>
              <w:pStyle w:val="08-Tabelageral"/>
              <w:rPr>
                <w:rFonts w:cs="Arial"/>
                <w:szCs w:val="14"/>
              </w:rPr>
            </w:pPr>
            <w:r>
              <w:t>2,024,346</w:t>
            </w:r>
          </w:p>
        </w:tc>
        <w:tc>
          <w:tcPr>
            <w:tcW w:w="1230" w:type="dxa"/>
            <w:shd w:val="clear" w:color="auto" w:fill="auto"/>
            <w:vAlign w:val="center"/>
          </w:tcPr>
          <w:p w14:paraId="00E76BD4" w14:textId="77777777" w:rsidR="008B7E19" w:rsidRPr="00D311AA" w:rsidRDefault="008B7E19" w:rsidP="008B7E19">
            <w:pPr>
              <w:pStyle w:val="08-Tabelageral"/>
            </w:pPr>
            <w:r>
              <w:t>--</w:t>
            </w:r>
          </w:p>
        </w:tc>
      </w:tr>
      <w:tr w:rsidR="008B7E19" w:rsidRPr="00D311AA" w14:paraId="20E22C14" w14:textId="77777777" w:rsidTr="008B7E19">
        <w:trPr>
          <w:trHeight w:val="238"/>
          <w:jc w:val="center"/>
        </w:trPr>
        <w:tc>
          <w:tcPr>
            <w:tcW w:w="2438" w:type="dxa"/>
            <w:gridSpan w:val="2"/>
            <w:tcBorders>
              <w:bottom w:val="nil"/>
            </w:tcBorders>
            <w:shd w:val="clear" w:color="auto" w:fill="auto"/>
            <w:vAlign w:val="center"/>
          </w:tcPr>
          <w:p w14:paraId="75CCB0D8" w14:textId="77777777" w:rsidR="008B7E19" w:rsidRPr="00D311AA" w:rsidRDefault="008B7E19" w:rsidP="008B7E19">
            <w:pPr>
              <w:pStyle w:val="08-Tabelageral"/>
              <w:ind w:left="113"/>
              <w:jc w:val="left"/>
              <w:rPr>
                <w:bCs/>
              </w:rPr>
            </w:pPr>
            <w:r w:rsidRPr="00D311AA">
              <w:rPr>
                <w:bCs/>
              </w:rPr>
              <w:t>Personnel expenses</w:t>
            </w:r>
          </w:p>
        </w:tc>
        <w:tc>
          <w:tcPr>
            <w:tcW w:w="1148" w:type="dxa"/>
            <w:tcBorders>
              <w:bottom w:val="nil"/>
            </w:tcBorders>
            <w:shd w:val="clear" w:color="auto" w:fill="auto"/>
            <w:vAlign w:val="center"/>
          </w:tcPr>
          <w:p w14:paraId="48A9495A" w14:textId="77777777" w:rsidR="008B7E19" w:rsidRPr="00D311AA" w:rsidRDefault="008B7E19" w:rsidP="008B7E19">
            <w:pPr>
              <w:pStyle w:val="08-Tabelageral"/>
            </w:pPr>
            <w:r>
              <w:t>(41,458)</w:t>
            </w:r>
          </w:p>
        </w:tc>
        <w:tc>
          <w:tcPr>
            <w:tcW w:w="1170" w:type="dxa"/>
            <w:tcBorders>
              <w:bottom w:val="nil"/>
            </w:tcBorders>
            <w:shd w:val="clear" w:color="auto" w:fill="auto"/>
            <w:vAlign w:val="center"/>
          </w:tcPr>
          <w:p w14:paraId="216FD757" w14:textId="77777777" w:rsidR="008B7E19" w:rsidRPr="00D311AA" w:rsidRDefault="008B7E19" w:rsidP="008B7E19">
            <w:pPr>
              <w:pStyle w:val="08-Tabelageral"/>
            </w:pPr>
            <w:r>
              <w:t>--</w:t>
            </w:r>
          </w:p>
        </w:tc>
        <w:tc>
          <w:tcPr>
            <w:tcW w:w="1325" w:type="dxa"/>
            <w:tcBorders>
              <w:bottom w:val="nil"/>
            </w:tcBorders>
            <w:shd w:val="clear" w:color="auto" w:fill="auto"/>
            <w:vAlign w:val="center"/>
          </w:tcPr>
          <w:p w14:paraId="5AA4EFAF" w14:textId="77777777" w:rsidR="008B7E19" w:rsidRPr="00D311AA" w:rsidRDefault="008B7E19" w:rsidP="008B7E19">
            <w:pPr>
              <w:pStyle w:val="08-Tabelageral"/>
            </w:pPr>
            <w:r>
              <w:t>--</w:t>
            </w:r>
          </w:p>
        </w:tc>
        <w:tc>
          <w:tcPr>
            <w:tcW w:w="1323" w:type="dxa"/>
            <w:tcBorders>
              <w:bottom w:val="nil"/>
            </w:tcBorders>
            <w:shd w:val="clear" w:color="auto" w:fill="auto"/>
            <w:vAlign w:val="center"/>
          </w:tcPr>
          <w:p w14:paraId="048BE691" w14:textId="77777777" w:rsidR="008B7E19" w:rsidRPr="00D311AA" w:rsidRDefault="008B7E19" w:rsidP="008B7E19">
            <w:pPr>
              <w:pStyle w:val="08-Tabelageral"/>
              <w:rPr>
                <w:rFonts w:cs="Arial"/>
                <w:szCs w:val="14"/>
              </w:rPr>
            </w:pPr>
            <w:r>
              <w:t>(33,938)</w:t>
            </w:r>
          </w:p>
        </w:tc>
        <w:tc>
          <w:tcPr>
            <w:tcW w:w="1112" w:type="dxa"/>
            <w:tcBorders>
              <w:bottom w:val="nil"/>
            </w:tcBorders>
            <w:shd w:val="clear" w:color="auto" w:fill="auto"/>
            <w:vAlign w:val="center"/>
          </w:tcPr>
          <w:p w14:paraId="061901ED" w14:textId="77777777" w:rsidR="008B7E19" w:rsidRPr="00D311AA" w:rsidRDefault="008B7E19" w:rsidP="008B7E19">
            <w:pPr>
              <w:pStyle w:val="08-Tabelageral"/>
              <w:rPr>
                <w:rFonts w:cs="Arial"/>
                <w:szCs w:val="14"/>
              </w:rPr>
            </w:pPr>
            <w:r>
              <w:t>--</w:t>
            </w:r>
          </w:p>
        </w:tc>
        <w:tc>
          <w:tcPr>
            <w:tcW w:w="1230" w:type="dxa"/>
            <w:tcBorders>
              <w:bottom w:val="nil"/>
            </w:tcBorders>
            <w:shd w:val="clear" w:color="auto" w:fill="auto"/>
            <w:vAlign w:val="center"/>
          </w:tcPr>
          <w:p w14:paraId="086B8BE3" w14:textId="77777777" w:rsidR="008B7E19" w:rsidRPr="00D311AA" w:rsidRDefault="008B7E19" w:rsidP="008B7E19">
            <w:pPr>
              <w:pStyle w:val="08-Tabelageral"/>
            </w:pPr>
            <w:r>
              <w:t>--</w:t>
            </w:r>
          </w:p>
        </w:tc>
      </w:tr>
      <w:tr w:rsidR="008B7E19" w:rsidRPr="00D311AA" w14:paraId="7D73E173" w14:textId="77777777" w:rsidTr="008B7E19">
        <w:trPr>
          <w:trHeight w:val="238"/>
          <w:jc w:val="center"/>
        </w:trPr>
        <w:tc>
          <w:tcPr>
            <w:tcW w:w="2438" w:type="dxa"/>
            <w:gridSpan w:val="2"/>
            <w:tcBorders>
              <w:top w:val="nil"/>
              <w:bottom w:val="nil"/>
            </w:tcBorders>
            <w:shd w:val="clear" w:color="auto" w:fill="auto"/>
            <w:vAlign w:val="center"/>
          </w:tcPr>
          <w:p w14:paraId="1FC1BFFA" w14:textId="77777777" w:rsidR="008B7E19" w:rsidRPr="00D311AA" w:rsidRDefault="008B7E19" w:rsidP="008B7E19">
            <w:pPr>
              <w:pStyle w:val="08-Tabelageral"/>
              <w:ind w:left="113"/>
              <w:jc w:val="left"/>
              <w:rPr>
                <w:bCs/>
              </w:rPr>
            </w:pPr>
            <w:r w:rsidRPr="00D311AA">
              <w:rPr>
                <w:bCs/>
              </w:rPr>
              <w:t xml:space="preserve">Administrative expenses/costs of services provided </w:t>
            </w:r>
            <w:r w:rsidRPr="00D311AA">
              <w:rPr>
                <w:bCs/>
                <w:vertAlign w:val="superscript"/>
              </w:rPr>
              <w:t>(</w:t>
            </w:r>
            <w:r>
              <w:rPr>
                <w:bCs/>
                <w:vertAlign w:val="superscript"/>
              </w:rPr>
              <w:t>2</w:t>
            </w:r>
            <w:r w:rsidRPr="00D311AA">
              <w:rPr>
                <w:bCs/>
                <w:vertAlign w:val="superscript"/>
              </w:rPr>
              <w:t>)</w:t>
            </w:r>
          </w:p>
        </w:tc>
        <w:tc>
          <w:tcPr>
            <w:tcW w:w="1148" w:type="dxa"/>
            <w:tcBorders>
              <w:top w:val="nil"/>
              <w:bottom w:val="nil"/>
            </w:tcBorders>
            <w:shd w:val="clear" w:color="auto" w:fill="auto"/>
            <w:vAlign w:val="center"/>
          </w:tcPr>
          <w:p w14:paraId="66EEA2F3" w14:textId="77777777" w:rsidR="008B7E19" w:rsidRPr="00D311AA" w:rsidRDefault="008B7E19" w:rsidP="008B7E19">
            <w:pPr>
              <w:pStyle w:val="08-Tabelageral"/>
            </w:pPr>
            <w:r>
              <w:t>(113,778)</w:t>
            </w:r>
          </w:p>
        </w:tc>
        <w:tc>
          <w:tcPr>
            <w:tcW w:w="1170" w:type="dxa"/>
            <w:tcBorders>
              <w:top w:val="nil"/>
              <w:bottom w:val="nil"/>
            </w:tcBorders>
            <w:shd w:val="clear" w:color="auto" w:fill="auto"/>
            <w:vAlign w:val="center"/>
          </w:tcPr>
          <w:p w14:paraId="6BEE28E7" w14:textId="77777777" w:rsidR="008B7E19" w:rsidRPr="00D311AA" w:rsidRDefault="008B7E19" w:rsidP="008B7E19">
            <w:pPr>
              <w:pStyle w:val="08-Tabelageral"/>
            </w:pPr>
            <w:r>
              <w:t>--</w:t>
            </w:r>
          </w:p>
        </w:tc>
        <w:tc>
          <w:tcPr>
            <w:tcW w:w="1325" w:type="dxa"/>
            <w:tcBorders>
              <w:top w:val="nil"/>
              <w:bottom w:val="nil"/>
            </w:tcBorders>
            <w:shd w:val="clear" w:color="auto" w:fill="auto"/>
            <w:vAlign w:val="center"/>
          </w:tcPr>
          <w:p w14:paraId="2AA423F3" w14:textId="77777777" w:rsidR="008B7E19" w:rsidRPr="00D311AA" w:rsidRDefault="008B7E19" w:rsidP="008B7E19">
            <w:pPr>
              <w:pStyle w:val="08-Tabelageral"/>
            </w:pPr>
            <w:r>
              <w:t>--</w:t>
            </w:r>
          </w:p>
        </w:tc>
        <w:tc>
          <w:tcPr>
            <w:tcW w:w="1323" w:type="dxa"/>
            <w:tcBorders>
              <w:top w:val="nil"/>
              <w:bottom w:val="nil"/>
            </w:tcBorders>
            <w:shd w:val="clear" w:color="auto" w:fill="auto"/>
            <w:vAlign w:val="center"/>
          </w:tcPr>
          <w:p w14:paraId="7603E8D5" w14:textId="77777777" w:rsidR="008B7E19" w:rsidRPr="00D311AA" w:rsidRDefault="008B7E19" w:rsidP="008B7E19">
            <w:pPr>
              <w:pStyle w:val="08-Tabelageral"/>
              <w:rPr>
                <w:rFonts w:cs="Arial"/>
                <w:szCs w:val="14"/>
              </w:rPr>
            </w:pPr>
            <w:r>
              <w:t>(109,076)</w:t>
            </w:r>
          </w:p>
        </w:tc>
        <w:tc>
          <w:tcPr>
            <w:tcW w:w="1112" w:type="dxa"/>
            <w:tcBorders>
              <w:top w:val="nil"/>
              <w:bottom w:val="nil"/>
            </w:tcBorders>
            <w:shd w:val="clear" w:color="auto" w:fill="auto"/>
            <w:vAlign w:val="center"/>
          </w:tcPr>
          <w:p w14:paraId="0F081F21" w14:textId="77777777" w:rsidR="008B7E19" w:rsidRPr="00D311AA" w:rsidRDefault="008B7E19" w:rsidP="008B7E19">
            <w:pPr>
              <w:pStyle w:val="08-Tabelageral"/>
              <w:rPr>
                <w:rFonts w:cs="Arial"/>
                <w:szCs w:val="14"/>
              </w:rPr>
            </w:pPr>
            <w:r>
              <w:t>--</w:t>
            </w:r>
          </w:p>
        </w:tc>
        <w:tc>
          <w:tcPr>
            <w:tcW w:w="1230" w:type="dxa"/>
            <w:tcBorders>
              <w:top w:val="nil"/>
              <w:bottom w:val="nil"/>
            </w:tcBorders>
            <w:shd w:val="clear" w:color="auto" w:fill="auto"/>
            <w:vAlign w:val="center"/>
          </w:tcPr>
          <w:p w14:paraId="459EF042" w14:textId="77777777" w:rsidR="008B7E19" w:rsidRPr="00D311AA" w:rsidRDefault="008B7E19" w:rsidP="008B7E19">
            <w:pPr>
              <w:pStyle w:val="08-Tabelageral"/>
            </w:pPr>
            <w:r>
              <w:t>--</w:t>
            </w:r>
          </w:p>
        </w:tc>
      </w:tr>
      <w:tr w:rsidR="008B7E19" w:rsidRPr="00D311AA" w14:paraId="68795060" w14:textId="77777777" w:rsidTr="008B7E19">
        <w:trPr>
          <w:trHeight w:val="238"/>
          <w:jc w:val="center"/>
        </w:trPr>
        <w:tc>
          <w:tcPr>
            <w:tcW w:w="2438" w:type="dxa"/>
            <w:gridSpan w:val="2"/>
            <w:tcBorders>
              <w:top w:val="nil"/>
              <w:bottom w:val="single" w:sz="4" w:space="0" w:color="2E74B5" w:themeColor="accent1" w:themeShade="BF"/>
            </w:tcBorders>
            <w:shd w:val="clear" w:color="auto" w:fill="auto"/>
            <w:vAlign w:val="center"/>
          </w:tcPr>
          <w:p w14:paraId="619CF1EF" w14:textId="77777777" w:rsidR="008B7E19" w:rsidRPr="00D311AA" w:rsidRDefault="008B7E19" w:rsidP="008B7E19">
            <w:pPr>
              <w:pStyle w:val="08-Tabelageral"/>
              <w:ind w:left="113"/>
              <w:jc w:val="left"/>
              <w:rPr>
                <w:bCs/>
              </w:rPr>
            </w:pPr>
            <w:r w:rsidRPr="000F7A4B">
              <w:rPr>
                <w:bCs/>
              </w:rPr>
              <w:t>Monetary liabilities changes</w:t>
            </w:r>
          </w:p>
        </w:tc>
        <w:tc>
          <w:tcPr>
            <w:tcW w:w="1148" w:type="dxa"/>
            <w:tcBorders>
              <w:top w:val="nil"/>
              <w:bottom w:val="single" w:sz="4" w:space="0" w:color="2E74B5" w:themeColor="accent1" w:themeShade="BF"/>
            </w:tcBorders>
            <w:shd w:val="clear" w:color="auto" w:fill="auto"/>
            <w:vAlign w:val="center"/>
          </w:tcPr>
          <w:p w14:paraId="5CFA5316" w14:textId="77777777" w:rsidR="008B7E19" w:rsidRDefault="008B7E19" w:rsidP="008B7E19">
            <w:pPr>
              <w:pStyle w:val="08-Tabelageral"/>
            </w:pPr>
            <w:r>
              <w:t>(51,198)</w:t>
            </w:r>
          </w:p>
        </w:tc>
        <w:tc>
          <w:tcPr>
            <w:tcW w:w="1170" w:type="dxa"/>
            <w:tcBorders>
              <w:top w:val="nil"/>
              <w:bottom w:val="single" w:sz="4" w:space="0" w:color="2E74B5" w:themeColor="accent1" w:themeShade="BF"/>
            </w:tcBorders>
            <w:shd w:val="clear" w:color="auto" w:fill="auto"/>
            <w:vAlign w:val="center"/>
          </w:tcPr>
          <w:p w14:paraId="0A52571A" w14:textId="77777777" w:rsidR="008B7E19" w:rsidRDefault="008B7E19" w:rsidP="008B7E19">
            <w:pPr>
              <w:pStyle w:val="08-Tabelageral"/>
            </w:pPr>
            <w:r>
              <w:t>--</w:t>
            </w:r>
          </w:p>
        </w:tc>
        <w:tc>
          <w:tcPr>
            <w:tcW w:w="1325" w:type="dxa"/>
            <w:tcBorders>
              <w:top w:val="nil"/>
              <w:bottom w:val="single" w:sz="4" w:space="0" w:color="2E74B5" w:themeColor="accent1" w:themeShade="BF"/>
            </w:tcBorders>
            <w:shd w:val="clear" w:color="auto" w:fill="auto"/>
            <w:vAlign w:val="center"/>
          </w:tcPr>
          <w:p w14:paraId="13E42756" w14:textId="77777777" w:rsidR="008B7E19" w:rsidRDefault="008B7E19" w:rsidP="008B7E19">
            <w:pPr>
              <w:pStyle w:val="08-Tabelageral"/>
            </w:pPr>
            <w:r>
              <w:t>--</w:t>
            </w:r>
          </w:p>
        </w:tc>
        <w:tc>
          <w:tcPr>
            <w:tcW w:w="1323" w:type="dxa"/>
            <w:tcBorders>
              <w:top w:val="nil"/>
              <w:bottom w:val="single" w:sz="4" w:space="0" w:color="2E74B5" w:themeColor="accent1" w:themeShade="BF"/>
            </w:tcBorders>
            <w:shd w:val="clear" w:color="auto" w:fill="auto"/>
            <w:vAlign w:val="center"/>
          </w:tcPr>
          <w:p w14:paraId="32C5CC22" w14:textId="77777777" w:rsidR="008B7E19" w:rsidRPr="0038145C" w:rsidRDefault="008B7E19" w:rsidP="008B7E19">
            <w:pPr>
              <w:pStyle w:val="08-Tabelageral"/>
            </w:pPr>
            <w:r>
              <w:t>(17,056)</w:t>
            </w:r>
          </w:p>
        </w:tc>
        <w:tc>
          <w:tcPr>
            <w:tcW w:w="1112" w:type="dxa"/>
            <w:tcBorders>
              <w:top w:val="nil"/>
              <w:bottom w:val="single" w:sz="4" w:space="0" w:color="2E74B5" w:themeColor="accent1" w:themeShade="BF"/>
            </w:tcBorders>
            <w:shd w:val="clear" w:color="auto" w:fill="auto"/>
            <w:vAlign w:val="center"/>
          </w:tcPr>
          <w:p w14:paraId="69350F89" w14:textId="77777777" w:rsidR="008B7E19" w:rsidRPr="0038145C" w:rsidRDefault="008B7E19" w:rsidP="008B7E19">
            <w:pPr>
              <w:pStyle w:val="08-Tabelageral"/>
            </w:pPr>
            <w:r>
              <w:t>--</w:t>
            </w:r>
          </w:p>
        </w:tc>
        <w:tc>
          <w:tcPr>
            <w:tcW w:w="1230" w:type="dxa"/>
            <w:tcBorders>
              <w:top w:val="nil"/>
              <w:bottom w:val="single" w:sz="4" w:space="0" w:color="2E74B5" w:themeColor="accent1" w:themeShade="BF"/>
            </w:tcBorders>
            <w:shd w:val="clear" w:color="auto" w:fill="auto"/>
            <w:vAlign w:val="center"/>
          </w:tcPr>
          <w:p w14:paraId="33A1FD25" w14:textId="77777777" w:rsidR="008B7E19" w:rsidRPr="0038145C" w:rsidRDefault="008B7E19" w:rsidP="008B7E19">
            <w:pPr>
              <w:pStyle w:val="08-Tabelageral"/>
            </w:pPr>
            <w:r>
              <w:t>--</w:t>
            </w:r>
          </w:p>
        </w:tc>
      </w:tr>
    </w:tbl>
    <w:p w14:paraId="110D6E36" w14:textId="77777777" w:rsidR="008B7E19" w:rsidRPr="00CA0C3C" w:rsidRDefault="008B7E19" w:rsidP="00882B41">
      <w:pPr>
        <w:pStyle w:val="07-Legenda"/>
        <w:numPr>
          <w:ilvl w:val="0"/>
          <w:numId w:val="48"/>
        </w:numPr>
        <w:tabs>
          <w:tab w:val="clear" w:pos="284"/>
          <w:tab w:val="left" w:pos="851"/>
        </w:tabs>
        <w:ind w:left="284" w:hanging="284"/>
      </w:pPr>
      <w:r w:rsidRPr="00CA0C3C">
        <w:t>Related companies BB MAPFRE Participações S.A. and its subsidiaries, Brasilprev Seguros e Previdência S.A. Brasilcap Capitalização S.A. and Brasildental S.A.</w:t>
      </w:r>
    </w:p>
    <w:p w14:paraId="4B49C058" w14:textId="77777777" w:rsidR="008B7E19" w:rsidRPr="00D311AA" w:rsidRDefault="008B7E19" w:rsidP="00882B41">
      <w:pPr>
        <w:pStyle w:val="07-Legenda"/>
        <w:numPr>
          <w:ilvl w:val="0"/>
          <w:numId w:val="48"/>
        </w:numPr>
        <w:tabs>
          <w:tab w:val="clear" w:pos="284"/>
          <w:tab w:val="left" w:pos="851"/>
        </w:tabs>
        <w:ind w:left="284" w:hanging="284"/>
      </w:pPr>
      <w:r w:rsidRPr="00D311AA">
        <w:t>Refers to expenses as sharing contract customer data, use of staff, distribution network and resource materials technological and administrative, between the Banco do Brasil, BB Seguridade, BB Corretora and BB Seguros.</w:t>
      </w:r>
    </w:p>
    <w:p w14:paraId="6764C8AF" w14:textId="77777777" w:rsidR="008B7E19" w:rsidRPr="00274BB2" w:rsidRDefault="008B7E19" w:rsidP="00882B41">
      <w:pPr>
        <w:pStyle w:val="03-SubttulodeNota"/>
        <w:numPr>
          <w:ilvl w:val="0"/>
          <w:numId w:val="41"/>
        </w:numPr>
        <w:ind w:left="284" w:hanging="284"/>
        <w:rPr>
          <w:color w:val="1F4E79" w:themeColor="accent1" w:themeShade="80"/>
          <w:sz w:val="18"/>
          <w:szCs w:val="18"/>
        </w:rPr>
      </w:pPr>
      <w:r w:rsidRPr="00274BB2">
        <w:rPr>
          <w:color w:val="1F4E79" w:themeColor="accent1" w:themeShade="80"/>
          <w:sz w:val="18"/>
          <w:szCs w:val="18"/>
        </w:rPr>
        <w:t>Compensation Paid to Employees and Directors</w:t>
      </w:r>
    </w:p>
    <w:p w14:paraId="2073BDD0" w14:textId="77777777" w:rsidR="008B7E19" w:rsidRDefault="008B7E19" w:rsidP="008B7E19">
      <w:pPr>
        <w:pStyle w:val="05-Textonormal"/>
      </w:pPr>
      <w:r w:rsidRPr="00D311AA">
        <w:t>On April 15, 2021 and May 27, 2021, an agreement of assignment new version of employees of Banco do Brasil S</w:t>
      </w:r>
      <w:r>
        <w:t>.</w:t>
      </w:r>
      <w:r w:rsidRPr="00D311AA">
        <w:t>A, to BB Seguridade, for the office of Director levels, Management and other positions of trust was signed</w:t>
      </w:r>
      <w:r>
        <w:t xml:space="preserve">. </w:t>
      </w:r>
      <w:r w:rsidRPr="00D311AA">
        <w:t>The Banco do Brasil S</w:t>
      </w:r>
      <w:r>
        <w:t>.</w:t>
      </w:r>
      <w:r w:rsidRPr="00D311AA">
        <w:t>A</w:t>
      </w:r>
      <w:r>
        <w:t>.</w:t>
      </w:r>
      <w:r w:rsidRPr="00D311AA">
        <w:t xml:space="preserve"> continues to process the payroll of the transferred employees, receiving a monthly repayment of all current costs from BB Seguridade.</w:t>
      </w:r>
      <w:r w:rsidRPr="00354D32">
        <w:t xml:space="preserve"> On </w:t>
      </w:r>
      <w:r>
        <w:t xml:space="preserve">Jun </w:t>
      </w:r>
      <w:r w:rsidRPr="00354D32">
        <w:t>3</w:t>
      </w:r>
      <w:r>
        <w:t xml:space="preserve">0, </w:t>
      </w:r>
      <w:r w:rsidRPr="00354D32">
        <w:t>202</w:t>
      </w:r>
      <w:r>
        <w:t>3</w:t>
      </w:r>
      <w:r w:rsidRPr="00354D32">
        <w:t>, there were 17</w:t>
      </w:r>
      <w:r>
        <w:t>8</w:t>
      </w:r>
      <w:r w:rsidRPr="00354D32">
        <w:t xml:space="preserve"> employees assigned (</w:t>
      </w:r>
      <w:r>
        <w:t>173</w:t>
      </w:r>
      <w:r w:rsidRPr="00354D32">
        <w:t xml:space="preserve"> on </w:t>
      </w:r>
      <w:r>
        <w:t xml:space="preserve">Jun </w:t>
      </w:r>
      <w:r w:rsidRPr="00354D32">
        <w:t>3</w:t>
      </w:r>
      <w:r>
        <w:t xml:space="preserve">0, </w:t>
      </w:r>
      <w:r w:rsidRPr="00354D32">
        <w:t>202</w:t>
      </w:r>
      <w:r>
        <w:t>2</w:t>
      </w:r>
      <w:r w:rsidRPr="00354D32">
        <w:t>).</w:t>
      </w:r>
    </w:p>
    <w:p w14:paraId="13459F0B" w14:textId="77777777" w:rsidR="008B7E19" w:rsidRPr="00274BB2" w:rsidRDefault="008B7E19" w:rsidP="00882B41">
      <w:pPr>
        <w:pStyle w:val="03-SubttulodeNota"/>
        <w:numPr>
          <w:ilvl w:val="0"/>
          <w:numId w:val="41"/>
        </w:numPr>
        <w:ind w:left="284" w:hanging="284"/>
        <w:rPr>
          <w:color w:val="1F4E79" w:themeColor="accent1" w:themeShade="80"/>
          <w:sz w:val="18"/>
          <w:szCs w:val="18"/>
        </w:rPr>
      </w:pPr>
      <w:r w:rsidRPr="00274BB2">
        <w:rPr>
          <w:color w:val="1F4E79" w:themeColor="accent1" w:themeShade="80"/>
          <w:sz w:val="18"/>
          <w:szCs w:val="18"/>
        </w:rPr>
        <w:t>Remuneration of employees and managers</w:t>
      </w:r>
    </w:p>
    <w:p w14:paraId="70F33199" w14:textId="77777777" w:rsidR="008B7E19" w:rsidRPr="00D311AA" w:rsidRDefault="008B7E19" w:rsidP="008B7E19">
      <w:pPr>
        <w:pStyle w:val="05-Textonormal"/>
      </w:pPr>
      <w:r w:rsidRPr="00D311AA">
        <w:t>Monthly wages paid to employees and Directors of the BB Seguridade S.A.</w:t>
      </w:r>
    </w:p>
    <w:p w14:paraId="3CC2BB29" w14:textId="77777777" w:rsidR="008B7E19" w:rsidRPr="00D311AA" w:rsidRDefault="008B7E19" w:rsidP="008B7E19">
      <w:pPr>
        <w:pStyle w:val="05-Textonormal"/>
        <w:spacing w:before="0" w:after="0" w:line="240" w:lineRule="auto"/>
        <w:jc w:val="right"/>
        <w:rPr>
          <w:rFonts w:cs="Arial"/>
          <w:b/>
          <w:sz w:val="14"/>
          <w:szCs w:val="14"/>
          <w:lang w:eastAsia="zh-CN"/>
        </w:rPr>
      </w:pPr>
      <w:r w:rsidRPr="00D311AA">
        <w:rPr>
          <w:rFonts w:cs="Arial"/>
          <w:b/>
          <w:sz w:val="14"/>
          <w:szCs w:val="14"/>
          <w:lang w:eastAsia="zh-CN"/>
        </w:rPr>
        <w:tab/>
      </w:r>
      <w:r w:rsidRPr="00D311AA">
        <w:rPr>
          <w:rFonts w:cs="Arial"/>
          <w:b/>
          <w:sz w:val="14"/>
          <w:szCs w:val="14"/>
          <w:lang w:eastAsia="zh-CN"/>
        </w:rPr>
        <w:tab/>
        <w:t>In Reais</w:t>
      </w:r>
    </w:p>
    <w:tbl>
      <w:tblPr>
        <w:tblStyle w:val="TabeladeLista6Colorida-nfase510"/>
        <w:tblW w:w="9747" w:type="dxa"/>
        <w:jc w:val="center"/>
        <w:tblInd w:w="0" w:type="dxa"/>
        <w:tblLook w:val="04A0" w:firstRow="1" w:lastRow="0" w:firstColumn="1" w:lastColumn="0" w:noHBand="0" w:noVBand="1"/>
      </w:tblPr>
      <w:tblGrid>
        <w:gridCol w:w="3094"/>
        <w:gridCol w:w="604"/>
        <w:gridCol w:w="1411"/>
        <w:gridCol w:w="1412"/>
        <w:gridCol w:w="283"/>
        <w:gridCol w:w="1417"/>
        <w:gridCol w:w="1526"/>
      </w:tblGrid>
      <w:tr w:rsidR="008B7E19" w:rsidRPr="00D311AA" w14:paraId="066BCB9F" w14:textId="77777777" w:rsidTr="005B5353">
        <w:trPr>
          <w:cnfStyle w:val="100000000000" w:firstRow="1" w:lastRow="0" w:firstColumn="0" w:lastColumn="0" w:oddVBand="0" w:evenVBand="0" w:oddHBand="0"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6521" w:type="dxa"/>
            <w:gridSpan w:val="4"/>
            <w:tcBorders>
              <w:top w:val="single" w:sz="4" w:space="0" w:color="1F4E79" w:themeColor="accent1" w:themeShade="80"/>
              <w:bottom w:val="single" w:sz="4" w:space="0" w:color="1F4E79" w:themeColor="accent1" w:themeShade="80"/>
            </w:tcBorders>
            <w:shd w:val="clear" w:color="auto" w:fill="auto"/>
          </w:tcPr>
          <w:p w14:paraId="1592E20C" w14:textId="77777777" w:rsidR="008B7E19" w:rsidRPr="00D311AA" w:rsidRDefault="008B7E19" w:rsidP="008B7E19">
            <w:pPr>
              <w:keepNext/>
              <w:keepLines/>
              <w:spacing w:before="40" w:after="40"/>
              <w:jc w:val="right"/>
              <w:rPr>
                <w:rFonts w:cs="Arial"/>
                <w:b w:val="0"/>
                <w:spacing w:val="-2"/>
                <w:sz w:val="14"/>
                <w:szCs w:val="18"/>
              </w:rPr>
            </w:pPr>
          </w:p>
        </w:tc>
        <w:tc>
          <w:tcPr>
            <w:tcW w:w="283" w:type="dxa"/>
            <w:tcBorders>
              <w:top w:val="single" w:sz="4" w:space="0" w:color="1F4E79" w:themeColor="accent1" w:themeShade="80"/>
              <w:bottom w:val="single" w:sz="4" w:space="0" w:color="1F4E79" w:themeColor="accent1" w:themeShade="80"/>
            </w:tcBorders>
            <w:shd w:val="clear" w:color="auto" w:fill="auto"/>
          </w:tcPr>
          <w:p w14:paraId="3EF6AB25" w14:textId="77777777" w:rsidR="008B7E19" w:rsidRPr="00D311AA" w:rsidRDefault="008B7E19" w:rsidP="008B7E19">
            <w:pPr>
              <w:keepNext/>
              <w:keepLines/>
              <w:spacing w:before="40" w:after="40"/>
              <w:jc w:val="right"/>
              <w:cnfStyle w:val="100000000000" w:firstRow="1" w:lastRow="0" w:firstColumn="0" w:lastColumn="0" w:oddVBand="0" w:evenVBand="0" w:oddHBand="0" w:evenHBand="0" w:firstRowFirstColumn="0" w:firstRowLastColumn="0" w:lastRowFirstColumn="0" w:lastRowLastColumn="0"/>
              <w:rPr>
                <w:rFonts w:cs="Arial"/>
                <w:b w:val="0"/>
                <w:spacing w:val="-2"/>
                <w:sz w:val="14"/>
                <w:szCs w:val="18"/>
              </w:rPr>
            </w:pPr>
          </w:p>
        </w:tc>
        <w:tc>
          <w:tcPr>
            <w:tcW w:w="1417" w:type="dxa"/>
            <w:tcBorders>
              <w:top w:val="single" w:sz="4" w:space="0" w:color="1F4E79" w:themeColor="accent1" w:themeShade="80"/>
              <w:bottom w:val="single" w:sz="4" w:space="0" w:color="1F4E79" w:themeColor="accent1" w:themeShade="80"/>
            </w:tcBorders>
            <w:shd w:val="clear" w:color="auto" w:fill="auto"/>
          </w:tcPr>
          <w:p w14:paraId="18107A8B" w14:textId="77777777" w:rsidR="008B7E19" w:rsidRPr="00D311AA" w:rsidRDefault="008B7E19" w:rsidP="008B7E19">
            <w:pPr>
              <w:keepNext/>
              <w:keepLines/>
              <w:spacing w:before="40" w:after="40"/>
              <w:jc w:val="right"/>
              <w:cnfStyle w:val="100000000000" w:firstRow="1" w:lastRow="0" w:firstColumn="0" w:lastColumn="0" w:oddVBand="0" w:evenVBand="0" w:oddHBand="0" w:evenHBand="0" w:firstRowFirstColumn="0" w:firstRowLastColumn="0" w:lastRowFirstColumn="0" w:lastRowLastColumn="0"/>
              <w:rPr>
                <w:rFonts w:cs="Arial"/>
                <w:b w:val="0"/>
                <w:spacing w:val="-2"/>
                <w:sz w:val="14"/>
                <w:szCs w:val="18"/>
              </w:rPr>
            </w:pPr>
            <w:r>
              <w:rPr>
                <w:rFonts w:cs="Arial"/>
                <w:spacing w:val="-2"/>
                <w:sz w:val="14"/>
                <w:szCs w:val="18"/>
              </w:rPr>
              <w:t>June</w:t>
            </w:r>
            <w:r w:rsidRPr="009566CA">
              <w:rPr>
                <w:rFonts w:cs="Arial"/>
                <w:spacing w:val="-2"/>
                <w:sz w:val="14"/>
                <w:szCs w:val="18"/>
              </w:rPr>
              <w:t xml:space="preserve"> 3</w:t>
            </w:r>
            <w:r>
              <w:rPr>
                <w:rFonts w:cs="Arial"/>
                <w:spacing w:val="-2"/>
                <w:sz w:val="14"/>
                <w:szCs w:val="18"/>
              </w:rPr>
              <w:t>0</w:t>
            </w:r>
            <w:r w:rsidRPr="009566CA">
              <w:rPr>
                <w:rFonts w:cs="Arial"/>
                <w:spacing w:val="-2"/>
                <w:sz w:val="14"/>
                <w:szCs w:val="18"/>
              </w:rPr>
              <w:t>, 202</w:t>
            </w:r>
            <w:r>
              <w:rPr>
                <w:rFonts w:cs="Arial"/>
                <w:spacing w:val="-2"/>
                <w:sz w:val="14"/>
                <w:szCs w:val="18"/>
              </w:rPr>
              <w:t>3</w:t>
            </w:r>
          </w:p>
        </w:tc>
        <w:tc>
          <w:tcPr>
            <w:tcW w:w="1526" w:type="dxa"/>
            <w:tcBorders>
              <w:top w:val="single" w:sz="4" w:space="0" w:color="1F4E79" w:themeColor="accent1" w:themeShade="80"/>
              <w:bottom w:val="single" w:sz="4" w:space="0" w:color="1F4E79" w:themeColor="accent1" w:themeShade="80"/>
            </w:tcBorders>
            <w:shd w:val="clear" w:color="auto" w:fill="auto"/>
          </w:tcPr>
          <w:p w14:paraId="4B39E0A4" w14:textId="77777777" w:rsidR="008B7E19" w:rsidRPr="00D311AA" w:rsidRDefault="008B7E19" w:rsidP="008B7E19">
            <w:pPr>
              <w:keepNext/>
              <w:keepLines/>
              <w:spacing w:before="40" w:after="40"/>
              <w:jc w:val="right"/>
              <w:cnfStyle w:val="100000000000" w:firstRow="1" w:lastRow="0" w:firstColumn="0" w:lastColumn="0" w:oddVBand="0" w:evenVBand="0" w:oddHBand="0" w:evenHBand="0" w:firstRowFirstColumn="0" w:firstRowLastColumn="0" w:lastRowFirstColumn="0" w:lastRowLastColumn="0"/>
              <w:rPr>
                <w:rFonts w:cs="Arial"/>
                <w:b w:val="0"/>
                <w:spacing w:val="-2"/>
                <w:sz w:val="14"/>
                <w:szCs w:val="18"/>
              </w:rPr>
            </w:pPr>
            <w:r w:rsidRPr="00D311AA">
              <w:rPr>
                <w:rFonts w:cs="Arial"/>
                <w:spacing w:val="-2"/>
                <w:sz w:val="14"/>
                <w:szCs w:val="18"/>
              </w:rPr>
              <w:t>Dec 31, 202</w:t>
            </w:r>
            <w:r>
              <w:rPr>
                <w:rFonts w:cs="Arial"/>
                <w:spacing w:val="-2"/>
                <w:sz w:val="14"/>
                <w:szCs w:val="18"/>
              </w:rPr>
              <w:t>2</w:t>
            </w:r>
          </w:p>
        </w:tc>
      </w:tr>
      <w:tr w:rsidR="008B7E19" w:rsidRPr="0032222F" w14:paraId="52ADCBD8" w14:textId="77777777" w:rsidTr="005B5353">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3094" w:type="dxa"/>
            <w:tcBorders>
              <w:top w:val="single" w:sz="4" w:space="0" w:color="1F4E79" w:themeColor="accent1" w:themeShade="80"/>
            </w:tcBorders>
            <w:shd w:val="clear" w:color="auto" w:fill="auto"/>
          </w:tcPr>
          <w:p w14:paraId="706F56A5" w14:textId="77777777" w:rsidR="008B7E19" w:rsidRPr="00F50AA9" w:rsidRDefault="008B7E19" w:rsidP="008B7E19">
            <w:pPr>
              <w:pStyle w:val="08-Tabelageral"/>
              <w:jc w:val="left"/>
              <w:rPr>
                <w:b w:val="0"/>
              </w:rPr>
            </w:pPr>
            <w:r w:rsidRPr="00F50AA9">
              <w:rPr>
                <w:b w:val="0"/>
              </w:rPr>
              <w:t>Lowest salary</w:t>
            </w:r>
          </w:p>
        </w:tc>
        <w:tc>
          <w:tcPr>
            <w:tcW w:w="604" w:type="dxa"/>
            <w:tcBorders>
              <w:top w:val="single" w:sz="4" w:space="0" w:color="1F4E79" w:themeColor="accent1" w:themeShade="80"/>
            </w:tcBorders>
            <w:shd w:val="clear" w:color="auto" w:fill="auto"/>
          </w:tcPr>
          <w:p w14:paraId="7A5BE782" w14:textId="77777777" w:rsidR="008B7E19" w:rsidRPr="0032222F"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b/>
              </w:rPr>
            </w:pPr>
          </w:p>
        </w:tc>
        <w:tc>
          <w:tcPr>
            <w:tcW w:w="1411" w:type="dxa"/>
            <w:tcBorders>
              <w:top w:val="single" w:sz="4" w:space="0" w:color="1F4E79" w:themeColor="accent1" w:themeShade="80"/>
            </w:tcBorders>
            <w:shd w:val="clear" w:color="auto" w:fill="auto"/>
          </w:tcPr>
          <w:p w14:paraId="32CD51E6" w14:textId="77777777" w:rsidR="008B7E19" w:rsidRPr="0032222F"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b/>
              </w:rPr>
            </w:pPr>
          </w:p>
        </w:tc>
        <w:tc>
          <w:tcPr>
            <w:tcW w:w="1412" w:type="dxa"/>
            <w:tcBorders>
              <w:top w:val="single" w:sz="4" w:space="0" w:color="1F4E79" w:themeColor="accent1" w:themeShade="80"/>
            </w:tcBorders>
            <w:shd w:val="clear" w:color="auto" w:fill="auto"/>
          </w:tcPr>
          <w:p w14:paraId="09CBBF26" w14:textId="77777777" w:rsidR="008B7E19" w:rsidRPr="0032222F"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b/>
              </w:rPr>
            </w:pPr>
          </w:p>
        </w:tc>
        <w:tc>
          <w:tcPr>
            <w:tcW w:w="283" w:type="dxa"/>
            <w:tcBorders>
              <w:top w:val="single" w:sz="4" w:space="0" w:color="1F4E79" w:themeColor="accent1" w:themeShade="80"/>
            </w:tcBorders>
            <w:shd w:val="clear" w:color="auto" w:fill="auto"/>
          </w:tcPr>
          <w:p w14:paraId="6870B911" w14:textId="77777777" w:rsidR="008B7E19" w:rsidRPr="0032222F"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b/>
              </w:rPr>
            </w:pPr>
          </w:p>
        </w:tc>
        <w:tc>
          <w:tcPr>
            <w:tcW w:w="1417" w:type="dxa"/>
            <w:tcBorders>
              <w:top w:val="single" w:sz="2" w:space="0" w:color="8EAADB" w:themeColor="accent5" w:themeTint="99"/>
            </w:tcBorders>
            <w:shd w:val="clear" w:color="auto" w:fill="auto"/>
            <w:vAlign w:val="center"/>
          </w:tcPr>
          <w:p w14:paraId="4778BE15" w14:textId="77777777" w:rsidR="008B7E19" w:rsidRPr="0032222F"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b/>
              </w:rPr>
            </w:pPr>
            <w:r>
              <w:rPr>
                <w:rStyle w:val="normaltextrun"/>
                <w:rFonts w:cs="Arial"/>
                <w:szCs w:val="14"/>
              </w:rPr>
              <w:t>7,721.75</w:t>
            </w:r>
            <w:r>
              <w:rPr>
                <w:rStyle w:val="eop"/>
                <w:rFonts w:cs="Arial"/>
                <w:szCs w:val="14"/>
              </w:rPr>
              <w:t> </w:t>
            </w:r>
          </w:p>
        </w:tc>
        <w:tc>
          <w:tcPr>
            <w:tcW w:w="1526" w:type="dxa"/>
            <w:tcBorders>
              <w:top w:val="single" w:sz="2" w:space="0" w:color="8EAADB" w:themeColor="accent5" w:themeTint="99"/>
            </w:tcBorders>
            <w:shd w:val="clear" w:color="auto" w:fill="auto"/>
            <w:vAlign w:val="center"/>
          </w:tcPr>
          <w:p w14:paraId="7E20FD99" w14:textId="77777777" w:rsidR="008B7E19" w:rsidRPr="0032222F"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b/>
              </w:rPr>
            </w:pPr>
            <w:r w:rsidRPr="006C2242">
              <w:t>7</w:t>
            </w:r>
            <w:r>
              <w:t>,</w:t>
            </w:r>
            <w:r w:rsidRPr="006C2242">
              <w:t>721</w:t>
            </w:r>
            <w:r>
              <w:t>.</w:t>
            </w:r>
            <w:r w:rsidRPr="006C2242">
              <w:t>75</w:t>
            </w:r>
          </w:p>
        </w:tc>
      </w:tr>
      <w:tr w:rsidR="008B7E19" w:rsidRPr="00D311AA" w14:paraId="038E0F47" w14:textId="77777777" w:rsidTr="005B5353">
        <w:trPr>
          <w:cnfStyle w:val="000000010000" w:firstRow="0" w:lastRow="0" w:firstColumn="0" w:lastColumn="0" w:oddVBand="0" w:evenVBand="0" w:oddHBand="0" w:evenHBand="1"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3094" w:type="dxa"/>
            <w:shd w:val="clear" w:color="auto" w:fill="auto"/>
          </w:tcPr>
          <w:p w14:paraId="707201A5" w14:textId="77777777" w:rsidR="008B7E19" w:rsidRPr="00D311AA" w:rsidRDefault="008B7E19" w:rsidP="008B7E19">
            <w:pPr>
              <w:pStyle w:val="08-Tabelageral"/>
              <w:jc w:val="left"/>
              <w:rPr>
                <w:b w:val="0"/>
              </w:rPr>
            </w:pPr>
            <w:r w:rsidRPr="00D311AA">
              <w:rPr>
                <w:b w:val="0"/>
              </w:rPr>
              <w:t>Highest salary</w:t>
            </w:r>
          </w:p>
        </w:tc>
        <w:tc>
          <w:tcPr>
            <w:tcW w:w="604" w:type="dxa"/>
            <w:shd w:val="clear" w:color="auto" w:fill="auto"/>
          </w:tcPr>
          <w:p w14:paraId="60B61186" w14:textId="77777777" w:rsidR="008B7E19" w:rsidRPr="00D311AA" w:rsidRDefault="008B7E19" w:rsidP="008B7E19">
            <w:pPr>
              <w:pStyle w:val="08-Tabelageral"/>
              <w:cnfStyle w:val="000000010000" w:firstRow="0" w:lastRow="0" w:firstColumn="0" w:lastColumn="0" w:oddVBand="0" w:evenVBand="0" w:oddHBand="0" w:evenHBand="1" w:firstRowFirstColumn="0" w:firstRowLastColumn="0" w:lastRowFirstColumn="0" w:lastRowLastColumn="0"/>
            </w:pPr>
          </w:p>
        </w:tc>
        <w:tc>
          <w:tcPr>
            <w:tcW w:w="1411" w:type="dxa"/>
            <w:shd w:val="clear" w:color="auto" w:fill="auto"/>
          </w:tcPr>
          <w:p w14:paraId="43CB21D0" w14:textId="77777777" w:rsidR="008B7E19" w:rsidRPr="00D311AA" w:rsidRDefault="008B7E19" w:rsidP="008B7E19">
            <w:pPr>
              <w:pStyle w:val="08-Tabelageral"/>
              <w:cnfStyle w:val="000000010000" w:firstRow="0" w:lastRow="0" w:firstColumn="0" w:lastColumn="0" w:oddVBand="0" w:evenVBand="0" w:oddHBand="0" w:evenHBand="1" w:firstRowFirstColumn="0" w:firstRowLastColumn="0" w:lastRowFirstColumn="0" w:lastRowLastColumn="0"/>
            </w:pPr>
          </w:p>
        </w:tc>
        <w:tc>
          <w:tcPr>
            <w:tcW w:w="1412" w:type="dxa"/>
            <w:shd w:val="clear" w:color="auto" w:fill="auto"/>
          </w:tcPr>
          <w:p w14:paraId="62DD0420" w14:textId="77777777" w:rsidR="008B7E19" w:rsidRPr="00D311AA" w:rsidRDefault="008B7E19" w:rsidP="008B7E19">
            <w:pPr>
              <w:pStyle w:val="08-Tabelageral"/>
              <w:cnfStyle w:val="000000010000" w:firstRow="0" w:lastRow="0" w:firstColumn="0" w:lastColumn="0" w:oddVBand="0" w:evenVBand="0" w:oddHBand="0" w:evenHBand="1" w:firstRowFirstColumn="0" w:firstRowLastColumn="0" w:lastRowFirstColumn="0" w:lastRowLastColumn="0"/>
            </w:pPr>
          </w:p>
        </w:tc>
        <w:tc>
          <w:tcPr>
            <w:tcW w:w="283" w:type="dxa"/>
            <w:shd w:val="clear" w:color="auto" w:fill="auto"/>
          </w:tcPr>
          <w:p w14:paraId="53F4181D" w14:textId="77777777" w:rsidR="008B7E19" w:rsidRPr="00D311AA" w:rsidRDefault="008B7E19" w:rsidP="008B7E19">
            <w:pPr>
              <w:pStyle w:val="08-Tabelageral"/>
              <w:cnfStyle w:val="000000010000" w:firstRow="0" w:lastRow="0" w:firstColumn="0" w:lastColumn="0" w:oddVBand="0" w:evenVBand="0" w:oddHBand="0" w:evenHBand="1" w:firstRowFirstColumn="0" w:firstRowLastColumn="0" w:lastRowFirstColumn="0" w:lastRowLastColumn="0"/>
            </w:pPr>
          </w:p>
        </w:tc>
        <w:tc>
          <w:tcPr>
            <w:tcW w:w="1417" w:type="dxa"/>
            <w:shd w:val="clear" w:color="auto" w:fill="auto"/>
            <w:vAlign w:val="center"/>
          </w:tcPr>
          <w:p w14:paraId="564DFE3B" w14:textId="77777777" w:rsidR="008B7E19" w:rsidRPr="00D311AA" w:rsidRDefault="008B7E19" w:rsidP="008B7E19">
            <w:pPr>
              <w:pStyle w:val="08-Tabelageral"/>
              <w:cnfStyle w:val="000000010000" w:firstRow="0" w:lastRow="0" w:firstColumn="0" w:lastColumn="0" w:oddVBand="0" w:evenVBand="0" w:oddHBand="0" w:evenHBand="1" w:firstRowFirstColumn="0" w:firstRowLastColumn="0" w:lastRowFirstColumn="0" w:lastRowLastColumn="0"/>
            </w:pPr>
            <w:r>
              <w:rPr>
                <w:rStyle w:val="normaltextrun"/>
                <w:rFonts w:cs="Arial"/>
                <w:szCs w:val="14"/>
              </w:rPr>
              <w:t>46,140.21</w:t>
            </w:r>
            <w:r>
              <w:rPr>
                <w:rStyle w:val="eop"/>
                <w:rFonts w:cs="Arial"/>
                <w:szCs w:val="14"/>
              </w:rPr>
              <w:t> </w:t>
            </w:r>
          </w:p>
        </w:tc>
        <w:tc>
          <w:tcPr>
            <w:tcW w:w="1526" w:type="dxa"/>
            <w:shd w:val="clear" w:color="auto" w:fill="auto"/>
            <w:vAlign w:val="center"/>
          </w:tcPr>
          <w:p w14:paraId="091EF447" w14:textId="77777777" w:rsidR="008B7E19" w:rsidRPr="00D311AA" w:rsidRDefault="008B7E19" w:rsidP="008B7E19">
            <w:pPr>
              <w:pStyle w:val="08-Tabelageral"/>
              <w:cnfStyle w:val="000000010000" w:firstRow="0" w:lastRow="0" w:firstColumn="0" w:lastColumn="0" w:oddVBand="0" w:evenVBand="0" w:oddHBand="0" w:evenHBand="1" w:firstRowFirstColumn="0" w:firstRowLastColumn="0" w:lastRowFirstColumn="0" w:lastRowLastColumn="0"/>
            </w:pPr>
            <w:r w:rsidRPr="006C2242">
              <w:t>46</w:t>
            </w:r>
            <w:r>
              <w:t>,</w:t>
            </w:r>
            <w:r w:rsidRPr="006C2242">
              <w:t>140</w:t>
            </w:r>
            <w:r>
              <w:t>.</w:t>
            </w:r>
            <w:r w:rsidRPr="006C2242">
              <w:t>21</w:t>
            </w:r>
          </w:p>
        </w:tc>
      </w:tr>
      <w:tr w:rsidR="008B7E19" w:rsidRPr="00D311AA" w14:paraId="1538AED8" w14:textId="77777777" w:rsidTr="005B5353">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3094" w:type="dxa"/>
            <w:shd w:val="clear" w:color="auto" w:fill="auto"/>
          </w:tcPr>
          <w:p w14:paraId="7BECD534" w14:textId="77777777" w:rsidR="008B7E19" w:rsidRPr="00D311AA" w:rsidRDefault="008B7E19" w:rsidP="008B7E19">
            <w:pPr>
              <w:pStyle w:val="08-Tabelageral"/>
              <w:jc w:val="left"/>
              <w:rPr>
                <w:b w:val="0"/>
              </w:rPr>
            </w:pPr>
            <w:r w:rsidRPr="00D311AA">
              <w:rPr>
                <w:b w:val="0"/>
              </w:rPr>
              <w:t>Average salary</w:t>
            </w:r>
          </w:p>
        </w:tc>
        <w:tc>
          <w:tcPr>
            <w:tcW w:w="604" w:type="dxa"/>
            <w:shd w:val="clear" w:color="auto" w:fill="auto"/>
          </w:tcPr>
          <w:p w14:paraId="47BC37DB" w14:textId="77777777" w:rsidR="008B7E19" w:rsidRPr="00D311AA" w:rsidRDefault="008B7E19" w:rsidP="008B7E19">
            <w:pPr>
              <w:pStyle w:val="08-Tabelageral"/>
              <w:cnfStyle w:val="000000100000" w:firstRow="0" w:lastRow="0" w:firstColumn="0" w:lastColumn="0" w:oddVBand="0" w:evenVBand="0" w:oddHBand="1" w:evenHBand="0" w:firstRowFirstColumn="0" w:firstRowLastColumn="0" w:lastRowFirstColumn="0" w:lastRowLastColumn="0"/>
            </w:pPr>
          </w:p>
        </w:tc>
        <w:tc>
          <w:tcPr>
            <w:tcW w:w="1411" w:type="dxa"/>
            <w:shd w:val="clear" w:color="auto" w:fill="auto"/>
          </w:tcPr>
          <w:p w14:paraId="1AB7B217" w14:textId="77777777" w:rsidR="008B7E19" w:rsidRPr="00D311AA" w:rsidRDefault="008B7E19" w:rsidP="008B7E19">
            <w:pPr>
              <w:pStyle w:val="08-Tabelageral"/>
              <w:cnfStyle w:val="000000100000" w:firstRow="0" w:lastRow="0" w:firstColumn="0" w:lastColumn="0" w:oddVBand="0" w:evenVBand="0" w:oddHBand="1" w:evenHBand="0" w:firstRowFirstColumn="0" w:firstRowLastColumn="0" w:lastRowFirstColumn="0" w:lastRowLastColumn="0"/>
            </w:pPr>
          </w:p>
        </w:tc>
        <w:tc>
          <w:tcPr>
            <w:tcW w:w="1412" w:type="dxa"/>
            <w:shd w:val="clear" w:color="auto" w:fill="auto"/>
          </w:tcPr>
          <w:p w14:paraId="1437D48E" w14:textId="77777777" w:rsidR="008B7E19" w:rsidRPr="00D311AA" w:rsidRDefault="008B7E19" w:rsidP="008B7E19">
            <w:pPr>
              <w:pStyle w:val="08-Tabelageral"/>
              <w:cnfStyle w:val="000000100000" w:firstRow="0" w:lastRow="0" w:firstColumn="0" w:lastColumn="0" w:oddVBand="0" w:evenVBand="0" w:oddHBand="1" w:evenHBand="0" w:firstRowFirstColumn="0" w:firstRowLastColumn="0" w:lastRowFirstColumn="0" w:lastRowLastColumn="0"/>
            </w:pPr>
          </w:p>
        </w:tc>
        <w:tc>
          <w:tcPr>
            <w:tcW w:w="283" w:type="dxa"/>
            <w:shd w:val="clear" w:color="auto" w:fill="auto"/>
          </w:tcPr>
          <w:p w14:paraId="3CE207E7" w14:textId="77777777" w:rsidR="008B7E19" w:rsidRPr="00D311AA" w:rsidRDefault="008B7E19" w:rsidP="008B7E19">
            <w:pPr>
              <w:pStyle w:val="08-Tabelageral"/>
              <w:cnfStyle w:val="000000100000" w:firstRow="0" w:lastRow="0" w:firstColumn="0" w:lastColumn="0" w:oddVBand="0" w:evenVBand="0" w:oddHBand="1" w:evenHBand="0" w:firstRowFirstColumn="0" w:firstRowLastColumn="0" w:lastRowFirstColumn="0" w:lastRowLastColumn="0"/>
            </w:pPr>
          </w:p>
        </w:tc>
        <w:tc>
          <w:tcPr>
            <w:tcW w:w="1417" w:type="dxa"/>
            <w:shd w:val="clear" w:color="auto" w:fill="auto"/>
            <w:vAlign w:val="center"/>
          </w:tcPr>
          <w:p w14:paraId="46560B39" w14:textId="77777777" w:rsidR="008B7E19" w:rsidRPr="00D311AA" w:rsidRDefault="008B7E19" w:rsidP="008B7E19">
            <w:pPr>
              <w:pStyle w:val="08-Tabelageral"/>
              <w:cnfStyle w:val="000000100000" w:firstRow="0" w:lastRow="0" w:firstColumn="0" w:lastColumn="0" w:oddVBand="0" w:evenVBand="0" w:oddHBand="1" w:evenHBand="0" w:firstRowFirstColumn="0" w:firstRowLastColumn="0" w:lastRowFirstColumn="0" w:lastRowLastColumn="0"/>
            </w:pPr>
            <w:r>
              <w:rPr>
                <w:rStyle w:val="normaltextrun"/>
                <w:rFonts w:cs="Arial"/>
                <w:szCs w:val="14"/>
              </w:rPr>
              <w:t>18,039.07</w:t>
            </w:r>
            <w:r>
              <w:rPr>
                <w:rStyle w:val="eop"/>
                <w:rFonts w:cs="Arial"/>
                <w:szCs w:val="14"/>
              </w:rPr>
              <w:t> </w:t>
            </w:r>
          </w:p>
        </w:tc>
        <w:tc>
          <w:tcPr>
            <w:tcW w:w="1526" w:type="dxa"/>
            <w:shd w:val="clear" w:color="auto" w:fill="auto"/>
            <w:vAlign w:val="center"/>
          </w:tcPr>
          <w:p w14:paraId="6DF96F88" w14:textId="77777777" w:rsidR="008B7E19" w:rsidRPr="00D311AA" w:rsidRDefault="008B7E19" w:rsidP="008B7E19">
            <w:pPr>
              <w:pStyle w:val="08-Tabelageral"/>
              <w:cnfStyle w:val="000000100000" w:firstRow="0" w:lastRow="0" w:firstColumn="0" w:lastColumn="0" w:oddVBand="0" w:evenVBand="0" w:oddHBand="1" w:evenHBand="0" w:firstRowFirstColumn="0" w:firstRowLastColumn="0" w:lastRowFirstColumn="0" w:lastRowLastColumn="0"/>
            </w:pPr>
            <w:r w:rsidRPr="006C2242">
              <w:t>18</w:t>
            </w:r>
            <w:r>
              <w:t>,</w:t>
            </w:r>
            <w:r w:rsidRPr="006C2242">
              <w:t>151</w:t>
            </w:r>
            <w:r>
              <w:t>.</w:t>
            </w:r>
            <w:r w:rsidRPr="006C2242">
              <w:t>96</w:t>
            </w:r>
          </w:p>
        </w:tc>
      </w:tr>
      <w:tr w:rsidR="008B7E19" w:rsidRPr="00D311AA" w14:paraId="16230D78" w14:textId="77777777" w:rsidTr="005B5353">
        <w:trPr>
          <w:cnfStyle w:val="000000010000" w:firstRow="0" w:lastRow="0" w:firstColumn="0" w:lastColumn="0" w:oddVBand="0" w:evenVBand="0" w:oddHBand="0" w:evenHBand="1"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3094" w:type="dxa"/>
            <w:shd w:val="clear" w:color="auto" w:fill="auto"/>
          </w:tcPr>
          <w:p w14:paraId="3A984074" w14:textId="77777777" w:rsidR="008B7E19" w:rsidRPr="00D311AA" w:rsidRDefault="008B7E19" w:rsidP="008B7E19">
            <w:pPr>
              <w:pStyle w:val="08-Tabelageral"/>
              <w:jc w:val="left"/>
              <w:rPr>
                <w:b w:val="0"/>
              </w:rPr>
            </w:pPr>
          </w:p>
        </w:tc>
        <w:tc>
          <w:tcPr>
            <w:tcW w:w="604" w:type="dxa"/>
            <w:shd w:val="clear" w:color="auto" w:fill="auto"/>
          </w:tcPr>
          <w:p w14:paraId="7DED6D84" w14:textId="77777777" w:rsidR="008B7E19" w:rsidRPr="00D311AA" w:rsidRDefault="008B7E19" w:rsidP="008B7E19">
            <w:pPr>
              <w:pStyle w:val="08-Tabelageral"/>
              <w:cnfStyle w:val="000000010000" w:firstRow="0" w:lastRow="0" w:firstColumn="0" w:lastColumn="0" w:oddVBand="0" w:evenVBand="0" w:oddHBand="0" w:evenHBand="1" w:firstRowFirstColumn="0" w:firstRowLastColumn="0" w:lastRowFirstColumn="0" w:lastRowLastColumn="0"/>
            </w:pPr>
          </w:p>
        </w:tc>
        <w:tc>
          <w:tcPr>
            <w:tcW w:w="1411" w:type="dxa"/>
            <w:shd w:val="clear" w:color="auto" w:fill="auto"/>
          </w:tcPr>
          <w:p w14:paraId="188F56D1" w14:textId="77777777" w:rsidR="008B7E19" w:rsidRPr="00D311AA" w:rsidRDefault="008B7E19" w:rsidP="008B7E19">
            <w:pPr>
              <w:pStyle w:val="08-Tabelageral"/>
              <w:cnfStyle w:val="000000010000" w:firstRow="0" w:lastRow="0" w:firstColumn="0" w:lastColumn="0" w:oddVBand="0" w:evenVBand="0" w:oddHBand="0" w:evenHBand="1" w:firstRowFirstColumn="0" w:firstRowLastColumn="0" w:lastRowFirstColumn="0" w:lastRowLastColumn="0"/>
            </w:pPr>
          </w:p>
        </w:tc>
        <w:tc>
          <w:tcPr>
            <w:tcW w:w="1412" w:type="dxa"/>
            <w:shd w:val="clear" w:color="auto" w:fill="auto"/>
          </w:tcPr>
          <w:p w14:paraId="4E025F20" w14:textId="77777777" w:rsidR="008B7E19" w:rsidRPr="00D311AA" w:rsidRDefault="008B7E19" w:rsidP="008B7E19">
            <w:pPr>
              <w:pStyle w:val="08-Tabelageral"/>
              <w:cnfStyle w:val="000000010000" w:firstRow="0" w:lastRow="0" w:firstColumn="0" w:lastColumn="0" w:oddVBand="0" w:evenVBand="0" w:oddHBand="0" w:evenHBand="1" w:firstRowFirstColumn="0" w:firstRowLastColumn="0" w:lastRowFirstColumn="0" w:lastRowLastColumn="0"/>
            </w:pPr>
          </w:p>
        </w:tc>
        <w:tc>
          <w:tcPr>
            <w:tcW w:w="283" w:type="dxa"/>
            <w:shd w:val="clear" w:color="auto" w:fill="auto"/>
          </w:tcPr>
          <w:p w14:paraId="4C08283D" w14:textId="77777777" w:rsidR="008B7E19" w:rsidRPr="00D311AA" w:rsidRDefault="008B7E19" w:rsidP="008B7E19">
            <w:pPr>
              <w:pStyle w:val="08-Tabelageral"/>
              <w:cnfStyle w:val="000000010000" w:firstRow="0" w:lastRow="0" w:firstColumn="0" w:lastColumn="0" w:oddVBand="0" w:evenVBand="0" w:oddHBand="0" w:evenHBand="1" w:firstRowFirstColumn="0" w:firstRowLastColumn="0" w:lastRowFirstColumn="0" w:lastRowLastColumn="0"/>
            </w:pPr>
          </w:p>
        </w:tc>
        <w:tc>
          <w:tcPr>
            <w:tcW w:w="1417" w:type="dxa"/>
            <w:shd w:val="clear" w:color="auto" w:fill="auto"/>
            <w:vAlign w:val="center"/>
          </w:tcPr>
          <w:p w14:paraId="6FFC8F4A" w14:textId="77777777" w:rsidR="008B7E19" w:rsidRPr="00D311AA" w:rsidRDefault="008B7E19" w:rsidP="008B7E19">
            <w:pPr>
              <w:pStyle w:val="08-Tabelageral"/>
              <w:cnfStyle w:val="000000010000" w:firstRow="0" w:lastRow="0" w:firstColumn="0" w:lastColumn="0" w:oddVBand="0" w:evenVBand="0" w:oddHBand="0" w:evenHBand="1" w:firstRowFirstColumn="0" w:firstRowLastColumn="0" w:lastRowFirstColumn="0" w:lastRowLastColumn="0"/>
            </w:pPr>
            <w:r>
              <w:rPr>
                <w:rStyle w:val="eop"/>
                <w:rFonts w:cs="Arial"/>
                <w:szCs w:val="14"/>
              </w:rPr>
              <w:t> </w:t>
            </w:r>
          </w:p>
        </w:tc>
        <w:tc>
          <w:tcPr>
            <w:tcW w:w="1526" w:type="dxa"/>
            <w:shd w:val="clear" w:color="auto" w:fill="auto"/>
            <w:vAlign w:val="center"/>
          </w:tcPr>
          <w:p w14:paraId="4711EFA3" w14:textId="77777777" w:rsidR="008B7E19" w:rsidRPr="00D311AA" w:rsidRDefault="008B7E19" w:rsidP="008B7E19">
            <w:pPr>
              <w:pStyle w:val="08-Tabelageral"/>
              <w:cnfStyle w:val="000000010000" w:firstRow="0" w:lastRow="0" w:firstColumn="0" w:lastColumn="0" w:oddVBand="0" w:evenVBand="0" w:oddHBand="0" w:evenHBand="1" w:firstRowFirstColumn="0" w:firstRowLastColumn="0" w:lastRowFirstColumn="0" w:lastRowLastColumn="0"/>
            </w:pPr>
          </w:p>
        </w:tc>
      </w:tr>
      <w:tr w:rsidR="008B7E19" w:rsidRPr="0032222F" w14:paraId="3C012932" w14:textId="77777777" w:rsidTr="005B5353">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3094" w:type="dxa"/>
            <w:shd w:val="clear" w:color="auto" w:fill="auto"/>
          </w:tcPr>
          <w:p w14:paraId="59C8727C" w14:textId="77777777" w:rsidR="008B7E19" w:rsidRPr="0032222F" w:rsidRDefault="008B7E19" w:rsidP="008B7E19">
            <w:pPr>
              <w:pStyle w:val="08-Tabelageral"/>
              <w:jc w:val="left"/>
              <w:rPr>
                <w:bCs w:val="0"/>
              </w:rPr>
            </w:pPr>
            <w:r w:rsidRPr="0032222F">
              <w:rPr>
                <w:bCs w:val="0"/>
              </w:rPr>
              <w:t xml:space="preserve">Management </w:t>
            </w:r>
          </w:p>
        </w:tc>
        <w:tc>
          <w:tcPr>
            <w:tcW w:w="604" w:type="dxa"/>
            <w:shd w:val="clear" w:color="auto" w:fill="auto"/>
          </w:tcPr>
          <w:p w14:paraId="79DCDA3B" w14:textId="77777777" w:rsidR="008B7E19" w:rsidRPr="0032222F"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b/>
              </w:rPr>
            </w:pPr>
          </w:p>
        </w:tc>
        <w:tc>
          <w:tcPr>
            <w:tcW w:w="1411" w:type="dxa"/>
            <w:shd w:val="clear" w:color="auto" w:fill="auto"/>
          </w:tcPr>
          <w:p w14:paraId="28AD0BD0" w14:textId="77777777" w:rsidR="008B7E19" w:rsidRPr="0032222F"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b/>
              </w:rPr>
            </w:pPr>
          </w:p>
        </w:tc>
        <w:tc>
          <w:tcPr>
            <w:tcW w:w="1412" w:type="dxa"/>
            <w:shd w:val="clear" w:color="auto" w:fill="auto"/>
          </w:tcPr>
          <w:p w14:paraId="11AAE024" w14:textId="77777777" w:rsidR="008B7E19" w:rsidRPr="0032222F"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b/>
              </w:rPr>
            </w:pPr>
          </w:p>
        </w:tc>
        <w:tc>
          <w:tcPr>
            <w:tcW w:w="283" w:type="dxa"/>
            <w:shd w:val="clear" w:color="auto" w:fill="auto"/>
          </w:tcPr>
          <w:p w14:paraId="636573AF" w14:textId="77777777" w:rsidR="008B7E19" w:rsidRPr="0032222F"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b/>
              </w:rPr>
            </w:pPr>
          </w:p>
        </w:tc>
        <w:tc>
          <w:tcPr>
            <w:tcW w:w="1417" w:type="dxa"/>
            <w:shd w:val="clear" w:color="auto" w:fill="auto"/>
            <w:vAlign w:val="center"/>
          </w:tcPr>
          <w:p w14:paraId="4613D9AA" w14:textId="77777777" w:rsidR="008B7E19" w:rsidRPr="0032222F"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b/>
              </w:rPr>
            </w:pPr>
            <w:r>
              <w:rPr>
                <w:rStyle w:val="eop"/>
                <w:rFonts w:cs="Arial"/>
                <w:szCs w:val="14"/>
              </w:rPr>
              <w:t> </w:t>
            </w:r>
          </w:p>
        </w:tc>
        <w:tc>
          <w:tcPr>
            <w:tcW w:w="1526" w:type="dxa"/>
            <w:shd w:val="clear" w:color="auto" w:fill="auto"/>
            <w:vAlign w:val="center"/>
          </w:tcPr>
          <w:p w14:paraId="0292277A" w14:textId="77777777" w:rsidR="008B7E19" w:rsidRPr="0032222F"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b/>
              </w:rPr>
            </w:pPr>
          </w:p>
        </w:tc>
      </w:tr>
      <w:tr w:rsidR="008B7E19" w:rsidRPr="00D311AA" w14:paraId="79EB73AB" w14:textId="77777777" w:rsidTr="005B5353">
        <w:trPr>
          <w:cnfStyle w:val="000000010000" w:firstRow="0" w:lastRow="0" w:firstColumn="0" w:lastColumn="0" w:oddVBand="0" w:evenVBand="0" w:oddHBand="0" w:evenHBand="1"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3094" w:type="dxa"/>
            <w:shd w:val="clear" w:color="auto" w:fill="auto"/>
          </w:tcPr>
          <w:p w14:paraId="13962DA6" w14:textId="77777777" w:rsidR="008B7E19" w:rsidRPr="00D311AA" w:rsidRDefault="008B7E19" w:rsidP="008B7E19">
            <w:pPr>
              <w:pStyle w:val="08-Tabelageral"/>
              <w:jc w:val="left"/>
              <w:rPr>
                <w:b w:val="0"/>
              </w:rPr>
            </w:pPr>
            <w:r w:rsidRPr="00D311AA">
              <w:rPr>
                <w:b w:val="0"/>
              </w:rPr>
              <w:t>Director-President</w:t>
            </w:r>
          </w:p>
        </w:tc>
        <w:tc>
          <w:tcPr>
            <w:tcW w:w="604" w:type="dxa"/>
            <w:shd w:val="clear" w:color="auto" w:fill="auto"/>
          </w:tcPr>
          <w:p w14:paraId="0361F28E" w14:textId="77777777" w:rsidR="008B7E19" w:rsidRPr="00D311AA" w:rsidRDefault="008B7E19" w:rsidP="008B7E19">
            <w:pPr>
              <w:pStyle w:val="08-Tabelageral"/>
              <w:cnfStyle w:val="000000010000" w:firstRow="0" w:lastRow="0" w:firstColumn="0" w:lastColumn="0" w:oddVBand="0" w:evenVBand="0" w:oddHBand="0" w:evenHBand="1" w:firstRowFirstColumn="0" w:firstRowLastColumn="0" w:lastRowFirstColumn="0" w:lastRowLastColumn="0"/>
            </w:pPr>
          </w:p>
        </w:tc>
        <w:tc>
          <w:tcPr>
            <w:tcW w:w="1411" w:type="dxa"/>
            <w:shd w:val="clear" w:color="auto" w:fill="auto"/>
          </w:tcPr>
          <w:p w14:paraId="5FA2DC5E" w14:textId="77777777" w:rsidR="008B7E19" w:rsidRPr="00D311AA" w:rsidRDefault="008B7E19" w:rsidP="008B7E19">
            <w:pPr>
              <w:pStyle w:val="08-Tabelageral"/>
              <w:cnfStyle w:val="000000010000" w:firstRow="0" w:lastRow="0" w:firstColumn="0" w:lastColumn="0" w:oddVBand="0" w:evenVBand="0" w:oddHBand="0" w:evenHBand="1" w:firstRowFirstColumn="0" w:firstRowLastColumn="0" w:lastRowFirstColumn="0" w:lastRowLastColumn="0"/>
            </w:pPr>
          </w:p>
        </w:tc>
        <w:tc>
          <w:tcPr>
            <w:tcW w:w="1412" w:type="dxa"/>
            <w:shd w:val="clear" w:color="auto" w:fill="auto"/>
          </w:tcPr>
          <w:p w14:paraId="05ECF77D" w14:textId="77777777" w:rsidR="008B7E19" w:rsidRPr="00D311AA" w:rsidRDefault="008B7E19" w:rsidP="008B7E19">
            <w:pPr>
              <w:pStyle w:val="08-Tabelageral"/>
              <w:cnfStyle w:val="000000010000" w:firstRow="0" w:lastRow="0" w:firstColumn="0" w:lastColumn="0" w:oddVBand="0" w:evenVBand="0" w:oddHBand="0" w:evenHBand="1" w:firstRowFirstColumn="0" w:firstRowLastColumn="0" w:lastRowFirstColumn="0" w:lastRowLastColumn="0"/>
            </w:pPr>
          </w:p>
        </w:tc>
        <w:tc>
          <w:tcPr>
            <w:tcW w:w="283" w:type="dxa"/>
            <w:shd w:val="clear" w:color="auto" w:fill="auto"/>
          </w:tcPr>
          <w:p w14:paraId="6EDF3B1E" w14:textId="77777777" w:rsidR="008B7E19" w:rsidRPr="00D311AA" w:rsidRDefault="008B7E19" w:rsidP="008B7E19">
            <w:pPr>
              <w:pStyle w:val="08-Tabelageral"/>
              <w:cnfStyle w:val="000000010000" w:firstRow="0" w:lastRow="0" w:firstColumn="0" w:lastColumn="0" w:oddVBand="0" w:evenVBand="0" w:oddHBand="0" w:evenHBand="1" w:firstRowFirstColumn="0" w:firstRowLastColumn="0" w:lastRowFirstColumn="0" w:lastRowLastColumn="0"/>
            </w:pPr>
          </w:p>
        </w:tc>
        <w:tc>
          <w:tcPr>
            <w:tcW w:w="1417" w:type="dxa"/>
            <w:shd w:val="clear" w:color="auto" w:fill="auto"/>
          </w:tcPr>
          <w:p w14:paraId="04EBDD65" w14:textId="77777777" w:rsidR="008B7E19" w:rsidRPr="00D311AA" w:rsidRDefault="008B7E19" w:rsidP="008B7E19">
            <w:pPr>
              <w:pStyle w:val="08-Tabelageral"/>
              <w:cnfStyle w:val="000000010000" w:firstRow="0" w:lastRow="0" w:firstColumn="0" w:lastColumn="0" w:oddVBand="0" w:evenVBand="0" w:oddHBand="0" w:evenHBand="1" w:firstRowFirstColumn="0" w:firstRowLastColumn="0" w:lastRowFirstColumn="0" w:lastRowLastColumn="0"/>
            </w:pPr>
            <w:r>
              <w:rPr>
                <w:rStyle w:val="normaltextrun"/>
                <w:rFonts w:cs="Arial"/>
                <w:szCs w:val="14"/>
              </w:rPr>
              <w:t>67,105.66</w:t>
            </w:r>
            <w:r>
              <w:rPr>
                <w:rStyle w:val="eop"/>
                <w:rFonts w:cs="Arial"/>
                <w:szCs w:val="14"/>
              </w:rPr>
              <w:t> </w:t>
            </w:r>
          </w:p>
        </w:tc>
        <w:tc>
          <w:tcPr>
            <w:tcW w:w="1526" w:type="dxa"/>
            <w:shd w:val="clear" w:color="auto" w:fill="auto"/>
          </w:tcPr>
          <w:p w14:paraId="679929F4" w14:textId="77777777" w:rsidR="008B7E19" w:rsidRPr="00D311AA" w:rsidRDefault="008B7E19" w:rsidP="008B7E19">
            <w:pPr>
              <w:pStyle w:val="08-Tabelageral"/>
              <w:cnfStyle w:val="000000010000" w:firstRow="0" w:lastRow="0" w:firstColumn="0" w:lastColumn="0" w:oddVBand="0" w:evenVBand="0" w:oddHBand="0" w:evenHBand="1" w:firstRowFirstColumn="0" w:firstRowLastColumn="0" w:lastRowFirstColumn="0" w:lastRowLastColumn="0"/>
            </w:pPr>
            <w:r w:rsidRPr="006C2242">
              <w:t>61</w:t>
            </w:r>
            <w:r>
              <w:t>,</w:t>
            </w:r>
            <w:r w:rsidRPr="006C2242">
              <w:t>564</w:t>
            </w:r>
            <w:r>
              <w:t>.</w:t>
            </w:r>
            <w:r w:rsidRPr="006C2242">
              <w:t>83</w:t>
            </w:r>
          </w:p>
        </w:tc>
      </w:tr>
      <w:tr w:rsidR="008B7E19" w:rsidRPr="00D311AA" w14:paraId="7BC1AD10" w14:textId="77777777" w:rsidTr="005B5353">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3094" w:type="dxa"/>
            <w:shd w:val="clear" w:color="auto" w:fill="auto"/>
          </w:tcPr>
          <w:p w14:paraId="58C154E4" w14:textId="77777777" w:rsidR="008B7E19" w:rsidRPr="00D311AA" w:rsidRDefault="008B7E19" w:rsidP="008B7E19">
            <w:pPr>
              <w:pStyle w:val="08-Tabelageral"/>
              <w:jc w:val="left"/>
              <w:rPr>
                <w:b w:val="0"/>
              </w:rPr>
            </w:pPr>
            <w:r w:rsidRPr="00D311AA">
              <w:rPr>
                <w:b w:val="0"/>
              </w:rPr>
              <w:t>Director</w:t>
            </w:r>
          </w:p>
        </w:tc>
        <w:tc>
          <w:tcPr>
            <w:tcW w:w="604" w:type="dxa"/>
            <w:shd w:val="clear" w:color="auto" w:fill="auto"/>
          </w:tcPr>
          <w:p w14:paraId="0BE28CB7" w14:textId="77777777" w:rsidR="008B7E19" w:rsidRPr="00D311AA" w:rsidRDefault="008B7E19" w:rsidP="008B7E19">
            <w:pPr>
              <w:pStyle w:val="08-Tabelageral"/>
              <w:cnfStyle w:val="000000100000" w:firstRow="0" w:lastRow="0" w:firstColumn="0" w:lastColumn="0" w:oddVBand="0" w:evenVBand="0" w:oddHBand="1" w:evenHBand="0" w:firstRowFirstColumn="0" w:firstRowLastColumn="0" w:lastRowFirstColumn="0" w:lastRowLastColumn="0"/>
            </w:pPr>
          </w:p>
        </w:tc>
        <w:tc>
          <w:tcPr>
            <w:tcW w:w="1411" w:type="dxa"/>
            <w:shd w:val="clear" w:color="auto" w:fill="auto"/>
          </w:tcPr>
          <w:p w14:paraId="0D3D12D0" w14:textId="77777777" w:rsidR="008B7E19" w:rsidRPr="00D311AA" w:rsidRDefault="008B7E19" w:rsidP="008B7E19">
            <w:pPr>
              <w:pStyle w:val="08-Tabelageral"/>
              <w:cnfStyle w:val="000000100000" w:firstRow="0" w:lastRow="0" w:firstColumn="0" w:lastColumn="0" w:oddVBand="0" w:evenVBand="0" w:oddHBand="1" w:evenHBand="0" w:firstRowFirstColumn="0" w:firstRowLastColumn="0" w:lastRowFirstColumn="0" w:lastRowLastColumn="0"/>
            </w:pPr>
          </w:p>
        </w:tc>
        <w:tc>
          <w:tcPr>
            <w:tcW w:w="1412" w:type="dxa"/>
            <w:shd w:val="clear" w:color="auto" w:fill="auto"/>
          </w:tcPr>
          <w:p w14:paraId="7B07703A" w14:textId="77777777" w:rsidR="008B7E19" w:rsidRPr="00D311AA" w:rsidRDefault="008B7E19" w:rsidP="008B7E19">
            <w:pPr>
              <w:pStyle w:val="08-Tabelageral"/>
              <w:cnfStyle w:val="000000100000" w:firstRow="0" w:lastRow="0" w:firstColumn="0" w:lastColumn="0" w:oddVBand="0" w:evenVBand="0" w:oddHBand="1" w:evenHBand="0" w:firstRowFirstColumn="0" w:firstRowLastColumn="0" w:lastRowFirstColumn="0" w:lastRowLastColumn="0"/>
            </w:pPr>
          </w:p>
        </w:tc>
        <w:tc>
          <w:tcPr>
            <w:tcW w:w="283" w:type="dxa"/>
            <w:shd w:val="clear" w:color="auto" w:fill="auto"/>
          </w:tcPr>
          <w:p w14:paraId="676969E3" w14:textId="77777777" w:rsidR="008B7E19" w:rsidRPr="00D311AA" w:rsidRDefault="008B7E19" w:rsidP="008B7E19">
            <w:pPr>
              <w:pStyle w:val="08-Tabelageral"/>
              <w:cnfStyle w:val="000000100000" w:firstRow="0" w:lastRow="0" w:firstColumn="0" w:lastColumn="0" w:oddVBand="0" w:evenVBand="0" w:oddHBand="1" w:evenHBand="0" w:firstRowFirstColumn="0" w:firstRowLastColumn="0" w:lastRowFirstColumn="0" w:lastRowLastColumn="0"/>
            </w:pPr>
          </w:p>
        </w:tc>
        <w:tc>
          <w:tcPr>
            <w:tcW w:w="1417" w:type="dxa"/>
            <w:shd w:val="clear" w:color="auto" w:fill="auto"/>
          </w:tcPr>
          <w:p w14:paraId="52101D61" w14:textId="77777777" w:rsidR="008B7E19" w:rsidRPr="00D311AA" w:rsidRDefault="008B7E19" w:rsidP="008B7E19">
            <w:pPr>
              <w:pStyle w:val="08-Tabelageral"/>
              <w:cnfStyle w:val="000000100000" w:firstRow="0" w:lastRow="0" w:firstColumn="0" w:lastColumn="0" w:oddVBand="0" w:evenVBand="0" w:oddHBand="1" w:evenHBand="0" w:firstRowFirstColumn="0" w:firstRowLastColumn="0" w:lastRowFirstColumn="0" w:lastRowLastColumn="0"/>
            </w:pPr>
            <w:r>
              <w:rPr>
                <w:rStyle w:val="normaltextrun"/>
                <w:rFonts w:cs="Arial"/>
                <w:szCs w:val="14"/>
              </w:rPr>
              <w:t>56,873.42</w:t>
            </w:r>
            <w:r>
              <w:rPr>
                <w:rStyle w:val="eop"/>
                <w:rFonts w:cs="Arial"/>
                <w:szCs w:val="14"/>
              </w:rPr>
              <w:t> </w:t>
            </w:r>
          </w:p>
        </w:tc>
        <w:tc>
          <w:tcPr>
            <w:tcW w:w="1526" w:type="dxa"/>
            <w:shd w:val="clear" w:color="auto" w:fill="auto"/>
          </w:tcPr>
          <w:p w14:paraId="4F43EC00" w14:textId="77777777" w:rsidR="008B7E19" w:rsidRPr="00D311AA" w:rsidRDefault="008B7E19" w:rsidP="008B7E19">
            <w:pPr>
              <w:pStyle w:val="08-Tabelageral"/>
              <w:cnfStyle w:val="000000100000" w:firstRow="0" w:lastRow="0" w:firstColumn="0" w:lastColumn="0" w:oddVBand="0" w:evenVBand="0" w:oddHBand="1" w:evenHBand="0" w:firstRowFirstColumn="0" w:firstRowLastColumn="0" w:lastRowFirstColumn="0" w:lastRowLastColumn="0"/>
            </w:pPr>
            <w:r w:rsidRPr="006C2242">
              <w:t>52</w:t>
            </w:r>
            <w:r>
              <w:t>,</w:t>
            </w:r>
            <w:r w:rsidRPr="006C2242">
              <w:t>177</w:t>
            </w:r>
            <w:r>
              <w:t>.</w:t>
            </w:r>
            <w:r w:rsidRPr="006C2242">
              <w:t>45</w:t>
            </w:r>
          </w:p>
        </w:tc>
      </w:tr>
      <w:tr w:rsidR="008B7E19" w:rsidRPr="00D311AA" w14:paraId="47B65CB4" w14:textId="77777777" w:rsidTr="005B5353">
        <w:trPr>
          <w:cnfStyle w:val="000000010000" w:firstRow="0" w:lastRow="0" w:firstColumn="0" w:lastColumn="0" w:oddVBand="0" w:evenVBand="0" w:oddHBand="0" w:evenHBand="1"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3094" w:type="dxa"/>
            <w:shd w:val="clear" w:color="auto" w:fill="auto"/>
          </w:tcPr>
          <w:p w14:paraId="501942B0" w14:textId="77777777" w:rsidR="008B7E19" w:rsidRPr="00D311AA" w:rsidRDefault="008B7E19" w:rsidP="008B7E19">
            <w:pPr>
              <w:pStyle w:val="08-Tabelageral"/>
              <w:jc w:val="left"/>
              <w:rPr>
                <w:b w:val="0"/>
              </w:rPr>
            </w:pPr>
          </w:p>
        </w:tc>
        <w:tc>
          <w:tcPr>
            <w:tcW w:w="604" w:type="dxa"/>
            <w:shd w:val="clear" w:color="auto" w:fill="auto"/>
          </w:tcPr>
          <w:p w14:paraId="742027C9" w14:textId="77777777" w:rsidR="008B7E19" w:rsidRPr="00D311AA" w:rsidRDefault="008B7E19" w:rsidP="008B7E19">
            <w:pPr>
              <w:pStyle w:val="08-Tabelageral"/>
              <w:cnfStyle w:val="000000010000" w:firstRow="0" w:lastRow="0" w:firstColumn="0" w:lastColumn="0" w:oddVBand="0" w:evenVBand="0" w:oddHBand="0" w:evenHBand="1" w:firstRowFirstColumn="0" w:firstRowLastColumn="0" w:lastRowFirstColumn="0" w:lastRowLastColumn="0"/>
            </w:pPr>
          </w:p>
        </w:tc>
        <w:tc>
          <w:tcPr>
            <w:tcW w:w="1411" w:type="dxa"/>
            <w:shd w:val="clear" w:color="auto" w:fill="auto"/>
          </w:tcPr>
          <w:p w14:paraId="10A33FA9" w14:textId="77777777" w:rsidR="008B7E19" w:rsidRPr="00D311AA" w:rsidRDefault="008B7E19" w:rsidP="008B7E19">
            <w:pPr>
              <w:pStyle w:val="08-Tabelageral"/>
              <w:cnfStyle w:val="000000010000" w:firstRow="0" w:lastRow="0" w:firstColumn="0" w:lastColumn="0" w:oddVBand="0" w:evenVBand="0" w:oddHBand="0" w:evenHBand="1" w:firstRowFirstColumn="0" w:firstRowLastColumn="0" w:lastRowFirstColumn="0" w:lastRowLastColumn="0"/>
            </w:pPr>
          </w:p>
        </w:tc>
        <w:tc>
          <w:tcPr>
            <w:tcW w:w="1412" w:type="dxa"/>
            <w:shd w:val="clear" w:color="auto" w:fill="auto"/>
          </w:tcPr>
          <w:p w14:paraId="61CDF0C3" w14:textId="77777777" w:rsidR="008B7E19" w:rsidRPr="00D311AA" w:rsidRDefault="008B7E19" w:rsidP="008B7E19">
            <w:pPr>
              <w:pStyle w:val="08-Tabelageral"/>
              <w:cnfStyle w:val="000000010000" w:firstRow="0" w:lastRow="0" w:firstColumn="0" w:lastColumn="0" w:oddVBand="0" w:evenVBand="0" w:oddHBand="0" w:evenHBand="1" w:firstRowFirstColumn="0" w:firstRowLastColumn="0" w:lastRowFirstColumn="0" w:lastRowLastColumn="0"/>
            </w:pPr>
          </w:p>
        </w:tc>
        <w:tc>
          <w:tcPr>
            <w:tcW w:w="283" w:type="dxa"/>
            <w:shd w:val="clear" w:color="auto" w:fill="auto"/>
          </w:tcPr>
          <w:p w14:paraId="349A55C9" w14:textId="77777777" w:rsidR="008B7E19" w:rsidRPr="00D311AA" w:rsidRDefault="008B7E19" w:rsidP="008B7E19">
            <w:pPr>
              <w:pStyle w:val="08-Tabelageral"/>
              <w:cnfStyle w:val="000000010000" w:firstRow="0" w:lastRow="0" w:firstColumn="0" w:lastColumn="0" w:oddVBand="0" w:evenVBand="0" w:oddHBand="0" w:evenHBand="1" w:firstRowFirstColumn="0" w:firstRowLastColumn="0" w:lastRowFirstColumn="0" w:lastRowLastColumn="0"/>
            </w:pPr>
          </w:p>
        </w:tc>
        <w:tc>
          <w:tcPr>
            <w:tcW w:w="1417" w:type="dxa"/>
            <w:shd w:val="clear" w:color="auto" w:fill="auto"/>
            <w:vAlign w:val="center"/>
          </w:tcPr>
          <w:p w14:paraId="1FD9DDE8" w14:textId="77777777" w:rsidR="008B7E19" w:rsidRPr="00D311AA" w:rsidRDefault="008B7E19" w:rsidP="008B7E19">
            <w:pPr>
              <w:pStyle w:val="08-Tabelageral"/>
              <w:cnfStyle w:val="000000010000" w:firstRow="0" w:lastRow="0" w:firstColumn="0" w:lastColumn="0" w:oddVBand="0" w:evenVBand="0" w:oddHBand="0" w:evenHBand="1" w:firstRowFirstColumn="0" w:firstRowLastColumn="0" w:lastRowFirstColumn="0" w:lastRowLastColumn="0"/>
            </w:pPr>
            <w:r>
              <w:rPr>
                <w:rStyle w:val="eop"/>
                <w:rFonts w:cs="Arial"/>
                <w:szCs w:val="14"/>
              </w:rPr>
              <w:t> </w:t>
            </w:r>
          </w:p>
        </w:tc>
        <w:tc>
          <w:tcPr>
            <w:tcW w:w="1526" w:type="dxa"/>
            <w:shd w:val="clear" w:color="auto" w:fill="auto"/>
            <w:vAlign w:val="center"/>
          </w:tcPr>
          <w:p w14:paraId="0422D79D" w14:textId="77777777" w:rsidR="008B7E19" w:rsidRPr="00D311AA" w:rsidRDefault="008B7E19" w:rsidP="008B7E19">
            <w:pPr>
              <w:pStyle w:val="08-Tabelageral"/>
              <w:cnfStyle w:val="000000010000" w:firstRow="0" w:lastRow="0" w:firstColumn="0" w:lastColumn="0" w:oddVBand="0" w:evenVBand="0" w:oddHBand="0" w:evenHBand="1" w:firstRowFirstColumn="0" w:firstRowLastColumn="0" w:lastRowFirstColumn="0" w:lastRowLastColumn="0"/>
            </w:pPr>
          </w:p>
        </w:tc>
      </w:tr>
      <w:tr w:rsidR="008B7E19" w:rsidRPr="0032222F" w14:paraId="1A3E4068" w14:textId="77777777" w:rsidTr="005B5353">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3094" w:type="dxa"/>
            <w:shd w:val="clear" w:color="auto" w:fill="auto"/>
          </w:tcPr>
          <w:p w14:paraId="3A0F47D9" w14:textId="77777777" w:rsidR="008B7E19" w:rsidRPr="0032222F" w:rsidRDefault="008B7E19" w:rsidP="008B7E19">
            <w:pPr>
              <w:pStyle w:val="08-Tabelageral"/>
              <w:jc w:val="left"/>
              <w:rPr>
                <w:bCs w:val="0"/>
              </w:rPr>
            </w:pPr>
            <w:r w:rsidRPr="0032222F">
              <w:rPr>
                <w:bCs w:val="0"/>
              </w:rPr>
              <w:t>Council members</w:t>
            </w:r>
          </w:p>
        </w:tc>
        <w:tc>
          <w:tcPr>
            <w:tcW w:w="604" w:type="dxa"/>
            <w:shd w:val="clear" w:color="auto" w:fill="auto"/>
          </w:tcPr>
          <w:p w14:paraId="77441D3B" w14:textId="77777777" w:rsidR="008B7E19" w:rsidRPr="0032222F"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b/>
              </w:rPr>
            </w:pPr>
          </w:p>
        </w:tc>
        <w:tc>
          <w:tcPr>
            <w:tcW w:w="1411" w:type="dxa"/>
            <w:shd w:val="clear" w:color="auto" w:fill="auto"/>
          </w:tcPr>
          <w:p w14:paraId="0B2252A1" w14:textId="77777777" w:rsidR="008B7E19" w:rsidRPr="0032222F"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b/>
              </w:rPr>
            </w:pPr>
          </w:p>
        </w:tc>
        <w:tc>
          <w:tcPr>
            <w:tcW w:w="1412" w:type="dxa"/>
            <w:shd w:val="clear" w:color="auto" w:fill="auto"/>
          </w:tcPr>
          <w:p w14:paraId="3EC89712" w14:textId="77777777" w:rsidR="008B7E19" w:rsidRPr="0032222F"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b/>
              </w:rPr>
            </w:pPr>
          </w:p>
        </w:tc>
        <w:tc>
          <w:tcPr>
            <w:tcW w:w="283" w:type="dxa"/>
            <w:shd w:val="clear" w:color="auto" w:fill="auto"/>
          </w:tcPr>
          <w:p w14:paraId="30586A4D" w14:textId="77777777" w:rsidR="008B7E19" w:rsidRPr="0032222F"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b/>
              </w:rPr>
            </w:pPr>
          </w:p>
        </w:tc>
        <w:tc>
          <w:tcPr>
            <w:tcW w:w="1417" w:type="dxa"/>
            <w:shd w:val="clear" w:color="auto" w:fill="auto"/>
            <w:vAlign w:val="center"/>
          </w:tcPr>
          <w:p w14:paraId="4AF2E0DE" w14:textId="77777777" w:rsidR="008B7E19" w:rsidRPr="0032222F"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b/>
              </w:rPr>
            </w:pPr>
            <w:r>
              <w:rPr>
                <w:rStyle w:val="eop"/>
                <w:rFonts w:cs="Arial"/>
                <w:szCs w:val="14"/>
              </w:rPr>
              <w:t> </w:t>
            </w:r>
          </w:p>
        </w:tc>
        <w:tc>
          <w:tcPr>
            <w:tcW w:w="1526" w:type="dxa"/>
            <w:shd w:val="clear" w:color="auto" w:fill="auto"/>
            <w:vAlign w:val="center"/>
          </w:tcPr>
          <w:p w14:paraId="62A976C5" w14:textId="77777777" w:rsidR="008B7E19" w:rsidRPr="0032222F"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b/>
              </w:rPr>
            </w:pPr>
          </w:p>
        </w:tc>
      </w:tr>
      <w:tr w:rsidR="008B7E19" w:rsidRPr="00D311AA" w14:paraId="35F75AF3" w14:textId="77777777" w:rsidTr="005B5353">
        <w:trPr>
          <w:cnfStyle w:val="000000010000" w:firstRow="0" w:lastRow="0" w:firstColumn="0" w:lastColumn="0" w:oddVBand="0" w:evenVBand="0" w:oddHBand="0" w:evenHBand="1"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3094" w:type="dxa"/>
            <w:shd w:val="clear" w:color="auto" w:fill="auto"/>
          </w:tcPr>
          <w:p w14:paraId="61398B47" w14:textId="77777777" w:rsidR="008B7E19" w:rsidRPr="00D311AA" w:rsidRDefault="008B7E19" w:rsidP="008B7E19">
            <w:pPr>
              <w:pStyle w:val="08-Tabelageral"/>
              <w:jc w:val="left"/>
              <w:rPr>
                <w:b w:val="0"/>
              </w:rPr>
            </w:pPr>
            <w:r w:rsidRPr="00D311AA">
              <w:rPr>
                <w:b w:val="0"/>
              </w:rPr>
              <w:t>Board of Directors</w:t>
            </w:r>
          </w:p>
        </w:tc>
        <w:tc>
          <w:tcPr>
            <w:tcW w:w="604" w:type="dxa"/>
            <w:shd w:val="clear" w:color="auto" w:fill="auto"/>
          </w:tcPr>
          <w:p w14:paraId="77A11727" w14:textId="77777777" w:rsidR="008B7E19" w:rsidRPr="00D311AA" w:rsidRDefault="008B7E19" w:rsidP="008B7E19">
            <w:pPr>
              <w:pStyle w:val="08-Tabelageral"/>
              <w:cnfStyle w:val="000000010000" w:firstRow="0" w:lastRow="0" w:firstColumn="0" w:lastColumn="0" w:oddVBand="0" w:evenVBand="0" w:oddHBand="0" w:evenHBand="1" w:firstRowFirstColumn="0" w:firstRowLastColumn="0" w:lastRowFirstColumn="0" w:lastRowLastColumn="0"/>
            </w:pPr>
          </w:p>
        </w:tc>
        <w:tc>
          <w:tcPr>
            <w:tcW w:w="1411" w:type="dxa"/>
            <w:shd w:val="clear" w:color="auto" w:fill="auto"/>
          </w:tcPr>
          <w:p w14:paraId="7A0236BD" w14:textId="77777777" w:rsidR="008B7E19" w:rsidRPr="00D311AA" w:rsidRDefault="008B7E19" w:rsidP="008B7E19">
            <w:pPr>
              <w:pStyle w:val="08-Tabelageral"/>
              <w:cnfStyle w:val="000000010000" w:firstRow="0" w:lastRow="0" w:firstColumn="0" w:lastColumn="0" w:oddVBand="0" w:evenVBand="0" w:oddHBand="0" w:evenHBand="1" w:firstRowFirstColumn="0" w:firstRowLastColumn="0" w:lastRowFirstColumn="0" w:lastRowLastColumn="0"/>
            </w:pPr>
          </w:p>
        </w:tc>
        <w:tc>
          <w:tcPr>
            <w:tcW w:w="1412" w:type="dxa"/>
            <w:shd w:val="clear" w:color="auto" w:fill="auto"/>
          </w:tcPr>
          <w:p w14:paraId="41FAEF5D" w14:textId="77777777" w:rsidR="008B7E19" w:rsidRPr="00D311AA" w:rsidRDefault="008B7E19" w:rsidP="008B7E19">
            <w:pPr>
              <w:pStyle w:val="08-Tabelageral"/>
              <w:cnfStyle w:val="000000010000" w:firstRow="0" w:lastRow="0" w:firstColumn="0" w:lastColumn="0" w:oddVBand="0" w:evenVBand="0" w:oddHBand="0" w:evenHBand="1" w:firstRowFirstColumn="0" w:firstRowLastColumn="0" w:lastRowFirstColumn="0" w:lastRowLastColumn="0"/>
            </w:pPr>
          </w:p>
        </w:tc>
        <w:tc>
          <w:tcPr>
            <w:tcW w:w="283" w:type="dxa"/>
            <w:shd w:val="clear" w:color="auto" w:fill="auto"/>
          </w:tcPr>
          <w:p w14:paraId="52BDA29E" w14:textId="77777777" w:rsidR="008B7E19" w:rsidRPr="00D311AA" w:rsidRDefault="008B7E19" w:rsidP="008B7E19">
            <w:pPr>
              <w:pStyle w:val="08-Tabelageral"/>
              <w:cnfStyle w:val="000000010000" w:firstRow="0" w:lastRow="0" w:firstColumn="0" w:lastColumn="0" w:oddVBand="0" w:evenVBand="0" w:oddHBand="0" w:evenHBand="1" w:firstRowFirstColumn="0" w:firstRowLastColumn="0" w:lastRowFirstColumn="0" w:lastRowLastColumn="0"/>
            </w:pPr>
          </w:p>
        </w:tc>
        <w:tc>
          <w:tcPr>
            <w:tcW w:w="1417" w:type="dxa"/>
            <w:shd w:val="clear" w:color="auto" w:fill="auto"/>
          </w:tcPr>
          <w:p w14:paraId="50146D73" w14:textId="77777777" w:rsidR="008B7E19" w:rsidRPr="00D311AA" w:rsidRDefault="008B7E19" w:rsidP="008B7E19">
            <w:pPr>
              <w:pStyle w:val="08-Tabelageral"/>
              <w:cnfStyle w:val="000000010000" w:firstRow="0" w:lastRow="0" w:firstColumn="0" w:lastColumn="0" w:oddVBand="0" w:evenVBand="0" w:oddHBand="0" w:evenHBand="1" w:firstRowFirstColumn="0" w:firstRowLastColumn="0" w:lastRowFirstColumn="0" w:lastRowLastColumn="0"/>
            </w:pPr>
            <w:r>
              <w:rPr>
                <w:rStyle w:val="normaltextrun"/>
                <w:rFonts w:cs="Arial"/>
                <w:szCs w:val="14"/>
              </w:rPr>
              <w:t>6,438.41</w:t>
            </w:r>
            <w:r>
              <w:rPr>
                <w:rStyle w:val="eop"/>
                <w:rFonts w:cs="Arial"/>
                <w:szCs w:val="14"/>
              </w:rPr>
              <w:t> </w:t>
            </w:r>
          </w:p>
        </w:tc>
        <w:tc>
          <w:tcPr>
            <w:tcW w:w="1526" w:type="dxa"/>
            <w:shd w:val="clear" w:color="auto" w:fill="auto"/>
          </w:tcPr>
          <w:p w14:paraId="3AB7BDC1" w14:textId="77777777" w:rsidR="008B7E19" w:rsidRPr="00D311AA" w:rsidRDefault="008B7E19" w:rsidP="008B7E19">
            <w:pPr>
              <w:pStyle w:val="08-Tabelageral"/>
              <w:cnfStyle w:val="000000010000" w:firstRow="0" w:lastRow="0" w:firstColumn="0" w:lastColumn="0" w:oddVBand="0" w:evenVBand="0" w:oddHBand="0" w:evenHBand="1" w:firstRowFirstColumn="0" w:firstRowLastColumn="0" w:lastRowFirstColumn="0" w:lastRowLastColumn="0"/>
            </w:pPr>
            <w:r w:rsidRPr="006C2242">
              <w:t>5</w:t>
            </w:r>
            <w:r>
              <w:t>,</w:t>
            </w:r>
            <w:r w:rsidRPr="006C2242">
              <w:t>906</w:t>
            </w:r>
            <w:r>
              <w:t>.</w:t>
            </w:r>
            <w:r w:rsidRPr="006C2242">
              <w:t>80</w:t>
            </w:r>
          </w:p>
        </w:tc>
      </w:tr>
      <w:tr w:rsidR="008B7E19" w:rsidRPr="00D311AA" w14:paraId="6B0245AB" w14:textId="77777777" w:rsidTr="005B5353">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3094" w:type="dxa"/>
            <w:tcBorders>
              <w:bottom w:val="nil"/>
            </w:tcBorders>
            <w:shd w:val="clear" w:color="auto" w:fill="auto"/>
          </w:tcPr>
          <w:p w14:paraId="6D68DAD7" w14:textId="77777777" w:rsidR="008B7E19" w:rsidRPr="00D311AA" w:rsidRDefault="008B7E19" w:rsidP="008B7E19">
            <w:pPr>
              <w:pStyle w:val="08-Tabelageral"/>
              <w:jc w:val="left"/>
              <w:rPr>
                <w:b w:val="0"/>
              </w:rPr>
            </w:pPr>
            <w:r w:rsidRPr="00D311AA">
              <w:rPr>
                <w:b w:val="0"/>
              </w:rPr>
              <w:t>Fiscal Council</w:t>
            </w:r>
          </w:p>
        </w:tc>
        <w:tc>
          <w:tcPr>
            <w:tcW w:w="604" w:type="dxa"/>
            <w:tcBorders>
              <w:bottom w:val="nil"/>
            </w:tcBorders>
            <w:shd w:val="clear" w:color="auto" w:fill="auto"/>
          </w:tcPr>
          <w:p w14:paraId="6AA05DA5" w14:textId="77777777" w:rsidR="008B7E19" w:rsidRPr="00D311AA"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b/>
              </w:rPr>
            </w:pPr>
          </w:p>
        </w:tc>
        <w:tc>
          <w:tcPr>
            <w:tcW w:w="1411" w:type="dxa"/>
            <w:tcBorders>
              <w:bottom w:val="nil"/>
            </w:tcBorders>
            <w:shd w:val="clear" w:color="auto" w:fill="auto"/>
          </w:tcPr>
          <w:p w14:paraId="25356061" w14:textId="77777777" w:rsidR="008B7E19" w:rsidRPr="00D311AA"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b/>
              </w:rPr>
            </w:pPr>
          </w:p>
        </w:tc>
        <w:tc>
          <w:tcPr>
            <w:tcW w:w="1412" w:type="dxa"/>
            <w:tcBorders>
              <w:bottom w:val="nil"/>
            </w:tcBorders>
            <w:shd w:val="clear" w:color="auto" w:fill="auto"/>
          </w:tcPr>
          <w:p w14:paraId="0BBF3020" w14:textId="77777777" w:rsidR="008B7E19" w:rsidRPr="00D311AA"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b/>
              </w:rPr>
            </w:pPr>
          </w:p>
        </w:tc>
        <w:tc>
          <w:tcPr>
            <w:tcW w:w="283" w:type="dxa"/>
            <w:tcBorders>
              <w:bottom w:val="nil"/>
            </w:tcBorders>
            <w:shd w:val="clear" w:color="auto" w:fill="auto"/>
          </w:tcPr>
          <w:p w14:paraId="40A5E8A8" w14:textId="77777777" w:rsidR="008B7E19" w:rsidRPr="00D311AA"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b/>
              </w:rPr>
            </w:pPr>
          </w:p>
        </w:tc>
        <w:tc>
          <w:tcPr>
            <w:tcW w:w="1417" w:type="dxa"/>
            <w:tcBorders>
              <w:bottom w:val="nil"/>
            </w:tcBorders>
            <w:shd w:val="clear" w:color="auto" w:fill="auto"/>
          </w:tcPr>
          <w:p w14:paraId="37DB553D" w14:textId="77777777" w:rsidR="008B7E19" w:rsidRPr="00D311AA" w:rsidRDefault="008B7E19" w:rsidP="008B7E19">
            <w:pPr>
              <w:pStyle w:val="08-Tabelageral"/>
              <w:cnfStyle w:val="000000100000" w:firstRow="0" w:lastRow="0" w:firstColumn="0" w:lastColumn="0" w:oddVBand="0" w:evenVBand="0" w:oddHBand="1" w:evenHBand="0" w:firstRowFirstColumn="0" w:firstRowLastColumn="0" w:lastRowFirstColumn="0" w:lastRowLastColumn="0"/>
            </w:pPr>
            <w:r>
              <w:rPr>
                <w:rStyle w:val="normaltextrun"/>
                <w:rFonts w:cs="Arial"/>
                <w:szCs w:val="14"/>
              </w:rPr>
              <w:t>6,438.41</w:t>
            </w:r>
            <w:r>
              <w:rPr>
                <w:rStyle w:val="eop"/>
                <w:rFonts w:cs="Arial"/>
                <w:szCs w:val="14"/>
              </w:rPr>
              <w:t> </w:t>
            </w:r>
          </w:p>
        </w:tc>
        <w:tc>
          <w:tcPr>
            <w:tcW w:w="1526" w:type="dxa"/>
            <w:tcBorders>
              <w:bottom w:val="nil"/>
            </w:tcBorders>
            <w:shd w:val="clear" w:color="auto" w:fill="auto"/>
          </w:tcPr>
          <w:p w14:paraId="7461E7B0" w14:textId="77777777" w:rsidR="008B7E19" w:rsidRPr="00D311AA" w:rsidRDefault="008B7E19" w:rsidP="008B7E19">
            <w:pPr>
              <w:pStyle w:val="08-Tabelageral"/>
              <w:cnfStyle w:val="000000100000" w:firstRow="0" w:lastRow="0" w:firstColumn="0" w:lastColumn="0" w:oddVBand="0" w:evenVBand="0" w:oddHBand="1" w:evenHBand="0" w:firstRowFirstColumn="0" w:firstRowLastColumn="0" w:lastRowFirstColumn="0" w:lastRowLastColumn="0"/>
            </w:pPr>
            <w:r w:rsidRPr="006C2242">
              <w:t>5</w:t>
            </w:r>
            <w:r>
              <w:t>,</w:t>
            </w:r>
            <w:r w:rsidRPr="006C2242">
              <w:t>906</w:t>
            </w:r>
            <w:r>
              <w:t>.</w:t>
            </w:r>
            <w:r w:rsidRPr="006C2242">
              <w:t>80</w:t>
            </w:r>
          </w:p>
        </w:tc>
      </w:tr>
      <w:tr w:rsidR="008B7E19" w:rsidRPr="003735AD" w14:paraId="441CF8D3" w14:textId="77777777" w:rsidTr="005B5353">
        <w:trPr>
          <w:cnfStyle w:val="000000010000" w:firstRow="0" w:lastRow="0" w:firstColumn="0" w:lastColumn="0" w:oddVBand="0" w:evenVBand="0" w:oddHBand="0" w:evenHBand="1"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3094" w:type="dxa"/>
            <w:tcBorders>
              <w:top w:val="nil"/>
              <w:bottom w:val="nil"/>
            </w:tcBorders>
            <w:shd w:val="clear" w:color="auto" w:fill="auto"/>
          </w:tcPr>
          <w:p w14:paraId="51379F57" w14:textId="77777777" w:rsidR="008B7E19" w:rsidRPr="00D311AA" w:rsidRDefault="008B7E19" w:rsidP="008B7E19">
            <w:pPr>
              <w:pStyle w:val="08-Tabelageral"/>
              <w:jc w:val="left"/>
              <w:rPr>
                <w:b w:val="0"/>
              </w:rPr>
            </w:pPr>
            <w:r w:rsidRPr="00D311AA">
              <w:rPr>
                <w:b w:val="0"/>
              </w:rPr>
              <w:t>Audit Committee - Member</w:t>
            </w:r>
          </w:p>
        </w:tc>
        <w:tc>
          <w:tcPr>
            <w:tcW w:w="604" w:type="dxa"/>
            <w:tcBorders>
              <w:top w:val="nil"/>
              <w:bottom w:val="nil"/>
            </w:tcBorders>
            <w:shd w:val="clear" w:color="auto" w:fill="auto"/>
          </w:tcPr>
          <w:p w14:paraId="5DE8ADF0" w14:textId="77777777" w:rsidR="008B7E19" w:rsidRPr="00D311AA" w:rsidRDefault="008B7E19" w:rsidP="008B7E19">
            <w:pPr>
              <w:pStyle w:val="08-Tabelageral"/>
              <w:cnfStyle w:val="000000010000" w:firstRow="0" w:lastRow="0" w:firstColumn="0" w:lastColumn="0" w:oddVBand="0" w:evenVBand="0" w:oddHBand="0" w:evenHBand="1" w:firstRowFirstColumn="0" w:firstRowLastColumn="0" w:lastRowFirstColumn="0" w:lastRowLastColumn="0"/>
              <w:rPr>
                <w:b/>
                <w:szCs w:val="14"/>
              </w:rPr>
            </w:pPr>
          </w:p>
        </w:tc>
        <w:tc>
          <w:tcPr>
            <w:tcW w:w="1411" w:type="dxa"/>
            <w:tcBorders>
              <w:top w:val="nil"/>
              <w:bottom w:val="nil"/>
            </w:tcBorders>
            <w:shd w:val="clear" w:color="auto" w:fill="auto"/>
          </w:tcPr>
          <w:p w14:paraId="4265A827" w14:textId="77777777" w:rsidR="008B7E19" w:rsidRPr="00D311AA" w:rsidRDefault="008B7E19" w:rsidP="008B7E19">
            <w:pPr>
              <w:pStyle w:val="08-Tabelageral"/>
              <w:cnfStyle w:val="000000010000" w:firstRow="0" w:lastRow="0" w:firstColumn="0" w:lastColumn="0" w:oddVBand="0" w:evenVBand="0" w:oddHBand="0" w:evenHBand="1" w:firstRowFirstColumn="0" w:firstRowLastColumn="0" w:lastRowFirstColumn="0" w:lastRowLastColumn="0"/>
              <w:rPr>
                <w:b/>
              </w:rPr>
            </w:pPr>
          </w:p>
        </w:tc>
        <w:tc>
          <w:tcPr>
            <w:tcW w:w="1412" w:type="dxa"/>
            <w:tcBorders>
              <w:top w:val="nil"/>
              <w:bottom w:val="nil"/>
            </w:tcBorders>
            <w:shd w:val="clear" w:color="auto" w:fill="auto"/>
          </w:tcPr>
          <w:p w14:paraId="50F0C372" w14:textId="77777777" w:rsidR="008B7E19" w:rsidRPr="00D311AA" w:rsidRDefault="008B7E19" w:rsidP="008B7E19">
            <w:pPr>
              <w:pStyle w:val="08-Tabelageral"/>
              <w:cnfStyle w:val="000000010000" w:firstRow="0" w:lastRow="0" w:firstColumn="0" w:lastColumn="0" w:oddVBand="0" w:evenVBand="0" w:oddHBand="0" w:evenHBand="1" w:firstRowFirstColumn="0" w:firstRowLastColumn="0" w:lastRowFirstColumn="0" w:lastRowLastColumn="0"/>
              <w:rPr>
                <w:b/>
              </w:rPr>
            </w:pPr>
          </w:p>
        </w:tc>
        <w:tc>
          <w:tcPr>
            <w:tcW w:w="283" w:type="dxa"/>
            <w:tcBorders>
              <w:top w:val="nil"/>
              <w:bottom w:val="nil"/>
            </w:tcBorders>
            <w:shd w:val="clear" w:color="auto" w:fill="auto"/>
          </w:tcPr>
          <w:p w14:paraId="3F86E01B" w14:textId="77777777" w:rsidR="008B7E19" w:rsidRPr="00D311AA" w:rsidRDefault="008B7E19" w:rsidP="008B7E19">
            <w:pPr>
              <w:pStyle w:val="08-Tabelageral"/>
              <w:cnfStyle w:val="000000010000" w:firstRow="0" w:lastRow="0" w:firstColumn="0" w:lastColumn="0" w:oddVBand="0" w:evenVBand="0" w:oddHBand="0" w:evenHBand="1" w:firstRowFirstColumn="0" w:firstRowLastColumn="0" w:lastRowFirstColumn="0" w:lastRowLastColumn="0"/>
              <w:rPr>
                <w:b/>
                <w:szCs w:val="14"/>
              </w:rPr>
            </w:pPr>
          </w:p>
        </w:tc>
        <w:tc>
          <w:tcPr>
            <w:tcW w:w="1417" w:type="dxa"/>
            <w:tcBorders>
              <w:top w:val="nil"/>
              <w:bottom w:val="nil"/>
            </w:tcBorders>
            <w:shd w:val="clear" w:color="auto" w:fill="auto"/>
          </w:tcPr>
          <w:p w14:paraId="345030AB" w14:textId="77777777" w:rsidR="008B7E19" w:rsidRPr="00D311AA" w:rsidRDefault="008B7E19" w:rsidP="008B7E19">
            <w:pPr>
              <w:pStyle w:val="08-Tabelageral"/>
              <w:cnfStyle w:val="000000010000" w:firstRow="0" w:lastRow="0" w:firstColumn="0" w:lastColumn="0" w:oddVBand="0" w:evenVBand="0" w:oddHBand="0" w:evenHBand="1" w:firstRowFirstColumn="0" w:firstRowLastColumn="0" w:lastRowFirstColumn="0" w:lastRowLastColumn="0"/>
            </w:pPr>
            <w:r>
              <w:rPr>
                <w:rStyle w:val="normaltextrun"/>
                <w:rFonts w:cs="Arial"/>
                <w:szCs w:val="14"/>
              </w:rPr>
              <w:t>10,758.58</w:t>
            </w:r>
            <w:r>
              <w:rPr>
                <w:rStyle w:val="eop"/>
                <w:rFonts w:cs="Arial"/>
                <w:szCs w:val="14"/>
              </w:rPr>
              <w:t> </w:t>
            </w:r>
          </w:p>
        </w:tc>
        <w:tc>
          <w:tcPr>
            <w:tcW w:w="1526" w:type="dxa"/>
            <w:tcBorders>
              <w:top w:val="nil"/>
              <w:bottom w:val="nil"/>
            </w:tcBorders>
            <w:shd w:val="clear" w:color="auto" w:fill="auto"/>
          </w:tcPr>
          <w:p w14:paraId="0367E731" w14:textId="77777777" w:rsidR="008B7E19" w:rsidRDefault="008B7E19" w:rsidP="008B7E19">
            <w:pPr>
              <w:pStyle w:val="08-Tabelageral"/>
              <w:cnfStyle w:val="000000010000" w:firstRow="0" w:lastRow="0" w:firstColumn="0" w:lastColumn="0" w:oddVBand="0" w:evenVBand="0" w:oddHBand="0" w:evenHBand="1" w:firstRowFirstColumn="0" w:firstRowLastColumn="0" w:lastRowFirstColumn="0" w:lastRowLastColumn="0"/>
            </w:pPr>
            <w:r w:rsidRPr="006C2242">
              <w:t>9</w:t>
            </w:r>
            <w:r>
              <w:t>,</w:t>
            </w:r>
            <w:r w:rsidRPr="006C2242">
              <w:t>870</w:t>
            </w:r>
            <w:r>
              <w:t>,.</w:t>
            </w:r>
            <w:r w:rsidRPr="006C2242">
              <w:t>26</w:t>
            </w:r>
          </w:p>
        </w:tc>
      </w:tr>
      <w:tr w:rsidR="008B7E19" w:rsidRPr="0032222F" w14:paraId="3554C2F1" w14:textId="77777777" w:rsidTr="005B5353">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3094" w:type="dxa"/>
            <w:tcBorders>
              <w:top w:val="nil"/>
              <w:bottom w:val="single" w:sz="4" w:space="0" w:color="1F4E79" w:themeColor="accent1" w:themeShade="80"/>
            </w:tcBorders>
            <w:shd w:val="clear" w:color="auto" w:fill="auto"/>
          </w:tcPr>
          <w:p w14:paraId="26828F12" w14:textId="77777777" w:rsidR="008B7E19" w:rsidRPr="0032222F" w:rsidRDefault="008B7E19" w:rsidP="008B7E19">
            <w:pPr>
              <w:pStyle w:val="08-Tabelageral"/>
              <w:jc w:val="left"/>
              <w:rPr>
                <w:b w:val="0"/>
                <w:bCs w:val="0"/>
              </w:rPr>
            </w:pPr>
            <w:r w:rsidRPr="0032222F">
              <w:rPr>
                <w:b w:val="0"/>
                <w:bCs w:val="0"/>
              </w:rPr>
              <w:t>Risk and Capital Committee</w:t>
            </w:r>
          </w:p>
        </w:tc>
        <w:tc>
          <w:tcPr>
            <w:tcW w:w="604" w:type="dxa"/>
            <w:tcBorders>
              <w:top w:val="nil"/>
              <w:bottom w:val="single" w:sz="4" w:space="0" w:color="1F4E79" w:themeColor="accent1" w:themeShade="80"/>
            </w:tcBorders>
            <w:shd w:val="clear" w:color="auto" w:fill="auto"/>
          </w:tcPr>
          <w:p w14:paraId="79B765E6" w14:textId="77777777" w:rsidR="008B7E19" w:rsidRPr="0032222F"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szCs w:val="14"/>
              </w:rPr>
            </w:pPr>
          </w:p>
        </w:tc>
        <w:tc>
          <w:tcPr>
            <w:tcW w:w="1411" w:type="dxa"/>
            <w:tcBorders>
              <w:top w:val="nil"/>
              <w:bottom w:val="single" w:sz="4" w:space="0" w:color="1F4E79" w:themeColor="accent1" w:themeShade="80"/>
            </w:tcBorders>
            <w:shd w:val="clear" w:color="auto" w:fill="auto"/>
          </w:tcPr>
          <w:p w14:paraId="0BCD29E2" w14:textId="77777777" w:rsidR="008B7E19" w:rsidRPr="0032222F" w:rsidRDefault="008B7E19" w:rsidP="008B7E19">
            <w:pPr>
              <w:pStyle w:val="08-Tabelageral"/>
              <w:cnfStyle w:val="000000100000" w:firstRow="0" w:lastRow="0" w:firstColumn="0" w:lastColumn="0" w:oddVBand="0" w:evenVBand="0" w:oddHBand="1" w:evenHBand="0" w:firstRowFirstColumn="0" w:firstRowLastColumn="0" w:lastRowFirstColumn="0" w:lastRowLastColumn="0"/>
            </w:pPr>
          </w:p>
        </w:tc>
        <w:tc>
          <w:tcPr>
            <w:tcW w:w="1412" w:type="dxa"/>
            <w:tcBorders>
              <w:top w:val="nil"/>
              <w:bottom w:val="single" w:sz="4" w:space="0" w:color="1F4E79" w:themeColor="accent1" w:themeShade="80"/>
            </w:tcBorders>
            <w:shd w:val="clear" w:color="auto" w:fill="auto"/>
          </w:tcPr>
          <w:p w14:paraId="58CC8A5B" w14:textId="77777777" w:rsidR="008B7E19" w:rsidRPr="0032222F" w:rsidRDefault="008B7E19" w:rsidP="008B7E19">
            <w:pPr>
              <w:pStyle w:val="08-Tabelageral"/>
              <w:cnfStyle w:val="000000100000" w:firstRow="0" w:lastRow="0" w:firstColumn="0" w:lastColumn="0" w:oddVBand="0" w:evenVBand="0" w:oddHBand="1" w:evenHBand="0" w:firstRowFirstColumn="0" w:firstRowLastColumn="0" w:lastRowFirstColumn="0" w:lastRowLastColumn="0"/>
            </w:pPr>
          </w:p>
        </w:tc>
        <w:tc>
          <w:tcPr>
            <w:tcW w:w="283" w:type="dxa"/>
            <w:tcBorders>
              <w:top w:val="nil"/>
              <w:bottom w:val="single" w:sz="4" w:space="0" w:color="1F4E79" w:themeColor="accent1" w:themeShade="80"/>
            </w:tcBorders>
            <w:shd w:val="clear" w:color="auto" w:fill="auto"/>
          </w:tcPr>
          <w:p w14:paraId="39E4BB4C" w14:textId="77777777" w:rsidR="008B7E19" w:rsidRPr="0032222F" w:rsidRDefault="008B7E19" w:rsidP="008B7E19">
            <w:pPr>
              <w:pStyle w:val="08-Tabelageral"/>
              <w:cnfStyle w:val="000000100000" w:firstRow="0" w:lastRow="0" w:firstColumn="0" w:lastColumn="0" w:oddVBand="0" w:evenVBand="0" w:oddHBand="1" w:evenHBand="0" w:firstRowFirstColumn="0" w:firstRowLastColumn="0" w:lastRowFirstColumn="0" w:lastRowLastColumn="0"/>
              <w:rPr>
                <w:szCs w:val="14"/>
              </w:rPr>
            </w:pPr>
          </w:p>
        </w:tc>
        <w:tc>
          <w:tcPr>
            <w:tcW w:w="1417" w:type="dxa"/>
            <w:tcBorders>
              <w:top w:val="nil"/>
              <w:bottom w:val="single" w:sz="4" w:space="0" w:color="1F4E79" w:themeColor="accent1" w:themeShade="80"/>
            </w:tcBorders>
            <w:shd w:val="clear" w:color="auto" w:fill="auto"/>
          </w:tcPr>
          <w:p w14:paraId="16F21E37" w14:textId="77777777" w:rsidR="008B7E19" w:rsidRPr="0032222F" w:rsidRDefault="008B7E19" w:rsidP="008B7E19">
            <w:pPr>
              <w:pStyle w:val="08-Tabelageral"/>
              <w:cnfStyle w:val="000000100000" w:firstRow="0" w:lastRow="0" w:firstColumn="0" w:lastColumn="0" w:oddVBand="0" w:evenVBand="0" w:oddHBand="1" w:evenHBand="0" w:firstRowFirstColumn="0" w:firstRowLastColumn="0" w:lastRowFirstColumn="0" w:lastRowLastColumn="0"/>
            </w:pPr>
            <w:r>
              <w:rPr>
                <w:rStyle w:val="normaltextrun"/>
                <w:rFonts w:cs="Arial"/>
                <w:szCs w:val="14"/>
              </w:rPr>
              <w:t>10,758.58</w:t>
            </w:r>
            <w:r>
              <w:rPr>
                <w:rStyle w:val="eop"/>
                <w:rFonts w:cs="Arial"/>
                <w:szCs w:val="14"/>
              </w:rPr>
              <w:t> </w:t>
            </w:r>
          </w:p>
        </w:tc>
        <w:tc>
          <w:tcPr>
            <w:tcW w:w="1526" w:type="dxa"/>
            <w:tcBorders>
              <w:top w:val="nil"/>
              <w:bottom w:val="single" w:sz="4" w:space="0" w:color="1F4E79" w:themeColor="accent1" w:themeShade="80"/>
            </w:tcBorders>
            <w:shd w:val="clear" w:color="auto" w:fill="auto"/>
          </w:tcPr>
          <w:p w14:paraId="617DE205" w14:textId="77777777" w:rsidR="008B7E19" w:rsidRPr="0032222F" w:rsidRDefault="008B7E19" w:rsidP="008B7E19">
            <w:pPr>
              <w:pStyle w:val="08-Tabelageral"/>
              <w:cnfStyle w:val="000000100000" w:firstRow="0" w:lastRow="0" w:firstColumn="0" w:lastColumn="0" w:oddVBand="0" w:evenVBand="0" w:oddHBand="1" w:evenHBand="0" w:firstRowFirstColumn="0" w:firstRowLastColumn="0" w:lastRowFirstColumn="0" w:lastRowLastColumn="0"/>
            </w:pPr>
            <w:r w:rsidRPr="006C2242">
              <w:t>9</w:t>
            </w:r>
            <w:r>
              <w:t>,</w:t>
            </w:r>
            <w:r w:rsidRPr="006C2242">
              <w:t>870</w:t>
            </w:r>
            <w:r>
              <w:t>.</w:t>
            </w:r>
            <w:r w:rsidRPr="006C2242">
              <w:t>26</w:t>
            </w:r>
          </w:p>
        </w:tc>
      </w:tr>
    </w:tbl>
    <w:p w14:paraId="0FC76B53" w14:textId="77777777" w:rsidR="008B7E19" w:rsidRDefault="008B7E19" w:rsidP="008B7E19">
      <w:pPr>
        <w:pStyle w:val="05-Textonormal2"/>
        <w:spacing w:before="0" w:line="240" w:lineRule="auto"/>
      </w:pPr>
    </w:p>
    <w:p w14:paraId="706D0579" w14:textId="77777777" w:rsidR="008B7E19" w:rsidRDefault="008B7E19" w:rsidP="00882B41">
      <w:pPr>
        <w:pStyle w:val="03-SubttulodeNota"/>
        <w:keepNext/>
        <w:keepLines/>
        <w:pageBreakBefore/>
        <w:numPr>
          <w:ilvl w:val="0"/>
          <w:numId w:val="41"/>
        </w:numPr>
        <w:ind w:left="284" w:hanging="284"/>
        <w:rPr>
          <w:color w:val="1F4E79" w:themeColor="accent1" w:themeShade="80"/>
          <w:sz w:val="18"/>
          <w:szCs w:val="18"/>
        </w:rPr>
      </w:pPr>
      <w:r w:rsidRPr="00F50AA9">
        <w:rPr>
          <w:color w:val="1F4E79" w:themeColor="accent1" w:themeShade="80"/>
          <w:sz w:val="18"/>
          <w:szCs w:val="18"/>
        </w:rPr>
        <w:t>Compensation and Benefits of Employees and Managers</w:t>
      </w:r>
    </w:p>
    <w:tbl>
      <w:tblPr>
        <w:tblW w:w="9639" w:type="dxa"/>
        <w:jc w:val="center"/>
        <w:tblBorders>
          <w:top w:val="single" w:sz="2" w:space="0" w:color="8EAADB" w:themeColor="accent5" w:themeTint="99"/>
          <w:bottom w:val="single" w:sz="2" w:space="0" w:color="8EAADB" w:themeColor="accent5" w:themeTint="99"/>
        </w:tblBorders>
        <w:tblLook w:val="04A0" w:firstRow="1" w:lastRow="0" w:firstColumn="1" w:lastColumn="0" w:noHBand="0" w:noVBand="1"/>
      </w:tblPr>
      <w:tblGrid>
        <w:gridCol w:w="2986"/>
        <w:gridCol w:w="604"/>
        <w:gridCol w:w="1411"/>
        <w:gridCol w:w="1412"/>
        <w:gridCol w:w="283"/>
        <w:gridCol w:w="1417"/>
        <w:gridCol w:w="1526"/>
      </w:tblGrid>
      <w:tr w:rsidR="008B7E19" w:rsidRPr="00EC49EB" w14:paraId="69D18E7F" w14:textId="77777777" w:rsidTr="008B7E19">
        <w:trPr>
          <w:trHeight w:val="227"/>
          <w:jc w:val="center"/>
        </w:trPr>
        <w:tc>
          <w:tcPr>
            <w:tcW w:w="6413" w:type="dxa"/>
            <w:gridSpan w:val="4"/>
            <w:tcBorders>
              <w:top w:val="single" w:sz="2" w:space="0" w:color="1F4E79" w:themeColor="accent1" w:themeShade="80"/>
              <w:bottom w:val="single" w:sz="2" w:space="0" w:color="1F4E79" w:themeColor="accent1" w:themeShade="80"/>
            </w:tcBorders>
            <w:shd w:val="clear" w:color="auto" w:fill="auto"/>
            <w:vAlign w:val="center"/>
          </w:tcPr>
          <w:p w14:paraId="2177E73F" w14:textId="77777777" w:rsidR="008B7E19" w:rsidRPr="00EC49EB" w:rsidRDefault="008B7E19" w:rsidP="008B7E19">
            <w:pPr>
              <w:keepNext/>
              <w:keepLines/>
              <w:spacing w:before="40" w:after="40"/>
              <w:jc w:val="right"/>
              <w:rPr>
                <w:rFonts w:cs="Arial"/>
                <w:b/>
                <w:spacing w:val="-2"/>
                <w:sz w:val="14"/>
                <w:szCs w:val="18"/>
              </w:rPr>
            </w:pPr>
          </w:p>
        </w:tc>
        <w:tc>
          <w:tcPr>
            <w:tcW w:w="283" w:type="dxa"/>
            <w:tcBorders>
              <w:top w:val="single" w:sz="2" w:space="0" w:color="1F4E79" w:themeColor="accent1" w:themeShade="80"/>
              <w:bottom w:val="single" w:sz="2" w:space="0" w:color="1F4E79" w:themeColor="accent1" w:themeShade="80"/>
            </w:tcBorders>
            <w:shd w:val="clear" w:color="auto" w:fill="auto"/>
            <w:vAlign w:val="center"/>
          </w:tcPr>
          <w:p w14:paraId="0FEF3222" w14:textId="77777777" w:rsidR="008B7E19" w:rsidRPr="00EC49EB" w:rsidRDefault="008B7E19" w:rsidP="008B7E19">
            <w:pPr>
              <w:keepNext/>
              <w:keepLines/>
              <w:spacing w:before="40" w:after="40"/>
              <w:jc w:val="right"/>
              <w:rPr>
                <w:rFonts w:cs="Arial"/>
                <w:b/>
                <w:spacing w:val="-2"/>
                <w:sz w:val="14"/>
                <w:szCs w:val="18"/>
              </w:rPr>
            </w:pPr>
          </w:p>
        </w:tc>
        <w:tc>
          <w:tcPr>
            <w:tcW w:w="1417" w:type="dxa"/>
            <w:tcBorders>
              <w:top w:val="single" w:sz="2" w:space="0" w:color="1F4E79" w:themeColor="accent1" w:themeShade="80"/>
              <w:bottom w:val="single" w:sz="2" w:space="0" w:color="1F4E79" w:themeColor="accent1" w:themeShade="80"/>
            </w:tcBorders>
            <w:shd w:val="clear" w:color="auto" w:fill="auto"/>
          </w:tcPr>
          <w:p w14:paraId="6662F873" w14:textId="77777777" w:rsidR="008B7E19" w:rsidRPr="00F50AA9" w:rsidRDefault="008B7E19" w:rsidP="008B7E19">
            <w:pPr>
              <w:keepNext/>
              <w:keepLines/>
              <w:spacing w:before="40" w:after="40"/>
              <w:jc w:val="right"/>
              <w:rPr>
                <w:rFonts w:cs="Arial"/>
                <w:b/>
                <w:bCs/>
                <w:spacing w:val="-2"/>
                <w:sz w:val="14"/>
                <w:szCs w:val="18"/>
              </w:rPr>
            </w:pPr>
            <w:r w:rsidRPr="002726FC">
              <w:rPr>
                <w:rFonts w:cs="Arial"/>
                <w:b/>
                <w:bCs/>
                <w:spacing w:val="-2"/>
                <w:sz w:val="14"/>
                <w:szCs w:val="18"/>
              </w:rPr>
              <w:t>1</w:t>
            </w:r>
            <w:r w:rsidRPr="002726FC">
              <w:rPr>
                <w:rFonts w:cs="Arial"/>
                <w:b/>
                <w:bCs/>
                <w:spacing w:val="-2"/>
                <w:sz w:val="14"/>
                <w:szCs w:val="18"/>
                <w:vertAlign w:val="superscript"/>
              </w:rPr>
              <w:t>st</w:t>
            </w:r>
            <w:r w:rsidRPr="002726FC">
              <w:rPr>
                <w:rFonts w:cs="Arial"/>
                <w:b/>
                <w:bCs/>
                <w:spacing w:val="-2"/>
                <w:sz w:val="14"/>
                <w:szCs w:val="18"/>
              </w:rPr>
              <w:t xml:space="preserve"> </w:t>
            </w:r>
            <w:r>
              <w:rPr>
                <w:rFonts w:cs="Arial"/>
                <w:b/>
                <w:bCs/>
                <w:spacing w:val="-2"/>
                <w:sz w:val="14"/>
                <w:szCs w:val="18"/>
              </w:rPr>
              <w:t>Half</w:t>
            </w:r>
            <w:r w:rsidRPr="002726FC">
              <w:rPr>
                <w:rFonts w:cs="Arial"/>
                <w:b/>
                <w:bCs/>
                <w:spacing w:val="-2"/>
                <w:sz w:val="14"/>
                <w:szCs w:val="18"/>
              </w:rPr>
              <w:t xml:space="preserve"> 2023</w:t>
            </w:r>
          </w:p>
        </w:tc>
        <w:tc>
          <w:tcPr>
            <w:tcW w:w="1526" w:type="dxa"/>
            <w:tcBorders>
              <w:top w:val="single" w:sz="2" w:space="0" w:color="1F4E79" w:themeColor="accent1" w:themeShade="80"/>
              <w:bottom w:val="single" w:sz="2" w:space="0" w:color="1F4E79" w:themeColor="accent1" w:themeShade="80"/>
            </w:tcBorders>
            <w:shd w:val="clear" w:color="auto" w:fill="auto"/>
          </w:tcPr>
          <w:p w14:paraId="7DE23328" w14:textId="77777777" w:rsidR="008B7E19" w:rsidRPr="00F50AA9" w:rsidRDefault="008B7E19" w:rsidP="008B7E19">
            <w:pPr>
              <w:keepNext/>
              <w:keepLines/>
              <w:spacing w:before="40" w:after="40"/>
              <w:jc w:val="right"/>
              <w:rPr>
                <w:rFonts w:cs="Arial"/>
                <w:b/>
                <w:bCs/>
                <w:spacing w:val="-2"/>
                <w:sz w:val="14"/>
                <w:szCs w:val="18"/>
              </w:rPr>
            </w:pPr>
            <w:r w:rsidRPr="002726FC">
              <w:rPr>
                <w:rFonts w:cs="Arial"/>
                <w:b/>
                <w:bCs/>
                <w:spacing w:val="-2"/>
                <w:sz w:val="14"/>
                <w:szCs w:val="18"/>
              </w:rPr>
              <w:t>1</w:t>
            </w:r>
            <w:r w:rsidRPr="002726FC">
              <w:rPr>
                <w:rFonts w:cs="Arial"/>
                <w:b/>
                <w:bCs/>
                <w:spacing w:val="-2"/>
                <w:sz w:val="14"/>
                <w:szCs w:val="18"/>
                <w:vertAlign w:val="superscript"/>
              </w:rPr>
              <w:t>st</w:t>
            </w:r>
            <w:r w:rsidRPr="002726FC">
              <w:rPr>
                <w:rFonts w:cs="Arial"/>
                <w:b/>
                <w:bCs/>
                <w:spacing w:val="-2"/>
                <w:sz w:val="14"/>
                <w:szCs w:val="18"/>
              </w:rPr>
              <w:t xml:space="preserve"> </w:t>
            </w:r>
            <w:r>
              <w:rPr>
                <w:rFonts w:cs="Arial"/>
                <w:b/>
                <w:bCs/>
                <w:spacing w:val="-2"/>
                <w:sz w:val="14"/>
                <w:szCs w:val="18"/>
              </w:rPr>
              <w:t>Half</w:t>
            </w:r>
            <w:r w:rsidRPr="002726FC">
              <w:rPr>
                <w:rFonts w:cs="Arial"/>
                <w:b/>
                <w:bCs/>
                <w:spacing w:val="-2"/>
                <w:sz w:val="14"/>
                <w:szCs w:val="18"/>
              </w:rPr>
              <w:t xml:space="preserve"> 202</w:t>
            </w:r>
            <w:r>
              <w:rPr>
                <w:rFonts w:cs="Arial"/>
                <w:b/>
                <w:bCs/>
                <w:spacing w:val="-2"/>
                <w:sz w:val="14"/>
                <w:szCs w:val="18"/>
              </w:rPr>
              <w:t>2</w:t>
            </w:r>
          </w:p>
        </w:tc>
      </w:tr>
      <w:tr w:rsidR="008B7E19" w:rsidRPr="003735AD" w14:paraId="438D1DB7" w14:textId="77777777" w:rsidTr="008B7E19">
        <w:trPr>
          <w:trHeight w:val="227"/>
          <w:jc w:val="center"/>
        </w:trPr>
        <w:tc>
          <w:tcPr>
            <w:tcW w:w="2986" w:type="dxa"/>
            <w:tcBorders>
              <w:top w:val="single" w:sz="2" w:space="0" w:color="1F4E79" w:themeColor="accent1" w:themeShade="80"/>
            </w:tcBorders>
            <w:shd w:val="clear" w:color="auto" w:fill="auto"/>
          </w:tcPr>
          <w:p w14:paraId="27549FD7" w14:textId="77777777" w:rsidR="008B7E19" w:rsidRDefault="008B7E19" w:rsidP="008B7E19">
            <w:pPr>
              <w:pStyle w:val="08-Tabelageral"/>
              <w:jc w:val="left"/>
            </w:pPr>
            <w:r>
              <w:rPr>
                <w:b/>
              </w:rPr>
              <w:t>Management</w:t>
            </w:r>
            <w:r w:rsidRPr="00600172">
              <w:rPr>
                <w:rFonts w:cs="Arial"/>
                <w:b/>
                <w:bCs/>
                <w:szCs w:val="14"/>
                <w:vertAlign w:val="superscript"/>
              </w:rPr>
              <w:t xml:space="preserve"> (</w:t>
            </w:r>
            <w:r>
              <w:rPr>
                <w:rFonts w:cs="Arial"/>
                <w:b/>
                <w:bCs/>
                <w:szCs w:val="14"/>
                <w:vertAlign w:val="superscript"/>
              </w:rPr>
              <w:t>1</w:t>
            </w:r>
            <w:r w:rsidRPr="00600172">
              <w:rPr>
                <w:rFonts w:cs="Arial"/>
                <w:b/>
                <w:bCs/>
                <w:szCs w:val="14"/>
                <w:vertAlign w:val="superscript"/>
              </w:rPr>
              <w:t>)</w:t>
            </w:r>
          </w:p>
          <w:p w14:paraId="7484BEB0" w14:textId="77777777" w:rsidR="008B7E19" w:rsidRPr="0078045C" w:rsidRDefault="008B7E19" w:rsidP="008B7E19">
            <w:pPr>
              <w:pStyle w:val="08-Tabelageral"/>
              <w:jc w:val="left"/>
              <w:rPr>
                <w:b/>
              </w:rPr>
            </w:pPr>
            <w:r w:rsidRPr="00F50AA9">
              <w:t>Lowest salary</w:t>
            </w:r>
          </w:p>
        </w:tc>
        <w:tc>
          <w:tcPr>
            <w:tcW w:w="604" w:type="dxa"/>
            <w:tcBorders>
              <w:top w:val="single" w:sz="2" w:space="0" w:color="1F4E79" w:themeColor="accent1" w:themeShade="80"/>
            </w:tcBorders>
            <w:shd w:val="clear" w:color="auto" w:fill="auto"/>
          </w:tcPr>
          <w:p w14:paraId="23945FFF" w14:textId="77777777" w:rsidR="008B7E19" w:rsidRPr="003735AD" w:rsidRDefault="008B7E19" w:rsidP="008B7E19">
            <w:pPr>
              <w:pStyle w:val="08-Tabelageral"/>
              <w:rPr>
                <w:b/>
              </w:rPr>
            </w:pPr>
          </w:p>
        </w:tc>
        <w:tc>
          <w:tcPr>
            <w:tcW w:w="1411" w:type="dxa"/>
            <w:tcBorders>
              <w:top w:val="single" w:sz="2" w:space="0" w:color="1F4E79" w:themeColor="accent1" w:themeShade="80"/>
            </w:tcBorders>
            <w:shd w:val="clear" w:color="auto" w:fill="auto"/>
          </w:tcPr>
          <w:p w14:paraId="0E338F6F" w14:textId="77777777" w:rsidR="008B7E19" w:rsidRPr="003735AD" w:rsidRDefault="008B7E19" w:rsidP="008B7E19">
            <w:pPr>
              <w:pStyle w:val="08-Tabelageral"/>
              <w:rPr>
                <w:b/>
              </w:rPr>
            </w:pPr>
          </w:p>
        </w:tc>
        <w:tc>
          <w:tcPr>
            <w:tcW w:w="1412" w:type="dxa"/>
            <w:tcBorders>
              <w:top w:val="single" w:sz="2" w:space="0" w:color="1F4E79" w:themeColor="accent1" w:themeShade="80"/>
            </w:tcBorders>
            <w:shd w:val="clear" w:color="auto" w:fill="auto"/>
            <w:vAlign w:val="center"/>
          </w:tcPr>
          <w:p w14:paraId="6B1247F9" w14:textId="77777777" w:rsidR="008B7E19" w:rsidRPr="003735AD" w:rsidRDefault="008B7E19" w:rsidP="008B7E19">
            <w:pPr>
              <w:pStyle w:val="08-Tabelageral"/>
              <w:rPr>
                <w:b/>
              </w:rPr>
            </w:pPr>
          </w:p>
        </w:tc>
        <w:tc>
          <w:tcPr>
            <w:tcW w:w="283" w:type="dxa"/>
            <w:tcBorders>
              <w:top w:val="single" w:sz="2" w:space="0" w:color="1F4E79" w:themeColor="accent1" w:themeShade="80"/>
            </w:tcBorders>
            <w:shd w:val="clear" w:color="auto" w:fill="auto"/>
          </w:tcPr>
          <w:p w14:paraId="37601391" w14:textId="77777777" w:rsidR="008B7E19" w:rsidRPr="003735AD" w:rsidRDefault="008B7E19" w:rsidP="008B7E19">
            <w:pPr>
              <w:pStyle w:val="08-Tabelageral"/>
              <w:jc w:val="left"/>
              <w:rPr>
                <w:b/>
              </w:rPr>
            </w:pPr>
          </w:p>
        </w:tc>
        <w:tc>
          <w:tcPr>
            <w:tcW w:w="1417" w:type="dxa"/>
            <w:tcBorders>
              <w:top w:val="single" w:sz="2" w:space="0" w:color="8EAADB" w:themeColor="accent5" w:themeTint="99"/>
            </w:tcBorders>
            <w:shd w:val="clear" w:color="auto" w:fill="auto"/>
            <w:vAlign w:val="center"/>
          </w:tcPr>
          <w:p w14:paraId="7BDB821B" w14:textId="77777777" w:rsidR="008B7E19" w:rsidRDefault="008B7E19" w:rsidP="008B7E19">
            <w:pPr>
              <w:pStyle w:val="08-Tabelageral"/>
              <w:rPr>
                <w:rFonts w:ascii="Segoe UI" w:hAnsi="Segoe UI" w:cs="Segoe UI"/>
                <w:sz w:val="18"/>
              </w:rPr>
            </w:pPr>
            <w:r>
              <w:rPr>
                <w:rStyle w:val="eop"/>
                <w:rFonts w:cs="Arial"/>
                <w:szCs w:val="14"/>
              </w:rPr>
              <w:t> </w:t>
            </w:r>
          </w:p>
          <w:p w14:paraId="2F1B3D3F" w14:textId="77777777" w:rsidR="008B7E19" w:rsidRPr="006C2242" w:rsidRDefault="008B7E19" w:rsidP="008B7E19">
            <w:pPr>
              <w:pStyle w:val="08-Tabelageral"/>
            </w:pPr>
            <w:r>
              <w:rPr>
                <w:rStyle w:val="normaltextrun"/>
                <w:rFonts w:cs="Arial"/>
                <w:szCs w:val="14"/>
              </w:rPr>
              <w:t>114,763.67</w:t>
            </w:r>
            <w:r>
              <w:rPr>
                <w:rStyle w:val="eop"/>
                <w:rFonts w:cs="Arial"/>
                <w:szCs w:val="14"/>
              </w:rPr>
              <w:t> </w:t>
            </w:r>
          </w:p>
        </w:tc>
        <w:tc>
          <w:tcPr>
            <w:tcW w:w="1526" w:type="dxa"/>
            <w:tcBorders>
              <w:top w:val="single" w:sz="2" w:space="0" w:color="8EAADB" w:themeColor="accent5" w:themeTint="99"/>
            </w:tcBorders>
            <w:shd w:val="clear" w:color="auto" w:fill="auto"/>
            <w:vAlign w:val="center"/>
          </w:tcPr>
          <w:p w14:paraId="4309620B" w14:textId="77777777" w:rsidR="008B7E19" w:rsidRDefault="008B7E19" w:rsidP="008B7E19">
            <w:pPr>
              <w:pStyle w:val="08-Tabelageral"/>
              <w:rPr>
                <w:rFonts w:ascii="Segoe UI" w:hAnsi="Segoe UI" w:cs="Segoe UI"/>
                <w:sz w:val="18"/>
              </w:rPr>
            </w:pPr>
            <w:r>
              <w:rPr>
                <w:rStyle w:val="eop"/>
                <w:rFonts w:cs="Arial"/>
                <w:szCs w:val="14"/>
              </w:rPr>
              <w:t> </w:t>
            </w:r>
          </w:p>
          <w:p w14:paraId="5A0316C3" w14:textId="77777777" w:rsidR="008B7E19" w:rsidRPr="00C75209" w:rsidRDefault="008B7E19" w:rsidP="008B7E19">
            <w:pPr>
              <w:pStyle w:val="08-Tabelageral"/>
            </w:pPr>
            <w:r>
              <w:rPr>
                <w:rStyle w:val="normaltextrun"/>
                <w:rFonts w:cs="Arial"/>
                <w:szCs w:val="14"/>
              </w:rPr>
              <w:t>78,372.19</w:t>
            </w:r>
            <w:r>
              <w:rPr>
                <w:rStyle w:val="eop"/>
                <w:rFonts w:cs="Arial"/>
                <w:szCs w:val="14"/>
              </w:rPr>
              <w:t> </w:t>
            </w:r>
          </w:p>
        </w:tc>
      </w:tr>
      <w:tr w:rsidR="008B7E19" w:rsidRPr="0049410B" w14:paraId="1BE83F1D" w14:textId="77777777" w:rsidTr="008B7E19">
        <w:trPr>
          <w:trHeight w:val="227"/>
          <w:jc w:val="center"/>
        </w:trPr>
        <w:tc>
          <w:tcPr>
            <w:tcW w:w="2986" w:type="dxa"/>
            <w:shd w:val="clear" w:color="auto" w:fill="auto"/>
          </w:tcPr>
          <w:p w14:paraId="17B9DE62" w14:textId="77777777" w:rsidR="008B7E19" w:rsidRPr="0078045C" w:rsidRDefault="008B7E19" w:rsidP="008B7E19">
            <w:pPr>
              <w:pStyle w:val="08-Tabelageral"/>
              <w:jc w:val="left"/>
              <w:rPr>
                <w:b/>
              </w:rPr>
            </w:pPr>
            <w:r w:rsidRPr="00F50AA9">
              <w:t>Highest salary</w:t>
            </w:r>
          </w:p>
        </w:tc>
        <w:tc>
          <w:tcPr>
            <w:tcW w:w="604" w:type="dxa"/>
            <w:shd w:val="clear" w:color="auto" w:fill="auto"/>
          </w:tcPr>
          <w:p w14:paraId="50951477" w14:textId="77777777" w:rsidR="008B7E19" w:rsidRPr="0049410B" w:rsidRDefault="008B7E19" w:rsidP="008B7E19">
            <w:pPr>
              <w:pStyle w:val="08-Tabelageral"/>
            </w:pPr>
          </w:p>
        </w:tc>
        <w:tc>
          <w:tcPr>
            <w:tcW w:w="1411" w:type="dxa"/>
            <w:shd w:val="clear" w:color="auto" w:fill="auto"/>
          </w:tcPr>
          <w:p w14:paraId="023F0249" w14:textId="77777777" w:rsidR="008B7E19" w:rsidRPr="00110D6B" w:rsidRDefault="008B7E19" w:rsidP="008B7E19">
            <w:pPr>
              <w:pStyle w:val="08-Tabelageral"/>
            </w:pPr>
          </w:p>
        </w:tc>
        <w:tc>
          <w:tcPr>
            <w:tcW w:w="1412" w:type="dxa"/>
            <w:shd w:val="clear" w:color="auto" w:fill="auto"/>
            <w:vAlign w:val="center"/>
          </w:tcPr>
          <w:p w14:paraId="464750F5" w14:textId="77777777" w:rsidR="008B7E19" w:rsidRPr="00BB5EF7" w:rsidRDefault="008B7E19" w:rsidP="008B7E19">
            <w:pPr>
              <w:pStyle w:val="08-Tabelageral"/>
            </w:pPr>
          </w:p>
        </w:tc>
        <w:tc>
          <w:tcPr>
            <w:tcW w:w="283" w:type="dxa"/>
            <w:shd w:val="clear" w:color="auto" w:fill="auto"/>
          </w:tcPr>
          <w:p w14:paraId="38F9A7D0" w14:textId="77777777" w:rsidR="008B7E19" w:rsidRPr="0049410B" w:rsidRDefault="008B7E19" w:rsidP="008B7E19">
            <w:pPr>
              <w:pStyle w:val="08-Tabelageral"/>
            </w:pPr>
          </w:p>
        </w:tc>
        <w:tc>
          <w:tcPr>
            <w:tcW w:w="1417" w:type="dxa"/>
            <w:shd w:val="clear" w:color="auto" w:fill="auto"/>
            <w:vAlign w:val="center"/>
          </w:tcPr>
          <w:p w14:paraId="5CA7BB1D" w14:textId="77777777" w:rsidR="008B7E19" w:rsidRPr="006C2242" w:rsidRDefault="008B7E19" w:rsidP="008B7E19">
            <w:pPr>
              <w:pStyle w:val="08-Tabelageral"/>
            </w:pPr>
            <w:r>
              <w:rPr>
                <w:rStyle w:val="normaltextrun"/>
                <w:rFonts w:cs="Arial"/>
                <w:szCs w:val="14"/>
              </w:rPr>
              <w:t>148,353.77</w:t>
            </w:r>
            <w:r>
              <w:rPr>
                <w:rStyle w:val="eop"/>
                <w:rFonts w:cs="Arial"/>
                <w:szCs w:val="14"/>
              </w:rPr>
              <w:t> </w:t>
            </w:r>
          </w:p>
        </w:tc>
        <w:tc>
          <w:tcPr>
            <w:tcW w:w="1526" w:type="dxa"/>
            <w:shd w:val="clear" w:color="auto" w:fill="auto"/>
            <w:vAlign w:val="center"/>
          </w:tcPr>
          <w:p w14:paraId="29C23E99" w14:textId="77777777" w:rsidR="008B7E19" w:rsidRPr="00C75209" w:rsidRDefault="008B7E19" w:rsidP="008B7E19">
            <w:pPr>
              <w:pStyle w:val="08-Tabelageral"/>
            </w:pPr>
            <w:r>
              <w:rPr>
                <w:rStyle w:val="normaltextrun"/>
                <w:rFonts w:cs="Arial"/>
                <w:szCs w:val="14"/>
              </w:rPr>
              <w:t>101,644.47</w:t>
            </w:r>
            <w:r>
              <w:rPr>
                <w:rStyle w:val="eop"/>
                <w:rFonts w:cs="Arial"/>
                <w:szCs w:val="14"/>
              </w:rPr>
              <w:t> </w:t>
            </w:r>
          </w:p>
        </w:tc>
      </w:tr>
      <w:tr w:rsidR="008B7E19" w:rsidRPr="0049410B" w14:paraId="3BF98BDA" w14:textId="77777777" w:rsidTr="008B7E19">
        <w:trPr>
          <w:trHeight w:val="227"/>
          <w:jc w:val="center"/>
        </w:trPr>
        <w:tc>
          <w:tcPr>
            <w:tcW w:w="2986" w:type="dxa"/>
            <w:shd w:val="clear" w:color="auto" w:fill="auto"/>
          </w:tcPr>
          <w:p w14:paraId="37C9F29C" w14:textId="77777777" w:rsidR="008B7E19" w:rsidRPr="0078045C" w:rsidRDefault="008B7E19" w:rsidP="008B7E19">
            <w:pPr>
              <w:pStyle w:val="08-Tabelageral"/>
              <w:jc w:val="left"/>
              <w:rPr>
                <w:b/>
              </w:rPr>
            </w:pPr>
            <w:r w:rsidRPr="00F50AA9">
              <w:t>Average salary</w:t>
            </w:r>
          </w:p>
        </w:tc>
        <w:tc>
          <w:tcPr>
            <w:tcW w:w="604" w:type="dxa"/>
            <w:shd w:val="clear" w:color="auto" w:fill="auto"/>
          </w:tcPr>
          <w:p w14:paraId="596D118E" w14:textId="77777777" w:rsidR="008B7E19" w:rsidRPr="0049410B" w:rsidRDefault="008B7E19" w:rsidP="008B7E19">
            <w:pPr>
              <w:pStyle w:val="08-Tabelageral"/>
            </w:pPr>
          </w:p>
        </w:tc>
        <w:tc>
          <w:tcPr>
            <w:tcW w:w="1411" w:type="dxa"/>
            <w:shd w:val="clear" w:color="auto" w:fill="auto"/>
          </w:tcPr>
          <w:p w14:paraId="484747FB" w14:textId="77777777" w:rsidR="008B7E19" w:rsidRPr="00110D6B" w:rsidRDefault="008B7E19" w:rsidP="008B7E19">
            <w:pPr>
              <w:pStyle w:val="08-Tabelageral"/>
            </w:pPr>
          </w:p>
        </w:tc>
        <w:tc>
          <w:tcPr>
            <w:tcW w:w="1412" w:type="dxa"/>
            <w:shd w:val="clear" w:color="auto" w:fill="auto"/>
            <w:vAlign w:val="center"/>
          </w:tcPr>
          <w:p w14:paraId="71A14864" w14:textId="77777777" w:rsidR="008B7E19" w:rsidRPr="00BB5EF7" w:rsidRDefault="008B7E19" w:rsidP="008B7E19">
            <w:pPr>
              <w:pStyle w:val="08-Tabelageral"/>
            </w:pPr>
          </w:p>
        </w:tc>
        <w:tc>
          <w:tcPr>
            <w:tcW w:w="283" w:type="dxa"/>
            <w:shd w:val="clear" w:color="auto" w:fill="auto"/>
          </w:tcPr>
          <w:p w14:paraId="536306DC" w14:textId="77777777" w:rsidR="008B7E19" w:rsidRPr="0049410B" w:rsidRDefault="008B7E19" w:rsidP="008B7E19">
            <w:pPr>
              <w:pStyle w:val="08-Tabelageral"/>
            </w:pPr>
          </w:p>
        </w:tc>
        <w:tc>
          <w:tcPr>
            <w:tcW w:w="1417" w:type="dxa"/>
            <w:shd w:val="clear" w:color="auto" w:fill="auto"/>
            <w:vAlign w:val="center"/>
          </w:tcPr>
          <w:p w14:paraId="190AFA5E" w14:textId="77777777" w:rsidR="008B7E19" w:rsidRPr="006C2242" w:rsidRDefault="008B7E19" w:rsidP="008B7E19">
            <w:pPr>
              <w:pStyle w:val="08-Tabelageral"/>
            </w:pPr>
            <w:r w:rsidRPr="009A6933">
              <w:rPr>
                <w:rStyle w:val="normaltextrun"/>
                <w:rFonts w:cs="Arial"/>
                <w:szCs w:val="14"/>
              </w:rPr>
              <w:t>127</w:t>
            </w:r>
            <w:r>
              <w:rPr>
                <w:rStyle w:val="normaltextrun"/>
                <w:rFonts w:cs="Arial"/>
                <w:szCs w:val="14"/>
              </w:rPr>
              <w:t>,</w:t>
            </w:r>
            <w:r w:rsidRPr="009A6933">
              <w:rPr>
                <w:rStyle w:val="normaltextrun"/>
                <w:rFonts w:cs="Arial"/>
                <w:szCs w:val="14"/>
              </w:rPr>
              <w:t>822</w:t>
            </w:r>
            <w:r>
              <w:rPr>
                <w:rStyle w:val="normaltextrun"/>
                <w:rFonts w:cs="Arial"/>
                <w:szCs w:val="14"/>
              </w:rPr>
              <w:t>.</w:t>
            </w:r>
            <w:r w:rsidRPr="009A6933">
              <w:rPr>
                <w:rStyle w:val="normaltextrun"/>
                <w:rFonts w:cs="Arial"/>
                <w:szCs w:val="14"/>
              </w:rPr>
              <w:t>82</w:t>
            </w:r>
          </w:p>
        </w:tc>
        <w:tc>
          <w:tcPr>
            <w:tcW w:w="1526" w:type="dxa"/>
            <w:shd w:val="clear" w:color="auto" w:fill="auto"/>
            <w:vAlign w:val="center"/>
          </w:tcPr>
          <w:p w14:paraId="5533B6D2" w14:textId="77777777" w:rsidR="008B7E19" w:rsidRPr="00C75209" w:rsidRDefault="008B7E19" w:rsidP="008B7E19">
            <w:pPr>
              <w:pStyle w:val="08-Tabelageral"/>
            </w:pPr>
            <w:r w:rsidRPr="006C7AD2">
              <w:rPr>
                <w:rStyle w:val="normaltextrun"/>
                <w:rFonts w:cs="Arial"/>
                <w:szCs w:val="14"/>
              </w:rPr>
              <w:t>88</w:t>
            </w:r>
            <w:r>
              <w:rPr>
                <w:rStyle w:val="normaltextrun"/>
                <w:rFonts w:cs="Arial"/>
                <w:szCs w:val="14"/>
              </w:rPr>
              <w:t>,</w:t>
            </w:r>
            <w:r w:rsidRPr="006C7AD2">
              <w:rPr>
                <w:rStyle w:val="normaltextrun"/>
                <w:rFonts w:cs="Arial"/>
                <w:szCs w:val="14"/>
              </w:rPr>
              <w:t>168</w:t>
            </w:r>
            <w:r>
              <w:rPr>
                <w:rStyle w:val="normaltextrun"/>
                <w:rFonts w:cs="Arial"/>
                <w:szCs w:val="14"/>
              </w:rPr>
              <w:t>.</w:t>
            </w:r>
            <w:r w:rsidRPr="006C7AD2">
              <w:rPr>
                <w:rStyle w:val="normaltextrun"/>
                <w:rFonts w:cs="Arial"/>
                <w:szCs w:val="14"/>
              </w:rPr>
              <w:t>79</w:t>
            </w:r>
          </w:p>
        </w:tc>
      </w:tr>
      <w:tr w:rsidR="008B7E19" w:rsidRPr="0049410B" w14:paraId="15A98549" w14:textId="77777777" w:rsidTr="008B7E19">
        <w:trPr>
          <w:trHeight w:val="227"/>
          <w:jc w:val="center"/>
        </w:trPr>
        <w:tc>
          <w:tcPr>
            <w:tcW w:w="2986" w:type="dxa"/>
            <w:shd w:val="clear" w:color="auto" w:fill="auto"/>
          </w:tcPr>
          <w:p w14:paraId="6F7703CF" w14:textId="77777777" w:rsidR="008B7E19" w:rsidRPr="0078045C" w:rsidRDefault="008B7E19" w:rsidP="008B7E19">
            <w:pPr>
              <w:pStyle w:val="08-Tabelageral"/>
              <w:jc w:val="left"/>
              <w:rPr>
                <w:b/>
              </w:rPr>
            </w:pPr>
          </w:p>
        </w:tc>
        <w:tc>
          <w:tcPr>
            <w:tcW w:w="604" w:type="dxa"/>
            <w:shd w:val="clear" w:color="auto" w:fill="auto"/>
          </w:tcPr>
          <w:p w14:paraId="43D9FF54" w14:textId="77777777" w:rsidR="008B7E19" w:rsidRPr="0049410B" w:rsidRDefault="008B7E19" w:rsidP="008B7E19">
            <w:pPr>
              <w:pStyle w:val="08-Tabelageral"/>
            </w:pPr>
          </w:p>
        </w:tc>
        <w:tc>
          <w:tcPr>
            <w:tcW w:w="1411" w:type="dxa"/>
            <w:shd w:val="clear" w:color="auto" w:fill="auto"/>
          </w:tcPr>
          <w:p w14:paraId="1D251F58" w14:textId="77777777" w:rsidR="008B7E19" w:rsidRPr="00110D6B" w:rsidRDefault="008B7E19" w:rsidP="008B7E19">
            <w:pPr>
              <w:pStyle w:val="08-Tabelageral"/>
            </w:pPr>
          </w:p>
        </w:tc>
        <w:tc>
          <w:tcPr>
            <w:tcW w:w="1412" w:type="dxa"/>
            <w:shd w:val="clear" w:color="auto" w:fill="auto"/>
            <w:vAlign w:val="center"/>
          </w:tcPr>
          <w:p w14:paraId="3430470A" w14:textId="77777777" w:rsidR="008B7E19" w:rsidRPr="00BB5EF7" w:rsidRDefault="008B7E19" w:rsidP="008B7E19">
            <w:pPr>
              <w:pStyle w:val="08-Tabelageral"/>
            </w:pPr>
          </w:p>
        </w:tc>
        <w:tc>
          <w:tcPr>
            <w:tcW w:w="283" w:type="dxa"/>
            <w:shd w:val="clear" w:color="auto" w:fill="auto"/>
          </w:tcPr>
          <w:p w14:paraId="3B221CD4" w14:textId="77777777" w:rsidR="008B7E19" w:rsidRPr="0049410B" w:rsidRDefault="008B7E19" w:rsidP="008B7E19">
            <w:pPr>
              <w:pStyle w:val="08-Tabelageral"/>
            </w:pPr>
          </w:p>
        </w:tc>
        <w:tc>
          <w:tcPr>
            <w:tcW w:w="1417" w:type="dxa"/>
            <w:shd w:val="clear" w:color="auto" w:fill="auto"/>
            <w:vAlign w:val="center"/>
          </w:tcPr>
          <w:p w14:paraId="26B8D4D2" w14:textId="77777777" w:rsidR="008B7E19" w:rsidRPr="006C2242" w:rsidRDefault="008B7E19" w:rsidP="008B7E19">
            <w:pPr>
              <w:pStyle w:val="08-Tabelageral"/>
            </w:pPr>
            <w:r>
              <w:rPr>
                <w:rStyle w:val="eop"/>
                <w:rFonts w:cs="Arial"/>
                <w:szCs w:val="14"/>
              </w:rPr>
              <w:t> </w:t>
            </w:r>
          </w:p>
        </w:tc>
        <w:tc>
          <w:tcPr>
            <w:tcW w:w="1526" w:type="dxa"/>
            <w:shd w:val="clear" w:color="auto" w:fill="auto"/>
            <w:vAlign w:val="center"/>
          </w:tcPr>
          <w:p w14:paraId="1BC95408" w14:textId="77777777" w:rsidR="008B7E19" w:rsidRPr="00C75209" w:rsidRDefault="008B7E19" w:rsidP="008B7E19">
            <w:pPr>
              <w:pStyle w:val="08-Tabelageral"/>
            </w:pPr>
            <w:r>
              <w:rPr>
                <w:rStyle w:val="eop"/>
                <w:rFonts w:cs="Arial"/>
                <w:szCs w:val="14"/>
              </w:rPr>
              <w:t> </w:t>
            </w:r>
          </w:p>
        </w:tc>
      </w:tr>
      <w:tr w:rsidR="008B7E19" w:rsidRPr="00A63FA4" w14:paraId="247D2510" w14:textId="77777777" w:rsidTr="008B7E19">
        <w:trPr>
          <w:trHeight w:val="227"/>
          <w:jc w:val="center"/>
        </w:trPr>
        <w:tc>
          <w:tcPr>
            <w:tcW w:w="2986" w:type="dxa"/>
            <w:shd w:val="clear" w:color="auto" w:fill="auto"/>
          </w:tcPr>
          <w:p w14:paraId="236AF4D9" w14:textId="77777777" w:rsidR="008B7E19" w:rsidRPr="009A3D96" w:rsidRDefault="008B7E19" w:rsidP="008B7E19">
            <w:pPr>
              <w:pStyle w:val="08-Tabelageral"/>
              <w:jc w:val="left"/>
              <w:rPr>
                <w:b/>
                <w:bCs/>
              </w:rPr>
            </w:pPr>
            <w:r>
              <w:rPr>
                <w:b/>
                <w:bCs/>
              </w:rPr>
              <w:t>E</w:t>
            </w:r>
            <w:r w:rsidRPr="00F50AA9">
              <w:rPr>
                <w:b/>
                <w:bCs/>
              </w:rPr>
              <w:t>mployees</w:t>
            </w:r>
            <w:r w:rsidRPr="00600172">
              <w:rPr>
                <w:rFonts w:cs="Arial"/>
                <w:b/>
                <w:bCs/>
                <w:szCs w:val="14"/>
                <w:vertAlign w:val="superscript"/>
              </w:rPr>
              <w:t xml:space="preserve"> (</w:t>
            </w:r>
            <w:r>
              <w:rPr>
                <w:rFonts w:cs="Arial"/>
                <w:b/>
                <w:bCs/>
                <w:szCs w:val="14"/>
                <w:vertAlign w:val="superscript"/>
              </w:rPr>
              <w:t>2</w:t>
            </w:r>
            <w:r w:rsidRPr="00600172">
              <w:rPr>
                <w:rFonts w:cs="Arial"/>
                <w:b/>
                <w:bCs/>
                <w:szCs w:val="14"/>
                <w:vertAlign w:val="superscript"/>
              </w:rPr>
              <w:t>)</w:t>
            </w:r>
          </w:p>
          <w:p w14:paraId="593FEC91" w14:textId="77777777" w:rsidR="008B7E19" w:rsidRPr="00257FAD" w:rsidRDefault="008B7E19" w:rsidP="008B7E19">
            <w:pPr>
              <w:pStyle w:val="08-Tabelageral"/>
              <w:jc w:val="left"/>
              <w:rPr>
                <w:b/>
              </w:rPr>
            </w:pPr>
            <w:r w:rsidRPr="00F50AA9">
              <w:t>Lowest salary</w:t>
            </w:r>
          </w:p>
        </w:tc>
        <w:tc>
          <w:tcPr>
            <w:tcW w:w="604" w:type="dxa"/>
            <w:shd w:val="clear" w:color="auto" w:fill="auto"/>
          </w:tcPr>
          <w:p w14:paraId="04635850" w14:textId="77777777" w:rsidR="008B7E19" w:rsidRPr="00257FAD" w:rsidRDefault="008B7E19" w:rsidP="008B7E19">
            <w:pPr>
              <w:pStyle w:val="08-Tabelageral"/>
              <w:rPr>
                <w:b/>
              </w:rPr>
            </w:pPr>
          </w:p>
        </w:tc>
        <w:tc>
          <w:tcPr>
            <w:tcW w:w="1411" w:type="dxa"/>
            <w:shd w:val="clear" w:color="auto" w:fill="auto"/>
          </w:tcPr>
          <w:p w14:paraId="723F9C2C" w14:textId="77777777" w:rsidR="008B7E19" w:rsidRPr="00257FAD" w:rsidRDefault="008B7E19" w:rsidP="008B7E19">
            <w:pPr>
              <w:pStyle w:val="08-Tabelageral"/>
              <w:rPr>
                <w:b/>
              </w:rPr>
            </w:pPr>
          </w:p>
        </w:tc>
        <w:tc>
          <w:tcPr>
            <w:tcW w:w="1412" w:type="dxa"/>
            <w:shd w:val="clear" w:color="auto" w:fill="auto"/>
            <w:vAlign w:val="center"/>
          </w:tcPr>
          <w:p w14:paraId="0D573D26" w14:textId="77777777" w:rsidR="008B7E19" w:rsidRPr="00257FAD" w:rsidRDefault="008B7E19" w:rsidP="008B7E19">
            <w:pPr>
              <w:pStyle w:val="08-Tabelageral"/>
              <w:rPr>
                <w:b/>
              </w:rPr>
            </w:pPr>
          </w:p>
        </w:tc>
        <w:tc>
          <w:tcPr>
            <w:tcW w:w="283" w:type="dxa"/>
            <w:shd w:val="clear" w:color="auto" w:fill="auto"/>
          </w:tcPr>
          <w:p w14:paraId="66D18357" w14:textId="77777777" w:rsidR="008B7E19" w:rsidRPr="00257FAD" w:rsidRDefault="008B7E19" w:rsidP="008B7E19">
            <w:pPr>
              <w:pStyle w:val="08-Tabelageral"/>
              <w:rPr>
                <w:b/>
              </w:rPr>
            </w:pPr>
          </w:p>
        </w:tc>
        <w:tc>
          <w:tcPr>
            <w:tcW w:w="1417" w:type="dxa"/>
            <w:shd w:val="clear" w:color="auto" w:fill="auto"/>
            <w:vAlign w:val="center"/>
          </w:tcPr>
          <w:p w14:paraId="0EA884B7" w14:textId="77777777" w:rsidR="008B7E19" w:rsidRDefault="008B7E19" w:rsidP="008B7E19">
            <w:pPr>
              <w:pStyle w:val="08-Tabelageral"/>
              <w:rPr>
                <w:rFonts w:ascii="Segoe UI" w:hAnsi="Segoe UI" w:cs="Segoe UI"/>
                <w:sz w:val="18"/>
              </w:rPr>
            </w:pPr>
            <w:r>
              <w:rPr>
                <w:rStyle w:val="eop"/>
                <w:rFonts w:cs="Arial"/>
                <w:szCs w:val="14"/>
              </w:rPr>
              <w:t> </w:t>
            </w:r>
          </w:p>
          <w:p w14:paraId="71F8075E" w14:textId="77777777" w:rsidR="008B7E19" w:rsidRPr="00571EBD" w:rsidRDefault="008B7E19" w:rsidP="008B7E19">
            <w:pPr>
              <w:pStyle w:val="08-Tabelageral"/>
              <w:rPr>
                <w:bCs/>
              </w:rPr>
            </w:pPr>
            <w:r>
              <w:rPr>
                <w:rStyle w:val="normaltextrun"/>
                <w:rFonts w:cs="Arial"/>
                <w:szCs w:val="14"/>
              </w:rPr>
              <w:t>7,021.27</w:t>
            </w:r>
            <w:r>
              <w:rPr>
                <w:rStyle w:val="eop"/>
                <w:rFonts w:cs="Arial"/>
                <w:szCs w:val="14"/>
              </w:rPr>
              <w:t> </w:t>
            </w:r>
          </w:p>
        </w:tc>
        <w:tc>
          <w:tcPr>
            <w:tcW w:w="1526" w:type="dxa"/>
            <w:shd w:val="clear" w:color="auto" w:fill="auto"/>
            <w:vAlign w:val="center"/>
          </w:tcPr>
          <w:p w14:paraId="533F8567" w14:textId="77777777" w:rsidR="008B7E19" w:rsidRDefault="008B7E19" w:rsidP="008B7E19">
            <w:pPr>
              <w:pStyle w:val="08-Tabelageral"/>
              <w:rPr>
                <w:rFonts w:ascii="Segoe UI" w:hAnsi="Segoe UI" w:cs="Segoe UI"/>
                <w:sz w:val="18"/>
              </w:rPr>
            </w:pPr>
            <w:r>
              <w:rPr>
                <w:rStyle w:val="eop"/>
                <w:rFonts w:cs="Arial"/>
                <w:szCs w:val="14"/>
              </w:rPr>
              <w:t> </w:t>
            </w:r>
          </w:p>
          <w:p w14:paraId="46ED9BC1" w14:textId="77777777" w:rsidR="008B7E19" w:rsidRPr="00A63FA4" w:rsidRDefault="008B7E19" w:rsidP="008B7E19">
            <w:pPr>
              <w:pStyle w:val="08-Tabelageral"/>
              <w:rPr>
                <w:bCs/>
              </w:rPr>
            </w:pPr>
            <w:r>
              <w:rPr>
                <w:rStyle w:val="normaltextrun"/>
                <w:rFonts w:cs="Arial"/>
                <w:szCs w:val="14"/>
              </w:rPr>
              <w:t>6,298.11</w:t>
            </w:r>
            <w:r>
              <w:rPr>
                <w:rStyle w:val="eop"/>
                <w:rFonts w:cs="Arial"/>
                <w:szCs w:val="14"/>
              </w:rPr>
              <w:t> </w:t>
            </w:r>
          </w:p>
        </w:tc>
      </w:tr>
      <w:tr w:rsidR="008B7E19" w:rsidRPr="0049410B" w14:paraId="353BDEC7" w14:textId="77777777" w:rsidTr="008B7E19">
        <w:trPr>
          <w:trHeight w:val="227"/>
          <w:jc w:val="center"/>
        </w:trPr>
        <w:tc>
          <w:tcPr>
            <w:tcW w:w="2986" w:type="dxa"/>
            <w:shd w:val="clear" w:color="auto" w:fill="auto"/>
          </w:tcPr>
          <w:p w14:paraId="7003AA81" w14:textId="77777777" w:rsidR="008B7E19" w:rsidRPr="0078045C" w:rsidRDefault="008B7E19" w:rsidP="008B7E19">
            <w:pPr>
              <w:pStyle w:val="08-Tabelageral"/>
              <w:jc w:val="left"/>
              <w:rPr>
                <w:b/>
              </w:rPr>
            </w:pPr>
            <w:r w:rsidRPr="00F50AA9">
              <w:t>Highest salary</w:t>
            </w:r>
          </w:p>
        </w:tc>
        <w:tc>
          <w:tcPr>
            <w:tcW w:w="604" w:type="dxa"/>
            <w:shd w:val="clear" w:color="auto" w:fill="auto"/>
          </w:tcPr>
          <w:p w14:paraId="57B112F2" w14:textId="77777777" w:rsidR="008B7E19" w:rsidRPr="0049410B" w:rsidRDefault="008B7E19" w:rsidP="008B7E19">
            <w:pPr>
              <w:pStyle w:val="08-Tabelageral"/>
            </w:pPr>
          </w:p>
        </w:tc>
        <w:tc>
          <w:tcPr>
            <w:tcW w:w="1411" w:type="dxa"/>
            <w:shd w:val="clear" w:color="auto" w:fill="auto"/>
          </w:tcPr>
          <w:p w14:paraId="3F309FF6" w14:textId="77777777" w:rsidR="008B7E19" w:rsidRPr="00110D6B" w:rsidRDefault="008B7E19" w:rsidP="008B7E19">
            <w:pPr>
              <w:pStyle w:val="08-Tabelageral"/>
            </w:pPr>
          </w:p>
        </w:tc>
        <w:tc>
          <w:tcPr>
            <w:tcW w:w="1412" w:type="dxa"/>
            <w:shd w:val="clear" w:color="auto" w:fill="auto"/>
          </w:tcPr>
          <w:p w14:paraId="4775763C" w14:textId="77777777" w:rsidR="008B7E19" w:rsidRPr="00BB5EF7" w:rsidRDefault="008B7E19" w:rsidP="008B7E19">
            <w:pPr>
              <w:pStyle w:val="08-Tabelageral"/>
            </w:pPr>
          </w:p>
        </w:tc>
        <w:tc>
          <w:tcPr>
            <w:tcW w:w="283" w:type="dxa"/>
            <w:shd w:val="clear" w:color="auto" w:fill="auto"/>
          </w:tcPr>
          <w:p w14:paraId="0045BBC9" w14:textId="77777777" w:rsidR="008B7E19" w:rsidRPr="0049410B" w:rsidRDefault="008B7E19" w:rsidP="008B7E19">
            <w:pPr>
              <w:pStyle w:val="08-Tabelageral"/>
            </w:pPr>
          </w:p>
        </w:tc>
        <w:tc>
          <w:tcPr>
            <w:tcW w:w="1417" w:type="dxa"/>
            <w:shd w:val="clear" w:color="auto" w:fill="auto"/>
          </w:tcPr>
          <w:p w14:paraId="0E41B549" w14:textId="77777777" w:rsidR="008B7E19" w:rsidRPr="006C2242" w:rsidRDefault="008B7E19" w:rsidP="008B7E19">
            <w:pPr>
              <w:pStyle w:val="08-Tabelageral"/>
            </w:pPr>
            <w:r>
              <w:rPr>
                <w:rStyle w:val="normaltextrun"/>
                <w:rFonts w:cs="Arial"/>
                <w:szCs w:val="14"/>
              </w:rPr>
              <w:t>83,196.10</w:t>
            </w:r>
            <w:r>
              <w:rPr>
                <w:rStyle w:val="eop"/>
                <w:rFonts w:cs="Arial"/>
                <w:szCs w:val="14"/>
              </w:rPr>
              <w:t> </w:t>
            </w:r>
          </w:p>
        </w:tc>
        <w:tc>
          <w:tcPr>
            <w:tcW w:w="1526" w:type="dxa"/>
            <w:shd w:val="clear" w:color="auto" w:fill="auto"/>
          </w:tcPr>
          <w:p w14:paraId="09D46BE5" w14:textId="77777777" w:rsidR="008B7E19" w:rsidRPr="00C75209" w:rsidRDefault="008B7E19" w:rsidP="008B7E19">
            <w:pPr>
              <w:pStyle w:val="08-Tabelageral"/>
            </w:pPr>
            <w:r>
              <w:rPr>
                <w:rStyle w:val="normaltextrun"/>
                <w:rFonts w:cs="Arial"/>
                <w:szCs w:val="14"/>
              </w:rPr>
              <w:t>59,567.73</w:t>
            </w:r>
            <w:r>
              <w:rPr>
                <w:rStyle w:val="eop"/>
                <w:rFonts w:cs="Arial"/>
                <w:szCs w:val="14"/>
              </w:rPr>
              <w:t> </w:t>
            </w:r>
          </w:p>
        </w:tc>
      </w:tr>
      <w:tr w:rsidR="008B7E19" w:rsidRPr="0049410B" w14:paraId="3C411228" w14:textId="77777777" w:rsidTr="008B7E19">
        <w:trPr>
          <w:trHeight w:val="227"/>
          <w:jc w:val="center"/>
        </w:trPr>
        <w:tc>
          <w:tcPr>
            <w:tcW w:w="2986" w:type="dxa"/>
            <w:shd w:val="clear" w:color="auto" w:fill="auto"/>
          </w:tcPr>
          <w:p w14:paraId="54DE593B" w14:textId="77777777" w:rsidR="008B7E19" w:rsidRDefault="008B7E19" w:rsidP="008B7E19">
            <w:pPr>
              <w:pStyle w:val="08-Tabelageral"/>
              <w:jc w:val="left"/>
            </w:pPr>
            <w:r w:rsidRPr="00F50AA9">
              <w:t xml:space="preserve">Average salary </w:t>
            </w:r>
          </w:p>
          <w:p w14:paraId="71120FC9" w14:textId="77777777" w:rsidR="008B7E19" w:rsidRPr="0078045C" w:rsidRDefault="008B7E19" w:rsidP="008B7E19">
            <w:pPr>
              <w:pStyle w:val="08-Tabelageral"/>
              <w:jc w:val="left"/>
              <w:rPr>
                <w:b/>
              </w:rPr>
            </w:pPr>
            <w:r>
              <w:t>Benefícios</w:t>
            </w:r>
            <w:r w:rsidRPr="00600172">
              <w:rPr>
                <w:rFonts w:cs="Arial"/>
                <w:b/>
                <w:bCs/>
                <w:szCs w:val="14"/>
                <w:vertAlign w:val="superscript"/>
              </w:rPr>
              <w:t xml:space="preserve"> (</w:t>
            </w:r>
            <w:r>
              <w:rPr>
                <w:rFonts w:cs="Arial"/>
                <w:b/>
                <w:bCs/>
                <w:szCs w:val="14"/>
                <w:vertAlign w:val="superscript"/>
              </w:rPr>
              <w:t>3</w:t>
            </w:r>
            <w:r w:rsidRPr="00600172">
              <w:rPr>
                <w:rFonts w:cs="Arial"/>
                <w:b/>
                <w:bCs/>
                <w:szCs w:val="14"/>
                <w:vertAlign w:val="superscript"/>
              </w:rPr>
              <w:t>)</w:t>
            </w:r>
          </w:p>
        </w:tc>
        <w:tc>
          <w:tcPr>
            <w:tcW w:w="604" w:type="dxa"/>
            <w:shd w:val="clear" w:color="auto" w:fill="auto"/>
          </w:tcPr>
          <w:p w14:paraId="5CF48CAD" w14:textId="77777777" w:rsidR="008B7E19" w:rsidRPr="0049410B" w:rsidRDefault="008B7E19" w:rsidP="008B7E19">
            <w:pPr>
              <w:pStyle w:val="08-Tabelageral"/>
            </w:pPr>
          </w:p>
        </w:tc>
        <w:tc>
          <w:tcPr>
            <w:tcW w:w="1411" w:type="dxa"/>
            <w:shd w:val="clear" w:color="auto" w:fill="auto"/>
          </w:tcPr>
          <w:p w14:paraId="2CC5B007" w14:textId="77777777" w:rsidR="008B7E19" w:rsidRPr="00110D6B" w:rsidRDefault="008B7E19" w:rsidP="008B7E19">
            <w:pPr>
              <w:pStyle w:val="08-Tabelageral"/>
            </w:pPr>
          </w:p>
        </w:tc>
        <w:tc>
          <w:tcPr>
            <w:tcW w:w="1412" w:type="dxa"/>
            <w:shd w:val="clear" w:color="auto" w:fill="auto"/>
          </w:tcPr>
          <w:p w14:paraId="36FEB497" w14:textId="77777777" w:rsidR="008B7E19" w:rsidRPr="00BB5EF7" w:rsidRDefault="008B7E19" w:rsidP="008B7E19">
            <w:pPr>
              <w:pStyle w:val="08-Tabelageral"/>
            </w:pPr>
          </w:p>
        </w:tc>
        <w:tc>
          <w:tcPr>
            <w:tcW w:w="283" w:type="dxa"/>
            <w:shd w:val="clear" w:color="auto" w:fill="auto"/>
          </w:tcPr>
          <w:p w14:paraId="6462D999" w14:textId="77777777" w:rsidR="008B7E19" w:rsidRPr="0049410B" w:rsidRDefault="008B7E19" w:rsidP="008B7E19">
            <w:pPr>
              <w:pStyle w:val="08-Tabelageral"/>
            </w:pPr>
          </w:p>
        </w:tc>
        <w:tc>
          <w:tcPr>
            <w:tcW w:w="1417" w:type="dxa"/>
            <w:shd w:val="clear" w:color="auto" w:fill="auto"/>
          </w:tcPr>
          <w:p w14:paraId="3F42AD21" w14:textId="77777777" w:rsidR="008B7E19" w:rsidRDefault="008B7E19" w:rsidP="008B7E19">
            <w:pPr>
              <w:pStyle w:val="08-Tabelageral"/>
              <w:rPr>
                <w:rFonts w:ascii="Segoe UI" w:hAnsi="Segoe UI" w:cs="Segoe UI"/>
                <w:sz w:val="18"/>
              </w:rPr>
            </w:pPr>
            <w:r>
              <w:rPr>
                <w:rStyle w:val="normaltextrun"/>
                <w:rFonts w:cs="Arial"/>
                <w:szCs w:val="14"/>
              </w:rPr>
              <w:t>27,185.87</w:t>
            </w:r>
            <w:r>
              <w:rPr>
                <w:rStyle w:val="eop"/>
                <w:rFonts w:cs="Arial"/>
                <w:szCs w:val="14"/>
              </w:rPr>
              <w:t> </w:t>
            </w:r>
          </w:p>
          <w:p w14:paraId="7BF8B010" w14:textId="77777777" w:rsidR="008B7E19" w:rsidRPr="006C2242" w:rsidRDefault="008B7E19" w:rsidP="008B7E19">
            <w:pPr>
              <w:pStyle w:val="08-Tabelageral"/>
            </w:pPr>
            <w:r>
              <w:rPr>
                <w:rStyle w:val="normaltextrun"/>
                <w:rFonts w:cs="Arial"/>
                <w:szCs w:val="14"/>
              </w:rPr>
              <w:t>4,830.57</w:t>
            </w:r>
            <w:r>
              <w:rPr>
                <w:rStyle w:val="eop"/>
                <w:rFonts w:cs="Arial"/>
                <w:szCs w:val="14"/>
              </w:rPr>
              <w:t> </w:t>
            </w:r>
          </w:p>
        </w:tc>
        <w:tc>
          <w:tcPr>
            <w:tcW w:w="1526" w:type="dxa"/>
            <w:shd w:val="clear" w:color="auto" w:fill="auto"/>
          </w:tcPr>
          <w:p w14:paraId="0E87574B" w14:textId="77777777" w:rsidR="008B7E19" w:rsidRDefault="008B7E19" w:rsidP="008B7E19">
            <w:pPr>
              <w:pStyle w:val="08-Tabelageral"/>
              <w:rPr>
                <w:rFonts w:ascii="Segoe UI" w:hAnsi="Segoe UI" w:cs="Segoe UI"/>
                <w:sz w:val="18"/>
              </w:rPr>
            </w:pPr>
            <w:r>
              <w:rPr>
                <w:rStyle w:val="normaltextrun"/>
                <w:rFonts w:cs="Arial"/>
                <w:szCs w:val="14"/>
              </w:rPr>
              <w:t>23,680.69</w:t>
            </w:r>
            <w:r>
              <w:rPr>
                <w:rStyle w:val="eop"/>
                <w:rFonts w:cs="Arial"/>
                <w:szCs w:val="14"/>
              </w:rPr>
              <w:t> </w:t>
            </w:r>
          </w:p>
          <w:p w14:paraId="792C86EC" w14:textId="77777777" w:rsidR="008B7E19" w:rsidRPr="00C75209" w:rsidRDefault="008B7E19" w:rsidP="008B7E19">
            <w:pPr>
              <w:pStyle w:val="08-Tabelageral"/>
            </w:pPr>
            <w:r>
              <w:rPr>
                <w:rStyle w:val="normaltextrun"/>
                <w:rFonts w:cs="Arial"/>
                <w:szCs w:val="14"/>
              </w:rPr>
              <w:t>4,461.31</w:t>
            </w:r>
            <w:r>
              <w:rPr>
                <w:rStyle w:val="eop"/>
                <w:rFonts w:cs="Arial"/>
                <w:szCs w:val="14"/>
              </w:rPr>
              <w:t> </w:t>
            </w:r>
          </w:p>
        </w:tc>
      </w:tr>
    </w:tbl>
    <w:p w14:paraId="27625D47" w14:textId="77777777" w:rsidR="008B7E19" w:rsidRPr="00961CE3" w:rsidRDefault="008B7E19" w:rsidP="00882B41">
      <w:pPr>
        <w:pStyle w:val="07-Legenda"/>
        <w:numPr>
          <w:ilvl w:val="0"/>
          <w:numId w:val="46"/>
        </w:numPr>
        <w:ind w:left="284" w:hanging="284"/>
        <w:rPr>
          <w:rFonts w:cs="Arial"/>
          <w:szCs w:val="14"/>
        </w:rPr>
      </w:pPr>
      <w:r w:rsidRPr="00BD3712">
        <w:t>Average monthly remuneration of Officers who have held the position for the twelve months of the year, including the Chief Executive Officer, considering variable remuneration and benefits offered, except social charges.</w:t>
      </w:r>
      <w:r>
        <w:t xml:space="preserve"> </w:t>
      </w:r>
      <w:r w:rsidRPr="00961CE3">
        <w:rPr>
          <w:rFonts w:cs="Arial"/>
          <w:szCs w:val="14"/>
        </w:rPr>
        <w:t>In the 1</w:t>
      </w:r>
      <w:r w:rsidRPr="00961CE3">
        <w:rPr>
          <w:rFonts w:cs="Arial"/>
          <w:szCs w:val="14"/>
          <w:vertAlign w:val="superscript"/>
        </w:rPr>
        <w:t>st</w:t>
      </w:r>
      <w:r>
        <w:rPr>
          <w:rFonts w:cs="Arial"/>
          <w:szCs w:val="14"/>
          <w:vertAlign w:val="superscript"/>
        </w:rPr>
        <w:t xml:space="preserve"> </w:t>
      </w:r>
      <w:r>
        <w:rPr>
          <w:rFonts w:cs="Arial"/>
          <w:szCs w:val="14"/>
        </w:rPr>
        <w:t xml:space="preserve">Quarter </w:t>
      </w:r>
      <w:r w:rsidRPr="00961CE3">
        <w:rPr>
          <w:rFonts w:cs="Arial"/>
          <w:szCs w:val="14"/>
        </w:rPr>
        <w:t>2023, the variable compensation paid in March/2023 was considered. In the 1</w:t>
      </w:r>
      <w:r w:rsidRPr="00961CE3">
        <w:rPr>
          <w:rFonts w:cs="Arial"/>
          <w:szCs w:val="14"/>
          <w:vertAlign w:val="superscript"/>
        </w:rPr>
        <w:t>st</w:t>
      </w:r>
      <w:r w:rsidRPr="00961CE3">
        <w:rPr>
          <w:rFonts w:cs="Arial"/>
          <w:szCs w:val="14"/>
        </w:rPr>
        <w:t xml:space="preserve"> </w:t>
      </w:r>
      <w:r>
        <w:rPr>
          <w:rFonts w:cs="Arial"/>
          <w:szCs w:val="14"/>
        </w:rPr>
        <w:t xml:space="preserve">Quarter </w:t>
      </w:r>
      <w:r w:rsidRPr="00961CE3">
        <w:rPr>
          <w:rFonts w:cs="Arial"/>
          <w:szCs w:val="14"/>
        </w:rPr>
        <w:t>2022, the payment of variable remuneration, which was paid in April/2022, was not considered.</w:t>
      </w:r>
    </w:p>
    <w:p w14:paraId="03A130FB" w14:textId="77777777" w:rsidR="008B7E19" w:rsidRPr="00BD3712" w:rsidRDefault="008B7E19" w:rsidP="00882B41">
      <w:pPr>
        <w:pStyle w:val="07-Legenda"/>
        <w:numPr>
          <w:ilvl w:val="0"/>
          <w:numId w:val="46"/>
        </w:numPr>
        <w:ind w:left="284" w:hanging="284"/>
      </w:pPr>
      <w:r w:rsidRPr="00BD3712">
        <w:t>Average monthly remuneration of Employees who have remained in the company for the twelve months of the year, considering expenses with salaries, personal benefits, commissions, gratuities, additional, overtime and other expenses related to remuneration, including benefits offered, except charges.</w:t>
      </w:r>
    </w:p>
    <w:p w14:paraId="59E0CBE6" w14:textId="77777777" w:rsidR="008B7E19" w:rsidRPr="00BD3712" w:rsidRDefault="008B7E19" w:rsidP="00882B41">
      <w:pPr>
        <w:pStyle w:val="07-Legenda"/>
        <w:numPr>
          <w:ilvl w:val="0"/>
          <w:numId w:val="46"/>
        </w:numPr>
        <w:ind w:left="284" w:hanging="284"/>
      </w:pPr>
      <w:r w:rsidRPr="00BD3712">
        <w:t>Global average value of benefits offered to Employees, considering, for example, medical and dental care, food and meal allowances, daycare allowance, transportation allowance, supplementary pension. The overall average figure considers the total employee benefit spend for the year divided by the average number of employees for the year.</w:t>
      </w:r>
    </w:p>
    <w:p w14:paraId="15440C3D" w14:textId="133B1C66" w:rsidR="00433C02" w:rsidRPr="00433C02" w:rsidRDefault="00433C02" w:rsidP="008B7E19">
      <w:pPr>
        <w:rPr>
          <w:lang w:eastAsia="pt-BR"/>
        </w:rPr>
      </w:pPr>
    </w:p>
    <w:p w14:paraId="638A0C28" w14:textId="57EBFC4E" w:rsidR="008B7E19" w:rsidRPr="00882B41" w:rsidRDefault="008B7E19" w:rsidP="00882B41">
      <w:pPr>
        <w:pStyle w:val="02-TtulodeNota"/>
        <w:rPr>
          <w:color w:val="1F4E79" w:themeColor="accent1" w:themeShade="80"/>
          <w:lang w:val="en-US"/>
        </w:rPr>
      </w:pPr>
      <w:bookmarkStart w:id="64" w:name="_Toc141966705"/>
      <w:r w:rsidRPr="00882B41">
        <w:rPr>
          <w:color w:val="1F4E79" w:themeColor="accent1" w:themeShade="80"/>
          <w:lang w:val="en-US"/>
        </w:rPr>
        <w:t>27 - EVENTS AFTER THE REPORTING PERIOD</w:t>
      </w:r>
      <w:bookmarkEnd w:id="64"/>
    </w:p>
    <w:p w14:paraId="4201423B" w14:textId="77777777" w:rsidR="008B7E19" w:rsidRDefault="008B7E19" w:rsidP="008B7E19">
      <w:pPr>
        <w:pStyle w:val="05-Textonormal"/>
        <w:rPr>
          <w:b/>
          <w:color w:val="1F4E79" w:themeColor="accent1" w:themeShade="80"/>
          <w:lang w:val="en-US"/>
        </w:rPr>
      </w:pPr>
      <w:r w:rsidRPr="0079422A">
        <w:rPr>
          <w:b/>
          <w:color w:val="1F4E79" w:themeColor="accent1" w:themeShade="80"/>
          <w:lang w:val="en-US"/>
        </w:rPr>
        <w:t xml:space="preserve">Repurcharse Program </w:t>
      </w:r>
    </w:p>
    <w:p w14:paraId="4556BA42" w14:textId="77777777" w:rsidR="008B7E19" w:rsidRDefault="008B7E19" w:rsidP="008B7E19">
      <w:pPr>
        <w:pStyle w:val="05-Textonormal"/>
        <w:rPr>
          <w:lang w:val="en-US" w:eastAsia="zh-CN"/>
        </w:rPr>
      </w:pPr>
      <w:r w:rsidRPr="00881AFC">
        <w:rPr>
          <w:lang w:val="en-US" w:eastAsia="zh-CN"/>
        </w:rPr>
        <w:t>On August 4, 2023, the Board of Directors approved the opening of a Share Buyback Program issued by the Company,</w:t>
      </w:r>
      <w:r>
        <w:rPr>
          <w:lang w:val="en-US" w:eastAsia="zh-CN"/>
        </w:rPr>
        <w:t xml:space="preserve"> </w:t>
      </w:r>
      <w:r w:rsidRPr="00881AFC">
        <w:rPr>
          <w:lang w:val="en-US" w:eastAsia="zh-CN"/>
        </w:rPr>
        <w:t>intended for the acquisition of up to 64,249 thousand common shares</w:t>
      </w:r>
      <w:r>
        <w:rPr>
          <w:lang w:val="en-US" w:eastAsia="zh-CN"/>
        </w:rPr>
        <w:t xml:space="preserve">, </w:t>
      </w:r>
      <w:r w:rsidRPr="00881AFC">
        <w:rPr>
          <w:lang w:val="en-US" w:eastAsia="zh-CN"/>
        </w:rPr>
        <w:t>to be held in treasury and subsequently sold or cancelled, with a view to maximizing value creation for shareholders</w:t>
      </w:r>
      <w:r>
        <w:rPr>
          <w:lang w:val="en-US" w:eastAsia="zh-CN"/>
        </w:rPr>
        <w:t>.</w:t>
      </w:r>
      <w:r w:rsidRPr="00881AFC">
        <w:rPr>
          <w:lang w:val="en-US" w:eastAsia="zh-CN"/>
        </w:rPr>
        <w:t>The term of the program is 18 months.</w:t>
      </w:r>
    </w:p>
    <w:p w14:paraId="50FF61BA" w14:textId="21586A1F" w:rsidR="009A3167" w:rsidRDefault="009A3167" w:rsidP="008B7E19">
      <w:pPr>
        <w:rPr>
          <w:rFonts w:cs="Arial"/>
          <w:b/>
          <w:bCs/>
          <w:color w:val="1F4E79" w:themeColor="accent1" w:themeShade="80"/>
          <w:sz w:val="20"/>
          <w:szCs w:val="20"/>
          <w:lang w:val="en-US" w:eastAsia="pt-BR"/>
        </w:rPr>
        <w:sectPr w:rsidR="009A3167" w:rsidSect="00246CB5">
          <w:headerReference w:type="default" r:id="rId46"/>
          <w:pgSz w:w="11906" w:h="16838" w:code="9"/>
          <w:pgMar w:top="1134" w:right="1134" w:bottom="851" w:left="1134" w:header="851" w:footer="284" w:gutter="0"/>
          <w:cols w:space="708"/>
          <w:docGrid w:linePitch="360"/>
        </w:sectPr>
      </w:pPr>
    </w:p>
    <w:p w14:paraId="36F02E48" w14:textId="26D83F41" w:rsidR="00433C02" w:rsidRDefault="00433C02" w:rsidP="008B7E19">
      <w:pPr>
        <w:rPr>
          <w:lang w:eastAsia="pt-BR"/>
        </w:rPr>
      </w:pPr>
    </w:p>
    <w:p w14:paraId="196426F7" w14:textId="218B5651" w:rsidR="00433C02" w:rsidRDefault="00433C02" w:rsidP="00433C02">
      <w:pPr>
        <w:tabs>
          <w:tab w:val="left" w:pos="5320"/>
        </w:tabs>
        <w:rPr>
          <w:lang w:eastAsia="pt-BR"/>
        </w:rPr>
      </w:pPr>
      <w:r>
        <w:rPr>
          <w:lang w:eastAsia="pt-BR"/>
        </w:rPr>
        <w:tab/>
      </w:r>
    </w:p>
    <w:tbl>
      <w:tblPr>
        <w:tblW w:w="5385" w:type="dxa"/>
        <w:tblInd w:w="3118" w:type="dxa"/>
        <w:tblLayout w:type="fixed"/>
        <w:tblCellMar>
          <w:left w:w="113" w:type="dxa"/>
          <w:right w:w="113" w:type="dxa"/>
        </w:tblCellMar>
        <w:tblLook w:val="0000" w:firstRow="0" w:lastRow="0" w:firstColumn="0" w:lastColumn="0" w:noHBand="0" w:noVBand="0"/>
      </w:tblPr>
      <w:tblGrid>
        <w:gridCol w:w="5385"/>
      </w:tblGrid>
      <w:tr w:rsidR="009A3167" w:rsidRPr="00E8567E" w14:paraId="147C8720" w14:textId="77777777" w:rsidTr="009A3167">
        <w:trPr>
          <w:cantSplit/>
          <w:trHeight w:val="3969"/>
        </w:trPr>
        <w:tc>
          <w:tcPr>
            <w:tcW w:w="5385" w:type="dxa"/>
          </w:tcPr>
          <w:p w14:paraId="62D01833" w14:textId="77777777" w:rsidR="009A3167" w:rsidRPr="00425283" w:rsidRDefault="009A3167" w:rsidP="009A3167">
            <w:pPr>
              <w:pStyle w:val="Normal1"/>
              <w:widowControl w:val="0"/>
              <w:spacing w:after="200" w:line="240" w:lineRule="auto"/>
              <w:ind w:left="0"/>
              <w:jc w:val="left"/>
              <w:rPr>
                <w:rFonts w:ascii="Calibri" w:hAnsi="Calibri" w:cs="Calibri"/>
                <w:b/>
                <w:sz w:val="36"/>
                <w:szCs w:val="36"/>
                <w:lang w:val="pt-BR"/>
              </w:rPr>
            </w:pPr>
            <w:r w:rsidRPr="00425283">
              <w:rPr>
                <w:rFonts w:ascii="Calibri" w:hAnsi="Calibri" w:cs="Calibri"/>
                <w:b/>
                <w:sz w:val="36"/>
                <w:szCs w:val="36"/>
                <w:lang w:val="pt-BR"/>
              </w:rPr>
              <w:t>BB Seguridade Participações S.A.</w:t>
            </w:r>
          </w:p>
          <w:p w14:paraId="643D4E31" w14:textId="77777777" w:rsidR="009A3167" w:rsidRPr="00E8567E" w:rsidRDefault="009A3167" w:rsidP="009A3167">
            <w:pPr>
              <w:pStyle w:val="Descriodotrabalho"/>
              <w:widowControl w:val="0"/>
              <w:shd w:val="clear" w:color="EBEBEB" w:fill="auto"/>
              <w:spacing w:line="240" w:lineRule="auto"/>
              <w:rPr>
                <w:rFonts w:ascii="Calibri" w:eastAsia="Times New Roman" w:hAnsi="Calibri" w:cs="Calibri"/>
                <w:i w:val="0"/>
                <w:sz w:val="22"/>
              </w:rPr>
            </w:pPr>
            <w:r w:rsidRPr="00E8567E">
              <w:rPr>
                <w:rFonts w:ascii="Calibri" w:eastAsia="Times New Roman" w:hAnsi="Calibri" w:cs="Calibri"/>
                <w:i w:val="0"/>
                <w:sz w:val="22"/>
              </w:rPr>
              <w:t xml:space="preserve"> Report on Review of Interim Financial </w:t>
            </w:r>
            <w:r>
              <w:rPr>
                <w:rFonts w:ascii="Calibri" w:eastAsia="Times New Roman" w:hAnsi="Calibri" w:cs="Calibri"/>
                <w:i w:val="0"/>
                <w:sz w:val="22"/>
              </w:rPr>
              <w:t xml:space="preserve">Information </w:t>
            </w:r>
            <w:r w:rsidRPr="00E8567E">
              <w:rPr>
                <w:rFonts w:ascii="Calibri" w:eastAsia="Times New Roman" w:hAnsi="Calibri" w:cs="Calibri"/>
                <w:i w:val="0"/>
                <w:sz w:val="22"/>
              </w:rPr>
              <w:t xml:space="preserve">for the </w:t>
            </w:r>
            <w:r>
              <w:rPr>
                <w:rFonts w:ascii="Calibri" w:eastAsia="Times New Roman" w:hAnsi="Calibri" w:cs="Calibri"/>
                <w:i w:val="0"/>
                <w:sz w:val="22"/>
              </w:rPr>
              <w:t>Quarter</w:t>
            </w:r>
            <w:r w:rsidRPr="00E8567E">
              <w:rPr>
                <w:rFonts w:ascii="Calibri" w:eastAsia="Times New Roman" w:hAnsi="Calibri" w:cs="Calibri"/>
                <w:i w:val="0"/>
                <w:sz w:val="22"/>
              </w:rPr>
              <w:br/>
              <w:t xml:space="preserve">Ended </w:t>
            </w:r>
            <w:r>
              <w:rPr>
                <w:rFonts w:ascii="Calibri" w:eastAsia="Times New Roman" w:hAnsi="Calibri" w:cs="Calibri"/>
                <w:i w:val="0"/>
                <w:sz w:val="22"/>
              </w:rPr>
              <w:t>March</w:t>
            </w:r>
            <w:r w:rsidRPr="00E8567E">
              <w:rPr>
                <w:rFonts w:ascii="Calibri" w:eastAsia="Times New Roman" w:hAnsi="Calibri" w:cs="Calibri"/>
                <w:i w:val="0"/>
                <w:sz w:val="22"/>
              </w:rPr>
              <w:t xml:space="preserve"> </w:t>
            </w:r>
            <w:r>
              <w:rPr>
                <w:rFonts w:ascii="Calibri" w:eastAsia="Times New Roman" w:hAnsi="Calibri" w:cs="Calibri"/>
                <w:i w:val="0"/>
                <w:sz w:val="22"/>
              </w:rPr>
              <w:t>31</w:t>
            </w:r>
            <w:r w:rsidRPr="00E8567E">
              <w:rPr>
                <w:rFonts w:ascii="Calibri" w:eastAsia="Times New Roman" w:hAnsi="Calibri" w:cs="Calibri"/>
                <w:i w:val="0"/>
                <w:sz w:val="22"/>
              </w:rPr>
              <w:t>, 202</w:t>
            </w:r>
            <w:r>
              <w:rPr>
                <w:rFonts w:ascii="Calibri" w:eastAsia="Times New Roman" w:hAnsi="Calibri" w:cs="Calibri"/>
                <w:i w:val="0"/>
                <w:sz w:val="22"/>
              </w:rPr>
              <w:t>3</w:t>
            </w:r>
            <w:r w:rsidRPr="00E8567E">
              <w:rPr>
                <w:rFonts w:ascii="Calibri" w:eastAsia="Times New Roman" w:hAnsi="Calibri" w:cs="Calibri"/>
                <w:i w:val="0"/>
                <w:sz w:val="22"/>
              </w:rPr>
              <w:t xml:space="preserve"> </w:t>
            </w:r>
            <w:r w:rsidRPr="00E8567E">
              <w:rPr>
                <w:rFonts w:ascii="Calibri" w:eastAsia="Times New Roman" w:hAnsi="Calibri" w:cs="Calibri"/>
                <w:i w:val="0"/>
                <w:sz w:val="22"/>
              </w:rPr>
              <w:br/>
            </w:r>
          </w:p>
          <w:p w14:paraId="1EED9CB2" w14:textId="77777777" w:rsidR="009A3167" w:rsidRPr="00E8567E" w:rsidRDefault="009A3167" w:rsidP="009A3167">
            <w:pPr>
              <w:pStyle w:val="DTT"/>
              <w:widowControl w:val="0"/>
              <w:rPr>
                <w:rFonts w:ascii="Calibri" w:hAnsi="Calibri" w:cs="Calibri"/>
                <w:sz w:val="22"/>
                <w:szCs w:val="22"/>
              </w:rPr>
            </w:pPr>
          </w:p>
          <w:p w14:paraId="1CA12BE9" w14:textId="77777777" w:rsidR="009A3167" w:rsidRPr="00E8567E" w:rsidRDefault="009A3167" w:rsidP="009A3167">
            <w:pPr>
              <w:pStyle w:val="DTT"/>
              <w:widowControl w:val="0"/>
              <w:rPr>
                <w:rFonts w:ascii="Calibri" w:hAnsi="Calibri" w:cs="Calibri"/>
                <w:sz w:val="22"/>
                <w:szCs w:val="22"/>
              </w:rPr>
            </w:pPr>
          </w:p>
          <w:p w14:paraId="6E1E5BEA" w14:textId="77777777" w:rsidR="009A3167" w:rsidRPr="00E8567E" w:rsidRDefault="009A3167" w:rsidP="009A3167">
            <w:pPr>
              <w:pStyle w:val="DTT"/>
              <w:widowControl w:val="0"/>
              <w:rPr>
                <w:rFonts w:ascii="Calibri" w:hAnsi="Calibri" w:cs="Calibri"/>
                <w:sz w:val="22"/>
                <w:szCs w:val="22"/>
              </w:rPr>
            </w:pPr>
          </w:p>
          <w:p w14:paraId="1DB90AC8" w14:textId="77777777" w:rsidR="009A3167" w:rsidRPr="00E8567E" w:rsidRDefault="009A3167" w:rsidP="009A3167">
            <w:pPr>
              <w:pStyle w:val="DTT"/>
              <w:widowControl w:val="0"/>
              <w:rPr>
                <w:rFonts w:ascii="Calibri" w:hAnsi="Calibri" w:cs="Calibri"/>
                <w:sz w:val="22"/>
                <w:szCs w:val="22"/>
              </w:rPr>
            </w:pPr>
          </w:p>
          <w:p w14:paraId="5EDF6E59" w14:textId="77777777" w:rsidR="009A3167" w:rsidRPr="00E8567E" w:rsidRDefault="009A3167" w:rsidP="009A3167">
            <w:pPr>
              <w:pStyle w:val="DTT"/>
              <w:widowControl w:val="0"/>
              <w:rPr>
                <w:rFonts w:ascii="Calibri" w:hAnsi="Calibri" w:cs="Calibri"/>
                <w:sz w:val="22"/>
                <w:szCs w:val="22"/>
              </w:rPr>
            </w:pPr>
          </w:p>
          <w:p w14:paraId="3C99486A" w14:textId="77777777" w:rsidR="009A3167" w:rsidRPr="00E8567E" w:rsidRDefault="009A3167" w:rsidP="009A3167">
            <w:pPr>
              <w:pStyle w:val="DTT"/>
              <w:widowControl w:val="0"/>
              <w:rPr>
                <w:rFonts w:ascii="Calibri" w:hAnsi="Calibri" w:cs="Calibri"/>
                <w:sz w:val="22"/>
                <w:szCs w:val="22"/>
              </w:rPr>
            </w:pPr>
          </w:p>
          <w:p w14:paraId="5F7BDC8D" w14:textId="77777777" w:rsidR="009A3167" w:rsidRPr="00E8567E" w:rsidRDefault="009A3167" w:rsidP="009A3167">
            <w:pPr>
              <w:pStyle w:val="DTT"/>
              <w:widowControl w:val="0"/>
              <w:rPr>
                <w:rFonts w:ascii="Calibri" w:hAnsi="Calibri" w:cs="Calibri"/>
                <w:sz w:val="22"/>
                <w:szCs w:val="22"/>
              </w:rPr>
            </w:pPr>
          </w:p>
          <w:p w14:paraId="2DC90975" w14:textId="77777777" w:rsidR="009A3167" w:rsidRPr="00E8567E" w:rsidRDefault="009A3167" w:rsidP="009A3167">
            <w:pPr>
              <w:pStyle w:val="DTT"/>
              <w:widowControl w:val="0"/>
              <w:rPr>
                <w:rFonts w:ascii="Calibri" w:hAnsi="Calibri" w:cs="Calibri"/>
                <w:szCs w:val="18"/>
              </w:rPr>
            </w:pPr>
            <w:r w:rsidRPr="00E8567E">
              <w:rPr>
                <w:rFonts w:ascii="Calibri" w:hAnsi="Calibri" w:cs="Calibri"/>
                <w:szCs w:val="18"/>
              </w:rPr>
              <w:t>Deloitte Touche Tohmatsu Auditores Independentes Ltda.</w:t>
            </w:r>
          </w:p>
        </w:tc>
      </w:tr>
    </w:tbl>
    <w:p w14:paraId="0858A441" w14:textId="77777777" w:rsidR="009A3167" w:rsidRPr="00E8567E" w:rsidRDefault="009A3167" w:rsidP="009A3167">
      <w:pPr>
        <w:widowControl w:val="0"/>
        <w:rPr>
          <w:rFonts w:ascii="Calibri" w:hAnsi="Calibri" w:cs="Calibri"/>
          <w:sz w:val="20"/>
          <w:szCs w:val="20"/>
        </w:rPr>
      </w:pPr>
      <w:bookmarkStart w:id="65" w:name="Start"/>
      <w:bookmarkEnd w:id="65"/>
      <w:r w:rsidRPr="00E8567E">
        <w:rPr>
          <w:rFonts w:ascii="Calibri" w:hAnsi="Calibri" w:cs="Calibri"/>
          <w:b/>
          <w:i/>
          <w:noProof/>
          <w:sz w:val="20"/>
          <w:szCs w:val="20"/>
          <w:lang w:eastAsia="pt-BR"/>
        </w:rPr>
        <mc:AlternateContent>
          <mc:Choice Requires="wps">
            <w:drawing>
              <wp:anchor distT="0" distB="0" distL="114300" distR="114300" simplePos="0" relativeHeight="251651072" behindDoc="0" locked="0" layoutInCell="1" allowOverlap="1" wp14:anchorId="0B4A5220" wp14:editId="3D3D51DE">
                <wp:simplePos x="0" y="0"/>
                <wp:positionH relativeFrom="column">
                  <wp:posOffset>1929130</wp:posOffset>
                </wp:positionH>
                <wp:positionV relativeFrom="paragraph">
                  <wp:posOffset>-3041813</wp:posOffset>
                </wp:positionV>
                <wp:extent cx="3168650" cy="463550"/>
                <wp:effectExtent l="0" t="0" r="0" b="0"/>
                <wp:wrapNone/>
                <wp:docPr id="4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8650" cy="463550"/>
                        </a:xfrm>
                        <a:prstGeom prst="rect">
                          <a:avLst/>
                        </a:prstGeom>
                        <a:noFill/>
                        <a:ln>
                          <a:noFill/>
                        </a:ln>
                        <a:extLst>
                          <a:ext uri="{909E8E84-426E-40DD-AFC4-6F175D3DCCD1}">
                            <a14:hiddenFill xmlns:a14="http://schemas.microsoft.com/office/drawing/2010/main">
                              <a:solidFill>
                                <a:srgbClr val="F49100"/>
                              </a:solidFill>
                            </a14:hiddenFill>
                          </a:ext>
                          <a:ext uri="{91240B29-F687-4F45-9708-019B960494DF}">
                            <a14:hiddenLine xmlns:a14="http://schemas.microsoft.com/office/drawing/2010/main" w="9525">
                              <a:solidFill>
                                <a:srgbClr val="F49100"/>
                              </a:solidFill>
                              <a:miter lim="800000"/>
                              <a:headEnd/>
                              <a:tailEnd/>
                            </a14:hiddenLine>
                          </a:ext>
                        </a:extLst>
                      </wps:spPr>
                      <wps:txbx>
                        <w:txbxContent>
                          <w:p w14:paraId="035118E7" w14:textId="77777777" w:rsidR="009A3167" w:rsidRPr="000B6A80" w:rsidRDefault="009A3167" w:rsidP="009A3167">
                            <w:pPr>
                              <w:ind w:left="113"/>
                              <w:rPr>
                                <w:rFonts w:asciiTheme="minorHAnsi" w:hAnsiTheme="minorHAnsi" w:cstheme="minorHAnsi"/>
                                <w:iCs/>
                                <w:sz w:val="22"/>
                              </w:rPr>
                            </w:pPr>
                            <w:r w:rsidRPr="000B6A80">
                              <w:rPr>
                                <w:rFonts w:asciiTheme="minorHAnsi" w:hAnsiTheme="minorHAnsi" w:cstheme="minorHAnsi"/>
                                <w:iCs/>
                                <w:sz w:val="22"/>
                              </w:rPr>
                              <w:t>(Convenience Translation into English from</w:t>
                            </w:r>
                            <w:r>
                              <w:rPr>
                                <w:rFonts w:asciiTheme="minorHAnsi" w:hAnsiTheme="minorHAnsi" w:cstheme="minorHAnsi"/>
                                <w:iCs/>
                                <w:sz w:val="22"/>
                              </w:rPr>
                              <w:t xml:space="preserve"> </w:t>
                            </w:r>
                            <w:r w:rsidRPr="000B6A80">
                              <w:rPr>
                                <w:rFonts w:asciiTheme="minorHAnsi" w:hAnsiTheme="minorHAnsi" w:cstheme="minorHAnsi"/>
                                <w:iCs/>
                                <w:sz w:val="22"/>
                              </w:rPr>
                              <w:t>the Original Previously Issued in Portuguese)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4A5220" id="_x0000_t202" coordsize="21600,21600" o:spt="202" path="m,l,21600r21600,l21600,xe">
                <v:stroke joinstyle="miter"/>
                <v:path gradientshapeok="t" o:connecttype="rect"/>
              </v:shapetype>
              <v:shape id="Text Box 5" o:spid="_x0000_s1026" type="#_x0000_t202" style="position:absolute;margin-left:151.9pt;margin-top:-239.5pt;width:249.5pt;height:36.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" filled="f" fillcolor="#f49100" stroked="f" strokecolor="#f49100">
                <v:textbox>
                  <w:txbxContent>
                    <w:p w14:paraId="035118E7" w14:textId="77777777" w:rsidR="009A3167" w:rsidRPr="000B6A80" w:rsidRDefault="009A3167" w:rsidP="009A3167">
                      <w:pPr>
                        <w:ind w:left="113"/>
                        <w:rPr>
                          <w:rFonts w:asciiTheme="minorHAnsi" w:hAnsiTheme="minorHAnsi" w:cstheme="minorHAnsi"/>
                          <w:iCs/>
                          <w:sz w:val="22"/>
                        </w:rPr>
                      </w:pPr>
                      <w:r w:rsidRPr="000B6A80">
                        <w:rPr>
                          <w:rFonts w:asciiTheme="minorHAnsi" w:hAnsiTheme="minorHAnsi" w:cstheme="minorHAnsi"/>
                          <w:iCs/>
                          <w:sz w:val="22"/>
                        </w:rPr>
                        <w:t>(Convenience Translation into English from</w:t>
                      </w:r>
                      <w:r>
                        <w:rPr>
                          <w:rFonts w:asciiTheme="minorHAnsi" w:hAnsiTheme="minorHAnsi" w:cstheme="minorHAnsi"/>
                          <w:iCs/>
                          <w:sz w:val="22"/>
                        </w:rPr>
                        <w:t xml:space="preserve"> </w:t>
                      </w:r>
                      <w:r w:rsidRPr="000B6A80">
                        <w:rPr>
                          <w:rFonts w:asciiTheme="minorHAnsi" w:hAnsiTheme="minorHAnsi" w:cstheme="minorHAnsi"/>
                          <w:iCs/>
                          <w:sz w:val="22"/>
                        </w:rPr>
                        <w:t>the Original Previously Issued in Portuguese)</w:t>
                      </w:r>
                    </w:p>
                  </w:txbxContent>
                </v:textbox>
              </v:shape>
            </w:pict>
          </mc:Fallback>
        </mc:AlternateContent>
      </w:r>
    </w:p>
    <w:p w14:paraId="4BA20BFB" w14:textId="77777777" w:rsidR="009A3167" w:rsidRPr="00E8567E" w:rsidRDefault="009A3167" w:rsidP="009A3167">
      <w:pPr>
        <w:widowControl w:val="0"/>
        <w:rPr>
          <w:rFonts w:ascii="Calibri" w:hAnsi="Calibri" w:cs="Calibri"/>
          <w:sz w:val="20"/>
          <w:szCs w:val="20"/>
        </w:rPr>
        <w:sectPr w:rsidR="009A3167" w:rsidRPr="00E8567E" w:rsidSect="009A3167">
          <w:headerReference w:type="even" r:id="rId47"/>
          <w:headerReference w:type="default" r:id="rId48"/>
          <w:footerReference w:type="even" r:id="rId49"/>
          <w:footerReference w:type="default" r:id="rId50"/>
          <w:headerReference w:type="first" r:id="rId51"/>
          <w:footerReference w:type="first" r:id="rId52"/>
          <w:pgSz w:w="11907" w:h="16840" w:code="9"/>
          <w:pgMar w:top="3402" w:right="1134" w:bottom="1134" w:left="1134" w:header="850" w:footer="567" w:gutter="0"/>
          <w:pgNumType w:start="1"/>
          <w:cols w:space="720"/>
          <w:titlePg/>
          <w:docGrid w:linePitch="326"/>
        </w:sectPr>
      </w:pPr>
    </w:p>
    <w:p w14:paraId="22B28922" w14:textId="77777777" w:rsidR="009A3167" w:rsidRPr="00E8567E" w:rsidRDefault="009A3167" w:rsidP="009A3167">
      <w:pPr>
        <w:widowControl w:val="0"/>
        <w:spacing w:before="1440" w:after="200"/>
        <w:rPr>
          <w:rFonts w:ascii="Calibri" w:hAnsi="Calibri" w:cs="Calibri"/>
          <w:sz w:val="22"/>
          <w:szCs w:val="20"/>
        </w:rPr>
      </w:pPr>
      <w:r w:rsidRPr="00E8567E">
        <w:rPr>
          <w:rFonts w:ascii="Calibri" w:hAnsi="Calibri" w:cs="Calibri"/>
          <w:sz w:val="22"/>
          <w:szCs w:val="20"/>
        </w:rPr>
        <w:t>(Convenience Translation into English from the Original Previously Issued in Portuguese)</w:t>
      </w:r>
    </w:p>
    <w:p w14:paraId="364394E0" w14:textId="77777777" w:rsidR="009A3167" w:rsidRPr="00E8567E" w:rsidRDefault="009A3167" w:rsidP="009A3167">
      <w:pPr>
        <w:pStyle w:val="17TEXTOcorpojustificado"/>
        <w:widowControl w:val="0"/>
        <w:spacing w:after="200" w:line="240" w:lineRule="auto"/>
        <w:jc w:val="left"/>
        <w:outlineLvl w:val="0"/>
        <w:rPr>
          <w:rFonts w:ascii="Calibri" w:hAnsi="Calibri" w:cs="Calibri"/>
          <w:u w:val="single"/>
        </w:rPr>
      </w:pPr>
      <w:r w:rsidRPr="00425283">
        <w:rPr>
          <w:rFonts w:ascii="Calibri" w:hAnsi="Calibri" w:cs="Calibri"/>
        </w:rPr>
        <w:t xml:space="preserve">REPORT ON REVIEW OF </w:t>
      </w:r>
      <w:r w:rsidRPr="00C30050">
        <w:rPr>
          <w:rFonts w:ascii="Calibri" w:hAnsi="Calibri" w:cs="Calibri"/>
          <w:u w:val="single"/>
        </w:rPr>
        <w:t>INTERIM</w:t>
      </w:r>
      <w:r w:rsidRPr="00E8567E">
        <w:rPr>
          <w:rFonts w:ascii="Calibri" w:hAnsi="Calibri" w:cs="Calibri"/>
          <w:u w:val="single"/>
        </w:rPr>
        <w:t xml:space="preserve"> FINANCIAL </w:t>
      </w:r>
      <w:r>
        <w:rPr>
          <w:rFonts w:ascii="Calibri" w:hAnsi="Calibri" w:cs="Calibri"/>
          <w:u w:val="single"/>
        </w:rPr>
        <w:t>INFORMATION</w:t>
      </w:r>
    </w:p>
    <w:p w14:paraId="59B31FB4" w14:textId="77777777" w:rsidR="009A3167" w:rsidRPr="00E8567E" w:rsidRDefault="009A3167" w:rsidP="009A3167">
      <w:pPr>
        <w:widowControl w:val="0"/>
        <w:rPr>
          <w:rFonts w:ascii="Calibri" w:hAnsi="Calibri" w:cs="Calibri"/>
          <w:sz w:val="22"/>
          <w:szCs w:val="20"/>
        </w:rPr>
      </w:pPr>
      <w:r w:rsidRPr="00E8567E">
        <w:rPr>
          <w:rFonts w:ascii="Calibri" w:hAnsi="Calibri" w:cs="Calibri"/>
          <w:sz w:val="22"/>
          <w:szCs w:val="20"/>
        </w:rPr>
        <w:t>To the Management, Members of the Board and Shareholders of</w:t>
      </w:r>
    </w:p>
    <w:p w14:paraId="47D41D6C" w14:textId="77777777" w:rsidR="009A3167" w:rsidRPr="00425283" w:rsidRDefault="009A3167" w:rsidP="009A3167">
      <w:pPr>
        <w:pStyle w:val="17TEXTOcorpojustificado"/>
        <w:widowControl w:val="0"/>
        <w:spacing w:after="200" w:line="240" w:lineRule="auto"/>
        <w:jc w:val="left"/>
        <w:rPr>
          <w:rFonts w:ascii="Calibri" w:hAnsi="Calibri" w:cs="Calibri"/>
          <w:szCs w:val="22"/>
          <w:u w:val="single"/>
          <w:lang w:eastAsia="en-US"/>
        </w:rPr>
      </w:pPr>
      <w:r w:rsidRPr="00425283">
        <w:rPr>
          <w:rFonts w:ascii="Calibri" w:hAnsi="Calibri" w:cs="Calibri"/>
        </w:rPr>
        <w:t>BB Seguridade Participações S.A.</w:t>
      </w:r>
      <w:r w:rsidRPr="00425283">
        <w:rPr>
          <w:rFonts w:ascii="Calibri" w:hAnsi="Calibri" w:cs="Calibri"/>
        </w:rPr>
        <w:br/>
      </w:r>
      <w:r w:rsidRPr="00425283">
        <w:rPr>
          <w:rFonts w:ascii="Calibri" w:hAnsi="Calibri" w:cs="Calibri"/>
          <w:szCs w:val="22"/>
          <w:u w:val="single"/>
        </w:rPr>
        <w:t>Brasília - DF</w:t>
      </w:r>
    </w:p>
    <w:p w14:paraId="2F799AB1" w14:textId="77777777" w:rsidR="009A3167" w:rsidRPr="00E8567E" w:rsidRDefault="009A3167" w:rsidP="009A3167">
      <w:pPr>
        <w:pStyle w:val="17TEXTOcorpojustificado"/>
        <w:widowControl w:val="0"/>
        <w:spacing w:after="200" w:line="240" w:lineRule="auto"/>
        <w:jc w:val="left"/>
        <w:rPr>
          <w:rFonts w:ascii="Calibri" w:hAnsi="Calibri" w:cs="Calibri"/>
          <w:b/>
        </w:rPr>
      </w:pPr>
      <w:r w:rsidRPr="00E8567E">
        <w:rPr>
          <w:rFonts w:ascii="Calibri" w:hAnsi="Calibri" w:cs="Calibri"/>
          <w:b/>
        </w:rPr>
        <w:t>Introduction</w:t>
      </w:r>
    </w:p>
    <w:p w14:paraId="673045B3" w14:textId="77777777" w:rsidR="009A3167" w:rsidRPr="00E8567E" w:rsidRDefault="009A3167" w:rsidP="009A3167">
      <w:pPr>
        <w:widowControl w:val="0"/>
        <w:autoSpaceDE w:val="0"/>
        <w:autoSpaceDN w:val="0"/>
        <w:spacing w:after="200"/>
        <w:rPr>
          <w:rFonts w:ascii="Calibri" w:hAnsi="Calibri" w:cs="Calibri"/>
          <w:sz w:val="22"/>
          <w:szCs w:val="20"/>
          <w:lang w:eastAsia="pt-BR"/>
        </w:rPr>
      </w:pPr>
      <w:r w:rsidRPr="00E8567E">
        <w:rPr>
          <w:rFonts w:ascii="Calibri" w:hAnsi="Calibri" w:cs="Calibri"/>
          <w:color w:val="000000"/>
          <w:sz w:val="22"/>
          <w:szCs w:val="20"/>
          <w:lang w:eastAsia="pt-BR"/>
        </w:rPr>
        <w:t xml:space="preserve">We have reviewed the accompanying individual and consolidated interim financial </w:t>
      </w:r>
      <w:r>
        <w:rPr>
          <w:rFonts w:ascii="Calibri" w:hAnsi="Calibri" w:cs="Calibri"/>
          <w:color w:val="000000"/>
          <w:sz w:val="22"/>
          <w:szCs w:val="20"/>
          <w:lang w:eastAsia="pt-BR"/>
        </w:rPr>
        <w:t xml:space="preserve">information </w:t>
      </w:r>
      <w:r w:rsidRPr="00E8567E">
        <w:rPr>
          <w:rFonts w:ascii="Calibri" w:hAnsi="Calibri" w:cs="Calibri"/>
          <w:color w:val="000000"/>
          <w:sz w:val="22"/>
          <w:szCs w:val="20"/>
          <w:lang w:eastAsia="pt-BR"/>
        </w:rPr>
        <w:t xml:space="preserve">of </w:t>
      </w:r>
      <w:r w:rsidRPr="00E8567E">
        <w:rPr>
          <w:rFonts w:ascii="Calibri" w:hAnsi="Calibri" w:cs="Calibri"/>
          <w:sz w:val="22"/>
        </w:rPr>
        <w:t>BB Seguridade Participações S.A.</w:t>
      </w:r>
      <w:r w:rsidRPr="00E8567E">
        <w:rPr>
          <w:rFonts w:ascii="Calibri" w:hAnsi="Calibri" w:cs="Calibri"/>
          <w:sz w:val="22"/>
          <w:szCs w:val="20"/>
        </w:rPr>
        <w:t xml:space="preserve"> (“Company”),</w:t>
      </w:r>
      <w:r w:rsidRPr="00E8567E">
        <w:rPr>
          <w:rFonts w:ascii="Calibri" w:hAnsi="Calibri" w:cs="Calibri"/>
          <w:sz w:val="22"/>
          <w:szCs w:val="20"/>
          <w:lang w:eastAsia="pt-BR"/>
        </w:rPr>
        <w:t xml:space="preserve"> </w:t>
      </w:r>
      <w:r w:rsidRPr="00D81F06">
        <w:rPr>
          <w:rFonts w:ascii="Calibri" w:hAnsi="Calibri" w:cs="Calibri"/>
          <w:sz w:val="22"/>
          <w:szCs w:val="20"/>
          <w:lang w:eastAsia="pt-BR"/>
        </w:rPr>
        <w:t>included in the Interim Financial Information Form (ITR)</w:t>
      </w:r>
      <w:r>
        <w:rPr>
          <w:rFonts w:ascii="Calibri" w:hAnsi="Calibri" w:cs="Calibri"/>
          <w:sz w:val="22"/>
          <w:szCs w:val="20"/>
          <w:lang w:eastAsia="pt-BR"/>
        </w:rPr>
        <w:t xml:space="preserve">, for the quarter ended March 31, 2023, </w:t>
      </w:r>
      <w:r w:rsidRPr="00E8567E">
        <w:rPr>
          <w:rFonts w:ascii="Calibri" w:hAnsi="Calibri" w:cs="Calibri"/>
          <w:sz w:val="22"/>
          <w:szCs w:val="20"/>
          <w:lang w:eastAsia="pt-BR"/>
        </w:rPr>
        <w:t xml:space="preserve">which comprise the balance sheet as at </w:t>
      </w:r>
      <w:r>
        <w:rPr>
          <w:rFonts w:ascii="Calibri" w:hAnsi="Calibri" w:cs="Calibri"/>
          <w:sz w:val="22"/>
          <w:szCs w:val="20"/>
          <w:lang w:eastAsia="pt-BR"/>
        </w:rPr>
        <w:t>March 31</w:t>
      </w:r>
      <w:r w:rsidRPr="00E8567E">
        <w:rPr>
          <w:rFonts w:ascii="Calibri" w:hAnsi="Calibri" w:cs="Calibri"/>
          <w:sz w:val="22"/>
          <w:szCs w:val="20"/>
          <w:lang w:eastAsia="pt-BR"/>
        </w:rPr>
        <w:t>, 202</w:t>
      </w:r>
      <w:r>
        <w:rPr>
          <w:rFonts w:ascii="Calibri" w:hAnsi="Calibri" w:cs="Calibri"/>
          <w:sz w:val="22"/>
          <w:szCs w:val="20"/>
          <w:lang w:eastAsia="pt-BR"/>
        </w:rPr>
        <w:t>3</w:t>
      </w:r>
      <w:r w:rsidRPr="00E8567E">
        <w:rPr>
          <w:rFonts w:ascii="Calibri" w:hAnsi="Calibri" w:cs="Calibri"/>
          <w:sz w:val="22"/>
          <w:szCs w:val="20"/>
          <w:lang w:eastAsia="pt-BR"/>
        </w:rPr>
        <w:t>, and the related statements of income</w:t>
      </w:r>
      <w:r>
        <w:rPr>
          <w:rFonts w:ascii="Calibri" w:hAnsi="Calibri" w:cs="Calibri"/>
          <w:sz w:val="22"/>
          <w:szCs w:val="20"/>
          <w:lang w:eastAsia="pt-BR"/>
        </w:rPr>
        <w:t xml:space="preserve">, </w:t>
      </w:r>
      <w:r w:rsidRPr="00E8567E">
        <w:rPr>
          <w:rFonts w:ascii="Calibri" w:hAnsi="Calibri" w:cs="Calibri"/>
          <w:sz w:val="22"/>
          <w:szCs w:val="20"/>
          <w:lang w:eastAsia="pt-BR"/>
        </w:rPr>
        <w:t>of comprehensive income</w:t>
      </w:r>
      <w:r>
        <w:rPr>
          <w:rFonts w:ascii="Calibri" w:hAnsi="Calibri" w:cs="Calibri"/>
          <w:sz w:val="22"/>
          <w:szCs w:val="20"/>
          <w:lang w:eastAsia="pt-BR"/>
        </w:rPr>
        <w:t xml:space="preserve">, of </w:t>
      </w:r>
      <w:r w:rsidRPr="00E8567E">
        <w:rPr>
          <w:rFonts w:ascii="Calibri" w:hAnsi="Calibri" w:cs="Calibri"/>
          <w:sz w:val="22"/>
          <w:szCs w:val="20"/>
          <w:lang w:eastAsia="pt-BR"/>
        </w:rPr>
        <w:t>changes in equity and of cash flows</w:t>
      </w:r>
      <w:r>
        <w:rPr>
          <w:rFonts w:ascii="Calibri" w:hAnsi="Calibri" w:cs="Calibri"/>
          <w:sz w:val="22"/>
          <w:szCs w:val="20"/>
          <w:lang w:eastAsia="pt-BR"/>
        </w:rPr>
        <w:t xml:space="preserve"> for the three-month period then ended</w:t>
      </w:r>
      <w:r w:rsidRPr="00E8567E">
        <w:rPr>
          <w:rFonts w:ascii="Calibri" w:hAnsi="Calibri" w:cs="Calibri"/>
          <w:sz w:val="22"/>
          <w:szCs w:val="20"/>
          <w:lang w:eastAsia="pt-BR"/>
        </w:rPr>
        <w:t xml:space="preserve">, as well as the </w:t>
      </w:r>
      <w:r w:rsidRPr="00E8567E">
        <w:rPr>
          <w:rFonts w:ascii="Calibri" w:hAnsi="Calibri" w:cs="Calibri"/>
          <w:sz w:val="22"/>
          <w:szCs w:val="20"/>
        </w:rPr>
        <w:t xml:space="preserve">summary of significant accounting practices and other explanatory notes. </w:t>
      </w:r>
    </w:p>
    <w:p w14:paraId="41EED638" w14:textId="77777777" w:rsidR="009A3167" w:rsidRPr="00E8567E" w:rsidRDefault="009A3167" w:rsidP="009A3167">
      <w:pPr>
        <w:widowControl w:val="0"/>
        <w:spacing w:after="200"/>
        <w:rPr>
          <w:rFonts w:ascii="Calibri" w:hAnsi="Calibri" w:cs="Calibri"/>
          <w:sz w:val="22"/>
          <w:szCs w:val="20"/>
        </w:rPr>
      </w:pPr>
      <w:r>
        <w:rPr>
          <w:rFonts w:ascii="Calibri" w:hAnsi="Calibri" w:cs="Calibri"/>
          <w:sz w:val="22"/>
          <w:szCs w:val="20"/>
        </w:rPr>
        <w:t>The Executive Board</w:t>
      </w:r>
      <w:r w:rsidRPr="00E8567E">
        <w:rPr>
          <w:rFonts w:ascii="Calibri" w:hAnsi="Calibri" w:cs="Calibri"/>
          <w:sz w:val="22"/>
          <w:szCs w:val="20"/>
        </w:rPr>
        <w:t xml:space="preserve"> </w:t>
      </w:r>
      <w:r>
        <w:rPr>
          <w:rFonts w:ascii="Calibri" w:hAnsi="Calibri" w:cs="Calibri"/>
          <w:sz w:val="22"/>
          <w:szCs w:val="20"/>
        </w:rPr>
        <w:t>is</w:t>
      </w:r>
      <w:r w:rsidRPr="00E8567E">
        <w:rPr>
          <w:rFonts w:ascii="Calibri" w:hAnsi="Calibri" w:cs="Calibri"/>
          <w:sz w:val="22"/>
          <w:szCs w:val="20"/>
        </w:rPr>
        <w:t xml:space="preserve"> responsible for the preparation of the individual and consolidated interim financial </w:t>
      </w:r>
      <w:r>
        <w:rPr>
          <w:rFonts w:ascii="Calibri" w:hAnsi="Calibri" w:cs="Calibri"/>
          <w:sz w:val="22"/>
          <w:szCs w:val="20"/>
        </w:rPr>
        <w:t xml:space="preserve">information </w:t>
      </w:r>
      <w:r w:rsidRPr="00E8567E">
        <w:rPr>
          <w:rFonts w:ascii="Calibri" w:hAnsi="Calibri" w:cs="Calibri"/>
          <w:sz w:val="22"/>
          <w:szCs w:val="20"/>
        </w:rPr>
        <w:t xml:space="preserve">in accordance with </w:t>
      </w:r>
      <w:r>
        <w:rPr>
          <w:rFonts w:ascii="Calibri" w:hAnsi="Calibri" w:cs="Calibri"/>
          <w:sz w:val="22"/>
          <w:szCs w:val="20"/>
        </w:rPr>
        <w:t xml:space="preserve">technical pronouncement </w:t>
      </w:r>
      <w:r w:rsidRPr="00D81F06">
        <w:rPr>
          <w:rFonts w:ascii="Calibri" w:hAnsi="Calibri" w:cs="Calibri"/>
          <w:sz w:val="22"/>
          <w:szCs w:val="20"/>
        </w:rPr>
        <w:t xml:space="preserve">CPC 21 (R1) </w:t>
      </w:r>
      <w:r>
        <w:rPr>
          <w:rFonts w:ascii="Calibri" w:hAnsi="Calibri" w:cs="Calibri"/>
          <w:sz w:val="22"/>
          <w:szCs w:val="20"/>
        </w:rPr>
        <w:t>–</w:t>
      </w:r>
      <w:r w:rsidRPr="00D81F06">
        <w:rPr>
          <w:rFonts w:ascii="Calibri" w:hAnsi="Calibri" w:cs="Calibri"/>
          <w:sz w:val="22"/>
          <w:szCs w:val="20"/>
        </w:rPr>
        <w:t xml:space="preserve"> </w:t>
      </w:r>
      <w:r>
        <w:rPr>
          <w:rFonts w:ascii="Calibri" w:hAnsi="Calibri" w:cs="Calibri"/>
          <w:sz w:val="22"/>
          <w:szCs w:val="20"/>
        </w:rPr>
        <w:t xml:space="preserve">and </w:t>
      </w:r>
      <w:r w:rsidRPr="00D81F06">
        <w:rPr>
          <w:rFonts w:ascii="Calibri" w:hAnsi="Calibri" w:cs="Calibri"/>
          <w:sz w:val="22"/>
          <w:szCs w:val="20"/>
        </w:rPr>
        <w:t>interna</w:t>
      </w:r>
      <w:r>
        <w:rPr>
          <w:rFonts w:ascii="Calibri" w:hAnsi="Calibri" w:cs="Calibri"/>
          <w:sz w:val="22"/>
          <w:szCs w:val="20"/>
        </w:rPr>
        <w:t>t</w:t>
      </w:r>
      <w:r w:rsidRPr="00D81F06">
        <w:rPr>
          <w:rFonts w:ascii="Calibri" w:hAnsi="Calibri" w:cs="Calibri"/>
          <w:sz w:val="22"/>
          <w:szCs w:val="20"/>
        </w:rPr>
        <w:t xml:space="preserve">ional </w:t>
      </w:r>
      <w:r>
        <w:rPr>
          <w:rFonts w:ascii="Calibri" w:hAnsi="Calibri" w:cs="Calibri"/>
          <w:sz w:val="22"/>
          <w:szCs w:val="20"/>
        </w:rPr>
        <w:t xml:space="preserve">standard </w:t>
      </w:r>
      <w:r w:rsidRPr="00D81F06">
        <w:rPr>
          <w:rFonts w:ascii="Calibri" w:hAnsi="Calibri" w:cs="Calibri"/>
          <w:sz w:val="22"/>
          <w:szCs w:val="20"/>
        </w:rPr>
        <w:t xml:space="preserve">IAS 34 - Interim Financial Reporting, </w:t>
      </w:r>
      <w:r>
        <w:rPr>
          <w:rFonts w:ascii="Calibri" w:hAnsi="Calibri" w:cs="Calibri"/>
          <w:sz w:val="22"/>
          <w:szCs w:val="20"/>
        </w:rPr>
        <w:t xml:space="preserve">issued by the </w:t>
      </w:r>
      <w:r w:rsidRPr="00D81F06">
        <w:rPr>
          <w:rFonts w:ascii="Calibri" w:hAnsi="Calibri" w:cs="Calibri"/>
          <w:sz w:val="22"/>
          <w:szCs w:val="20"/>
        </w:rPr>
        <w:t xml:space="preserve">International Accounting Standards Board </w:t>
      </w:r>
      <w:r>
        <w:rPr>
          <w:rFonts w:ascii="Calibri" w:hAnsi="Calibri" w:cs="Calibri"/>
          <w:sz w:val="22"/>
          <w:szCs w:val="20"/>
        </w:rPr>
        <w:t>–</w:t>
      </w:r>
      <w:r w:rsidRPr="00D81F06">
        <w:rPr>
          <w:rFonts w:ascii="Calibri" w:hAnsi="Calibri" w:cs="Calibri"/>
          <w:sz w:val="22"/>
          <w:szCs w:val="20"/>
        </w:rPr>
        <w:t xml:space="preserve"> IASB</w:t>
      </w:r>
      <w:r>
        <w:rPr>
          <w:rFonts w:ascii="Calibri" w:hAnsi="Calibri" w:cs="Calibri"/>
          <w:sz w:val="22"/>
          <w:szCs w:val="20"/>
        </w:rPr>
        <w:t xml:space="preserve">, </w:t>
      </w:r>
      <w:r w:rsidRPr="00D81F06">
        <w:rPr>
          <w:rFonts w:ascii="Calibri" w:hAnsi="Calibri" w:cs="Calibri"/>
          <w:sz w:val="22"/>
          <w:szCs w:val="20"/>
        </w:rPr>
        <w:t>as well as for the presentation of such information in accordance with the standards issued by the Brazilian Securities and Exchange Commission (CVM), applicable to the preparation of ITR</w:t>
      </w:r>
      <w:r w:rsidRPr="00E8567E">
        <w:rPr>
          <w:rFonts w:ascii="Calibri" w:hAnsi="Calibri" w:cs="Calibri"/>
          <w:sz w:val="22"/>
          <w:szCs w:val="20"/>
        </w:rPr>
        <w:t xml:space="preserve">. </w:t>
      </w:r>
      <w:r w:rsidRPr="00E8567E">
        <w:rPr>
          <w:rFonts w:ascii="Calibri" w:hAnsi="Calibri" w:cs="Calibri"/>
          <w:color w:val="000000"/>
          <w:sz w:val="22"/>
          <w:szCs w:val="20"/>
          <w:lang w:eastAsia="pt-BR"/>
        </w:rPr>
        <w:t xml:space="preserve">Our responsibility is to express a conclusion on </w:t>
      </w:r>
      <w:r>
        <w:rPr>
          <w:rFonts w:ascii="Calibri" w:hAnsi="Calibri" w:cs="Calibri"/>
          <w:color w:val="000000"/>
          <w:sz w:val="22"/>
          <w:szCs w:val="20"/>
          <w:lang w:eastAsia="pt-BR"/>
        </w:rPr>
        <w:t xml:space="preserve">this </w:t>
      </w:r>
      <w:r w:rsidRPr="00E8567E">
        <w:rPr>
          <w:rFonts w:ascii="Calibri" w:hAnsi="Calibri" w:cs="Calibri"/>
          <w:color w:val="000000"/>
          <w:sz w:val="22"/>
          <w:szCs w:val="20"/>
          <w:lang w:eastAsia="pt-BR"/>
        </w:rPr>
        <w:t xml:space="preserve">interim financial </w:t>
      </w:r>
      <w:r>
        <w:rPr>
          <w:rFonts w:ascii="Calibri" w:hAnsi="Calibri" w:cs="Calibri"/>
          <w:sz w:val="22"/>
          <w:szCs w:val="20"/>
        </w:rPr>
        <w:t xml:space="preserve">information </w:t>
      </w:r>
      <w:r w:rsidRPr="00E8567E">
        <w:rPr>
          <w:rFonts w:ascii="Calibri" w:hAnsi="Calibri" w:cs="Calibri"/>
          <w:color w:val="000000"/>
          <w:sz w:val="22"/>
          <w:szCs w:val="20"/>
          <w:lang w:eastAsia="pt-BR"/>
        </w:rPr>
        <w:t>based on our review.</w:t>
      </w:r>
      <w:r>
        <w:rPr>
          <w:rFonts w:ascii="Calibri" w:hAnsi="Calibri" w:cs="Calibri"/>
          <w:color w:val="000000"/>
          <w:sz w:val="22"/>
          <w:szCs w:val="20"/>
          <w:lang w:eastAsia="pt-BR"/>
        </w:rPr>
        <w:t xml:space="preserve"> </w:t>
      </w:r>
    </w:p>
    <w:p w14:paraId="029CF54B" w14:textId="77777777" w:rsidR="009A3167" w:rsidRPr="00E8567E" w:rsidRDefault="009A3167" w:rsidP="009A3167">
      <w:pPr>
        <w:pStyle w:val="Parecer"/>
        <w:widowControl w:val="0"/>
        <w:numPr>
          <w:ilvl w:val="0"/>
          <w:numId w:val="0"/>
        </w:numPr>
        <w:spacing w:after="200" w:line="240" w:lineRule="auto"/>
        <w:outlineLvl w:val="0"/>
        <w:rPr>
          <w:rFonts w:ascii="Calibri" w:hAnsi="Calibri" w:cs="Calibri"/>
          <w:color w:val="000000"/>
          <w:sz w:val="22"/>
          <w:szCs w:val="20"/>
        </w:rPr>
      </w:pPr>
      <w:r w:rsidRPr="00E8567E">
        <w:rPr>
          <w:rFonts w:ascii="Calibri" w:hAnsi="Calibri" w:cs="Calibri"/>
          <w:b/>
          <w:iCs/>
          <w:sz w:val="22"/>
          <w:szCs w:val="20"/>
        </w:rPr>
        <w:t>Scope of review</w:t>
      </w:r>
    </w:p>
    <w:p w14:paraId="5A7AF4A5" w14:textId="77777777" w:rsidR="009A3167" w:rsidRPr="00E8567E" w:rsidRDefault="009A3167" w:rsidP="009A3167">
      <w:pPr>
        <w:widowControl w:val="0"/>
        <w:autoSpaceDE w:val="0"/>
        <w:autoSpaceDN w:val="0"/>
        <w:adjustRightInd w:val="0"/>
        <w:spacing w:after="200"/>
        <w:rPr>
          <w:rFonts w:ascii="Calibri" w:hAnsi="Calibri" w:cs="Calibri"/>
          <w:sz w:val="22"/>
          <w:szCs w:val="20"/>
        </w:rPr>
      </w:pPr>
      <w:r w:rsidRPr="00E8567E">
        <w:rPr>
          <w:rFonts w:ascii="Calibri" w:hAnsi="Calibri" w:cs="Calibri"/>
          <w:sz w:val="22"/>
          <w:szCs w:val="20"/>
        </w:rPr>
        <w:t xml:space="preserve">We conducted our review in accordance with Brazilian and </w:t>
      </w:r>
      <w:r>
        <w:rPr>
          <w:rFonts w:ascii="Calibri" w:hAnsi="Calibri" w:cs="Calibri"/>
          <w:sz w:val="22"/>
          <w:szCs w:val="20"/>
        </w:rPr>
        <w:t>i</w:t>
      </w:r>
      <w:r w:rsidRPr="00E8567E">
        <w:rPr>
          <w:rFonts w:ascii="Calibri" w:hAnsi="Calibri" w:cs="Calibri"/>
          <w:sz w:val="22"/>
          <w:szCs w:val="20"/>
        </w:rPr>
        <w:t xml:space="preserve">nternational </w:t>
      </w:r>
      <w:r>
        <w:rPr>
          <w:rFonts w:ascii="Calibri" w:hAnsi="Calibri" w:cs="Calibri"/>
          <w:sz w:val="22"/>
          <w:szCs w:val="20"/>
        </w:rPr>
        <w:t>s</w:t>
      </w:r>
      <w:r w:rsidRPr="00E8567E">
        <w:rPr>
          <w:rFonts w:ascii="Calibri" w:hAnsi="Calibri" w:cs="Calibri"/>
          <w:sz w:val="22"/>
          <w:szCs w:val="20"/>
        </w:rPr>
        <w:t xml:space="preserve">tandards on </w:t>
      </w:r>
      <w:r>
        <w:rPr>
          <w:rFonts w:ascii="Calibri" w:hAnsi="Calibri" w:cs="Calibri"/>
          <w:sz w:val="22"/>
          <w:szCs w:val="20"/>
        </w:rPr>
        <w:t>r</w:t>
      </w:r>
      <w:r w:rsidRPr="00E8567E">
        <w:rPr>
          <w:rFonts w:ascii="Calibri" w:hAnsi="Calibri" w:cs="Calibri"/>
          <w:sz w:val="22"/>
          <w:szCs w:val="20"/>
        </w:rPr>
        <w:t xml:space="preserve">eview of </w:t>
      </w:r>
      <w:r>
        <w:rPr>
          <w:rFonts w:ascii="Calibri" w:hAnsi="Calibri" w:cs="Calibri"/>
          <w:sz w:val="22"/>
          <w:szCs w:val="20"/>
        </w:rPr>
        <w:t>i</w:t>
      </w:r>
      <w:r w:rsidRPr="00E8567E">
        <w:rPr>
          <w:rFonts w:ascii="Calibri" w:hAnsi="Calibri" w:cs="Calibri"/>
          <w:sz w:val="22"/>
          <w:szCs w:val="20"/>
        </w:rPr>
        <w:t xml:space="preserve">nterim </w:t>
      </w:r>
      <w:r>
        <w:rPr>
          <w:rFonts w:ascii="Calibri" w:hAnsi="Calibri" w:cs="Calibri"/>
          <w:sz w:val="22"/>
          <w:szCs w:val="20"/>
        </w:rPr>
        <w:t>f</w:t>
      </w:r>
      <w:r w:rsidRPr="00E8567E">
        <w:rPr>
          <w:rFonts w:ascii="Calibri" w:hAnsi="Calibri" w:cs="Calibri"/>
          <w:sz w:val="22"/>
          <w:szCs w:val="20"/>
        </w:rPr>
        <w:t xml:space="preserve">inancial </w:t>
      </w:r>
      <w:r>
        <w:rPr>
          <w:rFonts w:ascii="Calibri" w:hAnsi="Calibri" w:cs="Calibri"/>
          <w:sz w:val="22"/>
          <w:szCs w:val="20"/>
        </w:rPr>
        <w:t>Information</w:t>
      </w:r>
      <w:r w:rsidRPr="00E8567E">
        <w:rPr>
          <w:rFonts w:ascii="Calibri" w:hAnsi="Calibri" w:cs="Calibri"/>
          <w:sz w:val="22"/>
          <w:szCs w:val="20"/>
        </w:rPr>
        <w:t xml:space="preserve"> (NBC TR 2410 and ISRE 2410 - Review of Interim Financial Information Performed by the Independent Auditor of the Entity, respectively). A review of interim </w:t>
      </w:r>
      <w:r w:rsidRPr="00E8567E">
        <w:rPr>
          <w:rFonts w:ascii="Calibri" w:hAnsi="Calibri" w:cs="Calibri"/>
          <w:color w:val="000000"/>
          <w:sz w:val="22"/>
          <w:szCs w:val="20"/>
          <w:lang w:eastAsia="pt-BR"/>
        </w:rPr>
        <w:t xml:space="preserve">financial </w:t>
      </w:r>
      <w:r w:rsidRPr="00E8567E">
        <w:rPr>
          <w:rFonts w:ascii="Calibri" w:hAnsi="Calibri" w:cs="Calibri"/>
          <w:sz w:val="22"/>
          <w:szCs w:val="20"/>
        </w:rPr>
        <w:t>statements consists of making inquiries, primarily of persons responsible for financial and accounting matters, and applying analytical and other review procedures. A review is substantially less in scope than an audit conducted in accordance with</w:t>
      </w:r>
      <w:r>
        <w:rPr>
          <w:rFonts w:ascii="Calibri" w:hAnsi="Calibri" w:cs="Calibri"/>
          <w:sz w:val="22"/>
          <w:szCs w:val="20"/>
        </w:rPr>
        <w:t xml:space="preserve"> the</w:t>
      </w:r>
      <w:r w:rsidRPr="00E8567E">
        <w:rPr>
          <w:rFonts w:ascii="Calibri" w:hAnsi="Calibri" w:cs="Calibri"/>
          <w:sz w:val="22"/>
          <w:szCs w:val="20"/>
        </w:rPr>
        <w:t xml:space="preserve"> standards on auditing and, consequently, does not enable us to obtain assurance that we would become aware of all significant matters that might be identified in an audit. Accordingly, we do not express an audit opinion.</w:t>
      </w:r>
      <w:r>
        <w:rPr>
          <w:rFonts w:ascii="Calibri" w:hAnsi="Calibri" w:cs="Calibri"/>
          <w:sz w:val="22"/>
          <w:szCs w:val="20"/>
        </w:rPr>
        <w:t xml:space="preserve"> </w:t>
      </w:r>
    </w:p>
    <w:p w14:paraId="3A0832D7" w14:textId="77777777" w:rsidR="009A3167" w:rsidRPr="00E8567E" w:rsidRDefault="009A3167" w:rsidP="009A3167">
      <w:pPr>
        <w:pStyle w:val="Parecer"/>
        <w:widowControl w:val="0"/>
        <w:numPr>
          <w:ilvl w:val="0"/>
          <w:numId w:val="0"/>
        </w:numPr>
        <w:spacing w:after="200" w:line="240" w:lineRule="auto"/>
        <w:outlineLvl w:val="0"/>
        <w:rPr>
          <w:rFonts w:ascii="Calibri" w:hAnsi="Calibri" w:cs="Calibri"/>
          <w:b/>
          <w:iCs/>
          <w:sz w:val="22"/>
          <w:szCs w:val="20"/>
        </w:rPr>
      </w:pPr>
      <w:r w:rsidRPr="00E8567E">
        <w:rPr>
          <w:rFonts w:ascii="Calibri" w:hAnsi="Calibri" w:cs="Calibri"/>
          <w:b/>
          <w:iCs/>
          <w:sz w:val="22"/>
          <w:szCs w:val="20"/>
        </w:rPr>
        <w:t xml:space="preserve">Conclusion on the individual and consolidated interim financial </w:t>
      </w:r>
      <w:r>
        <w:rPr>
          <w:rFonts w:ascii="Calibri" w:hAnsi="Calibri" w:cs="Calibri"/>
          <w:b/>
          <w:iCs/>
          <w:sz w:val="22"/>
          <w:szCs w:val="20"/>
        </w:rPr>
        <w:t>information</w:t>
      </w:r>
    </w:p>
    <w:p w14:paraId="679324DD" w14:textId="77777777" w:rsidR="009A3167" w:rsidRPr="00A83F53" w:rsidRDefault="009A3167" w:rsidP="009A3167">
      <w:pPr>
        <w:rPr>
          <w:rFonts w:ascii="Segoe UI" w:hAnsi="Segoe UI" w:cs="Segoe UI"/>
          <w:noProof/>
          <w:color w:val="000080"/>
          <w:sz w:val="8"/>
        </w:rPr>
      </w:pPr>
      <w:r w:rsidRPr="00E8567E">
        <w:rPr>
          <w:rFonts w:ascii="Calibri" w:hAnsi="Calibri" w:cs="Calibri"/>
          <w:sz w:val="22"/>
          <w:szCs w:val="20"/>
        </w:rPr>
        <w:t xml:space="preserve">Based on our review, nothing has come to our attention that causes us to believe that the individual and consolidated interim financial </w:t>
      </w:r>
      <w:r>
        <w:rPr>
          <w:rFonts w:ascii="Calibri" w:hAnsi="Calibri" w:cs="Calibri"/>
          <w:sz w:val="22"/>
          <w:szCs w:val="20"/>
        </w:rPr>
        <w:t>information included in the interim financial information referred to above has not been prepared</w:t>
      </w:r>
      <w:r w:rsidRPr="00E8567E">
        <w:rPr>
          <w:rFonts w:ascii="Calibri" w:hAnsi="Calibri" w:cs="Calibri"/>
          <w:sz w:val="22"/>
          <w:szCs w:val="20"/>
        </w:rPr>
        <w:t xml:space="preserve">, in all material respects, </w:t>
      </w:r>
      <w:r>
        <w:rPr>
          <w:rFonts w:ascii="Calibri" w:hAnsi="Calibri" w:cs="Calibri"/>
          <w:sz w:val="22"/>
          <w:szCs w:val="20"/>
        </w:rPr>
        <w:t xml:space="preserve">in accordance with </w:t>
      </w:r>
      <w:r w:rsidRPr="00D81F06">
        <w:rPr>
          <w:rFonts w:ascii="Calibri" w:hAnsi="Calibri" w:cs="Calibri"/>
          <w:sz w:val="22"/>
          <w:szCs w:val="20"/>
        </w:rPr>
        <w:t>technical pronouncement CPC 21 (R1) and international standard IAS 34 applicable to the preparation of ITR and presented in accordance with the standards issued by the CVM.</w:t>
      </w:r>
      <w:r>
        <w:rPr>
          <w:rFonts w:ascii="Calibri" w:hAnsi="Calibri" w:cs="Calibri"/>
          <w:sz w:val="22"/>
          <w:szCs w:val="20"/>
        </w:rPr>
        <w:t xml:space="preserve">  </w:t>
      </w:r>
      <w:r w:rsidRPr="00A83F53">
        <w:rPr>
          <w:rFonts w:ascii="Segoe UI" w:hAnsi="Segoe UI" w:cs="Segoe UI"/>
          <w:noProof/>
          <w:color w:val="000080"/>
          <w:sz w:val="8"/>
        </w:rPr>
        <w:t xml:space="preserve"> </w:t>
      </w:r>
    </w:p>
    <w:p w14:paraId="64606669" w14:textId="77777777" w:rsidR="009B6E21" w:rsidRDefault="009B6E21" w:rsidP="009A3167">
      <w:pPr>
        <w:widowControl w:val="0"/>
        <w:spacing w:after="200"/>
        <w:rPr>
          <w:rFonts w:ascii="Calibri" w:hAnsi="Calibri" w:cs="Calibri"/>
          <w:b/>
          <w:iCs/>
          <w:sz w:val="22"/>
          <w:szCs w:val="20"/>
        </w:rPr>
        <w:sectPr w:rsidR="009B6E21" w:rsidSect="00246CB5">
          <w:headerReference w:type="default" r:id="rId53"/>
          <w:footerReference w:type="default" r:id="rId54"/>
          <w:pgSz w:w="11906" w:h="16838" w:code="9"/>
          <w:pgMar w:top="1134" w:right="1134" w:bottom="851" w:left="1134" w:header="851" w:footer="284" w:gutter="0"/>
          <w:cols w:space="708"/>
          <w:docGrid w:linePitch="360"/>
        </w:sectPr>
      </w:pPr>
    </w:p>
    <w:p w14:paraId="2286E18F" w14:textId="77777777" w:rsidR="009A3167" w:rsidRPr="00E8567E" w:rsidRDefault="009A3167" w:rsidP="009A3167">
      <w:pPr>
        <w:widowControl w:val="0"/>
        <w:spacing w:after="200"/>
        <w:rPr>
          <w:rFonts w:ascii="Calibri" w:hAnsi="Calibri" w:cs="Calibri"/>
          <w:b/>
          <w:iCs/>
          <w:sz w:val="22"/>
          <w:szCs w:val="20"/>
        </w:rPr>
      </w:pPr>
      <w:r w:rsidRPr="00E8567E">
        <w:rPr>
          <w:rFonts w:ascii="Calibri" w:hAnsi="Calibri" w:cs="Calibri"/>
          <w:b/>
          <w:iCs/>
          <w:sz w:val="22"/>
          <w:szCs w:val="20"/>
        </w:rPr>
        <w:t>Other matter</w:t>
      </w:r>
      <w:r>
        <w:rPr>
          <w:rFonts w:ascii="Calibri" w:hAnsi="Calibri" w:cs="Calibri"/>
          <w:b/>
          <w:iCs/>
          <w:sz w:val="22"/>
          <w:szCs w:val="20"/>
        </w:rPr>
        <w:t>s</w:t>
      </w:r>
    </w:p>
    <w:p w14:paraId="2B87F8E0" w14:textId="77777777" w:rsidR="009A3167" w:rsidRPr="00E8567E" w:rsidRDefault="009A3167" w:rsidP="009A3167">
      <w:pPr>
        <w:pStyle w:val="Parecer"/>
        <w:widowControl w:val="0"/>
        <w:numPr>
          <w:ilvl w:val="0"/>
          <w:numId w:val="0"/>
        </w:numPr>
        <w:spacing w:after="200" w:line="240" w:lineRule="auto"/>
        <w:rPr>
          <w:rFonts w:ascii="Calibri" w:hAnsi="Calibri" w:cs="Calibri"/>
          <w:i/>
          <w:iCs/>
          <w:sz w:val="22"/>
          <w:szCs w:val="20"/>
        </w:rPr>
      </w:pPr>
      <w:r w:rsidRPr="00E8567E">
        <w:rPr>
          <w:rFonts w:ascii="Calibri" w:hAnsi="Calibri" w:cs="Calibri"/>
          <w:i/>
          <w:iCs/>
          <w:sz w:val="22"/>
          <w:szCs w:val="20"/>
        </w:rPr>
        <w:t>Statements of value added</w:t>
      </w:r>
    </w:p>
    <w:p w14:paraId="1A637F9F" w14:textId="77777777" w:rsidR="009A3167" w:rsidRPr="00E8567E" w:rsidRDefault="009A3167" w:rsidP="009A3167">
      <w:pPr>
        <w:pStyle w:val="Parecer"/>
        <w:widowControl w:val="0"/>
        <w:numPr>
          <w:ilvl w:val="0"/>
          <w:numId w:val="0"/>
        </w:numPr>
        <w:spacing w:after="200" w:line="240" w:lineRule="auto"/>
        <w:rPr>
          <w:rFonts w:ascii="Calibri" w:hAnsi="Calibri" w:cs="Calibri"/>
          <w:sz w:val="22"/>
          <w:szCs w:val="20"/>
        </w:rPr>
      </w:pPr>
      <w:r w:rsidRPr="000F417C">
        <w:rPr>
          <w:rFonts w:ascii="Calibri" w:hAnsi="Calibri" w:cs="Calibri"/>
          <w:sz w:val="22"/>
          <w:szCs w:val="22"/>
        </w:rPr>
        <w:t>The interim financial information referred to above includes the individual and consolidated statements of value added (“DVA”) for the three-month period ended March 31, 2023, prepared under the responsibility of the Company’s Executive Board and presented as supplemental information for purposes of international standard IAS 34. These statements were subject to review procedures performed together with the review of the ITR to reach a conclusion on whether they are reconciled with the interim financial information and the accounting records, as applicable, and if their form and content are consistent with the criteria set forth in technical pronouncement CPC 09 - Statement of Value Added.</w:t>
      </w:r>
      <w:r w:rsidRPr="00BB18C4">
        <w:rPr>
          <w:rFonts w:ascii="Calibri" w:hAnsi="Calibri" w:cs="Calibri"/>
          <w:sz w:val="22"/>
          <w:szCs w:val="22"/>
        </w:rPr>
        <w:t xml:space="preserve"> </w:t>
      </w:r>
      <w:r w:rsidRPr="000F417C">
        <w:rPr>
          <w:rFonts w:ascii="Calibri" w:hAnsi="Calibri" w:cs="Calibri"/>
          <w:sz w:val="22"/>
          <w:szCs w:val="22"/>
        </w:rPr>
        <w:t>Based on our review, nothing has come to our attention that causes us to believe that these statements of value added were not prepared, in all material respects, in accordance with CPC 09 and consistently with the accompanying individual and consolidated interim financial information taken as a whole</w:t>
      </w:r>
      <w:r w:rsidRPr="00E8567E">
        <w:rPr>
          <w:rFonts w:ascii="Calibri" w:hAnsi="Calibri" w:cs="Calibri"/>
          <w:sz w:val="22"/>
          <w:szCs w:val="20"/>
        </w:rPr>
        <w:t>.</w:t>
      </w:r>
    </w:p>
    <w:p w14:paraId="7623ACDB" w14:textId="77777777" w:rsidR="009A3167" w:rsidRPr="00E8567E" w:rsidRDefault="009A3167" w:rsidP="009A3167">
      <w:pPr>
        <w:pStyle w:val="Parecer"/>
        <w:widowControl w:val="0"/>
        <w:numPr>
          <w:ilvl w:val="0"/>
          <w:numId w:val="0"/>
        </w:numPr>
        <w:spacing w:after="200" w:line="240" w:lineRule="auto"/>
        <w:rPr>
          <w:rFonts w:ascii="Calibri" w:hAnsi="Calibri" w:cs="Calibri"/>
          <w:sz w:val="22"/>
          <w:szCs w:val="20"/>
        </w:rPr>
      </w:pPr>
      <w:r w:rsidRPr="00E8567E">
        <w:rPr>
          <w:rFonts w:ascii="Calibri" w:hAnsi="Calibri" w:cs="Calibri"/>
          <w:sz w:val="22"/>
          <w:szCs w:val="20"/>
        </w:rPr>
        <w:t xml:space="preserve">The accompanying individual and consolidated </w:t>
      </w:r>
      <w:r w:rsidRPr="00E8567E">
        <w:rPr>
          <w:rFonts w:ascii="Calibri" w:hAnsi="Calibri" w:cs="Calibri"/>
          <w:iCs/>
          <w:sz w:val="22"/>
          <w:szCs w:val="20"/>
        </w:rPr>
        <w:t xml:space="preserve">interim </w:t>
      </w:r>
      <w:r w:rsidRPr="00E8567E">
        <w:rPr>
          <w:rFonts w:ascii="Calibri" w:hAnsi="Calibri" w:cs="Calibri"/>
          <w:sz w:val="22"/>
          <w:szCs w:val="20"/>
        </w:rPr>
        <w:t xml:space="preserve">financial </w:t>
      </w:r>
      <w:r>
        <w:rPr>
          <w:rFonts w:ascii="Calibri" w:hAnsi="Calibri" w:cs="Calibri"/>
          <w:sz w:val="22"/>
          <w:szCs w:val="20"/>
        </w:rPr>
        <w:t xml:space="preserve">information has </w:t>
      </w:r>
      <w:r w:rsidRPr="00E8567E">
        <w:rPr>
          <w:rFonts w:ascii="Calibri" w:hAnsi="Calibri" w:cs="Calibri"/>
          <w:sz w:val="22"/>
          <w:szCs w:val="20"/>
        </w:rPr>
        <w:t>been translated into English for the convenience of readers outside Brazil.</w:t>
      </w:r>
    </w:p>
    <w:p w14:paraId="51AB534E" w14:textId="77777777" w:rsidR="009A3167" w:rsidRPr="00E8567E" w:rsidRDefault="009A3167" w:rsidP="009A3167">
      <w:pPr>
        <w:pStyle w:val="17TEXTOcorpojustificado"/>
        <w:widowControl w:val="0"/>
        <w:spacing w:after="600" w:line="240" w:lineRule="auto"/>
        <w:jc w:val="left"/>
        <w:outlineLvl w:val="0"/>
        <w:rPr>
          <w:rFonts w:ascii="Calibri" w:hAnsi="Calibri" w:cs="Calibri"/>
        </w:rPr>
      </w:pPr>
      <w:r w:rsidRPr="00E8567E">
        <w:rPr>
          <w:rFonts w:ascii="Calibri" w:hAnsi="Calibri" w:cs="Calibri"/>
        </w:rPr>
        <w:t xml:space="preserve">Brasília, </w:t>
      </w:r>
      <w:r>
        <w:rPr>
          <w:rFonts w:ascii="Calibri" w:hAnsi="Calibri" w:cs="Calibri"/>
        </w:rPr>
        <w:t>May</w:t>
      </w:r>
      <w:r w:rsidRPr="00E8567E">
        <w:rPr>
          <w:rFonts w:ascii="Calibri" w:hAnsi="Calibri" w:cs="Calibri"/>
        </w:rPr>
        <w:t xml:space="preserve"> </w:t>
      </w:r>
      <w:r>
        <w:rPr>
          <w:rFonts w:ascii="Calibri" w:hAnsi="Calibri" w:cs="Calibri"/>
        </w:rPr>
        <w:t>12</w:t>
      </w:r>
      <w:r w:rsidRPr="00E8567E">
        <w:rPr>
          <w:rFonts w:ascii="Calibri" w:hAnsi="Calibri" w:cs="Calibri"/>
        </w:rPr>
        <w:t>, 202</w:t>
      </w:r>
      <w:r>
        <w:rPr>
          <w:rFonts w:ascii="Calibri" w:hAnsi="Calibri" w:cs="Calibri"/>
        </w:rPr>
        <w:t>3</w:t>
      </w:r>
    </w:p>
    <w:tbl>
      <w:tblPr>
        <w:tblW w:w="9752" w:type="dxa"/>
        <w:tblInd w:w="-113" w:type="dxa"/>
        <w:tblLayout w:type="fixed"/>
        <w:tblCellMar>
          <w:left w:w="113" w:type="dxa"/>
          <w:right w:w="113" w:type="dxa"/>
        </w:tblCellMar>
        <w:tblLook w:val="0000" w:firstRow="0" w:lastRow="0" w:firstColumn="0" w:lastColumn="0" w:noHBand="0" w:noVBand="0"/>
      </w:tblPr>
      <w:tblGrid>
        <w:gridCol w:w="7059"/>
        <w:gridCol w:w="2693"/>
      </w:tblGrid>
      <w:tr w:rsidR="009A3167" w:rsidRPr="00E8567E" w14:paraId="6154B14D" w14:textId="77777777" w:rsidTr="009A3167">
        <w:tc>
          <w:tcPr>
            <w:tcW w:w="7059" w:type="dxa"/>
          </w:tcPr>
          <w:p w14:paraId="34A7BA04" w14:textId="77777777" w:rsidR="009A3167" w:rsidRPr="00E8567E" w:rsidRDefault="009A3167" w:rsidP="009A3167">
            <w:pPr>
              <w:pStyle w:val="Normal1"/>
              <w:widowControl w:val="0"/>
              <w:spacing w:after="0" w:line="240" w:lineRule="auto"/>
              <w:ind w:left="0"/>
              <w:jc w:val="left"/>
              <w:rPr>
                <w:rFonts w:ascii="Calibri" w:hAnsi="Calibri" w:cs="Calibri"/>
                <w:sz w:val="22"/>
                <w:szCs w:val="20"/>
              </w:rPr>
            </w:pPr>
            <w:r w:rsidRPr="00E8567E">
              <w:rPr>
                <w:rFonts w:ascii="Calibri" w:hAnsi="Calibri" w:cs="Calibri"/>
                <w:sz w:val="22"/>
                <w:szCs w:val="20"/>
              </w:rPr>
              <w:t>DELOITTE TOUCHE TOHMATSU</w:t>
            </w:r>
          </w:p>
        </w:tc>
        <w:tc>
          <w:tcPr>
            <w:tcW w:w="2693" w:type="dxa"/>
          </w:tcPr>
          <w:p w14:paraId="21980DC3" w14:textId="77777777" w:rsidR="009A3167" w:rsidRPr="00E8567E" w:rsidRDefault="009A3167" w:rsidP="009A3167">
            <w:pPr>
              <w:pStyle w:val="Normal1"/>
              <w:widowControl w:val="0"/>
              <w:spacing w:after="0" w:line="240" w:lineRule="auto"/>
              <w:ind w:left="1" w:hanging="1"/>
              <w:jc w:val="left"/>
              <w:rPr>
                <w:rFonts w:ascii="Calibri" w:hAnsi="Calibri" w:cs="Calibri"/>
                <w:sz w:val="22"/>
                <w:szCs w:val="20"/>
              </w:rPr>
            </w:pPr>
            <w:r w:rsidRPr="00E8567E">
              <w:rPr>
                <w:rFonts w:ascii="Calibri" w:eastAsia="Calibri" w:hAnsi="Calibri" w:cs="Calibri"/>
                <w:color w:val="000000"/>
                <w:sz w:val="22"/>
              </w:rPr>
              <w:t>Roberto Paulo Kenedi</w:t>
            </w:r>
          </w:p>
        </w:tc>
      </w:tr>
      <w:tr w:rsidR="009A3167" w:rsidRPr="00E8567E" w14:paraId="7B70DE9F" w14:textId="77777777" w:rsidTr="009A3167">
        <w:tc>
          <w:tcPr>
            <w:tcW w:w="7059" w:type="dxa"/>
          </w:tcPr>
          <w:p w14:paraId="0922D169" w14:textId="77777777" w:rsidR="009A3167" w:rsidRPr="00E8567E" w:rsidRDefault="009A3167" w:rsidP="009A3167">
            <w:pPr>
              <w:pStyle w:val="Normal1"/>
              <w:widowControl w:val="0"/>
              <w:spacing w:after="0" w:line="240" w:lineRule="auto"/>
              <w:ind w:left="0"/>
              <w:jc w:val="left"/>
              <w:rPr>
                <w:rFonts w:ascii="Calibri" w:hAnsi="Calibri" w:cs="Calibri"/>
                <w:sz w:val="22"/>
                <w:szCs w:val="20"/>
              </w:rPr>
            </w:pPr>
            <w:r w:rsidRPr="00E8567E">
              <w:rPr>
                <w:rFonts w:ascii="Calibri" w:hAnsi="Calibri" w:cs="Calibri"/>
                <w:sz w:val="22"/>
                <w:szCs w:val="20"/>
              </w:rPr>
              <w:t>Auditores Independentes Ltda.</w:t>
            </w:r>
          </w:p>
        </w:tc>
        <w:tc>
          <w:tcPr>
            <w:tcW w:w="2693" w:type="dxa"/>
          </w:tcPr>
          <w:p w14:paraId="17C854FB" w14:textId="77777777" w:rsidR="009A3167" w:rsidRPr="00E8567E" w:rsidRDefault="009A3167" w:rsidP="009A3167">
            <w:pPr>
              <w:pStyle w:val="Normal1"/>
              <w:widowControl w:val="0"/>
              <w:spacing w:after="0" w:line="240" w:lineRule="auto"/>
              <w:ind w:left="1" w:hanging="1"/>
              <w:jc w:val="left"/>
              <w:rPr>
                <w:rFonts w:ascii="Calibri" w:hAnsi="Calibri" w:cs="Calibri"/>
                <w:sz w:val="22"/>
                <w:szCs w:val="20"/>
              </w:rPr>
            </w:pPr>
            <w:r w:rsidRPr="00E8567E">
              <w:rPr>
                <w:rFonts w:ascii="Calibri" w:hAnsi="Calibri" w:cs="Calibri"/>
                <w:sz w:val="22"/>
                <w:szCs w:val="20"/>
              </w:rPr>
              <w:t>Engagement Partner</w:t>
            </w:r>
          </w:p>
        </w:tc>
      </w:tr>
    </w:tbl>
    <w:p w14:paraId="341977DE" w14:textId="77777777" w:rsidR="009A3167" w:rsidRDefault="009A3167" w:rsidP="009A3167">
      <w:pPr>
        <w:rPr>
          <w:rFonts w:ascii="Calibri" w:hAnsi="Calibri" w:cs="Calibri"/>
          <w:sz w:val="22"/>
          <w:szCs w:val="10"/>
        </w:rPr>
      </w:pPr>
    </w:p>
    <w:p w14:paraId="50184E19" w14:textId="77777777" w:rsidR="009A3167" w:rsidRPr="002865DF" w:rsidRDefault="009A3167" w:rsidP="009A3167">
      <w:pPr>
        <w:rPr>
          <w:rFonts w:ascii="Calibri" w:hAnsi="Calibri" w:cs="Calibri"/>
          <w:sz w:val="12"/>
          <w:szCs w:val="12"/>
        </w:rPr>
      </w:pPr>
    </w:p>
    <w:p w14:paraId="4F78F5BD" w14:textId="77777777" w:rsidR="009A3167" w:rsidRDefault="009A3167" w:rsidP="009A3167">
      <w:pPr>
        <w:rPr>
          <w:rFonts w:ascii="Calibri" w:hAnsi="Calibri" w:cs="Calibri"/>
          <w:sz w:val="22"/>
          <w:szCs w:val="10"/>
        </w:rPr>
      </w:pPr>
    </w:p>
    <w:p w14:paraId="6E7839A3" w14:textId="77777777" w:rsidR="009A3167" w:rsidRPr="006D1484" w:rsidRDefault="009A3167" w:rsidP="009A3167">
      <w:pPr>
        <w:rPr>
          <w:rFonts w:ascii="Calibri" w:hAnsi="Calibri" w:cs="Calibri"/>
          <w:sz w:val="22"/>
          <w:szCs w:val="10"/>
        </w:rPr>
      </w:pPr>
    </w:p>
    <w:p w14:paraId="15480439" w14:textId="77777777" w:rsidR="009A3167" w:rsidRPr="006D1484" w:rsidRDefault="009A3167" w:rsidP="009A3167">
      <w:pPr>
        <w:rPr>
          <w:rFonts w:ascii="Calibri" w:hAnsi="Calibri" w:cs="Calibri"/>
          <w:sz w:val="22"/>
          <w:szCs w:val="10"/>
        </w:rPr>
      </w:pPr>
    </w:p>
    <w:p w14:paraId="06D6C8AA" w14:textId="77777777" w:rsidR="009A3167" w:rsidRPr="006D1484" w:rsidRDefault="009A3167" w:rsidP="009A3167">
      <w:pPr>
        <w:rPr>
          <w:rFonts w:ascii="Calibri" w:hAnsi="Calibri" w:cs="Calibri"/>
          <w:sz w:val="22"/>
          <w:szCs w:val="10"/>
        </w:rPr>
      </w:pPr>
    </w:p>
    <w:p w14:paraId="78DCDFF2" w14:textId="77777777" w:rsidR="009A3167" w:rsidRPr="006D1484" w:rsidRDefault="009A3167" w:rsidP="009A3167">
      <w:pPr>
        <w:rPr>
          <w:rFonts w:ascii="Calibri" w:hAnsi="Calibri" w:cs="Calibri"/>
          <w:sz w:val="22"/>
          <w:szCs w:val="10"/>
        </w:rPr>
      </w:pPr>
    </w:p>
    <w:p w14:paraId="4C883DFA" w14:textId="77777777" w:rsidR="009A3167" w:rsidRPr="006D1484" w:rsidRDefault="009A3167" w:rsidP="009A3167">
      <w:pPr>
        <w:rPr>
          <w:rFonts w:ascii="Calibri" w:hAnsi="Calibri" w:cs="Calibri"/>
          <w:sz w:val="22"/>
          <w:szCs w:val="10"/>
        </w:rPr>
      </w:pPr>
    </w:p>
    <w:p w14:paraId="21BE6B6D" w14:textId="77777777" w:rsidR="009A3167" w:rsidRPr="006D1484" w:rsidRDefault="009A3167" w:rsidP="009A3167">
      <w:pPr>
        <w:rPr>
          <w:rFonts w:ascii="Calibri" w:hAnsi="Calibri" w:cs="Calibri"/>
          <w:sz w:val="22"/>
          <w:szCs w:val="10"/>
        </w:rPr>
      </w:pPr>
    </w:p>
    <w:p w14:paraId="212BF2A4" w14:textId="77777777" w:rsidR="009A3167" w:rsidRPr="006D1484" w:rsidRDefault="009A3167" w:rsidP="009A3167">
      <w:pPr>
        <w:rPr>
          <w:rFonts w:ascii="Calibri" w:hAnsi="Calibri" w:cs="Calibri"/>
          <w:sz w:val="22"/>
          <w:szCs w:val="10"/>
        </w:rPr>
      </w:pPr>
    </w:p>
    <w:p w14:paraId="2E084057" w14:textId="77777777" w:rsidR="009A3167" w:rsidRPr="006D1484" w:rsidRDefault="009A3167" w:rsidP="009A3167">
      <w:pPr>
        <w:rPr>
          <w:rFonts w:ascii="Calibri" w:hAnsi="Calibri" w:cs="Calibri"/>
          <w:sz w:val="22"/>
          <w:szCs w:val="10"/>
        </w:rPr>
      </w:pPr>
    </w:p>
    <w:p w14:paraId="0D991D61" w14:textId="77777777" w:rsidR="009A3167" w:rsidRPr="006D1484" w:rsidRDefault="009A3167" w:rsidP="009A3167">
      <w:pPr>
        <w:rPr>
          <w:rFonts w:ascii="Calibri" w:hAnsi="Calibri" w:cs="Calibri"/>
          <w:sz w:val="22"/>
          <w:szCs w:val="10"/>
        </w:rPr>
      </w:pPr>
    </w:p>
    <w:p w14:paraId="4608C890" w14:textId="77777777" w:rsidR="009A3167" w:rsidRPr="006D1484" w:rsidRDefault="009A3167" w:rsidP="009A3167">
      <w:pPr>
        <w:rPr>
          <w:rFonts w:ascii="Calibri" w:hAnsi="Calibri" w:cs="Calibri"/>
          <w:sz w:val="22"/>
          <w:szCs w:val="10"/>
        </w:rPr>
      </w:pPr>
    </w:p>
    <w:p w14:paraId="5A030A3D" w14:textId="77777777" w:rsidR="009A3167" w:rsidRPr="006D1484" w:rsidRDefault="009A3167" w:rsidP="009A3167">
      <w:pPr>
        <w:rPr>
          <w:rFonts w:ascii="Calibri" w:hAnsi="Calibri" w:cs="Calibri"/>
          <w:sz w:val="22"/>
          <w:szCs w:val="10"/>
        </w:rPr>
      </w:pPr>
    </w:p>
    <w:p w14:paraId="41AC9C67" w14:textId="77777777" w:rsidR="009A3167" w:rsidRDefault="009A3167" w:rsidP="009A3167">
      <w:pPr>
        <w:rPr>
          <w:rFonts w:ascii="Calibri" w:hAnsi="Calibri" w:cs="Calibri"/>
          <w:sz w:val="22"/>
          <w:szCs w:val="10"/>
        </w:rPr>
      </w:pPr>
    </w:p>
    <w:p w14:paraId="15F8F7E2" w14:textId="77777777" w:rsidR="009A3167" w:rsidRPr="006D1484" w:rsidRDefault="009A3167" w:rsidP="009A3167">
      <w:pPr>
        <w:tabs>
          <w:tab w:val="left" w:pos="3570"/>
        </w:tabs>
        <w:rPr>
          <w:rFonts w:ascii="Calibri" w:hAnsi="Calibri" w:cs="Calibri"/>
          <w:sz w:val="22"/>
          <w:szCs w:val="10"/>
        </w:rPr>
      </w:pPr>
      <w:r>
        <w:rPr>
          <w:rFonts w:ascii="Calibri" w:hAnsi="Calibri" w:cs="Calibri"/>
          <w:sz w:val="22"/>
          <w:szCs w:val="10"/>
        </w:rPr>
        <w:tab/>
      </w:r>
    </w:p>
    <w:p w14:paraId="2E9737D6" w14:textId="71B370F3" w:rsidR="00F42EE5" w:rsidRPr="00433C02" w:rsidRDefault="00433C02" w:rsidP="00433C02">
      <w:pPr>
        <w:tabs>
          <w:tab w:val="left" w:pos="5320"/>
        </w:tabs>
        <w:rPr>
          <w:lang w:eastAsia="pt-BR"/>
        </w:rPr>
        <w:sectPr w:rsidR="00F42EE5" w:rsidRPr="00433C02" w:rsidSect="00246CB5">
          <w:headerReference w:type="default" r:id="rId55"/>
          <w:footerReference w:type="default" r:id="rId56"/>
          <w:pgSz w:w="11906" w:h="16838" w:code="9"/>
          <w:pgMar w:top="1134" w:right="1134" w:bottom="851" w:left="1134" w:header="851" w:footer="284" w:gutter="0"/>
          <w:cols w:space="708"/>
          <w:docGrid w:linePitch="360"/>
        </w:sectPr>
      </w:pPr>
      <w:r>
        <w:rPr>
          <w:lang w:eastAsia="pt-BR"/>
        </w:rPr>
        <w:tab/>
      </w:r>
    </w:p>
    <w:p w14:paraId="14B971BE" w14:textId="77777777" w:rsidR="00607BBF" w:rsidRDefault="00607BBF">
      <w:pPr>
        <w:rPr>
          <w:rFonts w:eastAsiaTheme="majorEastAsia" w:cs="Arial"/>
          <w:b/>
          <w:bCs/>
          <w:color w:val="1F4E79" w:themeColor="accent1" w:themeShade="80"/>
          <w:sz w:val="20"/>
          <w:szCs w:val="20"/>
          <w:lang w:val="en-US"/>
        </w:rPr>
      </w:pPr>
      <w:r>
        <w:rPr>
          <w:rFonts w:cs="Arial"/>
          <w:b/>
          <w:bCs/>
          <w:color w:val="1F4E79" w:themeColor="accent1" w:themeShade="80"/>
          <w:sz w:val="20"/>
          <w:szCs w:val="20"/>
          <w:lang w:val="en-US"/>
        </w:rPr>
        <w:br w:type="page"/>
      </w:r>
    </w:p>
    <w:p w14:paraId="72B54BFD" w14:textId="4D38BD0D" w:rsidR="00F42EE5" w:rsidRPr="00794410" w:rsidRDefault="00F42EE5" w:rsidP="00F42EE5">
      <w:pPr>
        <w:pStyle w:val="Ttulo2"/>
        <w:jc w:val="both"/>
        <w:rPr>
          <w:rFonts w:ascii="Arial" w:hAnsi="Arial" w:cs="Arial"/>
          <w:b/>
          <w:bCs/>
          <w:color w:val="1F4E79" w:themeColor="accent1" w:themeShade="80"/>
          <w:sz w:val="20"/>
          <w:szCs w:val="20"/>
          <w:lang w:val="en-US"/>
        </w:rPr>
      </w:pPr>
      <w:r w:rsidRPr="00794410">
        <w:rPr>
          <w:rFonts w:ascii="Arial" w:hAnsi="Arial" w:cs="Arial"/>
          <w:b/>
          <w:bCs/>
          <w:color w:val="1F4E79" w:themeColor="accent1" w:themeShade="80"/>
          <w:sz w:val="20"/>
          <w:szCs w:val="20"/>
          <w:lang w:val="en-US"/>
        </w:rPr>
        <w:t>DECLARATION OF THE MEMBERS OF THE EXECUTIVE BOARD ABOUT THE FINANCIAL STATEMENTS</w:t>
      </w:r>
    </w:p>
    <w:p w14:paraId="30311A21" w14:textId="77777777" w:rsidR="00F42EE5" w:rsidRPr="00B15CC5" w:rsidRDefault="00F42EE5" w:rsidP="00F42EE5">
      <w:pPr>
        <w:spacing w:after="0" w:line="240" w:lineRule="auto"/>
        <w:jc w:val="both"/>
        <w:rPr>
          <w:rFonts w:eastAsia="Times New Roman" w:cs="Times New Roman"/>
          <w:kern w:val="20"/>
          <w:sz w:val="20"/>
          <w:szCs w:val="20"/>
          <w:lang w:val="en-US" w:eastAsia="en-GB"/>
        </w:rPr>
      </w:pPr>
    </w:p>
    <w:p w14:paraId="66C42925" w14:textId="77777777" w:rsidR="00F42EE5" w:rsidRPr="0021556C" w:rsidRDefault="00F42EE5" w:rsidP="00F42EE5">
      <w:pPr>
        <w:pStyle w:val="Body"/>
        <w:spacing w:after="0" w:line="240" w:lineRule="auto"/>
        <w:rPr>
          <w:sz w:val="18"/>
          <w:szCs w:val="18"/>
          <w:lang w:val="en-US"/>
        </w:rPr>
      </w:pPr>
      <w:r w:rsidRPr="0021556C">
        <w:rPr>
          <w:sz w:val="18"/>
          <w:szCs w:val="18"/>
          <w:lang w:val="en-US"/>
        </w:rPr>
        <w:t xml:space="preserve">In accordance with </w:t>
      </w:r>
      <w:r>
        <w:rPr>
          <w:sz w:val="18"/>
          <w:szCs w:val="18"/>
          <w:lang w:val="en-US"/>
        </w:rPr>
        <w:t>A</w:t>
      </w:r>
      <w:r w:rsidRPr="0021556C">
        <w:rPr>
          <w:sz w:val="18"/>
          <w:szCs w:val="18"/>
          <w:lang w:val="en-US"/>
        </w:rPr>
        <w:t xml:space="preserve">rticle </w:t>
      </w:r>
      <w:r>
        <w:rPr>
          <w:sz w:val="18"/>
          <w:szCs w:val="18"/>
          <w:lang w:val="en-US"/>
        </w:rPr>
        <w:t>27</w:t>
      </w:r>
      <w:r w:rsidRPr="0021556C">
        <w:rPr>
          <w:sz w:val="18"/>
          <w:szCs w:val="18"/>
          <w:lang w:val="en-US"/>
        </w:rPr>
        <w:t xml:space="preserve"> of CVM Rule 80, dated </w:t>
      </w:r>
      <w:r>
        <w:rPr>
          <w:sz w:val="18"/>
          <w:szCs w:val="18"/>
          <w:lang w:val="en-US"/>
        </w:rPr>
        <w:t>March</w:t>
      </w:r>
      <w:r w:rsidRPr="0021556C">
        <w:rPr>
          <w:sz w:val="18"/>
          <w:szCs w:val="18"/>
          <w:lang w:val="en-US"/>
        </w:rPr>
        <w:t xml:space="preserve"> </w:t>
      </w:r>
      <w:r>
        <w:rPr>
          <w:sz w:val="18"/>
          <w:szCs w:val="18"/>
          <w:lang w:val="en-US"/>
        </w:rPr>
        <w:t>29</w:t>
      </w:r>
      <w:r w:rsidRPr="0021556C">
        <w:rPr>
          <w:sz w:val="18"/>
          <w:szCs w:val="18"/>
          <w:lang w:val="en-US"/>
        </w:rPr>
        <w:t>, 20</w:t>
      </w:r>
      <w:r>
        <w:rPr>
          <w:sz w:val="18"/>
          <w:szCs w:val="18"/>
          <w:lang w:val="en-US"/>
        </w:rPr>
        <w:t>22</w:t>
      </w:r>
      <w:r w:rsidRPr="0021556C">
        <w:rPr>
          <w:sz w:val="18"/>
          <w:szCs w:val="18"/>
          <w:lang w:val="en-US"/>
        </w:rPr>
        <w:t xml:space="preserve">, I declare that I have reviewed the Financial Statements for the </w:t>
      </w:r>
      <w:r>
        <w:rPr>
          <w:sz w:val="18"/>
          <w:szCs w:val="18"/>
          <w:lang w:val="en-US"/>
        </w:rPr>
        <w:t>fiscal year</w:t>
      </w:r>
      <w:r w:rsidRPr="0021556C">
        <w:rPr>
          <w:sz w:val="18"/>
          <w:szCs w:val="18"/>
          <w:lang w:val="en-US"/>
        </w:rPr>
        <w:t xml:space="preserve"> ended on </w:t>
      </w:r>
      <w:r>
        <w:rPr>
          <w:sz w:val="18"/>
          <w:szCs w:val="18"/>
          <w:lang w:val="en-US"/>
        </w:rPr>
        <w:t>June 30</w:t>
      </w:r>
      <w:r w:rsidRPr="0021556C">
        <w:rPr>
          <w:sz w:val="18"/>
          <w:szCs w:val="18"/>
          <w:lang w:val="en-US"/>
        </w:rPr>
        <w:t>, 202</w:t>
      </w:r>
      <w:r>
        <w:rPr>
          <w:sz w:val="18"/>
          <w:szCs w:val="18"/>
          <w:lang w:val="en-US"/>
        </w:rPr>
        <w:t>3,</w:t>
      </w:r>
      <w:r w:rsidRPr="0021556C">
        <w:rPr>
          <w:sz w:val="18"/>
          <w:szCs w:val="18"/>
          <w:lang w:val="en-US"/>
        </w:rPr>
        <w:t xml:space="preserve"> of the BB Seguridade Participações S.A. and, based on subsequent discussions, I agree that such statements reflect fairly, in all material respects, the financial position for the period presented.</w:t>
      </w:r>
    </w:p>
    <w:p w14:paraId="0E6B6362" w14:textId="77777777" w:rsidR="00F42EE5" w:rsidRDefault="00F42EE5" w:rsidP="00F42EE5">
      <w:pPr>
        <w:pStyle w:val="Body"/>
        <w:tabs>
          <w:tab w:val="left" w:pos="2393"/>
        </w:tabs>
        <w:spacing w:after="0" w:line="240" w:lineRule="auto"/>
        <w:rPr>
          <w:sz w:val="18"/>
          <w:szCs w:val="18"/>
          <w:lang w:val="en-US"/>
        </w:rPr>
      </w:pPr>
    </w:p>
    <w:p w14:paraId="48D07281" w14:textId="77777777" w:rsidR="00F42EE5" w:rsidRPr="0021556C" w:rsidRDefault="00F42EE5" w:rsidP="00F42EE5">
      <w:pPr>
        <w:pStyle w:val="Body"/>
        <w:spacing w:after="0" w:line="240" w:lineRule="auto"/>
        <w:rPr>
          <w:sz w:val="18"/>
          <w:szCs w:val="18"/>
          <w:lang w:val="en-US"/>
        </w:rPr>
      </w:pPr>
    </w:p>
    <w:p w14:paraId="7FC598C6" w14:textId="5DB37605" w:rsidR="00F42EE5" w:rsidRPr="00794410" w:rsidRDefault="00F42EE5" w:rsidP="00F42EE5">
      <w:pPr>
        <w:pStyle w:val="Body"/>
        <w:spacing w:after="0" w:line="240" w:lineRule="auto"/>
        <w:rPr>
          <w:sz w:val="18"/>
          <w:szCs w:val="18"/>
          <w:lang w:val="en-US"/>
        </w:rPr>
      </w:pPr>
      <w:r w:rsidRPr="00794410">
        <w:rPr>
          <w:sz w:val="18"/>
          <w:szCs w:val="18"/>
          <w:lang w:val="en-US"/>
        </w:rPr>
        <w:t xml:space="preserve">Brasília, </w:t>
      </w:r>
      <w:bookmarkStart w:id="66" w:name="_Hlk78441283"/>
      <w:r>
        <w:rPr>
          <w:sz w:val="18"/>
          <w:szCs w:val="18"/>
          <w:lang w:val="en-US"/>
        </w:rPr>
        <w:t>August 4, 2023</w:t>
      </w:r>
      <w:bookmarkEnd w:id="66"/>
      <w:r w:rsidRPr="00794410">
        <w:rPr>
          <w:sz w:val="18"/>
          <w:szCs w:val="18"/>
          <w:lang w:val="en-US"/>
        </w:rPr>
        <w:t>.</w:t>
      </w:r>
    </w:p>
    <w:p w14:paraId="5A82E2EF" w14:textId="77777777" w:rsidR="00F42EE5" w:rsidRPr="00794410" w:rsidRDefault="00F42EE5" w:rsidP="00F42EE5">
      <w:pPr>
        <w:pStyle w:val="Body"/>
        <w:tabs>
          <w:tab w:val="left" w:pos="3083"/>
        </w:tabs>
        <w:spacing w:after="0" w:line="240" w:lineRule="auto"/>
        <w:rPr>
          <w:sz w:val="18"/>
          <w:szCs w:val="18"/>
          <w:lang w:val="en-US"/>
        </w:rPr>
      </w:pPr>
    </w:p>
    <w:p w14:paraId="6A48C02A" w14:textId="77777777" w:rsidR="00F42EE5" w:rsidRPr="00794410" w:rsidRDefault="00F42EE5" w:rsidP="00F42EE5">
      <w:pPr>
        <w:pStyle w:val="Body"/>
        <w:tabs>
          <w:tab w:val="left" w:pos="3083"/>
        </w:tabs>
        <w:spacing w:after="0" w:line="240" w:lineRule="auto"/>
        <w:rPr>
          <w:sz w:val="18"/>
          <w:szCs w:val="18"/>
          <w:lang w:val="en-US"/>
        </w:rPr>
      </w:pPr>
    </w:p>
    <w:p w14:paraId="04010731" w14:textId="77777777" w:rsidR="00F42EE5" w:rsidRPr="00794410" w:rsidRDefault="00F42EE5" w:rsidP="00F42EE5">
      <w:pPr>
        <w:pStyle w:val="05-Textonormal"/>
        <w:spacing w:before="0" w:after="0" w:line="240" w:lineRule="auto"/>
        <w:rPr>
          <w:snapToGrid w:val="0"/>
          <w:lang w:val="en-US"/>
        </w:rPr>
      </w:pPr>
      <w:bookmarkStart w:id="67" w:name="_Hlk78441167"/>
      <w:r w:rsidRPr="00794410">
        <w:rPr>
          <w:snapToGrid w:val="0"/>
          <w:lang w:val="en-US"/>
        </w:rPr>
        <w:t>Ullisses Christian Silva Assis</w:t>
      </w:r>
    </w:p>
    <w:p w14:paraId="367DA6E9" w14:textId="77777777" w:rsidR="00F42EE5" w:rsidRPr="00794410" w:rsidRDefault="00F42EE5" w:rsidP="00F42EE5">
      <w:pPr>
        <w:pStyle w:val="Body"/>
        <w:spacing w:after="0" w:line="240" w:lineRule="auto"/>
        <w:rPr>
          <w:sz w:val="18"/>
          <w:szCs w:val="18"/>
          <w:lang w:val="en-US"/>
        </w:rPr>
      </w:pPr>
      <w:r w:rsidRPr="00794410">
        <w:rPr>
          <w:sz w:val="18"/>
          <w:szCs w:val="18"/>
          <w:lang w:val="en-US"/>
        </w:rPr>
        <w:t>Chief Executive Officer</w:t>
      </w:r>
    </w:p>
    <w:p w14:paraId="0D7916C2" w14:textId="77777777" w:rsidR="00F42EE5" w:rsidRDefault="00F42EE5" w:rsidP="00F42EE5">
      <w:pPr>
        <w:pStyle w:val="Body"/>
        <w:spacing w:after="0" w:line="240" w:lineRule="auto"/>
        <w:rPr>
          <w:sz w:val="18"/>
          <w:szCs w:val="18"/>
        </w:rPr>
      </w:pPr>
    </w:p>
    <w:p w14:paraId="796AC958" w14:textId="77777777" w:rsidR="00F42EE5" w:rsidRPr="00794410" w:rsidRDefault="00F42EE5" w:rsidP="00F42EE5">
      <w:pPr>
        <w:pStyle w:val="Body"/>
        <w:spacing w:after="0" w:line="240" w:lineRule="auto"/>
        <w:rPr>
          <w:sz w:val="18"/>
          <w:szCs w:val="18"/>
          <w:lang w:val="en-US"/>
        </w:rPr>
      </w:pPr>
    </w:p>
    <w:p w14:paraId="10BB3001" w14:textId="77777777" w:rsidR="00F42EE5" w:rsidRPr="00794410" w:rsidRDefault="00F42EE5" w:rsidP="00F42EE5">
      <w:pPr>
        <w:pStyle w:val="Body"/>
        <w:spacing w:after="0" w:line="240" w:lineRule="auto"/>
        <w:rPr>
          <w:sz w:val="18"/>
          <w:szCs w:val="18"/>
          <w:lang w:val="en-US"/>
        </w:rPr>
      </w:pPr>
    </w:p>
    <w:p w14:paraId="782D53BA" w14:textId="77777777" w:rsidR="00F42EE5" w:rsidRPr="00794410" w:rsidRDefault="00F42EE5" w:rsidP="00F42EE5">
      <w:pPr>
        <w:pStyle w:val="05-Textonormal"/>
        <w:spacing w:before="0" w:after="0" w:line="240" w:lineRule="auto"/>
        <w:rPr>
          <w:lang w:val="en-US"/>
        </w:rPr>
      </w:pPr>
    </w:p>
    <w:p w14:paraId="7DF1FDB4" w14:textId="77777777" w:rsidR="00F42EE5" w:rsidRDefault="00F42EE5" w:rsidP="00F42EE5">
      <w:pPr>
        <w:pStyle w:val="05-Textonormal"/>
        <w:spacing w:before="0" w:after="0" w:line="240" w:lineRule="auto"/>
      </w:pPr>
      <w:r>
        <w:t>Bruno Alves do Nascimento</w:t>
      </w:r>
    </w:p>
    <w:p w14:paraId="479EDB66" w14:textId="77777777" w:rsidR="00F42EE5" w:rsidRPr="00794410" w:rsidRDefault="00F42EE5" w:rsidP="00F42EE5">
      <w:pPr>
        <w:spacing w:after="0" w:line="240" w:lineRule="auto"/>
        <w:jc w:val="both"/>
        <w:rPr>
          <w:rFonts w:eastAsia="Times New Roman" w:cs="Arial"/>
          <w:kern w:val="20"/>
          <w:szCs w:val="18"/>
          <w:lang w:eastAsia="en-GB"/>
        </w:rPr>
      </w:pPr>
      <w:r w:rsidRPr="00794410">
        <w:rPr>
          <w:rFonts w:eastAsia="Times New Roman" w:cs="Arial"/>
          <w:kern w:val="20"/>
          <w:szCs w:val="18"/>
          <w:lang w:eastAsia="en-GB"/>
        </w:rPr>
        <w:t>Chief Strategy Officer</w:t>
      </w:r>
    </w:p>
    <w:p w14:paraId="3453BF62" w14:textId="77777777" w:rsidR="00F42EE5" w:rsidRDefault="00F42EE5" w:rsidP="00F42EE5">
      <w:pPr>
        <w:pStyle w:val="Body"/>
        <w:spacing w:after="0" w:line="240" w:lineRule="auto"/>
        <w:rPr>
          <w:sz w:val="18"/>
          <w:szCs w:val="18"/>
        </w:rPr>
      </w:pPr>
    </w:p>
    <w:p w14:paraId="0BE1D897" w14:textId="77777777" w:rsidR="00F42EE5" w:rsidRDefault="00F42EE5" w:rsidP="00F42EE5">
      <w:pPr>
        <w:pStyle w:val="Body"/>
        <w:spacing w:after="0" w:line="240" w:lineRule="auto"/>
        <w:rPr>
          <w:sz w:val="18"/>
          <w:szCs w:val="18"/>
        </w:rPr>
      </w:pPr>
    </w:p>
    <w:p w14:paraId="723EBEFE" w14:textId="77777777" w:rsidR="00F42EE5" w:rsidRDefault="00F42EE5" w:rsidP="00F42EE5">
      <w:pPr>
        <w:pStyle w:val="Body"/>
        <w:spacing w:after="0" w:line="240" w:lineRule="auto"/>
        <w:rPr>
          <w:sz w:val="18"/>
          <w:szCs w:val="18"/>
        </w:rPr>
      </w:pPr>
    </w:p>
    <w:p w14:paraId="6C320192" w14:textId="77777777" w:rsidR="00F42EE5" w:rsidRPr="00B45054" w:rsidRDefault="00F42EE5" w:rsidP="00F42EE5">
      <w:pPr>
        <w:pStyle w:val="Body"/>
        <w:spacing w:after="0" w:line="240" w:lineRule="auto"/>
        <w:rPr>
          <w:sz w:val="18"/>
          <w:szCs w:val="18"/>
        </w:rPr>
      </w:pPr>
    </w:p>
    <w:p w14:paraId="55731C13" w14:textId="77777777" w:rsidR="00F42EE5" w:rsidRPr="00794410" w:rsidRDefault="00F42EE5" w:rsidP="00F42EE5">
      <w:pPr>
        <w:pStyle w:val="05-Textonormal"/>
        <w:spacing w:before="0" w:after="0" w:line="240" w:lineRule="auto"/>
        <w:rPr>
          <w:snapToGrid w:val="0"/>
          <w:lang w:val="en-US"/>
        </w:rPr>
      </w:pPr>
      <w:r w:rsidRPr="00794410">
        <w:rPr>
          <w:snapToGrid w:val="0"/>
          <w:lang w:val="en-US"/>
        </w:rPr>
        <w:t>Marcelo Lopes Lourenço</w:t>
      </w:r>
    </w:p>
    <w:p w14:paraId="3C08DD3E" w14:textId="77777777" w:rsidR="00F42EE5" w:rsidRPr="00B15CC5" w:rsidRDefault="00F42EE5" w:rsidP="00F42EE5">
      <w:pPr>
        <w:spacing w:after="0" w:line="240" w:lineRule="auto"/>
        <w:jc w:val="both"/>
        <w:rPr>
          <w:rFonts w:eastAsia="Times New Roman" w:cs="Arial"/>
          <w:sz w:val="20"/>
          <w:szCs w:val="20"/>
          <w:lang w:val="en-US" w:eastAsia="pt-BR"/>
        </w:rPr>
      </w:pPr>
      <w:r w:rsidRPr="0021556C">
        <w:rPr>
          <w:rFonts w:eastAsia="Times New Roman" w:cs="Arial"/>
          <w:kern w:val="20"/>
          <w:szCs w:val="18"/>
          <w:lang w:val="en-US" w:eastAsia="en-GB"/>
        </w:rPr>
        <w:t>Chief Commercial Officer</w:t>
      </w:r>
    </w:p>
    <w:p w14:paraId="3B1C7348" w14:textId="77777777" w:rsidR="00F42EE5" w:rsidRPr="00794410" w:rsidRDefault="00F42EE5" w:rsidP="00F42EE5">
      <w:pPr>
        <w:pStyle w:val="Body"/>
        <w:spacing w:after="0" w:line="240" w:lineRule="auto"/>
        <w:rPr>
          <w:sz w:val="18"/>
          <w:szCs w:val="18"/>
          <w:lang w:val="en-US"/>
        </w:rPr>
      </w:pPr>
    </w:p>
    <w:p w14:paraId="4D7F703D" w14:textId="77777777" w:rsidR="00F42EE5" w:rsidRPr="00794410" w:rsidRDefault="00F42EE5" w:rsidP="00F42EE5">
      <w:pPr>
        <w:pStyle w:val="Body"/>
        <w:spacing w:after="0" w:line="240" w:lineRule="auto"/>
        <w:rPr>
          <w:sz w:val="18"/>
          <w:szCs w:val="18"/>
          <w:lang w:val="en-US"/>
        </w:rPr>
      </w:pPr>
    </w:p>
    <w:p w14:paraId="2D01C142" w14:textId="77777777" w:rsidR="00F42EE5" w:rsidRPr="00794410" w:rsidRDefault="00F42EE5" w:rsidP="00F42EE5">
      <w:pPr>
        <w:pStyle w:val="Body"/>
        <w:spacing w:after="0" w:line="240" w:lineRule="auto"/>
        <w:rPr>
          <w:sz w:val="18"/>
          <w:szCs w:val="18"/>
          <w:lang w:val="en-US"/>
        </w:rPr>
      </w:pPr>
    </w:p>
    <w:p w14:paraId="375FC670" w14:textId="77777777" w:rsidR="00F42EE5" w:rsidRPr="00794410" w:rsidRDefault="00F42EE5" w:rsidP="00F42EE5">
      <w:pPr>
        <w:pStyle w:val="Body"/>
        <w:spacing w:after="0" w:line="240" w:lineRule="auto"/>
        <w:rPr>
          <w:sz w:val="18"/>
          <w:szCs w:val="18"/>
          <w:lang w:val="en-US"/>
        </w:rPr>
      </w:pPr>
    </w:p>
    <w:p w14:paraId="704C78C6" w14:textId="77777777" w:rsidR="00F42EE5" w:rsidRPr="00794410" w:rsidRDefault="00F42EE5" w:rsidP="00F42EE5">
      <w:pPr>
        <w:pStyle w:val="05-Textonormal"/>
        <w:spacing w:before="0" w:after="0" w:line="240" w:lineRule="auto"/>
        <w:rPr>
          <w:rFonts w:cs="Arial"/>
          <w:snapToGrid w:val="0"/>
          <w:lang w:val="en-US"/>
        </w:rPr>
      </w:pPr>
      <w:r w:rsidRPr="00794410">
        <w:rPr>
          <w:rFonts w:cs="Arial"/>
          <w:snapToGrid w:val="0"/>
          <w:lang w:val="en-US"/>
        </w:rPr>
        <w:t>Rafael Augusto Sperendio</w:t>
      </w:r>
    </w:p>
    <w:p w14:paraId="40C225B6" w14:textId="77777777" w:rsidR="00F42EE5" w:rsidRDefault="00F42EE5" w:rsidP="00F42EE5">
      <w:pPr>
        <w:pStyle w:val="Body"/>
        <w:spacing w:after="0" w:line="240" w:lineRule="auto"/>
        <w:rPr>
          <w:sz w:val="18"/>
          <w:szCs w:val="18"/>
          <w:lang w:val="en-US"/>
        </w:rPr>
      </w:pPr>
      <w:r w:rsidRPr="0021556C">
        <w:rPr>
          <w:sz w:val="18"/>
          <w:szCs w:val="18"/>
          <w:lang w:val="en-US"/>
        </w:rPr>
        <w:t>Chief Financial Officer</w:t>
      </w:r>
    </w:p>
    <w:bookmarkEnd w:id="67"/>
    <w:p w14:paraId="732D929A" w14:textId="77777777" w:rsidR="00F42EE5" w:rsidRPr="00B15CC5" w:rsidRDefault="00F42EE5" w:rsidP="00F42EE5">
      <w:pPr>
        <w:spacing w:after="0" w:line="240" w:lineRule="auto"/>
        <w:rPr>
          <w:rFonts w:eastAsia="Times New Roman" w:cs="Arial"/>
          <w:sz w:val="20"/>
          <w:szCs w:val="20"/>
          <w:lang w:val="en-US" w:eastAsia="pt-BR"/>
        </w:rPr>
      </w:pPr>
      <w:r w:rsidRPr="00B15CC5">
        <w:rPr>
          <w:rFonts w:eastAsia="Times New Roman" w:cs="Arial"/>
          <w:sz w:val="20"/>
          <w:szCs w:val="20"/>
          <w:lang w:val="en-US" w:eastAsia="pt-BR"/>
        </w:rPr>
        <w:br w:type="page"/>
      </w:r>
    </w:p>
    <w:p w14:paraId="365E15D5" w14:textId="77777777" w:rsidR="00F42EE5" w:rsidRPr="00794410" w:rsidRDefault="00F42EE5" w:rsidP="00F42EE5">
      <w:pPr>
        <w:pStyle w:val="Ttulo2"/>
        <w:jc w:val="both"/>
        <w:rPr>
          <w:rFonts w:ascii="Arial" w:hAnsi="Arial" w:cs="Arial"/>
          <w:b/>
          <w:bCs/>
          <w:color w:val="1F4E79" w:themeColor="accent1" w:themeShade="80"/>
          <w:sz w:val="20"/>
          <w:szCs w:val="20"/>
          <w:lang w:val="en-US"/>
        </w:rPr>
      </w:pPr>
    </w:p>
    <w:p w14:paraId="527857D5" w14:textId="77777777" w:rsidR="00F42EE5" w:rsidRPr="00794410" w:rsidRDefault="00F42EE5" w:rsidP="00F42EE5">
      <w:pPr>
        <w:pStyle w:val="Ttulo2"/>
        <w:jc w:val="both"/>
        <w:rPr>
          <w:rFonts w:ascii="Arial" w:hAnsi="Arial" w:cs="Arial"/>
          <w:b/>
          <w:bCs/>
          <w:color w:val="1F4E79" w:themeColor="accent1" w:themeShade="80"/>
          <w:sz w:val="20"/>
          <w:szCs w:val="20"/>
          <w:lang w:val="en-US"/>
        </w:rPr>
      </w:pPr>
      <w:r w:rsidRPr="00794410">
        <w:rPr>
          <w:rFonts w:ascii="Arial" w:hAnsi="Arial" w:cs="Arial"/>
          <w:b/>
          <w:bCs/>
          <w:color w:val="1F4E79" w:themeColor="accent1" w:themeShade="80"/>
          <w:sz w:val="20"/>
          <w:szCs w:val="20"/>
          <w:lang w:val="en-US"/>
        </w:rPr>
        <w:t>DECLARATION OF THE MEMBERS OF THE EXECUTIVE BOARD ON THE REPORT OF THE INDEPENDENT AUDITORS</w:t>
      </w:r>
    </w:p>
    <w:p w14:paraId="6DCE5CD8" w14:textId="77777777" w:rsidR="00F42EE5" w:rsidRPr="00B15CC5" w:rsidRDefault="00F42EE5" w:rsidP="00F42EE5">
      <w:pPr>
        <w:spacing w:after="0" w:line="240" w:lineRule="auto"/>
        <w:jc w:val="both"/>
        <w:rPr>
          <w:rFonts w:eastAsia="Times New Roman" w:cs="Times New Roman"/>
          <w:kern w:val="20"/>
          <w:sz w:val="20"/>
          <w:szCs w:val="24"/>
          <w:lang w:val="en" w:eastAsia="en-GB"/>
        </w:rPr>
      </w:pPr>
    </w:p>
    <w:p w14:paraId="20CCBBD6" w14:textId="77777777" w:rsidR="00F42EE5" w:rsidRPr="00A111C3" w:rsidRDefault="00F42EE5" w:rsidP="00F42EE5">
      <w:pPr>
        <w:pStyle w:val="05-Textonormal"/>
        <w:spacing w:before="0" w:after="0" w:line="240" w:lineRule="auto"/>
        <w:rPr>
          <w:rStyle w:val="hps"/>
          <w:lang w:val="en"/>
        </w:rPr>
      </w:pPr>
      <w:r w:rsidRPr="00A111C3">
        <w:rPr>
          <w:rStyle w:val="hps"/>
          <w:lang w:val="en"/>
        </w:rPr>
        <w:t>In accordance with</w:t>
      </w:r>
      <w:r w:rsidRPr="00A111C3">
        <w:rPr>
          <w:lang w:val="en"/>
        </w:rPr>
        <w:t xml:space="preserve"> </w:t>
      </w:r>
      <w:r w:rsidRPr="00A111C3">
        <w:rPr>
          <w:rStyle w:val="hps"/>
          <w:lang w:val="en"/>
        </w:rPr>
        <w:t>Article</w:t>
      </w:r>
      <w:r w:rsidRPr="00A111C3">
        <w:rPr>
          <w:lang w:val="en"/>
        </w:rPr>
        <w:t xml:space="preserve"> </w:t>
      </w:r>
      <w:r>
        <w:rPr>
          <w:lang w:val="en"/>
        </w:rPr>
        <w:t>27</w:t>
      </w:r>
      <w:r w:rsidRPr="00A111C3">
        <w:rPr>
          <w:rStyle w:val="hps"/>
          <w:lang w:val="en"/>
        </w:rPr>
        <w:t xml:space="preserve"> of CVM</w:t>
      </w:r>
      <w:r w:rsidRPr="00A111C3">
        <w:rPr>
          <w:lang w:val="en"/>
        </w:rPr>
        <w:t xml:space="preserve"> </w:t>
      </w:r>
      <w:r w:rsidRPr="00A111C3">
        <w:rPr>
          <w:rStyle w:val="hps"/>
          <w:lang w:val="en"/>
        </w:rPr>
        <w:t>Rule N.</w:t>
      </w:r>
      <w:r w:rsidRPr="00A111C3">
        <w:rPr>
          <w:lang w:val="en"/>
        </w:rPr>
        <w:t xml:space="preserve"> </w:t>
      </w:r>
      <w:r w:rsidRPr="00A111C3">
        <w:rPr>
          <w:rStyle w:val="hps"/>
          <w:lang w:val="en"/>
        </w:rPr>
        <w:t>80, dated</w:t>
      </w:r>
      <w:r w:rsidRPr="00A111C3">
        <w:rPr>
          <w:lang w:val="en"/>
        </w:rPr>
        <w:t xml:space="preserve"> </w:t>
      </w:r>
      <w:r>
        <w:rPr>
          <w:lang w:val="en"/>
        </w:rPr>
        <w:t xml:space="preserve">March </w:t>
      </w:r>
      <w:r>
        <w:rPr>
          <w:rStyle w:val="hps"/>
          <w:lang w:val="en"/>
        </w:rPr>
        <w:t xml:space="preserve">29, </w:t>
      </w:r>
      <w:r w:rsidRPr="00A111C3">
        <w:rPr>
          <w:rStyle w:val="hps"/>
          <w:lang w:val="en"/>
        </w:rPr>
        <w:t>20</w:t>
      </w:r>
      <w:r>
        <w:rPr>
          <w:rStyle w:val="hps"/>
          <w:lang w:val="en"/>
        </w:rPr>
        <w:t>22</w:t>
      </w:r>
      <w:r w:rsidRPr="00A111C3">
        <w:rPr>
          <w:lang w:val="en"/>
        </w:rPr>
        <w:t xml:space="preserve">, I declare that </w:t>
      </w:r>
      <w:r w:rsidRPr="00A111C3">
        <w:rPr>
          <w:rStyle w:val="hps"/>
          <w:lang w:val="en"/>
        </w:rPr>
        <w:t>based on</w:t>
      </w:r>
      <w:r w:rsidRPr="00A111C3">
        <w:rPr>
          <w:lang w:val="en"/>
        </w:rPr>
        <w:t xml:space="preserve"> </w:t>
      </w:r>
      <w:r w:rsidRPr="00A111C3">
        <w:rPr>
          <w:rStyle w:val="hps"/>
          <w:lang w:val="en"/>
        </w:rPr>
        <w:t>my knowledge</w:t>
      </w:r>
      <w:r w:rsidRPr="00A111C3">
        <w:rPr>
          <w:lang w:val="en"/>
        </w:rPr>
        <w:t xml:space="preserve">, </w:t>
      </w:r>
      <w:r w:rsidRPr="00A111C3">
        <w:rPr>
          <w:rStyle w:val="hps"/>
          <w:lang w:val="en"/>
        </w:rPr>
        <w:t>the planning submitted</w:t>
      </w:r>
      <w:r w:rsidRPr="00A111C3">
        <w:rPr>
          <w:lang w:val="en"/>
        </w:rPr>
        <w:t xml:space="preserve"> </w:t>
      </w:r>
      <w:r w:rsidRPr="00A111C3">
        <w:rPr>
          <w:rStyle w:val="hps"/>
          <w:lang w:val="en"/>
        </w:rPr>
        <w:t>by the auditors and</w:t>
      </w:r>
      <w:r w:rsidRPr="00A111C3">
        <w:rPr>
          <w:lang w:val="en"/>
        </w:rPr>
        <w:t xml:space="preserve"> </w:t>
      </w:r>
      <w:r w:rsidRPr="00A111C3">
        <w:rPr>
          <w:rStyle w:val="hps"/>
          <w:lang w:val="en"/>
        </w:rPr>
        <w:t>the subsequent discussions</w:t>
      </w:r>
      <w:r w:rsidRPr="00A111C3">
        <w:rPr>
          <w:lang w:val="en"/>
        </w:rPr>
        <w:t xml:space="preserve"> </w:t>
      </w:r>
      <w:r w:rsidRPr="00A111C3">
        <w:rPr>
          <w:rStyle w:val="hps"/>
          <w:lang w:val="en"/>
        </w:rPr>
        <w:t>on the</w:t>
      </w:r>
      <w:r w:rsidRPr="00A111C3">
        <w:rPr>
          <w:lang w:val="en"/>
        </w:rPr>
        <w:t xml:space="preserve"> </w:t>
      </w:r>
      <w:r w:rsidRPr="00A111C3">
        <w:rPr>
          <w:rStyle w:val="hps"/>
          <w:lang w:val="en"/>
        </w:rPr>
        <w:t>audit results</w:t>
      </w:r>
      <w:r w:rsidRPr="00A111C3">
        <w:rPr>
          <w:lang w:val="en"/>
        </w:rPr>
        <w:t xml:space="preserve">, I agree </w:t>
      </w:r>
      <w:r w:rsidRPr="00A111C3">
        <w:rPr>
          <w:rStyle w:val="hps"/>
          <w:lang w:val="en"/>
        </w:rPr>
        <w:t>with the</w:t>
      </w:r>
      <w:r w:rsidRPr="00A111C3">
        <w:rPr>
          <w:lang w:val="en"/>
        </w:rPr>
        <w:t xml:space="preserve"> </w:t>
      </w:r>
      <w:r w:rsidRPr="00A111C3">
        <w:rPr>
          <w:rStyle w:val="hps"/>
          <w:lang w:val="en"/>
        </w:rPr>
        <w:t>opinions expressed in</w:t>
      </w:r>
      <w:r w:rsidRPr="00A111C3">
        <w:rPr>
          <w:lang w:val="en"/>
        </w:rPr>
        <w:t xml:space="preserve"> </w:t>
      </w:r>
      <w:r w:rsidRPr="00A111C3">
        <w:rPr>
          <w:rStyle w:val="hps"/>
          <w:lang w:val="en"/>
        </w:rPr>
        <w:t xml:space="preserve">the </w:t>
      </w:r>
      <w:r w:rsidRPr="00794410">
        <w:rPr>
          <w:lang w:val="en-US"/>
        </w:rPr>
        <w:t>Deloitte Touche Tohmatsu</w:t>
      </w:r>
      <w:r w:rsidRPr="00A111C3">
        <w:rPr>
          <w:rStyle w:val="hps"/>
          <w:lang w:val="en"/>
        </w:rPr>
        <w:t xml:space="preserve"> Independent Auditors’ report</w:t>
      </w:r>
      <w:r w:rsidRPr="00A111C3">
        <w:rPr>
          <w:lang w:val="en"/>
        </w:rPr>
        <w:t xml:space="preserve">, </w:t>
      </w:r>
      <w:r w:rsidRPr="00A111C3">
        <w:rPr>
          <w:rStyle w:val="hps"/>
          <w:lang w:val="en"/>
        </w:rPr>
        <w:t>dated</w:t>
      </w:r>
      <w:r w:rsidRPr="00A111C3">
        <w:rPr>
          <w:lang w:val="en"/>
        </w:rPr>
        <w:t xml:space="preserve"> </w:t>
      </w:r>
      <w:r>
        <w:rPr>
          <w:lang w:val="en"/>
        </w:rPr>
        <w:t>August</w:t>
      </w:r>
      <w:r w:rsidRPr="00794410">
        <w:rPr>
          <w:lang w:val="en-US"/>
        </w:rPr>
        <w:t xml:space="preserve"> </w:t>
      </w:r>
      <w:r>
        <w:rPr>
          <w:lang w:val="en-US"/>
        </w:rPr>
        <w:t>04</w:t>
      </w:r>
      <w:r w:rsidRPr="00794410">
        <w:rPr>
          <w:lang w:val="en-US"/>
        </w:rPr>
        <w:t>, 202</w:t>
      </w:r>
      <w:r>
        <w:rPr>
          <w:lang w:val="en-US"/>
        </w:rPr>
        <w:t>3</w:t>
      </w:r>
      <w:r w:rsidRPr="00A111C3">
        <w:rPr>
          <w:lang w:val="en"/>
        </w:rPr>
        <w:t xml:space="preserve">, </w:t>
      </w:r>
      <w:r w:rsidRPr="00A111C3">
        <w:rPr>
          <w:rStyle w:val="hps"/>
          <w:lang w:val="en"/>
        </w:rPr>
        <w:t>related</w:t>
      </w:r>
      <w:r w:rsidRPr="00A111C3">
        <w:rPr>
          <w:lang w:val="en"/>
        </w:rPr>
        <w:t xml:space="preserve"> </w:t>
      </w:r>
      <w:r w:rsidRPr="00A111C3">
        <w:rPr>
          <w:rStyle w:val="hps"/>
          <w:lang w:val="en"/>
        </w:rPr>
        <w:t>to the financial statements</w:t>
      </w:r>
      <w:r w:rsidRPr="00A111C3">
        <w:rPr>
          <w:lang w:val="en"/>
        </w:rPr>
        <w:t xml:space="preserve"> </w:t>
      </w:r>
      <w:r w:rsidRPr="00A111C3">
        <w:rPr>
          <w:rStyle w:val="hps"/>
          <w:lang w:val="en"/>
        </w:rPr>
        <w:t>of BB</w:t>
      </w:r>
      <w:r w:rsidRPr="00A111C3">
        <w:rPr>
          <w:lang w:val="en"/>
        </w:rPr>
        <w:t xml:space="preserve"> </w:t>
      </w:r>
      <w:r w:rsidRPr="00A111C3">
        <w:rPr>
          <w:rStyle w:val="hps"/>
          <w:lang w:val="en"/>
        </w:rPr>
        <w:t>Seguridade</w:t>
      </w:r>
      <w:r w:rsidRPr="00A111C3">
        <w:rPr>
          <w:lang w:val="en"/>
        </w:rPr>
        <w:t xml:space="preserve"> </w:t>
      </w:r>
      <w:r w:rsidRPr="00A111C3">
        <w:rPr>
          <w:rStyle w:val="hps"/>
          <w:lang w:val="en"/>
        </w:rPr>
        <w:t>Participações</w:t>
      </w:r>
      <w:r w:rsidRPr="00A111C3">
        <w:rPr>
          <w:lang w:val="en"/>
        </w:rPr>
        <w:t xml:space="preserve"> </w:t>
      </w:r>
      <w:r w:rsidRPr="00A111C3">
        <w:rPr>
          <w:rStyle w:val="hps"/>
          <w:lang w:val="en"/>
        </w:rPr>
        <w:t>S.A.</w:t>
      </w:r>
      <w:r w:rsidRPr="00A111C3">
        <w:rPr>
          <w:lang w:val="en"/>
        </w:rPr>
        <w:t xml:space="preserve"> </w:t>
      </w:r>
      <w:r w:rsidRPr="00A111C3">
        <w:rPr>
          <w:rStyle w:val="hps"/>
          <w:lang w:val="en"/>
        </w:rPr>
        <w:t>for the fiscal year ended</w:t>
      </w:r>
      <w:r w:rsidRPr="00A111C3">
        <w:rPr>
          <w:lang w:val="en"/>
        </w:rPr>
        <w:t xml:space="preserve"> </w:t>
      </w:r>
      <w:r>
        <w:rPr>
          <w:lang w:val="en"/>
        </w:rPr>
        <w:t>June</w:t>
      </w:r>
      <w:r w:rsidRPr="0021556C">
        <w:rPr>
          <w:lang w:val="en-US"/>
        </w:rPr>
        <w:t xml:space="preserve"> </w:t>
      </w:r>
      <w:r>
        <w:rPr>
          <w:lang w:val="en-US"/>
        </w:rPr>
        <w:t>30</w:t>
      </w:r>
      <w:r w:rsidRPr="0021556C">
        <w:rPr>
          <w:lang w:val="en-US"/>
        </w:rPr>
        <w:t>, 202</w:t>
      </w:r>
      <w:r>
        <w:rPr>
          <w:lang w:val="en-US"/>
        </w:rPr>
        <w:t>3,</w:t>
      </w:r>
      <w:r w:rsidRPr="00A111C3">
        <w:rPr>
          <w:lang w:val="en"/>
        </w:rPr>
        <w:t xml:space="preserve"> </w:t>
      </w:r>
      <w:r w:rsidRPr="00A111C3">
        <w:rPr>
          <w:rStyle w:val="hps"/>
          <w:lang w:val="en"/>
        </w:rPr>
        <w:t>there being no disagreement.</w:t>
      </w:r>
    </w:p>
    <w:p w14:paraId="694ED3D6" w14:textId="77777777" w:rsidR="00F42EE5" w:rsidRDefault="00F42EE5" w:rsidP="00F42EE5">
      <w:pPr>
        <w:pStyle w:val="05-Textonormal"/>
        <w:spacing w:before="0" w:after="0" w:line="240" w:lineRule="auto"/>
        <w:rPr>
          <w:rStyle w:val="hps"/>
          <w:lang w:val="en"/>
        </w:rPr>
      </w:pPr>
    </w:p>
    <w:p w14:paraId="1021A371" w14:textId="77777777" w:rsidR="00F42EE5" w:rsidRPr="00A111C3" w:rsidRDefault="00F42EE5" w:rsidP="00F42EE5">
      <w:pPr>
        <w:pStyle w:val="05-Textonormal"/>
        <w:spacing w:before="0" w:after="0" w:line="240" w:lineRule="auto"/>
        <w:rPr>
          <w:rStyle w:val="hps"/>
          <w:lang w:val="en"/>
        </w:rPr>
      </w:pPr>
    </w:p>
    <w:p w14:paraId="7587F2B3" w14:textId="77777777" w:rsidR="00F42EE5" w:rsidRPr="00794410" w:rsidRDefault="00F42EE5" w:rsidP="00F42EE5">
      <w:pPr>
        <w:pStyle w:val="Body"/>
        <w:spacing w:after="0" w:line="240" w:lineRule="auto"/>
        <w:rPr>
          <w:sz w:val="18"/>
          <w:szCs w:val="18"/>
          <w:lang w:val="en-US"/>
        </w:rPr>
      </w:pPr>
      <w:r w:rsidRPr="00794410">
        <w:rPr>
          <w:sz w:val="18"/>
          <w:szCs w:val="18"/>
          <w:lang w:val="en-US"/>
        </w:rPr>
        <w:t xml:space="preserve">Brasília (DF), </w:t>
      </w:r>
      <w:r>
        <w:rPr>
          <w:sz w:val="18"/>
          <w:szCs w:val="18"/>
          <w:lang w:val="en-US"/>
        </w:rPr>
        <w:t>August</w:t>
      </w:r>
      <w:r w:rsidRPr="00794410">
        <w:rPr>
          <w:sz w:val="18"/>
          <w:szCs w:val="18"/>
          <w:lang w:val="en-US"/>
        </w:rPr>
        <w:t xml:space="preserve"> </w:t>
      </w:r>
      <w:r>
        <w:rPr>
          <w:sz w:val="18"/>
          <w:szCs w:val="18"/>
          <w:lang w:val="en-US"/>
        </w:rPr>
        <w:t xml:space="preserve">04, </w:t>
      </w:r>
      <w:r w:rsidRPr="00794410">
        <w:rPr>
          <w:sz w:val="18"/>
          <w:szCs w:val="18"/>
          <w:lang w:val="en-US"/>
        </w:rPr>
        <w:t>202</w:t>
      </w:r>
      <w:r>
        <w:rPr>
          <w:sz w:val="18"/>
          <w:szCs w:val="18"/>
          <w:lang w:val="en-US"/>
        </w:rPr>
        <w:t>3</w:t>
      </w:r>
      <w:r w:rsidRPr="00794410">
        <w:rPr>
          <w:sz w:val="18"/>
          <w:szCs w:val="18"/>
          <w:lang w:val="en-US"/>
        </w:rPr>
        <w:t>.</w:t>
      </w:r>
    </w:p>
    <w:p w14:paraId="7B76B642" w14:textId="77777777" w:rsidR="00F42EE5" w:rsidRPr="00794410" w:rsidRDefault="00F42EE5" w:rsidP="00F42EE5">
      <w:pPr>
        <w:pStyle w:val="Body"/>
        <w:tabs>
          <w:tab w:val="left" w:pos="3083"/>
        </w:tabs>
        <w:spacing w:after="0" w:line="240" w:lineRule="auto"/>
        <w:rPr>
          <w:sz w:val="18"/>
          <w:szCs w:val="18"/>
          <w:lang w:val="en-US"/>
        </w:rPr>
      </w:pPr>
    </w:p>
    <w:p w14:paraId="143AFE49" w14:textId="77777777" w:rsidR="00F42EE5" w:rsidRPr="00794410" w:rsidRDefault="00F42EE5" w:rsidP="00F42EE5">
      <w:pPr>
        <w:pStyle w:val="Body"/>
        <w:tabs>
          <w:tab w:val="left" w:pos="3083"/>
        </w:tabs>
        <w:spacing w:after="0" w:line="240" w:lineRule="auto"/>
        <w:rPr>
          <w:sz w:val="18"/>
          <w:szCs w:val="18"/>
          <w:lang w:val="en-US"/>
        </w:rPr>
      </w:pPr>
    </w:p>
    <w:p w14:paraId="3639F72F" w14:textId="77777777" w:rsidR="00F42EE5" w:rsidRPr="00794410" w:rsidRDefault="00F42EE5" w:rsidP="00F42EE5">
      <w:pPr>
        <w:pStyle w:val="05-Textonormal"/>
        <w:spacing w:before="0" w:after="0" w:line="240" w:lineRule="auto"/>
        <w:rPr>
          <w:snapToGrid w:val="0"/>
          <w:lang w:val="en-US"/>
        </w:rPr>
      </w:pPr>
      <w:r w:rsidRPr="00794410">
        <w:rPr>
          <w:snapToGrid w:val="0"/>
          <w:lang w:val="en-US"/>
        </w:rPr>
        <w:t>Ullisses Christian Silva Assis</w:t>
      </w:r>
    </w:p>
    <w:p w14:paraId="68CC968C" w14:textId="77777777" w:rsidR="00F42EE5" w:rsidRPr="00794410" w:rsidRDefault="00F42EE5" w:rsidP="00F42EE5">
      <w:pPr>
        <w:pStyle w:val="Body"/>
        <w:spacing w:after="0" w:line="240" w:lineRule="auto"/>
        <w:rPr>
          <w:sz w:val="18"/>
          <w:szCs w:val="18"/>
          <w:lang w:val="en-US"/>
        </w:rPr>
      </w:pPr>
      <w:r w:rsidRPr="00794410">
        <w:rPr>
          <w:sz w:val="18"/>
          <w:szCs w:val="18"/>
          <w:lang w:val="en-US"/>
        </w:rPr>
        <w:t>Chief Executive Officer</w:t>
      </w:r>
    </w:p>
    <w:p w14:paraId="0BB855D9" w14:textId="77777777" w:rsidR="00F42EE5" w:rsidRPr="00794410" w:rsidRDefault="00F42EE5" w:rsidP="00F42EE5">
      <w:pPr>
        <w:pStyle w:val="Body"/>
        <w:spacing w:after="0" w:line="240" w:lineRule="auto"/>
        <w:rPr>
          <w:sz w:val="18"/>
          <w:szCs w:val="18"/>
          <w:lang w:val="en-US"/>
        </w:rPr>
      </w:pPr>
    </w:p>
    <w:p w14:paraId="39C22945" w14:textId="77777777" w:rsidR="00F42EE5" w:rsidRPr="00794410" w:rsidRDefault="00F42EE5" w:rsidP="00F42EE5">
      <w:pPr>
        <w:pStyle w:val="Body"/>
        <w:spacing w:after="0" w:line="240" w:lineRule="auto"/>
        <w:rPr>
          <w:sz w:val="18"/>
          <w:szCs w:val="18"/>
          <w:lang w:val="en-US"/>
        </w:rPr>
      </w:pPr>
    </w:p>
    <w:p w14:paraId="68B601D3" w14:textId="77777777" w:rsidR="00F42EE5" w:rsidRPr="00794410" w:rsidRDefault="00F42EE5" w:rsidP="00F42EE5">
      <w:pPr>
        <w:pStyle w:val="Body"/>
        <w:spacing w:after="0" w:line="240" w:lineRule="auto"/>
        <w:rPr>
          <w:sz w:val="18"/>
          <w:szCs w:val="18"/>
          <w:lang w:val="en-US"/>
        </w:rPr>
      </w:pPr>
    </w:p>
    <w:p w14:paraId="2970D99D" w14:textId="77777777" w:rsidR="00F42EE5" w:rsidRPr="00794410" w:rsidRDefault="00F42EE5" w:rsidP="00F42EE5">
      <w:pPr>
        <w:pStyle w:val="05-Textonormal"/>
        <w:spacing w:before="0" w:after="0" w:line="240" w:lineRule="auto"/>
        <w:rPr>
          <w:lang w:val="en-US"/>
        </w:rPr>
      </w:pPr>
    </w:p>
    <w:p w14:paraId="69592D55" w14:textId="77777777" w:rsidR="00F42EE5" w:rsidRDefault="00F42EE5" w:rsidP="00F42EE5">
      <w:pPr>
        <w:pStyle w:val="05-Textonormal"/>
        <w:spacing w:before="0" w:after="0" w:line="240" w:lineRule="auto"/>
      </w:pPr>
      <w:r>
        <w:t>Bruno Alves do Nascimento</w:t>
      </w:r>
    </w:p>
    <w:p w14:paraId="1D2CF2CB" w14:textId="77777777" w:rsidR="00F42EE5" w:rsidRPr="00794410" w:rsidRDefault="00F42EE5" w:rsidP="00F42EE5">
      <w:pPr>
        <w:spacing w:after="0" w:line="240" w:lineRule="auto"/>
        <w:jc w:val="both"/>
        <w:rPr>
          <w:rFonts w:eastAsia="Times New Roman" w:cs="Arial"/>
          <w:kern w:val="20"/>
          <w:szCs w:val="18"/>
          <w:lang w:eastAsia="en-GB"/>
        </w:rPr>
      </w:pPr>
      <w:r w:rsidRPr="00794410">
        <w:rPr>
          <w:rFonts w:eastAsia="Times New Roman" w:cs="Arial"/>
          <w:kern w:val="20"/>
          <w:szCs w:val="18"/>
          <w:lang w:eastAsia="en-GB"/>
        </w:rPr>
        <w:t>Chief Strategy Officer</w:t>
      </w:r>
    </w:p>
    <w:p w14:paraId="606B1236" w14:textId="77777777" w:rsidR="00F42EE5" w:rsidRDefault="00F42EE5" w:rsidP="00F42EE5">
      <w:pPr>
        <w:pStyle w:val="Body"/>
        <w:spacing w:after="0" w:line="240" w:lineRule="auto"/>
        <w:rPr>
          <w:sz w:val="18"/>
          <w:szCs w:val="18"/>
        </w:rPr>
      </w:pPr>
    </w:p>
    <w:p w14:paraId="06A691DD" w14:textId="77777777" w:rsidR="00F42EE5" w:rsidRDefault="00F42EE5" w:rsidP="00F42EE5">
      <w:pPr>
        <w:pStyle w:val="Body"/>
        <w:spacing w:after="0" w:line="240" w:lineRule="auto"/>
        <w:rPr>
          <w:sz w:val="18"/>
          <w:szCs w:val="18"/>
        </w:rPr>
      </w:pPr>
    </w:p>
    <w:p w14:paraId="3F368282" w14:textId="77777777" w:rsidR="00F42EE5" w:rsidRDefault="00F42EE5" w:rsidP="00F42EE5">
      <w:pPr>
        <w:pStyle w:val="Body"/>
        <w:spacing w:after="0" w:line="240" w:lineRule="auto"/>
        <w:rPr>
          <w:sz w:val="18"/>
          <w:szCs w:val="18"/>
        </w:rPr>
      </w:pPr>
    </w:p>
    <w:p w14:paraId="29398A0C" w14:textId="77777777" w:rsidR="00F42EE5" w:rsidRPr="00B45054" w:rsidRDefault="00F42EE5" w:rsidP="00F42EE5">
      <w:pPr>
        <w:pStyle w:val="Body"/>
        <w:spacing w:after="0" w:line="240" w:lineRule="auto"/>
        <w:rPr>
          <w:sz w:val="18"/>
          <w:szCs w:val="18"/>
        </w:rPr>
      </w:pPr>
    </w:p>
    <w:p w14:paraId="1F71B984" w14:textId="77777777" w:rsidR="00F42EE5" w:rsidRDefault="00F42EE5" w:rsidP="00F42EE5">
      <w:pPr>
        <w:pStyle w:val="05-Textonormal"/>
        <w:spacing w:before="0" w:after="0" w:line="240" w:lineRule="auto"/>
        <w:rPr>
          <w:snapToGrid w:val="0"/>
        </w:rPr>
      </w:pPr>
      <w:r w:rsidRPr="007B2A36">
        <w:rPr>
          <w:snapToGrid w:val="0"/>
        </w:rPr>
        <w:t>Marcelo Lopes Lourenço</w:t>
      </w:r>
    </w:p>
    <w:p w14:paraId="68E6B78B" w14:textId="77777777" w:rsidR="00F42EE5" w:rsidRPr="00B15CC5" w:rsidRDefault="00F42EE5" w:rsidP="00F42EE5">
      <w:pPr>
        <w:spacing w:after="0" w:line="240" w:lineRule="auto"/>
        <w:jc w:val="both"/>
        <w:rPr>
          <w:rFonts w:eastAsia="Times New Roman" w:cs="Arial"/>
          <w:sz w:val="20"/>
          <w:szCs w:val="20"/>
          <w:lang w:val="en-US" w:eastAsia="pt-BR"/>
        </w:rPr>
      </w:pPr>
      <w:r w:rsidRPr="0021556C">
        <w:rPr>
          <w:rFonts w:eastAsia="Times New Roman" w:cs="Arial"/>
          <w:kern w:val="20"/>
          <w:szCs w:val="18"/>
          <w:lang w:val="en-US" w:eastAsia="en-GB"/>
        </w:rPr>
        <w:t>Chief Commercial Officer</w:t>
      </w:r>
    </w:p>
    <w:p w14:paraId="761C5158" w14:textId="77777777" w:rsidR="00F42EE5" w:rsidRDefault="00F42EE5" w:rsidP="00F42EE5">
      <w:pPr>
        <w:pStyle w:val="Body"/>
        <w:spacing w:after="0" w:line="240" w:lineRule="auto"/>
        <w:rPr>
          <w:sz w:val="18"/>
          <w:szCs w:val="18"/>
        </w:rPr>
      </w:pPr>
    </w:p>
    <w:p w14:paraId="376994DB" w14:textId="77777777" w:rsidR="00F42EE5" w:rsidRDefault="00F42EE5" w:rsidP="00F42EE5">
      <w:pPr>
        <w:pStyle w:val="Body"/>
        <w:spacing w:after="0" w:line="240" w:lineRule="auto"/>
        <w:rPr>
          <w:sz w:val="18"/>
          <w:szCs w:val="18"/>
        </w:rPr>
      </w:pPr>
    </w:p>
    <w:p w14:paraId="68806102" w14:textId="77777777" w:rsidR="00F42EE5" w:rsidRDefault="00F42EE5" w:rsidP="00F42EE5">
      <w:pPr>
        <w:pStyle w:val="Body"/>
        <w:spacing w:after="0" w:line="240" w:lineRule="auto"/>
        <w:rPr>
          <w:sz w:val="18"/>
          <w:szCs w:val="18"/>
        </w:rPr>
      </w:pPr>
    </w:p>
    <w:p w14:paraId="2016868F" w14:textId="77777777" w:rsidR="00F42EE5" w:rsidRPr="00B45054" w:rsidRDefault="00F42EE5" w:rsidP="00F42EE5">
      <w:pPr>
        <w:pStyle w:val="Body"/>
        <w:spacing w:after="0" w:line="240" w:lineRule="auto"/>
        <w:rPr>
          <w:sz w:val="18"/>
          <w:szCs w:val="18"/>
        </w:rPr>
      </w:pPr>
    </w:p>
    <w:p w14:paraId="1B34E6F4" w14:textId="77777777" w:rsidR="00F42EE5" w:rsidRPr="00DD34B3" w:rsidRDefault="00F42EE5" w:rsidP="00F42EE5">
      <w:pPr>
        <w:pStyle w:val="05-Textonormal"/>
        <w:spacing w:before="0" w:after="0" w:line="240" w:lineRule="auto"/>
        <w:rPr>
          <w:rFonts w:cs="Arial"/>
          <w:snapToGrid w:val="0"/>
        </w:rPr>
      </w:pPr>
      <w:r>
        <w:rPr>
          <w:rFonts w:cs="Arial"/>
          <w:snapToGrid w:val="0"/>
        </w:rPr>
        <w:t>Rafael Augusto Sperendio</w:t>
      </w:r>
    </w:p>
    <w:p w14:paraId="578CF1A9" w14:textId="77777777" w:rsidR="00F42EE5" w:rsidRDefault="00F42EE5" w:rsidP="00F42EE5">
      <w:pPr>
        <w:pStyle w:val="Body"/>
        <w:spacing w:after="0" w:line="240" w:lineRule="auto"/>
        <w:rPr>
          <w:sz w:val="18"/>
          <w:szCs w:val="18"/>
          <w:lang w:val="en-US"/>
        </w:rPr>
      </w:pPr>
      <w:r w:rsidRPr="0021556C">
        <w:rPr>
          <w:sz w:val="18"/>
          <w:szCs w:val="18"/>
          <w:lang w:val="en-US"/>
        </w:rPr>
        <w:t>Chief Financial Officer</w:t>
      </w:r>
    </w:p>
    <w:p w14:paraId="551FC420" w14:textId="0C5D0726" w:rsidR="00607BBF" w:rsidRDefault="00607BBF">
      <w:pPr>
        <w:rPr>
          <w:rFonts w:eastAsia="Times New Roman" w:cs="Times New Roman"/>
          <w:spacing w:val="-2"/>
          <w:szCs w:val="18"/>
          <w:lang w:val="en-US" w:eastAsia="pt-BR"/>
        </w:rPr>
      </w:pPr>
      <w:r>
        <w:rPr>
          <w:lang w:val="en-US"/>
        </w:rPr>
        <w:br w:type="page"/>
      </w:r>
    </w:p>
    <w:p w14:paraId="67E7E9C2" w14:textId="77777777" w:rsidR="00F42EE5" w:rsidRDefault="00F42EE5" w:rsidP="00F42EE5">
      <w:pPr>
        <w:pStyle w:val="05-Textonormal"/>
        <w:spacing w:before="0" w:after="0" w:line="240" w:lineRule="auto"/>
        <w:rPr>
          <w:lang w:val="en-US"/>
        </w:rPr>
      </w:pPr>
    </w:p>
    <w:p w14:paraId="7D769F88" w14:textId="745CA5FA" w:rsidR="005B5353" w:rsidRPr="00882B41" w:rsidRDefault="005B5353" w:rsidP="00882B41">
      <w:pPr>
        <w:pStyle w:val="03-SubttulodeNota"/>
        <w:rPr>
          <w:bCs/>
          <w:color w:val="1F4E79" w:themeColor="accent1" w:themeShade="80"/>
        </w:rPr>
      </w:pPr>
      <w:bookmarkStart w:id="68" w:name="_Toc141966706"/>
      <w:r w:rsidRPr="00882B41">
        <w:rPr>
          <w:color w:val="1F4E79" w:themeColor="accent1" w:themeShade="80"/>
        </w:rPr>
        <w:t>MEMBERS OF THE MANAGEMENT BODIES</w:t>
      </w:r>
      <w:bookmarkEnd w:id="68"/>
    </w:p>
    <w:p w14:paraId="4AD3109A" w14:textId="77777777" w:rsidR="005B5353" w:rsidRPr="00A96BA2" w:rsidRDefault="005B5353" w:rsidP="005B5353">
      <w:pPr>
        <w:keepNext/>
        <w:spacing w:line="240" w:lineRule="auto"/>
        <w:rPr>
          <w:rFonts w:eastAsia="Times New Roman" w:cs="Times New Roman"/>
          <w:spacing w:val="-2"/>
          <w:szCs w:val="18"/>
          <w:lang w:eastAsia="pt-BR"/>
        </w:rPr>
      </w:pPr>
    </w:p>
    <w:p w14:paraId="1E30C8E0" w14:textId="77777777" w:rsidR="005B5353" w:rsidRPr="00037403" w:rsidRDefault="005B5353" w:rsidP="005B5353">
      <w:pPr>
        <w:spacing w:line="240" w:lineRule="auto"/>
        <w:rPr>
          <w:rFonts w:eastAsia="Times New Roman" w:cs="Times New Roman"/>
          <w:b/>
          <w:color w:val="1F4E79" w:themeColor="accent1" w:themeShade="80"/>
          <w:spacing w:val="-2"/>
          <w:sz w:val="20"/>
          <w:szCs w:val="20"/>
          <w:lang w:eastAsia="pt-BR"/>
        </w:rPr>
      </w:pPr>
      <w:r w:rsidRPr="00037403">
        <w:rPr>
          <w:rFonts w:eastAsia="Times New Roman" w:cs="Times New Roman"/>
          <w:b/>
          <w:color w:val="1F4E79" w:themeColor="accent1" w:themeShade="80"/>
          <w:spacing w:val="-2"/>
          <w:sz w:val="20"/>
          <w:szCs w:val="20"/>
          <w:lang w:eastAsia="pt-BR"/>
        </w:rPr>
        <w:t>DIRECTOR-PRESIDENT</w:t>
      </w:r>
    </w:p>
    <w:p w14:paraId="5097068D" w14:textId="77777777" w:rsidR="005B5353" w:rsidRDefault="005B5353" w:rsidP="005B5353">
      <w:pPr>
        <w:pStyle w:val="05-Textonormal"/>
        <w:keepNext/>
        <w:spacing w:before="0" w:after="200" w:line="240" w:lineRule="auto"/>
        <w:jc w:val="left"/>
        <w:rPr>
          <w:snapToGrid w:val="0"/>
        </w:rPr>
      </w:pPr>
      <w:r w:rsidRPr="00D561DC">
        <w:rPr>
          <w:snapToGrid w:val="0"/>
        </w:rPr>
        <w:t>Ullisses Christian Silva Assis</w:t>
      </w:r>
    </w:p>
    <w:p w14:paraId="4CE32C82" w14:textId="77777777" w:rsidR="005B5353" w:rsidRPr="00A96BA2" w:rsidRDefault="005B5353" w:rsidP="005B5353">
      <w:pPr>
        <w:keepNext/>
        <w:spacing w:line="240" w:lineRule="auto"/>
        <w:rPr>
          <w:rFonts w:eastAsia="Times New Roman" w:cs="Times New Roman"/>
          <w:spacing w:val="-2"/>
          <w:szCs w:val="18"/>
          <w:lang w:eastAsia="pt-BR"/>
        </w:rPr>
      </w:pPr>
    </w:p>
    <w:p w14:paraId="422F5689" w14:textId="77777777" w:rsidR="005B5353" w:rsidRPr="00037403" w:rsidRDefault="005B5353" w:rsidP="005B5353">
      <w:pPr>
        <w:spacing w:line="240" w:lineRule="auto"/>
        <w:rPr>
          <w:rFonts w:eastAsia="Times New Roman" w:cs="Times New Roman"/>
          <w:b/>
          <w:color w:val="1F4E79" w:themeColor="accent1" w:themeShade="80"/>
          <w:spacing w:val="-2"/>
          <w:sz w:val="20"/>
          <w:szCs w:val="20"/>
          <w:lang w:eastAsia="pt-BR"/>
        </w:rPr>
      </w:pPr>
      <w:r w:rsidRPr="00037403">
        <w:rPr>
          <w:rFonts w:eastAsia="Times New Roman" w:cs="Times New Roman"/>
          <w:b/>
          <w:color w:val="1F4E79" w:themeColor="accent1" w:themeShade="80"/>
          <w:spacing w:val="-2"/>
          <w:sz w:val="20"/>
          <w:szCs w:val="20"/>
          <w:lang w:eastAsia="pt-BR"/>
        </w:rPr>
        <w:t>DIRECTORS</w:t>
      </w:r>
    </w:p>
    <w:p w14:paraId="2D17A169" w14:textId="77777777" w:rsidR="005B5353" w:rsidRDefault="005B5353" w:rsidP="005B5353">
      <w:pPr>
        <w:pStyle w:val="05-Textonormal"/>
        <w:keepNext/>
        <w:spacing w:before="0" w:after="200" w:line="240" w:lineRule="auto"/>
        <w:jc w:val="left"/>
        <w:rPr>
          <w:snapToGrid w:val="0"/>
        </w:rPr>
      </w:pPr>
      <w:r>
        <w:rPr>
          <w:snapToGrid w:val="0"/>
        </w:rPr>
        <w:t>Bruno Alves d</w:t>
      </w:r>
      <w:r w:rsidRPr="00DD0E88">
        <w:rPr>
          <w:snapToGrid w:val="0"/>
        </w:rPr>
        <w:t>o Nascimento</w:t>
      </w:r>
    </w:p>
    <w:p w14:paraId="7E97F23D" w14:textId="77777777" w:rsidR="005B5353" w:rsidRDefault="005B5353" w:rsidP="005B5353">
      <w:pPr>
        <w:pStyle w:val="05-Textonormal"/>
        <w:keepNext/>
        <w:spacing w:before="0" w:after="200" w:line="240" w:lineRule="auto"/>
        <w:jc w:val="left"/>
        <w:rPr>
          <w:snapToGrid w:val="0"/>
        </w:rPr>
      </w:pPr>
      <w:r w:rsidRPr="00D561DC">
        <w:rPr>
          <w:snapToGrid w:val="0"/>
        </w:rPr>
        <w:t>Marcelo Lopes Lourenço</w:t>
      </w:r>
    </w:p>
    <w:p w14:paraId="2634F7BC" w14:textId="77777777" w:rsidR="005B5353" w:rsidRPr="0037081A" w:rsidRDefault="005B5353" w:rsidP="005B5353">
      <w:pPr>
        <w:pStyle w:val="05-Textonormal"/>
        <w:keepNext/>
        <w:spacing w:before="0" w:after="200" w:line="240" w:lineRule="auto"/>
        <w:jc w:val="left"/>
        <w:rPr>
          <w:snapToGrid w:val="0"/>
        </w:rPr>
      </w:pPr>
      <w:r w:rsidRPr="0037081A">
        <w:rPr>
          <w:snapToGrid w:val="0"/>
        </w:rPr>
        <w:t>Rafael Augusto Sperendio</w:t>
      </w:r>
    </w:p>
    <w:p w14:paraId="5910BE96" w14:textId="77777777" w:rsidR="005B5353" w:rsidRPr="00A96BA2" w:rsidRDefault="005B5353" w:rsidP="005B5353">
      <w:pPr>
        <w:keepNext/>
        <w:spacing w:line="240" w:lineRule="auto"/>
        <w:rPr>
          <w:rFonts w:eastAsia="Times New Roman" w:cs="Times New Roman"/>
          <w:snapToGrid w:val="0"/>
          <w:spacing w:val="-2"/>
          <w:szCs w:val="18"/>
          <w:lang w:eastAsia="pt-BR"/>
        </w:rPr>
      </w:pPr>
    </w:p>
    <w:p w14:paraId="726C71C8" w14:textId="77777777" w:rsidR="005B5353" w:rsidRPr="00037403" w:rsidRDefault="005B5353" w:rsidP="005B5353">
      <w:pPr>
        <w:spacing w:line="240" w:lineRule="auto"/>
        <w:rPr>
          <w:rFonts w:eastAsia="Times New Roman" w:cs="Times New Roman"/>
          <w:b/>
          <w:color w:val="1F4E79" w:themeColor="accent1" w:themeShade="80"/>
          <w:spacing w:val="-2"/>
          <w:sz w:val="20"/>
          <w:szCs w:val="20"/>
          <w:lang w:eastAsia="pt-BR"/>
        </w:rPr>
      </w:pPr>
      <w:r w:rsidRPr="00037403">
        <w:rPr>
          <w:rFonts w:eastAsia="Times New Roman" w:cs="Times New Roman"/>
          <w:b/>
          <w:color w:val="1F4E79" w:themeColor="accent1" w:themeShade="80"/>
          <w:spacing w:val="-2"/>
          <w:sz w:val="20"/>
          <w:szCs w:val="20"/>
          <w:lang w:eastAsia="pt-BR"/>
        </w:rPr>
        <w:t>BOARD OF DIRECTORS</w:t>
      </w:r>
    </w:p>
    <w:p w14:paraId="4555F812" w14:textId="77777777" w:rsidR="005B5353" w:rsidRPr="00A61E45" w:rsidRDefault="005B5353" w:rsidP="005B5353">
      <w:pPr>
        <w:keepNext/>
        <w:spacing w:line="240" w:lineRule="auto"/>
        <w:rPr>
          <w:rFonts w:eastAsia="Times New Roman" w:cs="Times New Roman"/>
          <w:snapToGrid w:val="0"/>
          <w:spacing w:val="-2"/>
          <w:szCs w:val="18"/>
          <w:lang w:eastAsia="pt-BR"/>
        </w:rPr>
      </w:pPr>
      <w:r w:rsidRPr="00A61E45">
        <w:rPr>
          <w:rFonts w:eastAsia="Times New Roman" w:cs="Times New Roman"/>
          <w:snapToGrid w:val="0"/>
          <w:spacing w:val="-2"/>
          <w:szCs w:val="18"/>
          <w:lang w:eastAsia="pt-BR"/>
        </w:rPr>
        <w:t>Marcelo Cavalcante de Oliveira Lima (President)</w:t>
      </w:r>
    </w:p>
    <w:p w14:paraId="0E1AB278" w14:textId="77777777" w:rsidR="005B5353" w:rsidRPr="00514C5E" w:rsidRDefault="005B5353" w:rsidP="005B5353">
      <w:pPr>
        <w:keepNext/>
        <w:spacing w:line="240" w:lineRule="auto"/>
        <w:rPr>
          <w:rFonts w:eastAsia="Times New Roman" w:cs="Times New Roman"/>
          <w:snapToGrid w:val="0"/>
          <w:spacing w:val="-2"/>
          <w:szCs w:val="18"/>
          <w:lang w:eastAsia="pt-BR"/>
        </w:rPr>
      </w:pPr>
      <w:r w:rsidRPr="00514C5E">
        <w:rPr>
          <w:rFonts w:eastAsia="Times New Roman" w:cs="Times New Roman"/>
          <w:snapToGrid w:val="0"/>
          <w:spacing w:val="-2"/>
          <w:szCs w:val="18"/>
          <w:lang w:eastAsia="pt-BR"/>
        </w:rPr>
        <w:t>Daniel Alves Maria</w:t>
      </w:r>
    </w:p>
    <w:p w14:paraId="313D5699" w14:textId="77777777" w:rsidR="005B5353" w:rsidRPr="00514C5E" w:rsidRDefault="005B5353" w:rsidP="005B5353">
      <w:pPr>
        <w:keepNext/>
        <w:spacing w:line="240" w:lineRule="auto"/>
        <w:rPr>
          <w:rFonts w:eastAsia="Times New Roman" w:cs="Times New Roman"/>
          <w:snapToGrid w:val="0"/>
          <w:spacing w:val="-2"/>
          <w:szCs w:val="18"/>
          <w:lang w:eastAsia="pt-BR"/>
        </w:rPr>
      </w:pPr>
      <w:r w:rsidRPr="00514C5E">
        <w:rPr>
          <w:rFonts w:eastAsia="Times New Roman" w:cs="Times New Roman"/>
          <w:snapToGrid w:val="0"/>
          <w:spacing w:val="-2"/>
          <w:szCs w:val="18"/>
          <w:lang w:eastAsia="pt-BR"/>
        </w:rPr>
        <w:t>Gilberto Lourenço da Aparecida</w:t>
      </w:r>
    </w:p>
    <w:p w14:paraId="192FFD7B" w14:textId="77777777" w:rsidR="005B5353" w:rsidRPr="00514C5E" w:rsidRDefault="005B5353" w:rsidP="005B5353">
      <w:pPr>
        <w:keepNext/>
        <w:spacing w:line="240" w:lineRule="auto"/>
        <w:rPr>
          <w:rFonts w:eastAsia="Times New Roman" w:cs="Times New Roman"/>
          <w:snapToGrid w:val="0"/>
          <w:spacing w:val="-2"/>
          <w:szCs w:val="18"/>
          <w:lang w:eastAsia="pt-BR"/>
        </w:rPr>
      </w:pPr>
      <w:r w:rsidRPr="00514C5E">
        <w:rPr>
          <w:rFonts w:eastAsia="Times New Roman" w:cs="Times New Roman"/>
          <w:snapToGrid w:val="0"/>
          <w:spacing w:val="-2"/>
          <w:szCs w:val="18"/>
          <w:lang w:eastAsia="pt-BR"/>
        </w:rPr>
        <w:t>Guilherme Santos Mello</w:t>
      </w:r>
    </w:p>
    <w:p w14:paraId="611C1F9D" w14:textId="77777777" w:rsidR="005B5353" w:rsidRPr="00514C5E" w:rsidRDefault="005B5353" w:rsidP="005B5353">
      <w:pPr>
        <w:keepNext/>
        <w:spacing w:line="240" w:lineRule="auto"/>
        <w:rPr>
          <w:rFonts w:eastAsia="Times New Roman" w:cs="Times New Roman"/>
          <w:snapToGrid w:val="0"/>
          <w:spacing w:val="-2"/>
          <w:szCs w:val="18"/>
          <w:lang w:eastAsia="pt-BR"/>
        </w:rPr>
      </w:pPr>
      <w:r w:rsidRPr="00514C5E">
        <w:rPr>
          <w:rFonts w:eastAsia="Times New Roman" w:cs="Times New Roman"/>
          <w:snapToGrid w:val="0"/>
          <w:spacing w:val="-2"/>
          <w:szCs w:val="18"/>
          <w:lang w:eastAsia="pt-BR"/>
        </w:rPr>
        <w:t>Marcos Rogério de Souza</w:t>
      </w:r>
    </w:p>
    <w:p w14:paraId="0EF5B244" w14:textId="77777777" w:rsidR="005B5353" w:rsidRPr="00514C5E" w:rsidRDefault="005B5353" w:rsidP="005B5353">
      <w:pPr>
        <w:keepNext/>
        <w:spacing w:line="240" w:lineRule="auto"/>
        <w:rPr>
          <w:rFonts w:eastAsia="Times New Roman" w:cs="Times New Roman"/>
          <w:snapToGrid w:val="0"/>
          <w:spacing w:val="-2"/>
          <w:szCs w:val="18"/>
          <w:lang w:eastAsia="pt-BR"/>
        </w:rPr>
      </w:pPr>
      <w:r w:rsidRPr="00514C5E">
        <w:rPr>
          <w:rFonts w:eastAsia="Times New Roman" w:cs="Times New Roman"/>
          <w:snapToGrid w:val="0"/>
          <w:spacing w:val="-2"/>
          <w:szCs w:val="18"/>
          <w:lang w:eastAsia="pt-BR"/>
        </w:rPr>
        <w:t>Maria Carolina Ferreira Lacerda</w:t>
      </w:r>
    </w:p>
    <w:p w14:paraId="02C48138" w14:textId="77777777" w:rsidR="005B5353" w:rsidRPr="00A61E45" w:rsidRDefault="005B5353" w:rsidP="005B5353">
      <w:pPr>
        <w:keepNext/>
        <w:spacing w:line="240" w:lineRule="auto"/>
        <w:rPr>
          <w:rFonts w:eastAsia="Times New Roman" w:cs="Times New Roman"/>
          <w:snapToGrid w:val="0"/>
          <w:spacing w:val="-2"/>
          <w:szCs w:val="18"/>
          <w:lang w:eastAsia="pt-BR"/>
        </w:rPr>
      </w:pPr>
      <w:r>
        <w:rPr>
          <w:rFonts w:eastAsia="Times New Roman" w:cs="Times New Roman"/>
          <w:snapToGrid w:val="0"/>
          <w:spacing w:val="-2"/>
          <w:szCs w:val="18"/>
          <w:lang w:eastAsia="pt-BR"/>
        </w:rPr>
        <w:t xml:space="preserve">Ullisses Christian Silva </w:t>
      </w:r>
      <w:r w:rsidRPr="00A61E45">
        <w:rPr>
          <w:rFonts w:eastAsia="Times New Roman" w:cs="Times New Roman"/>
          <w:snapToGrid w:val="0"/>
          <w:spacing w:val="-2"/>
          <w:szCs w:val="18"/>
          <w:lang w:eastAsia="pt-BR"/>
        </w:rPr>
        <w:t>Assis</w:t>
      </w:r>
    </w:p>
    <w:p w14:paraId="479E02C2" w14:textId="77777777" w:rsidR="005B5353" w:rsidRPr="00A96BA2" w:rsidRDefault="005B5353" w:rsidP="005B5353">
      <w:pPr>
        <w:keepNext/>
        <w:spacing w:line="240" w:lineRule="auto"/>
        <w:rPr>
          <w:rFonts w:eastAsia="Times New Roman" w:cs="Times New Roman"/>
          <w:snapToGrid w:val="0"/>
          <w:spacing w:val="-2"/>
          <w:szCs w:val="24"/>
          <w:lang w:eastAsia="pt-BR"/>
        </w:rPr>
      </w:pPr>
    </w:p>
    <w:p w14:paraId="13DC95E9" w14:textId="77777777" w:rsidR="005B5353" w:rsidRPr="00037403" w:rsidRDefault="005B5353" w:rsidP="005B5353">
      <w:pPr>
        <w:spacing w:line="240" w:lineRule="auto"/>
        <w:rPr>
          <w:rFonts w:eastAsia="Times New Roman" w:cs="Times New Roman"/>
          <w:b/>
          <w:color w:val="1F4E79" w:themeColor="accent1" w:themeShade="80"/>
          <w:spacing w:val="-2"/>
          <w:sz w:val="20"/>
          <w:szCs w:val="20"/>
          <w:lang w:eastAsia="pt-BR"/>
        </w:rPr>
      </w:pPr>
      <w:r w:rsidRPr="00037403">
        <w:rPr>
          <w:rFonts w:eastAsia="Times New Roman" w:cs="Times New Roman"/>
          <w:b/>
          <w:color w:val="1F4E79" w:themeColor="accent1" w:themeShade="80"/>
          <w:spacing w:val="-2"/>
          <w:sz w:val="20"/>
          <w:szCs w:val="20"/>
          <w:lang w:eastAsia="pt-BR"/>
        </w:rPr>
        <w:t>FISCAL COUNCIL</w:t>
      </w:r>
    </w:p>
    <w:p w14:paraId="106FD66D" w14:textId="77777777" w:rsidR="005B5353" w:rsidRDefault="005B5353" w:rsidP="005B5353">
      <w:pPr>
        <w:pStyle w:val="05-Textonormal"/>
        <w:keepNext/>
        <w:spacing w:before="0" w:after="200" w:line="240" w:lineRule="auto"/>
        <w:jc w:val="left"/>
        <w:rPr>
          <w:snapToGrid w:val="0"/>
        </w:rPr>
      </w:pPr>
      <w:r w:rsidRPr="00B02ABA">
        <w:rPr>
          <w:snapToGrid w:val="0"/>
        </w:rPr>
        <w:t>Lucin</w:t>
      </w:r>
      <w:r>
        <w:rPr>
          <w:snapToGrid w:val="0"/>
        </w:rPr>
        <w:t>é</w:t>
      </w:r>
      <w:r w:rsidRPr="00B02ABA">
        <w:rPr>
          <w:snapToGrid w:val="0"/>
        </w:rPr>
        <w:t>ia Possar</w:t>
      </w:r>
    </w:p>
    <w:p w14:paraId="2D81D1B7" w14:textId="77777777" w:rsidR="005B5353" w:rsidRPr="00A61E45" w:rsidRDefault="005B5353" w:rsidP="005B5353">
      <w:pPr>
        <w:keepNext/>
        <w:spacing w:line="240" w:lineRule="auto"/>
        <w:rPr>
          <w:rFonts w:eastAsia="Times New Roman" w:cs="Times New Roman"/>
          <w:snapToGrid w:val="0"/>
          <w:spacing w:val="-2"/>
          <w:szCs w:val="24"/>
          <w:lang w:eastAsia="pt-BR"/>
        </w:rPr>
      </w:pPr>
      <w:r w:rsidRPr="00A61E45">
        <w:rPr>
          <w:rFonts w:eastAsia="Times New Roman" w:cs="Times New Roman"/>
          <w:snapToGrid w:val="0"/>
          <w:spacing w:val="-2"/>
          <w:szCs w:val="24"/>
          <w:lang w:eastAsia="pt-BR"/>
        </w:rPr>
        <w:t>Adriano Pereira de Paula</w:t>
      </w:r>
    </w:p>
    <w:p w14:paraId="68572335" w14:textId="77777777" w:rsidR="005B5353" w:rsidRDefault="005B5353" w:rsidP="005B5353">
      <w:pPr>
        <w:pStyle w:val="05-Textonormal"/>
        <w:keepNext/>
        <w:spacing w:before="0" w:after="200" w:line="240" w:lineRule="auto"/>
        <w:jc w:val="left"/>
        <w:rPr>
          <w:snapToGrid w:val="0"/>
        </w:rPr>
      </w:pPr>
      <w:r w:rsidRPr="005F4624">
        <w:rPr>
          <w:snapToGrid w:val="0"/>
        </w:rPr>
        <w:t>Francisco Olinto Velo Schmitt</w:t>
      </w:r>
    </w:p>
    <w:p w14:paraId="71EE9E43" w14:textId="77777777" w:rsidR="005B5353" w:rsidRPr="00A96BA2" w:rsidRDefault="005B5353" w:rsidP="005B5353">
      <w:pPr>
        <w:keepNext/>
        <w:spacing w:line="240" w:lineRule="auto"/>
        <w:rPr>
          <w:rFonts w:eastAsia="Times New Roman" w:cs="Times New Roman"/>
          <w:snapToGrid w:val="0"/>
          <w:spacing w:val="-2"/>
          <w:szCs w:val="24"/>
          <w:lang w:eastAsia="pt-BR"/>
        </w:rPr>
      </w:pPr>
    </w:p>
    <w:p w14:paraId="6A3A73C3" w14:textId="77777777" w:rsidR="005B5353" w:rsidRPr="00037403" w:rsidRDefault="005B5353" w:rsidP="005B5353">
      <w:pPr>
        <w:spacing w:line="240" w:lineRule="auto"/>
        <w:rPr>
          <w:rFonts w:eastAsia="Times New Roman" w:cs="Times New Roman"/>
          <w:b/>
          <w:color w:val="1F4E79" w:themeColor="accent1" w:themeShade="80"/>
          <w:spacing w:val="-2"/>
          <w:sz w:val="20"/>
          <w:szCs w:val="20"/>
          <w:lang w:eastAsia="pt-BR"/>
        </w:rPr>
      </w:pPr>
      <w:r w:rsidRPr="00037403">
        <w:rPr>
          <w:rFonts w:eastAsia="Times New Roman" w:cs="Times New Roman"/>
          <w:b/>
          <w:color w:val="1F4E79" w:themeColor="accent1" w:themeShade="80"/>
          <w:spacing w:val="-2"/>
          <w:sz w:val="20"/>
          <w:szCs w:val="20"/>
          <w:lang w:eastAsia="pt-BR"/>
        </w:rPr>
        <w:t>AUDIT COMMITTEE</w:t>
      </w:r>
    </w:p>
    <w:p w14:paraId="5F77F0C1" w14:textId="77777777" w:rsidR="005B5353" w:rsidRPr="00037403" w:rsidRDefault="005B5353" w:rsidP="005B5353">
      <w:pPr>
        <w:pStyle w:val="05-Textonormal"/>
        <w:keepNext/>
        <w:spacing w:before="0" w:after="200" w:line="240" w:lineRule="auto"/>
        <w:jc w:val="left"/>
        <w:rPr>
          <w:snapToGrid w:val="0"/>
        </w:rPr>
      </w:pPr>
      <w:r w:rsidRPr="00037403">
        <w:rPr>
          <w:snapToGrid w:val="0"/>
        </w:rPr>
        <w:t>Luiz Claudio Moraes</w:t>
      </w:r>
    </w:p>
    <w:p w14:paraId="175C120E" w14:textId="77777777" w:rsidR="005B5353" w:rsidRPr="00037403" w:rsidRDefault="005B5353" w:rsidP="005B5353">
      <w:pPr>
        <w:pStyle w:val="05-Textonormal"/>
        <w:keepNext/>
        <w:spacing w:before="0" w:after="200" w:line="240" w:lineRule="auto"/>
        <w:jc w:val="left"/>
        <w:rPr>
          <w:snapToGrid w:val="0"/>
        </w:rPr>
      </w:pPr>
      <w:r w:rsidRPr="00037403">
        <w:rPr>
          <w:snapToGrid w:val="0"/>
        </w:rPr>
        <w:t>Artemio Bertholini</w:t>
      </w:r>
    </w:p>
    <w:p w14:paraId="422D52D1" w14:textId="77777777" w:rsidR="005B5353" w:rsidRPr="00037403" w:rsidRDefault="005B5353" w:rsidP="005B5353">
      <w:pPr>
        <w:pStyle w:val="05-Textonormal"/>
        <w:keepNext/>
        <w:spacing w:before="0" w:after="200" w:line="240" w:lineRule="auto"/>
        <w:jc w:val="left"/>
        <w:rPr>
          <w:snapToGrid w:val="0"/>
        </w:rPr>
      </w:pPr>
      <w:r w:rsidRPr="00037403">
        <w:rPr>
          <w:snapToGrid w:val="0"/>
        </w:rPr>
        <w:t>Gilberto Lourenço da Aparecida</w:t>
      </w:r>
    </w:p>
    <w:p w14:paraId="5FCEEA73" w14:textId="77777777" w:rsidR="005B5353" w:rsidRPr="00037403" w:rsidRDefault="005B5353" w:rsidP="005B5353">
      <w:pPr>
        <w:pStyle w:val="05-Textonormal"/>
        <w:keepNext/>
        <w:spacing w:before="0" w:after="200" w:line="240" w:lineRule="auto"/>
        <w:jc w:val="left"/>
        <w:rPr>
          <w:snapToGrid w:val="0"/>
        </w:rPr>
      </w:pPr>
      <w:r w:rsidRPr="00037403">
        <w:rPr>
          <w:snapToGrid w:val="0"/>
        </w:rPr>
        <w:t>Manoel Gimenes Ruy</w:t>
      </w:r>
    </w:p>
    <w:p w14:paraId="20052568" w14:textId="77777777" w:rsidR="005B5353" w:rsidRPr="00037403" w:rsidRDefault="005B5353" w:rsidP="005B5353">
      <w:pPr>
        <w:pStyle w:val="05-Textonormal"/>
        <w:keepNext/>
        <w:spacing w:before="0" w:after="200" w:line="240" w:lineRule="auto"/>
        <w:jc w:val="left"/>
        <w:rPr>
          <w:snapToGrid w:val="0"/>
        </w:rPr>
      </w:pPr>
      <w:r w:rsidRPr="00037403">
        <w:rPr>
          <w:snapToGrid w:val="0"/>
        </w:rPr>
        <w:t>Roberto Lamb</w:t>
      </w:r>
    </w:p>
    <w:p w14:paraId="0078C247" w14:textId="77777777" w:rsidR="005B5353" w:rsidRPr="00A96BA2" w:rsidRDefault="005B5353" w:rsidP="005B5353">
      <w:pPr>
        <w:keepNext/>
        <w:spacing w:line="240" w:lineRule="auto"/>
        <w:rPr>
          <w:rFonts w:eastAsia="Times New Roman" w:cs="Times New Roman"/>
          <w:snapToGrid w:val="0"/>
          <w:spacing w:val="-2"/>
          <w:szCs w:val="18"/>
          <w:lang w:eastAsia="pt-BR"/>
        </w:rPr>
      </w:pPr>
    </w:p>
    <w:p w14:paraId="33C1D9D0" w14:textId="77777777" w:rsidR="005B5353" w:rsidRPr="00037403" w:rsidRDefault="005B5353" w:rsidP="005B5353">
      <w:pPr>
        <w:spacing w:line="240" w:lineRule="auto"/>
        <w:rPr>
          <w:rFonts w:eastAsia="Times New Roman" w:cs="Times New Roman"/>
          <w:b/>
          <w:color w:val="1F4E79" w:themeColor="accent1" w:themeShade="80"/>
          <w:spacing w:val="-2"/>
          <w:sz w:val="20"/>
          <w:szCs w:val="20"/>
          <w:lang w:eastAsia="pt-BR"/>
        </w:rPr>
      </w:pPr>
      <w:r w:rsidRPr="00037403">
        <w:rPr>
          <w:rFonts w:eastAsia="Times New Roman" w:cs="Times New Roman"/>
          <w:b/>
          <w:color w:val="1F4E79" w:themeColor="accent1" w:themeShade="80"/>
          <w:spacing w:val="-2"/>
          <w:sz w:val="20"/>
          <w:szCs w:val="20"/>
          <w:lang w:eastAsia="pt-BR"/>
        </w:rPr>
        <w:t>ACCOUNTANT</w:t>
      </w:r>
    </w:p>
    <w:p w14:paraId="2ECDC6FF" w14:textId="77777777" w:rsidR="005B5353" w:rsidRPr="00056907" w:rsidRDefault="005B5353" w:rsidP="005B5353">
      <w:pPr>
        <w:pStyle w:val="05-Textonormal"/>
        <w:keepNext/>
        <w:spacing w:before="0" w:after="200" w:line="240" w:lineRule="auto"/>
        <w:jc w:val="left"/>
        <w:rPr>
          <w:snapToGrid w:val="0"/>
        </w:rPr>
      </w:pPr>
      <w:r w:rsidRPr="00056907">
        <w:rPr>
          <w:snapToGrid w:val="0"/>
        </w:rPr>
        <w:t>Pedro Kiefer Braga</w:t>
      </w:r>
    </w:p>
    <w:p w14:paraId="27580017" w14:textId="77777777" w:rsidR="005B5353" w:rsidRPr="00056907" w:rsidRDefault="005B5353" w:rsidP="005B5353">
      <w:pPr>
        <w:pStyle w:val="05-Textonormal"/>
        <w:keepNext/>
        <w:spacing w:before="0" w:after="200" w:line="240" w:lineRule="auto"/>
        <w:jc w:val="left"/>
        <w:rPr>
          <w:snapToGrid w:val="0"/>
        </w:rPr>
      </w:pPr>
      <w:r w:rsidRPr="00056907">
        <w:rPr>
          <w:snapToGrid w:val="0"/>
        </w:rPr>
        <w:t>CRC-DF 020.786/O-0</w:t>
      </w:r>
    </w:p>
    <w:p w14:paraId="76082D35" w14:textId="77777777" w:rsidR="005B5353" w:rsidRPr="00B47B5C" w:rsidRDefault="005B5353" w:rsidP="005B5353">
      <w:pPr>
        <w:pStyle w:val="05-Textonormal"/>
        <w:keepNext/>
        <w:spacing w:before="0" w:after="200" w:line="240" w:lineRule="auto"/>
        <w:jc w:val="left"/>
      </w:pPr>
      <w:r w:rsidRPr="00056907">
        <w:rPr>
          <w:snapToGrid w:val="0"/>
        </w:rPr>
        <w:t>CPF 027.782.029-43</w:t>
      </w:r>
    </w:p>
    <w:p w14:paraId="426CC773" w14:textId="45AF6258" w:rsidR="0023652C" w:rsidRPr="00433C02" w:rsidRDefault="0023652C" w:rsidP="00433C02">
      <w:pPr>
        <w:keepNext/>
        <w:spacing w:line="240" w:lineRule="auto"/>
        <w:rPr>
          <w:rFonts w:eastAsia="Times New Roman" w:cs="Times New Roman"/>
          <w:snapToGrid w:val="0"/>
          <w:spacing w:val="-2"/>
          <w:szCs w:val="18"/>
          <w:lang w:eastAsia="pt-BR"/>
        </w:rPr>
      </w:pPr>
    </w:p>
    <w:sectPr w:rsidR="0023652C" w:rsidRPr="00433C02" w:rsidSect="00607BBF">
      <w:headerReference w:type="even" r:id="rId57"/>
      <w:headerReference w:type="default" r:id="rId58"/>
      <w:footerReference w:type="even" r:id="rId59"/>
      <w:footerReference w:type="default" r:id="rId60"/>
      <w:headerReference w:type="first" r:id="rId61"/>
      <w:footerReference w:type="first" r:id="rId62"/>
      <w:type w:val="continuous"/>
      <w:pgSz w:w="11906" w:h="16838" w:code="9"/>
      <w:pgMar w:top="1134" w:right="1134" w:bottom="851" w:left="1134" w:header="851"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0D8441" w14:textId="77777777" w:rsidR="009A3167" w:rsidRDefault="009A3167" w:rsidP="001170F1">
      <w:pPr>
        <w:spacing w:after="0" w:line="240" w:lineRule="auto"/>
      </w:pPr>
      <w:r>
        <w:separator/>
      </w:r>
    </w:p>
  </w:endnote>
  <w:endnote w:type="continuationSeparator" w:id="0">
    <w:p w14:paraId="2EE9981F" w14:textId="77777777" w:rsidR="009A3167" w:rsidRDefault="009A3167" w:rsidP="001170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1)">
    <w:altName w:val="Arial"/>
    <w:charset w:val="00"/>
    <w:family w:val="swiss"/>
    <w:pitch w:val="variable"/>
    <w:sig w:usb0="00000000" w:usb1="80000000" w:usb2="00000008" w:usb3="00000000" w:csb0="000000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Univers">
    <w:altName w:val="Arial"/>
    <w:charset w:val="00"/>
    <w:family w:val="swiss"/>
    <w:pitch w:val="variable"/>
    <w:sig w:usb0="80000287" w:usb1="00000000" w:usb2="00000000" w:usb3="00000000" w:csb0="0000000F" w:csb1="00000000"/>
  </w:font>
  <w:font w:name="BancoDoBrasil Textos Light">
    <w:panose1 w:val="00000400000000000000"/>
    <w:charset w:val="00"/>
    <w:family w:val="auto"/>
    <w:pitch w:val="variable"/>
    <w:sig w:usb0="00000003" w:usb1="00000001" w:usb2="00000000" w:usb3="00000000" w:csb0="00000001" w:csb1="00000000"/>
  </w:font>
  <w:font w:name="Helvetica">
    <w:panose1 w:val="020B0604020202020204"/>
    <w:charset w:val="00"/>
    <w:family w:val="swiss"/>
    <w:pitch w:val="variable"/>
    <w:sig w:usb0="E0002EFF" w:usb1="C0007843"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CIDFont+F3">
    <w:altName w:val="Calibri"/>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BED760" w14:textId="77777777" w:rsidR="009A3167" w:rsidRDefault="009A3167">
    <w:pPr>
      <w:pStyle w:val="Rodap"/>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3E7817" w14:textId="77777777" w:rsidR="009A3167" w:rsidRDefault="009A3167">
    <w:pPr>
      <w:pStyle w:val="Rodap"/>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5819438"/>
      <w:docPartObj>
        <w:docPartGallery w:val="Page Numbers (Bottom of Page)"/>
        <w:docPartUnique/>
      </w:docPartObj>
    </w:sdtPr>
    <w:sdtEndPr/>
    <w:sdtContent>
      <w:p w14:paraId="4C8CDB0E" w14:textId="68CCC9C8" w:rsidR="009A3167" w:rsidRDefault="009A3167">
        <w:pPr>
          <w:pStyle w:val="Rodap"/>
          <w:jc w:val="right"/>
        </w:pPr>
        <w:r>
          <w:fldChar w:fldCharType="begin"/>
        </w:r>
        <w:r>
          <w:instrText>PAGE   \* MERGEFORMAT</w:instrText>
        </w:r>
        <w:r>
          <w:fldChar w:fldCharType="separate"/>
        </w:r>
        <w:r w:rsidR="001D5662">
          <w:rPr>
            <w:noProof/>
          </w:rPr>
          <w:t>28</w:t>
        </w:r>
        <w:r>
          <w:fldChar w:fldCharType="end"/>
        </w:r>
      </w:p>
    </w:sdtContent>
  </w:sdt>
  <w:p w14:paraId="15BB8D10" w14:textId="77777777" w:rsidR="009A3167" w:rsidRDefault="009A3167">
    <w:pPr>
      <w:pStyle w:val="Rodap"/>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5265472"/>
      <w:docPartObj>
        <w:docPartGallery w:val="Page Numbers (Bottom of Page)"/>
        <w:docPartUnique/>
      </w:docPartObj>
    </w:sdtPr>
    <w:sdtEndPr/>
    <w:sdtContent>
      <w:p w14:paraId="761111F4" w14:textId="77777777" w:rsidR="009A3167" w:rsidRDefault="009A3167">
        <w:pPr>
          <w:pStyle w:val="Rodap"/>
          <w:jc w:val="right"/>
        </w:pPr>
        <w:r w:rsidRPr="005D303B">
          <w:rPr>
            <w:rFonts w:cs="Arial"/>
            <w:b/>
            <w:noProof/>
            <w:color w:val="1F4E79" w:themeColor="accent1" w:themeShade="80"/>
            <w:szCs w:val="18"/>
            <w:lang w:eastAsia="pt-BR"/>
          </w:rPr>
          <mc:AlternateContent>
            <mc:Choice Requires="wps">
              <w:drawing>
                <wp:anchor distT="0" distB="0" distL="114300" distR="114300" simplePos="0" relativeHeight="251641856" behindDoc="0" locked="0" layoutInCell="1" allowOverlap="1" wp14:anchorId="7E52330C" wp14:editId="296BDE0F">
                  <wp:simplePos x="0" y="0"/>
                  <wp:positionH relativeFrom="page">
                    <wp:align>left</wp:align>
                  </wp:positionH>
                  <wp:positionV relativeFrom="paragraph">
                    <wp:posOffset>2067</wp:posOffset>
                  </wp:positionV>
                  <wp:extent cx="5603132" cy="45719"/>
                  <wp:effectExtent l="0" t="0" r="0" b="0"/>
                  <wp:wrapNone/>
                  <wp:docPr id="33" name="Retângulo 14"/>
                  <wp:cNvGraphicFramePr/>
                  <a:graphic xmlns:a="http://schemas.openxmlformats.org/drawingml/2006/main">
                    <a:graphicData uri="http://schemas.microsoft.com/office/word/2010/wordprocessingShape">
                      <wps:wsp>
                        <wps:cNvSpPr/>
                        <wps:spPr>
                          <a:xfrm flipV="1">
                            <a:off x="0" y="0"/>
                            <a:ext cx="5603132" cy="45719"/>
                          </a:xfrm>
                          <a:prstGeom prst="rect">
                            <a:avLst/>
                          </a:prstGeom>
                          <a:solidFill>
                            <a:srgbClr val="F9DD16"/>
                          </a:solidFill>
                          <a:ln>
                            <a:noFill/>
                          </a:ln>
                        </wps:spPr>
                        <wps:style>
                          <a:lnRef idx="2">
                            <a:schemeClr val="accent6">
                              <a:shade val="50000"/>
                            </a:schemeClr>
                          </a:lnRef>
                          <a:fillRef idx="1">
                            <a:schemeClr val="accent6"/>
                          </a:fillRef>
                          <a:effectRef idx="0">
                            <a:schemeClr val="accent6"/>
                          </a:effectRef>
                          <a:fontRef idx="minor">
                            <a:schemeClr val="lt1"/>
                          </a:fontRef>
                        </wps:style>
                        <wps:bodyPr anchor="ctr"/>
                      </wps:wsp>
                    </a:graphicData>
                  </a:graphic>
                  <wp14:sizeRelH relativeFrom="margin">
                    <wp14:pctWidth>0</wp14:pctWidth>
                  </wp14:sizeRelH>
                  <wp14:sizeRelV relativeFrom="margin">
                    <wp14:pctHeight>0</wp14:pctHeight>
                  </wp14:sizeRelV>
                </wp:anchor>
              </w:drawing>
            </mc:Choice>
            <mc:Fallback>
              <w:pict>
                <v:rect w14:anchorId="5A6C81B9" id="Retângulo 14" o:spid="_x0000_s1026" style="position:absolute;margin-left:0;margin-top:.15pt;width:441.2pt;height:3.6pt;flip:y;z-index:25164185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" fillcolor="#f9dd16" stroked="f" strokeweight="1pt">
                  <w10:wrap anchorx="page"/>
                </v:rect>
              </w:pict>
            </mc:Fallback>
          </mc:AlternateContent>
        </w:r>
        <w:r>
          <w:fldChar w:fldCharType="begin"/>
        </w:r>
        <w:r>
          <w:instrText>PAGE   \* MERGEFORMAT</w:instrText>
        </w:r>
        <w:r>
          <w:fldChar w:fldCharType="separate"/>
        </w:r>
        <w:r>
          <w:rPr>
            <w:noProof/>
          </w:rPr>
          <w:t>1</w:t>
        </w:r>
        <w:r>
          <w:fldChar w:fldCharType="end"/>
        </w:r>
      </w:p>
    </w:sdtContent>
  </w:sdt>
  <w:p w14:paraId="07EAC4BD" w14:textId="77777777" w:rsidR="009A3167" w:rsidRDefault="009A3167">
    <w:pPr>
      <w:pStyle w:val="Rodap"/>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0933CE" w14:textId="77777777" w:rsidR="009A3167" w:rsidRDefault="009A3167">
    <w:pPr>
      <w:pStyle w:val="Rodap"/>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7220925"/>
      <w:docPartObj>
        <w:docPartGallery w:val="Page Numbers (Bottom of Page)"/>
        <w:docPartUnique/>
      </w:docPartObj>
    </w:sdtPr>
    <w:sdtEndPr/>
    <w:sdtContent>
      <w:p w14:paraId="5DD30122" w14:textId="7A7D5BE7" w:rsidR="009A3167" w:rsidRDefault="009A3167">
        <w:pPr>
          <w:pStyle w:val="Rodap"/>
          <w:jc w:val="right"/>
        </w:pPr>
        <w:r>
          <w:fldChar w:fldCharType="begin"/>
        </w:r>
        <w:r>
          <w:instrText>PAGE   \* MERGEFORMAT</w:instrText>
        </w:r>
        <w:r>
          <w:fldChar w:fldCharType="separate"/>
        </w:r>
        <w:r w:rsidR="001D5662">
          <w:rPr>
            <w:noProof/>
          </w:rPr>
          <w:t>32</w:t>
        </w:r>
        <w:r>
          <w:fldChar w:fldCharType="end"/>
        </w:r>
      </w:p>
    </w:sdtContent>
  </w:sdt>
  <w:p w14:paraId="02DF6BE4" w14:textId="77777777" w:rsidR="009A3167" w:rsidRDefault="009A3167">
    <w:pPr>
      <w:pStyle w:val="Rodap"/>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7454158"/>
      <w:docPartObj>
        <w:docPartGallery w:val="Page Numbers (Bottom of Page)"/>
        <w:docPartUnique/>
      </w:docPartObj>
    </w:sdtPr>
    <w:sdtEndPr/>
    <w:sdtContent>
      <w:p w14:paraId="56355B79" w14:textId="77777777" w:rsidR="009A3167" w:rsidRDefault="009A3167">
        <w:pPr>
          <w:pStyle w:val="Rodap"/>
          <w:jc w:val="right"/>
        </w:pPr>
        <w:r w:rsidRPr="005D303B">
          <w:rPr>
            <w:rFonts w:cs="Arial"/>
            <w:b/>
            <w:noProof/>
            <w:color w:val="1F4E79" w:themeColor="accent1" w:themeShade="80"/>
            <w:szCs w:val="18"/>
            <w:lang w:eastAsia="pt-BR"/>
          </w:rPr>
          <mc:AlternateContent>
            <mc:Choice Requires="wps">
              <w:drawing>
                <wp:anchor distT="0" distB="0" distL="114300" distR="114300" simplePos="0" relativeHeight="251662336" behindDoc="0" locked="0" layoutInCell="1" allowOverlap="1" wp14:anchorId="586874BC" wp14:editId="4631C1A8">
                  <wp:simplePos x="0" y="0"/>
                  <wp:positionH relativeFrom="page">
                    <wp:align>left</wp:align>
                  </wp:positionH>
                  <wp:positionV relativeFrom="paragraph">
                    <wp:posOffset>2067</wp:posOffset>
                  </wp:positionV>
                  <wp:extent cx="5603132" cy="45719"/>
                  <wp:effectExtent l="0" t="0" r="0" b="0"/>
                  <wp:wrapNone/>
                  <wp:docPr id="40" name="Retângulo 14"/>
                  <wp:cNvGraphicFramePr/>
                  <a:graphic xmlns:a="http://schemas.openxmlformats.org/drawingml/2006/main">
                    <a:graphicData uri="http://schemas.microsoft.com/office/word/2010/wordprocessingShape">
                      <wps:wsp>
                        <wps:cNvSpPr/>
                        <wps:spPr>
                          <a:xfrm flipV="1">
                            <a:off x="0" y="0"/>
                            <a:ext cx="5603132" cy="45719"/>
                          </a:xfrm>
                          <a:prstGeom prst="rect">
                            <a:avLst/>
                          </a:prstGeom>
                          <a:solidFill>
                            <a:srgbClr val="F9DD16"/>
                          </a:solidFill>
                          <a:ln>
                            <a:noFill/>
                          </a:ln>
                        </wps:spPr>
                        <wps:style>
                          <a:lnRef idx="2">
                            <a:schemeClr val="accent6">
                              <a:shade val="50000"/>
                            </a:schemeClr>
                          </a:lnRef>
                          <a:fillRef idx="1">
                            <a:schemeClr val="accent6"/>
                          </a:fillRef>
                          <a:effectRef idx="0">
                            <a:schemeClr val="accent6"/>
                          </a:effectRef>
                          <a:fontRef idx="minor">
                            <a:schemeClr val="lt1"/>
                          </a:fontRef>
                        </wps:style>
                        <wps:bodyPr anchor="ctr"/>
                      </wps:wsp>
                    </a:graphicData>
                  </a:graphic>
                  <wp14:sizeRelH relativeFrom="margin">
                    <wp14:pctWidth>0</wp14:pctWidth>
                  </wp14:sizeRelH>
                  <wp14:sizeRelV relativeFrom="margin">
                    <wp14:pctHeight>0</wp14:pctHeight>
                  </wp14:sizeRelV>
                </wp:anchor>
              </w:drawing>
            </mc:Choice>
            <mc:Fallback>
              <w:pict>
                <v:rect w14:anchorId="6899DF50" id="Retângulo 14" o:spid="_x0000_s1026" style="position:absolute;margin-left:0;margin-top:.15pt;width:441.2pt;height:3.6pt;flip:y;z-index:25166233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" fillcolor="#f9dd16" stroked="f" strokeweight="1pt">
                  <w10:wrap anchorx="page"/>
                </v:rect>
              </w:pict>
            </mc:Fallback>
          </mc:AlternateContent>
        </w:r>
        <w:r>
          <w:fldChar w:fldCharType="begin"/>
        </w:r>
        <w:r>
          <w:instrText>PAGE   \* MERGEFORMAT</w:instrText>
        </w:r>
        <w:r>
          <w:fldChar w:fldCharType="separate"/>
        </w:r>
        <w:r>
          <w:rPr>
            <w:noProof/>
          </w:rPr>
          <w:t>1</w:t>
        </w:r>
        <w:r>
          <w:fldChar w:fldCharType="end"/>
        </w:r>
      </w:p>
    </w:sdtContent>
  </w:sdt>
  <w:p w14:paraId="580316B5" w14:textId="77777777" w:rsidR="009A3167" w:rsidRDefault="009A3167">
    <w:pPr>
      <w:pStyle w:val="Rodap"/>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FABA82" w14:textId="77777777" w:rsidR="009A3167" w:rsidRPr="00EB496F" w:rsidRDefault="009A3167" w:rsidP="009A3167">
    <w:pPr>
      <w:pStyle w:val="Rodap"/>
      <w:widowControl w:val="0"/>
      <w:tabs>
        <w:tab w:val="right" w:pos="9638"/>
      </w:tabs>
      <w:rPr>
        <w:rFonts w:ascii="Calibri" w:hAnsi="Calibri" w:cs="Calibri"/>
      </w:rPr>
    </w:pPr>
    <w:r w:rsidRPr="00EB496F">
      <w:rPr>
        <w:rFonts w:ascii="Calibri" w:hAnsi="Calibri" w:cs="Calibri"/>
      </w:rPr>
      <w:t>© 2021. For information, contact Deloitte Touche Tohmatsu Limited.</w:t>
    </w:r>
    <w:r>
      <w:rPr>
        <w:rFonts w:ascii="Calibri" w:hAnsi="Calibri" w:cs="Calibri"/>
      </w:rPr>
      <w:tab/>
    </w:r>
    <w:r w:rsidRPr="00EB496F">
      <w:rPr>
        <w:rFonts w:ascii="Calibri" w:hAnsi="Calibri" w:cs="Calibri"/>
        <w:sz w:val="20"/>
      </w:rPr>
      <w:fldChar w:fldCharType="begin"/>
    </w:r>
    <w:r w:rsidRPr="00EB496F">
      <w:rPr>
        <w:rFonts w:ascii="Calibri" w:hAnsi="Calibri" w:cs="Calibri"/>
        <w:sz w:val="20"/>
      </w:rPr>
      <w:instrText xml:space="preserve"> PAGE  \* Arabic  \* MERGEFORMAT </w:instrText>
    </w:r>
    <w:r w:rsidRPr="00EB496F">
      <w:rPr>
        <w:rFonts w:ascii="Calibri" w:hAnsi="Calibri" w:cs="Calibri"/>
        <w:sz w:val="20"/>
      </w:rPr>
      <w:fldChar w:fldCharType="separate"/>
    </w:r>
    <w:r w:rsidRPr="00EB496F">
      <w:rPr>
        <w:rFonts w:ascii="Calibri" w:hAnsi="Calibri" w:cs="Calibri"/>
        <w:noProof/>
        <w:sz w:val="20"/>
      </w:rPr>
      <w:t>2</w:t>
    </w:r>
    <w:r w:rsidRPr="00EB496F">
      <w:rPr>
        <w:rFonts w:ascii="Calibri" w:hAnsi="Calibri" w:cs="Calibri"/>
        <w:sz w:val="20"/>
      </w:rP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A92ABC" w14:textId="0BB4A590" w:rsidR="009A3167" w:rsidRDefault="009B6E21" w:rsidP="009B6E21">
    <w:pPr>
      <w:pStyle w:val="Rodap"/>
      <w:tabs>
        <w:tab w:val="clear" w:pos="4252"/>
        <w:tab w:val="clear" w:pos="8504"/>
        <w:tab w:val="left" w:pos="4140"/>
      </w:tabs>
    </w:pPr>
    <w:r>
      <w:tab/>
    </w: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EB66F3" w14:textId="77777777" w:rsidR="009A3167" w:rsidRDefault="009A3167">
    <w:pPr>
      <w:pStyle w:val="Rodap"/>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58AE4" w14:textId="77777777" w:rsidR="009B6E21" w:rsidRPr="00AE2A07" w:rsidRDefault="009B6E21" w:rsidP="009B6E21">
    <w:pPr>
      <w:framePr w:hSpace="181" w:wrap="around" w:vAnchor="page" w:hAnchor="text" w:y="14998"/>
      <w:tabs>
        <w:tab w:val="right" w:pos="7371"/>
      </w:tabs>
      <w:spacing w:line="130" w:lineRule="exact"/>
      <w:suppressOverlap/>
      <w:rPr>
        <w:rFonts w:eastAsia="Verdana" w:cstheme="minorHAnsi"/>
        <w:sz w:val="12"/>
        <w:szCs w:val="12"/>
      </w:rPr>
    </w:pPr>
    <w:r w:rsidRPr="00AE2A07">
      <w:rPr>
        <w:rFonts w:eastAsia="Verdana" w:cstheme="minorHAnsi"/>
        <w:sz w:val="12"/>
        <w:szCs w:val="12"/>
      </w:rPr>
      <w:t>Deloitte refers to one or more of Deloitte Touche Tohmatsu Limited, a UK private company limited by guarantee ("DTTL"), its network of member firms, and their related entities. DTTL and each of its member firms are legally separate and independent entities. DTTL (also referred to as "Deloitte Global") does not provide services to clients. Please see www.deloitte.com/about for a more detailed description of DTTL and its member firms.</w:t>
    </w:r>
  </w:p>
  <w:p w14:paraId="745E4589" w14:textId="77777777" w:rsidR="009B6E21" w:rsidRPr="00AE2A07" w:rsidRDefault="009B6E21" w:rsidP="009B6E21">
    <w:pPr>
      <w:framePr w:hSpace="181" w:wrap="around" w:vAnchor="page" w:hAnchor="text" w:y="14998"/>
      <w:tabs>
        <w:tab w:val="right" w:pos="7371"/>
      </w:tabs>
      <w:spacing w:line="130" w:lineRule="exact"/>
      <w:suppressOverlap/>
      <w:rPr>
        <w:rFonts w:eastAsia="Verdana" w:cstheme="minorHAnsi"/>
        <w:sz w:val="12"/>
        <w:szCs w:val="12"/>
      </w:rPr>
    </w:pPr>
  </w:p>
  <w:p w14:paraId="5F9E8A96" w14:textId="77777777" w:rsidR="009B6E21" w:rsidRPr="00AE2A07" w:rsidRDefault="009B6E21" w:rsidP="009B6E21">
    <w:pPr>
      <w:framePr w:hSpace="181" w:wrap="around" w:vAnchor="page" w:hAnchor="text" w:y="14998"/>
      <w:tabs>
        <w:tab w:val="right" w:pos="7371"/>
      </w:tabs>
      <w:spacing w:line="130" w:lineRule="exact"/>
      <w:suppressOverlap/>
      <w:rPr>
        <w:rFonts w:eastAsia="Verdana" w:cstheme="minorHAnsi"/>
        <w:sz w:val="12"/>
        <w:szCs w:val="12"/>
      </w:rPr>
    </w:pPr>
    <w:r w:rsidRPr="00AE2A07">
      <w:rPr>
        <w:rFonts w:eastAsia="Verdana" w:cstheme="minorHAnsi"/>
        <w:sz w:val="12"/>
        <w:szCs w:val="12"/>
      </w:rPr>
      <w:t>Deloitte provides audit, consulting, financial advisory, risk management, tax and relates services to public and private clients spanning multiple industries. Deloitte serves four out of five Fortune Global 500® companies through a globally connected network of member firms in more than 150 countries bringing world-class capabilities, insights, and high-quality service to address clients’ most complex business challenges. To learn more about how Deloitte’s approximately 286,200 professionals make an impact that matters, please connect with us on Facebook, LinkedIn or Twitter.</w:t>
    </w:r>
  </w:p>
  <w:p w14:paraId="60377308" w14:textId="77777777" w:rsidR="009B6E21" w:rsidRPr="00AE2A07" w:rsidRDefault="009B6E21" w:rsidP="009B6E21">
    <w:pPr>
      <w:framePr w:hSpace="181" w:wrap="around" w:vAnchor="page" w:hAnchor="text" w:y="14998"/>
      <w:tabs>
        <w:tab w:val="right" w:pos="7371"/>
      </w:tabs>
      <w:spacing w:line="130" w:lineRule="exact"/>
      <w:suppressOverlap/>
      <w:rPr>
        <w:rFonts w:eastAsia="Verdana" w:cstheme="minorHAnsi"/>
        <w:sz w:val="12"/>
        <w:szCs w:val="12"/>
      </w:rPr>
    </w:pPr>
  </w:p>
  <w:p w14:paraId="081F35D8" w14:textId="4A44F23E" w:rsidR="009B6E21" w:rsidRDefault="009B6E21" w:rsidP="009B6E21">
    <w:pPr>
      <w:pStyle w:val="Rodap"/>
      <w:tabs>
        <w:tab w:val="clear" w:pos="4252"/>
        <w:tab w:val="clear" w:pos="8504"/>
        <w:tab w:val="left" w:pos="4140"/>
      </w:tabs>
    </w:pPr>
    <w:r w:rsidRPr="00AE2A07">
      <w:rPr>
        <w:rFonts w:eastAsia="Verdana" w:cstheme="minorHAnsi"/>
        <w:sz w:val="12"/>
        <w:szCs w:val="12"/>
      </w:rPr>
      <w:t xml:space="preserve">© </w:t>
    </w:r>
    <w:r>
      <w:rPr>
        <w:rFonts w:cstheme="minorHAnsi"/>
        <w:sz w:val="12"/>
        <w:szCs w:val="12"/>
      </w:rPr>
      <w:t>2023</w:t>
    </w:r>
    <w:r w:rsidRPr="00AE2A07">
      <w:rPr>
        <w:rFonts w:cstheme="minorHAnsi"/>
        <w:sz w:val="12"/>
        <w:szCs w:val="12"/>
      </w:rPr>
      <w:t>.</w:t>
    </w:r>
    <w:r w:rsidRPr="00AE2A07">
      <w:rPr>
        <w:rFonts w:eastAsia="Verdana" w:cstheme="minorHAnsi"/>
        <w:sz w:val="12"/>
        <w:szCs w:val="12"/>
      </w:rPr>
      <w:t xml:space="preserve"> </w:t>
    </w:r>
    <w:r w:rsidRPr="00AE2A07">
      <w:rPr>
        <w:rFonts w:cstheme="minorHAnsi"/>
        <w:sz w:val="12"/>
        <w:szCs w:val="12"/>
      </w:rPr>
      <w:t>For information, contact Deloitte Touche Tohmatsu Limited.</w:t>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5346FD" w14:textId="77777777" w:rsidR="009A3167" w:rsidRDefault="009A3167">
    <w:pPr>
      <w:pStyle w:val="Rodap"/>
    </w:pP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8ADE76" w14:textId="49F7337E" w:rsidR="0017540B" w:rsidRPr="003A66CB" w:rsidRDefault="0017540B" w:rsidP="0017540B">
    <w:pPr>
      <w:pStyle w:val="Rodap"/>
      <w:widowControl w:val="0"/>
      <w:tabs>
        <w:tab w:val="right" w:pos="9638"/>
      </w:tabs>
      <w:rPr>
        <w:rFonts w:ascii="Calibri" w:hAnsi="Calibri" w:cs="Calibri"/>
      </w:rPr>
    </w:pPr>
    <w:r w:rsidRPr="003A66CB">
      <w:rPr>
        <w:rFonts w:ascii="Calibri" w:hAnsi="Calibri" w:cs="Calibri"/>
      </w:rPr>
      <w:t>© 202</w:t>
    </w:r>
    <w:r>
      <w:rPr>
        <w:rFonts w:ascii="Calibri" w:hAnsi="Calibri" w:cs="Calibri"/>
      </w:rPr>
      <w:t>3</w:t>
    </w:r>
    <w:r w:rsidRPr="003A66CB">
      <w:rPr>
        <w:rFonts w:ascii="Calibri" w:hAnsi="Calibri" w:cs="Calibri"/>
      </w:rPr>
      <w:t>. For information, contact Deloitte Touche Tohmatsu Limited.</w:t>
    </w:r>
    <w:r>
      <w:rPr>
        <w:rFonts w:ascii="Calibri" w:hAnsi="Calibri" w:cs="Calibri"/>
      </w:rPr>
      <w:tab/>
      <w:t>2</w:t>
    </w:r>
  </w:p>
  <w:p w14:paraId="14918CB5" w14:textId="04464F3B" w:rsidR="009B6E21" w:rsidRPr="0017540B" w:rsidRDefault="009B6E21" w:rsidP="0017540B">
    <w:pPr>
      <w:pStyle w:val="Rodap"/>
    </w:pP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6A3CD5" w14:textId="77777777" w:rsidR="009A3167" w:rsidRDefault="009A3167">
    <w:pPr>
      <w:pStyle w:val="Rodap"/>
    </w:pP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E20A54" w14:textId="77777777" w:rsidR="009A3167" w:rsidRDefault="009A3167">
    <w:pPr>
      <w:pStyle w:val="Rodap"/>
    </w:pP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8421558"/>
      <w:docPartObj>
        <w:docPartGallery w:val="Page Numbers (Bottom of Page)"/>
        <w:docPartUnique/>
      </w:docPartObj>
    </w:sdtPr>
    <w:sdtEndPr/>
    <w:sdtContent>
      <w:p w14:paraId="3FFCB2B2" w14:textId="77777777" w:rsidR="009A3167" w:rsidRDefault="009A3167">
        <w:pPr>
          <w:pStyle w:val="Rodap"/>
          <w:jc w:val="right"/>
        </w:pPr>
        <w:r w:rsidRPr="005D303B">
          <w:rPr>
            <w:rFonts w:cs="Arial"/>
            <w:b/>
            <w:noProof/>
            <w:color w:val="1F4E79" w:themeColor="accent1" w:themeShade="80"/>
            <w:szCs w:val="18"/>
            <w:lang w:eastAsia="pt-BR"/>
          </w:rPr>
          <mc:AlternateContent>
            <mc:Choice Requires="wps">
              <w:drawing>
                <wp:anchor distT="0" distB="0" distL="114300" distR="114300" simplePos="0" relativeHeight="251652096" behindDoc="0" locked="0" layoutInCell="1" allowOverlap="1" wp14:anchorId="294F988D" wp14:editId="68E2FA7C">
                  <wp:simplePos x="0" y="0"/>
                  <wp:positionH relativeFrom="page">
                    <wp:align>left</wp:align>
                  </wp:positionH>
                  <wp:positionV relativeFrom="paragraph">
                    <wp:posOffset>2067</wp:posOffset>
                  </wp:positionV>
                  <wp:extent cx="5603132" cy="45719"/>
                  <wp:effectExtent l="0" t="0" r="0" b="0"/>
                  <wp:wrapNone/>
                  <wp:docPr id="29" name="Retângulo 14"/>
                  <wp:cNvGraphicFramePr/>
                  <a:graphic xmlns:a="http://schemas.openxmlformats.org/drawingml/2006/main">
                    <a:graphicData uri="http://schemas.microsoft.com/office/word/2010/wordprocessingShape">
                      <wps:wsp>
                        <wps:cNvSpPr/>
                        <wps:spPr>
                          <a:xfrm flipV="1">
                            <a:off x="0" y="0"/>
                            <a:ext cx="5603132" cy="45719"/>
                          </a:xfrm>
                          <a:prstGeom prst="rect">
                            <a:avLst/>
                          </a:prstGeom>
                          <a:solidFill>
                            <a:srgbClr val="F9DD16"/>
                          </a:solidFill>
                          <a:ln>
                            <a:noFill/>
                          </a:ln>
                        </wps:spPr>
                        <wps:style>
                          <a:lnRef idx="2">
                            <a:schemeClr val="accent6">
                              <a:shade val="50000"/>
                            </a:schemeClr>
                          </a:lnRef>
                          <a:fillRef idx="1">
                            <a:schemeClr val="accent6"/>
                          </a:fillRef>
                          <a:effectRef idx="0">
                            <a:schemeClr val="accent6"/>
                          </a:effectRef>
                          <a:fontRef idx="minor">
                            <a:schemeClr val="lt1"/>
                          </a:fontRef>
                        </wps:style>
                        <wps:bodyPr anchor="ctr"/>
                      </wps:wsp>
                    </a:graphicData>
                  </a:graphic>
                  <wp14:sizeRelH relativeFrom="margin">
                    <wp14:pctWidth>0</wp14:pctWidth>
                  </wp14:sizeRelH>
                  <wp14:sizeRelV relativeFrom="margin">
                    <wp14:pctHeight>0</wp14:pctHeight>
                  </wp14:sizeRelV>
                </wp:anchor>
              </w:drawing>
            </mc:Choice>
            <mc:Fallback>
              <w:pict>
                <v:rect w14:anchorId="28290610" id="Retângulo 14" o:spid="_x0000_s1026" style="position:absolute;margin-left:0;margin-top:.15pt;width:441.2pt;height:3.6pt;flip:y;z-index:25165209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" fillcolor="#f9dd16" stroked="f" strokeweight="1pt">
                  <w10:wrap anchorx="page"/>
                </v:rect>
              </w:pict>
            </mc:Fallback>
          </mc:AlternateContent>
        </w:r>
        <w:r>
          <w:fldChar w:fldCharType="begin"/>
        </w:r>
        <w:r>
          <w:instrText>PAGE   \* MERGEFORMAT</w:instrText>
        </w:r>
        <w:r>
          <w:fldChar w:fldCharType="separate"/>
        </w:r>
        <w:r>
          <w:rPr>
            <w:noProof/>
          </w:rPr>
          <w:t>1</w:t>
        </w:r>
        <w:r>
          <w:fldChar w:fldCharType="end"/>
        </w:r>
      </w:p>
    </w:sdtContent>
  </w:sdt>
  <w:p w14:paraId="5C60367F" w14:textId="77777777" w:rsidR="009A3167" w:rsidRDefault="009A3167">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62647B" w14:textId="77777777" w:rsidR="009A3167" w:rsidRDefault="009A3167">
    <w:pPr>
      <w:pStyle w:val="Rodap"/>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A2853B" w14:textId="77777777" w:rsidR="009A3167" w:rsidRDefault="009A3167">
    <w:pPr>
      <w:pStyle w:val="Rodap"/>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1213454"/>
      <w:docPartObj>
        <w:docPartGallery w:val="Page Numbers (Bottom of Page)"/>
        <w:docPartUnique/>
      </w:docPartObj>
    </w:sdtPr>
    <w:sdtEndPr/>
    <w:sdtContent>
      <w:p w14:paraId="72A9592B" w14:textId="2B2E1E11" w:rsidR="009A3167" w:rsidRDefault="009A3167">
        <w:pPr>
          <w:pStyle w:val="Rodap"/>
          <w:jc w:val="right"/>
        </w:pPr>
        <w:r>
          <w:fldChar w:fldCharType="begin"/>
        </w:r>
        <w:r>
          <w:instrText>PAGE   \* MERGEFORMAT</w:instrText>
        </w:r>
        <w:r>
          <w:fldChar w:fldCharType="separate"/>
        </w:r>
        <w:r w:rsidR="001D5662">
          <w:rPr>
            <w:noProof/>
          </w:rPr>
          <w:t>5</w:t>
        </w:r>
        <w:r>
          <w:fldChar w:fldCharType="end"/>
        </w:r>
      </w:p>
    </w:sdtContent>
  </w:sdt>
  <w:p w14:paraId="2F79F88D" w14:textId="77777777" w:rsidR="009A3167" w:rsidRDefault="009A3167">
    <w:pPr>
      <w:pStyle w:val="Rodap"/>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0577270"/>
      <w:docPartObj>
        <w:docPartGallery w:val="Page Numbers (Bottom of Page)"/>
        <w:docPartUnique/>
      </w:docPartObj>
    </w:sdtPr>
    <w:sdtEndPr/>
    <w:sdtContent>
      <w:p w14:paraId="6744EBD5" w14:textId="77777777" w:rsidR="009A3167" w:rsidRDefault="009A3167">
        <w:pPr>
          <w:pStyle w:val="Rodap"/>
          <w:jc w:val="right"/>
        </w:pPr>
        <w:r w:rsidRPr="005D303B">
          <w:rPr>
            <w:rFonts w:cs="Arial"/>
            <w:b/>
            <w:noProof/>
            <w:color w:val="1F4E79" w:themeColor="accent1" w:themeShade="80"/>
            <w:szCs w:val="18"/>
            <w:lang w:eastAsia="pt-BR"/>
          </w:rPr>
          <mc:AlternateContent>
            <mc:Choice Requires="wps">
              <w:drawing>
                <wp:anchor distT="0" distB="0" distL="114300" distR="114300" simplePos="0" relativeHeight="251631616" behindDoc="0" locked="0" layoutInCell="1" allowOverlap="1" wp14:anchorId="53CB13EA" wp14:editId="44A5E4F6">
                  <wp:simplePos x="0" y="0"/>
                  <wp:positionH relativeFrom="page">
                    <wp:align>left</wp:align>
                  </wp:positionH>
                  <wp:positionV relativeFrom="paragraph">
                    <wp:posOffset>2067</wp:posOffset>
                  </wp:positionV>
                  <wp:extent cx="5603132" cy="45719"/>
                  <wp:effectExtent l="0" t="0" r="0" b="0"/>
                  <wp:wrapNone/>
                  <wp:docPr id="1" name="Retângulo 14"/>
                  <wp:cNvGraphicFramePr/>
                  <a:graphic xmlns:a="http://schemas.openxmlformats.org/drawingml/2006/main">
                    <a:graphicData uri="http://schemas.microsoft.com/office/word/2010/wordprocessingShape">
                      <wps:wsp>
                        <wps:cNvSpPr/>
                        <wps:spPr>
                          <a:xfrm flipV="1">
                            <a:off x="0" y="0"/>
                            <a:ext cx="5603132" cy="45719"/>
                          </a:xfrm>
                          <a:prstGeom prst="rect">
                            <a:avLst/>
                          </a:prstGeom>
                          <a:solidFill>
                            <a:srgbClr val="F9DD16"/>
                          </a:solidFill>
                          <a:ln>
                            <a:noFill/>
                          </a:ln>
                        </wps:spPr>
                        <wps:style>
                          <a:lnRef idx="2">
                            <a:schemeClr val="accent6">
                              <a:shade val="50000"/>
                            </a:schemeClr>
                          </a:lnRef>
                          <a:fillRef idx="1">
                            <a:schemeClr val="accent6"/>
                          </a:fillRef>
                          <a:effectRef idx="0">
                            <a:schemeClr val="accent6"/>
                          </a:effectRef>
                          <a:fontRef idx="minor">
                            <a:schemeClr val="lt1"/>
                          </a:fontRef>
                        </wps:style>
                        <wps:bodyPr anchor="ctr"/>
                      </wps:wsp>
                    </a:graphicData>
                  </a:graphic>
                  <wp14:sizeRelH relativeFrom="margin">
                    <wp14:pctWidth>0</wp14:pctWidth>
                  </wp14:sizeRelH>
                  <wp14:sizeRelV relativeFrom="margin">
                    <wp14:pctHeight>0</wp14:pctHeight>
                  </wp14:sizeRelV>
                </wp:anchor>
              </w:drawing>
            </mc:Choice>
            <mc:Fallback>
              <w:pict>
                <v:rect w14:anchorId="44C94D8F" id="Retângulo 14" o:spid="_x0000_s1026" style="position:absolute;margin-left:0;margin-top:.15pt;width:441.2pt;height:3.6pt;flip:y;z-index:25163161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" fillcolor="#f9dd16" stroked="f" strokeweight="1pt">
                  <w10:wrap anchorx="page"/>
                </v:rect>
              </w:pict>
            </mc:Fallback>
          </mc:AlternateContent>
        </w:r>
        <w:r>
          <w:fldChar w:fldCharType="begin"/>
        </w:r>
        <w:r>
          <w:instrText>PAGE   \* MERGEFORMAT</w:instrText>
        </w:r>
        <w:r>
          <w:fldChar w:fldCharType="separate"/>
        </w:r>
        <w:r>
          <w:rPr>
            <w:noProof/>
          </w:rPr>
          <w:t>1</w:t>
        </w:r>
        <w:r>
          <w:fldChar w:fldCharType="end"/>
        </w:r>
      </w:p>
    </w:sdtContent>
  </w:sdt>
  <w:p w14:paraId="5A183500" w14:textId="77777777" w:rsidR="009A3167" w:rsidRDefault="009A3167">
    <w:pPr>
      <w:pStyle w:val="Rodap"/>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4664513"/>
      <w:docPartObj>
        <w:docPartGallery w:val="Page Numbers (Bottom of Page)"/>
        <w:docPartUnique/>
      </w:docPartObj>
    </w:sdtPr>
    <w:sdtEndPr/>
    <w:sdtContent>
      <w:p w14:paraId="29887B41" w14:textId="1084E122" w:rsidR="009A3167" w:rsidRDefault="009A3167">
        <w:pPr>
          <w:pStyle w:val="Rodap"/>
          <w:jc w:val="right"/>
        </w:pPr>
        <w:r>
          <w:fldChar w:fldCharType="begin"/>
        </w:r>
        <w:r>
          <w:instrText>PAGE   \* MERGEFORMAT</w:instrText>
        </w:r>
        <w:r>
          <w:fldChar w:fldCharType="separate"/>
        </w:r>
        <w:r w:rsidR="001D5662">
          <w:rPr>
            <w:noProof/>
          </w:rPr>
          <w:t>6</w:t>
        </w:r>
        <w:r>
          <w:fldChar w:fldCharType="end"/>
        </w:r>
      </w:p>
    </w:sdtContent>
  </w:sdt>
  <w:p w14:paraId="77264F3A" w14:textId="77777777" w:rsidR="009A3167" w:rsidRDefault="009A3167">
    <w:pPr>
      <w:pStyle w:val="Rodap"/>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3571752"/>
      <w:docPartObj>
        <w:docPartGallery w:val="Page Numbers (Bottom of Page)"/>
        <w:docPartUnique/>
      </w:docPartObj>
    </w:sdtPr>
    <w:sdtEndPr/>
    <w:sdtContent>
      <w:p w14:paraId="5D1DACE0" w14:textId="1AC7F085" w:rsidR="009A3167" w:rsidRDefault="009A3167">
        <w:pPr>
          <w:pStyle w:val="Rodap"/>
          <w:jc w:val="right"/>
        </w:pPr>
        <w:r>
          <w:fldChar w:fldCharType="begin"/>
        </w:r>
        <w:r>
          <w:instrText>PAGE   \* MERGEFORMAT</w:instrText>
        </w:r>
        <w:r>
          <w:fldChar w:fldCharType="separate"/>
        </w:r>
        <w:r w:rsidR="001D5662">
          <w:rPr>
            <w:noProof/>
          </w:rPr>
          <w:t>27</w:t>
        </w:r>
        <w:r>
          <w:fldChar w:fldCharType="end"/>
        </w:r>
      </w:p>
    </w:sdtContent>
  </w:sdt>
  <w:p w14:paraId="3DA95700" w14:textId="77777777" w:rsidR="009A3167" w:rsidRDefault="009A3167">
    <w:pPr>
      <w:pStyle w:val="Rodap"/>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1645941"/>
      <w:docPartObj>
        <w:docPartGallery w:val="Page Numbers (Bottom of Page)"/>
        <w:docPartUnique/>
      </w:docPartObj>
    </w:sdtPr>
    <w:sdtEndPr/>
    <w:sdtContent>
      <w:p w14:paraId="08A73E3C" w14:textId="77777777" w:rsidR="009A3167" w:rsidRDefault="009A3167">
        <w:pPr>
          <w:pStyle w:val="Rodap"/>
          <w:jc w:val="right"/>
        </w:pPr>
        <w:r w:rsidRPr="005D303B">
          <w:rPr>
            <w:rFonts w:cs="Arial"/>
            <w:b/>
            <w:noProof/>
            <w:color w:val="1F4E79" w:themeColor="accent1" w:themeShade="80"/>
            <w:szCs w:val="18"/>
            <w:lang w:eastAsia="pt-BR"/>
          </w:rPr>
          <mc:AlternateContent>
            <mc:Choice Requires="wps">
              <w:drawing>
                <wp:anchor distT="0" distB="0" distL="114300" distR="114300" simplePos="0" relativeHeight="251636736" behindDoc="0" locked="0" layoutInCell="1" allowOverlap="1" wp14:anchorId="488773E5" wp14:editId="225B0053">
                  <wp:simplePos x="0" y="0"/>
                  <wp:positionH relativeFrom="page">
                    <wp:align>left</wp:align>
                  </wp:positionH>
                  <wp:positionV relativeFrom="paragraph">
                    <wp:posOffset>2067</wp:posOffset>
                  </wp:positionV>
                  <wp:extent cx="5603132" cy="45719"/>
                  <wp:effectExtent l="0" t="0" r="0" b="0"/>
                  <wp:wrapNone/>
                  <wp:docPr id="21" name="Retângulo 14"/>
                  <wp:cNvGraphicFramePr/>
                  <a:graphic xmlns:a="http://schemas.openxmlformats.org/drawingml/2006/main">
                    <a:graphicData uri="http://schemas.microsoft.com/office/word/2010/wordprocessingShape">
                      <wps:wsp>
                        <wps:cNvSpPr/>
                        <wps:spPr>
                          <a:xfrm flipV="1">
                            <a:off x="0" y="0"/>
                            <a:ext cx="5603132" cy="45719"/>
                          </a:xfrm>
                          <a:prstGeom prst="rect">
                            <a:avLst/>
                          </a:prstGeom>
                          <a:solidFill>
                            <a:srgbClr val="F9DD16"/>
                          </a:solidFill>
                          <a:ln>
                            <a:noFill/>
                          </a:ln>
                        </wps:spPr>
                        <wps:style>
                          <a:lnRef idx="2">
                            <a:schemeClr val="accent6">
                              <a:shade val="50000"/>
                            </a:schemeClr>
                          </a:lnRef>
                          <a:fillRef idx="1">
                            <a:schemeClr val="accent6"/>
                          </a:fillRef>
                          <a:effectRef idx="0">
                            <a:schemeClr val="accent6"/>
                          </a:effectRef>
                          <a:fontRef idx="minor">
                            <a:schemeClr val="lt1"/>
                          </a:fontRef>
                        </wps:style>
                        <wps:bodyPr anchor="ctr"/>
                      </wps:wsp>
                    </a:graphicData>
                  </a:graphic>
                  <wp14:sizeRelH relativeFrom="margin">
                    <wp14:pctWidth>0</wp14:pctWidth>
                  </wp14:sizeRelH>
                  <wp14:sizeRelV relativeFrom="margin">
                    <wp14:pctHeight>0</wp14:pctHeight>
                  </wp14:sizeRelV>
                </wp:anchor>
              </w:drawing>
            </mc:Choice>
            <mc:Fallback>
              <w:pict>
                <v:rect w14:anchorId="0F2056A1" id="Retângulo 14" o:spid="_x0000_s1026" style="position:absolute;margin-left:0;margin-top:.15pt;width:441.2pt;height:3.6pt;flip:y;z-index:25163673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" fillcolor="#f9dd16" stroked="f" strokeweight="1pt">
                  <w10:wrap anchorx="page"/>
                </v:rect>
              </w:pict>
            </mc:Fallback>
          </mc:AlternateContent>
        </w:r>
        <w:r>
          <w:fldChar w:fldCharType="begin"/>
        </w:r>
        <w:r>
          <w:instrText>PAGE   \* MERGEFORMAT</w:instrText>
        </w:r>
        <w:r>
          <w:fldChar w:fldCharType="separate"/>
        </w:r>
        <w:r>
          <w:rPr>
            <w:noProof/>
          </w:rPr>
          <w:t>1</w:t>
        </w:r>
        <w:r>
          <w:fldChar w:fldCharType="end"/>
        </w:r>
      </w:p>
    </w:sdtContent>
  </w:sdt>
  <w:p w14:paraId="130B4BA8" w14:textId="77777777" w:rsidR="009A3167" w:rsidRDefault="009A316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2962BB" w14:textId="77777777" w:rsidR="009A3167" w:rsidRDefault="009A3167" w:rsidP="001170F1">
      <w:pPr>
        <w:spacing w:after="0" w:line="240" w:lineRule="auto"/>
      </w:pPr>
      <w:r>
        <w:separator/>
      </w:r>
    </w:p>
  </w:footnote>
  <w:footnote w:type="continuationSeparator" w:id="0">
    <w:p w14:paraId="390B6C95" w14:textId="77777777" w:rsidR="009A3167" w:rsidRDefault="009A3167" w:rsidP="001170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15BCAC" w14:textId="77777777" w:rsidR="009A3167" w:rsidRDefault="009A3167">
    <w:pPr>
      <w:pStyle w:val="Cabealho"/>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2C53A6" w14:textId="2C77C9A5" w:rsidR="009A3167" w:rsidRPr="00992545" w:rsidRDefault="009A3167" w:rsidP="00A64F1A">
    <w:pPr>
      <w:tabs>
        <w:tab w:val="left" w:pos="5804"/>
        <w:tab w:val="left" w:pos="6746"/>
        <w:tab w:val="right" w:pos="9638"/>
      </w:tabs>
      <w:ind w:left="708"/>
    </w:pPr>
    <w:r>
      <w:rPr>
        <w:noProof/>
        <w:sz w:val="20"/>
        <w:szCs w:val="20"/>
        <w:lang w:eastAsia="pt-BR"/>
      </w:rPr>
      <mc:AlternateContent>
        <mc:Choice Requires="wps">
          <w:drawing>
            <wp:anchor distT="0" distB="0" distL="114300" distR="114300" simplePos="0" relativeHeight="251667967" behindDoc="0" locked="0" layoutInCell="0" allowOverlap="1" wp14:anchorId="0A7F8B12" wp14:editId="02941E38">
              <wp:simplePos x="0" y="0"/>
              <wp:positionH relativeFrom="page">
                <wp:align>right</wp:align>
              </wp:positionH>
              <wp:positionV relativeFrom="page">
                <wp:align>top</wp:align>
              </wp:positionV>
              <wp:extent cx="7772400" cy="463550"/>
              <wp:effectExtent l="0" t="0" r="0" b="12700"/>
              <wp:wrapNone/>
              <wp:docPr id="112" name="MSIPCM89e84adea2c254d4954b8d79" descr="{&quot;HashCode&quot;:-1487292391,&quot;Height&quot;:9999999.0,&quot;Width&quot;:9999999.0,&quot;Placement&quot;:&quot;Header&quot;,&quot;Index&quot;:&quot;Primary&quot;,&quot;Section&quot;:5,&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242403" w14:textId="2CEF93D5" w:rsidR="009A3167" w:rsidRPr="001D5662" w:rsidRDefault="001D5662" w:rsidP="001D5662">
                          <w:pPr>
                            <w:spacing w:after="0"/>
                            <w:jc w:val="right"/>
                            <w:rPr>
                              <w:rFonts w:ascii="Calibri" w:hAnsi="Calibri" w:cs="Calibri"/>
                              <w:color w:val="000000"/>
                              <w:sz w:val="20"/>
                            </w:rPr>
                          </w:pPr>
                          <w:r w:rsidRPr="001D5662">
                            <w:rPr>
                              <w:rFonts w:ascii="Calibri" w:hAnsi="Calibri" w:cs="Calibri"/>
                              <w:color w:val="000000"/>
                              <w:sz w:val="20"/>
                            </w:rPr>
                            <w:t>#interna</w:t>
                          </w: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0A7F8B12" id="_x0000_t202" coordsize="21600,21600" o:spt="202" path="m,l,21600r21600,l21600,xe">
              <v:stroke joinstyle="miter"/>
              <v:path gradientshapeok="t" o:connecttype="rect"/>
            </v:shapetype>
            <v:shape id="MSIPCM89e84adea2c254d4954b8d79" o:spid="_x0000_s1039" type="#_x0000_t202" alt="{&quot;HashCode&quot;:-1487292391,&quot;Height&quot;:9999999.0,&quot;Width&quot;:9999999.0,&quot;Placement&quot;:&quot;Header&quot;,&quot;Index&quot;:&quot;Primary&quot;,&quot;Section&quot;:5,&quot;Top&quot;:0.0,&quot;Left&quot;:0.0}" style="position:absolute;left:0;text-align:left;margin-left:560.8pt;margin-top:0;width:612pt;height:36.5pt;z-index:251667967;visibility:visible;mso-wrap-style:square;mso-wrap-distance-left:9pt;mso-wrap-distance-top:0;mso-wrap-distance-right:9pt;mso-wrap-distance-bottom:0;mso-position-horizontal:righ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" o:allowincell="f" filled="f" stroked="f" strokeweight=".5pt">
              <v:textbox inset=",0,20pt,0">
                <w:txbxContent>
                  <w:p w14:paraId="3E242403" w14:textId="2CEF93D5" w:rsidR="009A3167" w:rsidRPr="001D5662" w:rsidRDefault="001D5662" w:rsidP="001D5662">
                    <w:pPr>
                      <w:spacing w:after="0"/>
                      <w:jc w:val="right"/>
                      <w:rPr>
                        <w:rFonts w:ascii="Calibri" w:hAnsi="Calibri" w:cs="Calibri"/>
                        <w:color w:val="000000"/>
                        <w:sz w:val="20"/>
                      </w:rPr>
                    </w:pPr>
                    <w:r w:rsidRPr="001D5662">
                      <w:rPr>
                        <w:rFonts w:ascii="Calibri" w:hAnsi="Calibri" w:cs="Calibri"/>
                        <w:color w:val="000000"/>
                        <w:sz w:val="20"/>
                      </w:rPr>
                      <w:t>#interna</w:t>
                    </w:r>
                  </w:p>
                </w:txbxContent>
              </v:textbox>
              <w10:wrap anchorx="page" anchory="page"/>
            </v:shape>
          </w:pict>
        </mc:Fallback>
      </mc:AlternateContent>
    </w:r>
    <w:r>
      <w:rPr>
        <w:noProof/>
        <w:sz w:val="20"/>
        <w:szCs w:val="20"/>
        <w:lang w:eastAsia="pt-BR"/>
      </w:rPr>
      <mc:AlternateContent>
        <mc:Choice Requires="wps">
          <w:drawing>
            <wp:anchor distT="0" distB="0" distL="114300" distR="114300" simplePos="0" relativeHeight="251678720" behindDoc="0" locked="0" layoutInCell="1" allowOverlap="1" wp14:anchorId="54A92D28" wp14:editId="620A24FD">
              <wp:simplePos x="0" y="0"/>
              <wp:positionH relativeFrom="column">
                <wp:posOffset>3082867</wp:posOffset>
              </wp:positionH>
              <wp:positionV relativeFrom="paragraph">
                <wp:posOffset>-479310</wp:posOffset>
              </wp:positionV>
              <wp:extent cx="3629448" cy="402742"/>
              <wp:effectExtent l="0" t="0" r="0" b="0"/>
              <wp:wrapNone/>
              <wp:docPr id="54" name="Caixa de Texto 54"/>
              <wp:cNvGraphicFramePr/>
              <a:graphic xmlns:a="http://schemas.openxmlformats.org/drawingml/2006/main">
                <a:graphicData uri="http://schemas.microsoft.com/office/word/2010/wordprocessingShape">
                  <wps:wsp>
                    <wps:cNvSpPr txBox="1"/>
                    <wps:spPr>
                      <a:xfrm>
                        <a:off x="0" y="0"/>
                        <a:ext cx="3629448" cy="402742"/>
                      </a:xfrm>
                      <a:prstGeom prst="rect">
                        <a:avLst/>
                      </a:prstGeom>
                      <a:noFill/>
                      <a:ln w="6350">
                        <a:noFill/>
                      </a:ln>
                    </wps:spPr>
                    <wps:txbx>
                      <w:txbxContent>
                        <w:p w14:paraId="01B03533" w14:textId="77777777" w:rsidR="009A3167" w:rsidRPr="00AF3549" w:rsidRDefault="009A3167" w:rsidP="0017189F">
                          <w:pPr>
                            <w:jc w:val="right"/>
                          </w:pPr>
                          <w:r w:rsidRPr="002B7B96">
                            <w:rPr>
                              <w:rFonts w:cs="Arial"/>
                              <w:color w:val="FFFFFF" w:themeColor="background1"/>
                              <w:szCs w:val="18"/>
                            </w:rPr>
                            <w:t>Conso</w:t>
                          </w:r>
                          <w:r>
                            <w:rPr>
                              <w:rFonts w:cs="Arial"/>
                              <w:color w:val="FFFFFF" w:themeColor="background1"/>
                              <w:szCs w:val="18"/>
                            </w:rPr>
                            <w:t>lidated Financial Statements – 1</w:t>
                          </w:r>
                          <w:r w:rsidRPr="00A036E0">
                            <w:rPr>
                              <w:rFonts w:cs="Arial"/>
                              <w:color w:val="FFFFFF" w:themeColor="background1"/>
                              <w:szCs w:val="18"/>
                              <w:vertAlign w:val="superscript"/>
                            </w:rPr>
                            <w:t>st</w:t>
                          </w:r>
                          <w:r>
                            <w:rPr>
                              <w:rFonts w:cs="Arial"/>
                              <w:color w:val="FFFFFF" w:themeColor="background1"/>
                              <w:szCs w:val="18"/>
                            </w:rPr>
                            <w:t xml:space="preserve"> Half </w:t>
                          </w:r>
                          <w:r w:rsidRPr="002B7B96">
                            <w:rPr>
                              <w:rFonts w:cs="Arial"/>
                              <w:color w:val="FFFFFF" w:themeColor="background1"/>
                              <w:szCs w:val="18"/>
                            </w:rPr>
                            <w:t>202</w:t>
                          </w:r>
                          <w:r>
                            <w:rPr>
                              <w:rFonts w:cs="Arial"/>
                              <w:color w:val="FFFFFF" w:themeColor="background1"/>
                              <w:szCs w:val="18"/>
                            </w:rPr>
                            <w:t>3</w:t>
                          </w:r>
                          <w:r w:rsidRPr="00AF3549">
                            <w:rPr>
                              <w:rFonts w:cs="Arial"/>
                              <w:color w:val="FFFFFF" w:themeColor="background1"/>
                              <w:szCs w:val="18"/>
                            </w:rPr>
                            <w:br/>
                            <w:t>BB Seguridade Participações S.A.</w:t>
                          </w:r>
                        </w:p>
                        <w:p w14:paraId="5FF5A930" w14:textId="77777777" w:rsidR="009A3167" w:rsidRPr="00AF3549" w:rsidRDefault="009A3167" w:rsidP="0017189F">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A92D28" id="Caixa de Texto 54" o:spid="_x0000_s1040" type="#_x0000_t202" style="position:absolute;left:0;text-align:left;margin-left:242.75pt;margin-top:-37.75pt;width:285.8pt;height:31.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" filled="f" stroked="f" strokeweight=".5pt">
              <v:textbox>
                <w:txbxContent>
                  <w:p w14:paraId="01B03533" w14:textId="77777777" w:rsidR="009A3167" w:rsidRPr="00AF3549" w:rsidRDefault="009A3167" w:rsidP="0017189F">
                    <w:pPr>
                      <w:jc w:val="right"/>
                    </w:pPr>
                    <w:r w:rsidRPr="002B7B96">
                      <w:rPr>
                        <w:rFonts w:cs="Arial"/>
                        <w:color w:val="FFFFFF" w:themeColor="background1"/>
                        <w:szCs w:val="18"/>
                      </w:rPr>
                      <w:t>Conso</w:t>
                    </w:r>
                    <w:r>
                      <w:rPr>
                        <w:rFonts w:cs="Arial"/>
                        <w:color w:val="FFFFFF" w:themeColor="background1"/>
                        <w:szCs w:val="18"/>
                      </w:rPr>
                      <w:t>lidated Financial Statements – 1</w:t>
                    </w:r>
                    <w:r w:rsidRPr="00A036E0">
                      <w:rPr>
                        <w:rFonts w:cs="Arial"/>
                        <w:color w:val="FFFFFF" w:themeColor="background1"/>
                        <w:szCs w:val="18"/>
                        <w:vertAlign w:val="superscript"/>
                      </w:rPr>
                      <w:t>st</w:t>
                    </w:r>
                    <w:r>
                      <w:rPr>
                        <w:rFonts w:cs="Arial"/>
                        <w:color w:val="FFFFFF" w:themeColor="background1"/>
                        <w:szCs w:val="18"/>
                      </w:rPr>
                      <w:t xml:space="preserve"> Half </w:t>
                    </w:r>
                    <w:r w:rsidRPr="002B7B96">
                      <w:rPr>
                        <w:rFonts w:cs="Arial"/>
                        <w:color w:val="FFFFFF" w:themeColor="background1"/>
                        <w:szCs w:val="18"/>
                      </w:rPr>
                      <w:t>202</w:t>
                    </w:r>
                    <w:r>
                      <w:rPr>
                        <w:rFonts w:cs="Arial"/>
                        <w:color w:val="FFFFFF" w:themeColor="background1"/>
                        <w:szCs w:val="18"/>
                      </w:rPr>
                      <w:t>3</w:t>
                    </w:r>
                    <w:r w:rsidRPr="00AF3549">
                      <w:rPr>
                        <w:rFonts w:cs="Arial"/>
                        <w:color w:val="FFFFFF" w:themeColor="background1"/>
                        <w:szCs w:val="18"/>
                      </w:rPr>
                      <w:br/>
                      <w:t>BB Seguridade Participações S.A.</w:t>
                    </w:r>
                  </w:p>
                  <w:p w14:paraId="5FF5A930" w14:textId="77777777" w:rsidR="009A3167" w:rsidRPr="00AF3549" w:rsidRDefault="009A3167" w:rsidP="0017189F">
                    <w:pPr>
                      <w:jc w:val="right"/>
                    </w:pPr>
                  </w:p>
                </w:txbxContent>
              </v:textbox>
            </v:shape>
          </w:pict>
        </mc:Fallback>
      </mc:AlternateContent>
    </w:r>
    <w:r>
      <w:tab/>
    </w:r>
    <w:r>
      <w:tab/>
    </w:r>
    <w:r>
      <w:tab/>
    </w:r>
    <w:r w:rsidRPr="00254D35">
      <w:rPr>
        <w:noProof/>
        <w:sz w:val="20"/>
        <w:szCs w:val="20"/>
        <w:lang w:eastAsia="pt-BR"/>
      </w:rPr>
      <mc:AlternateContent>
        <mc:Choice Requires="wps">
          <w:drawing>
            <wp:anchor distT="0" distB="0" distL="114300" distR="114300" simplePos="0" relativeHeight="251675648" behindDoc="0" locked="0" layoutInCell="1" allowOverlap="1" wp14:anchorId="2DEE883F" wp14:editId="3A39F772">
              <wp:simplePos x="0" y="0"/>
              <wp:positionH relativeFrom="page">
                <wp:posOffset>-1178011</wp:posOffset>
              </wp:positionH>
              <wp:positionV relativeFrom="paragraph">
                <wp:posOffset>-556861</wp:posOffset>
              </wp:positionV>
              <wp:extent cx="11887200" cy="527222"/>
              <wp:effectExtent l="0" t="0" r="0" b="6350"/>
              <wp:wrapNone/>
              <wp:docPr id="61" name="Retângulo 61"/>
              <wp:cNvGraphicFramePr/>
              <a:graphic xmlns:a="http://schemas.openxmlformats.org/drawingml/2006/main">
                <a:graphicData uri="http://schemas.microsoft.com/office/word/2010/wordprocessingShape">
                  <wps:wsp>
                    <wps:cNvSpPr/>
                    <wps:spPr>
                      <a:xfrm>
                        <a:off x="0" y="0"/>
                        <a:ext cx="11887200" cy="527222"/>
                      </a:xfrm>
                      <a:prstGeom prst="rect">
                        <a:avLst/>
                      </a:prstGeom>
                      <a:solidFill>
                        <a:srgbClr val="002D4B"/>
                      </a:solidFill>
                      <a:ln w="12700" cap="flat" cmpd="sng" algn="ctr">
                        <a:noFill/>
                        <a:prstDash val="solid"/>
                        <a:miter lim="800000"/>
                      </a:ln>
                      <a:effectLst/>
                    </wps:spPr>
                    <wps:txbx>
                      <w:txbxContent>
                        <w:p w14:paraId="37C7DB0C" w14:textId="77777777" w:rsidR="009A3167" w:rsidRDefault="009A3167" w:rsidP="00187C45">
                          <w:pPr>
                            <w:ind w:left="708"/>
                            <w:jc w:val="righ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EE883F" id="Retângulo 61" o:spid="_x0000_s1041" style="position:absolute;left:0;text-align:left;margin-left:-92.75pt;margin-top:-43.85pt;width:13in;height:41.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" fillcolor="#002d4b" stroked="f" strokeweight="1pt">
              <v:textbox>
                <w:txbxContent>
                  <w:p w14:paraId="37C7DB0C" w14:textId="77777777" w:rsidR="009A3167" w:rsidRDefault="009A3167" w:rsidP="00187C45">
                    <w:pPr>
                      <w:ind w:left="708"/>
                      <w:jc w:val="right"/>
                    </w:pPr>
                  </w:p>
                </w:txbxContent>
              </v:textbox>
              <w10:wrap anchorx="page"/>
            </v:rect>
          </w:pict>
        </mc:Fallback>
      </mc:AlternateContent>
    </w:r>
    <w:r w:rsidRPr="005D303B">
      <w:rPr>
        <w:b/>
        <w:noProof/>
        <w:color w:val="1F4E79" w:themeColor="accent1" w:themeShade="80"/>
        <w:lang w:eastAsia="pt-BR"/>
      </w:rPr>
      <mc:AlternateContent>
        <mc:Choice Requires="wps">
          <w:drawing>
            <wp:anchor distT="0" distB="0" distL="114300" distR="114300" simplePos="0" relativeHeight="251676672" behindDoc="0" locked="0" layoutInCell="1" allowOverlap="1" wp14:anchorId="6302A5D8" wp14:editId="5CD69BB7">
              <wp:simplePos x="0" y="0"/>
              <wp:positionH relativeFrom="page">
                <wp:posOffset>-720969</wp:posOffset>
              </wp:positionH>
              <wp:positionV relativeFrom="paragraph">
                <wp:posOffset>-48651</wp:posOffset>
              </wp:positionV>
              <wp:extent cx="11406505" cy="45719"/>
              <wp:effectExtent l="0" t="0" r="4445" b="0"/>
              <wp:wrapNone/>
              <wp:docPr id="66" name="Retângulo 14"/>
              <wp:cNvGraphicFramePr/>
              <a:graphic xmlns:a="http://schemas.openxmlformats.org/drawingml/2006/main">
                <a:graphicData uri="http://schemas.microsoft.com/office/word/2010/wordprocessingShape">
                  <wps:wsp>
                    <wps:cNvSpPr/>
                    <wps:spPr>
                      <a:xfrm flipV="1">
                        <a:off x="0" y="0"/>
                        <a:ext cx="11406505" cy="45719"/>
                      </a:xfrm>
                      <a:prstGeom prst="rect">
                        <a:avLst/>
                      </a:prstGeom>
                      <a:solidFill>
                        <a:srgbClr val="F9DD16"/>
                      </a:solidFill>
                      <a:ln w="12700" cap="flat" cmpd="sng" algn="ctr">
                        <a:noFill/>
                        <a:prstDash val="solid"/>
                        <a:miter lim="800000"/>
                      </a:ln>
                      <a:effectLst/>
                    </wps:spPr>
                    <wps:bodyPr anchor="ctr"/>
                  </wps:wsp>
                </a:graphicData>
              </a:graphic>
              <wp14:sizeRelH relativeFrom="margin">
                <wp14:pctWidth>0</wp14:pctWidth>
              </wp14:sizeRelH>
              <wp14:sizeRelV relativeFrom="margin">
                <wp14:pctHeight>0</wp14:pctHeight>
              </wp14:sizeRelV>
            </wp:anchor>
          </w:drawing>
        </mc:Choice>
        <mc:Fallback>
          <w:pict>
            <v:rect w14:anchorId="0B743590" id="Retângulo 14" o:spid="_x0000_s1026" style="position:absolute;margin-left:-56.75pt;margin-top:-3.85pt;width:898.15pt;height:3.6pt;flip:y;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" fillcolor="#f9dd16" stroked="f" strokeweight="1pt">
              <w10:wrap anchorx="page"/>
            </v:rect>
          </w:pict>
        </mc:Fallback>
      </mc:AlternateContent>
    </w:r>
    <w:r>
      <w:rPr>
        <w:noProof/>
        <w:sz w:val="20"/>
        <w:szCs w:val="20"/>
        <w:lang w:eastAsia="pt-BR"/>
      </w:rPr>
      <w:drawing>
        <wp:anchor distT="0" distB="0" distL="114300" distR="114300" simplePos="0" relativeHeight="251677696" behindDoc="0" locked="0" layoutInCell="1" allowOverlap="1" wp14:anchorId="014F589C" wp14:editId="3020AA60">
          <wp:simplePos x="0" y="0"/>
          <wp:positionH relativeFrom="margin">
            <wp:posOffset>-294957</wp:posOffset>
          </wp:positionH>
          <wp:positionV relativeFrom="page">
            <wp:posOffset>148590</wp:posOffset>
          </wp:positionV>
          <wp:extent cx="967740" cy="198755"/>
          <wp:effectExtent l="0" t="0" r="3810" b="0"/>
          <wp:wrapNone/>
          <wp:docPr id="67" name="Imagem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BB Seguro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67740" cy="198755"/>
                  </a:xfrm>
                  <a:prstGeom prst="rect">
                    <a:avLst/>
                  </a:prstGeom>
                </pic:spPr>
              </pic:pic>
            </a:graphicData>
          </a:graphic>
          <wp14:sizeRelH relativeFrom="margin">
            <wp14:pctWidth>0</wp14:pctWidth>
          </wp14:sizeRelH>
          <wp14:sizeRelV relativeFrom="margin">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E050BB" w14:textId="322A403A" w:rsidR="009A3167" w:rsidRDefault="001D5662">
    <w:pPr>
      <w:pStyle w:val="Cabealho"/>
    </w:pPr>
    <w:r>
      <w:rPr>
        <w:noProof/>
        <w:lang w:eastAsia="pt-BR"/>
      </w:rPr>
      <mc:AlternateContent>
        <mc:Choice Requires="wps">
          <w:drawing>
            <wp:anchor distT="0" distB="0" distL="114300" distR="114300" simplePos="0" relativeHeight="251696128" behindDoc="0" locked="0" layoutInCell="0" allowOverlap="1" wp14:anchorId="19EECD9C" wp14:editId="7E747539">
              <wp:simplePos x="0" y="190500"/>
              <wp:positionH relativeFrom="page">
                <wp:align>right</wp:align>
              </wp:positionH>
              <wp:positionV relativeFrom="page">
                <wp:align>top</wp:align>
              </wp:positionV>
              <wp:extent cx="7772400" cy="463550"/>
              <wp:effectExtent l="0" t="0" r="0" b="12700"/>
              <wp:wrapNone/>
              <wp:docPr id="4" name="MSIPCM662b4cb4a1772dcbb4d75c8e" descr="{&quot;HashCode&quot;:-1487292391,&quot;Height&quot;:9999999.0,&quot;Width&quot;:9999999.0,&quot;Placement&quot;:&quot;Header&quot;,&quot;Index&quot;:&quot;FirstPage&quot;,&quot;Section&quot;:5,&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8F9D979" w14:textId="4189456A" w:rsidR="001D5662" w:rsidRPr="001D5662" w:rsidRDefault="001D5662" w:rsidP="001D5662">
                          <w:pPr>
                            <w:spacing w:after="0"/>
                            <w:jc w:val="right"/>
                            <w:rPr>
                              <w:rFonts w:ascii="Calibri" w:hAnsi="Calibri" w:cs="Calibri"/>
                              <w:color w:val="000000"/>
                              <w:sz w:val="20"/>
                            </w:rPr>
                          </w:pPr>
                          <w:r w:rsidRPr="001D5662">
                            <w:rPr>
                              <w:rFonts w:ascii="Calibri" w:hAnsi="Calibri" w:cs="Calibri"/>
                              <w:color w:val="000000"/>
                              <w:sz w:val="20"/>
                            </w:rPr>
                            <w:t>#interna</w:t>
                          </w: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19EECD9C" id="_x0000_t202" coordsize="21600,21600" o:spt="202" path="m,l,21600r21600,l21600,xe">
              <v:stroke joinstyle="miter"/>
              <v:path gradientshapeok="t" o:connecttype="rect"/>
            </v:shapetype>
            <v:shape id="MSIPCM662b4cb4a1772dcbb4d75c8e" o:spid="_x0000_s1042" type="#_x0000_t202" alt="{&quot;HashCode&quot;:-1487292391,&quot;Height&quot;:9999999.0,&quot;Width&quot;:9999999.0,&quot;Placement&quot;:&quot;Header&quot;,&quot;Index&quot;:&quot;FirstPage&quot;,&quot;Section&quot;:5,&quot;Top&quot;:0.0,&quot;Left&quot;:0.0}" style="position:absolute;margin-left:560.8pt;margin-top:0;width:612pt;height:36.5pt;z-index:251696128;visibility:visible;mso-wrap-style:square;mso-wrap-distance-left:9pt;mso-wrap-distance-top:0;mso-wrap-distance-right:9pt;mso-wrap-distance-bottom:0;mso-position-horizontal:righ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" o:allowincell="f" filled="f" stroked="f" strokeweight=".5pt">
              <v:fill o:detectmouseclick="t"/>
              <v:textbox inset=",0,20pt,0">
                <w:txbxContent>
                  <w:p w14:paraId="48F9D979" w14:textId="4189456A" w:rsidR="001D5662" w:rsidRPr="001D5662" w:rsidRDefault="001D5662" w:rsidP="001D5662">
                    <w:pPr>
                      <w:spacing w:after="0"/>
                      <w:jc w:val="right"/>
                      <w:rPr>
                        <w:rFonts w:ascii="Calibri" w:hAnsi="Calibri" w:cs="Calibri"/>
                        <w:color w:val="000000"/>
                        <w:sz w:val="20"/>
                      </w:rPr>
                    </w:pPr>
                    <w:r w:rsidRPr="001D5662">
                      <w:rPr>
                        <w:rFonts w:ascii="Calibri" w:hAnsi="Calibri" w:cs="Calibri"/>
                        <w:color w:val="000000"/>
                        <w:sz w:val="20"/>
                      </w:rPr>
                      <w:t>#interna</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8C1049" w14:textId="77777777" w:rsidR="009A3167" w:rsidRDefault="009A3167">
    <w:pPr>
      <w:pStyle w:val="Cabealho"/>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4E80A3" w14:textId="1267DAB2" w:rsidR="009A3167" w:rsidRPr="00992545" w:rsidRDefault="009A3167" w:rsidP="00A64F1A">
    <w:pPr>
      <w:tabs>
        <w:tab w:val="left" w:pos="5804"/>
        <w:tab w:val="left" w:pos="6746"/>
        <w:tab w:val="right" w:pos="9638"/>
      </w:tabs>
      <w:ind w:left="708"/>
    </w:pPr>
    <w:r>
      <w:rPr>
        <w:noProof/>
        <w:sz w:val="20"/>
        <w:szCs w:val="20"/>
        <w:lang w:eastAsia="pt-BR"/>
      </w:rPr>
      <mc:AlternateContent>
        <mc:Choice Requires="wps">
          <w:drawing>
            <wp:anchor distT="0" distB="0" distL="114300" distR="114300" simplePos="0" relativeHeight="251667456" behindDoc="0" locked="0" layoutInCell="0" allowOverlap="1" wp14:anchorId="353DA074" wp14:editId="7034F81E">
              <wp:simplePos x="0" y="0"/>
              <wp:positionH relativeFrom="page">
                <wp:align>right</wp:align>
              </wp:positionH>
              <wp:positionV relativeFrom="page">
                <wp:align>top</wp:align>
              </wp:positionV>
              <wp:extent cx="7772400" cy="463550"/>
              <wp:effectExtent l="0" t="0" r="0" b="12700"/>
              <wp:wrapNone/>
              <wp:docPr id="113" name="MSIPCM7272423b93e5ebc9215f5bfa" descr="{&quot;HashCode&quot;:-1487292391,&quot;Height&quot;:9999999.0,&quot;Width&quot;:9999999.0,&quot;Placement&quot;:&quot;Header&quot;,&quot;Index&quot;:&quot;Primary&quot;,&quot;Section&quot;:6,&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86ECA27" w14:textId="65318C72" w:rsidR="009A3167" w:rsidRPr="00882B41" w:rsidRDefault="009A3167" w:rsidP="00882B41">
                          <w:pPr>
                            <w:spacing w:after="0"/>
                            <w:jc w:val="right"/>
                            <w:rPr>
                              <w:rFonts w:ascii="Calibri" w:hAnsi="Calibri" w:cs="Calibri"/>
                              <w:color w:val="000000"/>
                              <w:sz w:val="20"/>
                            </w:rPr>
                          </w:pPr>
                          <w:r w:rsidRPr="00882B41">
                            <w:rPr>
                              <w:rFonts w:ascii="Calibri" w:hAnsi="Calibri" w:cs="Calibri"/>
                              <w:color w:val="000000"/>
                              <w:sz w:val="20"/>
                            </w:rPr>
                            <w:t>#interna</w:t>
                          </w: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353DA074" id="_x0000_t202" coordsize="21600,21600" o:spt="202" path="m,l,21600r21600,l21600,xe">
              <v:stroke joinstyle="miter"/>
              <v:path gradientshapeok="t" o:connecttype="rect"/>
            </v:shapetype>
            <v:shape id="MSIPCM7272423b93e5ebc9215f5bfa" o:spid="_x0000_s1043" type="#_x0000_t202" alt="{&quot;HashCode&quot;:-1487292391,&quot;Height&quot;:9999999.0,&quot;Width&quot;:9999999.0,&quot;Placement&quot;:&quot;Header&quot;,&quot;Index&quot;:&quot;Primary&quot;,&quot;Section&quot;:6,&quot;Top&quot;:0.0,&quot;Left&quot;:0.0}" style="position:absolute;left:0;text-align:left;margin-left:560.8pt;margin-top:0;width:612pt;height:36.5pt;z-index:251667456;visibility:visible;mso-wrap-style:square;mso-wrap-distance-left:9pt;mso-wrap-distance-top:0;mso-wrap-distance-right:9pt;mso-wrap-distance-bottom:0;mso-position-horizontal:righ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" o:allowincell="f" filled="f" stroked="f" strokeweight=".5pt">
              <v:textbox inset=",0,20pt,0">
                <w:txbxContent>
                  <w:p w14:paraId="286ECA27" w14:textId="65318C72" w:rsidR="009A3167" w:rsidRPr="00882B41" w:rsidRDefault="009A3167" w:rsidP="00882B41">
                    <w:pPr>
                      <w:spacing w:after="0"/>
                      <w:jc w:val="right"/>
                      <w:rPr>
                        <w:rFonts w:ascii="Calibri" w:hAnsi="Calibri" w:cs="Calibri"/>
                        <w:color w:val="000000"/>
                        <w:sz w:val="20"/>
                      </w:rPr>
                    </w:pPr>
                    <w:r w:rsidRPr="00882B41">
                      <w:rPr>
                        <w:rFonts w:ascii="Calibri" w:hAnsi="Calibri" w:cs="Calibri"/>
                        <w:color w:val="000000"/>
                        <w:sz w:val="20"/>
                      </w:rPr>
                      <w:t>#interna</w:t>
                    </w:r>
                  </w:p>
                </w:txbxContent>
              </v:textbox>
              <w10:wrap anchorx="page" anchory="page"/>
            </v:shape>
          </w:pict>
        </mc:Fallback>
      </mc:AlternateContent>
    </w:r>
    <w:r>
      <w:rPr>
        <w:noProof/>
        <w:sz w:val="20"/>
        <w:szCs w:val="20"/>
        <w:lang w:eastAsia="pt-BR"/>
      </w:rPr>
      <mc:AlternateContent>
        <mc:Choice Requires="wps">
          <w:drawing>
            <wp:anchor distT="0" distB="0" distL="114300" distR="114300" simplePos="0" relativeHeight="251682816" behindDoc="0" locked="0" layoutInCell="1" allowOverlap="1" wp14:anchorId="2DA9BB71" wp14:editId="3B1F8F89">
              <wp:simplePos x="0" y="0"/>
              <wp:positionH relativeFrom="column">
                <wp:posOffset>6368588</wp:posOffset>
              </wp:positionH>
              <wp:positionV relativeFrom="paragraph">
                <wp:posOffset>-467706</wp:posOffset>
              </wp:positionV>
              <wp:extent cx="3629448" cy="402742"/>
              <wp:effectExtent l="0" t="0" r="0" b="0"/>
              <wp:wrapNone/>
              <wp:docPr id="98" name="Caixa de Texto 98"/>
              <wp:cNvGraphicFramePr/>
              <a:graphic xmlns:a="http://schemas.openxmlformats.org/drawingml/2006/main">
                <a:graphicData uri="http://schemas.microsoft.com/office/word/2010/wordprocessingShape">
                  <wps:wsp>
                    <wps:cNvSpPr txBox="1"/>
                    <wps:spPr>
                      <a:xfrm>
                        <a:off x="0" y="0"/>
                        <a:ext cx="3629448" cy="402742"/>
                      </a:xfrm>
                      <a:prstGeom prst="rect">
                        <a:avLst/>
                      </a:prstGeom>
                      <a:noFill/>
                      <a:ln w="6350">
                        <a:noFill/>
                      </a:ln>
                    </wps:spPr>
                    <wps:txbx>
                      <w:txbxContent>
                        <w:p w14:paraId="537A6964" w14:textId="77777777" w:rsidR="009A3167" w:rsidRPr="00AF3549" w:rsidRDefault="009A3167" w:rsidP="0017189F">
                          <w:pPr>
                            <w:jc w:val="right"/>
                          </w:pPr>
                          <w:r w:rsidRPr="002B7B96">
                            <w:rPr>
                              <w:rFonts w:cs="Arial"/>
                              <w:color w:val="FFFFFF" w:themeColor="background1"/>
                              <w:szCs w:val="18"/>
                            </w:rPr>
                            <w:t>Conso</w:t>
                          </w:r>
                          <w:r>
                            <w:rPr>
                              <w:rFonts w:cs="Arial"/>
                              <w:color w:val="FFFFFF" w:themeColor="background1"/>
                              <w:szCs w:val="18"/>
                            </w:rPr>
                            <w:t>lidated Financial Statements – 1</w:t>
                          </w:r>
                          <w:r w:rsidRPr="00A036E0">
                            <w:rPr>
                              <w:rFonts w:cs="Arial"/>
                              <w:color w:val="FFFFFF" w:themeColor="background1"/>
                              <w:szCs w:val="18"/>
                              <w:vertAlign w:val="superscript"/>
                            </w:rPr>
                            <w:t>st</w:t>
                          </w:r>
                          <w:r>
                            <w:rPr>
                              <w:rFonts w:cs="Arial"/>
                              <w:color w:val="FFFFFF" w:themeColor="background1"/>
                              <w:szCs w:val="18"/>
                            </w:rPr>
                            <w:t xml:space="preserve"> Half </w:t>
                          </w:r>
                          <w:r w:rsidRPr="002B7B96">
                            <w:rPr>
                              <w:rFonts w:cs="Arial"/>
                              <w:color w:val="FFFFFF" w:themeColor="background1"/>
                              <w:szCs w:val="18"/>
                            </w:rPr>
                            <w:t>202</w:t>
                          </w:r>
                          <w:r>
                            <w:rPr>
                              <w:rFonts w:cs="Arial"/>
                              <w:color w:val="FFFFFF" w:themeColor="background1"/>
                              <w:szCs w:val="18"/>
                            </w:rPr>
                            <w:t>3</w:t>
                          </w:r>
                          <w:r w:rsidRPr="00AF3549">
                            <w:rPr>
                              <w:rFonts w:cs="Arial"/>
                              <w:color w:val="FFFFFF" w:themeColor="background1"/>
                              <w:szCs w:val="18"/>
                            </w:rPr>
                            <w:br/>
                            <w:t>BB Seguridade Participações S.A.</w:t>
                          </w:r>
                        </w:p>
                        <w:p w14:paraId="1A29FB2B" w14:textId="77777777" w:rsidR="009A3167" w:rsidRPr="00AF3549" w:rsidRDefault="009A3167" w:rsidP="0017189F">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A9BB71" id="Caixa de Texto 98" o:spid="_x0000_s1044" type="#_x0000_t202" style="position:absolute;left:0;text-align:left;margin-left:501.45pt;margin-top:-36.85pt;width:285.8pt;height:31.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" filled="f" stroked="f" strokeweight=".5pt">
              <v:textbox>
                <w:txbxContent>
                  <w:p w14:paraId="537A6964" w14:textId="77777777" w:rsidR="009A3167" w:rsidRPr="00AF3549" w:rsidRDefault="009A3167" w:rsidP="0017189F">
                    <w:pPr>
                      <w:jc w:val="right"/>
                    </w:pPr>
                    <w:r w:rsidRPr="002B7B96">
                      <w:rPr>
                        <w:rFonts w:cs="Arial"/>
                        <w:color w:val="FFFFFF" w:themeColor="background1"/>
                        <w:szCs w:val="18"/>
                      </w:rPr>
                      <w:t>Conso</w:t>
                    </w:r>
                    <w:r>
                      <w:rPr>
                        <w:rFonts w:cs="Arial"/>
                        <w:color w:val="FFFFFF" w:themeColor="background1"/>
                        <w:szCs w:val="18"/>
                      </w:rPr>
                      <w:t>lidated Financial Statements – 1</w:t>
                    </w:r>
                    <w:r w:rsidRPr="00A036E0">
                      <w:rPr>
                        <w:rFonts w:cs="Arial"/>
                        <w:color w:val="FFFFFF" w:themeColor="background1"/>
                        <w:szCs w:val="18"/>
                        <w:vertAlign w:val="superscript"/>
                      </w:rPr>
                      <w:t>st</w:t>
                    </w:r>
                    <w:r>
                      <w:rPr>
                        <w:rFonts w:cs="Arial"/>
                        <w:color w:val="FFFFFF" w:themeColor="background1"/>
                        <w:szCs w:val="18"/>
                      </w:rPr>
                      <w:t xml:space="preserve"> Half </w:t>
                    </w:r>
                    <w:r w:rsidRPr="002B7B96">
                      <w:rPr>
                        <w:rFonts w:cs="Arial"/>
                        <w:color w:val="FFFFFF" w:themeColor="background1"/>
                        <w:szCs w:val="18"/>
                      </w:rPr>
                      <w:t>202</w:t>
                    </w:r>
                    <w:r>
                      <w:rPr>
                        <w:rFonts w:cs="Arial"/>
                        <w:color w:val="FFFFFF" w:themeColor="background1"/>
                        <w:szCs w:val="18"/>
                      </w:rPr>
                      <w:t>3</w:t>
                    </w:r>
                    <w:r w:rsidRPr="00AF3549">
                      <w:rPr>
                        <w:rFonts w:cs="Arial"/>
                        <w:color w:val="FFFFFF" w:themeColor="background1"/>
                        <w:szCs w:val="18"/>
                      </w:rPr>
                      <w:br/>
                      <w:t>BB Seguridade Participações S.A.</w:t>
                    </w:r>
                  </w:p>
                  <w:p w14:paraId="1A29FB2B" w14:textId="77777777" w:rsidR="009A3167" w:rsidRPr="00AF3549" w:rsidRDefault="009A3167" w:rsidP="0017189F">
                    <w:pPr>
                      <w:jc w:val="right"/>
                    </w:pPr>
                  </w:p>
                </w:txbxContent>
              </v:textbox>
            </v:shape>
          </w:pict>
        </mc:Fallback>
      </mc:AlternateContent>
    </w:r>
    <w:r>
      <w:tab/>
    </w:r>
    <w:r>
      <w:tab/>
    </w:r>
    <w:r>
      <w:tab/>
    </w:r>
    <w:r w:rsidRPr="00254D35">
      <w:rPr>
        <w:noProof/>
        <w:sz w:val="20"/>
        <w:szCs w:val="20"/>
        <w:lang w:eastAsia="pt-BR"/>
      </w:rPr>
      <mc:AlternateContent>
        <mc:Choice Requires="wps">
          <w:drawing>
            <wp:anchor distT="0" distB="0" distL="114300" distR="114300" simplePos="0" relativeHeight="251679744" behindDoc="0" locked="0" layoutInCell="1" allowOverlap="1" wp14:anchorId="0CE70FD1" wp14:editId="44D23F54">
              <wp:simplePos x="0" y="0"/>
              <wp:positionH relativeFrom="page">
                <wp:posOffset>-1178011</wp:posOffset>
              </wp:positionH>
              <wp:positionV relativeFrom="paragraph">
                <wp:posOffset>-556861</wp:posOffset>
              </wp:positionV>
              <wp:extent cx="11887200" cy="527222"/>
              <wp:effectExtent l="0" t="0" r="0" b="6350"/>
              <wp:wrapNone/>
              <wp:docPr id="102" name="Retângulo 102"/>
              <wp:cNvGraphicFramePr/>
              <a:graphic xmlns:a="http://schemas.openxmlformats.org/drawingml/2006/main">
                <a:graphicData uri="http://schemas.microsoft.com/office/word/2010/wordprocessingShape">
                  <wps:wsp>
                    <wps:cNvSpPr/>
                    <wps:spPr>
                      <a:xfrm>
                        <a:off x="0" y="0"/>
                        <a:ext cx="11887200" cy="527222"/>
                      </a:xfrm>
                      <a:prstGeom prst="rect">
                        <a:avLst/>
                      </a:prstGeom>
                      <a:solidFill>
                        <a:srgbClr val="002D4B"/>
                      </a:solidFill>
                      <a:ln w="12700" cap="flat" cmpd="sng" algn="ctr">
                        <a:noFill/>
                        <a:prstDash val="solid"/>
                        <a:miter lim="800000"/>
                      </a:ln>
                      <a:effectLst/>
                    </wps:spPr>
                    <wps:txbx>
                      <w:txbxContent>
                        <w:p w14:paraId="5795724B" w14:textId="77777777" w:rsidR="009A3167" w:rsidRDefault="009A3167" w:rsidP="00187C45">
                          <w:pPr>
                            <w:ind w:left="708"/>
                            <w:jc w:val="righ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E70FD1" id="Retângulo 102" o:spid="_x0000_s1045" style="position:absolute;left:0;text-align:left;margin-left:-92.75pt;margin-top:-43.85pt;width:13in;height:41.5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" fillcolor="#002d4b" stroked="f" strokeweight="1pt">
              <v:textbox>
                <w:txbxContent>
                  <w:p w14:paraId="5795724B" w14:textId="77777777" w:rsidR="009A3167" w:rsidRDefault="009A3167" w:rsidP="00187C45">
                    <w:pPr>
                      <w:ind w:left="708"/>
                      <w:jc w:val="right"/>
                    </w:pPr>
                  </w:p>
                </w:txbxContent>
              </v:textbox>
              <w10:wrap anchorx="page"/>
            </v:rect>
          </w:pict>
        </mc:Fallback>
      </mc:AlternateContent>
    </w:r>
    <w:r w:rsidRPr="005D303B">
      <w:rPr>
        <w:b/>
        <w:noProof/>
        <w:color w:val="1F4E79" w:themeColor="accent1" w:themeShade="80"/>
        <w:lang w:eastAsia="pt-BR"/>
      </w:rPr>
      <mc:AlternateContent>
        <mc:Choice Requires="wps">
          <w:drawing>
            <wp:anchor distT="0" distB="0" distL="114300" distR="114300" simplePos="0" relativeHeight="251680768" behindDoc="0" locked="0" layoutInCell="1" allowOverlap="1" wp14:anchorId="6C640CEE" wp14:editId="50D45B12">
              <wp:simplePos x="0" y="0"/>
              <wp:positionH relativeFrom="page">
                <wp:posOffset>-720969</wp:posOffset>
              </wp:positionH>
              <wp:positionV relativeFrom="paragraph">
                <wp:posOffset>-48651</wp:posOffset>
              </wp:positionV>
              <wp:extent cx="11406505" cy="45719"/>
              <wp:effectExtent l="0" t="0" r="4445" b="0"/>
              <wp:wrapNone/>
              <wp:docPr id="107" name="Retângulo 14"/>
              <wp:cNvGraphicFramePr/>
              <a:graphic xmlns:a="http://schemas.openxmlformats.org/drawingml/2006/main">
                <a:graphicData uri="http://schemas.microsoft.com/office/word/2010/wordprocessingShape">
                  <wps:wsp>
                    <wps:cNvSpPr/>
                    <wps:spPr>
                      <a:xfrm flipV="1">
                        <a:off x="0" y="0"/>
                        <a:ext cx="11406505" cy="45719"/>
                      </a:xfrm>
                      <a:prstGeom prst="rect">
                        <a:avLst/>
                      </a:prstGeom>
                      <a:solidFill>
                        <a:srgbClr val="F9DD16"/>
                      </a:solidFill>
                      <a:ln w="12700" cap="flat" cmpd="sng" algn="ctr">
                        <a:noFill/>
                        <a:prstDash val="solid"/>
                        <a:miter lim="800000"/>
                      </a:ln>
                      <a:effectLst/>
                    </wps:spPr>
                    <wps:bodyPr anchor="ctr"/>
                  </wps:wsp>
                </a:graphicData>
              </a:graphic>
              <wp14:sizeRelH relativeFrom="margin">
                <wp14:pctWidth>0</wp14:pctWidth>
              </wp14:sizeRelH>
              <wp14:sizeRelV relativeFrom="margin">
                <wp14:pctHeight>0</wp14:pctHeight>
              </wp14:sizeRelV>
            </wp:anchor>
          </w:drawing>
        </mc:Choice>
        <mc:Fallback>
          <w:pict>
            <v:rect w14:anchorId="0CA61AC0" id="Retângulo 14" o:spid="_x0000_s1026" style="position:absolute;margin-left:-56.75pt;margin-top:-3.85pt;width:898.15pt;height:3.6pt;flip:y;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" fillcolor="#f9dd16" stroked="f" strokeweight="1pt">
              <w10:wrap anchorx="page"/>
            </v:rect>
          </w:pict>
        </mc:Fallback>
      </mc:AlternateContent>
    </w:r>
    <w:r>
      <w:rPr>
        <w:noProof/>
        <w:sz w:val="20"/>
        <w:szCs w:val="20"/>
        <w:lang w:eastAsia="pt-BR"/>
      </w:rPr>
      <w:drawing>
        <wp:anchor distT="0" distB="0" distL="114300" distR="114300" simplePos="0" relativeHeight="251681792" behindDoc="0" locked="0" layoutInCell="1" allowOverlap="1" wp14:anchorId="1FD880C0" wp14:editId="7DB6AE68">
          <wp:simplePos x="0" y="0"/>
          <wp:positionH relativeFrom="margin">
            <wp:posOffset>-294957</wp:posOffset>
          </wp:positionH>
          <wp:positionV relativeFrom="page">
            <wp:posOffset>148590</wp:posOffset>
          </wp:positionV>
          <wp:extent cx="967740" cy="198755"/>
          <wp:effectExtent l="0" t="0" r="3810" b="0"/>
          <wp:wrapNone/>
          <wp:docPr id="108" name="Imagem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BB Seguro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67740" cy="198755"/>
                  </a:xfrm>
                  <a:prstGeom prst="rect">
                    <a:avLst/>
                  </a:prstGeom>
                </pic:spPr>
              </pic:pic>
            </a:graphicData>
          </a:graphic>
          <wp14:sizeRelH relativeFrom="margin">
            <wp14:pctWidth>0</wp14:pctWidth>
          </wp14:sizeRelH>
          <wp14:sizeRelV relativeFrom="margin">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EA747C" w14:textId="77777777" w:rsidR="009A3167" w:rsidRDefault="009A3167">
    <w:pPr>
      <w:pStyle w:val="Cabealho"/>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A20BF6" w14:textId="77777777" w:rsidR="009A3167" w:rsidRDefault="009A3167">
    <w:pPr>
      <w:pStyle w:val="Cabealho"/>
    </w:pPr>
    <w:r>
      <w:rPr>
        <w:noProof/>
        <w:lang w:eastAsia="pt-BR"/>
      </w:rPr>
      <mc:AlternateContent>
        <mc:Choice Requires="wps">
          <w:drawing>
            <wp:anchor distT="0" distB="0" distL="114300" distR="114300" simplePos="0" relativeHeight="251632640" behindDoc="0" locked="0" layoutInCell="0" allowOverlap="1" wp14:anchorId="58C50147" wp14:editId="644DC90F">
              <wp:simplePos x="0" y="0"/>
              <wp:positionH relativeFrom="page">
                <wp:posOffset>0</wp:posOffset>
              </wp:positionH>
              <wp:positionV relativeFrom="page">
                <wp:posOffset>190500</wp:posOffset>
              </wp:positionV>
              <wp:extent cx="7560310" cy="266700"/>
              <wp:effectExtent l="0" t="0" r="0" b="0"/>
              <wp:wrapNone/>
              <wp:docPr id="11" name="MSIPCMafbe480880c78337ed6cc877" descr="{&quot;HashCode&quot;:-1487292391,&quot;Height&quot;:841.0,&quot;Width&quot;:595.0,&quot;Placement&quot;:&quot;Head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D56781F" w14:textId="77777777" w:rsidR="009A3167" w:rsidRPr="00F10B26" w:rsidRDefault="009A3167" w:rsidP="008B7E19">
                          <w:pPr>
                            <w:spacing w:after="0"/>
                            <w:jc w:val="right"/>
                            <w:rPr>
                              <w:rFonts w:ascii="Calibri" w:hAnsi="Calibri" w:cs="Calibri"/>
                              <w:color w:val="000000"/>
                              <w:sz w:val="20"/>
                            </w:rPr>
                          </w:pPr>
                          <w:r w:rsidRPr="00F10B26">
                            <w:rPr>
                              <w:rFonts w:ascii="Calibri" w:hAnsi="Calibri" w:cs="Calibri"/>
                              <w:color w:val="000000"/>
                              <w:sz w:val="20"/>
                            </w:rPr>
                            <w:t>#interna</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58C50147" id="_x0000_t202" coordsize="21600,21600" o:spt="202" path="m,l,21600r21600,l21600,xe">
              <v:stroke joinstyle="miter"/>
              <v:path gradientshapeok="t" o:connecttype="rect"/>
            </v:shapetype>
            <v:shape id="MSIPCMafbe480880c78337ed6cc877" o:spid="_x0000_s1046" type="#_x0000_t202" alt="{&quot;HashCode&quot;:-1487292391,&quot;Height&quot;:841.0,&quot;Width&quot;:595.0,&quot;Placement&quot;:&quot;Header&quot;,&quot;Index&quot;:&quot;OddAndEven&quot;,&quot;Section&quot;:1,&quot;Top&quot;:0.0,&quot;Left&quot;:0.0}" style="position:absolute;margin-left:0;margin-top:15pt;width:595.3pt;height:21pt;z-index:2516326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" o:allowincell="f" filled="f" stroked="f" strokeweight=".5pt">
              <v:textbox inset=",0,20pt,0">
                <w:txbxContent>
                  <w:p w14:paraId="5D56781F" w14:textId="77777777" w:rsidR="009A3167" w:rsidRPr="00F10B26" w:rsidRDefault="009A3167" w:rsidP="008B7E19">
                    <w:pPr>
                      <w:spacing w:after="0"/>
                      <w:jc w:val="right"/>
                      <w:rPr>
                        <w:rFonts w:ascii="Calibri" w:hAnsi="Calibri" w:cs="Calibri"/>
                        <w:color w:val="000000"/>
                        <w:sz w:val="20"/>
                      </w:rPr>
                    </w:pPr>
                    <w:r w:rsidRPr="00F10B26">
                      <w:rPr>
                        <w:rFonts w:ascii="Calibri" w:hAnsi="Calibri" w:cs="Calibri"/>
                        <w:color w:val="000000"/>
                        <w:sz w:val="20"/>
                      </w:rPr>
                      <w:t>#interna</w:t>
                    </w: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A3ACCC" w14:textId="77777777" w:rsidR="009A3167" w:rsidRPr="00992545" w:rsidRDefault="009A3167" w:rsidP="00187C45">
    <w:pPr>
      <w:ind w:left="708"/>
      <w:jc w:val="right"/>
    </w:pPr>
    <w:r>
      <w:rPr>
        <w:noProof/>
        <w:sz w:val="20"/>
        <w:szCs w:val="20"/>
        <w:lang w:eastAsia="pt-BR"/>
      </w:rPr>
      <mc:AlternateContent>
        <mc:Choice Requires="wps">
          <w:drawing>
            <wp:anchor distT="0" distB="0" distL="114300" distR="114300" simplePos="0" relativeHeight="251689984" behindDoc="0" locked="0" layoutInCell="1" allowOverlap="1" wp14:anchorId="2C28C748" wp14:editId="17273944">
              <wp:simplePos x="0" y="0"/>
              <wp:positionH relativeFrom="column">
                <wp:posOffset>3019339</wp:posOffset>
              </wp:positionH>
              <wp:positionV relativeFrom="paragraph">
                <wp:posOffset>-479442</wp:posOffset>
              </wp:positionV>
              <wp:extent cx="3629448" cy="402742"/>
              <wp:effectExtent l="0" t="0" r="0" b="0"/>
              <wp:wrapNone/>
              <wp:docPr id="82" name="Caixa de Texto 82"/>
              <wp:cNvGraphicFramePr/>
              <a:graphic xmlns:a="http://schemas.openxmlformats.org/drawingml/2006/main">
                <a:graphicData uri="http://schemas.microsoft.com/office/word/2010/wordprocessingShape">
                  <wps:wsp>
                    <wps:cNvSpPr txBox="1"/>
                    <wps:spPr>
                      <a:xfrm>
                        <a:off x="0" y="0"/>
                        <a:ext cx="3629448" cy="402742"/>
                      </a:xfrm>
                      <a:prstGeom prst="rect">
                        <a:avLst/>
                      </a:prstGeom>
                      <a:noFill/>
                      <a:ln w="6350">
                        <a:noFill/>
                      </a:ln>
                    </wps:spPr>
                    <wps:txbx>
                      <w:txbxContent>
                        <w:p w14:paraId="508511B6" w14:textId="77777777" w:rsidR="009A3167" w:rsidRPr="00AF3549" w:rsidRDefault="009A3167" w:rsidP="0017189F">
                          <w:pPr>
                            <w:jc w:val="right"/>
                          </w:pPr>
                          <w:r w:rsidRPr="002B7B96">
                            <w:rPr>
                              <w:rFonts w:cs="Arial"/>
                              <w:color w:val="FFFFFF" w:themeColor="background1"/>
                              <w:szCs w:val="18"/>
                            </w:rPr>
                            <w:t>Conso</w:t>
                          </w:r>
                          <w:r>
                            <w:rPr>
                              <w:rFonts w:cs="Arial"/>
                              <w:color w:val="FFFFFF" w:themeColor="background1"/>
                              <w:szCs w:val="18"/>
                            </w:rPr>
                            <w:t>lidated Financial Statements – 1</w:t>
                          </w:r>
                          <w:r w:rsidRPr="00A036E0">
                            <w:rPr>
                              <w:rFonts w:cs="Arial"/>
                              <w:color w:val="FFFFFF" w:themeColor="background1"/>
                              <w:szCs w:val="18"/>
                              <w:vertAlign w:val="superscript"/>
                            </w:rPr>
                            <w:t>st</w:t>
                          </w:r>
                          <w:r>
                            <w:rPr>
                              <w:rFonts w:cs="Arial"/>
                              <w:color w:val="FFFFFF" w:themeColor="background1"/>
                              <w:szCs w:val="18"/>
                            </w:rPr>
                            <w:t xml:space="preserve"> Half </w:t>
                          </w:r>
                          <w:r w:rsidRPr="002B7B96">
                            <w:rPr>
                              <w:rFonts w:cs="Arial"/>
                              <w:color w:val="FFFFFF" w:themeColor="background1"/>
                              <w:szCs w:val="18"/>
                            </w:rPr>
                            <w:t>202</w:t>
                          </w:r>
                          <w:r>
                            <w:rPr>
                              <w:rFonts w:cs="Arial"/>
                              <w:color w:val="FFFFFF" w:themeColor="background1"/>
                              <w:szCs w:val="18"/>
                            </w:rPr>
                            <w:t>3</w:t>
                          </w:r>
                          <w:r w:rsidRPr="00AF3549">
                            <w:rPr>
                              <w:rFonts w:cs="Arial"/>
                              <w:color w:val="FFFFFF" w:themeColor="background1"/>
                              <w:szCs w:val="18"/>
                            </w:rPr>
                            <w:br/>
                            <w:t>BB Seguridade Participações S.A.</w:t>
                          </w:r>
                        </w:p>
                        <w:p w14:paraId="1C055FC4" w14:textId="77777777" w:rsidR="009A3167" w:rsidRPr="00AF3549" w:rsidRDefault="009A3167" w:rsidP="0017189F">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28C748" id="_x0000_t202" coordsize="21600,21600" o:spt="202" path="m,l,21600r21600,l21600,xe">
              <v:stroke joinstyle="miter"/>
              <v:path gradientshapeok="t" o:connecttype="rect"/>
            </v:shapetype>
            <v:shape id="Caixa de Texto 82" o:spid="_x0000_s1047" type="#_x0000_t202" style="position:absolute;left:0;text-align:left;margin-left:237.75pt;margin-top:-37.75pt;width:285.8pt;height:31.7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" filled="f" stroked="f" strokeweight=".5pt">
              <v:textbox>
                <w:txbxContent>
                  <w:p w14:paraId="508511B6" w14:textId="77777777" w:rsidR="009A3167" w:rsidRPr="00AF3549" w:rsidRDefault="009A3167" w:rsidP="0017189F">
                    <w:pPr>
                      <w:jc w:val="right"/>
                    </w:pPr>
                    <w:r w:rsidRPr="002B7B96">
                      <w:rPr>
                        <w:rFonts w:cs="Arial"/>
                        <w:color w:val="FFFFFF" w:themeColor="background1"/>
                        <w:szCs w:val="18"/>
                      </w:rPr>
                      <w:t>Conso</w:t>
                    </w:r>
                    <w:r>
                      <w:rPr>
                        <w:rFonts w:cs="Arial"/>
                        <w:color w:val="FFFFFF" w:themeColor="background1"/>
                        <w:szCs w:val="18"/>
                      </w:rPr>
                      <w:t>lidated Financial Statements – 1</w:t>
                    </w:r>
                    <w:r w:rsidRPr="00A036E0">
                      <w:rPr>
                        <w:rFonts w:cs="Arial"/>
                        <w:color w:val="FFFFFF" w:themeColor="background1"/>
                        <w:szCs w:val="18"/>
                        <w:vertAlign w:val="superscript"/>
                      </w:rPr>
                      <w:t>st</w:t>
                    </w:r>
                    <w:r>
                      <w:rPr>
                        <w:rFonts w:cs="Arial"/>
                        <w:color w:val="FFFFFF" w:themeColor="background1"/>
                        <w:szCs w:val="18"/>
                      </w:rPr>
                      <w:t xml:space="preserve"> Half </w:t>
                    </w:r>
                    <w:r w:rsidRPr="002B7B96">
                      <w:rPr>
                        <w:rFonts w:cs="Arial"/>
                        <w:color w:val="FFFFFF" w:themeColor="background1"/>
                        <w:szCs w:val="18"/>
                      </w:rPr>
                      <w:t>202</w:t>
                    </w:r>
                    <w:r>
                      <w:rPr>
                        <w:rFonts w:cs="Arial"/>
                        <w:color w:val="FFFFFF" w:themeColor="background1"/>
                        <w:szCs w:val="18"/>
                      </w:rPr>
                      <w:t>3</w:t>
                    </w:r>
                    <w:r w:rsidRPr="00AF3549">
                      <w:rPr>
                        <w:rFonts w:cs="Arial"/>
                        <w:color w:val="FFFFFF" w:themeColor="background1"/>
                        <w:szCs w:val="18"/>
                      </w:rPr>
                      <w:br/>
                      <w:t>BB Seguridade Participações S.A.</w:t>
                    </w:r>
                  </w:p>
                  <w:p w14:paraId="1C055FC4" w14:textId="77777777" w:rsidR="009A3167" w:rsidRPr="00AF3549" w:rsidRDefault="009A3167" w:rsidP="0017189F">
                    <w:pPr>
                      <w:jc w:val="right"/>
                    </w:pPr>
                  </w:p>
                </w:txbxContent>
              </v:textbox>
            </v:shape>
          </w:pict>
        </mc:Fallback>
      </mc:AlternateContent>
    </w:r>
    <w:r w:rsidRPr="00254D35">
      <w:rPr>
        <w:noProof/>
        <w:sz w:val="20"/>
        <w:szCs w:val="20"/>
        <w:lang w:eastAsia="pt-BR"/>
      </w:rPr>
      <mc:AlternateContent>
        <mc:Choice Requires="wps">
          <w:drawing>
            <wp:anchor distT="0" distB="0" distL="114300" distR="114300" simplePos="0" relativeHeight="251684864" behindDoc="0" locked="0" layoutInCell="1" allowOverlap="1" wp14:anchorId="3291B957" wp14:editId="56CC9FFF">
              <wp:simplePos x="0" y="0"/>
              <wp:positionH relativeFrom="page">
                <wp:posOffset>-1178011</wp:posOffset>
              </wp:positionH>
              <wp:positionV relativeFrom="paragraph">
                <wp:posOffset>-556861</wp:posOffset>
              </wp:positionV>
              <wp:extent cx="11887200" cy="527222"/>
              <wp:effectExtent l="0" t="0" r="0" b="6350"/>
              <wp:wrapNone/>
              <wp:docPr id="86" name="Retângulo 86"/>
              <wp:cNvGraphicFramePr/>
              <a:graphic xmlns:a="http://schemas.openxmlformats.org/drawingml/2006/main">
                <a:graphicData uri="http://schemas.microsoft.com/office/word/2010/wordprocessingShape">
                  <wps:wsp>
                    <wps:cNvSpPr/>
                    <wps:spPr>
                      <a:xfrm>
                        <a:off x="0" y="0"/>
                        <a:ext cx="11887200" cy="527222"/>
                      </a:xfrm>
                      <a:prstGeom prst="rect">
                        <a:avLst/>
                      </a:prstGeom>
                      <a:solidFill>
                        <a:srgbClr val="002D4B"/>
                      </a:solidFill>
                      <a:ln w="12700" cap="flat" cmpd="sng" algn="ctr">
                        <a:noFill/>
                        <a:prstDash val="solid"/>
                        <a:miter lim="800000"/>
                      </a:ln>
                      <a:effectLst/>
                    </wps:spPr>
                    <wps:txbx>
                      <w:txbxContent>
                        <w:p w14:paraId="1537A438" w14:textId="77777777" w:rsidR="009A3167" w:rsidRDefault="009A3167" w:rsidP="00187C45">
                          <w:pPr>
                            <w:ind w:left="708"/>
                            <w:jc w:val="righ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91B957" id="Retângulo 86" o:spid="_x0000_s1048" style="position:absolute;left:0;text-align:left;margin-left:-92.75pt;margin-top:-43.85pt;width:13in;height:41.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" fillcolor="#002d4b" stroked="f" strokeweight="1pt">
              <v:textbox>
                <w:txbxContent>
                  <w:p w14:paraId="1537A438" w14:textId="77777777" w:rsidR="009A3167" w:rsidRDefault="009A3167" w:rsidP="00187C45">
                    <w:pPr>
                      <w:ind w:left="708"/>
                      <w:jc w:val="right"/>
                    </w:pPr>
                  </w:p>
                </w:txbxContent>
              </v:textbox>
              <w10:wrap anchorx="page"/>
            </v:rect>
          </w:pict>
        </mc:Fallback>
      </mc:AlternateContent>
    </w:r>
    <w:r w:rsidRPr="005D303B">
      <w:rPr>
        <w:b/>
        <w:noProof/>
        <w:color w:val="1F4E79" w:themeColor="accent1" w:themeShade="80"/>
        <w:lang w:eastAsia="pt-BR"/>
      </w:rPr>
      <mc:AlternateContent>
        <mc:Choice Requires="wps">
          <w:drawing>
            <wp:anchor distT="0" distB="0" distL="114300" distR="114300" simplePos="0" relativeHeight="251686912" behindDoc="0" locked="0" layoutInCell="1" allowOverlap="1" wp14:anchorId="18FDA435" wp14:editId="0322DF9E">
              <wp:simplePos x="0" y="0"/>
              <wp:positionH relativeFrom="page">
                <wp:posOffset>-720969</wp:posOffset>
              </wp:positionH>
              <wp:positionV relativeFrom="paragraph">
                <wp:posOffset>-48651</wp:posOffset>
              </wp:positionV>
              <wp:extent cx="11406505" cy="45719"/>
              <wp:effectExtent l="0" t="0" r="4445" b="0"/>
              <wp:wrapNone/>
              <wp:docPr id="96" name="Retângulo 14"/>
              <wp:cNvGraphicFramePr/>
              <a:graphic xmlns:a="http://schemas.openxmlformats.org/drawingml/2006/main">
                <a:graphicData uri="http://schemas.microsoft.com/office/word/2010/wordprocessingShape">
                  <wps:wsp>
                    <wps:cNvSpPr/>
                    <wps:spPr>
                      <a:xfrm flipV="1">
                        <a:off x="0" y="0"/>
                        <a:ext cx="11406505" cy="45719"/>
                      </a:xfrm>
                      <a:prstGeom prst="rect">
                        <a:avLst/>
                      </a:prstGeom>
                      <a:solidFill>
                        <a:srgbClr val="F9DD16"/>
                      </a:solidFill>
                      <a:ln w="12700" cap="flat" cmpd="sng" algn="ctr">
                        <a:noFill/>
                        <a:prstDash val="solid"/>
                        <a:miter lim="800000"/>
                      </a:ln>
                      <a:effectLst/>
                    </wps:spPr>
                    <wps:bodyPr anchor="ctr"/>
                  </wps:wsp>
                </a:graphicData>
              </a:graphic>
              <wp14:sizeRelH relativeFrom="margin">
                <wp14:pctWidth>0</wp14:pctWidth>
              </wp14:sizeRelH>
              <wp14:sizeRelV relativeFrom="margin">
                <wp14:pctHeight>0</wp14:pctHeight>
              </wp14:sizeRelV>
            </wp:anchor>
          </w:drawing>
        </mc:Choice>
        <mc:Fallback>
          <w:pict>
            <v:rect w14:anchorId="2F9A169C" id="Retângulo 14" o:spid="_x0000_s1026" style="position:absolute;margin-left:-56.75pt;margin-top:-3.85pt;width:898.15pt;height:3.6pt;flip:y;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" fillcolor="#f9dd16" stroked="f" strokeweight="1pt">
              <w10:wrap anchorx="page"/>
            </v:rect>
          </w:pict>
        </mc:Fallback>
      </mc:AlternateContent>
    </w:r>
    <w:r>
      <w:rPr>
        <w:noProof/>
        <w:sz w:val="20"/>
        <w:szCs w:val="20"/>
        <w:lang w:eastAsia="pt-BR"/>
      </w:rPr>
      <w:drawing>
        <wp:anchor distT="0" distB="0" distL="114300" distR="114300" simplePos="0" relativeHeight="251688960" behindDoc="0" locked="0" layoutInCell="1" allowOverlap="1" wp14:anchorId="3E2EDBA2" wp14:editId="6BE96C0A">
          <wp:simplePos x="0" y="0"/>
          <wp:positionH relativeFrom="margin">
            <wp:posOffset>-294957</wp:posOffset>
          </wp:positionH>
          <wp:positionV relativeFrom="page">
            <wp:posOffset>148590</wp:posOffset>
          </wp:positionV>
          <wp:extent cx="967740" cy="198755"/>
          <wp:effectExtent l="0" t="0" r="3810" b="0"/>
          <wp:wrapNone/>
          <wp:docPr id="97" name="Imagem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BB Seguro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67740" cy="198755"/>
                  </a:xfrm>
                  <a:prstGeom prst="rect">
                    <a:avLst/>
                  </a:prstGeom>
                </pic:spPr>
              </pic:pic>
            </a:graphicData>
          </a:graphic>
          <wp14:sizeRelH relativeFrom="margin">
            <wp14:pctWidth>0</wp14:pctWidth>
          </wp14:sizeRelH>
          <wp14:sizeRelV relativeFrom="margin">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60AC3A" w14:textId="6F795066" w:rsidR="009A3167" w:rsidRPr="00147488" w:rsidRDefault="009A3167" w:rsidP="008B7E19">
    <w:pPr>
      <w:pStyle w:val="Cabealho"/>
      <w:tabs>
        <w:tab w:val="clear" w:pos="4252"/>
        <w:tab w:val="clear" w:pos="8504"/>
        <w:tab w:val="left" w:pos="5625"/>
      </w:tabs>
    </w:pPr>
    <w:r w:rsidRPr="005D303B">
      <w:rPr>
        <w:rFonts w:cs="Arial"/>
        <w:b/>
        <w:noProof/>
        <w:color w:val="1F4E79" w:themeColor="accent1" w:themeShade="80"/>
        <w:szCs w:val="18"/>
        <w:lang w:eastAsia="pt-BR"/>
      </w:rPr>
      <w:drawing>
        <wp:anchor distT="0" distB="0" distL="114300" distR="114300" simplePos="0" relativeHeight="251634688" behindDoc="0" locked="0" layoutInCell="1" allowOverlap="1" wp14:anchorId="2D64B735" wp14:editId="36EB84D6">
          <wp:simplePos x="0" y="0"/>
          <wp:positionH relativeFrom="margin">
            <wp:posOffset>-447675</wp:posOffset>
          </wp:positionH>
          <wp:positionV relativeFrom="paragraph">
            <wp:posOffset>-353060</wp:posOffset>
          </wp:positionV>
          <wp:extent cx="1176020" cy="259080"/>
          <wp:effectExtent l="0" t="0" r="5080" b="7620"/>
          <wp:wrapNone/>
          <wp:docPr id="34" name="Imagem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m 1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6020" cy="259080"/>
                  </a:xfrm>
                  <a:prstGeom prst="rect">
                    <a:avLst/>
                  </a:prstGeom>
                </pic:spPr>
              </pic:pic>
            </a:graphicData>
          </a:graphic>
          <wp14:sizeRelH relativeFrom="margin">
            <wp14:pctWidth>0</wp14:pctWidth>
          </wp14:sizeRelH>
          <wp14:sizeRelV relativeFrom="margin">
            <wp14:pctHeight>0</wp14:pctHeight>
          </wp14:sizeRelV>
        </wp:anchor>
      </w:drawing>
    </w:r>
    <w:r w:rsidRPr="0069353A">
      <w:rPr>
        <w:noProof/>
        <w:sz w:val="20"/>
        <w:szCs w:val="20"/>
        <w:lang w:eastAsia="pt-BR"/>
      </w:rPr>
      <mc:AlternateContent>
        <mc:Choice Requires="wps">
          <w:drawing>
            <wp:anchor distT="0" distB="0" distL="114300" distR="114300" simplePos="0" relativeHeight="251633664" behindDoc="1" locked="0" layoutInCell="1" allowOverlap="1" wp14:anchorId="0D511687" wp14:editId="0453CD74">
              <wp:simplePos x="0" y="0"/>
              <wp:positionH relativeFrom="page">
                <wp:align>left</wp:align>
              </wp:positionH>
              <wp:positionV relativeFrom="paragraph">
                <wp:posOffset>-542925</wp:posOffset>
              </wp:positionV>
              <wp:extent cx="7553325" cy="657860"/>
              <wp:effectExtent l="0" t="0" r="9525" b="8890"/>
              <wp:wrapThrough wrapText="bothSides">
                <wp:wrapPolygon edited="0">
                  <wp:start x="0" y="0"/>
                  <wp:lineTo x="0" y="21266"/>
                  <wp:lineTo x="21573" y="21266"/>
                  <wp:lineTo x="21573" y="0"/>
                  <wp:lineTo x="0" y="0"/>
                </wp:wrapPolygon>
              </wp:wrapThrough>
              <wp:docPr id="19" name="Retângulo 19"/>
              <wp:cNvGraphicFramePr/>
              <a:graphic xmlns:a="http://schemas.openxmlformats.org/drawingml/2006/main">
                <a:graphicData uri="http://schemas.microsoft.com/office/word/2010/wordprocessingShape">
                  <wps:wsp>
                    <wps:cNvSpPr/>
                    <wps:spPr>
                      <a:xfrm>
                        <a:off x="0" y="0"/>
                        <a:ext cx="7553325" cy="657860"/>
                      </a:xfrm>
                      <a:prstGeom prst="rect">
                        <a:avLst/>
                      </a:prstGeom>
                      <a:solidFill>
                        <a:srgbClr val="0038A8"/>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5043DC" id="Retângulo 19" o:spid="_x0000_s1026" style="position:absolute;margin-left:0;margin-top:-42.75pt;width:594.75pt;height:51.8pt;z-index:-25168281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" fillcolor="#0038a8" stroked="f" strokeweight="1pt">
              <w10:wrap type="through" anchorx="page"/>
            </v:rect>
          </w:pict>
        </mc:Fallback>
      </mc:AlternateContent>
    </w:r>
    <w:r w:rsidRPr="005D303B">
      <w:rPr>
        <w:rFonts w:cs="Arial"/>
        <w:b/>
        <w:noProof/>
        <w:color w:val="1F4E79" w:themeColor="accent1" w:themeShade="80"/>
        <w:szCs w:val="18"/>
        <w:lang w:eastAsia="pt-BR"/>
      </w:rPr>
      <mc:AlternateContent>
        <mc:Choice Requires="wps">
          <w:drawing>
            <wp:anchor distT="0" distB="0" distL="114300" distR="114300" simplePos="0" relativeHeight="251635712" behindDoc="0" locked="0" layoutInCell="1" allowOverlap="1" wp14:anchorId="156D5AD4" wp14:editId="1DFD881A">
              <wp:simplePos x="0" y="0"/>
              <wp:positionH relativeFrom="page">
                <wp:posOffset>0</wp:posOffset>
              </wp:positionH>
              <wp:positionV relativeFrom="paragraph">
                <wp:posOffset>77252</wp:posOffset>
              </wp:positionV>
              <wp:extent cx="9144000" cy="53340"/>
              <wp:effectExtent l="0" t="0" r="0" b="3810"/>
              <wp:wrapNone/>
              <wp:docPr id="20" name="Retângulo 14"/>
              <wp:cNvGraphicFramePr/>
              <a:graphic xmlns:a="http://schemas.openxmlformats.org/drawingml/2006/main">
                <a:graphicData uri="http://schemas.microsoft.com/office/word/2010/wordprocessingShape">
                  <wps:wsp>
                    <wps:cNvSpPr/>
                    <wps:spPr>
                      <a:xfrm>
                        <a:off x="0" y="0"/>
                        <a:ext cx="9144000" cy="53340"/>
                      </a:xfrm>
                      <a:prstGeom prst="rect">
                        <a:avLst/>
                      </a:prstGeom>
                      <a:solidFill>
                        <a:srgbClr val="F5E500"/>
                      </a:solidFill>
                      <a:ln>
                        <a:noFill/>
                      </a:ln>
                    </wps:spPr>
                    <wps:style>
                      <a:lnRef idx="2">
                        <a:schemeClr val="accent6">
                          <a:shade val="50000"/>
                        </a:schemeClr>
                      </a:lnRef>
                      <a:fillRef idx="1">
                        <a:schemeClr val="accent6"/>
                      </a:fillRef>
                      <a:effectRef idx="0">
                        <a:schemeClr val="accent6"/>
                      </a:effectRef>
                      <a:fontRef idx="minor">
                        <a:schemeClr val="lt1"/>
                      </a:fontRef>
                    </wps:style>
                    <wps:bodyPr anchor="ctr"/>
                  </wps:wsp>
                </a:graphicData>
              </a:graphic>
            </wp:anchor>
          </w:drawing>
        </mc:Choice>
        <mc:Fallback>
          <w:pict>
            <v:rect w14:anchorId="51FA8944" id="Retângulo 14" o:spid="_x0000_s1026" style="position:absolute;margin-left:0;margin-top:6.1pt;width:10in;height:4.2pt;z-index:251635712;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" fillcolor="#f5e500" stroked="f" strokeweight="1pt">
              <w10:wrap anchorx="page"/>
            </v:rect>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7C2318" w14:textId="77777777" w:rsidR="009A3167" w:rsidRDefault="009A3167">
    <w:pPr>
      <w:pStyle w:val="Cabealho"/>
    </w:pPr>
    <w:r>
      <w:rPr>
        <w:noProof/>
        <w:lang w:eastAsia="pt-BR"/>
      </w:rPr>
      <mc:AlternateContent>
        <mc:Choice Requires="wps">
          <w:drawing>
            <wp:anchor distT="0" distB="0" distL="114300" distR="114300" simplePos="0" relativeHeight="251637760" behindDoc="0" locked="0" layoutInCell="0" allowOverlap="1" wp14:anchorId="3918427F" wp14:editId="18283072">
              <wp:simplePos x="0" y="0"/>
              <wp:positionH relativeFrom="page">
                <wp:posOffset>0</wp:posOffset>
              </wp:positionH>
              <wp:positionV relativeFrom="page">
                <wp:posOffset>190500</wp:posOffset>
              </wp:positionV>
              <wp:extent cx="7560310" cy="266700"/>
              <wp:effectExtent l="0" t="0" r="0" b="0"/>
              <wp:wrapNone/>
              <wp:docPr id="10" name="MSIPCMafbe480880c78337ed6cc877" descr="{&quot;HashCode&quot;:-1487292391,&quot;Height&quot;:841.0,&quot;Width&quot;:595.0,&quot;Placement&quot;:&quot;Head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B136498" w14:textId="77777777" w:rsidR="009A3167" w:rsidRPr="00F10B26" w:rsidRDefault="009A3167" w:rsidP="008B7E19">
                          <w:pPr>
                            <w:spacing w:after="0"/>
                            <w:jc w:val="right"/>
                            <w:rPr>
                              <w:rFonts w:ascii="Calibri" w:hAnsi="Calibri" w:cs="Calibri"/>
                              <w:color w:val="000000"/>
                              <w:sz w:val="20"/>
                            </w:rPr>
                          </w:pPr>
                          <w:r w:rsidRPr="00F10B26">
                            <w:rPr>
                              <w:rFonts w:ascii="Calibri" w:hAnsi="Calibri" w:cs="Calibri"/>
                              <w:color w:val="000000"/>
                              <w:sz w:val="20"/>
                            </w:rPr>
                            <w:t>#interna</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3918427F" id="_x0000_t202" coordsize="21600,21600" o:spt="202" path="m,l,21600r21600,l21600,xe">
              <v:stroke joinstyle="miter"/>
              <v:path gradientshapeok="t" o:connecttype="rect"/>
            </v:shapetype>
            <v:shape id="_x0000_s1049" type="#_x0000_t202" alt="{&quot;HashCode&quot;:-1487292391,&quot;Height&quot;:841.0,&quot;Width&quot;:595.0,&quot;Placement&quot;:&quot;Header&quot;,&quot;Index&quot;:&quot;OddAndEven&quot;,&quot;Section&quot;:1,&quot;Top&quot;:0.0,&quot;Left&quot;:0.0}" style="position:absolute;margin-left:0;margin-top:15pt;width:595.3pt;height:21pt;z-index:25163776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" o:allowincell="f" filled="f" stroked="f" strokeweight=".5pt">
              <v:textbox inset=",0,20pt,0">
                <w:txbxContent>
                  <w:p w14:paraId="3B136498" w14:textId="77777777" w:rsidR="009A3167" w:rsidRPr="00F10B26" w:rsidRDefault="009A3167" w:rsidP="008B7E19">
                    <w:pPr>
                      <w:spacing w:after="0"/>
                      <w:jc w:val="right"/>
                      <w:rPr>
                        <w:rFonts w:ascii="Calibri" w:hAnsi="Calibri" w:cs="Calibri"/>
                        <w:color w:val="000000"/>
                        <w:sz w:val="20"/>
                      </w:rPr>
                    </w:pPr>
                    <w:r w:rsidRPr="00F10B26">
                      <w:rPr>
                        <w:rFonts w:ascii="Calibri" w:hAnsi="Calibri" w:cs="Calibri"/>
                        <w:color w:val="000000"/>
                        <w:sz w:val="20"/>
                      </w:rPr>
                      <w:t>#interna</w:t>
                    </w:r>
                  </w:p>
                </w:txbxContent>
              </v:textbox>
              <w10:wrap anchorx="page" anchory="page"/>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79C001" w14:textId="1746721C" w:rsidR="009A3167" w:rsidRPr="00147488" w:rsidRDefault="009A3167" w:rsidP="008B7E19">
    <w:pPr>
      <w:pStyle w:val="Cabealho"/>
      <w:tabs>
        <w:tab w:val="clear" w:pos="4252"/>
        <w:tab w:val="clear" w:pos="8504"/>
        <w:tab w:val="left" w:pos="5625"/>
      </w:tabs>
    </w:pPr>
    <w:r w:rsidRPr="005D303B">
      <w:rPr>
        <w:rFonts w:cs="Arial"/>
        <w:b/>
        <w:noProof/>
        <w:color w:val="1F4E79" w:themeColor="accent1" w:themeShade="80"/>
        <w:szCs w:val="18"/>
        <w:lang w:eastAsia="pt-BR"/>
      </w:rPr>
      <w:drawing>
        <wp:anchor distT="0" distB="0" distL="114300" distR="114300" simplePos="0" relativeHeight="251639808" behindDoc="0" locked="0" layoutInCell="1" allowOverlap="1" wp14:anchorId="2F781A50" wp14:editId="52CE1E96">
          <wp:simplePos x="0" y="0"/>
          <wp:positionH relativeFrom="margin">
            <wp:posOffset>-447675</wp:posOffset>
          </wp:positionH>
          <wp:positionV relativeFrom="paragraph">
            <wp:posOffset>-353060</wp:posOffset>
          </wp:positionV>
          <wp:extent cx="1176020" cy="259080"/>
          <wp:effectExtent l="0" t="0" r="5080" b="7620"/>
          <wp:wrapNone/>
          <wp:docPr id="35" name="Imagem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m 1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6020" cy="259080"/>
                  </a:xfrm>
                  <a:prstGeom prst="rect">
                    <a:avLst/>
                  </a:prstGeom>
                </pic:spPr>
              </pic:pic>
            </a:graphicData>
          </a:graphic>
          <wp14:sizeRelH relativeFrom="margin">
            <wp14:pctWidth>0</wp14:pctWidth>
          </wp14:sizeRelH>
          <wp14:sizeRelV relativeFrom="margin">
            <wp14:pctHeight>0</wp14:pctHeight>
          </wp14:sizeRelV>
        </wp:anchor>
      </w:drawing>
    </w:r>
    <w:r w:rsidRPr="0069353A">
      <w:rPr>
        <w:noProof/>
        <w:sz w:val="20"/>
        <w:szCs w:val="20"/>
        <w:lang w:eastAsia="pt-BR"/>
      </w:rPr>
      <mc:AlternateContent>
        <mc:Choice Requires="wps">
          <w:drawing>
            <wp:anchor distT="0" distB="0" distL="114300" distR="114300" simplePos="0" relativeHeight="251638784" behindDoc="1" locked="0" layoutInCell="1" allowOverlap="1" wp14:anchorId="7555C72E" wp14:editId="4878486B">
              <wp:simplePos x="0" y="0"/>
              <wp:positionH relativeFrom="page">
                <wp:align>left</wp:align>
              </wp:positionH>
              <wp:positionV relativeFrom="paragraph">
                <wp:posOffset>-542925</wp:posOffset>
              </wp:positionV>
              <wp:extent cx="7553325" cy="657860"/>
              <wp:effectExtent l="0" t="0" r="9525" b="8890"/>
              <wp:wrapThrough wrapText="bothSides">
                <wp:wrapPolygon edited="0">
                  <wp:start x="0" y="0"/>
                  <wp:lineTo x="0" y="21266"/>
                  <wp:lineTo x="21573" y="21266"/>
                  <wp:lineTo x="21573" y="0"/>
                  <wp:lineTo x="0" y="0"/>
                </wp:wrapPolygon>
              </wp:wrapThrough>
              <wp:docPr id="25" name="Retângulo 25"/>
              <wp:cNvGraphicFramePr/>
              <a:graphic xmlns:a="http://schemas.openxmlformats.org/drawingml/2006/main">
                <a:graphicData uri="http://schemas.microsoft.com/office/word/2010/wordprocessingShape">
                  <wps:wsp>
                    <wps:cNvSpPr/>
                    <wps:spPr>
                      <a:xfrm>
                        <a:off x="0" y="0"/>
                        <a:ext cx="7553325" cy="657860"/>
                      </a:xfrm>
                      <a:prstGeom prst="rect">
                        <a:avLst/>
                      </a:prstGeom>
                      <a:solidFill>
                        <a:srgbClr val="0038A8"/>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31AA62" id="Retângulo 25" o:spid="_x0000_s1026" style="position:absolute;margin-left:0;margin-top:-42.75pt;width:594.75pt;height:51.8pt;z-index:-25167769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" fillcolor="#0038a8" stroked="f" strokeweight="1pt">
              <w10:wrap type="through" anchorx="page"/>
            </v:rect>
          </w:pict>
        </mc:Fallback>
      </mc:AlternateContent>
    </w:r>
    <w:r w:rsidRPr="005D303B">
      <w:rPr>
        <w:rFonts w:cs="Arial"/>
        <w:b/>
        <w:noProof/>
        <w:color w:val="1F4E79" w:themeColor="accent1" w:themeShade="80"/>
        <w:szCs w:val="18"/>
        <w:lang w:eastAsia="pt-BR"/>
      </w:rPr>
      <mc:AlternateContent>
        <mc:Choice Requires="wps">
          <w:drawing>
            <wp:anchor distT="0" distB="0" distL="114300" distR="114300" simplePos="0" relativeHeight="251640832" behindDoc="0" locked="0" layoutInCell="1" allowOverlap="1" wp14:anchorId="4FC2D591" wp14:editId="497F083D">
              <wp:simplePos x="0" y="0"/>
              <wp:positionH relativeFrom="page">
                <wp:posOffset>0</wp:posOffset>
              </wp:positionH>
              <wp:positionV relativeFrom="paragraph">
                <wp:posOffset>77252</wp:posOffset>
              </wp:positionV>
              <wp:extent cx="9144000" cy="53340"/>
              <wp:effectExtent l="0" t="0" r="0" b="3810"/>
              <wp:wrapNone/>
              <wp:docPr id="30" name="Retângulo 14"/>
              <wp:cNvGraphicFramePr/>
              <a:graphic xmlns:a="http://schemas.openxmlformats.org/drawingml/2006/main">
                <a:graphicData uri="http://schemas.microsoft.com/office/word/2010/wordprocessingShape">
                  <wps:wsp>
                    <wps:cNvSpPr/>
                    <wps:spPr>
                      <a:xfrm>
                        <a:off x="0" y="0"/>
                        <a:ext cx="9144000" cy="53340"/>
                      </a:xfrm>
                      <a:prstGeom prst="rect">
                        <a:avLst/>
                      </a:prstGeom>
                      <a:solidFill>
                        <a:srgbClr val="F5E500"/>
                      </a:solidFill>
                      <a:ln>
                        <a:noFill/>
                      </a:ln>
                    </wps:spPr>
                    <wps:style>
                      <a:lnRef idx="2">
                        <a:schemeClr val="accent6">
                          <a:shade val="50000"/>
                        </a:schemeClr>
                      </a:lnRef>
                      <a:fillRef idx="1">
                        <a:schemeClr val="accent6"/>
                      </a:fillRef>
                      <a:effectRef idx="0">
                        <a:schemeClr val="accent6"/>
                      </a:effectRef>
                      <a:fontRef idx="minor">
                        <a:schemeClr val="lt1"/>
                      </a:fontRef>
                    </wps:style>
                    <wps:bodyPr anchor="ctr"/>
                  </wps:wsp>
                </a:graphicData>
              </a:graphic>
            </wp:anchor>
          </w:drawing>
        </mc:Choice>
        <mc:Fallback>
          <w:pict>
            <v:rect w14:anchorId="22C472A6" id="Retângulo 14" o:spid="_x0000_s1026" style="position:absolute;margin-left:0;margin-top:6.1pt;width:10in;height:4.2pt;z-index:251640832;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" fillcolor="#f5e500" stroked="f" strokeweight="1pt">
              <w10:wrap anchorx="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936955" w14:textId="5A152F4C" w:rsidR="009A3167" w:rsidRPr="000D75D0" w:rsidRDefault="009A3167" w:rsidP="000D75D0">
    <w:pPr>
      <w:pStyle w:val="Cabealho"/>
      <w:rPr>
        <w:sz w:val="2"/>
        <w:szCs w:val="2"/>
      </w:rPr>
    </w:pPr>
    <w:r>
      <w:rPr>
        <w:noProof/>
        <w:sz w:val="2"/>
        <w:szCs w:val="2"/>
        <w:lang w:eastAsia="pt-BR"/>
      </w:rPr>
      <mc:AlternateContent>
        <mc:Choice Requires="wps">
          <w:drawing>
            <wp:anchor distT="0" distB="0" distL="114300" distR="114300" simplePos="0" relativeHeight="251694080" behindDoc="0" locked="0" layoutInCell="0" allowOverlap="1" wp14:anchorId="79C46F51" wp14:editId="77A374E5">
              <wp:simplePos x="0" y="0"/>
              <wp:positionH relativeFrom="page">
                <wp:align>right</wp:align>
              </wp:positionH>
              <wp:positionV relativeFrom="page">
                <wp:align>top</wp:align>
              </wp:positionV>
              <wp:extent cx="7772400" cy="463550"/>
              <wp:effectExtent l="0" t="0" r="0" b="12700"/>
              <wp:wrapNone/>
              <wp:docPr id="6" name="MSIPCM1fed4c11bf54bb26f1c35e08" descr="{&quot;HashCode&quot;:-1487292391,&quot;Height&quot;:9999999.0,&quot;Width&quot;:9999999.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E7C0946" w14:textId="3E79C1BC" w:rsidR="009A3167" w:rsidRPr="001D5662" w:rsidRDefault="001D5662" w:rsidP="001D5662">
                          <w:pPr>
                            <w:spacing w:after="0"/>
                            <w:jc w:val="right"/>
                            <w:rPr>
                              <w:rFonts w:ascii="Calibri" w:hAnsi="Calibri" w:cs="Calibri"/>
                              <w:color w:val="000000"/>
                              <w:sz w:val="20"/>
                            </w:rPr>
                          </w:pPr>
                          <w:r w:rsidRPr="001D5662">
                            <w:rPr>
                              <w:rFonts w:ascii="Calibri" w:hAnsi="Calibri" w:cs="Calibri"/>
                              <w:color w:val="000000"/>
                              <w:sz w:val="20"/>
                            </w:rPr>
                            <w:t>#interna</w:t>
                          </w: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79C46F51" id="_x0000_t202" coordsize="21600,21600" o:spt="202" path="m,l,21600r21600,l21600,xe">
              <v:stroke joinstyle="miter"/>
              <v:path gradientshapeok="t" o:connecttype="rect"/>
            </v:shapetype>
            <v:shape id="MSIPCM1fed4c11bf54bb26f1c35e08" o:spid="_x0000_s1027" type="#_x0000_t202" alt="{&quot;HashCode&quot;:-1487292391,&quot;Height&quot;:9999999.0,&quot;Width&quot;:9999999.0,&quot;Placement&quot;:&quot;Header&quot;,&quot;Index&quot;:&quot;Primary&quot;,&quot;Section&quot;:1,&quot;Top&quot;:0.0,&quot;Left&quot;:0.0}" style="position:absolute;margin-left:560.8pt;margin-top:0;width:612pt;height:36.5pt;z-index:251694080;visibility:visible;mso-wrap-style:square;mso-wrap-distance-left:9pt;mso-wrap-distance-top:0;mso-wrap-distance-right:9pt;mso-wrap-distance-bottom:0;mso-position-horizontal:righ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" o:allowincell="f" filled="f" stroked="f" strokeweight=".5pt">
              <v:textbox inset=",0,20pt,0">
                <w:txbxContent>
                  <w:p w14:paraId="1E7C0946" w14:textId="3E79C1BC" w:rsidR="009A3167" w:rsidRPr="001D5662" w:rsidRDefault="001D5662" w:rsidP="001D5662">
                    <w:pPr>
                      <w:spacing w:after="0"/>
                      <w:jc w:val="right"/>
                      <w:rPr>
                        <w:rFonts w:ascii="Calibri" w:hAnsi="Calibri" w:cs="Calibri"/>
                        <w:color w:val="000000"/>
                        <w:sz w:val="20"/>
                      </w:rPr>
                    </w:pPr>
                    <w:r w:rsidRPr="001D5662">
                      <w:rPr>
                        <w:rFonts w:ascii="Calibri" w:hAnsi="Calibri" w:cs="Calibri"/>
                        <w:color w:val="000000"/>
                        <w:sz w:val="20"/>
                      </w:rPr>
                      <w:t>#interna</w:t>
                    </w:r>
                  </w:p>
                </w:txbxContent>
              </v:textbox>
              <w10:wrap anchorx="page" anchory="page"/>
            </v:shape>
          </w:pict>
        </mc:Fallback>
      </mc:AlternateContent>
    </w: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C8D3A3" w14:textId="77777777" w:rsidR="009A3167" w:rsidRDefault="009A3167">
    <w:pPr>
      <w:pStyle w:val="Cabealho"/>
    </w:pPr>
    <w:r>
      <w:rPr>
        <w:noProof/>
        <w:lang w:eastAsia="pt-BR"/>
      </w:rPr>
      <mc:AlternateContent>
        <mc:Choice Requires="wps">
          <w:drawing>
            <wp:anchor distT="0" distB="0" distL="114300" distR="114300" simplePos="0" relativeHeight="251642880" behindDoc="0" locked="0" layoutInCell="0" allowOverlap="1" wp14:anchorId="372067A9" wp14:editId="2A32AD62">
              <wp:simplePos x="0" y="0"/>
              <wp:positionH relativeFrom="page">
                <wp:posOffset>0</wp:posOffset>
              </wp:positionH>
              <wp:positionV relativeFrom="page">
                <wp:posOffset>190500</wp:posOffset>
              </wp:positionV>
              <wp:extent cx="7560310" cy="266700"/>
              <wp:effectExtent l="0" t="0" r="0" b="0"/>
              <wp:wrapNone/>
              <wp:docPr id="3" name="MSIPCMafbe480880c78337ed6cc877" descr="{&quot;HashCode&quot;:-1487292391,&quot;Height&quot;:841.0,&quot;Width&quot;:595.0,&quot;Placement&quot;:&quot;Head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EA7A094" w14:textId="77777777" w:rsidR="009A3167" w:rsidRPr="00F10B26" w:rsidRDefault="009A3167" w:rsidP="008B7E19">
                          <w:pPr>
                            <w:spacing w:after="0"/>
                            <w:jc w:val="right"/>
                            <w:rPr>
                              <w:rFonts w:ascii="Calibri" w:hAnsi="Calibri" w:cs="Calibri"/>
                              <w:color w:val="000000"/>
                              <w:sz w:val="20"/>
                            </w:rPr>
                          </w:pPr>
                          <w:r w:rsidRPr="00F10B26">
                            <w:rPr>
                              <w:rFonts w:ascii="Calibri" w:hAnsi="Calibri" w:cs="Calibri"/>
                              <w:color w:val="000000"/>
                              <w:sz w:val="20"/>
                            </w:rPr>
                            <w:t>#interna</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372067A9" id="_x0000_t202" coordsize="21600,21600" o:spt="202" path="m,l,21600r21600,l21600,xe">
              <v:stroke joinstyle="miter"/>
              <v:path gradientshapeok="t" o:connecttype="rect"/>
            </v:shapetype>
            <v:shape id="_x0000_s1050" type="#_x0000_t202" alt="{&quot;HashCode&quot;:-1487292391,&quot;Height&quot;:841.0,&quot;Width&quot;:595.0,&quot;Placement&quot;:&quot;Header&quot;,&quot;Index&quot;:&quot;OddAndEven&quot;,&quot;Section&quot;:1,&quot;Top&quot;:0.0,&quot;Left&quot;:0.0}" style="position:absolute;margin-left:0;margin-top:15pt;width:595.3pt;height:21pt;z-index:2516428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" o:allowincell="f" filled="f" stroked="f" strokeweight=".5pt">
              <v:textbox inset=",0,20pt,0">
                <w:txbxContent>
                  <w:p w14:paraId="0EA7A094" w14:textId="77777777" w:rsidR="009A3167" w:rsidRPr="00F10B26" w:rsidRDefault="009A3167" w:rsidP="008B7E19">
                    <w:pPr>
                      <w:spacing w:after="0"/>
                      <w:jc w:val="right"/>
                      <w:rPr>
                        <w:rFonts w:ascii="Calibri" w:hAnsi="Calibri" w:cs="Calibri"/>
                        <w:color w:val="000000"/>
                        <w:sz w:val="20"/>
                      </w:rPr>
                    </w:pPr>
                    <w:r w:rsidRPr="00F10B26">
                      <w:rPr>
                        <w:rFonts w:ascii="Calibri" w:hAnsi="Calibri" w:cs="Calibri"/>
                        <w:color w:val="000000"/>
                        <w:sz w:val="20"/>
                      </w:rPr>
                      <w:t>#interna</w:t>
                    </w:r>
                  </w:p>
                </w:txbxContent>
              </v:textbox>
              <w10:wrap anchorx="page" anchory="page"/>
            </v:shape>
          </w:pict>
        </mc:Fallback>
      </mc:AlternateContent>
    </w: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885378" w14:textId="2D43E1C5" w:rsidR="009A3167" w:rsidRPr="00147488" w:rsidRDefault="009A3167" w:rsidP="008B7E19">
    <w:pPr>
      <w:pStyle w:val="Cabealho"/>
      <w:tabs>
        <w:tab w:val="clear" w:pos="4252"/>
        <w:tab w:val="clear" w:pos="8504"/>
        <w:tab w:val="left" w:pos="5625"/>
      </w:tabs>
    </w:pPr>
    <w:r w:rsidRPr="005D303B">
      <w:rPr>
        <w:rFonts w:cs="Arial"/>
        <w:b/>
        <w:noProof/>
        <w:color w:val="1F4E79" w:themeColor="accent1" w:themeShade="80"/>
        <w:szCs w:val="18"/>
        <w:lang w:eastAsia="pt-BR"/>
      </w:rPr>
      <w:drawing>
        <wp:anchor distT="0" distB="0" distL="114300" distR="114300" simplePos="0" relativeHeight="251654144" behindDoc="0" locked="0" layoutInCell="1" allowOverlap="1" wp14:anchorId="764808FA" wp14:editId="255F841C">
          <wp:simplePos x="0" y="0"/>
          <wp:positionH relativeFrom="margin">
            <wp:posOffset>-447675</wp:posOffset>
          </wp:positionH>
          <wp:positionV relativeFrom="paragraph">
            <wp:posOffset>-353060</wp:posOffset>
          </wp:positionV>
          <wp:extent cx="1176020" cy="259080"/>
          <wp:effectExtent l="0" t="0" r="5080" b="7620"/>
          <wp:wrapNone/>
          <wp:docPr id="109"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m 1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6020" cy="259080"/>
                  </a:xfrm>
                  <a:prstGeom prst="rect">
                    <a:avLst/>
                  </a:prstGeom>
                </pic:spPr>
              </pic:pic>
            </a:graphicData>
          </a:graphic>
          <wp14:sizeRelH relativeFrom="margin">
            <wp14:pctWidth>0</wp14:pctWidth>
          </wp14:sizeRelH>
          <wp14:sizeRelV relativeFrom="margin">
            <wp14:pctHeight>0</wp14:pctHeight>
          </wp14:sizeRelV>
        </wp:anchor>
      </w:drawing>
    </w:r>
    <w:r w:rsidRPr="0069353A">
      <w:rPr>
        <w:noProof/>
        <w:sz w:val="20"/>
        <w:szCs w:val="20"/>
        <w:lang w:eastAsia="pt-BR"/>
      </w:rPr>
      <mc:AlternateContent>
        <mc:Choice Requires="wps">
          <w:drawing>
            <wp:anchor distT="0" distB="0" distL="114300" distR="114300" simplePos="0" relativeHeight="251646976" behindDoc="1" locked="0" layoutInCell="1" allowOverlap="1" wp14:anchorId="7FF32A5F" wp14:editId="5C5BE7BC">
              <wp:simplePos x="0" y="0"/>
              <wp:positionH relativeFrom="page">
                <wp:align>left</wp:align>
              </wp:positionH>
              <wp:positionV relativeFrom="paragraph">
                <wp:posOffset>-542925</wp:posOffset>
              </wp:positionV>
              <wp:extent cx="7553325" cy="657860"/>
              <wp:effectExtent l="0" t="0" r="9525" b="8890"/>
              <wp:wrapThrough wrapText="bothSides">
                <wp:wrapPolygon edited="0">
                  <wp:start x="0" y="0"/>
                  <wp:lineTo x="0" y="21266"/>
                  <wp:lineTo x="21573" y="21266"/>
                  <wp:lineTo x="21573" y="0"/>
                  <wp:lineTo x="0" y="0"/>
                </wp:wrapPolygon>
              </wp:wrapThrough>
              <wp:docPr id="38" name="Retângulo 38"/>
              <wp:cNvGraphicFramePr/>
              <a:graphic xmlns:a="http://schemas.openxmlformats.org/drawingml/2006/main">
                <a:graphicData uri="http://schemas.microsoft.com/office/word/2010/wordprocessingShape">
                  <wps:wsp>
                    <wps:cNvSpPr/>
                    <wps:spPr>
                      <a:xfrm>
                        <a:off x="0" y="0"/>
                        <a:ext cx="7553325" cy="657860"/>
                      </a:xfrm>
                      <a:prstGeom prst="rect">
                        <a:avLst/>
                      </a:prstGeom>
                      <a:solidFill>
                        <a:srgbClr val="0038A8"/>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A57607" id="Retângulo 38" o:spid="_x0000_s1026" style="position:absolute;margin-left:0;margin-top:-42.75pt;width:594.75pt;height:51.8pt;z-index:-25166950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" fillcolor="#0038a8" stroked="f" strokeweight="1pt">
              <w10:wrap type="through" anchorx="page"/>
            </v:rect>
          </w:pict>
        </mc:Fallback>
      </mc:AlternateContent>
    </w:r>
    <w:r w:rsidRPr="005D303B">
      <w:rPr>
        <w:rFonts w:cs="Arial"/>
        <w:b/>
        <w:noProof/>
        <w:color w:val="1F4E79" w:themeColor="accent1" w:themeShade="80"/>
        <w:szCs w:val="18"/>
        <w:lang w:eastAsia="pt-BR"/>
      </w:rPr>
      <mc:AlternateContent>
        <mc:Choice Requires="wps">
          <w:drawing>
            <wp:anchor distT="0" distB="0" distL="114300" distR="114300" simplePos="0" relativeHeight="251660288" behindDoc="0" locked="0" layoutInCell="1" allowOverlap="1" wp14:anchorId="4D8D4AB6" wp14:editId="4CD5EEAA">
              <wp:simplePos x="0" y="0"/>
              <wp:positionH relativeFrom="page">
                <wp:posOffset>0</wp:posOffset>
              </wp:positionH>
              <wp:positionV relativeFrom="paragraph">
                <wp:posOffset>77252</wp:posOffset>
              </wp:positionV>
              <wp:extent cx="9144000" cy="53340"/>
              <wp:effectExtent l="0" t="0" r="0" b="3810"/>
              <wp:wrapNone/>
              <wp:docPr id="39" name="Retângulo 14"/>
              <wp:cNvGraphicFramePr/>
              <a:graphic xmlns:a="http://schemas.openxmlformats.org/drawingml/2006/main">
                <a:graphicData uri="http://schemas.microsoft.com/office/word/2010/wordprocessingShape">
                  <wps:wsp>
                    <wps:cNvSpPr/>
                    <wps:spPr>
                      <a:xfrm>
                        <a:off x="0" y="0"/>
                        <a:ext cx="9144000" cy="53340"/>
                      </a:xfrm>
                      <a:prstGeom prst="rect">
                        <a:avLst/>
                      </a:prstGeom>
                      <a:solidFill>
                        <a:srgbClr val="F5E500"/>
                      </a:solidFill>
                      <a:ln>
                        <a:noFill/>
                      </a:ln>
                    </wps:spPr>
                    <wps:style>
                      <a:lnRef idx="2">
                        <a:schemeClr val="accent6">
                          <a:shade val="50000"/>
                        </a:schemeClr>
                      </a:lnRef>
                      <a:fillRef idx="1">
                        <a:schemeClr val="accent6"/>
                      </a:fillRef>
                      <a:effectRef idx="0">
                        <a:schemeClr val="accent6"/>
                      </a:effectRef>
                      <a:fontRef idx="minor">
                        <a:schemeClr val="lt1"/>
                      </a:fontRef>
                    </wps:style>
                    <wps:bodyPr anchor="ctr"/>
                  </wps:wsp>
                </a:graphicData>
              </a:graphic>
            </wp:anchor>
          </w:drawing>
        </mc:Choice>
        <mc:Fallback>
          <w:pict>
            <v:rect w14:anchorId="62169F34" id="Retângulo 14" o:spid="_x0000_s1026" style="position:absolute;margin-left:0;margin-top:6.1pt;width:10in;height:4.2pt;z-index:251660288;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" fillcolor="#f5e500" stroked="f" strokeweight="1pt">
              <w10:wrap anchorx="page"/>
            </v:rect>
          </w:pict>
        </mc:Fallback>
      </mc:AlternateContent>
    </w: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703680" w14:textId="076B6FA3" w:rsidR="009A3167" w:rsidRPr="00992545" w:rsidRDefault="009A3167" w:rsidP="00246CB5">
    <w:pPr>
      <w:ind w:left="708"/>
      <w:jc w:val="right"/>
    </w:pPr>
    <w:r>
      <w:rPr>
        <w:noProof/>
        <w:sz w:val="20"/>
        <w:szCs w:val="20"/>
        <w:lang w:eastAsia="pt-BR"/>
      </w:rPr>
      <mc:AlternateContent>
        <mc:Choice Requires="wps">
          <w:drawing>
            <wp:anchor distT="0" distB="0" distL="114300" distR="114300" simplePos="0" relativeHeight="251658240" behindDoc="0" locked="0" layoutInCell="1" allowOverlap="1" wp14:anchorId="20F2B673" wp14:editId="7DDF11F5">
              <wp:simplePos x="0" y="0"/>
              <wp:positionH relativeFrom="column">
                <wp:posOffset>3019339</wp:posOffset>
              </wp:positionH>
              <wp:positionV relativeFrom="paragraph">
                <wp:posOffset>-479442</wp:posOffset>
              </wp:positionV>
              <wp:extent cx="3629448" cy="402742"/>
              <wp:effectExtent l="0" t="0" r="0" b="0"/>
              <wp:wrapNone/>
              <wp:docPr id="62" name="Caixa de Texto 62"/>
              <wp:cNvGraphicFramePr/>
              <a:graphic xmlns:a="http://schemas.openxmlformats.org/drawingml/2006/main">
                <a:graphicData uri="http://schemas.microsoft.com/office/word/2010/wordprocessingShape">
                  <wps:wsp>
                    <wps:cNvSpPr txBox="1"/>
                    <wps:spPr>
                      <a:xfrm>
                        <a:off x="0" y="0"/>
                        <a:ext cx="3629448" cy="402742"/>
                      </a:xfrm>
                      <a:prstGeom prst="rect">
                        <a:avLst/>
                      </a:prstGeom>
                      <a:noFill/>
                      <a:ln w="6350">
                        <a:noFill/>
                      </a:ln>
                    </wps:spPr>
                    <wps:txbx>
                      <w:txbxContent>
                        <w:p w14:paraId="6DDB4F29" w14:textId="3DF61AEF" w:rsidR="009A3167" w:rsidRPr="00AF3549" w:rsidRDefault="009A3167" w:rsidP="00246CB5">
                          <w:pPr>
                            <w:jc w:val="right"/>
                          </w:pPr>
                          <w:r w:rsidRPr="002B7B96">
                            <w:rPr>
                              <w:rFonts w:cs="Arial"/>
                              <w:color w:val="FFFFFF" w:themeColor="background1"/>
                              <w:szCs w:val="18"/>
                            </w:rPr>
                            <w:t>Conso</w:t>
                          </w:r>
                          <w:r>
                            <w:rPr>
                              <w:rFonts w:cs="Arial"/>
                              <w:color w:val="FFFFFF" w:themeColor="background1"/>
                              <w:szCs w:val="18"/>
                            </w:rPr>
                            <w:t>lidated Financial Statements – 1</w:t>
                          </w:r>
                          <w:r w:rsidRPr="00A036E0">
                            <w:rPr>
                              <w:rFonts w:cs="Arial"/>
                              <w:color w:val="FFFFFF" w:themeColor="background1"/>
                              <w:szCs w:val="18"/>
                              <w:vertAlign w:val="superscript"/>
                            </w:rPr>
                            <w:t>st</w:t>
                          </w:r>
                          <w:r>
                            <w:rPr>
                              <w:rFonts w:cs="Arial"/>
                              <w:color w:val="FFFFFF" w:themeColor="background1"/>
                              <w:szCs w:val="18"/>
                            </w:rPr>
                            <w:t xml:space="preserve"> Half </w:t>
                          </w:r>
                          <w:r w:rsidRPr="002B7B96">
                            <w:rPr>
                              <w:rFonts w:cs="Arial"/>
                              <w:color w:val="FFFFFF" w:themeColor="background1"/>
                              <w:szCs w:val="18"/>
                            </w:rPr>
                            <w:t>202</w:t>
                          </w:r>
                          <w:r>
                            <w:rPr>
                              <w:rFonts w:cs="Arial"/>
                              <w:color w:val="FFFFFF" w:themeColor="background1"/>
                              <w:szCs w:val="18"/>
                            </w:rPr>
                            <w:t>3</w:t>
                          </w:r>
                          <w:r w:rsidRPr="00AF3549">
                            <w:rPr>
                              <w:rFonts w:cs="Arial"/>
                              <w:color w:val="FFFFFF" w:themeColor="background1"/>
                              <w:szCs w:val="18"/>
                            </w:rPr>
                            <w:br/>
                            <w:t>BB Seguridade Participações S.A.</w:t>
                          </w:r>
                        </w:p>
                        <w:p w14:paraId="1178CA5A" w14:textId="77777777" w:rsidR="009A3167" w:rsidRPr="00AF3549" w:rsidRDefault="009A3167" w:rsidP="00246CB5">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F2B673" id="_x0000_t202" coordsize="21600,21600" o:spt="202" path="m,l,21600r21600,l21600,xe">
              <v:stroke joinstyle="miter"/>
              <v:path gradientshapeok="t" o:connecttype="rect"/>
            </v:shapetype>
            <v:shape id="Caixa de Texto 62" o:spid="_x0000_s1051" type="#_x0000_t202" style="position:absolute;left:0;text-align:left;margin-left:237.75pt;margin-top:-37.75pt;width:285.8pt;height:31.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" filled="f" stroked="f" strokeweight=".5pt">
              <v:textbox>
                <w:txbxContent>
                  <w:p w14:paraId="6DDB4F29" w14:textId="3DF61AEF" w:rsidR="009A3167" w:rsidRPr="00AF3549" w:rsidRDefault="009A3167" w:rsidP="00246CB5">
                    <w:pPr>
                      <w:jc w:val="right"/>
                    </w:pPr>
                    <w:r w:rsidRPr="002B7B96">
                      <w:rPr>
                        <w:rFonts w:cs="Arial"/>
                        <w:color w:val="FFFFFF" w:themeColor="background1"/>
                        <w:szCs w:val="18"/>
                      </w:rPr>
                      <w:t>Conso</w:t>
                    </w:r>
                    <w:r>
                      <w:rPr>
                        <w:rFonts w:cs="Arial"/>
                        <w:color w:val="FFFFFF" w:themeColor="background1"/>
                        <w:szCs w:val="18"/>
                      </w:rPr>
                      <w:t>lidated Financial Statements – 1</w:t>
                    </w:r>
                    <w:r w:rsidRPr="00A036E0">
                      <w:rPr>
                        <w:rFonts w:cs="Arial"/>
                        <w:color w:val="FFFFFF" w:themeColor="background1"/>
                        <w:szCs w:val="18"/>
                        <w:vertAlign w:val="superscript"/>
                      </w:rPr>
                      <w:t>st</w:t>
                    </w:r>
                    <w:r>
                      <w:rPr>
                        <w:rFonts w:cs="Arial"/>
                        <w:color w:val="FFFFFF" w:themeColor="background1"/>
                        <w:szCs w:val="18"/>
                      </w:rPr>
                      <w:t xml:space="preserve"> Half </w:t>
                    </w:r>
                    <w:r w:rsidRPr="002B7B96">
                      <w:rPr>
                        <w:rFonts w:cs="Arial"/>
                        <w:color w:val="FFFFFF" w:themeColor="background1"/>
                        <w:szCs w:val="18"/>
                      </w:rPr>
                      <w:t>202</w:t>
                    </w:r>
                    <w:r>
                      <w:rPr>
                        <w:rFonts w:cs="Arial"/>
                        <w:color w:val="FFFFFF" w:themeColor="background1"/>
                        <w:szCs w:val="18"/>
                      </w:rPr>
                      <w:t>3</w:t>
                    </w:r>
                    <w:r w:rsidRPr="00AF3549">
                      <w:rPr>
                        <w:rFonts w:cs="Arial"/>
                        <w:color w:val="FFFFFF" w:themeColor="background1"/>
                        <w:szCs w:val="18"/>
                      </w:rPr>
                      <w:br/>
                      <w:t>BB Seguridade Participações S.A.</w:t>
                    </w:r>
                  </w:p>
                  <w:p w14:paraId="1178CA5A" w14:textId="77777777" w:rsidR="009A3167" w:rsidRPr="00AF3549" w:rsidRDefault="009A3167" w:rsidP="00246CB5">
                    <w:pPr>
                      <w:jc w:val="right"/>
                    </w:pPr>
                  </w:p>
                </w:txbxContent>
              </v:textbox>
            </v:shape>
          </w:pict>
        </mc:Fallback>
      </mc:AlternateContent>
    </w:r>
    <w:r w:rsidRPr="00254D35">
      <w:rPr>
        <w:noProof/>
        <w:sz w:val="20"/>
        <w:szCs w:val="20"/>
        <w:lang w:eastAsia="pt-BR"/>
      </w:rPr>
      <mc:AlternateContent>
        <mc:Choice Requires="wps">
          <w:drawing>
            <wp:anchor distT="0" distB="0" distL="114300" distR="114300" simplePos="0" relativeHeight="251655168" behindDoc="0" locked="0" layoutInCell="1" allowOverlap="1" wp14:anchorId="426D251C" wp14:editId="71C0F297">
              <wp:simplePos x="0" y="0"/>
              <wp:positionH relativeFrom="page">
                <wp:posOffset>-1178011</wp:posOffset>
              </wp:positionH>
              <wp:positionV relativeFrom="paragraph">
                <wp:posOffset>-556861</wp:posOffset>
              </wp:positionV>
              <wp:extent cx="11887200" cy="527222"/>
              <wp:effectExtent l="0" t="0" r="0" b="6350"/>
              <wp:wrapNone/>
              <wp:docPr id="63" name="Retângulo 63"/>
              <wp:cNvGraphicFramePr/>
              <a:graphic xmlns:a="http://schemas.openxmlformats.org/drawingml/2006/main">
                <a:graphicData uri="http://schemas.microsoft.com/office/word/2010/wordprocessingShape">
                  <wps:wsp>
                    <wps:cNvSpPr/>
                    <wps:spPr>
                      <a:xfrm>
                        <a:off x="0" y="0"/>
                        <a:ext cx="11887200" cy="527222"/>
                      </a:xfrm>
                      <a:prstGeom prst="rect">
                        <a:avLst/>
                      </a:prstGeom>
                      <a:solidFill>
                        <a:srgbClr val="002D4B"/>
                      </a:solidFill>
                      <a:ln w="12700" cap="flat" cmpd="sng" algn="ctr">
                        <a:noFill/>
                        <a:prstDash val="solid"/>
                        <a:miter lim="800000"/>
                      </a:ln>
                      <a:effectLst/>
                    </wps:spPr>
                    <wps:txbx>
                      <w:txbxContent>
                        <w:p w14:paraId="61F79085" w14:textId="77777777" w:rsidR="009A3167" w:rsidRDefault="009A3167" w:rsidP="00246CB5">
                          <w:pPr>
                            <w:ind w:left="708"/>
                            <w:jc w:val="righ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6D251C" id="Retângulo 63" o:spid="_x0000_s1052" style="position:absolute;left:0;text-align:left;margin-left:-92.75pt;margin-top:-43.85pt;width:13in;height:41.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" fillcolor="#002d4b" stroked="f" strokeweight="1pt">
              <v:textbox>
                <w:txbxContent>
                  <w:p w14:paraId="61F79085" w14:textId="77777777" w:rsidR="009A3167" w:rsidRDefault="009A3167" w:rsidP="00246CB5">
                    <w:pPr>
                      <w:ind w:left="708"/>
                      <w:jc w:val="right"/>
                    </w:pPr>
                  </w:p>
                </w:txbxContent>
              </v:textbox>
              <w10:wrap anchorx="page"/>
            </v:rect>
          </w:pict>
        </mc:Fallback>
      </mc:AlternateContent>
    </w:r>
    <w:r w:rsidRPr="005D303B">
      <w:rPr>
        <w:b/>
        <w:noProof/>
        <w:color w:val="1F4E79" w:themeColor="accent1" w:themeShade="80"/>
        <w:lang w:eastAsia="pt-BR"/>
      </w:rPr>
      <mc:AlternateContent>
        <mc:Choice Requires="wps">
          <w:drawing>
            <wp:anchor distT="0" distB="0" distL="114300" distR="114300" simplePos="0" relativeHeight="251656192" behindDoc="0" locked="0" layoutInCell="1" allowOverlap="1" wp14:anchorId="4DB67D06" wp14:editId="12277E2C">
              <wp:simplePos x="0" y="0"/>
              <wp:positionH relativeFrom="page">
                <wp:posOffset>-720969</wp:posOffset>
              </wp:positionH>
              <wp:positionV relativeFrom="paragraph">
                <wp:posOffset>-48651</wp:posOffset>
              </wp:positionV>
              <wp:extent cx="11406505" cy="45719"/>
              <wp:effectExtent l="0" t="0" r="4445" b="0"/>
              <wp:wrapNone/>
              <wp:docPr id="64" name="Retângulo 14"/>
              <wp:cNvGraphicFramePr/>
              <a:graphic xmlns:a="http://schemas.openxmlformats.org/drawingml/2006/main">
                <a:graphicData uri="http://schemas.microsoft.com/office/word/2010/wordprocessingShape">
                  <wps:wsp>
                    <wps:cNvSpPr/>
                    <wps:spPr>
                      <a:xfrm flipV="1">
                        <a:off x="0" y="0"/>
                        <a:ext cx="11406505" cy="45719"/>
                      </a:xfrm>
                      <a:prstGeom prst="rect">
                        <a:avLst/>
                      </a:prstGeom>
                      <a:solidFill>
                        <a:srgbClr val="F9DD16"/>
                      </a:solidFill>
                      <a:ln w="12700" cap="flat" cmpd="sng" algn="ctr">
                        <a:noFill/>
                        <a:prstDash val="solid"/>
                        <a:miter lim="800000"/>
                      </a:ln>
                      <a:effectLst/>
                    </wps:spPr>
                    <wps:bodyPr anchor="ctr"/>
                  </wps:wsp>
                </a:graphicData>
              </a:graphic>
              <wp14:sizeRelH relativeFrom="margin">
                <wp14:pctWidth>0</wp14:pctWidth>
              </wp14:sizeRelH>
              <wp14:sizeRelV relativeFrom="margin">
                <wp14:pctHeight>0</wp14:pctHeight>
              </wp14:sizeRelV>
            </wp:anchor>
          </w:drawing>
        </mc:Choice>
        <mc:Fallback>
          <w:pict>
            <v:rect w14:anchorId="3BC4619D" id="Retângulo 14" o:spid="_x0000_s1026" style="position:absolute;margin-left:-56.75pt;margin-top:-3.85pt;width:898.15pt;height:3.6pt;flip:y;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" fillcolor="#f9dd16" stroked="f" strokeweight="1pt">
              <w10:wrap anchorx="page"/>
            </v:rect>
          </w:pict>
        </mc:Fallback>
      </mc:AlternateContent>
    </w:r>
    <w:r>
      <w:rPr>
        <w:noProof/>
        <w:sz w:val="20"/>
        <w:szCs w:val="20"/>
        <w:lang w:eastAsia="pt-BR"/>
      </w:rPr>
      <w:drawing>
        <wp:anchor distT="0" distB="0" distL="114300" distR="114300" simplePos="0" relativeHeight="251657216" behindDoc="0" locked="0" layoutInCell="1" allowOverlap="1" wp14:anchorId="792F0CBB" wp14:editId="10202671">
          <wp:simplePos x="0" y="0"/>
          <wp:positionH relativeFrom="margin">
            <wp:posOffset>-294957</wp:posOffset>
          </wp:positionH>
          <wp:positionV relativeFrom="page">
            <wp:posOffset>148590</wp:posOffset>
          </wp:positionV>
          <wp:extent cx="967740" cy="198755"/>
          <wp:effectExtent l="0" t="0" r="3810" b="0"/>
          <wp:wrapNone/>
          <wp:docPr id="65" name="Imagem 65"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m 45" descr="Logotipo&#10;&#10;Descrição gerada automaticamente"/>
                  <pic:cNvPicPr/>
                </pic:nvPicPr>
                <pic:blipFill>
                  <a:blip r:embed="rId1" cstate="print">
                    <a:extLst>
                      <a:ext uri="{28A0092B-C50C-407E-A947-70E740481C1C}">
                        <a14:useLocalDpi xmlns:a14="http://schemas.microsoft.com/office/drawing/2010/main" val="0"/>
                      </a:ext>
                    </a:extLst>
                  </a:blip>
                  <a:stretch>
                    <a:fillRect/>
                  </a:stretch>
                </pic:blipFill>
                <pic:spPr>
                  <a:xfrm>
                    <a:off x="0" y="0"/>
                    <a:ext cx="967740" cy="198755"/>
                  </a:xfrm>
                  <a:prstGeom prst="rect">
                    <a:avLst/>
                  </a:prstGeom>
                </pic:spPr>
              </pic:pic>
            </a:graphicData>
          </a:graphic>
          <wp14:sizeRelH relativeFrom="margin">
            <wp14:pctWidth>0</wp14:pctWidth>
          </wp14:sizeRelH>
          <wp14:sizeRelV relativeFrom="margin">
            <wp14:pctHeight>0</wp14:pctHeight>
          </wp14:sizeRelV>
        </wp:anchor>
      </w:drawing>
    </w: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7F897F" w14:textId="77777777" w:rsidR="009A3167" w:rsidRDefault="009A3167" w:rsidP="009A3167">
    <w:pPr>
      <w:pStyle w:val="Cabealho"/>
    </w:pPr>
  </w:p>
  <w:p w14:paraId="63CAA0FB" w14:textId="77777777" w:rsidR="009A3167" w:rsidRPr="00526CAE" w:rsidRDefault="001D5662" w:rsidP="009A3167">
    <w:pPr>
      <w:rPr>
        <w:sz w:val="2"/>
        <w:szCs w:val="2"/>
      </w:rPr>
    </w:pPr>
    <w:r>
      <w:rPr>
        <w:noProof/>
        <w:sz w:val="2"/>
        <w:szCs w:val="2"/>
        <w:lang w:val="en-US" w:eastAsia="es-AR"/>
      </w:rPr>
      <w:pict w14:anchorId="747A8C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95617" type="#_x0000_t75" style="position:absolute;margin-left:56.7pt;margin-top:28.3pt;width:90.7pt;height:17pt;z-index:251691008;visibility:visible;mso-position-horizontal-relative:page;mso-position-vertical-relative:page">
          <v:imagedata r:id="rId1" o:title=""/>
          <w10:wrap anchorx="page" anchory="page"/>
          <w10:anchorlock/>
        </v:shape>
      </w:pict>
    </w: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BD21E9" w14:textId="77777777" w:rsidR="009A3167" w:rsidRPr="000E0B3E" w:rsidRDefault="009A3167" w:rsidP="009A3167">
    <w:pPr>
      <w:pStyle w:val="Cabealho"/>
      <w:widowControl w:val="0"/>
      <w:rPr>
        <w:rFonts w:ascii="Verdana" w:hAnsi="Verdana"/>
        <w:b/>
        <w:vanish/>
        <w:sz w:val="20"/>
        <w:szCs w:val="20"/>
      </w:rPr>
    </w:pPr>
    <w:r w:rsidRPr="000E0B3E">
      <w:rPr>
        <w:rFonts w:ascii="Verdana" w:hAnsi="Verdana"/>
        <w:b/>
        <w:vanish/>
        <w:sz w:val="20"/>
        <w:szCs w:val="20"/>
      </w:rPr>
      <w:t>Debora Alves</w:t>
    </w:r>
  </w:p>
  <w:p w14:paraId="6BCABE56" w14:textId="77777777" w:rsidR="009A3167" w:rsidRPr="000E0B3E" w:rsidRDefault="009A3167" w:rsidP="009A3167">
    <w:pPr>
      <w:pStyle w:val="Cabealho"/>
      <w:widowControl w:val="0"/>
      <w:rPr>
        <w:rFonts w:ascii="Verdana" w:hAnsi="Verdana"/>
        <w:vanish/>
        <w:sz w:val="20"/>
        <w:szCs w:val="20"/>
      </w:rPr>
    </w:pPr>
    <w:r w:rsidRPr="000E0B3E">
      <w:rPr>
        <w:rFonts w:ascii="Verdana" w:hAnsi="Verdana"/>
        <w:vanish/>
        <w:sz w:val="20"/>
        <w:szCs w:val="20"/>
      </w:rPr>
      <w:t>#00043724</w:t>
    </w:r>
  </w:p>
  <w:p w14:paraId="5BF4C926" w14:textId="45DD215C" w:rsidR="009A3167" w:rsidRPr="000E0B3E" w:rsidRDefault="009A3167" w:rsidP="009A3167">
    <w:pPr>
      <w:pStyle w:val="Cabealho"/>
      <w:widowControl w:val="0"/>
      <w:rPr>
        <w:rFonts w:ascii="Verdana" w:hAnsi="Verdana"/>
        <w:vanish/>
        <w:sz w:val="20"/>
        <w:szCs w:val="20"/>
      </w:rPr>
    </w:pPr>
    <w:r w:rsidRPr="000E0B3E">
      <w:rPr>
        <w:rFonts w:ascii="Verdana" w:hAnsi="Verdana"/>
        <w:vanish/>
        <w:sz w:val="20"/>
        <w:szCs w:val="20"/>
      </w:rPr>
      <w:fldChar w:fldCharType="begin"/>
    </w:r>
    <w:r w:rsidRPr="000E0B3E">
      <w:rPr>
        <w:rFonts w:ascii="Verdana" w:hAnsi="Verdana"/>
        <w:vanish/>
        <w:sz w:val="20"/>
        <w:szCs w:val="20"/>
      </w:rPr>
      <w:instrText xml:space="preserve"> FILENAME  \* Caps  \* MERGEFORMAT </w:instrText>
    </w:r>
    <w:r w:rsidRPr="000E0B3E">
      <w:rPr>
        <w:rFonts w:ascii="Verdana" w:hAnsi="Verdana"/>
        <w:vanish/>
        <w:sz w:val="20"/>
        <w:szCs w:val="20"/>
      </w:rPr>
      <w:fldChar w:fldCharType="separate"/>
    </w:r>
    <w:r w:rsidR="00607BBF">
      <w:rPr>
        <w:rFonts w:ascii="Verdana" w:hAnsi="Verdana"/>
        <w:noProof/>
        <w:vanish/>
        <w:sz w:val="20"/>
        <w:szCs w:val="20"/>
      </w:rPr>
      <w:t>02 - BB Seguridade - 2T23 - Contabilidade - 03082023 - Inglês - v2</w:t>
    </w:r>
    <w:r w:rsidRPr="000E0B3E">
      <w:rPr>
        <w:rFonts w:ascii="Verdana" w:hAnsi="Verdana"/>
        <w:vanish/>
        <w:sz w:val="20"/>
        <w:szCs w:val="20"/>
      </w:rPr>
      <w:fldChar w:fldCharType="end"/>
    </w: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44E241" w14:textId="6DF9E0DB" w:rsidR="009A3167" w:rsidRPr="009A3167" w:rsidRDefault="009A3167" w:rsidP="009A3167">
    <w:pPr>
      <w:pStyle w:val="Cabealho"/>
    </w:pP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B3D9A" w14:textId="6696DD0B" w:rsidR="009A3167" w:rsidRPr="00992545" w:rsidRDefault="009B6E21" w:rsidP="00246CB5">
    <w:pPr>
      <w:ind w:left="708"/>
      <w:jc w:val="right"/>
    </w:pPr>
    <w:r w:rsidRPr="00523DF9">
      <w:rPr>
        <w:rFonts w:ascii="Verdana" w:hAnsi="Verdana"/>
        <w:noProof/>
        <w:sz w:val="11"/>
        <w:szCs w:val="11"/>
        <w:lang w:eastAsia="pt-BR"/>
      </w:rPr>
      <mc:AlternateContent>
        <mc:Choice Requires="wpg">
          <w:drawing>
            <wp:anchor distT="0" distB="0" distL="114300" distR="114300" simplePos="0" relativeHeight="251659264" behindDoc="0" locked="0" layoutInCell="1" allowOverlap="1" wp14:anchorId="6DDB4211" wp14:editId="0CC058F9">
              <wp:simplePos x="0" y="0"/>
              <wp:positionH relativeFrom="page">
                <wp:posOffset>720090</wp:posOffset>
              </wp:positionH>
              <wp:positionV relativeFrom="page">
                <wp:posOffset>168910</wp:posOffset>
              </wp:positionV>
              <wp:extent cx="6472619" cy="1304925"/>
              <wp:effectExtent l="0" t="0" r="4445" b="9525"/>
              <wp:wrapNone/>
              <wp:docPr id="53" name="Group 1"/>
              <wp:cNvGraphicFramePr/>
              <a:graphic xmlns:a="http://schemas.openxmlformats.org/drawingml/2006/main">
                <a:graphicData uri="http://schemas.microsoft.com/office/word/2010/wordprocessingGroup">
                  <wpg:wgp>
                    <wpg:cNvGrpSpPr/>
                    <wpg:grpSpPr>
                      <a:xfrm>
                        <a:off x="0" y="0"/>
                        <a:ext cx="6472619" cy="1304925"/>
                        <a:chOff x="0" y="-1"/>
                        <a:chExt cx="6473369" cy="1304925"/>
                      </a:xfrm>
                    </wpg:grpSpPr>
                    <wps:wsp>
                      <wps:cNvPr id="55" name="Text Box 3"/>
                      <wps:cNvSpPr txBox="1"/>
                      <wps:spPr>
                        <a:xfrm>
                          <a:off x="4781369" y="-1"/>
                          <a:ext cx="1692000" cy="1304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962CE21" w14:textId="77777777" w:rsidR="009B6E21" w:rsidRPr="003A66CB" w:rsidRDefault="009B6E21" w:rsidP="009B6E21">
                            <w:pPr>
                              <w:spacing w:after="0" w:line="170" w:lineRule="atLeast"/>
                              <w:rPr>
                                <w:rFonts w:ascii="Calibri" w:eastAsia="Verdana" w:hAnsi="Calibri" w:cs="Calibri"/>
                                <w:sz w:val="14"/>
                                <w:szCs w:val="14"/>
                              </w:rPr>
                            </w:pPr>
                            <w:r w:rsidRPr="003A66CB">
                              <w:rPr>
                                <w:rFonts w:ascii="Calibri" w:eastAsia="Verdana" w:hAnsi="Calibri" w:cs="Calibri"/>
                                <w:sz w:val="14"/>
                                <w:szCs w:val="14"/>
                              </w:rPr>
                              <w:t>Deloitte Touche Tohmatsu</w:t>
                            </w:r>
                          </w:p>
                          <w:p w14:paraId="4E8A96F6" w14:textId="77777777" w:rsidR="009B6E21" w:rsidRPr="003A66CB" w:rsidRDefault="009B6E21" w:rsidP="009B6E21">
                            <w:pPr>
                              <w:spacing w:after="0" w:line="170" w:lineRule="atLeast"/>
                              <w:rPr>
                                <w:rFonts w:ascii="Calibri" w:eastAsia="Verdana" w:hAnsi="Calibri" w:cs="Calibri"/>
                                <w:sz w:val="14"/>
                                <w:szCs w:val="14"/>
                              </w:rPr>
                            </w:pPr>
                            <w:r w:rsidRPr="003A66CB">
                              <w:rPr>
                                <w:rFonts w:ascii="Calibri" w:eastAsia="Verdana" w:hAnsi="Calibri" w:cs="Calibri"/>
                                <w:sz w:val="14"/>
                                <w:szCs w:val="14"/>
                              </w:rPr>
                              <w:t>Setor Comercial Sul, Quadra 9,</w:t>
                            </w:r>
                            <w:r w:rsidRPr="003A66CB">
                              <w:rPr>
                                <w:rFonts w:ascii="Calibri" w:eastAsia="Verdana" w:hAnsi="Calibri" w:cs="Calibri"/>
                                <w:sz w:val="14"/>
                                <w:szCs w:val="14"/>
                              </w:rPr>
                              <w:br/>
                              <w:t>Torre A, Ed. Parque Cidade Corporate, Sala 1104</w:t>
                            </w:r>
                            <w:r w:rsidRPr="003A66CB">
                              <w:rPr>
                                <w:rFonts w:ascii="Calibri" w:eastAsia="Verdana" w:hAnsi="Calibri" w:cs="Calibri"/>
                                <w:sz w:val="14"/>
                                <w:szCs w:val="14"/>
                              </w:rPr>
                              <w:br/>
                              <w:t>70308-200 Brasília - DF</w:t>
                            </w:r>
                          </w:p>
                          <w:p w14:paraId="35CE4671" w14:textId="77777777" w:rsidR="009B6E21" w:rsidRPr="003A66CB" w:rsidRDefault="009B6E21" w:rsidP="009B6E21">
                            <w:pPr>
                              <w:spacing w:after="0" w:line="170" w:lineRule="atLeast"/>
                              <w:rPr>
                                <w:rFonts w:ascii="Calibri" w:eastAsia="Verdana" w:hAnsi="Calibri" w:cs="Calibri"/>
                                <w:sz w:val="14"/>
                                <w:szCs w:val="14"/>
                              </w:rPr>
                            </w:pPr>
                            <w:r w:rsidRPr="003A66CB">
                              <w:rPr>
                                <w:rFonts w:ascii="Calibri" w:eastAsia="Verdana" w:hAnsi="Calibri" w:cs="Calibri"/>
                                <w:sz w:val="14"/>
                                <w:szCs w:val="14"/>
                              </w:rPr>
                              <w:t>Brasil</w:t>
                            </w:r>
                          </w:p>
                          <w:p w14:paraId="4571262E" w14:textId="77777777" w:rsidR="009B6E21" w:rsidRPr="003A66CB" w:rsidRDefault="009B6E21" w:rsidP="009B6E21">
                            <w:pPr>
                              <w:spacing w:after="0" w:line="170" w:lineRule="atLeast"/>
                              <w:rPr>
                                <w:rFonts w:ascii="Calibri" w:eastAsia="Verdana" w:hAnsi="Calibri" w:cs="Calibri"/>
                                <w:sz w:val="14"/>
                                <w:szCs w:val="14"/>
                              </w:rPr>
                            </w:pPr>
                          </w:p>
                          <w:p w14:paraId="20D29758" w14:textId="77777777" w:rsidR="009B6E21" w:rsidRPr="003A66CB" w:rsidRDefault="009B6E21" w:rsidP="009B6E21">
                            <w:pPr>
                              <w:spacing w:after="0" w:line="170" w:lineRule="atLeast"/>
                              <w:rPr>
                                <w:rFonts w:ascii="Calibri" w:eastAsia="Verdana" w:hAnsi="Calibri" w:cs="Calibri"/>
                                <w:sz w:val="14"/>
                                <w:szCs w:val="14"/>
                              </w:rPr>
                            </w:pPr>
                            <w:r w:rsidRPr="003A66CB">
                              <w:rPr>
                                <w:rFonts w:ascii="Calibri" w:eastAsia="Verdana" w:hAnsi="Calibri" w:cs="Calibri"/>
                                <w:sz w:val="14"/>
                                <w:szCs w:val="14"/>
                              </w:rPr>
                              <w:t>Tel.: + 55 (61) 3224-3924</w:t>
                            </w:r>
                          </w:p>
                          <w:p w14:paraId="4A04BC45" w14:textId="77777777" w:rsidR="009B6E21" w:rsidRPr="003A66CB" w:rsidRDefault="009B6E21" w:rsidP="009B6E21">
                            <w:pPr>
                              <w:spacing w:after="0" w:line="170" w:lineRule="atLeast"/>
                              <w:rPr>
                                <w:rFonts w:ascii="Calibri" w:eastAsia="Verdana" w:hAnsi="Calibri" w:cs="Calibri"/>
                                <w:sz w:val="14"/>
                                <w:szCs w:val="14"/>
                              </w:rPr>
                            </w:pPr>
                            <w:r w:rsidRPr="003A66CB">
                              <w:rPr>
                                <w:rFonts w:ascii="Calibri" w:eastAsia="Verdana" w:hAnsi="Calibri" w:cs="Calibri"/>
                                <w:sz w:val="14"/>
                                <w:szCs w:val="14"/>
                              </w:rPr>
                              <w:t>Fax: + 55 (61) 3226-6087</w:t>
                            </w:r>
                          </w:p>
                          <w:p w14:paraId="32B790D6" w14:textId="77777777" w:rsidR="009B6E21" w:rsidRPr="00E8567E" w:rsidRDefault="001D5662" w:rsidP="009B6E21">
                            <w:pPr>
                              <w:spacing w:line="170" w:lineRule="atLeast"/>
                              <w:rPr>
                                <w:rFonts w:ascii="Calibri" w:eastAsia="Verdana" w:hAnsi="Calibri" w:cs="Calibri"/>
                                <w:sz w:val="14"/>
                                <w:szCs w:val="14"/>
                              </w:rPr>
                            </w:pPr>
                            <w:hyperlink r:id="rId1" w:history="1">
                              <w:r w:rsidR="009B6E21" w:rsidRPr="00E8567E">
                                <w:rPr>
                                  <w:rStyle w:val="Hyperlink"/>
                                  <w:rFonts w:ascii="Calibri" w:eastAsia="Verdana" w:hAnsi="Calibri" w:cs="Calibri"/>
                                  <w:sz w:val="14"/>
                                  <w:szCs w:val="14"/>
                                </w:rPr>
                                <w:t>www.deloitte.com.br</w:t>
                              </w:r>
                            </w:hyperlink>
                          </w:p>
                          <w:p w14:paraId="473C3F8D" w14:textId="77777777" w:rsidR="009B6E21" w:rsidRPr="003A66CB" w:rsidRDefault="009B6E21" w:rsidP="009B6E21">
                            <w:pPr>
                              <w:spacing w:line="170" w:lineRule="atLeast"/>
                              <w:rPr>
                                <w:rFonts w:ascii="Calibri" w:eastAsia="Verdana" w:hAnsi="Calibri" w:cs="Calibri"/>
                                <w:sz w:val="1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pic:pic xmlns:pic="http://schemas.openxmlformats.org/drawingml/2006/picture">
                      <pic:nvPicPr>
                        <pic:cNvPr id="56" name="Picture 4"/>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1980" cy="34861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DDB4211" id="Group 1" o:spid="_x0000_s1053" style="position:absolute;left:0;text-align:left;margin-left:56.7pt;margin-top:13.3pt;width:509.65pt;height:102.75pt;z-index:251659264;mso-position-horizontal-relative:page;mso-position-vertical-relative:page;mso-width-relative:margin;mso-height-relative:margin" coordorigin="" coordsize="64733,13049"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">
              <v:shapetype id="_x0000_t202" coordsize="21600,21600" o:spt="202" path="m,l,21600r21600,l21600,xe">
                <v:stroke joinstyle="miter"/>
                <v:path gradientshapeok="t" o:connecttype="rect"/>
              </v:shapetype>
              <v:shape id="Text Box 3" o:spid="_x0000_s1054" type="#_x0000_t202" style="position:absolute;left:47813;width:16920;height:130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" filled="f" stroked="f" strokeweight=".5pt">
                <v:textbox inset="0,0,0,0">
                  <w:txbxContent>
                    <w:p w14:paraId="2962CE21" w14:textId="77777777" w:rsidR="009B6E21" w:rsidRPr="003A66CB" w:rsidRDefault="009B6E21" w:rsidP="009B6E21">
                      <w:pPr>
                        <w:spacing w:after="0" w:line="170" w:lineRule="atLeast"/>
                        <w:rPr>
                          <w:rFonts w:ascii="Calibri" w:eastAsia="Verdana" w:hAnsi="Calibri" w:cs="Calibri"/>
                          <w:sz w:val="14"/>
                          <w:szCs w:val="14"/>
                        </w:rPr>
                      </w:pPr>
                      <w:r w:rsidRPr="003A66CB">
                        <w:rPr>
                          <w:rFonts w:ascii="Calibri" w:eastAsia="Verdana" w:hAnsi="Calibri" w:cs="Calibri"/>
                          <w:sz w:val="14"/>
                          <w:szCs w:val="14"/>
                        </w:rPr>
                        <w:t>Deloitte Touche Tohmatsu</w:t>
                      </w:r>
                    </w:p>
                    <w:p w14:paraId="4E8A96F6" w14:textId="77777777" w:rsidR="009B6E21" w:rsidRPr="003A66CB" w:rsidRDefault="009B6E21" w:rsidP="009B6E21">
                      <w:pPr>
                        <w:spacing w:after="0" w:line="170" w:lineRule="atLeast"/>
                        <w:rPr>
                          <w:rFonts w:ascii="Calibri" w:eastAsia="Verdana" w:hAnsi="Calibri" w:cs="Calibri"/>
                          <w:sz w:val="14"/>
                          <w:szCs w:val="14"/>
                        </w:rPr>
                      </w:pPr>
                      <w:r w:rsidRPr="003A66CB">
                        <w:rPr>
                          <w:rFonts w:ascii="Calibri" w:eastAsia="Verdana" w:hAnsi="Calibri" w:cs="Calibri"/>
                          <w:sz w:val="14"/>
                          <w:szCs w:val="14"/>
                        </w:rPr>
                        <w:t>Setor Comercial Sul, Quadra 9,</w:t>
                      </w:r>
                      <w:r w:rsidRPr="003A66CB">
                        <w:rPr>
                          <w:rFonts w:ascii="Calibri" w:eastAsia="Verdana" w:hAnsi="Calibri" w:cs="Calibri"/>
                          <w:sz w:val="14"/>
                          <w:szCs w:val="14"/>
                        </w:rPr>
                        <w:br/>
                        <w:t>Torre A, Ed. Parque Cidade Corporate, Sala 1104</w:t>
                      </w:r>
                      <w:r w:rsidRPr="003A66CB">
                        <w:rPr>
                          <w:rFonts w:ascii="Calibri" w:eastAsia="Verdana" w:hAnsi="Calibri" w:cs="Calibri"/>
                          <w:sz w:val="14"/>
                          <w:szCs w:val="14"/>
                        </w:rPr>
                        <w:br/>
                        <w:t>70308-200 Brasília - DF</w:t>
                      </w:r>
                    </w:p>
                    <w:p w14:paraId="35CE4671" w14:textId="77777777" w:rsidR="009B6E21" w:rsidRPr="003A66CB" w:rsidRDefault="009B6E21" w:rsidP="009B6E21">
                      <w:pPr>
                        <w:spacing w:after="0" w:line="170" w:lineRule="atLeast"/>
                        <w:rPr>
                          <w:rFonts w:ascii="Calibri" w:eastAsia="Verdana" w:hAnsi="Calibri" w:cs="Calibri"/>
                          <w:sz w:val="14"/>
                          <w:szCs w:val="14"/>
                        </w:rPr>
                      </w:pPr>
                      <w:r w:rsidRPr="003A66CB">
                        <w:rPr>
                          <w:rFonts w:ascii="Calibri" w:eastAsia="Verdana" w:hAnsi="Calibri" w:cs="Calibri"/>
                          <w:sz w:val="14"/>
                          <w:szCs w:val="14"/>
                        </w:rPr>
                        <w:t>Brasil</w:t>
                      </w:r>
                    </w:p>
                    <w:p w14:paraId="4571262E" w14:textId="77777777" w:rsidR="009B6E21" w:rsidRPr="003A66CB" w:rsidRDefault="009B6E21" w:rsidP="009B6E21">
                      <w:pPr>
                        <w:spacing w:after="0" w:line="170" w:lineRule="atLeast"/>
                        <w:rPr>
                          <w:rFonts w:ascii="Calibri" w:eastAsia="Verdana" w:hAnsi="Calibri" w:cs="Calibri"/>
                          <w:sz w:val="14"/>
                          <w:szCs w:val="14"/>
                        </w:rPr>
                      </w:pPr>
                    </w:p>
                    <w:p w14:paraId="20D29758" w14:textId="77777777" w:rsidR="009B6E21" w:rsidRPr="003A66CB" w:rsidRDefault="009B6E21" w:rsidP="009B6E21">
                      <w:pPr>
                        <w:spacing w:after="0" w:line="170" w:lineRule="atLeast"/>
                        <w:rPr>
                          <w:rFonts w:ascii="Calibri" w:eastAsia="Verdana" w:hAnsi="Calibri" w:cs="Calibri"/>
                          <w:sz w:val="14"/>
                          <w:szCs w:val="14"/>
                        </w:rPr>
                      </w:pPr>
                      <w:r w:rsidRPr="003A66CB">
                        <w:rPr>
                          <w:rFonts w:ascii="Calibri" w:eastAsia="Verdana" w:hAnsi="Calibri" w:cs="Calibri"/>
                          <w:sz w:val="14"/>
                          <w:szCs w:val="14"/>
                        </w:rPr>
                        <w:t>Tel.: + 55 (61) 3224-3924</w:t>
                      </w:r>
                    </w:p>
                    <w:p w14:paraId="4A04BC45" w14:textId="77777777" w:rsidR="009B6E21" w:rsidRPr="003A66CB" w:rsidRDefault="009B6E21" w:rsidP="009B6E21">
                      <w:pPr>
                        <w:spacing w:after="0" w:line="170" w:lineRule="atLeast"/>
                        <w:rPr>
                          <w:rFonts w:ascii="Calibri" w:eastAsia="Verdana" w:hAnsi="Calibri" w:cs="Calibri"/>
                          <w:sz w:val="14"/>
                          <w:szCs w:val="14"/>
                        </w:rPr>
                      </w:pPr>
                      <w:r w:rsidRPr="003A66CB">
                        <w:rPr>
                          <w:rFonts w:ascii="Calibri" w:eastAsia="Verdana" w:hAnsi="Calibri" w:cs="Calibri"/>
                          <w:sz w:val="14"/>
                          <w:szCs w:val="14"/>
                        </w:rPr>
                        <w:t>Fax: + 55 (61) 3226-6087</w:t>
                      </w:r>
                    </w:p>
                    <w:p w14:paraId="32B790D6" w14:textId="77777777" w:rsidR="009B6E21" w:rsidRPr="00E8567E" w:rsidRDefault="001D5662" w:rsidP="009B6E21">
                      <w:pPr>
                        <w:spacing w:line="170" w:lineRule="atLeast"/>
                        <w:rPr>
                          <w:rFonts w:ascii="Calibri" w:eastAsia="Verdana" w:hAnsi="Calibri" w:cs="Calibri"/>
                          <w:sz w:val="14"/>
                          <w:szCs w:val="14"/>
                        </w:rPr>
                      </w:pPr>
                      <w:hyperlink r:id="rId3" w:history="1">
                        <w:r w:rsidR="009B6E21" w:rsidRPr="00E8567E">
                          <w:rPr>
                            <w:rStyle w:val="Hyperlink"/>
                            <w:rFonts w:ascii="Calibri" w:eastAsia="Verdana" w:hAnsi="Calibri" w:cs="Calibri"/>
                            <w:sz w:val="14"/>
                            <w:szCs w:val="14"/>
                          </w:rPr>
                          <w:t>www.deloitte.com.br</w:t>
                        </w:r>
                      </w:hyperlink>
                    </w:p>
                    <w:p w14:paraId="473C3F8D" w14:textId="77777777" w:rsidR="009B6E21" w:rsidRPr="003A66CB" w:rsidRDefault="009B6E21" w:rsidP="009B6E21">
                      <w:pPr>
                        <w:spacing w:line="170" w:lineRule="atLeast"/>
                        <w:rPr>
                          <w:rFonts w:ascii="Calibri" w:eastAsia="Verdana" w:hAnsi="Calibri" w:cs="Calibri"/>
                          <w:sz w:val="14"/>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55" type="#_x0000_t75" style="position:absolute;width:18719;height:34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">
                <v:imagedata r:id="rId4" o:title=""/>
                <v:path arrowok="t"/>
              </v:shape>
              <w10:wrap anchorx="page" anchory="page"/>
            </v:group>
          </w:pict>
        </mc:Fallback>
      </mc:AlternateContent>
    </w: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860783" w14:textId="56B4D0E1" w:rsidR="009B6E21" w:rsidRPr="00992545" w:rsidRDefault="009B6E21" w:rsidP="00246CB5">
    <w:pPr>
      <w:ind w:left="708"/>
      <w:jc w:val="right"/>
    </w:pPr>
    <w:r>
      <w:rPr>
        <w:noProof/>
        <w:lang w:eastAsia="pt-BR"/>
      </w:rPr>
      <w:drawing>
        <wp:anchor distT="0" distB="0" distL="114300" distR="114300" simplePos="0" relativeHeight="251661312" behindDoc="0" locked="1" layoutInCell="1" allowOverlap="1" wp14:anchorId="5834ABF0" wp14:editId="3C099563">
          <wp:simplePos x="0" y="0"/>
          <wp:positionH relativeFrom="page">
            <wp:posOffset>872490</wp:posOffset>
          </wp:positionH>
          <wp:positionV relativeFrom="page">
            <wp:posOffset>511810</wp:posOffset>
          </wp:positionV>
          <wp:extent cx="1151890" cy="215900"/>
          <wp:effectExtent l="0" t="0" r="0" b="0"/>
          <wp:wrapNone/>
          <wp:docPr id="57" name="Imagem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1890" cy="2159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351123" w14:textId="77777777" w:rsidR="009A3167" w:rsidRDefault="009A3167">
    <w:pPr>
      <w:pStyle w:val="Cabealho"/>
    </w:pPr>
    <w:r>
      <w:rPr>
        <w:noProof/>
        <w:lang w:eastAsia="pt-BR"/>
      </w:rPr>
      <mc:AlternateContent>
        <mc:Choice Requires="wps">
          <w:drawing>
            <wp:anchor distT="0" distB="0" distL="114300" distR="114300" simplePos="0" relativeHeight="251643904" behindDoc="0" locked="0" layoutInCell="0" allowOverlap="1" wp14:anchorId="0C69F66A" wp14:editId="0624C82C">
              <wp:simplePos x="0" y="0"/>
              <wp:positionH relativeFrom="page">
                <wp:posOffset>0</wp:posOffset>
              </wp:positionH>
              <wp:positionV relativeFrom="page">
                <wp:posOffset>190500</wp:posOffset>
              </wp:positionV>
              <wp:extent cx="7560310" cy="266700"/>
              <wp:effectExtent l="0" t="0" r="0" b="0"/>
              <wp:wrapNone/>
              <wp:docPr id="5" name="MSIPCMafbe480880c78337ed6cc877" descr="{&quot;HashCode&quot;:-1487292391,&quot;Height&quot;:841.0,&quot;Width&quot;:595.0,&quot;Placement&quot;:&quot;Head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861E72D" w14:textId="77777777" w:rsidR="009A3167" w:rsidRPr="00F10B26" w:rsidRDefault="009A3167" w:rsidP="006B572D">
                          <w:pPr>
                            <w:spacing w:after="0"/>
                            <w:jc w:val="right"/>
                            <w:rPr>
                              <w:rFonts w:ascii="Calibri" w:hAnsi="Calibri" w:cs="Calibri"/>
                              <w:color w:val="000000"/>
                              <w:sz w:val="20"/>
                            </w:rPr>
                          </w:pPr>
                          <w:r w:rsidRPr="00F10B26">
                            <w:rPr>
                              <w:rFonts w:ascii="Calibri" w:hAnsi="Calibri" w:cs="Calibri"/>
                              <w:color w:val="000000"/>
                              <w:sz w:val="20"/>
                            </w:rPr>
                            <w:t>#interna</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0C69F66A" id="_x0000_t202" coordsize="21600,21600" o:spt="202" path="m,l,21600r21600,l21600,xe">
              <v:stroke joinstyle="miter"/>
              <v:path gradientshapeok="t" o:connecttype="rect"/>
            </v:shapetype>
            <v:shape id="_x0000_s1056" type="#_x0000_t202" alt="{&quot;HashCode&quot;:-1487292391,&quot;Height&quot;:841.0,&quot;Width&quot;:595.0,&quot;Placement&quot;:&quot;Header&quot;,&quot;Index&quot;:&quot;OddAndEven&quot;,&quot;Section&quot;:1,&quot;Top&quot;:0.0,&quot;Left&quot;:0.0}" style="position:absolute;margin-left:0;margin-top:15pt;width:595.3pt;height:21pt;z-index:2516439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" o:allowincell="f" filled="f" stroked="f" strokeweight=".5pt">
              <v:textbox inset=",0,20pt,0">
                <w:txbxContent>
                  <w:p w14:paraId="1861E72D" w14:textId="77777777" w:rsidR="009A3167" w:rsidRPr="00F10B26" w:rsidRDefault="009A3167" w:rsidP="006B572D">
                    <w:pPr>
                      <w:spacing w:after="0"/>
                      <w:jc w:val="right"/>
                      <w:rPr>
                        <w:rFonts w:ascii="Calibri" w:hAnsi="Calibri" w:cs="Calibri"/>
                        <w:color w:val="000000"/>
                        <w:sz w:val="20"/>
                      </w:rPr>
                    </w:pPr>
                    <w:r w:rsidRPr="00F10B26">
                      <w:rPr>
                        <w:rFonts w:ascii="Calibri" w:hAnsi="Calibri" w:cs="Calibri"/>
                        <w:color w:val="000000"/>
                        <w:sz w:val="20"/>
                      </w:rPr>
                      <w:t>#interna</w:t>
                    </w:r>
                  </w:p>
                </w:txbxContent>
              </v:textbox>
              <w10:wrap anchorx="page" anchory="page"/>
            </v:shape>
          </w:pict>
        </mc:Fallback>
      </mc:AlternateContent>
    </w: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6B0FC" w14:textId="662B42E2" w:rsidR="009A3167" w:rsidRDefault="009A3167" w:rsidP="006B572D">
    <w:pPr>
      <w:pStyle w:val="Cabealho"/>
      <w:tabs>
        <w:tab w:val="clear" w:pos="4252"/>
        <w:tab w:val="clear" w:pos="8504"/>
        <w:tab w:val="left" w:pos="5625"/>
      </w:tabs>
    </w:pPr>
    <w:r>
      <w:rPr>
        <w:noProof/>
        <w:sz w:val="20"/>
        <w:szCs w:val="20"/>
        <w:lang w:eastAsia="pt-BR"/>
      </w:rPr>
      <mc:AlternateContent>
        <mc:Choice Requires="wps">
          <w:drawing>
            <wp:anchor distT="0" distB="0" distL="114300" distR="114300" simplePos="0" relativeHeight="251653120" behindDoc="0" locked="0" layoutInCell="1" allowOverlap="1" wp14:anchorId="3945FC68" wp14:editId="4C1FE84C">
              <wp:simplePos x="0" y="0"/>
              <wp:positionH relativeFrom="column">
                <wp:posOffset>1891665</wp:posOffset>
              </wp:positionH>
              <wp:positionV relativeFrom="paragraph">
                <wp:posOffset>-464490</wp:posOffset>
              </wp:positionV>
              <wp:extent cx="4740250" cy="402742"/>
              <wp:effectExtent l="0" t="0" r="0" b="0"/>
              <wp:wrapNone/>
              <wp:docPr id="12" name="Caixa de Texto 12"/>
              <wp:cNvGraphicFramePr/>
              <a:graphic xmlns:a="http://schemas.openxmlformats.org/drawingml/2006/main">
                <a:graphicData uri="http://schemas.microsoft.com/office/word/2010/wordprocessingShape">
                  <wps:wsp>
                    <wps:cNvSpPr txBox="1"/>
                    <wps:spPr>
                      <a:xfrm>
                        <a:off x="0" y="0"/>
                        <a:ext cx="4740250" cy="402742"/>
                      </a:xfrm>
                      <a:prstGeom prst="rect">
                        <a:avLst/>
                      </a:prstGeom>
                      <a:noFill/>
                      <a:ln w="6350">
                        <a:noFill/>
                      </a:ln>
                    </wps:spPr>
                    <wps:txbx>
                      <w:txbxContent>
                        <w:p w14:paraId="1DD58980" w14:textId="495F1781" w:rsidR="009A3167" w:rsidRPr="00E16BE7" w:rsidRDefault="009A3167" w:rsidP="006B572D">
                          <w:pPr>
                            <w:jc w:val="right"/>
                          </w:pPr>
                          <w:r w:rsidRPr="00126EE0">
                            <w:rPr>
                              <w:rFonts w:cs="Arial"/>
                              <w:color w:val="FFFFFF" w:themeColor="background1"/>
                              <w:szCs w:val="18"/>
                            </w:rPr>
                            <w:t xml:space="preserve">Consolidated Financial Statements – </w:t>
                          </w:r>
                          <w:r>
                            <w:rPr>
                              <w:rFonts w:cs="Arial"/>
                              <w:color w:val="FFFFFF" w:themeColor="background1"/>
                              <w:szCs w:val="18"/>
                            </w:rPr>
                            <w:t xml:space="preserve">1st Half </w:t>
                          </w:r>
                          <w:r w:rsidRPr="00126EE0">
                            <w:rPr>
                              <w:rFonts w:cs="Arial"/>
                              <w:color w:val="FFFFFF" w:themeColor="background1"/>
                              <w:szCs w:val="18"/>
                            </w:rPr>
                            <w:t>202</w:t>
                          </w:r>
                          <w:r>
                            <w:rPr>
                              <w:rFonts w:cs="Arial"/>
                              <w:color w:val="FFFFFF" w:themeColor="background1"/>
                              <w:szCs w:val="18"/>
                            </w:rPr>
                            <w:t>3</w:t>
                          </w:r>
                          <w:r w:rsidRPr="00126EE0">
                            <w:rPr>
                              <w:rFonts w:cs="Arial"/>
                              <w:color w:val="FFFFFF" w:themeColor="background1"/>
                              <w:szCs w:val="18"/>
                            </w:rPr>
                            <w:br/>
                            <w:t>BB Seguridade Participações S.A</w:t>
                          </w:r>
                          <w:r>
                            <w:rPr>
                              <w:rFonts w:cs="Arial"/>
                              <w:color w:val="FFFFFF" w:themeColor="background1"/>
                              <w:szCs w:val="18"/>
                            </w:rPr>
                            <w:t>.</w:t>
                          </w:r>
                        </w:p>
                        <w:p w14:paraId="2408C4A6" w14:textId="77777777" w:rsidR="009A3167" w:rsidRPr="00E16BE7" w:rsidRDefault="009A316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45FC68" id="_x0000_t202" coordsize="21600,21600" o:spt="202" path="m,l,21600r21600,l21600,xe">
              <v:stroke joinstyle="miter"/>
              <v:path gradientshapeok="t" o:connecttype="rect"/>
            </v:shapetype>
            <v:shape id="Caixa de Texto 12" o:spid="_x0000_s1057" type="#_x0000_t202" style="position:absolute;margin-left:148.95pt;margin-top:-36.55pt;width:373.25pt;height:31.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" filled="f" stroked="f" strokeweight=".5pt">
              <v:textbox>
                <w:txbxContent>
                  <w:p w14:paraId="1DD58980" w14:textId="495F1781" w:rsidR="009A3167" w:rsidRPr="00E16BE7" w:rsidRDefault="009A3167" w:rsidP="006B572D">
                    <w:pPr>
                      <w:jc w:val="right"/>
                    </w:pPr>
                    <w:r w:rsidRPr="00126EE0">
                      <w:rPr>
                        <w:rFonts w:cs="Arial"/>
                        <w:color w:val="FFFFFF" w:themeColor="background1"/>
                        <w:szCs w:val="18"/>
                      </w:rPr>
                      <w:t xml:space="preserve">Consolidated Financial Statements – </w:t>
                    </w:r>
                    <w:r>
                      <w:rPr>
                        <w:rFonts w:cs="Arial"/>
                        <w:color w:val="FFFFFF" w:themeColor="background1"/>
                        <w:szCs w:val="18"/>
                      </w:rPr>
                      <w:t xml:space="preserve">1st Half </w:t>
                    </w:r>
                    <w:r w:rsidRPr="00126EE0">
                      <w:rPr>
                        <w:rFonts w:cs="Arial"/>
                        <w:color w:val="FFFFFF" w:themeColor="background1"/>
                        <w:szCs w:val="18"/>
                      </w:rPr>
                      <w:t>202</w:t>
                    </w:r>
                    <w:r>
                      <w:rPr>
                        <w:rFonts w:cs="Arial"/>
                        <w:color w:val="FFFFFF" w:themeColor="background1"/>
                        <w:szCs w:val="18"/>
                      </w:rPr>
                      <w:t>3</w:t>
                    </w:r>
                    <w:r w:rsidRPr="00126EE0">
                      <w:rPr>
                        <w:rFonts w:cs="Arial"/>
                        <w:color w:val="FFFFFF" w:themeColor="background1"/>
                        <w:szCs w:val="18"/>
                      </w:rPr>
                      <w:br/>
                      <w:t>BB Seguridade Participações S.A</w:t>
                    </w:r>
                    <w:r>
                      <w:rPr>
                        <w:rFonts w:cs="Arial"/>
                        <w:color w:val="FFFFFF" w:themeColor="background1"/>
                        <w:szCs w:val="18"/>
                      </w:rPr>
                      <w:t>.</w:t>
                    </w:r>
                  </w:p>
                  <w:p w14:paraId="2408C4A6" w14:textId="77777777" w:rsidR="009A3167" w:rsidRPr="00E16BE7" w:rsidRDefault="009A3167"/>
                </w:txbxContent>
              </v:textbox>
            </v:shape>
          </w:pict>
        </mc:Fallback>
      </mc:AlternateContent>
    </w:r>
    <w:r>
      <w:rPr>
        <w:noProof/>
        <w:sz w:val="20"/>
        <w:szCs w:val="20"/>
        <w:lang w:eastAsia="pt-BR"/>
      </w:rPr>
      <w:drawing>
        <wp:anchor distT="0" distB="0" distL="114300" distR="114300" simplePos="0" relativeHeight="251651072" behindDoc="0" locked="0" layoutInCell="1" allowOverlap="1" wp14:anchorId="10BD304A" wp14:editId="7F1F7ACE">
          <wp:simplePos x="0" y="0"/>
          <wp:positionH relativeFrom="margin">
            <wp:posOffset>-453606</wp:posOffset>
          </wp:positionH>
          <wp:positionV relativeFrom="paragraph">
            <wp:posOffset>-380365</wp:posOffset>
          </wp:positionV>
          <wp:extent cx="967740" cy="198755"/>
          <wp:effectExtent l="0" t="0" r="3810" b="0"/>
          <wp:wrapNone/>
          <wp:docPr id="31" name="Image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BB Seguro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67740" cy="198755"/>
                  </a:xfrm>
                  <a:prstGeom prst="rect">
                    <a:avLst/>
                  </a:prstGeom>
                </pic:spPr>
              </pic:pic>
            </a:graphicData>
          </a:graphic>
          <wp14:sizeRelH relativeFrom="margin">
            <wp14:pctWidth>0</wp14:pctWidth>
          </wp14:sizeRelH>
          <wp14:sizeRelV relativeFrom="margin">
            <wp14:pctHeight>0</wp14:pctHeight>
          </wp14:sizeRelV>
        </wp:anchor>
      </w:drawing>
    </w:r>
    <w:r w:rsidRPr="005D303B">
      <w:rPr>
        <w:rFonts w:cs="Arial"/>
        <w:b/>
        <w:noProof/>
        <w:color w:val="1F4E79" w:themeColor="accent1" w:themeShade="80"/>
        <w:szCs w:val="18"/>
        <w:lang w:eastAsia="pt-BR"/>
      </w:rPr>
      <mc:AlternateContent>
        <mc:Choice Requires="wps">
          <w:drawing>
            <wp:anchor distT="0" distB="0" distL="114300" distR="114300" simplePos="0" relativeHeight="251645952" behindDoc="0" locked="0" layoutInCell="1" allowOverlap="1" wp14:anchorId="1CD5372B" wp14:editId="75B730CF">
              <wp:simplePos x="0" y="0"/>
              <wp:positionH relativeFrom="page">
                <wp:posOffset>0</wp:posOffset>
              </wp:positionH>
              <wp:positionV relativeFrom="paragraph">
                <wp:posOffset>-42384</wp:posOffset>
              </wp:positionV>
              <wp:extent cx="9144000" cy="53340"/>
              <wp:effectExtent l="0" t="0" r="0" b="3810"/>
              <wp:wrapNone/>
              <wp:docPr id="15" name="Retângulo 14"/>
              <wp:cNvGraphicFramePr/>
              <a:graphic xmlns:a="http://schemas.openxmlformats.org/drawingml/2006/main">
                <a:graphicData uri="http://schemas.microsoft.com/office/word/2010/wordprocessingShape">
                  <wps:wsp>
                    <wps:cNvSpPr/>
                    <wps:spPr>
                      <a:xfrm>
                        <a:off x="0" y="0"/>
                        <a:ext cx="9144000" cy="53340"/>
                      </a:xfrm>
                      <a:prstGeom prst="rect">
                        <a:avLst/>
                      </a:prstGeom>
                      <a:solidFill>
                        <a:srgbClr val="F9DD16"/>
                      </a:solidFill>
                      <a:ln>
                        <a:noFill/>
                      </a:ln>
                    </wps:spPr>
                    <wps:style>
                      <a:lnRef idx="2">
                        <a:schemeClr val="accent6">
                          <a:shade val="50000"/>
                        </a:schemeClr>
                      </a:lnRef>
                      <a:fillRef idx="1">
                        <a:schemeClr val="accent6"/>
                      </a:fillRef>
                      <a:effectRef idx="0">
                        <a:schemeClr val="accent6"/>
                      </a:effectRef>
                      <a:fontRef idx="minor">
                        <a:schemeClr val="lt1"/>
                      </a:fontRef>
                    </wps:style>
                    <wps:bodyPr anchor="ctr"/>
                  </wps:wsp>
                </a:graphicData>
              </a:graphic>
            </wp:anchor>
          </w:drawing>
        </mc:Choice>
        <mc:Fallback>
          <w:pict>
            <v:rect w14:anchorId="10068DD3" id="Retângulo 14" o:spid="_x0000_s1026" style="position:absolute;margin-left:0;margin-top:-3.35pt;width:10in;height:4.2pt;z-index:251645952;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" fillcolor="#f9dd16" stroked="f" strokeweight="1pt">
              <w10:wrap anchorx="page"/>
            </v:rect>
          </w:pict>
        </mc:Fallback>
      </mc:AlternateContent>
    </w:r>
    <w:r w:rsidRPr="0069353A">
      <w:rPr>
        <w:noProof/>
        <w:sz w:val="20"/>
        <w:szCs w:val="20"/>
        <w:lang w:eastAsia="pt-BR"/>
      </w:rPr>
      <mc:AlternateContent>
        <mc:Choice Requires="wps">
          <w:drawing>
            <wp:anchor distT="0" distB="0" distL="114300" distR="114300" simplePos="0" relativeHeight="251644928" behindDoc="1" locked="0" layoutInCell="1" allowOverlap="1" wp14:anchorId="5E94901B" wp14:editId="0FD87EB2">
              <wp:simplePos x="0" y="0"/>
              <wp:positionH relativeFrom="page">
                <wp:align>left</wp:align>
              </wp:positionH>
              <wp:positionV relativeFrom="paragraph">
                <wp:posOffset>-540385</wp:posOffset>
              </wp:positionV>
              <wp:extent cx="7553325" cy="497840"/>
              <wp:effectExtent l="0" t="0" r="9525" b="0"/>
              <wp:wrapThrough wrapText="bothSides">
                <wp:wrapPolygon edited="0">
                  <wp:start x="0" y="0"/>
                  <wp:lineTo x="0" y="20663"/>
                  <wp:lineTo x="21573" y="20663"/>
                  <wp:lineTo x="21573" y="0"/>
                  <wp:lineTo x="0" y="0"/>
                </wp:wrapPolygon>
              </wp:wrapThrough>
              <wp:docPr id="18" name="Retângulo 18"/>
              <wp:cNvGraphicFramePr/>
              <a:graphic xmlns:a="http://schemas.openxmlformats.org/drawingml/2006/main">
                <a:graphicData uri="http://schemas.microsoft.com/office/word/2010/wordprocessingShape">
                  <wps:wsp>
                    <wps:cNvSpPr/>
                    <wps:spPr>
                      <a:xfrm>
                        <a:off x="0" y="0"/>
                        <a:ext cx="7553325" cy="497840"/>
                      </a:xfrm>
                      <a:prstGeom prst="rect">
                        <a:avLst/>
                      </a:prstGeom>
                      <a:solidFill>
                        <a:srgbClr val="002D4B"/>
                      </a:solidFill>
                      <a:ln>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13A33CCC" w14:textId="77777777" w:rsidR="009A3167" w:rsidRDefault="009A3167" w:rsidP="006B572D">
                          <w:pPr>
                            <w:ind w:left="708"/>
                            <w:jc w:val="righ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94901B" id="Retângulo 18" o:spid="_x0000_s1058" style="position:absolute;margin-left:0;margin-top:-42.55pt;width:594.75pt;height:39.2pt;z-index:-25167155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" fillcolor="#002d4b" stroked="f" strokeweight="1pt">
              <v:textbox>
                <w:txbxContent>
                  <w:p w14:paraId="13A33CCC" w14:textId="77777777" w:rsidR="009A3167" w:rsidRDefault="009A3167" w:rsidP="006B572D">
                    <w:pPr>
                      <w:ind w:left="708"/>
                      <w:jc w:val="right"/>
                    </w:pPr>
                  </w:p>
                </w:txbxContent>
              </v:textbox>
              <w10:wrap type="through" anchorx="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354F2" w14:textId="0D7AF48F" w:rsidR="009A3167" w:rsidRDefault="009A3167">
    <w:pPr>
      <w:pStyle w:val="Cabealho"/>
    </w:pPr>
    <w:r>
      <w:rPr>
        <w:noProof/>
        <w:lang w:eastAsia="pt-BR"/>
      </w:rPr>
      <mc:AlternateContent>
        <mc:Choice Requires="wps">
          <w:drawing>
            <wp:anchor distT="0" distB="0" distL="114300" distR="114300" simplePos="0" relativeHeight="251690495" behindDoc="0" locked="0" layoutInCell="0" allowOverlap="1" wp14:anchorId="4104D888" wp14:editId="3A32D124">
              <wp:simplePos x="0" y="190500"/>
              <wp:positionH relativeFrom="page">
                <wp:align>right</wp:align>
              </wp:positionH>
              <wp:positionV relativeFrom="page">
                <wp:align>top</wp:align>
              </wp:positionV>
              <wp:extent cx="7772400" cy="463550"/>
              <wp:effectExtent l="0" t="0" r="0" b="12700"/>
              <wp:wrapNone/>
              <wp:docPr id="26" name="MSIPCMcd4b461383bd1dc1b4134285" descr="{&quot;HashCode&quot;:-1487292391,&quot;Height&quot;:9999999.0,&quot;Width&quot;:9999999.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DF233C2" w14:textId="3BADD362" w:rsidR="009A3167" w:rsidRPr="001D5662" w:rsidRDefault="001D5662" w:rsidP="001D5662">
                          <w:pPr>
                            <w:spacing w:after="0"/>
                            <w:jc w:val="right"/>
                            <w:rPr>
                              <w:rFonts w:ascii="Calibri" w:hAnsi="Calibri" w:cs="Calibri"/>
                              <w:color w:val="000000"/>
                              <w:sz w:val="20"/>
                            </w:rPr>
                          </w:pPr>
                          <w:r w:rsidRPr="001D5662">
                            <w:rPr>
                              <w:rFonts w:ascii="Calibri" w:hAnsi="Calibri" w:cs="Calibri"/>
                              <w:color w:val="000000"/>
                              <w:sz w:val="20"/>
                            </w:rPr>
                            <w:t>#interna</w:t>
                          </w: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4104D888" id="_x0000_t202" coordsize="21600,21600" o:spt="202" path="m,l,21600r21600,l21600,xe">
              <v:stroke joinstyle="miter"/>
              <v:path gradientshapeok="t" o:connecttype="rect"/>
            </v:shapetype>
            <v:shape id="MSIPCMcd4b461383bd1dc1b4134285" o:spid="_x0000_s1028" type="#_x0000_t202" alt="{&quot;HashCode&quot;:-1487292391,&quot;Height&quot;:9999999.0,&quot;Width&quot;:9999999.0,&quot;Placement&quot;:&quot;Header&quot;,&quot;Index&quot;:&quot;FirstPage&quot;,&quot;Section&quot;:1,&quot;Top&quot;:0.0,&quot;Left&quot;:0.0}" style="position:absolute;margin-left:560.8pt;margin-top:0;width:612pt;height:36.5pt;z-index:251690495;visibility:visible;mso-wrap-style:square;mso-wrap-distance-left:9pt;mso-wrap-distance-top:0;mso-wrap-distance-right:9pt;mso-wrap-distance-bottom:0;mso-position-horizontal:righ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" o:allowincell="f" filled="f" stroked="f" strokeweight=".5pt">
              <v:textbox inset=",0,20pt,0">
                <w:txbxContent>
                  <w:p w14:paraId="3DF233C2" w14:textId="3BADD362" w:rsidR="009A3167" w:rsidRPr="001D5662" w:rsidRDefault="001D5662" w:rsidP="001D5662">
                    <w:pPr>
                      <w:spacing w:after="0"/>
                      <w:jc w:val="right"/>
                      <w:rPr>
                        <w:rFonts w:ascii="Calibri" w:hAnsi="Calibri" w:cs="Calibri"/>
                        <w:color w:val="000000"/>
                        <w:sz w:val="20"/>
                      </w:rPr>
                    </w:pPr>
                    <w:r w:rsidRPr="001D5662">
                      <w:rPr>
                        <w:rFonts w:ascii="Calibri" w:hAnsi="Calibri" w:cs="Calibri"/>
                        <w:color w:val="000000"/>
                        <w:sz w:val="20"/>
                      </w:rPr>
                      <w:t>#interna</w:t>
                    </w:r>
                  </w:p>
                </w:txbxContent>
              </v:textbox>
              <w10:wrap anchorx="page" anchory="page"/>
            </v:shape>
          </w:pict>
        </mc:Fallback>
      </mc:AlternateContent>
    </w: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8E53CC" w14:textId="776871B2" w:rsidR="009A3167" w:rsidRPr="00147488" w:rsidRDefault="009A3167" w:rsidP="006B572D">
    <w:pPr>
      <w:pStyle w:val="Cabealho"/>
      <w:tabs>
        <w:tab w:val="clear" w:pos="4252"/>
        <w:tab w:val="clear" w:pos="8504"/>
        <w:tab w:val="left" w:pos="5625"/>
      </w:tabs>
    </w:pPr>
    <w:r w:rsidRPr="005D303B">
      <w:rPr>
        <w:rFonts w:cs="Arial"/>
        <w:b/>
        <w:noProof/>
        <w:color w:val="1F4E79" w:themeColor="accent1" w:themeShade="80"/>
        <w:szCs w:val="18"/>
        <w:lang w:eastAsia="pt-BR"/>
      </w:rPr>
      <w:drawing>
        <wp:anchor distT="0" distB="0" distL="114300" distR="114300" simplePos="0" relativeHeight="251649024" behindDoc="0" locked="0" layoutInCell="1" allowOverlap="1" wp14:anchorId="17D356AF" wp14:editId="7F813220">
          <wp:simplePos x="0" y="0"/>
          <wp:positionH relativeFrom="margin">
            <wp:posOffset>-447675</wp:posOffset>
          </wp:positionH>
          <wp:positionV relativeFrom="paragraph">
            <wp:posOffset>-353060</wp:posOffset>
          </wp:positionV>
          <wp:extent cx="1176020" cy="259080"/>
          <wp:effectExtent l="0" t="0" r="5080" b="7620"/>
          <wp:wrapNone/>
          <wp:docPr id="32"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m 1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6020" cy="259080"/>
                  </a:xfrm>
                  <a:prstGeom prst="rect">
                    <a:avLst/>
                  </a:prstGeom>
                </pic:spPr>
              </pic:pic>
            </a:graphicData>
          </a:graphic>
          <wp14:sizeRelH relativeFrom="margin">
            <wp14:pctWidth>0</wp14:pctWidth>
          </wp14:sizeRelH>
          <wp14:sizeRelV relativeFrom="margin">
            <wp14:pctHeight>0</wp14:pctHeight>
          </wp14:sizeRelV>
        </wp:anchor>
      </w:drawing>
    </w:r>
    <w:r w:rsidRPr="0069353A">
      <w:rPr>
        <w:noProof/>
        <w:sz w:val="20"/>
        <w:szCs w:val="20"/>
        <w:lang w:eastAsia="pt-BR"/>
      </w:rPr>
      <mc:AlternateContent>
        <mc:Choice Requires="wps">
          <w:drawing>
            <wp:anchor distT="0" distB="0" distL="114300" distR="114300" simplePos="0" relativeHeight="251648000" behindDoc="1" locked="0" layoutInCell="1" allowOverlap="1" wp14:anchorId="2742E713" wp14:editId="1A6CF00F">
              <wp:simplePos x="0" y="0"/>
              <wp:positionH relativeFrom="page">
                <wp:align>left</wp:align>
              </wp:positionH>
              <wp:positionV relativeFrom="paragraph">
                <wp:posOffset>-542925</wp:posOffset>
              </wp:positionV>
              <wp:extent cx="7553325" cy="657860"/>
              <wp:effectExtent l="0" t="0" r="9525" b="8890"/>
              <wp:wrapThrough wrapText="bothSides">
                <wp:wrapPolygon edited="0">
                  <wp:start x="0" y="0"/>
                  <wp:lineTo x="0" y="21266"/>
                  <wp:lineTo x="21573" y="21266"/>
                  <wp:lineTo x="21573" y="0"/>
                  <wp:lineTo x="0" y="0"/>
                </wp:wrapPolygon>
              </wp:wrapThrough>
              <wp:docPr id="27" name="Retângulo 27"/>
              <wp:cNvGraphicFramePr/>
              <a:graphic xmlns:a="http://schemas.openxmlformats.org/drawingml/2006/main">
                <a:graphicData uri="http://schemas.microsoft.com/office/word/2010/wordprocessingShape">
                  <wps:wsp>
                    <wps:cNvSpPr/>
                    <wps:spPr>
                      <a:xfrm>
                        <a:off x="0" y="0"/>
                        <a:ext cx="7553325" cy="657860"/>
                      </a:xfrm>
                      <a:prstGeom prst="rect">
                        <a:avLst/>
                      </a:prstGeom>
                      <a:solidFill>
                        <a:srgbClr val="0038A8"/>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035BAE" id="Retângulo 27" o:spid="_x0000_s1026" style="position:absolute;margin-left:0;margin-top:-42.75pt;width:594.75pt;height:51.8pt;z-index:-25166848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" fillcolor="#0038a8" stroked="f" strokeweight="1pt">
              <w10:wrap type="through" anchorx="page"/>
            </v:rect>
          </w:pict>
        </mc:Fallback>
      </mc:AlternateContent>
    </w:r>
    <w:r w:rsidRPr="005D303B">
      <w:rPr>
        <w:rFonts w:cs="Arial"/>
        <w:b/>
        <w:noProof/>
        <w:color w:val="1F4E79" w:themeColor="accent1" w:themeShade="80"/>
        <w:szCs w:val="18"/>
        <w:lang w:eastAsia="pt-BR"/>
      </w:rPr>
      <mc:AlternateContent>
        <mc:Choice Requires="wps">
          <w:drawing>
            <wp:anchor distT="0" distB="0" distL="114300" distR="114300" simplePos="0" relativeHeight="251650048" behindDoc="0" locked="0" layoutInCell="1" allowOverlap="1" wp14:anchorId="5244D742" wp14:editId="604241CB">
              <wp:simplePos x="0" y="0"/>
              <wp:positionH relativeFrom="page">
                <wp:posOffset>0</wp:posOffset>
              </wp:positionH>
              <wp:positionV relativeFrom="paragraph">
                <wp:posOffset>77252</wp:posOffset>
              </wp:positionV>
              <wp:extent cx="9144000" cy="53340"/>
              <wp:effectExtent l="0" t="0" r="0" b="3810"/>
              <wp:wrapNone/>
              <wp:docPr id="28" name="Retângulo 14"/>
              <wp:cNvGraphicFramePr/>
              <a:graphic xmlns:a="http://schemas.openxmlformats.org/drawingml/2006/main">
                <a:graphicData uri="http://schemas.microsoft.com/office/word/2010/wordprocessingShape">
                  <wps:wsp>
                    <wps:cNvSpPr/>
                    <wps:spPr>
                      <a:xfrm>
                        <a:off x="0" y="0"/>
                        <a:ext cx="9144000" cy="53340"/>
                      </a:xfrm>
                      <a:prstGeom prst="rect">
                        <a:avLst/>
                      </a:prstGeom>
                      <a:solidFill>
                        <a:srgbClr val="F5E500"/>
                      </a:solidFill>
                      <a:ln>
                        <a:noFill/>
                      </a:ln>
                    </wps:spPr>
                    <wps:style>
                      <a:lnRef idx="2">
                        <a:schemeClr val="accent6">
                          <a:shade val="50000"/>
                        </a:schemeClr>
                      </a:lnRef>
                      <a:fillRef idx="1">
                        <a:schemeClr val="accent6"/>
                      </a:fillRef>
                      <a:effectRef idx="0">
                        <a:schemeClr val="accent6"/>
                      </a:effectRef>
                      <a:fontRef idx="minor">
                        <a:schemeClr val="lt1"/>
                      </a:fontRef>
                    </wps:style>
                    <wps:bodyPr anchor="ctr"/>
                  </wps:wsp>
                </a:graphicData>
              </a:graphic>
            </wp:anchor>
          </w:drawing>
        </mc:Choice>
        <mc:Fallback>
          <w:pict>
            <v:rect w14:anchorId="102AD163" id="Retângulo 14" o:spid="_x0000_s1026" style="position:absolute;margin-left:0;margin-top:6.1pt;width:10in;height:4.2pt;z-index:251650048;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" fillcolor="#f5e500" stroked="f" strokeweight="1pt">
              <w10:wrap anchorx="page"/>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847BC4" w14:textId="0FCE9D4A" w:rsidR="009A3167" w:rsidRPr="00992545" w:rsidRDefault="009A3167" w:rsidP="00187C45">
    <w:pPr>
      <w:ind w:left="708"/>
      <w:jc w:val="right"/>
    </w:pPr>
    <w:r>
      <w:rPr>
        <w:noProof/>
        <w:sz w:val="20"/>
        <w:szCs w:val="20"/>
        <w:lang w:eastAsia="pt-BR"/>
      </w:rPr>
      <mc:AlternateContent>
        <mc:Choice Requires="wps">
          <w:drawing>
            <wp:anchor distT="0" distB="0" distL="114300" distR="114300" simplePos="0" relativeHeight="251689471" behindDoc="0" locked="0" layoutInCell="0" allowOverlap="1" wp14:anchorId="0474E8DE" wp14:editId="4A5D8D15">
              <wp:simplePos x="0" y="0"/>
              <wp:positionH relativeFrom="page">
                <wp:align>right</wp:align>
              </wp:positionH>
              <wp:positionV relativeFrom="page">
                <wp:align>top</wp:align>
              </wp:positionV>
              <wp:extent cx="7772400" cy="463550"/>
              <wp:effectExtent l="0" t="0" r="0" b="12700"/>
              <wp:wrapNone/>
              <wp:docPr id="103" name="MSIPCM3ee34f1d9a7918150a14bc15" descr="{&quot;HashCode&quot;:-1487292391,&quot;Height&quot;:9999999.0,&quot;Width&quot;:9999999.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42E22BB" w14:textId="7D88B700" w:rsidR="009A3167" w:rsidRPr="001D5662" w:rsidRDefault="001D5662" w:rsidP="001D5662">
                          <w:pPr>
                            <w:spacing w:after="0"/>
                            <w:jc w:val="right"/>
                            <w:rPr>
                              <w:rFonts w:ascii="Calibri" w:hAnsi="Calibri" w:cs="Calibri"/>
                              <w:color w:val="000000"/>
                              <w:sz w:val="20"/>
                            </w:rPr>
                          </w:pPr>
                          <w:r w:rsidRPr="001D5662">
                            <w:rPr>
                              <w:rFonts w:ascii="Calibri" w:hAnsi="Calibri" w:cs="Calibri"/>
                              <w:color w:val="000000"/>
                              <w:sz w:val="20"/>
                            </w:rPr>
                            <w:t>#interna</w:t>
                          </w: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0474E8DE" id="_x0000_t202" coordsize="21600,21600" o:spt="202" path="m,l,21600r21600,l21600,xe">
              <v:stroke joinstyle="miter"/>
              <v:path gradientshapeok="t" o:connecttype="rect"/>
            </v:shapetype>
            <v:shape id="MSIPCM3ee34f1d9a7918150a14bc15" o:spid="_x0000_s1029" type="#_x0000_t202" alt="{&quot;HashCode&quot;:-1487292391,&quot;Height&quot;:9999999.0,&quot;Width&quot;:9999999.0,&quot;Placement&quot;:&quot;Header&quot;,&quot;Index&quot;:&quot;Primary&quot;,&quot;Section&quot;:2,&quot;Top&quot;:0.0,&quot;Left&quot;:0.0}" style="position:absolute;left:0;text-align:left;margin-left:560.8pt;margin-top:0;width:612pt;height:36.5pt;z-index:251689471;visibility:visible;mso-wrap-style:square;mso-wrap-distance-left:9pt;mso-wrap-distance-top:0;mso-wrap-distance-right:9pt;mso-wrap-distance-bottom:0;mso-position-horizontal:righ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" o:allowincell="f" filled="f" stroked="f" strokeweight=".5pt">
              <v:textbox inset=",0,20pt,0">
                <w:txbxContent>
                  <w:p w14:paraId="342E22BB" w14:textId="7D88B700" w:rsidR="009A3167" w:rsidRPr="001D5662" w:rsidRDefault="001D5662" w:rsidP="001D5662">
                    <w:pPr>
                      <w:spacing w:after="0"/>
                      <w:jc w:val="right"/>
                      <w:rPr>
                        <w:rFonts w:ascii="Calibri" w:hAnsi="Calibri" w:cs="Calibri"/>
                        <w:color w:val="000000"/>
                        <w:sz w:val="20"/>
                      </w:rPr>
                    </w:pPr>
                    <w:r w:rsidRPr="001D5662">
                      <w:rPr>
                        <w:rFonts w:ascii="Calibri" w:hAnsi="Calibri" w:cs="Calibri"/>
                        <w:color w:val="000000"/>
                        <w:sz w:val="20"/>
                      </w:rPr>
                      <w:t>#interna</w:t>
                    </w:r>
                  </w:p>
                </w:txbxContent>
              </v:textbox>
              <w10:wrap anchorx="page" anchory="page"/>
            </v:shape>
          </w:pict>
        </mc:Fallback>
      </mc:AlternateContent>
    </w:r>
    <w:r>
      <w:rPr>
        <w:noProof/>
        <w:sz w:val="20"/>
        <w:szCs w:val="20"/>
        <w:lang w:eastAsia="pt-BR"/>
      </w:rPr>
      <mc:AlternateContent>
        <mc:Choice Requires="wps">
          <w:drawing>
            <wp:anchor distT="0" distB="0" distL="114300" distR="114300" simplePos="0" relativeHeight="251627520" behindDoc="0" locked="0" layoutInCell="1" allowOverlap="1" wp14:anchorId="1F8CE5B9" wp14:editId="579A51DB">
              <wp:simplePos x="0" y="0"/>
              <wp:positionH relativeFrom="column">
                <wp:posOffset>3019339</wp:posOffset>
              </wp:positionH>
              <wp:positionV relativeFrom="paragraph">
                <wp:posOffset>-479442</wp:posOffset>
              </wp:positionV>
              <wp:extent cx="3629448" cy="402742"/>
              <wp:effectExtent l="0" t="0" r="0" b="0"/>
              <wp:wrapNone/>
              <wp:docPr id="87" name="Caixa de Texto 87"/>
              <wp:cNvGraphicFramePr/>
              <a:graphic xmlns:a="http://schemas.openxmlformats.org/drawingml/2006/main">
                <a:graphicData uri="http://schemas.microsoft.com/office/word/2010/wordprocessingShape">
                  <wps:wsp>
                    <wps:cNvSpPr txBox="1"/>
                    <wps:spPr>
                      <a:xfrm>
                        <a:off x="0" y="0"/>
                        <a:ext cx="3629448" cy="402742"/>
                      </a:xfrm>
                      <a:prstGeom prst="rect">
                        <a:avLst/>
                      </a:prstGeom>
                      <a:noFill/>
                      <a:ln w="6350">
                        <a:noFill/>
                      </a:ln>
                    </wps:spPr>
                    <wps:txbx>
                      <w:txbxContent>
                        <w:p w14:paraId="5CB2B47A" w14:textId="25472C83" w:rsidR="009A3167" w:rsidRPr="00AF3549" w:rsidRDefault="009A3167" w:rsidP="0017189F">
                          <w:pPr>
                            <w:jc w:val="right"/>
                          </w:pPr>
                          <w:r w:rsidRPr="002B7B96">
                            <w:rPr>
                              <w:rFonts w:cs="Arial"/>
                              <w:color w:val="FFFFFF" w:themeColor="background1"/>
                              <w:szCs w:val="18"/>
                            </w:rPr>
                            <w:t>Conso</w:t>
                          </w:r>
                          <w:r>
                            <w:rPr>
                              <w:rFonts w:cs="Arial"/>
                              <w:color w:val="FFFFFF" w:themeColor="background1"/>
                              <w:szCs w:val="18"/>
                            </w:rPr>
                            <w:t>lidated Financial Statements – 1</w:t>
                          </w:r>
                          <w:r w:rsidRPr="00A036E0">
                            <w:rPr>
                              <w:rFonts w:cs="Arial"/>
                              <w:color w:val="FFFFFF" w:themeColor="background1"/>
                              <w:szCs w:val="18"/>
                              <w:vertAlign w:val="superscript"/>
                            </w:rPr>
                            <w:t>st</w:t>
                          </w:r>
                          <w:r>
                            <w:rPr>
                              <w:rFonts w:cs="Arial"/>
                              <w:color w:val="FFFFFF" w:themeColor="background1"/>
                              <w:szCs w:val="18"/>
                            </w:rPr>
                            <w:t xml:space="preserve"> Half </w:t>
                          </w:r>
                          <w:r w:rsidRPr="002B7B96">
                            <w:rPr>
                              <w:rFonts w:cs="Arial"/>
                              <w:color w:val="FFFFFF" w:themeColor="background1"/>
                              <w:szCs w:val="18"/>
                            </w:rPr>
                            <w:t>202</w:t>
                          </w:r>
                          <w:r>
                            <w:rPr>
                              <w:rFonts w:cs="Arial"/>
                              <w:color w:val="FFFFFF" w:themeColor="background1"/>
                              <w:szCs w:val="18"/>
                            </w:rPr>
                            <w:t>3</w:t>
                          </w:r>
                          <w:r w:rsidRPr="00AF3549">
                            <w:rPr>
                              <w:rFonts w:cs="Arial"/>
                              <w:color w:val="FFFFFF" w:themeColor="background1"/>
                              <w:szCs w:val="18"/>
                            </w:rPr>
                            <w:br/>
                            <w:t>BB Seguridade Participações S.A.</w:t>
                          </w:r>
                        </w:p>
                        <w:p w14:paraId="4EC29F09" w14:textId="77777777" w:rsidR="009A3167" w:rsidRPr="00AF3549" w:rsidRDefault="009A3167" w:rsidP="0017189F">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8CE5B9" id="Caixa de Texto 87" o:spid="_x0000_s1030" type="#_x0000_t202" style="position:absolute;left:0;text-align:left;margin-left:237.75pt;margin-top:-37.75pt;width:285.8pt;height:31.7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" filled="f" stroked="f" strokeweight=".5pt">
              <v:textbox>
                <w:txbxContent>
                  <w:p w14:paraId="5CB2B47A" w14:textId="25472C83" w:rsidR="009A3167" w:rsidRPr="00AF3549" w:rsidRDefault="009A3167" w:rsidP="0017189F">
                    <w:pPr>
                      <w:jc w:val="right"/>
                    </w:pPr>
                    <w:r w:rsidRPr="002B7B96">
                      <w:rPr>
                        <w:rFonts w:cs="Arial"/>
                        <w:color w:val="FFFFFF" w:themeColor="background1"/>
                        <w:szCs w:val="18"/>
                      </w:rPr>
                      <w:t>Conso</w:t>
                    </w:r>
                    <w:r>
                      <w:rPr>
                        <w:rFonts w:cs="Arial"/>
                        <w:color w:val="FFFFFF" w:themeColor="background1"/>
                        <w:szCs w:val="18"/>
                      </w:rPr>
                      <w:t>lidated Financial Statements – 1</w:t>
                    </w:r>
                    <w:r w:rsidRPr="00A036E0">
                      <w:rPr>
                        <w:rFonts w:cs="Arial"/>
                        <w:color w:val="FFFFFF" w:themeColor="background1"/>
                        <w:szCs w:val="18"/>
                        <w:vertAlign w:val="superscript"/>
                      </w:rPr>
                      <w:t>st</w:t>
                    </w:r>
                    <w:r>
                      <w:rPr>
                        <w:rFonts w:cs="Arial"/>
                        <w:color w:val="FFFFFF" w:themeColor="background1"/>
                        <w:szCs w:val="18"/>
                      </w:rPr>
                      <w:t xml:space="preserve"> Half </w:t>
                    </w:r>
                    <w:r w:rsidRPr="002B7B96">
                      <w:rPr>
                        <w:rFonts w:cs="Arial"/>
                        <w:color w:val="FFFFFF" w:themeColor="background1"/>
                        <w:szCs w:val="18"/>
                      </w:rPr>
                      <w:t>202</w:t>
                    </w:r>
                    <w:r>
                      <w:rPr>
                        <w:rFonts w:cs="Arial"/>
                        <w:color w:val="FFFFFF" w:themeColor="background1"/>
                        <w:szCs w:val="18"/>
                      </w:rPr>
                      <w:t>3</w:t>
                    </w:r>
                    <w:r w:rsidRPr="00AF3549">
                      <w:rPr>
                        <w:rFonts w:cs="Arial"/>
                        <w:color w:val="FFFFFF" w:themeColor="background1"/>
                        <w:szCs w:val="18"/>
                      </w:rPr>
                      <w:br/>
                      <w:t>BB Seguridade Participações S.A.</w:t>
                    </w:r>
                  </w:p>
                  <w:p w14:paraId="4EC29F09" w14:textId="77777777" w:rsidR="009A3167" w:rsidRPr="00AF3549" w:rsidRDefault="009A3167" w:rsidP="0017189F">
                    <w:pPr>
                      <w:jc w:val="right"/>
                    </w:pPr>
                  </w:p>
                </w:txbxContent>
              </v:textbox>
            </v:shape>
          </w:pict>
        </mc:Fallback>
      </mc:AlternateContent>
    </w:r>
    <w:r w:rsidRPr="00254D35">
      <w:rPr>
        <w:noProof/>
        <w:sz w:val="20"/>
        <w:szCs w:val="20"/>
        <w:lang w:eastAsia="pt-BR"/>
      </w:rPr>
      <mc:AlternateContent>
        <mc:Choice Requires="wps">
          <w:drawing>
            <wp:anchor distT="0" distB="0" distL="114300" distR="114300" simplePos="0" relativeHeight="251624448" behindDoc="0" locked="0" layoutInCell="1" allowOverlap="1" wp14:anchorId="5525D7FB" wp14:editId="5643145A">
              <wp:simplePos x="0" y="0"/>
              <wp:positionH relativeFrom="page">
                <wp:posOffset>-1178011</wp:posOffset>
              </wp:positionH>
              <wp:positionV relativeFrom="paragraph">
                <wp:posOffset>-556861</wp:posOffset>
              </wp:positionV>
              <wp:extent cx="11887200" cy="527222"/>
              <wp:effectExtent l="0" t="0" r="0" b="6350"/>
              <wp:wrapNone/>
              <wp:docPr id="89" name="Retângulo 89"/>
              <wp:cNvGraphicFramePr/>
              <a:graphic xmlns:a="http://schemas.openxmlformats.org/drawingml/2006/main">
                <a:graphicData uri="http://schemas.microsoft.com/office/word/2010/wordprocessingShape">
                  <wps:wsp>
                    <wps:cNvSpPr/>
                    <wps:spPr>
                      <a:xfrm>
                        <a:off x="0" y="0"/>
                        <a:ext cx="11887200" cy="527222"/>
                      </a:xfrm>
                      <a:prstGeom prst="rect">
                        <a:avLst/>
                      </a:prstGeom>
                      <a:solidFill>
                        <a:srgbClr val="002D4B"/>
                      </a:solidFill>
                      <a:ln w="12700" cap="flat" cmpd="sng" algn="ctr">
                        <a:noFill/>
                        <a:prstDash val="solid"/>
                        <a:miter lim="800000"/>
                      </a:ln>
                      <a:effectLst/>
                    </wps:spPr>
                    <wps:txbx>
                      <w:txbxContent>
                        <w:p w14:paraId="1B5BF9A2" w14:textId="0033BAA9" w:rsidR="009A3167" w:rsidRDefault="009A3167" w:rsidP="00187C45">
                          <w:pPr>
                            <w:ind w:left="708"/>
                            <w:jc w:val="righ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25D7FB" id="Retângulo 89" o:spid="_x0000_s1031" style="position:absolute;left:0;text-align:left;margin-left:-92.75pt;margin-top:-43.85pt;width:13in;height:41.5pt;z-index:251624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" fillcolor="#002d4b" stroked="f" strokeweight="1pt">
              <v:textbox>
                <w:txbxContent>
                  <w:p w14:paraId="1B5BF9A2" w14:textId="0033BAA9" w:rsidR="009A3167" w:rsidRDefault="009A3167" w:rsidP="00187C45">
                    <w:pPr>
                      <w:ind w:left="708"/>
                      <w:jc w:val="right"/>
                    </w:pPr>
                  </w:p>
                </w:txbxContent>
              </v:textbox>
              <w10:wrap anchorx="page"/>
            </v:rect>
          </w:pict>
        </mc:Fallback>
      </mc:AlternateContent>
    </w:r>
    <w:r w:rsidRPr="005D303B">
      <w:rPr>
        <w:b/>
        <w:noProof/>
        <w:color w:val="1F4E79" w:themeColor="accent1" w:themeShade="80"/>
        <w:lang w:eastAsia="pt-BR"/>
      </w:rPr>
      <mc:AlternateContent>
        <mc:Choice Requires="wps">
          <w:drawing>
            <wp:anchor distT="0" distB="0" distL="114300" distR="114300" simplePos="0" relativeHeight="251625472" behindDoc="0" locked="0" layoutInCell="1" allowOverlap="1" wp14:anchorId="1F7509E7" wp14:editId="667099B5">
              <wp:simplePos x="0" y="0"/>
              <wp:positionH relativeFrom="page">
                <wp:posOffset>-720969</wp:posOffset>
              </wp:positionH>
              <wp:positionV relativeFrom="paragraph">
                <wp:posOffset>-48651</wp:posOffset>
              </wp:positionV>
              <wp:extent cx="11406505" cy="45719"/>
              <wp:effectExtent l="0" t="0" r="4445" b="0"/>
              <wp:wrapNone/>
              <wp:docPr id="88" name="Retângulo 14"/>
              <wp:cNvGraphicFramePr/>
              <a:graphic xmlns:a="http://schemas.openxmlformats.org/drawingml/2006/main">
                <a:graphicData uri="http://schemas.microsoft.com/office/word/2010/wordprocessingShape">
                  <wps:wsp>
                    <wps:cNvSpPr/>
                    <wps:spPr>
                      <a:xfrm flipV="1">
                        <a:off x="0" y="0"/>
                        <a:ext cx="11406505" cy="45719"/>
                      </a:xfrm>
                      <a:prstGeom prst="rect">
                        <a:avLst/>
                      </a:prstGeom>
                      <a:solidFill>
                        <a:srgbClr val="F9DD16"/>
                      </a:solidFill>
                      <a:ln w="12700" cap="flat" cmpd="sng" algn="ctr">
                        <a:noFill/>
                        <a:prstDash val="solid"/>
                        <a:miter lim="800000"/>
                      </a:ln>
                      <a:effectLst/>
                    </wps:spPr>
                    <wps:bodyPr anchor="ctr"/>
                  </wps:wsp>
                </a:graphicData>
              </a:graphic>
              <wp14:sizeRelH relativeFrom="margin">
                <wp14:pctWidth>0</wp14:pctWidth>
              </wp14:sizeRelH>
              <wp14:sizeRelV relativeFrom="margin">
                <wp14:pctHeight>0</wp14:pctHeight>
              </wp14:sizeRelV>
            </wp:anchor>
          </w:drawing>
        </mc:Choice>
        <mc:Fallback>
          <w:pict>
            <v:rect w14:anchorId="197A79D4" id="Retângulo 14" o:spid="_x0000_s1026" style="position:absolute;margin-left:-56.75pt;margin-top:-3.85pt;width:898.15pt;height:3.6pt;flip:y;z-index:2516254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" fillcolor="#f9dd16" stroked="f" strokeweight="1pt">
              <w10:wrap anchorx="page"/>
            </v:rect>
          </w:pict>
        </mc:Fallback>
      </mc:AlternateContent>
    </w:r>
    <w:r>
      <w:rPr>
        <w:noProof/>
        <w:sz w:val="20"/>
        <w:szCs w:val="20"/>
        <w:lang w:eastAsia="pt-BR"/>
      </w:rPr>
      <w:drawing>
        <wp:anchor distT="0" distB="0" distL="114300" distR="114300" simplePos="0" relativeHeight="251626496" behindDoc="0" locked="0" layoutInCell="1" allowOverlap="1" wp14:anchorId="2DEAFCF0" wp14:editId="08C5ACDE">
          <wp:simplePos x="0" y="0"/>
          <wp:positionH relativeFrom="margin">
            <wp:posOffset>-294957</wp:posOffset>
          </wp:positionH>
          <wp:positionV relativeFrom="page">
            <wp:posOffset>148590</wp:posOffset>
          </wp:positionV>
          <wp:extent cx="967740" cy="198755"/>
          <wp:effectExtent l="0" t="0" r="3810" b="0"/>
          <wp:wrapNone/>
          <wp:docPr id="116" name="Imagem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BB Seguro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67740" cy="198755"/>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DF0056" w14:textId="77777777" w:rsidR="009A3167" w:rsidRDefault="009A3167">
    <w:pPr>
      <w:pStyle w:val="Cabealho"/>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FDA50A" w14:textId="53DC6B44" w:rsidR="009A3167" w:rsidRPr="00992545" w:rsidRDefault="009A3167" w:rsidP="00187C45">
    <w:pPr>
      <w:ind w:left="708"/>
      <w:jc w:val="right"/>
    </w:pPr>
    <w:r>
      <w:rPr>
        <w:noProof/>
        <w:sz w:val="20"/>
        <w:szCs w:val="20"/>
        <w:lang w:eastAsia="pt-BR"/>
      </w:rPr>
      <mc:AlternateContent>
        <mc:Choice Requires="wps">
          <w:drawing>
            <wp:anchor distT="0" distB="0" distL="114300" distR="114300" simplePos="0" relativeHeight="251665919" behindDoc="0" locked="0" layoutInCell="0" allowOverlap="1" wp14:anchorId="4A0BF5D5" wp14:editId="41A3B157">
              <wp:simplePos x="0" y="0"/>
              <wp:positionH relativeFrom="page">
                <wp:align>right</wp:align>
              </wp:positionH>
              <wp:positionV relativeFrom="page">
                <wp:align>top</wp:align>
              </wp:positionV>
              <wp:extent cx="7772400" cy="463550"/>
              <wp:effectExtent l="0" t="0" r="0" b="12700"/>
              <wp:wrapNone/>
              <wp:docPr id="110" name="MSIPCMaa554975a6df7850e1f2c121" descr="{&quot;HashCode&quot;:-1487292391,&quot;Height&quot;:9999999.0,&quot;Width&quot;:9999999.0,&quot;Placement&quot;:&quot;Head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73FE028" w14:textId="5BFE82F4" w:rsidR="009A3167" w:rsidRPr="001D5662" w:rsidRDefault="001D5662" w:rsidP="001D5662">
                          <w:pPr>
                            <w:spacing w:after="0"/>
                            <w:jc w:val="right"/>
                            <w:rPr>
                              <w:rFonts w:ascii="Calibri" w:hAnsi="Calibri" w:cs="Calibri"/>
                              <w:color w:val="000000"/>
                              <w:sz w:val="20"/>
                            </w:rPr>
                          </w:pPr>
                          <w:r w:rsidRPr="001D5662">
                            <w:rPr>
                              <w:rFonts w:ascii="Calibri" w:hAnsi="Calibri" w:cs="Calibri"/>
                              <w:color w:val="000000"/>
                              <w:sz w:val="20"/>
                            </w:rPr>
                            <w:t>#interna</w:t>
                          </w: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4A0BF5D5" id="_x0000_t202" coordsize="21600,21600" o:spt="202" path="m,l,21600r21600,l21600,xe">
              <v:stroke joinstyle="miter"/>
              <v:path gradientshapeok="t" o:connecttype="rect"/>
            </v:shapetype>
            <v:shape id="MSIPCMaa554975a6df7850e1f2c121" o:spid="_x0000_s1032" type="#_x0000_t202" alt="{&quot;HashCode&quot;:-1487292391,&quot;Height&quot;:9999999.0,&quot;Width&quot;:9999999.0,&quot;Placement&quot;:&quot;Header&quot;,&quot;Index&quot;:&quot;Primary&quot;,&quot;Section&quot;:3,&quot;Top&quot;:0.0,&quot;Left&quot;:0.0}" style="position:absolute;left:0;text-align:left;margin-left:560.8pt;margin-top:0;width:612pt;height:36.5pt;z-index:251665919;visibility:visible;mso-wrap-style:square;mso-wrap-distance-left:9pt;mso-wrap-distance-top:0;mso-wrap-distance-right:9pt;mso-wrap-distance-bottom:0;mso-position-horizontal:righ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" o:allowincell="f" filled="f" stroked="f" strokeweight=".5pt">
              <v:textbox inset=",0,20pt,0">
                <w:txbxContent>
                  <w:p w14:paraId="073FE028" w14:textId="5BFE82F4" w:rsidR="009A3167" w:rsidRPr="001D5662" w:rsidRDefault="001D5662" w:rsidP="001D5662">
                    <w:pPr>
                      <w:spacing w:after="0"/>
                      <w:jc w:val="right"/>
                      <w:rPr>
                        <w:rFonts w:ascii="Calibri" w:hAnsi="Calibri" w:cs="Calibri"/>
                        <w:color w:val="000000"/>
                        <w:sz w:val="20"/>
                      </w:rPr>
                    </w:pPr>
                    <w:r w:rsidRPr="001D5662">
                      <w:rPr>
                        <w:rFonts w:ascii="Calibri" w:hAnsi="Calibri" w:cs="Calibri"/>
                        <w:color w:val="000000"/>
                        <w:sz w:val="20"/>
                      </w:rPr>
                      <w:t>#interna</w:t>
                    </w:r>
                  </w:p>
                </w:txbxContent>
              </v:textbox>
              <w10:wrap anchorx="page" anchory="page"/>
            </v:shape>
          </w:pict>
        </mc:Fallback>
      </mc:AlternateContent>
    </w:r>
    <w:r>
      <w:rPr>
        <w:noProof/>
        <w:sz w:val="20"/>
        <w:szCs w:val="20"/>
        <w:lang w:eastAsia="pt-BR"/>
      </w:rPr>
      <mc:AlternateContent>
        <mc:Choice Requires="wps">
          <w:drawing>
            <wp:anchor distT="0" distB="0" distL="114300" distR="114300" simplePos="0" relativeHeight="251670528" behindDoc="0" locked="0" layoutInCell="1" allowOverlap="1" wp14:anchorId="08BA4157" wp14:editId="75BED60B">
              <wp:simplePos x="0" y="0"/>
              <wp:positionH relativeFrom="column">
                <wp:posOffset>3019339</wp:posOffset>
              </wp:positionH>
              <wp:positionV relativeFrom="paragraph">
                <wp:posOffset>-479442</wp:posOffset>
              </wp:positionV>
              <wp:extent cx="3629448" cy="402742"/>
              <wp:effectExtent l="0" t="0" r="0" b="0"/>
              <wp:wrapNone/>
              <wp:docPr id="43" name="Caixa de Texto 43"/>
              <wp:cNvGraphicFramePr/>
              <a:graphic xmlns:a="http://schemas.openxmlformats.org/drawingml/2006/main">
                <a:graphicData uri="http://schemas.microsoft.com/office/word/2010/wordprocessingShape">
                  <wps:wsp>
                    <wps:cNvSpPr txBox="1"/>
                    <wps:spPr>
                      <a:xfrm>
                        <a:off x="0" y="0"/>
                        <a:ext cx="3629448" cy="402742"/>
                      </a:xfrm>
                      <a:prstGeom prst="rect">
                        <a:avLst/>
                      </a:prstGeom>
                      <a:noFill/>
                      <a:ln w="6350">
                        <a:noFill/>
                      </a:ln>
                    </wps:spPr>
                    <wps:txbx>
                      <w:txbxContent>
                        <w:p w14:paraId="1ED33EEF" w14:textId="77777777" w:rsidR="009A3167" w:rsidRPr="00AF3549" w:rsidRDefault="009A3167" w:rsidP="0017189F">
                          <w:pPr>
                            <w:jc w:val="right"/>
                          </w:pPr>
                          <w:r w:rsidRPr="002B7B96">
                            <w:rPr>
                              <w:rFonts w:cs="Arial"/>
                              <w:color w:val="FFFFFF" w:themeColor="background1"/>
                              <w:szCs w:val="18"/>
                            </w:rPr>
                            <w:t>Conso</w:t>
                          </w:r>
                          <w:r>
                            <w:rPr>
                              <w:rFonts w:cs="Arial"/>
                              <w:color w:val="FFFFFF" w:themeColor="background1"/>
                              <w:szCs w:val="18"/>
                            </w:rPr>
                            <w:t>lidated Financial Statements – 1</w:t>
                          </w:r>
                          <w:r w:rsidRPr="00A036E0">
                            <w:rPr>
                              <w:rFonts w:cs="Arial"/>
                              <w:color w:val="FFFFFF" w:themeColor="background1"/>
                              <w:szCs w:val="18"/>
                              <w:vertAlign w:val="superscript"/>
                            </w:rPr>
                            <w:t>st</w:t>
                          </w:r>
                          <w:r>
                            <w:rPr>
                              <w:rFonts w:cs="Arial"/>
                              <w:color w:val="FFFFFF" w:themeColor="background1"/>
                              <w:szCs w:val="18"/>
                            </w:rPr>
                            <w:t xml:space="preserve"> Half </w:t>
                          </w:r>
                          <w:r w:rsidRPr="002B7B96">
                            <w:rPr>
                              <w:rFonts w:cs="Arial"/>
                              <w:color w:val="FFFFFF" w:themeColor="background1"/>
                              <w:szCs w:val="18"/>
                            </w:rPr>
                            <w:t>202</w:t>
                          </w:r>
                          <w:r>
                            <w:rPr>
                              <w:rFonts w:cs="Arial"/>
                              <w:color w:val="FFFFFF" w:themeColor="background1"/>
                              <w:szCs w:val="18"/>
                            </w:rPr>
                            <w:t>3</w:t>
                          </w:r>
                          <w:r w:rsidRPr="00AF3549">
                            <w:rPr>
                              <w:rFonts w:cs="Arial"/>
                              <w:color w:val="FFFFFF" w:themeColor="background1"/>
                              <w:szCs w:val="18"/>
                            </w:rPr>
                            <w:br/>
                            <w:t>BB Seguridade Participações S.A.</w:t>
                          </w:r>
                        </w:p>
                        <w:p w14:paraId="292210AC" w14:textId="77777777" w:rsidR="009A3167" w:rsidRPr="00AF3549" w:rsidRDefault="009A3167" w:rsidP="0017189F">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BA4157" id="Caixa de Texto 43" o:spid="_x0000_s1033" type="#_x0000_t202" style="position:absolute;left:0;text-align:left;margin-left:237.75pt;margin-top:-37.75pt;width:285.8pt;height:31.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" filled="f" stroked="f" strokeweight=".5pt">
              <v:textbox>
                <w:txbxContent>
                  <w:p w14:paraId="1ED33EEF" w14:textId="77777777" w:rsidR="009A3167" w:rsidRPr="00AF3549" w:rsidRDefault="009A3167" w:rsidP="0017189F">
                    <w:pPr>
                      <w:jc w:val="right"/>
                    </w:pPr>
                    <w:r w:rsidRPr="002B7B96">
                      <w:rPr>
                        <w:rFonts w:cs="Arial"/>
                        <w:color w:val="FFFFFF" w:themeColor="background1"/>
                        <w:szCs w:val="18"/>
                      </w:rPr>
                      <w:t>Conso</w:t>
                    </w:r>
                    <w:r>
                      <w:rPr>
                        <w:rFonts w:cs="Arial"/>
                        <w:color w:val="FFFFFF" w:themeColor="background1"/>
                        <w:szCs w:val="18"/>
                      </w:rPr>
                      <w:t>lidated Financial Statements – 1</w:t>
                    </w:r>
                    <w:r w:rsidRPr="00A036E0">
                      <w:rPr>
                        <w:rFonts w:cs="Arial"/>
                        <w:color w:val="FFFFFF" w:themeColor="background1"/>
                        <w:szCs w:val="18"/>
                        <w:vertAlign w:val="superscript"/>
                      </w:rPr>
                      <w:t>st</w:t>
                    </w:r>
                    <w:r>
                      <w:rPr>
                        <w:rFonts w:cs="Arial"/>
                        <w:color w:val="FFFFFF" w:themeColor="background1"/>
                        <w:szCs w:val="18"/>
                      </w:rPr>
                      <w:t xml:space="preserve"> Half </w:t>
                    </w:r>
                    <w:r w:rsidRPr="002B7B96">
                      <w:rPr>
                        <w:rFonts w:cs="Arial"/>
                        <w:color w:val="FFFFFF" w:themeColor="background1"/>
                        <w:szCs w:val="18"/>
                      </w:rPr>
                      <w:t>202</w:t>
                    </w:r>
                    <w:r>
                      <w:rPr>
                        <w:rFonts w:cs="Arial"/>
                        <w:color w:val="FFFFFF" w:themeColor="background1"/>
                        <w:szCs w:val="18"/>
                      </w:rPr>
                      <w:t>3</w:t>
                    </w:r>
                    <w:r w:rsidRPr="00AF3549">
                      <w:rPr>
                        <w:rFonts w:cs="Arial"/>
                        <w:color w:val="FFFFFF" w:themeColor="background1"/>
                        <w:szCs w:val="18"/>
                      </w:rPr>
                      <w:br/>
                      <w:t>BB Seguridade Participações S.A.</w:t>
                    </w:r>
                  </w:p>
                  <w:p w14:paraId="292210AC" w14:textId="77777777" w:rsidR="009A3167" w:rsidRPr="00AF3549" w:rsidRDefault="009A3167" w:rsidP="0017189F">
                    <w:pPr>
                      <w:jc w:val="right"/>
                    </w:pPr>
                  </w:p>
                </w:txbxContent>
              </v:textbox>
            </v:shape>
          </w:pict>
        </mc:Fallback>
      </mc:AlternateContent>
    </w:r>
    <w:r w:rsidRPr="00254D35">
      <w:rPr>
        <w:noProof/>
        <w:sz w:val="20"/>
        <w:szCs w:val="20"/>
        <w:lang w:eastAsia="pt-BR"/>
      </w:rPr>
      <mc:AlternateContent>
        <mc:Choice Requires="wps">
          <w:drawing>
            <wp:anchor distT="0" distB="0" distL="114300" distR="114300" simplePos="0" relativeHeight="251665408" behindDoc="0" locked="0" layoutInCell="1" allowOverlap="1" wp14:anchorId="229D3330" wp14:editId="3526567D">
              <wp:simplePos x="0" y="0"/>
              <wp:positionH relativeFrom="page">
                <wp:posOffset>-1178011</wp:posOffset>
              </wp:positionH>
              <wp:positionV relativeFrom="paragraph">
                <wp:posOffset>-556861</wp:posOffset>
              </wp:positionV>
              <wp:extent cx="11887200" cy="527222"/>
              <wp:effectExtent l="0" t="0" r="0" b="6350"/>
              <wp:wrapNone/>
              <wp:docPr id="44" name="Retângulo 44"/>
              <wp:cNvGraphicFramePr/>
              <a:graphic xmlns:a="http://schemas.openxmlformats.org/drawingml/2006/main">
                <a:graphicData uri="http://schemas.microsoft.com/office/word/2010/wordprocessingShape">
                  <wps:wsp>
                    <wps:cNvSpPr/>
                    <wps:spPr>
                      <a:xfrm>
                        <a:off x="0" y="0"/>
                        <a:ext cx="11887200" cy="527222"/>
                      </a:xfrm>
                      <a:prstGeom prst="rect">
                        <a:avLst/>
                      </a:prstGeom>
                      <a:solidFill>
                        <a:srgbClr val="002D4B"/>
                      </a:solidFill>
                      <a:ln w="12700" cap="flat" cmpd="sng" algn="ctr">
                        <a:noFill/>
                        <a:prstDash val="solid"/>
                        <a:miter lim="800000"/>
                      </a:ln>
                      <a:effectLst/>
                    </wps:spPr>
                    <wps:txbx>
                      <w:txbxContent>
                        <w:p w14:paraId="1AE652A8" w14:textId="77777777" w:rsidR="009A3167" w:rsidRDefault="009A3167" w:rsidP="00187C45">
                          <w:pPr>
                            <w:ind w:left="708"/>
                            <w:jc w:val="righ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9D3330" id="Retângulo 44" o:spid="_x0000_s1034" style="position:absolute;left:0;text-align:left;margin-left:-92.75pt;margin-top:-43.85pt;width:13in;height:41.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" fillcolor="#002d4b" stroked="f" strokeweight="1pt">
              <v:textbox>
                <w:txbxContent>
                  <w:p w14:paraId="1AE652A8" w14:textId="77777777" w:rsidR="009A3167" w:rsidRDefault="009A3167" w:rsidP="00187C45">
                    <w:pPr>
                      <w:ind w:left="708"/>
                      <w:jc w:val="right"/>
                    </w:pPr>
                  </w:p>
                </w:txbxContent>
              </v:textbox>
              <w10:wrap anchorx="page"/>
            </v:rect>
          </w:pict>
        </mc:Fallback>
      </mc:AlternateContent>
    </w:r>
    <w:r w:rsidRPr="005D303B">
      <w:rPr>
        <w:b/>
        <w:noProof/>
        <w:color w:val="1F4E79" w:themeColor="accent1" w:themeShade="80"/>
        <w:lang w:eastAsia="pt-BR"/>
      </w:rPr>
      <mc:AlternateContent>
        <mc:Choice Requires="wps">
          <w:drawing>
            <wp:anchor distT="0" distB="0" distL="114300" distR="114300" simplePos="0" relativeHeight="251668480" behindDoc="0" locked="0" layoutInCell="1" allowOverlap="1" wp14:anchorId="31E7D88E" wp14:editId="1AD0C1DE">
              <wp:simplePos x="0" y="0"/>
              <wp:positionH relativeFrom="page">
                <wp:posOffset>-720969</wp:posOffset>
              </wp:positionH>
              <wp:positionV relativeFrom="paragraph">
                <wp:posOffset>-48651</wp:posOffset>
              </wp:positionV>
              <wp:extent cx="11406505" cy="45719"/>
              <wp:effectExtent l="0" t="0" r="4445" b="0"/>
              <wp:wrapNone/>
              <wp:docPr id="45" name="Retângulo 14"/>
              <wp:cNvGraphicFramePr/>
              <a:graphic xmlns:a="http://schemas.openxmlformats.org/drawingml/2006/main">
                <a:graphicData uri="http://schemas.microsoft.com/office/word/2010/wordprocessingShape">
                  <wps:wsp>
                    <wps:cNvSpPr/>
                    <wps:spPr>
                      <a:xfrm flipV="1">
                        <a:off x="0" y="0"/>
                        <a:ext cx="11406505" cy="45719"/>
                      </a:xfrm>
                      <a:prstGeom prst="rect">
                        <a:avLst/>
                      </a:prstGeom>
                      <a:solidFill>
                        <a:srgbClr val="F9DD16"/>
                      </a:solidFill>
                      <a:ln w="12700" cap="flat" cmpd="sng" algn="ctr">
                        <a:noFill/>
                        <a:prstDash val="solid"/>
                        <a:miter lim="800000"/>
                      </a:ln>
                      <a:effectLst/>
                    </wps:spPr>
                    <wps:bodyPr anchor="ctr"/>
                  </wps:wsp>
                </a:graphicData>
              </a:graphic>
              <wp14:sizeRelH relativeFrom="margin">
                <wp14:pctWidth>0</wp14:pctWidth>
              </wp14:sizeRelH>
              <wp14:sizeRelV relativeFrom="margin">
                <wp14:pctHeight>0</wp14:pctHeight>
              </wp14:sizeRelV>
            </wp:anchor>
          </w:drawing>
        </mc:Choice>
        <mc:Fallback>
          <w:pict>
            <v:rect w14:anchorId="2CC44715" id="Retângulo 14" o:spid="_x0000_s1026" style="position:absolute;margin-left:-56.75pt;margin-top:-3.85pt;width:898.15pt;height:3.6pt;flip:y;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" fillcolor="#f9dd16" stroked="f" strokeweight="1pt">
              <w10:wrap anchorx="page"/>
            </v:rect>
          </w:pict>
        </mc:Fallback>
      </mc:AlternateContent>
    </w:r>
    <w:r>
      <w:rPr>
        <w:noProof/>
        <w:sz w:val="20"/>
        <w:szCs w:val="20"/>
        <w:lang w:eastAsia="pt-BR"/>
      </w:rPr>
      <w:drawing>
        <wp:anchor distT="0" distB="0" distL="114300" distR="114300" simplePos="0" relativeHeight="251669504" behindDoc="0" locked="0" layoutInCell="1" allowOverlap="1" wp14:anchorId="07ECC7A7" wp14:editId="55AA2DED">
          <wp:simplePos x="0" y="0"/>
          <wp:positionH relativeFrom="margin">
            <wp:posOffset>-294957</wp:posOffset>
          </wp:positionH>
          <wp:positionV relativeFrom="page">
            <wp:posOffset>148590</wp:posOffset>
          </wp:positionV>
          <wp:extent cx="967740" cy="198755"/>
          <wp:effectExtent l="0" t="0" r="3810" b="0"/>
          <wp:wrapNone/>
          <wp:docPr id="46" name="Imagem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BB Seguro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67740" cy="198755"/>
                  </a:xfrm>
                  <a:prstGeom prst="rect">
                    <a:avLst/>
                  </a:prstGeom>
                </pic:spPr>
              </pic:pic>
            </a:graphicData>
          </a:graphic>
          <wp14:sizeRelH relativeFrom="margin">
            <wp14:pctWidth>0</wp14:pctWidth>
          </wp14:sizeRelH>
          <wp14:sizeRelV relativeFrom="margin">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2410EC" w14:textId="02DED701" w:rsidR="009A3167" w:rsidRPr="00147488" w:rsidRDefault="00E21275" w:rsidP="008B7E19">
    <w:pPr>
      <w:pStyle w:val="Cabealho"/>
      <w:tabs>
        <w:tab w:val="clear" w:pos="4252"/>
        <w:tab w:val="clear" w:pos="8504"/>
        <w:tab w:val="left" w:pos="5625"/>
      </w:tabs>
    </w:pPr>
    <w:r>
      <w:rPr>
        <w:rFonts w:cs="Arial"/>
        <w:b/>
        <w:noProof/>
        <w:color w:val="1F4E79" w:themeColor="accent1" w:themeShade="80"/>
        <w:szCs w:val="18"/>
        <w:lang w:eastAsia="pt-BR"/>
      </w:rPr>
      <mc:AlternateContent>
        <mc:Choice Requires="wps">
          <w:drawing>
            <wp:anchor distT="0" distB="0" distL="114300" distR="114300" simplePos="0" relativeHeight="251695104" behindDoc="0" locked="0" layoutInCell="0" allowOverlap="1" wp14:anchorId="39EAED46" wp14:editId="09CBABBB">
              <wp:simplePos x="0" y="190500"/>
              <wp:positionH relativeFrom="page">
                <wp:align>right</wp:align>
              </wp:positionH>
              <wp:positionV relativeFrom="page">
                <wp:align>top</wp:align>
              </wp:positionV>
              <wp:extent cx="7772400" cy="463550"/>
              <wp:effectExtent l="0" t="0" r="0" b="12700"/>
              <wp:wrapNone/>
              <wp:docPr id="2" name="MSIPCMb1da4d699c49d6341b6c6291" descr="{&quot;HashCode&quot;:-1487292391,&quot;Height&quot;:9999999.0,&quot;Width&quot;:9999999.0,&quot;Placement&quot;:&quot;Header&quot;,&quot;Index&quot;:&quot;FirstPage&quot;,&quot;Section&quot;:3,&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CFB09F" w14:textId="6F57D147" w:rsidR="00E21275" w:rsidRPr="001D5662" w:rsidRDefault="001D5662" w:rsidP="001D5662">
                          <w:pPr>
                            <w:spacing w:after="0"/>
                            <w:jc w:val="right"/>
                            <w:rPr>
                              <w:rFonts w:ascii="Calibri" w:hAnsi="Calibri" w:cs="Calibri"/>
                              <w:color w:val="000000"/>
                              <w:sz w:val="20"/>
                            </w:rPr>
                          </w:pPr>
                          <w:r w:rsidRPr="001D5662">
                            <w:rPr>
                              <w:rFonts w:ascii="Calibri" w:hAnsi="Calibri" w:cs="Calibri"/>
                              <w:color w:val="000000"/>
                              <w:sz w:val="20"/>
                            </w:rPr>
                            <w:t>#interna</w:t>
                          </w: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39EAED46" id="_x0000_t202" coordsize="21600,21600" o:spt="202" path="m,l,21600r21600,l21600,xe">
              <v:stroke joinstyle="miter"/>
              <v:path gradientshapeok="t" o:connecttype="rect"/>
            </v:shapetype>
            <v:shape id="MSIPCMb1da4d699c49d6341b6c6291" o:spid="_x0000_s1035" type="#_x0000_t202" alt="{&quot;HashCode&quot;:-1487292391,&quot;Height&quot;:9999999.0,&quot;Width&quot;:9999999.0,&quot;Placement&quot;:&quot;Header&quot;,&quot;Index&quot;:&quot;FirstPage&quot;,&quot;Section&quot;:3,&quot;Top&quot;:0.0,&quot;Left&quot;:0.0}" style="position:absolute;margin-left:560.8pt;margin-top:0;width:612pt;height:36.5pt;z-index:251695104;visibility:visible;mso-wrap-style:square;mso-wrap-distance-left:9pt;mso-wrap-distance-top:0;mso-wrap-distance-right:9pt;mso-wrap-distance-bottom:0;mso-position-horizontal:righ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" o:allowincell="f" filled="f" stroked="f" strokeweight=".5pt">
              <v:fill o:detectmouseclick="t"/>
              <v:textbox inset=",0,20pt,0">
                <w:txbxContent>
                  <w:p w14:paraId="4ACFB09F" w14:textId="6F57D147" w:rsidR="00E21275" w:rsidRPr="001D5662" w:rsidRDefault="001D5662" w:rsidP="001D5662">
                    <w:pPr>
                      <w:spacing w:after="0"/>
                      <w:jc w:val="right"/>
                      <w:rPr>
                        <w:rFonts w:ascii="Calibri" w:hAnsi="Calibri" w:cs="Calibri"/>
                        <w:color w:val="000000"/>
                        <w:sz w:val="20"/>
                      </w:rPr>
                    </w:pPr>
                    <w:r w:rsidRPr="001D5662">
                      <w:rPr>
                        <w:rFonts w:ascii="Calibri" w:hAnsi="Calibri" w:cs="Calibri"/>
                        <w:color w:val="000000"/>
                        <w:sz w:val="20"/>
                      </w:rPr>
                      <w:t>#interna</w:t>
                    </w:r>
                  </w:p>
                </w:txbxContent>
              </v:textbox>
              <w10:wrap anchorx="page" anchory="page"/>
            </v:shape>
          </w:pict>
        </mc:Fallback>
      </mc:AlternateContent>
    </w:r>
    <w:r w:rsidR="009A3167" w:rsidRPr="005D303B">
      <w:rPr>
        <w:rFonts w:cs="Arial"/>
        <w:b/>
        <w:noProof/>
        <w:color w:val="1F4E79" w:themeColor="accent1" w:themeShade="80"/>
        <w:szCs w:val="18"/>
        <w:lang w:eastAsia="pt-BR"/>
      </w:rPr>
      <w:drawing>
        <wp:anchor distT="0" distB="0" distL="114300" distR="114300" simplePos="0" relativeHeight="251629568" behindDoc="0" locked="0" layoutInCell="1" allowOverlap="1" wp14:anchorId="41D28E05" wp14:editId="7CB0B37D">
          <wp:simplePos x="0" y="0"/>
          <wp:positionH relativeFrom="margin">
            <wp:posOffset>-447675</wp:posOffset>
          </wp:positionH>
          <wp:positionV relativeFrom="paragraph">
            <wp:posOffset>-353060</wp:posOffset>
          </wp:positionV>
          <wp:extent cx="1176020" cy="259080"/>
          <wp:effectExtent l="0" t="0" r="5080" b="7620"/>
          <wp:wrapNone/>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m 1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6020" cy="259080"/>
                  </a:xfrm>
                  <a:prstGeom prst="rect">
                    <a:avLst/>
                  </a:prstGeom>
                </pic:spPr>
              </pic:pic>
            </a:graphicData>
          </a:graphic>
          <wp14:sizeRelH relativeFrom="margin">
            <wp14:pctWidth>0</wp14:pctWidth>
          </wp14:sizeRelH>
          <wp14:sizeRelV relativeFrom="margin">
            <wp14:pctHeight>0</wp14:pctHeight>
          </wp14:sizeRelV>
        </wp:anchor>
      </w:drawing>
    </w:r>
    <w:r w:rsidR="009A3167" w:rsidRPr="0069353A">
      <w:rPr>
        <w:noProof/>
        <w:sz w:val="20"/>
        <w:szCs w:val="20"/>
        <w:lang w:eastAsia="pt-BR"/>
      </w:rPr>
      <mc:AlternateContent>
        <mc:Choice Requires="wps">
          <w:drawing>
            <wp:anchor distT="0" distB="0" distL="114300" distR="114300" simplePos="0" relativeHeight="251628544" behindDoc="1" locked="0" layoutInCell="1" allowOverlap="1" wp14:anchorId="05590433" wp14:editId="21E2ACCF">
              <wp:simplePos x="0" y="0"/>
              <wp:positionH relativeFrom="page">
                <wp:align>left</wp:align>
              </wp:positionH>
              <wp:positionV relativeFrom="paragraph">
                <wp:posOffset>-542925</wp:posOffset>
              </wp:positionV>
              <wp:extent cx="7553325" cy="657860"/>
              <wp:effectExtent l="0" t="0" r="9525" b="8890"/>
              <wp:wrapThrough wrapText="bothSides">
                <wp:wrapPolygon edited="0">
                  <wp:start x="0" y="0"/>
                  <wp:lineTo x="0" y="21266"/>
                  <wp:lineTo x="21573" y="21266"/>
                  <wp:lineTo x="21573" y="0"/>
                  <wp:lineTo x="0" y="0"/>
                </wp:wrapPolygon>
              </wp:wrapThrough>
              <wp:docPr id="8" name="Retângulo 8"/>
              <wp:cNvGraphicFramePr/>
              <a:graphic xmlns:a="http://schemas.openxmlformats.org/drawingml/2006/main">
                <a:graphicData uri="http://schemas.microsoft.com/office/word/2010/wordprocessingShape">
                  <wps:wsp>
                    <wps:cNvSpPr/>
                    <wps:spPr>
                      <a:xfrm>
                        <a:off x="0" y="0"/>
                        <a:ext cx="7553325" cy="657860"/>
                      </a:xfrm>
                      <a:prstGeom prst="rect">
                        <a:avLst/>
                      </a:prstGeom>
                      <a:solidFill>
                        <a:srgbClr val="0038A8"/>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A16DCE" id="Retângulo 8" o:spid="_x0000_s1026" style="position:absolute;margin-left:0;margin-top:-42.75pt;width:594.75pt;height:51.8pt;z-index:-25168793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" fillcolor="#0038a8" stroked="f" strokeweight="1pt">
              <w10:wrap type="through" anchorx="page"/>
            </v:rect>
          </w:pict>
        </mc:Fallback>
      </mc:AlternateContent>
    </w:r>
    <w:r w:rsidR="009A3167" w:rsidRPr="005D303B">
      <w:rPr>
        <w:rFonts w:cs="Arial"/>
        <w:b/>
        <w:noProof/>
        <w:color w:val="1F4E79" w:themeColor="accent1" w:themeShade="80"/>
        <w:szCs w:val="18"/>
        <w:lang w:eastAsia="pt-BR"/>
      </w:rPr>
      <mc:AlternateContent>
        <mc:Choice Requires="wps">
          <w:drawing>
            <wp:anchor distT="0" distB="0" distL="114300" distR="114300" simplePos="0" relativeHeight="251630592" behindDoc="0" locked="0" layoutInCell="1" allowOverlap="1" wp14:anchorId="5F5B9CE2" wp14:editId="100C5858">
              <wp:simplePos x="0" y="0"/>
              <wp:positionH relativeFrom="page">
                <wp:posOffset>0</wp:posOffset>
              </wp:positionH>
              <wp:positionV relativeFrom="paragraph">
                <wp:posOffset>77252</wp:posOffset>
              </wp:positionV>
              <wp:extent cx="9144000" cy="53340"/>
              <wp:effectExtent l="0" t="0" r="0" b="3810"/>
              <wp:wrapNone/>
              <wp:docPr id="9" name="Retângulo 14"/>
              <wp:cNvGraphicFramePr/>
              <a:graphic xmlns:a="http://schemas.openxmlformats.org/drawingml/2006/main">
                <a:graphicData uri="http://schemas.microsoft.com/office/word/2010/wordprocessingShape">
                  <wps:wsp>
                    <wps:cNvSpPr/>
                    <wps:spPr>
                      <a:xfrm>
                        <a:off x="0" y="0"/>
                        <a:ext cx="9144000" cy="53340"/>
                      </a:xfrm>
                      <a:prstGeom prst="rect">
                        <a:avLst/>
                      </a:prstGeom>
                      <a:solidFill>
                        <a:srgbClr val="F5E500"/>
                      </a:solidFill>
                      <a:ln>
                        <a:noFill/>
                      </a:ln>
                    </wps:spPr>
                    <wps:style>
                      <a:lnRef idx="2">
                        <a:schemeClr val="accent6">
                          <a:shade val="50000"/>
                        </a:schemeClr>
                      </a:lnRef>
                      <a:fillRef idx="1">
                        <a:schemeClr val="accent6"/>
                      </a:fillRef>
                      <a:effectRef idx="0">
                        <a:schemeClr val="accent6"/>
                      </a:effectRef>
                      <a:fontRef idx="minor">
                        <a:schemeClr val="lt1"/>
                      </a:fontRef>
                    </wps:style>
                    <wps:bodyPr anchor="ctr"/>
                  </wps:wsp>
                </a:graphicData>
              </a:graphic>
            </wp:anchor>
          </w:drawing>
        </mc:Choice>
        <mc:Fallback>
          <w:pict>
            <v:rect w14:anchorId="66CF1F53" id="Retângulo 14" o:spid="_x0000_s1026" style="position:absolute;margin-left:0;margin-top:6.1pt;width:10in;height:4.2pt;z-index:251630592;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" fillcolor="#f5e500" stroked="f" strokeweight="1pt">
              <w10:wrap anchorx="page"/>
            </v:rect>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87D1F3" w14:textId="130E61F4" w:rsidR="009A3167" w:rsidRPr="00992545" w:rsidRDefault="009A3167" w:rsidP="00187C45">
    <w:pPr>
      <w:ind w:left="708"/>
      <w:jc w:val="right"/>
    </w:pPr>
    <w:r>
      <w:rPr>
        <w:noProof/>
        <w:sz w:val="20"/>
        <w:szCs w:val="20"/>
        <w:lang w:eastAsia="pt-BR"/>
      </w:rPr>
      <mc:AlternateContent>
        <mc:Choice Requires="wps">
          <w:drawing>
            <wp:anchor distT="0" distB="0" distL="114300" distR="114300" simplePos="0" relativeHeight="251665663" behindDoc="0" locked="0" layoutInCell="0" allowOverlap="1" wp14:anchorId="29D08C22" wp14:editId="1FA072B2">
              <wp:simplePos x="0" y="0"/>
              <wp:positionH relativeFrom="page">
                <wp:align>right</wp:align>
              </wp:positionH>
              <wp:positionV relativeFrom="page">
                <wp:align>top</wp:align>
              </wp:positionV>
              <wp:extent cx="7772400" cy="463550"/>
              <wp:effectExtent l="0" t="0" r="0" b="12700"/>
              <wp:wrapNone/>
              <wp:docPr id="111" name="MSIPCM919f4b1e82949a97a531ba7c" descr="{&quot;HashCode&quot;:-1487292391,&quot;Height&quot;:9999999.0,&quot;Width&quot;:9999999.0,&quot;Placement&quot;:&quot;Header&quot;,&quot;Index&quot;:&quot;Primary&quot;,&quot;Section&quot;:4,&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70B62F8" w14:textId="19D78DC1" w:rsidR="009A3167" w:rsidRPr="001D5662" w:rsidRDefault="001D5662" w:rsidP="001D5662">
                          <w:pPr>
                            <w:spacing w:after="0"/>
                            <w:jc w:val="right"/>
                            <w:rPr>
                              <w:rFonts w:ascii="Calibri" w:hAnsi="Calibri" w:cs="Calibri"/>
                              <w:color w:val="000000"/>
                              <w:sz w:val="20"/>
                            </w:rPr>
                          </w:pPr>
                          <w:r w:rsidRPr="001D5662">
                            <w:rPr>
                              <w:rFonts w:ascii="Calibri" w:hAnsi="Calibri" w:cs="Calibri"/>
                              <w:color w:val="000000"/>
                              <w:sz w:val="20"/>
                            </w:rPr>
                            <w:t>#interna</w:t>
                          </w: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29D08C22" id="_x0000_t202" coordsize="21600,21600" o:spt="202" path="m,l,21600r21600,l21600,xe">
              <v:stroke joinstyle="miter"/>
              <v:path gradientshapeok="t" o:connecttype="rect"/>
            </v:shapetype>
            <v:shape id="MSIPCM919f4b1e82949a97a531ba7c" o:spid="_x0000_s1036" type="#_x0000_t202" alt="{&quot;HashCode&quot;:-1487292391,&quot;Height&quot;:9999999.0,&quot;Width&quot;:9999999.0,&quot;Placement&quot;:&quot;Header&quot;,&quot;Index&quot;:&quot;Primary&quot;,&quot;Section&quot;:4,&quot;Top&quot;:0.0,&quot;Left&quot;:0.0}" style="position:absolute;left:0;text-align:left;margin-left:560.8pt;margin-top:0;width:612pt;height:36.5pt;z-index:251665663;visibility:visible;mso-wrap-style:square;mso-wrap-distance-left:9pt;mso-wrap-distance-top:0;mso-wrap-distance-right:9pt;mso-wrap-distance-bottom:0;mso-position-horizontal:righ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" o:allowincell="f" filled="f" stroked="f" strokeweight=".5pt">
              <v:textbox inset=",0,20pt,0">
                <w:txbxContent>
                  <w:p w14:paraId="170B62F8" w14:textId="19D78DC1" w:rsidR="009A3167" w:rsidRPr="001D5662" w:rsidRDefault="001D5662" w:rsidP="001D5662">
                    <w:pPr>
                      <w:spacing w:after="0"/>
                      <w:jc w:val="right"/>
                      <w:rPr>
                        <w:rFonts w:ascii="Calibri" w:hAnsi="Calibri" w:cs="Calibri"/>
                        <w:color w:val="000000"/>
                        <w:sz w:val="20"/>
                      </w:rPr>
                    </w:pPr>
                    <w:r w:rsidRPr="001D5662">
                      <w:rPr>
                        <w:rFonts w:ascii="Calibri" w:hAnsi="Calibri" w:cs="Calibri"/>
                        <w:color w:val="000000"/>
                        <w:sz w:val="20"/>
                      </w:rPr>
                      <w:t>#interna</w:t>
                    </w:r>
                  </w:p>
                </w:txbxContent>
              </v:textbox>
              <w10:wrap anchorx="page" anchory="page"/>
            </v:shape>
          </w:pict>
        </mc:Fallback>
      </mc:AlternateContent>
    </w:r>
    <w:r>
      <w:rPr>
        <w:noProof/>
        <w:sz w:val="20"/>
        <w:szCs w:val="20"/>
        <w:lang w:eastAsia="pt-BR"/>
      </w:rPr>
      <mc:AlternateContent>
        <mc:Choice Requires="wps">
          <w:drawing>
            <wp:anchor distT="0" distB="0" distL="114300" distR="114300" simplePos="0" relativeHeight="251674624" behindDoc="0" locked="0" layoutInCell="1" allowOverlap="1" wp14:anchorId="29EC9756" wp14:editId="580D8B7F">
              <wp:simplePos x="0" y="0"/>
              <wp:positionH relativeFrom="column">
                <wp:posOffset>6335731</wp:posOffset>
              </wp:positionH>
              <wp:positionV relativeFrom="paragraph">
                <wp:posOffset>-474943</wp:posOffset>
              </wp:positionV>
              <wp:extent cx="3629448" cy="402742"/>
              <wp:effectExtent l="0" t="0" r="0" b="0"/>
              <wp:wrapNone/>
              <wp:docPr id="48" name="Caixa de Texto 48"/>
              <wp:cNvGraphicFramePr/>
              <a:graphic xmlns:a="http://schemas.openxmlformats.org/drawingml/2006/main">
                <a:graphicData uri="http://schemas.microsoft.com/office/word/2010/wordprocessingShape">
                  <wps:wsp>
                    <wps:cNvSpPr txBox="1"/>
                    <wps:spPr>
                      <a:xfrm>
                        <a:off x="0" y="0"/>
                        <a:ext cx="3629448" cy="402742"/>
                      </a:xfrm>
                      <a:prstGeom prst="rect">
                        <a:avLst/>
                      </a:prstGeom>
                      <a:noFill/>
                      <a:ln w="6350">
                        <a:noFill/>
                      </a:ln>
                    </wps:spPr>
                    <wps:txbx>
                      <w:txbxContent>
                        <w:p w14:paraId="6839CBD8" w14:textId="77777777" w:rsidR="009A3167" w:rsidRPr="00AF3549" w:rsidRDefault="009A3167" w:rsidP="0017189F">
                          <w:pPr>
                            <w:jc w:val="right"/>
                          </w:pPr>
                          <w:r w:rsidRPr="002B7B96">
                            <w:rPr>
                              <w:rFonts w:cs="Arial"/>
                              <w:color w:val="FFFFFF" w:themeColor="background1"/>
                              <w:szCs w:val="18"/>
                            </w:rPr>
                            <w:t>Conso</w:t>
                          </w:r>
                          <w:r>
                            <w:rPr>
                              <w:rFonts w:cs="Arial"/>
                              <w:color w:val="FFFFFF" w:themeColor="background1"/>
                              <w:szCs w:val="18"/>
                            </w:rPr>
                            <w:t>lidated Financial Statements – 1</w:t>
                          </w:r>
                          <w:r w:rsidRPr="00A036E0">
                            <w:rPr>
                              <w:rFonts w:cs="Arial"/>
                              <w:color w:val="FFFFFF" w:themeColor="background1"/>
                              <w:szCs w:val="18"/>
                              <w:vertAlign w:val="superscript"/>
                            </w:rPr>
                            <w:t>st</w:t>
                          </w:r>
                          <w:r>
                            <w:rPr>
                              <w:rFonts w:cs="Arial"/>
                              <w:color w:val="FFFFFF" w:themeColor="background1"/>
                              <w:szCs w:val="18"/>
                            </w:rPr>
                            <w:t xml:space="preserve"> Half </w:t>
                          </w:r>
                          <w:r w:rsidRPr="002B7B96">
                            <w:rPr>
                              <w:rFonts w:cs="Arial"/>
                              <w:color w:val="FFFFFF" w:themeColor="background1"/>
                              <w:szCs w:val="18"/>
                            </w:rPr>
                            <w:t>202</w:t>
                          </w:r>
                          <w:r>
                            <w:rPr>
                              <w:rFonts w:cs="Arial"/>
                              <w:color w:val="FFFFFF" w:themeColor="background1"/>
                              <w:szCs w:val="18"/>
                            </w:rPr>
                            <w:t>3</w:t>
                          </w:r>
                          <w:r w:rsidRPr="00AF3549">
                            <w:rPr>
                              <w:rFonts w:cs="Arial"/>
                              <w:color w:val="FFFFFF" w:themeColor="background1"/>
                              <w:szCs w:val="18"/>
                            </w:rPr>
                            <w:br/>
                            <w:t>BB Seguridade Participações S.A.</w:t>
                          </w:r>
                        </w:p>
                        <w:p w14:paraId="0C4E1296" w14:textId="77777777" w:rsidR="009A3167" w:rsidRPr="00AF3549" w:rsidRDefault="009A3167" w:rsidP="0017189F">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EC9756" id="Caixa de Texto 48" o:spid="_x0000_s1037" type="#_x0000_t202" style="position:absolute;left:0;text-align:left;margin-left:498.9pt;margin-top:-37.4pt;width:285.8pt;height:31.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" filled="f" stroked="f" strokeweight=".5pt">
              <v:textbox>
                <w:txbxContent>
                  <w:p w14:paraId="6839CBD8" w14:textId="77777777" w:rsidR="009A3167" w:rsidRPr="00AF3549" w:rsidRDefault="009A3167" w:rsidP="0017189F">
                    <w:pPr>
                      <w:jc w:val="right"/>
                    </w:pPr>
                    <w:r w:rsidRPr="002B7B96">
                      <w:rPr>
                        <w:rFonts w:cs="Arial"/>
                        <w:color w:val="FFFFFF" w:themeColor="background1"/>
                        <w:szCs w:val="18"/>
                      </w:rPr>
                      <w:t>Conso</w:t>
                    </w:r>
                    <w:r>
                      <w:rPr>
                        <w:rFonts w:cs="Arial"/>
                        <w:color w:val="FFFFFF" w:themeColor="background1"/>
                        <w:szCs w:val="18"/>
                      </w:rPr>
                      <w:t>lidated Financial Statements – 1</w:t>
                    </w:r>
                    <w:r w:rsidRPr="00A036E0">
                      <w:rPr>
                        <w:rFonts w:cs="Arial"/>
                        <w:color w:val="FFFFFF" w:themeColor="background1"/>
                        <w:szCs w:val="18"/>
                        <w:vertAlign w:val="superscript"/>
                      </w:rPr>
                      <w:t>st</w:t>
                    </w:r>
                    <w:r>
                      <w:rPr>
                        <w:rFonts w:cs="Arial"/>
                        <w:color w:val="FFFFFF" w:themeColor="background1"/>
                        <w:szCs w:val="18"/>
                      </w:rPr>
                      <w:t xml:space="preserve"> Half </w:t>
                    </w:r>
                    <w:r w:rsidRPr="002B7B96">
                      <w:rPr>
                        <w:rFonts w:cs="Arial"/>
                        <w:color w:val="FFFFFF" w:themeColor="background1"/>
                        <w:szCs w:val="18"/>
                      </w:rPr>
                      <w:t>202</w:t>
                    </w:r>
                    <w:r>
                      <w:rPr>
                        <w:rFonts w:cs="Arial"/>
                        <w:color w:val="FFFFFF" w:themeColor="background1"/>
                        <w:szCs w:val="18"/>
                      </w:rPr>
                      <w:t>3</w:t>
                    </w:r>
                    <w:r w:rsidRPr="00AF3549">
                      <w:rPr>
                        <w:rFonts w:cs="Arial"/>
                        <w:color w:val="FFFFFF" w:themeColor="background1"/>
                        <w:szCs w:val="18"/>
                      </w:rPr>
                      <w:br/>
                      <w:t>BB Seguridade Participações S.A.</w:t>
                    </w:r>
                  </w:p>
                  <w:p w14:paraId="0C4E1296" w14:textId="77777777" w:rsidR="009A3167" w:rsidRPr="00AF3549" w:rsidRDefault="009A3167" w:rsidP="0017189F">
                    <w:pPr>
                      <w:jc w:val="right"/>
                    </w:pPr>
                  </w:p>
                </w:txbxContent>
              </v:textbox>
            </v:shape>
          </w:pict>
        </mc:Fallback>
      </mc:AlternateContent>
    </w:r>
    <w:r w:rsidRPr="00254D35">
      <w:rPr>
        <w:noProof/>
        <w:sz w:val="20"/>
        <w:szCs w:val="20"/>
        <w:lang w:eastAsia="pt-BR"/>
      </w:rPr>
      <mc:AlternateContent>
        <mc:Choice Requires="wps">
          <w:drawing>
            <wp:anchor distT="0" distB="0" distL="114300" distR="114300" simplePos="0" relativeHeight="251671552" behindDoc="0" locked="0" layoutInCell="1" allowOverlap="1" wp14:anchorId="7FD8874C" wp14:editId="1AAD5E95">
              <wp:simplePos x="0" y="0"/>
              <wp:positionH relativeFrom="page">
                <wp:posOffset>-1178011</wp:posOffset>
              </wp:positionH>
              <wp:positionV relativeFrom="paragraph">
                <wp:posOffset>-556861</wp:posOffset>
              </wp:positionV>
              <wp:extent cx="11887200" cy="527222"/>
              <wp:effectExtent l="0" t="0" r="0" b="6350"/>
              <wp:wrapNone/>
              <wp:docPr id="49" name="Retângulo 49"/>
              <wp:cNvGraphicFramePr/>
              <a:graphic xmlns:a="http://schemas.openxmlformats.org/drawingml/2006/main">
                <a:graphicData uri="http://schemas.microsoft.com/office/word/2010/wordprocessingShape">
                  <wps:wsp>
                    <wps:cNvSpPr/>
                    <wps:spPr>
                      <a:xfrm>
                        <a:off x="0" y="0"/>
                        <a:ext cx="11887200" cy="527222"/>
                      </a:xfrm>
                      <a:prstGeom prst="rect">
                        <a:avLst/>
                      </a:prstGeom>
                      <a:solidFill>
                        <a:srgbClr val="002D4B"/>
                      </a:solidFill>
                      <a:ln w="12700" cap="flat" cmpd="sng" algn="ctr">
                        <a:noFill/>
                        <a:prstDash val="solid"/>
                        <a:miter lim="800000"/>
                      </a:ln>
                      <a:effectLst/>
                    </wps:spPr>
                    <wps:txbx>
                      <w:txbxContent>
                        <w:p w14:paraId="2A2BB44C" w14:textId="77777777" w:rsidR="009A3167" w:rsidRDefault="009A3167" w:rsidP="00187C45">
                          <w:pPr>
                            <w:ind w:left="708"/>
                            <w:jc w:val="righ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D8874C" id="Retângulo 49" o:spid="_x0000_s1038" style="position:absolute;left:0;text-align:left;margin-left:-92.75pt;margin-top:-43.85pt;width:13in;height:41.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" fillcolor="#002d4b" stroked="f" strokeweight="1pt">
              <v:textbox>
                <w:txbxContent>
                  <w:p w14:paraId="2A2BB44C" w14:textId="77777777" w:rsidR="009A3167" w:rsidRDefault="009A3167" w:rsidP="00187C45">
                    <w:pPr>
                      <w:ind w:left="708"/>
                      <w:jc w:val="right"/>
                    </w:pPr>
                  </w:p>
                </w:txbxContent>
              </v:textbox>
              <w10:wrap anchorx="page"/>
            </v:rect>
          </w:pict>
        </mc:Fallback>
      </mc:AlternateContent>
    </w:r>
    <w:r w:rsidRPr="005D303B">
      <w:rPr>
        <w:b/>
        <w:noProof/>
        <w:color w:val="1F4E79" w:themeColor="accent1" w:themeShade="80"/>
        <w:lang w:eastAsia="pt-BR"/>
      </w:rPr>
      <mc:AlternateContent>
        <mc:Choice Requires="wps">
          <w:drawing>
            <wp:anchor distT="0" distB="0" distL="114300" distR="114300" simplePos="0" relativeHeight="251672576" behindDoc="0" locked="0" layoutInCell="1" allowOverlap="1" wp14:anchorId="048CD429" wp14:editId="08122CA2">
              <wp:simplePos x="0" y="0"/>
              <wp:positionH relativeFrom="page">
                <wp:posOffset>-720969</wp:posOffset>
              </wp:positionH>
              <wp:positionV relativeFrom="paragraph">
                <wp:posOffset>-48651</wp:posOffset>
              </wp:positionV>
              <wp:extent cx="11406505" cy="45719"/>
              <wp:effectExtent l="0" t="0" r="4445" b="0"/>
              <wp:wrapNone/>
              <wp:docPr id="50" name="Retângulo 14"/>
              <wp:cNvGraphicFramePr/>
              <a:graphic xmlns:a="http://schemas.openxmlformats.org/drawingml/2006/main">
                <a:graphicData uri="http://schemas.microsoft.com/office/word/2010/wordprocessingShape">
                  <wps:wsp>
                    <wps:cNvSpPr/>
                    <wps:spPr>
                      <a:xfrm flipV="1">
                        <a:off x="0" y="0"/>
                        <a:ext cx="11406505" cy="45719"/>
                      </a:xfrm>
                      <a:prstGeom prst="rect">
                        <a:avLst/>
                      </a:prstGeom>
                      <a:solidFill>
                        <a:srgbClr val="F9DD16"/>
                      </a:solidFill>
                      <a:ln w="12700" cap="flat" cmpd="sng" algn="ctr">
                        <a:noFill/>
                        <a:prstDash val="solid"/>
                        <a:miter lim="800000"/>
                      </a:ln>
                      <a:effectLst/>
                    </wps:spPr>
                    <wps:bodyPr anchor="ctr"/>
                  </wps:wsp>
                </a:graphicData>
              </a:graphic>
              <wp14:sizeRelH relativeFrom="margin">
                <wp14:pctWidth>0</wp14:pctWidth>
              </wp14:sizeRelH>
              <wp14:sizeRelV relativeFrom="margin">
                <wp14:pctHeight>0</wp14:pctHeight>
              </wp14:sizeRelV>
            </wp:anchor>
          </w:drawing>
        </mc:Choice>
        <mc:Fallback>
          <w:pict>
            <v:rect w14:anchorId="2C551B2E" id="Retângulo 14" o:spid="_x0000_s1026" style="position:absolute;margin-left:-56.75pt;margin-top:-3.85pt;width:898.15pt;height:3.6pt;flip:y;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" fillcolor="#f9dd16" stroked="f" strokeweight="1pt">
              <w10:wrap anchorx="page"/>
            </v:rect>
          </w:pict>
        </mc:Fallback>
      </mc:AlternateContent>
    </w:r>
    <w:r>
      <w:rPr>
        <w:noProof/>
        <w:sz w:val="20"/>
        <w:szCs w:val="20"/>
        <w:lang w:eastAsia="pt-BR"/>
      </w:rPr>
      <w:drawing>
        <wp:anchor distT="0" distB="0" distL="114300" distR="114300" simplePos="0" relativeHeight="251673600" behindDoc="0" locked="0" layoutInCell="1" allowOverlap="1" wp14:anchorId="76B7BC0C" wp14:editId="3C4706AA">
          <wp:simplePos x="0" y="0"/>
          <wp:positionH relativeFrom="margin">
            <wp:posOffset>-294957</wp:posOffset>
          </wp:positionH>
          <wp:positionV relativeFrom="page">
            <wp:posOffset>148590</wp:posOffset>
          </wp:positionV>
          <wp:extent cx="967740" cy="198755"/>
          <wp:effectExtent l="0" t="0" r="3810" b="0"/>
          <wp:wrapNone/>
          <wp:docPr id="78" name="Imagem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BB Seguro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67740" cy="198755"/>
                  </a:xfrm>
                  <a:prstGeom prst="rect">
                    <a:avLst/>
                  </a:prstGeom>
                </pic:spPr>
              </pic:pic>
            </a:graphicData>
          </a:graphic>
          <wp14:sizeRelH relativeFrom="margin">
            <wp14:pctWidth>0</wp14:pctWidth>
          </wp14:sizeRelH>
          <wp14:sizeRelV relativeFrom="margin">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EAFC5B" w14:textId="77777777" w:rsidR="009A3167" w:rsidRDefault="009A3167">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D288F"/>
    <w:multiLevelType w:val="hybridMultilevel"/>
    <w:tmpl w:val="D6A063AC"/>
    <w:lvl w:ilvl="0" w:tplc="D9A05B52">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 w15:restartNumberingAfterBreak="0">
    <w:nsid w:val="06262162"/>
    <w:multiLevelType w:val="hybridMultilevel"/>
    <w:tmpl w:val="06C62A0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85B2B46"/>
    <w:multiLevelType w:val="hybridMultilevel"/>
    <w:tmpl w:val="B2DC3B58"/>
    <w:lvl w:ilvl="0" w:tplc="C0C490E0">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 w15:restartNumberingAfterBreak="0">
    <w:nsid w:val="09AC4508"/>
    <w:multiLevelType w:val="hybridMultilevel"/>
    <w:tmpl w:val="F03E0922"/>
    <w:lvl w:ilvl="0" w:tplc="A87E8696">
      <w:start w:val="1"/>
      <w:numFmt w:val="decimal"/>
      <w:lvlText w:val="(%1)"/>
      <w:lvlJc w:val="left"/>
      <w:pPr>
        <w:ind w:left="360" w:hanging="360"/>
      </w:pPr>
      <w:rPr>
        <w:rFonts w:hint="default"/>
        <w:color w:val="auto"/>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 w15:restartNumberingAfterBreak="0">
    <w:nsid w:val="0C606F30"/>
    <w:multiLevelType w:val="hybridMultilevel"/>
    <w:tmpl w:val="06C62A0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0EF4521E"/>
    <w:multiLevelType w:val="hybridMultilevel"/>
    <w:tmpl w:val="7AB4B556"/>
    <w:lvl w:ilvl="0" w:tplc="FE8CCFE0">
      <w:start w:val="1"/>
      <w:numFmt w:val="decimal"/>
      <w:lvlText w:val="(%1)"/>
      <w:lvlJc w:val="left"/>
      <w:pPr>
        <w:ind w:left="758" w:hanging="474"/>
      </w:pPr>
      <w:rPr>
        <w:rFonts w:hint="default"/>
      </w:rPr>
    </w:lvl>
    <w:lvl w:ilvl="1" w:tplc="04160019" w:tentative="1">
      <w:start w:val="1"/>
      <w:numFmt w:val="lowerLetter"/>
      <w:lvlText w:val="%2."/>
      <w:lvlJc w:val="left"/>
      <w:pPr>
        <w:ind w:left="1478" w:hanging="360"/>
      </w:pPr>
    </w:lvl>
    <w:lvl w:ilvl="2" w:tplc="0416001B" w:tentative="1">
      <w:start w:val="1"/>
      <w:numFmt w:val="lowerRoman"/>
      <w:lvlText w:val="%3."/>
      <w:lvlJc w:val="right"/>
      <w:pPr>
        <w:ind w:left="2198" w:hanging="180"/>
      </w:pPr>
    </w:lvl>
    <w:lvl w:ilvl="3" w:tplc="0416000F" w:tentative="1">
      <w:start w:val="1"/>
      <w:numFmt w:val="decimal"/>
      <w:lvlText w:val="%4."/>
      <w:lvlJc w:val="left"/>
      <w:pPr>
        <w:ind w:left="2918" w:hanging="360"/>
      </w:pPr>
    </w:lvl>
    <w:lvl w:ilvl="4" w:tplc="04160019" w:tentative="1">
      <w:start w:val="1"/>
      <w:numFmt w:val="lowerLetter"/>
      <w:lvlText w:val="%5."/>
      <w:lvlJc w:val="left"/>
      <w:pPr>
        <w:ind w:left="3638" w:hanging="360"/>
      </w:pPr>
    </w:lvl>
    <w:lvl w:ilvl="5" w:tplc="0416001B" w:tentative="1">
      <w:start w:val="1"/>
      <w:numFmt w:val="lowerRoman"/>
      <w:lvlText w:val="%6."/>
      <w:lvlJc w:val="right"/>
      <w:pPr>
        <w:ind w:left="4358" w:hanging="180"/>
      </w:pPr>
    </w:lvl>
    <w:lvl w:ilvl="6" w:tplc="0416000F" w:tentative="1">
      <w:start w:val="1"/>
      <w:numFmt w:val="decimal"/>
      <w:lvlText w:val="%7."/>
      <w:lvlJc w:val="left"/>
      <w:pPr>
        <w:ind w:left="5078" w:hanging="360"/>
      </w:pPr>
    </w:lvl>
    <w:lvl w:ilvl="7" w:tplc="04160019" w:tentative="1">
      <w:start w:val="1"/>
      <w:numFmt w:val="lowerLetter"/>
      <w:lvlText w:val="%8."/>
      <w:lvlJc w:val="left"/>
      <w:pPr>
        <w:ind w:left="5798" w:hanging="360"/>
      </w:pPr>
    </w:lvl>
    <w:lvl w:ilvl="8" w:tplc="0416001B" w:tentative="1">
      <w:start w:val="1"/>
      <w:numFmt w:val="lowerRoman"/>
      <w:lvlText w:val="%9."/>
      <w:lvlJc w:val="right"/>
      <w:pPr>
        <w:ind w:left="6518" w:hanging="180"/>
      </w:pPr>
    </w:lvl>
  </w:abstractNum>
  <w:abstractNum w:abstractNumId="6" w15:restartNumberingAfterBreak="0">
    <w:nsid w:val="12D64052"/>
    <w:multiLevelType w:val="hybridMultilevel"/>
    <w:tmpl w:val="05AAC5E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33F0AD2"/>
    <w:multiLevelType w:val="hybridMultilevel"/>
    <w:tmpl w:val="965A923A"/>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4547C66"/>
    <w:multiLevelType w:val="hybridMultilevel"/>
    <w:tmpl w:val="21588690"/>
    <w:lvl w:ilvl="0" w:tplc="C5C8317E">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9" w15:restartNumberingAfterBreak="0">
    <w:nsid w:val="167F2FF9"/>
    <w:multiLevelType w:val="hybridMultilevel"/>
    <w:tmpl w:val="62A00296"/>
    <w:lvl w:ilvl="0" w:tplc="F1444556">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0" w15:restartNumberingAfterBreak="0">
    <w:nsid w:val="17484E99"/>
    <w:multiLevelType w:val="multilevel"/>
    <w:tmpl w:val="20026A22"/>
    <w:lvl w:ilvl="0">
      <w:start w:val="1"/>
      <w:numFmt w:val="bullet"/>
      <w:pStyle w:val="bullet1"/>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700641"/>
    <w:multiLevelType w:val="hybridMultilevel"/>
    <w:tmpl w:val="62A00296"/>
    <w:lvl w:ilvl="0" w:tplc="F1444556">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2" w15:restartNumberingAfterBreak="0">
    <w:nsid w:val="19A63CD9"/>
    <w:multiLevelType w:val="hybridMultilevel"/>
    <w:tmpl w:val="8BC68C70"/>
    <w:lvl w:ilvl="0" w:tplc="93689A0E">
      <w:start w:val="1"/>
      <w:numFmt w:val="decimal"/>
      <w:lvlText w:val="(%1)"/>
      <w:lvlJc w:val="left"/>
      <w:pPr>
        <w:ind w:left="360" w:hanging="360"/>
      </w:pPr>
      <w:rPr>
        <w:rFonts w:eastAsia="Times New Roman" w:cs="Times New Roman" w:hint="default"/>
        <w:b w:val="0"/>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3" w15:restartNumberingAfterBreak="0">
    <w:nsid w:val="1C18025C"/>
    <w:multiLevelType w:val="hybridMultilevel"/>
    <w:tmpl w:val="89D8A204"/>
    <w:lvl w:ilvl="0" w:tplc="866C6EA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EDF7D4D"/>
    <w:multiLevelType w:val="hybridMultilevel"/>
    <w:tmpl w:val="B22013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00C2AC7"/>
    <w:multiLevelType w:val="hybridMultilevel"/>
    <w:tmpl w:val="B0E6DF00"/>
    <w:lvl w:ilvl="0" w:tplc="866C6EA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0B02F61"/>
    <w:multiLevelType w:val="hybridMultilevel"/>
    <w:tmpl w:val="344A7BD6"/>
    <w:lvl w:ilvl="0" w:tplc="9042A2CE">
      <w:start w:val="1"/>
      <w:numFmt w:val="decimal"/>
      <w:lvlText w:val="(%1)"/>
      <w:lvlJc w:val="left"/>
      <w:pPr>
        <w:ind w:left="284" w:hanging="284"/>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7" w15:restartNumberingAfterBreak="0">
    <w:nsid w:val="24603688"/>
    <w:multiLevelType w:val="hybridMultilevel"/>
    <w:tmpl w:val="C4F20B4A"/>
    <w:lvl w:ilvl="0" w:tplc="E8FCC6F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26AC57E4"/>
    <w:multiLevelType w:val="hybridMultilevel"/>
    <w:tmpl w:val="8904004E"/>
    <w:lvl w:ilvl="0" w:tplc="EBC23778">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9" w15:restartNumberingAfterBreak="0">
    <w:nsid w:val="284F18E1"/>
    <w:multiLevelType w:val="hybridMultilevel"/>
    <w:tmpl w:val="29AE473E"/>
    <w:lvl w:ilvl="0" w:tplc="866C6EAE">
      <w:start w:val="1"/>
      <w:numFmt w:val="decimal"/>
      <w:lvlText w:val="(%1)"/>
      <w:lvlJc w:val="left"/>
      <w:pPr>
        <w:ind w:left="786"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2C7712C4"/>
    <w:multiLevelType w:val="hybridMultilevel"/>
    <w:tmpl w:val="F5E4B12E"/>
    <w:lvl w:ilvl="0" w:tplc="2E920D2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2DF67FE4"/>
    <w:multiLevelType w:val="hybridMultilevel"/>
    <w:tmpl w:val="2D3A5442"/>
    <w:lvl w:ilvl="0" w:tplc="E0361154">
      <w:start w:val="1"/>
      <w:numFmt w:val="decimal"/>
      <w:lvlText w:val="(%1)"/>
      <w:lvlJc w:val="left"/>
      <w:pPr>
        <w:ind w:left="720" w:hanging="360"/>
      </w:pPr>
      <w:rPr>
        <w:rFonts w:cs="Arial" w:hint="default"/>
        <w:sz w:val="1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2FFC0DBB"/>
    <w:multiLevelType w:val="hybridMultilevel"/>
    <w:tmpl w:val="2AD0D508"/>
    <w:lvl w:ilvl="0" w:tplc="04160017">
      <w:start w:val="1"/>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3" w15:restartNumberingAfterBreak="0">
    <w:nsid w:val="30503B6F"/>
    <w:multiLevelType w:val="hybridMultilevel"/>
    <w:tmpl w:val="B980EFF6"/>
    <w:lvl w:ilvl="0" w:tplc="63AE92F2">
      <w:start w:val="1"/>
      <w:numFmt w:val="decimal"/>
      <w:pStyle w:val="Parecer"/>
      <w:lvlText w:val="%1."/>
      <w:lvlJc w:val="left"/>
      <w:pPr>
        <w:tabs>
          <w:tab w:val="num" w:pos="454"/>
        </w:tabs>
        <w:ind w:left="454" w:hanging="454"/>
      </w:pPr>
      <w:rPr>
        <w:rFonts w:ascii="Times New Roman" w:hAnsi="Times New Roman" w:hint="default"/>
        <w:sz w:val="24"/>
        <w:szCs w:val="24"/>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15:restartNumberingAfterBreak="0">
    <w:nsid w:val="345B55D6"/>
    <w:multiLevelType w:val="hybridMultilevel"/>
    <w:tmpl w:val="B22013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5D9778D"/>
    <w:multiLevelType w:val="hybridMultilevel"/>
    <w:tmpl w:val="F64095D0"/>
    <w:lvl w:ilvl="0" w:tplc="8E641758">
      <w:start w:val="1"/>
      <w:numFmt w:val="decimal"/>
      <w:lvlText w:val="(%1)"/>
      <w:lvlJc w:val="left"/>
      <w:pPr>
        <w:ind w:left="720" w:hanging="360"/>
      </w:pPr>
      <w:rPr>
        <w:rFonts w:cs="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3B7D6276"/>
    <w:multiLevelType w:val="hybridMultilevel"/>
    <w:tmpl w:val="992E1042"/>
    <w:lvl w:ilvl="0" w:tplc="1ED2A00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3E1C69E8"/>
    <w:multiLevelType w:val="hybridMultilevel"/>
    <w:tmpl w:val="A63A736A"/>
    <w:lvl w:ilvl="0" w:tplc="102CCF3C">
      <w:start w:val="1"/>
      <w:numFmt w:val="bullet"/>
      <w:pStyle w:val="ListaRecuadotabela"/>
      <w:lvlText w:val=""/>
      <w:lvlJc w:val="left"/>
      <w:pPr>
        <w:ind w:left="1080" w:hanging="360"/>
      </w:pPr>
      <w:rPr>
        <w:rFonts w:ascii="Wingdings" w:hAnsi="Wingdings" w:hint="default"/>
      </w:rPr>
    </w:lvl>
    <w:lvl w:ilvl="1" w:tplc="04160003">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28" w15:restartNumberingAfterBreak="0">
    <w:nsid w:val="3ED0042C"/>
    <w:multiLevelType w:val="hybridMultilevel"/>
    <w:tmpl w:val="B2201386"/>
    <w:lvl w:ilvl="0" w:tplc="E47E4E6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4317188A"/>
    <w:multiLevelType w:val="hybridMultilevel"/>
    <w:tmpl w:val="160E58E0"/>
    <w:lvl w:ilvl="0" w:tplc="0B200CC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45E770B6"/>
    <w:multiLevelType w:val="hybridMultilevel"/>
    <w:tmpl w:val="B2201386"/>
    <w:lvl w:ilvl="0" w:tplc="E47E4E6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49D547DD"/>
    <w:multiLevelType w:val="hybridMultilevel"/>
    <w:tmpl w:val="73B69462"/>
    <w:lvl w:ilvl="0" w:tplc="93327D38">
      <w:start w:val="1"/>
      <w:numFmt w:val="decimal"/>
      <w:lvlText w:val="(%1)"/>
      <w:lvlJc w:val="left"/>
      <w:pPr>
        <w:ind w:left="360" w:hanging="360"/>
      </w:pPr>
      <w:rPr>
        <w:rFonts w:cs="Times New Roman" w:hint="default"/>
        <w:sz w:val="14"/>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2" w15:restartNumberingAfterBreak="0">
    <w:nsid w:val="4DBD16AC"/>
    <w:multiLevelType w:val="hybridMultilevel"/>
    <w:tmpl w:val="B22013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06D30BD"/>
    <w:multiLevelType w:val="hybridMultilevel"/>
    <w:tmpl w:val="086672E2"/>
    <w:lvl w:ilvl="0" w:tplc="B58655E2">
      <w:start w:val="1"/>
      <w:numFmt w:val="bullet"/>
      <w:lvlText w:val="●"/>
      <w:lvlJc w:val="left"/>
      <w:pPr>
        <w:ind w:left="720" w:hanging="360"/>
      </w:pPr>
      <w:rPr>
        <w:rFonts w:ascii="Arial" w:hAnsi="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15:restartNumberingAfterBreak="0">
    <w:nsid w:val="52234300"/>
    <w:multiLevelType w:val="hybridMultilevel"/>
    <w:tmpl w:val="8904004E"/>
    <w:lvl w:ilvl="0" w:tplc="EBC23778">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5" w15:restartNumberingAfterBreak="0">
    <w:nsid w:val="557B1AEC"/>
    <w:multiLevelType w:val="hybridMultilevel"/>
    <w:tmpl w:val="06C62A08"/>
    <w:lvl w:ilvl="0" w:tplc="71F65AAC">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6" w15:restartNumberingAfterBreak="0">
    <w:nsid w:val="56FC4CBD"/>
    <w:multiLevelType w:val="hybridMultilevel"/>
    <w:tmpl w:val="63924756"/>
    <w:lvl w:ilvl="0" w:tplc="243A4EF0">
      <w:start w:val="1"/>
      <w:numFmt w:val="bullet"/>
      <w:pStyle w:val="10-Lista2"/>
      <w:lvlText w:val=""/>
      <w:lvlJc w:val="left"/>
      <w:pPr>
        <w:ind w:left="1004" w:hanging="360"/>
      </w:pPr>
      <w:rPr>
        <w:rFonts w:ascii="Wingdings" w:hAnsi="Wingdings" w:hint="default"/>
      </w:rPr>
    </w:lvl>
    <w:lvl w:ilvl="1" w:tplc="A06CEBCC" w:tentative="1">
      <w:start w:val="1"/>
      <w:numFmt w:val="bullet"/>
      <w:lvlText w:val="o"/>
      <w:lvlJc w:val="left"/>
      <w:pPr>
        <w:ind w:left="1724" w:hanging="360"/>
      </w:pPr>
      <w:rPr>
        <w:rFonts w:ascii="Courier New" w:hAnsi="Courier New" w:cs="Courier New" w:hint="default"/>
      </w:rPr>
    </w:lvl>
    <w:lvl w:ilvl="2" w:tplc="82FC9CBA" w:tentative="1">
      <w:start w:val="1"/>
      <w:numFmt w:val="bullet"/>
      <w:lvlText w:val=""/>
      <w:lvlJc w:val="left"/>
      <w:pPr>
        <w:ind w:left="2444" w:hanging="360"/>
      </w:pPr>
      <w:rPr>
        <w:rFonts w:ascii="Wingdings" w:hAnsi="Wingdings" w:hint="default"/>
      </w:rPr>
    </w:lvl>
    <w:lvl w:ilvl="3" w:tplc="036CA270" w:tentative="1">
      <w:start w:val="1"/>
      <w:numFmt w:val="bullet"/>
      <w:lvlText w:val=""/>
      <w:lvlJc w:val="left"/>
      <w:pPr>
        <w:ind w:left="3164" w:hanging="360"/>
      </w:pPr>
      <w:rPr>
        <w:rFonts w:ascii="Symbol" w:hAnsi="Symbol" w:hint="default"/>
      </w:rPr>
    </w:lvl>
    <w:lvl w:ilvl="4" w:tplc="44807950" w:tentative="1">
      <w:start w:val="1"/>
      <w:numFmt w:val="bullet"/>
      <w:lvlText w:val="o"/>
      <w:lvlJc w:val="left"/>
      <w:pPr>
        <w:ind w:left="3884" w:hanging="360"/>
      </w:pPr>
      <w:rPr>
        <w:rFonts w:ascii="Courier New" w:hAnsi="Courier New" w:cs="Courier New" w:hint="default"/>
      </w:rPr>
    </w:lvl>
    <w:lvl w:ilvl="5" w:tplc="568EE992" w:tentative="1">
      <w:start w:val="1"/>
      <w:numFmt w:val="bullet"/>
      <w:lvlText w:val=""/>
      <w:lvlJc w:val="left"/>
      <w:pPr>
        <w:ind w:left="4604" w:hanging="360"/>
      </w:pPr>
      <w:rPr>
        <w:rFonts w:ascii="Wingdings" w:hAnsi="Wingdings" w:hint="default"/>
      </w:rPr>
    </w:lvl>
    <w:lvl w:ilvl="6" w:tplc="4BA2E17E" w:tentative="1">
      <w:start w:val="1"/>
      <w:numFmt w:val="bullet"/>
      <w:lvlText w:val=""/>
      <w:lvlJc w:val="left"/>
      <w:pPr>
        <w:ind w:left="5324" w:hanging="360"/>
      </w:pPr>
      <w:rPr>
        <w:rFonts w:ascii="Symbol" w:hAnsi="Symbol" w:hint="default"/>
      </w:rPr>
    </w:lvl>
    <w:lvl w:ilvl="7" w:tplc="41407EDC" w:tentative="1">
      <w:start w:val="1"/>
      <w:numFmt w:val="bullet"/>
      <w:lvlText w:val="o"/>
      <w:lvlJc w:val="left"/>
      <w:pPr>
        <w:ind w:left="6044" w:hanging="360"/>
      </w:pPr>
      <w:rPr>
        <w:rFonts w:ascii="Courier New" w:hAnsi="Courier New" w:cs="Courier New" w:hint="default"/>
      </w:rPr>
    </w:lvl>
    <w:lvl w:ilvl="8" w:tplc="5574ADAA" w:tentative="1">
      <w:start w:val="1"/>
      <w:numFmt w:val="bullet"/>
      <w:lvlText w:val=""/>
      <w:lvlJc w:val="left"/>
      <w:pPr>
        <w:ind w:left="6764" w:hanging="360"/>
      </w:pPr>
      <w:rPr>
        <w:rFonts w:ascii="Wingdings" w:hAnsi="Wingdings" w:hint="default"/>
      </w:rPr>
    </w:lvl>
  </w:abstractNum>
  <w:abstractNum w:abstractNumId="37" w15:restartNumberingAfterBreak="0">
    <w:nsid w:val="5ED0227F"/>
    <w:multiLevelType w:val="hybridMultilevel"/>
    <w:tmpl w:val="F76A4088"/>
    <w:lvl w:ilvl="0" w:tplc="C9A4116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61374FD0"/>
    <w:multiLevelType w:val="hybridMultilevel"/>
    <w:tmpl w:val="2FECB9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1887155"/>
    <w:multiLevelType w:val="singleLevel"/>
    <w:tmpl w:val="625827F2"/>
    <w:lvl w:ilvl="0">
      <w:start w:val="1"/>
      <w:numFmt w:val="bullet"/>
      <w:pStyle w:val="09-Lista"/>
      <w:lvlText w:val=""/>
      <w:lvlJc w:val="left"/>
      <w:pPr>
        <w:tabs>
          <w:tab w:val="num" w:pos="644"/>
        </w:tabs>
        <w:ind w:left="567" w:hanging="283"/>
      </w:pPr>
      <w:rPr>
        <w:rFonts w:ascii="Symbol" w:hAnsi="Symbol" w:hint="default"/>
      </w:rPr>
    </w:lvl>
  </w:abstractNum>
  <w:abstractNum w:abstractNumId="40" w15:restartNumberingAfterBreak="0">
    <w:nsid w:val="64AA13A3"/>
    <w:multiLevelType w:val="hybridMultilevel"/>
    <w:tmpl w:val="F9EEB060"/>
    <w:lvl w:ilvl="0" w:tplc="94029C1A">
      <w:start w:val="2"/>
      <w:numFmt w:val="decimal"/>
      <w:lvlText w:val="(%1)"/>
      <w:lvlJc w:val="left"/>
      <w:pPr>
        <w:ind w:left="284" w:hanging="284"/>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68E7312C"/>
    <w:multiLevelType w:val="hybridMultilevel"/>
    <w:tmpl w:val="CDBE7420"/>
    <w:lvl w:ilvl="0" w:tplc="880EE82E">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2" w15:restartNumberingAfterBreak="0">
    <w:nsid w:val="73037CE5"/>
    <w:multiLevelType w:val="hybridMultilevel"/>
    <w:tmpl w:val="86E20592"/>
    <w:lvl w:ilvl="0" w:tplc="99B2AA5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740D7301"/>
    <w:multiLevelType w:val="hybridMultilevel"/>
    <w:tmpl w:val="AF74A042"/>
    <w:lvl w:ilvl="0" w:tplc="92F8C2D2">
      <w:start w:val="1"/>
      <w:numFmt w:val="bullet"/>
      <w:lvlText w:val=""/>
      <w:lvlJc w:val="left"/>
      <w:pPr>
        <w:ind w:left="360" w:hanging="360"/>
      </w:pPr>
      <w:rPr>
        <w:rFonts w:ascii="Symbol" w:hAnsi="Symbol" w:hint="default"/>
        <w:color w:val="auto"/>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44" w15:restartNumberingAfterBreak="0">
    <w:nsid w:val="760B4275"/>
    <w:multiLevelType w:val="hybridMultilevel"/>
    <w:tmpl w:val="9660835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5" w15:restartNumberingAfterBreak="0">
    <w:nsid w:val="77C5187B"/>
    <w:multiLevelType w:val="hybridMultilevel"/>
    <w:tmpl w:val="72105482"/>
    <w:lvl w:ilvl="0" w:tplc="04160001">
      <w:start w:val="1"/>
      <w:numFmt w:val="bullet"/>
      <w:lvlText w:val=""/>
      <w:lvlJc w:val="left"/>
      <w:pPr>
        <w:ind w:left="360" w:hanging="360"/>
      </w:pPr>
      <w:rPr>
        <w:rFonts w:ascii="Symbol" w:hAnsi="Symbol" w:hint="default"/>
      </w:rPr>
    </w:lvl>
    <w:lvl w:ilvl="1" w:tplc="9504260E">
      <w:numFmt w:val="bullet"/>
      <w:lvlText w:val="•"/>
      <w:lvlJc w:val="left"/>
      <w:pPr>
        <w:ind w:left="1080" w:hanging="360"/>
      </w:pPr>
      <w:rPr>
        <w:rFonts w:ascii="Arial" w:eastAsia="Times New Roman" w:hAnsi="Arial" w:cs="Arial"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46" w15:restartNumberingAfterBreak="0">
    <w:nsid w:val="7BF83035"/>
    <w:multiLevelType w:val="hybridMultilevel"/>
    <w:tmpl w:val="1C4AB340"/>
    <w:lvl w:ilvl="0" w:tplc="04160017">
      <w:start w:val="1"/>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7" w15:restartNumberingAfterBreak="0">
    <w:nsid w:val="7C064F52"/>
    <w:multiLevelType w:val="hybridMultilevel"/>
    <w:tmpl w:val="1C2AECB8"/>
    <w:lvl w:ilvl="0" w:tplc="EE609F70">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8" w15:restartNumberingAfterBreak="0">
    <w:nsid w:val="7DC958CC"/>
    <w:multiLevelType w:val="hybridMultilevel"/>
    <w:tmpl w:val="9414672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9" w15:restartNumberingAfterBreak="0">
    <w:nsid w:val="7F291500"/>
    <w:multiLevelType w:val="hybridMultilevel"/>
    <w:tmpl w:val="160E58E0"/>
    <w:lvl w:ilvl="0" w:tplc="0B200CC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0" w15:restartNumberingAfterBreak="0">
    <w:nsid w:val="7F8D279B"/>
    <w:multiLevelType w:val="hybridMultilevel"/>
    <w:tmpl w:val="A866CF26"/>
    <w:lvl w:ilvl="0" w:tplc="4B5ECCEA">
      <w:numFmt w:val="bullet"/>
      <w:lvlText w:val="•"/>
      <w:lvlJc w:val="left"/>
      <w:pPr>
        <w:ind w:left="720" w:hanging="360"/>
      </w:pPr>
      <w:rPr>
        <w:rFonts w:ascii="Arial" w:eastAsia="Times New Roman"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43"/>
  </w:num>
  <w:num w:numId="2">
    <w:abstractNumId w:val="9"/>
  </w:num>
  <w:num w:numId="3">
    <w:abstractNumId w:val="17"/>
  </w:num>
  <w:num w:numId="4">
    <w:abstractNumId w:val="39"/>
  </w:num>
  <w:num w:numId="5">
    <w:abstractNumId w:val="27"/>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6"/>
  </w:num>
  <w:num w:numId="8">
    <w:abstractNumId w:val="22"/>
  </w:num>
  <w:num w:numId="9">
    <w:abstractNumId w:val="8"/>
  </w:num>
  <w:num w:numId="10">
    <w:abstractNumId w:val="18"/>
  </w:num>
  <w:num w:numId="11">
    <w:abstractNumId w:val="2"/>
  </w:num>
  <w:num w:numId="12">
    <w:abstractNumId w:val="13"/>
  </w:num>
  <w:num w:numId="13">
    <w:abstractNumId w:val="15"/>
  </w:num>
  <w:num w:numId="14">
    <w:abstractNumId w:val="10"/>
  </w:num>
  <w:num w:numId="15">
    <w:abstractNumId w:val="36"/>
  </w:num>
  <w:num w:numId="16">
    <w:abstractNumId w:val="26"/>
  </w:num>
  <w:num w:numId="17">
    <w:abstractNumId w:val="23"/>
  </w:num>
  <w:num w:numId="18">
    <w:abstractNumId w:val="5"/>
  </w:num>
  <w:num w:numId="19">
    <w:abstractNumId w:val="16"/>
  </w:num>
  <w:num w:numId="20">
    <w:abstractNumId w:val="47"/>
  </w:num>
  <w:num w:numId="21">
    <w:abstractNumId w:val="20"/>
  </w:num>
  <w:num w:numId="22">
    <w:abstractNumId w:val="49"/>
  </w:num>
  <w:num w:numId="23">
    <w:abstractNumId w:val="42"/>
  </w:num>
  <w:num w:numId="24">
    <w:abstractNumId w:val="41"/>
  </w:num>
  <w:num w:numId="25">
    <w:abstractNumId w:val="48"/>
  </w:num>
  <w:num w:numId="26">
    <w:abstractNumId w:val="44"/>
  </w:num>
  <w:num w:numId="27">
    <w:abstractNumId w:val="45"/>
  </w:num>
  <w:num w:numId="28">
    <w:abstractNumId w:val="3"/>
  </w:num>
  <w:num w:numId="29">
    <w:abstractNumId w:val="35"/>
  </w:num>
  <w:num w:numId="30">
    <w:abstractNumId w:val="1"/>
  </w:num>
  <w:num w:numId="31">
    <w:abstractNumId w:val="4"/>
  </w:num>
  <w:num w:numId="32">
    <w:abstractNumId w:val="0"/>
  </w:num>
  <w:num w:numId="33">
    <w:abstractNumId w:val="25"/>
  </w:num>
  <w:num w:numId="34">
    <w:abstractNumId w:val="21"/>
  </w:num>
  <w:num w:numId="35">
    <w:abstractNumId w:val="38"/>
  </w:num>
  <w:num w:numId="36">
    <w:abstractNumId w:val="40"/>
  </w:num>
  <w:num w:numId="37">
    <w:abstractNumId w:val="33"/>
  </w:num>
  <w:num w:numId="38">
    <w:abstractNumId w:val="37"/>
  </w:num>
  <w:num w:numId="39">
    <w:abstractNumId w:val="12"/>
  </w:num>
  <w:num w:numId="40">
    <w:abstractNumId w:val="31"/>
  </w:num>
  <w:num w:numId="41">
    <w:abstractNumId w:val="6"/>
  </w:num>
  <w:num w:numId="42">
    <w:abstractNumId w:val="50"/>
  </w:num>
  <w:num w:numId="43">
    <w:abstractNumId w:val="7"/>
  </w:num>
  <w:num w:numId="44">
    <w:abstractNumId w:val="28"/>
  </w:num>
  <w:num w:numId="45">
    <w:abstractNumId w:val="30"/>
  </w:num>
  <w:num w:numId="46">
    <w:abstractNumId w:val="14"/>
  </w:num>
  <w:num w:numId="47">
    <w:abstractNumId w:val="32"/>
  </w:num>
  <w:num w:numId="48">
    <w:abstractNumId w:val="24"/>
  </w:num>
  <w:num w:numId="49">
    <w:abstractNumId w:val="29"/>
  </w:num>
  <w:num w:numId="50">
    <w:abstractNumId w:val="11"/>
  </w:num>
  <w:num w:numId="51">
    <w:abstractNumId w:val="3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gutterAtTop/>
  <w:hideSpellingErrors/>
  <w:activeWritingStyle w:appName="MSWord" w:lang="pt-BR" w:vendorID="64" w:dllVersion="6" w:nlCheck="1" w:checkStyle="0"/>
  <w:activeWritingStyle w:appName="MSWord" w:lang="en-US" w:vendorID="64" w:dllVersion="6" w:nlCheck="1" w:checkStyle="1"/>
  <w:activeWritingStyle w:appName="MSWord" w:lang="pt-BR" w:vendorID="64" w:dllVersion="4096" w:nlCheck="1" w:checkStyle="0"/>
  <w:activeWritingStyle w:appName="MSWord" w:lang="en-US" w:vendorID="64" w:dllVersion="4096" w:nlCheck="1" w:checkStyle="0"/>
  <w:activeWritingStyle w:appName="MSWord" w:lang="pt-BR" w:vendorID="64" w:dllVersion="0" w:nlCheck="1" w:checkStyle="0"/>
  <w:activeWritingStyle w:appName="MSWord" w:lang="en-US" w:vendorID="64" w:dllVersion="0" w:nlCheck="1" w:checkStyle="0"/>
  <w:activeWritingStyle w:appName="MSWord" w:lang="en-GB" w:vendorID="64" w:dllVersion="6" w:nlCheck="1" w:checkStyle="1"/>
  <w:activeWritingStyle w:appName="MSWord" w:lang="en-GB" w:vendorID="64" w:dllVersion="0" w:nlCheck="1" w:checkStyle="0"/>
  <w:activeWritingStyle w:appName="MSWord" w:lang="es-ES" w:vendorID="64" w:dllVersion="6" w:nlCheck="1" w:checkStyle="0"/>
  <w:activeWritingStyle w:appName="MSWord" w:lang="es-ES" w:vendorID="64" w:dllVersion="0" w:nlCheck="1" w:checkStyle="0"/>
  <w:activeWritingStyle w:appName="MSWord" w:lang="pt-BR" w:vendorID="64" w:dllVersion="131078" w:nlCheck="1" w:checkStyle="0"/>
  <w:activeWritingStyle w:appName="MSWord" w:lang="en-US" w:vendorID="64" w:dllVersion="131078" w:nlCheck="1" w:checkStyle="1"/>
  <w:revisionView w:inkAnnotations="0"/>
  <w:defaultTabStop w:val="708"/>
  <w:hyphenationZone w:val="425"/>
  <w:characterSpacingControl w:val="doNotCompress"/>
  <w:hdrShapeDefaults>
    <o:shapedefaults v:ext="edit" spidmax="495618"/>
    <o:shapelayout v:ext="edit">
      <o:idmap v:ext="edit" data="484"/>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402A"/>
    <w:rsid w:val="00002714"/>
    <w:rsid w:val="00003530"/>
    <w:rsid w:val="00005CAA"/>
    <w:rsid w:val="0000601B"/>
    <w:rsid w:val="0000609B"/>
    <w:rsid w:val="000073A6"/>
    <w:rsid w:val="00007A5D"/>
    <w:rsid w:val="00010A23"/>
    <w:rsid w:val="0001118D"/>
    <w:rsid w:val="00011C44"/>
    <w:rsid w:val="00012049"/>
    <w:rsid w:val="00012577"/>
    <w:rsid w:val="00012B73"/>
    <w:rsid w:val="00013BC0"/>
    <w:rsid w:val="00014575"/>
    <w:rsid w:val="00014EC1"/>
    <w:rsid w:val="00020A6E"/>
    <w:rsid w:val="00020CDD"/>
    <w:rsid w:val="00020DDE"/>
    <w:rsid w:val="0002119F"/>
    <w:rsid w:val="00022BC3"/>
    <w:rsid w:val="00022E32"/>
    <w:rsid w:val="0002315B"/>
    <w:rsid w:val="00023D8F"/>
    <w:rsid w:val="00024751"/>
    <w:rsid w:val="00024D0B"/>
    <w:rsid w:val="00030E5D"/>
    <w:rsid w:val="00031BD2"/>
    <w:rsid w:val="000355CB"/>
    <w:rsid w:val="00036121"/>
    <w:rsid w:val="00037AC3"/>
    <w:rsid w:val="0004046C"/>
    <w:rsid w:val="00040D6D"/>
    <w:rsid w:val="00042740"/>
    <w:rsid w:val="00047718"/>
    <w:rsid w:val="000507BA"/>
    <w:rsid w:val="000511AA"/>
    <w:rsid w:val="00052117"/>
    <w:rsid w:val="00054E01"/>
    <w:rsid w:val="0005562A"/>
    <w:rsid w:val="000560D0"/>
    <w:rsid w:val="00056C09"/>
    <w:rsid w:val="000578ED"/>
    <w:rsid w:val="00061D43"/>
    <w:rsid w:val="00062D65"/>
    <w:rsid w:val="00064557"/>
    <w:rsid w:val="00064D21"/>
    <w:rsid w:val="0006681B"/>
    <w:rsid w:val="00071223"/>
    <w:rsid w:val="00071241"/>
    <w:rsid w:val="0007336D"/>
    <w:rsid w:val="00074E48"/>
    <w:rsid w:val="0007615B"/>
    <w:rsid w:val="00077564"/>
    <w:rsid w:val="00077F31"/>
    <w:rsid w:val="000803CF"/>
    <w:rsid w:val="00080A12"/>
    <w:rsid w:val="00080FD6"/>
    <w:rsid w:val="00081476"/>
    <w:rsid w:val="00082841"/>
    <w:rsid w:val="00083959"/>
    <w:rsid w:val="00083A9B"/>
    <w:rsid w:val="00086354"/>
    <w:rsid w:val="00086DF1"/>
    <w:rsid w:val="00096233"/>
    <w:rsid w:val="00096E88"/>
    <w:rsid w:val="000A114C"/>
    <w:rsid w:val="000A1DF1"/>
    <w:rsid w:val="000A33F3"/>
    <w:rsid w:val="000A3AB8"/>
    <w:rsid w:val="000A3D92"/>
    <w:rsid w:val="000A4034"/>
    <w:rsid w:val="000A40F5"/>
    <w:rsid w:val="000A71C5"/>
    <w:rsid w:val="000A7249"/>
    <w:rsid w:val="000B3796"/>
    <w:rsid w:val="000B3D6F"/>
    <w:rsid w:val="000B4735"/>
    <w:rsid w:val="000B4867"/>
    <w:rsid w:val="000B5AC0"/>
    <w:rsid w:val="000B60F3"/>
    <w:rsid w:val="000B6AA4"/>
    <w:rsid w:val="000C0648"/>
    <w:rsid w:val="000C09ED"/>
    <w:rsid w:val="000C0CD7"/>
    <w:rsid w:val="000C1469"/>
    <w:rsid w:val="000C4D7D"/>
    <w:rsid w:val="000C78FC"/>
    <w:rsid w:val="000D2BDB"/>
    <w:rsid w:val="000D610E"/>
    <w:rsid w:val="000D6B6D"/>
    <w:rsid w:val="000D75D0"/>
    <w:rsid w:val="000E07E3"/>
    <w:rsid w:val="000E0CEF"/>
    <w:rsid w:val="000E4573"/>
    <w:rsid w:val="000E51BC"/>
    <w:rsid w:val="000E53EE"/>
    <w:rsid w:val="000E564B"/>
    <w:rsid w:val="000F0924"/>
    <w:rsid w:val="000F2454"/>
    <w:rsid w:val="000F2546"/>
    <w:rsid w:val="000F5078"/>
    <w:rsid w:val="000F60CC"/>
    <w:rsid w:val="000F6165"/>
    <w:rsid w:val="00102B25"/>
    <w:rsid w:val="00106BEE"/>
    <w:rsid w:val="00106C5A"/>
    <w:rsid w:val="00107277"/>
    <w:rsid w:val="00107E85"/>
    <w:rsid w:val="00111800"/>
    <w:rsid w:val="00112673"/>
    <w:rsid w:val="001143BB"/>
    <w:rsid w:val="00114D47"/>
    <w:rsid w:val="00114D85"/>
    <w:rsid w:val="00116243"/>
    <w:rsid w:val="001170F1"/>
    <w:rsid w:val="0011760C"/>
    <w:rsid w:val="001215F2"/>
    <w:rsid w:val="001248F9"/>
    <w:rsid w:val="00125A20"/>
    <w:rsid w:val="001278B9"/>
    <w:rsid w:val="00127C78"/>
    <w:rsid w:val="00132148"/>
    <w:rsid w:val="00133C71"/>
    <w:rsid w:val="00133DDD"/>
    <w:rsid w:val="001340D2"/>
    <w:rsid w:val="00134161"/>
    <w:rsid w:val="0013553F"/>
    <w:rsid w:val="00140A12"/>
    <w:rsid w:val="00141687"/>
    <w:rsid w:val="00143847"/>
    <w:rsid w:val="00143A54"/>
    <w:rsid w:val="001441C1"/>
    <w:rsid w:val="001459BC"/>
    <w:rsid w:val="00146A99"/>
    <w:rsid w:val="00146E6E"/>
    <w:rsid w:val="00147A61"/>
    <w:rsid w:val="00150A99"/>
    <w:rsid w:val="001521B5"/>
    <w:rsid w:val="00152439"/>
    <w:rsid w:val="0015348F"/>
    <w:rsid w:val="0016191A"/>
    <w:rsid w:val="00162CC0"/>
    <w:rsid w:val="00162D44"/>
    <w:rsid w:val="0016383D"/>
    <w:rsid w:val="00165367"/>
    <w:rsid w:val="00166719"/>
    <w:rsid w:val="00166B73"/>
    <w:rsid w:val="00167252"/>
    <w:rsid w:val="00167F52"/>
    <w:rsid w:val="0017189F"/>
    <w:rsid w:val="00172111"/>
    <w:rsid w:val="00173CA2"/>
    <w:rsid w:val="0017540B"/>
    <w:rsid w:val="00175828"/>
    <w:rsid w:val="001761A2"/>
    <w:rsid w:val="0018325A"/>
    <w:rsid w:val="001836F3"/>
    <w:rsid w:val="00183946"/>
    <w:rsid w:val="00183D72"/>
    <w:rsid w:val="00183FBF"/>
    <w:rsid w:val="001849B5"/>
    <w:rsid w:val="0018575E"/>
    <w:rsid w:val="00187B50"/>
    <w:rsid w:val="00187C45"/>
    <w:rsid w:val="00191079"/>
    <w:rsid w:val="00191372"/>
    <w:rsid w:val="001A1443"/>
    <w:rsid w:val="001A2EC3"/>
    <w:rsid w:val="001A3250"/>
    <w:rsid w:val="001A37E3"/>
    <w:rsid w:val="001A5FD8"/>
    <w:rsid w:val="001A7DD3"/>
    <w:rsid w:val="001B1213"/>
    <w:rsid w:val="001B14AB"/>
    <w:rsid w:val="001B4D77"/>
    <w:rsid w:val="001B50A9"/>
    <w:rsid w:val="001C0DC2"/>
    <w:rsid w:val="001C3F35"/>
    <w:rsid w:val="001C425E"/>
    <w:rsid w:val="001C6657"/>
    <w:rsid w:val="001C7B25"/>
    <w:rsid w:val="001C7D1C"/>
    <w:rsid w:val="001D2FA3"/>
    <w:rsid w:val="001D5662"/>
    <w:rsid w:val="001D5AF7"/>
    <w:rsid w:val="001D68BF"/>
    <w:rsid w:val="001E1FF5"/>
    <w:rsid w:val="001E24A1"/>
    <w:rsid w:val="001E4241"/>
    <w:rsid w:val="001E7A74"/>
    <w:rsid w:val="001F004B"/>
    <w:rsid w:val="001F0A82"/>
    <w:rsid w:val="001F2E08"/>
    <w:rsid w:val="0020171B"/>
    <w:rsid w:val="00204930"/>
    <w:rsid w:val="00206D2C"/>
    <w:rsid w:val="00210ED2"/>
    <w:rsid w:val="0021172A"/>
    <w:rsid w:val="002136C7"/>
    <w:rsid w:val="002269ED"/>
    <w:rsid w:val="00226FD5"/>
    <w:rsid w:val="0022799E"/>
    <w:rsid w:val="00227ECE"/>
    <w:rsid w:val="0023066D"/>
    <w:rsid w:val="00230B22"/>
    <w:rsid w:val="002318E3"/>
    <w:rsid w:val="00231AF4"/>
    <w:rsid w:val="00233DBB"/>
    <w:rsid w:val="00234AD5"/>
    <w:rsid w:val="00234F0B"/>
    <w:rsid w:val="0023652C"/>
    <w:rsid w:val="00242321"/>
    <w:rsid w:val="002438B1"/>
    <w:rsid w:val="00244068"/>
    <w:rsid w:val="00244BA9"/>
    <w:rsid w:val="00246CB5"/>
    <w:rsid w:val="00247781"/>
    <w:rsid w:val="002500BA"/>
    <w:rsid w:val="00251262"/>
    <w:rsid w:val="00252C1D"/>
    <w:rsid w:val="002564DF"/>
    <w:rsid w:val="00257B42"/>
    <w:rsid w:val="00260B0F"/>
    <w:rsid w:val="00260B51"/>
    <w:rsid w:val="002663FA"/>
    <w:rsid w:val="0026664B"/>
    <w:rsid w:val="00270A68"/>
    <w:rsid w:val="0027390D"/>
    <w:rsid w:val="00275580"/>
    <w:rsid w:val="00276764"/>
    <w:rsid w:val="00276881"/>
    <w:rsid w:val="0027727A"/>
    <w:rsid w:val="00280F70"/>
    <w:rsid w:val="00291940"/>
    <w:rsid w:val="00291F73"/>
    <w:rsid w:val="00294917"/>
    <w:rsid w:val="00294C04"/>
    <w:rsid w:val="002A1B52"/>
    <w:rsid w:val="002A22F3"/>
    <w:rsid w:val="002A36A7"/>
    <w:rsid w:val="002A72E3"/>
    <w:rsid w:val="002B0076"/>
    <w:rsid w:val="002B5111"/>
    <w:rsid w:val="002B59B6"/>
    <w:rsid w:val="002B7B96"/>
    <w:rsid w:val="002C1612"/>
    <w:rsid w:val="002C376F"/>
    <w:rsid w:val="002C4924"/>
    <w:rsid w:val="002C562D"/>
    <w:rsid w:val="002C5B84"/>
    <w:rsid w:val="002C7209"/>
    <w:rsid w:val="002D00B8"/>
    <w:rsid w:val="002D0C2A"/>
    <w:rsid w:val="002D143C"/>
    <w:rsid w:val="002D39D6"/>
    <w:rsid w:val="002D5A83"/>
    <w:rsid w:val="002D65D2"/>
    <w:rsid w:val="002D68C2"/>
    <w:rsid w:val="002D6C42"/>
    <w:rsid w:val="002D71EB"/>
    <w:rsid w:val="002D7D9E"/>
    <w:rsid w:val="002E299B"/>
    <w:rsid w:val="002E3C67"/>
    <w:rsid w:val="002E44CC"/>
    <w:rsid w:val="002E5479"/>
    <w:rsid w:val="002E561F"/>
    <w:rsid w:val="002E6ED5"/>
    <w:rsid w:val="002E7410"/>
    <w:rsid w:val="002E756A"/>
    <w:rsid w:val="002F0B11"/>
    <w:rsid w:val="002F1512"/>
    <w:rsid w:val="002F6838"/>
    <w:rsid w:val="002F6AA5"/>
    <w:rsid w:val="002F7E14"/>
    <w:rsid w:val="00300419"/>
    <w:rsid w:val="00302841"/>
    <w:rsid w:val="00303359"/>
    <w:rsid w:val="003057DB"/>
    <w:rsid w:val="00307AD1"/>
    <w:rsid w:val="00310081"/>
    <w:rsid w:val="00311A34"/>
    <w:rsid w:val="00312114"/>
    <w:rsid w:val="00312B45"/>
    <w:rsid w:val="00314402"/>
    <w:rsid w:val="003160DD"/>
    <w:rsid w:val="00317905"/>
    <w:rsid w:val="00321043"/>
    <w:rsid w:val="0032286E"/>
    <w:rsid w:val="0032296E"/>
    <w:rsid w:val="00323E9B"/>
    <w:rsid w:val="00324C45"/>
    <w:rsid w:val="00326C6A"/>
    <w:rsid w:val="003345AD"/>
    <w:rsid w:val="00336EA5"/>
    <w:rsid w:val="00342A2B"/>
    <w:rsid w:val="003432FE"/>
    <w:rsid w:val="00344965"/>
    <w:rsid w:val="0035060E"/>
    <w:rsid w:val="00356AB8"/>
    <w:rsid w:val="003574A9"/>
    <w:rsid w:val="00360266"/>
    <w:rsid w:val="00361F6F"/>
    <w:rsid w:val="00364937"/>
    <w:rsid w:val="00365D56"/>
    <w:rsid w:val="00366238"/>
    <w:rsid w:val="0036729E"/>
    <w:rsid w:val="00367ACF"/>
    <w:rsid w:val="00370FE2"/>
    <w:rsid w:val="0037479E"/>
    <w:rsid w:val="00377C47"/>
    <w:rsid w:val="00381A79"/>
    <w:rsid w:val="00382527"/>
    <w:rsid w:val="00382CBA"/>
    <w:rsid w:val="0039022B"/>
    <w:rsid w:val="003905D1"/>
    <w:rsid w:val="00395DD8"/>
    <w:rsid w:val="00397A23"/>
    <w:rsid w:val="00397AA6"/>
    <w:rsid w:val="003A05EE"/>
    <w:rsid w:val="003A0AB2"/>
    <w:rsid w:val="003A1073"/>
    <w:rsid w:val="003A237E"/>
    <w:rsid w:val="003A3B7A"/>
    <w:rsid w:val="003A3BB0"/>
    <w:rsid w:val="003A46E3"/>
    <w:rsid w:val="003A46FA"/>
    <w:rsid w:val="003A496C"/>
    <w:rsid w:val="003A4A47"/>
    <w:rsid w:val="003A5FCE"/>
    <w:rsid w:val="003A68DE"/>
    <w:rsid w:val="003B0871"/>
    <w:rsid w:val="003B0A01"/>
    <w:rsid w:val="003B1062"/>
    <w:rsid w:val="003B3EF2"/>
    <w:rsid w:val="003B4CF6"/>
    <w:rsid w:val="003B6C01"/>
    <w:rsid w:val="003C0129"/>
    <w:rsid w:val="003C2712"/>
    <w:rsid w:val="003C3985"/>
    <w:rsid w:val="003C43EB"/>
    <w:rsid w:val="003C725C"/>
    <w:rsid w:val="003C76C4"/>
    <w:rsid w:val="003D04B4"/>
    <w:rsid w:val="003D1CDE"/>
    <w:rsid w:val="003D61C6"/>
    <w:rsid w:val="003D7C55"/>
    <w:rsid w:val="003D7FB6"/>
    <w:rsid w:val="003E1F82"/>
    <w:rsid w:val="003E407C"/>
    <w:rsid w:val="003E752D"/>
    <w:rsid w:val="003E7547"/>
    <w:rsid w:val="003F3906"/>
    <w:rsid w:val="003F62E5"/>
    <w:rsid w:val="003F6DAE"/>
    <w:rsid w:val="00410A4B"/>
    <w:rsid w:val="00412829"/>
    <w:rsid w:val="004140F2"/>
    <w:rsid w:val="00414271"/>
    <w:rsid w:val="00420180"/>
    <w:rsid w:val="00422472"/>
    <w:rsid w:val="0042368D"/>
    <w:rsid w:val="00424091"/>
    <w:rsid w:val="00425DE8"/>
    <w:rsid w:val="00426DEA"/>
    <w:rsid w:val="004277AF"/>
    <w:rsid w:val="00427B99"/>
    <w:rsid w:val="00431D8B"/>
    <w:rsid w:val="00433C02"/>
    <w:rsid w:val="004345E8"/>
    <w:rsid w:val="0043468B"/>
    <w:rsid w:val="00435016"/>
    <w:rsid w:val="00435972"/>
    <w:rsid w:val="00435ED1"/>
    <w:rsid w:val="00436E96"/>
    <w:rsid w:val="004405C7"/>
    <w:rsid w:val="004442D9"/>
    <w:rsid w:val="00444B57"/>
    <w:rsid w:val="00445209"/>
    <w:rsid w:val="00445861"/>
    <w:rsid w:val="00450E29"/>
    <w:rsid w:val="00451174"/>
    <w:rsid w:val="00453406"/>
    <w:rsid w:val="00454D9F"/>
    <w:rsid w:val="00456237"/>
    <w:rsid w:val="004577EF"/>
    <w:rsid w:val="004618D3"/>
    <w:rsid w:val="004640C8"/>
    <w:rsid w:val="00464624"/>
    <w:rsid w:val="00464B4D"/>
    <w:rsid w:val="00464F97"/>
    <w:rsid w:val="0046510B"/>
    <w:rsid w:val="004659AC"/>
    <w:rsid w:val="0046651D"/>
    <w:rsid w:val="00466F14"/>
    <w:rsid w:val="00467245"/>
    <w:rsid w:val="00467636"/>
    <w:rsid w:val="004678AB"/>
    <w:rsid w:val="00467ED6"/>
    <w:rsid w:val="004706AD"/>
    <w:rsid w:val="00471986"/>
    <w:rsid w:val="004744A0"/>
    <w:rsid w:val="0047521F"/>
    <w:rsid w:val="004753EF"/>
    <w:rsid w:val="004762C7"/>
    <w:rsid w:val="004777A0"/>
    <w:rsid w:val="00480E4B"/>
    <w:rsid w:val="0048278C"/>
    <w:rsid w:val="00482B72"/>
    <w:rsid w:val="00483F2C"/>
    <w:rsid w:val="00486355"/>
    <w:rsid w:val="004878A8"/>
    <w:rsid w:val="00487DE4"/>
    <w:rsid w:val="0049071F"/>
    <w:rsid w:val="00490981"/>
    <w:rsid w:val="004913BA"/>
    <w:rsid w:val="00491A7B"/>
    <w:rsid w:val="00493598"/>
    <w:rsid w:val="0049511F"/>
    <w:rsid w:val="004959C4"/>
    <w:rsid w:val="0049601F"/>
    <w:rsid w:val="00496220"/>
    <w:rsid w:val="00496C7B"/>
    <w:rsid w:val="00497D57"/>
    <w:rsid w:val="004A04A5"/>
    <w:rsid w:val="004A26EE"/>
    <w:rsid w:val="004A39D4"/>
    <w:rsid w:val="004A5980"/>
    <w:rsid w:val="004A5CDD"/>
    <w:rsid w:val="004A5E05"/>
    <w:rsid w:val="004A6656"/>
    <w:rsid w:val="004B00DD"/>
    <w:rsid w:val="004B1897"/>
    <w:rsid w:val="004B1EE7"/>
    <w:rsid w:val="004B3BAB"/>
    <w:rsid w:val="004B60B0"/>
    <w:rsid w:val="004B60D3"/>
    <w:rsid w:val="004B659D"/>
    <w:rsid w:val="004B6AF4"/>
    <w:rsid w:val="004B71AC"/>
    <w:rsid w:val="004C3BD0"/>
    <w:rsid w:val="004C461F"/>
    <w:rsid w:val="004C4B52"/>
    <w:rsid w:val="004C7FF9"/>
    <w:rsid w:val="004D1F33"/>
    <w:rsid w:val="004D27B6"/>
    <w:rsid w:val="004D38D7"/>
    <w:rsid w:val="004D4283"/>
    <w:rsid w:val="004D4FF9"/>
    <w:rsid w:val="004D7600"/>
    <w:rsid w:val="004D7A2F"/>
    <w:rsid w:val="004E0822"/>
    <w:rsid w:val="004E230D"/>
    <w:rsid w:val="004E3014"/>
    <w:rsid w:val="004E5AC7"/>
    <w:rsid w:val="004F0411"/>
    <w:rsid w:val="004F12A3"/>
    <w:rsid w:val="004F2709"/>
    <w:rsid w:val="004F3057"/>
    <w:rsid w:val="004F3194"/>
    <w:rsid w:val="004F45BA"/>
    <w:rsid w:val="004F45EE"/>
    <w:rsid w:val="004F509B"/>
    <w:rsid w:val="004F712D"/>
    <w:rsid w:val="004F7C15"/>
    <w:rsid w:val="00500AB3"/>
    <w:rsid w:val="00504EE2"/>
    <w:rsid w:val="00504F34"/>
    <w:rsid w:val="005061D2"/>
    <w:rsid w:val="00506AE7"/>
    <w:rsid w:val="00510BED"/>
    <w:rsid w:val="00511848"/>
    <w:rsid w:val="00511EB1"/>
    <w:rsid w:val="0051329F"/>
    <w:rsid w:val="005212E8"/>
    <w:rsid w:val="005261C1"/>
    <w:rsid w:val="0052662E"/>
    <w:rsid w:val="00527747"/>
    <w:rsid w:val="0052784B"/>
    <w:rsid w:val="005306EF"/>
    <w:rsid w:val="00530A63"/>
    <w:rsid w:val="005311FC"/>
    <w:rsid w:val="00534DA0"/>
    <w:rsid w:val="005357C6"/>
    <w:rsid w:val="0053756D"/>
    <w:rsid w:val="00537934"/>
    <w:rsid w:val="00540F6B"/>
    <w:rsid w:val="00543849"/>
    <w:rsid w:val="00543B44"/>
    <w:rsid w:val="005449F8"/>
    <w:rsid w:val="0054696D"/>
    <w:rsid w:val="005479E7"/>
    <w:rsid w:val="00551188"/>
    <w:rsid w:val="0055368E"/>
    <w:rsid w:val="00553F85"/>
    <w:rsid w:val="00554D71"/>
    <w:rsid w:val="00555BE6"/>
    <w:rsid w:val="00557708"/>
    <w:rsid w:val="00560D1E"/>
    <w:rsid w:val="00560E22"/>
    <w:rsid w:val="005614B4"/>
    <w:rsid w:val="005632DD"/>
    <w:rsid w:val="00565150"/>
    <w:rsid w:val="005678BA"/>
    <w:rsid w:val="005678EB"/>
    <w:rsid w:val="00567DAB"/>
    <w:rsid w:val="00572AC0"/>
    <w:rsid w:val="005820DF"/>
    <w:rsid w:val="00583EE6"/>
    <w:rsid w:val="00590D4B"/>
    <w:rsid w:val="00592EB1"/>
    <w:rsid w:val="00594A07"/>
    <w:rsid w:val="00595FEE"/>
    <w:rsid w:val="005A0095"/>
    <w:rsid w:val="005A1B23"/>
    <w:rsid w:val="005A2B35"/>
    <w:rsid w:val="005A393B"/>
    <w:rsid w:val="005A7BDF"/>
    <w:rsid w:val="005A7EAF"/>
    <w:rsid w:val="005B0684"/>
    <w:rsid w:val="005B1BF7"/>
    <w:rsid w:val="005B359F"/>
    <w:rsid w:val="005B37F6"/>
    <w:rsid w:val="005B44BC"/>
    <w:rsid w:val="005B47AA"/>
    <w:rsid w:val="005B5353"/>
    <w:rsid w:val="005C008E"/>
    <w:rsid w:val="005C1B38"/>
    <w:rsid w:val="005C50CA"/>
    <w:rsid w:val="005C5DF2"/>
    <w:rsid w:val="005C6C53"/>
    <w:rsid w:val="005C6C97"/>
    <w:rsid w:val="005D05B7"/>
    <w:rsid w:val="005D0819"/>
    <w:rsid w:val="005D1684"/>
    <w:rsid w:val="005D3551"/>
    <w:rsid w:val="005D4108"/>
    <w:rsid w:val="005D42E4"/>
    <w:rsid w:val="005D5A74"/>
    <w:rsid w:val="005D6D0C"/>
    <w:rsid w:val="005D7AB0"/>
    <w:rsid w:val="005E22D6"/>
    <w:rsid w:val="005E3172"/>
    <w:rsid w:val="005E74A8"/>
    <w:rsid w:val="005F410E"/>
    <w:rsid w:val="005F4C1B"/>
    <w:rsid w:val="005F5610"/>
    <w:rsid w:val="005F57EC"/>
    <w:rsid w:val="005F5825"/>
    <w:rsid w:val="005F645D"/>
    <w:rsid w:val="005F6B6C"/>
    <w:rsid w:val="006022A7"/>
    <w:rsid w:val="00602322"/>
    <w:rsid w:val="006024CD"/>
    <w:rsid w:val="006068F3"/>
    <w:rsid w:val="00607BBF"/>
    <w:rsid w:val="00610938"/>
    <w:rsid w:val="0061134B"/>
    <w:rsid w:val="0061154C"/>
    <w:rsid w:val="00613FF1"/>
    <w:rsid w:val="00622B94"/>
    <w:rsid w:val="006242DA"/>
    <w:rsid w:val="00625BD7"/>
    <w:rsid w:val="00627550"/>
    <w:rsid w:val="00633486"/>
    <w:rsid w:val="00634343"/>
    <w:rsid w:val="006355A9"/>
    <w:rsid w:val="00636A46"/>
    <w:rsid w:val="006416D1"/>
    <w:rsid w:val="00643F37"/>
    <w:rsid w:val="00644A7C"/>
    <w:rsid w:val="00644F94"/>
    <w:rsid w:val="006451C7"/>
    <w:rsid w:val="006462C1"/>
    <w:rsid w:val="006464F7"/>
    <w:rsid w:val="00646918"/>
    <w:rsid w:val="00646930"/>
    <w:rsid w:val="00646F3B"/>
    <w:rsid w:val="00651620"/>
    <w:rsid w:val="0065165E"/>
    <w:rsid w:val="0065178D"/>
    <w:rsid w:val="00651D16"/>
    <w:rsid w:val="0065274C"/>
    <w:rsid w:val="00654335"/>
    <w:rsid w:val="00655A69"/>
    <w:rsid w:val="006562F4"/>
    <w:rsid w:val="006568B9"/>
    <w:rsid w:val="00656B14"/>
    <w:rsid w:val="00657052"/>
    <w:rsid w:val="00657A40"/>
    <w:rsid w:val="006601AC"/>
    <w:rsid w:val="0066037A"/>
    <w:rsid w:val="006620C9"/>
    <w:rsid w:val="00662D26"/>
    <w:rsid w:val="00663504"/>
    <w:rsid w:val="006637E5"/>
    <w:rsid w:val="00664D3C"/>
    <w:rsid w:val="006660C1"/>
    <w:rsid w:val="00666CC4"/>
    <w:rsid w:val="0066770E"/>
    <w:rsid w:val="00670D67"/>
    <w:rsid w:val="00670F43"/>
    <w:rsid w:val="0067592D"/>
    <w:rsid w:val="00676AB1"/>
    <w:rsid w:val="00685156"/>
    <w:rsid w:val="006855C8"/>
    <w:rsid w:val="00685C30"/>
    <w:rsid w:val="006877EF"/>
    <w:rsid w:val="00687F43"/>
    <w:rsid w:val="006921D0"/>
    <w:rsid w:val="006934CC"/>
    <w:rsid w:val="00694E37"/>
    <w:rsid w:val="00695DEF"/>
    <w:rsid w:val="006A128E"/>
    <w:rsid w:val="006A2A9B"/>
    <w:rsid w:val="006A362F"/>
    <w:rsid w:val="006B0F73"/>
    <w:rsid w:val="006B124F"/>
    <w:rsid w:val="006B2578"/>
    <w:rsid w:val="006B46BB"/>
    <w:rsid w:val="006B572D"/>
    <w:rsid w:val="006B5B6D"/>
    <w:rsid w:val="006B7102"/>
    <w:rsid w:val="006B779F"/>
    <w:rsid w:val="006B7CF3"/>
    <w:rsid w:val="006C0347"/>
    <w:rsid w:val="006C108E"/>
    <w:rsid w:val="006C1F57"/>
    <w:rsid w:val="006C5DAA"/>
    <w:rsid w:val="006C75CF"/>
    <w:rsid w:val="006D13AC"/>
    <w:rsid w:val="006D4EB8"/>
    <w:rsid w:val="006D5442"/>
    <w:rsid w:val="006D61C2"/>
    <w:rsid w:val="006D68F5"/>
    <w:rsid w:val="006D704B"/>
    <w:rsid w:val="006D7B24"/>
    <w:rsid w:val="006D7E60"/>
    <w:rsid w:val="006E18D4"/>
    <w:rsid w:val="006E3406"/>
    <w:rsid w:val="006E38A3"/>
    <w:rsid w:val="006E5EBE"/>
    <w:rsid w:val="006F005E"/>
    <w:rsid w:val="006F2298"/>
    <w:rsid w:val="006F4088"/>
    <w:rsid w:val="006F4222"/>
    <w:rsid w:val="006F7155"/>
    <w:rsid w:val="006F72FF"/>
    <w:rsid w:val="00701473"/>
    <w:rsid w:val="00701F4D"/>
    <w:rsid w:val="00704FEB"/>
    <w:rsid w:val="00706AAD"/>
    <w:rsid w:val="007071A6"/>
    <w:rsid w:val="007114C6"/>
    <w:rsid w:val="00712521"/>
    <w:rsid w:val="00713A2C"/>
    <w:rsid w:val="00716CC2"/>
    <w:rsid w:val="00717787"/>
    <w:rsid w:val="007239F4"/>
    <w:rsid w:val="00724A34"/>
    <w:rsid w:val="007269AC"/>
    <w:rsid w:val="007276F5"/>
    <w:rsid w:val="00727784"/>
    <w:rsid w:val="0073051B"/>
    <w:rsid w:val="0073170F"/>
    <w:rsid w:val="00731852"/>
    <w:rsid w:val="00732B7F"/>
    <w:rsid w:val="00734E9C"/>
    <w:rsid w:val="007353AB"/>
    <w:rsid w:val="0073583C"/>
    <w:rsid w:val="007375D5"/>
    <w:rsid w:val="0074062A"/>
    <w:rsid w:val="00741205"/>
    <w:rsid w:val="00741A94"/>
    <w:rsid w:val="00743D31"/>
    <w:rsid w:val="00743E79"/>
    <w:rsid w:val="0074542B"/>
    <w:rsid w:val="007467A0"/>
    <w:rsid w:val="0074702E"/>
    <w:rsid w:val="00747845"/>
    <w:rsid w:val="00747E94"/>
    <w:rsid w:val="00753018"/>
    <w:rsid w:val="007534CC"/>
    <w:rsid w:val="00753698"/>
    <w:rsid w:val="0075483B"/>
    <w:rsid w:val="00755E8D"/>
    <w:rsid w:val="00756E16"/>
    <w:rsid w:val="007613A8"/>
    <w:rsid w:val="00762A2F"/>
    <w:rsid w:val="00763042"/>
    <w:rsid w:val="00763418"/>
    <w:rsid w:val="0076459E"/>
    <w:rsid w:val="007655C8"/>
    <w:rsid w:val="00765F08"/>
    <w:rsid w:val="007661E3"/>
    <w:rsid w:val="00767545"/>
    <w:rsid w:val="00771F08"/>
    <w:rsid w:val="00774101"/>
    <w:rsid w:val="00776D8A"/>
    <w:rsid w:val="00777244"/>
    <w:rsid w:val="00780592"/>
    <w:rsid w:val="00782395"/>
    <w:rsid w:val="00783C3E"/>
    <w:rsid w:val="007846A6"/>
    <w:rsid w:val="00793743"/>
    <w:rsid w:val="007938B6"/>
    <w:rsid w:val="00797493"/>
    <w:rsid w:val="007975D5"/>
    <w:rsid w:val="00797B19"/>
    <w:rsid w:val="007A0ED9"/>
    <w:rsid w:val="007A1401"/>
    <w:rsid w:val="007A17D5"/>
    <w:rsid w:val="007A1F5D"/>
    <w:rsid w:val="007A30A5"/>
    <w:rsid w:val="007A4BB7"/>
    <w:rsid w:val="007A6137"/>
    <w:rsid w:val="007A69DC"/>
    <w:rsid w:val="007B0347"/>
    <w:rsid w:val="007B06F3"/>
    <w:rsid w:val="007B1EB3"/>
    <w:rsid w:val="007B58CB"/>
    <w:rsid w:val="007B6512"/>
    <w:rsid w:val="007B6C64"/>
    <w:rsid w:val="007C00EA"/>
    <w:rsid w:val="007C12A7"/>
    <w:rsid w:val="007C235B"/>
    <w:rsid w:val="007C667C"/>
    <w:rsid w:val="007C6FC3"/>
    <w:rsid w:val="007D450B"/>
    <w:rsid w:val="007D5E4B"/>
    <w:rsid w:val="007D7F12"/>
    <w:rsid w:val="007E0D51"/>
    <w:rsid w:val="007E275C"/>
    <w:rsid w:val="007E3B0B"/>
    <w:rsid w:val="007E6073"/>
    <w:rsid w:val="007E7C8C"/>
    <w:rsid w:val="007F0B8B"/>
    <w:rsid w:val="007F0ED4"/>
    <w:rsid w:val="007F39BC"/>
    <w:rsid w:val="00800EF3"/>
    <w:rsid w:val="00801648"/>
    <w:rsid w:val="008026CA"/>
    <w:rsid w:val="0080297F"/>
    <w:rsid w:val="00802A29"/>
    <w:rsid w:val="00803CC8"/>
    <w:rsid w:val="00803FA9"/>
    <w:rsid w:val="00806552"/>
    <w:rsid w:val="00807154"/>
    <w:rsid w:val="0080789D"/>
    <w:rsid w:val="008121B6"/>
    <w:rsid w:val="00813AF1"/>
    <w:rsid w:val="00813E8D"/>
    <w:rsid w:val="008149FC"/>
    <w:rsid w:val="00814AB0"/>
    <w:rsid w:val="008163D5"/>
    <w:rsid w:val="00817069"/>
    <w:rsid w:val="008177CB"/>
    <w:rsid w:val="008210FE"/>
    <w:rsid w:val="00821BDA"/>
    <w:rsid w:val="00822F9D"/>
    <w:rsid w:val="00822FBD"/>
    <w:rsid w:val="00824879"/>
    <w:rsid w:val="0082704A"/>
    <w:rsid w:val="008274CD"/>
    <w:rsid w:val="00827A31"/>
    <w:rsid w:val="00831EB8"/>
    <w:rsid w:val="00832617"/>
    <w:rsid w:val="00835C1A"/>
    <w:rsid w:val="008360CB"/>
    <w:rsid w:val="008406D6"/>
    <w:rsid w:val="00844996"/>
    <w:rsid w:val="00845BDA"/>
    <w:rsid w:val="00845FD2"/>
    <w:rsid w:val="00846654"/>
    <w:rsid w:val="00850B55"/>
    <w:rsid w:val="00851B88"/>
    <w:rsid w:val="00851CCD"/>
    <w:rsid w:val="00853298"/>
    <w:rsid w:val="008533E3"/>
    <w:rsid w:val="00854D97"/>
    <w:rsid w:val="00857220"/>
    <w:rsid w:val="0086199C"/>
    <w:rsid w:val="008642C1"/>
    <w:rsid w:val="0086485E"/>
    <w:rsid w:val="0086595F"/>
    <w:rsid w:val="00865ACA"/>
    <w:rsid w:val="00866E88"/>
    <w:rsid w:val="008701A5"/>
    <w:rsid w:val="00870BB8"/>
    <w:rsid w:val="008724EF"/>
    <w:rsid w:val="0087366D"/>
    <w:rsid w:val="008765E1"/>
    <w:rsid w:val="008811FE"/>
    <w:rsid w:val="008822C1"/>
    <w:rsid w:val="00882B41"/>
    <w:rsid w:val="008875E7"/>
    <w:rsid w:val="008907B9"/>
    <w:rsid w:val="00897CE8"/>
    <w:rsid w:val="008A0533"/>
    <w:rsid w:val="008A3603"/>
    <w:rsid w:val="008A5413"/>
    <w:rsid w:val="008A54FE"/>
    <w:rsid w:val="008A79BA"/>
    <w:rsid w:val="008B0062"/>
    <w:rsid w:val="008B09AF"/>
    <w:rsid w:val="008B1276"/>
    <w:rsid w:val="008B17D2"/>
    <w:rsid w:val="008B2EA7"/>
    <w:rsid w:val="008B3917"/>
    <w:rsid w:val="008B567C"/>
    <w:rsid w:val="008B6528"/>
    <w:rsid w:val="008B6712"/>
    <w:rsid w:val="008B69BD"/>
    <w:rsid w:val="008B6B6B"/>
    <w:rsid w:val="008B7E19"/>
    <w:rsid w:val="008C0014"/>
    <w:rsid w:val="008C1A77"/>
    <w:rsid w:val="008C1DA1"/>
    <w:rsid w:val="008C1FA3"/>
    <w:rsid w:val="008C27CF"/>
    <w:rsid w:val="008C2DEA"/>
    <w:rsid w:val="008C3B1C"/>
    <w:rsid w:val="008C3FFD"/>
    <w:rsid w:val="008C707F"/>
    <w:rsid w:val="008C7616"/>
    <w:rsid w:val="008D1D4E"/>
    <w:rsid w:val="008D2B11"/>
    <w:rsid w:val="008D3831"/>
    <w:rsid w:val="008D3C3C"/>
    <w:rsid w:val="008D5169"/>
    <w:rsid w:val="008D5811"/>
    <w:rsid w:val="008D69F9"/>
    <w:rsid w:val="008E0AFA"/>
    <w:rsid w:val="008E0EA3"/>
    <w:rsid w:val="008E18ED"/>
    <w:rsid w:val="008E4C6E"/>
    <w:rsid w:val="008E6A2D"/>
    <w:rsid w:val="008E6E77"/>
    <w:rsid w:val="008F1FAD"/>
    <w:rsid w:val="008F2106"/>
    <w:rsid w:val="008F523A"/>
    <w:rsid w:val="008F5DA7"/>
    <w:rsid w:val="00901337"/>
    <w:rsid w:val="009019F3"/>
    <w:rsid w:val="00901C63"/>
    <w:rsid w:val="009059A1"/>
    <w:rsid w:val="00914D93"/>
    <w:rsid w:val="00916040"/>
    <w:rsid w:val="009175BE"/>
    <w:rsid w:val="00917D32"/>
    <w:rsid w:val="009203BB"/>
    <w:rsid w:val="00922ECD"/>
    <w:rsid w:val="009235A9"/>
    <w:rsid w:val="00923FD5"/>
    <w:rsid w:val="00926891"/>
    <w:rsid w:val="009301E3"/>
    <w:rsid w:val="00930CAA"/>
    <w:rsid w:val="00931938"/>
    <w:rsid w:val="00933D5F"/>
    <w:rsid w:val="00934CFE"/>
    <w:rsid w:val="00936831"/>
    <w:rsid w:val="0094139B"/>
    <w:rsid w:val="009445D3"/>
    <w:rsid w:val="009449D2"/>
    <w:rsid w:val="00951092"/>
    <w:rsid w:val="00951E78"/>
    <w:rsid w:val="009522A3"/>
    <w:rsid w:val="00953527"/>
    <w:rsid w:val="00954422"/>
    <w:rsid w:val="00954BF4"/>
    <w:rsid w:val="00955CA3"/>
    <w:rsid w:val="00956BC7"/>
    <w:rsid w:val="00957C72"/>
    <w:rsid w:val="00957DE6"/>
    <w:rsid w:val="00961284"/>
    <w:rsid w:val="009633AC"/>
    <w:rsid w:val="00963D5A"/>
    <w:rsid w:val="00965828"/>
    <w:rsid w:val="00965B07"/>
    <w:rsid w:val="009703F6"/>
    <w:rsid w:val="00970625"/>
    <w:rsid w:val="00975391"/>
    <w:rsid w:val="0097637E"/>
    <w:rsid w:val="0098010E"/>
    <w:rsid w:val="00983884"/>
    <w:rsid w:val="00984ECC"/>
    <w:rsid w:val="00985EA9"/>
    <w:rsid w:val="009869A3"/>
    <w:rsid w:val="009873B0"/>
    <w:rsid w:val="00991E72"/>
    <w:rsid w:val="00992545"/>
    <w:rsid w:val="00992ED0"/>
    <w:rsid w:val="00993DB9"/>
    <w:rsid w:val="00994460"/>
    <w:rsid w:val="00995020"/>
    <w:rsid w:val="0099631F"/>
    <w:rsid w:val="0099705B"/>
    <w:rsid w:val="00997507"/>
    <w:rsid w:val="009977F2"/>
    <w:rsid w:val="009A099C"/>
    <w:rsid w:val="009A2865"/>
    <w:rsid w:val="009A3167"/>
    <w:rsid w:val="009A37BF"/>
    <w:rsid w:val="009A3897"/>
    <w:rsid w:val="009A403C"/>
    <w:rsid w:val="009A42BD"/>
    <w:rsid w:val="009A7177"/>
    <w:rsid w:val="009B4CDA"/>
    <w:rsid w:val="009B56CB"/>
    <w:rsid w:val="009B5732"/>
    <w:rsid w:val="009B66E0"/>
    <w:rsid w:val="009B6E21"/>
    <w:rsid w:val="009C09F8"/>
    <w:rsid w:val="009C1FED"/>
    <w:rsid w:val="009C3CED"/>
    <w:rsid w:val="009C5236"/>
    <w:rsid w:val="009C5F6A"/>
    <w:rsid w:val="009C7849"/>
    <w:rsid w:val="009C79F4"/>
    <w:rsid w:val="009C7F10"/>
    <w:rsid w:val="009D2EDE"/>
    <w:rsid w:val="009D2F1B"/>
    <w:rsid w:val="009D4210"/>
    <w:rsid w:val="009D4AC4"/>
    <w:rsid w:val="009D7FB0"/>
    <w:rsid w:val="009E1FF3"/>
    <w:rsid w:val="009E2072"/>
    <w:rsid w:val="009E2DA6"/>
    <w:rsid w:val="009E2FDE"/>
    <w:rsid w:val="009E5728"/>
    <w:rsid w:val="009E6AAA"/>
    <w:rsid w:val="009E72BA"/>
    <w:rsid w:val="009E7950"/>
    <w:rsid w:val="009F355B"/>
    <w:rsid w:val="009F41F0"/>
    <w:rsid w:val="009F4391"/>
    <w:rsid w:val="009F5A77"/>
    <w:rsid w:val="009F6A39"/>
    <w:rsid w:val="009F71C4"/>
    <w:rsid w:val="00A00D72"/>
    <w:rsid w:val="00A01F9D"/>
    <w:rsid w:val="00A02D24"/>
    <w:rsid w:val="00A036E0"/>
    <w:rsid w:val="00A05AB5"/>
    <w:rsid w:val="00A13206"/>
    <w:rsid w:val="00A1371B"/>
    <w:rsid w:val="00A1375C"/>
    <w:rsid w:val="00A143D3"/>
    <w:rsid w:val="00A14B51"/>
    <w:rsid w:val="00A157D0"/>
    <w:rsid w:val="00A172F2"/>
    <w:rsid w:val="00A1784A"/>
    <w:rsid w:val="00A17FFC"/>
    <w:rsid w:val="00A22124"/>
    <w:rsid w:val="00A24BEA"/>
    <w:rsid w:val="00A25DA0"/>
    <w:rsid w:val="00A26F22"/>
    <w:rsid w:val="00A27A89"/>
    <w:rsid w:val="00A3043A"/>
    <w:rsid w:val="00A3330F"/>
    <w:rsid w:val="00A338B9"/>
    <w:rsid w:val="00A33933"/>
    <w:rsid w:val="00A354D3"/>
    <w:rsid w:val="00A3580F"/>
    <w:rsid w:val="00A36126"/>
    <w:rsid w:val="00A3672B"/>
    <w:rsid w:val="00A406AD"/>
    <w:rsid w:val="00A420CD"/>
    <w:rsid w:val="00A4469D"/>
    <w:rsid w:val="00A453B6"/>
    <w:rsid w:val="00A526E0"/>
    <w:rsid w:val="00A52ED7"/>
    <w:rsid w:val="00A55F00"/>
    <w:rsid w:val="00A611D1"/>
    <w:rsid w:val="00A64F1A"/>
    <w:rsid w:val="00A66C10"/>
    <w:rsid w:val="00A713B2"/>
    <w:rsid w:val="00A716A3"/>
    <w:rsid w:val="00A71E99"/>
    <w:rsid w:val="00A722FC"/>
    <w:rsid w:val="00A72706"/>
    <w:rsid w:val="00A80A32"/>
    <w:rsid w:val="00A84259"/>
    <w:rsid w:val="00A85F3E"/>
    <w:rsid w:val="00A8709D"/>
    <w:rsid w:val="00A87709"/>
    <w:rsid w:val="00A90900"/>
    <w:rsid w:val="00A92B42"/>
    <w:rsid w:val="00A92F37"/>
    <w:rsid w:val="00A93D1E"/>
    <w:rsid w:val="00A9577C"/>
    <w:rsid w:val="00A96DFB"/>
    <w:rsid w:val="00AA267D"/>
    <w:rsid w:val="00AA27C6"/>
    <w:rsid w:val="00AA3829"/>
    <w:rsid w:val="00AA4B5A"/>
    <w:rsid w:val="00AA50EF"/>
    <w:rsid w:val="00AA6118"/>
    <w:rsid w:val="00AA7A7C"/>
    <w:rsid w:val="00AA7F20"/>
    <w:rsid w:val="00AB1E6B"/>
    <w:rsid w:val="00AB439F"/>
    <w:rsid w:val="00AB48EA"/>
    <w:rsid w:val="00AB4D1D"/>
    <w:rsid w:val="00AB539B"/>
    <w:rsid w:val="00AB5F4A"/>
    <w:rsid w:val="00AB6D67"/>
    <w:rsid w:val="00AB6F8B"/>
    <w:rsid w:val="00AC04ED"/>
    <w:rsid w:val="00AC067E"/>
    <w:rsid w:val="00AC06D9"/>
    <w:rsid w:val="00AC0A33"/>
    <w:rsid w:val="00AC0D3B"/>
    <w:rsid w:val="00AC2A1C"/>
    <w:rsid w:val="00AD1528"/>
    <w:rsid w:val="00AD5857"/>
    <w:rsid w:val="00AD5A3F"/>
    <w:rsid w:val="00AD6158"/>
    <w:rsid w:val="00AE25AC"/>
    <w:rsid w:val="00AE3016"/>
    <w:rsid w:val="00AE57E0"/>
    <w:rsid w:val="00AE6740"/>
    <w:rsid w:val="00AF04B6"/>
    <w:rsid w:val="00AF3549"/>
    <w:rsid w:val="00AF488C"/>
    <w:rsid w:val="00AF5424"/>
    <w:rsid w:val="00AF7101"/>
    <w:rsid w:val="00B00776"/>
    <w:rsid w:val="00B01082"/>
    <w:rsid w:val="00B027D5"/>
    <w:rsid w:val="00B070A9"/>
    <w:rsid w:val="00B12A34"/>
    <w:rsid w:val="00B14BAA"/>
    <w:rsid w:val="00B1568A"/>
    <w:rsid w:val="00B16881"/>
    <w:rsid w:val="00B170C0"/>
    <w:rsid w:val="00B17B66"/>
    <w:rsid w:val="00B20D14"/>
    <w:rsid w:val="00B21E2A"/>
    <w:rsid w:val="00B22679"/>
    <w:rsid w:val="00B231DD"/>
    <w:rsid w:val="00B23B0E"/>
    <w:rsid w:val="00B2459F"/>
    <w:rsid w:val="00B25BB0"/>
    <w:rsid w:val="00B27496"/>
    <w:rsid w:val="00B30B20"/>
    <w:rsid w:val="00B313CB"/>
    <w:rsid w:val="00B319CC"/>
    <w:rsid w:val="00B326FF"/>
    <w:rsid w:val="00B32B69"/>
    <w:rsid w:val="00B32DCC"/>
    <w:rsid w:val="00B32FB6"/>
    <w:rsid w:val="00B35610"/>
    <w:rsid w:val="00B36CCB"/>
    <w:rsid w:val="00B37519"/>
    <w:rsid w:val="00B4126E"/>
    <w:rsid w:val="00B420A9"/>
    <w:rsid w:val="00B423FF"/>
    <w:rsid w:val="00B42C48"/>
    <w:rsid w:val="00B42F0F"/>
    <w:rsid w:val="00B51184"/>
    <w:rsid w:val="00B5406D"/>
    <w:rsid w:val="00B54C69"/>
    <w:rsid w:val="00B56660"/>
    <w:rsid w:val="00B56DC0"/>
    <w:rsid w:val="00B61AAF"/>
    <w:rsid w:val="00B64CBB"/>
    <w:rsid w:val="00B65331"/>
    <w:rsid w:val="00B65A85"/>
    <w:rsid w:val="00B671A3"/>
    <w:rsid w:val="00B67E8C"/>
    <w:rsid w:val="00B70050"/>
    <w:rsid w:val="00B702D2"/>
    <w:rsid w:val="00B71433"/>
    <w:rsid w:val="00B72C22"/>
    <w:rsid w:val="00B735A2"/>
    <w:rsid w:val="00B74BD9"/>
    <w:rsid w:val="00B751A2"/>
    <w:rsid w:val="00B761A3"/>
    <w:rsid w:val="00B76A0E"/>
    <w:rsid w:val="00B77D58"/>
    <w:rsid w:val="00B835AB"/>
    <w:rsid w:val="00B844EB"/>
    <w:rsid w:val="00B84747"/>
    <w:rsid w:val="00B86789"/>
    <w:rsid w:val="00B877BA"/>
    <w:rsid w:val="00B87FE6"/>
    <w:rsid w:val="00B90D9B"/>
    <w:rsid w:val="00B91293"/>
    <w:rsid w:val="00B94442"/>
    <w:rsid w:val="00B96E81"/>
    <w:rsid w:val="00BA0F9D"/>
    <w:rsid w:val="00BA4E2B"/>
    <w:rsid w:val="00BA5AE7"/>
    <w:rsid w:val="00BB0017"/>
    <w:rsid w:val="00BB00D1"/>
    <w:rsid w:val="00BB0A3F"/>
    <w:rsid w:val="00BB2741"/>
    <w:rsid w:val="00BB3342"/>
    <w:rsid w:val="00BB405E"/>
    <w:rsid w:val="00BB49AA"/>
    <w:rsid w:val="00BB514B"/>
    <w:rsid w:val="00BB6825"/>
    <w:rsid w:val="00BB6C9B"/>
    <w:rsid w:val="00BB78AD"/>
    <w:rsid w:val="00BC1485"/>
    <w:rsid w:val="00BC3B21"/>
    <w:rsid w:val="00BC58D3"/>
    <w:rsid w:val="00BC66AF"/>
    <w:rsid w:val="00BC7CBA"/>
    <w:rsid w:val="00BD0CA7"/>
    <w:rsid w:val="00BD2115"/>
    <w:rsid w:val="00BD49F5"/>
    <w:rsid w:val="00BE18DD"/>
    <w:rsid w:val="00BE1984"/>
    <w:rsid w:val="00BE1D5B"/>
    <w:rsid w:val="00BE3C4B"/>
    <w:rsid w:val="00BE4076"/>
    <w:rsid w:val="00BE4984"/>
    <w:rsid w:val="00BF054A"/>
    <w:rsid w:val="00BF175D"/>
    <w:rsid w:val="00BF17E4"/>
    <w:rsid w:val="00BF262F"/>
    <w:rsid w:val="00BF4E19"/>
    <w:rsid w:val="00BF558F"/>
    <w:rsid w:val="00C00412"/>
    <w:rsid w:val="00C00895"/>
    <w:rsid w:val="00C0092F"/>
    <w:rsid w:val="00C01A05"/>
    <w:rsid w:val="00C01B3E"/>
    <w:rsid w:val="00C027BC"/>
    <w:rsid w:val="00C032C2"/>
    <w:rsid w:val="00C033E2"/>
    <w:rsid w:val="00C03A95"/>
    <w:rsid w:val="00C05ECC"/>
    <w:rsid w:val="00C0644E"/>
    <w:rsid w:val="00C06F6F"/>
    <w:rsid w:val="00C07171"/>
    <w:rsid w:val="00C07B05"/>
    <w:rsid w:val="00C07C14"/>
    <w:rsid w:val="00C103E4"/>
    <w:rsid w:val="00C10EA1"/>
    <w:rsid w:val="00C12147"/>
    <w:rsid w:val="00C145BC"/>
    <w:rsid w:val="00C14E88"/>
    <w:rsid w:val="00C15975"/>
    <w:rsid w:val="00C20063"/>
    <w:rsid w:val="00C212D8"/>
    <w:rsid w:val="00C255CD"/>
    <w:rsid w:val="00C25B4D"/>
    <w:rsid w:val="00C31249"/>
    <w:rsid w:val="00C31422"/>
    <w:rsid w:val="00C31A45"/>
    <w:rsid w:val="00C32719"/>
    <w:rsid w:val="00C327B4"/>
    <w:rsid w:val="00C34075"/>
    <w:rsid w:val="00C34A32"/>
    <w:rsid w:val="00C35035"/>
    <w:rsid w:val="00C35EEA"/>
    <w:rsid w:val="00C36C22"/>
    <w:rsid w:val="00C373B6"/>
    <w:rsid w:val="00C37DF6"/>
    <w:rsid w:val="00C409A3"/>
    <w:rsid w:val="00C419D3"/>
    <w:rsid w:val="00C41AEF"/>
    <w:rsid w:val="00C44136"/>
    <w:rsid w:val="00C453DF"/>
    <w:rsid w:val="00C55440"/>
    <w:rsid w:val="00C57A48"/>
    <w:rsid w:val="00C61DF8"/>
    <w:rsid w:val="00C62DC8"/>
    <w:rsid w:val="00C635EC"/>
    <w:rsid w:val="00C666A4"/>
    <w:rsid w:val="00C72009"/>
    <w:rsid w:val="00C7401B"/>
    <w:rsid w:val="00C74A0D"/>
    <w:rsid w:val="00C76147"/>
    <w:rsid w:val="00C76608"/>
    <w:rsid w:val="00C76F5B"/>
    <w:rsid w:val="00C80BBE"/>
    <w:rsid w:val="00C82368"/>
    <w:rsid w:val="00C83B70"/>
    <w:rsid w:val="00C86AB1"/>
    <w:rsid w:val="00C902EC"/>
    <w:rsid w:val="00C92B28"/>
    <w:rsid w:val="00C93235"/>
    <w:rsid w:val="00C94263"/>
    <w:rsid w:val="00C951B9"/>
    <w:rsid w:val="00C96AB9"/>
    <w:rsid w:val="00C96E65"/>
    <w:rsid w:val="00C978CD"/>
    <w:rsid w:val="00CA0446"/>
    <w:rsid w:val="00CA0D5D"/>
    <w:rsid w:val="00CA1E6E"/>
    <w:rsid w:val="00CA2F51"/>
    <w:rsid w:val="00CA3463"/>
    <w:rsid w:val="00CA37DF"/>
    <w:rsid w:val="00CA5B2D"/>
    <w:rsid w:val="00CA5C42"/>
    <w:rsid w:val="00CA6680"/>
    <w:rsid w:val="00CB047E"/>
    <w:rsid w:val="00CB0EDE"/>
    <w:rsid w:val="00CB1114"/>
    <w:rsid w:val="00CC0E70"/>
    <w:rsid w:val="00CC37BC"/>
    <w:rsid w:val="00CC58F3"/>
    <w:rsid w:val="00CD09AB"/>
    <w:rsid w:val="00CD3B98"/>
    <w:rsid w:val="00CD43F9"/>
    <w:rsid w:val="00CD6175"/>
    <w:rsid w:val="00CD68E5"/>
    <w:rsid w:val="00CD7294"/>
    <w:rsid w:val="00CD74C4"/>
    <w:rsid w:val="00CD7C74"/>
    <w:rsid w:val="00CD7E64"/>
    <w:rsid w:val="00CE38D9"/>
    <w:rsid w:val="00CE71FC"/>
    <w:rsid w:val="00CE73A2"/>
    <w:rsid w:val="00CF0D90"/>
    <w:rsid w:val="00CF37DA"/>
    <w:rsid w:val="00CF569B"/>
    <w:rsid w:val="00CF5E83"/>
    <w:rsid w:val="00CF7426"/>
    <w:rsid w:val="00D00D1E"/>
    <w:rsid w:val="00D01F17"/>
    <w:rsid w:val="00D02561"/>
    <w:rsid w:val="00D04834"/>
    <w:rsid w:val="00D05F8F"/>
    <w:rsid w:val="00D06D13"/>
    <w:rsid w:val="00D11511"/>
    <w:rsid w:val="00D11A95"/>
    <w:rsid w:val="00D1311D"/>
    <w:rsid w:val="00D140C1"/>
    <w:rsid w:val="00D14B25"/>
    <w:rsid w:val="00D17FB5"/>
    <w:rsid w:val="00D203E6"/>
    <w:rsid w:val="00D20675"/>
    <w:rsid w:val="00D20A6B"/>
    <w:rsid w:val="00D2372E"/>
    <w:rsid w:val="00D2502E"/>
    <w:rsid w:val="00D25268"/>
    <w:rsid w:val="00D253A4"/>
    <w:rsid w:val="00D30451"/>
    <w:rsid w:val="00D31089"/>
    <w:rsid w:val="00D310B4"/>
    <w:rsid w:val="00D32CA2"/>
    <w:rsid w:val="00D3472F"/>
    <w:rsid w:val="00D37CB8"/>
    <w:rsid w:val="00D40172"/>
    <w:rsid w:val="00D40A47"/>
    <w:rsid w:val="00D413C0"/>
    <w:rsid w:val="00D42EE5"/>
    <w:rsid w:val="00D45207"/>
    <w:rsid w:val="00D46F6F"/>
    <w:rsid w:val="00D4791D"/>
    <w:rsid w:val="00D52475"/>
    <w:rsid w:val="00D52BFE"/>
    <w:rsid w:val="00D53515"/>
    <w:rsid w:val="00D5414D"/>
    <w:rsid w:val="00D57385"/>
    <w:rsid w:val="00D574FD"/>
    <w:rsid w:val="00D604CD"/>
    <w:rsid w:val="00D611E5"/>
    <w:rsid w:val="00D63764"/>
    <w:rsid w:val="00D643A7"/>
    <w:rsid w:val="00D64F28"/>
    <w:rsid w:val="00D67213"/>
    <w:rsid w:val="00D67854"/>
    <w:rsid w:val="00D71B9E"/>
    <w:rsid w:val="00D72646"/>
    <w:rsid w:val="00D729DF"/>
    <w:rsid w:val="00D73085"/>
    <w:rsid w:val="00D74D85"/>
    <w:rsid w:val="00D7595E"/>
    <w:rsid w:val="00D76C7A"/>
    <w:rsid w:val="00D800D2"/>
    <w:rsid w:val="00D8271D"/>
    <w:rsid w:val="00D84C89"/>
    <w:rsid w:val="00D8621D"/>
    <w:rsid w:val="00D905EA"/>
    <w:rsid w:val="00D924FC"/>
    <w:rsid w:val="00D93378"/>
    <w:rsid w:val="00D9714C"/>
    <w:rsid w:val="00D97454"/>
    <w:rsid w:val="00DA0436"/>
    <w:rsid w:val="00DA0CEE"/>
    <w:rsid w:val="00DA22A9"/>
    <w:rsid w:val="00DA2C8D"/>
    <w:rsid w:val="00DB1AA6"/>
    <w:rsid w:val="00DB1FA5"/>
    <w:rsid w:val="00DB24D0"/>
    <w:rsid w:val="00DB7F33"/>
    <w:rsid w:val="00DC062C"/>
    <w:rsid w:val="00DC312D"/>
    <w:rsid w:val="00DC48A9"/>
    <w:rsid w:val="00DC7272"/>
    <w:rsid w:val="00DC7DB8"/>
    <w:rsid w:val="00DD0CE1"/>
    <w:rsid w:val="00DD2506"/>
    <w:rsid w:val="00DD2EA2"/>
    <w:rsid w:val="00DD2F66"/>
    <w:rsid w:val="00DD33EC"/>
    <w:rsid w:val="00DD3719"/>
    <w:rsid w:val="00DD3809"/>
    <w:rsid w:val="00DD54CD"/>
    <w:rsid w:val="00DD7095"/>
    <w:rsid w:val="00DE0E10"/>
    <w:rsid w:val="00DE11CB"/>
    <w:rsid w:val="00DE1E42"/>
    <w:rsid w:val="00DE366A"/>
    <w:rsid w:val="00DE788F"/>
    <w:rsid w:val="00DF05E6"/>
    <w:rsid w:val="00DF2034"/>
    <w:rsid w:val="00DF45C0"/>
    <w:rsid w:val="00DF77DE"/>
    <w:rsid w:val="00E0126D"/>
    <w:rsid w:val="00E028F9"/>
    <w:rsid w:val="00E07CC0"/>
    <w:rsid w:val="00E10FA5"/>
    <w:rsid w:val="00E112B8"/>
    <w:rsid w:val="00E12532"/>
    <w:rsid w:val="00E12FE6"/>
    <w:rsid w:val="00E1402A"/>
    <w:rsid w:val="00E141D8"/>
    <w:rsid w:val="00E16312"/>
    <w:rsid w:val="00E201B8"/>
    <w:rsid w:val="00E21163"/>
    <w:rsid w:val="00E21184"/>
    <w:rsid w:val="00E21275"/>
    <w:rsid w:val="00E2281B"/>
    <w:rsid w:val="00E246FC"/>
    <w:rsid w:val="00E24DE2"/>
    <w:rsid w:val="00E3253A"/>
    <w:rsid w:val="00E3555E"/>
    <w:rsid w:val="00E3614F"/>
    <w:rsid w:val="00E43437"/>
    <w:rsid w:val="00E43AB1"/>
    <w:rsid w:val="00E50EC6"/>
    <w:rsid w:val="00E54DA8"/>
    <w:rsid w:val="00E56506"/>
    <w:rsid w:val="00E56BA9"/>
    <w:rsid w:val="00E57E03"/>
    <w:rsid w:val="00E60472"/>
    <w:rsid w:val="00E60B12"/>
    <w:rsid w:val="00E615E1"/>
    <w:rsid w:val="00E63C31"/>
    <w:rsid w:val="00E64FAB"/>
    <w:rsid w:val="00E650B9"/>
    <w:rsid w:val="00E658CA"/>
    <w:rsid w:val="00E66AED"/>
    <w:rsid w:val="00E67722"/>
    <w:rsid w:val="00E67CD9"/>
    <w:rsid w:val="00E7122A"/>
    <w:rsid w:val="00E73331"/>
    <w:rsid w:val="00E751E3"/>
    <w:rsid w:val="00E82C47"/>
    <w:rsid w:val="00E832B7"/>
    <w:rsid w:val="00E83B3B"/>
    <w:rsid w:val="00E86E3F"/>
    <w:rsid w:val="00E871C8"/>
    <w:rsid w:val="00E908B8"/>
    <w:rsid w:val="00E921F9"/>
    <w:rsid w:val="00E93EE6"/>
    <w:rsid w:val="00E95971"/>
    <w:rsid w:val="00E96572"/>
    <w:rsid w:val="00EA5631"/>
    <w:rsid w:val="00EA73FC"/>
    <w:rsid w:val="00EB1880"/>
    <w:rsid w:val="00EB245F"/>
    <w:rsid w:val="00EB247C"/>
    <w:rsid w:val="00EB74FC"/>
    <w:rsid w:val="00EC40F0"/>
    <w:rsid w:val="00EC7C14"/>
    <w:rsid w:val="00ED0AD1"/>
    <w:rsid w:val="00ED1DCB"/>
    <w:rsid w:val="00ED23B2"/>
    <w:rsid w:val="00ED2447"/>
    <w:rsid w:val="00ED5B6F"/>
    <w:rsid w:val="00ED5CBA"/>
    <w:rsid w:val="00ED7217"/>
    <w:rsid w:val="00EE08CB"/>
    <w:rsid w:val="00EE124F"/>
    <w:rsid w:val="00EE5877"/>
    <w:rsid w:val="00EE62B0"/>
    <w:rsid w:val="00EF27FA"/>
    <w:rsid w:val="00EF2DED"/>
    <w:rsid w:val="00EF69B1"/>
    <w:rsid w:val="00EF7212"/>
    <w:rsid w:val="00EF7BCB"/>
    <w:rsid w:val="00F011EC"/>
    <w:rsid w:val="00F03056"/>
    <w:rsid w:val="00F033DA"/>
    <w:rsid w:val="00F0356E"/>
    <w:rsid w:val="00F03B88"/>
    <w:rsid w:val="00F074F3"/>
    <w:rsid w:val="00F12587"/>
    <w:rsid w:val="00F1378F"/>
    <w:rsid w:val="00F13A48"/>
    <w:rsid w:val="00F15F7A"/>
    <w:rsid w:val="00F200E9"/>
    <w:rsid w:val="00F22707"/>
    <w:rsid w:val="00F23468"/>
    <w:rsid w:val="00F3045E"/>
    <w:rsid w:val="00F32791"/>
    <w:rsid w:val="00F32FAC"/>
    <w:rsid w:val="00F342FA"/>
    <w:rsid w:val="00F35E72"/>
    <w:rsid w:val="00F36F6B"/>
    <w:rsid w:val="00F4035C"/>
    <w:rsid w:val="00F4102C"/>
    <w:rsid w:val="00F415A4"/>
    <w:rsid w:val="00F416C3"/>
    <w:rsid w:val="00F428A9"/>
    <w:rsid w:val="00F42EE5"/>
    <w:rsid w:val="00F530C9"/>
    <w:rsid w:val="00F540EB"/>
    <w:rsid w:val="00F54F6C"/>
    <w:rsid w:val="00F55A62"/>
    <w:rsid w:val="00F57231"/>
    <w:rsid w:val="00F60070"/>
    <w:rsid w:val="00F60574"/>
    <w:rsid w:val="00F61F0F"/>
    <w:rsid w:val="00F63BDD"/>
    <w:rsid w:val="00F64FA8"/>
    <w:rsid w:val="00F65DBF"/>
    <w:rsid w:val="00F678FE"/>
    <w:rsid w:val="00F7129C"/>
    <w:rsid w:val="00F71BC1"/>
    <w:rsid w:val="00F72087"/>
    <w:rsid w:val="00F72513"/>
    <w:rsid w:val="00F75EC2"/>
    <w:rsid w:val="00F776AC"/>
    <w:rsid w:val="00F7778A"/>
    <w:rsid w:val="00F800F8"/>
    <w:rsid w:val="00F81992"/>
    <w:rsid w:val="00F820D9"/>
    <w:rsid w:val="00F82E00"/>
    <w:rsid w:val="00F84D72"/>
    <w:rsid w:val="00F852DD"/>
    <w:rsid w:val="00F8648D"/>
    <w:rsid w:val="00F90D5F"/>
    <w:rsid w:val="00F924D1"/>
    <w:rsid w:val="00F92E93"/>
    <w:rsid w:val="00F9481D"/>
    <w:rsid w:val="00F94D15"/>
    <w:rsid w:val="00F9533D"/>
    <w:rsid w:val="00F95AE4"/>
    <w:rsid w:val="00F96D14"/>
    <w:rsid w:val="00F97024"/>
    <w:rsid w:val="00F978B2"/>
    <w:rsid w:val="00FA16CE"/>
    <w:rsid w:val="00FA29D1"/>
    <w:rsid w:val="00FA392C"/>
    <w:rsid w:val="00FA447F"/>
    <w:rsid w:val="00FA56FC"/>
    <w:rsid w:val="00FA6273"/>
    <w:rsid w:val="00FA71F5"/>
    <w:rsid w:val="00FB2956"/>
    <w:rsid w:val="00FB3385"/>
    <w:rsid w:val="00FB4714"/>
    <w:rsid w:val="00FB4B90"/>
    <w:rsid w:val="00FB5F03"/>
    <w:rsid w:val="00FC159F"/>
    <w:rsid w:val="00FC18E4"/>
    <w:rsid w:val="00FC30DB"/>
    <w:rsid w:val="00FC4475"/>
    <w:rsid w:val="00FC4652"/>
    <w:rsid w:val="00FD1061"/>
    <w:rsid w:val="00FD1753"/>
    <w:rsid w:val="00FD2CCF"/>
    <w:rsid w:val="00FD37C9"/>
    <w:rsid w:val="00FD3D07"/>
    <w:rsid w:val="00FD3E0D"/>
    <w:rsid w:val="00FD6272"/>
    <w:rsid w:val="00FE1334"/>
    <w:rsid w:val="00FE25ED"/>
    <w:rsid w:val="00FE54EC"/>
    <w:rsid w:val="00FE58C1"/>
    <w:rsid w:val="00FE603A"/>
    <w:rsid w:val="00FF092C"/>
    <w:rsid w:val="00FF2DDD"/>
    <w:rsid w:val="00FF387A"/>
    <w:rsid w:val="00FF3DC0"/>
    <w:rsid w:val="00FF4AF3"/>
    <w:rsid w:val="00FF5FA3"/>
    <w:rsid w:val="00FF772E"/>
    <w:rsid w:val="00FF7A9A"/>
    <w:rsid w:val="00FF7D9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95618"/>
    <o:shapelayout v:ext="edit">
      <o:idmap v:ext="edit" data="1"/>
    </o:shapelayout>
  </w:shapeDefaults>
  <w:decimalSymbol w:val=","/>
  <w:listSeparator w:val=";"/>
  <w14:docId w14:val="04D1F0A3"/>
  <w15:docId w15:val="{DA2D38CE-0E96-4693-BB55-1D2700A55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7DE4"/>
    <w:rPr>
      <w:rFonts w:ascii="Arial" w:hAnsi="Arial"/>
      <w:sz w:val="18"/>
    </w:rPr>
  </w:style>
  <w:style w:type="paragraph" w:styleId="Ttulo1">
    <w:name w:val="heading 1"/>
    <w:basedOn w:val="Normal"/>
    <w:next w:val="Normal"/>
    <w:link w:val="Ttulo1Char"/>
    <w:autoRedefine/>
    <w:uiPriority w:val="9"/>
    <w:qFormat/>
    <w:rsid w:val="000A7249"/>
    <w:pPr>
      <w:keepNext/>
      <w:keepLines/>
      <w:pageBreakBefore/>
      <w:spacing w:before="120" w:after="120"/>
      <w:outlineLvl w:val="0"/>
    </w:pPr>
    <w:rPr>
      <w:rFonts w:eastAsia="Times New Roman" w:cs="Arial"/>
      <w:b/>
      <w:bCs/>
      <w:color w:val="1F4E79" w:themeColor="accent1" w:themeShade="80"/>
      <w:sz w:val="20"/>
      <w:szCs w:val="20"/>
      <w:lang w:val="en-US" w:eastAsia="pt-BR"/>
    </w:rPr>
  </w:style>
  <w:style w:type="paragraph" w:styleId="Ttulo2">
    <w:name w:val="heading 2"/>
    <w:basedOn w:val="Normal"/>
    <w:next w:val="Normal"/>
    <w:link w:val="Ttulo2Char"/>
    <w:uiPriority w:val="9"/>
    <w:unhideWhenUsed/>
    <w:qFormat/>
    <w:rsid w:val="007E607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har"/>
    <w:qFormat/>
    <w:rsid w:val="00C74A0D"/>
    <w:pPr>
      <w:keepNext/>
      <w:spacing w:after="0" w:line="240" w:lineRule="auto"/>
      <w:ind w:right="418"/>
      <w:jc w:val="both"/>
      <w:outlineLvl w:val="2"/>
    </w:pPr>
    <w:rPr>
      <w:rFonts w:ascii="Times New Roman" w:eastAsia="Times New Roman" w:hAnsi="Times New Roman" w:cs="Times New Roman"/>
      <w:sz w:val="24"/>
      <w:szCs w:val="20"/>
      <w:lang w:val="x-none"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BBSEGURIDADE">
    <w:name w:val="BB SEGURIDADE"/>
    <w:basedOn w:val="Tabelanormal"/>
    <w:uiPriority w:val="99"/>
    <w:rsid w:val="00B25BB0"/>
    <w:pPr>
      <w:spacing w:after="0" w:line="240" w:lineRule="auto"/>
    </w:pPr>
    <w:rPr>
      <w:rFonts w:ascii="Arial" w:eastAsia="MS Mincho" w:hAnsi="Arial"/>
      <w:color w:val="000000" w:themeColor="text1"/>
      <w:sz w:val="14"/>
    </w:rPr>
    <w:tblPr>
      <w:tblStyleRowBandSize w:val="1"/>
      <w:tblStyleColBandSize w:val="1"/>
      <w:tblBorders>
        <w:top w:val="single" w:sz="2" w:space="0" w:color="8496B0" w:themeColor="text2" w:themeTint="99"/>
        <w:bottom w:val="single" w:sz="2" w:space="0" w:color="8496B0" w:themeColor="text2" w:themeTint="99"/>
      </w:tblBorders>
    </w:tblPr>
    <w:tblStylePr w:type="firstRow">
      <w:pPr>
        <w:jc w:val="center"/>
      </w:pPr>
      <w:rPr>
        <w:rFonts w:ascii="Arial" w:hAnsi="Arial"/>
        <w:b w:val="0"/>
        <w:i/>
        <w:sz w:val="14"/>
      </w:rPr>
      <w:tblPr/>
      <w:tcPr>
        <w:tcBorders>
          <w:top w:val="single" w:sz="2" w:space="0" w:color="ACB9CA" w:themeColor="text2" w:themeTint="66"/>
          <w:left w:val="nil"/>
          <w:bottom w:val="nil"/>
          <w:right w:val="nil"/>
          <w:insideH w:val="nil"/>
          <w:insideV w:val="nil"/>
          <w:tl2br w:val="nil"/>
          <w:tr2bl w:val="nil"/>
        </w:tcBorders>
        <w:shd w:val="clear" w:color="auto" w:fill="D9E2F3"/>
      </w:tcPr>
    </w:tblStylePr>
    <w:tblStylePr w:type="lastRow">
      <w:pPr>
        <w:jc w:val="left"/>
      </w:pPr>
      <w:rPr>
        <w:rFonts w:ascii="Arial" w:hAnsi="Arial"/>
        <w:b w:val="0"/>
        <w:sz w:val="14"/>
      </w:rPr>
      <w:tblPr/>
      <w:tcPr>
        <w:vAlign w:val="center"/>
      </w:tcPr>
    </w:tblStylePr>
    <w:tblStylePr w:type="band1Vert">
      <w:rPr>
        <w:rFonts w:ascii="Arial" w:hAnsi="Arial"/>
        <w:b w:val="0"/>
        <w:sz w:val="14"/>
      </w:rPr>
    </w:tblStylePr>
    <w:tblStylePr w:type="band2Vert">
      <w:rPr>
        <w:rFonts w:ascii="Arial" w:hAnsi="Arial"/>
        <w:sz w:val="14"/>
      </w:rPr>
    </w:tblStylePr>
    <w:tblStylePr w:type="band1Horz">
      <w:rPr>
        <w:rFonts w:ascii="Arial" w:hAnsi="Arial"/>
        <w:sz w:val="14"/>
      </w:rPr>
      <w:tblPr/>
      <w:tcPr>
        <w:shd w:val="clear" w:color="auto" w:fill="D9E2F3"/>
      </w:tcPr>
    </w:tblStylePr>
    <w:tblStylePr w:type="band2Horz">
      <w:rPr>
        <w:rFonts w:ascii="Arial" w:hAnsi="Arial"/>
        <w:sz w:val="14"/>
      </w:rPr>
      <w:tblPr/>
      <w:tcPr>
        <w:shd w:val="clear" w:color="auto" w:fill="FFFFFF" w:themeFill="background1"/>
      </w:tcPr>
    </w:tblStylePr>
  </w:style>
  <w:style w:type="character" w:customStyle="1" w:styleId="Ttulo1Char">
    <w:name w:val="Título 1 Char"/>
    <w:basedOn w:val="Fontepargpadro"/>
    <w:link w:val="Ttulo1"/>
    <w:uiPriority w:val="9"/>
    <w:rsid w:val="000A7249"/>
    <w:rPr>
      <w:rFonts w:ascii="Arial" w:eastAsia="Times New Roman" w:hAnsi="Arial" w:cs="Arial"/>
      <w:b/>
      <w:bCs/>
      <w:color w:val="1F4E79" w:themeColor="accent1" w:themeShade="80"/>
      <w:sz w:val="20"/>
      <w:szCs w:val="20"/>
      <w:lang w:val="en-US" w:eastAsia="pt-BR"/>
    </w:rPr>
  </w:style>
  <w:style w:type="paragraph" w:customStyle="1" w:styleId="05-Textonormal">
    <w:name w:val="05-Texto normal"/>
    <w:basedOn w:val="Normal"/>
    <w:qFormat/>
    <w:rsid w:val="0086595F"/>
    <w:pPr>
      <w:spacing w:before="120" w:after="120" w:line="276" w:lineRule="auto"/>
      <w:jc w:val="both"/>
    </w:pPr>
    <w:rPr>
      <w:rFonts w:eastAsia="Times New Roman" w:cs="Times New Roman"/>
      <w:spacing w:val="-2"/>
      <w:szCs w:val="18"/>
      <w:lang w:eastAsia="pt-BR"/>
    </w:rPr>
  </w:style>
  <w:style w:type="paragraph" w:customStyle="1" w:styleId="01-TtulodeNota">
    <w:name w:val="01-Título de Nota"/>
    <w:basedOn w:val="05-Textonormal"/>
    <w:next w:val="Normal"/>
    <w:uiPriority w:val="99"/>
    <w:qFormat/>
    <w:rsid w:val="0086595F"/>
    <w:pPr>
      <w:spacing w:line="240" w:lineRule="auto"/>
    </w:pPr>
    <w:rPr>
      <w:b/>
      <w:sz w:val="20"/>
      <w:szCs w:val="20"/>
    </w:rPr>
  </w:style>
  <w:style w:type="paragraph" w:customStyle="1" w:styleId="05-Textonormal2">
    <w:name w:val="05-Texto normal2"/>
    <w:basedOn w:val="Normal"/>
    <w:qFormat/>
    <w:rsid w:val="0086595F"/>
    <w:pPr>
      <w:spacing w:before="120" w:after="120" w:line="276" w:lineRule="auto"/>
      <w:jc w:val="both"/>
    </w:pPr>
    <w:rPr>
      <w:rFonts w:eastAsia="Times New Roman" w:cs="Times New Roman"/>
      <w:spacing w:val="-2"/>
      <w:szCs w:val="18"/>
      <w:lang w:eastAsia="pt-BR"/>
    </w:rPr>
  </w:style>
  <w:style w:type="paragraph" w:customStyle="1" w:styleId="08-Tabelageral">
    <w:name w:val="08-Tabela geral"/>
    <w:basedOn w:val="Normal"/>
    <w:uiPriority w:val="99"/>
    <w:qFormat/>
    <w:rsid w:val="0086595F"/>
    <w:pPr>
      <w:keepNext/>
      <w:keepLines/>
      <w:spacing w:before="40" w:after="40" w:line="240" w:lineRule="auto"/>
      <w:jc w:val="right"/>
    </w:pPr>
    <w:rPr>
      <w:rFonts w:eastAsia="Times New Roman" w:cs="Times New Roman"/>
      <w:spacing w:val="-2"/>
      <w:sz w:val="14"/>
      <w:szCs w:val="18"/>
      <w:lang w:eastAsia="pt-BR"/>
    </w:rPr>
  </w:style>
  <w:style w:type="table" w:customStyle="1" w:styleId="TabeladeLista6Colorida-nfase51">
    <w:name w:val="Tabela de Lista 6 Colorida - Ênfase 51"/>
    <w:basedOn w:val="Tabelanormal"/>
    <w:uiPriority w:val="51"/>
    <w:rsid w:val="00B25BB0"/>
    <w:pPr>
      <w:spacing w:after="0" w:line="240" w:lineRule="auto"/>
    </w:pPr>
    <w:rPr>
      <w:color w:val="000000" w:themeColor="text1"/>
    </w:rPr>
    <w:tblPr>
      <w:tblStyleRowBandSize w:val="1"/>
      <w:tblStyleColBandSize w:val="1"/>
      <w:tblInd w:w="0" w:type="nil"/>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07-Legenda">
    <w:name w:val="07-Legenda"/>
    <w:basedOn w:val="Normal"/>
    <w:qFormat/>
    <w:rsid w:val="0086595F"/>
    <w:pPr>
      <w:keepLines/>
      <w:tabs>
        <w:tab w:val="left" w:pos="284"/>
      </w:tabs>
      <w:spacing w:before="40" w:after="0" w:line="240" w:lineRule="auto"/>
      <w:ind w:left="284" w:hanging="284"/>
      <w:jc w:val="both"/>
    </w:pPr>
    <w:rPr>
      <w:rFonts w:eastAsia="Times New Roman" w:cs="Times New Roman"/>
      <w:spacing w:val="-2"/>
      <w:sz w:val="14"/>
      <w:szCs w:val="18"/>
      <w:lang w:eastAsia="pt-BR"/>
    </w:rPr>
  </w:style>
  <w:style w:type="table" w:customStyle="1" w:styleId="TabeladeLista6Colorida-nfase510">
    <w:name w:val="Tabela de Lista 6 Colorida - Ênfase 51"/>
    <w:basedOn w:val="Tabelanormal"/>
    <w:uiPriority w:val="51"/>
    <w:rsid w:val="004E230D"/>
    <w:pPr>
      <w:spacing w:after="0" w:line="240" w:lineRule="auto"/>
    </w:pPr>
    <w:rPr>
      <w:color w:val="000000" w:themeColor="text1"/>
    </w:rPr>
    <w:tblPr>
      <w:tblStyleRowBandSize w:val="1"/>
      <w:tblStyleColBandSize w:val="1"/>
      <w:tblInd w:w="0" w:type="nil"/>
      <w:tblBorders>
        <w:top w:val="single" w:sz="4" w:space="0" w:color="4472C4" w:themeColor="accent5"/>
        <w:bottom w:val="single" w:sz="4" w:space="0" w:color="4472C4" w:themeColor="accent5"/>
      </w:tblBorders>
    </w:tblPr>
    <w:tblStylePr w:type="firstRow">
      <w:rPr>
        <w:b/>
        <w:bCs/>
      </w:rPr>
      <w:tblPr/>
      <w:tcPr>
        <w:tcBorders>
          <w:top w:val="single" w:sz="4" w:space="0" w:color="8EAADB" w:themeColor="accent5" w:themeTint="99"/>
          <w:left w:val="nil"/>
          <w:bottom w:val="single" w:sz="4" w:space="0" w:color="8EAADB" w:themeColor="accent5" w:themeTint="99"/>
          <w:right w:val="nil"/>
          <w:insideH w:val="nil"/>
          <w:insideV w:val="nil"/>
          <w:tl2br w:val="nil"/>
          <w:tr2bl w:val="nil"/>
        </w:tcBorders>
        <w:shd w:val="clear" w:color="auto" w:fill="D9E2F3" w:themeFill="accent5" w:themeFillTint="33"/>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FFFFFF" w:themeFill="background1"/>
      </w:tcPr>
    </w:tblStylePr>
    <w:tblStylePr w:type="band2Horz">
      <w:tblPr/>
      <w:tcPr>
        <w:shd w:val="clear" w:color="auto" w:fill="D9E2F3" w:themeFill="accent5" w:themeFillTint="33"/>
      </w:tcPr>
    </w:tblStylePr>
  </w:style>
  <w:style w:type="paragraph" w:styleId="Cabealho">
    <w:name w:val="header"/>
    <w:aliases w:val="Heading 1a,Appendix,encabezado,Header Char,Heading 1a Char Char Char Char,Draft,Table header,Draft1,Draft2,Guideline,encabezado Char Char Char Char Char,Car4,Header Char Char Char,even"/>
    <w:basedOn w:val="Normal"/>
    <w:link w:val="CabealhoChar"/>
    <w:unhideWhenUsed/>
    <w:rsid w:val="001170F1"/>
    <w:pPr>
      <w:tabs>
        <w:tab w:val="center" w:pos="4252"/>
        <w:tab w:val="right" w:pos="8504"/>
      </w:tabs>
      <w:spacing w:after="0" w:line="240" w:lineRule="auto"/>
    </w:pPr>
  </w:style>
  <w:style w:type="character" w:customStyle="1" w:styleId="CabealhoChar">
    <w:name w:val="Cabeçalho Char"/>
    <w:aliases w:val="Heading 1a Char,Appendix Char,encabezado Char,Header Char Char,Heading 1a Char Char Char Char Char,Draft Char,Table header Char,Draft1 Char,Draft2 Char,Guideline Char,encabezado Char Char Char Char Char Char,Car4 Char,even Char"/>
    <w:basedOn w:val="Fontepargpadro"/>
    <w:link w:val="Cabealho"/>
    <w:rsid w:val="001170F1"/>
    <w:rPr>
      <w:rFonts w:ascii="Arial" w:hAnsi="Arial"/>
      <w:sz w:val="18"/>
    </w:rPr>
  </w:style>
  <w:style w:type="paragraph" w:styleId="Rodap">
    <w:name w:val="footer"/>
    <w:basedOn w:val="Normal"/>
    <w:link w:val="RodapChar"/>
    <w:uiPriority w:val="99"/>
    <w:unhideWhenUsed/>
    <w:rsid w:val="001170F1"/>
    <w:pPr>
      <w:tabs>
        <w:tab w:val="center" w:pos="4252"/>
        <w:tab w:val="right" w:pos="8504"/>
      </w:tabs>
      <w:spacing w:after="0" w:line="240" w:lineRule="auto"/>
    </w:pPr>
  </w:style>
  <w:style w:type="character" w:customStyle="1" w:styleId="RodapChar">
    <w:name w:val="Rodapé Char"/>
    <w:basedOn w:val="Fontepargpadro"/>
    <w:link w:val="Rodap"/>
    <w:uiPriority w:val="99"/>
    <w:rsid w:val="001170F1"/>
    <w:rPr>
      <w:rFonts w:ascii="Arial" w:hAnsi="Arial"/>
      <w:sz w:val="18"/>
    </w:rPr>
  </w:style>
  <w:style w:type="table" w:customStyle="1" w:styleId="TabeladeLista6Colorida-nfase512">
    <w:name w:val="Tabela de Lista 6 Colorida - Ênfase 512"/>
    <w:basedOn w:val="Tabelanormal"/>
    <w:uiPriority w:val="51"/>
    <w:rsid w:val="00C82368"/>
    <w:pPr>
      <w:spacing w:after="0" w:line="240" w:lineRule="auto"/>
    </w:pPr>
    <w:rPr>
      <w:color w:val="000000" w:themeColor="text1"/>
    </w:rPr>
    <w:tblPr>
      <w:tblStyleRowBandSize w:val="1"/>
      <w:tblStyleColBandSize w:val="1"/>
      <w:tblInd w:w="0" w:type="nil"/>
      <w:tblBorders>
        <w:top w:val="single" w:sz="4" w:space="0" w:color="8EAADB" w:themeColor="accent5" w:themeTint="99"/>
        <w:bottom w:val="single" w:sz="4" w:space="0" w:color="8EAADB" w:themeColor="accent5" w:themeTint="99"/>
      </w:tblBorders>
    </w:tblPr>
    <w:tblStylePr w:type="firstRow">
      <w:rPr>
        <w:b/>
        <w:bCs/>
      </w:rPr>
      <w:tblPr/>
      <w:tcPr>
        <w:shd w:val="clear" w:color="auto" w:fill="D9E2F3"/>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band2Horz">
      <w:tblPr/>
      <w:tcPr>
        <w:shd w:val="clear" w:color="auto" w:fill="FFFFFF" w:themeFill="background1"/>
      </w:tcPr>
    </w:tblStylePr>
  </w:style>
  <w:style w:type="paragraph" w:customStyle="1" w:styleId="04-TtuloNegrito">
    <w:name w:val="04-Título Negrito"/>
    <w:basedOn w:val="Normal"/>
    <w:next w:val="Normal"/>
    <w:qFormat/>
    <w:rsid w:val="00FE58C1"/>
    <w:pPr>
      <w:spacing w:before="120" w:after="120" w:line="240" w:lineRule="auto"/>
      <w:jc w:val="both"/>
      <w:outlineLvl w:val="1"/>
    </w:pPr>
    <w:rPr>
      <w:rFonts w:eastAsia="Times New Roman" w:cs="Times New Roman"/>
      <w:b/>
      <w:spacing w:val="-2"/>
      <w:sz w:val="20"/>
      <w:szCs w:val="20"/>
      <w:lang w:eastAsia="pt-BR"/>
    </w:rPr>
  </w:style>
  <w:style w:type="character" w:customStyle="1" w:styleId="01-TextonormalChar1">
    <w:name w:val="01-Texto normal Char1"/>
    <w:basedOn w:val="Fontepargpadro"/>
    <w:link w:val="01-Textonormal"/>
    <w:locked/>
    <w:rsid w:val="00FE58C1"/>
    <w:rPr>
      <w:rFonts w:ascii="Arial" w:eastAsia="Times New Roman" w:hAnsi="Arial" w:cs="Times New Roman"/>
      <w:spacing w:val="-2"/>
      <w:sz w:val="18"/>
      <w:szCs w:val="18"/>
      <w:lang w:eastAsia="pt-BR"/>
    </w:rPr>
  </w:style>
  <w:style w:type="paragraph" w:customStyle="1" w:styleId="01-Textonormal">
    <w:name w:val="01-Texto normal"/>
    <w:basedOn w:val="05-Textonormal"/>
    <w:link w:val="01-TextonormalChar1"/>
    <w:qFormat/>
    <w:rsid w:val="00FE58C1"/>
  </w:style>
  <w:style w:type="character" w:customStyle="1" w:styleId="06-RmilChar">
    <w:name w:val="06-R$ mil Char"/>
    <w:link w:val="06-Rmil"/>
    <w:locked/>
    <w:rsid w:val="00FE58C1"/>
    <w:rPr>
      <w:rFonts w:ascii="Arial" w:eastAsia="Times New Roman" w:hAnsi="Arial" w:cs="Times New Roman"/>
      <w:b/>
      <w:spacing w:val="-2"/>
      <w:sz w:val="14"/>
      <w:szCs w:val="18"/>
      <w:lang w:eastAsia="pt-BR"/>
    </w:rPr>
  </w:style>
  <w:style w:type="paragraph" w:customStyle="1" w:styleId="06-Rmil">
    <w:name w:val="06-R$ mil"/>
    <w:basedOn w:val="Normal"/>
    <w:next w:val="Normal"/>
    <w:link w:val="06-RmilChar"/>
    <w:qFormat/>
    <w:rsid w:val="00FE58C1"/>
    <w:pPr>
      <w:keepNext/>
      <w:keepLines/>
      <w:spacing w:after="0" w:line="240" w:lineRule="auto"/>
      <w:jc w:val="right"/>
    </w:pPr>
    <w:rPr>
      <w:rFonts w:eastAsia="Times New Roman" w:cs="Times New Roman"/>
      <w:b/>
      <w:spacing w:val="-2"/>
      <w:sz w:val="14"/>
      <w:szCs w:val="18"/>
      <w:lang w:eastAsia="pt-BR"/>
    </w:rPr>
  </w:style>
  <w:style w:type="paragraph" w:styleId="PargrafodaLista">
    <w:name w:val="List Paragraph"/>
    <w:basedOn w:val="Normal"/>
    <w:uiPriority w:val="34"/>
    <w:qFormat/>
    <w:rsid w:val="00B070A9"/>
    <w:pPr>
      <w:spacing w:after="200" w:line="276" w:lineRule="auto"/>
      <w:ind w:left="720"/>
      <w:contextualSpacing/>
    </w:pPr>
    <w:rPr>
      <w:rFonts w:asciiTheme="minorHAnsi" w:eastAsia="MS Mincho" w:hAnsiTheme="minorHAnsi"/>
      <w:sz w:val="22"/>
    </w:rPr>
  </w:style>
  <w:style w:type="paragraph" w:styleId="CabealhodoSumrio">
    <w:name w:val="TOC Heading"/>
    <w:basedOn w:val="Ttulo1"/>
    <w:next w:val="Normal"/>
    <w:uiPriority w:val="39"/>
    <w:unhideWhenUsed/>
    <w:qFormat/>
    <w:rsid w:val="001521B5"/>
    <w:pPr>
      <w:outlineLvl w:val="9"/>
    </w:pPr>
    <w:rPr>
      <w:rFonts w:asciiTheme="majorHAnsi" w:hAnsiTheme="majorHAnsi"/>
      <w:b w:val="0"/>
      <w:sz w:val="32"/>
    </w:rPr>
  </w:style>
  <w:style w:type="paragraph" w:styleId="Sumrio2">
    <w:name w:val="toc 2"/>
    <w:basedOn w:val="Normal"/>
    <w:next w:val="Normal"/>
    <w:autoRedefine/>
    <w:uiPriority w:val="39"/>
    <w:unhideWhenUsed/>
    <w:rsid w:val="001521B5"/>
    <w:pPr>
      <w:spacing w:after="100"/>
      <w:ind w:left="180"/>
    </w:pPr>
  </w:style>
  <w:style w:type="paragraph" w:styleId="Sumrio1">
    <w:name w:val="toc 1"/>
    <w:basedOn w:val="Normal"/>
    <w:next w:val="Normal"/>
    <w:autoRedefine/>
    <w:uiPriority w:val="39"/>
    <w:unhideWhenUsed/>
    <w:rsid w:val="00FD2CCF"/>
    <w:pPr>
      <w:tabs>
        <w:tab w:val="right" w:leader="dot" w:pos="9628"/>
      </w:tabs>
      <w:spacing w:after="100" w:line="264" w:lineRule="auto"/>
    </w:pPr>
    <w:rPr>
      <w:rFonts w:cs="Arial"/>
      <w:b/>
      <w:bCs/>
      <w:caps/>
      <w:noProof/>
      <w:color w:val="1F4E79"/>
      <w:szCs w:val="18"/>
    </w:rPr>
  </w:style>
  <w:style w:type="character" w:styleId="Hyperlink">
    <w:name w:val="Hyperlink"/>
    <w:basedOn w:val="Fontepargpadro"/>
    <w:uiPriority w:val="99"/>
    <w:unhideWhenUsed/>
    <w:rsid w:val="001521B5"/>
    <w:rPr>
      <w:color w:val="0563C1" w:themeColor="hyperlink"/>
      <w:u w:val="single"/>
    </w:rPr>
  </w:style>
  <w:style w:type="paragraph" w:customStyle="1" w:styleId="03-SubttulodeNota">
    <w:name w:val="03-Subtítulo de Nota"/>
    <w:basedOn w:val="05-Textonormal"/>
    <w:next w:val="01-Textonormal"/>
    <w:qFormat/>
    <w:rsid w:val="00E832B7"/>
    <w:pPr>
      <w:spacing w:line="240" w:lineRule="auto"/>
      <w:outlineLvl w:val="1"/>
    </w:pPr>
    <w:rPr>
      <w:b/>
      <w:sz w:val="20"/>
      <w:szCs w:val="20"/>
    </w:rPr>
  </w:style>
  <w:style w:type="character" w:customStyle="1" w:styleId="Ttulo2Char">
    <w:name w:val="Título 2 Char"/>
    <w:basedOn w:val="Fontepargpadro"/>
    <w:link w:val="Ttulo2"/>
    <w:uiPriority w:val="9"/>
    <w:rsid w:val="007E6073"/>
    <w:rPr>
      <w:rFonts w:asciiTheme="majorHAnsi" w:eastAsiaTheme="majorEastAsia" w:hAnsiTheme="majorHAnsi" w:cstheme="majorBidi"/>
      <w:color w:val="2E74B5" w:themeColor="accent1" w:themeShade="BF"/>
      <w:sz w:val="26"/>
      <w:szCs w:val="26"/>
    </w:rPr>
  </w:style>
  <w:style w:type="table" w:styleId="Tabelacomgrade">
    <w:name w:val="Table Grid"/>
    <w:basedOn w:val="Tabelanormal"/>
    <w:uiPriority w:val="39"/>
    <w:rsid w:val="005D16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TtulodeNota">
    <w:name w:val="02-Título de Nota"/>
    <w:basedOn w:val="05-Textonormal"/>
    <w:next w:val="Normal"/>
    <w:qFormat/>
    <w:rsid w:val="0015348F"/>
    <w:pPr>
      <w:spacing w:line="240" w:lineRule="auto"/>
      <w:outlineLvl w:val="0"/>
    </w:pPr>
    <w:rPr>
      <w:b/>
      <w:sz w:val="20"/>
      <w:szCs w:val="20"/>
    </w:rPr>
  </w:style>
  <w:style w:type="paragraph" w:styleId="Textodebalo">
    <w:name w:val="Balloon Text"/>
    <w:basedOn w:val="Normal"/>
    <w:link w:val="TextodebaloChar"/>
    <w:uiPriority w:val="99"/>
    <w:semiHidden/>
    <w:unhideWhenUsed/>
    <w:rsid w:val="000F2546"/>
    <w:pPr>
      <w:spacing w:after="0" w:line="240" w:lineRule="auto"/>
    </w:pPr>
    <w:rPr>
      <w:rFonts w:ascii="Segoe UI" w:hAnsi="Segoe UI" w:cs="Segoe UI"/>
      <w:szCs w:val="18"/>
    </w:rPr>
  </w:style>
  <w:style w:type="character" w:customStyle="1" w:styleId="TextodebaloChar">
    <w:name w:val="Texto de balão Char"/>
    <w:basedOn w:val="Fontepargpadro"/>
    <w:link w:val="Textodebalo"/>
    <w:uiPriority w:val="99"/>
    <w:semiHidden/>
    <w:rsid w:val="000F2546"/>
    <w:rPr>
      <w:rFonts w:ascii="Segoe UI" w:hAnsi="Segoe UI" w:cs="Segoe UI"/>
      <w:sz w:val="18"/>
      <w:szCs w:val="18"/>
    </w:rPr>
  </w:style>
  <w:style w:type="paragraph" w:customStyle="1" w:styleId="08-Tabelageral1">
    <w:name w:val="08-Tabela geral1"/>
    <w:basedOn w:val="Normal"/>
    <w:qFormat/>
    <w:rsid w:val="00BA0F9D"/>
    <w:pPr>
      <w:keepNext/>
      <w:keepLines/>
      <w:suppressAutoHyphens/>
      <w:spacing w:before="40" w:after="40" w:line="276" w:lineRule="auto"/>
      <w:jc w:val="right"/>
    </w:pPr>
    <w:rPr>
      <w:rFonts w:eastAsia="Times New Roman" w:cs="Times New Roman"/>
      <w:kern w:val="20"/>
      <w:sz w:val="14"/>
      <w:szCs w:val="20"/>
      <w:lang w:eastAsia="pt-BR"/>
    </w:rPr>
  </w:style>
  <w:style w:type="table" w:customStyle="1" w:styleId="TabeladeLista6Colorida-nfase52">
    <w:name w:val="Tabela de Lista 6 Colorida - Ênfase 52"/>
    <w:basedOn w:val="Tabelanormal"/>
    <w:next w:val="TabeladeLista6Colorida-nfase51"/>
    <w:uiPriority w:val="51"/>
    <w:rsid w:val="005061D2"/>
    <w:pPr>
      <w:spacing w:after="0" w:line="240" w:lineRule="auto"/>
    </w:pPr>
    <w:rPr>
      <w:color w:val="000000" w:themeColor="text1"/>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eladeGrade1Clara-nfase11">
    <w:name w:val="Tabela de Grade 1 Clara - Ênfase 11"/>
    <w:basedOn w:val="Tabelanormal"/>
    <w:uiPriority w:val="46"/>
    <w:rsid w:val="009F41F0"/>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TabeladeLista4-nfase11">
    <w:name w:val="Tabela de Lista 4 - Ênfase 11"/>
    <w:basedOn w:val="Tabelanormal"/>
    <w:uiPriority w:val="49"/>
    <w:rsid w:val="009F41F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deLista7Colorida-nfase11">
    <w:name w:val="Tabela de Lista 7 Colorida - Ênfase 11"/>
    <w:basedOn w:val="Tabelanormal"/>
    <w:uiPriority w:val="52"/>
    <w:rsid w:val="009F41F0"/>
    <w:pPr>
      <w:spacing w:after="0"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Grade2-nfase11">
    <w:name w:val="Tabela de Grade 2 - Ênfase 11"/>
    <w:basedOn w:val="Tabelanormal"/>
    <w:uiPriority w:val="47"/>
    <w:rsid w:val="009F41F0"/>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deGrade2-nfase51">
    <w:name w:val="Tabela de Grade 2 - Ênfase 51"/>
    <w:basedOn w:val="Tabelanormal"/>
    <w:uiPriority w:val="47"/>
    <w:rsid w:val="009F41F0"/>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eladeGrade6Colorida-nfase51">
    <w:name w:val="Tabela de Grade 6 Colorida - Ênfase 51"/>
    <w:basedOn w:val="Tabelanormal"/>
    <w:uiPriority w:val="51"/>
    <w:rsid w:val="009F41F0"/>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eladeLista2-nfase51">
    <w:name w:val="Tabela de Lista 2 - Ênfase 51"/>
    <w:basedOn w:val="Tabelanormal"/>
    <w:uiPriority w:val="47"/>
    <w:rsid w:val="009F41F0"/>
    <w:pPr>
      <w:spacing w:after="0" w:line="240" w:lineRule="auto"/>
    </w:p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eladeLista4-nfase51">
    <w:name w:val="Tabela de Lista 4 - Ênfase 51"/>
    <w:basedOn w:val="Tabelanormal"/>
    <w:uiPriority w:val="49"/>
    <w:rsid w:val="009F41F0"/>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eladeLista2-nfase11">
    <w:name w:val="Tabela de Lista 2 - Ênfase 11"/>
    <w:basedOn w:val="Tabelanormal"/>
    <w:uiPriority w:val="47"/>
    <w:rsid w:val="009F41F0"/>
    <w:pPr>
      <w:spacing w:after="0"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05-Textonormal1">
    <w:name w:val="05-Texto normal1"/>
    <w:basedOn w:val="Normal"/>
    <w:qFormat/>
    <w:rsid w:val="00300419"/>
    <w:pPr>
      <w:spacing w:before="120" w:after="120" w:line="276" w:lineRule="auto"/>
      <w:jc w:val="both"/>
    </w:pPr>
    <w:rPr>
      <w:rFonts w:eastAsia="Times New Roman" w:cs="Times New Roman"/>
      <w:spacing w:val="-2"/>
      <w:szCs w:val="18"/>
      <w:lang w:eastAsia="pt-BR"/>
    </w:rPr>
  </w:style>
  <w:style w:type="paragraph" w:customStyle="1" w:styleId="01-Textonormal2">
    <w:name w:val="01-Texto normal2"/>
    <w:basedOn w:val="Normal"/>
    <w:uiPriority w:val="99"/>
    <w:qFormat/>
    <w:rsid w:val="00300419"/>
    <w:pPr>
      <w:suppressAutoHyphens/>
      <w:spacing w:before="120" w:after="120" w:line="276" w:lineRule="auto"/>
      <w:jc w:val="both"/>
    </w:pPr>
    <w:rPr>
      <w:rFonts w:eastAsia="Times New Roman" w:cs="Times New Roman"/>
      <w:kern w:val="20"/>
      <w:szCs w:val="20"/>
      <w:lang w:eastAsia="pt-BR"/>
    </w:rPr>
  </w:style>
  <w:style w:type="table" w:customStyle="1" w:styleId="TabeladeGrade1Clara-nfase110">
    <w:name w:val="Tabela de Grade 1 Clara - Ênfase 11"/>
    <w:basedOn w:val="Tabelanormal"/>
    <w:uiPriority w:val="46"/>
    <w:rsid w:val="00763042"/>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TabeladeLista4-nfase110">
    <w:name w:val="Tabela de Lista 4 - Ênfase 11"/>
    <w:basedOn w:val="Tabelanormal"/>
    <w:uiPriority w:val="49"/>
    <w:rsid w:val="00763042"/>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deLista7Colorida-nfase110">
    <w:name w:val="Tabela de Lista 7 Colorida - Ênfase 11"/>
    <w:basedOn w:val="Tabelanormal"/>
    <w:uiPriority w:val="52"/>
    <w:rsid w:val="00763042"/>
    <w:pPr>
      <w:spacing w:after="0"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Grade2-nfase110">
    <w:name w:val="Tabela de Grade 2 - Ênfase 11"/>
    <w:basedOn w:val="Tabelanormal"/>
    <w:uiPriority w:val="47"/>
    <w:rsid w:val="00763042"/>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deGrade2-nfase510">
    <w:name w:val="Tabela de Grade 2 - Ênfase 51"/>
    <w:basedOn w:val="Tabelanormal"/>
    <w:uiPriority w:val="47"/>
    <w:rsid w:val="00763042"/>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eladeGrade6Colorida-nfase510">
    <w:name w:val="Tabela de Grade 6 Colorida - Ênfase 51"/>
    <w:basedOn w:val="Tabelanormal"/>
    <w:uiPriority w:val="51"/>
    <w:rsid w:val="00763042"/>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eladeLista2-nfase510">
    <w:name w:val="Tabela de Lista 2 - Ênfase 51"/>
    <w:basedOn w:val="Tabelanormal"/>
    <w:uiPriority w:val="47"/>
    <w:rsid w:val="00763042"/>
    <w:pPr>
      <w:spacing w:after="0" w:line="240" w:lineRule="auto"/>
    </w:p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eladeLista4-nfase510">
    <w:name w:val="Tabela de Lista 4 - Ênfase 51"/>
    <w:basedOn w:val="Tabelanormal"/>
    <w:uiPriority w:val="49"/>
    <w:rsid w:val="00763042"/>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eladeLista2-nfase110">
    <w:name w:val="Tabela de Lista 2 - Ênfase 11"/>
    <w:basedOn w:val="Tabelanormal"/>
    <w:uiPriority w:val="47"/>
    <w:rsid w:val="00763042"/>
    <w:pPr>
      <w:spacing w:after="0"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numbering" w:customStyle="1" w:styleId="Semlista1">
    <w:name w:val="Sem lista1"/>
    <w:next w:val="Semlista"/>
    <w:uiPriority w:val="99"/>
    <w:semiHidden/>
    <w:unhideWhenUsed/>
    <w:rsid w:val="00763042"/>
  </w:style>
  <w:style w:type="character" w:styleId="HiperlinkVisitado">
    <w:name w:val="FollowedHyperlink"/>
    <w:basedOn w:val="Fontepargpadro"/>
    <w:uiPriority w:val="99"/>
    <w:semiHidden/>
    <w:unhideWhenUsed/>
    <w:rsid w:val="00763042"/>
    <w:rPr>
      <w:color w:val="954F72" w:themeColor="followedHyperlink"/>
      <w:u w:val="single"/>
    </w:rPr>
  </w:style>
  <w:style w:type="paragraph" w:customStyle="1" w:styleId="msonormal0">
    <w:name w:val="msonormal"/>
    <w:basedOn w:val="Normal"/>
    <w:rsid w:val="00763042"/>
    <w:pPr>
      <w:spacing w:before="100" w:beforeAutospacing="1" w:after="100" w:afterAutospacing="1" w:line="240" w:lineRule="auto"/>
    </w:pPr>
    <w:rPr>
      <w:rFonts w:ascii="Times New Roman" w:eastAsia="Times New Roman" w:hAnsi="Times New Roman" w:cs="Times New Roman"/>
      <w:sz w:val="24"/>
      <w:szCs w:val="24"/>
      <w:lang w:eastAsia="pt-BR"/>
    </w:rPr>
  </w:style>
  <w:style w:type="table" w:customStyle="1" w:styleId="Tabelacomgrade1">
    <w:name w:val="Tabela com grade1"/>
    <w:basedOn w:val="Tabelanormal"/>
    <w:next w:val="Tabelacomgrade"/>
    <w:uiPriority w:val="39"/>
    <w:rsid w:val="0076304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70-TabelaPadro">
    <w:name w:val="070 - Tabela Padrão"/>
    <w:basedOn w:val="Normal"/>
    <w:link w:val="070-TabelaPadroChar"/>
    <w:qFormat/>
    <w:rsid w:val="006B46BB"/>
    <w:pPr>
      <w:keepNext/>
      <w:keepLines/>
      <w:spacing w:before="40" w:after="40" w:line="240" w:lineRule="auto"/>
      <w:jc w:val="right"/>
    </w:pPr>
    <w:rPr>
      <w:rFonts w:eastAsia="Times New Roman" w:cs="Times New Roman"/>
      <w:sz w:val="14"/>
      <w:szCs w:val="18"/>
      <w:lang w:eastAsia="pt-BR"/>
    </w:rPr>
  </w:style>
  <w:style w:type="character" w:customStyle="1" w:styleId="070-TabelaPadroChar">
    <w:name w:val="070 - Tabela Padrão Char"/>
    <w:basedOn w:val="Fontepargpadro"/>
    <w:link w:val="070-TabelaPadro"/>
    <w:rsid w:val="006B46BB"/>
    <w:rPr>
      <w:rFonts w:ascii="Arial" w:eastAsia="Times New Roman" w:hAnsi="Arial" w:cs="Times New Roman"/>
      <w:sz w:val="14"/>
      <w:szCs w:val="18"/>
      <w:lang w:eastAsia="pt-BR"/>
    </w:rPr>
  </w:style>
  <w:style w:type="table" w:customStyle="1" w:styleId="TabeladeLista6Colorida-nfase531">
    <w:name w:val="Tabela de Lista 6 Colorida - Ênfase 531"/>
    <w:basedOn w:val="Tabelanormal"/>
    <w:next w:val="TabeladeLista6Colorida-nfase51"/>
    <w:uiPriority w:val="51"/>
    <w:rsid w:val="00E66AED"/>
    <w:pPr>
      <w:spacing w:after="0" w:line="240" w:lineRule="auto"/>
    </w:pPr>
    <w:rPr>
      <w:rFonts w:ascii="Calibri" w:eastAsia="Calibri" w:hAnsi="Calibri" w:cs="Times New Roman"/>
      <w:color w:val="000000" w:themeColor="text1"/>
    </w:rPr>
    <w:tblPr>
      <w:tblStyleRowBandSize w:val="1"/>
      <w:tblStyleColBandSize w:val="1"/>
      <w:tblInd w:w="0" w:type="nil"/>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MenoPendente1">
    <w:name w:val="Menção Pendente1"/>
    <w:basedOn w:val="Fontepargpadro"/>
    <w:uiPriority w:val="99"/>
    <w:semiHidden/>
    <w:unhideWhenUsed/>
    <w:rsid w:val="00870BB8"/>
    <w:rPr>
      <w:color w:val="605E5C"/>
      <w:shd w:val="clear" w:color="auto" w:fill="E1DFDD"/>
    </w:rPr>
  </w:style>
  <w:style w:type="paragraph" w:customStyle="1" w:styleId="05-TtuloSublinhado">
    <w:name w:val="05-Título Sublinhado"/>
    <w:basedOn w:val="03-SubttulodeNota"/>
    <w:next w:val="01-Textonormal"/>
    <w:qFormat/>
    <w:rsid w:val="00EE62B0"/>
    <w:pPr>
      <w:keepNext/>
    </w:pPr>
    <w:rPr>
      <w:rFonts w:cs="Arial"/>
      <w:sz w:val="18"/>
    </w:rPr>
  </w:style>
  <w:style w:type="paragraph" w:customStyle="1" w:styleId="07-Legenda1">
    <w:name w:val="07-Legenda1"/>
    <w:basedOn w:val="01-Textonormal"/>
    <w:qFormat/>
    <w:rsid w:val="00EE62B0"/>
    <w:pPr>
      <w:keepLines/>
      <w:tabs>
        <w:tab w:val="left" w:pos="284"/>
      </w:tabs>
      <w:suppressAutoHyphens/>
      <w:spacing w:before="40" w:after="0"/>
      <w:ind w:left="284" w:hanging="284"/>
    </w:pPr>
    <w:rPr>
      <w:rFonts w:ascii="Arial (W1)" w:hAnsi="Arial (W1)"/>
      <w:spacing w:val="0"/>
      <w:kern w:val="20"/>
      <w:sz w:val="14"/>
      <w:szCs w:val="20"/>
    </w:rPr>
  </w:style>
  <w:style w:type="character" w:styleId="Refdecomentrio">
    <w:name w:val="annotation reference"/>
    <w:basedOn w:val="Fontepargpadro"/>
    <w:uiPriority w:val="99"/>
    <w:unhideWhenUsed/>
    <w:rsid w:val="00EE62B0"/>
    <w:rPr>
      <w:sz w:val="16"/>
      <w:szCs w:val="16"/>
    </w:rPr>
  </w:style>
  <w:style w:type="paragraph" w:styleId="Textodecomentrio">
    <w:name w:val="annotation text"/>
    <w:basedOn w:val="Normal"/>
    <w:link w:val="TextodecomentrioChar"/>
    <w:uiPriority w:val="99"/>
    <w:unhideWhenUsed/>
    <w:rsid w:val="00EE62B0"/>
    <w:pPr>
      <w:spacing w:after="200" w:line="240" w:lineRule="auto"/>
    </w:pPr>
    <w:rPr>
      <w:rFonts w:asciiTheme="minorHAnsi" w:eastAsia="MS Mincho" w:hAnsiTheme="minorHAnsi"/>
      <w:sz w:val="20"/>
      <w:szCs w:val="20"/>
    </w:rPr>
  </w:style>
  <w:style w:type="character" w:customStyle="1" w:styleId="TextodecomentrioChar">
    <w:name w:val="Texto de comentário Char"/>
    <w:basedOn w:val="Fontepargpadro"/>
    <w:link w:val="Textodecomentrio"/>
    <w:uiPriority w:val="99"/>
    <w:rsid w:val="00EE62B0"/>
    <w:rPr>
      <w:rFonts w:eastAsia="MS Mincho"/>
      <w:sz w:val="20"/>
      <w:szCs w:val="20"/>
    </w:rPr>
  </w:style>
  <w:style w:type="paragraph" w:styleId="Assuntodocomentrio">
    <w:name w:val="annotation subject"/>
    <w:basedOn w:val="Textodecomentrio"/>
    <w:next w:val="Textodecomentrio"/>
    <w:link w:val="AssuntodocomentrioChar"/>
    <w:uiPriority w:val="99"/>
    <w:semiHidden/>
    <w:unhideWhenUsed/>
    <w:rsid w:val="00EE62B0"/>
    <w:rPr>
      <w:b/>
      <w:bCs/>
    </w:rPr>
  </w:style>
  <w:style w:type="character" w:customStyle="1" w:styleId="AssuntodocomentrioChar">
    <w:name w:val="Assunto do comentário Char"/>
    <w:basedOn w:val="TextodecomentrioChar"/>
    <w:link w:val="Assuntodocomentrio"/>
    <w:uiPriority w:val="99"/>
    <w:semiHidden/>
    <w:rsid w:val="00EE62B0"/>
    <w:rPr>
      <w:rFonts w:eastAsia="MS Mincho"/>
      <w:b/>
      <w:bCs/>
      <w:sz w:val="20"/>
      <w:szCs w:val="20"/>
    </w:rPr>
  </w:style>
  <w:style w:type="paragraph" w:styleId="Reviso">
    <w:name w:val="Revision"/>
    <w:hidden/>
    <w:uiPriority w:val="99"/>
    <w:semiHidden/>
    <w:rsid w:val="00EE62B0"/>
    <w:pPr>
      <w:spacing w:after="0" w:line="240" w:lineRule="auto"/>
    </w:pPr>
    <w:rPr>
      <w:rFonts w:eastAsia="MS Mincho"/>
    </w:rPr>
  </w:style>
  <w:style w:type="paragraph" w:customStyle="1" w:styleId="09-Lista">
    <w:name w:val="09-Lista"/>
    <w:basedOn w:val="Normal"/>
    <w:qFormat/>
    <w:rsid w:val="00A13206"/>
    <w:pPr>
      <w:numPr>
        <w:numId w:val="4"/>
      </w:numPr>
      <w:spacing w:after="0" w:line="240" w:lineRule="auto"/>
      <w:jc w:val="both"/>
    </w:pPr>
    <w:rPr>
      <w:rFonts w:eastAsia="Times New Roman" w:cs="Times New Roman"/>
      <w:sz w:val="24"/>
      <w:szCs w:val="20"/>
      <w:lang w:eastAsia="pt-BR"/>
    </w:rPr>
  </w:style>
  <w:style w:type="paragraph" w:customStyle="1" w:styleId="Body">
    <w:name w:val="Body"/>
    <w:basedOn w:val="Normal"/>
    <w:link w:val="BodyChar"/>
    <w:qFormat/>
    <w:rsid w:val="00A13206"/>
    <w:pPr>
      <w:spacing w:after="140" w:line="288" w:lineRule="auto"/>
      <w:jc w:val="both"/>
    </w:pPr>
    <w:rPr>
      <w:rFonts w:eastAsia="Times New Roman" w:cs="Times New Roman"/>
      <w:kern w:val="20"/>
      <w:sz w:val="20"/>
      <w:szCs w:val="24"/>
      <w:lang w:eastAsia="en-GB"/>
    </w:rPr>
  </w:style>
  <w:style w:type="table" w:customStyle="1" w:styleId="TabeladeGrade1Clara-nfase12">
    <w:name w:val="Tabela de Grade 1 Clara - Ênfase 12"/>
    <w:basedOn w:val="Tabelanormal"/>
    <w:uiPriority w:val="46"/>
    <w:rsid w:val="00AA27C6"/>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TabeladeLista4-nfase12">
    <w:name w:val="Tabela de Lista 4 - Ênfase 12"/>
    <w:basedOn w:val="Tabelanormal"/>
    <w:uiPriority w:val="49"/>
    <w:rsid w:val="00AA27C6"/>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deLista6Colorida-nfase53">
    <w:name w:val="Tabela de Lista 6 Colorida - Ênfase 53"/>
    <w:basedOn w:val="Tabelanormal"/>
    <w:uiPriority w:val="51"/>
    <w:rsid w:val="00AA27C6"/>
    <w:pPr>
      <w:spacing w:after="0" w:line="240" w:lineRule="auto"/>
    </w:pPr>
    <w:rPr>
      <w:color w:val="000000" w:themeColor="text1"/>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eladeLista7Colorida-nfase12">
    <w:name w:val="Tabela de Lista 7 Colorida - Ênfase 12"/>
    <w:basedOn w:val="Tabelanormal"/>
    <w:uiPriority w:val="52"/>
    <w:rsid w:val="00AA27C6"/>
    <w:pPr>
      <w:spacing w:after="0"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Grade2-nfase12">
    <w:name w:val="Tabela de Grade 2 - Ênfase 12"/>
    <w:basedOn w:val="Tabelanormal"/>
    <w:uiPriority w:val="47"/>
    <w:rsid w:val="00AA27C6"/>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deGrade2-nfase52">
    <w:name w:val="Tabela de Grade 2 - Ênfase 52"/>
    <w:basedOn w:val="Tabelanormal"/>
    <w:uiPriority w:val="47"/>
    <w:rsid w:val="00AA27C6"/>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eladeGrade6Colorida-nfase52">
    <w:name w:val="Tabela de Grade 6 Colorida - Ênfase 52"/>
    <w:basedOn w:val="Tabelanormal"/>
    <w:uiPriority w:val="51"/>
    <w:rsid w:val="00AA27C6"/>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eladeLista2-nfase52">
    <w:name w:val="Tabela de Lista 2 - Ênfase 52"/>
    <w:basedOn w:val="Tabelanormal"/>
    <w:uiPriority w:val="47"/>
    <w:rsid w:val="00AA27C6"/>
    <w:pPr>
      <w:spacing w:after="0" w:line="240" w:lineRule="auto"/>
    </w:p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eladeLista4-nfase52">
    <w:name w:val="Tabela de Lista 4 - Ênfase 52"/>
    <w:basedOn w:val="Tabelanormal"/>
    <w:uiPriority w:val="49"/>
    <w:rsid w:val="00AA27C6"/>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eladeLista2-nfase12">
    <w:name w:val="Tabela de Lista 2 - Ênfase 12"/>
    <w:basedOn w:val="Tabelanormal"/>
    <w:uiPriority w:val="47"/>
    <w:rsid w:val="00AA27C6"/>
    <w:pPr>
      <w:spacing w:after="0"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eladeGrade1Clara-nfase1">
    <w:name w:val="Grid Table 1 Light Accent 1"/>
    <w:basedOn w:val="Tabelanormal"/>
    <w:uiPriority w:val="46"/>
    <w:rsid w:val="00E57E03"/>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TabeladeLista4-nfase1">
    <w:name w:val="List Table 4 Accent 1"/>
    <w:basedOn w:val="Tabelanormal"/>
    <w:uiPriority w:val="49"/>
    <w:rsid w:val="00E57E03"/>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eladeLista6Colorida-nfase5">
    <w:name w:val="List Table 6 Colorful Accent 5"/>
    <w:basedOn w:val="Tabelanormal"/>
    <w:uiPriority w:val="51"/>
    <w:rsid w:val="00E57E03"/>
    <w:pPr>
      <w:spacing w:after="0" w:line="240" w:lineRule="auto"/>
    </w:pPr>
    <w:rPr>
      <w:color w:val="000000" w:themeColor="text1"/>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eladeLista7Colorida-nfase1">
    <w:name w:val="List Table 7 Colorful Accent 1"/>
    <w:basedOn w:val="Tabelanormal"/>
    <w:uiPriority w:val="52"/>
    <w:rsid w:val="00E57E03"/>
    <w:pPr>
      <w:spacing w:after="0"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adeGrade2-nfase1">
    <w:name w:val="Grid Table 2 Accent 1"/>
    <w:basedOn w:val="Tabelanormal"/>
    <w:uiPriority w:val="47"/>
    <w:rsid w:val="00E57E03"/>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eladeGrade2-nfase5">
    <w:name w:val="Grid Table 2 Accent 5"/>
    <w:basedOn w:val="Tabelanormal"/>
    <w:uiPriority w:val="47"/>
    <w:rsid w:val="00E57E03"/>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eladeGrade6Colorida-nfase5">
    <w:name w:val="Grid Table 6 Colorful Accent 5"/>
    <w:basedOn w:val="Tabelanormal"/>
    <w:uiPriority w:val="51"/>
    <w:rsid w:val="00E57E03"/>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eladeLista2-nfase5">
    <w:name w:val="List Table 2 Accent 5"/>
    <w:basedOn w:val="Tabelanormal"/>
    <w:uiPriority w:val="47"/>
    <w:rsid w:val="00E57E03"/>
    <w:pPr>
      <w:spacing w:after="0" w:line="240" w:lineRule="auto"/>
    </w:p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eladeLista4-nfase5">
    <w:name w:val="List Table 4 Accent 5"/>
    <w:basedOn w:val="Tabelanormal"/>
    <w:uiPriority w:val="49"/>
    <w:rsid w:val="00E57E03"/>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eladeLista2-nfase1">
    <w:name w:val="List Table 2 Accent 1"/>
    <w:basedOn w:val="Tabelanormal"/>
    <w:uiPriority w:val="47"/>
    <w:rsid w:val="00E57E03"/>
    <w:pPr>
      <w:spacing w:after="0"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Ttulo6Char">
    <w:name w:val="Título 6 Char"/>
    <w:uiPriority w:val="99"/>
    <w:rsid w:val="00C145BC"/>
    <w:rPr>
      <w:rFonts w:ascii="Cambria" w:hAnsi="Cambria"/>
      <w:b/>
      <w:bCs/>
      <w:color w:val="595959"/>
      <w:spacing w:val="5"/>
      <w:shd w:val="clear" w:color="auto" w:fill="FFFFFF"/>
    </w:rPr>
  </w:style>
  <w:style w:type="paragraph" w:styleId="Corpodetexto">
    <w:name w:val="Body Text"/>
    <w:aliases w:val="bt"/>
    <w:basedOn w:val="Normal"/>
    <w:link w:val="CorpodetextoChar"/>
    <w:uiPriority w:val="99"/>
    <w:rsid w:val="00C145BC"/>
    <w:pPr>
      <w:suppressAutoHyphens/>
      <w:spacing w:after="120" w:line="240" w:lineRule="auto"/>
    </w:pPr>
    <w:rPr>
      <w:rFonts w:eastAsia="Times New Roman" w:cs="Times New Roman"/>
      <w:kern w:val="1"/>
      <w:sz w:val="20"/>
      <w:szCs w:val="20"/>
      <w:lang w:eastAsia="pt-BR"/>
    </w:rPr>
  </w:style>
  <w:style w:type="character" w:customStyle="1" w:styleId="CorpodetextoChar">
    <w:name w:val="Corpo de texto Char"/>
    <w:aliases w:val="bt Char"/>
    <w:basedOn w:val="Fontepargpadro"/>
    <w:link w:val="Corpodetexto"/>
    <w:uiPriority w:val="99"/>
    <w:rsid w:val="00C145BC"/>
    <w:rPr>
      <w:rFonts w:ascii="Arial" w:eastAsia="Times New Roman" w:hAnsi="Arial" w:cs="Times New Roman"/>
      <w:kern w:val="1"/>
      <w:sz w:val="20"/>
      <w:szCs w:val="20"/>
      <w:lang w:eastAsia="pt-BR"/>
    </w:rPr>
  </w:style>
  <w:style w:type="character" w:styleId="Refdenotaderodap">
    <w:name w:val="footnote reference"/>
    <w:basedOn w:val="Fontepargpadro"/>
    <w:uiPriority w:val="99"/>
    <w:semiHidden/>
    <w:unhideWhenUsed/>
    <w:rsid w:val="00753018"/>
    <w:rPr>
      <w:vertAlign w:val="superscript"/>
    </w:rPr>
  </w:style>
  <w:style w:type="paragraph" w:customStyle="1" w:styleId="ListaRecuadotabela">
    <w:name w:val="Lista_Recuado_tabela"/>
    <w:basedOn w:val="Normal"/>
    <w:next w:val="Normal"/>
    <w:link w:val="ListaRecuadotabelaChar"/>
    <w:autoRedefine/>
    <w:qFormat/>
    <w:rsid w:val="00056C09"/>
    <w:pPr>
      <w:numPr>
        <w:numId w:val="5"/>
      </w:numPr>
      <w:spacing w:before="100" w:after="100" w:line="240" w:lineRule="auto"/>
      <w:ind w:left="283" w:right="57" w:hanging="170"/>
      <w:jc w:val="both"/>
    </w:pPr>
    <w:rPr>
      <w:rFonts w:asciiTheme="minorHAnsi" w:hAnsiTheme="minorHAnsi"/>
      <w:szCs w:val="18"/>
    </w:rPr>
  </w:style>
  <w:style w:type="character" w:customStyle="1" w:styleId="ListaRecuadotabelaChar">
    <w:name w:val="Lista_Recuado_tabela Char"/>
    <w:basedOn w:val="Fontepargpadro"/>
    <w:link w:val="ListaRecuadotabela"/>
    <w:rsid w:val="00056C09"/>
    <w:rPr>
      <w:sz w:val="18"/>
      <w:szCs w:val="18"/>
    </w:rPr>
  </w:style>
  <w:style w:type="paragraph" w:customStyle="1" w:styleId="Recuado">
    <w:name w:val="Recuado"/>
    <w:basedOn w:val="Normal"/>
    <w:link w:val="RecuadoChar"/>
    <w:qFormat/>
    <w:rsid w:val="00F60574"/>
    <w:pPr>
      <w:spacing w:before="100" w:after="100" w:line="276" w:lineRule="auto"/>
      <w:ind w:right="3402"/>
      <w:jc w:val="both"/>
    </w:pPr>
    <w:rPr>
      <w:rFonts w:asciiTheme="minorHAnsi" w:hAnsiTheme="minorHAnsi"/>
    </w:rPr>
  </w:style>
  <w:style w:type="character" w:customStyle="1" w:styleId="RecuadoChar">
    <w:name w:val="Recuado Char"/>
    <w:basedOn w:val="Fontepargpadro"/>
    <w:link w:val="Recuado"/>
    <w:rsid w:val="00F60574"/>
    <w:rPr>
      <w:sz w:val="18"/>
    </w:rPr>
  </w:style>
  <w:style w:type="numbering" w:customStyle="1" w:styleId="Semlista2">
    <w:name w:val="Sem lista2"/>
    <w:next w:val="Semlista"/>
    <w:uiPriority w:val="99"/>
    <w:semiHidden/>
    <w:unhideWhenUsed/>
    <w:rsid w:val="006D5442"/>
  </w:style>
  <w:style w:type="table" w:customStyle="1" w:styleId="Tabelacomgrade2">
    <w:name w:val="Tabela com grade2"/>
    <w:basedOn w:val="Tabelanormal"/>
    <w:next w:val="Tabelacomgrade"/>
    <w:uiPriority w:val="39"/>
    <w:rsid w:val="006D54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1">
    <w:name w:val="Tabela de Grade 1 Clara - Ênfase 111"/>
    <w:basedOn w:val="Tabelanormal"/>
    <w:uiPriority w:val="46"/>
    <w:rsid w:val="006D5442"/>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TabeladeLista4-nfase111">
    <w:name w:val="Tabela de Lista 4 - Ênfase 111"/>
    <w:basedOn w:val="Tabelanormal"/>
    <w:uiPriority w:val="49"/>
    <w:rsid w:val="006D5442"/>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deLista6Colorida-nfase511">
    <w:name w:val="Tabela de Lista 6 Colorida - Ênfase 511"/>
    <w:basedOn w:val="Tabelanormal"/>
    <w:uiPriority w:val="51"/>
    <w:rsid w:val="006D5442"/>
    <w:pPr>
      <w:spacing w:after="0" w:line="240" w:lineRule="auto"/>
    </w:pPr>
    <w:rPr>
      <w:color w:val="000000" w:themeColor="text1"/>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8EAADB" w:themeColor="accent5" w:themeTint="99"/>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FFFFFF" w:themeFill="background1"/>
      </w:tcPr>
    </w:tblStylePr>
    <w:tblStylePr w:type="band2Horz">
      <w:tblPr/>
      <w:tcPr>
        <w:shd w:val="clear" w:color="auto" w:fill="D9E2F3" w:themeFill="accent5" w:themeFillTint="33"/>
      </w:tcPr>
    </w:tblStylePr>
  </w:style>
  <w:style w:type="table" w:customStyle="1" w:styleId="TabeladeLista7Colorida-nfase111">
    <w:name w:val="Tabela de Lista 7 Colorida - Ênfase 111"/>
    <w:basedOn w:val="Tabelanormal"/>
    <w:uiPriority w:val="52"/>
    <w:rsid w:val="006D5442"/>
    <w:pPr>
      <w:spacing w:after="0"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Grade2-nfase111">
    <w:name w:val="Tabela de Grade 2 - Ênfase 111"/>
    <w:basedOn w:val="Tabelanormal"/>
    <w:uiPriority w:val="47"/>
    <w:rsid w:val="006D5442"/>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deGrade2-nfase511">
    <w:name w:val="Tabela de Grade 2 - Ênfase 511"/>
    <w:basedOn w:val="Tabelanormal"/>
    <w:uiPriority w:val="47"/>
    <w:rsid w:val="006D5442"/>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eladeGrade6Colorida-nfase511">
    <w:name w:val="Tabela de Grade 6 Colorida - Ênfase 511"/>
    <w:basedOn w:val="Tabelanormal"/>
    <w:uiPriority w:val="51"/>
    <w:rsid w:val="006D5442"/>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eladeLista2-nfase511">
    <w:name w:val="Tabela de Lista 2 - Ênfase 511"/>
    <w:basedOn w:val="Tabelanormal"/>
    <w:uiPriority w:val="47"/>
    <w:rsid w:val="006D5442"/>
    <w:pPr>
      <w:spacing w:after="0" w:line="240" w:lineRule="auto"/>
    </w:p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eladeLista4-nfase511">
    <w:name w:val="Tabela de Lista 4 - Ênfase 511"/>
    <w:basedOn w:val="Tabelanormal"/>
    <w:uiPriority w:val="49"/>
    <w:rsid w:val="006D5442"/>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eladeLista2-nfase111">
    <w:name w:val="Tabela de Lista 2 - Ênfase 111"/>
    <w:basedOn w:val="Tabelanormal"/>
    <w:uiPriority w:val="47"/>
    <w:rsid w:val="006D5442"/>
    <w:pPr>
      <w:spacing w:after="0"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numbering" w:customStyle="1" w:styleId="Semlista11">
    <w:name w:val="Sem lista11"/>
    <w:next w:val="Semlista"/>
    <w:uiPriority w:val="99"/>
    <w:semiHidden/>
    <w:unhideWhenUsed/>
    <w:rsid w:val="006D5442"/>
  </w:style>
  <w:style w:type="table" w:customStyle="1" w:styleId="Tabelacomgrade11">
    <w:name w:val="Tabela com grade11"/>
    <w:basedOn w:val="Tabelanormal"/>
    <w:next w:val="Tabelacomgrade"/>
    <w:uiPriority w:val="39"/>
    <w:rsid w:val="006D544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2">
    <w:name w:val="Tabela de Grade 1 Clara - Ênfase 112"/>
    <w:basedOn w:val="Tabelanormal"/>
    <w:next w:val="TabeladeGrade1Clara-nfase110"/>
    <w:uiPriority w:val="46"/>
    <w:rsid w:val="006D5442"/>
    <w:pPr>
      <w:spacing w:after="0" w:line="240" w:lineRule="auto"/>
    </w:pPr>
    <w:rPr>
      <w:rFonts w:ascii="Calibri" w:eastAsia="Calibri" w:hAnsi="Calibri" w:cs="Times New Roman"/>
    </w:rPr>
    <w:tblPr>
      <w:tblStyleRowBandSize w:val="1"/>
      <w:tblStyleColBandSize w:val="1"/>
      <w:tblInd w:w="0" w:type="nil"/>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TabeladeGrade2-nfase112">
    <w:name w:val="Tabela de Grade 2 - Ênfase 112"/>
    <w:basedOn w:val="Tabelanormal"/>
    <w:next w:val="TabeladeGrade2-nfase110"/>
    <w:uiPriority w:val="47"/>
    <w:rsid w:val="006D5442"/>
    <w:pPr>
      <w:spacing w:after="0" w:line="240" w:lineRule="auto"/>
    </w:pPr>
    <w:rPr>
      <w:rFonts w:ascii="Calibri" w:eastAsia="Calibri" w:hAnsi="Calibri" w:cs="Times New Roman"/>
    </w:rPr>
    <w:tblPr>
      <w:tblStyleRowBandSize w:val="1"/>
      <w:tblStyleColBandSize w:val="1"/>
      <w:tblInd w:w="0" w:type="nil"/>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deGrade2-nfase512">
    <w:name w:val="Tabela de Grade 2 - Ênfase 512"/>
    <w:basedOn w:val="Tabelanormal"/>
    <w:next w:val="TabeladeGrade2-nfase510"/>
    <w:uiPriority w:val="47"/>
    <w:rsid w:val="006D5442"/>
    <w:pPr>
      <w:spacing w:after="0" w:line="240" w:lineRule="auto"/>
    </w:pPr>
    <w:rPr>
      <w:rFonts w:ascii="Calibri" w:eastAsia="Calibri" w:hAnsi="Calibri" w:cs="Times New Roman"/>
    </w:rPr>
    <w:tblPr>
      <w:tblStyleRowBandSize w:val="1"/>
      <w:tblStyleColBandSize w:val="1"/>
      <w:tblInd w:w="0" w:type="nil"/>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eladeGrade6Colorida-nfase512">
    <w:name w:val="Tabela de Grade 6 Colorida - Ênfase 512"/>
    <w:basedOn w:val="Tabelanormal"/>
    <w:next w:val="TabeladeGrade6Colorida-nfase510"/>
    <w:uiPriority w:val="51"/>
    <w:rsid w:val="006D5442"/>
    <w:pPr>
      <w:spacing w:after="0" w:line="240" w:lineRule="auto"/>
    </w:pPr>
    <w:rPr>
      <w:rFonts w:ascii="Calibri" w:eastAsia="Calibri" w:hAnsi="Calibri" w:cs="Times New Roman"/>
      <w:color w:val="2F5496" w:themeColor="accent5" w:themeShade="BF"/>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eladeLista2-nfase112">
    <w:name w:val="Tabela de Lista 2 - Ênfase 112"/>
    <w:basedOn w:val="Tabelanormal"/>
    <w:next w:val="TabeladeLista2-nfase110"/>
    <w:uiPriority w:val="47"/>
    <w:rsid w:val="006D5442"/>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deLista4-nfase112">
    <w:name w:val="Tabela de Lista 4 - Ênfase 112"/>
    <w:basedOn w:val="Tabelanormal"/>
    <w:next w:val="TabeladeLista4-nfase110"/>
    <w:uiPriority w:val="49"/>
    <w:rsid w:val="006D5442"/>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deLista7Colorida-nfase112">
    <w:name w:val="Tabela de Lista 7 Colorida - Ênfase 112"/>
    <w:basedOn w:val="Tabelanormal"/>
    <w:next w:val="TabeladeLista7Colorida-nfase110"/>
    <w:uiPriority w:val="52"/>
    <w:rsid w:val="006D5442"/>
    <w:pPr>
      <w:spacing w:after="0" w:line="240" w:lineRule="auto"/>
    </w:pPr>
    <w:rPr>
      <w:rFonts w:ascii="Calibri" w:eastAsia="Calibri" w:hAnsi="Calibri" w:cs="Times New Roman"/>
      <w:color w:val="2E74B5" w:themeColor="accent1" w:themeShade="BF"/>
    </w:rPr>
    <w:tblPr>
      <w:tblStyleRowBandSize w:val="1"/>
      <w:tblStyleColBandSize w:val="1"/>
      <w:tblInd w:w="0" w:type="nil"/>
    </w:tblPr>
    <w:tblStylePr w:type="firstRow">
      <w:rPr>
        <w:rFonts w:ascii="Calibri Light" w:eastAsia="Times New Roman" w:hAnsi="Calibri Light" w:cs="Times New Roman" w:hint="default"/>
        <w:i/>
        <w:iCs/>
        <w:sz w:val="26"/>
        <w:szCs w:val="26"/>
      </w:rPr>
      <w:tblPr/>
      <w:tcPr>
        <w:tcBorders>
          <w:bottom w:val="single" w:sz="4" w:space="0" w:color="5B9BD5" w:themeColor="accent1"/>
        </w:tcBorders>
        <w:shd w:val="clear" w:color="auto" w:fill="FFFFFF" w:themeFill="background1"/>
      </w:tcPr>
    </w:tblStylePr>
    <w:tblStylePr w:type="lastRow">
      <w:rPr>
        <w:rFonts w:ascii="Calibri Light" w:eastAsia="Times New Roman" w:hAnsi="Calibri Light" w:cs="Times New Roman" w:hint="default"/>
        <w:i/>
        <w:iCs/>
        <w:sz w:val="26"/>
        <w:szCs w:val="26"/>
      </w:rPr>
      <w:tblPr/>
      <w:tcPr>
        <w:tcBorders>
          <w:top w:val="single" w:sz="4" w:space="0" w:color="5B9BD5" w:themeColor="accent1"/>
        </w:tcBorders>
        <w:shd w:val="clear" w:color="auto" w:fill="FFFFFF" w:themeFill="background1"/>
      </w:tcPr>
    </w:tblStylePr>
    <w:tblStylePr w:type="firstCol">
      <w:pPr>
        <w:jc w:val="right"/>
      </w:pPr>
      <w:rPr>
        <w:rFonts w:ascii="Calibri Light" w:eastAsia="Times New Roman" w:hAnsi="Calibri Light" w:cs="Times New Roman" w:hint="default"/>
        <w:i/>
        <w:iCs/>
        <w:sz w:val="26"/>
        <w:szCs w:val="26"/>
      </w:rPr>
      <w:tblPr/>
      <w:tcPr>
        <w:tcBorders>
          <w:right w:val="single" w:sz="4" w:space="0" w:color="5B9BD5" w:themeColor="accent1"/>
        </w:tcBorders>
        <w:shd w:val="clear" w:color="auto" w:fill="FFFFFF" w:themeFill="background1"/>
      </w:tcPr>
    </w:tblStylePr>
    <w:tblStylePr w:type="lastCol">
      <w:rPr>
        <w:rFonts w:ascii="Calibri Light" w:eastAsia="Times New Roman" w:hAnsi="Calibri Light" w:cs="Times New Roman" w:hint="default"/>
        <w:i/>
        <w:iCs/>
        <w:sz w:val="26"/>
        <w:szCs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Lista2-nfase512">
    <w:name w:val="Tabela de Lista 2 - Ênfase 512"/>
    <w:basedOn w:val="Tabelanormal"/>
    <w:next w:val="TabeladeLista2-nfase510"/>
    <w:uiPriority w:val="47"/>
    <w:rsid w:val="006D5442"/>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eladeLista4-nfase512">
    <w:name w:val="Tabela de Lista 4 - Ênfase 512"/>
    <w:basedOn w:val="Tabelanormal"/>
    <w:next w:val="TabeladeLista4-nfase510"/>
    <w:uiPriority w:val="49"/>
    <w:rsid w:val="006D5442"/>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Subttulo">
    <w:name w:val="Subtitle"/>
    <w:basedOn w:val="Normal"/>
    <w:next w:val="Normal"/>
    <w:link w:val="SubttuloChar"/>
    <w:uiPriority w:val="11"/>
    <w:qFormat/>
    <w:rsid w:val="00AC0A33"/>
    <w:pPr>
      <w:numPr>
        <w:ilvl w:val="1"/>
      </w:numPr>
    </w:pPr>
    <w:rPr>
      <w:rFonts w:asciiTheme="minorHAnsi" w:eastAsiaTheme="minorEastAsia" w:hAnsiTheme="minorHAnsi"/>
      <w:color w:val="5A5A5A" w:themeColor="text1" w:themeTint="A5"/>
      <w:spacing w:val="15"/>
      <w:sz w:val="22"/>
    </w:rPr>
  </w:style>
  <w:style w:type="character" w:customStyle="1" w:styleId="SubttuloChar">
    <w:name w:val="Subtítulo Char"/>
    <w:basedOn w:val="Fontepargpadro"/>
    <w:link w:val="Subttulo"/>
    <w:uiPriority w:val="11"/>
    <w:rsid w:val="00AC0A33"/>
    <w:rPr>
      <w:rFonts w:eastAsiaTheme="minorEastAsia"/>
      <w:color w:val="5A5A5A" w:themeColor="text1" w:themeTint="A5"/>
      <w:spacing w:val="15"/>
    </w:rPr>
  </w:style>
  <w:style w:type="character" w:customStyle="1" w:styleId="tlid-translation">
    <w:name w:val="tlid-translation"/>
    <w:basedOn w:val="Fontepargpadro"/>
    <w:rsid w:val="006D704B"/>
  </w:style>
  <w:style w:type="character" w:customStyle="1" w:styleId="shorttext">
    <w:name w:val="short_text"/>
    <w:basedOn w:val="Fontepargpadro"/>
    <w:rsid w:val="006D704B"/>
  </w:style>
  <w:style w:type="character" w:customStyle="1" w:styleId="hps">
    <w:name w:val="hps"/>
    <w:basedOn w:val="Fontepargpadro"/>
    <w:rsid w:val="00BE4984"/>
  </w:style>
  <w:style w:type="numbering" w:customStyle="1" w:styleId="Semlista3">
    <w:name w:val="Sem lista3"/>
    <w:next w:val="Semlista"/>
    <w:uiPriority w:val="99"/>
    <w:semiHidden/>
    <w:unhideWhenUsed/>
    <w:rsid w:val="000F60CC"/>
  </w:style>
  <w:style w:type="table" w:customStyle="1" w:styleId="Tabelacomgrade3">
    <w:name w:val="Tabela com grade3"/>
    <w:basedOn w:val="Tabelanormal"/>
    <w:next w:val="Tabelacomgrade"/>
    <w:uiPriority w:val="39"/>
    <w:rsid w:val="000F6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3">
    <w:name w:val="Tabela de Grade 1 Clara - Ênfase 113"/>
    <w:basedOn w:val="Tabelanormal"/>
    <w:uiPriority w:val="46"/>
    <w:rsid w:val="000F60CC"/>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TabeladeLista4-nfase113">
    <w:name w:val="Tabela de Lista 4 - Ênfase 113"/>
    <w:basedOn w:val="Tabelanormal"/>
    <w:uiPriority w:val="49"/>
    <w:rsid w:val="000F60CC"/>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deLista6Colorida-nfase513">
    <w:name w:val="Tabela de Lista 6 Colorida - Ênfase 513"/>
    <w:basedOn w:val="Tabelanormal"/>
    <w:uiPriority w:val="51"/>
    <w:rsid w:val="000F60CC"/>
    <w:pPr>
      <w:spacing w:after="0" w:line="240" w:lineRule="auto"/>
    </w:pPr>
    <w:rPr>
      <w:color w:val="000000" w:themeColor="text1"/>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8EAADB" w:themeColor="accent5" w:themeTint="99"/>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FFFFFF" w:themeFill="background1"/>
      </w:tcPr>
    </w:tblStylePr>
    <w:tblStylePr w:type="band2Horz">
      <w:tblPr/>
      <w:tcPr>
        <w:shd w:val="clear" w:color="auto" w:fill="D9E2F3" w:themeFill="accent5" w:themeFillTint="33"/>
      </w:tcPr>
    </w:tblStylePr>
  </w:style>
  <w:style w:type="table" w:customStyle="1" w:styleId="TabeladeLista7Colorida-nfase113">
    <w:name w:val="Tabela de Lista 7 Colorida - Ênfase 113"/>
    <w:basedOn w:val="Tabelanormal"/>
    <w:uiPriority w:val="52"/>
    <w:rsid w:val="000F60CC"/>
    <w:pPr>
      <w:spacing w:after="0"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Grade2-nfase113">
    <w:name w:val="Tabela de Grade 2 - Ênfase 113"/>
    <w:basedOn w:val="Tabelanormal"/>
    <w:uiPriority w:val="47"/>
    <w:rsid w:val="000F60CC"/>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deGrade2-nfase513">
    <w:name w:val="Tabela de Grade 2 - Ênfase 513"/>
    <w:basedOn w:val="Tabelanormal"/>
    <w:uiPriority w:val="47"/>
    <w:rsid w:val="000F60CC"/>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eladeGrade6Colorida-nfase513">
    <w:name w:val="Tabela de Grade 6 Colorida - Ênfase 513"/>
    <w:basedOn w:val="Tabelanormal"/>
    <w:uiPriority w:val="51"/>
    <w:rsid w:val="000F60CC"/>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eladeLista2-nfase513">
    <w:name w:val="Tabela de Lista 2 - Ênfase 513"/>
    <w:basedOn w:val="Tabelanormal"/>
    <w:uiPriority w:val="47"/>
    <w:rsid w:val="000F60CC"/>
    <w:pPr>
      <w:spacing w:after="0" w:line="240" w:lineRule="auto"/>
    </w:p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eladeLista4-nfase513">
    <w:name w:val="Tabela de Lista 4 - Ênfase 513"/>
    <w:basedOn w:val="Tabelanormal"/>
    <w:uiPriority w:val="49"/>
    <w:rsid w:val="000F60CC"/>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eladeLista2-nfase113">
    <w:name w:val="Tabela de Lista 2 - Ênfase 113"/>
    <w:basedOn w:val="Tabelanormal"/>
    <w:uiPriority w:val="47"/>
    <w:rsid w:val="000F60CC"/>
    <w:pPr>
      <w:spacing w:after="0"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numbering" w:customStyle="1" w:styleId="Semlista12">
    <w:name w:val="Sem lista12"/>
    <w:next w:val="Semlista"/>
    <w:uiPriority w:val="99"/>
    <w:semiHidden/>
    <w:unhideWhenUsed/>
    <w:rsid w:val="000F60CC"/>
  </w:style>
  <w:style w:type="table" w:customStyle="1" w:styleId="Tabelacomgrade12">
    <w:name w:val="Tabela com grade12"/>
    <w:basedOn w:val="Tabelanormal"/>
    <w:next w:val="Tabelacomgrade"/>
    <w:uiPriority w:val="39"/>
    <w:rsid w:val="000F60C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4">
    <w:name w:val="Tabela de Grade 1 Clara - Ênfase 114"/>
    <w:basedOn w:val="Tabelanormal"/>
    <w:next w:val="TabeladeGrade1Clara-nfase110"/>
    <w:uiPriority w:val="46"/>
    <w:rsid w:val="000F60CC"/>
    <w:pPr>
      <w:spacing w:after="0" w:line="240" w:lineRule="auto"/>
    </w:pPr>
    <w:rPr>
      <w:rFonts w:ascii="Calibri" w:eastAsia="Calibri" w:hAnsi="Calibri" w:cs="Times New Roman"/>
    </w:rPr>
    <w:tblPr>
      <w:tblStyleRowBandSize w:val="1"/>
      <w:tblStyleColBandSize w:val="1"/>
      <w:tblInd w:w="0" w:type="nil"/>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TabeladeGrade2-nfase114">
    <w:name w:val="Tabela de Grade 2 - Ênfase 114"/>
    <w:basedOn w:val="Tabelanormal"/>
    <w:next w:val="TabeladeGrade2-nfase110"/>
    <w:uiPriority w:val="47"/>
    <w:rsid w:val="000F60CC"/>
    <w:pPr>
      <w:spacing w:after="0" w:line="240" w:lineRule="auto"/>
    </w:pPr>
    <w:rPr>
      <w:rFonts w:ascii="Calibri" w:eastAsia="Calibri" w:hAnsi="Calibri" w:cs="Times New Roman"/>
    </w:rPr>
    <w:tblPr>
      <w:tblStyleRowBandSize w:val="1"/>
      <w:tblStyleColBandSize w:val="1"/>
      <w:tblInd w:w="0" w:type="nil"/>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deGrade2-nfase514">
    <w:name w:val="Tabela de Grade 2 - Ênfase 514"/>
    <w:basedOn w:val="Tabelanormal"/>
    <w:next w:val="TabeladeGrade2-nfase510"/>
    <w:uiPriority w:val="47"/>
    <w:rsid w:val="000F60CC"/>
    <w:pPr>
      <w:spacing w:after="0" w:line="240" w:lineRule="auto"/>
    </w:pPr>
    <w:rPr>
      <w:rFonts w:ascii="Calibri" w:eastAsia="Calibri" w:hAnsi="Calibri" w:cs="Times New Roman"/>
    </w:rPr>
    <w:tblPr>
      <w:tblStyleRowBandSize w:val="1"/>
      <w:tblStyleColBandSize w:val="1"/>
      <w:tblInd w:w="0" w:type="nil"/>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eladeGrade6Colorida-nfase514">
    <w:name w:val="Tabela de Grade 6 Colorida - Ênfase 514"/>
    <w:basedOn w:val="Tabelanormal"/>
    <w:next w:val="TabeladeGrade6Colorida-nfase510"/>
    <w:uiPriority w:val="51"/>
    <w:rsid w:val="000F60CC"/>
    <w:pPr>
      <w:spacing w:after="0" w:line="240" w:lineRule="auto"/>
    </w:pPr>
    <w:rPr>
      <w:rFonts w:ascii="Calibri" w:eastAsia="Calibri" w:hAnsi="Calibri" w:cs="Times New Roman"/>
      <w:color w:val="2F5496" w:themeColor="accent5" w:themeShade="BF"/>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eladeLista2-nfase114">
    <w:name w:val="Tabela de Lista 2 - Ênfase 114"/>
    <w:basedOn w:val="Tabelanormal"/>
    <w:next w:val="TabeladeLista2-nfase110"/>
    <w:uiPriority w:val="47"/>
    <w:rsid w:val="000F60CC"/>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deLista4-nfase114">
    <w:name w:val="Tabela de Lista 4 - Ênfase 114"/>
    <w:basedOn w:val="Tabelanormal"/>
    <w:next w:val="TabeladeLista4-nfase110"/>
    <w:uiPriority w:val="49"/>
    <w:rsid w:val="000F60CC"/>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deLista7Colorida-nfase114">
    <w:name w:val="Tabela de Lista 7 Colorida - Ênfase 114"/>
    <w:basedOn w:val="Tabelanormal"/>
    <w:next w:val="TabeladeLista7Colorida-nfase110"/>
    <w:uiPriority w:val="52"/>
    <w:rsid w:val="000F60CC"/>
    <w:pPr>
      <w:spacing w:after="0" w:line="240" w:lineRule="auto"/>
    </w:pPr>
    <w:rPr>
      <w:rFonts w:ascii="Calibri" w:eastAsia="Calibri" w:hAnsi="Calibri" w:cs="Times New Roman"/>
      <w:color w:val="2E74B5" w:themeColor="accent1" w:themeShade="BF"/>
    </w:rPr>
    <w:tblPr>
      <w:tblStyleRowBandSize w:val="1"/>
      <w:tblStyleColBandSize w:val="1"/>
      <w:tblInd w:w="0" w:type="nil"/>
    </w:tblPr>
    <w:tblStylePr w:type="firstRow">
      <w:rPr>
        <w:rFonts w:ascii="Calibri Light" w:eastAsia="Times New Roman" w:hAnsi="Calibri Light" w:cs="Times New Roman" w:hint="default"/>
        <w:i/>
        <w:iCs/>
        <w:sz w:val="26"/>
        <w:szCs w:val="26"/>
      </w:rPr>
      <w:tblPr/>
      <w:tcPr>
        <w:tcBorders>
          <w:bottom w:val="single" w:sz="4" w:space="0" w:color="5B9BD5" w:themeColor="accent1"/>
        </w:tcBorders>
        <w:shd w:val="clear" w:color="auto" w:fill="FFFFFF" w:themeFill="background1"/>
      </w:tcPr>
    </w:tblStylePr>
    <w:tblStylePr w:type="lastRow">
      <w:rPr>
        <w:rFonts w:ascii="Calibri Light" w:eastAsia="Times New Roman" w:hAnsi="Calibri Light" w:cs="Times New Roman" w:hint="default"/>
        <w:i/>
        <w:iCs/>
        <w:sz w:val="26"/>
        <w:szCs w:val="26"/>
      </w:rPr>
      <w:tblPr/>
      <w:tcPr>
        <w:tcBorders>
          <w:top w:val="single" w:sz="4" w:space="0" w:color="5B9BD5" w:themeColor="accent1"/>
        </w:tcBorders>
        <w:shd w:val="clear" w:color="auto" w:fill="FFFFFF" w:themeFill="background1"/>
      </w:tcPr>
    </w:tblStylePr>
    <w:tblStylePr w:type="firstCol">
      <w:pPr>
        <w:jc w:val="right"/>
      </w:pPr>
      <w:rPr>
        <w:rFonts w:ascii="Calibri Light" w:eastAsia="Times New Roman" w:hAnsi="Calibri Light" w:cs="Times New Roman" w:hint="default"/>
        <w:i/>
        <w:iCs/>
        <w:sz w:val="26"/>
        <w:szCs w:val="26"/>
      </w:rPr>
      <w:tblPr/>
      <w:tcPr>
        <w:tcBorders>
          <w:right w:val="single" w:sz="4" w:space="0" w:color="5B9BD5" w:themeColor="accent1"/>
        </w:tcBorders>
        <w:shd w:val="clear" w:color="auto" w:fill="FFFFFF" w:themeFill="background1"/>
      </w:tcPr>
    </w:tblStylePr>
    <w:tblStylePr w:type="lastCol">
      <w:rPr>
        <w:rFonts w:ascii="Calibri Light" w:eastAsia="Times New Roman" w:hAnsi="Calibri Light" w:cs="Times New Roman" w:hint="default"/>
        <w:i/>
        <w:iCs/>
        <w:sz w:val="26"/>
        <w:szCs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Lista2-nfase514">
    <w:name w:val="Tabela de Lista 2 - Ênfase 514"/>
    <w:basedOn w:val="Tabelanormal"/>
    <w:next w:val="TabeladeLista2-nfase510"/>
    <w:uiPriority w:val="47"/>
    <w:rsid w:val="000F60CC"/>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eladeLista4-nfase514">
    <w:name w:val="Tabela de Lista 4 - Ênfase 514"/>
    <w:basedOn w:val="Tabelanormal"/>
    <w:next w:val="TabeladeLista4-nfase510"/>
    <w:uiPriority w:val="49"/>
    <w:rsid w:val="000F60CC"/>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eladeLista6Colorida-nfase514">
    <w:name w:val="Tabela de Lista 6 Colorida - Ênfase 514"/>
    <w:basedOn w:val="Tabelanormal"/>
    <w:next w:val="TabeladeLista6Colorida-nfase510"/>
    <w:uiPriority w:val="51"/>
    <w:rsid w:val="000F60CC"/>
    <w:pPr>
      <w:spacing w:after="0" w:line="240" w:lineRule="auto"/>
    </w:pPr>
    <w:rPr>
      <w:rFonts w:ascii="Calibri" w:eastAsia="Calibri" w:hAnsi="Calibri" w:cs="Times New Roman"/>
      <w:color w:val="000000" w:themeColor="text1"/>
    </w:rPr>
    <w:tblPr>
      <w:tblStyleRowBandSize w:val="1"/>
      <w:tblStyleColBandSize w:val="1"/>
      <w:tblInd w:w="0" w:type="nil"/>
      <w:tblBorders>
        <w:top w:val="single" w:sz="4" w:space="0" w:color="4472C4" w:themeColor="accent5"/>
        <w:bottom w:val="single" w:sz="4" w:space="0" w:color="4472C4" w:themeColor="accent5"/>
      </w:tblBorders>
    </w:tblPr>
    <w:tblStylePr w:type="firstRow">
      <w:rPr>
        <w:b/>
        <w:bCs/>
      </w:rPr>
      <w:tblPr/>
      <w:tcPr>
        <w:tcBorders>
          <w:bottom w:val="single" w:sz="4" w:space="0" w:color="8EAADB" w:themeColor="accent5" w:themeTint="99"/>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FFFFFF" w:themeFill="background1"/>
      </w:tcPr>
    </w:tblStylePr>
    <w:tblStylePr w:type="band2Horz">
      <w:tblPr/>
      <w:tcPr>
        <w:shd w:val="clear" w:color="auto" w:fill="D9E2F3" w:themeFill="accent5" w:themeFillTint="33"/>
      </w:tcPr>
    </w:tblStylePr>
  </w:style>
  <w:style w:type="numbering" w:customStyle="1" w:styleId="Semlista21">
    <w:name w:val="Sem lista21"/>
    <w:next w:val="Semlista"/>
    <w:uiPriority w:val="99"/>
    <w:semiHidden/>
    <w:unhideWhenUsed/>
    <w:rsid w:val="000F60CC"/>
  </w:style>
  <w:style w:type="table" w:customStyle="1" w:styleId="Tabelacomgrade21">
    <w:name w:val="Tabela com grade21"/>
    <w:basedOn w:val="Tabelanormal"/>
    <w:next w:val="Tabelacomgrade"/>
    <w:uiPriority w:val="39"/>
    <w:rsid w:val="000F6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11">
    <w:name w:val="Tabela de Grade 1 Clara - Ênfase 1111"/>
    <w:basedOn w:val="Tabelanormal"/>
    <w:uiPriority w:val="46"/>
    <w:rsid w:val="000F60CC"/>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TabeladeLista4-nfase1111">
    <w:name w:val="Tabela de Lista 4 - Ênfase 1111"/>
    <w:basedOn w:val="Tabelanormal"/>
    <w:uiPriority w:val="49"/>
    <w:rsid w:val="000F60CC"/>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deLista6Colorida-nfase5111">
    <w:name w:val="Tabela de Lista 6 Colorida - Ênfase 5111"/>
    <w:basedOn w:val="Tabelanormal"/>
    <w:uiPriority w:val="51"/>
    <w:rsid w:val="000F60CC"/>
    <w:pPr>
      <w:spacing w:after="0" w:line="240" w:lineRule="auto"/>
    </w:pPr>
    <w:rPr>
      <w:color w:val="000000" w:themeColor="text1"/>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8EAADB" w:themeColor="accent5" w:themeTint="99"/>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FFFFFF" w:themeFill="background1"/>
      </w:tcPr>
    </w:tblStylePr>
    <w:tblStylePr w:type="band2Horz">
      <w:tblPr/>
      <w:tcPr>
        <w:shd w:val="clear" w:color="auto" w:fill="D9E2F3" w:themeFill="accent5" w:themeFillTint="33"/>
      </w:tcPr>
    </w:tblStylePr>
  </w:style>
  <w:style w:type="table" w:customStyle="1" w:styleId="TabeladeLista7Colorida-nfase1111">
    <w:name w:val="Tabela de Lista 7 Colorida - Ênfase 1111"/>
    <w:basedOn w:val="Tabelanormal"/>
    <w:uiPriority w:val="52"/>
    <w:rsid w:val="000F60CC"/>
    <w:pPr>
      <w:spacing w:after="0"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Grade2-nfase1111">
    <w:name w:val="Tabela de Grade 2 - Ênfase 1111"/>
    <w:basedOn w:val="Tabelanormal"/>
    <w:uiPriority w:val="47"/>
    <w:rsid w:val="000F60CC"/>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deGrade2-nfase5111">
    <w:name w:val="Tabela de Grade 2 - Ênfase 5111"/>
    <w:basedOn w:val="Tabelanormal"/>
    <w:uiPriority w:val="47"/>
    <w:rsid w:val="000F60CC"/>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eladeGrade6Colorida-nfase5111">
    <w:name w:val="Tabela de Grade 6 Colorida - Ênfase 5111"/>
    <w:basedOn w:val="Tabelanormal"/>
    <w:uiPriority w:val="51"/>
    <w:rsid w:val="000F60CC"/>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eladeLista2-nfase5111">
    <w:name w:val="Tabela de Lista 2 - Ênfase 5111"/>
    <w:basedOn w:val="Tabelanormal"/>
    <w:uiPriority w:val="47"/>
    <w:rsid w:val="000F60CC"/>
    <w:pPr>
      <w:spacing w:after="0" w:line="240" w:lineRule="auto"/>
    </w:p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eladeLista4-nfase5111">
    <w:name w:val="Tabela de Lista 4 - Ênfase 5111"/>
    <w:basedOn w:val="Tabelanormal"/>
    <w:uiPriority w:val="49"/>
    <w:rsid w:val="000F60CC"/>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eladeLista2-nfase1111">
    <w:name w:val="Tabela de Lista 2 - Ênfase 1111"/>
    <w:basedOn w:val="Tabelanormal"/>
    <w:uiPriority w:val="47"/>
    <w:rsid w:val="000F60CC"/>
    <w:pPr>
      <w:spacing w:after="0"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numbering" w:customStyle="1" w:styleId="Semlista111">
    <w:name w:val="Sem lista111"/>
    <w:next w:val="Semlista"/>
    <w:uiPriority w:val="99"/>
    <w:semiHidden/>
    <w:unhideWhenUsed/>
    <w:rsid w:val="000F60CC"/>
  </w:style>
  <w:style w:type="table" w:customStyle="1" w:styleId="Tabelacomgrade111">
    <w:name w:val="Tabela com grade111"/>
    <w:basedOn w:val="Tabelanormal"/>
    <w:next w:val="Tabelacomgrade"/>
    <w:uiPriority w:val="39"/>
    <w:rsid w:val="000F60C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21">
    <w:name w:val="Tabela de Grade 1 Clara - Ênfase 1121"/>
    <w:basedOn w:val="Tabelanormal"/>
    <w:next w:val="TabeladeGrade1Clara-nfase110"/>
    <w:uiPriority w:val="46"/>
    <w:rsid w:val="000F60CC"/>
    <w:pPr>
      <w:spacing w:after="0" w:line="240" w:lineRule="auto"/>
    </w:pPr>
    <w:rPr>
      <w:rFonts w:ascii="Calibri" w:eastAsia="Calibri" w:hAnsi="Calibri" w:cs="Times New Roman"/>
    </w:rPr>
    <w:tblPr>
      <w:tblStyleRowBandSize w:val="1"/>
      <w:tblStyleColBandSize w:val="1"/>
      <w:tblInd w:w="0" w:type="nil"/>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TabeladeGrade2-nfase1121">
    <w:name w:val="Tabela de Grade 2 - Ênfase 1121"/>
    <w:basedOn w:val="Tabelanormal"/>
    <w:next w:val="TabeladeGrade2-nfase110"/>
    <w:uiPriority w:val="47"/>
    <w:rsid w:val="000F60CC"/>
    <w:pPr>
      <w:spacing w:after="0" w:line="240" w:lineRule="auto"/>
    </w:pPr>
    <w:rPr>
      <w:rFonts w:ascii="Calibri" w:eastAsia="Calibri" w:hAnsi="Calibri" w:cs="Times New Roman"/>
    </w:rPr>
    <w:tblPr>
      <w:tblStyleRowBandSize w:val="1"/>
      <w:tblStyleColBandSize w:val="1"/>
      <w:tblInd w:w="0" w:type="nil"/>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deGrade2-nfase5121">
    <w:name w:val="Tabela de Grade 2 - Ênfase 5121"/>
    <w:basedOn w:val="Tabelanormal"/>
    <w:next w:val="TabeladeGrade2-nfase510"/>
    <w:uiPriority w:val="47"/>
    <w:rsid w:val="000F60CC"/>
    <w:pPr>
      <w:spacing w:after="0" w:line="240" w:lineRule="auto"/>
    </w:pPr>
    <w:rPr>
      <w:rFonts w:ascii="Calibri" w:eastAsia="Calibri" w:hAnsi="Calibri" w:cs="Times New Roman"/>
    </w:rPr>
    <w:tblPr>
      <w:tblStyleRowBandSize w:val="1"/>
      <w:tblStyleColBandSize w:val="1"/>
      <w:tblInd w:w="0" w:type="nil"/>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eladeGrade6Colorida-nfase5121">
    <w:name w:val="Tabela de Grade 6 Colorida - Ênfase 5121"/>
    <w:basedOn w:val="Tabelanormal"/>
    <w:next w:val="TabeladeGrade6Colorida-nfase510"/>
    <w:uiPriority w:val="51"/>
    <w:rsid w:val="000F60CC"/>
    <w:pPr>
      <w:spacing w:after="0" w:line="240" w:lineRule="auto"/>
    </w:pPr>
    <w:rPr>
      <w:rFonts w:ascii="Calibri" w:eastAsia="Calibri" w:hAnsi="Calibri" w:cs="Times New Roman"/>
      <w:color w:val="2F5496" w:themeColor="accent5" w:themeShade="BF"/>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eladeLista2-nfase1121">
    <w:name w:val="Tabela de Lista 2 - Ênfase 1121"/>
    <w:basedOn w:val="Tabelanormal"/>
    <w:next w:val="TabeladeLista2-nfase110"/>
    <w:uiPriority w:val="47"/>
    <w:rsid w:val="000F60CC"/>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deLista4-nfase1121">
    <w:name w:val="Tabela de Lista 4 - Ênfase 1121"/>
    <w:basedOn w:val="Tabelanormal"/>
    <w:next w:val="TabeladeLista4-nfase110"/>
    <w:uiPriority w:val="49"/>
    <w:rsid w:val="000F60CC"/>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deLista7Colorida-nfase1121">
    <w:name w:val="Tabela de Lista 7 Colorida - Ênfase 1121"/>
    <w:basedOn w:val="Tabelanormal"/>
    <w:next w:val="TabeladeLista7Colorida-nfase110"/>
    <w:uiPriority w:val="52"/>
    <w:rsid w:val="000F60CC"/>
    <w:pPr>
      <w:spacing w:after="0" w:line="240" w:lineRule="auto"/>
    </w:pPr>
    <w:rPr>
      <w:rFonts w:ascii="Calibri" w:eastAsia="Calibri" w:hAnsi="Calibri" w:cs="Times New Roman"/>
      <w:color w:val="2E74B5" w:themeColor="accent1" w:themeShade="BF"/>
    </w:rPr>
    <w:tblPr>
      <w:tblStyleRowBandSize w:val="1"/>
      <w:tblStyleColBandSize w:val="1"/>
      <w:tblInd w:w="0" w:type="nil"/>
    </w:tblPr>
    <w:tblStylePr w:type="firstRow">
      <w:rPr>
        <w:rFonts w:ascii="Calibri Light" w:eastAsia="Times New Roman" w:hAnsi="Calibri Light" w:cs="Times New Roman" w:hint="default"/>
        <w:i/>
        <w:iCs/>
        <w:sz w:val="26"/>
        <w:szCs w:val="26"/>
      </w:rPr>
      <w:tblPr/>
      <w:tcPr>
        <w:tcBorders>
          <w:bottom w:val="single" w:sz="4" w:space="0" w:color="5B9BD5" w:themeColor="accent1"/>
        </w:tcBorders>
        <w:shd w:val="clear" w:color="auto" w:fill="FFFFFF" w:themeFill="background1"/>
      </w:tcPr>
    </w:tblStylePr>
    <w:tblStylePr w:type="lastRow">
      <w:rPr>
        <w:rFonts w:ascii="Calibri Light" w:eastAsia="Times New Roman" w:hAnsi="Calibri Light" w:cs="Times New Roman" w:hint="default"/>
        <w:i/>
        <w:iCs/>
        <w:sz w:val="26"/>
        <w:szCs w:val="26"/>
      </w:rPr>
      <w:tblPr/>
      <w:tcPr>
        <w:tcBorders>
          <w:top w:val="single" w:sz="4" w:space="0" w:color="5B9BD5" w:themeColor="accent1"/>
        </w:tcBorders>
        <w:shd w:val="clear" w:color="auto" w:fill="FFFFFF" w:themeFill="background1"/>
      </w:tcPr>
    </w:tblStylePr>
    <w:tblStylePr w:type="firstCol">
      <w:pPr>
        <w:jc w:val="right"/>
      </w:pPr>
      <w:rPr>
        <w:rFonts w:ascii="Calibri Light" w:eastAsia="Times New Roman" w:hAnsi="Calibri Light" w:cs="Times New Roman" w:hint="default"/>
        <w:i/>
        <w:iCs/>
        <w:sz w:val="26"/>
        <w:szCs w:val="26"/>
      </w:rPr>
      <w:tblPr/>
      <w:tcPr>
        <w:tcBorders>
          <w:right w:val="single" w:sz="4" w:space="0" w:color="5B9BD5" w:themeColor="accent1"/>
        </w:tcBorders>
        <w:shd w:val="clear" w:color="auto" w:fill="FFFFFF" w:themeFill="background1"/>
      </w:tcPr>
    </w:tblStylePr>
    <w:tblStylePr w:type="lastCol">
      <w:rPr>
        <w:rFonts w:ascii="Calibri Light" w:eastAsia="Times New Roman" w:hAnsi="Calibri Light" w:cs="Times New Roman" w:hint="default"/>
        <w:i/>
        <w:iCs/>
        <w:sz w:val="26"/>
        <w:szCs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Lista2-nfase5121">
    <w:name w:val="Tabela de Lista 2 - Ênfase 5121"/>
    <w:basedOn w:val="Tabelanormal"/>
    <w:next w:val="TabeladeLista2-nfase510"/>
    <w:uiPriority w:val="47"/>
    <w:rsid w:val="000F60CC"/>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eladeLista4-nfase5121">
    <w:name w:val="Tabela de Lista 4 - Ênfase 5121"/>
    <w:basedOn w:val="Tabelanormal"/>
    <w:next w:val="TabeladeLista4-nfase510"/>
    <w:uiPriority w:val="49"/>
    <w:rsid w:val="000F60CC"/>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eladeLista6Colorida-nfase5121">
    <w:name w:val="Tabela de Lista 6 Colorida - Ênfase 5121"/>
    <w:basedOn w:val="Tabelanormal"/>
    <w:next w:val="TabeladeLista6Colorida-nfase510"/>
    <w:uiPriority w:val="51"/>
    <w:rsid w:val="000F60CC"/>
    <w:pPr>
      <w:spacing w:after="0" w:line="240" w:lineRule="auto"/>
    </w:pPr>
    <w:rPr>
      <w:rFonts w:ascii="Calibri" w:eastAsia="Calibri" w:hAnsi="Calibri" w:cs="Times New Roman"/>
      <w:color w:val="000000" w:themeColor="text1"/>
    </w:rPr>
    <w:tblPr>
      <w:tblStyleRowBandSize w:val="1"/>
      <w:tblStyleColBandSize w:val="1"/>
      <w:tblInd w:w="0" w:type="nil"/>
      <w:tblBorders>
        <w:top w:val="single" w:sz="4" w:space="0" w:color="4472C4" w:themeColor="accent5"/>
        <w:bottom w:val="single" w:sz="4" w:space="0" w:color="4472C4" w:themeColor="accent5"/>
      </w:tblBorders>
    </w:tblPr>
    <w:tblStylePr w:type="firstRow">
      <w:rPr>
        <w:b/>
        <w:bCs/>
      </w:rPr>
      <w:tblPr/>
      <w:tcPr>
        <w:tcBorders>
          <w:bottom w:val="single" w:sz="4" w:space="0" w:color="8EAADB" w:themeColor="accent5" w:themeTint="99"/>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FFFFFF" w:themeFill="background1"/>
      </w:tcPr>
    </w:tblStylePr>
    <w:tblStylePr w:type="band2Horz">
      <w:tblPr/>
      <w:tcPr>
        <w:shd w:val="clear" w:color="auto" w:fill="D9E2F3" w:themeFill="accent5" w:themeFillTint="33"/>
      </w:tcPr>
    </w:tblStylePr>
  </w:style>
  <w:style w:type="paragraph" w:styleId="SemEspaamento">
    <w:name w:val="No Spacing"/>
    <w:uiPriority w:val="1"/>
    <w:qFormat/>
    <w:rsid w:val="00ED0AD1"/>
    <w:pPr>
      <w:spacing w:after="0" w:line="240" w:lineRule="auto"/>
    </w:pPr>
    <w:rPr>
      <w:rFonts w:eastAsia="MS Mincho"/>
    </w:rPr>
  </w:style>
  <w:style w:type="numbering" w:customStyle="1" w:styleId="Semlista4">
    <w:name w:val="Sem lista4"/>
    <w:next w:val="Semlista"/>
    <w:uiPriority w:val="99"/>
    <w:semiHidden/>
    <w:unhideWhenUsed/>
    <w:rsid w:val="00625BD7"/>
  </w:style>
  <w:style w:type="paragraph" w:styleId="Corpodetexto2">
    <w:name w:val="Body Text 2"/>
    <w:basedOn w:val="Normal"/>
    <w:link w:val="Corpodetexto2Char"/>
    <w:uiPriority w:val="99"/>
    <w:rsid w:val="00625BD7"/>
    <w:pPr>
      <w:spacing w:after="0" w:line="240" w:lineRule="auto"/>
    </w:pPr>
    <w:rPr>
      <w:rFonts w:ascii="Arial (W1)" w:eastAsia="Times New Roman" w:hAnsi="Arial (W1)" w:cs="Arial (W1)"/>
      <w:b/>
      <w:bCs/>
      <w:sz w:val="22"/>
      <w:lang w:eastAsia="pt-BR"/>
    </w:rPr>
  </w:style>
  <w:style w:type="character" w:customStyle="1" w:styleId="Corpodetexto2Char">
    <w:name w:val="Corpo de texto 2 Char"/>
    <w:basedOn w:val="Fontepargpadro"/>
    <w:link w:val="Corpodetexto2"/>
    <w:uiPriority w:val="99"/>
    <w:rsid w:val="00625BD7"/>
    <w:rPr>
      <w:rFonts w:ascii="Arial (W1)" w:eastAsia="Times New Roman" w:hAnsi="Arial (W1)" w:cs="Arial (W1)"/>
      <w:b/>
      <w:bCs/>
      <w:lang w:eastAsia="pt-BR"/>
    </w:rPr>
  </w:style>
  <w:style w:type="paragraph" w:customStyle="1" w:styleId="17TEXTOcorpojustificado">
    <w:name w:val="17. «TEXTO» corpo justificado"/>
    <w:basedOn w:val="Normal"/>
    <w:link w:val="17TEXTOcorpojustificadoChar"/>
    <w:rsid w:val="00625BD7"/>
    <w:pPr>
      <w:spacing w:after="0" w:line="260" w:lineRule="atLeast"/>
      <w:jc w:val="both"/>
    </w:pPr>
    <w:rPr>
      <w:rFonts w:ascii="Times" w:eastAsia="Times New Roman" w:hAnsi="Times" w:cs="Times New Roman"/>
      <w:sz w:val="22"/>
      <w:szCs w:val="20"/>
      <w:lang w:eastAsia="pt-BR"/>
    </w:rPr>
  </w:style>
  <w:style w:type="character" w:customStyle="1" w:styleId="17TEXTOcorpojustificadoChar">
    <w:name w:val="17. «TEXTO» corpo justificado Char"/>
    <w:link w:val="17TEXTOcorpojustificado"/>
    <w:rsid w:val="00625BD7"/>
    <w:rPr>
      <w:rFonts w:ascii="Times" w:eastAsia="Times New Roman" w:hAnsi="Times" w:cs="Times New Roman"/>
      <w:szCs w:val="20"/>
      <w:lang w:eastAsia="pt-BR"/>
    </w:rPr>
  </w:style>
  <w:style w:type="paragraph" w:customStyle="1" w:styleId="Default">
    <w:name w:val="Default"/>
    <w:rsid w:val="00625BD7"/>
    <w:pPr>
      <w:autoSpaceDE w:val="0"/>
      <w:autoSpaceDN w:val="0"/>
      <w:adjustRightInd w:val="0"/>
      <w:spacing w:after="0" w:line="240" w:lineRule="auto"/>
    </w:pPr>
    <w:rPr>
      <w:rFonts w:ascii="Arial" w:eastAsia="Calibri" w:hAnsi="Arial" w:cs="Arial"/>
      <w:color w:val="000000"/>
      <w:sz w:val="24"/>
      <w:szCs w:val="24"/>
    </w:rPr>
  </w:style>
  <w:style w:type="paragraph" w:customStyle="1" w:styleId="Pa3">
    <w:name w:val="Pa3"/>
    <w:basedOn w:val="Default"/>
    <w:next w:val="Default"/>
    <w:uiPriority w:val="99"/>
    <w:rsid w:val="00625BD7"/>
    <w:pPr>
      <w:spacing w:line="137" w:lineRule="atLeast"/>
    </w:pPr>
    <w:rPr>
      <w:color w:val="auto"/>
    </w:rPr>
  </w:style>
  <w:style w:type="paragraph" w:customStyle="1" w:styleId="bullet1">
    <w:name w:val="bullet 1"/>
    <w:basedOn w:val="Normal"/>
    <w:rsid w:val="00625BD7"/>
    <w:pPr>
      <w:numPr>
        <w:numId w:val="14"/>
      </w:numPr>
      <w:spacing w:after="140" w:line="290" w:lineRule="auto"/>
      <w:jc w:val="both"/>
    </w:pPr>
    <w:rPr>
      <w:rFonts w:eastAsia="Times New Roman" w:cs="Times New Roman"/>
      <w:kern w:val="20"/>
      <w:sz w:val="20"/>
      <w:szCs w:val="24"/>
      <w:lang w:val="en-US"/>
    </w:rPr>
  </w:style>
  <w:style w:type="character" w:customStyle="1" w:styleId="BodyChar">
    <w:name w:val="Body Char"/>
    <w:link w:val="Body"/>
    <w:uiPriority w:val="99"/>
    <w:rsid w:val="00625BD7"/>
    <w:rPr>
      <w:rFonts w:ascii="Arial" w:eastAsia="Times New Roman" w:hAnsi="Arial" w:cs="Times New Roman"/>
      <w:kern w:val="20"/>
      <w:sz w:val="20"/>
      <w:szCs w:val="24"/>
      <w:lang w:eastAsia="en-GB"/>
    </w:rPr>
  </w:style>
  <w:style w:type="character" w:customStyle="1" w:styleId="st">
    <w:name w:val="st"/>
    <w:basedOn w:val="Fontepargpadro"/>
    <w:rsid w:val="00625BD7"/>
  </w:style>
  <w:style w:type="paragraph" w:customStyle="1" w:styleId="Padro">
    <w:name w:val="Padrão"/>
    <w:rsid w:val="00625BD7"/>
    <w:pPr>
      <w:tabs>
        <w:tab w:val="left" w:pos="708"/>
      </w:tabs>
      <w:suppressAutoHyphens/>
      <w:spacing w:after="200" w:line="276" w:lineRule="auto"/>
    </w:pPr>
    <w:rPr>
      <w:rFonts w:ascii="Calibri" w:eastAsia="SimSun" w:hAnsi="Calibri" w:cs="Calibri"/>
      <w:color w:val="00000A"/>
    </w:rPr>
  </w:style>
  <w:style w:type="paragraph" w:customStyle="1" w:styleId="10-Lista2">
    <w:name w:val="10-Lista 2"/>
    <w:basedOn w:val="09-Lista"/>
    <w:qFormat/>
    <w:rsid w:val="00625BD7"/>
    <w:pPr>
      <w:numPr>
        <w:numId w:val="15"/>
      </w:numPr>
      <w:tabs>
        <w:tab w:val="left" w:pos="1418"/>
      </w:tabs>
      <w:spacing w:line="276" w:lineRule="auto"/>
    </w:pPr>
    <w:rPr>
      <w:spacing w:val="-2"/>
      <w:sz w:val="18"/>
      <w:szCs w:val="18"/>
    </w:rPr>
  </w:style>
  <w:style w:type="paragraph" w:styleId="Textodenotaderodap">
    <w:name w:val="footnote text"/>
    <w:basedOn w:val="Normal"/>
    <w:link w:val="TextodenotaderodapChar"/>
    <w:uiPriority w:val="99"/>
    <w:semiHidden/>
    <w:unhideWhenUsed/>
    <w:rsid w:val="00625BD7"/>
    <w:pPr>
      <w:spacing w:after="0" w:line="240" w:lineRule="auto"/>
    </w:pPr>
    <w:rPr>
      <w:rFonts w:ascii="Calibri" w:eastAsia="Calibri" w:hAnsi="Calibri" w:cs="Times New Roman"/>
      <w:sz w:val="20"/>
      <w:szCs w:val="20"/>
    </w:rPr>
  </w:style>
  <w:style w:type="character" w:customStyle="1" w:styleId="TextodenotaderodapChar">
    <w:name w:val="Texto de nota de rodapé Char"/>
    <w:basedOn w:val="Fontepargpadro"/>
    <w:link w:val="Textodenotaderodap"/>
    <w:uiPriority w:val="99"/>
    <w:semiHidden/>
    <w:rsid w:val="00625BD7"/>
    <w:rPr>
      <w:rFonts w:ascii="Calibri" w:eastAsia="Calibri" w:hAnsi="Calibri" w:cs="Times New Roman"/>
      <w:sz w:val="20"/>
      <w:szCs w:val="20"/>
    </w:rPr>
  </w:style>
  <w:style w:type="paragraph" w:styleId="NormalWeb">
    <w:name w:val="Normal (Web)"/>
    <w:basedOn w:val="Normal"/>
    <w:uiPriority w:val="99"/>
    <w:semiHidden/>
    <w:unhideWhenUsed/>
    <w:rsid w:val="00625BD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uiPriority w:val="20"/>
    <w:qFormat/>
    <w:rsid w:val="00625BD7"/>
    <w:rPr>
      <w:i/>
      <w:iCs/>
    </w:rPr>
  </w:style>
  <w:style w:type="character" w:customStyle="1" w:styleId="pt-br">
    <w:name w:val="pt-br"/>
    <w:basedOn w:val="Fontepargpadro"/>
    <w:rsid w:val="00625BD7"/>
  </w:style>
  <w:style w:type="character" w:styleId="Forte">
    <w:name w:val="Strong"/>
    <w:uiPriority w:val="22"/>
    <w:qFormat/>
    <w:rsid w:val="00625BD7"/>
    <w:rPr>
      <w:b/>
      <w:bCs/>
    </w:rPr>
  </w:style>
  <w:style w:type="table" w:customStyle="1" w:styleId="TabelaSimples21">
    <w:name w:val="Tabela Simples 21"/>
    <w:basedOn w:val="Tabelanormal"/>
    <w:uiPriority w:val="42"/>
    <w:rsid w:val="00625BD7"/>
    <w:pPr>
      <w:spacing w:after="0" w:line="240" w:lineRule="auto"/>
    </w:pPr>
    <w:rPr>
      <w:rFonts w:ascii="Calibri" w:eastAsia="Calibri" w:hAnsi="Calibri" w:cs="Times New Roma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Legendatabelaefiguras">
    <w:name w:val="Legenda tabela e figuras"/>
    <w:basedOn w:val="Normal"/>
    <w:next w:val="Normal"/>
    <w:qFormat/>
    <w:rsid w:val="00625BD7"/>
    <w:pPr>
      <w:spacing w:after="0" w:line="240" w:lineRule="auto"/>
      <w:jc w:val="both"/>
    </w:pPr>
    <w:rPr>
      <w:rFonts w:ascii="Calibri" w:eastAsia="Calibri" w:hAnsi="Calibri" w:cs="Times New Roman"/>
      <w:bCs/>
      <w:color w:val="1F497D"/>
    </w:rPr>
  </w:style>
  <w:style w:type="paragraph" w:customStyle="1" w:styleId="050-TextoPadro">
    <w:name w:val="050 - Texto Padrão"/>
    <w:basedOn w:val="Normal"/>
    <w:link w:val="050-TextoPadroChar"/>
    <w:qFormat/>
    <w:rsid w:val="00625BD7"/>
    <w:pPr>
      <w:spacing w:before="120" w:after="120" w:line="276" w:lineRule="auto"/>
      <w:jc w:val="both"/>
    </w:pPr>
    <w:rPr>
      <w:rFonts w:eastAsia="Times New Roman" w:cs="Times New Roman"/>
      <w:szCs w:val="18"/>
      <w:lang w:eastAsia="pt-BR"/>
    </w:rPr>
  </w:style>
  <w:style w:type="character" w:customStyle="1" w:styleId="050-TextoPadroChar">
    <w:name w:val="050 - Texto Padrão Char"/>
    <w:basedOn w:val="Fontepargpadro"/>
    <w:link w:val="050-TextoPadro"/>
    <w:rsid w:val="00625BD7"/>
    <w:rPr>
      <w:rFonts w:ascii="Arial" w:eastAsia="Times New Roman" w:hAnsi="Arial" w:cs="Times New Roman"/>
      <w:sz w:val="18"/>
      <w:szCs w:val="18"/>
      <w:lang w:eastAsia="pt-BR"/>
    </w:rPr>
  </w:style>
  <w:style w:type="paragraph" w:customStyle="1" w:styleId="Textodenotadefim1">
    <w:name w:val="Texto de nota de fim1"/>
    <w:basedOn w:val="Normal"/>
    <w:next w:val="Textodenotadefim"/>
    <w:link w:val="TextodenotadefimChar"/>
    <w:uiPriority w:val="99"/>
    <w:semiHidden/>
    <w:unhideWhenUsed/>
    <w:rsid w:val="00625BD7"/>
    <w:pPr>
      <w:spacing w:after="0" w:line="240" w:lineRule="auto"/>
    </w:pPr>
    <w:rPr>
      <w:rFonts w:asciiTheme="minorHAnsi" w:eastAsia="MS Mincho" w:hAnsiTheme="minorHAnsi"/>
      <w:sz w:val="20"/>
      <w:szCs w:val="20"/>
    </w:rPr>
  </w:style>
  <w:style w:type="character" w:customStyle="1" w:styleId="TextodenotadefimChar">
    <w:name w:val="Texto de nota de fim Char"/>
    <w:basedOn w:val="Fontepargpadro"/>
    <w:link w:val="Textodenotadefim1"/>
    <w:uiPriority w:val="99"/>
    <w:semiHidden/>
    <w:rsid w:val="00625BD7"/>
    <w:rPr>
      <w:rFonts w:eastAsia="MS Mincho"/>
      <w:sz w:val="20"/>
      <w:szCs w:val="20"/>
    </w:rPr>
  </w:style>
  <w:style w:type="character" w:styleId="Refdenotadefim">
    <w:name w:val="endnote reference"/>
    <w:basedOn w:val="Fontepargpadro"/>
    <w:uiPriority w:val="99"/>
    <w:semiHidden/>
    <w:unhideWhenUsed/>
    <w:rsid w:val="00625BD7"/>
    <w:rPr>
      <w:vertAlign w:val="superscript"/>
    </w:rPr>
  </w:style>
  <w:style w:type="character" w:customStyle="1" w:styleId="translation">
    <w:name w:val="translation"/>
    <w:rsid w:val="00625BD7"/>
  </w:style>
  <w:style w:type="paragraph" w:styleId="Textodenotadefim">
    <w:name w:val="endnote text"/>
    <w:basedOn w:val="Normal"/>
    <w:link w:val="TextodenotadefimChar1"/>
    <w:uiPriority w:val="99"/>
    <w:semiHidden/>
    <w:unhideWhenUsed/>
    <w:rsid w:val="00625BD7"/>
    <w:pPr>
      <w:spacing w:after="0" w:line="240" w:lineRule="auto"/>
    </w:pPr>
    <w:rPr>
      <w:sz w:val="20"/>
      <w:szCs w:val="20"/>
    </w:rPr>
  </w:style>
  <w:style w:type="character" w:customStyle="1" w:styleId="TextodenotadefimChar1">
    <w:name w:val="Texto de nota de fim Char1"/>
    <w:basedOn w:val="Fontepargpadro"/>
    <w:link w:val="Textodenotadefim"/>
    <w:uiPriority w:val="99"/>
    <w:semiHidden/>
    <w:rsid w:val="00625BD7"/>
    <w:rPr>
      <w:rFonts w:ascii="Arial" w:hAnsi="Arial"/>
      <w:sz w:val="20"/>
      <w:szCs w:val="20"/>
    </w:rPr>
  </w:style>
  <w:style w:type="paragraph" w:styleId="Pr-formataoHTML">
    <w:name w:val="HTML Preformatted"/>
    <w:basedOn w:val="Normal"/>
    <w:link w:val="Pr-formataoHTMLChar"/>
    <w:uiPriority w:val="99"/>
    <w:semiHidden/>
    <w:unhideWhenUsed/>
    <w:rsid w:val="0085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850B55"/>
    <w:rPr>
      <w:rFonts w:ascii="Courier New" w:eastAsia="Times New Roman" w:hAnsi="Courier New" w:cs="Courier New"/>
      <w:sz w:val="20"/>
      <w:szCs w:val="20"/>
      <w:lang w:eastAsia="pt-BR"/>
    </w:rPr>
  </w:style>
  <w:style w:type="paragraph" w:customStyle="1" w:styleId="Normal1">
    <w:name w:val="Normal 1"/>
    <w:basedOn w:val="Normal"/>
    <w:rsid w:val="008121B6"/>
    <w:pPr>
      <w:spacing w:after="240" w:line="280" w:lineRule="atLeast"/>
      <w:ind w:left="454"/>
      <w:jc w:val="both"/>
    </w:pPr>
    <w:rPr>
      <w:rFonts w:ascii="Times New Roman" w:eastAsia="SimSun" w:hAnsi="Times New Roman" w:cs="Times New Roman"/>
      <w:sz w:val="24"/>
      <w:szCs w:val="24"/>
      <w:lang w:val="en-US"/>
    </w:rPr>
  </w:style>
  <w:style w:type="paragraph" w:customStyle="1" w:styleId="Parecer">
    <w:name w:val="Parecer"/>
    <w:basedOn w:val="Normal"/>
    <w:rsid w:val="008121B6"/>
    <w:pPr>
      <w:numPr>
        <w:numId w:val="17"/>
      </w:numPr>
      <w:spacing w:after="240" w:line="280" w:lineRule="atLeast"/>
    </w:pPr>
    <w:rPr>
      <w:rFonts w:ascii="Times New Roman" w:eastAsia="SimSun" w:hAnsi="Times New Roman" w:cs="Times New Roman"/>
      <w:sz w:val="24"/>
      <w:szCs w:val="24"/>
      <w:lang w:val="en-US"/>
    </w:rPr>
  </w:style>
  <w:style w:type="paragraph" w:customStyle="1" w:styleId="DTT">
    <w:name w:val="DTT"/>
    <w:basedOn w:val="Descriodotrabalho"/>
    <w:rsid w:val="008121B6"/>
    <w:pPr>
      <w:spacing w:line="240" w:lineRule="auto"/>
    </w:pPr>
    <w:rPr>
      <w:i w:val="0"/>
      <w:sz w:val="18"/>
    </w:rPr>
  </w:style>
  <w:style w:type="paragraph" w:customStyle="1" w:styleId="Descriodotrabalho">
    <w:name w:val="Descrição do trabalho"/>
    <w:basedOn w:val="Normal"/>
    <w:rsid w:val="008121B6"/>
    <w:pPr>
      <w:spacing w:after="0" w:line="280" w:lineRule="atLeast"/>
    </w:pPr>
    <w:rPr>
      <w:rFonts w:ascii="Univers" w:eastAsia="SimSun" w:hAnsi="Univers" w:cs="Times New Roman"/>
      <w:i/>
      <w:sz w:val="24"/>
      <w:szCs w:val="20"/>
      <w:lang w:val="en-US"/>
    </w:rPr>
  </w:style>
  <w:style w:type="table" w:customStyle="1" w:styleId="TableGrid3">
    <w:name w:val="Table Grid3"/>
    <w:basedOn w:val="Tabelanormal"/>
    <w:next w:val="Tabelacomgrade"/>
    <w:uiPriority w:val="59"/>
    <w:rsid w:val="008121B6"/>
    <w:pPr>
      <w:spacing w:after="0" w:line="240" w:lineRule="auto"/>
    </w:pPr>
    <w:rPr>
      <w:lang w:val="en-GB"/>
    </w:rPr>
    <w:tblPr/>
  </w:style>
  <w:style w:type="paragraph" w:customStyle="1" w:styleId="filename">
    <w:name w:val="filename"/>
    <w:basedOn w:val="Cabealho"/>
    <w:link w:val="filenameChar"/>
    <w:autoRedefine/>
    <w:qFormat/>
    <w:rsid w:val="008121B6"/>
    <w:pPr>
      <w:tabs>
        <w:tab w:val="clear" w:pos="4252"/>
        <w:tab w:val="clear" w:pos="8504"/>
        <w:tab w:val="center" w:pos="4320"/>
        <w:tab w:val="right" w:pos="8640"/>
      </w:tabs>
      <w:jc w:val="both"/>
    </w:pPr>
    <w:rPr>
      <w:rFonts w:asciiTheme="minorHAnsi" w:eastAsia="Times New Roman" w:hAnsiTheme="minorHAnsi" w:cstheme="minorHAnsi"/>
      <w:noProof/>
      <w:sz w:val="10"/>
      <w:szCs w:val="10"/>
    </w:rPr>
  </w:style>
  <w:style w:type="character" w:customStyle="1" w:styleId="filenameChar">
    <w:name w:val="filename Char"/>
    <w:link w:val="filename"/>
    <w:rsid w:val="008121B6"/>
    <w:rPr>
      <w:rFonts w:eastAsia="Times New Roman" w:cstheme="minorHAnsi"/>
      <w:noProof/>
      <w:sz w:val="10"/>
      <w:szCs w:val="10"/>
    </w:rPr>
  </w:style>
  <w:style w:type="paragraph" w:customStyle="1" w:styleId="P68B1DB1-Normal2">
    <w:name w:val="P68B1DB1-Normal2"/>
    <w:basedOn w:val="Normal"/>
    <w:rsid w:val="004F0411"/>
    <w:pPr>
      <w:spacing w:after="200" w:line="276" w:lineRule="auto"/>
    </w:pPr>
    <w:rPr>
      <w:rFonts w:eastAsia="MS Mincho" w:cs="Arial"/>
      <w:szCs w:val="20"/>
      <w:lang w:eastAsia="pt-BR"/>
    </w:rPr>
  </w:style>
  <w:style w:type="paragraph" w:customStyle="1" w:styleId="P68B1DB1-05-Textonormal3">
    <w:name w:val="P68B1DB1-05-Textonormal3"/>
    <w:basedOn w:val="05-Textonormal"/>
    <w:rsid w:val="004F0411"/>
    <w:rPr>
      <w:rFonts w:cs="Arial"/>
      <w:spacing w:val="0"/>
      <w:szCs w:val="20"/>
    </w:rPr>
  </w:style>
  <w:style w:type="character" w:customStyle="1" w:styleId="y2iqfc">
    <w:name w:val="y2iqfc"/>
    <w:basedOn w:val="Fontepargpadro"/>
    <w:rsid w:val="00A354D3"/>
  </w:style>
  <w:style w:type="character" w:customStyle="1" w:styleId="highlight">
    <w:name w:val="highlight"/>
    <w:basedOn w:val="Fontepargpadro"/>
    <w:rsid w:val="00A354D3"/>
  </w:style>
  <w:style w:type="character" w:customStyle="1" w:styleId="Ttulo3Char">
    <w:name w:val="Título 3 Char"/>
    <w:basedOn w:val="Fontepargpadro"/>
    <w:link w:val="Ttulo3"/>
    <w:rsid w:val="00C74A0D"/>
    <w:rPr>
      <w:rFonts w:ascii="Times New Roman" w:eastAsia="Times New Roman" w:hAnsi="Times New Roman" w:cs="Times New Roman"/>
      <w:sz w:val="24"/>
      <w:szCs w:val="20"/>
      <w:lang w:val="x-none" w:eastAsia="zh-CN"/>
    </w:rPr>
  </w:style>
  <w:style w:type="table" w:customStyle="1" w:styleId="TabeladeLista6Colorida-nfase515">
    <w:name w:val="Tabela de Lista 6 Colorida - Ênfase 515"/>
    <w:basedOn w:val="Tabelanormal"/>
    <w:uiPriority w:val="51"/>
    <w:rsid w:val="00C74A0D"/>
    <w:pPr>
      <w:spacing w:after="0" w:line="240" w:lineRule="auto"/>
    </w:pPr>
    <w:rPr>
      <w:color w:val="000000"/>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eladeLista6Colorida-nfase5100">
    <w:name w:val="Tabela de Lista 6 Colorida - Ênfase 51_0"/>
    <w:basedOn w:val="Tabelanormal"/>
    <w:uiPriority w:val="51"/>
    <w:rsid w:val="00C74A0D"/>
    <w:pPr>
      <w:spacing w:after="0" w:line="240" w:lineRule="auto"/>
    </w:pPr>
    <w:rPr>
      <w:color w:val="000000"/>
    </w:rPr>
    <w:tblPr>
      <w:tblStyleRowBandSize w:val="1"/>
      <w:tblStyleColBandSize w:val="1"/>
      <w:tblBorders>
        <w:top w:val="single" w:sz="4" w:space="0" w:color="4472C4"/>
        <w:bottom w:val="single" w:sz="4" w:space="0" w:color="4472C4"/>
      </w:tblBorders>
    </w:tblPr>
    <w:tblStylePr w:type="firstRow">
      <w:rPr>
        <w:b/>
        <w:bCs/>
      </w:rPr>
      <w:tblPr/>
      <w:tcPr>
        <w:tcBorders>
          <w:top w:val="single" w:sz="4" w:space="0" w:color="8EAADB"/>
          <w:left w:val="nil"/>
          <w:bottom w:val="single" w:sz="4" w:space="0" w:color="8EAADB"/>
          <w:right w:val="nil"/>
          <w:insideH w:val="nil"/>
          <w:insideV w:val="nil"/>
          <w:tl2br w:val="nil"/>
          <w:tr2bl w:val="nil"/>
        </w:tcBorders>
        <w:shd w:val="clear" w:color="auto" w:fill="D9E2F3"/>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FFFFFF"/>
      </w:tcPr>
    </w:tblStylePr>
    <w:tblStylePr w:type="band2Horz">
      <w:tblPr/>
      <w:tcPr>
        <w:shd w:val="clear" w:color="auto" w:fill="D9E2F3"/>
      </w:tcPr>
    </w:tblStylePr>
  </w:style>
  <w:style w:type="table" w:customStyle="1" w:styleId="TabeladeGrade1Clara-nfase1100">
    <w:name w:val="Tabela de Grade 1 Clara - Ênfase 11_0"/>
    <w:basedOn w:val="Tabelanormal"/>
    <w:uiPriority w:val="46"/>
    <w:rsid w:val="00C74A0D"/>
    <w:pPr>
      <w:spacing w:after="0" w:line="240" w:lineRule="auto"/>
    </w:p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eladeLista4-nfase1100">
    <w:name w:val="Tabela de Lista 4 - Ênfase 11_0"/>
    <w:basedOn w:val="Tabelanormal"/>
    <w:uiPriority w:val="49"/>
    <w:rsid w:val="00C74A0D"/>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eladeLista7Colorida-nfase1100">
    <w:name w:val="Tabela de Lista 7 Colorida - Ênfase 11_0"/>
    <w:basedOn w:val="Tabelanormal"/>
    <w:uiPriority w:val="52"/>
    <w:rsid w:val="00C74A0D"/>
    <w:pPr>
      <w:spacing w:after="0" w:line="240" w:lineRule="auto"/>
    </w:pPr>
    <w:rPr>
      <w:color w:val="2E74B5"/>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5B9BD5"/>
        </w:tcBorders>
        <w:shd w:val="clear" w:color="auto" w:fill="FFFFFF"/>
      </w:tcPr>
    </w:tblStylePr>
    <w:tblStylePr w:type="lastRow">
      <w:rPr>
        <w:rFonts w:ascii="Calibri Light" w:eastAsia="Times New Roman" w:hAnsi="Calibri Light" w:cs="Times New Roman"/>
        <w:i/>
        <w:iCs/>
        <w:sz w:val="26"/>
      </w:rPr>
      <w:tblPr/>
      <w:tcPr>
        <w:tcBorders>
          <w:top w:val="single" w:sz="4" w:space="0" w:color="5B9BD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5B9BD5"/>
        </w:tcBorders>
        <w:shd w:val="clear" w:color="auto" w:fill="FFFFFF"/>
      </w:tcPr>
    </w:tblStylePr>
    <w:tblStylePr w:type="lastCol">
      <w:rPr>
        <w:rFonts w:ascii="Calibri Light" w:eastAsia="Times New Roman" w:hAnsi="Calibri Light" w:cs="Times New Roman"/>
        <w:i/>
        <w:iCs/>
        <w:sz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Grade2-nfase1100">
    <w:name w:val="Tabela de Grade 2 - Ênfase 11_0"/>
    <w:basedOn w:val="Tabelanormal"/>
    <w:uiPriority w:val="47"/>
    <w:rsid w:val="00C74A0D"/>
    <w:pPr>
      <w:spacing w:after="0" w:line="240" w:lineRule="auto"/>
    </w:p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eladeGrade2-nfase5100">
    <w:name w:val="Tabela de Grade 2 - Ênfase 51_0"/>
    <w:basedOn w:val="Tabelanormal"/>
    <w:uiPriority w:val="47"/>
    <w:rsid w:val="00C74A0D"/>
    <w:pPr>
      <w:spacing w:after="0" w:line="240" w:lineRule="auto"/>
    </w:p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eladeGrade6Colorida-nfase5100">
    <w:name w:val="Tabela de Grade 6 Colorida - Ênfase 51_0"/>
    <w:basedOn w:val="Tabelanormal"/>
    <w:uiPriority w:val="51"/>
    <w:rsid w:val="00C74A0D"/>
    <w:pPr>
      <w:spacing w:after="0" w:line="240" w:lineRule="auto"/>
    </w:pPr>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eladeLista2-nfase5100">
    <w:name w:val="Tabela de Lista 2 - Ênfase 51_0"/>
    <w:basedOn w:val="Tabelanormal"/>
    <w:uiPriority w:val="47"/>
    <w:rsid w:val="00C74A0D"/>
    <w:pPr>
      <w:spacing w:after="0" w:line="240" w:lineRule="auto"/>
    </w:pPr>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eladeLista4-nfase5100">
    <w:name w:val="Tabela de Lista 4 - Ênfase 51_0"/>
    <w:basedOn w:val="Tabelanormal"/>
    <w:uiPriority w:val="49"/>
    <w:rsid w:val="00C74A0D"/>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eladeLista2-nfase1100">
    <w:name w:val="Tabela de Lista 2 - Ênfase 11_0"/>
    <w:basedOn w:val="Tabelanormal"/>
    <w:uiPriority w:val="47"/>
    <w:rsid w:val="00C74A0D"/>
    <w:pPr>
      <w:spacing w:after="0" w:line="240" w:lineRule="auto"/>
    </w:pPr>
    <w:tblPr>
      <w:tblStyleRowBandSize w:val="1"/>
      <w:tblStyleColBandSize w:val="1"/>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MenoPendente2">
    <w:name w:val="Menção Pendente2"/>
    <w:basedOn w:val="Fontepargpadro"/>
    <w:uiPriority w:val="99"/>
    <w:semiHidden/>
    <w:unhideWhenUsed/>
    <w:rsid w:val="00C74A0D"/>
    <w:rPr>
      <w:color w:val="605E5C"/>
      <w:shd w:val="clear" w:color="auto" w:fill="E1DFDD"/>
    </w:rPr>
  </w:style>
  <w:style w:type="table" w:customStyle="1" w:styleId="TableGrid31">
    <w:name w:val="Table Grid31"/>
    <w:basedOn w:val="Tabelanormal"/>
    <w:next w:val="Tabelacomgrade"/>
    <w:uiPriority w:val="59"/>
    <w:rsid w:val="004D7600"/>
    <w:pPr>
      <w:spacing w:after="0" w:line="240" w:lineRule="auto"/>
    </w:pPr>
    <w:rPr>
      <w:lang w:val="en-GB"/>
    </w:rPr>
    <w:tblPr/>
  </w:style>
  <w:style w:type="character" w:customStyle="1" w:styleId="q4iawc">
    <w:name w:val="q4iawc"/>
    <w:basedOn w:val="Fontepargpadro"/>
    <w:rsid w:val="009F71C4"/>
  </w:style>
  <w:style w:type="character" w:customStyle="1" w:styleId="MenoPendente3">
    <w:name w:val="Menção Pendente3"/>
    <w:basedOn w:val="Fontepargpadro"/>
    <w:uiPriority w:val="99"/>
    <w:semiHidden/>
    <w:unhideWhenUsed/>
    <w:rsid w:val="00F0356E"/>
    <w:rPr>
      <w:color w:val="605E5C"/>
      <w:shd w:val="clear" w:color="auto" w:fill="E1DFDD"/>
    </w:rPr>
  </w:style>
  <w:style w:type="character" w:customStyle="1" w:styleId="viiyi">
    <w:name w:val="viiyi"/>
    <w:basedOn w:val="Fontepargpadro"/>
    <w:rsid w:val="00F84D72"/>
  </w:style>
  <w:style w:type="character" w:customStyle="1" w:styleId="rynqvb">
    <w:name w:val="rynqvb"/>
    <w:basedOn w:val="Fontepargpadro"/>
    <w:rsid w:val="006451C7"/>
  </w:style>
  <w:style w:type="character" w:customStyle="1" w:styleId="tagt">
    <w:name w:val="tag_t"/>
    <w:basedOn w:val="Fontepargpadro"/>
    <w:rsid w:val="006451C7"/>
  </w:style>
  <w:style w:type="character" w:customStyle="1" w:styleId="hwtze">
    <w:name w:val="hwtze"/>
    <w:basedOn w:val="Fontepargpadro"/>
    <w:rsid w:val="00252C1D"/>
  </w:style>
  <w:style w:type="paragraph" w:customStyle="1" w:styleId="Lista1">
    <w:name w:val="Lista1"/>
    <w:basedOn w:val="Normal"/>
    <w:qFormat/>
    <w:rsid w:val="009D4210"/>
    <w:pPr>
      <w:spacing w:before="100" w:after="100" w:line="312" w:lineRule="auto"/>
      <w:ind w:left="57" w:right="57"/>
      <w:jc w:val="both"/>
    </w:pPr>
    <w:rPr>
      <w:rFonts w:ascii="BancoDoBrasil Textos Light" w:hAnsi="BancoDoBrasil Textos Light"/>
      <w:sz w:val="16"/>
    </w:rPr>
  </w:style>
  <w:style w:type="paragraph" w:customStyle="1" w:styleId="Subtitulonivel1">
    <w:name w:val="Subtitulo nivel 1"/>
    <w:basedOn w:val="Normal"/>
    <w:qFormat/>
    <w:rsid w:val="009D4210"/>
    <w:pPr>
      <w:tabs>
        <w:tab w:val="left" w:pos="7083"/>
      </w:tabs>
      <w:spacing w:before="120" w:after="120" w:line="240" w:lineRule="auto"/>
      <w:ind w:right="57"/>
      <w:jc w:val="both"/>
    </w:pPr>
    <w:rPr>
      <w:rFonts w:ascii="Calibri" w:hAnsi="Calibri"/>
      <w:color w:val="002D4B"/>
      <w:sz w:val="20"/>
    </w:rPr>
  </w:style>
  <w:style w:type="character" w:customStyle="1" w:styleId="xcontentpasted0">
    <w:name w:val="x_contentpasted0"/>
    <w:basedOn w:val="Fontepargpadro"/>
    <w:rsid w:val="009D4210"/>
  </w:style>
  <w:style w:type="character" w:customStyle="1" w:styleId="MenoPendente4">
    <w:name w:val="Menção Pendente4"/>
    <w:basedOn w:val="Fontepargpadro"/>
    <w:uiPriority w:val="99"/>
    <w:rsid w:val="009D4210"/>
    <w:rPr>
      <w:color w:val="605E5C"/>
      <w:shd w:val="clear" w:color="auto" w:fill="E1DFDD"/>
    </w:rPr>
  </w:style>
  <w:style w:type="paragraph" w:styleId="Ttulo">
    <w:name w:val="Title"/>
    <w:basedOn w:val="Normal"/>
    <w:next w:val="Normal"/>
    <w:link w:val="TtuloChar"/>
    <w:uiPriority w:val="10"/>
    <w:qFormat/>
    <w:rsid w:val="00F4102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F4102C"/>
    <w:rPr>
      <w:rFonts w:asciiTheme="majorHAnsi" w:eastAsiaTheme="majorEastAsia" w:hAnsiTheme="majorHAnsi" w:cstheme="majorBidi"/>
      <w:spacing w:val="-10"/>
      <w:kern w:val="28"/>
      <w:sz w:val="56"/>
      <w:szCs w:val="56"/>
    </w:rPr>
  </w:style>
  <w:style w:type="paragraph" w:customStyle="1" w:styleId="08-Tabelageral2">
    <w:name w:val="08-Tabela geral2"/>
    <w:basedOn w:val="Normal"/>
    <w:qFormat/>
    <w:rsid w:val="00991E72"/>
    <w:pPr>
      <w:keepNext/>
      <w:keepLines/>
      <w:suppressAutoHyphens/>
      <w:spacing w:before="40" w:after="40" w:line="276" w:lineRule="auto"/>
      <w:jc w:val="right"/>
    </w:pPr>
    <w:rPr>
      <w:rFonts w:ascii="Arial (W1)" w:eastAsia="Times New Roman" w:hAnsi="Arial (W1)" w:cs="Times New Roman"/>
      <w:kern w:val="20"/>
      <w:sz w:val="14"/>
      <w:szCs w:val="20"/>
      <w:lang w:eastAsia="pt-BR"/>
    </w:rPr>
  </w:style>
  <w:style w:type="character" w:customStyle="1" w:styleId="markedcontent">
    <w:name w:val="markedcontent"/>
    <w:basedOn w:val="Fontepargpadro"/>
    <w:rsid w:val="00991E72"/>
  </w:style>
  <w:style w:type="character" w:customStyle="1" w:styleId="ui-provider">
    <w:name w:val="ui-provider"/>
    <w:basedOn w:val="Fontepargpadro"/>
    <w:rsid w:val="00C20063"/>
  </w:style>
  <w:style w:type="paragraph" w:customStyle="1" w:styleId="paragraph">
    <w:name w:val="paragraph"/>
    <w:basedOn w:val="Normal"/>
    <w:rsid w:val="006B572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6B572D"/>
  </w:style>
  <w:style w:type="character" w:customStyle="1" w:styleId="eop">
    <w:name w:val="eop"/>
    <w:basedOn w:val="Fontepargpadro"/>
    <w:rsid w:val="00D14B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40277">
      <w:bodyDiv w:val="1"/>
      <w:marLeft w:val="0"/>
      <w:marRight w:val="0"/>
      <w:marTop w:val="0"/>
      <w:marBottom w:val="0"/>
      <w:divBdr>
        <w:top w:val="none" w:sz="0" w:space="0" w:color="auto"/>
        <w:left w:val="none" w:sz="0" w:space="0" w:color="auto"/>
        <w:bottom w:val="none" w:sz="0" w:space="0" w:color="auto"/>
        <w:right w:val="none" w:sz="0" w:space="0" w:color="auto"/>
      </w:divBdr>
    </w:div>
    <w:div w:id="39670925">
      <w:bodyDiv w:val="1"/>
      <w:marLeft w:val="0"/>
      <w:marRight w:val="0"/>
      <w:marTop w:val="0"/>
      <w:marBottom w:val="0"/>
      <w:divBdr>
        <w:top w:val="none" w:sz="0" w:space="0" w:color="auto"/>
        <w:left w:val="none" w:sz="0" w:space="0" w:color="auto"/>
        <w:bottom w:val="none" w:sz="0" w:space="0" w:color="auto"/>
        <w:right w:val="none" w:sz="0" w:space="0" w:color="auto"/>
      </w:divBdr>
    </w:div>
    <w:div w:id="56056646">
      <w:bodyDiv w:val="1"/>
      <w:marLeft w:val="0"/>
      <w:marRight w:val="0"/>
      <w:marTop w:val="0"/>
      <w:marBottom w:val="0"/>
      <w:divBdr>
        <w:top w:val="none" w:sz="0" w:space="0" w:color="auto"/>
        <w:left w:val="none" w:sz="0" w:space="0" w:color="auto"/>
        <w:bottom w:val="none" w:sz="0" w:space="0" w:color="auto"/>
        <w:right w:val="none" w:sz="0" w:space="0" w:color="auto"/>
      </w:divBdr>
    </w:div>
    <w:div w:id="78596724">
      <w:bodyDiv w:val="1"/>
      <w:marLeft w:val="0"/>
      <w:marRight w:val="0"/>
      <w:marTop w:val="0"/>
      <w:marBottom w:val="0"/>
      <w:divBdr>
        <w:top w:val="none" w:sz="0" w:space="0" w:color="auto"/>
        <w:left w:val="none" w:sz="0" w:space="0" w:color="auto"/>
        <w:bottom w:val="none" w:sz="0" w:space="0" w:color="auto"/>
        <w:right w:val="none" w:sz="0" w:space="0" w:color="auto"/>
      </w:divBdr>
    </w:div>
    <w:div w:id="135418256">
      <w:bodyDiv w:val="1"/>
      <w:marLeft w:val="0"/>
      <w:marRight w:val="0"/>
      <w:marTop w:val="0"/>
      <w:marBottom w:val="0"/>
      <w:divBdr>
        <w:top w:val="none" w:sz="0" w:space="0" w:color="auto"/>
        <w:left w:val="none" w:sz="0" w:space="0" w:color="auto"/>
        <w:bottom w:val="none" w:sz="0" w:space="0" w:color="auto"/>
        <w:right w:val="none" w:sz="0" w:space="0" w:color="auto"/>
      </w:divBdr>
    </w:div>
    <w:div w:id="164781450">
      <w:bodyDiv w:val="1"/>
      <w:marLeft w:val="0"/>
      <w:marRight w:val="0"/>
      <w:marTop w:val="0"/>
      <w:marBottom w:val="0"/>
      <w:divBdr>
        <w:top w:val="none" w:sz="0" w:space="0" w:color="auto"/>
        <w:left w:val="none" w:sz="0" w:space="0" w:color="auto"/>
        <w:bottom w:val="none" w:sz="0" w:space="0" w:color="auto"/>
        <w:right w:val="none" w:sz="0" w:space="0" w:color="auto"/>
      </w:divBdr>
    </w:div>
    <w:div w:id="166485564">
      <w:bodyDiv w:val="1"/>
      <w:marLeft w:val="0"/>
      <w:marRight w:val="0"/>
      <w:marTop w:val="0"/>
      <w:marBottom w:val="0"/>
      <w:divBdr>
        <w:top w:val="none" w:sz="0" w:space="0" w:color="auto"/>
        <w:left w:val="none" w:sz="0" w:space="0" w:color="auto"/>
        <w:bottom w:val="none" w:sz="0" w:space="0" w:color="auto"/>
        <w:right w:val="none" w:sz="0" w:space="0" w:color="auto"/>
      </w:divBdr>
    </w:div>
    <w:div w:id="192152394">
      <w:bodyDiv w:val="1"/>
      <w:marLeft w:val="0"/>
      <w:marRight w:val="0"/>
      <w:marTop w:val="0"/>
      <w:marBottom w:val="0"/>
      <w:divBdr>
        <w:top w:val="none" w:sz="0" w:space="0" w:color="auto"/>
        <w:left w:val="none" w:sz="0" w:space="0" w:color="auto"/>
        <w:bottom w:val="none" w:sz="0" w:space="0" w:color="auto"/>
        <w:right w:val="none" w:sz="0" w:space="0" w:color="auto"/>
      </w:divBdr>
    </w:div>
    <w:div w:id="195706235">
      <w:bodyDiv w:val="1"/>
      <w:marLeft w:val="0"/>
      <w:marRight w:val="0"/>
      <w:marTop w:val="0"/>
      <w:marBottom w:val="0"/>
      <w:divBdr>
        <w:top w:val="none" w:sz="0" w:space="0" w:color="auto"/>
        <w:left w:val="none" w:sz="0" w:space="0" w:color="auto"/>
        <w:bottom w:val="none" w:sz="0" w:space="0" w:color="auto"/>
        <w:right w:val="none" w:sz="0" w:space="0" w:color="auto"/>
      </w:divBdr>
    </w:div>
    <w:div w:id="198588868">
      <w:bodyDiv w:val="1"/>
      <w:marLeft w:val="0"/>
      <w:marRight w:val="0"/>
      <w:marTop w:val="0"/>
      <w:marBottom w:val="0"/>
      <w:divBdr>
        <w:top w:val="none" w:sz="0" w:space="0" w:color="auto"/>
        <w:left w:val="none" w:sz="0" w:space="0" w:color="auto"/>
        <w:bottom w:val="none" w:sz="0" w:space="0" w:color="auto"/>
        <w:right w:val="none" w:sz="0" w:space="0" w:color="auto"/>
      </w:divBdr>
    </w:div>
    <w:div w:id="209611158">
      <w:bodyDiv w:val="1"/>
      <w:marLeft w:val="0"/>
      <w:marRight w:val="0"/>
      <w:marTop w:val="0"/>
      <w:marBottom w:val="0"/>
      <w:divBdr>
        <w:top w:val="none" w:sz="0" w:space="0" w:color="auto"/>
        <w:left w:val="none" w:sz="0" w:space="0" w:color="auto"/>
        <w:bottom w:val="none" w:sz="0" w:space="0" w:color="auto"/>
        <w:right w:val="none" w:sz="0" w:space="0" w:color="auto"/>
      </w:divBdr>
    </w:div>
    <w:div w:id="224338530">
      <w:bodyDiv w:val="1"/>
      <w:marLeft w:val="0"/>
      <w:marRight w:val="0"/>
      <w:marTop w:val="0"/>
      <w:marBottom w:val="0"/>
      <w:divBdr>
        <w:top w:val="none" w:sz="0" w:space="0" w:color="auto"/>
        <w:left w:val="none" w:sz="0" w:space="0" w:color="auto"/>
        <w:bottom w:val="none" w:sz="0" w:space="0" w:color="auto"/>
        <w:right w:val="none" w:sz="0" w:space="0" w:color="auto"/>
      </w:divBdr>
    </w:div>
    <w:div w:id="236595576">
      <w:bodyDiv w:val="1"/>
      <w:marLeft w:val="0"/>
      <w:marRight w:val="0"/>
      <w:marTop w:val="0"/>
      <w:marBottom w:val="0"/>
      <w:divBdr>
        <w:top w:val="none" w:sz="0" w:space="0" w:color="auto"/>
        <w:left w:val="none" w:sz="0" w:space="0" w:color="auto"/>
        <w:bottom w:val="none" w:sz="0" w:space="0" w:color="auto"/>
        <w:right w:val="none" w:sz="0" w:space="0" w:color="auto"/>
      </w:divBdr>
    </w:div>
    <w:div w:id="300422930">
      <w:bodyDiv w:val="1"/>
      <w:marLeft w:val="0"/>
      <w:marRight w:val="0"/>
      <w:marTop w:val="0"/>
      <w:marBottom w:val="0"/>
      <w:divBdr>
        <w:top w:val="none" w:sz="0" w:space="0" w:color="auto"/>
        <w:left w:val="none" w:sz="0" w:space="0" w:color="auto"/>
        <w:bottom w:val="none" w:sz="0" w:space="0" w:color="auto"/>
        <w:right w:val="none" w:sz="0" w:space="0" w:color="auto"/>
      </w:divBdr>
    </w:div>
    <w:div w:id="311106687">
      <w:bodyDiv w:val="1"/>
      <w:marLeft w:val="0"/>
      <w:marRight w:val="0"/>
      <w:marTop w:val="0"/>
      <w:marBottom w:val="0"/>
      <w:divBdr>
        <w:top w:val="none" w:sz="0" w:space="0" w:color="auto"/>
        <w:left w:val="none" w:sz="0" w:space="0" w:color="auto"/>
        <w:bottom w:val="none" w:sz="0" w:space="0" w:color="auto"/>
        <w:right w:val="none" w:sz="0" w:space="0" w:color="auto"/>
      </w:divBdr>
    </w:div>
    <w:div w:id="320500591">
      <w:bodyDiv w:val="1"/>
      <w:marLeft w:val="0"/>
      <w:marRight w:val="0"/>
      <w:marTop w:val="0"/>
      <w:marBottom w:val="0"/>
      <w:divBdr>
        <w:top w:val="none" w:sz="0" w:space="0" w:color="auto"/>
        <w:left w:val="none" w:sz="0" w:space="0" w:color="auto"/>
        <w:bottom w:val="none" w:sz="0" w:space="0" w:color="auto"/>
        <w:right w:val="none" w:sz="0" w:space="0" w:color="auto"/>
      </w:divBdr>
    </w:div>
    <w:div w:id="328026110">
      <w:bodyDiv w:val="1"/>
      <w:marLeft w:val="0"/>
      <w:marRight w:val="0"/>
      <w:marTop w:val="0"/>
      <w:marBottom w:val="0"/>
      <w:divBdr>
        <w:top w:val="none" w:sz="0" w:space="0" w:color="auto"/>
        <w:left w:val="none" w:sz="0" w:space="0" w:color="auto"/>
        <w:bottom w:val="none" w:sz="0" w:space="0" w:color="auto"/>
        <w:right w:val="none" w:sz="0" w:space="0" w:color="auto"/>
      </w:divBdr>
    </w:div>
    <w:div w:id="344094830">
      <w:bodyDiv w:val="1"/>
      <w:marLeft w:val="0"/>
      <w:marRight w:val="0"/>
      <w:marTop w:val="0"/>
      <w:marBottom w:val="0"/>
      <w:divBdr>
        <w:top w:val="none" w:sz="0" w:space="0" w:color="auto"/>
        <w:left w:val="none" w:sz="0" w:space="0" w:color="auto"/>
        <w:bottom w:val="none" w:sz="0" w:space="0" w:color="auto"/>
        <w:right w:val="none" w:sz="0" w:space="0" w:color="auto"/>
      </w:divBdr>
    </w:div>
    <w:div w:id="363292900">
      <w:bodyDiv w:val="1"/>
      <w:marLeft w:val="0"/>
      <w:marRight w:val="0"/>
      <w:marTop w:val="0"/>
      <w:marBottom w:val="0"/>
      <w:divBdr>
        <w:top w:val="none" w:sz="0" w:space="0" w:color="auto"/>
        <w:left w:val="none" w:sz="0" w:space="0" w:color="auto"/>
        <w:bottom w:val="none" w:sz="0" w:space="0" w:color="auto"/>
        <w:right w:val="none" w:sz="0" w:space="0" w:color="auto"/>
      </w:divBdr>
    </w:div>
    <w:div w:id="370228240">
      <w:bodyDiv w:val="1"/>
      <w:marLeft w:val="0"/>
      <w:marRight w:val="0"/>
      <w:marTop w:val="0"/>
      <w:marBottom w:val="0"/>
      <w:divBdr>
        <w:top w:val="none" w:sz="0" w:space="0" w:color="auto"/>
        <w:left w:val="none" w:sz="0" w:space="0" w:color="auto"/>
        <w:bottom w:val="none" w:sz="0" w:space="0" w:color="auto"/>
        <w:right w:val="none" w:sz="0" w:space="0" w:color="auto"/>
      </w:divBdr>
    </w:div>
    <w:div w:id="381052591">
      <w:bodyDiv w:val="1"/>
      <w:marLeft w:val="0"/>
      <w:marRight w:val="0"/>
      <w:marTop w:val="0"/>
      <w:marBottom w:val="0"/>
      <w:divBdr>
        <w:top w:val="none" w:sz="0" w:space="0" w:color="auto"/>
        <w:left w:val="none" w:sz="0" w:space="0" w:color="auto"/>
        <w:bottom w:val="none" w:sz="0" w:space="0" w:color="auto"/>
        <w:right w:val="none" w:sz="0" w:space="0" w:color="auto"/>
      </w:divBdr>
    </w:div>
    <w:div w:id="414134153">
      <w:bodyDiv w:val="1"/>
      <w:marLeft w:val="0"/>
      <w:marRight w:val="0"/>
      <w:marTop w:val="0"/>
      <w:marBottom w:val="0"/>
      <w:divBdr>
        <w:top w:val="none" w:sz="0" w:space="0" w:color="auto"/>
        <w:left w:val="none" w:sz="0" w:space="0" w:color="auto"/>
        <w:bottom w:val="none" w:sz="0" w:space="0" w:color="auto"/>
        <w:right w:val="none" w:sz="0" w:space="0" w:color="auto"/>
      </w:divBdr>
    </w:div>
    <w:div w:id="432631920">
      <w:bodyDiv w:val="1"/>
      <w:marLeft w:val="0"/>
      <w:marRight w:val="0"/>
      <w:marTop w:val="0"/>
      <w:marBottom w:val="0"/>
      <w:divBdr>
        <w:top w:val="none" w:sz="0" w:space="0" w:color="auto"/>
        <w:left w:val="none" w:sz="0" w:space="0" w:color="auto"/>
        <w:bottom w:val="none" w:sz="0" w:space="0" w:color="auto"/>
        <w:right w:val="none" w:sz="0" w:space="0" w:color="auto"/>
      </w:divBdr>
    </w:div>
    <w:div w:id="437915025">
      <w:bodyDiv w:val="1"/>
      <w:marLeft w:val="0"/>
      <w:marRight w:val="0"/>
      <w:marTop w:val="0"/>
      <w:marBottom w:val="0"/>
      <w:divBdr>
        <w:top w:val="none" w:sz="0" w:space="0" w:color="auto"/>
        <w:left w:val="none" w:sz="0" w:space="0" w:color="auto"/>
        <w:bottom w:val="none" w:sz="0" w:space="0" w:color="auto"/>
        <w:right w:val="none" w:sz="0" w:space="0" w:color="auto"/>
      </w:divBdr>
    </w:div>
    <w:div w:id="552812293">
      <w:bodyDiv w:val="1"/>
      <w:marLeft w:val="0"/>
      <w:marRight w:val="0"/>
      <w:marTop w:val="0"/>
      <w:marBottom w:val="0"/>
      <w:divBdr>
        <w:top w:val="none" w:sz="0" w:space="0" w:color="auto"/>
        <w:left w:val="none" w:sz="0" w:space="0" w:color="auto"/>
        <w:bottom w:val="none" w:sz="0" w:space="0" w:color="auto"/>
        <w:right w:val="none" w:sz="0" w:space="0" w:color="auto"/>
      </w:divBdr>
    </w:div>
    <w:div w:id="553738169">
      <w:bodyDiv w:val="1"/>
      <w:marLeft w:val="0"/>
      <w:marRight w:val="0"/>
      <w:marTop w:val="0"/>
      <w:marBottom w:val="0"/>
      <w:divBdr>
        <w:top w:val="none" w:sz="0" w:space="0" w:color="auto"/>
        <w:left w:val="none" w:sz="0" w:space="0" w:color="auto"/>
        <w:bottom w:val="none" w:sz="0" w:space="0" w:color="auto"/>
        <w:right w:val="none" w:sz="0" w:space="0" w:color="auto"/>
      </w:divBdr>
    </w:div>
    <w:div w:id="591814021">
      <w:bodyDiv w:val="1"/>
      <w:marLeft w:val="0"/>
      <w:marRight w:val="0"/>
      <w:marTop w:val="0"/>
      <w:marBottom w:val="0"/>
      <w:divBdr>
        <w:top w:val="none" w:sz="0" w:space="0" w:color="auto"/>
        <w:left w:val="none" w:sz="0" w:space="0" w:color="auto"/>
        <w:bottom w:val="none" w:sz="0" w:space="0" w:color="auto"/>
        <w:right w:val="none" w:sz="0" w:space="0" w:color="auto"/>
      </w:divBdr>
    </w:div>
    <w:div w:id="625356608">
      <w:bodyDiv w:val="1"/>
      <w:marLeft w:val="0"/>
      <w:marRight w:val="0"/>
      <w:marTop w:val="0"/>
      <w:marBottom w:val="0"/>
      <w:divBdr>
        <w:top w:val="none" w:sz="0" w:space="0" w:color="auto"/>
        <w:left w:val="none" w:sz="0" w:space="0" w:color="auto"/>
        <w:bottom w:val="none" w:sz="0" w:space="0" w:color="auto"/>
        <w:right w:val="none" w:sz="0" w:space="0" w:color="auto"/>
      </w:divBdr>
    </w:div>
    <w:div w:id="639505153">
      <w:bodyDiv w:val="1"/>
      <w:marLeft w:val="0"/>
      <w:marRight w:val="0"/>
      <w:marTop w:val="0"/>
      <w:marBottom w:val="0"/>
      <w:divBdr>
        <w:top w:val="none" w:sz="0" w:space="0" w:color="auto"/>
        <w:left w:val="none" w:sz="0" w:space="0" w:color="auto"/>
        <w:bottom w:val="none" w:sz="0" w:space="0" w:color="auto"/>
        <w:right w:val="none" w:sz="0" w:space="0" w:color="auto"/>
      </w:divBdr>
    </w:div>
    <w:div w:id="639923000">
      <w:bodyDiv w:val="1"/>
      <w:marLeft w:val="0"/>
      <w:marRight w:val="0"/>
      <w:marTop w:val="0"/>
      <w:marBottom w:val="0"/>
      <w:divBdr>
        <w:top w:val="none" w:sz="0" w:space="0" w:color="auto"/>
        <w:left w:val="none" w:sz="0" w:space="0" w:color="auto"/>
        <w:bottom w:val="none" w:sz="0" w:space="0" w:color="auto"/>
        <w:right w:val="none" w:sz="0" w:space="0" w:color="auto"/>
      </w:divBdr>
    </w:div>
    <w:div w:id="648679077">
      <w:bodyDiv w:val="1"/>
      <w:marLeft w:val="0"/>
      <w:marRight w:val="0"/>
      <w:marTop w:val="0"/>
      <w:marBottom w:val="0"/>
      <w:divBdr>
        <w:top w:val="none" w:sz="0" w:space="0" w:color="auto"/>
        <w:left w:val="none" w:sz="0" w:space="0" w:color="auto"/>
        <w:bottom w:val="none" w:sz="0" w:space="0" w:color="auto"/>
        <w:right w:val="none" w:sz="0" w:space="0" w:color="auto"/>
      </w:divBdr>
    </w:div>
    <w:div w:id="703139999">
      <w:bodyDiv w:val="1"/>
      <w:marLeft w:val="0"/>
      <w:marRight w:val="0"/>
      <w:marTop w:val="0"/>
      <w:marBottom w:val="0"/>
      <w:divBdr>
        <w:top w:val="none" w:sz="0" w:space="0" w:color="auto"/>
        <w:left w:val="none" w:sz="0" w:space="0" w:color="auto"/>
        <w:bottom w:val="none" w:sz="0" w:space="0" w:color="auto"/>
        <w:right w:val="none" w:sz="0" w:space="0" w:color="auto"/>
      </w:divBdr>
    </w:div>
    <w:div w:id="722026678">
      <w:bodyDiv w:val="1"/>
      <w:marLeft w:val="0"/>
      <w:marRight w:val="0"/>
      <w:marTop w:val="0"/>
      <w:marBottom w:val="0"/>
      <w:divBdr>
        <w:top w:val="none" w:sz="0" w:space="0" w:color="auto"/>
        <w:left w:val="none" w:sz="0" w:space="0" w:color="auto"/>
        <w:bottom w:val="none" w:sz="0" w:space="0" w:color="auto"/>
        <w:right w:val="none" w:sz="0" w:space="0" w:color="auto"/>
      </w:divBdr>
    </w:div>
    <w:div w:id="733314457">
      <w:bodyDiv w:val="1"/>
      <w:marLeft w:val="0"/>
      <w:marRight w:val="0"/>
      <w:marTop w:val="0"/>
      <w:marBottom w:val="0"/>
      <w:divBdr>
        <w:top w:val="none" w:sz="0" w:space="0" w:color="auto"/>
        <w:left w:val="none" w:sz="0" w:space="0" w:color="auto"/>
        <w:bottom w:val="none" w:sz="0" w:space="0" w:color="auto"/>
        <w:right w:val="none" w:sz="0" w:space="0" w:color="auto"/>
      </w:divBdr>
    </w:div>
    <w:div w:id="735978079">
      <w:bodyDiv w:val="1"/>
      <w:marLeft w:val="0"/>
      <w:marRight w:val="0"/>
      <w:marTop w:val="0"/>
      <w:marBottom w:val="0"/>
      <w:divBdr>
        <w:top w:val="none" w:sz="0" w:space="0" w:color="auto"/>
        <w:left w:val="none" w:sz="0" w:space="0" w:color="auto"/>
        <w:bottom w:val="none" w:sz="0" w:space="0" w:color="auto"/>
        <w:right w:val="none" w:sz="0" w:space="0" w:color="auto"/>
      </w:divBdr>
    </w:div>
    <w:div w:id="807669948">
      <w:bodyDiv w:val="1"/>
      <w:marLeft w:val="0"/>
      <w:marRight w:val="0"/>
      <w:marTop w:val="0"/>
      <w:marBottom w:val="0"/>
      <w:divBdr>
        <w:top w:val="none" w:sz="0" w:space="0" w:color="auto"/>
        <w:left w:val="none" w:sz="0" w:space="0" w:color="auto"/>
        <w:bottom w:val="none" w:sz="0" w:space="0" w:color="auto"/>
        <w:right w:val="none" w:sz="0" w:space="0" w:color="auto"/>
      </w:divBdr>
    </w:div>
    <w:div w:id="812065553">
      <w:bodyDiv w:val="1"/>
      <w:marLeft w:val="0"/>
      <w:marRight w:val="0"/>
      <w:marTop w:val="0"/>
      <w:marBottom w:val="0"/>
      <w:divBdr>
        <w:top w:val="none" w:sz="0" w:space="0" w:color="auto"/>
        <w:left w:val="none" w:sz="0" w:space="0" w:color="auto"/>
        <w:bottom w:val="none" w:sz="0" w:space="0" w:color="auto"/>
        <w:right w:val="none" w:sz="0" w:space="0" w:color="auto"/>
      </w:divBdr>
    </w:div>
    <w:div w:id="824246391">
      <w:bodyDiv w:val="1"/>
      <w:marLeft w:val="0"/>
      <w:marRight w:val="0"/>
      <w:marTop w:val="0"/>
      <w:marBottom w:val="0"/>
      <w:divBdr>
        <w:top w:val="none" w:sz="0" w:space="0" w:color="auto"/>
        <w:left w:val="none" w:sz="0" w:space="0" w:color="auto"/>
        <w:bottom w:val="none" w:sz="0" w:space="0" w:color="auto"/>
        <w:right w:val="none" w:sz="0" w:space="0" w:color="auto"/>
      </w:divBdr>
    </w:div>
    <w:div w:id="852570265">
      <w:bodyDiv w:val="1"/>
      <w:marLeft w:val="0"/>
      <w:marRight w:val="0"/>
      <w:marTop w:val="0"/>
      <w:marBottom w:val="0"/>
      <w:divBdr>
        <w:top w:val="none" w:sz="0" w:space="0" w:color="auto"/>
        <w:left w:val="none" w:sz="0" w:space="0" w:color="auto"/>
        <w:bottom w:val="none" w:sz="0" w:space="0" w:color="auto"/>
        <w:right w:val="none" w:sz="0" w:space="0" w:color="auto"/>
      </w:divBdr>
    </w:div>
    <w:div w:id="949043777">
      <w:bodyDiv w:val="1"/>
      <w:marLeft w:val="0"/>
      <w:marRight w:val="0"/>
      <w:marTop w:val="0"/>
      <w:marBottom w:val="0"/>
      <w:divBdr>
        <w:top w:val="none" w:sz="0" w:space="0" w:color="auto"/>
        <w:left w:val="none" w:sz="0" w:space="0" w:color="auto"/>
        <w:bottom w:val="none" w:sz="0" w:space="0" w:color="auto"/>
        <w:right w:val="none" w:sz="0" w:space="0" w:color="auto"/>
      </w:divBdr>
    </w:div>
    <w:div w:id="949238061">
      <w:bodyDiv w:val="1"/>
      <w:marLeft w:val="0"/>
      <w:marRight w:val="0"/>
      <w:marTop w:val="0"/>
      <w:marBottom w:val="0"/>
      <w:divBdr>
        <w:top w:val="none" w:sz="0" w:space="0" w:color="auto"/>
        <w:left w:val="none" w:sz="0" w:space="0" w:color="auto"/>
        <w:bottom w:val="none" w:sz="0" w:space="0" w:color="auto"/>
        <w:right w:val="none" w:sz="0" w:space="0" w:color="auto"/>
      </w:divBdr>
    </w:div>
    <w:div w:id="964501543">
      <w:bodyDiv w:val="1"/>
      <w:marLeft w:val="0"/>
      <w:marRight w:val="0"/>
      <w:marTop w:val="0"/>
      <w:marBottom w:val="0"/>
      <w:divBdr>
        <w:top w:val="none" w:sz="0" w:space="0" w:color="auto"/>
        <w:left w:val="none" w:sz="0" w:space="0" w:color="auto"/>
        <w:bottom w:val="none" w:sz="0" w:space="0" w:color="auto"/>
        <w:right w:val="none" w:sz="0" w:space="0" w:color="auto"/>
      </w:divBdr>
    </w:div>
    <w:div w:id="975765980">
      <w:bodyDiv w:val="1"/>
      <w:marLeft w:val="0"/>
      <w:marRight w:val="0"/>
      <w:marTop w:val="0"/>
      <w:marBottom w:val="0"/>
      <w:divBdr>
        <w:top w:val="none" w:sz="0" w:space="0" w:color="auto"/>
        <w:left w:val="none" w:sz="0" w:space="0" w:color="auto"/>
        <w:bottom w:val="none" w:sz="0" w:space="0" w:color="auto"/>
        <w:right w:val="none" w:sz="0" w:space="0" w:color="auto"/>
      </w:divBdr>
    </w:div>
    <w:div w:id="988824817">
      <w:bodyDiv w:val="1"/>
      <w:marLeft w:val="0"/>
      <w:marRight w:val="0"/>
      <w:marTop w:val="0"/>
      <w:marBottom w:val="0"/>
      <w:divBdr>
        <w:top w:val="none" w:sz="0" w:space="0" w:color="auto"/>
        <w:left w:val="none" w:sz="0" w:space="0" w:color="auto"/>
        <w:bottom w:val="none" w:sz="0" w:space="0" w:color="auto"/>
        <w:right w:val="none" w:sz="0" w:space="0" w:color="auto"/>
      </w:divBdr>
    </w:div>
    <w:div w:id="1046100163">
      <w:bodyDiv w:val="1"/>
      <w:marLeft w:val="0"/>
      <w:marRight w:val="0"/>
      <w:marTop w:val="0"/>
      <w:marBottom w:val="0"/>
      <w:divBdr>
        <w:top w:val="none" w:sz="0" w:space="0" w:color="auto"/>
        <w:left w:val="none" w:sz="0" w:space="0" w:color="auto"/>
        <w:bottom w:val="none" w:sz="0" w:space="0" w:color="auto"/>
        <w:right w:val="none" w:sz="0" w:space="0" w:color="auto"/>
      </w:divBdr>
    </w:div>
    <w:div w:id="1086340091">
      <w:bodyDiv w:val="1"/>
      <w:marLeft w:val="0"/>
      <w:marRight w:val="0"/>
      <w:marTop w:val="0"/>
      <w:marBottom w:val="0"/>
      <w:divBdr>
        <w:top w:val="none" w:sz="0" w:space="0" w:color="auto"/>
        <w:left w:val="none" w:sz="0" w:space="0" w:color="auto"/>
        <w:bottom w:val="none" w:sz="0" w:space="0" w:color="auto"/>
        <w:right w:val="none" w:sz="0" w:space="0" w:color="auto"/>
      </w:divBdr>
    </w:div>
    <w:div w:id="1105271439">
      <w:bodyDiv w:val="1"/>
      <w:marLeft w:val="0"/>
      <w:marRight w:val="0"/>
      <w:marTop w:val="0"/>
      <w:marBottom w:val="0"/>
      <w:divBdr>
        <w:top w:val="none" w:sz="0" w:space="0" w:color="auto"/>
        <w:left w:val="none" w:sz="0" w:space="0" w:color="auto"/>
        <w:bottom w:val="none" w:sz="0" w:space="0" w:color="auto"/>
        <w:right w:val="none" w:sz="0" w:space="0" w:color="auto"/>
      </w:divBdr>
    </w:div>
    <w:div w:id="1113670580">
      <w:bodyDiv w:val="1"/>
      <w:marLeft w:val="0"/>
      <w:marRight w:val="0"/>
      <w:marTop w:val="0"/>
      <w:marBottom w:val="0"/>
      <w:divBdr>
        <w:top w:val="none" w:sz="0" w:space="0" w:color="auto"/>
        <w:left w:val="none" w:sz="0" w:space="0" w:color="auto"/>
        <w:bottom w:val="none" w:sz="0" w:space="0" w:color="auto"/>
        <w:right w:val="none" w:sz="0" w:space="0" w:color="auto"/>
      </w:divBdr>
    </w:div>
    <w:div w:id="1119759685">
      <w:bodyDiv w:val="1"/>
      <w:marLeft w:val="0"/>
      <w:marRight w:val="0"/>
      <w:marTop w:val="0"/>
      <w:marBottom w:val="0"/>
      <w:divBdr>
        <w:top w:val="none" w:sz="0" w:space="0" w:color="auto"/>
        <w:left w:val="none" w:sz="0" w:space="0" w:color="auto"/>
        <w:bottom w:val="none" w:sz="0" w:space="0" w:color="auto"/>
        <w:right w:val="none" w:sz="0" w:space="0" w:color="auto"/>
      </w:divBdr>
    </w:div>
    <w:div w:id="1159881903">
      <w:bodyDiv w:val="1"/>
      <w:marLeft w:val="0"/>
      <w:marRight w:val="0"/>
      <w:marTop w:val="0"/>
      <w:marBottom w:val="0"/>
      <w:divBdr>
        <w:top w:val="none" w:sz="0" w:space="0" w:color="auto"/>
        <w:left w:val="none" w:sz="0" w:space="0" w:color="auto"/>
        <w:bottom w:val="none" w:sz="0" w:space="0" w:color="auto"/>
        <w:right w:val="none" w:sz="0" w:space="0" w:color="auto"/>
      </w:divBdr>
    </w:div>
    <w:div w:id="1166557607">
      <w:bodyDiv w:val="1"/>
      <w:marLeft w:val="0"/>
      <w:marRight w:val="0"/>
      <w:marTop w:val="0"/>
      <w:marBottom w:val="0"/>
      <w:divBdr>
        <w:top w:val="none" w:sz="0" w:space="0" w:color="auto"/>
        <w:left w:val="none" w:sz="0" w:space="0" w:color="auto"/>
        <w:bottom w:val="none" w:sz="0" w:space="0" w:color="auto"/>
        <w:right w:val="none" w:sz="0" w:space="0" w:color="auto"/>
      </w:divBdr>
    </w:div>
    <w:div w:id="1225525350">
      <w:bodyDiv w:val="1"/>
      <w:marLeft w:val="0"/>
      <w:marRight w:val="0"/>
      <w:marTop w:val="0"/>
      <w:marBottom w:val="0"/>
      <w:divBdr>
        <w:top w:val="none" w:sz="0" w:space="0" w:color="auto"/>
        <w:left w:val="none" w:sz="0" w:space="0" w:color="auto"/>
        <w:bottom w:val="none" w:sz="0" w:space="0" w:color="auto"/>
        <w:right w:val="none" w:sz="0" w:space="0" w:color="auto"/>
      </w:divBdr>
    </w:div>
    <w:div w:id="1232231173">
      <w:bodyDiv w:val="1"/>
      <w:marLeft w:val="0"/>
      <w:marRight w:val="0"/>
      <w:marTop w:val="0"/>
      <w:marBottom w:val="0"/>
      <w:divBdr>
        <w:top w:val="none" w:sz="0" w:space="0" w:color="auto"/>
        <w:left w:val="none" w:sz="0" w:space="0" w:color="auto"/>
        <w:bottom w:val="none" w:sz="0" w:space="0" w:color="auto"/>
        <w:right w:val="none" w:sz="0" w:space="0" w:color="auto"/>
      </w:divBdr>
    </w:div>
    <w:div w:id="1256590194">
      <w:bodyDiv w:val="1"/>
      <w:marLeft w:val="0"/>
      <w:marRight w:val="0"/>
      <w:marTop w:val="0"/>
      <w:marBottom w:val="0"/>
      <w:divBdr>
        <w:top w:val="none" w:sz="0" w:space="0" w:color="auto"/>
        <w:left w:val="none" w:sz="0" w:space="0" w:color="auto"/>
        <w:bottom w:val="none" w:sz="0" w:space="0" w:color="auto"/>
        <w:right w:val="none" w:sz="0" w:space="0" w:color="auto"/>
      </w:divBdr>
    </w:div>
    <w:div w:id="1270160859">
      <w:bodyDiv w:val="1"/>
      <w:marLeft w:val="0"/>
      <w:marRight w:val="0"/>
      <w:marTop w:val="0"/>
      <w:marBottom w:val="0"/>
      <w:divBdr>
        <w:top w:val="none" w:sz="0" w:space="0" w:color="auto"/>
        <w:left w:val="none" w:sz="0" w:space="0" w:color="auto"/>
        <w:bottom w:val="none" w:sz="0" w:space="0" w:color="auto"/>
        <w:right w:val="none" w:sz="0" w:space="0" w:color="auto"/>
      </w:divBdr>
    </w:div>
    <w:div w:id="1332760392">
      <w:bodyDiv w:val="1"/>
      <w:marLeft w:val="0"/>
      <w:marRight w:val="0"/>
      <w:marTop w:val="0"/>
      <w:marBottom w:val="0"/>
      <w:divBdr>
        <w:top w:val="none" w:sz="0" w:space="0" w:color="auto"/>
        <w:left w:val="none" w:sz="0" w:space="0" w:color="auto"/>
        <w:bottom w:val="none" w:sz="0" w:space="0" w:color="auto"/>
        <w:right w:val="none" w:sz="0" w:space="0" w:color="auto"/>
      </w:divBdr>
    </w:div>
    <w:div w:id="1337416929">
      <w:bodyDiv w:val="1"/>
      <w:marLeft w:val="0"/>
      <w:marRight w:val="0"/>
      <w:marTop w:val="0"/>
      <w:marBottom w:val="0"/>
      <w:divBdr>
        <w:top w:val="none" w:sz="0" w:space="0" w:color="auto"/>
        <w:left w:val="none" w:sz="0" w:space="0" w:color="auto"/>
        <w:bottom w:val="none" w:sz="0" w:space="0" w:color="auto"/>
        <w:right w:val="none" w:sz="0" w:space="0" w:color="auto"/>
      </w:divBdr>
    </w:div>
    <w:div w:id="1381515689">
      <w:bodyDiv w:val="1"/>
      <w:marLeft w:val="0"/>
      <w:marRight w:val="0"/>
      <w:marTop w:val="0"/>
      <w:marBottom w:val="0"/>
      <w:divBdr>
        <w:top w:val="none" w:sz="0" w:space="0" w:color="auto"/>
        <w:left w:val="none" w:sz="0" w:space="0" w:color="auto"/>
        <w:bottom w:val="none" w:sz="0" w:space="0" w:color="auto"/>
        <w:right w:val="none" w:sz="0" w:space="0" w:color="auto"/>
      </w:divBdr>
    </w:div>
    <w:div w:id="1458836979">
      <w:bodyDiv w:val="1"/>
      <w:marLeft w:val="0"/>
      <w:marRight w:val="0"/>
      <w:marTop w:val="0"/>
      <w:marBottom w:val="0"/>
      <w:divBdr>
        <w:top w:val="none" w:sz="0" w:space="0" w:color="auto"/>
        <w:left w:val="none" w:sz="0" w:space="0" w:color="auto"/>
        <w:bottom w:val="none" w:sz="0" w:space="0" w:color="auto"/>
        <w:right w:val="none" w:sz="0" w:space="0" w:color="auto"/>
      </w:divBdr>
    </w:div>
    <w:div w:id="1468744146">
      <w:bodyDiv w:val="1"/>
      <w:marLeft w:val="0"/>
      <w:marRight w:val="0"/>
      <w:marTop w:val="0"/>
      <w:marBottom w:val="0"/>
      <w:divBdr>
        <w:top w:val="none" w:sz="0" w:space="0" w:color="auto"/>
        <w:left w:val="none" w:sz="0" w:space="0" w:color="auto"/>
        <w:bottom w:val="none" w:sz="0" w:space="0" w:color="auto"/>
        <w:right w:val="none" w:sz="0" w:space="0" w:color="auto"/>
      </w:divBdr>
    </w:div>
    <w:div w:id="1470853747">
      <w:bodyDiv w:val="1"/>
      <w:marLeft w:val="0"/>
      <w:marRight w:val="0"/>
      <w:marTop w:val="0"/>
      <w:marBottom w:val="0"/>
      <w:divBdr>
        <w:top w:val="none" w:sz="0" w:space="0" w:color="auto"/>
        <w:left w:val="none" w:sz="0" w:space="0" w:color="auto"/>
        <w:bottom w:val="none" w:sz="0" w:space="0" w:color="auto"/>
        <w:right w:val="none" w:sz="0" w:space="0" w:color="auto"/>
      </w:divBdr>
    </w:div>
    <w:div w:id="1474568408">
      <w:bodyDiv w:val="1"/>
      <w:marLeft w:val="0"/>
      <w:marRight w:val="0"/>
      <w:marTop w:val="0"/>
      <w:marBottom w:val="0"/>
      <w:divBdr>
        <w:top w:val="none" w:sz="0" w:space="0" w:color="auto"/>
        <w:left w:val="none" w:sz="0" w:space="0" w:color="auto"/>
        <w:bottom w:val="none" w:sz="0" w:space="0" w:color="auto"/>
        <w:right w:val="none" w:sz="0" w:space="0" w:color="auto"/>
      </w:divBdr>
    </w:div>
    <w:div w:id="1509908126">
      <w:bodyDiv w:val="1"/>
      <w:marLeft w:val="0"/>
      <w:marRight w:val="0"/>
      <w:marTop w:val="0"/>
      <w:marBottom w:val="0"/>
      <w:divBdr>
        <w:top w:val="none" w:sz="0" w:space="0" w:color="auto"/>
        <w:left w:val="none" w:sz="0" w:space="0" w:color="auto"/>
        <w:bottom w:val="none" w:sz="0" w:space="0" w:color="auto"/>
        <w:right w:val="none" w:sz="0" w:space="0" w:color="auto"/>
      </w:divBdr>
    </w:div>
    <w:div w:id="1518347052">
      <w:bodyDiv w:val="1"/>
      <w:marLeft w:val="0"/>
      <w:marRight w:val="0"/>
      <w:marTop w:val="0"/>
      <w:marBottom w:val="0"/>
      <w:divBdr>
        <w:top w:val="none" w:sz="0" w:space="0" w:color="auto"/>
        <w:left w:val="none" w:sz="0" w:space="0" w:color="auto"/>
        <w:bottom w:val="none" w:sz="0" w:space="0" w:color="auto"/>
        <w:right w:val="none" w:sz="0" w:space="0" w:color="auto"/>
      </w:divBdr>
    </w:div>
    <w:div w:id="1549608479">
      <w:bodyDiv w:val="1"/>
      <w:marLeft w:val="0"/>
      <w:marRight w:val="0"/>
      <w:marTop w:val="0"/>
      <w:marBottom w:val="0"/>
      <w:divBdr>
        <w:top w:val="none" w:sz="0" w:space="0" w:color="auto"/>
        <w:left w:val="none" w:sz="0" w:space="0" w:color="auto"/>
        <w:bottom w:val="none" w:sz="0" w:space="0" w:color="auto"/>
        <w:right w:val="none" w:sz="0" w:space="0" w:color="auto"/>
      </w:divBdr>
    </w:div>
    <w:div w:id="1551914497">
      <w:bodyDiv w:val="1"/>
      <w:marLeft w:val="0"/>
      <w:marRight w:val="0"/>
      <w:marTop w:val="0"/>
      <w:marBottom w:val="0"/>
      <w:divBdr>
        <w:top w:val="none" w:sz="0" w:space="0" w:color="auto"/>
        <w:left w:val="none" w:sz="0" w:space="0" w:color="auto"/>
        <w:bottom w:val="none" w:sz="0" w:space="0" w:color="auto"/>
        <w:right w:val="none" w:sz="0" w:space="0" w:color="auto"/>
      </w:divBdr>
    </w:div>
    <w:div w:id="1602571662">
      <w:bodyDiv w:val="1"/>
      <w:marLeft w:val="0"/>
      <w:marRight w:val="0"/>
      <w:marTop w:val="0"/>
      <w:marBottom w:val="0"/>
      <w:divBdr>
        <w:top w:val="none" w:sz="0" w:space="0" w:color="auto"/>
        <w:left w:val="none" w:sz="0" w:space="0" w:color="auto"/>
        <w:bottom w:val="none" w:sz="0" w:space="0" w:color="auto"/>
        <w:right w:val="none" w:sz="0" w:space="0" w:color="auto"/>
      </w:divBdr>
    </w:div>
    <w:div w:id="1605385879">
      <w:bodyDiv w:val="1"/>
      <w:marLeft w:val="0"/>
      <w:marRight w:val="0"/>
      <w:marTop w:val="0"/>
      <w:marBottom w:val="0"/>
      <w:divBdr>
        <w:top w:val="none" w:sz="0" w:space="0" w:color="auto"/>
        <w:left w:val="none" w:sz="0" w:space="0" w:color="auto"/>
        <w:bottom w:val="none" w:sz="0" w:space="0" w:color="auto"/>
        <w:right w:val="none" w:sz="0" w:space="0" w:color="auto"/>
      </w:divBdr>
    </w:div>
    <w:div w:id="1620065215">
      <w:bodyDiv w:val="1"/>
      <w:marLeft w:val="0"/>
      <w:marRight w:val="0"/>
      <w:marTop w:val="0"/>
      <w:marBottom w:val="0"/>
      <w:divBdr>
        <w:top w:val="none" w:sz="0" w:space="0" w:color="auto"/>
        <w:left w:val="none" w:sz="0" w:space="0" w:color="auto"/>
        <w:bottom w:val="none" w:sz="0" w:space="0" w:color="auto"/>
        <w:right w:val="none" w:sz="0" w:space="0" w:color="auto"/>
      </w:divBdr>
    </w:div>
    <w:div w:id="1631395521">
      <w:bodyDiv w:val="1"/>
      <w:marLeft w:val="0"/>
      <w:marRight w:val="0"/>
      <w:marTop w:val="0"/>
      <w:marBottom w:val="0"/>
      <w:divBdr>
        <w:top w:val="none" w:sz="0" w:space="0" w:color="auto"/>
        <w:left w:val="none" w:sz="0" w:space="0" w:color="auto"/>
        <w:bottom w:val="none" w:sz="0" w:space="0" w:color="auto"/>
        <w:right w:val="none" w:sz="0" w:space="0" w:color="auto"/>
      </w:divBdr>
    </w:div>
    <w:div w:id="1634171665">
      <w:bodyDiv w:val="1"/>
      <w:marLeft w:val="0"/>
      <w:marRight w:val="0"/>
      <w:marTop w:val="0"/>
      <w:marBottom w:val="0"/>
      <w:divBdr>
        <w:top w:val="none" w:sz="0" w:space="0" w:color="auto"/>
        <w:left w:val="none" w:sz="0" w:space="0" w:color="auto"/>
        <w:bottom w:val="none" w:sz="0" w:space="0" w:color="auto"/>
        <w:right w:val="none" w:sz="0" w:space="0" w:color="auto"/>
      </w:divBdr>
    </w:div>
    <w:div w:id="1647971835">
      <w:bodyDiv w:val="1"/>
      <w:marLeft w:val="0"/>
      <w:marRight w:val="0"/>
      <w:marTop w:val="0"/>
      <w:marBottom w:val="0"/>
      <w:divBdr>
        <w:top w:val="none" w:sz="0" w:space="0" w:color="auto"/>
        <w:left w:val="none" w:sz="0" w:space="0" w:color="auto"/>
        <w:bottom w:val="none" w:sz="0" w:space="0" w:color="auto"/>
        <w:right w:val="none" w:sz="0" w:space="0" w:color="auto"/>
      </w:divBdr>
    </w:div>
    <w:div w:id="1657997449">
      <w:bodyDiv w:val="1"/>
      <w:marLeft w:val="0"/>
      <w:marRight w:val="0"/>
      <w:marTop w:val="0"/>
      <w:marBottom w:val="0"/>
      <w:divBdr>
        <w:top w:val="none" w:sz="0" w:space="0" w:color="auto"/>
        <w:left w:val="none" w:sz="0" w:space="0" w:color="auto"/>
        <w:bottom w:val="none" w:sz="0" w:space="0" w:color="auto"/>
        <w:right w:val="none" w:sz="0" w:space="0" w:color="auto"/>
      </w:divBdr>
    </w:div>
    <w:div w:id="1674994675">
      <w:bodyDiv w:val="1"/>
      <w:marLeft w:val="0"/>
      <w:marRight w:val="0"/>
      <w:marTop w:val="0"/>
      <w:marBottom w:val="0"/>
      <w:divBdr>
        <w:top w:val="none" w:sz="0" w:space="0" w:color="auto"/>
        <w:left w:val="none" w:sz="0" w:space="0" w:color="auto"/>
        <w:bottom w:val="none" w:sz="0" w:space="0" w:color="auto"/>
        <w:right w:val="none" w:sz="0" w:space="0" w:color="auto"/>
      </w:divBdr>
    </w:div>
    <w:div w:id="1679120634">
      <w:bodyDiv w:val="1"/>
      <w:marLeft w:val="0"/>
      <w:marRight w:val="0"/>
      <w:marTop w:val="0"/>
      <w:marBottom w:val="0"/>
      <w:divBdr>
        <w:top w:val="none" w:sz="0" w:space="0" w:color="auto"/>
        <w:left w:val="none" w:sz="0" w:space="0" w:color="auto"/>
        <w:bottom w:val="none" w:sz="0" w:space="0" w:color="auto"/>
        <w:right w:val="none" w:sz="0" w:space="0" w:color="auto"/>
      </w:divBdr>
    </w:div>
    <w:div w:id="1840732513">
      <w:bodyDiv w:val="1"/>
      <w:marLeft w:val="0"/>
      <w:marRight w:val="0"/>
      <w:marTop w:val="0"/>
      <w:marBottom w:val="0"/>
      <w:divBdr>
        <w:top w:val="none" w:sz="0" w:space="0" w:color="auto"/>
        <w:left w:val="none" w:sz="0" w:space="0" w:color="auto"/>
        <w:bottom w:val="none" w:sz="0" w:space="0" w:color="auto"/>
        <w:right w:val="none" w:sz="0" w:space="0" w:color="auto"/>
      </w:divBdr>
    </w:div>
    <w:div w:id="1841970638">
      <w:bodyDiv w:val="1"/>
      <w:marLeft w:val="0"/>
      <w:marRight w:val="0"/>
      <w:marTop w:val="0"/>
      <w:marBottom w:val="0"/>
      <w:divBdr>
        <w:top w:val="none" w:sz="0" w:space="0" w:color="auto"/>
        <w:left w:val="none" w:sz="0" w:space="0" w:color="auto"/>
        <w:bottom w:val="none" w:sz="0" w:space="0" w:color="auto"/>
        <w:right w:val="none" w:sz="0" w:space="0" w:color="auto"/>
      </w:divBdr>
    </w:div>
    <w:div w:id="1877499521">
      <w:bodyDiv w:val="1"/>
      <w:marLeft w:val="0"/>
      <w:marRight w:val="0"/>
      <w:marTop w:val="0"/>
      <w:marBottom w:val="0"/>
      <w:divBdr>
        <w:top w:val="none" w:sz="0" w:space="0" w:color="auto"/>
        <w:left w:val="none" w:sz="0" w:space="0" w:color="auto"/>
        <w:bottom w:val="none" w:sz="0" w:space="0" w:color="auto"/>
        <w:right w:val="none" w:sz="0" w:space="0" w:color="auto"/>
      </w:divBdr>
    </w:div>
    <w:div w:id="1881479800">
      <w:bodyDiv w:val="1"/>
      <w:marLeft w:val="0"/>
      <w:marRight w:val="0"/>
      <w:marTop w:val="0"/>
      <w:marBottom w:val="0"/>
      <w:divBdr>
        <w:top w:val="none" w:sz="0" w:space="0" w:color="auto"/>
        <w:left w:val="none" w:sz="0" w:space="0" w:color="auto"/>
        <w:bottom w:val="none" w:sz="0" w:space="0" w:color="auto"/>
        <w:right w:val="none" w:sz="0" w:space="0" w:color="auto"/>
      </w:divBdr>
    </w:div>
    <w:div w:id="1968000034">
      <w:bodyDiv w:val="1"/>
      <w:marLeft w:val="0"/>
      <w:marRight w:val="0"/>
      <w:marTop w:val="0"/>
      <w:marBottom w:val="0"/>
      <w:divBdr>
        <w:top w:val="none" w:sz="0" w:space="0" w:color="auto"/>
        <w:left w:val="none" w:sz="0" w:space="0" w:color="auto"/>
        <w:bottom w:val="none" w:sz="0" w:space="0" w:color="auto"/>
        <w:right w:val="none" w:sz="0" w:space="0" w:color="auto"/>
      </w:divBdr>
    </w:div>
    <w:div w:id="1998262709">
      <w:bodyDiv w:val="1"/>
      <w:marLeft w:val="0"/>
      <w:marRight w:val="0"/>
      <w:marTop w:val="0"/>
      <w:marBottom w:val="0"/>
      <w:divBdr>
        <w:top w:val="none" w:sz="0" w:space="0" w:color="auto"/>
        <w:left w:val="none" w:sz="0" w:space="0" w:color="auto"/>
        <w:bottom w:val="none" w:sz="0" w:space="0" w:color="auto"/>
        <w:right w:val="none" w:sz="0" w:space="0" w:color="auto"/>
      </w:divBdr>
    </w:div>
    <w:div w:id="2026788595">
      <w:bodyDiv w:val="1"/>
      <w:marLeft w:val="0"/>
      <w:marRight w:val="0"/>
      <w:marTop w:val="0"/>
      <w:marBottom w:val="0"/>
      <w:divBdr>
        <w:top w:val="none" w:sz="0" w:space="0" w:color="auto"/>
        <w:left w:val="none" w:sz="0" w:space="0" w:color="auto"/>
        <w:bottom w:val="none" w:sz="0" w:space="0" w:color="auto"/>
        <w:right w:val="none" w:sz="0" w:space="0" w:color="auto"/>
      </w:divBdr>
    </w:div>
    <w:div w:id="2031301021">
      <w:bodyDiv w:val="1"/>
      <w:marLeft w:val="0"/>
      <w:marRight w:val="0"/>
      <w:marTop w:val="0"/>
      <w:marBottom w:val="0"/>
      <w:divBdr>
        <w:top w:val="none" w:sz="0" w:space="0" w:color="auto"/>
        <w:left w:val="none" w:sz="0" w:space="0" w:color="auto"/>
        <w:bottom w:val="none" w:sz="0" w:space="0" w:color="auto"/>
        <w:right w:val="none" w:sz="0" w:space="0" w:color="auto"/>
      </w:divBdr>
    </w:div>
    <w:div w:id="2054697550">
      <w:bodyDiv w:val="1"/>
      <w:marLeft w:val="0"/>
      <w:marRight w:val="0"/>
      <w:marTop w:val="0"/>
      <w:marBottom w:val="0"/>
      <w:divBdr>
        <w:top w:val="none" w:sz="0" w:space="0" w:color="auto"/>
        <w:left w:val="none" w:sz="0" w:space="0" w:color="auto"/>
        <w:bottom w:val="none" w:sz="0" w:space="0" w:color="auto"/>
        <w:right w:val="none" w:sz="0" w:space="0" w:color="auto"/>
      </w:divBdr>
    </w:div>
    <w:div w:id="2085032124">
      <w:bodyDiv w:val="1"/>
      <w:marLeft w:val="0"/>
      <w:marRight w:val="0"/>
      <w:marTop w:val="0"/>
      <w:marBottom w:val="0"/>
      <w:divBdr>
        <w:top w:val="none" w:sz="0" w:space="0" w:color="auto"/>
        <w:left w:val="none" w:sz="0" w:space="0" w:color="auto"/>
        <w:bottom w:val="none" w:sz="0" w:space="0" w:color="auto"/>
        <w:right w:val="none" w:sz="0" w:space="0" w:color="auto"/>
      </w:divBdr>
    </w:div>
    <w:div w:id="2099978784">
      <w:bodyDiv w:val="1"/>
      <w:marLeft w:val="0"/>
      <w:marRight w:val="0"/>
      <w:marTop w:val="0"/>
      <w:marBottom w:val="0"/>
      <w:divBdr>
        <w:top w:val="none" w:sz="0" w:space="0" w:color="auto"/>
        <w:left w:val="none" w:sz="0" w:space="0" w:color="auto"/>
        <w:bottom w:val="none" w:sz="0" w:space="0" w:color="auto"/>
        <w:right w:val="none" w:sz="0" w:space="0" w:color="auto"/>
      </w:divBdr>
    </w:div>
    <w:div w:id="2100978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4.xml"/><Relationship Id="rId26" Type="http://schemas.openxmlformats.org/officeDocument/2006/relationships/header" Target="header12.xml"/><Relationship Id="rId39" Type="http://schemas.openxmlformats.org/officeDocument/2006/relationships/header" Target="header19.xml"/><Relationship Id="rId21" Type="http://schemas.openxmlformats.org/officeDocument/2006/relationships/footer" Target="footer6.xml"/><Relationship Id="rId34" Type="http://schemas.openxmlformats.org/officeDocument/2006/relationships/header" Target="header17.xml"/><Relationship Id="rId42" Type="http://schemas.openxmlformats.org/officeDocument/2006/relationships/footer" Target="footer13.xml"/><Relationship Id="rId47" Type="http://schemas.openxmlformats.org/officeDocument/2006/relationships/header" Target="header23.xml"/><Relationship Id="rId50" Type="http://schemas.openxmlformats.org/officeDocument/2006/relationships/footer" Target="footer17.xml"/><Relationship Id="rId55" Type="http://schemas.openxmlformats.org/officeDocument/2006/relationships/header" Target="header27.xm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header" Target="header14.xml"/><Relationship Id="rId41" Type="http://schemas.openxmlformats.org/officeDocument/2006/relationships/header" Target="header20.xml"/><Relationship Id="rId54" Type="http://schemas.openxmlformats.org/officeDocument/2006/relationships/footer" Target="footer19.xml"/><Relationship Id="rId62" Type="http://schemas.openxmlformats.org/officeDocument/2006/relationships/footer" Target="footer2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0.xml"/><Relationship Id="rId32" Type="http://schemas.openxmlformats.org/officeDocument/2006/relationships/header" Target="header16.xml"/><Relationship Id="rId37" Type="http://schemas.openxmlformats.org/officeDocument/2006/relationships/footer" Target="footer10.xml"/><Relationship Id="rId40" Type="http://schemas.openxmlformats.org/officeDocument/2006/relationships/footer" Target="footer12.xml"/><Relationship Id="rId45" Type="http://schemas.openxmlformats.org/officeDocument/2006/relationships/footer" Target="footer15.xml"/><Relationship Id="rId53" Type="http://schemas.openxmlformats.org/officeDocument/2006/relationships/header" Target="header26.xml"/><Relationship Id="rId58" Type="http://schemas.openxmlformats.org/officeDocument/2006/relationships/header" Target="header2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footer" Target="footer7.xml"/><Relationship Id="rId36" Type="http://schemas.openxmlformats.org/officeDocument/2006/relationships/header" Target="header18.xml"/><Relationship Id="rId49" Type="http://schemas.openxmlformats.org/officeDocument/2006/relationships/footer" Target="footer16.xml"/><Relationship Id="rId57" Type="http://schemas.openxmlformats.org/officeDocument/2006/relationships/header" Target="header28.xml"/><Relationship Id="rId61" Type="http://schemas.openxmlformats.org/officeDocument/2006/relationships/header" Target="header30.xml"/><Relationship Id="rId10" Type="http://schemas.openxmlformats.org/officeDocument/2006/relationships/footer" Target="footer1.xml"/><Relationship Id="rId19" Type="http://schemas.openxmlformats.org/officeDocument/2006/relationships/footer" Target="footer5.xml"/><Relationship Id="rId31" Type="http://schemas.openxmlformats.org/officeDocument/2006/relationships/header" Target="header15.xml"/><Relationship Id="rId44" Type="http://schemas.openxmlformats.org/officeDocument/2006/relationships/header" Target="header21.xml"/><Relationship Id="rId52" Type="http://schemas.openxmlformats.org/officeDocument/2006/relationships/footer" Target="footer18.xml"/><Relationship Id="rId60" Type="http://schemas.openxmlformats.org/officeDocument/2006/relationships/footer" Target="footer2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image" Target="media/image4.png"/><Relationship Id="rId35" Type="http://schemas.openxmlformats.org/officeDocument/2006/relationships/footer" Target="footer9.xml"/><Relationship Id="rId43" Type="http://schemas.openxmlformats.org/officeDocument/2006/relationships/footer" Target="footer14.xml"/><Relationship Id="rId48" Type="http://schemas.openxmlformats.org/officeDocument/2006/relationships/header" Target="header24.xml"/><Relationship Id="rId56" Type="http://schemas.openxmlformats.org/officeDocument/2006/relationships/footer" Target="footer20.xml"/><Relationship Id="rId64"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header" Target="header25.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eader" Target="header11.xml"/><Relationship Id="rId33" Type="http://schemas.openxmlformats.org/officeDocument/2006/relationships/footer" Target="footer8.xml"/><Relationship Id="rId38" Type="http://schemas.openxmlformats.org/officeDocument/2006/relationships/footer" Target="footer11.xml"/><Relationship Id="rId46" Type="http://schemas.openxmlformats.org/officeDocument/2006/relationships/header" Target="header22.xml"/><Relationship Id="rId59" Type="http://schemas.openxmlformats.org/officeDocument/2006/relationships/footer" Target="footer21.xml"/></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2.jpeg"/></Relationships>
</file>

<file path=word/_rels/header17.xml.rels><?xml version="1.0" encoding="UTF-8" standalone="yes"?>
<Relationships xmlns="http://schemas.openxmlformats.org/package/2006/relationships"><Relationship Id="rId1" Type="http://schemas.openxmlformats.org/officeDocument/2006/relationships/image" Target="media/image3.png"/></Relationships>
</file>

<file path=word/_rels/header19.xml.rels><?xml version="1.0" encoding="UTF-8" standalone="yes"?>
<Relationships xmlns="http://schemas.openxmlformats.org/package/2006/relationships"><Relationship Id="rId1" Type="http://schemas.openxmlformats.org/officeDocument/2006/relationships/image" Target="media/image3.png"/></Relationships>
</file>

<file path=word/_rels/header21.xml.rels><?xml version="1.0" encoding="UTF-8" standalone="yes"?>
<Relationships xmlns="http://schemas.openxmlformats.org/package/2006/relationships"><Relationship Id="rId1" Type="http://schemas.openxmlformats.org/officeDocument/2006/relationships/image" Target="media/image3.png"/></Relationships>
</file>

<file path=word/_rels/header22.xml.rels><?xml version="1.0" encoding="UTF-8" standalone="yes"?>
<Relationships xmlns="http://schemas.openxmlformats.org/package/2006/relationships"><Relationship Id="rId1" Type="http://schemas.openxmlformats.org/officeDocument/2006/relationships/image" Target="media/image2.jpeg"/></Relationships>
</file>

<file path=word/_rels/header23.xml.rels><?xml version="1.0" encoding="UTF-8" standalone="yes"?>
<Relationships xmlns="http://schemas.openxmlformats.org/package/2006/relationships"><Relationship Id="rId1" Type="http://schemas.openxmlformats.org/officeDocument/2006/relationships/image" Target="media/image5.png"/></Relationships>
</file>

<file path=word/_rels/header26.xml.rels><?xml version="1.0" encoding="UTF-8" standalone="yes"?>
<Relationships xmlns="http://schemas.openxmlformats.org/package/2006/relationships"><Relationship Id="rId3" Type="http://schemas.openxmlformats.org/officeDocument/2006/relationships/hyperlink" Target="http://www.deloitte.com.br" TargetMode="External"/><Relationship Id="rId2" Type="http://schemas.openxmlformats.org/officeDocument/2006/relationships/image" Target="media/image6.gif"/><Relationship Id="rId1" Type="http://schemas.openxmlformats.org/officeDocument/2006/relationships/hyperlink" Target="http://www.deloitte.com.br" TargetMode="External"/><Relationship Id="rId4" Type="http://schemas.openxmlformats.org/officeDocument/2006/relationships/image" Target="media/image7.gif"/></Relationships>
</file>

<file path=word/_rels/header27.xml.rels><?xml version="1.0" encoding="UTF-8" standalone="yes"?>
<Relationships xmlns="http://schemas.openxmlformats.org/package/2006/relationships"><Relationship Id="rId1" Type="http://schemas.openxmlformats.org/officeDocument/2006/relationships/image" Target="media/image8.pn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3.pn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F9DD16"/>
        </a:solidFill>
        <a:ln w="12700" cap="flat" cmpd="sng" algn="ctr">
          <a:noFill/>
          <a:prstDash val="solid"/>
          <a:miter lim="800000"/>
        </a:ln>
        <a:effectLst/>
      </a:spPr>
      <a:bodyPr anchor="ctr"/>
      <a:lst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383283-33B7-4357-B3F6-F27860723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7593</TotalTime>
  <Pages>70</Pages>
  <Words>29054</Words>
  <Characters>156896</Characters>
  <Application>Microsoft Office Word</Application>
  <DocSecurity>0</DocSecurity>
  <Lines>1307</Lines>
  <Paragraphs>371</Paragraphs>
  <ScaleCrop>false</ScaleCrop>
  <HeadingPairs>
    <vt:vector size="2" baseType="variant">
      <vt:variant>
        <vt:lpstr>Título</vt:lpstr>
      </vt:variant>
      <vt:variant>
        <vt:i4>1</vt:i4>
      </vt:variant>
    </vt:vector>
  </HeadingPairs>
  <TitlesOfParts>
    <vt:vector size="1" baseType="lpstr">
      <vt:lpstr/>
    </vt:vector>
  </TitlesOfParts>
  <Company>BANCO DO BRASIL S.A.</Company>
  <LinksUpToDate>false</LinksUpToDate>
  <CharactersWithSpaces>185579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Edson Nogueira Dias</dc:creator>
  <cp:keywords/>
  <dc:description/>
  <cp:lastModifiedBy>Germando Caixeta</cp:lastModifiedBy>
  <cp:revision>1068</cp:revision>
  <cp:lastPrinted>2023-02-08T23:50:00Z</cp:lastPrinted>
  <dcterms:created xsi:type="dcterms:W3CDTF">2020-02-06T19:06:00Z</dcterms:created>
  <dcterms:modified xsi:type="dcterms:W3CDTF">2023-08-04T22:57:00Z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881dc9-f7f2-41de-a334-ceff3dc15b31_Enabled">
    <vt:lpwstr>true</vt:lpwstr>
  </property>
  <property fmtid="{D5CDD505-2E9C-101B-9397-08002B2CF9AE}" pid="3" name="MSIP_Label_40881dc9-f7f2-41de-a334-ceff3dc15b31_SetDate">
    <vt:lpwstr>2023-08-04T22:57:46Z</vt:lpwstr>
  </property>
  <property fmtid="{D5CDD505-2E9C-101B-9397-08002B2CF9AE}" pid="4" name="MSIP_Label_40881dc9-f7f2-41de-a334-ceff3dc15b31_Method">
    <vt:lpwstr>Standard</vt:lpwstr>
  </property>
  <property fmtid="{D5CDD505-2E9C-101B-9397-08002B2CF9AE}" pid="5" name="MSIP_Label_40881dc9-f7f2-41de-a334-ceff3dc15b31_Name">
    <vt:lpwstr>40881dc9-f7f2-41de-a334-ceff3dc15b31</vt:lpwstr>
  </property>
  <property fmtid="{D5CDD505-2E9C-101B-9397-08002B2CF9AE}" pid="6" name="MSIP_Label_40881dc9-f7f2-41de-a334-ceff3dc15b31_SiteId">
    <vt:lpwstr>ea0c2907-38d2-4181-8750-b0b190b60443</vt:lpwstr>
  </property>
  <property fmtid="{D5CDD505-2E9C-101B-9397-08002B2CF9AE}" pid="7" name="MSIP_Label_40881dc9-f7f2-41de-a334-ceff3dc15b31_ActionId">
    <vt:lpwstr>85c8c698-525b-4c1f-a75f-be0452a52404</vt:lpwstr>
  </property>
  <property fmtid="{D5CDD505-2E9C-101B-9397-08002B2CF9AE}" pid="8" name="MSIP_Label_40881dc9-f7f2-41de-a334-ceff3dc15b31_ContentBits">
    <vt:lpwstr>1</vt:lpwstr>
  </property>
</Properties>
</file>